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FE65E" w14:textId="1F2A28D6" w:rsidR="002F2AEF" w:rsidRPr="00CB4B7C" w:rsidRDefault="00833F49" w:rsidP="00833F49">
      <w:pPr>
        <w:pStyle w:val="Pagedecouverture"/>
        <w:rPr>
          <w:noProof/>
        </w:rPr>
      </w:pPr>
      <w:bookmarkStart w:id="0" w:name="LW_BM_COVERPAGE"/>
      <w:r>
        <w:rPr>
          <w:noProof/>
        </w:rPr>
        <w:pict w14:anchorId="0CC41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6694BD-8C52-40CB-92B2-43B836B615D6" style="width:455.25pt;height:300pt">
            <v:imagedata r:id="rId8" o:title=""/>
          </v:shape>
        </w:pict>
      </w:r>
    </w:p>
    <w:bookmarkEnd w:id="0"/>
    <w:p w14:paraId="612591B1" w14:textId="77777777" w:rsidR="002F2AEF" w:rsidRPr="00CB4B7C" w:rsidRDefault="002F2AEF" w:rsidP="002F2AEF">
      <w:pPr>
        <w:rPr>
          <w:rFonts w:ascii="Times New Roman" w:hAnsi="Times New Roman" w:cs="Times New Roman"/>
          <w:noProof/>
          <w:lang w:val="en-GB"/>
        </w:rPr>
        <w:sectPr w:rsidR="002F2AEF" w:rsidRPr="00CB4B7C" w:rsidSect="00833F4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7E6D3A6" w:rsidR="005A63C8" w:rsidRPr="00CB4B7C" w:rsidRDefault="4CC24D91" w:rsidP="009D5C5F">
      <w:pPr>
        <w:pStyle w:val="Style1"/>
        <w:spacing w:after="240"/>
        <w:ind w:left="1077" w:hanging="357"/>
        <w:rPr>
          <w:noProof/>
        </w:rPr>
      </w:pPr>
      <w:bookmarkStart w:id="1" w:name="_Hlk135904197"/>
      <w:bookmarkStart w:id="2" w:name="_GoBack"/>
      <w:bookmarkEnd w:id="2"/>
      <w:r>
        <w:rPr>
          <w:noProof/>
        </w:rPr>
        <w:lastRenderedPageBreak/>
        <w:t>Introduction</w:t>
      </w:r>
      <w:bookmarkEnd w:id="1"/>
    </w:p>
    <w:p w14:paraId="1D51A98C" w14:textId="5AA9310E" w:rsidR="00D0467D" w:rsidRPr="00CB4B7C" w:rsidRDefault="6B467031" w:rsidP="009D5C5F">
      <w:pPr>
        <w:pStyle w:val="Subject"/>
        <w:tabs>
          <w:tab w:val="left" w:pos="3948"/>
        </w:tabs>
        <w:spacing w:after="240"/>
        <w:ind w:left="0" w:firstLine="0"/>
        <w:contextualSpacing w:val="0"/>
        <w:jc w:val="both"/>
        <w:rPr>
          <w:rFonts w:eastAsiaTheme="minorEastAsia"/>
          <w:b w:val="0"/>
          <w:noProof/>
          <w:szCs w:val="24"/>
        </w:rPr>
      </w:pPr>
      <w:r>
        <w:rPr>
          <w:b w:val="0"/>
          <w:noProof/>
        </w:rPr>
        <w:t>Le trafic de drogue constitue une menace importante et persistante pour la sécurité de l’Europe. Plus de la moitié des réseaux criminels les plus dangereux opérant dans l’UE sont impliqués dans le trafic de drogue</w:t>
      </w:r>
      <w:r>
        <w:rPr>
          <w:rFonts w:eastAsiaTheme="minorEastAsia"/>
          <w:noProof/>
          <w:szCs w:val="24"/>
        </w:rPr>
        <w:footnoteReference w:id="2"/>
      </w:r>
      <w:r>
        <w:rPr>
          <w:b w:val="0"/>
          <w:noProof/>
        </w:rPr>
        <w:t xml:space="preserve"> et profitent du fait que l’UE constitue un marché de consommation, une plateforme de transit et une zone de production importants pour les drogues illicites. La criminalité organisée exploite les routes commerciales mondiales et les technologies numériques pour mettre en place des infrastructures criminelles sophistiquées qui déstabilisent la société de l’UE en recourant à la violence et à la corruption et en infiltrant l’économie légale.</w:t>
      </w:r>
    </w:p>
    <w:p w14:paraId="0783CA39" w14:textId="4A481FA1" w:rsidR="00866AF3" w:rsidRPr="00CB4B7C" w:rsidRDefault="00D0467D" w:rsidP="009D5C5F">
      <w:pPr>
        <w:pStyle w:val="Subject"/>
        <w:tabs>
          <w:tab w:val="left" w:pos="3948"/>
        </w:tabs>
        <w:spacing w:after="240"/>
        <w:ind w:left="0" w:firstLine="0"/>
        <w:contextualSpacing w:val="0"/>
        <w:jc w:val="both"/>
        <w:rPr>
          <w:b w:val="0"/>
          <w:noProof/>
        </w:rPr>
      </w:pPr>
      <w:r>
        <w:rPr>
          <w:b w:val="0"/>
          <w:noProof/>
        </w:rPr>
        <w:t xml:space="preserve">Le trafic de cocaïne et de drogues de synthèse, ainsi que de leurs précurseurs, est un secteur particulièrement dynamique du trafic de drogue, car il se caractérise par des itinéraires et des méthodes en constante évolution. Bien que des mesures répressives efficaces aient été mises en œuvre, la production de drogues de synthèse telles que la MDMA, l’amphétamine et la méthamphétamine se poursuit à grande échelle au sein de l’UE. Les réseaux criminels s’adaptent rapidement et ont recours à des méthodes de contrebande sophistiquées, des communications cryptées, des plateformes sur le dark net et des cryptomonnaies pour échapper à la détection. </w:t>
      </w:r>
    </w:p>
    <w:p w14:paraId="52316113" w14:textId="4C2F078B" w:rsidR="006C0281" w:rsidRPr="00CB4B7C" w:rsidRDefault="00E16413" w:rsidP="009D5C5F">
      <w:pPr>
        <w:pStyle w:val="Subject"/>
        <w:tabs>
          <w:tab w:val="left" w:pos="3948"/>
        </w:tabs>
        <w:spacing w:after="240"/>
        <w:ind w:left="0" w:firstLine="0"/>
        <w:contextualSpacing w:val="0"/>
        <w:jc w:val="both"/>
        <w:rPr>
          <w:b w:val="0"/>
          <w:noProof/>
        </w:rPr>
      </w:pPr>
      <w:r>
        <w:rPr>
          <w:b w:val="0"/>
          <w:noProof/>
        </w:rPr>
        <w:t>Les profits dégagés par le trafic de drogue sont blanchis et réinvestis, ce qui renforce l’emprise des réseaux criminels dans les secteurs légaux et se traduit fréquemment par une augmentation de la violence, notamment dans les villes portuaires et les marchés urbains. Compte tenu de la diversification des itinéraires et des points d’entrée du trafic de drogue, les lieux touchés par cette violence devraient à nouveau changer</w:t>
      </w:r>
      <w:r>
        <w:rPr>
          <w:rStyle w:val="FootnoteReference0"/>
          <w:b w:val="0"/>
          <w:noProof/>
        </w:rPr>
        <w:footnoteReference w:id="3"/>
      </w:r>
      <w:r>
        <w:rPr>
          <w:b w:val="0"/>
          <w:noProof/>
        </w:rPr>
        <w:t xml:space="preserve">. Ces réseaux recrutent de plus en plus de jeunes, profitant de leur vulnérabilité ainsi que de leurs difficultés économiques et sociales pour échapper aux services répressifs. Ces jeunes, recrutés sur les plateformes de médias sociaux, sont exploités et deviennent trafiquants de drogue, passeurs ou soutiens opérationnels dans des opérations de trafic, par exemple en récupérant la drogue dans des conteneurs maritimes. </w:t>
      </w:r>
    </w:p>
    <w:p w14:paraId="43C7B0C2" w14:textId="51F46FF4" w:rsidR="00E44D5A" w:rsidRPr="00CB4B7C" w:rsidRDefault="413C1ADD" w:rsidP="009D5C5F">
      <w:pPr>
        <w:pStyle w:val="Subject"/>
        <w:tabs>
          <w:tab w:val="left" w:pos="3948"/>
        </w:tabs>
        <w:spacing w:after="240"/>
        <w:ind w:left="0" w:firstLine="0"/>
        <w:contextualSpacing w:val="0"/>
        <w:jc w:val="both"/>
        <w:rPr>
          <w:b w:val="0"/>
          <w:noProof/>
        </w:rPr>
      </w:pPr>
      <w:r>
        <w:rPr>
          <w:b w:val="0"/>
          <w:noProof/>
        </w:rPr>
        <w:t xml:space="preserve">Pour s’attaquer à ces problèmes en constante évolution, la Commission présente un nouveau </w:t>
      </w:r>
      <w:r>
        <w:rPr>
          <w:noProof/>
        </w:rPr>
        <w:t>plan d’action de l’UE contre le trafic de drogue</w:t>
      </w:r>
      <w:r>
        <w:rPr>
          <w:b w:val="0"/>
          <w:noProof/>
        </w:rPr>
        <w:t>, qui renforce la stratégie plus large de l’UE en matière de drogue</w:t>
      </w:r>
      <w:r>
        <w:rPr>
          <w:rStyle w:val="FootnoteReference0"/>
          <w:b w:val="0"/>
          <w:noProof/>
        </w:rPr>
        <w:footnoteReference w:id="4"/>
      </w:r>
      <w:r>
        <w:rPr>
          <w:b w:val="0"/>
          <w:noProof/>
        </w:rPr>
        <w:t>, laquelle repose sur une politique équilibrée, fondée sur des données probantes et donnant la priorité aux droits de l’homme. Si le présent plan a pour objectif premier de renforcer la sécurité, il comprend également des mesures visant à améliorer la préparation, à réduire les dommages liés à la drogue et à renforcer la coopération internationale et les partenariats.</w:t>
      </w:r>
      <w:r>
        <w:rPr>
          <w:noProof/>
        </w:rPr>
        <w:t xml:space="preserve"> </w:t>
      </w:r>
      <w:r>
        <w:rPr>
          <w:b w:val="0"/>
          <w:noProof/>
        </w:rPr>
        <w:t>S’appuyant sur l’évaluation du plan d’action 2021-2025 et sur les expériences positives tirées de la mise en œuvre de la feuille de route de l’UE en matière de lutte contre le trafic de drogue et la criminalité organisée</w:t>
      </w:r>
      <w:r>
        <w:rPr>
          <w:rStyle w:val="FootnoteReference0"/>
          <w:b w:val="0"/>
          <w:bCs/>
          <w:noProof/>
        </w:rPr>
        <w:footnoteReference w:id="5"/>
      </w:r>
      <w:r>
        <w:rPr>
          <w:b w:val="0"/>
          <w:noProof/>
        </w:rPr>
        <w:t xml:space="preserve">, le présent plan d’action s’articule autour d’actions prioritaires nécessitant des efforts immédiats et à moyen terme, et détaille 19 actions ciblées visant à perturber les opérations de trafic de drogue. </w:t>
      </w:r>
    </w:p>
    <w:p w14:paraId="5448B8BF" w14:textId="59F3021C" w:rsidR="008A5CDA" w:rsidRPr="00CB4B7C" w:rsidRDefault="00D10754" w:rsidP="009D5C5F">
      <w:pPr>
        <w:pStyle w:val="Subject"/>
        <w:spacing w:after="240"/>
        <w:ind w:left="0" w:firstLine="0"/>
        <w:contextualSpacing w:val="0"/>
        <w:jc w:val="both"/>
        <w:rPr>
          <w:b w:val="0"/>
          <w:noProof/>
        </w:rPr>
      </w:pPr>
      <w:r>
        <w:rPr>
          <w:b w:val="0"/>
          <w:noProof/>
        </w:rPr>
        <w:t>Le plan d’action s’appuie sur la</w:t>
      </w:r>
      <w:r>
        <w:rPr>
          <w:noProof/>
        </w:rPr>
        <w:t xml:space="preserve"> stratégie européenne de sécurité intérieure ProtectEU</w:t>
      </w:r>
      <w:r>
        <w:rPr>
          <w:rStyle w:val="FootnoteReference0"/>
          <w:b w:val="0"/>
          <w:noProof/>
        </w:rPr>
        <w:footnoteReference w:id="6"/>
      </w:r>
      <w:r>
        <w:rPr>
          <w:b w:val="0"/>
          <w:noProof/>
        </w:rPr>
        <w:t xml:space="preserve">, dont il constitue l’un des principaux résultats attendus, et favorise les synergies au moyen de plateformes telles que la </w:t>
      </w:r>
      <w:r>
        <w:rPr>
          <w:noProof/>
        </w:rPr>
        <w:t>plateforme pluridisciplinaire européenne contre les menaces criminelles</w:t>
      </w:r>
      <w:r>
        <w:rPr>
          <w:b w:val="0"/>
          <w:noProof/>
        </w:rPr>
        <w:t xml:space="preserve"> (EMPACT) et le partenariat public-privé de l’</w:t>
      </w:r>
      <w:r>
        <w:rPr>
          <w:noProof/>
        </w:rPr>
        <w:t>alliance des ports européens</w:t>
      </w:r>
      <w:r>
        <w:rPr>
          <w:b w:val="0"/>
          <w:noProof/>
        </w:rPr>
        <w:t xml:space="preserve">, élément essentiel pour la coordination des mesures de sécurité au niveau des points de transit stratégiques. </w:t>
      </w:r>
    </w:p>
    <w:p w14:paraId="0D8D7D01" w14:textId="4D2AF028" w:rsidR="009D1632" w:rsidRPr="009D1632" w:rsidRDefault="0058603D" w:rsidP="009D1632">
      <w:pPr>
        <w:pStyle w:val="ContNum"/>
        <w:rPr>
          <w:noProof/>
          <w:color w:val="000000" w:themeColor="text1"/>
        </w:rPr>
      </w:pPr>
      <w:r>
        <w:rPr>
          <w:noProof/>
          <w:color w:val="000000" w:themeColor="text1"/>
        </w:rPr>
        <w:t xml:space="preserve">La coopération mondiale est placée au cœur du plan d’action, dans l’objectif de renforcer la collaboration avec les États-Unis et de nouer un dialogue avec des partenaires d’Amérique latine, des Caraïbes, d’Afrique de l’Ouest, du Moyen-Orient, ainsi qu’avec la Chine et l’Inde. Les pays candidats et les candidats potentiels, y compris les Balkans occidentaux, demeurent des alliés cruciaux. Dans ce contexte, la coopération contribuera également à l’intégration progressive des pays candidats à l’adhésion à l’UE dans les travaux des agences JAI (Europol, CEPOL, EUDA) et à la participation de ces pays à l’EMPACT, renforçant ainsi la lutte collective contre le trafic de drogue. Ces partenariats sont essentiels pour démanteler les réseaux de trafic de drogue et sécuriser les itinéraires. </w:t>
      </w:r>
    </w:p>
    <w:p w14:paraId="55A03A33" w14:textId="0801519B" w:rsidR="009D0FEE" w:rsidRPr="00CB4B7C" w:rsidRDefault="009D0FEE" w:rsidP="00194028">
      <w:pPr>
        <w:pStyle w:val="ContNum"/>
        <w:rPr>
          <w:noProof/>
        </w:rPr>
      </w:pPr>
      <w:r>
        <w:rPr>
          <w:noProof/>
          <w:color w:val="000000" w:themeColor="text1"/>
        </w:rPr>
        <w:t xml:space="preserve">L’UE est également déterminée à renforcer sa coopération au sein de la </w:t>
      </w:r>
      <w:r>
        <w:rPr>
          <w:b/>
          <w:noProof/>
          <w:color w:val="000000" w:themeColor="text1"/>
        </w:rPr>
        <w:t>Coalition européenne contre les drogues</w:t>
      </w:r>
      <w:r>
        <w:rPr>
          <w:noProof/>
          <w:color w:val="000000" w:themeColor="text1"/>
        </w:rPr>
        <w:t>, lancée par la Communauté politique européenne en octobre 2025, afin d’unir tous les efforts contre la menace omniprésente que représente le trafic de drogue.</w:t>
      </w:r>
    </w:p>
    <w:p w14:paraId="4C028960" w14:textId="7F1927E3" w:rsidR="5F5AE16B" w:rsidRPr="00CB4B7C" w:rsidRDefault="5F5AE16B" w:rsidP="000A1D51">
      <w:pPr>
        <w:pStyle w:val="Subject"/>
        <w:spacing w:after="0"/>
        <w:ind w:left="0"/>
        <w:jc w:val="both"/>
        <w:rPr>
          <w:noProof/>
        </w:rPr>
      </w:pPr>
    </w:p>
    <w:p w14:paraId="0EBEC1FD" w14:textId="0E78EDC1" w:rsidR="00B279E0" w:rsidRPr="00CB4B7C" w:rsidRDefault="00AD7680" w:rsidP="009E491F">
      <w:pPr>
        <w:pStyle w:val="Style1"/>
        <w:spacing w:after="240"/>
        <w:ind w:left="1077" w:hanging="357"/>
        <w:rPr>
          <w:noProof/>
        </w:rPr>
      </w:pPr>
      <w:r>
        <w:rPr>
          <w:noProof/>
        </w:rPr>
        <w:t>Actions prioritaires</w:t>
      </w:r>
    </w:p>
    <w:p w14:paraId="19C3CE93" w14:textId="3EA56C80" w:rsidR="006E0B5B" w:rsidRPr="00CB4B7C" w:rsidRDefault="00A80BC2" w:rsidP="009D5C5F">
      <w:pPr>
        <w:pStyle w:val="paragraph"/>
        <w:tabs>
          <w:tab w:val="left" w:pos="3948"/>
        </w:tabs>
        <w:spacing w:before="0" w:beforeAutospacing="0" w:after="240" w:afterAutospacing="0"/>
        <w:jc w:val="both"/>
        <w:rPr>
          <w:noProof/>
        </w:rPr>
      </w:pPr>
      <w:bookmarkStart w:id="3" w:name="_Hlk145239934"/>
      <w:r>
        <w:rPr>
          <w:noProof/>
        </w:rPr>
        <w:t>Compte tenu de l’évolution des réseaux criminels et de la diversification du trafic de drogue, une action coordonnée est essentielle. Une mise en œuvre efficace repose sur une coopération solide à l’échelle de l’UE, une collaboration étroite avec les partenaires internationaux et une volonté politique soutenue.</w:t>
      </w:r>
    </w:p>
    <w:p w14:paraId="3EF2CD66" w14:textId="3D4F92A0" w:rsidR="00DA3452" w:rsidRPr="00CB4B7C" w:rsidRDefault="00557495" w:rsidP="009D5C5F">
      <w:pPr>
        <w:pStyle w:val="Subject"/>
        <w:tabs>
          <w:tab w:val="left" w:pos="3948"/>
        </w:tabs>
        <w:spacing w:after="0"/>
        <w:ind w:left="0" w:firstLine="0"/>
        <w:contextualSpacing w:val="0"/>
        <w:jc w:val="both"/>
        <w:rPr>
          <w:b w:val="0"/>
          <w:noProof/>
        </w:rPr>
      </w:pPr>
      <w:r>
        <w:rPr>
          <w:b w:val="0"/>
          <w:noProof/>
        </w:rPr>
        <w:t xml:space="preserve">Le présent plan d’action s’articule autour de six domaines prioritaires pour une action renforcée, chacun étant assorti de mesures spécifiques visant à relever les défis liés au trafic de drogue. Leurs liens avec les piliers de la stratégie de l’UE en matière de drogue sont indiqués ci-dessous. </w:t>
      </w:r>
    </w:p>
    <w:p w14:paraId="677DF92A" w14:textId="77777777" w:rsidR="00DA3452" w:rsidRPr="00CB4B7C" w:rsidRDefault="00DA3452" w:rsidP="0091740C">
      <w:pPr>
        <w:pStyle w:val="Subject"/>
        <w:tabs>
          <w:tab w:val="left" w:pos="3948"/>
        </w:tabs>
        <w:spacing w:after="0"/>
        <w:ind w:left="0" w:firstLine="0"/>
        <w:jc w:val="both"/>
        <w:rPr>
          <w:b w:val="0"/>
          <w:noProof/>
          <w:szCs w:val="24"/>
          <w:lang w:eastAsia="en-IE"/>
        </w:rPr>
      </w:pPr>
    </w:p>
    <w:tbl>
      <w:tblPr>
        <w:tblStyle w:val="TableGrid"/>
        <w:tblW w:w="0" w:type="auto"/>
        <w:tblInd w:w="534" w:type="dxa"/>
        <w:tblLook w:val="04A0" w:firstRow="1" w:lastRow="0" w:firstColumn="1" w:lastColumn="0" w:noHBand="0" w:noVBand="1"/>
      </w:tblPr>
      <w:tblGrid>
        <w:gridCol w:w="8363"/>
      </w:tblGrid>
      <w:tr w:rsidR="00A33633" w:rsidRPr="00CB4B7C" w14:paraId="3E65B7D5" w14:textId="77777777" w:rsidTr="00A33633">
        <w:trPr>
          <w:trHeight w:val="1946"/>
        </w:trPr>
        <w:tc>
          <w:tcPr>
            <w:tcW w:w="8363" w:type="dxa"/>
          </w:tcPr>
          <w:p w14:paraId="3DF555A0" w14:textId="0C6823C8" w:rsidR="00A33633" w:rsidRPr="00CB4B7C" w:rsidRDefault="00A33633">
            <w:pPr>
              <w:pStyle w:val="Subject"/>
              <w:numPr>
                <w:ilvl w:val="0"/>
                <w:numId w:val="19"/>
              </w:numPr>
              <w:tabs>
                <w:tab w:val="left" w:pos="3948"/>
              </w:tabs>
              <w:spacing w:after="120"/>
              <w:ind w:left="714" w:hanging="357"/>
              <w:jc w:val="both"/>
              <w:rPr>
                <w:b w:val="0"/>
                <w:noProof/>
              </w:rPr>
            </w:pPr>
            <w:r>
              <w:rPr>
                <w:b w:val="0"/>
                <w:noProof/>
              </w:rPr>
              <w:t>S’adapter à l’évolution des itinéraires et des modes opératoires (Pilier 3: Renforcer la sécurité)</w:t>
            </w:r>
          </w:p>
          <w:p w14:paraId="07E2A84E" w14:textId="3A35EDF0" w:rsidR="00A33633" w:rsidRPr="00CB4B7C" w:rsidRDefault="00A33633">
            <w:pPr>
              <w:pStyle w:val="Subject"/>
              <w:numPr>
                <w:ilvl w:val="0"/>
                <w:numId w:val="19"/>
              </w:numPr>
              <w:tabs>
                <w:tab w:val="left" w:pos="3948"/>
              </w:tabs>
              <w:spacing w:after="120"/>
              <w:ind w:left="714" w:hanging="357"/>
              <w:jc w:val="both"/>
              <w:rPr>
                <w:b w:val="0"/>
                <w:noProof/>
              </w:rPr>
            </w:pPr>
            <w:r>
              <w:rPr>
                <w:b w:val="0"/>
                <w:noProof/>
              </w:rPr>
              <w:t>Prévenir la criminalité et réduire la violence liée à la drogue (Pilier 4: Lutter contre les dommages)</w:t>
            </w:r>
          </w:p>
          <w:p w14:paraId="1D5F6F43" w14:textId="30B8DA38" w:rsidR="00A33633" w:rsidRPr="00CB4B7C" w:rsidRDefault="00A33633">
            <w:pPr>
              <w:pStyle w:val="Subject"/>
              <w:numPr>
                <w:ilvl w:val="0"/>
                <w:numId w:val="19"/>
              </w:numPr>
              <w:tabs>
                <w:tab w:val="left" w:pos="3948"/>
              </w:tabs>
              <w:spacing w:after="0"/>
              <w:jc w:val="both"/>
              <w:rPr>
                <w:b w:val="0"/>
                <w:noProof/>
              </w:rPr>
            </w:pPr>
            <w:r>
              <w:rPr>
                <w:b w:val="0"/>
                <w:noProof/>
              </w:rPr>
              <w:t>Renforcer la coopération entre les services répressifs, judiciaires et douaniers (Pilier 3: Renforcer la sécurité)</w:t>
            </w:r>
          </w:p>
          <w:p w14:paraId="713C1648" w14:textId="1E2FD6A9" w:rsidR="00A33633" w:rsidRPr="00CB4B7C" w:rsidRDefault="00A33633">
            <w:pPr>
              <w:pStyle w:val="Subject"/>
              <w:numPr>
                <w:ilvl w:val="0"/>
                <w:numId w:val="19"/>
              </w:numPr>
              <w:tabs>
                <w:tab w:val="left" w:pos="3948"/>
              </w:tabs>
              <w:spacing w:after="0"/>
              <w:jc w:val="both"/>
              <w:rPr>
                <w:b w:val="0"/>
                <w:noProof/>
              </w:rPr>
            </w:pPr>
            <w:r>
              <w:rPr>
                <w:b w:val="0"/>
                <w:noProof/>
              </w:rPr>
              <w:t>S’attaquer au problème des drogues de synthèse et des précurseurs de drogues (Pilier 3: Renforcer la sécurité et Pilier 4: Lutter contre les dommages)</w:t>
            </w:r>
          </w:p>
          <w:p w14:paraId="292FCA29" w14:textId="022BC036" w:rsidR="00A33633" w:rsidRPr="00CB4B7C" w:rsidRDefault="00A33633">
            <w:pPr>
              <w:pStyle w:val="Subject"/>
              <w:numPr>
                <w:ilvl w:val="0"/>
                <w:numId w:val="19"/>
              </w:numPr>
              <w:tabs>
                <w:tab w:val="left" w:pos="3948"/>
              </w:tabs>
              <w:spacing w:after="0"/>
              <w:jc w:val="both"/>
              <w:rPr>
                <w:b w:val="0"/>
                <w:noProof/>
              </w:rPr>
            </w:pPr>
            <w:r>
              <w:rPr>
                <w:b w:val="0"/>
                <w:noProof/>
              </w:rPr>
              <w:t>Faire avancer la recherche, le développement et l’innovation (Pilier 1: Renforcer la préparation)</w:t>
            </w:r>
          </w:p>
          <w:p w14:paraId="66008E73" w14:textId="5DF7EB45" w:rsidR="00A33633" w:rsidRPr="00CB4B7C" w:rsidRDefault="00A33633">
            <w:pPr>
              <w:pStyle w:val="Subject"/>
              <w:numPr>
                <w:ilvl w:val="0"/>
                <w:numId w:val="19"/>
              </w:numPr>
              <w:tabs>
                <w:tab w:val="left" w:pos="3948"/>
              </w:tabs>
              <w:spacing w:after="0"/>
              <w:jc w:val="both"/>
              <w:rPr>
                <w:b w:val="0"/>
                <w:noProof/>
              </w:rPr>
            </w:pPr>
            <w:r>
              <w:rPr>
                <w:b w:val="0"/>
                <w:noProof/>
              </w:rPr>
              <w:t>Renforcer la coopération internationale et les partenariats (Pilier 5: Établir des partenariats solides)</w:t>
            </w:r>
          </w:p>
        </w:tc>
      </w:tr>
    </w:tbl>
    <w:p w14:paraId="35C727CD" w14:textId="4008A230" w:rsidR="005203A6" w:rsidRPr="00CB4B7C" w:rsidRDefault="005203A6" w:rsidP="001054EB">
      <w:pPr>
        <w:pStyle w:val="Subject"/>
        <w:tabs>
          <w:tab w:val="left" w:pos="3948"/>
        </w:tabs>
        <w:spacing w:after="0"/>
        <w:ind w:left="720" w:firstLine="0"/>
        <w:jc w:val="both"/>
        <w:rPr>
          <w:b w:val="0"/>
          <w:bCs/>
          <w:noProof/>
          <w:szCs w:val="24"/>
          <w:lang w:eastAsia="en-IE"/>
        </w:rPr>
      </w:pPr>
    </w:p>
    <w:p w14:paraId="321BB182" w14:textId="77777777" w:rsidR="005203A6" w:rsidRPr="00CB4B7C" w:rsidRDefault="005203A6" w:rsidP="0091740C">
      <w:pPr>
        <w:pStyle w:val="Subject"/>
        <w:tabs>
          <w:tab w:val="left" w:pos="3948"/>
        </w:tabs>
        <w:spacing w:after="0"/>
        <w:ind w:left="0" w:firstLine="0"/>
        <w:jc w:val="both"/>
        <w:rPr>
          <w:b w:val="0"/>
          <w:bCs/>
          <w:noProof/>
          <w:szCs w:val="24"/>
          <w:lang w:eastAsia="en-IE"/>
        </w:rPr>
      </w:pPr>
    </w:p>
    <w:p w14:paraId="7E8AAB2D" w14:textId="19CDF3D6" w:rsidR="00201ED6" w:rsidRPr="00CB4B7C" w:rsidRDefault="00201ED6" w:rsidP="00201ED6">
      <w:pPr>
        <w:pStyle w:val="Style2"/>
        <w:rPr>
          <w:noProof/>
        </w:rPr>
      </w:pPr>
      <w:r>
        <w:rPr>
          <w:noProof/>
        </w:rPr>
        <w:t xml:space="preserve"> S’adapter à l’évolution des itinéraires et des modes opératoires</w:t>
      </w:r>
    </w:p>
    <w:p w14:paraId="30ADAFF6" w14:textId="77777777" w:rsidR="00F7356E" w:rsidRPr="00CB4B7C" w:rsidRDefault="00F7356E" w:rsidP="00F7356E">
      <w:pPr>
        <w:pStyle w:val="Style2"/>
        <w:numPr>
          <w:ilvl w:val="0"/>
          <w:numId w:val="0"/>
        </w:numPr>
        <w:ind w:left="1134"/>
        <w:rPr>
          <w:noProof/>
        </w:rPr>
      </w:pPr>
    </w:p>
    <w:p w14:paraId="6C8D6A5E" w14:textId="5F85D60C"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bookmarkStart w:id="4" w:name="_Hlk207112332"/>
      <w:r>
        <w:rPr>
          <w:rFonts w:ascii="Times New Roman" w:hAnsi="Times New Roman"/>
          <w:i/>
          <w:noProof/>
          <w:sz w:val="24"/>
        </w:rPr>
        <w:t xml:space="preserve">Afin de réagir efficacement à l’évolution des menaces, l’UE et les États membres devraient s’efforcer de combler les failles dans le transport maritime, terrestre et aérien, en tenant compte des itinéraires actuels de trafic et en anticipant les ajustements opérés par les réseaux criminels. Cet effort doit être concentré sur la mise en place d’obstacles à l’infiltration criminelle à chaque étape du trafic. </w:t>
      </w:r>
      <w:bookmarkEnd w:id="4"/>
    </w:p>
    <w:p w14:paraId="111A58CC" w14:textId="2C718518" w:rsidR="00C518D3" w:rsidRPr="00CB4B7C" w:rsidRDefault="4AC24791" w:rsidP="00C518D3">
      <w:pPr>
        <w:pStyle w:val="Subject"/>
        <w:tabs>
          <w:tab w:val="left" w:pos="3948"/>
        </w:tabs>
        <w:ind w:left="0" w:firstLine="0"/>
        <w:jc w:val="both"/>
        <w:rPr>
          <w:b w:val="0"/>
          <w:noProof/>
        </w:rPr>
      </w:pPr>
      <w:r>
        <w:rPr>
          <w:b w:val="0"/>
          <w:noProof/>
        </w:rPr>
        <w:t xml:space="preserve">Les réseaux criminels introduisent clandestinement des drogues illicites dans l’UE principalement par voie maritime, en utilisant un vaste réseau de routes maritimes commerciales ainsi que des navires non commerciaux. À leur arrivée, les cargaisons de drogue sont généralement acheminées par le réseau logistique interne de l’UE, par voie routière et ferroviaire. Les voies aériennes sont utilisées pour des envois de grande valeur et de faible volume, de drogues de synthèse ou de précurseurs chimiques, par exemple. Les réseaux s’adaptent rapidement au renforcement des mesures de sécurité et redirigent de manière dynamique les itinéraires de trafic vers des ports et des routes moins surveillés afin d’éviter toute détection. Ces changements sont rendus possibles par l’infiltration de la criminalité organisée dans la société, par la corruption des travailleurs, par la violence (ou les menaces de violence) et par l’exploitation des vulnérabilités logistiques qui en découle. La criminalité organisée ne ménage aucun effort pour protéger ses profits illicites. </w:t>
      </w:r>
    </w:p>
    <w:p w14:paraId="0170769B" w14:textId="77777777" w:rsidR="00CA667A" w:rsidRPr="00CB4B7C" w:rsidRDefault="00CA667A" w:rsidP="00A10B70">
      <w:pPr>
        <w:pStyle w:val="Subject"/>
        <w:tabs>
          <w:tab w:val="left" w:pos="3948"/>
        </w:tabs>
        <w:spacing w:after="0" w:line="252" w:lineRule="auto"/>
        <w:ind w:left="0" w:firstLine="0"/>
        <w:jc w:val="both"/>
        <w:rPr>
          <w:b w:val="0"/>
          <w:noProof/>
        </w:rPr>
      </w:pPr>
    </w:p>
    <w:p w14:paraId="773805AE" w14:textId="1A0BB16E" w:rsidR="00284885" w:rsidRPr="00CB4B7C" w:rsidRDefault="00284885" w:rsidP="00284885">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 xml:space="preserve">Action nº 1: </w:t>
      </w:r>
      <w:bookmarkStart w:id="5" w:name="_Hlk210382700"/>
      <w:r>
        <w:rPr>
          <w:rFonts w:ascii="Times New Roman" w:hAnsi="Times New Roman"/>
          <w:b/>
          <w:i/>
          <w:noProof/>
          <w:sz w:val="24"/>
        </w:rPr>
        <w:t>mieux exploiter le renseignement sur les déplacements pour détecter, cartographier et enrayer le trafic de drogue</w:t>
      </w:r>
    </w:p>
    <w:p w14:paraId="3B3EE098" w14:textId="77777777" w:rsidR="00284885" w:rsidRPr="00EE131B" w:rsidRDefault="00284885" w:rsidP="00284885">
      <w:pPr>
        <w:spacing w:after="0" w:line="252" w:lineRule="auto"/>
        <w:jc w:val="both"/>
        <w:rPr>
          <w:rFonts w:ascii="Times New Roman" w:hAnsi="Times New Roman" w:cs="Times New Roman"/>
          <w:b/>
          <w:bCs/>
          <w:i/>
          <w:iCs/>
          <w:noProof/>
          <w:sz w:val="24"/>
          <w:szCs w:val="24"/>
          <w:lang w:val="fr-BE"/>
        </w:rPr>
      </w:pPr>
    </w:p>
    <w:p w14:paraId="763B05DA" w14:textId="77777777" w:rsidR="00284885" w:rsidRPr="00CB4B7C" w:rsidRDefault="00284885" w:rsidP="00284885">
      <w:pPr>
        <w:spacing w:after="0" w:line="252" w:lineRule="auto"/>
        <w:jc w:val="both"/>
        <w:rPr>
          <w:rFonts w:ascii="Times New Roman" w:hAnsi="Times New Roman" w:cs="Times New Roman"/>
          <w:i/>
          <w:noProof/>
          <w:sz w:val="24"/>
        </w:rPr>
      </w:pPr>
      <w:r>
        <w:rPr>
          <w:rFonts w:ascii="Times New Roman" w:hAnsi="Times New Roman"/>
          <w:i/>
          <w:noProof/>
          <w:sz w:val="24"/>
        </w:rPr>
        <w:t>Acteurs principaux: États membres, Europol, Commission</w:t>
      </w:r>
    </w:p>
    <w:p w14:paraId="515C65D8" w14:textId="77777777" w:rsidR="00284885" w:rsidRPr="00EE131B" w:rsidRDefault="00284885" w:rsidP="00284885">
      <w:pPr>
        <w:spacing w:after="0" w:line="252" w:lineRule="auto"/>
        <w:jc w:val="both"/>
        <w:rPr>
          <w:rFonts w:ascii="Times New Roman" w:hAnsi="Times New Roman" w:cs="Times New Roman"/>
          <w:b/>
          <w:bCs/>
          <w:i/>
          <w:iCs/>
          <w:noProof/>
          <w:sz w:val="24"/>
          <w:szCs w:val="24"/>
          <w:lang w:val="fr-BE"/>
        </w:rPr>
      </w:pPr>
    </w:p>
    <w:p w14:paraId="49DA78A5" w14:textId="2D0E2007" w:rsidR="009C6565" w:rsidRPr="00CB4B7C" w:rsidRDefault="009C6565" w:rsidP="009D5C5F">
      <w:pPr>
        <w:pStyle w:val="Subject"/>
        <w:tabs>
          <w:tab w:val="left" w:pos="3948"/>
        </w:tabs>
        <w:spacing w:after="240"/>
        <w:ind w:left="0" w:firstLine="0"/>
        <w:contextualSpacing w:val="0"/>
        <w:jc w:val="both"/>
        <w:rPr>
          <w:b w:val="0"/>
          <w:bCs/>
          <w:noProof/>
        </w:rPr>
      </w:pPr>
      <w:r>
        <w:rPr>
          <w:b w:val="0"/>
          <w:noProof/>
        </w:rPr>
        <w:t xml:space="preserve">Les groupes criminels organisés tirent parti de l’aviation commerciale et de l’aviation privée, ainsi que du transport terrestre et maritime, pour introduire clandestinement des stupéfiants dans l’UE et les faire circuler en empruntant des itinéraires au sein de l’espace Schengen. Il est impératif que les services répressifs, y compris les autorités douanières, soient dotés des outils nécessaires pour détecter et intercepter les flux illicites. Les outils de renseignement sur les déplacements, qui comprennent les données de vol, les dossiers passagers (PNR), la reconnaissance automatique des plaques minéralogiques (ANPR) et les informations anticipées sur les marchandises collectées par les douanes sur tous les moyens de transport commerciaux, revêtent une importance majeure pour contribuer à détecter, à cartographier et à enrayer le trafic de drogue. </w:t>
      </w:r>
    </w:p>
    <w:p w14:paraId="7A0FE056" w14:textId="29CD1443" w:rsidR="00284885" w:rsidRPr="00CB4B7C" w:rsidRDefault="00284885" w:rsidP="009D5C5F">
      <w:pPr>
        <w:pStyle w:val="Subject"/>
        <w:tabs>
          <w:tab w:val="left" w:pos="3948"/>
        </w:tabs>
        <w:spacing w:after="240"/>
        <w:ind w:left="0" w:firstLine="0"/>
        <w:contextualSpacing w:val="0"/>
        <w:jc w:val="both"/>
        <w:rPr>
          <w:b w:val="0"/>
          <w:noProof/>
        </w:rPr>
      </w:pPr>
      <w:r>
        <w:rPr>
          <w:noProof/>
        </w:rPr>
        <w:t>Lutter contre le trafic s’appuyant sur l’aviation générale:</w:t>
      </w:r>
      <w:r>
        <w:rPr>
          <w:b w:val="0"/>
          <w:noProof/>
        </w:rPr>
        <w:t xml:space="preserve"> les réseaux criminels continuent d’évoluer et de diversifier leurs méthodes de trafic. L’utilisation de petits aéronefs pour des vols non réguliers est devenue une solution de plus en plus attrayante pour la contrebande transfrontalière de stupéfiants. Ces aéronefs, qui volent généralement sans être soumis aux contrôles intensifs appliqués à l’aviation commerciale, offrent aux trafiquants un moyen discret, flexible et peu risqué de transporter des cargaisons de drogue de grande valeur entre l’Europe, l’Afrique du Nord, l’Amérique latine et les Balkans occidentaux. </w:t>
      </w:r>
    </w:p>
    <w:p w14:paraId="7BAF0B55" w14:textId="00A869CE" w:rsidR="00284885" w:rsidRPr="00CB4B7C" w:rsidRDefault="00284885" w:rsidP="009D5C5F">
      <w:pPr>
        <w:pStyle w:val="Subject"/>
        <w:tabs>
          <w:tab w:val="left" w:pos="3948"/>
        </w:tabs>
        <w:spacing w:after="240"/>
        <w:ind w:left="0" w:firstLine="0"/>
        <w:contextualSpacing w:val="0"/>
        <w:jc w:val="both"/>
        <w:rPr>
          <w:b w:val="0"/>
          <w:noProof/>
        </w:rPr>
      </w:pPr>
      <w:r>
        <w:rPr>
          <w:b w:val="0"/>
          <w:noProof/>
        </w:rPr>
        <w:t xml:space="preserve">Pour faire face à cette menace émergente, les autorités compétentes des États membres devraient recevoir, à partir de 2026, des informations de vol fournies par Eurocontrol en ce qui concerne les vols non réguliers. En recoupant le plan de vol standard et les données de suivi avec des indicateurs de risque tels que les changements d’itinéraire de dernière minute, l’utilisation d’aérodromes isolés ou l’opacité quant à la propriété de certains aéronefs, les États membres pourraient, à l’avenir, repérer plus précisément les vols nécessitant un contrôle plus rigoureux. Étant donné qu’Eurocontrol ne reçoit pas de plans de vol pour les aéronefs naviguant selon les règles de vol à vue, les États membres devraient évaluer les possibilités de collecter, de partager et d’analyser de manière systématique, pour ces types de vols également, les informations de vol essentielles. Afin de soutenir la mise en place de tels systèmes, Eurocontrol a accepté de fournir des orientations sur les processus et sur les structures de données. Europol pourrait contribuer à l’élaboration d’indicateurs de risque et faciliter l’analyse et le partage d’informations entre les États membres, conformément à son mandat. </w:t>
      </w:r>
    </w:p>
    <w:bookmarkEnd w:id="5"/>
    <w:p w14:paraId="4EA50A61" w14:textId="10FA3B39" w:rsidR="00284885" w:rsidRPr="00CB4B7C" w:rsidRDefault="00284885" w:rsidP="009D5C5F">
      <w:pPr>
        <w:pStyle w:val="Subject"/>
        <w:tabs>
          <w:tab w:val="left" w:pos="3948"/>
        </w:tabs>
        <w:spacing w:after="240"/>
        <w:ind w:left="0" w:firstLine="0"/>
        <w:contextualSpacing w:val="0"/>
        <w:jc w:val="both"/>
        <w:rPr>
          <w:b w:val="0"/>
          <w:noProof/>
        </w:rPr>
      </w:pPr>
      <w:r>
        <w:rPr>
          <w:noProof/>
        </w:rPr>
        <w:t xml:space="preserve">Analyse des données PNR: </w:t>
      </w:r>
      <w:r>
        <w:rPr>
          <w:b w:val="0"/>
          <w:noProof/>
        </w:rPr>
        <w:t>les réseaux de trafic de drogue font une utilisation de plus en plus sophistiquée des itinéraires internationaux et des intermédiaires. Le cadre actuel relatif aux informations sur les voyages, à savoir les informations préalables sur les passagers (données API) et les données PNR, est indispensable aux efforts déployés par les services répressifs pour lutter contre la grande criminalité organisée et le trafic de drogue. Afin d’exploiter pleinement le potentiel des données PNR conformément à la directive PNR de l’UE</w:t>
      </w:r>
      <w:r>
        <w:rPr>
          <w:b w:val="0"/>
          <w:noProof/>
          <w:vertAlign w:val="superscript"/>
        </w:rPr>
        <w:footnoteReference w:id="7"/>
      </w:r>
      <w:r>
        <w:rPr>
          <w:b w:val="0"/>
          <w:noProof/>
        </w:rPr>
        <w:t>, les unités d’informations passagers des États membres devraient systématiquement recenser, analyser et partager les schémas de déplacement et les profils de risque pertinents dans le contexte du trafic de drogue, en étroite coordination avec Europol et avec son soutien.</w:t>
      </w:r>
    </w:p>
    <w:p w14:paraId="10DCD6C3" w14:textId="2629B777" w:rsidR="00284885" w:rsidRPr="00CB4B7C" w:rsidRDefault="00284885" w:rsidP="009D5C5F">
      <w:pPr>
        <w:pStyle w:val="Subject"/>
        <w:tabs>
          <w:tab w:val="left" w:pos="3948"/>
        </w:tabs>
        <w:spacing w:after="240"/>
        <w:ind w:left="0" w:firstLine="0"/>
        <w:contextualSpacing w:val="0"/>
        <w:jc w:val="both"/>
        <w:rPr>
          <w:b w:val="0"/>
          <w:noProof/>
        </w:rPr>
      </w:pPr>
      <w:r>
        <w:rPr>
          <w:b w:val="0"/>
          <w:noProof/>
        </w:rPr>
        <w:t xml:space="preserve">En outre, la Commission, en collaboration avec les États membres et le secteur des transports, étudie les possibilités de renforcer le cadre relatif aux données API et PNR, qui se limite actuellement au transport aérien commercial. Ce renforcement inclurait l’introduction éventuelle de mesures concernant d’autres modes de transport, tels que le transport maritime, le transport terrestre et les vols privés. Pour ce faire, il sera tenu compte des résultats des études de faisabilité sur le transport maritime et le transport terrestre publiées en 2025 et de l’étude en cours sur les vols privés, qui doit être finalisée en 2026. </w:t>
      </w:r>
    </w:p>
    <w:p w14:paraId="255E8459" w14:textId="658DA97E" w:rsidR="00284885" w:rsidRPr="00CB4B7C" w:rsidRDefault="00284885" w:rsidP="009D5C5F">
      <w:pPr>
        <w:pStyle w:val="Subject"/>
        <w:tabs>
          <w:tab w:val="left" w:pos="3948"/>
        </w:tabs>
        <w:spacing w:after="240"/>
        <w:ind w:left="0" w:firstLine="0"/>
        <w:contextualSpacing w:val="0"/>
        <w:jc w:val="both"/>
        <w:rPr>
          <w:b w:val="0"/>
          <w:noProof/>
        </w:rPr>
      </w:pPr>
      <w:r>
        <w:rPr>
          <w:noProof/>
        </w:rPr>
        <w:t xml:space="preserve">Utilisation efficace des systèmes ANPR: </w:t>
      </w:r>
      <w:r>
        <w:rPr>
          <w:b w:val="0"/>
          <w:noProof/>
        </w:rPr>
        <w:t>lorsque des drogues illicites arrivent sur le territoire européen, les réseaux de trafic de drogue se servent du transport routier dans l’ensemble de l’UE et utilisent des voitures, des camionnettes et des camions pour déplacer rapidement les substances illicites, le plus souvent sans être détectés. Afin de lutter contre cette pratique, les États membres et l’UE évalueront et mettront en œuvre les mesures nécessaires pour veiller à ce que les systèmes ANPR utilisés par les services répressifs et les autorités douanières consultent effectivement le système d’information Schengen. Cela permettra d’améliorer la détection des véhicules signalés pour leurs liens avec le trafic de drogue ou avec d’autres formes graves de criminalité transfrontière.</w:t>
      </w:r>
    </w:p>
    <w:p w14:paraId="6DFF5B95" w14:textId="19B5DBCC" w:rsidR="00284885" w:rsidRPr="00CB4B7C" w:rsidRDefault="4C013E5E" w:rsidP="009D5C5F">
      <w:pPr>
        <w:pStyle w:val="Subject"/>
        <w:tabs>
          <w:tab w:val="left" w:pos="3948"/>
        </w:tabs>
        <w:spacing w:after="240"/>
        <w:ind w:left="0" w:firstLine="0"/>
        <w:contextualSpacing w:val="0"/>
        <w:jc w:val="both"/>
        <w:rPr>
          <w:b w:val="0"/>
          <w:noProof/>
        </w:rPr>
      </w:pPr>
      <w:r>
        <w:rPr>
          <w:b w:val="0"/>
          <w:noProof/>
        </w:rPr>
        <w:t>En outre, les données de localisation pertinentes des systèmes ANPR devraient, le cas échéant, être rendues accessibles pour les enquêtes de suivi. Cela permettra de soutenir les efforts visant à retracer les itinéraires empruntés par les réseaux criminels et à déstabiliser plus efficacement les réseaux de trafiquants, en se concentrant sur les principales plateformes de transport utilisées pour le transport de la drogue, telles que les ports, les terminaux de ferries, les gares de triage et les autoroutes. Enfin, l’UE devrait promouvoir des normes techniques harmonisées ainsi que l’interopérabilité des systèmes afin d’assurer un échange d’informations fluide entre les États membres et les agences de l’UE telles qu’Europol. L’adoption de toutes ces mesures renforcerait considérablement la capacité de l’UE à détecter et à démanteler les opérations de trafic de drogue sur ses routes.</w:t>
      </w:r>
    </w:p>
    <w:p w14:paraId="33EF8204" w14:textId="3FD3162B" w:rsidR="00CC5EC6" w:rsidRPr="00CB4B7C" w:rsidRDefault="00CC5EC6" w:rsidP="009D5C5F">
      <w:pPr>
        <w:pStyle w:val="Subject"/>
        <w:tabs>
          <w:tab w:val="left" w:pos="3948"/>
        </w:tabs>
        <w:spacing w:after="240"/>
        <w:ind w:left="0" w:firstLine="0"/>
        <w:contextualSpacing w:val="0"/>
        <w:jc w:val="both"/>
        <w:rPr>
          <w:b w:val="0"/>
          <w:noProof/>
        </w:rPr>
      </w:pPr>
      <w:r>
        <w:rPr>
          <w:noProof/>
        </w:rPr>
        <w:t>Les informations anticipées sur les marchandises</w:t>
      </w:r>
      <w:r>
        <w:rPr>
          <w:b w:val="0"/>
          <w:noProof/>
        </w:rPr>
        <w:t xml:space="preserve"> collectées par les douanes au moyen du système de contrôle des importations 2 (ICS2) fournissent des données détaillées sur toutes les marchandises entrant dans l’UE avant leur arrivée aux frontières extérieures. Les autorités douanières effectuent une analyse des risques conjointe en temps réel et ciblent les envois à risque. Si l’ICS2 est déjà opérationnel pour le transport aérien et maritime, il sera pleinement déployé avec l’intégration du transport routier et ferroviaire d’ici la mi-2026.</w:t>
      </w:r>
    </w:p>
    <w:p w14:paraId="1EFEF987" w14:textId="28344626" w:rsidR="00244D29" w:rsidRPr="00CB4B7C" w:rsidRDefault="27B4BCAB" w:rsidP="3329D114">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Action nº 2: étendre les activités du MAOC-N</w:t>
      </w:r>
    </w:p>
    <w:p w14:paraId="36B764A5" w14:textId="77777777" w:rsidR="00244D29" w:rsidRPr="00EE131B" w:rsidRDefault="00244D29" w:rsidP="00244D29">
      <w:pPr>
        <w:spacing w:after="0" w:line="252" w:lineRule="auto"/>
        <w:jc w:val="both"/>
        <w:rPr>
          <w:rFonts w:ascii="Times New Roman" w:hAnsi="Times New Roman" w:cs="Times New Roman"/>
          <w:b/>
          <w:i/>
          <w:noProof/>
          <w:sz w:val="24"/>
          <w:lang w:val="fr-BE"/>
        </w:rPr>
      </w:pPr>
    </w:p>
    <w:p w14:paraId="439528CA" w14:textId="39187C7A" w:rsidR="00300144" w:rsidRPr="00CB4B7C" w:rsidRDefault="00244D29" w:rsidP="12B5F675">
      <w:pPr>
        <w:spacing w:after="0" w:line="252" w:lineRule="auto"/>
        <w:jc w:val="both"/>
        <w:rPr>
          <w:rFonts w:ascii="Times New Roman" w:hAnsi="Times New Roman" w:cs="Times New Roman"/>
          <w:i/>
          <w:iCs/>
          <w:noProof/>
          <w:sz w:val="24"/>
          <w:szCs w:val="24"/>
        </w:rPr>
      </w:pPr>
      <w:r>
        <w:rPr>
          <w:rFonts w:ascii="Times New Roman" w:hAnsi="Times New Roman"/>
          <w:i/>
          <w:noProof/>
          <w:sz w:val="24"/>
        </w:rPr>
        <w:t xml:space="preserve">Acteurs principaux: MAOC-N, Commission, Europol, États membres </w:t>
      </w:r>
    </w:p>
    <w:p w14:paraId="54299430" w14:textId="77777777" w:rsidR="00E47F08" w:rsidRPr="00CB4B7C" w:rsidRDefault="00E47F08" w:rsidP="00E47F08">
      <w:pPr>
        <w:pStyle w:val="Subject"/>
        <w:tabs>
          <w:tab w:val="left" w:pos="3948"/>
        </w:tabs>
        <w:ind w:left="0" w:firstLine="0"/>
        <w:jc w:val="both"/>
        <w:rPr>
          <w:b w:val="0"/>
          <w:noProof/>
        </w:rPr>
      </w:pPr>
    </w:p>
    <w:p w14:paraId="72B00DD0" w14:textId="517A6778" w:rsidR="00DE0B4B" w:rsidRPr="00CB4B7C" w:rsidRDefault="003B440C" w:rsidP="009D5C5F">
      <w:pPr>
        <w:pStyle w:val="Subject"/>
        <w:tabs>
          <w:tab w:val="left" w:pos="3948"/>
        </w:tabs>
        <w:spacing w:after="240"/>
        <w:ind w:left="0" w:firstLine="0"/>
        <w:contextualSpacing w:val="0"/>
        <w:jc w:val="both"/>
        <w:rPr>
          <w:b w:val="0"/>
          <w:noProof/>
        </w:rPr>
      </w:pPr>
      <w:r>
        <w:rPr>
          <w:b w:val="0"/>
          <w:noProof/>
        </w:rPr>
        <w:t xml:space="preserve">Le </w:t>
      </w:r>
      <w:r>
        <w:rPr>
          <w:b w:val="0"/>
          <w:noProof/>
          <w:color w:val="000000" w:themeColor="text1"/>
        </w:rPr>
        <w:t>Centre d’opération et d’analyse maritime de lutte contre le trafic de drogue (</w:t>
      </w:r>
      <w:r>
        <w:rPr>
          <w:b w:val="0"/>
          <w:noProof/>
        </w:rPr>
        <w:t>MAOC-N) constitue depuis de nombreuses années une plateforme de coordination internationale unique et très efficace consacrée à la lutte contre le trafic de drogue par voie maritime. Le MAOC-N réunit des officiers de liaison des services répressifs et des autorités douanières, militaires et maritimes des États membres de l’UE participants</w:t>
      </w:r>
      <w:r>
        <w:rPr>
          <w:rStyle w:val="FootnoteReference0"/>
          <w:b w:val="0"/>
          <w:noProof/>
        </w:rPr>
        <w:footnoteReference w:id="8"/>
      </w:r>
      <w:r>
        <w:rPr>
          <w:b w:val="0"/>
          <w:noProof/>
        </w:rPr>
        <w:t xml:space="preserve">, du Royaume-Uni ainsi que des partenaires ayant le statut d’observateur, tels que les États-Unis. Sa principale mission est de contribuer à détecter, intercepter et perturber les envois de drogue à grande échelle, et notamment ceux qui transitent par voie maritime et, de plus en plus fréquemment, via l’aviation générale. Sa force réside dans sa coordination opérationnelle et dans sa capacité à partager le renseignement en temps réel ainsi qu’à jeter des ponts entre les territoires et les efforts d’enquête nationaux. Le MAOC-N est principalement actif dans l’océan Atlantique, et notamment sur les routes transatlantiques à destination de l’Europe et au large des côtes d’Afrique de l’Ouest, une région qui se transforme progressivement en plaque tournante pour le transbordement de drogue vers l’Europe. En 2024, le MAOC-N a obtenu des résultats opérationnels notables en aidant ses partenaires internationaux à réaliser des saisies record de drogue en mer (plus de 70 tonnes de cocaïne au total) dans le cadre de multiples interceptions très médiatisées.   </w:t>
      </w:r>
    </w:p>
    <w:p w14:paraId="089CDF70" w14:textId="282B0324" w:rsidR="002A2587" w:rsidRPr="00CB4B7C" w:rsidRDefault="5E2A4AFF" w:rsidP="009D5C5F">
      <w:pPr>
        <w:pStyle w:val="Subject"/>
        <w:tabs>
          <w:tab w:val="left" w:pos="3948"/>
        </w:tabs>
        <w:spacing w:after="240"/>
        <w:ind w:left="0" w:firstLine="0"/>
        <w:contextualSpacing w:val="0"/>
        <w:jc w:val="both"/>
        <w:rPr>
          <w:b w:val="0"/>
          <w:noProof/>
        </w:rPr>
      </w:pPr>
      <w:r>
        <w:rPr>
          <w:b w:val="0"/>
          <w:noProof/>
        </w:rPr>
        <w:t>Compte tenu de l’évolution du trafic international de drogue, et notamment de l’utilisation croissante des routes maritimes et de l’aviation générale, la Commission intensifiera sa collaboration avec le MAOC-N et les États membres. La Commission souhaite étudier la possibilité d’approfondir les activités opérationnelles actuelles du MAOC-N, voire de les étendre, en mettant l’accent sur le renforcement de la présence opérationnelle du MAOC-N dans la région méditerranéenne et en encourageant une participation ou une adhésion plus importante des États membres.</w:t>
      </w:r>
    </w:p>
    <w:p w14:paraId="4F188C16" w14:textId="152435B3" w:rsidR="00C65CB0" w:rsidRPr="00CB4B7C" w:rsidRDefault="00244D29" w:rsidP="009D5C5F">
      <w:pPr>
        <w:pStyle w:val="Subject"/>
        <w:tabs>
          <w:tab w:val="left" w:pos="3948"/>
        </w:tabs>
        <w:spacing w:after="240"/>
        <w:ind w:left="0" w:firstLine="0"/>
        <w:contextualSpacing w:val="0"/>
        <w:jc w:val="both"/>
        <w:rPr>
          <w:b w:val="0"/>
          <w:noProof/>
        </w:rPr>
      </w:pPr>
      <w:r>
        <w:rPr>
          <w:b w:val="0"/>
          <w:noProof/>
        </w:rPr>
        <w:t xml:space="preserve">L’augmentation éventuelle du nombre de membres du MAOC-N permettrait de renforcer la couverture géographique et les capacités de renseignement de ce dernier, en particulier dans le bassin méditerranéen, qui se présente comme une plaque tournante essentielle pour le trafic de diverses substances illicites, telles que la résine de cannabis, la cocaïne et les drogues de synthèse. </w:t>
      </w:r>
    </w:p>
    <w:p w14:paraId="6EAFDB75" w14:textId="3BE49E47" w:rsidR="00244D29" w:rsidRPr="00CB4B7C" w:rsidRDefault="27B4BCAB" w:rsidP="009D5C5F">
      <w:pPr>
        <w:pStyle w:val="Subject"/>
        <w:tabs>
          <w:tab w:val="left" w:pos="3948"/>
        </w:tabs>
        <w:spacing w:after="240"/>
        <w:ind w:left="0" w:firstLine="0"/>
        <w:contextualSpacing w:val="0"/>
        <w:jc w:val="both"/>
        <w:rPr>
          <w:b w:val="0"/>
          <w:noProof/>
        </w:rPr>
      </w:pPr>
      <w:r>
        <w:rPr>
          <w:b w:val="0"/>
          <w:noProof/>
        </w:rPr>
        <w:t xml:space="preserve">Un des aspects essentiels de cette stratégie est le renforcement de la coopération entre le MAOC-N, Europol et Frontex. Le MAOC-N met l’accent sur la coordination opérationnelle en mer et dans les airs, Frontex contribue à la gestion des frontières et Europol apporte un soutien aux enquêtes pénales dans l’ensemble des États membres au moyen d’actions telles que le dépistage d’avoirs ou le fait de relier les saisies de drogue aux réseaux de criminalité organisée à plus grande échelle. La proposition visant à mettre en place une équipe d’action maritime conjointe pour la lutte contre le trafic de drogue (J-MCAT) au sein d’Europol, associant le MAOC-N, Frontex et les États membres, est à l’étude. Cette équipe permettrait une coordination en temps réel des opérations tactiques et des saisies de drogue, ce qui faciliterait l’avancée des enquêtes globales à long terme sur les réseaux criminels.  </w:t>
      </w:r>
    </w:p>
    <w:p w14:paraId="6C9EF0FA" w14:textId="5CA6AE62" w:rsidR="00284885" w:rsidRPr="00CB4B7C" w:rsidRDefault="00284885" w:rsidP="00284885">
      <w:pPr>
        <w:pStyle w:val="Subject"/>
        <w:spacing w:after="0" w:line="252" w:lineRule="auto"/>
        <w:jc w:val="both"/>
        <w:rPr>
          <w:bCs/>
          <w:i/>
          <w:iCs/>
          <w:noProof/>
          <w:szCs w:val="24"/>
        </w:rPr>
      </w:pPr>
      <w:r>
        <w:rPr>
          <w:i/>
          <w:noProof/>
        </w:rPr>
        <w:t xml:space="preserve">Action nº 3: utiliser les capacités de Frontex pour aider les États membres à détecter le trafic de drogue aux frontières extérieures de l’UE et renforcer la coopération avec Europol et d’autres organismes compétents   </w:t>
      </w:r>
    </w:p>
    <w:p w14:paraId="288FA560" w14:textId="77777777" w:rsidR="00284885" w:rsidRPr="00EE131B" w:rsidRDefault="00284885" w:rsidP="00284885">
      <w:pPr>
        <w:spacing w:after="0" w:line="252" w:lineRule="auto"/>
        <w:jc w:val="both"/>
        <w:rPr>
          <w:rFonts w:ascii="Times New Roman" w:hAnsi="Times New Roman" w:cs="Times New Roman"/>
          <w:b/>
          <w:bCs/>
          <w:i/>
          <w:iCs/>
          <w:noProof/>
          <w:sz w:val="24"/>
          <w:szCs w:val="24"/>
          <w:lang w:val="fr-BE"/>
        </w:rPr>
      </w:pPr>
    </w:p>
    <w:p w14:paraId="29C825C6" w14:textId="39AEB7E6" w:rsidR="00284885" w:rsidRPr="00CB4B7C" w:rsidRDefault="00284885" w:rsidP="00284885">
      <w:pPr>
        <w:spacing w:after="0" w:line="252" w:lineRule="auto"/>
        <w:jc w:val="both"/>
        <w:rPr>
          <w:rFonts w:ascii="Times New Roman" w:hAnsi="Times New Roman" w:cs="Times New Roman"/>
          <w:i/>
          <w:iCs/>
          <w:noProof/>
          <w:sz w:val="24"/>
          <w:szCs w:val="24"/>
        </w:rPr>
      </w:pPr>
      <w:r>
        <w:rPr>
          <w:rFonts w:ascii="Times New Roman" w:hAnsi="Times New Roman"/>
          <w:i/>
          <w:noProof/>
          <w:sz w:val="24"/>
        </w:rPr>
        <w:t>Acteurs principaux: Frontex, AESM, CSUE, Europol, MAOC-N, États membres</w:t>
      </w:r>
    </w:p>
    <w:p w14:paraId="7E5DE4DB" w14:textId="77777777" w:rsidR="00284885" w:rsidRPr="00EE131B" w:rsidRDefault="00284885" w:rsidP="00284885">
      <w:pPr>
        <w:spacing w:after="0" w:line="252" w:lineRule="auto"/>
        <w:jc w:val="both"/>
        <w:rPr>
          <w:rFonts w:ascii="Times New Roman" w:hAnsi="Times New Roman" w:cs="Times New Roman"/>
          <w:i/>
          <w:iCs/>
          <w:noProof/>
          <w:sz w:val="24"/>
          <w:szCs w:val="24"/>
          <w:lang w:val="fr-BE"/>
        </w:rPr>
      </w:pPr>
    </w:p>
    <w:p w14:paraId="6670721C" w14:textId="0F3EF744" w:rsidR="00194028" w:rsidRPr="00CB4B7C" w:rsidRDefault="00194028" w:rsidP="00194028">
      <w:pPr>
        <w:pStyle w:val="Subject"/>
        <w:tabs>
          <w:tab w:val="left" w:pos="3948"/>
        </w:tabs>
        <w:spacing w:after="240" w:line="252" w:lineRule="auto"/>
        <w:ind w:left="0" w:firstLine="0"/>
        <w:contextualSpacing w:val="0"/>
        <w:jc w:val="both"/>
        <w:rPr>
          <w:b w:val="0"/>
          <w:noProof/>
        </w:rPr>
      </w:pPr>
      <w:r>
        <w:rPr>
          <w:b w:val="0"/>
          <w:noProof/>
        </w:rPr>
        <w:t>En tirant parti de ses capacités de surveillance et de celles de ses partenaires, y compris les moyens aériens et l’imagerie satellitaire à haute résolution, l’Agence européenne de garde-frontières et de garde-côtes (Frontex) peut surveiller et détecter plus efficacement le trafic de drogue aux frontières extérieures de l’UE. L’Agence devrait mettre davantage l’accent sur la lutte contre cette menace, en intégrant le trafic de drogue dans ses évaluations de la disponibilité des équipements techniques, des systèmes, des capacités, des ressources, des infrastructures et du personnel formé des États membres afin d’assurer un contrôle efficace aux frontières.</w:t>
      </w:r>
    </w:p>
    <w:p w14:paraId="7321B425" w14:textId="6AC27340" w:rsidR="00284885" w:rsidRPr="00CB4B7C" w:rsidRDefault="00AB0C3B" w:rsidP="009D5C5F">
      <w:pPr>
        <w:pStyle w:val="Subject"/>
        <w:tabs>
          <w:tab w:val="left" w:pos="3948"/>
        </w:tabs>
        <w:spacing w:after="240" w:line="252" w:lineRule="auto"/>
        <w:ind w:left="0" w:firstLine="0"/>
        <w:contextualSpacing w:val="0"/>
        <w:jc w:val="both"/>
        <w:rPr>
          <w:b w:val="0"/>
          <w:noProof/>
        </w:rPr>
      </w:pPr>
      <w:r>
        <w:rPr>
          <w:b w:val="0"/>
          <w:noProof/>
        </w:rPr>
        <w:t>Pour intensifier ses efforts, Frontex devrait renforcer la coopération avec l’Agence européenne pour la sécurité maritime (AESM) et le Centre satellitaire de l’Union européenne (CSUE) dans le cadre de l’actuel service Copernicus de sécurité et du futur service gouvernemental d’observation de la Terre, en intégrant des données et des analyses provenant de ces partenaires aux fins d’une appréciation complète de la situation. Frontex et la Commission devraient poursuivre le développement des synergies actuelles et étudier la possibilité de nouvelles synergies avec le programme pour une connectivité sécurisée et le programme spatial de l’Union par l’intermédiaire des services gouvernementaux et de sécurité existants et à venir dans les domaines de la communication sécurisée, du positionnement, de la navigation et de la synchronisation résilients ainsi que de l’observation de la Terre. En outre, la mise en place de nouveaux arrangements de travail avec Europol et le MAOC-N facilitera l’amélioration de l’échange d’informations et de la coordination stratégique.</w:t>
      </w:r>
    </w:p>
    <w:p w14:paraId="0C7D85FA" w14:textId="01E8AFEB" w:rsidR="00795CFE" w:rsidRPr="00CB4B7C" w:rsidRDefault="005F1C2D" w:rsidP="00EA661F">
      <w:pPr>
        <w:pStyle w:val="Subject"/>
        <w:tabs>
          <w:tab w:val="left" w:pos="3948"/>
        </w:tabs>
        <w:spacing w:after="240" w:line="252" w:lineRule="auto"/>
        <w:ind w:left="0" w:firstLine="0"/>
        <w:contextualSpacing w:val="0"/>
        <w:jc w:val="both"/>
        <w:rPr>
          <w:b w:val="0"/>
          <w:noProof/>
        </w:rPr>
      </w:pPr>
      <w:r>
        <w:rPr>
          <w:b w:val="0"/>
          <w:noProof/>
        </w:rPr>
        <w:t>Les capacités de Frontex comprennent un ensemble croissant d’outils de surveillance et de contrôle, permettant un contrôle renforcé des frontières extérieures de l’UE et des zones situées en amont des frontières. En combinant les données de surveillance avec les informations des États membres, Frontex devrait mener des activités opérationnelles ciblées dans le cadre de la gestion des frontières afin d’aider les pays hôtes et les autres parties prenantes à lutter contre le trafic de drogue. Il sera envisagé de créer des synergies avec des initiatives fructueuses existantes de coopération avec des pays tiers en matière de gestion des frontières, y compris le réseau Punto Atenas avec l’Amérique latine. En outre, les capacités développées conformément à la communication «Préserver la paix — Feuille de route pour la préparation de la défense», notamment dans le cadre de l’initiative de défense antidrones européenne, peuvent être adaptées à un double usage afin, d’une part, de renforcer la protection des frontières et, d’autre part, d’améliorer la détection du trafic de drogue.</w:t>
      </w:r>
    </w:p>
    <w:p w14:paraId="313A828D" w14:textId="2EBE3CF0" w:rsidR="00B22645" w:rsidRPr="00CB4B7C" w:rsidRDefault="00B22645" w:rsidP="00194028">
      <w:pPr>
        <w:pStyle w:val="Subject"/>
        <w:tabs>
          <w:tab w:val="left" w:pos="3948"/>
        </w:tabs>
        <w:spacing w:after="240" w:line="252" w:lineRule="auto"/>
        <w:ind w:left="0" w:firstLine="0"/>
        <w:contextualSpacing w:val="0"/>
        <w:jc w:val="both"/>
        <w:rPr>
          <w:b w:val="0"/>
          <w:noProof/>
        </w:rPr>
      </w:pPr>
      <w:r>
        <w:rPr>
          <w:b w:val="0"/>
          <w:noProof/>
        </w:rPr>
        <w:t>Un nouvel arrangement de travail est en cours de négociation entre Frontex et Europol, et un arrangement de travail de Frontex sera négocié avec le MAOC-N</w:t>
      </w:r>
      <w:r>
        <w:rPr>
          <w:b w:val="0"/>
          <w:noProof/>
          <w:vertAlign w:val="superscript"/>
        </w:rPr>
        <w:footnoteReference w:id="9"/>
      </w:r>
      <w:r>
        <w:rPr>
          <w:b w:val="0"/>
          <w:noProof/>
        </w:rPr>
        <w:t>. Ces arrangements visent à renforcer la coordination stratégique et à faciliter un meilleur échange d’informations, ce qui permettra d’améliorer la coopération en matière de lutte contre le trafic de drogue.</w:t>
      </w:r>
    </w:p>
    <w:p w14:paraId="749538B5" w14:textId="0085085A" w:rsidR="00284885" w:rsidRPr="00CB4B7C" w:rsidRDefault="00284885" w:rsidP="009D5C5F">
      <w:pPr>
        <w:pStyle w:val="Subject"/>
        <w:tabs>
          <w:tab w:val="left" w:pos="3948"/>
        </w:tabs>
        <w:spacing w:after="240" w:line="252" w:lineRule="auto"/>
        <w:ind w:left="0" w:firstLine="0"/>
        <w:contextualSpacing w:val="0"/>
        <w:jc w:val="both"/>
        <w:rPr>
          <w:b w:val="0"/>
          <w:noProof/>
        </w:rPr>
      </w:pPr>
      <w:r>
        <w:rPr>
          <w:b w:val="0"/>
          <w:noProof/>
        </w:rPr>
        <w:t>L’Agence devrait renforcer son utilisation des services de fusion d’Eurosur pour recueillir des données maritimes auprès de l’AESM, y compris des informations provenant de l’environnement commun de partage de l’information (CISE), et du CSUE. Les informations recueillies devraient être rapidement transmises aux autorités nationales en vue d’une action opérationnelle efficace et d’une interception. Dans sa planification annuelle, Frontex doit explicitement tenir compte des menaces liées au trafic de drogue, en veillant au lancement sans heurts d’opérations conjointes en accord avec les États membres hôtes.</w:t>
      </w:r>
    </w:p>
    <w:p w14:paraId="57C9138C" w14:textId="0A9E0D76" w:rsidR="003F27B4" w:rsidRPr="00CB4B7C" w:rsidRDefault="003F27B4" w:rsidP="003F27B4">
      <w:pPr>
        <w:spacing w:after="0" w:line="252" w:lineRule="auto"/>
        <w:jc w:val="both"/>
        <w:rPr>
          <w:rFonts w:ascii="Times New Roman" w:hAnsi="Times New Roman" w:cs="Times New Roman"/>
          <w:b/>
          <w:i/>
          <w:noProof/>
          <w:sz w:val="24"/>
        </w:rPr>
      </w:pPr>
      <w:r>
        <w:rPr>
          <w:rFonts w:ascii="Times New Roman" w:hAnsi="Times New Roman"/>
          <w:b/>
          <w:i/>
          <w:noProof/>
          <w:sz w:val="24"/>
        </w:rPr>
        <w:t>Action nº 4: renforcer les partenariats civilo-militaires pour lutter contre le trafic de drogue par voie maritime</w:t>
      </w:r>
    </w:p>
    <w:p w14:paraId="57FFCBF5" w14:textId="77777777" w:rsidR="003F27B4" w:rsidRPr="00EE131B" w:rsidRDefault="003F27B4" w:rsidP="003F27B4">
      <w:pPr>
        <w:pStyle w:val="ListParagraph"/>
        <w:spacing w:after="0" w:line="252" w:lineRule="auto"/>
        <w:ind w:left="360"/>
        <w:jc w:val="both"/>
        <w:rPr>
          <w:rFonts w:ascii="Times New Roman" w:hAnsi="Times New Roman" w:cs="Times New Roman"/>
          <w:i/>
          <w:noProof/>
          <w:sz w:val="24"/>
          <w:lang w:val="fr-BE"/>
        </w:rPr>
      </w:pPr>
    </w:p>
    <w:p w14:paraId="0B4057A4" w14:textId="2E69177C" w:rsidR="003F27B4" w:rsidRPr="00CB4B7C" w:rsidRDefault="003F27B4"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Acteurs principaux: Commission, haut représentant, assisté par le SEAE, États membres</w:t>
      </w:r>
    </w:p>
    <w:p w14:paraId="3E6ED5B1" w14:textId="7CDC0924" w:rsidR="003F27B4" w:rsidRPr="00CB4B7C" w:rsidRDefault="003F27B4" w:rsidP="00B22645">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Des enquêtes récentes menées par les services répressifs montrent que les réseaux transnationaux de trafic de drogue exploitent activement les eaux internationales et des routes maritimes complexes pour acheminer des volumes importants de substances illicites vers l’UE. Ces routes traversent des régions qui constituent des zones de transit cruciales pour la cocaïne et d’autres stupéfiants destinés à l’Europe, telles que l’Afrique de l’Ouest et, plus largement, l’Atlantique. Aussi est-il essentiel d’améliorer les capacités d’interception et de surveillance de l’UE le long de ces couloirs de trafic. Lorsque des navires impliqués dans le trafic de drogue sont repérés, notamment à l’aide de moyens spatiaux, les États membres de l’UE disposant des capacités militaires appropriées pourraient jouer un rôle important en matière de soutien aux efforts d’interception, conformément aux mandats légaux et aux cadres opérationnels. Il s’agit en particulier de transmettre des informations essentielles aux services répressifs et aux autorités douanières en vue d’une action. </w:t>
      </w:r>
    </w:p>
    <w:p w14:paraId="5C0A950A" w14:textId="35067EDA" w:rsidR="00003160" w:rsidRPr="00A007A1" w:rsidRDefault="00F91A66" w:rsidP="00B22645">
      <w:pPr>
        <w:spacing w:after="240" w:line="252" w:lineRule="auto"/>
        <w:jc w:val="both"/>
        <w:rPr>
          <w:rFonts w:ascii="Times New Roman" w:eastAsia="Times New Roman" w:hAnsi="Times New Roman" w:cs="Times New Roman"/>
          <w:noProof/>
          <w:sz w:val="24"/>
          <w:szCs w:val="24"/>
        </w:rPr>
      </w:pPr>
      <w:r>
        <w:rPr>
          <w:rFonts w:ascii="Times New Roman" w:hAnsi="Times New Roman"/>
          <w:noProof/>
          <w:sz w:val="24"/>
        </w:rPr>
        <w:t>L’UE s’emploie activement à lutter contre le trafic de drogue au moyen de diverses initiatives dans le cadre de sa politique de sécurité et de défense commune. L’une d’entre elles, l’opération ATALANTA de l’EUNAVFOR dans l’océan Indien, comprend un mandat couvrant la lutte contre le trafic de drogue. L’EUCAP Somalia a pour mandat de renforcer la gouvernance et les capacités maritimes, dans le but de créer des institutions et des services durables de contrôle de l’application du droit maritime, y compris les garde-côtes. Dans le golfe de Guinée, l’initiative de l’Union européenne en matière de sécurité et de défense apporte un soutien dans ce domaine à des pays d’Afrique de l’Ouest tels que la Côte d’Ivoire, le Ghana, le Togo et le Bénin. Cette initiative vise à renforcer les capacités de ces pays à lutter contre les groupes terroristes et à améliorer la gouvernance en déployant des experts militaires et civils et des équipes mobiles de formation à la demande des nations hôtes.</w:t>
      </w:r>
    </w:p>
    <w:p w14:paraId="69244C60" w14:textId="021E74F6" w:rsidR="00003160" w:rsidRPr="00CB4B7C" w:rsidRDefault="00003160" w:rsidP="000031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Si ces pays d’Afrique de l’Ouest sollicitent l’aide de l’UE pour renforcer leurs services répressifs chargés de lutter contre le trafic de drogue, la Commission et le haut représentant, chacun dans les limites de ses compétences, accorderont la priorité à cette demande, en proposant éventuellement aux États membres de l’UE d’apporter un soutien. En outre, les États membres peuvent utiliser l’outil que constituent les présences maritimes coordonnées dans le golfe de Guinée pour renforcer les capacités de sécurité des États côtiers et améliorer ainsi les efforts d’interception. La possibilité de mettre en place des initiatives similaires dans l’hémisphère occidental sera étudiée.</w:t>
      </w:r>
    </w:p>
    <w:p w14:paraId="7C3CE05A" w14:textId="5FD5F097" w:rsidR="00003160" w:rsidRPr="00CB4B7C" w:rsidRDefault="00003160" w:rsidP="000031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Il est essentiel de maximiser l’utilisation de l’environnement commun de partage de l’information pour faciliter un partage efficace des informations entre les parties prenantes militaires et civiles de l’UE. Des projets financés par l’UE, tels que SEACOP dans le golfe de Guinée et en Amérique latine et CRIMARIO dans la région indo-pacifique et en Amérique latine, apportent une contribution supplémentaire en améliorant l’appréciation de la situation maritime, la coordination interservices et le partage d’informations au niveau régional.</w:t>
      </w:r>
    </w:p>
    <w:p w14:paraId="0ED6D8F1" w14:textId="38D45172" w:rsidR="00893B3C" w:rsidRPr="00CB4B7C" w:rsidRDefault="00154E5A"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facilité européenne pour la paix (FEP) complète ces efforts en fournissant des équipements, des formations et une expertise en vue de renforcer les capacités des partenaires en matière de sûreté maritime. Le renforcement de ces initiatives soutient l’approche globale de l’UE en matière de lutte contre le trafic de drogue par voie maritime.</w:t>
      </w:r>
    </w:p>
    <w:p w14:paraId="634D57C9" w14:textId="1A265CBF" w:rsidR="00893B3C" w:rsidRPr="00A007A1" w:rsidRDefault="7A82BEE8" w:rsidP="00B22645">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Ces actions visent collectivement à intensifier les efforts de lutte contre le trafic de drogue en mer, tout en maintenant l’engagement de l’UE à promouvoir la liberté de navigation et la sûreté des voies maritimes conformément au droit international, en particulier la convention des Nations unies sur le droit de la mer (CNUDM) et la convention des Nations unies contre le trafic illicite de stupéfiants et de substances psychotropes.</w:t>
      </w:r>
    </w:p>
    <w:p w14:paraId="248C2568" w14:textId="68D04D19" w:rsidR="005F4F55" w:rsidRPr="00CB4B7C" w:rsidRDefault="005F4F55" w:rsidP="005F4F55">
      <w:pPr>
        <w:spacing w:after="240" w:line="240" w:lineRule="auto"/>
        <w:jc w:val="both"/>
        <w:rPr>
          <w:rFonts w:ascii="Times New Roman" w:eastAsia="Times New Roman" w:hAnsi="Times New Roman" w:cs="Times New Roman"/>
          <w:noProof/>
          <w:sz w:val="24"/>
          <w:szCs w:val="24"/>
        </w:rPr>
      </w:pPr>
      <w:bookmarkStart w:id="6" w:name="_Hlk215216906"/>
      <w:r>
        <w:rPr>
          <w:rFonts w:ascii="Times New Roman" w:hAnsi="Times New Roman"/>
          <w:noProof/>
          <w:sz w:val="24"/>
        </w:rPr>
        <w:t xml:space="preserve">D’une manière générale, les missions PSDC civiles sur le terrain œuvrent au renforcement des capacités des pays hôtes. Dans certains cas, elles sont chargées de renforcer le lien entre sécurité intérieure et extérieure en améliorant la coordination et la coopération entre les acteurs civils de la PSDC et de la JAI dans les pays tiers, lorsque cela se justifie, et dans le cadre de leurs mandats et compétences respectifs. La lutte contre le trafic de drogue par voie maritime devrait constituer un élément important du lien entre sécurité intérieure et extérieure. </w:t>
      </w:r>
    </w:p>
    <w:bookmarkEnd w:id="6"/>
    <w:p w14:paraId="2AF45708" w14:textId="4374D420" w:rsidR="00E47F08" w:rsidRPr="000A0A97" w:rsidRDefault="0BCC9B33" w:rsidP="00600DAE">
      <w:pPr>
        <w:spacing w:after="0" w:line="252" w:lineRule="auto"/>
        <w:jc w:val="both"/>
        <w:rPr>
          <w:rFonts w:ascii="Times New Roman" w:hAnsi="Times New Roman" w:cs="Times New Roman"/>
          <w:bCs/>
          <w:i/>
          <w:iCs/>
          <w:noProof/>
          <w:szCs w:val="24"/>
        </w:rPr>
      </w:pPr>
      <w:r>
        <w:rPr>
          <w:rFonts w:ascii="Times New Roman" w:hAnsi="Times New Roman"/>
          <w:b/>
          <w:i/>
          <w:noProof/>
          <w:sz w:val="24"/>
        </w:rPr>
        <w:t>Action nº 5: définir des mesures efficaces pour lutter contre l’utilisation abusive de bateaux de type «go fast»</w:t>
      </w:r>
    </w:p>
    <w:p w14:paraId="0F4E32AC" w14:textId="4801F0C9" w:rsidR="3329D114" w:rsidRPr="00EE131B" w:rsidRDefault="3329D114" w:rsidP="3329D114">
      <w:pPr>
        <w:spacing w:after="0" w:line="252" w:lineRule="auto"/>
        <w:jc w:val="both"/>
        <w:rPr>
          <w:rFonts w:ascii="Times New Roman" w:hAnsi="Times New Roman" w:cs="Times New Roman"/>
          <w:i/>
          <w:iCs/>
          <w:noProof/>
          <w:sz w:val="24"/>
          <w:szCs w:val="24"/>
          <w:lang w:val="fr-BE"/>
        </w:rPr>
      </w:pPr>
    </w:p>
    <w:p w14:paraId="0A02625E" w14:textId="3C585114" w:rsidR="00E47F08" w:rsidRPr="00CB4B7C" w:rsidRDefault="00E47F08" w:rsidP="5184F081">
      <w:pPr>
        <w:spacing w:after="0" w:line="252" w:lineRule="auto"/>
        <w:jc w:val="both"/>
        <w:rPr>
          <w:rFonts w:ascii="Times New Roman" w:hAnsi="Times New Roman" w:cs="Times New Roman"/>
          <w:i/>
          <w:iCs/>
          <w:noProof/>
          <w:sz w:val="24"/>
          <w:szCs w:val="24"/>
        </w:rPr>
      </w:pPr>
      <w:r>
        <w:rPr>
          <w:rFonts w:ascii="Times New Roman" w:hAnsi="Times New Roman"/>
          <w:i/>
          <w:noProof/>
          <w:sz w:val="24"/>
        </w:rPr>
        <w:t>Acteurs principaux: États membres, Europol, Commission</w:t>
      </w:r>
    </w:p>
    <w:p w14:paraId="5BAA1D0B" w14:textId="77777777" w:rsidR="00E47F08" w:rsidRPr="00CB4B7C" w:rsidRDefault="00E47F08" w:rsidP="00E47F08">
      <w:pPr>
        <w:pStyle w:val="Subject"/>
        <w:tabs>
          <w:tab w:val="left" w:pos="3948"/>
        </w:tabs>
        <w:ind w:left="0" w:firstLine="0"/>
        <w:jc w:val="both"/>
        <w:rPr>
          <w:b w:val="0"/>
          <w:noProof/>
        </w:rPr>
      </w:pPr>
    </w:p>
    <w:p w14:paraId="2E389DBF" w14:textId="69DDD235" w:rsidR="00B96CA8" w:rsidRPr="00CB4B7C" w:rsidRDefault="00D0483B" w:rsidP="009D5C5F">
      <w:pPr>
        <w:pStyle w:val="Subject"/>
        <w:tabs>
          <w:tab w:val="left" w:pos="3948"/>
        </w:tabs>
        <w:spacing w:after="240"/>
        <w:ind w:left="0" w:firstLine="0"/>
        <w:contextualSpacing w:val="0"/>
        <w:jc w:val="both"/>
        <w:rPr>
          <w:b w:val="0"/>
          <w:noProof/>
        </w:rPr>
      </w:pPr>
      <w:r>
        <w:rPr>
          <w:b w:val="0"/>
          <w:noProof/>
        </w:rPr>
        <w:t xml:space="preserve">Ces dernières années, l’utilisation de bateaux de type «go fast» — bateaux rapides et à haute puissance qui échappent aux services répressifs — est devenue un mode de transport privilégié des drogues illicites sur les routes maritimes, en particulier vers l’Espagne, le Portugal et la France. Face à l’exploitation croissante de ces bateaux rapides par les organisations criminelles, il y a lieu d’adopter une approche européenne globale et coordonnée. </w:t>
      </w:r>
    </w:p>
    <w:p w14:paraId="1B788088" w14:textId="7DD61BAF" w:rsidR="00B96CA8" w:rsidRPr="00CB4B7C" w:rsidRDefault="002409A2" w:rsidP="009D5C5F">
      <w:pPr>
        <w:pStyle w:val="Subject"/>
        <w:tabs>
          <w:tab w:val="left" w:pos="3948"/>
        </w:tabs>
        <w:spacing w:after="240"/>
        <w:ind w:left="0" w:firstLine="0"/>
        <w:contextualSpacing w:val="0"/>
        <w:jc w:val="both"/>
        <w:rPr>
          <w:b w:val="0"/>
          <w:noProof/>
        </w:rPr>
      </w:pPr>
      <w:r>
        <w:rPr>
          <w:b w:val="0"/>
          <w:noProof/>
        </w:rPr>
        <w:t>Certains États membres ont déjà pris des mesures législatives pour durcir leurs règles nationales applicables à ces bateaux rapides. Face à ces réglementations plus strictes, les organisations criminelles s’adaptent en relocalisant leurs activités dans d’autres pays de l’UE où les contrôles sont moins sévères.</w:t>
      </w:r>
      <w:r>
        <w:rPr>
          <w:b w:val="0"/>
          <w:noProof/>
          <w:sz w:val="22"/>
        </w:rPr>
        <w:t xml:space="preserve"> </w:t>
      </w:r>
    </w:p>
    <w:p w14:paraId="565F8BF2" w14:textId="5A7D09EB" w:rsidR="00B96CA8" w:rsidRPr="00F7674B" w:rsidRDefault="00B96CA8" w:rsidP="009D5C5F">
      <w:pPr>
        <w:pStyle w:val="Subject"/>
        <w:tabs>
          <w:tab w:val="left" w:pos="3948"/>
        </w:tabs>
        <w:spacing w:after="240"/>
        <w:ind w:left="0" w:firstLine="0"/>
        <w:contextualSpacing w:val="0"/>
        <w:jc w:val="both"/>
        <w:rPr>
          <w:b w:val="0"/>
          <w:noProof/>
        </w:rPr>
      </w:pPr>
      <w:r>
        <w:rPr>
          <w:b w:val="0"/>
          <w:noProof/>
        </w:rPr>
        <w:t xml:space="preserve">Afin de contribuer à lutter contre ce phénomène, la Commission facilitera l’échange de bonnes pratiques et d’enseignements tirés entre les États membres dans le cadre d’un atelier d’experts spécifique en 2026. Il s’agira notamment d’examiner l’efficacité des législations nationales régissant l’utilisation, l’enregistrement et le contrôle des bateaux de type «go fast» dans l’ensemble de l’UE, ainsi que le déploiement de nouvelles technologies et de méthodes innovantes pour détecter, suivre et intercepter les bateaux suspects en temps réel. Les conclusions seront compilées dans un guide pratique sur l’enregistrement, la traçabilité et le contrôle de ces bateaux rapides. </w:t>
      </w:r>
    </w:p>
    <w:p w14:paraId="2A88A453" w14:textId="63CE1D94" w:rsidR="00B96CA8" w:rsidRPr="00CB4B7C" w:rsidRDefault="00B96CA8" w:rsidP="0034629C">
      <w:pPr>
        <w:pStyle w:val="Subject"/>
        <w:tabs>
          <w:tab w:val="left" w:pos="3948"/>
        </w:tabs>
        <w:ind w:left="0" w:firstLine="0"/>
        <w:jc w:val="both"/>
        <w:rPr>
          <w:b w:val="0"/>
          <w:bCs/>
          <w:noProof/>
        </w:rPr>
      </w:pPr>
      <w:r>
        <w:rPr>
          <w:b w:val="0"/>
          <w:noProof/>
        </w:rPr>
        <w:t>Parallèlement, la Commission engagera des dialogues structurés avec les constructeurs de moteurs hors-bord. Étant donné que les trafiquants utilisent souvent des moteurs capables d’atteindre des vitesses extrêmement élevées, les partenariats avec l’industrie devraient promouvoir une distribution responsable et la traçabilité des équipements à haute puissance. En outre, l’intégration de technologies intelligentes s’appuyant sur les systèmes mondiaux de navigation par satellite ainsi que de systèmes de surveillance moteur peut renforcer les efforts de surveillance et d’interception. Ces capacités pourraient conférer aux autorités répressives de nouveaux moyens de rendre inutilisables les bateaux de type «go fast» servant à des activités criminelles ou d’en restreindre la gamme fonctionnelle en toute sécurité.</w:t>
      </w:r>
    </w:p>
    <w:p w14:paraId="44EB316D" w14:textId="39E7B03A" w:rsidR="0041428D" w:rsidRPr="00CB4B7C" w:rsidRDefault="0041428D" w:rsidP="0041428D">
      <w:pPr>
        <w:spacing w:after="0" w:line="252" w:lineRule="auto"/>
        <w:jc w:val="both"/>
        <w:rPr>
          <w:rFonts w:ascii="Times New Roman" w:hAnsi="Times New Roman" w:cs="Times New Roman"/>
          <w:b/>
          <w:i/>
          <w:noProof/>
          <w:sz w:val="24"/>
        </w:rPr>
      </w:pPr>
      <w:r>
        <w:rPr>
          <w:rFonts w:ascii="Times New Roman" w:hAnsi="Times New Roman"/>
          <w:b/>
          <w:i/>
          <w:noProof/>
          <w:sz w:val="24"/>
        </w:rPr>
        <w:t xml:space="preserve">Action nº 6: mettre en place une coopération public-privé pour enrayer le trafic de drogue reposant sur les services postaux et de livraison de colis </w:t>
      </w:r>
    </w:p>
    <w:p w14:paraId="0DD40A87" w14:textId="77777777" w:rsidR="0041428D" w:rsidRPr="00EE131B" w:rsidRDefault="0041428D" w:rsidP="0041428D">
      <w:pPr>
        <w:pStyle w:val="ListParagraph"/>
        <w:spacing w:after="0" w:line="252" w:lineRule="auto"/>
        <w:ind w:left="360"/>
        <w:jc w:val="both"/>
        <w:rPr>
          <w:rFonts w:ascii="Times New Roman" w:hAnsi="Times New Roman" w:cs="Times New Roman"/>
          <w:i/>
          <w:noProof/>
          <w:sz w:val="24"/>
          <w:lang w:val="fr-BE"/>
        </w:rPr>
      </w:pPr>
    </w:p>
    <w:p w14:paraId="1AA48E0C" w14:textId="7BA6FA85" w:rsidR="0041428D" w:rsidRPr="00CB4B7C" w:rsidRDefault="0041428D"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 xml:space="preserve">Acteurs principaux: États membres, Europol, Commission </w:t>
      </w:r>
    </w:p>
    <w:p w14:paraId="1493A341" w14:textId="5535F7D5" w:rsidR="00706C12" w:rsidRPr="00CB4B7C" w:rsidRDefault="5EC32960" w:rsidP="009D5C5F">
      <w:pPr>
        <w:pStyle w:val="Subject"/>
        <w:tabs>
          <w:tab w:val="left" w:pos="3948"/>
        </w:tabs>
        <w:spacing w:after="240"/>
        <w:ind w:left="0" w:firstLine="0"/>
        <w:contextualSpacing w:val="0"/>
        <w:jc w:val="both"/>
        <w:rPr>
          <w:b w:val="0"/>
          <w:bCs/>
          <w:noProof/>
        </w:rPr>
      </w:pPr>
      <w:r>
        <w:rPr>
          <w:b w:val="0"/>
          <w:noProof/>
        </w:rPr>
        <w:t>L’expansion rapide du commerce électronique et des envois internationaux a offert aux réseaux criminels de nouvelles possibilités d’acheminer clandestinement des drogues illicites au moyen des services postaux et de livraison de colis. Ces services sont largement exploités pour distribuer des stupéfiants par-delà les frontières, souvent en petites quantités qui sont plus difficiles à détecter, mais qui contribuent cumulativement à des opérations de trafic à grande échelle. Cette menace croissante appelle une approche englobant l’ensemble de la société et mobilisant non seulement les services répressifs et les institutions publiques, mais aussi le secteur privé.</w:t>
      </w:r>
    </w:p>
    <w:p w14:paraId="7EEABD24" w14:textId="6AEED991" w:rsidR="00706C12" w:rsidRPr="00CB4B7C" w:rsidRDefault="00F530FB" w:rsidP="00834E34">
      <w:pPr>
        <w:pStyle w:val="Subject"/>
        <w:tabs>
          <w:tab w:val="left" w:pos="3948"/>
        </w:tabs>
        <w:spacing w:after="240"/>
        <w:ind w:left="0" w:firstLine="0"/>
        <w:contextualSpacing w:val="0"/>
        <w:jc w:val="both"/>
        <w:rPr>
          <w:b w:val="0"/>
          <w:noProof/>
        </w:rPr>
      </w:pPr>
      <w:r>
        <w:rPr>
          <w:b w:val="0"/>
          <w:noProof/>
        </w:rPr>
        <w:t xml:space="preserve">La Commission créera un forum spécifique au niveau de l’UE qui réunira des représentants des secteurs postal et de la livraison de colis, les autorités réglementaires nationales, les douanes et les services répressifs. Cette plateforme visera à favoriser un dialogue structuré, à améliorer la compréhension des défis opérationnels et à renforcer la coopération public-privé. L’objectif est de détecter et d’enrayer le trafic de drogue et le flux de marchandises interdites dans les chaînes d’approvisionnement tout en respectant les cadres juridiques tels que le code des douanes de l’UE. </w:t>
      </w:r>
    </w:p>
    <w:p w14:paraId="46FD9925" w14:textId="1D922AF0" w:rsidR="005203A6" w:rsidRPr="00CB4B7C" w:rsidRDefault="00E47B95" w:rsidP="00E47B95">
      <w:pPr>
        <w:pStyle w:val="Subject"/>
        <w:tabs>
          <w:tab w:val="left" w:pos="3948"/>
        </w:tabs>
        <w:spacing w:after="240"/>
        <w:ind w:left="0" w:firstLine="0"/>
        <w:contextualSpacing w:val="0"/>
        <w:jc w:val="both"/>
        <w:rPr>
          <w:b w:val="0"/>
          <w:noProof/>
        </w:rPr>
      </w:pPr>
      <w:r>
        <w:rPr>
          <w:b w:val="0"/>
          <w:noProof/>
        </w:rPr>
        <w:t>Les opérations transfrontières des entreprises de services postaux et de livraison de colis soulignent la nécessité d’une coopération structurée au niveau de l’UE. Afin de renforcer la prévention du trafic de drogue et de la circulation de marchandises interdites à l’intérieur et à l’extérieur de l’UE, la Commission envisagera d’établir des protocoles d’accord à l’échelle de l’UE. Ces accords formaliseraient la coopération, définiraient des responsabilités claires et amélioreraient l’échange d’informations et les efforts conjoints. Ces protocoles soutiendraient les obligations existantes et à venir en matière de partage d’informations prévues par la législation douanière de l’UE, en les complétant plutôt qu’en les modifiant.</w:t>
      </w:r>
    </w:p>
    <w:p w14:paraId="4CC35380" w14:textId="2874BF52" w:rsidR="00F23EBA" w:rsidRPr="00CB4B7C" w:rsidRDefault="002662A0" w:rsidP="00F23EBA">
      <w:pPr>
        <w:pStyle w:val="Style2"/>
        <w:rPr>
          <w:noProof/>
        </w:rPr>
      </w:pPr>
      <w:r>
        <w:rPr>
          <w:b w:val="0"/>
          <w:noProof/>
        </w:rPr>
        <w:t xml:space="preserve"> </w:t>
      </w:r>
      <w:r>
        <w:rPr>
          <w:noProof/>
        </w:rPr>
        <w:t xml:space="preserve">Prévenir la criminalité et réduire la violence liée à la drogue </w:t>
      </w:r>
    </w:p>
    <w:p w14:paraId="7C67279E" w14:textId="77777777" w:rsidR="00F23EBA" w:rsidRPr="00CB4B7C" w:rsidRDefault="00F23EBA" w:rsidP="00F23EBA">
      <w:pPr>
        <w:pStyle w:val="Style2"/>
        <w:numPr>
          <w:ilvl w:val="0"/>
          <w:numId w:val="0"/>
        </w:numPr>
        <w:ind w:left="1494"/>
        <w:rPr>
          <w:noProof/>
        </w:rPr>
      </w:pPr>
    </w:p>
    <w:p w14:paraId="19940D2C" w14:textId="064070FB"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 xml:space="preserve">L’UE et les États membres devraient élaborer des mesures de prévention, en mettant en place une plateforme européenne pour empêcher les jeunes d’être entraînés dans le trafic de drogue. L’initiative dotera les diverses communautés d’outils pratiques, mettra en relation des experts de toute l’Europe et s’attaquera au recrutement en ligne. </w:t>
      </w:r>
    </w:p>
    <w:p w14:paraId="1C67DB9A" w14:textId="7C60AF07" w:rsidR="00F23EBA" w:rsidRPr="00CB4B7C" w:rsidRDefault="00F23EBA" w:rsidP="009D5C5F">
      <w:pPr>
        <w:pStyle w:val="Subject"/>
        <w:tabs>
          <w:tab w:val="left" w:pos="3948"/>
        </w:tabs>
        <w:spacing w:after="240"/>
        <w:ind w:left="0" w:firstLine="0"/>
        <w:contextualSpacing w:val="0"/>
        <w:jc w:val="both"/>
        <w:rPr>
          <w:b w:val="0"/>
          <w:noProof/>
        </w:rPr>
      </w:pPr>
      <w:r>
        <w:rPr>
          <w:b w:val="0"/>
          <w:noProof/>
        </w:rPr>
        <w:t xml:space="preserve">Le recrutement de jeunes par les réseaux criminels organisés se livrant au trafic de drogue est un problème croissant dans toute l’Union. Les groupes criminels tentent par tous les moyens d’exploiter des mineurs vulnérables, qui vivent souvent dans des zones économiquement ou socialement défavorisées, car ils constituent une main d’œuvre à faible risque et facilement remplaçable. Le monde numérique accélère encore cette tendance, les plateformes en ligne et les médias sociaux servant à attirer, à manipuler et à recruter des mineurs en leur faisant miroiter un gain d’argent rapide ou en créant un sentiment d’appartenance. </w:t>
      </w:r>
    </w:p>
    <w:p w14:paraId="267444CB" w14:textId="1CC6CF8E" w:rsidR="00CD3D3D" w:rsidRPr="000A0A97" w:rsidRDefault="00CD3D3D" w:rsidP="00686301">
      <w:pPr>
        <w:spacing w:after="0" w:line="252" w:lineRule="auto"/>
        <w:jc w:val="both"/>
        <w:rPr>
          <w:rFonts w:ascii="Times New Roman" w:hAnsi="Times New Roman" w:cs="Times New Roman"/>
          <w:bCs/>
          <w:i/>
          <w:iCs/>
          <w:noProof/>
          <w:szCs w:val="24"/>
        </w:rPr>
      </w:pPr>
      <w:r>
        <w:rPr>
          <w:rFonts w:ascii="Times New Roman" w:hAnsi="Times New Roman"/>
          <w:b/>
          <w:i/>
          <w:noProof/>
          <w:sz w:val="24"/>
        </w:rPr>
        <w:t xml:space="preserve">Action nº 7: créer une boîte à outils pour empêcher le recrutement de mineurs dans les réseaux de trafic de drogue </w:t>
      </w:r>
    </w:p>
    <w:p w14:paraId="1E5F430C" w14:textId="77777777" w:rsidR="00934C06" w:rsidRPr="00EE131B" w:rsidRDefault="00934C06" w:rsidP="00CD3D3D">
      <w:pPr>
        <w:spacing w:after="0" w:line="252" w:lineRule="auto"/>
        <w:jc w:val="both"/>
        <w:rPr>
          <w:rFonts w:ascii="Times New Roman" w:hAnsi="Times New Roman" w:cs="Times New Roman"/>
          <w:i/>
          <w:noProof/>
          <w:sz w:val="24"/>
          <w:lang w:val="fr-BE"/>
        </w:rPr>
      </w:pPr>
    </w:p>
    <w:p w14:paraId="57C004F2" w14:textId="7A64335F" w:rsidR="00CD3D3D" w:rsidRPr="00CB4B7C" w:rsidRDefault="00CD3D3D" w:rsidP="00CD3D3D">
      <w:pPr>
        <w:spacing w:after="0" w:line="252" w:lineRule="auto"/>
        <w:jc w:val="both"/>
        <w:rPr>
          <w:rFonts w:ascii="Times New Roman" w:hAnsi="Times New Roman" w:cs="Times New Roman"/>
          <w:i/>
          <w:noProof/>
          <w:sz w:val="24"/>
        </w:rPr>
      </w:pPr>
      <w:r>
        <w:rPr>
          <w:rFonts w:ascii="Times New Roman" w:hAnsi="Times New Roman"/>
          <w:i/>
          <w:noProof/>
          <w:sz w:val="24"/>
        </w:rPr>
        <w:t>Acteurs principaux: Réseau européen de prévention de la criminalité (REPC), Agence de l’Union européenne sur les drogues (EUDA), États membres, Commission</w:t>
      </w:r>
    </w:p>
    <w:p w14:paraId="586673F6" w14:textId="77777777" w:rsidR="00CD3D3D" w:rsidRPr="00CB4B7C" w:rsidRDefault="00CD3D3D" w:rsidP="00934C06">
      <w:pPr>
        <w:pStyle w:val="Subject"/>
        <w:tabs>
          <w:tab w:val="left" w:pos="3948"/>
        </w:tabs>
        <w:ind w:left="0" w:firstLine="0"/>
        <w:jc w:val="both"/>
        <w:rPr>
          <w:b w:val="0"/>
          <w:noProof/>
        </w:rPr>
      </w:pPr>
    </w:p>
    <w:p w14:paraId="7E52105B" w14:textId="46954EED" w:rsidR="00CD3D3D" w:rsidRPr="00CB4B7C" w:rsidRDefault="6E520B7D" w:rsidP="00934C06">
      <w:pPr>
        <w:pStyle w:val="Subject"/>
        <w:tabs>
          <w:tab w:val="left" w:pos="3948"/>
        </w:tabs>
        <w:ind w:left="0" w:firstLine="0"/>
        <w:jc w:val="both"/>
        <w:rPr>
          <w:b w:val="0"/>
          <w:noProof/>
        </w:rPr>
      </w:pPr>
      <w:r>
        <w:rPr>
          <w:b w:val="0"/>
          <w:noProof/>
        </w:rPr>
        <w:t xml:space="preserve">Le réseau européen de prévention de la criminalité constituera une boîte à outils complète en 2026, tandis que </w:t>
      </w:r>
      <w:bookmarkStart w:id="7" w:name="_Hlk214958245"/>
      <w:r>
        <w:rPr>
          <w:b w:val="0"/>
          <w:noProof/>
        </w:rPr>
        <w:t xml:space="preserve">l’EUDA </w:t>
      </w:r>
      <w:bookmarkEnd w:id="7"/>
      <w:r>
        <w:rPr>
          <w:b w:val="0"/>
          <w:noProof/>
        </w:rPr>
        <w:t>facilitera le travail de la communauté de pratique européenne en vue d’empêcher le recrutement de mineurs dans les réseaux de trafic de drogue. Cette initiative combinera des mesures pratiques de prévention et d’intervention avec une plateforme de collaboration et d’échange des connaissances à l’échelle de l’UE. La boîte à outils fournira aux autorités nationales, aux éducateurs, aux animateurs socioculturels et aux acteurs de la société civile des outils ayant fait leurs preuves, destinés à la détection précoce, à l’intervention et au renforcement de la résilience,</w:t>
      </w:r>
      <w:r>
        <w:rPr>
          <w:noProof/>
          <w:sz w:val="22"/>
        </w:rPr>
        <w:t xml:space="preserve"> </w:t>
      </w:r>
      <w:r>
        <w:rPr>
          <w:b w:val="0"/>
          <w:noProof/>
        </w:rPr>
        <w:t xml:space="preserve">afin d’empêcher le recrutement de mineurs vivant dans des milieux à risque par des groupes criminels. En parallèle, la communauté de pratique réunira des décideurs politiques, des praticiens, des chercheurs et des services répressifs afin de partager les bonnes pratiques utiles, d’harmoniser les stratégies et de promouvoir des interventions novatrices et efficaces. </w:t>
      </w:r>
    </w:p>
    <w:p w14:paraId="016F2FBD" w14:textId="77777777" w:rsidR="00CD3D3D" w:rsidRPr="00CB4B7C" w:rsidRDefault="00CD3D3D" w:rsidP="00934C06">
      <w:pPr>
        <w:pStyle w:val="Subject"/>
        <w:tabs>
          <w:tab w:val="left" w:pos="3948"/>
        </w:tabs>
        <w:ind w:left="0" w:firstLine="0"/>
        <w:jc w:val="both"/>
        <w:rPr>
          <w:b w:val="0"/>
          <w:noProof/>
        </w:rPr>
      </w:pPr>
    </w:p>
    <w:p w14:paraId="135AAE23" w14:textId="0202B6D0" w:rsidR="00934C06" w:rsidRPr="00CB4B7C" w:rsidRDefault="6E520B7D" w:rsidP="00934C06">
      <w:pPr>
        <w:pStyle w:val="Subject"/>
        <w:tabs>
          <w:tab w:val="left" w:pos="3948"/>
        </w:tabs>
        <w:ind w:left="0" w:firstLine="0"/>
        <w:jc w:val="both"/>
        <w:rPr>
          <w:b w:val="0"/>
          <w:noProof/>
        </w:rPr>
      </w:pPr>
      <w:r>
        <w:rPr>
          <w:b w:val="0"/>
          <w:noProof/>
        </w:rPr>
        <w:t xml:space="preserve">Compte tenu du rôle que joue la dimension numérique, un ensemble de connaissances ciblées destiné aux plateformes en ligne sera élaboré en coopération avec les fournisseurs de technologies et les experts de la protection de l’enfance dans le cadre du forum de l’UE sur l’internet, afin de permettre la détection et le signalement en temps réel des tentatives de recrutement. </w:t>
      </w:r>
    </w:p>
    <w:p w14:paraId="47C95A79" w14:textId="3D2BF77E" w:rsidR="005203A6" w:rsidRPr="00CB4B7C" w:rsidRDefault="00BB7883" w:rsidP="00BB7883">
      <w:pPr>
        <w:pStyle w:val="Style2"/>
        <w:rPr>
          <w:noProof/>
        </w:rPr>
      </w:pPr>
      <w:r>
        <w:rPr>
          <w:noProof/>
        </w:rPr>
        <w:t xml:space="preserve"> Renforcer la coopération entre les services répressifs, judiciaires et douaniers </w:t>
      </w:r>
    </w:p>
    <w:p w14:paraId="2B9C5554" w14:textId="77777777" w:rsidR="00331813" w:rsidRPr="00CB4B7C" w:rsidRDefault="00331813" w:rsidP="00331813">
      <w:pPr>
        <w:pStyle w:val="Style2"/>
        <w:numPr>
          <w:ilvl w:val="0"/>
          <w:numId w:val="0"/>
        </w:numPr>
        <w:ind w:left="1494"/>
        <w:rPr>
          <w:noProof/>
        </w:rPr>
      </w:pPr>
    </w:p>
    <w:p w14:paraId="6CEA071D" w14:textId="2E3FA511"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 xml:space="preserve">Les États membres doivent intensifier la coopération entre les autorités douanières, répressives et judiciaires. Cette coopération devrait être adossée à un cadre juridique de l’UE efficace et tourné vers l’avenir. Le déploiement de technologies de détection de nouvelle génération et de capacités accrues pour lutter contre le trafic en ligne et en prison aidera à resserrer le filet autour des réseaux de trafic de drogue. </w:t>
      </w:r>
    </w:p>
    <w:p w14:paraId="7FE29B5B" w14:textId="5CA15322" w:rsidR="00DE2825" w:rsidRPr="00CB4B7C" w:rsidRDefault="602EB2EE" w:rsidP="00E5277A">
      <w:pPr>
        <w:pStyle w:val="Subject"/>
        <w:tabs>
          <w:tab w:val="left" w:pos="3948"/>
        </w:tabs>
        <w:spacing w:after="240"/>
        <w:ind w:left="0" w:firstLine="0"/>
        <w:contextualSpacing w:val="0"/>
        <w:jc w:val="both"/>
        <w:rPr>
          <w:b w:val="0"/>
          <w:noProof/>
        </w:rPr>
      </w:pPr>
      <w:r>
        <w:rPr>
          <w:b w:val="0"/>
          <w:noProof/>
        </w:rPr>
        <w:t>Une coopération efficace et coordonnée entre les services répressifs, judiciaires et douaniers est essentielle à la lutte de l’UE contre les réseaux de trafic de drogue. Les organisations criminelles exploitent les failles de l’échange d’informations et de la coordination entre les autorités nationales et européennes et elles instrumentalisent divers cadres juridiques pour réduire au minimum les risques de répression et de poursuites. Ces réseaux utilisent en outre très efficacement les canaux numériques et poursuivent même souvent leurs activités depuis les prisons, ce qui pose des problèmes considérables aux autorités.</w:t>
      </w:r>
    </w:p>
    <w:p w14:paraId="2AE6954F" w14:textId="1766510F" w:rsidR="00301AD8" w:rsidRPr="00CB4B7C" w:rsidRDefault="2297757A" w:rsidP="3329D114">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Action nº 8: améliorer la coopération et le partage d’informations entre les autorités douanières, répressives et judiciaires</w:t>
      </w:r>
    </w:p>
    <w:p w14:paraId="6AFAB3F0" w14:textId="77777777" w:rsidR="00301AD8" w:rsidRPr="00EE131B" w:rsidRDefault="00301AD8" w:rsidP="00301AD8">
      <w:pPr>
        <w:pStyle w:val="ListParagraph"/>
        <w:spacing w:after="0" w:line="252" w:lineRule="auto"/>
        <w:ind w:left="360"/>
        <w:jc w:val="both"/>
        <w:rPr>
          <w:rFonts w:ascii="Times New Roman" w:hAnsi="Times New Roman" w:cs="Times New Roman"/>
          <w:i/>
          <w:noProof/>
          <w:sz w:val="24"/>
          <w:lang w:val="fr-BE"/>
        </w:rPr>
      </w:pPr>
    </w:p>
    <w:p w14:paraId="2ED5FFE4" w14:textId="70C7353C" w:rsidR="00301AD8" w:rsidRPr="00CB4B7C" w:rsidRDefault="00301AD8" w:rsidP="009D5C5F">
      <w:pPr>
        <w:spacing w:after="240" w:line="252" w:lineRule="auto"/>
        <w:jc w:val="both"/>
        <w:rPr>
          <w:rFonts w:ascii="Times New Roman" w:hAnsi="Times New Roman" w:cs="Times New Roman"/>
          <w:i/>
          <w:noProof/>
          <w:sz w:val="24"/>
        </w:rPr>
      </w:pPr>
      <w:r>
        <w:rPr>
          <w:rFonts w:ascii="Times New Roman" w:hAnsi="Times New Roman"/>
          <w:i/>
          <w:noProof/>
          <w:sz w:val="24"/>
        </w:rPr>
        <w:t>Acteurs principaux: États membres, Commission, Europol, Eurojust, Parquet européen, Office européen de lutte antifraude, Autorité européenne de lutte contre le blanchiment de capitaux, Frontex</w:t>
      </w:r>
    </w:p>
    <w:p w14:paraId="011A8D66" w14:textId="6CFC89F6" w:rsidR="00633028" w:rsidRPr="00CB4B7C" w:rsidRDefault="0CD74BFE" w:rsidP="009D5C5F">
      <w:pPr>
        <w:pStyle w:val="Subject"/>
        <w:tabs>
          <w:tab w:val="left" w:pos="3948"/>
        </w:tabs>
        <w:spacing w:after="240"/>
        <w:ind w:left="0" w:firstLine="0"/>
        <w:contextualSpacing w:val="0"/>
        <w:jc w:val="both"/>
        <w:rPr>
          <w:b w:val="0"/>
          <w:noProof/>
        </w:rPr>
      </w:pPr>
      <w:r>
        <w:rPr>
          <w:b w:val="0"/>
          <w:noProof/>
        </w:rPr>
        <w:t xml:space="preserve">Une coopération efficace et coordonnée en matière répressive, judiciaire et douanière nécessite un bon échange d’informations entre les différentes autorités concernées. Or, les possibilités actuelles d’échange d’informations ne sont pas suffisamment exploitées par les autorités compétentes. La capacité collective de l’UE à détecter et à désorganiser des filières de trafic de drogue de plus en plus complexes est ainsi affaiblie, ce qui permet aux trafiquants de profiter des failles du système. </w:t>
      </w:r>
    </w:p>
    <w:p w14:paraId="0B6D409F" w14:textId="64E338A6" w:rsidR="002926FE" w:rsidRPr="00CB4B7C" w:rsidRDefault="32D0BF58" w:rsidP="009D5C5F">
      <w:pPr>
        <w:pStyle w:val="Subject"/>
        <w:tabs>
          <w:tab w:val="left" w:pos="3948"/>
        </w:tabs>
        <w:spacing w:after="240"/>
        <w:ind w:left="0" w:firstLine="0"/>
        <w:contextualSpacing w:val="0"/>
        <w:jc w:val="both"/>
        <w:rPr>
          <w:b w:val="0"/>
          <w:noProof/>
        </w:rPr>
      </w:pPr>
      <w:r>
        <w:rPr>
          <w:b w:val="0"/>
          <w:noProof/>
        </w:rPr>
        <w:t xml:space="preserve">Il est essentiel de renforcer et d’utiliser pleinement les mécanismes existants pour assurer des échanges d’informations continus et en temps utile entre les services répressifs et les autorités douanières aux niveaux national et de l’UE, conformément aux cadres juridiques. Il s’agit notamment d’accroître les capacités d’analyse pour améliorer la détection des schémas suspects, des méthodes de dissimulation et des points faibles de la chaîne d’approvisionnement, grâce aux données collectées dans différents systèmes, tels que le système de contrôle des importations 2 de l’UE pour les flux entrants. Cela augmentera à son tour l’efficacité des systèmes d’information préalable sur le fret et de gestion des risques, dans le cadre desquels les États membres de l’UE évaluent conjointement les risques posés par les envois entrant dans l’UE par voie maritime, aérienne et terrestre. </w:t>
      </w:r>
    </w:p>
    <w:p w14:paraId="20D0C071" w14:textId="641493DC" w:rsidR="0072043F" w:rsidRPr="00CB4B7C" w:rsidRDefault="57700297" w:rsidP="009D5C5F">
      <w:pPr>
        <w:pStyle w:val="Subject"/>
        <w:tabs>
          <w:tab w:val="left" w:pos="3948"/>
        </w:tabs>
        <w:spacing w:after="240"/>
        <w:ind w:left="0" w:firstLine="0"/>
        <w:contextualSpacing w:val="0"/>
        <w:jc w:val="both"/>
        <w:rPr>
          <w:b w:val="0"/>
          <w:noProof/>
        </w:rPr>
      </w:pPr>
      <w:r>
        <w:rPr>
          <w:b w:val="0"/>
          <w:noProof/>
        </w:rPr>
        <w:t xml:space="preserve">Une coordination renforcée permettra d’améliorer non seulement les réactions opérationnelles en temps réel, mais également le tableau du renseignement à long terme qui est nécessaire pour lutter de manière stratégique contre les réseaux de trafiquants. Les principaux acteurs, notamment les douanes de l’UE, Europol, Eurojust, le Parquet européen, l’Office européen de lutte antifraude, l’Autorité européenne de lutte contre le blanchiment de capitaux et Frontex, devraient communiquer leurs données aux fins de l’analyse conjointe. </w:t>
      </w:r>
    </w:p>
    <w:p w14:paraId="62AA4E7F" w14:textId="29DCE427" w:rsidR="00633028" w:rsidRPr="00CB4B7C" w:rsidRDefault="00633028" w:rsidP="00633028">
      <w:pPr>
        <w:spacing w:after="0" w:line="252" w:lineRule="auto"/>
        <w:jc w:val="both"/>
        <w:rPr>
          <w:rFonts w:ascii="Times New Roman" w:hAnsi="Times New Roman" w:cs="Times New Roman"/>
          <w:b/>
          <w:i/>
          <w:noProof/>
          <w:sz w:val="24"/>
        </w:rPr>
      </w:pPr>
      <w:r>
        <w:rPr>
          <w:rFonts w:ascii="Times New Roman" w:hAnsi="Times New Roman"/>
          <w:b/>
          <w:i/>
          <w:noProof/>
          <w:sz w:val="24"/>
        </w:rPr>
        <w:t>Action nº 9: déployer des technologies de détection innovantes pour lutter contre le trafic de drogue</w:t>
      </w:r>
    </w:p>
    <w:p w14:paraId="5AC4B405" w14:textId="77777777" w:rsidR="00633028" w:rsidRPr="00EE131B" w:rsidRDefault="00633028" w:rsidP="00633028">
      <w:pPr>
        <w:spacing w:after="0" w:line="252" w:lineRule="auto"/>
        <w:jc w:val="both"/>
        <w:rPr>
          <w:rFonts w:ascii="Times New Roman" w:hAnsi="Times New Roman" w:cs="Times New Roman"/>
          <w:i/>
          <w:noProof/>
          <w:sz w:val="24"/>
          <w:lang w:val="fr-BE"/>
        </w:rPr>
      </w:pPr>
    </w:p>
    <w:p w14:paraId="41258BB6" w14:textId="4FB7C7E5" w:rsidR="00633028" w:rsidRPr="00CB4B7C" w:rsidRDefault="00633028" w:rsidP="009D5C5F">
      <w:pPr>
        <w:spacing w:after="240" w:line="252" w:lineRule="auto"/>
        <w:jc w:val="both"/>
        <w:rPr>
          <w:rFonts w:ascii="Times New Roman" w:hAnsi="Times New Roman" w:cs="Times New Roman"/>
          <w:i/>
          <w:noProof/>
          <w:sz w:val="24"/>
        </w:rPr>
      </w:pPr>
      <w:r>
        <w:rPr>
          <w:rFonts w:ascii="Times New Roman" w:hAnsi="Times New Roman"/>
          <w:i/>
          <w:noProof/>
          <w:sz w:val="24"/>
        </w:rPr>
        <w:t xml:space="preserve">Acteurs principaux: Commission, États membres </w:t>
      </w:r>
    </w:p>
    <w:p w14:paraId="0575FA9C" w14:textId="7803ADFB" w:rsidR="00633028" w:rsidRPr="00CB4B7C" w:rsidRDefault="33F527A6" w:rsidP="003E7819">
      <w:pPr>
        <w:pStyle w:val="Subject"/>
        <w:tabs>
          <w:tab w:val="left" w:pos="3948"/>
        </w:tabs>
        <w:spacing w:after="240"/>
        <w:ind w:left="0" w:firstLine="0"/>
        <w:contextualSpacing w:val="0"/>
        <w:jc w:val="both"/>
        <w:rPr>
          <w:b w:val="0"/>
          <w:noProof/>
        </w:rPr>
      </w:pPr>
      <w:r>
        <w:rPr>
          <w:b w:val="0"/>
          <w:noProof/>
        </w:rPr>
        <w:t>Pour lutter contre les méthodes sophistiquées du trafic de drogue, il est capital de favoriser le déploiement de technologies de détection avancées qui sont adaptées aux tendances en constante évolution de la criminalité transfrontière et qui répondent aux besoins concrets des autorités de première ligne. Puisque les trafiquants affinent en permanence leurs techniques de dissimulation et exploitent les lacunes technologiques, il faut équiper les douanes, les services de contrôle aux frontières et les services répressifs d’outils de pointe pour que l’UE garde de l’avance dans la lutte contre ces menaces.</w:t>
      </w:r>
    </w:p>
    <w:p w14:paraId="08E95EDA" w14:textId="535C30A5" w:rsidR="00FB4CD7" w:rsidRPr="00CB4B7C" w:rsidRDefault="006673E1" w:rsidP="003E7819">
      <w:pPr>
        <w:pStyle w:val="Subject"/>
        <w:tabs>
          <w:tab w:val="left" w:pos="3948"/>
        </w:tabs>
        <w:spacing w:after="240"/>
        <w:ind w:left="0" w:firstLine="0"/>
        <w:contextualSpacing w:val="0"/>
        <w:jc w:val="both"/>
        <w:rPr>
          <w:b w:val="0"/>
          <w:noProof/>
        </w:rPr>
      </w:pPr>
      <w:r>
        <w:rPr>
          <w:b w:val="0"/>
          <w:noProof/>
        </w:rPr>
        <w:t xml:space="preserve">La Commission et les États membres financeront en priorité le déploiement de technologies avancées de détection et de surveillance dans les zones à haut risque et sur les plateformes de transport, afin d’obtenir un maximum de résultats. L’accent sera mis sur les scanners avancés, dotés de capacités d’analyse fondées sur l’IA, et sur l’intégration d’équipements de détection novateurs, produits par les secteurs public et privé, dans les outils de profilage des risques par l’IA utilisés par les autorités nationales chargées du contrôle des marchandises et des moyens de transport. </w:t>
      </w:r>
    </w:p>
    <w:p w14:paraId="588F32C2" w14:textId="6579A3E8" w:rsidR="00B14936" w:rsidRPr="00CB4B7C" w:rsidRDefault="4FF94A0B" w:rsidP="00B14936">
      <w:pPr>
        <w:pStyle w:val="Subject"/>
        <w:tabs>
          <w:tab w:val="left" w:pos="3948"/>
        </w:tabs>
        <w:spacing w:after="240"/>
        <w:ind w:left="0" w:firstLine="0"/>
        <w:contextualSpacing w:val="0"/>
        <w:jc w:val="both"/>
        <w:rPr>
          <w:b w:val="0"/>
          <w:noProof/>
        </w:rPr>
      </w:pPr>
      <w:r>
        <w:rPr>
          <w:b w:val="0"/>
          <w:noProof/>
        </w:rPr>
        <w:t>Les fonds devraient également financer l’utilisation d’outils tels que l’imagerie satellitaire à haute résolution, les pseudo-satellites de haute altitude, les systèmes d’information géospatiale et les drones aériens ou semi-submersibles pour détecter et cartographier les activités de production et de trafic de drogues illicites. Ces technologies amélioreraient la surveillance des plaques tournantes du trafic, des laboratoires clandestins, des zones de culture de stupéfiants et des points névralgiques transfrontaliers, avec la contribution stratégique d’Europol, de l’EUDA, du CSUE et d’autres agences compétentes de l’UE. La feuille de route pour la transformation de l’industrie de la défense de l’UE</w:t>
      </w:r>
      <w:r>
        <w:rPr>
          <w:rStyle w:val="FootnoteReference0"/>
          <w:b w:val="0"/>
          <w:noProof/>
          <w:lang w:val="en-US"/>
        </w:rPr>
        <w:footnoteReference w:id="10"/>
      </w:r>
      <w:r>
        <w:rPr>
          <w:b w:val="0"/>
          <w:noProof/>
        </w:rPr>
        <w:t xml:space="preserve"> fournit elle aussi un cadre qui favorisera les applications à double usage, y compris dans le domaine de la lutte contre le trafic de drogue.</w:t>
      </w:r>
    </w:p>
    <w:p w14:paraId="34F59BD6" w14:textId="51CEF35A" w:rsidR="00301AD8" w:rsidRPr="00CB4B7C" w:rsidRDefault="00301AD8" w:rsidP="004A58F7">
      <w:pPr>
        <w:spacing w:after="0" w:line="252" w:lineRule="auto"/>
        <w:jc w:val="both"/>
        <w:rPr>
          <w:rFonts w:ascii="Times New Roman" w:hAnsi="Times New Roman" w:cs="Times New Roman"/>
          <w:i/>
          <w:noProof/>
          <w:sz w:val="24"/>
        </w:rPr>
      </w:pPr>
      <w:bookmarkStart w:id="8" w:name="_Hlk212031307"/>
      <w:r>
        <w:rPr>
          <w:rFonts w:ascii="Times New Roman" w:hAnsi="Times New Roman"/>
          <w:b/>
          <w:i/>
          <w:noProof/>
          <w:sz w:val="24"/>
        </w:rPr>
        <w:t>Action nº 10: renforcer les capacités de lutte contre le trafic de drogue en ligne</w:t>
      </w:r>
    </w:p>
    <w:p w14:paraId="57439722" w14:textId="77777777" w:rsidR="004A58F7" w:rsidRPr="00EE131B" w:rsidRDefault="004A58F7" w:rsidP="00301AD8">
      <w:pPr>
        <w:spacing w:after="0" w:line="252" w:lineRule="auto"/>
        <w:jc w:val="both"/>
        <w:rPr>
          <w:rFonts w:ascii="Times New Roman" w:hAnsi="Times New Roman" w:cs="Times New Roman"/>
          <w:i/>
          <w:noProof/>
          <w:sz w:val="24"/>
          <w:lang w:val="fr-BE"/>
        </w:rPr>
      </w:pPr>
    </w:p>
    <w:p w14:paraId="4D683CAE" w14:textId="5D6E93AC" w:rsidR="00301AD8" w:rsidRPr="00CB4B7C" w:rsidRDefault="00301AD8" w:rsidP="009D5C5F">
      <w:pPr>
        <w:spacing w:after="240" w:line="252" w:lineRule="auto"/>
        <w:jc w:val="both"/>
        <w:rPr>
          <w:rFonts w:ascii="Times New Roman" w:hAnsi="Times New Roman" w:cs="Times New Roman"/>
          <w:i/>
          <w:noProof/>
          <w:sz w:val="24"/>
        </w:rPr>
      </w:pPr>
      <w:r>
        <w:rPr>
          <w:rFonts w:ascii="Times New Roman" w:hAnsi="Times New Roman"/>
          <w:i/>
          <w:noProof/>
          <w:sz w:val="24"/>
        </w:rPr>
        <w:t>Acteurs principaux: Europol, Agence de l’Union européenne pour la formation des services répressifs (CEPOL), EUDA, Commission</w:t>
      </w:r>
    </w:p>
    <w:p w14:paraId="258F99A7" w14:textId="551D63D6" w:rsidR="00A91593" w:rsidRPr="00CB4B7C" w:rsidRDefault="2F4E5B11" w:rsidP="009D5C5F">
      <w:pPr>
        <w:pStyle w:val="Subject"/>
        <w:tabs>
          <w:tab w:val="left" w:pos="3948"/>
        </w:tabs>
        <w:spacing w:after="240"/>
        <w:ind w:left="0" w:firstLine="0"/>
        <w:contextualSpacing w:val="0"/>
        <w:jc w:val="both"/>
        <w:rPr>
          <w:b w:val="0"/>
          <w:noProof/>
        </w:rPr>
      </w:pPr>
      <w:r>
        <w:rPr>
          <w:b w:val="0"/>
          <w:noProof/>
        </w:rPr>
        <w:t xml:space="preserve">Le trafic de drogue est de plus en plus facilité par le numérique. Les services répressifs doivent être dotés des outils et des compétences nécessaires pour détecter ces méthodes criminelles en constante évolution, pour enquêter à leur sujet et pour y mettre fin. Pour ce faire, l’UE privilégiera le renforcement des capacités de surveillance et d’intervention des services répressifs sur l’internet. </w:t>
      </w:r>
    </w:p>
    <w:p w14:paraId="53FA1F61" w14:textId="0929D82D" w:rsidR="00967496" w:rsidRPr="00CB4B7C" w:rsidRDefault="6C318D4C" w:rsidP="009D5C5F">
      <w:pPr>
        <w:pStyle w:val="Subject"/>
        <w:tabs>
          <w:tab w:val="left" w:pos="3948"/>
        </w:tabs>
        <w:spacing w:after="240"/>
        <w:ind w:left="0" w:firstLine="0"/>
        <w:contextualSpacing w:val="0"/>
        <w:jc w:val="both"/>
        <w:rPr>
          <w:b w:val="0"/>
          <w:noProof/>
        </w:rPr>
      </w:pPr>
      <w:r>
        <w:rPr>
          <w:b w:val="0"/>
          <w:noProof/>
        </w:rPr>
        <w:t xml:space="preserve">Europol devrait apporter un soutien opérationnel élargi aux États membres, notamment pour surveiller systématiquement les marchés de la drogue et pour analyser et signaler les activités suspectes, en tenant également compte des contributions de l’EUDA en matière d’analyse et de surveillance. En parallèle, le CEPOL devrait mettre en place des programmes avancés et spécialisés pour former les autorités nationales à la détection et à la répression des activités liées à la drogue sur les plateformes numériques. </w:t>
      </w:r>
    </w:p>
    <w:p w14:paraId="3E0D4E47" w14:textId="5CE6890A" w:rsidR="007410DE" w:rsidRPr="00CB4B7C" w:rsidRDefault="665E5A7C" w:rsidP="009D5C5F">
      <w:pPr>
        <w:pStyle w:val="Subject"/>
        <w:tabs>
          <w:tab w:val="left" w:pos="3948"/>
        </w:tabs>
        <w:spacing w:after="240"/>
        <w:ind w:left="0" w:firstLine="0"/>
        <w:contextualSpacing w:val="0"/>
        <w:jc w:val="both"/>
        <w:rPr>
          <w:b w:val="0"/>
          <w:noProof/>
        </w:rPr>
      </w:pPr>
      <w:r>
        <w:rPr>
          <w:b w:val="0"/>
          <w:noProof/>
        </w:rPr>
        <w:t>Pour s’attaquer à la dimension numérique du trafic de drogue, il est essentiel que tant les États membres que la Commission fassent respecter les obligations de diligence imposées aux intermédiaires en ligne par le règlement sur les services numériques. En outre, il convient de renforcer la coopération avec le secteur privé au moyen du forum de l’UE sur l’internet. L’UE devrait œuvrer à la conclusion d’un protocole de coopération avec les entreprises technologiques qui participent au forum, pour établir des points de contact et obtenir de ces entreprises l’engagement d’intégrer le trafic de drogue dans leur mandat et leurs processus de modération des contenus.</w:t>
      </w:r>
    </w:p>
    <w:p w14:paraId="36D16003" w14:textId="1AA18AF0" w:rsidR="00A91593" w:rsidRPr="00CB4B7C" w:rsidRDefault="6C318D4C" w:rsidP="009D5C5F">
      <w:pPr>
        <w:pStyle w:val="Subject"/>
        <w:tabs>
          <w:tab w:val="left" w:pos="3948"/>
        </w:tabs>
        <w:spacing w:after="240"/>
        <w:ind w:left="0" w:firstLine="0"/>
        <w:contextualSpacing w:val="0"/>
        <w:jc w:val="both"/>
        <w:rPr>
          <w:b w:val="0"/>
          <w:noProof/>
        </w:rPr>
      </w:pPr>
      <w:r>
        <w:rPr>
          <w:b w:val="0"/>
          <w:noProof/>
        </w:rPr>
        <w:t>Cette approche pluridimensionnelle, alliant une capacité opérationnelle accrue, une surveillance efficace, une bonne coopération avec le secteur privé et des formations de qualité, donnera aux services répressifs de toute l’UE les moyens de lutter plus efficacement contre le trafic de drogue sur les canaux en ligne, de démanteler les marchés criminels numériques et de garder de l’avance sur les techniques de trafic évoluant rapidement.</w:t>
      </w:r>
    </w:p>
    <w:bookmarkEnd w:id="8"/>
    <w:p w14:paraId="4172598E" w14:textId="6E0B451E" w:rsidR="00301AD8" w:rsidRPr="00CB4B7C" w:rsidRDefault="00301AD8" w:rsidP="00301AD8">
      <w:pPr>
        <w:spacing w:after="0" w:line="252" w:lineRule="auto"/>
        <w:jc w:val="both"/>
        <w:rPr>
          <w:rFonts w:ascii="Times New Roman" w:hAnsi="Times New Roman" w:cs="Times New Roman"/>
          <w:b/>
          <w:i/>
          <w:noProof/>
          <w:sz w:val="24"/>
        </w:rPr>
      </w:pPr>
      <w:r>
        <w:rPr>
          <w:rFonts w:ascii="Times New Roman" w:hAnsi="Times New Roman"/>
          <w:b/>
          <w:i/>
          <w:noProof/>
          <w:sz w:val="24"/>
        </w:rPr>
        <w:t>Action nº 11: enrayer le trafic de drogue pratiqué à partir des prisons et en leur sein</w:t>
      </w:r>
    </w:p>
    <w:p w14:paraId="5AE28243" w14:textId="77777777" w:rsidR="00301AD8" w:rsidRPr="00EE131B" w:rsidRDefault="00301AD8" w:rsidP="00301AD8">
      <w:pPr>
        <w:pStyle w:val="ListParagraph"/>
        <w:spacing w:after="0" w:line="252" w:lineRule="auto"/>
        <w:ind w:left="360"/>
        <w:jc w:val="both"/>
        <w:rPr>
          <w:rFonts w:ascii="Times New Roman" w:hAnsi="Times New Roman" w:cs="Times New Roman"/>
          <w:i/>
          <w:noProof/>
          <w:sz w:val="24"/>
          <w:lang w:val="fr-BE"/>
        </w:rPr>
      </w:pPr>
    </w:p>
    <w:p w14:paraId="3EAC30D6" w14:textId="239C3B73" w:rsidR="00301AD8" w:rsidRPr="00CB4B7C" w:rsidRDefault="00301AD8" w:rsidP="009D5C5F">
      <w:pPr>
        <w:spacing w:after="240" w:line="252" w:lineRule="auto"/>
        <w:jc w:val="both"/>
        <w:rPr>
          <w:rFonts w:ascii="Times New Roman" w:hAnsi="Times New Roman" w:cs="Times New Roman"/>
          <w:i/>
          <w:noProof/>
          <w:sz w:val="24"/>
        </w:rPr>
      </w:pPr>
      <w:r>
        <w:rPr>
          <w:rFonts w:ascii="Times New Roman" w:hAnsi="Times New Roman"/>
          <w:i/>
          <w:noProof/>
          <w:sz w:val="24"/>
        </w:rPr>
        <w:t>Acteurs principaux: EuroPris, EUDA, États membres</w:t>
      </w:r>
    </w:p>
    <w:p w14:paraId="6B229D3D" w14:textId="39F65A9D" w:rsidR="00030AC8" w:rsidRPr="00CB4B7C" w:rsidRDefault="556B767D" w:rsidP="00AD3D09">
      <w:pPr>
        <w:pStyle w:val="Subject"/>
        <w:tabs>
          <w:tab w:val="left" w:pos="3948"/>
        </w:tabs>
        <w:spacing w:after="240"/>
        <w:ind w:left="0" w:firstLine="0"/>
        <w:contextualSpacing w:val="0"/>
        <w:jc w:val="both"/>
        <w:rPr>
          <w:b w:val="0"/>
          <w:noProof/>
        </w:rPr>
      </w:pPr>
      <w:r>
        <w:rPr>
          <w:b w:val="0"/>
          <w:noProof/>
        </w:rPr>
        <w:t>Alors que les prisons devraient couper les délinquants des réseaux criminels, de nombreux grands trafiquants continuent d’orchestrer des opérations liées à la drogue depuis leur cellule. L’utilisation illégale des canaux de communication, l’exploitation des visiteurs et une coordination avec des complices à l’extérieur compromettent l’intégrité du système judiciaire et la sécurité publique. Il arrive que les groupes criminels organisés intimident, corrompent ou menacent les membres du personnel pénitentiaire, les mettant ainsi en danger et nuisant aussi à l’intégrité institutionnelle et aux efforts de désintoxication et de réinsertion. Pour y remédier, l’Organisation européenne des services pénitentiaires et correctionnels (EuroPris)</w:t>
      </w:r>
      <w:r>
        <w:rPr>
          <w:rStyle w:val="FootnoteReference0"/>
          <w:b w:val="0"/>
          <w:noProof/>
        </w:rPr>
        <w:footnoteReference w:id="11"/>
      </w:r>
      <w:r>
        <w:rPr>
          <w:b w:val="0"/>
          <w:noProof/>
        </w:rPr>
        <w:t xml:space="preserve"> mènera une initiative visant à recenser les problèmes actuels et les bonnes pratiques existant dans toute l’UE pour mettre fin aux activités criminelles au sein des systèmes pénitentiaires.</w:t>
      </w:r>
    </w:p>
    <w:p w14:paraId="29F71B02" w14:textId="2022F38C" w:rsidR="00030AC8" w:rsidRPr="00CB4B7C" w:rsidRDefault="00030AC8" w:rsidP="009D5C5F">
      <w:pPr>
        <w:pStyle w:val="Subject"/>
        <w:tabs>
          <w:tab w:val="left" w:pos="3948"/>
        </w:tabs>
        <w:spacing w:after="240"/>
        <w:ind w:left="0" w:firstLine="0"/>
        <w:contextualSpacing w:val="0"/>
        <w:jc w:val="both"/>
        <w:rPr>
          <w:b w:val="0"/>
          <w:noProof/>
        </w:rPr>
      </w:pPr>
      <w:r>
        <w:rPr>
          <w:b w:val="0"/>
          <w:noProof/>
        </w:rPr>
        <w:t>Cette initiative permettra de dresser une liste détaillée des approches juridiques, opérationnelles et technologiques appliquées par les États membres pour prévenir le trafic de drogue et d’autres formes de criminalité organisée menés depuis les prisons et pour enquêter sur ces pratiques. Elle consistera également à étudier l’efficacité de mesures telles que le contrôle des communications sécurisées, le partage du renseignement entre les autorités pénitentiaires et répressives, la formation du personnel et les systèmes de classification des risques posés par les auteurs d’infractions.</w:t>
      </w:r>
    </w:p>
    <w:p w14:paraId="07D3DA4C" w14:textId="5EDDA1C9" w:rsidR="00030AC8" w:rsidRPr="00CB4B7C" w:rsidRDefault="5D1C643A" w:rsidP="009D5C5F">
      <w:pPr>
        <w:pStyle w:val="Subject"/>
        <w:tabs>
          <w:tab w:val="left" w:pos="3948"/>
        </w:tabs>
        <w:spacing w:after="240"/>
        <w:ind w:left="0" w:firstLine="0"/>
        <w:contextualSpacing w:val="0"/>
        <w:jc w:val="both"/>
        <w:rPr>
          <w:b w:val="0"/>
          <w:noProof/>
        </w:rPr>
      </w:pPr>
      <w:r>
        <w:rPr>
          <w:b w:val="0"/>
          <w:noProof/>
        </w:rPr>
        <w:t>Pour compléter l’action plus large de l’UE en vue de combattre la criminalité organisée, EuroPris facilitera l’élaboration et la diffusion d’orientations pratiques, pour aider les États membres à adopter les outils les plus efficaces. Afin d’encourager l’apprentissage entre pairs et de renforcer les capacités institutionnelles, EuroPris organisera des activités spécifiques sur des questions thématiques telles que le brouillage des téléphones mobiles, la gestion des délinquants à haut risque et la coopération interservices.</w:t>
      </w:r>
    </w:p>
    <w:p w14:paraId="656A3C6C" w14:textId="3DC33161" w:rsidR="00030AC8" w:rsidRPr="00CB4B7C" w:rsidRDefault="5D1C643A" w:rsidP="009D5C5F">
      <w:pPr>
        <w:pStyle w:val="Subject"/>
        <w:tabs>
          <w:tab w:val="left" w:pos="3948"/>
        </w:tabs>
        <w:spacing w:after="240"/>
        <w:ind w:left="0" w:firstLine="0"/>
        <w:contextualSpacing w:val="0"/>
        <w:jc w:val="both"/>
        <w:rPr>
          <w:b w:val="0"/>
          <w:noProof/>
        </w:rPr>
      </w:pPr>
      <w:r>
        <w:rPr>
          <w:b w:val="0"/>
          <w:noProof/>
        </w:rPr>
        <w:t>L’action vise à empêcher que les prisons servent de centres de commandement pour le trafic de drogue, en désorganisant les réseaux criminels et en renforçant l’état de droit à l’intérieur et à l’extérieur des prisons.</w:t>
      </w:r>
    </w:p>
    <w:p w14:paraId="7ECFB6AF" w14:textId="7E689C20" w:rsidR="00C3398C" w:rsidRPr="00CB4B7C" w:rsidRDefault="00C3398C" w:rsidP="00C3398C">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Action nº 12: évaluer le cadre juridique de l’UE en matière de trafic de drogue</w:t>
      </w:r>
    </w:p>
    <w:p w14:paraId="01A04220" w14:textId="77777777" w:rsidR="00C3398C" w:rsidRPr="00EE131B" w:rsidRDefault="00C3398C" w:rsidP="00C3398C">
      <w:pPr>
        <w:pStyle w:val="ListParagraph"/>
        <w:spacing w:after="0" w:line="252" w:lineRule="auto"/>
        <w:ind w:left="360"/>
        <w:jc w:val="both"/>
        <w:rPr>
          <w:rFonts w:ascii="Times New Roman" w:hAnsi="Times New Roman" w:cs="Times New Roman"/>
          <w:i/>
          <w:noProof/>
          <w:sz w:val="24"/>
          <w:lang w:val="fr-BE"/>
        </w:rPr>
      </w:pPr>
    </w:p>
    <w:p w14:paraId="7C15847D" w14:textId="77777777" w:rsidR="00C3398C" w:rsidRPr="00CB4B7C" w:rsidRDefault="00C3398C" w:rsidP="009D5C5F">
      <w:pPr>
        <w:spacing w:after="240" w:line="252" w:lineRule="auto"/>
        <w:jc w:val="both"/>
        <w:rPr>
          <w:rFonts w:ascii="Times New Roman" w:hAnsi="Times New Roman" w:cs="Times New Roman"/>
          <w:i/>
          <w:noProof/>
          <w:sz w:val="24"/>
        </w:rPr>
      </w:pPr>
      <w:r>
        <w:rPr>
          <w:rFonts w:ascii="Times New Roman" w:hAnsi="Times New Roman"/>
          <w:i/>
          <w:noProof/>
          <w:sz w:val="24"/>
        </w:rPr>
        <w:t>Acteurs principaux: Commission, Parlement et Conseil</w:t>
      </w:r>
    </w:p>
    <w:p w14:paraId="58B44DE0" w14:textId="7408E95B" w:rsidR="00B561B9" w:rsidRPr="000A0A97" w:rsidRDefault="005B3E54" w:rsidP="008D50A4">
      <w:pPr>
        <w:pStyle w:val="Subject"/>
        <w:tabs>
          <w:tab w:val="left" w:pos="3948"/>
        </w:tabs>
        <w:spacing w:after="240"/>
        <w:ind w:left="0" w:firstLine="0"/>
        <w:contextualSpacing w:val="0"/>
        <w:jc w:val="both"/>
        <w:rPr>
          <w:rFonts w:eastAsiaTheme="minorEastAsia"/>
          <w:b w:val="0"/>
          <w:noProof/>
          <w:sz w:val="22"/>
          <w:szCs w:val="22"/>
        </w:rPr>
      </w:pPr>
      <w:r>
        <w:rPr>
          <w:b w:val="0"/>
          <w:noProof/>
        </w:rPr>
        <w:t>Compte tenu de la nature évolutive du trafic de drogue dans toute l’UE, il est essentiel que le cadre juridique de cette dernière demeure efficace. La Commission évalue actuellement la décision-cadre 2004/757/JAI, qui</w:t>
      </w:r>
      <w:r>
        <w:rPr>
          <w:noProof/>
          <w:color w:val="333333"/>
          <w:sz w:val="21"/>
          <w:shd w:val="clear" w:color="auto" w:fill="FFFFFF"/>
        </w:rPr>
        <w:t xml:space="preserve"> </w:t>
      </w:r>
      <w:r>
        <w:rPr>
          <w:b w:val="0"/>
          <w:noProof/>
        </w:rPr>
        <w:t xml:space="preserve"> établit des dispositions minimales relatives aux éléments constitutifs des infractions pénales et des sanctions applicables dans le domaine du trafic de drogue. Ses conclusions sont attendues en 2026. Cette évaluation permettra de déterminer si le droit de l’Union est adapté à la situation de la criminalité actuelle, dans laquelle le trafic de drogue implique non seulement la contrebande transfrontalière, mais aussi fréquemment une violence systémique, la corruption, l’exploitation, et une infiltration des systèmes et institutions opérant en toute légalité.</w:t>
      </w:r>
      <w:r>
        <w:rPr>
          <w:b w:val="0"/>
          <w:noProof/>
          <w:sz w:val="22"/>
        </w:rPr>
        <w:t xml:space="preserve"> </w:t>
      </w:r>
    </w:p>
    <w:p w14:paraId="734DBF34" w14:textId="6DA3C7F7" w:rsidR="00C3398C" w:rsidRPr="00CB4B7C" w:rsidRDefault="00BF6F29" w:rsidP="009D5C5F">
      <w:pPr>
        <w:pStyle w:val="Subject"/>
        <w:tabs>
          <w:tab w:val="left" w:pos="3948"/>
        </w:tabs>
        <w:spacing w:after="240"/>
        <w:ind w:left="0" w:firstLine="0"/>
        <w:contextualSpacing w:val="0"/>
        <w:jc w:val="both"/>
        <w:rPr>
          <w:b w:val="0"/>
          <w:noProof/>
        </w:rPr>
      </w:pPr>
      <w:r>
        <w:rPr>
          <w:b w:val="0"/>
          <w:noProof/>
        </w:rPr>
        <w:t>Le 11</w:t>
      </w:r>
      <w:r>
        <w:rPr>
          <w:b w:val="0"/>
          <w:noProof/>
          <w:vertAlign w:val="superscript"/>
        </w:rPr>
        <w:t>e</w:t>
      </w:r>
      <w:r>
        <w:rPr>
          <w:b w:val="0"/>
          <w:noProof/>
        </w:rPr>
        <w:t xml:space="preserve"> cycle d’évaluation mutuelle</w:t>
      </w:r>
      <w:r>
        <w:rPr>
          <w:rStyle w:val="FootnoteReference0"/>
          <w:b w:val="0"/>
          <w:noProof/>
        </w:rPr>
        <w:footnoteReference w:id="12"/>
      </w:r>
      <w:r>
        <w:rPr>
          <w:b w:val="0"/>
          <w:noProof/>
        </w:rPr>
        <w:t xml:space="preserve"> qui est en cours est axé sur la lutte contre le trafic transfrontière de drogue au sein de l’UE. En fonction des conclusions de l’évaluation en cours et des résultats de l’évaluation mutuelle du Conseil sur le trafic de drogue, la Commission pourrait envisager une révision du cadre juridique existant. </w:t>
      </w:r>
    </w:p>
    <w:p w14:paraId="5EF25E98" w14:textId="36E20C79" w:rsidR="005203A6" w:rsidRPr="00CB4B7C" w:rsidRDefault="00680937" w:rsidP="00680937">
      <w:pPr>
        <w:pStyle w:val="Style2"/>
        <w:rPr>
          <w:noProof/>
        </w:rPr>
      </w:pPr>
      <w:r>
        <w:rPr>
          <w:noProof/>
        </w:rPr>
        <w:t xml:space="preserve"> S’attaquer au problème des drogues de synthèse et des précurseurs de drogues </w:t>
      </w:r>
    </w:p>
    <w:p w14:paraId="034B57B7" w14:textId="77777777" w:rsidR="00F7356E" w:rsidRPr="00CB4B7C" w:rsidRDefault="00F7356E" w:rsidP="00F7356E">
      <w:pPr>
        <w:pStyle w:val="Style2"/>
        <w:numPr>
          <w:ilvl w:val="0"/>
          <w:numId w:val="0"/>
        </w:numPr>
        <w:ind w:left="1494"/>
        <w:rPr>
          <w:noProof/>
        </w:rPr>
      </w:pPr>
    </w:p>
    <w:p w14:paraId="4EEBD902" w14:textId="46678C40" w:rsidR="00F449EB"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L’UE et les États membres devraient intensifier leurs efforts pour combattre la menace croissante que représentent les drogues de synthèse, en comblant les failles juridiques exploitées par les trafiquants, en identifiant mieux les substances émergentes et en intervenant de manière sûre et coordonnée pour démanteler les laboratoires illicites. Ces actions sont indispensables pour augmenter la résilience de l’UE, protéger la santé publique, réduire les dommages environnementaux et accroître sa capacité à lutter contre l’évolution accélérée du marché des drogues de synthèse.</w:t>
      </w:r>
    </w:p>
    <w:p w14:paraId="0FFC612E" w14:textId="46C3ACFA" w:rsidR="000B7900" w:rsidRPr="00CB4B7C" w:rsidRDefault="2F9FA7DE" w:rsidP="009D5C5F">
      <w:pPr>
        <w:pStyle w:val="Subject"/>
        <w:tabs>
          <w:tab w:val="left" w:pos="3948"/>
        </w:tabs>
        <w:spacing w:after="240"/>
        <w:ind w:left="0" w:firstLine="0"/>
        <w:contextualSpacing w:val="0"/>
        <w:jc w:val="both"/>
        <w:rPr>
          <w:b w:val="0"/>
          <w:noProof/>
        </w:rPr>
      </w:pPr>
      <w:r>
        <w:rPr>
          <w:b w:val="0"/>
          <w:noProof/>
        </w:rPr>
        <w:t xml:space="preserve">La progression des drogues de synthèse dans l’UE met en évidence une préparation insuffisante pour contrer les nouvelles substances psychoactives à très forte teneur en principe actif, qui créent des risques graves pour la santé. Ces substances évoluent vite et sont fréquemment produites dans des laboratoires clandestins utilisant des précurseurs sur mesure qui échappent aux contrôles existants. Les capacités de détection inégales et les cadres juridiques divergents entre les États membres, ainsi que les différentes approches en matière de démantèlement des laboratoires illicites, rendent plus difficile encore une réaction efficace et coordonnée de l’UE. </w:t>
      </w:r>
    </w:p>
    <w:p w14:paraId="03083A04" w14:textId="14A57830" w:rsidR="00680937" w:rsidRPr="00CB4B7C" w:rsidRDefault="00680937" w:rsidP="00BB7883">
      <w:pPr>
        <w:spacing w:before="240" w:after="0" w:line="252" w:lineRule="auto"/>
        <w:jc w:val="both"/>
        <w:rPr>
          <w:rFonts w:ascii="Times New Roman" w:hAnsi="Times New Roman" w:cs="Times New Roman"/>
          <w:b/>
          <w:i/>
          <w:noProof/>
          <w:sz w:val="24"/>
        </w:rPr>
      </w:pPr>
      <w:r>
        <w:rPr>
          <w:rFonts w:ascii="Times New Roman" w:hAnsi="Times New Roman"/>
          <w:b/>
          <w:i/>
          <w:noProof/>
          <w:sz w:val="24"/>
        </w:rPr>
        <w:t>Action nº 13: combler les failles juridiques concernant les précurseurs sur mesure</w:t>
      </w:r>
    </w:p>
    <w:p w14:paraId="6DA664D9" w14:textId="77777777" w:rsidR="00680937" w:rsidRPr="00EE131B" w:rsidRDefault="00680937" w:rsidP="00680937">
      <w:pPr>
        <w:pStyle w:val="ListParagraph"/>
        <w:spacing w:after="0" w:line="252" w:lineRule="auto"/>
        <w:ind w:left="360"/>
        <w:jc w:val="both"/>
        <w:rPr>
          <w:rFonts w:ascii="Times New Roman" w:hAnsi="Times New Roman" w:cs="Times New Roman"/>
          <w:i/>
          <w:noProof/>
          <w:sz w:val="24"/>
          <w:lang w:val="fr-BE"/>
        </w:rPr>
      </w:pPr>
    </w:p>
    <w:p w14:paraId="2377B7EC" w14:textId="1AB7C263" w:rsidR="00680937" w:rsidRPr="00CB4B7C" w:rsidRDefault="00680937" w:rsidP="009D5C5F">
      <w:pPr>
        <w:spacing w:after="240" w:line="252" w:lineRule="auto"/>
        <w:jc w:val="both"/>
        <w:rPr>
          <w:rFonts w:ascii="Times New Roman" w:eastAsia="Times New Roman" w:hAnsi="Times New Roman" w:cs="Times New Roman"/>
          <w:i/>
          <w:iCs/>
          <w:noProof/>
          <w:sz w:val="24"/>
          <w:szCs w:val="24"/>
        </w:rPr>
      </w:pPr>
      <w:r>
        <w:rPr>
          <w:rFonts w:ascii="Times New Roman" w:hAnsi="Times New Roman"/>
          <w:i/>
          <w:noProof/>
          <w:sz w:val="24"/>
        </w:rPr>
        <w:t>Acteurs principaux: Commission, États membres, Parlement et Conseil</w:t>
      </w:r>
    </w:p>
    <w:p w14:paraId="7189EA81" w14:textId="258DE250" w:rsidR="00A400B5" w:rsidRPr="00CB4B7C" w:rsidRDefault="00A400B5" w:rsidP="009D5C5F">
      <w:pPr>
        <w:pStyle w:val="Subject"/>
        <w:tabs>
          <w:tab w:val="left" w:pos="3948"/>
        </w:tabs>
        <w:spacing w:after="240"/>
        <w:ind w:left="0" w:firstLine="0"/>
        <w:contextualSpacing w:val="0"/>
        <w:jc w:val="both"/>
        <w:rPr>
          <w:b w:val="0"/>
          <w:noProof/>
        </w:rPr>
      </w:pPr>
      <w:r>
        <w:rPr>
          <w:b w:val="0"/>
          <w:noProof/>
        </w:rPr>
        <w:t>La sophistication de la production de drogues de synthèse dans l’UE s’est accrue, les réseaux criminels exploitant les failles juridiques en utilisant des précurseurs sur mesure. Ces substances sont analogues, du point de vue chimique, aux précurseurs classifiés, mais leur utilisation n’est pas légitime en dehors de la recherche et de l’innovation. En recourant à des précurseurs sur mesure qui ne sont pas soumis aux mesures de contrôle existantes, les trafiquants peuvent assurer une production à grande échelle et se soustraire à la détection et à l’application de la réglementation.</w:t>
      </w:r>
    </w:p>
    <w:p w14:paraId="52F64708" w14:textId="4F5AE72F" w:rsidR="00A400B5" w:rsidRPr="00CB4B7C" w:rsidRDefault="1EF24003" w:rsidP="009D5C5F">
      <w:pPr>
        <w:pStyle w:val="Subject"/>
        <w:tabs>
          <w:tab w:val="left" w:pos="3948"/>
        </w:tabs>
        <w:spacing w:after="240"/>
        <w:ind w:left="0" w:firstLine="0"/>
        <w:contextualSpacing w:val="0"/>
        <w:jc w:val="both"/>
        <w:rPr>
          <w:b w:val="0"/>
          <w:noProof/>
        </w:rPr>
      </w:pPr>
      <w:r>
        <w:rPr>
          <w:b w:val="0"/>
          <w:noProof/>
        </w:rPr>
        <w:t>Afin de combler les failles juridiques, la Commission invite les colégislateurs à adopter dès que possible un cadre juridique révisé sur les précurseurs de drogues</w:t>
      </w:r>
      <w:r>
        <w:rPr>
          <w:rStyle w:val="FootnoteReference0"/>
          <w:b w:val="0"/>
          <w:noProof/>
        </w:rPr>
        <w:footnoteReference w:id="13"/>
      </w:r>
      <w:r>
        <w:rPr>
          <w:b w:val="0"/>
          <w:noProof/>
        </w:rPr>
        <w:t xml:space="preserve">. Ce cadre vise à surmonter les limites du système actuel et à mieux réagir aux tactiques changeantes des réseaux criminels. Il introduira des règles particulières pour les précurseurs sur mesure, tout en préservant le commerce légal de ces substances et en soutenant la recherche et l’innovation légitimes les concernant. Un répertoire d’informations permettra aux autorités et aux opérateurs économiques de disposer d’informations sur les substances susceptibles de servir de précurseurs, même si elles ne sont pas énumérées dans les annexes du nouveau règlement sur les précurseurs de drogues, ce qui permettra aux autorités nationales de mieux réagir et aidera le secteur à détecter les transactions suspectes. </w:t>
      </w:r>
    </w:p>
    <w:p w14:paraId="4D0FD499" w14:textId="1CEC6B93" w:rsidR="00A400B5" w:rsidRPr="00CB4B7C" w:rsidRDefault="00241740" w:rsidP="008D56BA">
      <w:pPr>
        <w:pStyle w:val="Subject"/>
        <w:tabs>
          <w:tab w:val="left" w:pos="3948"/>
        </w:tabs>
        <w:spacing w:after="240"/>
        <w:ind w:left="0" w:firstLine="0"/>
        <w:contextualSpacing w:val="0"/>
        <w:jc w:val="both"/>
        <w:rPr>
          <w:b w:val="0"/>
          <w:noProof/>
        </w:rPr>
      </w:pPr>
      <w:r>
        <w:rPr>
          <w:b w:val="0"/>
          <w:noProof/>
        </w:rPr>
        <w:t>Dans le même temps, la Commission approfondira la coopération structurée avec l’industrie chimique, reconnaissant ainsi son rôle essentiel dans la détection et la prévention du détournement de substances licites vers la production de drogues illicites.</w:t>
      </w:r>
    </w:p>
    <w:p w14:paraId="72EDECC3" w14:textId="34EFF3F0" w:rsidR="00680937" w:rsidRPr="00CB4B7C" w:rsidRDefault="58DD0293" w:rsidP="5F5AE16B">
      <w:pPr>
        <w:spacing w:after="0" w:line="252" w:lineRule="auto"/>
        <w:jc w:val="both"/>
        <w:rPr>
          <w:rFonts w:ascii="Times New Roman" w:hAnsi="Times New Roman" w:cs="Times New Roman"/>
          <w:b/>
          <w:i/>
          <w:noProof/>
          <w:sz w:val="24"/>
          <w:szCs w:val="24"/>
        </w:rPr>
      </w:pPr>
      <w:r>
        <w:rPr>
          <w:rFonts w:ascii="Times New Roman" w:hAnsi="Times New Roman"/>
          <w:b/>
          <w:i/>
          <w:noProof/>
          <w:sz w:val="24"/>
        </w:rPr>
        <w:t>Action nº 14: améliorer l’identification des substances en vue de l’interception efficace des drogues et des précurseurs de drogues</w:t>
      </w:r>
    </w:p>
    <w:p w14:paraId="2CA0F1E6" w14:textId="77777777" w:rsidR="00680937" w:rsidRPr="00EE131B" w:rsidRDefault="00680937" w:rsidP="00680937">
      <w:pPr>
        <w:pStyle w:val="ListParagraph"/>
        <w:spacing w:after="0" w:line="252" w:lineRule="auto"/>
        <w:ind w:left="360"/>
        <w:jc w:val="both"/>
        <w:rPr>
          <w:rFonts w:ascii="Times New Roman" w:hAnsi="Times New Roman" w:cs="Times New Roman"/>
          <w:i/>
          <w:noProof/>
          <w:sz w:val="24"/>
          <w:lang w:val="fr-BE"/>
        </w:rPr>
      </w:pPr>
    </w:p>
    <w:p w14:paraId="356CBE2D" w14:textId="16A16717" w:rsidR="00680937" w:rsidRPr="00CB4B7C" w:rsidRDefault="00680937"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 xml:space="preserve">Acteurs principaux: EUDA, États membres </w:t>
      </w:r>
    </w:p>
    <w:p w14:paraId="2946A593" w14:textId="5883BCC6" w:rsidR="00A400B5" w:rsidRPr="00CB4B7C" w:rsidRDefault="1EF24003" w:rsidP="009D5C5F">
      <w:pPr>
        <w:pStyle w:val="Subject"/>
        <w:tabs>
          <w:tab w:val="left" w:pos="3948"/>
        </w:tabs>
        <w:spacing w:after="240"/>
        <w:ind w:left="0" w:firstLine="0"/>
        <w:contextualSpacing w:val="0"/>
        <w:jc w:val="both"/>
        <w:rPr>
          <w:b w:val="0"/>
          <w:noProof/>
        </w:rPr>
      </w:pPr>
      <w:r>
        <w:rPr>
          <w:b w:val="0"/>
          <w:noProof/>
        </w:rPr>
        <w:t xml:space="preserve">L’identification précise et en temps utile des substances illicites est essentielle pour que les efforts d’interception des drogues, aux frontières et au sein du marché intérieur, portent leurs fruits. Comme les réseaux criminels continuent de diversifier la composition chimique des drogues, en particulier celles de synthèse, les douanes et les services répressifs ont des difficultés croissantes à les détecter et à les classifier, y compris lorsqu’il s’agit d’identifier des précurseurs sur mesure. </w:t>
      </w:r>
    </w:p>
    <w:p w14:paraId="164AC296" w14:textId="69147084" w:rsidR="00A400B5" w:rsidRPr="00CB4B7C" w:rsidRDefault="2B625178" w:rsidP="009D5C5F">
      <w:pPr>
        <w:pStyle w:val="Subject"/>
        <w:tabs>
          <w:tab w:val="left" w:pos="3948"/>
        </w:tabs>
        <w:spacing w:after="240"/>
        <w:ind w:left="0" w:firstLine="0"/>
        <w:contextualSpacing w:val="0"/>
        <w:jc w:val="both"/>
        <w:rPr>
          <w:b w:val="0"/>
          <w:noProof/>
        </w:rPr>
      </w:pPr>
      <w:r>
        <w:rPr>
          <w:b w:val="0"/>
          <w:noProof/>
        </w:rPr>
        <w:t>Pour y remédier, l’EUDA collaborera avec son nouveau réseau européen de laboratoires pour constituer une base de données européenne complète sur les substances, afin de disposer de substances de référence. Cette base de données contiendra des signatures chimiques vérifiées, des données spectrales et des profils analytiques de substances psychoactives réglementées et émergentes, ainsi que de précurseurs de drogues et de précurseurs potentiels.</w:t>
      </w:r>
    </w:p>
    <w:p w14:paraId="4D17A139" w14:textId="0D99007B" w:rsidR="00A400B5" w:rsidRPr="00CB4B7C" w:rsidRDefault="6FD5E2ED" w:rsidP="00AB6F4B">
      <w:pPr>
        <w:pStyle w:val="Subject"/>
        <w:tabs>
          <w:tab w:val="left" w:pos="3948"/>
        </w:tabs>
        <w:spacing w:after="240"/>
        <w:ind w:left="0" w:firstLine="0"/>
        <w:contextualSpacing w:val="0"/>
        <w:jc w:val="both"/>
        <w:rPr>
          <w:b w:val="0"/>
          <w:noProof/>
        </w:rPr>
      </w:pPr>
      <w:r>
        <w:rPr>
          <w:b w:val="0"/>
          <w:noProof/>
        </w:rPr>
        <w:t>Lorsqu’elle sera en service, elle permettra aux autorités répressives et douanières des États membres de procéder immédiatement à une identification plus rapide et plus précise des drogues et des précurseurs, au moyen d’appareils de détection électroniques, notamment des technologies portatives et en laboratoire. En donnant accès en temps réel à des données de référence harmonisées, la bibliothèque de substances réduira au minimum les identifications tardives, améliorera la précision de la police scientifique et augmentera la valeur probante dans les procédures judiciaires. Un déploiement plus large des appareils de détection portatifs, dans toute l’UE, pour le personnel des services répressifs et des douanes amplifiera encore les effets de cette initiative.</w:t>
      </w:r>
    </w:p>
    <w:p w14:paraId="03C12AB1" w14:textId="235C632D" w:rsidR="00680937" w:rsidRPr="00CB4B7C" w:rsidRDefault="00680937" w:rsidP="00680937">
      <w:pPr>
        <w:spacing w:after="0" w:line="252" w:lineRule="auto"/>
        <w:jc w:val="both"/>
        <w:rPr>
          <w:rFonts w:ascii="Times New Roman" w:hAnsi="Times New Roman" w:cs="Times New Roman"/>
          <w:b/>
          <w:i/>
          <w:noProof/>
          <w:sz w:val="24"/>
        </w:rPr>
      </w:pPr>
      <w:r>
        <w:rPr>
          <w:rFonts w:ascii="Times New Roman" w:hAnsi="Times New Roman"/>
          <w:b/>
          <w:i/>
          <w:noProof/>
          <w:sz w:val="24"/>
        </w:rPr>
        <w:t>Action nº 15: fournir un manuel commun pour le démantèlement des sites de production de drogues de synthèse illicites</w:t>
      </w:r>
    </w:p>
    <w:p w14:paraId="248F82D2" w14:textId="77777777" w:rsidR="00680937" w:rsidRPr="00EE131B" w:rsidRDefault="00680937" w:rsidP="00680937">
      <w:pPr>
        <w:pStyle w:val="ListParagraph"/>
        <w:spacing w:after="0" w:line="252" w:lineRule="auto"/>
        <w:ind w:left="360"/>
        <w:jc w:val="both"/>
        <w:rPr>
          <w:rFonts w:ascii="Times New Roman" w:hAnsi="Times New Roman" w:cs="Times New Roman"/>
          <w:i/>
          <w:noProof/>
          <w:sz w:val="24"/>
          <w:lang w:val="fr-BE"/>
        </w:rPr>
      </w:pPr>
    </w:p>
    <w:p w14:paraId="309A86CF" w14:textId="37D5A6E0" w:rsidR="00680937" w:rsidRPr="00CB4B7C" w:rsidRDefault="00680937"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 xml:space="preserve">Acteurs principaux: Europol, EUDA, CEPOL, États membres </w:t>
      </w:r>
    </w:p>
    <w:p w14:paraId="546A6400" w14:textId="26DE72E7" w:rsidR="00F97DEC" w:rsidRPr="00CB4B7C" w:rsidRDefault="00C00B9D" w:rsidP="009D5C5F">
      <w:pPr>
        <w:pStyle w:val="Subject"/>
        <w:tabs>
          <w:tab w:val="left" w:pos="3948"/>
        </w:tabs>
        <w:spacing w:after="240"/>
        <w:ind w:left="0" w:firstLine="0"/>
        <w:contextualSpacing w:val="0"/>
        <w:jc w:val="both"/>
        <w:rPr>
          <w:b w:val="0"/>
          <w:noProof/>
        </w:rPr>
      </w:pPr>
      <w:r>
        <w:rPr>
          <w:b w:val="0"/>
          <w:noProof/>
        </w:rPr>
        <w:t>Le démantèlement des laboratoires clandestins de drogues de synthèse pose d’importants problèmes, en raison de la complexité et de la volatilité des substances chimiques, ainsi que des risques qu’il entraîne pour la santé publique, pou le personnel des services répressifs et pour l’environnement. Ces laboratoires utilisent souvent du matériel artisanal et stockent des précurseurs chimiques dangereux ou des sous-produits toxiques qui nécessitent une manipulation spéciale.</w:t>
      </w:r>
    </w:p>
    <w:p w14:paraId="3C704FDD" w14:textId="51A93317" w:rsidR="00A720B7" w:rsidRPr="00F27F7E" w:rsidRDefault="7642D906" w:rsidP="00A720B7">
      <w:pPr>
        <w:pStyle w:val="Subject"/>
        <w:tabs>
          <w:tab w:val="left" w:pos="3948"/>
        </w:tabs>
        <w:ind w:left="0" w:firstLine="0"/>
        <w:jc w:val="both"/>
        <w:rPr>
          <w:b w:val="0"/>
          <w:noProof/>
        </w:rPr>
      </w:pPr>
      <w:r>
        <w:rPr>
          <w:b w:val="0"/>
          <w:noProof/>
        </w:rPr>
        <w:t>Pour que l’action de l’UE soit cohérente, sûre et efficace, Europol, en collaboration avec l’EUDA, élaborera des lignes directrices harmonisées pour le démantèlement des laboratoires de drogues de synthèse illicites, le transport des substances et l’élimination en toute sécurité des produits chimiques connexes, conformément aux conclusions du Conseil sur le pacte de 2025 visant à lutter contre les drogues de synthèse et les nouvelles substances psychoactives</w:t>
      </w:r>
      <w:r>
        <w:rPr>
          <w:rStyle w:val="FootnoteReference0"/>
          <w:b w:val="0"/>
          <w:noProof/>
        </w:rPr>
        <w:footnoteReference w:id="14"/>
      </w:r>
      <w:r>
        <w:rPr>
          <w:b w:val="0"/>
          <w:noProof/>
        </w:rPr>
        <w:t xml:space="preserve">. Ces lignes directrices établiront des protocoles standard applicables dans tous les États membres, indépendamment des différences locales en matière d’infrastructures ou de ressources. En outre, les États membres sont encouragés à tirer parti de l’expertise d’Europol et à former correctement les agents des services répressifs, notamment par l’intermédiaire du CEPOL. </w:t>
      </w:r>
    </w:p>
    <w:p w14:paraId="4511CE5B" w14:textId="3BB4958C" w:rsidR="53598B0E" w:rsidRPr="00EE131B" w:rsidRDefault="53598B0E" w:rsidP="00170B09">
      <w:pPr>
        <w:pStyle w:val="Subject"/>
        <w:tabs>
          <w:tab w:val="left" w:pos="3948"/>
        </w:tabs>
        <w:spacing w:after="240"/>
        <w:ind w:left="0" w:firstLine="0"/>
        <w:contextualSpacing w:val="0"/>
        <w:jc w:val="both"/>
        <w:rPr>
          <w:b w:val="0"/>
          <w:noProof/>
          <w:lang w:val="fr-BE"/>
        </w:rPr>
      </w:pPr>
    </w:p>
    <w:p w14:paraId="7810F960" w14:textId="59E9214C" w:rsidR="005203A6" w:rsidRPr="00CB4B7C" w:rsidRDefault="009C0CCD" w:rsidP="00680937">
      <w:pPr>
        <w:pStyle w:val="Style2"/>
        <w:rPr>
          <w:noProof/>
        </w:rPr>
      </w:pPr>
      <w:r>
        <w:rPr>
          <w:b w:val="0"/>
          <w:noProof/>
        </w:rPr>
        <w:t xml:space="preserve"> </w:t>
      </w:r>
      <w:r>
        <w:rPr>
          <w:noProof/>
        </w:rPr>
        <w:t>Faire avancer la recherche, le développement et l’innovation</w:t>
      </w:r>
    </w:p>
    <w:p w14:paraId="60505C27" w14:textId="77777777" w:rsidR="00680937" w:rsidRPr="00CB4B7C" w:rsidRDefault="00680937" w:rsidP="005D202C">
      <w:pPr>
        <w:pStyle w:val="Style2"/>
        <w:numPr>
          <w:ilvl w:val="0"/>
          <w:numId w:val="0"/>
        </w:numPr>
        <w:rPr>
          <w:noProof/>
        </w:rPr>
      </w:pPr>
    </w:p>
    <w:p w14:paraId="10919C13" w14:textId="60A15C9A"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 xml:space="preserve">L’UE et les États membres devraient combler l’écart entre les besoins des services répressifs et l’innovation en matière de sécurité. Il s’agit notamment de recenser les besoins technologiques prioritaires et d’harmoniser les efforts de la recherche et ceux de l’industrie. Grâce à cette approche, des outils et des solutions de pointe soutiendront directement l’action de première ligne contre la criminalité organisée et le trafic de drogue. </w:t>
      </w:r>
    </w:p>
    <w:p w14:paraId="6DF97EAC" w14:textId="50DF2C4F" w:rsidR="00A31FBF" w:rsidRPr="00CB4B7C" w:rsidRDefault="00557B71" w:rsidP="009D5C5F">
      <w:pPr>
        <w:pStyle w:val="Subject"/>
        <w:tabs>
          <w:tab w:val="left" w:pos="3948"/>
        </w:tabs>
        <w:spacing w:after="240"/>
        <w:ind w:left="0" w:firstLine="0"/>
        <w:contextualSpacing w:val="0"/>
        <w:jc w:val="both"/>
        <w:rPr>
          <w:b w:val="0"/>
          <w:noProof/>
        </w:rPr>
      </w:pPr>
      <w:r>
        <w:rPr>
          <w:b w:val="0"/>
          <w:noProof/>
        </w:rPr>
        <w:t xml:space="preserve">Le rapport sur l’évaluation de la menace que représente la grande criminalité organisée dans l’UE, établi par Europol, souligne la faculté d’adaptation des groupes criminels organisés impliqués dans le trafic de drogue. Les réseaux sont prompts à adopter de nouvelles techniques de production, des méthodes de dissimulation et des technologies émergentes pour étendre leurs activités et échapper à la détection. Les services répressifs et les autorités douanières ont des difficultés croissantes à suivre le rythme de cette agilité technologique. L’écart entre l’innovation des criminels et les réponses sécuritaires créent des vulnérabilités que les trafiquants peuvent exploiter. </w:t>
      </w:r>
    </w:p>
    <w:p w14:paraId="14ED1E83" w14:textId="447F1D6E" w:rsidR="00434748" w:rsidRPr="00CB4B7C" w:rsidRDefault="00434748" w:rsidP="5184F081">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Action nº 16: aligner l’innovation sur les exigences opérationnelles pour lutter contre le trafic de drogue</w:t>
      </w:r>
    </w:p>
    <w:p w14:paraId="67B84BB3" w14:textId="77777777" w:rsidR="00434748" w:rsidRPr="00EE131B" w:rsidRDefault="00434748" w:rsidP="00434748">
      <w:pPr>
        <w:pStyle w:val="ListParagraph"/>
        <w:spacing w:after="0" w:line="252" w:lineRule="auto"/>
        <w:ind w:left="360"/>
        <w:jc w:val="both"/>
        <w:rPr>
          <w:rFonts w:ascii="Times New Roman" w:hAnsi="Times New Roman" w:cs="Times New Roman"/>
          <w:i/>
          <w:noProof/>
          <w:sz w:val="24"/>
          <w:lang w:val="fr-BE"/>
        </w:rPr>
      </w:pPr>
    </w:p>
    <w:p w14:paraId="243CFBA4" w14:textId="720E31A1" w:rsidR="00434748" w:rsidRPr="00CB4B7C" w:rsidRDefault="00434748"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Acteurs principaux: Commission, avec l’aide de la Communauté pour la recherche et l’innovation européennes en matière de sécurité et du pôle d’innovation de l’UE pour la sécurité intérieure, EUDA, États membres</w:t>
      </w:r>
    </w:p>
    <w:p w14:paraId="7AC73FD1" w14:textId="7F200DFD" w:rsidR="0024489D" w:rsidRPr="00CB4B7C" w:rsidRDefault="5E70E5A4" w:rsidP="0019779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Comme les réseaux de trafic de drogue profitent de plus en plus des technologies émergentes et des communications cryptées, il est primordial de disposer de solutions de sécurité évolutives qui soient à la hauteur de leur agilité. Pour maintenir l’Europe à l’avant-garde de cette lutte, il est indispensable de combler l’écart entre les besoins des services répressifs et l’innovation dans le secteur de la sécurité.</w:t>
      </w:r>
    </w:p>
    <w:p w14:paraId="3C18E48C" w14:textId="5D14350F" w:rsidR="00150264" w:rsidRPr="00CB4B7C" w:rsidRDefault="5E70E5A4" w:rsidP="0019779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À cette fin, la Commission, aidée par la Communauté pour la recherche et l’innovation européennes en matière de sécurité et par le pôle d’innovation de l’UE pour la sécurité intérieure, lancera une consultation coordonnée pour déterminer les besoins technologiques et opérationnels les plus urgents pour combattre la criminalité organisée, dont le trafic de drogue. Cette consultation permettra de recueillir les contributions des praticiens, des services répressifs, des autorités douanières, des experts en criminalistique et des analystes du renseignement dans toute l’UE. </w:t>
      </w:r>
    </w:p>
    <w:p w14:paraId="3BC432AB" w14:textId="6C66309C" w:rsidR="003F1FD1" w:rsidRDefault="003F1FD1"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du pôle d’innovation de l’UE pour la sécurité intérieure, l’EUDA, avec le soutien d’Europol, de Frontex et du Centre commun de recherche (JRC), effectue des analyses de prospective technologique, destinées à évaluer l’incidence des technologies nouvelles et émergentes sur le secteur de la drogue, pour compléter les mesures en matière de sécurité et de répression.</w:t>
      </w:r>
    </w:p>
    <w:p w14:paraId="1361581F" w14:textId="13313A51" w:rsidR="00A96D7F" w:rsidRDefault="00781B31" w:rsidP="00197797">
      <w:pPr>
        <w:spacing w:after="240" w:line="240" w:lineRule="auto"/>
        <w:jc w:val="both"/>
        <w:rPr>
          <w:rFonts w:ascii="Times New Roman" w:eastAsia="Times New Roman" w:hAnsi="Times New Roman" w:cs="Times New Roman"/>
          <w:noProof/>
          <w:color w:val="000000"/>
          <w:kern w:val="2"/>
          <w:sz w:val="24"/>
          <w:szCs w:val="24"/>
        </w:rPr>
      </w:pPr>
      <w:r>
        <w:rPr>
          <w:rFonts w:ascii="Times New Roman" w:hAnsi="Times New Roman"/>
          <w:noProof/>
          <w:color w:val="000000"/>
          <w:sz w:val="24"/>
        </w:rPr>
        <w:t xml:space="preserve">L’initiative actuelle </w:t>
      </w:r>
      <w:hyperlink r:id="rId15" w:history="1">
        <w:r>
          <w:rPr>
            <w:rStyle w:val="Hyperlink"/>
            <w:rFonts w:ascii="Times New Roman" w:hAnsi="Times New Roman"/>
            <w:noProof/>
            <w:sz w:val="24"/>
          </w:rPr>
          <w:t>JRC Border Security Lab</w:t>
        </w:r>
      </w:hyperlink>
      <w:r>
        <w:rPr>
          <w:rFonts w:ascii="Times New Roman" w:hAnsi="Times New Roman"/>
          <w:noProof/>
          <w:color w:val="000000"/>
          <w:sz w:val="24"/>
        </w:rPr>
        <w:t xml:space="preserve"> a permis de mettre en place un réseau de laboratoires très utile pour appuyer le contrôle aux frontières et les contrôles douaniers</w:t>
      </w:r>
      <w:r>
        <w:rPr>
          <w:noProof/>
        </w:rPr>
        <w:t>.</w:t>
      </w:r>
      <w:r>
        <w:rPr>
          <w:rFonts w:ascii="Times New Roman" w:hAnsi="Times New Roman"/>
          <w:noProof/>
          <w:color w:val="000000"/>
          <w:sz w:val="24"/>
        </w:rPr>
        <w:t xml:space="preserve"> Le réseau peut également aider à déterminer les besoins en vue d’améliorer la détection du trafic de drogue. </w:t>
      </w:r>
    </w:p>
    <w:p w14:paraId="26DA5DF6" w14:textId="7253C960" w:rsidR="00F7356E" w:rsidRPr="00CB4B7C" w:rsidRDefault="0024489D" w:rsidP="00197797">
      <w:pPr>
        <w:spacing w:after="240" w:line="240" w:lineRule="auto"/>
        <w:jc w:val="both"/>
        <w:rPr>
          <w:rFonts w:ascii="Times New Roman" w:eastAsia="Times New Roman" w:hAnsi="Times New Roman" w:cs="Times New Roman"/>
          <w:noProof/>
          <w:color w:val="000000"/>
          <w:kern w:val="2"/>
          <w:sz w:val="24"/>
          <w:szCs w:val="24"/>
        </w:rPr>
      </w:pPr>
      <w:r>
        <w:rPr>
          <w:rFonts w:ascii="Times New Roman" w:hAnsi="Times New Roman"/>
          <w:noProof/>
          <w:sz w:val="24"/>
        </w:rPr>
        <w:t>L’évaluation des besoins qui en résultera favorisera le dialogue avec le secteur de la sécurité et des technologies, en vue de l’alignement de la recherche et du développement sur les problèmes pratiques. Elle alimentera également le campus de la recherche et l’innovation en matière de sécurité de la Commission, que le JRC lancera en 2026. Ce campus réunira des chercheurs afin d’accélérer la transition de la recherche à l’innovation et à la mise en œuvre, tout en réduisant les coûts de développement, d’essai et de validation.</w:t>
      </w:r>
    </w:p>
    <w:p w14:paraId="31CD3048" w14:textId="62C6A28C" w:rsidR="005203A6" w:rsidRPr="00CB4B7C" w:rsidRDefault="005203A6" w:rsidP="00680937">
      <w:pPr>
        <w:pStyle w:val="Style2"/>
        <w:rPr>
          <w:noProof/>
        </w:rPr>
      </w:pPr>
      <w:r>
        <w:rPr>
          <w:noProof/>
        </w:rPr>
        <w:t xml:space="preserve"> Renforcer la coopération internationale et les partenariats</w:t>
      </w:r>
    </w:p>
    <w:p w14:paraId="6CA329B5" w14:textId="77777777" w:rsidR="00F7356E" w:rsidRPr="00CB4B7C" w:rsidRDefault="00F7356E" w:rsidP="00F7356E">
      <w:pPr>
        <w:pStyle w:val="Style2"/>
        <w:numPr>
          <w:ilvl w:val="0"/>
          <w:numId w:val="0"/>
        </w:numPr>
        <w:ind w:left="1494"/>
        <w:rPr>
          <w:noProof/>
        </w:rPr>
      </w:pPr>
    </w:p>
    <w:p w14:paraId="00C0F191" w14:textId="26FF0914"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Pour lutter contre les réseaux criminels organisés, l’UE et ses États membres devraient mener une action transnationale coordonnée, en étroite coopération avec les partenaires internationaux. La coopération stratégique et opérationnelle avec les pays tiers clés est indispensable pour déstabiliser les réseaux de trafic de drogue les plus dangereux. Cette coopération intégrera l’approche fondée sur les droits de l’homme, qui promeut le plein respect du droit international en la matière, notamment les principes d’égalité et de non-discrimination.</w:t>
      </w:r>
    </w:p>
    <w:p w14:paraId="3135F9B9" w14:textId="68E7ED90" w:rsidR="00496DE9" w:rsidRPr="00CB4B7C" w:rsidRDefault="2CF81B20" w:rsidP="00D037D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réseaux criminels opèrent souvent à l’échelle mondiale, à la recherche d’opportunités partout dans le monde. Ils se livrent au blanchiment d’argent et infiltrent des entreprises légitimes dans différents pays. Dans certains cas, leurs dirigeants sont stratégiquement basés à l’étranger afin de compliquer les enquêtes et d’échapper aux arrestations. </w:t>
      </w:r>
    </w:p>
    <w:p w14:paraId="2AB81EC1" w14:textId="581671B3" w:rsidR="007A4739" w:rsidRPr="00CB4B7C" w:rsidRDefault="00363396" w:rsidP="00BB7883">
      <w:pPr>
        <w:spacing w:before="240" w:after="0" w:line="252" w:lineRule="auto"/>
        <w:jc w:val="both"/>
        <w:rPr>
          <w:rFonts w:ascii="Times New Roman" w:hAnsi="Times New Roman" w:cs="Times New Roman"/>
          <w:b/>
          <w:bCs/>
          <w:i/>
          <w:iCs/>
          <w:noProof/>
          <w:sz w:val="24"/>
          <w:szCs w:val="24"/>
        </w:rPr>
      </w:pPr>
      <w:bookmarkStart w:id="9" w:name="_Hlk213855504"/>
      <w:r>
        <w:rPr>
          <w:rFonts w:ascii="Times New Roman" w:hAnsi="Times New Roman"/>
          <w:b/>
          <w:i/>
          <w:noProof/>
          <w:sz w:val="24"/>
        </w:rPr>
        <w:t xml:space="preserve">Action nº 17: développer et élargir le dialogue stratégique et les mécanismes de coopération avec les pays tiers </w:t>
      </w:r>
    </w:p>
    <w:p w14:paraId="16828B28" w14:textId="77777777" w:rsidR="007A4739" w:rsidRPr="00EE131B" w:rsidRDefault="007A4739" w:rsidP="007A4739">
      <w:pPr>
        <w:spacing w:after="0" w:line="252" w:lineRule="auto"/>
        <w:jc w:val="both"/>
        <w:rPr>
          <w:rFonts w:ascii="Times New Roman" w:hAnsi="Times New Roman" w:cs="Times New Roman"/>
          <w:b/>
          <w:bCs/>
          <w:i/>
          <w:iCs/>
          <w:noProof/>
          <w:sz w:val="24"/>
          <w:szCs w:val="24"/>
          <w:lang w:val="fr-BE"/>
        </w:rPr>
      </w:pPr>
    </w:p>
    <w:p w14:paraId="48A7A178" w14:textId="79F3B60D" w:rsidR="004103EF" w:rsidRPr="0051103B" w:rsidRDefault="4733CA64" w:rsidP="009D5C5F">
      <w:pPr>
        <w:spacing w:after="240" w:line="252" w:lineRule="auto"/>
        <w:jc w:val="both"/>
        <w:rPr>
          <w:rFonts w:ascii="Times New Roman" w:hAnsi="Times New Roman" w:cs="Times New Roman"/>
          <w:i/>
          <w:iCs/>
          <w:noProof/>
        </w:rPr>
      </w:pPr>
      <w:r>
        <w:rPr>
          <w:rFonts w:ascii="Times New Roman" w:hAnsi="Times New Roman"/>
          <w:i/>
          <w:noProof/>
          <w:sz w:val="24"/>
        </w:rPr>
        <w:t>Acteurs principaux: Commission, en coopération avec le SEAE, Conseil</w:t>
      </w:r>
    </w:p>
    <w:p w14:paraId="5F32BC74" w14:textId="435F40B9" w:rsidR="00F4570C" w:rsidRPr="00CB4B7C" w:rsidRDefault="0055686B" w:rsidP="00223BC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trafic de drogue sera au cœur du dialogue stratégique de l’UE avec les pays tiers, puisque l’UE entend promouvoir, pour la politique en matière de drogue, une approche intégrée, équilibrée et fondée sur des données probantes, alignée sur le droit international et les normes en matière de droits de l’homme. Cette approche appuiera le plan d’action de l’UE en faveur des droits de l’homme et de la démocratie 2020-2027</w:t>
      </w:r>
      <w:r>
        <w:rPr>
          <w:rStyle w:val="FootnoteReference0"/>
          <w:rFonts w:ascii="Times New Roman" w:eastAsia="Times New Roman" w:hAnsi="Times New Roman" w:cs="Times New Roman"/>
          <w:noProof/>
          <w:sz w:val="24"/>
          <w:szCs w:val="24"/>
          <w:lang w:eastAsia="en-GB"/>
        </w:rPr>
        <w:footnoteReference w:id="15"/>
      </w:r>
      <w:r>
        <w:rPr>
          <w:rFonts w:ascii="Times New Roman" w:hAnsi="Times New Roman"/>
          <w:noProof/>
          <w:sz w:val="24"/>
        </w:rPr>
        <w:t xml:space="preserve"> et les conclusions du Conseil sur une approche fondée sur les droits de l’homme dans les politiques en matière de drogue</w:t>
      </w:r>
      <w:r>
        <w:rPr>
          <w:rStyle w:val="FootnoteReference0"/>
          <w:rFonts w:ascii="Times New Roman" w:hAnsi="Times New Roman" w:cs="Times New Roman"/>
          <w:noProof/>
          <w:sz w:val="24"/>
          <w:szCs w:val="24"/>
          <w:lang w:val="en-GB"/>
        </w:rPr>
        <w:footnoteReference w:id="16"/>
      </w:r>
      <w:r>
        <w:rPr>
          <w:rFonts w:ascii="Times New Roman" w:hAnsi="Times New Roman"/>
          <w:noProof/>
          <w:sz w:val="24"/>
        </w:rPr>
        <w:t xml:space="preserve">, pour accroître la capacité collective à affronter les défis mondiaux liés à la production de drogues illicites, au trafic de drogue et à la criminalité organisée. </w:t>
      </w:r>
    </w:p>
    <w:p w14:paraId="1C412AD9" w14:textId="03900187" w:rsidR="00A721CE" w:rsidRPr="00CB4B7C" w:rsidRDefault="0055686B" w:rsidP="00223BC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L’UE poursuivra et élargira ses dialogues sur la drogue avec ses partenaires des Balkans occidentaux, d’Amérique latine, des Caraïbes, d’Asie centrale et, au niveau bilatéral, avec les États-Unis, la Chine et la Colombie. Ces dialogues seront axés sur le recensement des menaces communes liées au trafic de drogue et sur la définition de priorités communes, ainsi que sur la transformation de ces dernières en mesures opérationnelles concrètes et en actions conjointes. Les problèmes spécifiques à chaque région ou pays, tels que le fait d’être des plaques tournantes pour le trafic de drogue et de précurseurs, les questions liées à la production de drogue, ainsi que les activités de la criminalité organisée transnationale, détermineront les priorités thématiques. Lorsque les conditions le permettront, l’UE envisagera des cadres politiques plus avancés et plus complets, tels que l’alliance pour la sécurité des citoyens formée par l’UE, l’Amérique latine et les Caraïbes. L’UE associera autant que possible à ces préparatifs les délégations de l’UE concernées.</w:t>
      </w:r>
    </w:p>
    <w:p w14:paraId="49587374" w14:textId="14CBEF69" w:rsidR="00197DC1" w:rsidRPr="00CB4B7C" w:rsidRDefault="0055686B" w:rsidP="009D5C5F">
      <w:pPr>
        <w:spacing w:after="240" w:line="252" w:lineRule="auto"/>
        <w:jc w:val="both"/>
        <w:rPr>
          <w:rFonts w:ascii="Times New Roman" w:hAnsi="Times New Roman" w:cs="Times New Roman"/>
          <w:b/>
          <w:bCs/>
          <w:i/>
          <w:iCs/>
          <w:noProof/>
          <w:sz w:val="24"/>
          <w:szCs w:val="24"/>
        </w:rPr>
      </w:pPr>
      <w:r>
        <w:rPr>
          <w:rFonts w:ascii="Times New Roman" w:hAnsi="Times New Roman"/>
          <w:noProof/>
          <w:sz w:val="24"/>
        </w:rPr>
        <w:t>En outre, l’UE étudiera les possibilités de nouveaux dialogues avec d’autres pays et régions prioritaires qui sont fortement touchés par les effets néfastes du trafic de drogue. Grâce à ces partenariats renforcés, l’UE entend approfondir la coopération stratégique et opérationnelle, améliorer l’échange d’informations et le développement mutuel des capacités, et renforcer la coordination internationale afin de lutter contre le trafic de manière efficace et coordonnée.</w:t>
      </w:r>
      <w:bookmarkEnd w:id="9"/>
    </w:p>
    <w:p w14:paraId="033E7AB6" w14:textId="24F3D2D1" w:rsidR="00434748" w:rsidRPr="00CB4B7C" w:rsidRDefault="00434748" w:rsidP="6A5E7FBC">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 xml:space="preserve">Action nº 18: accroître la résilience des ports dans les pays tiers afin d’enrayer le trafic de drogue </w:t>
      </w:r>
    </w:p>
    <w:p w14:paraId="62D75D75" w14:textId="4C385622" w:rsidR="007374EE" w:rsidRPr="00CB4B7C" w:rsidRDefault="00434748" w:rsidP="009D5C5F">
      <w:pPr>
        <w:spacing w:before="240" w:after="240" w:line="240" w:lineRule="auto"/>
        <w:jc w:val="both"/>
        <w:rPr>
          <w:rFonts w:ascii="Times New Roman" w:hAnsi="Times New Roman" w:cs="Times New Roman"/>
          <w:i/>
          <w:noProof/>
          <w:sz w:val="24"/>
          <w:szCs w:val="24"/>
        </w:rPr>
      </w:pPr>
      <w:r>
        <w:rPr>
          <w:rFonts w:ascii="Times New Roman" w:hAnsi="Times New Roman"/>
          <w:i/>
          <w:noProof/>
          <w:sz w:val="24"/>
        </w:rPr>
        <w:t xml:space="preserve">Acteurs principaux: Commission, en coopération avec le SEAE, Europol, États membres </w:t>
      </w:r>
    </w:p>
    <w:p w14:paraId="143EAC44" w14:textId="3BB4BD00" w:rsidR="0039190B" w:rsidRPr="00CB4B7C" w:rsidRDefault="0039190B" w:rsidP="009D5C5F">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Les réseaux de trafic de drogue opérant à l’échelle mondiale, les grands ports maritimes des pays tiers sont devenus des points de transit essentiels pour les expéditions de drogues illicites à destination de l’UE. Ces plateformes logistiques sont souvent ciblées et exploitées par les organisations criminelles en raison des points faibles que présentent les infrastructures, la surveillance et la gouvernance. Il est indispensable d’accroître la résilience de ces ports pour désorganiser les filières de trafic à leur source et pour protéger la sécurité intérieure de l’UE et l’intégrité des chaînes d’approvisionnement mondiales.</w:t>
      </w:r>
    </w:p>
    <w:p w14:paraId="43636B0B" w14:textId="330E86EF" w:rsidR="0039190B" w:rsidRPr="00CB4B7C" w:rsidRDefault="6BA01405" w:rsidP="005568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de la stratégie européenne de sécurité intérieure ProtectEU et de la future stratégie portuaire de l’UE, la Commission, en coopération avec le SEAE, étudiera la possibilité de partenariats entre plusieurs acteurs pour renforcer la résilience dans les ports et sur les routes commerciales, en particulier sur les routes transatlantiques, et entreprendra des évaluations conjointes ciblées dans certains ports de pays tiers à haut risque. Ces ports seront choisis sur la base d’une analyse globale des menaces et des risques, intégrant du renseignement stratégique, des facteurs géopolitiques et le niveau des activités de trafic. Ce processus comportera une coordination étroite avec Europol, les délégations de l’UE et les partenaires internationaux concernés, afin d’assurer des actions ciblées et efficaces contre le trafic de drogue. La sélection et les évaluations nécessiteront en outre une coopération avec les officiers de liaison des États membres dans ces pays et la mise à profit de leurs connaissances et de leur expérience du terrain, pour améliorer les évaluations de la menace et l’efficacité globale des efforts conjoints.</w:t>
      </w:r>
    </w:p>
    <w:p w14:paraId="410EABCE" w14:textId="1A80F51C" w:rsidR="005402E2" w:rsidRPr="00CB4B7C" w:rsidRDefault="33F293BC" w:rsidP="0055686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Ces évaluations conjointes impliqueront une coopération étroite avec les douanes, les services répressifs et les autorités portuaires des pays hôtes. L’objectif est de repérer les méthodes de trafic, d’améliorer les procédures de contrôle et de partager l’expertise en matière de reconnaissance des cargaisons suspectes et des techniques de dissimulation. L’initiative vise également à développer les capacités de sécurité à long terme dans les ports partenaires, à les aider à appliquer les normes internationales, à moderniser les technologies d’inspection et à mieux résister à l’infiltration par les réseaux criminels. En renforçant l’architecture de sécurité des principales portes d’entrée logistiques à l’étranger, cette action constituera un mécanisme de défense avancée, perturbant les flux de trafic de drogue avant qu’ils n’atteignent l’Europe et contribuant à des routes commerciales mondiales plus sûres.</w:t>
      </w:r>
    </w:p>
    <w:p w14:paraId="6F32197D" w14:textId="47A7AB9E" w:rsidR="00434748" w:rsidRPr="00CB4B7C" w:rsidRDefault="00434748" w:rsidP="004A58F7">
      <w:pPr>
        <w:spacing w:after="0" w:line="252" w:lineRule="auto"/>
        <w:jc w:val="both"/>
        <w:rPr>
          <w:rFonts w:ascii="Times New Roman" w:hAnsi="Times New Roman" w:cs="Times New Roman"/>
          <w:b/>
          <w:i/>
          <w:noProof/>
          <w:sz w:val="24"/>
        </w:rPr>
      </w:pPr>
      <w:r>
        <w:rPr>
          <w:rFonts w:ascii="Times New Roman" w:hAnsi="Times New Roman"/>
          <w:b/>
          <w:i/>
          <w:noProof/>
          <w:sz w:val="24"/>
        </w:rPr>
        <w:t>Action nº 19: renforcer la coopération internationale par des enquêtes conjointes et des centres de regroupement du renseignement</w:t>
      </w:r>
    </w:p>
    <w:p w14:paraId="1D7C2250" w14:textId="46DE40E6" w:rsidR="00AC20F2" w:rsidRPr="00CB4B7C" w:rsidRDefault="00434748" w:rsidP="009D5C5F">
      <w:pPr>
        <w:spacing w:before="240" w:after="240" w:line="240" w:lineRule="auto"/>
        <w:jc w:val="both"/>
        <w:rPr>
          <w:rFonts w:ascii="Times New Roman" w:hAnsi="Times New Roman" w:cs="Times New Roman"/>
          <w:i/>
          <w:iCs/>
          <w:noProof/>
          <w:sz w:val="24"/>
          <w:szCs w:val="24"/>
        </w:rPr>
      </w:pPr>
      <w:r>
        <w:rPr>
          <w:rFonts w:ascii="Times New Roman" w:hAnsi="Times New Roman"/>
          <w:i/>
          <w:noProof/>
          <w:sz w:val="24"/>
        </w:rPr>
        <w:t xml:space="preserve">Acteurs principaux: Commission, Europol, Eurojust, États membres </w:t>
      </w:r>
    </w:p>
    <w:p w14:paraId="1C51099B" w14:textId="6A819E69" w:rsidR="009D1632" w:rsidRPr="00F01234" w:rsidRDefault="00416AC5" w:rsidP="009D1632">
      <w:pPr>
        <w:spacing w:after="240"/>
        <w:jc w:val="both"/>
        <w:rPr>
          <w:rFonts w:ascii="Times New Roman" w:eastAsia="Times New Roman" w:hAnsi="Times New Roman" w:cs="Times New Roman"/>
          <w:noProof/>
          <w:sz w:val="24"/>
          <w:szCs w:val="24"/>
        </w:rPr>
      </w:pPr>
      <w:r>
        <w:rPr>
          <w:rFonts w:ascii="Times New Roman" w:hAnsi="Times New Roman"/>
          <w:noProof/>
          <w:sz w:val="24"/>
        </w:rPr>
        <w:t>Consciente de la nature transnationale du trafic de drogue moderne, l’UE doit renforcer la coopération internationale en matière répressive et judiciaire, dans le plein respect du droit international, afin de renforcer sa propre sécurité et celle de ses partenaires. Elle aidera les autorités des États membres à mettre en place et à renforcer des cellules d’enquête spéciales dans des pays tiers clés, ainsi que des équipes communes d’enquête (ECE), avec le soutien opérationnel d’Europol et d’Eurojust. Ces équipes permettront un échange de données en temps réel, la coordination des enquêtes entre les territoires et la constitution de dossiers solides contre les organisations criminelles, ce qui facilitera les poursuites tant au sein de l’UE que dans les pays partenaires. Dans le même temps, le développement des capacités demeurera un aspect important pour que les partenaires clés soient davantage en mesure de mener des enquêtes reposant sur le renseignement.</w:t>
      </w:r>
    </w:p>
    <w:p w14:paraId="0C050131" w14:textId="652C3EF8" w:rsidR="00627765" w:rsidRPr="00CB4B7C" w:rsidRDefault="00416AC5"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L’UE soutiendra aussi la création de centres de regroupement du renseignement, dans les pays tiers stratégiques et au sein de l’UE. Ces centres serviront de pôles de coordination régionaux, réunissant des experts de l’UE, les services répressifs locaux et les acteurs régionaux de la sécurité, afin d’améliorer le partage du renseignement, d’analyser les tendances criminelles et les filières de trafic et de coordonner rapidement les actions répressives.</w:t>
      </w:r>
    </w:p>
    <w:p w14:paraId="57514BB0" w14:textId="5642CACC" w:rsidR="00633A67" w:rsidRPr="00CB4B7C" w:rsidRDefault="00633A67"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l’UE intensifiera sa coopération avec les États-Unis, dans le cadre d’une action conjointe visant à endiguer le trafic de drogue et à démanteler les réseaux criminels qui en sont à l’origine, en s’attachant plus particulièrement à renforcer les partenariats opérationnels et à améliorer l’échange d’informations, notamment sur les activités liées au blanchiment d’argent. </w:t>
      </w:r>
    </w:p>
    <w:p w14:paraId="53DDFFD1" w14:textId="2BFB5CE7" w:rsidR="003F06AE" w:rsidRPr="00F01234" w:rsidRDefault="00416AC5" w:rsidP="00F01234">
      <w:pPr>
        <w:spacing w:after="240" w:line="240" w:lineRule="auto"/>
        <w:jc w:val="both"/>
        <w:rPr>
          <w:i/>
          <w:noProof/>
        </w:rPr>
      </w:pPr>
      <w:r>
        <w:rPr>
          <w:rFonts w:ascii="Times New Roman" w:hAnsi="Times New Roman"/>
          <w:noProof/>
          <w:sz w:val="24"/>
        </w:rPr>
        <w:t xml:space="preserve">L’UE soutiendra activement les objectifs de l’initiative intitulée «Coalition européenne contre les drogues» de la Communauté politique européenne, en lançant des mesures opérationnelles concrètes telles que la coordination accrue des services répressifs et des enquêtes conjointes ciblant les principales filières de trafic. Consciente de l’importance des flux financiers illicites dans le trafic de drogue, l’UE promouvra une approche consistant à «suivre l’argent», en usant également de ses outils d’action extérieure, si nécessaire, pour aider les pays tiers à s’aligner sur les normes internationales de lutte contre le blanchiment de capitaux et en facilitant la coopération pour le recouvrement des avoirs. </w:t>
      </w:r>
      <w:bookmarkStart w:id="10" w:name="_Hlk135657218"/>
      <w:bookmarkEnd w:id="3"/>
    </w:p>
    <w:bookmarkEnd w:id="10"/>
    <w:p w14:paraId="20E79A0D" w14:textId="4D49DF55" w:rsidR="00B279E0" w:rsidRPr="00CB4B7C" w:rsidRDefault="00B279E0" w:rsidP="00EC16DA">
      <w:pPr>
        <w:pStyle w:val="Style1"/>
        <w:spacing w:after="240"/>
        <w:ind w:left="1077" w:hanging="357"/>
        <w:rPr>
          <w:noProof/>
        </w:rPr>
      </w:pPr>
      <w:r>
        <w:rPr>
          <w:noProof/>
        </w:rPr>
        <w:t>Conclusions</w:t>
      </w:r>
    </w:p>
    <w:p w14:paraId="49A4053F" w14:textId="47BCF1EC" w:rsidR="0025364F" w:rsidRPr="00CB4B7C" w:rsidRDefault="001B724A"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Les réseaux criminels organisés impliqués dans le trafic de drogue représentent une menace croissante pour la sécurité intérieure, le tissu social et la santé publique de l’UE. Ces groupes mondialisés, qui maîtrisent les technologies de pointe, se sont intégrés dans les chaînes d’approvisionnement et ont élargi leur emprise au moyen de la violence, de la corruption et de l’infiltration d’institutions et de structures commerciales légitimes.</w:t>
      </w:r>
    </w:p>
    <w:p w14:paraId="47F26DD6" w14:textId="3D7B8941" w:rsidR="0083068D" w:rsidRPr="00CB4B7C" w:rsidRDefault="0025364F" w:rsidP="0083068D">
      <w:pPr>
        <w:pStyle w:val="Normal1"/>
        <w:shd w:val="clear" w:color="auto" w:fill="FFFFFF"/>
        <w:spacing w:before="0" w:beforeAutospacing="0" w:after="240" w:afterAutospacing="0"/>
        <w:jc w:val="both"/>
        <w:rPr>
          <w:noProof/>
        </w:rPr>
      </w:pPr>
      <w:r>
        <w:rPr>
          <w:noProof/>
        </w:rPr>
        <w:t xml:space="preserve">Pour faire face à cette situation urgente, l’UE doit agir avec une détermination renouvelée et dans un même objectif. Les réseaux criminels innovent en permanence, et l’UE et ses États membres doivent faire de même. La réponse collective de l’UE devrait </w:t>
      </w:r>
      <w:r>
        <w:rPr>
          <w:b/>
          <w:noProof/>
        </w:rPr>
        <w:t>être stratégique, reposer sur le renseignement et résister à l’épreuve du temps</w:t>
      </w:r>
      <w:r>
        <w:rPr>
          <w:noProof/>
        </w:rPr>
        <w:t xml:space="preserve">, en combinant la force opérationnelle avec la prévention, la résilience numérique et la coopération internationale, tout en respectant le droit international, y compris sa partie relative aux droits de l’homme. </w:t>
      </w:r>
    </w:p>
    <w:p w14:paraId="6B22C3D6" w14:textId="56554174" w:rsidR="0083068D" w:rsidRPr="00CB4B7C" w:rsidRDefault="0025364F" w:rsidP="0083068D">
      <w:pPr>
        <w:pStyle w:val="Normal1"/>
        <w:shd w:val="clear" w:color="auto" w:fill="FFFFFF"/>
        <w:spacing w:before="0" w:beforeAutospacing="0" w:after="240" w:afterAutospacing="0"/>
        <w:jc w:val="both"/>
        <w:rPr>
          <w:noProof/>
        </w:rPr>
      </w:pPr>
      <w:r>
        <w:rPr>
          <w:noProof/>
        </w:rPr>
        <w:t>Une approche englobant l’ensemble de la société est essentielle et requiert une coordination entre les institutions, organes et organismes de l’UE, les États membres et leurs autorités nationales, régionales et locales. Au sein de l’UE, il est nécessaire de renforcer la coordination et les partenariats avec la société civile et les acteurs privés. En outre, la sensibilisation et l’engagement accrus du public permettront aux diverses communautés de participer aux efforts de lutte contre le trafic de drogue et de les soutenir, créant ainsi une société mieux informée et plus résiliente, prête à relever les défis posés par la criminalité organisée.</w:t>
      </w:r>
    </w:p>
    <w:p w14:paraId="7DFFF95A" w14:textId="0C75E33F" w:rsidR="00382A9B" w:rsidRPr="00CB4B7C" w:rsidRDefault="5A90DA2D" w:rsidP="009D5C5F">
      <w:pPr>
        <w:pStyle w:val="Normal1"/>
        <w:shd w:val="clear" w:color="auto" w:fill="FFFFFF" w:themeFill="background1"/>
        <w:spacing w:before="0" w:beforeAutospacing="0" w:after="240" w:afterAutospacing="0"/>
        <w:jc w:val="both"/>
        <w:rPr>
          <w:noProof/>
        </w:rPr>
      </w:pPr>
      <w:r>
        <w:rPr>
          <w:noProof/>
        </w:rPr>
        <w:t xml:space="preserve">Le présent document décrit les actions clés qui doivent être menées au niveau de l’UE, de 2026 à 2030, pour lutter contre le trafic de drogue et les réseaux criminels impliqués. La Commission devrait surveiller la mise en œuvre de ces actions en tenant compte des informations fournies par les États membres et le SEAE. Les agences compétentes de l’UE, en particulier l’EUDA et Europol, devraient soutenir ces efforts en contribuant au suivi des progrès accomplis et à l’établissement de rapports en la matière. </w:t>
      </w:r>
    </w:p>
    <w:p w14:paraId="5E2FB8E6" w14:textId="53FEBA43" w:rsidR="0025364F" w:rsidRPr="00CB4B7C" w:rsidRDefault="00DF00DC" w:rsidP="0025364F">
      <w:pPr>
        <w:pStyle w:val="Normal1"/>
        <w:shd w:val="clear" w:color="auto" w:fill="FFFFFF"/>
        <w:spacing w:before="0" w:beforeAutospacing="0" w:after="240" w:afterAutospacing="0"/>
        <w:jc w:val="both"/>
        <w:rPr>
          <w:noProof/>
        </w:rPr>
      </w:pPr>
      <w:r>
        <w:rPr>
          <w:noProof/>
        </w:rPr>
        <w:t>En réaffirmant l’importance qu’elle attache à une action stratégique unifiée, l’UE vise à protéger ses sociétés, à offrir un avenir plus sûr à ses citoyens et à renforcer la sécurité partout dans le monde pour ses partenaires.</w:t>
      </w:r>
    </w:p>
    <w:p w14:paraId="591741DE" w14:textId="77777777" w:rsidR="00603215" w:rsidRPr="00EE131B" w:rsidRDefault="00603215" w:rsidP="00603215">
      <w:pPr>
        <w:pStyle w:val="Normal1"/>
        <w:shd w:val="clear" w:color="auto" w:fill="FFFFFF"/>
        <w:spacing w:after="240"/>
        <w:jc w:val="both"/>
        <w:rPr>
          <w:noProof/>
          <w:lang w:val="fr-BE"/>
        </w:rPr>
      </w:pPr>
    </w:p>
    <w:p w14:paraId="0A4E4B2D" w14:textId="77777777" w:rsidR="00603215" w:rsidRPr="00EE131B" w:rsidRDefault="00603215" w:rsidP="0025364F">
      <w:pPr>
        <w:pStyle w:val="Normal1"/>
        <w:shd w:val="clear" w:color="auto" w:fill="FFFFFF"/>
        <w:spacing w:before="0" w:beforeAutospacing="0" w:after="240" w:afterAutospacing="0"/>
        <w:jc w:val="both"/>
        <w:rPr>
          <w:noProof/>
          <w:lang w:val="fr-BE"/>
        </w:rPr>
      </w:pPr>
    </w:p>
    <w:p w14:paraId="137CD7C7" w14:textId="77777777" w:rsidR="00516585" w:rsidRPr="00CB4B7C" w:rsidRDefault="00516585">
      <w:pPr>
        <w:rPr>
          <w:rFonts w:ascii="Times New Roman" w:eastAsia="Times New Roman" w:hAnsi="Times New Roman" w:cs="Times New Roman"/>
          <w:noProof/>
          <w:sz w:val="24"/>
          <w:szCs w:val="24"/>
        </w:rPr>
      </w:pPr>
      <w:r>
        <w:rPr>
          <w:noProof/>
        </w:rPr>
        <w:br w:type="page"/>
      </w:r>
    </w:p>
    <w:p w14:paraId="069792FE" w14:textId="6516F303" w:rsidR="00094288" w:rsidRPr="00CB4B7C" w:rsidRDefault="0028050B">
      <w:pPr>
        <w:pStyle w:val="Normal1"/>
        <w:shd w:val="clear" w:color="auto" w:fill="FFFFFF"/>
        <w:spacing w:after="0"/>
        <w:jc w:val="both"/>
        <w:rPr>
          <w:b/>
          <w:bCs/>
          <w:noProof/>
          <w:u w:val="single"/>
        </w:rPr>
      </w:pPr>
      <w:r>
        <w:rPr>
          <w:b/>
          <w:noProof/>
          <w:u w:val="single"/>
        </w:rPr>
        <w:t xml:space="preserve">Annexe: liste des actions </w:t>
      </w:r>
    </w:p>
    <w:p w14:paraId="21B55D09" w14:textId="2872C7F1" w:rsidR="00094288" w:rsidRPr="00CB4B7C" w:rsidRDefault="00094288" w:rsidP="005A4FFB">
      <w:pPr>
        <w:pStyle w:val="Style2"/>
        <w:numPr>
          <w:ilvl w:val="0"/>
          <w:numId w:val="39"/>
        </w:numPr>
        <w:spacing w:before="120" w:after="240"/>
        <w:ind w:left="1077"/>
        <w:rPr>
          <w:noProof/>
        </w:rPr>
      </w:pPr>
      <w:r>
        <w:rPr>
          <w:noProof/>
        </w:rPr>
        <w:t>S’adapter à l’évolution des itinéraires et des modes opératoires</w:t>
      </w:r>
    </w:p>
    <w:p w14:paraId="01E4D8BD" w14:textId="5655DC8D" w:rsidR="5A13CE00" w:rsidRPr="00CB4B7C" w:rsidRDefault="45F1EB8D" w:rsidP="02FE2BB0">
      <w:pPr>
        <w:pStyle w:val="Normal1"/>
        <w:shd w:val="clear" w:color="auto" w:fill="FFFFFF" w:themeFill="background1"/>
        <w:spacing w:before="120" w:beforeAutospacing="0" w:after="120" w:afterAutospacing="0"/>
        <w:jc w:val="both"/>
        <w:rPr>
          <w:noProof/>
        </w:rPr>
      </w:pPr>
      <w:r>
        <w:rPr>
          <w:b/>
          <w:noProof/>
        </w:rPr>
        <w:t>Action nº 1:</w:t>
      </w:r>
      <w:r>
        <w:rPr>
          <w:noProof/>
        </w:rPr>
        <w:t xml:space="preserve"> mieux exploiter le renseignement sur les déplacements pour détecter, cartographier et désorganiser les filières du trafic de drogue</w:t>
      </w:r>
    </w:p>
    <w:p w14:paraId="5F105051" w14:textId="135535F7" w:rsidR="00C76AFC" w:rsidRPr="00CB4B7C" w:rsidRDefault="00094288" w:rsidP="0A4EEBDE">
      <w:pPr>
        <w:pStyle w:val="Normal1"/>
        <w:shd w:val="clear" w:color="auto" w:fill="FFFFFF" w:themeFill="background1"/>
        <w:spacing w:before="120" w:beforeAutospacing="0" w:after="120" w:afterAutospacing="0"/>
        <w:jc w:val="both"/>
        <w:rPr>
          <w:noProof/>
        </w:rPr>
      </w:pPr>
      <w:r>
        <w:rPr>
          <w:b/>
          <w:noProof/>
        </w:rPr>
        <w:t>Action nº 2:</w:t>
      </w:r>
      <w:r>
        <w:rPr>
          <w:noProof/>
        </w:rPr>
        <w:t xml:space="preserve"> étendre les activités du MAOC-N</w:t>
      </w:r>
    </w:p>
    <w:p w14:paraId="5E9B3344" w14:textId="5415595E" w:rsidR="5544FDAD" w:rsidRPr="00CB4B7C" w:rsidRDefault="6E29A53B" w:rsidP="114A1019">
      <w:pPr>
        <w:pStyle w:val="Normal1"/>
        <w:shd w:val="clear" w:color="auto" w:fill="FFFFFF" w:themeFill="background1"/>
        <w:spacing w:before="120" w:beforeAutospacing="0" w:after="120" w:afterAutospacing="0"/>
        <w:jc w:val="both"/>
        <w:rPr>
          <w:noProof/>
        </w:rPr>
      </w:pPr>
      <w:r>
        <w:rPr>
          <w:b/>
          <w:noProof/>
        </w:rPr>
        <w:t>Action nº 3:</w:t>
      </w:r>
      <w:r>
        <w:rPr>
          <w:noProof/>
        </w:rPr>
        <w:t xml:space="preserve"> utiliser les capacités de Frontex pour aider les États membres à détecter le trafic de drogue aux frontières extérieures de l’UE et renforcer la coopération avec Europol et d’autres organismes compétents </w:t>
      </w:r>
    </w:p>
    <w:p w14:paraId="0014CC5F" w14:textId="47040192" w:rsidR="00C76AFC" w:rsidRPr="00CB4B7C" w:rsidRDefault="00094288" w:rsidP="225CE8A4">
      <w:pPr>
        <w:pStyle w:val="Normal1"/>
        <w:shd w:val="clear" w:color="auto" w:fill="FFFFFF" w:themeFill="background1"/>
        <w:spacing w:before="120" w:beforeAutospacing="0" w:after="120" w:afterAutospacing="0"/>
        <w:jc w:val="both"/>
        <w:rPr>
          <w:noProof/>
        </w:rPr>
      </w:pPr>
      <w:r>
        <w:rPr>
          <w:b/>
          <w:noProof/>
        </w:rPr>
        <w:t>Action nº 4:</w:t>
      </w:r>
      <w:r>
        <w:rPr>
          <w:noProof/>
        </w:rPr>
        <w:t xml:space="preserve"> renforcer les partenariats civilo-militaires pour lutter contre le trafic de drogue par voie maritime</w:t>
      </w:r>
    </w:p>
    <w:p w14:paraId="16877714" w14:textId="7F1CA621" w:rsidR="00C76AFC" w:rsidRPr="00CB4B7C" w:rsidRDefault="00094288" w:rsidP="4081E6D4">
      <w:pPr>
        <w:pStyle w:val="Normal1"/>
        <w:shd w:val="clear" w:color="auto" w:fill="FFFFFF" w:themeFill="background1"/>
        <w:spacing w:before="120" w:beforeAutospacing="0" w:after="120" w:afterAutospacing="0"/>
        <w:jc w:val="both"/>
        <w:rPr>
          <w:noProof/>
        </w:rPr>
      </w:pPr>
      <w:r>
        <w:rPr>
          <w:b/>
          <w:noProof/>
        </w:rPr>
        <w:t>Action nº 5:</w:t>
      </w:r>
      <w:r>
        <w:rPr>
          <w:noProof/>
        </w:rPr>
        <w:t xml:space="preserve"> définir des mesures efficaces pour lutter contre l’utilisation abusive de bateaux rapides de type «go fast»</w:t>
      </w:r>
    </w:p>
    <w:p w14:paraId="087A9F2E" w14:textId="2324F0B5" w:rsidR="00983560" w:rsidRPr="00CB4B7C" w:rsidRDefault="00094288" w:rsidP="005A4FFB">
      <w:pPr>
        <w:pStyle w:val="Normal1"/>
        <w:shd w:val="clear" w:color="auto" w:fill="FFFFFF"/>
        <w:spacing w:before="120" w:beforeAutospacing="0" w:after="120" w:afterAutospacing="0"/>
        <w:jc w:val="both"/>
        <w:rPr>
          <w:noProof/>
        </w:rPr>
      </w:pPr>
      <w:r>
        <w:rPr>
          <w:b/>
          <w:noProof/>
        </w:rPr>
        <w:t xml:space="preserve">Action nº 6: </w:t>
      </w:r>
      <w:r>
        <w:rPr>
          <w:noProof/>
        </w:rPr>
        <w:t>mettre en place une coopération public-privé pour enrayer le trafic de drogue reposant sur les services postaux et de livraison de colis</w:t>
      </w:r>
    </w:p>
    <w:p w14:paraId="12547556" w14:textId="77777777" w:rsidR="00C76AFC" w:rsidRPr="00CB4B7C" w:rsidRDefault="00094288" w:rsidP="005A4FFB">
      <w:pPr>
        <w:pStyle w:val="Normal1"/>
        <w:numPr>
          <w:ilvl w:val="0"/>
          <w:numId w:val="39"/>
        </w:numPr>
        <w:shd w:val="clear" w:color="auto" w:fill="FFFFFF"/>
        <w:spacing w:before="240" w:beforeAutospacing="0" w:after="240" w:afterAutospacing="0"/>
        <w:ind w:left="1077"/>
        <w:jc w:val="both"/>
        <w:rPr>
          <w:b/>
          <w:bCs/>
          <w:noProof/>
        </w:rPr>
      </w:pPr>
      <w:r>
        <w:rPr>
          <w:b/>
          <w:noProof/>
        </w:rPr>
        <w:t>Prévenir la criminalité et réduire la violence liée à la drogue</w:t>
      </w:r>
    </w:p>
    <w:p w14:paraId="1E10E135" w14:textId="00E39294" w:rsidR="00C76AFC" w:rsidRPr="00CB4B7C" w:rsidRDefault="00C76AFC" w:rsidP="005A4FFB">
      <w:pPr>
        <w:pStyle w:val="Normal1"/>
        <w:shd w:val="clear" w:color="auto" w:fill="FFFFFF"/>
        <w:spacing w:before="120" w:beforeAutospacing="0" w:after="120" w:afterAutospacing="0"/>
        <w:jc w:val="both"/>
        <w:rPr>
          <w:b/>
          <w:bCs/>
          <w:noProof/>
        </w:rPr>
      </w:pPr>
      <w:r>
        <w:rPr>
          <w:b/>
          <w:noProof/>
        </w:rPr>
        <w:t xml:space="preserve">Action nº 7: </w:t>
      </w:r>
      <w:r>
        <w:rPr>
          <w:noProof/>
        </w:rPr>
        <w:t>créer une boîte à outils pour empêcher le recrutement de mineurs dans les réseaux de trafic de drogue</w:t>
      </w:r>
      <w:r>
        <w:rPr>
          <w:b/>
          <w:noProof/>
        </w:rPr>
        <w:t xml:space="preserve"> </w:t>
      </w:r>
    </w:p>
    <w:p w14:paraId="5B4E0CDC" w14:textId="357AE89F" w:rsidR="00094288" w:rsidRPr="00CB4B7C" w:rsidRDefault="00094288" w:rsidP="005A4FFB">
      <w:pPr>
        <w:pStyle w:val="Style2"/>
        <w:numPr>
          <w:ilvl w:val="0"/>
          <w:numId w:val="39"/>
        </w:numPr>
        <w:spacing w:before="240" w:after="240" w:line="240" w:lineRule="auto"/>
        <w:ind w:left="1077"/>
        <w:rPr>
          <w:noProof/>
        </w:rPr>
      </w:pPr>
      <w:r>
        <w:rPr>
          <w:noProof/>
        </w:rPr>
        <w:t xml:space="preserve">Renforcer la coopération entre les services répressifs, judiciaires et douaniers </w:t>
      </w:r>
    </w:p>
    <w:p w14:paraId="007B66CF"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Action nº 8:</w:t>
      </w:r>
      <w:r>
        <w:rPr>
          <w:noProof/>
        </w:rPr>
        <w:t xml:space="preserve"> améliorer la coopération et l’échange d’informations entre les douanes et les autres autorités répressives</w:t>
      </w:r>
    </w:p>
    <w:p w14:paraId="14F600B9"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Action nº 9:</w:t>
      </w:r>
      <w:r>
        <w:rPr>
          <w:noProof/>
        </w:rPr>
        <w:t xml:space="preserve"> déployer des technologies de détection innovantes pour lutter contre le trafic de drogue</w:t>
      </w:r>
    </w:p>
    <w:p w14:paraId="1188AA70"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Action nº 10:</w:t>
      </w:r>
      <w:r>
        <w:rPr>
          <w:noProof/>
        </w:rPr>
        <w:t xml:space="preserve"> renforcer les capacités de lutte contre le trafic de drogue en ligne</w:t>
      </w:r>
    </w:p>
    <w:p w14:paraId="3A390C56"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Action nº 11:</w:t>
      </w:r>
      <w:r>
        <w:rPr>
          <w:noProof/>
        </w:rPr>
        <w:t xml:space="preserve"> enrayer le trafic de drogue pratiqué à partir des prisons et en leur sein</w:t>
      </w:r>
    </w:p>
    <w:p w14:paraId="371780E0" w14:textId="064ADE26" w:rsidR="00094288" w:rsidRPr="00CB4B7C" w:rsidRDefault="00023287" w:rsidP="005A4FFB">
      <w:pPr>
        <w:pStyle w:val="Normal1"/>
        <w:shd w:val="clear" w:color="auto" w:fill="FFFFFF"/>
        <w:spacing w:before="120" w:beforeAutospacing="0" w:after="120" w:afterAutospacing="0"/>
        <w:jc w:val="both"/>
        <w:rPr>
          <w:noProof/>
        </w:rPr>
      </w:pPr>
      <w:r>
        <w:rPr>
          <w:b/>
          <w:noProof/>
        </w:rPr>
        <w:t>Action nº 12:</w:t>
      </w:r>
      <w:r>
        <w:rPr>
          <w:noProof/>
        </w:rPr>
        <w:t xml:space="preserve"> évaluer le cadre juridique de l’UE en matière de trafic de drogue</w:t>
      </w:r>
    </w:p>
    <w:p w14:paraId="2DD5F5C2" w14:textId="3FC8D943" w:rsidR="00094288" w:rsidRPr="00CB4B7C" w:rsidRDefault="00094288" w:rsidP="005A4FFB">
      <w:pPr>
        <w:pStyle w:val="Normal1"/>
        <w:numPr>
          <w:ilvl w:val="0"/>
          <w:numId w:val="39"/>
        </w:numPr>
        <w:shd w:val="clear" w:color="auto" w:fill="FFFFFF"/>
        <w:spacing w:before="240" w:beforeAutospacing="0" w:after="240" w:afterAutospacing="0"/>
        <w:ind w:left="1077"/>
        <w:jc w:val="both"/>
        <w:rPr>
          <w:b/>
          <w:bCs/>
          <w:noProof/>
        </w:rPr>
      </w:pPr>
      <w:r>
        <w:rPr>
          <w:b/>
          <w:noProof/>
        </w:rPr>
        <w:t>S’attaquer au problème des drogues de synthèse et des précurseurs de drogues</w:t>
      </w:r>
    </w:p>
    <w:p w14:paraId="62411CB1"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Action nº 13:</w:t>
      </w:r>
      <w:r>
        <w:rPr>
          <w:noProof/>
        </w:rPr>
        <w:t xml:space="preserve"> combler les failles juridiques concernant les précurseurs sur mesure</w:t>
      </w:r>
    </w:p>
    <w:p w14:paraId="00423408" w14:textId="473ADFB9" w:rsidR="00023287" w:rsidRPr="00CB4B7C" w:rsidRDefault="00023287" w:rsidP="005A4FFB">
      <w:pPr>
        <w:pStyle w:val="Normal1"/>
        <w:shd w:val="clear" w:color="auto" w:fill="FFFFFF"/>
        <w:spacing w:before="120" w:beforeAutospacing="0" w:after="120" w:afterAutospacing="0"/>
        <w:jc w:val="both"/>
        <w:rPr>
          <w:noProof/>
        </w:rPr>
      </w:pPr>
      <w:r>
        <w:rPr>
          <w:b/>
          <w:noProof/>
        </w:rPr>
        <w:t>Action nº 14:</w:t>
      </w:r>
      <w:r>
        <w:rPr>
          <w:noProof/>
        </w:rPr>
        <w:t xml:space="preserve"> améliorer l’identification des substances en vue de l’interception efficace des drogues</w:t>
      </w:r>
    </w:p>
    <w:p w14:paraId="1AE52BCA" w14:textId="054A3122" w:rsidR="00094288" w:rsidRPr="00CB4B7C" w:rsidRDefault="00023287" w:rsidP="005A4FFB">
      <w:pPr>
        <w:pStyle w:val="Normal1"/>
        <w:shd w:val="clear" w:color="auto" w:fill="FFFFFF"/>
        <w:spacing w:before="120" w:beforeAutospacing="0" w:after="120" w:afterAutospacing="0"/>
        <w:jc w:val="both"/>
        <w:rPr>
          <w:noProof/>
        </w:rPr>
      </w:pPr>
      <w:r>
        <w:rPr>
          <w:b/>
          <w:noProof/>
        </w:rPr>
        <w:t>Action nº 15:</w:t>
      </w:r>
      <w:r>
        <w:rPr>
          <w:noProof/>
        </w:rPr>
        <w:t xml:space="preserve"> fournir un manuel commun pour le démantèlement des sites de production de drogues de synthèse illicites</w:t>
      </w:r>
    </w:p>
    <w:p w14:paraId="39905DF9" w14:textId="06C2D585" w:rsidR="00094288" w:rsidRPr="00CB4B7C" w:rsidRDefault="00094288" w:rsidP="005A4FFB">
      <w:pPr>
        <w:pStyle w:val="Normal1"/>
        <w:numPr>
          <w:ilvl w:val="0"/>
          <w:numId w:val="39"/>
        </w:numPr>
        <w:shd w:val="clear" w:color="auto" w:fill="FFFFFF"/>
        <w:spacing w:before="240" w:beforeAutospacing="0" w:after="240" w:afterAutospacing="0"/>
        <w:ind w:left="1077"/>
        <w:jc w:val="both"/>
        <w:rPr>
          <w:b/>
          <w:bCs/>
          <w:noProof/>
        </w:rPr>
      </w:pPr>
      <w:r>
        <w:rPr>
          <w:b/>
          <w:noProof/>
        </w:rPr>
        <w:t>Faire avancer la recherche, le développement et l’innovation</w:t>
      </w:r>
    </w:p>
    <w:p w14:paraId="708524CD" w14:textId="673C84BD" w:rsidR="00023287" w:rsidRPr="00CB4B7C" w:rsidRDefault="00023287" w:rsidP="005A4FFB">
      <w:pPr>
        <w:pStyle w:val="Normal1"/>
        <w:shd w:val="clear" w:color="auto" w:fill="FFFFFF"/>
        <w:spacing w:before="120" w:beforeAutospacing="0" w:after="120" w:afterAutospacing="0"/>
        <w:jc w:val="both"/>
        <w:rPr>
          <w:noProof/>
        </w:rPr>
      </w:pPr>
      <w:r>
        <w:rPr>
          <w:b/>
          <w:noProof/>
        </w:rPr>
        <w:t xml:space="preserve">Action nº 16: </w:t>
      </w:r>
      <w:r>
        <w:rPr>
          <w:noProof/>
        </w:rPr>
        <w:t>aligner l’innovation sur les exigences opérationnelles pour lutter contre le trafic de drogue</w:t>
      </w:r>
    </w:p>
    <w:p w14:paraId="61EFA07C" w14:textId="4F464184" w:rsidR="00A47ECD" w:rsidRPr="00CB4B7C" w:rsidRDefault="00A47ECD" w:rsidP="005A4FFB">
      <w:pPr>
        <w:pStyle w:val="Normal1"/>
        <w:numPr>
          <w:ilvl w:val="0"/>
          <w:numId w:val="39"/>
        </w:numPr>
        <w:shd w:val="clear" w:color="auto" w:fill="FFFFFF"/>
        <w:spacing w:before="240" w:beforeAutospacing="0" w:after="240" w:afterAutospacing="0"/>
        <w:ind w:left="1077"/>
        <w:jc w:val="both"/>
        <w:rPr>
          <w:b/>
          <w:bCs/>
          <w:noProof/>
        </w:rPr>
      </w:pPr>
      <w:r>
        <w:rPr>
          <w:b/>
          <w:noProof/>
        </w:rPr>
        <w:t>Renforcer la coopération internationale et les partenariats</w:t>
      </w:r>
    </w:p>
    <w:p w14:paraId="58A3042D" w14:textId="5394D71B" w:rsidR="00011BF6" w:rsidRPr="00CB4B7C" w:rsidRDefault="00011BF6" w:rsidP="00011BF6">
      <w:pPr>
        <w:pStyle w:val="Normal1"/>
        <w:shd w:val="clear" w:color="auto" w:fill="FFFFFF"/>
        <w:spacing w:before="120" w:beforeAutospacing="0" w:after="120" w:afterAutospacing="0"/>
        <w:jc w:val="both"/>
        <w:rPr>
          <w:noProof/>
        </w:rPr>
      </w:pPr>
      <w:r>
        <w:rPr>
          <w:b/>
          <w:noProof/>
        </w:rPr>
        <w:t xml:space="preserve">Action nº 17: </w:t>
      </w:r>
      <w:r>
        <w:rPr>
          <w:noProof/>
        </w:rPr>
        <w:t>développer et élargir le dialogue stratégique et les mécanismes de coopération avec les pays tiers</w:t>
      </w:r>
    </w:p>
    <w:p w14:paraId="5D6F890F" w14:textId="757843D1" w:rsidR="00023287" w:rsidRPr="00CB4B7C" w:rsidRDefault="00023287" w:rsidP="005A4FFB">
      <w:pPr>
        <w:pStyle w:val="Normal1"/>
        <w:shd w:val="clear" w:color="auto" w:fill="FFFFFF"/>
        <w:spacing w:before="120" w:beforeAutospacing="0" w:after="120" w:afterAutospacing="0"/>
        <w:jc w:val="both"/>
        <w:rPr>
          <w:noProof/>
        </w:rPr>
      </w:pPr>
      <w:r>
        <w:rPr>
          <w:b/>
          <w:noProof/>
        </w:rPr>
        <w:t>Action nº 18:</w:t>
      </w:r>
      <w:r>
        <w:rPr>
          <w:noProof/>
        </w:rPr>
        <w:t xml:space="preserve"> accroître la résilience des ports dans les pays tiers afin d’enrayer le trafic de drogue</w:t>
      </w:r>
    </w:p>
    <w:p w14:paraId="075DE0DD" w14:textId="51619485" w:rsidR="00023287" w:rsidRPr="00CB4B7C" w:rsidRDefault="00023287" w:rsidP="005A4FFB">
      <w:pPr>
        <w:pStyle w:val="Normal1"/>
        <w:shd w:val="clear" w:color="auto" w:fill="FFFFFF"/>
        <w:spacing w:before="120" w:beforeAutospacing="0" w:after="120" w:afterAutospacing="0"/>
        <w:jc w:val="both"/>
        <w:rPr>
          <w:noProof/>
        </w:rPr>
      </w:pPr>
      <w:r>
        <w:rPr>
          <w:b/>
          <w:noProof/>
        </w:rPr>
        <w:t>Action nº 19:</w:t>
      </w:r>
      <w:r>
        <w:rPr>
          <w:noProof/>
        </w:rPr>
        <w:t xml:space="preserve"> renforcer la coopération internationale par des enquêtes conjointes et des centres de regroupement du renseignement</w:t>
      </w:r>
    </w:p>
    <w:sectPr w:rsidR="00023287" w:rsidRPr="00CB4B7C" w:rsidSect="002F2AE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93E0F" w14:textId="77777777" w:rsidR="007C100C" w:rsidRDefault="007C100C" w:rsidP="002F2AEF">
      <w:pPr>
        <w:spacing w:after="0" w:line="240" w:lineRule="auto"/>
      </w:pPr>
      <w:r>
        <w:separator/>
      </w:r>
    </w:p>
  </w:endnote>
  <w:endnote w:type="continuationSeparator" w:id="0">
    <w:p w14:paraId="1BE9EFE6" w14:textId="77777777" w:rsidR="007C100C" w:rsidRDefault="007C100C" w:rsidP="002F2AEF">
      <w:pPr>
        <w:spacing w:after="0" w:line="240" w:lineRule="auto"/>
      </w:pPr>
      <w:r>
        <w:continuationSeparator/>
      </w:r>
    </w:p>
  </w:endnote>
  <w:endnote w:type="continuationNotice" w:id="1">
    <w:p w14:paraId="6DB21F11" w14:textId="77777777" w:rsidR="007C100C" w:rsidRDefault="007C10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B87E8" w14:textId="32EC04BF" w:rsidR="00833F49" w:rsidRPr="00833F49" w:rsidRDefault="00833F49" w:rsidP="00833F49">
    <w:pPr>
      <w:pStyle w:val="FooterCoverPage"/>
      <w:rPr>
        <w:rFonts w:ascii="Arial" w:hAnsi="Arial" w:cs="Arial"/>
        <w:b/>
        <w:sz w:val="48"/>
      </w:rPr>
    </w:pPr>
    <w:r w:rsidRPr="00833F49">
      <w:rPr>
        <w:rFonts w:ascii="Arial" w:hAnsi="Arial" w:cs="Arial"/>
        <w:b/>
        <w:sz w:val="48"/>
      </w:rPr>
      <w:t>FR</w:t>
    </w:r>
    <w:r w:rsidRPr="00833F49">
      <w:rPr>
        <w:rFonts w:ascii="Arial" w:hAnsi="Arial" w:cs="Arial"/>
        <w:b/>
        <w:sz w:val="48"/>
      </w:rPr>
      <w:tab/>
    </w:r>
    <w:r w:rsidRPr="00833F49">
      <w:rPr>
        <w:rFonts w:ascii="Arial" w:hAnsi="Arial" w:cs="Arial"/>
        <w:b/>
        <w:sz w:val="48"/>
      </w:rPr>
      <w:tab/>
    </w:r>
    <w:r w:rsidRPr="00833F49">
      <w:tab/>
    </w:r>
    <w:r w:rsidRPr="00833F4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D6B5" w14:textId="3621D8BE" w:rsidR="00833F49" w:rsidRPr="00833F49" w:rsidRDefault="00833F49" w:rsidP="00833F49">
    <w:pPr>
      <w:pStyle w:val="FooterCoverPage"/>
      <w:rPr>
        <w:rFonts w:ascii="Arial" w:hAnsi="Arial" w:cs="Arial"/>
        <w:b/>
        <w:sz w:val="48"/>
      </w:rPr>
    </w:pPr>
    <w:r w:rsidRPr="00833F49">
      <w:rPr>
        <w:rFonts w:ascii="Arial" w:hAnsi="Arial" w:cs="Arial"/>
        <w:b/>
        <w:sz w:val="48"/>
      </w:rPr>
      <w:t>FR</w:t>
    </w:r>
    <w:r w:rsidRPr="00833F49">
      <w:rPr>
        <w:rFonts w:ascii="Arial" w:hAnsi="Arial" w:cs="Arial"/>
        <w:b/>
        <w:sz w:val="48"/>
      </w:rPr>
      <w:tab/>
    </w:r>
    <w:r w:rsidRPr="00833F49">
      <w:rPr>
        <w:rFonts w:ascii="Arial" w:hAnsi="Arial" w:cs="Arial"/>
        <w:b/>
        <w:sz w:val="48"/>
      </w:rPr>
      <w:tab/>
    </w:r>
    <w:r w:rsidRPr="00833F49">
      <w:tab/>
    </w:r>
    <w:r w:rsidRPr="00833F4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23113" w14:textId="77777777" w:rsidR="00833F49" w:rsidRPr="00833F49" w:rsidRDefault="00833F49" w:rsidP="00833F4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2019146"/>
      <w:docPartObj>
        <w:docPartGallery w:val="Page Numbers (Bottom of Page)"/>
        <w:docPartUnique/>
      </w:docPartObj>
    </w:sdtPr>
    <w:sdtEndPr>
      <w:rPr>
        <w:noProof/>
      </w:rPr>
    </w:sdtEndPr>
    <w:sdtContent>
      <w:p w14:paraId="0D2E59F0" w14:textId="5D3ECADD" w:rsidR="001F25BC" w:rsidRPr="003B440C" w:rsidRDefault="001F25BC">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833F49">
          <w:rPr>
            <w:rFonts w:ascii="Times New Roman" w:hAnsi="Times New Roman" w:cs="Times New Roman"/>
            <w:noProof/>
            <w:sz w:val="24"/>
          </w:rPr>
          <w:t>1</w:t>
        </w:r>
        <w:r>
          <w:rPr>
            <w:rFonts w:ascii="Times New Roman" w:hAnsi="Times New Roman" w:cs="Times New Roman"/>
            <w:sz w:val="24"/>
          </w:rPr>
          <w:fldChar w:fldCharType="end"/>
        </w:r>
      </w:p>
    </w:sdtContent>
  </w:sdt>
  <w:p w14:paraId="1D5E94CB" w14:textId="77777777" w:rsidR="00D24BB1" w:rsidRPr="003B440C" w:rsidRDefault="00D24BB1">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C906F" w14:textId="77777777" w:rsidR="007C100C" w:rsidRDefault="007C100C" w:rsidP="002F2AEF">
      <w:pPr>
        <w:spacing w:after="0" w:line="240" w:lineRule="auto"/>
      </w:pPr>
      <w:r>
        <w:separator/>
      </w:r>
    </w:p>
  </w:footnote>
  <w:footnote w:type="continuationSeparator" w:id="0">
    <w:p w14:paraId="788B6DDC" w14:textId="77777777" w:rsidR="007C100C" w:rsidRDefault="007C100C" w:rsidP="002F2AEF">
      <w:pPr>
        <w:spacing w:after="0" w:line="240" w:lineRule="auto"/>
      </w:pPr>
      <w:r>
        <w:continuationSeparator/>
      </w:r>
    </w:p>
  </w:footnote>
  <w:footnote w:type="continuationNotice" w:id="1">
    <w:p w14:paraId="36C57305" w14:textId="77777777" w:rsidR="007C100C" w:rsidRDefault="007C100C">
      <w:pPr>
        <w:spacing w:after="0" w:line="240" w:lineRule="auto"/>
      </w:pPr>
    </w:p>
  </w:footnote>
  <w:footnote w:id="2">
    <w:p w14:paraId="1EE1FE75" w14:textId="6F0F3C15" w:rsidR="00B2039B" w:rsidRPr="00781918" w:rsidRDefault="00B2039B">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Europol (2024), </w:t>
      </w:r>
      <w:r>
        <w:rPr>
          <w:rFonts w:ascii="Times New Roman" w:hAnsi="Times New Roman"/>
          <w:i/>
        </w:rPr>
        <w:t>Decoding the EU’s most threatening criminal networks (Décoder les réseaux criminels les plus menaçants de l’UE)</w:t>
      </w:r>
      <w:r>
        <w:rPr>
          <w:rFonts w:ascii="Times New Roman" w:hAnsi="Times New Roman"/>
        </w:rPr>
        <w:t>.</w:t>
      </w:r>
    </w:p>
  </w:footnote>
  <w:footnote w:id="3">
    <w:p w14:paraId="29C6E500" w14:textId="51E862DB" w:rsidR="00014793" w:rsidRPr="00781918" w:rsidRDefault="00014793">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Europol (2025), </w:t>
      </w:r>
      <w:r>
        <w:rPr>
          <w:rFonts w:ascii="Times New Roman" w:hAnsi="Times New Roman"/>
          <w:i/>
        </w:rPr>
        <w:t>Évaluation de la menace que représente la grande criminalité organisée dans l’Union européenne</w:t>
      </w:r>
      <w:r>
        <w:rPr>
          <w:rFonts w:ascii="Times New Roman" w:hAnsi="Times New Roman"/>
        </w:rPr>
        <w:t xml:space="preserve"> </w:t>
      </w:r>
      <w:r>
        <w:rPr>
          <w:rFonts w:ascii="Times New Roman" w:hAnsi="Times New Roman"/>
          <w:i/>
        </w:rPr>
        <w:t>2025</w:t>
      </w:r>
      <w:r>
        <w:rPr>
          <w:rFonts w:ascii="Times New Roman" w:hAnsi="Times New Roman"/>
        </w:rPr>
        <w:t xml:space="preserve"> (EU-SOCTA).</w:t>
      </w:r>
    </w:p>
  </w:footnote>
  <w:footnote w:id="4">
    <w:p w14:paraId="614D89F1" w14:textId="358BDE4E" w:rsidR="00694FC7" w:rsidRPr="00781918" w:rsidRDefault="00694FC7" w:rsidP="007B56D5">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Proposition de règlement du Parlement européen et du Conseil relatif à la surveillance et au contrôle des précurseurs de drogues et abrogeant les règlements (CE) nº 273/2004 et (CE) nº 111/2005 [COM(2025) 747 final].</w:t>
      </w:r>
    </w:p>
  </w:footnote>
  <w:footnote w:id="5">
    <w:p w14:paraId="17CB5BED" w14:textId="34E4029A" w:rsidR="0084510E" w:rsidRPr="00781918" w:rsidRDefault="0084510E">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Communication de la Commission au Parlement européen et au Conseil sur la </w:t>
      </w:r>
      <w:r>
        <w:rPr>
          <w:rFonts w:ascii="Times New Roman" w:hAnsi="Times New Roman"/>
          <w:i/>
        </w:rPr>
        <w:t>feuille de route de l’UE en matière de lutte contre le trafic de drogue et la criminalité organisée</w:t>
      </w:r>
      <w:r>
        <w:rPr>
          <w:rFonts w:ascii="Times New Roman" w:hAnsi="Times New Roman"/>
        </w:rPr>
        <w:t xml:space="preserve"> [COM(2023) 641 final].</w:t>
      </w:r>
    </w:p>
  </w:footnote>
  <w:footnote w:id="6">
    <w:p w14:paraId="5E738149" w14:textId="77777777" w:rsidR="00D10754" w:rsidRPr="00781918" w:rsidRDefault="00D10754" w:rsidP="00D10754">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Communication de la Commission au Parlement européen, au Conseil, au Comité économique et social européen et au Comité des régions intitulée «ProtectEU:</w:t>
      </w:r>
      <w:r>
        <w:rPr>
          <w:rFonts w:ascii="Times New Roman" w:hAnsi="Times New Roman"/>
          <w:i/>
        </w:rPr>
        <w:t xml:space="preserve"> </w:t>
      </w:r>
      <w:r>
        <w:rPr>
          <w:rFonts w:ascii="Times New Roman" w:hAnsi="Times New Roman"/>
        </w:rPr>
        <w:t>une stratégie européenne de sécurité intérieure», [COM(2025) 148 final].</w:t>
      </w:r>
    </w:p>
    <w:p w14:paraId="1033BB11" w14:textId="77777777" w:rsidR="00D10754" w:rsidRPr="00EE131B" w:rsidRDefault="00D10754" w:rsidP="00D10754">
      <w:pPr>
        <w:pStyle w:val="FootnoteText"/>
        <w:rPr>
          <w:rFonts w:ascii="Times New Roman" w:hAnsi="Times New Roman" w:cs="Times New Roman"/>
          <w:lang w:val="fr-BE"/>
        </w:rPr>
      </w:pPr>
    </w:p>
  </w:footnote>
  <w:footnote w:id="7">
    <w:p w14:paraId="7E92FFEF" w14:textId="484B0B55" w:rsidR="00284885" w:rsidRPr="00781918" w:rsidRDefault="00284885" w:rsidP="00284885">
      <w:pPr>
        <w:rPr>
          <w:rFonts w:ascii="Times New Roman" w:eastAsia="Calibri"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 (JO L 119 du 4.5.2016, p. 132).</w:t>
      </w:r>
    </w:p>
  </w:footnote>
  <w:footnote w:id="8">
    <w:p w14:paraId="4E20732C" w14:textId="75C89684" w:rsidR="00B42F03" w:rsidRPr="00781918" w:rsidRDefault="00B42F03">
      <w:pPr>
        <w:pStyle w:val="FootnoteText"/>
        <w:rPr>
          <w:rFonts w:ascii="Times New Roman" w:hAnsi="Times New Roman" w:cs="Times New Roman"/>
        </w:rPr>
      </w:pPr>
      <w:r>
        <w:rPr>
          <w:rStyle w:val="FootnoteReference0"/>
          <w:rFonts w:ascii="Times New Roman" w:hAnsi="Times New Roman" w:cs="Times New Roman"/>
        </w:rPr>
        <w:footnoteRef/>
      </w:r>
      <w:r>
        <w:tab/>
      </w:r>
      <w:r>
        <w:rPr>
          <w:rFonts w:ascii="Times New Roman" w:hAnsi="Times New Roman"/>
        </w:rPr>
        <w:t xml:space="preserve">La France, l’Irlande, l’Italie, les Pays-Bas, le Portugal, l’Espagne, la Belgique et l’Allemagne (adhésion de la Belgique et de l’Allemagne en 2024). Le MAOC-N est cofinancé par le Fonds de l’UE pour la sécurité intérieure. </w:t>
      </w:r>
    </w:p>
  </w:footnote>
  <w:footnote w:id="9">
    <w:p w14:paraId="603A5EF0" w14:textId="23D760AA" w:rsidR="00284885" w:rsidRPr="00781918" w:rsidRDefault="00284885" w:rsidP="00284885">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Article 68 du règlement (UE) 2019/1896 du 13 novembre 2019 relatif au corps européen de garde-frontières et de garde-côtes et abrogeant les règlements (UE) nº 1052/2013 et (UE) 2016/1624 (JO L 295 du 14.11.2019, p. 1).</w:t>
      </w:r>
    </w:p>
  </w:footnote>
  <w:footnote w:id="10">
    <w:p w14:paraId="404F57A0" w14:textId="77777777" w:rsidR="00B14936" w:rsidRPr="00F01234" w:rsidRDefault="00B14936" w:rsidP="00B14936">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COM(2025) 845 final.</w:t>
      </w:r>
    </w:p>
  </w:footnote>
  <w:footnote w:id="11">
    <w:p w14:paraId="3AFF187F" w14:textId="767BEE0E" w:rsidR="00781918" w:rsidRPr="00781918" w:rsidRDefault="00781918">
      <w:pPr>
        <w:pStyle w:val="FootnoteText"/>
        <w:rPr>
          <w:rFonts w:ascii="Times New Roman" w:hAnsi="Times New Roman" w:cs="Times New Roman"/>
        </w:rPr>
      </w:pPr>
      <w:r>
        <w:rPr>
          <w:rStyle w:val="FootnoteReference0"/>
        </w:rPr>
        <w:footnoteRef/>
      </w:r>
      <w:r>
        <w:t xml:space="preserve"> </w:t>
      </w:r>
      <w:r>
        <w:rPr>
          <w:rFonts w:ascii="Times New Roman" w:hAnsi="Times New Roman"/>
        </w:rPr>
        <w:t>L’Organisation européenne des services pénitentiaires et correctionnels est financée par une subvention de fonctionnement de l’UE. Son programme de travail annuel et son fonctionnement général sont soutenus par la Commission européenne.</w:t>
      </w:r>
    </w:p>
  </w:footnote>
  <w:footnote w:id="12">
    <w:p w14:paraId="0758DBB8" w14:textId="6041684C" w:rsidR="00C3398C" w:rsidRPr="00781918" w:rsidRDefault="00C3398C">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Action commune 97/827/JAI du 5 décembre 1997 instaurant un mécanisme d’évaluation mutuelle, dans le cadre de la lutte contre la criminalité organisée (JO L 344 du 15.12.1997, p. 7)</w:t>
      </w:r>
      <w:r>
        <w:t>.</w:t>
      </w:r>
    </w:p>
  </w:footnote>
  <w:footnote w:id="13">
    <w:p w14:paraId="58B50B1D" w14:textId="4C47227B" w:rsidR="005A4711" w:rsidRPr="00781918" w:rsidRDefault="005A4711">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COM(2025) 747 final.</w:t>
      </w:r>
    </w:p>
  </w:footnote>
  <w:footnote w:id="14">
    <w:p w14:paraId="3BAB5935" w14:textId="2C2EE3F2" w:rsidR="00357AE6" w:rsidRPr="00781918" w:rsidRDefault="00357AE6">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1" w:tgtFrame="_blank" w:history="1">
        <w:r>
          <w:rPr>
            <w:rStyle w:val="Hyperlink"/>
            <w:rFonts w:ascii="Times New Roman" w:hAnsi="Times New Roman"/>
            <w:color w:val="auto"/>
            <w:u w:val="none"/>
          </w:rPr>
          <w:t>Conclusions du Conseil sur le pacte visant à lutter contre les menaces liées aux nouvelles drogues de synthèse et aux nouvelles substances psychoactives dans l’Union européenne</w:t>
        </w:r>
      </w:hyperlink>
      <w:r>
        <w:t>.</w:t>
      </w:r>
      <w:r>
        <w:rPr>
          <w:rFonts w:ascii="Times New Roman" w:hAnsi="Times New Roman"/>
        </w:rPr>
        <w:t xml:space="preserve"> </w:t>
      </w:r>
    </w:p>
  </w:footnote>
  <w:footnote w:id="15">
    <w:p w14:paraId="380D3D70" w14:textId="77777777" w:rsidR="009243BD" w:rsidRPr="00781918" w:rsidRDefault="009243BD" w:rsidP="009243BD">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Plan d’action de l’UE en faveur des droits de l’homme et de la démocratie 2020-2024 − Conclusions du Conseil du 18 novembre 2020, 12848/20, et conclusions du Conseil du 27 mai 2024 relatives à l’alignement du plan d’action de l’UE en faveur des droits de l’homme et de la démocratie 2020-2024 sur le cadre financier pluriannuel 2021-2027, 9508/24</w:t>
      </w:r>
      <w:r>
        <w:t>.</w:t>
      </w:r>
    </w:p>
  </w:footnote>
  <w:footnote w:id="16">
    <w:p w14:paraId="6EFAD482" w14:textId="722EBF3F" w:rsidR="009243BD" w:rsidRPr="00781918" w:rsidRDefault="009243BD" w:rsidP="009243BD">
      <w:pPr>
        <w:pStyle w:val="FootnoteText"/>
        <w:rPr>
          <w:rFonts w:ascii="Times New Roman" w:hAnsi="Times New Roman" w:cs="Times New Roman"/>
        </w:rPr>
      </w:pPr>
      <w:r>
        <w:rPr>
          <w:rStyle w:val="FootnoteReference0"/>
          <w:rFonts w:ascii="Times New Roman" w:hAnsi="Times New Roman" w:cs="Times New Roman"/>
        </w:rPr>
        <w:footnoteRef/>
      </w:r>
      <w:r>
        <w:t xml:space="preserve"> </w:t>
      </w:r>
      <w:r>
        <w:rPr>
          <w:rFonts w:ascii="Times New Roman" w:hAnsi="Times New Roman"/>
        </w:rPr>
        <w:t>Conclusions du Conseil de décembre 2022 sur une approche fondée sur les droits de l’homme dans les politiques en matière de drogue, 15818/22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F93A8" w14:textId="77777777" w:rsidR="00833F49" w:rsidRPr="00833F49" w:rsidRDefault="00833F49" w:rsidP="00833F4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F4AC3" w14:textId="77777777" w:rsidR="00833F49" w:rsidRPr="00833F49" w:rsidRDefault="00833F49" w:rsidP="00833F4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5E73C" w14:textId="77777777" w:rsidR="00833F49" w:rsidRPr="00833F49" w:rsidRDefault="00833F49" w:rsidP="00833F4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77777777" w:rsidR="00D24BB1"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C1B63"/>
    <w:multiLevelType w:val="multilevel"/>
    <w:tmpl w:val="B108ECEA"/>
    <w:lvl w:ilvl="0">
      <w:start w:val="1"/>
      <w:numFmt w:val="decimal"/>
      <w:lvlText w:val="%1."/>
      <w:lvlJc w:val="left"/>
      <w:pPr>
        <w:ind w:left="360" w:hanging="360"/>
      </w:pPr>
    </w:lvl>
    <w:lvl w:ilvl="1">
      <w:start w:val="1"/>
      <w:numFmt w:val="decimal"/>
      <w:lvlText w:val="%1.%2."/>
      <w:lvlJc w:val="left"/>
      <w:pPr>
        <w:ind w:left="574"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 w15:restartNumberingAfterBreak="0">
    <w:nsid w:val="08696650"/>
    <w:multiLevelType w:val="hybridMultilevel"/>
    <w:tmpl w:val="EE48E244"/>
    <w:lvl w:ilvl="0" w:tplc="988E2C60">
      <w:start w:val="1"/>
      <w:numFmt w:val="upperRoman"/>
      <w:lvlText w:val="%1."/>
      <w:lvlJc w:val="left"/>
      <w:pPr>
        <w:ind w:left="1080" w:hanging="720"/>
      </w:pPr>
      <w:rPr>
        <w:rFonts w:eastAsia="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134706"/>
    <w:multiLevelType w:val="hybridMultilevel"/>
    <w:tmpl w:val="0344B1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CF93E34"/>
    <w:multiLevelType w:val="hybridMultilevel"/>
    <w:tmpl w:val="7536FFAC"/>
    <w:lvl w:ilvl="0" w:tplc="1809000F">
      <w:start w:val="1"/>
      <w:numFmt w:val="decimal"/>
      <w:lvlText w:val="%1."/>
      <w:lvlJc w:val="left"/>
      <w:pPr>
        <w:ind w:left="360" w:hanging="360"/>
      </w:pPr>
    </w:lvl>
    <w:lvl w:ilvl="1" w:tplc="FFFFFFFF">
      <w:start w:val="1"/>
      <w:numFmt w:val="lowerLetter"/>
      <w:lvlText w:val="%2."/>
      <w:lvlJc w:val="left"/>
      <w:pPr>
        <w:ind w:left="-65" w:hanging="360"/>
      </w:pPr>
    </w:lvl>
    <w:lvl w:ilvl="2" w:tplc="FFFFFFFF">
      <w:start w:val="1"/>
      <w:numFmt w:val="lowerRoman"/>
      <w:lvlText w:val="%3."/>
      <w:lvlJc w:val="right"/>
      <w:pPr>
        <w:ind w:left="605" w:hanging="180"/>
      </w:pPr>
    </w:lvl>
    <w:lvl w:ilvl="3" w:tplc="FFFFFFFF">
      <w:start w:val="1"/>
      <w:numFmt w:val="decimal"/>
      <w:lvlText w:val="%4."/>
      <w:lvlJc w:val="left"/>
      <w:pPr>
        <w:ind w:left="360" w:hanging="360"/>
      </w:pPr>
      <w:rPr>
        <w:rFonts w:ascii="Times New Roman" w:eastAsiaTheme="minorHAnsi" w:hAnsi="Times New Roman" w:cs="Times New Roman"/>
      </w:rPr>
    </w:lvl>
    <w:lvl w:ilvl="4" w:tplc="FFFFFFFF">
      <w:start w:val="1"/>
      <w:numFmt w:val="lowerLetter"/>
      <w:lvlText w:val="%5."/>
      <w:lvlJc w:val="left"/>
      <w:pPr>
        <w:ind w:left="3175" w:hanging="360"/>
      </w:pPr>
    </w:lvl>
    <w:lvl w:ilvl="5" w:tplc="FFFFFFFF">
      <w:start w:val="1"/>
      <w:numFmt w:val="lowerRoman"/>
      <w:lvlText w:val="%6."/>
      <w:lvlJc w:val="right"/>
      <w:pPr>
        <w:ind w:left="3895" w:hanging="180"/>
      </w:pPr>
    </w:lvl>
    <w:lvl w:ilvl="6" w:tplc="FFFFFFFF">
      <w:start w:val="1"/>
      <w:numFmt w:val="decimal"/>
      <w:lvlText w:val="%7."/>
      <w:lvlJc w:val="left"/>
      <w:pPr>
        <w:ind w:left="4615" w:hanging="360"/>
      </w:pPr>
    </w:lvl>
    <w:lvl w:ilvl="7" w:tplc="FFFFFFFF">
      <w:start w:val="1"/>
      <w:numFmt w:val="lowerLetter"/>
      <w:lvlText w:val="%8."/>
      <w:lvlJc w:val="left"/>
      <w:pPr>
        <w:ind w:left="5335" w:hanging="360"/>
      </w:pPr>
    </w:lvl>
    <w:lvl w:ilvl="8" w:tplc="FFFFFFFF">
      <w:start w:val="1"/>
      <w:numFmt w:val="lowerRoman"/>
      <w:lvlText w:val="%9."/>
      <w:lvlJc w:val="right"/>
      <w:pPr>
        <w:ind w:left="6055" w:hanging="180"/>
      </w:pPr>
    </w:lvl>
  </w:abstractNum>
  <w:abstractNum w:abstractNumId="4" w15:restartNumberingAfterBreak="0">
    <w:nsid w:val="25AE3AAA"/>
    <w:multiLevelType w:val="hybridMultilevel"/>
    <w:tmpl w:val="2FBCBF9A"/>
    <w:lvl w:ilvl="0" w:tplc="85B859EC">
      <w:numFmt w:val="bullet"/>
      <w:lvlText w:val="•"/>
      <w:lvlJc w:val="left"/>
      <w:pPr>
        <w:ind w:left="1545" w:hanging="1185"/>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5F60545"/>
    <w:multiLevelType w:val="multilevel"/>
    <w:tmpl w:val="CFE4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F41642"/>
    <w:multiLevelType w:val="multilevel"/>
    <w:tmpl w:val="01BE0FC6"/>
    <w:lvl w:ilvl="0">
      <w:start w:val="1"/>
      <w:numFmt w:val="upperRoman"/>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C457D36"/>
    <w:multiLevelType w:val="hybridMultilevel"/>
    <w:tmpl w:val="1500EE7A"/>
    <w:lvl w:ilvl="0" w:tplc="E6140C1E">
      <w:start w:val="1"/>
      <w:numFmt w:val="upperRoman"/>
      <w:lvlText w:val="%1."/>
      <w:lvlJc w:val="left"/>
      <w:pPr>
        <w:ind w:left="1003"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2CA4393D"/>
    <w:multiLevelType w:val="hybridMultilevel"/>
    <w:tmpl w:val="3CBEB4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00C7AA7"/>
    <w:multiLevelType w:val="hybridMultilevel"/>
    <w:tmpl w:val="1222263C"/>
    <w:lvl w:ilvl="0" w:tplc="09380800">
      <w:start w:val="1"/>
      <w:numFmt w:val="bullet"/>
      <w:lvlText w:val=""/>
      <w:lvlJc w:val="left"/>
      <w:pPr>
        <w:ind w:left="720" w:hanging="360"/>
      </w:pPr>
      <w:rPr>
        <w:rFonts w:ascii="Symbol" w:hAnsi="Symbol"/>
      </w:rPr>
    </w:lvl>
    <w:lvl w:ilvl="1" w:tplc="2AA45D24">
      <w:start w:val="1"/>
      <w:numFmt w:val="bullet"/>
      <w:lvlText w:val=""/>
      <w:lvlJc w:val="left"/>
      <w:pPr>
        <w:ind w:left="2160" w:hanging="360"/>
      </w:pPr>
      <w:rPr>
        <w:rFonts w:ascii="Symbol" w:hAnsi="Symbol"/>
      </w:rPr>
    </w:lvl>
    <w:lvl w:ilvl="2" w:tplc="C31ED46A">
      <w:start w:val="1"/>
      <w:numFmt w:val="bullet"/>
      <w:lvlText w:val=""/>
      <w:lvlJc w:val="left"/>
      <w:pPr>
        <w:ind w:left="720" w:hanging="360"/>
      </w:pPr>
      <w:rPr>
        <w:rFonts w:ascii="Symbol" w:hAnsi="Symbol"/>
      </w:rPr>
    </w:lvl>
    <w:lvl w:ilvl="3" w:tplc="7DD83158">
      <w:start w:val="1"/>
      <w:numFmt w:val="bullet"/>
      <w:lvlText w:val=""/>
      <w:lvlJc w:val="left"/>
      <w:pPr>
        <w:ind w:left="720" w:hanging="360"/>
      </w:pPr>
      <w:rPr>
        <w:rFonts w:ascii="Symbol" w:hAnsi="Symbol"/>
      </w:rPr>
    </w:lvl>
    <w:lvl w:ilvl="4" w:tplc="73285B8A">
      <w:start w:val="1"/>
      <w:numFmt w:val="bullet"/>
      <w:lvlText w:val=""/>
      <w:lvlJc w:val="left"/>
      <w:pPr>
        <w:ind w:left="720" w:hanging="360"/>
      </w:pPr>
      <w:rPr>
        <w:rFonts w:ascii="Symbol" w:hAnsi="Symbol"/>
      </w:rPr>
    </w:lvl>
    <w:lvl w:ilvl="5" w:tplc="3F3E9076">
      <w:start w:val="1"/>
      <w:numFmt w:val="bullet"/>
      <w:lvlText w:val=""/>
      <w:lvlJc w:val="left"/>
      <w:pPr>
        <w:ind w:left="720" w:hanging="360"/>
      </w:pPr>
      <w:rPr>
        <w:rFonts w:ascii="Symbol" w:hAnsi="Symbol"/>
      </w:rPr>
    </w:lvl>
    <w:lvl w:ilvl="6" w:tplc="8346A000">
      <w:start w:val="1"/>
      <w:numFmt w:val="bullet"/>
      <w:lvlText w:val=""/>
      <w:lvlJc w:val="left"/>
      <w:pPr>
        <w:ind w:left="720" w:hanging="360"/>
      </w:pPr>
      <w:rPr>
        <w:rFonts w:ascii="Symbol" w:hAnsi="Symbol"/>
      </w:rPr>
    </w:lvl>
    <w:lvl w:ilvl="7" w:tplc="C294405A">
      <w:start w:val="1"/>
      <w:numFmt w:val="bullet"/>
      <w:lvlText w:val=""/>
      <w:lvlJc w:val="left"/>
      <w:pPr>
        <w:ind w:left="720" w:hanging="360"/>
      </w:pPr>
      <w:rPr>
        <w:rFonts w:ascii="Symbol" w:hAnsi="Symbol"/>
      </w:rPr>
    </w:lvl>
    <w:lvl w:ilvl="8" w:tplc="4572B168">
      <w:start w:val="1"/>
      <w:numFmt w:val="bullet"/>
      <w:lvlText w:val=""/>
      <w:lvlJc w:val="left"/>
      <w:pPr>
        <w:ind w:left="720" w:hanging="360"/>
      </w:pPr>
      <w:rPr>
        <w:rFonts w:ascii="Symbol" w:hAnsi="Symbol"/>
      </w:rPr>
    </w:lvl>
  </w:abstractNum>
  <w:abstractNum w:abstractNumId="10" w15:restartNumberingAfterBreak="0">
    <w:nsid w:val="36947B65"/>
    <w:multiLevelType w:val="multilevel"/>
    <w:tmpl w:val="573274FA"/>
    <w:lvl w:ilvl="0">
      <w:start w:val="1"/>
      <w:numFmt w:val="decimal"/>
      <w:lvlText w:val="%1."/>
      <w:lvlJc w:val="left"/>
      <w:pPr>
        <w:ind w:left="360" w:hanging="360"/>
      </w:pPr>
      <w:rPr>
        <w:rFonts w:hint="default"/>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96D5171"/>
    <w:multiLevelType w:val="hybridMultilevel"/>
    <w:tmpl w:val="88FA49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FD878FB"/>
    <w:multiLevelType w:val="hybridMultilevel"/>
    <w:tmpl w:val="FF2018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12029C2"/>
    <w:multiLevelType w:val="multilevel"/>
    <w:tmpl w:val="5BFC4BE4"/>
    <w:lvl w:ilvl="0">
      <w:start w:val="1"/>
      <w:numFmt w:val="decimal"/>
      <w:pStyle w:val="Style1"/>
      <w:lvlText w:val="%1."/>
      <w:lvlJc w:val="left"/>
      <w:pPr>
        <w:ind w:left="1080" w:hanging="360"/>
      </w:pPr>
      <w:rPr>
        <w:rFonts w:hint="default"/>
      </w:rPr>
    </w:lvl>
    <w:lvl w:ilvl="1">
      <w:start w:val="1"/>
      <w:numFmt w:val="decimal"/>
      <w:pStyle w:val="Style2"/>
      <w:isLgl/>
      <w:lvlText w:val="%1.%2."/>
      <w:lvlJc w:val="left"/>
      <w:pPr>
        <w:ind w:left="1494"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42B3974E"/>
    <w:multiLevelType w:val="multilevel"/>
    <w:tmpl w:val="13B8E848"/>
    <w:lvl w:ilvl="0">
      <w:start w:val="1"/>
      <w:numFmt w:val="decimal"/>
      <w:lvlText w:val="%1."/>
      <w:lvlJc w:val="left"/>
      <w:pPr>
        <w:ind w:left="360" w:hanging="360"/>
      </w:pPr>
    </w:lvl>
    <w:lvl w:ilvl="1">
      <w:start w:val="1"/>
      <w:numFmt w:val="decimal"/>
      <w:lvlText w:val="%1.%2."/>
      <w:lvlJc w:val="left"/>
      <w:pPr>
        <w:ind w:left="574"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5" w15:restartNumberingAfterBreak="0">
    <w:nsid w:val="486D3E06"/>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A8215B"/>
    <w:multiLevelType w:val="hybridMultilevel"/>
    <w:tmpl w:val="1FC8B9BE"/>
    <w:lvl w:ilvl="0" w:tplc="54E0A33E">
      <w:start w:val="1"/>
      <w:numFmt w:val="decimal"/>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17" w15:restartNumberingAfterBreak="0">
    <w:nsid w:val="4CEB12D8"/>
    <w:multiLevelType w:val="multilevel"/>
    <w:tmpl w:val="33409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213772"/>
    <w:multiLevelType w:val="hybridMultilevel"/>
    <w:tmpl w:val="9CC00056"/>
    <w:lvl w:ilvl="0" w:tplc="0652E6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DD11C62"/>
    <w:multiLevelType w:val="multilevel"/>
    <w:tmpl w:val="2FCC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DCC6A"/>
    <w:multiLevelType w:val="hybridMultilevel"/>
    <w:tmpl w:val="30F0E9B4"/>
    <w:lvl w:ilvl="0" w:tplc="29D6783C">
      <w:start w:val="1"/>
      <w:numFmt w:val="bullet"/>
      <w:lvlText w:val=""/>
      <w:lvlJc w:val="left"/>
      <w:pPr>
        <w:ind w:left="720" w:hanging="360"/>
      </w:pPr>
      <w:rPr>
        <w:rFonts w:ascii="Symbol" w:hAnsi="Symbol" w:hint="default"/>
      </w:rPr>
    </w:lvl>
    <w:lvl w:ilvl="1" w:tplc="1A12A750">
      <w:start w:val="1"/>
      <w:numFmt w:val="bullet"/>
      <w:lvlText w:val="o"/>
      <w:lvlJc w:val="left"/>
      <w:pPr>
        <w:ind w:left="1440" w:hanging="360"/>
      </w:pPr>
      <w:rPr>
        <w:rFonts w:ascii="Courier New" w:hAnsi="Courier New" w:hint="default"/>
      </w:rPr>
    </w:lvl>
    <w:lvl w:ilvl="2" w:tplc="3A8678F2">
      <w:start w:val="1"/>
      <w:numFmt w:val="bullet"/>
      <w:lvlText w:val=""/>
      <w:lvlJc w:val="left"/>
      <w:pPr>
        <w:ind w:left="2160" w:hanging="360"/>
      </w:pPr>
      <w:rPr>
        <w:rFonts w:ascii="Wingdings" w:hAnsi="Wingdings" w:hint="default"/>
      </w:rPr>
    </w:lvl>
    <w:lvl w:ilvl="3" w:tplc="42EE17E2">
      <w:start w:val="1"/>
      <w:numFmt w:val="bullet"/>
      <w:lvlText w:val=""/>
      <w:lvlJc w:val="left"/>
      <w:pPr>
        <w:ind w:left="2880" w:hanging="360"/>
      </w:pPr>
      <w:rPr>
        <w:rFonts w:ascii="Symbol" w:hAnsi="Symbol" w:hint="default"/>
      </w:rPr>
    </w:lvl>
    <w:lvl w:ilvl="4" w:tplc="B460475A">
      <w:start w:val="1"/>
      <w:numFmt w:val="bullet"/>
      <w:lvlText w:val="o"/>
      <w:lvlJc w:val="left"/>
      <w:pPr>
        <w:ind w:left="3600" w:hanging="360"/>
      </w:pPr>
      <w:rPr>
        <w:rFonts w:ascii="Courier New" w:hAnsi="Courier New" w:hint="default"/>
      </w:rPr>
    </w:lvl>
    <w:lvl w:ilvl="5" w:tplc="BF2A643C">
      <w:start w:val="1"/>
      <w:numFmt w:val="bullet"/>
      <w:lvlText w:val=""/>
      <w:lvlJc w:val="left"/>
      <w:pPr>
        <w:ind w:left="4320" w:hanging="360"/>
      </w:pPr>
      <w:rPr>
        <w:rFonts w:ascii="Wingdings" w:hAnsi="Wingdings" w:hint="default"/>
      </w:rPr>
    </w:lvl>
    <w:lvl w:ilvl="6" w:tplc="D16A81B6">
      <w:start w:val="1"/>
      <w:numFmt w:val="bullet"/>
      <w:lvlText w:val=""/>
      <w:lvlJc w:val="left"/>
      <w:pPr>
        <w:ind w:left="5040" w:hanging="360"/>
      </w:pPr>
      <w:rPr>
        <w:rFonts w:ascii="Symbol" w:hAnsi="Symbol" w:hint="default"/>
      </w:rPr>
    </w:lvl>
    <w:lvl w:ilvl="7" w:tplc="85BA9A86">
      <w:start w:val="1"/>
      <w:numFmt w:val="bullet"/>
      <w:lvlText w:val="o"/>
      <w:lvlJc w:val="left"/>
      <w:pPr>
        <w:ind w:left="5760" w:hanging="360"/>
      </w:pPr>
      <w:rPr>
        <w:rFonts w:ascii="Courier New" w:hAnsi="Courier New" w:hint="default"/>
      </w:rPr>
    </w:lvl>
    <w:lvl w:ilvl="8" w:tplc="B5B08DAA">
      <w:start w:val="1"/>
      <w:numFmt w:val="bullet"/>
      <w:lvlText w:val=""/>
      <w:lvlJc w:val="left"/>
      <w:pPr>
        <w:ind w:left="6480" w:hanging="360"/>
      </w:pPr>
      <w:rPr>
        <w:rFonts w:ascii="Wingdings" w:hAnsi="Wingdings" w:hint="default"/>
      </w:rPr>
    </w:lvl>
  </w:abstractNum>
  <w:abstractNum w:abstractNumId="21" w15:restartNumberingAfterBreak="0">
    <w:nsid w:val="508242C8"/>
    <w:multiLevelType w:val="hybridMultilevel"/>
    <w:tmpl w:val="B958EF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43064AB"/>
    <w:multiLevelType w:val="hybridMultilevel"/>
    <w:tmpl w:val="D786EB3A"/>
    <w:lvl w:ilvl="0" w:tplc="FFFFFFFF">
      <w:start w:val="1"/>
      <w:numFmt w:val="upperLetter"/>
      <w:lvlText w:val="%1."/>
      <w:lvlJc w:val="left"/>
      <w:pPr>
        <w:ind w:left="720" w:hanging="360"/>
      </w:pPr>
      <w:rPr>
        <w:rFonts w:hint="default"/>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9D0BE7"/>
    <w:multiLevelType w:val="multilevel"/>
    <w:tmpl w:val="AF8A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3E3465"/>
    <w:multiLevelType w:val="hybridMultilevel"/>
    <w:tmpl w:val="FDAAEBB2"/>
    <w:lvl w:ilvl="0" w:tplc="9530E90E">
      <w:start w:val="1"/>
      <w:numFmt w:val="upperRoman"/>
      <w:lvlText w:val="%1."/>
      <w:lvlJc w:val="left"/>
      <w:pPr>
        <w:ind w:left="1080" w:hanging="720"/>
      </w:pPr>
      <w:rPr>
        <w:rFonts w:hint="default"/>
        <w:lang w:val="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BD7759C"/>
    <w:multiLevelType w:val="multilevel"/>
    <w:tmpl w:val="6D165FB0"/>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CDF78DD"/>
    <w:multiLevelType w:val="hybridMultilevel"/>
    <w:tmpl w:val="D786EB3A"/>
    <w:lvl w:ilvl="0" w:tplc="BA16896E">
      <w:start w:val="1"/>
      <w:numFmt w:val="upperLetter"/>
      <w:lvlText w:val="%1."/>
      <w:lvlJc w:val="left"/>
      <w:pPr>
        <w:ind w:left="720" w:hanging="360"/>
      </w:pPr>
      <w:rPr>
        <w:rFonts w:hint="default"/>
        <w:i w:val="0"/>
        <w:i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1331344"/>
    <w:multiLevelType w:val="hybridMultilevel"/>
    <w:tmpl w:val="7DD86E2A"/>
    <w:lvl w:ilvl="0" w:tplc="C464AF82">
      <w:start w:val="1"/>
      <w:numFmt w:val="bullet"/>
      <w:lvlText w:val=""/>
      <w:lvlJc w:val="left"/>
      <w:pPr>
        <w:ind w:left="1440" w:hanging="360"/>
      </w:pPr>
      <w:rPr>
        <w:rFonts w:ascii="Symbol" w:hAnsi="Symbol"/>
      </w:rPr>
    </w:lvl>
    <w:lvl w:ilvl="1" w:tplc="9BF20BC8">
      <w:start w:val="1"/>
      <w:numFmt w:val="bullet"/>
      <w:lvlText w:val=""/>
      <w:lvlJc w:val="left"/>
      <w:pPr>
        <w:ind w:left="2160" w:hanging="360"/>
      </w:pPr>
      <w:rPr>
        <w:rFonts w:ascii="Symbol" w:hAnsi="Symbol"/>
      </w:rPr>
    </w:lvl>
    <w:lvl w:ilvl="2" w:tplc="1AC8BB86">
      <w:start w:val="1"/>
      <w:numFmt w:val="bullet"/>
      <w:lvlText w:val=""/>
      <w:lvlJc w:val="left"/>
      <w:pPr>
        <w:ind w:left="1440" w:hanging="360"/>
      </w:pPr>
      <w:rPr>
        <w:rFonts w:ascii="Symbol" w:hAnsi="Symbol"/>
      </w:rPr>
    </w:lvl>
    <w:lvl w:ilvl="3" w:tplc="A8262912">
      <w:start w:val="1"/>
      <w:numFmt w:val="bullet"/>
      <w:lvlText w:val=""/>
      <w:lvlJc w:val="left"/>
      <w:pPr>
        <w:ind w:left="1440" w:hanging="360"/>
      </w:pPr>
      <w:rPr>
        <w:rFonts w:ascii="Symbol" w:hAnsi="Symbol"/>
      </w:rPr>
    </w:lvl>
    <w:lvl w:ilvl="4" w:tplc="DC4AC31C">
      <w:start w:val="1"/>
      <w:numFmt w:val="bullet"/>
      <w:lvlText w:val=""/>
      <w:lvlJc w:val="left"/>
      <w:pPr>
        <w:ind w:left="1440" w:hanging="360"/>
      </w:pPr>
      <w:rPr>
        <w:rFonts w:ascii="Symbol" w:hAnsi="Symbol"/>
      </w:rPr>
    </w:lvl>
    <w:lvl w:ilvl="5" w:tplc="8D1838EC">
      <w:start w:val="1"/>
      <w:numFmt w:val="bullet"/>
      <w:lvlText w:val=""/>
      <w:lvlJc w:val="left"/>
      <w:pPr>
        <w:ind w:left="1440" w:hanging="360"/>
      </w:pPr>
      <w:rPr>
        <w:rFonts w:ascii="Symbol" w:hAnsi="Symbol"/>
      </w:rPr>
    </w:lvl>
    <w:lvl w:ilvl="6" w:tplc="08249418">
      <w:start w:val="1"/>
      <w:numFmt w:val="bullet"/>
      <w:lvlText w:val=""/>
      <w:lvlJc w:val="left"/>
      <w:pPr>
        <w:ind w:left="1440" w:hanging="360"/>
      </w:pPr>
      <w:rPr>
        <w:rFonts w:ascii="Symbol" w:hAnsi="Symbol"/>
      </w:rPr>
    </w:lvl>
    <w:lvl w:ilvl="7" w:tplc="EEF853A0">
      <w:start w:val="1"/>
      <w:numFmt w:val="bullet"/>
      <w:lvlText w:val=""/>
      <w:lvlJc w:val="left"/>
      <w:pPr>
        <w:ind w:left="1440" w:hanging="360"/>
      </w:pPr>
      <w:rPr>
        <w:rFonts w:ascii="Symbol" w:hAnsi="Symbol"/>
      </w:rPr>
    </w:lvl>
    <w:lvl w:ilvl="8" w:tplc="8B1E914E">
      <w:start w:val="1"/>
      <w:numFmt w:val="bullet"/>
      <w:lvlText w:val=""/>
      <w:lvlJc w:val="left"/>
      <w:pPr>
        <w:ind w:left="1440" w:hanging="360"/>
      </w:pPr>
      <w:rPr>
        <w:rFonts w:ascii="Symbol" w:hAnsi="Symbol"/>
      </w:rPr>
    </w:lvl>
  </w:abstractNum>
  <w:abstractNum w:abstractNumId="28" w15:restartNumberingAfterBreak="0">
    <w:nsid w:val="73247463"/>
    <w:multiLevelType w:val="multilevel"/>
    <w:tmpl w:val="B03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BC3896"/>
    <w:multiLevelType w:val="multilevel"/>
    <w:tmpl w:val="0D18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807B9B"/>
    <w:multiLevelType w:val="hybridMultilevel"/>
    <w:tmpl w:val="0DF86620"/>
    <w:lvl w:ilvl="0" w:tplc="FFFFFFFF">
      <w:start w:val="1"/>
      <w:numFmt w:val="bullet"/>
      <w:lvlText w:val=""/>
      <w:lvlJc w:val="left"/>
      <w:pPr>
        <w:ind w:left="360" w:hanging="360"/>
      </w:pPr>
      <w:rPr>
        <w:rFonts w:ascii="Symbol" w:hAnsi="Symbol" w:hint="default"/>
        <w:color w:val="auto"/>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C7329CB"/>
    <w:multiLevelType w:val="multilevel"/>
    <w:tmpl w:val="3914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8755A0"/>
    <w:multiLevelType w:val="hybridMultilevel"/>
    <w:tmpl w:val="31E469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20"/>
  </w:num>
  <w:num w:numId="2">
    <w:abstractNumId w:val="16"/>
  </w:num>
  <w:num w:numId="3">
    <w:abstractNumId w:val="1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26"/>
  </w:num>
  <w:num w:numId="10">
    <w:abstractNumId w:val="12"/>
  </w:num>
  <w:num w:numId="11">
    <w:abstractNumId w:val="4"/>
  </w:num>
  <w:num w:numId="12">
    <w:abstractNumId w:val="22"/>
  </w:num>
  <w:num w:numId="13">
    <w:abstractNumId w:val="30"/>
  </w:num>
  <w:num w:numId="14">
    <w:abstractNumId w:val="25"/>
  </w:num>
  <w:num w:numId="15">
    <w:abstractNumId w:val="18"/>
  </w:num>
  <w:num w:numId="16">
    <w:abstractNumId w:val="11"/>
  </w:num>
  <w:num w:numId="17">
    <w:abstractNumId w:val="14"/>
  </w:num>
  <w:num w:numId="18">
    <w:abstractNumId w:val="15"/>
  </w:num>
  <w:num w:numId="19">
    <w:abstractNumId w:val="2"/>
  </w:num>
  <w:num w:numId="20">
    <w:abstractNumId w:val="32"/>
  </w:num>
  <w:num w:numId="21">
    <w:abstractNumId w:val="28"/>
  </w:num>
  <w:num w:numId="22">
    <w:abstractNumId w:val="19"/>
  </w:num>
  <w:num w:numId="23">
    <w:abstractNumId w:val="31"/>
  </w:num>
  <w:num w:numId="24">
    <w:abstractNumId w:val="5"/>
  </w:num>
  <w:num w:numId="25">
    <w:abstractNumId w:val="23"/>
  </w:num>
  <w:num w:numId="26">
    <w:abstractNumId w:val="13"/>
  </w:num>
  <w:num w:numId="27">
    <w:abstractNumId w:val="13"/>
  </w:num>
  <w:num w:numId="28">
    <w:abstractNumId w:val="13"/>
  </w:num>
  <w:num w:numId="29">
    <w:abstractNumId w:val="13"/>
  </w:num>
  <w:num w:numId="30">
    <w:abstractNumId w:val="13"/>
  </w:num>
  <w:num w:numId="31">
    <w:abstractNumId w:val="17"/>
  </w:num>
  <w:num w:numId="32">
    <w:abstractNumId w:val="21"/>
  </w:num>
  <w:num w:numId="33">
    <w:abstractNumId w:val="0"/>
  </w:num>
  <w:num w:numId="34">
    <w:abstractNumId w:val="10"/>
  </w:num>
  <w:num w:numId="35">
    <w:abstractNumId w:val="29"/>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7"/>
  </w:num>
  <w:num w:numId="39">
    <w:abstractNumId w:val="24"/>
  </w:num>
  <w:num w:numId="40">
    <w:abstractNumId w:val="9"/>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AE6694BD-8C52-40CB-92B2-43B836B615D6"/>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plan d'action de l'UE contre le trafic de drogue_x000b_"/>
    <w:docVar w:name="LW_TYPE.DOC.CP" w:val="COMMUNICATION DE LA COMMISSION AU PARLEMENT EUROPÉEN ET AU CONSEIL"/>
    <w:docVar w:name="LW_TYPE.DOC.CP.USERTEXT" w:val="&lt;EMPTY&gt;"/>
    <w:docVar w:name="LwApiVersions" w:val="LW4CoDe 1.24.5.0; LW 9.2, Build 20251112"/>
  </w:docVars>
  <w:rsids>
    <w:rsidRoot w:val="002F2AEF"/>
    <w:rsid w:val="000017D0"/>
    <w:rsid w:val="000024B9"/>
    <w:rsid w:val="000024F1"/>
    <w:rsid w:val="00002FA0"/>
    <w:rsid w:val="00003160"/>
    <w:rsid w:val="0000329D"/>
    <w:rsid w:val="000044AB"/>
    <w:rsid w:val="00004C6C"/>
    <w:rsid w:val="00004D49"/>
    <w:rsid w:val="0000520A"/>
    <w:rsid w:val="00005686"/>
    <w:rsid w:val="00006098"/>
    <w:rsid w:val="000062A3"/>
    <w:rsid w:val="00006D71"/>
    <w:rsid w:val="00007171"/>
    <w:rsid w:val="0000777B"/>
    <w:rsid w:val="00010324"/>
    <w:rsid w:val="00011065"/>
    <w:rsid w:val="000117B4"/>
    <w:rsid w:val="0001180B"/>
    <w:rsid w:val="00011BF6"/>
    <w:rsid w:val="00012312"/>
    <w:rsid w:val="00012716"/>
    <w:rsid w:val="0001296A"/>
    <w:rsid w:val="00012BCC"/>
    <w:rsid w:val="00012F48"/>
    <w:rsid w:val="0001355D"/>
    <w:rsid w:val="00014793"/>
    <w:rsid w:val="00014D6E"/>
    <w:rsid w:val="00015524"/>
    <w:rsid w:val="00016453"/>
    <w:rsid w:val="00016708"/>
    <w:rsid w:val="000169DF"/>
    <w:rsid w:val="00016B2F"/>
    <w:rsid w:val="00017AE6"/>
    <w:rsid w:val="000202CD"/>
    <w:rsid w:val="0002044E"/>
    <w:rsid w:val="00020A76"/>
    <w:rsid w:val="00020F77"/>
    <w:rsid w:val="0002182C"/>
    <w:rsid w:val="00021838"/>
    <w:rsid w:val="00021930"/>
    <w:rsid w:val="00021F66"/>
    <w:rsid w:val="00022136"/>
    <w:rsid w:val="00022FFF"/>
    <w:rsid w:val="00023000"/>
    <w:rsid w:val="00023120"/>
    <w:rsid w:val="00023287"/>
    <w:rsid w:val="00023BB2"/>
    <w:rsid w:val="00024F8C"/>
    <w:rsid w:val="00026C7E"/>
    <w:rsid w:val="00027306"/>
    <w:rsid w:val="0002E9AF"/>
    <w:rsid w:val="00030AC8"/>
    <w:rsid w:val="00031459"/>
    <w:rsid w:val="0003160C"/>
    <w:rsid w:val="00031AD9"/>
    <w:rsid w:val="00032118"/>
    <w:rsid w:val="00032919"/>
    <w:rsid w:val="00033AC6"/>
    <w:rsid w:val="00034337"/>
    <w:rsid w:val="00035F8E"/>
    <w:rsid w:val="000363C7"/>
    <w:rsid w:val="00036E0C"/>
    <w:rsid w:val="00037B09"/>
    <w:rsid w:val="0004196F"/>
    <w:rsid w:val="00042142"/>
    <w:rsid w:val="00042327"/>
    <w:rsid w:val="0004279A"/>
    <w:rsid w:val="00042962"/>
    <w:rsid w:val="00042A62"/>
    <w:rsid w:val="0004387E"/>
    <w:rsid w:val="0004411D"/>
    <w:rsid w:val="00044A2C"/>
    <w:rsid w:val="00046129"/>
    <w:rsid w:val="00046A5E"/>
    <w:rsid w:val="00047EC8"/>
    <w:rsid w:val="00049ABC"/>
    <w:rsid w:val="00050B12"/>
    <w:rsid w:val="000522E5"/>
    <w:rsid w:val="0005256B"/>
    <w:rsid w:val="00052815"/>
    <w:rsid w:val="00052D2D"/>
    <w:rsid w:val="00053477"/>
    <w:rsid w:val="00054658"/>
    <w:rsid w:val="000548F7"/>
    <w:rsid w:val="00054D2F"/>
    <w:rsid w:val="00055F81"/>
    <w:rsid w:val="00055FDB"/>
    <w:rsid w:val="00056257"/>
    <w:rsid w:val="0005683F"/>
    <w:rsid w:val="000568E3"/>
    <w:rsid w:val="000568E8"/>
    <w:rsid w:val="00057EAB"/>
    <w:rsid w:val="00057F81"/>
    <w:rsid w:val="00060085"/>
    <w:rsid w:val="00060A75"/>
    <w:rsid w:val="000616DF"/>
    <w:rsid w:val="00061F53"/>
    <w:rsid w:val="000623F7"/>
    <w:rsid w:val="0006254C"/>
    <w:rsid w:val="00062A52"/>
    <w:rsid w:val="00062BC5"/>
    <w:rsid w:val="0006360A"/>
    <w:rsid w:val="00063B29"/>
    <w:rsid w:val="00063C98"/>
    <w:rsid w:val="00063CC6"/>
    <w:rsid w:val="0006480D"/>
    <w:rsid w:val="00064BDA"/>
    <w:rsid w:val="00065301"/>
    <w:rsid w:val="0006659C"/>
    <w:rsid w:val="000668F1"/>
    <w:rsid w:val="00067504"/>
    <w:rsid w:val="00067982"/>
    <w:rsid w:val="00067F3A"/>
    <w:rsid w:val="0007011F"/>
    <w:rsid w:val="00070FE8"/>
    <w:rsid w:val="00071360"/>
    <w:rsid w:val="00071DF9"/>
    <w:rsid w:val="0007245B"/>
    <w:rsid w:val="0007272F"/>
    <w:rsid w:val="000727BB"/>
    <w:rsid w:val="00072F34"/>
    <w:rsid w:val="00073E90"/>
    <w:rsid w:val="0007459E"/>
    <w:rsid w:val="00074730"/>
    <w:rsid w:val="00074CD5"/>
    <w:rsid w:val="00074D49"/>
    <w:rsid w:val="00074E49"/>
    <w:rsid w:val="00075070"/>
    <w:rsid w:val="00076166"/>
    <w:rsid w:val="00077C9E"/>
    <w:rsid w:val="00080BF1"/>
    <w:rsid w:val="00080F1A"/>
    <w:rsid w:val="00081166"/>
    <w:rsid w:val="00081401"/>
    <w:rsid w:val="00081A6C"/>
    <w:rsid w:val="00081BC7"/>
    <w:rsid w:val="00082E94"/>
    <w:rsid w:val="00082EB9"/>
    <w:rsid w:val="00083BA4"/>
    <w:rsid w:val="00084712"/>
    <w:rsid w:val="00084B0D"/>
    <w:rsid w:val="000853B1"/>
    <w:rsid w:val="00085EA3"/>
    <w:rsid w:val="000869D1"/>
    <w:rsid w:val="00086A66"/>
    <w:rsid w:val="0008779B"/>
    <w:rsid w:val="000907E9"/>
    <w:rsid w:val="00090A03"/>
    <w:rsid w:val="00090BAA"/>
    <w:rsid w:val="00090E9E"/>
    <w:rsid w:val="0009165E"/>
    <w:rsid w:val="00091D3D"/>
    <w:rsid w:val="00092BF5"/>
    <w:rsid w:val="00092C82"/>
    <w:rsid w:val="00092C95"/>
    <w:rsid w:val="00092FCD"/>
    <w:rsid w:val="000930B0"/>
    <w:rsid w:val="000935EE"/>
    <w:rsid w:val="00093AFF"/>
    <w:rsid w:val="00094288"/>
    <w:rsid w:val="00094DCF"/>
    <w:rsid w:val="00095051"/>
    <w:rsid w:val="000951A2"/>
    <w:rsid w:val="0009567A"/>
    <w:rsid w:val="00095D44"/>
    <w:rsid w:val="00096DB6"/>
    <w:rsid w:val="0009732F"/>
    <w:rsid w:val="000975C7"/>
    <w:rsid w:val="00097E12"/>
    <w:rsid w:val="000A01F8"/>
    <w:rsid w:val="000A0A97"/>
    <w:rsid w:val="000A14E0"/>
    <w:rsid w:val="000A1D51"/>
    <w:rsid w:val="000A3828"/>
    <w:rsid w:val="000A3ED4"/>
    <w:rsid w:val="000A4277"/>
    <w:rsid w:val="000A5AD6"/>
    <w:rsid w:val="000A5F26"/>
    <w:rsid w:val="000A6C5A"/>
    <w:rsid w:val="000A6CFF"/>
    <w:rsid w:val="000A7CFA"/>
    <w:rsid w:val="000B0B7B"/>
    <w:rsid w:val="000B107E"/>
    <w:rsid w:val="000B1945"/>
    <w:rsid w:val="000B1C53"/>
    <w:rsid w:val="000B1EB3"/>
    <w:rsid w:val="000B2420"/>
    <w:rsid w:val="000B39AD"/>
    <w:rsid w:val="000B3E03"/>
    <w:rsid w:val="000B4255"/>
    <w:rsid w:val="000B4C43"/>
    <w:rsid w:val="000B4DA1"/>
    <w:rsid w:val="000B503B"/>
    <w:rsid w:val="000B56CA"/>
    <w:rsid w:val="000B72EA"/>
    <w:rsid w:val="000B7900"/>
    <w:rsid w:val="000B7AEC"/>
    <w:rsid w:val="000B7F92"/>
    <w:rsid w:val="000C07E6"/>
    <w:rsid w:val="000C12F0"/>
    <w:rsid w:val="000C2435"/>
    <w:rsid w:val="000C29DD"/>
    <w:rsid w:val="000C2F25"/>
    <w:rsid w:val="000C37D7"/>
    <w:rsid w:val="000C3865"/>
    <w:rsid w:val="000C45C6"/>
    <w:rsid w:val="000C4A5A"/>
    <w:rsid w:val="000C5816"/>
    <w:rsid w:val="000C5A69"/>
    <w:rsid w:val="000C647E"/>
    <w:rsid w:val="000C6D21"/>
    <w:rsid w:val="000C6F04"/>
    <w:rsid w:val="000C723D"/>
    <w:rsid w:val="000C7D21"/>
    <w:rsid w:val="000D0207"/>
    <w:rsid w:val="000D03EA"/>
    <w:rsid w:val="000D07C9"/>
    <w:rsid w:val="000D104B"/>
    <w:rsid w:val="000D1130"/>
    <w:rsid w:val="000D275F"/>
    <w:rsid w:val="000D2C68"/>
    <w:rsid w:val="000D3EBA"/>
    <w:rsid w:val="000D66DA"/>
    <w:rsid w:val="000D6BA3"/>
    <w:rsid w:val="000D6FDB"/>
    <w:rsid w:val="000D7459"/>
    <w:rsid w:val="000D76D5"/>
    <w:rsid w:val="000D7E12"/>
    <w:rsid w:val="000D7F78"/>
    <w:rsid w:val="000E19F1"/>
    <w:rsid w:val="000E245A"/>
    <w:rsid w:val="000E2A50"/>
    <w:rsid w:val="000E3126"/>
    <w:rsid w:val="000E4176"/>
    <w:rsid w:val="000E4BE5"/>
    <w:rsid w:val="000E4DA5"/>
    <w:rsid w:val="000E4F07"/>
    <w:rsid w:val="000E5171"/>
    <w:rsid w:val="000E578E"/>
    <w:rsid w:val="000E653F"/>
    <w:rsid w:val="000E71C1"/>
    <w:rsid w:val="000F014F"/>
    <w:rsid w:val="000F0CC6"/>
    <w:rsid w:val="000F103C"/>
    <w:rsid w:val="000F1277"/>
    <w:rsid w:val="000F1914"/>
    <w:rsid w:val="000F2C1B"/>
    <w:rsid w:val="000F366C"/>
    <w:rsid w:val="000F38B7"/>
    <w:rsid w:val="000F3A15"/>
    <w:rsid w:val="000F3A26"/>
    <w:rsid w:val="000F3AE1"/>
    <w:rsid w:val="000F3E80"/>
    <w:rsid w:val="000F433E"/>
    <w:rsid w:val="000F5B10"/>
    <w:rsid w:val="000F6E3E"/>
    <w:rsid w:val="000F7040"/>
    <w:rsid w:val="000F70B7"/>
    <w:rsid w:val="000F783A"/>
    <w:rsid w:val="000F7A54"/>
    <w:rsid w:val="00100723"/>
    <w:rsid w:val="001007B5"/>
    <w:rsid w:val="0010113F"/>
    <w:rsid w:val="00101415"/>
    <w:rsid w:val="0010144F"/>
    <w:rsid w:val="00101520"/>
    <w:rsid w:val="00103BDB"/>
    <w:rsid w:val="00104082"/>
    <w:rsid w:val="001054EB"/>
    <w:rsid w:val="00105F68"/>
    <w:rsid w:val="00106311"/>
    <w:rsid w:val="0010680B"/>
    <w:rsid w:val="00106F1E"/>
    <w:rsid w:val="0010758A"/>
    <w:rsid w:val="00107D81"/>
    <w:rsid w:val="00107DDE"/>
    <w:rsid w:val="001105B9"/>
    <w:rsid w:val="001108FA"/>
    <w:rsid w:val="00110DD8"/>
    <w:rsid w:val="00112A94"/>
    <w:rsid w:val="00112F0A"/>
    <w:rsid w:val="001132DF"/>
    <w:rsid w:val="0011343A"/>
    <w:rsid w:val="00113FA9"/>
    <w:rsid w:val="00114323"/>
    <w:rsid w:val="00114696"/>
    <w:rsid w:val="00114E50"/>
    <w:rsid w:val="0011547C"/>
    <w:rsid w:val="001155D9"/>
    <w:rsid w:val="001162D3"/>
    <w:rsid w:val="001168C8"/>
    <w:rsid w:val="0011769E"/>
    <w:rsid w:val="00120278"/>
    <w:rsid w:val="0012041E"/>
    <w:rsid w:val="00120BAA"/>
    <w:rsid w:val="001214DB"/>
    <w:rsid w:val="00121FDA"/>
    <w:rsid w:val="0012203C"/>
    <w:rsid w:val="00122EF5"/>
    <w:rsid w:val="00123965"/>
    <w:rsid w:val="001244FC"/>
    <w:rsid w:val="0012456A"/>
    <w:rsid w:val="0012484F"/>
    <w:rsid w:val="00126450"/>
    <w:rsid w:val="00126C9C"/>
    <w:rsid w:val="00127821"/>
    <w:rsid w:val="00127921"/>
    <w:rsid w:val="00130E34"/>
    <w:rsid w:val="001315B2"/>
    <w:rsid w:val="0013254A"/>
    <w:rsid w:val="00132B90"/>
    <w:rsid w:val="00132CCB"/>
    <w:rsid w:val="00132D21"/>
    <w:rsid w:val="00132E96"/>
    <w:rsid w:val="001334D0"/>
    <w:rsid w:val="00133788"/>
    <w:rsid w:val="00133869"/>
    <w:rsid w:val="00133AFC"/>
    <w:rsid w:val="00134488"/>
    <w:rsid w:val="001346F6"/>
    <w:rsid w:val="0013488E"/>
    <w:rsid w:val="00134AA4"/>
    <w:rsid w:val="00134B8E"/>
    <w:rsid w:val="00135337"/>
    <w:rsid w:val="0013558A"/>
    <w:rsid w:val="00135731"/>
    <w:rsid w:val="001358F2"/>
    <w:rsid w:val="0013678B"/>
    <w:rsid w:val="00137019"/>
    <w:rsid w:val="001376CB"/>
    <w:rsid w:val="00137C88"/>
    <w:rsid w:val="001406B9"/>
    <w:rsid w:val="0014099F"/>
    <w:rsid w:val="00140C0E"/>
    <w:rsid w:val="0014159F"/>
    <w:rsid w:val="00141814"/>
    <w:rsid w:val="00141DB5"/>
    <w:rsid w:val="001422FA"/>
    <w:rsid w:val="00142372"/>
    <w:rsid w:val="00142D70"/>
    <w:rsid w:val="00143380"/>
    <w:rsid w:val="00144770"/>
    <w:rsid w:val="001448D3"/>
    <w:rsid w:val="00144A40"/>
    <w:rsid w:val="00144C73"/>
    <w:rsid w:val="00145429"/>
    <w:rsid w:val="00145BBF"/>
    <w:rsid w:val="00145E67"/>
    <w:rsid w:val="001466ED"/>
    <w:rsid w:val="00146A01"/>
    <w:rsid w:val="00147428"/>
    <w:rsid w:val="001479B0"/>
    <w:rsid w:val="00150264"/>
    <w:rsid w:val="001505BC"/>
    <w:rsid w:val="00150649"/>
    <w:rsid w:val="00150E00"/>
    <w:rsid w:val="00151A93"/>
    <w:rsid w:val="00151BC8"/>
    <w:rsid w:val="0015215F"/>
    <w:rsid w:val="00152441"/>
    <w:rsid w:val="00153052"/>
    <w:rsid w:val="001533B2"/>
    <w:rsid w:val="0015348C"/>
    <w:rsid w:val="00153684"/>
    <w:rsid w:val="00153987"/>
    <w:rsid w:val="0015428B"/>
    <w:rsid w:val="0015435C"/>
    <w:rsid w:val="00154E5A"/>
    <w:rsid w:val="00154F6F"/>
    <w:rsid w:val="00155AEF"/>
    <w:rsid w:val="00155DF1"/>
    <w:rsid w:val="0015643C"/>
    <w:rsid w:val="00156BE1"/>
    <w:rsid w:val="00156D14"/>
    <w:rsid w:val="00156FB3"/>
    <w:rsid w:val="00157472"/>
    <w:rsid w:val="001602BC"/>
    <w:rsid w:val="001603C5"/>
    <w:rsid w:val="001604CF"/>
    <w:rsid w:val="00160574"/>
    <w:rsid w:val="00160644"/>
    <w:rsid w:val="00160A6D"/>
    <w:rsid w:val="00161083"/>
    <w:rsid w:val="0016182D"/>
    <w:rsid w:val="001623A9"/>
    <w:rsid w:val="0016243A"/>
    <w:rsid w:val="0016346F"/>
    <w:rsid w:val="0016399A"/>
    <w:rsid w:val="001642B8"/>
    <w:rsid w:val="00164AAD"/>
    <w:rsid w:val="00164EFE"/>
    <w:rsid w:val="00164F36"/>
    <w:rsid w:val="0016511E"/>
    <w:rsid w:val="00165A9C"/>
    <w:rsid w:val="00165FD4"/>
    <w:rsid w:val="00166384"/>
    <w:rsid w:val="001663E8"/>
    <w:rsid w:val="00167135"/>
    <w:rsid w:val="001675D6"/>
    <w:rsid w:val="00167FBA"/>
    <w:rsid w:val="001701BE"/>
    <w:rsid w:val="00170A6B"/>
    <w:rsid w:val="00170B09"/>
    <w:rsid w:val="00170EE0"/>
    <w:rsid w:val="00172884"/>
    <w:rsid w:val="00173160"/>
    <w:rsid w:val="001734DC"/>
    <w:rsid w:val="0017368B"/>
    <w:rsid w:val="00173967"/>
    <w:rsid w:val="00174BBC"/>
    <w:rsid w:val="00174CBC"/>
    <w:rsid w:val="001751A6"/>
    <w:rsid w:val="00175217"/>
    <w:rsid w:val="00175570"/>
    <w:rsid w:val="001756A3"/>
    <w:rsid w:val="00175801"/>
    <w:rsid w:val="00176333"/>
    <w:rsid w:val="001767AB"/>
    <w:rsid w:val="001769FA"/>
    <w:rsid w:val="00176C7C"/>
    <w:rsid w:val="00177FB3"/>
    <w:rsid w:val="001803B7"/>
    <w:rsid w:val="001803F3"/>
    <w:rsid w:val="00180B92"/>
    <w:rsid w:val="00181350"/>
    <w:rsid w:val="00181A8F"/>
    <w:rsid w:val="00181DF1"/>
    <w:rsid w:val="00181E79"/>
    <w:rsid w:val="001827F2"/>
    <w:rsid w:val="0018287A"/>
    <w:rsid w:val="00182B33"/>
    <w:rsid w:val="00182EC0"/>
    <w:rsid w:val="0018305E"/>
    <w:rsid w:val="001833B1"/>
    <w:rsid w:val="001849FB"/>
    <w:rsid w:val="00184E4F"/>
    <w:rsid w:val="00185337"/>
    <w:rsid w:val="001855F6"/>
    <w:rsid w:val="001859B5"/>
    <w:rsid w:val="001867E3"/>
    <w:rsid w:val="0018738E"/>
    <w:rsid w:val="00187B41"/>
    <w:rsid w:val="00187E92"/>
    <w:rsid w:val="00187FDE"/>
    <w:rsid w:val="0019063E"/>
    <w:rsid w:val="00190662"/>
    <w:rsid w:val="0019070B"/>
    <w:rsid w:val="00190D1B"/>
    <w:rsid w:val="00190F17"/>
    <w:rsid w:val="00190F53"/>
    <w:rsid w:val="0019104B"/>
    <w:rsid w:val="00191156"/>
    <w:rsid w:val="00191349"/>
    <w:rsid w:val="00192FEC"/>
    <w:rsid w:val="0019378D"/>
    <w:rsid w:val="001938C1"/>
    <w:rsid w:val="00194028"/>
    <w:rsid w:val="00195679"/>
    <w:rsid w:val="00195783"/>
    <w:rsid w:val="00195C31"/>
    <w:rsid w:val="001963B1"/>
    <w:rsid w:val="0019678F"/>
    <w:rsid w:val="001968BE"/>
    <w:rsid w:val="00196E71"/>
    <w:rsid w:val="00197262"/>
    <w:rsid w:val="00197797"/>
    <w:rsid w:val="00197DC1"/>
    <w:rsid w:val="001A01A5"/>
    <w:rsid w:val="001A041B"/>
    <w:rsid w:val="001A0B85"/>
    <w:rsid w:val="001A107E"/>
    <w:rsid w:val="001A1883"/>
    <w:rsid w:val="001A19B3"/>
    <w:rsid w:val="001A1C4A"/>
    <w:rsid w:val="001A253D"/>
    <w:rsid w:val="001A26C3"/>
    <w:rsid w:val="001A28A3"/>
    <w:rsid w:val="001A2B4D"/>
    <w:rsid w:val="001A2FB5"/>
    <w:rsid w:val="001A40EB"/>
    <w:rsid w:val="001A4A35"/>
    <w:rsid w:val="001A4C19"/>
    <w:rsid w:val="001A4DF7"/>
    <w:rsid w:val="001A5214"/>
    <w:rsid w:val="001A52AF"/>
    <w:rsid w:val="001A57E8"/>
    <w:rsid w:val="001A5CA7"/>
    <w:rsid w:val="001A5CFA"/>
    <w:rsid w:val="001A60A2"/>
    <w:rsid w:val="001A68A1"/>
    <w:rsid w:val="001A77B9"/>
    <w:rsid w:val="001B01A3"/>
    <w:rsid w:val="001B08A1"/>
    <w:rsid w:val="001B11B1"/>
    <w:rsid w:val="001B1243"/>
    <w:rsid w:val="001B12B6"/>
    <w:rsid w:val="001B24D3"/>
    <w:rsid w:val="001B2927"/>
    <w:rsid w:val="001B2AB6"/>
    <w:rsid w:val="001B3833"/>
    <w:rsid w:val="001B3B03"/>
    <w:rsid w:val="001B3D3B"/>
    <w:rsid w:val="001B3D42"/>
    <w:rsid w:val="001B427B"/>
    <w:rsid w:val="001B4F91"/>
    <w:rsid w:val="001B5657"/>
    <w:rsid w:val="001B58B7"/>
    <w:rsid w:val="001B70D4"/>
    <w:rsid w:val="001B724A"/>
    <w:rsid w:val="001B7C81"/>
    <w:rsid w:val="001B7F0A"/>
    <w:rsid w:val="001C0334"/>
    <w:rsid w:val="001C0A0F"/>
    <w:rsid w:val="001C0F3B"/>
    <w:rsid w:val="001C11A1"/>
    <w:rsid w:val="001C167B"/>
    <w:rsid w:val="001C1873"/>
    <w:rsid w:val="001C233C"/>
    <w:rsid w:val="001C24A9"/>
    <w:rsid w:val="001C3805"/>
    <w:rsid w:val="001C3C21"/>
    <w:rsid w:val="001C47EA"/>
    <w:rsid w:val="001C483E"/>
    <w:rsid w:val="001C5006"/>
    <w:rsid w:val="001C576D"/>
    <w:rsid w:val="001C6BAE"/>
    <w:rsid w:val="001D0B3F"/>
    <w:rsid w:val="001D14E1"/>
    <w:rsid w:val="001D1646"/>
    <w:rsid w:val="001D1C6F"/>
    <w:rsid w:val="001D2124"/>
    <w:rsid w:val="001D2881"/>
    <w:rsid w:val="001D2978"/>
    <w:rsid w:val="001D2E8C"/>
    <w:rsid w:val="001D2F53"/>
    <w:rsid w:val="001D3B26"/>
    <w:rsid w:val="001D4439"/>
    <w:rsid w:val="001D45D7"/>
    <w:rsid w:val="001D462B"/>
    <w:rsid w:val="001D49BA"/>
    <w:rsid w:val="001D5D85"/>
    <w:rsid w:val="001D60C9"/>
    <w:rsid w:val="001D7241"/>
    <w:rsid w:val="001D72E6"/>
    <w:rsid w:val="001D73F6"/>
    <w:rsid w:val="001D7C7C"/>
    <w:rsid w:val="001D7EA3"/>
    <w:rsid w:val="001E005D"/>
    <w:rsid w:val="001E0F81"/>
    <w:rsid w:val="001E1A2E"/>
    <w:rsid w:val="001E21DC"/>
    <w:rsid w:val="001E280E"/>
    <w:rsid w:val="001E34A0"/>
    <w:rsid w:val="001E39C9"/>
    <w:rsid w:val="001E3C23"/>
    <w:rsid w:val="001E43E4"/>
    <w:rsid w:val="001E4C29"/>
    <w:rsid w:val="001E54C7"/>
    <w:rsid w:val="001E57DF"/>
    <w:rsid w:val="001E6575"/>
    <w:rsid w:val="001E6C42"/>
    <w:rsid w:val="001E6D28"/>
    <w:rsid w:val="001E6DFB"/>
    <w:rsid w:val="001E7168"/>
    <w:rsid w:val="001E7463"/>
    <w:rsid w:val="001E76B8"/>
    <w:rsid w:val="001E7720"/>
    <w:rsid w:val="001E77B4"/>
    <w:rsid w:val="001F0005"/>
    <w:rsid w:val="001F004E"/>
    <w:rsid w:val="001F0127"/>
    <w:rsid w:val="001F023F"/>
    <w:rsid w:val="001F100A"/>
    <w:rsid w:val="001F123B"/>
    <w:rsid w:val="001F1787"/>
    <w:rsid w:val="001F1AAF"/>
    <w:rsid w:val="001F254A"/>
    <w:rsid w:val="001F2563"/>
    <w:rsid w:val="001F25BC"/>
    <w:rsid w:val="001F28B0"/>
    <w:rsid w:val="001F316A"/>
    <w:rsid w:val="001F3910"/>
    <w:rsid w:val="001F3F31"/>
    <w:rsid w:val="001F42E5"/>
    <w:rsid w:val="001F4475"/>
    <w:rsid w:val="001F46BA"/>
    <w:rsid w:val="001F49BD"/>
    <w:rsid w:val="001F6839"/>
    <w:rsid w:val="001F6877"/>
    <w:rsid w:val="001F6CA5"/>
    <w:rsid w:val="001F6E00"/>
    <w:rsid w:val="001F74B0"/>
    <w:rsid w:val="001F7A1B"/>
    <w:rsid w:val="0020028C"/>
    <w:rsid w:val="002002E9"/>
    <w:rsid w:val="00200C74"/>
    <w:rsid w:val="00200DC4"/>
    <w:rsid w:val="00200F4B"/>
    <w:rsid w:val="00201590"/>
    <w:rsid w:val="00201837"/>
    <w:rsid w:val="00201ED6"/>
    <w:rsid w:val="00202345"/>
    <w:rsid w:val="00202630"/>
    <w:rsid w:val="00202752"/>
    <w:rsid w:val="00202BDD"/>
    <w:rsid w:val="00202D44"/>
    <w:rsid w:val="00202EA4"/>
    <w:rsid w:val="0020308D"/>
    <w:rsid w:val="00203197"/>
    <w:rsid w:val="00203312"/>
    <w:rsid w:val="00203493"/>
    <w:rsid w:val="00203DE0"/>
    <w:rsid w:val="00203FDD"/>
    <w:rsid w:val="00204369"/>
    <w:rsid w:val="00204B61"/>
    <w:rsid w:val="00205273"/>
    <w:rsid w:val="00205A42"/>
    <w:rsid w:val="00205E6D"/>
    <w:rsid w:val="0020631E"/>
    <w:rsid w:val="002068FD"/>
    <w:rsid w:val="00206EB8"/>
    <w:rsid w:val="002075DA"/>
    <w:rsid w:val="002104C6"/>
    <w:rsid w:val="00210666"/>
    <w:rsid w:val="00210797"/>
    <w:rsid w:val="00212535"/>
    <w:rsid w:val="0021298F"/>
    <w:rsid w:val="00212991"/>
    <w:rsid w:val="00212B70"/>
    <w:rsid w:val="00212D3B"/>
    <w:rsid w:val="00213342"/>
    <w:rsid w:val="00214E8E"/>
    <w:rsid w:val="00214FAB"/>
    <w:rsid w:val="00215A35"/>
    <w:rsid w:val="00215B20"/>
    <w:rsid w:val="00216A8E"/>
    <w:rsid w:val="00217731"/>
    <w:rsid w:val="002212B7"/>
    <w:rsid w:val="00222C13"/>
    <w:rsid w:val="00223B9B"/>
    <w:rsid w:val="00223BCA"/>
    <w:rsid w:val="002243FD"/>
    <w:rsid w:val="00224423"/>
    <w:rsid w:val="00226B4D"/>
    <w:rsid w:val="0022787C"/>
    <w:rsid w:val="0023037A"/>
    <w:rsid w:val="00230763"/>
    <w:rsid w:val="002322A7"/>
    <w:rsid w:val="00232623"/>
    <w:rsid w:val="00232711"/>
    <w:rsid w:val="00232F04"/>
    <w:rsid w:val="002334F8"/>
    <w:rsid w:val="00233968"/>
    <w:rsid w:val="00233FA9"/>
    <w:rsid w:val="00234F52"/>
    <w:rsid w:val="002350DA"/>
    <w:rsid w:val="00235364"/>
    <w:rsid w:val="00235904"/>
    <w:rsid w:val="00235D71"/>
    <w:rsid w:val="00236097"/>
    <w:rsid w:val="00236162"/>
    <w:rsid w:val="00236B3D"/>
    <w:rsid w:val="00236BD9"/>
    <w:rsid w:val="0023715F"/>
    <w:rsid w:val="00237CC8"/>
    <w:rsid w:val="00237E5F"/>
    <w:rsid w:val="002401CD"/>
    <w:rsid w:val="0024033B"/>
    <w:rsid w:val="00240899"/>
    <w:rsid w:val="002409A2"/>
    <w:rsid w:val="002409AB"/>
    <w:rsid w:val="0024106E"/>
    <w:rsid w:val="002412E7"/>
    <w:rsid w:val="002414CD"/>
    <w:rsid w:val="00241740"/>
    <w:rsid w:val="00241795"/>
    <w:rsid w:val="00241DE7"/>
    <w:rsid w:val="002426ED"/>
    <w:rsid w:val="002442B1"/>
    <w:rsid w:val="002444FD"/>
    <w:rsid w:val="002447F9"/>
    <w:rsid w:val="0024489D"/>
    <w:rsid w:val="002448AB"/>
    <w:rsid w:val="00244A6C"/>
    <w:rsid w:val="00244ADE"/>
    <w:rsid w:val="00244D29"/>
    <w:rsid w:val="002453AF"/>
    <w:rsid w:val="002456F2"/>
    <w:rsid w:val="002458FC"/>
    <w:rsid w:val="00245E15"/>
    <w:rsid w:val="00246FFE"/>
    <w:rsid w:val="0025005E"/>
    <w:rsid w:val="00250A87"/>
    <w:rsid w:val="00250E1B"/>
    <w:rsid w:val="00251455"/>
    <w:rsid w:val="0025180C"/>
    <w:rsid w:val="00252C51"/>
    <w:rsid w:val="00253037"/>
    <w:rsid w:val="002534DD"/>
    <w:rsid w:val="0025364F"/>
    <w:rsid w:val="00253E8C"/>
    <w:rsid w:val="00253F98"/>
    <w:rsid w:val="0025412F"/>
    <w:rsid w:val="00254601"/>
    <w:rsid w:val="00254FD3"/>
    <w:rsid w:val="00254FF8"/>
    <w:rsid w:val="00255972"/>
    <w:rsid w:val="0025635A"/>
    <w:rsid w:val="00256932"/>
    <w:rsid w:val="002572EC"/>
    <w:rsid w:val="00257B0A"/>
    <w:rsid w:val="00261C65"/>
    <w:rsid w:val="002620EF"/>
    <w:rsid w:val="00262258"/>
    <w:rsid w:val="00262436"/>
    <w:rsid w:val="00262C22"/>
    <w:rsid w:val="00262F9E"/>
    <w:rsid w:val="00263B99"/>
    <w:rsid w:val="00263FA4"/>
    <w:rsid w:val="002643A0"/>
    <w:rsid w:val="00264924"/>
    <w:rsid w:val="0026538E"/>
    <w:rsid w:val="00265BE3"/>
    <w:rsid w:val="00265CC5"/>
    <w:rsid w:val="002662A0"/>
    <w:rsid w:val="00267D1D"/>
    <w:rsid w:val="00270818"/>
    <w:rsid w:val="00270BAD"/>
    <w:rsid w:val="0027112E"/>
    <w:rsid w:val="00271231"/>
    <w:rsid w:val="0027181F"/>
    <w:rsid w:val="0027197A"/>
    <w:rsid w:val="00272031"/>
    <w:rsid w:val="002721C1"/>
    <w:rsid w:val="002721FE"/>
    <w:rsid w:val="002730DE"/>
    <w:rsid w:val="002736ED"/>
    <w:rsid w:val="00273D6D"/>
    <w:rsid w:val="00273EBE"/>
    <w:rsid w:val="00273F3F"/>
    <w:rsid w:val="00274DF6"/>
    <w:rsid w:val="00274FBA"/>
    <w:rsid w:val="0027624A"/>
    <w:rsid w:val="00276E0A"/>
    <w:rsid w:val="00276F5C"/>
    <w:rsid w:val="00277FC7"/>
    <w:rsid w:val="0028048F"/>
    <w:rsid w:val="0028050B"/>
    <w:rsid w:val="00280E97"/>
    <w:rsid w:val="00281C6D"/>
    <w:rsid w:val="00282467"/>
    <w:rsid w:val="00282D6D"/>
    <w:rsid w:val="00283BA5"/>
    <w:rsid w:val="00283F7E"/>
    <w:rsid w:val="00284083"/>
    <w:rsid w:val="002844E5"/>
    <w:rsid w:val="00284875"/>
    <w:rsid w:val="00284885"/>
    <w:rsid w:val="0028522E"/>
    <w:rsid w:val="002856B1"/>
    <w:rsid w:val="00285EB3"/>
    <w:rsid w:val="0028647A"/>
    <w:rsid w:val="002866B5"/>
    <w:rsid w:val="002872B8"/>
    <w:rsid w:val="002875B5"/>
    <w:rsid w:val="002876B1"/>
    <w:rsid w:val="00287A3D"/>
    <w:rsid w:val="0028870C"/>
    <w:rsid w:val="00290B9B"/>
    <w:rsid w:val="00290C33"/>
    <w:rsid w:val="00291405"/>
    <w:rsid w:val="00291555"/>
    <w:rsid w:val="00291893"/>
    <w:rsid w:val="00291C69"/>
    <w:rsid w:val="002926CE"/>
    <w:rsid w:val="002926FE"/>
    <w:rsid w:val="002932F0"/>
    <w:rsid w:val="00293ADD"/>
    <w:rsid w:val="00293CCA"/>
    <w:rsid w:val="00293D7C"/>
    <w:rsid w:val="00294077"/>
    <w:rsid w:val="0029458A"/>
    <w:rsid w:val="00295C59"/>
    <w:rsid w:val="002967AB"/>
    <w:rsid w:val="00297FB3"/>
    <w:rsid w:val="002A01D6"/>
    <w:rsid w:val="002A0EEA"/>
    <w:rsid w:val="002A1214"/>
    <w:rsid w:val="002A18ED"/>
    <w:rsid w:val="002A2274"/>
    <w:rsid w:val="002A24EA"/>
    <w:rsid w:val="002A2587"/>
    <w:rsid w:val="002A3563"/>
    <w:rsid w:val="002A3583"/>
    <w:rsid w:val="002A3631"/>
    <w:rsid w:val="002A3C93"/>
    <w:rsid w:val="002A3D62"/>
    <w:rsid w:val="002A4025"/>
    <w:rsid w:val="002A48F2"/>
    <w:rsid w:val="002A6452"/>
    <w:rsid w:val="002A664E"/>
    <w:rsid w:val="002A77E3"/>
    <w:rsid w:val="002A7950"/>
    <w:rsid w:val="002A7A6F"/>
    <w:rsid w:val="002B0143"/>
    <w:rsid w:val="002B0294"/>
    <w:rsid w:val="002B0695"/>
    <w:rsid w:val="002B124A"/>
    <w:rsid w:val="002B1619"/>
    <w:rsid w:val="002B1B76"/>
    <w:rsid w:val="002B1BFB"/>
    <w:rsid w:val="002B1FCF"/>
    <w:rsid w:val="002B24B9"/>
    <w:rsid w:val="002B2F75"/>
    <w:rsid w:val="002B30E1"/>
    <w:rsid w:val="002B35EF"/>
    <w:rsid w:val="002B39BA"/>
    <w:rsid w:val="002B441B"/>
    <w:rsid w:val="002B4444"/>
    <w:rsid w:val="002B4621"/>
    <w:rsid w:val="002B50A2"/>
    <w:rsid w:val="002B55EB"/>
    <w:rsid w:val="002B5664"/>
    <w:rsid w:val="002B5FE2"/>
    <w:rsid w:val="002B6188"/>
    <w:rsid w:val="002B6C6C"/>
    <w:rsid w:val="002B703A"/>
    <w:rsid w:val="002B771A"/>
    <w:rsid w:val="002B7AD9"/>
    <w:rsid w:val="002C10DB"/>
    <w:rsid w:val="002C2946"/>
    <w:rsid w:val="002C2B91"/>
    <w:rsid w:val="002C31B7"/>
    <w:rsid w:val="002C38AB"/>
    <w:rsid w:val="002C46B7"/>
    <w:rsid w:val="002C479D"/>
    <w:rsid w:val="002C4B3D"/>
    <w:rsid w:val="002C571C"/>
    <w:rsid w:val="002C61A8"/>
    <w:rsid w:val="002C6204"/>
    <w:rsid w:val="002C62C3"/>
    <w:rsid w:val="002C6B8D"/>
    <w:rsid w:val="002C6D70"/>
    <w:rsid w:val="002C7B17"/>
    <w:rsid w:val="002D0264"/>
    <w:rsid w:val="002D0CEF"/>
    <w:rsid w:val="002D15F4"/>
    <w:rsid w:val="002D20D7"/>
    <w:rsid w:val="002D22F3"/>
    <w:rsid w:val="002D2435"/>
    <w:rsid w:val="002D283F"/>
    <w:rsid w:val="002D2C76"/>
    <w:rsid w:val="002D2D5B"/>
    <w:rsid w:val="002D2EF1"/>
    <w:rsid w:val="002D3B3D"/>
    <w:rsid w:val="002D4CBB"/>
    <w:rsid w:val="002D4DAB"/>
    <w:rsid w:val="002D582A"/>
    <w:rsid w:val="002D5B03"/>
    <w:rsid w:val="002D5C1C"/>
    <w:rsid w:val="002D5CFA"/>
    <w:rsid w:val="002D6537"/>
    <w:rsid w:val="002D72C0"/>
    <w:rsid w:val="002D76CA"/>
    <w:rsid w:val="002E041D"/>
    <w:rsid w:val="002E090E"/>
    <w:rsid w:val="002E16A9"/>
    <w:rsid w:val="002E179F"/>
    <w:rsid w:val="002E20FA"/>
    <w:rsid w:val="002E2994"/>
    <w:rsid w:val="002E30DE"/>
    <w:rsid w:val="002E3835"/>
    <w:rsid w:val="002E4472"/>
    <w:rsid w:val="002E45B5"/>
    <w:rsid w:val="002E4B29"/>
    <w:rsid w:val="002E5816"/>
    <w:rsid w:val="002E63C9"/>
    <w:rsid w:val="002E64C4"/>
    <w:rsid w:val="002E64D2"/>
    <w:rsid w:val="002E7208"/>
    <w:rsid w:val="002E7529"/>
    <w:rsid w:val="002E7CAA"/>
    <w:rsid w:val="002E7DD7"/>
    <w:rsid w:val="002F004E"/>
    <w:rsid w:val="002F05BF"/>
    <w:rsid w:val="002F0E19"/>
    <w:rsid w:val="002F0ED5"/>
    <w:rsid w:val="002F1C67"/>
    <w:rsid w:val="002F1C89"/>
    <w:rsid w:val="002F26DB"/>
    <w:rsid w:val="002F27FA"/>
    <w:rsid w:val="002F2AEF"/>
    <w:rsid w:val="002F3505"/>
    <w:rsid w:val="002F38AE"/>
    <w:rsid w:val="002F3BBC"/>
    <w:rsid w:val="002F3C1D"/>
    <w:rsid w:val="002F3D51"/>
    <w:rsid w:val="002F3DCB"/>
    <w:rsid w:val="002F43AF"/>
    <w:rsid w:val="002F476F"/>
    <w:rsid w:val="002F4ADA"/>
    <w:rsid w:val="002F4CFF"/>
    <w:rsid w:val="002F4D9A"/>
    <w:rsid w:val="002F5190"/>
    <w:rsid w:val="002F587C"/>
    <w:rsid w:val="002F5CF4"/>
    <w:rsid w:val="002F5E06"/>
    <w:rsid w:val="002F5E38"/>
    <w:rsid w:val="002F63DE"/>
    <w:rsid w:val="002F6AD0"/>
    <w:rsid w:val="002F738F"/>
    <w:rsid w:val="002F78EC"/>
    <w:rsid w:val="002F7988"/>
    <w:rsid w:val="003000AF"/>
    <w:rsid w:val="00300144"/>
    <w:rsid w:val="00300C8D"/>
    <w:rsid w:val="00301AD8"/>
    <w:rsid w:val="003027A9"/>
    <w:rsid w:val="00302828"/>
    <w:rsid w:val="0030424B"/>
    <w:rsid w:val="003043C4"/>
    <w:rsid w:val="00304563"/>
    <w:rsid w:val="00305298"/>
    <w:rsid w:val="003053D2"/>
    <w:rsid w:val="0030563D"/>
    <w:rsid w:val="00306001"/>
    <w:rsid w:val="00306907"/>
    <w:rsid w:val="0030750A"/>
    <w:rsid w:val="00307B21"/>
    <w:rsid w:val="003104B3"/>
    <w:rsid w:val="00310C0F"/>
    <w:rsid w:val="00310D77"/>
    <w:rsid w:val="003114F7"/>
    <w:rsid w:val="003117E3"/>
    <w:rsid w:val="0031193C"/>
    <w:rsid w:val="00312261"/>
    <w:rsid w:val="003128F9"/>
    <w:rsid w:val="003134C6"/>
    <w:rsid w:val="00313CED"/>
    <w:rsid w:val="00314673"/>
    <w:rsid w:val="003156A2"/>
    <w:rsid w:val="00316388"/>
    <w:rsid w:val="00316391"/>
    <w:rsid w:val="003164C3"/>
    <w:rsid w:val="0031657F"/>
    <w:rsid w:val="003173D0"/>
    <w:rsid w:val="003200BD"/>
    <w:rsid w:val="0032037C"/>
    <w:rsid w:val="00320769"/>
    <w:rsid w:val="0032089E"/>
    <w:rsid w:val="00320A56"/>
    <w:rsid w:val="00320AD1"/>
    <w:rsid w:val="0032120A"/>
    <w:rsid w:val="003213DF"/>
    <w:rsid w:val="00321466"/>
    <w:rsid w:val="0032192F"/>
    <w:rsid w:val="00321978"/>
    <w:rsid w:val="00322B94"/>
    <w:rsid w:val="0032378E"/>
    <w:rsid w:val="00323943"/>
    <w:rsid w:val="00324F6A"/>
    <w:rsid w:val="00326619"/>
    <w:rsid w:val="00326CFF"/>
    <w:rsid w:val="00327B58"/>
    <w:rsid w:val="00327CD2"/>
    <w:rsid w:val="00327E67"/>
    <w:rsid w:val="00327EAD"/>
    <w:rsid w:val="00330638"/>
    <w:rsid w:val="00330D5A"/>
    <w:rsid w:val="00330F56"/>
    <w:rsid w:val="003317A9"/>
    <w:rsid w:val="00331813"/>
    <w:rsid w:val="0033196D"/>
    <w:rsid w:val="00331DF9"/>
    <w:rsid w:val="0033273F"/>
    <w:rsid w:val="00332A3B"/>
    <w:rsid w:val="00332CF0"/>
    <w:rsid w:val="0033311F"/>
    <w:rsid w:val="00333122"/>
    <w:rsid w:val="00334062"/>
    <w:rsid w:val="003342F0"/>
    <w:rsid w:val="00335F72"/>
    <w:rsid w:val="00336055"/>
    <w:rsid w:val="00336094"/>
    <w:rsid w:val="00336221"/>
    <w:rsid w:val="00336362"/>
    <w:rsid w:val="00336A10"/>
    <w:rsid w:val="0033707C"/>
    <w:rsid w:val="003373FF"/>
    <w:rsid w:val="003377D6"/>
    <w:rsid w:val="00337BAD"/>
    <w:rsid w:val="00340D5A"/>
    <w:rsid w:val="00341767"/>
    <w:rsid w:val="003418F5"/>
    <w:rsid w:val="00341D82"/>
    <w:rsid w:val="003428A7"/>
    <w:rsid w:val="00342DBE"/>
    <w:rsid w:val="003432C0"/>
    <w:rsid w:val="003435BC"/>
    <w:rsid w:val="00343684"/>
    <w:rsid w:val="003438CE"/>
    <w:rsid w:val="00343B9E"/>
    <w:rsid w:val="00343C96"/>
    <w:rsid w:val="00344E2D"/>
    <w:rsid w:val="003451CB"/>
    <w:rsid w:val="00345669"/>
    <w:rsid w:val="00346208"/>
    <w:rsid w:val="0034629C"/>
    <w:rsid w:val="003478AC"/>
    <w:rsid w:val="0035003D"/>
    <w:rsid w:val="00350BC7"/>
    <w:rsid w:val="00350E18"/>
    <w:rsid w:val="00352611"/>
    <w:rsid w:val="00352790"/>
    <w:rsid w:val="00352A6C"/>
    <w:rsid w:val="00353BF9"/>
    <w:rsid w:val="00353DFC"/>
    <w:rsid w:val="003549FF"/>
    <w:rsid w:val="00354E40"/>
    <w:rsid w:val="00356350"/>
    <w:rsid w:val="00356418"/>
    <w:rsid w:val="00356703"/>
    <w:rsid w:val="00356B65"/>
    <w:rsid w:val="00356C60"/>
    <w:rsid w:val="00356D38"/>
    <w:rsid w:val="00357AE6"/>
    <w:rsid w:val="00357BD0"/>
    <w:rsid w:val="00357E14"/>
    <w:rsid w:val="00360FA9"/>
    <w:rsid w:val="00362433"/>
    <w:rsid w:val="003624A0"/>
    <w:rsid w:val="00362E0A"/>
    <w:rsid w:val="0036320B"/>
    <w:rsid w:val="0036328C"/>
    <w:rsid w:val="00363396"/>
    <w:rsid w:val="00363A50"/>
    <w:rsid w:val="00364512"/>
    <w:rsid w:val="00365371"/>
    <w:rsid w:val="00366258"/>
    <w:rsid w:val="00366719"/>
    <w:rsid w:val="00366DC6"/>
    <w:rsid w:val="00367053"/>
    <w:rsid w:val="0037110D"/>
    <w:rsid w:val="0037125C"/>
    <w:rsid w:val="0037139C"/>
    <w:rsid w:val="00371CAE"/>
    <w:rsid w:val="00372151"/>
    <w:rsid w:val="00372BA8"/>
    <w:rsid w:val="003731AC"/>
    <w:rsid w:val="00374385"/>
    <w:rsid w:val="003747D9"/>
    <w:rsid w:val="00374925"/>
    <w:rsid w:val="00374A34"/>
    <w:rsid w:val="00374A8D"/>
    <w:rsid w:val="00374D4A"/>
    <w:rsid w:val="0037502E"/>
    <w:rsid w:val="00375C7B"/>
    <w:rsid w:val="003772C2"/>
    <w:rsid w:val="0038022F"/>
    <w:rsid w:val="00380549"/>
    <w:rsid w:val="00380A3A"/>
    <w:rsid w:val="00381385"/>
    <w:rsid w:val="0038148E"/>
    <w:rsid w:val="003827A5"/>
    <w:rsid w:val="003827F0"/>
    <w:rsid w:val="00382A9B"/>
    <w:rsid w:val="00382B21"/>
    <w:rsid w:val="00383284"/>
    <w:rsid w:val="00383317"/>
    <w:rsid w:val="00384181"/>
    <w:rsid w:val="003843F7"/>
    <w:rsid w:val="003862C8"/>
    <w:rsid w:val="003866BB"/>
    <w:rsid w:val="00386872"/>
    <w:rsid w:val="00386940"/>
    <w:rsid w:val="00386AC2"/>
    <w:rsid w:val="00386D31"/>
    <w:rsid w:val="003878AF"/>
    <w:rsid w:val="00390366"/>
    <w:rsid w:val="0039047F"/>
    <w:rsid w:val="00390946"/>
    <w:rsid w:val="0039190B"/>
    <w:rsid w:val="00391937"/>
    <w:rsid w:val="00392390"/>
    <w:rsid w:val="003932D9"/>
    <w:rsid w:val="0039337F"/>
    <w:rsid w:val="00393488"/>
    <w:rsid w:val="00393BAD"/>
    <w:rsid w:val="00394480"/>
    <w:rsid w:val="00395BBE"/>
    <w:rsid w:val="00395FC9"/>
    <w:rsid w:val="0039672B"/>
    <w:rsid w:val="00396B00"/>
    <w:rsid w:val="003972AF"/>
    <w:rsid w:val="003973D6"/>
    <w:rsid w:val="00397485"/>
    <w:rsid w:val="00397BA2"/>
    <w:rsid w:val="00397E35"/>
    <w:rsid w:val="003A1F7C"/>
    <w:rsid w:val="003A20DE"/>
    <w:rsid w:val="003A2322"/>
    <w:rsid w:val="003A2BEC"/>
    <w:rsid w:val="003A3806"/>
    <w:rsid w:val="003A3B1B"/>
    <w:rsid w:val="003A3E2F"/>
    <w:rsid w:val="003A4174"/>
    <w:rsid w:val="003A49B7"/>
    <w:rsid w:val="003A51FF"/>
    <w:rsid w:val="003A5453"/>
    <w:rsid w:val="003A66CC"/>
    <w:rsid w:val="003A77BD"/>
    <w:rsid w:val="003A7AD8"/>
    <w:rsid w:val="003A7C38"/>
    <w:rsid w:val="003A7CDB"/>
    <w:rsid w:val="003B03A1"/>
    <w:rsid w:val="003B0747"/>
    <w:rsid w:val="003B0BC1"/>
    <w:rsid w:val="003B0F42"/>
    <w:rsid w:val="003B199C"/>
    <w:rsid w:val="003B1A7E"/>
    <w:rsid w:val="003B1CB6"/>
    <w:rsid w:val="003B3629"/>
    <w:rsid w:val="003B3B2D"/>
    <w:rsid w:val="003B440C"/>
    <w:rsid w:val="003B4F14"/>
    <w:rsid w:val="003B523B"/>
    <w:rsid w:val="003B5A94"/>
    <w:rsid w:val="003B6801"/>
    <w:rsid w:val="003B6994"/>
    <w:rsid w:val="003B745A"/>
    <w:rsid w:val="003B7A83"/>
    <w:rsid w:val="003B7E77"/>
    <w:rsid w:val="003C0380"/>
    <w:rsid w:val="003C0468"/>
    <w:rsid w:val="003C05BB"/>
    <w:rsid w:val="003C082F"/>
    <w:rsid w:val="003C1680"/>
    <w:rsid w:val="003C1B5E"/>
    <w:rsid w:val="003C1DCD"/>
    <w:rsid w:val="003C2317"/>
    <w:rsid w:val="003C2B15"/>
    <w:rsid w:val="003C2CC4"/>
    <w:rsid w:val="003C42B0"/>
    <w:rsid w:val="003C4E10"/>
    <w:rsid w:val="003C5203"/>
    <w:rsid w:val="003C779A"/>
    <w:rsid w:val="003C7F5E"/>
    <w:rsid w:val="003D0217"/>
    <w:rsid w:val="003D040A"/>
    <w:rsid w:val="003D1067"/>
    <w:rsid w:val="003D1071"/>
    <w:rsid w:val="003D1942"/>
    <w:rsid w:val="003D29B4"/>
    <w:rsid w:val="003D2C89"/>
    <w:rsid w:val="003D343A"/>
    <w:rsid w:val="003D3712"/>
    <w:rsid w:val="003D38C1"/>
    <w:rsid w:val="003D47DB"/>
    <w:rsid w:val="003D4AB7"/>
    <w:rsid w:val="003D4AFE"/>
    <w:rsid w:val="003D4C94"/>
    <w:rsid w:val="003D5C6B"/>
    <w:rsid w:val="003D5F40"/>
    <w:rsid w:val="003D6E61"/>
    <w:rsid w:val="003D6F2F"/>
    <w:rsid w:val="003D7AA7"/>
    <w:rsid w:val="003D7C8F"/>
    <w:rsid w:val="003D7EAD"/>
    <w:rsid w:val="003E0516"/>
    <w:rsid w:val="003E0CCA"/>
    <w:rsid w:val="003E1020"/>
    <w:rsid w:val="003E24F6"/>
    <w:rsid w:val="003E263D"/>
    <w:rsid w:val="003E2A0B"/>
    <w:rsid w:val="003E3277"/>
    <w:rsid w:val="003E36E3"/>
    <w:rsid w:val="003E61A0"/>
    <w:rsid w:val="003E626C"/>
    <w:rsid w:val="003E63C1"/>
    <w:rsid w:val="003E6441"/>
    <w:rsid w:val="003E7408"/>
    <w:rsid w:val="003E744E"/>
    <w:rsid w:val="003E76B0"/>
    <w:rsid w:val="003E7819"/>
    <w:rsid w:val="003E7B03"/>
    <w:rsid w:val="003E7F78"/>
    <w:rsid w:val="003F00BC"/>
    <w:rsid w:val="003F0209"/>
    <w:rsid w:val="003F06AE"/>
    <w:rsid w:val="003F072E"/>
    <w:rsid w:val="003F0E35"/>
    <w:rsid w:val="003F1891"/>
    <w:rsid w:val="003F1FD1"/>
    <w:rsid w:val="003F226A"/>
    <w:rsid w:val="003F23D5"/>
    <w:rsid w:val="003F2409"/>
    <w:rsid w:val="003F27B4"/>
    <w:rsid w:val="003F2DBA"/>
    <w:rsid w:val="003F2FE0"/>
    <w:rsid w:val="003F3690"/>
    <w:rsid w:val="003F3EB6"/>
    <w:rsid w:val="003F49A1"/>
    <w:rsid w:val="003F50CF"/>
    <w:rsid w:val="003F514A"/>
    <w:rsid w:val="003F57D8"/>
    <w:rsid w:val="003F57DA"/>
    <w:rsid w:val="003F58DC"/>
    <w:rsid w:val="003F62AE"/>
    <w:rsid w:val="003F740E"/>
    <w:rsid w:val="003F7917"/>
    <w:rsid w:val="0040032F"/>
    <w:rsid w:val="00400BCA"/>
    <w:rsid w:val="0040118E"/>
    <w:rsid w:val="004013C1"/>
    <w:rsid w:val="00401E50"/>
    <w:rsid w:val="00401FC6"/>
    <w:rsid w:val="0040229D"/>
    <w:rsid w:val="00402678"/>
    <w:rsid w:val="00402A00"/>
    <w:rsid w:val="00402A3A"/>
    <w:rsid w:val="00403AA5"/>
    <w:rsid w:val="00404896"/>
    <w:rsid w:val="00404ED0"/>
    <w:rsid w:val="00405BC2"/>
    <w:rsid w:val="004062F7"/>
    <w:rsid w:val="00406A07"/>
    <w:rsid w:val="004073B5"/>
    <w:rsid w:val="0041020E"/>
    <w:rsid w:val="004103EF"/>
    <w:rsid w:val="00410CCF"/>
    <w:rsid w:val="00411734"/>
    <w:rsid w:val="0041199E"/>
    <w:rsid w:val="0041227A"/>
    <w:rsid w:val="0041232D"/>
    <w:rsid w:val="004124BA"/>
    <w:rsid w:val="00413102"/>
    <w:rsid w:val="0041428D"/>
    <w:rsid w:val="00414371"/>
    <w:rsid w:val="0041460A"/>
    <w:rsid w:val="004155A0"/>
    <w:rsid w:val="0041650E"/>
    <w:rsid w:val="0041657A"/>
    <w:rsid w:val="00416AC5"/>
    <w:rsid w:val="00417892"/>
    <w:rsid w:val="00417A11"/>
    <w:rsid w:val="00417EAA"/>
    <w:rsid w:val="0042146E"/>
    <w:rsid w:val="00422601"/>
    <w:rsid w:val="00422A44"/>
    <w:rsid w:val="0042327B"/>
    <w:rsid w:val="004238F3"/>
    <w:rsid w:val="004240AB"/>
    <w:rsid w:val="00424286"/>
    <w:rsid w:val="00424364"/>
    <w:rsid w:val="0042452E"/>
    <w:rsid w:val="00424B87"/>
    <w:rsid w:val="004255F8"/>
    <w:rsid w:val="00426255"/>
    <w:rsid w:val="00426287"/>
    <w:rsid w:val="004265F2"/>
    <w:rsid w:val="00426FFB"/>
    <w:rsid w:val="004275B1"/>
    <w:rsid w:val="004276B0"/>
    <w:rsid w:val="00427C49"/>
    <w:rsid w:val="00430208"/>
    <w:rsid w:val="004310B0"/>
    <w:rsid w:val="0043128F"/>
    <w:rsid w:val="004317BA"/>
    <w:rsid w:val="00431DCB"/>
    <w:rsid w:val="00431E32"/>
    <w:rsid w:val="00432359"/>
    <w:rsid w:val="00432678"/>
    <w:rsid w:val="0043282F"/>
    <w:rsid w:val="00432F49"/>
    <w:rsid w:val="00433B68"/>
    <w:rsid w:val="00433D8C"/>
    <w:rsid w:val="00434145"/>
    <w:rsid w:val="00434748"/>
    <w:rsid w:val="00435035"/>
    <w:rsid w:val="00435390"/>
    <w:rsid w:val="0043644F"/>
    <w:rsid w:val="00436DBB"/>
    <w:rsid w:val="004370FB"/>
    <w:rsid w:val="0043763D"/>
    <w:rsid w:val="004406E0"/>
    <w:rsid w:val="004407B3"/>
    <w:rsid w:val="00440EF9"/>
    <w:rsid w:val="00441C36"/>
    <w:rsid w:val="00441DDB"/>
    <w:rsid w:val="00442490"/>
    <w:rsid w:val="004425E8"/>
    <w:rsid w:val="004431C2"/>
    <w:rsid w:val="0044347A"/>
    <w:rsid w:val="00443964"/>
    <w:rsid w:val="004447E0"/>
    <w:rsid w:val="00444D1C"/>
    <w:rsid w:val="0044565B"/>
    <w:rsid w:val="00445748"/>
    <w:rsid w:val="004460AB"/>
    <w:rsid w:val="00446424"/>
    <w:rsid w:val="0044786A"/>
    <w:rsid w:val="004501C2"/>
    <w:rsid w:val="00450854"/>
    <w:rsid w:val="00450D95"/>
    <w:rsid w:val="0045181E"/>
    <w:rsid w:val="00451E3E"/>
    <w:rsid w:val="0045283C"/>
    <w:rsid w:val="00453B71"/>
    <w:rsid w:val="00456554"/>
    <w:rsid w:val="004565DA"/>
    <w:rsid w:val="00457341"/>
    <w:rsid w:val="00457E16"/>
    <w:rsid w:val="00457F70"/>
    <w:rsid w:val="0046055B"/>
    <w:rsid w:val="004605B6"/>
    <w:rsid w:val="00460995"/>
    <w:rsid w:val="00461CE8"/>
    <w:rsid w:val="0046278D"/>
    <w:rsid w:val="00462A19"/>
    <w:rsid w:val="00462DD7"/>
    <w:rsid w:val="0046330A"/>
    <w:rsid w:val="004637E2"/>
    <w:rsid w:val="00463BA7"/>
    <w:rsid w:val="00463D17"/>
    <w:rsid w:val="0046436A"/>
    <w:rsid w:val="004643DC"/>
    <w:rsid w:val="004647DB"/>
    <w:rsid w:val="00464DE9"/>
    <w:rsid w:val="00465491"/>
    <w:rsid w:val="00465AAF"/>
    <w:rsid w:val="00465BDA"/>
    <w:rsid w:val="00465ECF"/>
    <w:rsid w:val="004662F3"/>
    <w:rsid w:val="004663F5"/>
    <w:rsid w:val="0046665F"/>
    <w:rsid w:val="0046669E"/>
    <w:rsid w:val="00467288"/>
    <w:rsid w:val="00470817"/>
    <w:rsid w:val="00471986"/>
    <w:rsid w:val="00471A0D"/>
    <w:rsid w:val="00471B67"/>
    <w:rsid w:val="004720BA"/>
    <w:rsid w:val="00472107"/>
    <w:rsid w:val="004724C4"/>
    <w:rsid w:val="00472859"/>
    <w:rsid w:val="004728BD"/>
    <w:rsid w:val="004728E1"/>
    <w:rsid w:val="00472ECB"/>
    <w:rsid w:val="00472FE4"/>
    <w:rsid w:val="0047336A"/>
    <w:rsid w:val="00473B97"/>
    <w:rsid w:val="004742A0"/>
    <w:rsid w:val="0047469B"/>
    <w:rsid w:val="00475186"/>
    <w:rsid w:val="004765ED"/>
    <w:rsid w:val="00480481"/>
    <w:rsid w:val="00480BD5"/>
    <w:rsid w:val="00480C60"/>
    <w:rsid w:val="00481216"/>
    <w:rsid w:val="00481546"/>
    <w:rsid w:val="00481746"/>
    <w:rsid w:val="00482BFF"/>
    <w:rsid w:val="004836B2"/>
    <w:rsid w:val="0048531A"/>
    <w:rsid w:val="00485904"/>
    <w:rsid w:val="00485F6D"/>
    <w:rsid w:val="004862AC"/>
    <w:rsid w:val="004868B1"/>
    <w:rsid w:val="00486BBF"/>
    <w:rsid w:val="00487BD8"/>
    <w:rsid w:val="00487EBB"/>
    <w:rsid w:val="0049002D"/>
    <w:rsid w:val="00490184"/>
    <w:rsid w:val="00490554"/>
    <w:rsid w:val="004907DC"/>
    <w:rsid w:val="00490D77"/>
    <w:rsid w:val="004919CD"/>
    <w:rsid w:val="004925A0"/>
    <w:rsid w:val="00492D99"/>
    <w:rsid w:val="00493ABB"/>
    <w:rsid w:val="00493C59"/>
    <w:rsid w:val="004947E2"/>
    <w:rsid w:val="0049617A"/>
    <w:rsid w:val="00496C60"/>
    <w:rsid w:val="00496D0D"/>
    <w:rsid w:val="00496DE9"/>
    <w:rsid w:val="004972BC"/>
    <w:rsid w:val="00497C79"/>
    <w:rsid w:val="00497D96"/>
    <w:rsid w:val="004A0E9B"/>
    <w:rsid w:val="004A16C2"/>
    <w:rsid w:val="004A1974"/>
    <w:rsid w:val="004A30B3"/>
    <w:rsid w:val="004A3BD0"/>
    <w:rsid w:val="004A48FC"/>
    <w:rsid w:val="004A4DBB"/>
    <w:rsid w:val="004A5722"/>
    <w:rsid w:val="004A58F7"/>
    <w:rsid w:val="004A5AE8"/>
    <w:rsid w:val="004A5E6A"/>
    <w:rsid w:val="004A6304"/>
    <w:rsid w:val="004A635D"/>
    <w:rsid w:val="004A6668"/>
    <w:rsid w:val="004A741C"/>
    <w:rsid w:val="004A7FE6"/>
    <w:rsid w:val="004B0192"/>
    <w:rsid w:val="004B04D7"/>
    <w:rsid w:val="004B1267"/>
    <w:rsid w:val="004B20DE"/>
    <w:rsid w:val="004B3A38"/>
    <w:rsid w:val="004B3DDA"/>
    <w:rsid w:val="004B3F3A"/>
    <w:rsid w:val="004B49A3"/>
    <w:rsid w:val="004B4E79"/>
    <w:rsid w:val="004B533A"/>
    <w:rsid w:val="004B5612"/>
    <w:rsid w:val="004B58C2"/>
    <w:rsid w:val="004B5C93"/>
    <w:rsid w:val="004B7CAF"/>
    <w:rsid w:val="004B7EDA"/>
    <w:rsid w:val="004C09FD"/>
    <w:rsid w:val="004C144D"/>
    <w:rsid w:val="004C153E"/>
    <w:rsid w:val="004C2192"/>
    <w:rsid w:val="004C2BED"/>
    <w:rsid w:val="004C2C24"/>
    <w:rsid w:val="004C4321"/>
    <w:rsid w:val="004C47C7"/>
    <w:rsid w:val="004C48EA"/>
    <w:rsid w:val="004C4CF7"/>
    <w:rsid w:val="004C56FA"/>
    <w:rsid w:val="004C571C"/>
    <w:rsid w:val="004C7003"/>
    <w:rsid w:val="004C7374"/>
    <w:rsid w:val="004C7C79"/>
    <w:rsid w:val="004C7CCF"/>
    <w:rsid w:val="004C7D34"/>
    <w:rsid w:val="004D0225"/>
    <w:rsid w:val="004D0423"/>
    <w:rsid w:val="004D05B3"/>
    <w:rsid w:val="004D094D"/>
    <w:rsid w:val="004D0EB1"/>
    <w:rsid w:val="004D19C3"/>
    <w:rsid w:val="004D1A5C"/>
    <w:rsid w:val="004D212D"/>
    <w:rsid w:val="004D307A"/>
    <w:rsid w:val="004D3437"/>
    <w:rsid w:val="004D38BF"/>
    <w:rsid w:val="004D41B5"/>
    <w:rsid w:val="004D463B"/>
    <w:rsid w:val="004D46A7"/>
    <w:rsid w:val="004D49EA"/>
    <w:rsid w:val="004D4C74"/>
    <w:rsid w:val="004D5327"/>
    <w:rsid w:val="004D588B"/>
    <w:rsid w:val="004D5BF5"/>
    <w:rsid w:val="004D63D6"/>
    <w:rsid w:val="004D68F3"/>
    <w:rsid w:val="004D6A2C"/>
    <w:rsid w:val="004D6AAC"/>
    <w:rsid w:val="004D6CF6"/>
    <w:rsid w:val="004D728E"/>
    <w:rsid w:val="004D72EC"/>
    <w:rsid w:val="004D7A4F"/>
    <w:rsid w:val="004E0741"/>
    <w:rsid w:val="004E322D"/>
    <w:rsid w:val="004E352D"/>
    <w:rsid w:val="004E46B6"/>
    <w:rsid w:val="004E4D50"/>
    <w:rsid w:val="004E5492"/>
    <w:rsid w:val="004E5B53"/>
    <w:rsid w:val="004E5F13"/>
    <w:rsid w:val="004E642C"/>
    <w:rsid w:val="004E650B"/>
    <w:rsid w:val="004E77BA"/>
    <w:rsid w:val="004E7DC9"/>
    <w:rsid w:val="004F02D1"/>
    <w:rsid w:val="004F037D"/>
    <w:rsid w:val="004F041A"/>
    <w:rsid w:val="004F0496"/>
    <w:rsid w:val="004F0802"/>
    <w:rsid w:val="004F1C5E"/>
    <w:rsid w:val="004F2042"/>
    <w:rsid w:val="004F2E96"/>
    <w:rsid w:val="004F2F9D"/>
    <w:rsid w:val="004F3001"/>
    <w:rsid w:val="004F33A5"/>
    <w:rsid w:val="004F33CD"/>
    <w:rsid w:val="004F3577"/>
    <w:rsid w:val="004F3FBB"/>
    <w:rsid w:val="004F541C"/>
    <w:rsid w:val="004F67A5"/>
    <w:rsid w:val="004F6D80"/>
    <w:rsid w:val="004F7B39"/>
    <w:rsid w:val="00500187"/>
    <w:rsid w:val="00500276"/>
    <w:rsid w:val="0050029B"/>
    <w:rsid w:val="005004C8"/>
    <w:rsid w:val="005004F9"/>
    <w:rsid w:val="00501085"/>
    <w:rsid w:val="005011AE"/>
    <w:rsid w:val="00501586"/>
    <w:rsid w:val="0050180A"/>
    <w:rsid w:val="005018E6"/>
    <w:rsid w:val="005021B4"/>
    <w:rsid w:val="005024EC"/>
    <w:rsid w:val="005029F5"/>
    <w:rsid w:val="00502D10"/>
    <w:rsid w:val="00504383"/>
    <w:rsid w:val="0050567D"/>
    <w:rsid w:val="005058C3"/>
    <w:rsid w:val="00505966"/>
    <w:rsid w:val="0050609D"/>
    <w:rsid w:val="005060D0"/>
    <w:rsid w:val="00506397"/>
    <w:rsid w:val="005066A1"/>
    <w:rsid w:val="00507459"/>
    <w:rsid w:val="0051096E"/>
    <w:rsid w:val="0051103B"/>
    <w:rsid w:val="0051158F"/>
    <w:rsid w:val="00511815"/>
    <w:rsid w:val="00511C89"/>
    <w:rsid w:val="00512513"/>
    <w:rsid w:val="005135B7"/>
    <w:rsid w:val="00514392"/>
    <w:rsid w:val="00514682"/>
    <w:rsid w:val="00515731"/>
    <w:rsid w:val="00515AE6"/>
    <w:rsid w:val="00515BC4"/>
    <w:rsid w:val="00516255"/>
    <w:rsid w:val="00516585"/>
    <w:rsid w:val="00516CB8"/>
    <w:rsid w:val="00517220"/>
    <w:rsid w:val="0051741F"/>
    <w:rsid w:val="00517A07"/>
    <w:rsid w:val="005200CF"/>
    <w:rsid w:val="005203A6"/>
    <w:rsid w:val="0052057E"/>
    <w:rsid w:val="005208AE"/>
    <w:rsid w:val="00520926"/>
    <w:rsid w:val="00520C66"/>
    <w:rsid w:val="00520E74"/>
    <w:rsid w:val="0052137F"/>
    <w:rsid w:val="00521B89"/>
    <w:rsid w:val="00523516"/>
    <w:rsid w:val="005237C8"/>
    <w:rsid w:val="0052455A"/>
    <w:rsid w:val="00524649"/>
    <w:rsid w:val="00524ED3"/>
    <w:rsid w:val="00525032"/>
    <w:rsid w:val="005258BE"/>
    <w:rsid w:val="00525A25"/>
    <w:rsid w:val="00525A63"/>
    <w:rsid w:val="00525C6E"/>
    <w:rsid w:val="0052606B"/>
    <w:rsid w:val="00526693"/>
    <w:rsid w:val="005300DD"/>
    <w:rsid w:val="005300F1"/>
    <w:rsid w:val="005311D1"/>
    <w:rsid w:val="0053146D"/>
    <w:rsid w:val="00531609"/>
    <w:rsid w:val="005316EB"/>
    <w:rsid w:val="005319B7"/>
    <w:rsid w:val="00531DCB"/>
    <w:rsid w:val="00531FB4"/>
    <w:rsid w:val="00532437"/>
    <w:rsid w:val="0053262F"/>
    <w:rsid w:val="00532BC6"/>
    <w:rsid w:val="00532CBA"/>
    <w:rsid w:val="005333AC"/>
    <w:rsid w:val="00533952"/>
    <w:rsid w:val="00533BF7"/>
    <w:rsid w:val="00533CB9"/>
    <w:rsid w:val="00533ED1"/>
    <w:rsid w:val="00533F94"/>
    <w:rsid w:val="005340E0"/>
    <w:rsid w:val="00534A21"/>
    <w:rsid w:val="005351C5"/>
    <w:rsid w:val="00535D41"/>
    <w:rsid w:val="00536317"/>
    <w:rsid w:val="00536891"/>
    <w:rsid w:val="00536A94"/>
    <w:rsid w:val="00536DD0"/>
    <w:rsid w:val="0053716F"/>
    <w:rsid w:val="00537535"/>
    <w:rsid w:val="00537C13"/>
    <w:rsid w:val="00540259"/>
    <w:rsid w:val="005402E2"/>
    <w:rsid w:val="00540C94"/>
    <w:rsid w:val="00541D7B"/>
    <w:rsid w:val="00543A8E"/>
    <w:rsid w:val="00543B02"/>
    <w:rsid w:val="0054404D"/>
    <w:rsid w:val="00544BD0"/>
    <w:rsid w:val="00544EB2"/>
    <w:rsid w:val="00545182"/>
    <w:rsid w:val="0054523F"/>
    <w:rsid w:val="0054526B"/>
    <w:rsid w:val="00545B8B"/>
    <w:rsid w:val="0054604A"/>
    <w:rsid w:val="005461C3"/>
    <w:rsid w:val="0054640F"/>
    <w:rsid w:val="005468FA"/>
    <w:rsid w:val="00547E48"/>
    <w:rsid w:val="00550896"/>
    <w:rsid w:val="005509B3"/>
    <w:rsid w:val="00550E57"/>
    <w:rsid w:val="005511A1"/>
    <w:rsid w:val="0055158B"/>
    <w:rsid w:val="00551D16"/>
    <w:rsid w:val="00552100"/>
    <w:rsid w:val="00552315"/>
    <w:rsid w:val="00552C1A"/>
    <w:rsid w:val="00553503"/>
    <w:rsid w:val="00554E06"/>
    <w:rsid w:val="005555EF"/>
    <w:rsid w:val="005557F7"/>
    <w:rsid w:val="00555C43"/>
    <w:rsid w:val="00555D19"/>
    <w:rsid w:val="00556342"/>
    <w:rsid w:val="00556406"/>
    <w:rsid w:val="0055686B"/>
    <w:rsid w:val="005571C4"/>
    <w:rsid w:val="00557495"/>
    <w:rsid w:val="005575C0"/>
    <w:rsid w:val="005576EE"/>
    <w:rsid w:val="00557B71"/>
    <w:rsid w:val="00557E03"/>
    <w:rsid w:val="00557F53"/>
    <w:rsid w:val="00560247"/>
    <w:rsid w:val="00560C1B"/>
    <w:rsid w:val="005612BA"/>
    <w:rsid w:val="00561347"/>
    <w:rsid w:val="00561459"/>
    <w:rsid w:val="005617E1"/>
    <w:rsid w:val="00561DDE"/>
    <w:rsid w:val="00562487"/>
    <w:rsid w:val="005630D8"/>
    <w:rsid w:val="005630EE"/>
    <w:rsid w:val="005631B8"/>
    <w:rsid w:val="00563359"/>
    <w:rsid w:val="00563F55"/>
    <w:rsid w:val="00563F8C"/>
    <w:rsid w:val="00563FAD"/>
    <w:rsid w:val="0056457E"/>
    <w:rsid w:val="00564C01"/>
    <w:rsid w:val="00565698"/>
    <w:rsid w:val="00565BBE"/>
    <w:rsid w:val="0056792B"/>
    <w:rsid w:val="00570706"/>
    <w:rsid w:val="005715E5"/>
    <w:rsid w:val="00572800"/>
    <w:rsid w:val="005728EC"/>
    <w:rsid w:val="00572E40"/>
    <w:rsid w:val="00573168"/>
    <w:rsid w:val="0057368C"/>
    <w:rsid w:val="00574398"/>
    <w:rsid w:val="00574C57"/>
    <w:rsid w:val="0057523B"/>
    <w:rsid w:val="00575916"/>
    <w:rsid w:val="00575917"/>
    <w:rsid w:val="0057596C"/>
    <w:rsid w:val="00576B0E"/>
    <w:rsid w:val="00577127"/>
    <w:rsid w:val="00577216"/>
    <w:rsid w:val="00577A42"/>
    <w:rsid w:val="00577C02"/>
    <w:rsid w:val="005806F2"/>
    <w:rsid w:val="00581510"/>
    <w:rsid w:val="0058196E"/>
    <w:rsid w:val="00581C0C"/>
    <w:rsid w:val="005829DA"/>
    <w:rsid w:val="0058386E"/>
    <w:rsid w:val="00583DDE"/>
    <w:rsid w:val="00584AB9"/>
    <w:rsid w:val="00585D9E"/>
    <w:rsid w:val="0058603D"/>
    <w:rsid w:val="00586297"/>
    <w:rsid w:val="005872CA"/>
    <w:rsid w:val="00587EA7"/>
    <w:rsid w:val="00590704"/>
    <w:rsid w:val="0059130E"/>
    <w:rsid w:val="005913C1"/>
    <w:rsid w:val="00592102"/>
    <w:rsid w:val="00592177"/>
    <w:rsid w:val="005922A2"/>
    <w:rsid w:val="0059283F"/>
    <w:rsid w:val="00592D61"/>
    <w:rsid w:val="00593010"/>
    <w:rsid w:val="005930BE"/>
    <w:rsid w:val="005933F1"/>
    <w:rsid w:val="005934D8"/>
    <w:rsid w:val="00593700"/>
    <w:rsid w:val="0059394B"/>
    <w:rsid w:val="00594514"/>
    <w:rsid w:val="005946F7"/>
    <w:rsid w:val="00595337"/>
    <w:rsid w:val="00595CEC"/>
    <w:rsid w:val="00595D78"/>
    <w:rsid w:val="00595DFD"/>
    <w:rsid w:val="00595FEB"/>
    <w:rsid w:val="00596C06"/>
    <w:rsid w:val="0059703A"/>
    <w:rsid w:val="00597052"/>
    <w:rsid w:val="005974E8"/>
    <w:rsid w:val="0059767B"/>
    <w:rsid w:val="005A0A97"/>
    <w:rsid w:val="005A1042"/>
    <w:rsid w:val="005A1655"/>
    <w:rsid w:val="005A2ECE"/>
    <w:rsid w:val="005A4174"/>
    <w:rsid w:val="005A4237"/>
    <w:rsid w:val="005A4711"/>
    <w:rsid w:val="005A49EB"/>
    <w:rsid w:val="005A4ABB"/>
    <w:rsid w:val="005A4CD1"/>
    <w:rsid w:val="005A4FFB"/>
    <w:rsid w:val="005A53B5"/>
    <w:rsid w:val="005A60F6"/>
    <w:rsid w:val="005A63C8"/>
    <w:rsid w:val="005A63D8"/>
    <w:rsid w:val="005A65A8"/>
    <w:rsid w:val="005A77C5"/>
    <w:rsid w:val="005B0BF2"/>
    <w:rsid w:val="005B151E"/>
    <w:rsid w:val="005B1D02"/>
    <w:rsid w:val="005B266C"/>
    <w:rsid w:val="005B2862"/>
    <w:rsid w:val="005B2E21"/>
    <w:rsid w:val="005B2FEF"/>
    <w:rsid w:val="005B35B5"/>
    <w:rsid w:val="005B36ED"/>
    <w:rsid w:val="005B3E54"/>
    <w:rsid w:val="005B4771"/>
    <w:rsid w:val="005B4932"/>
    <w:rsid w:val="005B4A60"/>
    <w:rsid w:val="005B4CBF"/>
    <w:rsid w:val="005B523D"/>
    <w:rsid w:val="005B5417"/>
    <w:rsid w:val="005B568C"/>
    <w:rsid w:val="005B7075"/>
    <w:rsid w:val="005B7E6A"/>
    <w:rsid w:val="005B7EDB"/>
    <w:rsid w:val="005C0016"/>
    <w:rsid w:val="005C00D5"/>
    <w:rsid w:val="005C0625"/>
    <w:rsid w:val="005C0718"/>
    <w:rsid w:val="005C08B6"/>
    <w:rsid w:val="005C0ADE"/>
    <w:rsid w:val="005C16D9"/>
    <w:rsid w:val="005C1CC4"/>
    <w:rsid w:val="005C2176"/>
    <w:rsid w:val="005C22BC"/>
    <w:rsid w:val="005C2896"/>
    <w:rsid w:val="005C2DA5"/>
    <w:rsid w:val="005C350C"/>
    <w:rsid w:val="005C3796"/>
    <w:rsid w:val="005C3FD4"/>
    <w:rsid w:val="005C4016"/>
    <w:rsid w:val="005C51D9"/>
    <w:rsid w:val="005C5983"/>
    <w:rsid w:val="005C5997"/>
    <w:rsid w:val="005C63A9"/>
    <w:rsid w:val="005C7898"/>
    <w:rsid w:val="005C7E47"/>
    <w:rsid w:val="005D044E"/>
    <w:rsid w:val="005D123C"/>
    <w:rsid w:val="005D1620"/>
    <w:rsid w:val="005D1AA3"/>
    <w:rsid w:val="005D202C"/>
    <w:rsid w:val="005D270F"/>
    <w:rsid w:val="005D2B18"/>
    <w:rsid w:val="005D338C"/>
    <w:rsid w:val="005D3818"/>
    <w:rsid w:val="005D3C31"/>
    <w:rsid w:val="005D3D7B"/>
    <w:rsid w:val="005D42C7"/>
    <w:rsid w:val="005D4362"/>
    <w:rsid w:val="005D48B7"/>
    <w:rsid w:val="005D493B"/>
    <w:rsid w:val="005D5A18"/>
    <w:rsid w:val="005D5BB9"/>
    <w:rsid w:val="005D5D75"/>
    <w:rsid w:val="005D5DA6"/>
    <w:rsid w:val="005D60AF"/>
    <w:rsid w:val="005D6358"/>
    <w:rsid w:val="005D6905"/>
    <w:rsid w:val="005D6A18"/>
    <w:rsid w:val="005D7418"/>
    <w:rsid w:val="005D77AD"/>
    <w:rsid w:val="005E0925"/>
    <w:rsid w:val="005E17B9"/>
    <w:rsid w:val="005E1C6C"/>
    <w:rsid w:val="005E1F28"/>
    <w:rsid w:val="005E211C"/>
    <w:rsid w:val="005E29E8"/>
    <w:rsid w:val="005E34DC"/>
    <w:rsid w:val="005E3A5A"/>
    <w:rsid w:val="005E48A8"/>
    <w:rsid w:val="005E5559"/>
    <w:rsid w:val="005E60A0"/>
    <w:rsid w:val="005E67F6"/>
    <w:rsid w:val="005E69D3"/>
    <w:rsid w:val="005E6AD7"/>
    <w:rsid w:val="005E75A0"/>
    <w:rsid w:val="005F02D4"/>
    <w:rsid w:val="005F05A5"/>
    <w:rsid w:val="005F0888"/>
    <w:rsid w:val="005F0F21"/>
    <w:rsid w:val="005F16FE"/>
    <w:rsid w:val="005F1C2D"/>
    <w:rsid w:val="005F1DA2"/>
    <w:rsid w:val="005F2A4E"/>
    <w:rsid w:val="005F2BCC"/>
    <w:rsid w:val="005F3083"/>
    <w:rsid w:val="005F4F55"/>
    <w:rsid w:val="005F55E3"/>
    <w:rsid w:val="005F5964"/>
    <w:rsid w:val="005F6748"/>
    <w:rsid w:val="005F6B35"/>
    <w:rsid w:val="005F6E4F"/>
    <w:rsid w:val="005F75C4"/>
    <w:rsid w:val="005F77A0"/>
    <w:rsid w:val="005F77FD"/>
    <w:rsid w:val="005F7DC9"/>
    <w:rsid w:val="005F7E9B"/>
    <w:rsid w:val="0060040A"/>
    <w:rsid w:val="0060045D"/>
    <w:rsid w:val="00600847"/>
    <w:rsid w:val="006009DD"/>
    <w:rsid w:val="00600DAE"/>
    <w:rsid w:val="006010B7"/>
    <w:rsid w:val="00602E09"/>
    <w:rsid w:val="00603215"/>
    <w:rsid w:val="00604BA4"/>
    <w:rsid w:val="00605633"/>
    <w:rsid w:val="00605754"/>
    <w:rsid w:val="0060581C"/>
    <w:rsid w:val="00605A84"/>
    <w:rsid w:val="00605DBE"/>
    <w:rsid w:val="006060A9"/>
    <w:rsid w:val="00606CC5"/>
    <w:rsid w:val="00611617"/>
    <w:rsid w:val="006116BA"/>
    <w:rsid w:val="0061226E"/>
    <w:rsid w:val="0061284A"/>
    <w:rsid w:val="00612CFF"/>
    <w:rsid w:val="00612E3E"/>
    <w:rsid w:val="00613C69"/>
    <w:rsid w:val="0061530A"/>
    <w:rsid w:val="00616A0C"/>
    <w:rsid w:val="0061703E"/>
    <w:rsid w:val="0062087E"/>
    <w:rsid w:val="00621AE6"/>
    <w:rsid w:val="00621EFF"/>
    <w:rsid w:val="00623324"/>
    <w:rsid w:val="0062338C"/>
    <w:rsid w:val="0062348D"/>
    <w:rsid w:val="006234C6"/>
    <w:rsid w:val="00624A39"/>
    <w:rsid w:val="006252C7"/>
    <w:rsid w:val="006257E3"/>
    <w:rsid w:val="0062584A"/>
    <w:rsid w:val="00625DCE"/>
    <w:rsid w:val="006260F1"/>
    <w:rsid w:val="00626367"/>
    <w:rsid w:val="00627765"/>
    <w:rsid w:val="00627E84"/>
    <w:rsid w:val="00627F1A"/>
    <w:rsid w:val="00630A68"/>
    <w:rsid w:val="00631A6F"/>
    <w:rsid w:val="00631A95"/>
    <w:rsid w:val="00632303"/>
    <w:rsid w:val="00633028"/>
    <w:rsid w:val="00633787"/>
    <w:rsid w:val="00633A5C"/>
    <w:rsid w:val="00633A67"/>
    <w:rsid w:val="00634220"/>
    <w:rsid w:val="006342F8"/>
    <w:rsid w:val="00634F1B"/>
    <w:rsid w:val="0063501B"/>
    <w:rsid w:val="006351EC"/>
    <w:rsid w:val="006353DD"/>
    <w:rsid w:val="0063551D"/>
    <w:rsid w:val="00635818"/>
    <w:rsid w:val="0063595B"/>
    <w:rsid w:val="00635D8D"/>
    <w:rsid w:val="00636656"/>
    <w:rsid w:val="00637286"/>
    <w:rsid w:val="0063742B"/>
    <w:rsid w:val="0063773E"/>
    <w:rsid w:val="006404E1"/>
    <w:rsid w:val="00640867"/>
    <w:rsid w:val="00641153"/>
    <w:rsid w:val="006412FC"/>
    <w:rsid w:val="006420FE"/>
    <w:rsid w:val="00642547"/>
    <w:rsid w:val="00642844"/>
    <w:rsid w:val="00642FA1"/>
    <w:rsid w:val="006434AD"/>
    <w:rsid w:val="00644484"/>
    <w:rsid w:val="00645230"/>
    <w:rsid w:val="006454C0"/>
    <w:rsid w:val="006463FD"/>
    <w:rsid w:val="006464D5"/>
    <w:rsid w:val="00646738"/>
    <w:rsid w:val="00646D0F"/>
    <w:rsid w:val="0064772B"/>
    <w:rsid w:val="0065093F"/>
    <w:rsid w:val="006516EE"/>
    <w:rsid w:val="0065222E"/>
    <w:rsid w:val="00652809"/>
    <w:rsid w:val="00653A77"/>
    <w:rsid w:val="00653F1F"/>
    <w:rsid w:val="00654161"/>
    <w:rsid w:val="006545BB"/>
    <w:rsid w:val="00654B2C"/>
    <w:rsid w:val="006556AE"/>
    <w:rsid w:val="00655AAA"/>
    <w:rsid w:val="00655B7B"/>
    <w:rsid w:val="0065635E"/>
    <w:rsid w:val="006574E8"/>
    <w:rsid w:val="006579E2"/>
    <w:rsid w:val="00657F50"/>
    <w:rsid w:val="006609E7"/>
    <w:rsid w:val="00660A90"/>
    <w:rsid w:val="00660EB5"/>
    <w:rsid w:val="00661BCE"/>
    <w:rsid w:val="00661DA6"/>
    <w:rsid w:val="00662563"/>
    <w:rsid w:val="006630DE"/>
    <w:rsid w:val="006631BE"/>
    <w:rsid w:val="00663BCC"/>
    <w:rsid w:val="00663E2E"/>
    <w:rsid w:val="00663F9F"/>
    <w:rsid w:val="00665A65"/>
    <w:rsid w:val="00666143"/>
    <w:rsid w:val="006663DB"/>
    <w:rsid w:val="0066660F"/>
    <w:rsid w:val="0066694A"/>
    <w:rsid w:val="006673E1"/>
    <w:rsid w:val="0066772E"/>
    <w:rsid w:val="00670122"/>
    <w:rsid w:val="006709DE"/>
    <w:rsid w:val="00670A11"/>
    <w:rsid w:val="00670BF7"/>
    <w:rsid w:val="00670CBC"/>
    <w:rsid w:val="0067122B"/>
    <w:rsid w:val="006712A3"/>
    <w:rsid w:val="00671327"/>
    <w:rsid w:val="006716F9"/>
    <w:rsid w:val="0067206B"/>
    <w:rsid w:val="00672305"/>
    <w:rsid w:val="00672BDC"/>
    <w:rsid w:val="00673058"/>
    <w:rsid w:val="00673550"/>
    <w:rsid w:val="006736F4"/>
    <w:rsid w:val="00673980"/>
    <w:rsid w:val="006744C4"/>
    <w:rsid w:val="00674769"/>
    <w:rsid w:val="00674C04"/>
    <w:rsid w:val="00674C68"/>
    <w:rsid w:val="00674CEF"/>
    <w:rsid w:val="00674DA2"/>
    <w:rsid w:val="00674F8C"/>
    <w:rsid w:val="00675084"/>
    <w:rsid w:val="0067558C"/>
    <w:rsid w:val="00675850"/>
    <w:rsid w:val="0067598D"/>
    <w:rsid w:val="00675C0D"/>
    <w:rsid w:val="00675EF6"/>
    <w:rsid w:val="00675F57"/>
    <w:rsid w:val="006769D7"/>
    <w:rsid w:val="00676EC3"/>
    <w:rsid w:val="00677029"/>
    <w:rsid w:val="00677ED4"/>
    <w:rsid w:val="00680937"/>
    <w:rsid w:val="006816C8"/>
    <w:rsid w:val="0068176A"/>
    <w:rsid w:val="00681FA7"/>
    <w:rsid w:val="006825D2"/>
    <w:rsid w:val="006826EF"/>
    <w:rsid w:val="006828BB"/>
    <w:rsid w:val="00683235"/>
    <w:rsid w:val="00683E80"/>
    <w:rsid w:val="006844D9"/>
    <w:rsid w:val="006848D7"/>
    <w:rsid w:val="00686095"/>
    <w:rsid w:val="00686301"/>
    <w:rsid w:val="006869C6"/>
    <w:rsid w:val="00686FE5"/>
    <w:rsid w:val="006875E1"/>
    <w:rsid w:val="006900E9"/>
    <w:rsid w:val="006907D3"/>
    <w:rsid w:val="00690C8B"/>
    <w:rsid w:val="00690DB1"/>
    <w:rsid w:val="00690DBB"/>
    <w:rsid w:val="00690E15"/>
    <w:rsid w:val="00691145"/>
    <w:rsid w:val="0069117B"/>
    <w:rsid w:val="00691FFF"/>
    <w:rsid w:val="006922D1"/>
    <w:rsid w:val="00692478"/>
    <w:rsid w:val="00693223"/>
    <w:rsid w:val="00693539"/>
    <w:rsid w:val="00693CFF"/>
    <w:rsid w:val="00694A27"/>
    <w:rsid w:val="00694FC7"/>
    <w:rsid w:val="00695F35"/>
    <w:rsid w:val="006965F7"/>
    <w:rsid w:val="00697268"/>
    <w:rsid w:val="006A0AAA"/>
    <w:rsid w:val="006A170D"/>
    <w:rsid w:val="006A2CDE"/>
    <w:rsid w:val="006A2D93"/>
    <w:rsid w:val="006A3827"/>
    <w:rsid w:val="006A3975"/>
    <w:rsid w:val="006A3A2C"/>
    <w:rsid w:val="006A3E24"/>
    <w:rsid w:val="006A4112"/>
    <w:rsid w:val="006A4128"/>
    <w:rsid w:val="006A55EC"/>
    <w:rsid w:val="006A5F42"/>
    <w:rsid w:val="006A5F5A"/>
    <w:rsid w:val="006A606B"/>
    <w:rsid w:val="006A6C7B"/>
    <w:rsid w:val="006A6E01"/>
    <w:rsid w:val="006A7731"/>
    <w:rsid w:val="006A7DDF"/>
    <w:rsid w:val="006B09EA"/>
    <w:rsid w:val="006B1035"/>
    <w:rsid w:val="006B1979"/>
    <w:rsid w:val="006B1C1A"/>
    <w:rsid w:val="006B35DD"/>
    <w:rsid w:val="006B3C30"/>
    <w:rsid w:val="006B5249"/>
    <w:rsid w:val="006B6598"/>
    <w:rsid w:val="006B695C"/>
    <w:rsid w:val="006B6D3A"/>
    <w:rsid w:val="006B6F1C"/>
    <w:rsid w:val="006B6F37"/>
    <w:rsid w:val="006B7070"/>
    <w:rsid w:val="006B73D3"/>
    <w:rsid w:val="006B7407"/>
    <w:rsid w:val="006C0281"/>
    <w:rsid w:val="006C2CD3"/>
    <w:rsid w:val="006C3174"/>
    <w:rsid w:val="006C424C"/>
    <w:rsid w:val="006C510B"/>
    <w:rsid w:val="006C515D"/>
    <w:rsid w:val="006C56D4"/>
    <w:rsid w:val="006C578F"/>
    <w:rsid w:val="006C5823"/>
    <w:rsid w:val="006C5FDA"/>
    <w:rsid w:val="006C63D7"/>
    <w:rsid w:val="006C6E6B"/>
    <w:rsid w:val="006C70F3"/>
    <w:rsid w:val="006C724F"/>
    <w:rsid w:val="006C7596"/>
    <w:rsid w:val="006C7A38"/>
    <w:rsid w:val="006C7BE5"/>
    <w:rsid w:val="006D1250"/>
    <w:rsid w:val="006D25A0"/>
    <w:rsid w:val="006D30D3"/>
    <w:rsid w:val="006D389B"/>
    <w:rsid w:val="006D4BFD"/>
    <w:rsid w:val="006D4DB3"/>
    <w:rsid w:val="006D5869"/>
    <w:rsid w:val="006D5DD0"/>
    <w:rsid w:val="006D5DE7"/>
    <w:rsid w:val="006D76B5"/>
    <w:rsid w:val="006E005F"/>
    <w:rsid w:val="006E0B5B"/>
    <w:rsid w:val="006E1024"/>
    <w:rsid w:val="006E1305"/>
    <w:rsid w:val="006E189D"/>
    <w:rsid w:val="006E1EF6"/>
    <w:rsid w:val="006E2199"/>
    <w:rsid w:val="006E2F43"/>
    <w:rsid w:val="006E3226"/>
    <w:rsid w:val="006E36EE"/>
    <w:rsid w:val="006E40B4"/>
    <w:rsid w:val="006E522D"/>
    <w:rsid w:val="006E55D0"/>
    <w:rsid w:val="006E5693"/>
    <w:rsid w:val="006E5FA9"/>
    <w:rsid w:val="006E6367"/>
    <w:rsid w:val="006E710A"/>
    <w:rsid w:val="006E7222"/>
    <w:rsid w:val="006E7564"/>
    <w:rsid w:val="006E75FC"/>
    <w:rsid w:val="006F03F1"/>
    <w:rsid w:val="006F040B"/>
    <w:rsid w:val="006F08E5"/>
    <w:rsid w:val="006F1136"/>
    <w:rsid w:val="006F11A1"/>
    <w:rsid w:val="006F1945"/>
    <w:rsid w:val="006F264A"/>
    <w:rsid w:val="006F3B24"/>
    <w:rsid w:val="006F3E44"/>
    <w:rsid w:val="006F54E1"/>
    <w:rsid w:val="006F5CCE"/>
    <w:rsid w:val="006F62D0"/>
    <w:rsid w:val="006F6985"/>
    <w:rsid w:val="006F7555"/>
    <w:rsid w:val="006F7E09"/>
    <w:rsid w:val="007003AD"/>
    <w:rsid w:val="007009EA"/>
    <w:rsid w:val="00700A3F"/>
    <w:rsid w:val="00700A98"/>
    <w:rsid w:val="00701082"/>
    <w:rsid w:val="007016BD"/>
    <w:rsid w:val="00702E03"/>
    <w:rsid w:val="00703547"/>
    <w:rsid w:val="00703AE4"/>
    <w:rsid w:val="00703E3B"/>
    <w:rsid w:val="00703EB8"/>
    <w:rsid w:val="00704C53"/>
    <w:rsid w:val="007050A3"/>
    <w:rsid w:val="007053E8"/>
    <w:rsid w:val="007054C6"/>
    <w:rsid w:val="007066C1"/>
    <w:rsid w:val="00706C12"/>
    <w:rsid w:val="00706D0F"/>
    <w:rsid w:val="007072A8"/>
    <w:rsid w:val="00707811"/>
    <w:rsid w:val="00707BAC"/>
    <w:rsid w:val="00707F35"/>
    <w:rsid w:val="007101AA"/>
    <w:rsid w:val="00710254"/>
    <w:rsid w:val="00710325"/>
    <w:rsid w:val="0071151F"/>
    <w:rsid w:val="00711812"/>
    <w:rsid w:val="007129F7"/>
    <w:rsid w:val="00712C05"/>
    <w:rsid w:val="007132DC"/>
    <w:rsid w:val="00713472"/>
    <w:rsid w:val="00713C07"/>
    <w:rsid w:val="007154F7"/>
    <w:rsid w:val="0071573E"/>
    <w:rsid w:val="00715DF1"/>
    <w:rsid w:val="007163C7"/>
    <w:rsid w:val="00716958"/>
    <w:rsid w:val="007175FE"/>
    <w:rsid w:val="00717787"/>
    <w:rsid w:val="007177E1"/>
    <w:rsid w:val="00717990"/>
    <w:rsid w:val="00717C50"/>
    <w:rsid w:val="00717F3D"/>
    <w:rsid w:val="0072043F"/>
    <w:rsid w:val="007214CB"/>
    <w:rsid w:val="0072173F"/>
    <w:rsid w:val="0072198D"/>
    <w:rsid w:val="007223EB"/>
    <w:rsid w:val="00722928"/>
    <w:rsid w:val="00722CB5"/>
    <w:rsid w:val="00722D48"/>
    <w:rsid w:val="00722F17"/>
    <w:rsid w:val="007236DC"/>
    <w:rsid w:val="00723C2E"/>
    <w:rsid w:val="00724A1D"/>
    <w:rsid w:val="00724B82"/>
    <w:rsid w:val="0072646E"/>
    <w:rsid w:val="007264DE"/>
    <w:rsid w:val="007266FE"/>
    <w:rsid w:val="0072676B"/>
    <w:rsid w:val="007302F4"/>
    <w:rsid w:val="0073053F"/>
    <w:rsid w:val="007307D4"/>
    <w:rsid w:val="00730DEE"/>
    <w:rsid w:val="007326E4"/>
    <w:rsid w:val="00732974"/>
    <w:rsid w:val="007329F3"/>
    <w:rsid w:val="007347C7"/>
    <w:rsid w:val="00736046"/>
    <w:rsid w:val="00736CF6"/>
    <w:rsid w:val="00737043"/>
    <w:rsid w:val="007374EE"/>
    <w:rsid w:val="00740275"/>
    <w:rsid w:val="00740BA6"/>
    <w:rsid w:val="007410DE"/>
    <w:rsid w:val="00741D92"/>
    <w:rsid w:val="0074287F"/>
    <w:rsid w:val="00742AC5"/>
    <w:rsid w:val="0074322E"/>
    <w:rsid w:val="00743A16"/>
    <w:rsid w:val="00743D4C"/>
    <w:rsid w:val="00743F14"/>
    <w:rsid w:val="00744162"/>
    <w:rsid w:val="00744622"/>
    <w:rsid w:val="00744B53"/>
    <w:rsid w:val="00744E65"/>
    <w:rsid w:val="00745DB6"/>
    <w:rsid w:val="00745DC0"/>
    <w:rsid w:val="007461A0"/>
    <w:rsid w:val="00746784"/>
    <w:rsid w:val="00746F47"/>
    <w:rsid w:val="007472DB"/>
    <w:rsid w:val="00747A16"/>
    <w:rsid w:val="00747CA4"/>
    <w:rsid w:val="00747D80"/>
    <w:rsid w:val="00750612"/>
    <w:rsid w:val="00751976"/>
    <w:rsid w:val="00752495"/>
    <w:rsid w:val="0075250A"/>
    <w:rsid w:val="0075257E"/>
    <w:rsid w:val="00753C7E"/>
    <w:rsid w:val="00753D2C"/>
    <w:rsid w:val="007541B9"/>
    <w:rsid w:val="00754B15"/>
    <w:rsid w:val="00755437"/>
    <w:rsid w:val="0075645C"/>
    <w:rsid w:val="00756A5E"/>
    <w:rsid w:val="00756D8E"/>
    <w:rsid w:val="00761577"/>
    <w:rsid w:val="0076186F"/>
    <w:rsid w:val="007619EB"/>
    <w:rsid w:val="00761DA7"/>
    <w:rsid w:val="00763182"/>
    <w:rsid w:val="007631D2"/>
    <w:rsid w:val="00763E89"/>
    <w:rsid w:val="007642F8"/>
    <w:rsid w:val="00764772"/>
    <w:rsid w:val="00764826"/>
    <w:rsid w:val="007652B5"/>
    <w:rsid w:val="00765FDC"/>
    <w:rsid w:val="00766D16"/>
    <w:rsid w:val="0076758C"/>
    <w:rsid w:val="00767EB9"/>
    <w:rsid w:val="0077004D"/>
    <w:rsid w:val="00770F5A"/>
    <w:rsid w:val="007712DE"/>
    <w:rsid w:val="00771348"/>
    <w:rsid w:val="00771507"/>
    <w:rsid w:val="00771660"/>
    <w:rsid w:val="00771822"/>
    <w:rsid w:val="0077215F"/>
    <w:rsid w:val="00772374"/>
    <w:rsid w:val="0077237A"/>
    <w:rsid w:val="007723E5"/>
    <w:rsid w:val="00772DA9"/>
    <w:rsid w:val="00772F6B"/>
    <w:rsid w:val="00774474"/>
    <w:rsid w:val="00774E7D"/>
    <w:rsid w:val="00775131"/>
    <w:rsid w:val="00775262"/>
    <w:rsid w:val="0077547C"/>
    <w:rsid w:val="00775749"/>
    <w:rsid w:val="00775804"/>
    <w:rsid w:val="007758F9"/>
    <w:rsid w:val="00775D27"/>
    <w:rsid w:val="00775D39"/>
    <w:rsid w:val="00775EFB"/>
    <w:rsid w:val="00775F68"/>
    <w:rsid w:val="0077657A"/>
    <w:rsid w:val="00776BAA"/>
    <w:rsid w:val="0077716C"/>
    <w:rsid w:val="007779ED"/>
    <w:rsid w:val="0077C940"/>
    <w:rsid w:val="00781190"/>
    <w:rsid w:val="00781535"/>
    <w:rsid w:val="00781918"/>
    <w:rsid w:val="00781B31"/>
    <w:rsid w:val="0078200B"/>
    <w:rsid w:val="0078269F"/>
    <w:rsid w:val="00782AE9"/>
    <w:rsid w:val="00782CE2"/>
    <w:rsid w:val="0078360B"/>
    <w:rsid w:val="0078371E"/>
    <w:rsid w:val="00783B72"/>
    <w:rsid w:val="00783CE2"/>
    <w:rsid w:val="007847E8"/>
    <w:rsid w:val="00784A15"/>
    <w:rsid w:val="00784A7C"/>
    <w:rsid w:val="00784AE4"/>
    <w:rsid w:val="00784EE7"/>
    <w:rsid w:val="007851F0"/>
    <w:rsid w:val="0078564C"/>
    <w:rsid w:val="00785886"/>
    <w:rsid w:val="00785AA9"/>
    <w:rsid w:val="007860E6"/>
    <w:rsid w:val="00786B7C"/>
    <w:rsid w:val="00786BC7"/>
    <w:rsid w:val="00787870"/>
    <w:rsid w:val="00787E04"/>
    <w:rsid w:val="00790717"/>
    <w:rsid w:val="00790E45"/>
    <w:rsid w:val="00791041"/>
    <w:rsid w:val="007920F3"/>
    <w:rsid w:val="00792E64"/>
    <w:rsid w:val="00793260"/>
    <w:rsid w:val="007934F9"/>
    <w:rsid w:val="0079351F"/>
    <w:rsid w:val="00793843"/>
    <w:rsid w:val="00794B07"/>
    <w:rsid w:val="00794EA5"/>
    <w:rsid w:val="007957C3"/>
    <w:rsid w:val="00795B6D"/>
    <w:rsid w:val="00795CFE"/>
    <w:rsid w:val="00797980"/>
    <w:rsid w:val="00797C92"/>
    <w:rsid w:val="007A082E"/>
    <w:rsid w:val="007A0975"/>
    <w:rsid w:val="007A0D03"/>
    <w:rsid w:val="007A102E"/>
    <w:rsid w:val="007A1E67"/>
    <w:rsid w:val="007A2179"/>
    <w:rsid w:val="007A2718"/>
    <w:rsid w:val="007A31DD"/>
    <w:rsid w:val="007A373B"/>
    <w:rsid w:val="007A45FB"/>
    <w:rsid w:val="007A460E"/>
    <w:rsid w:val="007A4739"/>
    <w:rsid w:val="007A59CA"/>
    <w:rsid w:val="007A5A3A"/>
    <w:rsid w:val="007A5D86"/>
    <w:rsid w:val="007A623C"/>
    <w:rsid w:val="007A6A7E"/>
    <w:rsid w:val="007A7715"/>
    <w:rsid w:val="007A7A06"/>
    <w:rsid w:val="007B159D"/>
    <w:rsid w:val="007B1A2B"/>
    <w:rsid w:val="007B24C2"/>
    <w:rsid w:val="007B32C1"/>
    <w:rsid w:val="007B3D6E"/>
    <w:rsid w:val="007B44E8"/>
    <w:rsid w:val="007B4ABE"/>
    <w:rsid w:val="007B4C28"/>
    <w:rsid w:val="007B5025"/>
    <w:rsid w:val="007B56D5"/>
    <w:rsid w:val="007B6793"/>
    <w:rsid w:val="007B6F89"/>
    <w:rsid w:val="007B7B1F"/>
    <w:rsid w:val="007C0D90"/>
    <w:rsid w:val="007C100C"/>
    <w:rsid w:val="007C1841"/>
    <w:rsid w:val="007C1ED1"/>
    <w:rsid w:val="007C2928"/>
    <w:rsid w:val="007C2CB8"/>
    <w:rsid w:val="007C32AF"/>
    <w:rsid w:val="007C355C"/>
    <w:rsid w:val="007C3717"/>
    <w:rsid w:val="007C3D73"/>
    <w:rsid w:val="007C4184"/>
    <w:rsid w:val="007C44D1"/>
    <w:rsid w:val="007C46BB"/>
    <w:rsid w:val="007C4727"/>
    <w:rsid w:val="007C489D"/>
    <w:rsid w:val="007C4B2F"/>
    <w:rsid w:val="007C4C92"/>
    <w:rsid w:val="007C537B"/>
    <w:rsid w:val="007C53C4"/>
    <w:rsid w:val="007C5C1D"/>
    <w:rsid w:val="007C6114"/>
    <w:rsid w:val="007C61DE"/>
    <w:rsid w:val="007C7002"/>
    <w:rsid w:val="007C7462"/>
    <w:rsid w:val="007C7691"/>
    <w:rsid w:val="007C7818"/>
    <w:rsid w:val="007C78A8"/>
    <w:rsid w:val="007D0631"/>
    <w:rsid w:val="007D374E"/>
    <w:rsid w:val="007D40CC"/>
    <w:rsid w:val="007D4479"/>
    <w:rsid w:val="007D499A"/>
    <w:rsid w:val="007D5C20"/>
    <w:rsid w:val="007D5CE0"/>
    <w:rsid w:val="007D64E8"/>
    <w:rsid w:val="007D6905"/>
    <w:rsid w:val="007D6A7D"/>
    <w:rsid w:val="007D74A1"/>
    <w:rsid w:val="007D79E5"/>
    <w:rsid w:val="007D7FA9"/>
    <w:rsid w:val="007E0389"/>
    <w:rsid w:val="007E0B79"/>
    <w:rsid w:val="007E1D3E"/>
    <w:rsid w:val="007E29B2"/>
    <w:rsid w:val="007E3266"/>
    <w:rsid w:val="007E39E1"/>
    <w:rsid w:val="007E3AE2"/>
    <w:rsid w:val="007E3FEE"/>
    <w:rsid w:val="007E4D67"/>
    <w:rsid w:val="007E5A14"/>
    <w:rsid w:val="007E6409"/>
    <w:rsid w:val="007E6B7E"/>
    <w:rsid w:val="007E74FA"/>
    <w:rsid w:val="007F03C5"/>
    <w:rsid w:val="007F0734"/>
    <w:rsid w:val="007F0C44"/>
    <w:rsid w:val="007F1A98"/>
    <w:rsid w:val="007F1F41"/>
    <w:rsid w:val="007F2E00"/>
    <w:rsid w:val="007F3594"/>
    <w:rsid w:val="007F3B7B"/>
    <w:rsid w:val="007F3BAA"/>
    <w:rsid w:val="007F3E5C"/>
    <w:rsid w:val="007F401E"/>
    <w:rsid w:val="007F52B0"/>
    <w:rsid w:val="007F5D43"/>
    <w:rsid w:val="007F5E49"/>
    <w:rsid w:val="007F625B"/>
    <w:rsid w:val="007F6A96"/>
    <w:rsid w:val="007F6E84"/>
    <w:rsid w:val="007F7253"/>
    <w:rsid w:val="007F72A6"/>
    <w:rsid w:val="007F794B"/>
    <w:rsid w:val="007F79E6"/>
    <w:rsid w:val="007F7D61"/>
    <w:rsid w:val="00801C8A"/>
    <w:rsid w:val="00801D62"/>
    <w:rsid w:val="00802098"/>
    <w:rsid w:val="008021C0"/>
    <w:rsid w:val="00802EAD"/>
    <w:rsid w:val="008030A6"/>
    <w:rsid w:val="00803A3A"/>
    <w:rsid w:val="00803E45"/>
    <w:rsid w:val="00804DF5"/>
    <w:rsid w:val="0080515A"/>
    <w:rsid w:val="00806273"/>
    <w:rsid w:val="00806622"/>
    <w:rsid w:val="00806ACA"/>
    <w:rsid w:val="00806EDD"/>
    <w:rsid w:val="0080719D"/>
    <w:rsid w:val="00810DD2"/>
    <w:rsid w:val="00811CE9"/>
    <w:rsid w:val="00812932"/>
    <w:rsid w:val="00812C8D"/>
    <w:rsid w:val="008134C2"/>
    <w:rsid w:val="00813FDB"/>
    <w:rsid w:val="00814053"/>
    <w:rsid w:val="00814AF7"/>
    <w:rsid w:val="0081507C"/>
    <w:rsid w:val="0081527E"/>
    <w:rsid w:val="00815479"/>
    <w:rsid w:val="00815945"/>
    <w:rsid w:val="00815E77"/>
    <w:rsid w:val="0081704D"/>
    <w:rsid w:val="008175D0"/>
    <w:rsid w:val="00817CD5"/>
    <w:rsid w:val="0082087B"/>
    <w:rsid w:val="00820F00"/>
    <w:rsid w:val="0082196A"/>
    <w:rsid w:val="008220CB"/>
    <w:rsid w:val="00822D0E"/>
    <w:rsid w:val="00823065"/>
    <w:rsid w:val="0082319E"/>
    <w:rsid w:val="0082326A"/>
    <w:rsid w:val="00823588"/>
    <w:rsid w:val="008245E9"/>
    <w:rsid w:val="00824B11"/>
    <w:rsid w:val="00824E8A"/>
    <w:rsid w:val="00825120"/>
    <w:rsid w:val="00825DC1"/>
    <w:rsid w:val="00825EB7"/>
    <w:rsid w:val="008261E4"/>
    <w:rsid w:val="008269BC"/>
    <w:rsid w:val="00827443"/>
    <w:rsid w:val="0083068D"/>
    <w:rsid w:val="00831A7E"/>
    <w:rsid w:val="00832132"/>
    <w:rsid w:val="00832310"/>
    <w:rsid w:val="008324AB"/>
    <w:rsid w:val="008327C9"/>
    <w:rsid w:val="00832874"/>
    <w:rsid w:val="00832DDC"/>
    <w:rsid w:val="00833204"/>
    <w:rsid w:val="00833893"/>
    <w:rsid w:val="00833F49"/>
    <w:rsid w:val="00834E34"/>
    <w:rsid w:val="00835C2A"/>
    <w:rsid w:val="00836418"/>
    <w:rsid w:val="0083695C"/>
    <w:rsid w:val="0083707A"/>
    <w:rsid w:val="00837CB5"/>
    <w:rsid w:val="00840B45"/>
    <w:rsid w:val="00840C79"/>
    <w:rsid w:val="0084124A"/>
    <w:rsid w:val="0084186D"/>
    <w:rsid w:val="008419EA"/>
    <w:rsid w:val="00841EA0"/>
    <w:rsid w:val="008428FA"/>
    <w:rsid w:val="00842D5E"/>
    <w:rsid w:val="00843009"/>
    <w:rsid w:val="0084355C"/>
    <w:rsid w:val="00843935"/>
    <w:rsid w:val="00843942"/>
    <w:rsid w:val="00843A76"/>
    <w:rsid w:val="00844523"/>
    <w:rsid w:val="0084456D"/>
    <w:rsid w:val="008449EC"/>
    <w:rsid w:val="0084510E"/>
    <w:rsid w:val="00845BE0"/>
    <w:rsid w:val="00845C84"/>
    <w:rsid w:val="008464A7"/>
    <w:rsid w:val="00846B40"/>
    <w:rsid w:val="00847363"/>
    <w:rsid w:val="00847397"/>
    <w:rsid w:val="008473E1"/>
    <w:rsid w:val="00847551"/>
    <w:rsid w:val="0084776F"/>
    <w:rsid w:val="00847833"/>
    <w:rsid w:val="008502B8"/>
    <w:rsid w:val="008504E9"/>
    <w:rsid w:val="00850606"/>
    <w:rsid w:val="00850928"/>
    <w:rsid w:val="00850D91"/>
    <w:rsid w:val="00851C22"/>
    <w:rsid w:val="00851E92"/>
    <w:rsid w:val="008520D8"/>
    <w:rsid w:val="008533AF"/>
    <w:rsid w:val="008538B3"/>
    <w:rsid w:val="00853C58"/>
    <w:rsid w:val="00854726"/>
    <w:rsid w:val="00854B98"/>
    <w:rsid w:val="0085566F"/>
    <w:rsid w:val="00855D6D"/>
    <w:rsid w:val="00856524"/>
    <w:rsid w:val="00856E0E"/>
    <w:rsid w:val="00856EF3"/>
    <w:rsid w:val="00857231"/>
    <w:rsid w:val="008577F4"/>
    <w:rsid w:val="0085798C"/>
    <w:rsid w:val="00857CCD"/>
    <w:rsid w:val="008608B0"/>
    <w:rsid w:val="00860EA5"/>
    <w:rsid w:val="00860FA5"/>
    <w:rsid w:val="0086115D"/>
    <w:rsid w:val="00862743"/>
    <w:rsid w:val="00862EB3"/>
    <w:rsid w:val="00863173"/>
    <w:rsid w:val="008636E1"/>
    <w:rsid w:val="008638C2"/>
    <w:rsid w:val="008643E6"/>
    <w:rsid w:val="00864D10"/>
    <w:rsid w:val="00864E42"/>
    <w:rsid w:val="00865B3C"/>
    <w:rsid w:val="008662CB"/>
    <w:rsid w:val="00866693"/>
    <w:rsid w:val="00866AF3"/>
    <w:rsid w:val="0087047A"/>
    <w:rsid w:val="00870E89"/>
    <w:rsid w:val="0087121F"/>
    <w:rsid w:val="0087160B"/>
    <w:rsid w:val="0087177B"/>
    <w:rsid w:val="008719EA"/>
    <w:rsid w:val="00872ADD"/>
    <w:rsid w:val="00873219"/>
    <w:rsid w:val="00873EE3"/>
    <w:rsid w:val="0087450C"/>
    <w:rsid w:val="0087487B"/>
    <w:rsid w:val="00874B4A"/>
    <w:rsid w:val="00874C8C"/>
    <w:rsid w:val="008751AD"/>
    <w:rsid w:val="00875357"/>
    <w:rsid w:val="00875D3B"/>
    <w:rsid w:val="00875D7E"/>
    <w:rsid w:val="008761D0"/>
    <w:rsid w:val="008764F3"/>
    <w:rsid w:val="008767AC"/>
    <w:rsid w:val="00876AB1"/>
    <w:rsid w:val="00876D53"/>
    <w:rsid w:val="00876E27"/>
    <w:rsid w:val="008770B7"/>
    <w:rsid w:val="008770BC"/>
    <w:rsid w:val="0087718E"/>
    <w:rsid w:val="00880E1C"/>
    <w:rsid w:val="00880EC5"/>
    <w:rsid w:val="008814AB"/>
    <w:rsid w:val="008814DA"/>
    <w:rsid w:val="00882D7A"/>
    <w:rsid w:val="00883A63"/>
    <w:rsid w:val="00883C1D"/>
    <w:rsid w:val="00883ED4"/>
    <w:rsid w:val="008843FC"/>
    <w:rsid w:val="0088443E"/>
    <w:rsid w:val="00884996"/>
    <w:rsid w:val="008850F6"/>
    <w:rsid w:val="00885B55"/>
    <w:rsid w:val="00886070"/>
    <w:rsid w:val="008862C4"/>
    <w:rsid w:val="0088656F"/>
    <w:rsid w:val="008868B1"/>
    <w:rsid w:val="00886EE9"/>
    <w:rsid w:val="008879E3"/>
    <w:rsid w:val="00887B49"/>
    <w:rsid w:val="00887BA2"/>
    <w:rsid w:val="00887ED5"/>
    <w:rsid w:val="008900D2"/>
    <w:rsid w:val="00891F66"/>
    <w:rsid w:val="008923A7"/>
    <w:rsid w:val="00893195"/>
    <w:rsid w:val="00893B3C"/>
    <w:rsid w:val="008948BF"/>
    <w:rsid w:val="008949B1"/>
    <w:rsid w:val="00894CF8"/>
    <w:rsid w:val="00894F3B"/>
    <w:rsid w:val="008965C4"/>
    <w:rsid w:val="008966D3"/>
    <w:rsid w:val="00897DDA"/>
    <w:rsid w:val="008A00C4"/>
    <w:rsid w:val="008A010D"/>
    <w:rsid w:val="008A0B4A"/>
    <w:rsid w:val="008A1C4A"/>
    <w:rsid w:val="008A1F61"/>
    <w:rsid w:val="008A2615"/>
    <w:rsid w:val="008A2C9B"/>
    <w:rsid w:val="008A3997"/>
    <w:rsid w:val="008A3D24"/>
    <w:rsid w:val="008A3DDB"/>
    <w:rsid w:val="008A3E73"/>
    <w:rsid w:val="008A478C"/>
    <w:rsid w:val="008A4935"/>
    <w:rsid w:val="008A4C3E"/>
    <w:rsid w:val="008A4DB8"/>
    <w:rsid w:val="008A53CE"/>
    <w:rsid w:val="008A582F"/>
    <w:rsid w:val="008A5CD8"/>
    <w:rsid w:val="008A5CDA"/>
    <w:rsid w:val="008A621A"/>
    <w:rsid w:val="008A6705"/>
    <w:rsid w:val="008A70AE"/>
    <w:rsid w:val="008A713B"/>
    <w:rsid w:val="008B0314"/>
    <w:rsid w:val="008B06F2"/>
    <w:rsid w:val="008B1921"/>
    <w:rsid w:val="008B1AD9"/>
    <w:rsid w:val="008B22CD"/>
    <w:rsid w:val="008B2B96"/>
    <w:rsid w:val="008B3215"/>
    <w:rsid w:val="008B35D2"/>
    <w:rsid w:val="008B37DB"/>
    <w:rsid w:val="008B439D"/>
    <w:rsid w:val="008B475B"/>
    <w:rsid w:val="008B4B1E"/>
    <w:rsid w:val="008B4D35"/>
    <w:rsid w:val="008B4E3D"/>
    <w:rsid w:val="008B5334"/>
    <w:rsid w:val="008B5871"/>
    <w:rsid w:val="008B5E1F"/>
    <w:rsid w:val="008B6BBB"/>
    <w:rsid w:val="008B6F23"/>
    <w:rsid w:val="008B77F8"/>
    <w:rsid w:val="008B7E25"/>
    <w:rsid w:val="008C0F47"/>
    <w:rsid w:val="008C10F3"/>
    <w:rsid w:val="008C1300"/>
    <w:rsid w:val="008C2070"/>
    <w:rsid w:val="008C2266"/>
    <w:rsid w:val="008C2601"/>
    <w:rsid w:val="008C2850"/>
    <w:rsid w:val="008C3133"/>
    <w:rsid w:val="008C31BF"/>
    <w:rsid w:val="008C3C75"/>
    <w:rsid w:val="008C5758"/>
    <w:rsid w:val="008C6616"/>
    <w:rsid w:val="008C6DC3"/>
    <w:rsid w:val="008C6E2B"/>
    <w:rsid w:val="008C7170"/>
    <w:rsid w:val="008C7998"/>
    <w:rsid w:val="008D185B"/>
    <w:rsid w:val="008D233F"/>
    <w:rsid w:val="008D2909"/>
    <w:rsid w:val="008D2BEE"/>
    <w:rsid w:val="008D2C69"/>
    <w:rsid w:val="008D3575"/>
    <w:rsid w:val="008D35EB"/>
    <w:rsid w:val="008D3C45"/>
    <w:rsid w:val="008D3D74"/>
    <w:rsid w:val="008D3F6B"/>
    <w:rsid w:val="008D4D68"/>
    <w:rsid w:val="008D50A4"/>
    <w:rsid w:val="008D50CB"/>
    <w:rsid w:val="008D51EF"/>
    <w:rsid w:val="008D54DF"/>
    <w:rsid w:val="008D5640"/>
    <w:rsid w:val="008D56BA"/>
    <w:rsid w:val="008D5F18"/>
    <w:rsid w:val="008D6FFC"/>
    <w:rsid w:val="008D740B"/>
    <w:rsid w:val="008D7A44"/>
    <w:rsid w:val="008E032F"/>
    <w:rsid w:val="008E06FE"/>
    <w:rsid w:val="008E080E"/>
    <w:rsid w:val="008E09CB"/>
    <w:rsid w:val="008E0F16"/>
    <w:rsid w:val="008E0F3C"/>
    <w:rsid w:val="008E10DD"/>
    <w:rsid w:val="008E1393"/>
    <w:rsid w:val="008E2C1F"/>
    <w:rsid w:val="008E2D92"/>
    <w:rsid w:val="008E378E"/>
    <w:rsid w:val="008E3D4E"/>
    <w:rsid w:val="008E42C9"/>
    <w:rsid w:val="008E4746"/>
    <w:rsid w:val="008E5B36"/>
    <w:rsid w:val="008E5C52"/>
    <w:rsid w:val="008E5D78"/>
    <w:rsid w:val="008E5F02"/>
    <w:rsid w:val="008E6178"/>
    <w:rsid w:val="008E6485"/>
    <w:rsid w:val="008E6ACC"/>
    <w:rsid w:val="008E7A69"/>
    <w:rsid w:val="008E7F16"/>
    <w:rsid w:val="008F007E"/>
    <w:rsid w:val="008F052A"/>
    <w:rsid w:val="008F06E8"/>
    <w:rsid w:val="008F084E"/>
    <w:rsid w:val="008F0A3B"/>
    <w:rsid w:val="008F0A42"/>
    <w:rsid w:val="008F0DC7"/>
    <w:rsid w:val="008F1034"/>
    <w:rsid w:val="008F1152"/>
    <w:rsid w:val="008F12DF"/>
    <w:rsid w:val="008F13C0"/>
    <w:rsid w:val="008F1A19"/>
    <w:rsid w:val="008F1FBA"/>
    <w:rsid w:val="008F2173"/>
    <w:rsid w:val="008F3ACB"/>
    <w:rsid w:val="008F44FD"/>
    <w:rsid w:val="008F48A1"/>
    <w:rsid w:val="008F4B9E"/>
    <w:rsid w:val="008F4DB4"/>
    <w:rsid w:val="008F51BC"/>
    <w:rsid w:val="008F62A2"/>
    <w:rsid w:val="008F6E62"/>
    <w:rsid w:val="008F7334"/>
    <w:rsid w:val="008F7837"/>
    <w:rsid w:val="008F7F8C"/>
    <w:rsid w:val="009004D2"/>
    <w:rsid w:val="00900771"/>
    <w:rsid w:val="00900FFD"/>
    <w:rsid w:val="009010F2"/>
    <w:rsid w:val="00901377"/>
    <w:rsid w:val="009014B8"/>
    <w:rsid w:val="00901C02"/>
    <w:rsid w:val="009024A6"/>
    <w:rsid w:val="00902DE8"/>
    <w:rsid w:val="00904318"/>
    <w:rsid w:val="00905032"/>
    <w:rsid w:val="00905393"/>
    <w:rsid w:val="009055E9"/>
    <w:rsid w:val="009057E3"/>
    <w:rsid w:val="00905B61"/>
    <w:rsid w:val="00906228"/>
    <w:rsid w:val="00906CB2"/>
    <w:rsid w:val="00906FCB"/>
    <w:rsid w:val="00907379"/>
    <w:rsid w:val="00907986"/>
    <w:rsid w:val="00911437"/>
    <w:rsid w:val="00911530"/>
    <w:rsid w:val="009117E5"/>
    <w:rsid w:val="00911ABF"/>
    <w:rsid w:val="00912251"/>
    <w:rsid w:val="0091226C"/>
    <w:rsid w:val="00912545"/>
    <w:rsid w:val="00912A1D"/>
    <w:rsid w:val="00912AC6"/>
    <w:rsid w:val="00912C13"/>
    <w:rsid w:val="00912E35"/>
    <w:rsid w:val="009133B9"/>
    <w:rsid w:val="00913455"/>
    <w:rsid w:val="00913915"/>
    <w:rsid w:val="00914315"/>
    <w:rsid w:val="009150C0"/>
    <w:rsid w:val="00915574"/>
    <w:rsid w:val="00915ED3"/>
    <w:rsid w:val="00916BF5"/>
    <w:rsid w:val="00916BFA"/>
    <w:rsid w:val="00916EDE"/>
    <w:rsid w:val="009170EB"/>
    <w:rsid w:val="0091734F"/>
    <w:rsid w:val="0091740C"/>
    <w:rsid w:val="00917450"/>
    <w:rsid w:val="0091766C"/>
    <w:rsid w:val="009179A6"/>
    <w:rsid w:val="0092066C"/>
    <w:rsid w:val="00920864"/>
    <w:rsid w:val="009218D1"/>
    <w:rsid w:val="00921E18"/>
    <w:rsid w:val="00922226"/>
    <w:rsid w:val="00922B5E"/>
    <w:rsid w:val="0092362E"/>
    <w:rsid w:val="009243BD"/>
    <w:rsid w:val="0092461B"/>
    <w:rsid w:val="00924CC4"/>
    <w:rsid w:val="009250E8"/>
    <w:rsid w:val="00925212"/>
    <w:rsid w:val="009259E1"/>
    <w:rsid w:val="00925D98"/>
    <w:rsid w:val="00925EDD"/>
    <w:rsid w:val="0092606B"/>
    <w:rsid w:val="00926D1A"/>
    <w:rsid w:val="00927D3B"/>
    <w:rsid w:val="00930B94"/>
    <w:rsid w:val="00931047"/>
    <w:rsid w:val="00931289"/>
    <w:rsid w:val="009312E9"/>
    <w:rsid w:val="00931ED6"/>
    <w:rsid w:val="009329FD"/>
    <w:rsid w:val="00933198"/>
    <w:rsid w:val="00933DC3"/>
    <w:rsid w:val="00934253"/>
    <w:rsid w:val="00934869"/>
    <w:rsid w:val="00934C06"/>
    <w:rsid w:val="00934D3F"/>
    <w:rsid w:val="0093506E"/>
    <w:rsid w:val="009350CF"/>
    <w:rsid w:val="00935AAD"/>
    <w:rsid w:val="00935F2A"/>
    <w:rsid w:val="00936205"/>
    <w:rsid w:val="0093651D"/>
    <w:rsid w:val="00936744"/>
    <w:rsid w:val="00936B1E"/>
    <w:rsid w:val="009378A6"/>
    <w:rsid w:val="00937CE4"/>
    <w:rsid w:val="00940E2B"/>
    <w:rsid w:val="009411C7"/>
    <w:rsid w:val="00941911"/>
    <w:rsid w:val="00941F19"/>
    <w:rsid w:val="0094219C"/>
    <w:rsid w:val="00942B33"/>
    <w:rsid w:val="00942CA9"/>
    <w:rsid w:val="0094313B"/>
    <w:rsid w:val="009455E7"/>
    <w:rsid w:val="00945F7A"/>
    <w:rsid w:val="00946CC0"/>
    <w:rsid w:val="009471CF"/>
    <w:rsid w:val="00947499"/>
    <w:rsid w:val="009479A8"/>
    <w:rsid w:val="00947C3D"/>
    <w:rsid w:val="00947D90"/>
    <w:rsid w:val="00947E07"/>
    <w:rsid w:val="009508C5"/>
    <w:rsid w:val="0095114D"/>
    <w:rsid w:val="00951412"/>
    <w:rsid w:val="00952343"/>
    <w:rsid w:val="00952345"/>
    <w:rsid w:val="00952CA9"/>
    <w:rsid w:val="00952DA9"/>
    <w:rsid w:val="009533D6"/>
    <w:rsid w:val="00953E95"/>
    <w:rsid w:val="009542D0"/>
    <w:rsid w:val="009542D8"/>
    <w:rsid w:val="00954530"/>
    <w:rsid w:val="00954A10"/>
    <w:rsid w:val="00954A17"/>
    <w:rsid w:val="009555DB"/>
    <w:rsid w:val="00955744"/>
    <w:rsid w:val="00955C33"/>
    <w:rsid w:val="009561B3"/>
    <w:rsid w:val="00956539"/>
    <w:rsid w:val="00961221"/>
    <w:rsid w:val="009612E8"/>
    <w:rsid w:val="0096131C"/>
    <w:rsid w:val="00961C73"/>
    <w:rsid w:val="009620E2"/>
    <w:rsid w:val="009632E8"/>
    <w:rsid w:val="009638FA"/>
    <w:rsid w:val="009650EA"/>
    <w:rsid w:val="009650FD"/>
    <w:rsid w:val="00965737"/>
    <w:rsid w:val="00965983"/>
    <w:rsid w:val="00965FC6"/>
    <w:rsid w:val="00966657"/>
    <w:rsid w:val="00966A6A"/>
    <w:rsid w:val="00967496"/>
    <w:rsid w:val="00967DEB"/>
    <w:rsid w:val="00967FB3"/>
    <w:rsid w:val="0097148E"/>
    <w:rsid w:val="0097187E"/>
    <w:rsid w:val="009721C7"/>
    <w:rsid w:val="009723F8"/>
    <w:rsid w:val="00972DD1"/>
    <w:rsid w:val="00972F44"/>
    <w:rsid w:val="0097418F"/>
    <w:rsid w:val="0097468E"/>
    <w:rsid w:val="009747F7"/>
    <w:rsid w:val="00974AD3"/>
    <w:rsid w:val="009753E7"/>
    <w:rsid w:val="00975C26"/>
    <w:rsid w:val="00976379"/>
    <w:rsid w:val="00976476"/>
    <w:rsid w:val="0097655A"/>
    <w:rsid w:val="0097789C"/>
    <w:rsid w:val="00980D73"/>
    <w:rsid w:val="00980E72"/>
    <w:rsid w:val="00980F56"/>
    <w:rsid w:val="0098189B"/>
    <w:rsid w:val="00981A7E"/>
    <w:rsid w:val="00981EAC"/>
    <w:rsid w:val="00982249"/>
    <w:rsid w:val="0098226E"/>
    <w:rsid w:val="00983560"/>
    <w:rsid w:val="00983639"/>
    <w:rsid w:val="00983682"/>
    <w:rsid w:val="009841BB"/>
    <w:rsid w:val="00984312"/>
    <w:rsid w:val="009857A0"/>
    <w:rsid w:val="00985921"/>
    <w:rsid w:val="00985FB9"/>
    <w:rsid w:val="00987924"/>
    <w:rsid w:val="009879C4"/>
    <w:rsid w:val="00990102"/>
    <w:rsid w:val="0099011B"/>
    <w:rsid w:val="00990496"/>
    <w:rsid w:val="009906D9"/>
    <w:rsid w:val="00990CAC"/>
    <w:rsid w:val="00990FFC"/>
    <w:rsid w:val="00991884"/>
    <w:rsid w:val="00991962"/>
    <w:rsid w:val="00992C18"/>
    <w:rsid w:val="00992D4F"/>
    <w:rsid w:val="0099328D"/>
    <w:rsid w:val="0099389C"/>
    <w:rsid w:val="00994154"/>
    <w:rsid w:val="00994B38"/>
    <w:rsid w:val="00994C0C"/>
    <w:rsid w:val="00994F88"/>
    <w:rsid w:val="00995615"/>
    <w:rsid w:val="00995B5C"/>
    <w:rsid w:val="00995D40"/>
    <w:rsid w:val="00996041"/>
    <w:rsid w:val="00996505"/>
    <w:rsid w:val="00996CAC"/>
    <w:rsid w:val="00996E51"/>
    <w:rsid w:val="00996F49"/>
    <w:rsid w:val="009970E0"/>
    <w:rsid w:val="00997AF4"/>
    <w:rsid w:val="00997D27"/>
    <w:rsid w:val="009A063E"/>
    <w:rsid w:val="009A0D00"/>
    <w:rsid w:val="009A21EC"/>
    <w:rsid w:val="009A238F"/>
    <w:rsid w:val="009A2E65"/>
    <w:rsid w:val="009A36AF"/>
    <w:rsid w:val="009A392B"/>
    <w:rsid w:val="009A55A9"/>
    <w:rsid w:val="009A5D65"/>
    <w:rsid w:val="009A6442"/>
    <w:rsid w:val="009A64AC"/>
    <w:rsid w:val="009A711C"/>
    <w:rsid w:val="009A7648"/>
    <w:rsid w:val="009B09B1"/>
    <w:rsid w:val="009B0A41"/>
    <w:rsid w:val="009B172F"/>
    <w:rsid w:val="009B179D"/>
    <w:rsid w:val="009B1A80"/>
    <w:rsid w:val="009B1C71"/>
    <w:rsid w:val="009B1F87"/>
    <w:rsid w:val="009B216E"/>
    <w:rsid w:val="009B2D68"/>
    <w:rsid w:val="009B311F"/>
    <w:rsid w:val="009B36FC"/>
    <w:rsid w:val="009B38E3"/>
    <w:rsid w:val="009B435D"/>
    <w:rsid w:val="009B4F40"/>
    <w:rsid w:val="009B6366"/>
    <w:rsid w:val="009B65AB"/>
    <w:rsid w:val="009B6A50"/>
    <w:rsid w:val="009B6C79"/>
    <w:rsid w:val="009B7070"/>
    <w:rsid w:val="009B70B9"/>
    <w:rsid w:val="009B72CC"/>
    <w:rsid w:val="009B7349"/>
    <w:rsid w:val="009B73AB"/>
    <w:rsid w:val="009BD1A8"/>
    <w:rsid w:val="009C0164"/>
    <w:rsid w:val="009C0674"/>
    <w:rsid w:val="009C0CCD"/>
    <w:rsid w:val="009C1262"/>
    <w:rsid w:val="009C1E35"/>
    <w:rsid w:val="009C2034"/>
    <w:rsid w:val="009C2150"/>
    <w:rsid w:val="009C2831"/>
    <w:rsid w:val="009C34C7"/>
    <w:rsid w:val="009C46B9"/>
    <w:rsid w:val="009C57AB"/>
    <w:rsid w:val="009C5CC3"/>
    <w:rsid w:val="009C6565"/>
    <w:rsid w:val="009C694E"/>
    <w:rsid w:val="009C6F02"/>
    <w:rsid w:val="009C6F7E"/>
    <w:rsid w:val="009C7581"/>
    <w:rsid w:val="009C7C9A"/>
    <w:rsid w:val="009D05F6"/>
    <w:rsid w:val="009D0FEE"/>
    <w:rsid w:val="009D115D"/>
    <w:rsid w:val="009D1632"/>
    <w:rsid w:val="009D18CC"/>
    <w:rsid w:val="009D1BE2"/>
    <w:rsid w:val="009D219F"/>
    <w:rsid w:val="009D3BD5"/>
    <w:rsid w:val="009D3DB3"/>
    <w:rsid w:val="009D49A7"/>
    <w:rsid w:val="009D53F0"/>
    <w:rsid w:val="009D5C5F"/>
    <w:rsid w:val="009D5C60"/>
    <w:rsid w:val="009D6324"/>
    <w:rsid w:val="009D6D15"/>
    <w:rsid w:val="009D7C6E"/>
    <w:rsid w:val="009D7D93"/>
    <w:rsid w:val="009E1FC3"/>
    <w:rsid w:val="009E201A"/>
    <w:rsid w:val="009E256B"/>
    <w:rsid w:val="009E257B"/>
    <w:rsid w:val="009E3471"/>
    <w:rsid w:val="009E34B6"/>
    <w:rsid w:val="009E41D0"/>
    <w:rsid w:val="009E4792"/>
    <w:rsid w:val="009E491F"/>
    <w:rsid w:val="009E4FBA"/>
    <w:rsid w:val="009E5BA8"/>
    <w:rsid w:val="009E5F47"/>
    <w:rsid w:val="009E5F8D"/>
    <w:rsid w:val="009E6384"/>
    <w:rsid w:val="009E6601"/>
    <w:rsid w:val="009E6A15"/>
    <w:rsid w:val="009E7B58"/>
    <w:rsid w:val="009E7EA7"/>
    <w:rsid w:val="009F061F"/>
    <w:rsid w:val="009F0723"/>
    <w:rsid w:val="009F1381"/>
    <w:rsid w:val="009F13D5"/>
    <w:rsid w:val="009F1AA4"/>
    <w:rsid w:val="009F1DDB"/>
    <w:rsid w:val="009F21ED"/>
    <w:rsid w:val="009F2CD1"/>
    <w:rsid w:val="009F309A"/>
    <w:rsid w:val="009F3880"/>
    <w:rsid w:val="009F458E"/>
    <w:rsid w:val="009F45E7"/>
    <w:rsid w:val="009F49AD"/>
    <w:rsid w:val="009F53C5"/>
    <w:rsid w:val="009F55EC"/>
    <w:rsid w:val="009F5ACA"/>
    <w:rsid w:val="009F5F4A"/>
    <w:rsid w:val="009F60A0"/>
    <w:rsid w:val="009F64FB"/>
    <w:rsid w:val="009F6831"/>
    <w:rsid w:val="009F7C23"/>
    <w:rsid w:val="009F7DBE"/>
    <w:rsid w:val="009F7FB0"/>
    <w:rsid w:val="00A000CC"/>
    <w:rsid w:val="00A007A1"/>
    <w:rsid w:val="00A01AC1"/>
    <w:rsid w:val="00A01B7E"/>
    <w:rsid w:val="00A01BC7"/>
    <w:rsid w:val="00A03111"/>
    <w:rsid w:val="00A031B8"/>
    <w:rsid w:val="00A03E86"/>
    <w:rsid w:val="00A03F49"/>
    <w:rsid w:val="00A04514"/>
    <w:rsid w:val="00A045CD"/>
    <w:rsid w:val="00A04B0B"/>
    <w:rsid w:val="00A04F80"/>
    <w:rsid w:val="00A053B6"/>
    <w:rsid w:val="00A05C10"/>
    <w:rsid w:val="00A0625B"/>
    <w:rsid w:val="00A064CC"/>
    <w:rsid w:val="00A07F8D"/>
    <w:rsid w:val="00A10B70"/>
    <w:rsid w:val="00A10ED0"/>
    <w:rsid w:val="00A11365"/>
    <w:rsid w:val="00A113C5"/>
    <w:rsid w:val="00A12794"/>
    <w:rsid w:val="00A1366F"/>
    <w:rsid w:val="00A139E0"/>
    <w:rsid w:val="00A13A41"/>
    <w:rsid w:val="00A1454C"/>
    <w:rsid w:val="00A1486B"/>
    <w:rsid w:val="00A1493E"/>
    <w:rsid w:val="00A151B2"/>
    <w:rsid w:val="00A15750"/>
    <w:rsid w:val="00A16D32"/>
    <w:rsid w:val="00A1726E"/>
    <w:rsid w:val="00A1779D"/>
    <w:rsid w:val="00A20F08"/>
    <w:rsid w:val="00A21421"/>
    <w:rsid w:val="00A226F0"/>
    <w:rsid w:val="00A23127"/>
    <w:rsid w:val="00A23488"/>
    <w:rsid w:val="00A23CC2"/>
    <w:rsid w:val="00A23E3F"/>
    <w:rsid w:val="00A24E89"/>
    <w:rsid w:val="00A25325"/>
    <w:rsid w:val="00A254B0"/>
    <w:rsid w:val="00A25B4A"/>
    <w:rsid w:val="00A26412"/>
    <w:rsid w:val="00A2663B"/>
    <w:rsid w:val="00A26F08"/>
    <w:rsid w:val="00A27309"/>
    <w:rsid w:val="00A273E4"/>
    <w:rsid w:val="00A27428"/>
    <w:rsid w:val="00A27443"/>
    <w:rsid w:val="00A2751F"/>
    <w:rsid w:val="00A27B74"/>
    <w:rsid w:val="00A27C2D"/>
    <w:rsid w:val="00A27D6C"/>
    <w:rsid w:val="00A31531"/>
    <w:rsid w:val="00A31758"/>
    <w:rsid w:val="00A31976"/>
    <w:rsid w:val="00A31986"/>
    <w:rsid w:val="00A31FBF"/>
    <w:rsid w:val="00A3296C"/>
    <w:rsid w:val="00A32F02"/>
    <w:rsid w:val="00A32FAF"/>
    <w:rsid w:val="00A33390"/>
    <w:rsid w:val="00A33633"/>
    <w:rsid w:val="00A3367C"/>
    <w:rsid w:val="00A339E8"/>
    <w:rsid w:val="00A34488"/>
    <w:rsid w:val="00A344E4"/>
    <w:rsid w:val="00A34DF6"/>
    <w:rsid w:val="00A36A57"/>
    <w:rsid w:val="00A400B5"/>
    <w:rsid w:val="00A405F5"/>
    <w:rsid w:val="00A410F0"/>
    <w:rsid w:val="00A41330"/>
    <w:rsid w:val="00A41596"/>
    <w:rsid w:val="00A42096"/>
    <w:rsid w:val="00A42188"/>
    <w:rsid w:val="00A42B30"/>
    <w:rsid w:val="00A42D44"/>
    <w:rsid w:val="00A42EB1"/>
    <w:rsid w:val="00A42EC5"/>
    <w:rsid w:val="00A42F33"/>
    <w:rsid w:val="00A43E61"/>
    <w:rsid w:val="00A43F81"/>
    <w:rsid w:val="00A44C04"/>
    <w:rsid w:val="00A456D7"/>
    <w:rsid w:val="00A4575A"/>
    <w:rsid w:val="00A45E28"/>
    <w:rsid w:val="00A45F06"/>
    <w:rsid w:val="00A46673"/>
    <w:rsid w:val="00A468CB"/>
    <w:rsid w:val="00A47B92"/>
    <w:rsid w:val="00A47E5B"/>
    <w:rsid w:val="00A47ECD"/>
    <w:rsid w:val="00A50958"/>
    <w:rsid w:val="00A519C7"/>
    <w:rsid w:val="00A51B63"/>
    <w:rsid w:val="00A52815"/>
    <w:rsid w:val="00A52967"/>
    <w:rsid w:val="00A535E1"/>
    <w:rsid w:val="00A5430F"/>
    <w:rsid w:val="00A54762"/>
    <w:rsid w:val="00A55960"/>
    <w:rsid w:val="00A5611B"/>
    <w:rsid w:val="00A56859"/>
    <w:rsid w:val="00A57831"/>
    <w:rsid w:val="00A5786F"/>
    <w:rsid w:val="00A57918"/>
    <w:rsid w:val="00A57A2B"/>
    <w:rsid w:val="00A57E0E"/>
    <w:rsid w:val="00A6170E"/>
    <w:rsid w:val="00A61CC5"/>
    <w:rsid w:val="00A6211D"/>
    <w:rsid w:val="00A622A4"/>
    <w:rsid w:val="00A6261C"/>
    <w:rsid w:val="00A627F8"/>
    <w:rsid w:val="00A62BB7"/>
    <w:rsid w:val="00A63962"/>
    <w:rsid w:val="00A63AF6"/>
    <w:rsid w:val="00A63B98"/>
    <w:rsid w:val="00A63EB4"/>
    <w:rsid w:val="00A63ED0"/>
    <w:rsid w:val="00A63F93"/>
    <w:rsid w:val="00A64522"/>
    <w:rsid w:val="00A65A22"/>
    <w:rsid w:val="00A70F18"/>
    <w:rsid w:val="00A7177E"/>
    <w:rsid w:val="00A71CC1"/>
    <w:rsid w:val="00A71EC1"/>
    <w:rsid w:val="00A71FFD"/>
    <w:rsid w:val="00A720B7"/>
    <w:rsid w:val="00A7210F"/>
    <w:rsid w:val="00A721CE"/>
    <w:rsid w:val="00A72A33"/>
    <w:rsid w:val="00A747B3"/>
    <w:rsid w:val="00A7588B"/>
    <w:rsid w:val="00A76397"/>
    <w:rsid w:val="00A77C6A"/>
    <w:rsid w:val="00A80277"/>
    <w:rsid w:val="00A80BC2"/>
    <w:rsid w:val="00A80C0C"/>
    <w:rsid w:val="00A80D72"/>
    <w:rsid w:val="00A82134"/>
    <w:rsid w:val="00A82BF9"/>
    <w:rsid w:val="00A83CF6"/>
    <w:rsid w:val="00A85049"/>
    <w:rsid w:val="00A8534A"/>
    <w:rsid w:val="00A85B3F"/>
    <w:rsid w:val="00A85F43"/>
    <w:rsid w:val="00A86335"/>
    <w:rsid w:val="00A86710"/>
    <w:rsid w:val="00A8681A"/>
    <w:rsid w:val="00A87028"/>
    <w:rsid w:val="00A87229"/>
    <w:rsid w:val="00A879F0"/>
    <w:rsid w:val="00A87C37"/>
    <w:rsid w:val="00A90A44"/>
    <w:rsid w:val="00A91151"/>
    <w:rsid w:val="00A91593"/>
    <w:rsid w:val="00A91F48"/>
    <w:rsid w:val="00A9242B"/>
    <w:rsid w:val="00A92558"/>
    <w:rsid w:val="00A938EF"/>
    <w:rsid w:val="00A93968"/>
    <w:rsid w:val="00A939B4"/>
    <w:rsid w:val="00A93ABD"/>
    <w:rsid w:val="00A94081"/>
    <w:rsid w:val="00A94264"/>
    <w:rsid w:val="00A948CB"/>
    <w:rsid w:val="00A95973"/>
    <w:rsid w:val="00A95C29"/>
    <w:rsid w:val="00A96700"/>
    <w:rsid w:val="00A967E1"/>
    <w:rsid w:val="00A96D7F"/>
    <w:rsid w:val="00A97077"/>
    <w:rsid w:val="00A9714D"/>
    <w:rsid w:val="00A971CD"/>
    <w:rsid w:val="00A971DC"/>
    <w:rsid w:val="00A97462"/>
    <w:rsid w:val="00A976C4"/>
    <w:rsid w:val="00A97855"/>
    <w:rsid w:val="00A97DC6"/>
    <w:rsid w:val="00AA038A"/>
    <w:rsid w:val="00AA07CC"/>
    <w:rsid w:val="00AA0940"/>
    <w:rsid w:val="00AA099D"/>
    <w:rsid w:val="00AA1044"/>
    <w:rsid w:val="00AA1254"/>
    <w:rsid w:val="00AA1C46"/>
    <w:rsid w:val="00AA2383"/>
    <w:rsid w:val="00AA25E1"/>
    <w:rsid w:val="00AA315C"/>
    <w:rsid w:val="00AA3A88"/>
    <w:rsid w:val="00AA46AD"/>
    <w:rsid w:val="00AA49D4"/>
    <w:rsid w:val="00AA4BA9"/>
    <w:rsid w:val="00AA5118"/>
    <w:rsid w:val="00AA5575"/>
    <w:rsid w:val="00AA5A64"/>
    <w:rsid w:val="00AA6018"/>
    <w:rsid w:val="00AA603C"/>
    <w:rsid w:val="00AA6751"/>
    <w:rsid w:val="00AA6E0B"/>
    <w:rsid w:val="00AA6EBA"/>
    <w:rsid w:val="00AA6F4E"/>
    <w:rsid w:val="00AA77A0"/>
    <w:rsid w:val="00AA785C"/>
    <w:rsid w:val="00AA7C5F"/>
    <w:rsid w:val="00AB095F"/>
    <w:rsid w:val="00AB09B3"/>
    <w:rsid w:val="00AB0C3B"/>
    <w:rsid w:val="00AB125D"/>
    <w:rsid w:val="00AB198C"/>
    <w:rsid w:val="00AB2CD4"/>
    <w:rsid w:val="00AB3298"/>
    <w:rsid w:val="00AB461A"/>
    <w:rsid w:val="00AB4DDA"/>
    <w:rsid w:val="00AB51DA"/>
    <w:rsid w:val="00AB5B64"/>
    <w:rsid w:val="00AB60DC"/>
    <w:rsid w:val="00AB6F4B"/>
    <w:rsid w:val="00AC0728"/>
    <w:rsid w:val="00AC07DA"/>
    <w:rsid w:val="00AC118A"/>
    <w:rsid w:val="00AC20F2"/>
    <w:rsid w:val="00AC2314"/>
    <w:rsid w:val="00AC295C"/>
    <w:rsid w:val="00AC32A8"/>
    <w:rsid w:val="00AC33FE"/>
    <w:rsid w:val="00AC3447"/>
    <w:rsid w:val="00AC3BE2"/>
    <w:rsid w:val="00AC3C43"/>
    <w:rsid w:val="00AC49E0"/>
    <w:rsid w:val="00AC4E12"/>
    <w:rsid w:val="00AC6805"/>
    <w:rsid w:val="00AC7849"/>
    <w:rsid w:val="00AD187D"/>
    <w:rsid w:val="00AD21A1"/>
    <w:rsid w:val="00AD22D9"/>
    <w:rsid w:val="00AD28B0"/>
    <w:rsid w:val="00AD2ACF"/>
    <w:rsid w:val="00AD3A8B"/>
    <w:rsid w:val="00AD3C93"/>
    <w:rsid w:val="00AD3D09"/>
    <w:rsid w:val="00AD3D9A"/>
    <w:rsid w:val="00AD41CF"/>
    <w:rsid w:val="00AD5042"/>
    <w:rsid w:val="00AD577C"/>
    <w:rsid w:val="00AD5809"/>
    <w:rsid w:val="00AD6118"/>
    <w:rsid w:val="00AD632F"/>
    <w:rsid w:val="00AD649D"/>
    <w:rsid w:val="00AD762D"/>
    <w:rsid w:val="00AD7680"/>
    <w:rsid w:val="00AD7CE6"/>
    <w:rsid w:val="00AD7D31"/>
    <w:rsid w:val="00AD7D65"/>
    <w:rsid w:val="00AE058E"/>
    <w:rsid w:val="00AE0854"/>
    <w:rsid w:val="00AE0F73"/>
    <w:rsid w:val="00AE10C3"/>
    <w:rsid w:val="00AE1680"/>
    <w:rsid w:val="00AE21A2"/>
    <w:rsid w:val="00AE24EC"/>
    <w:rsid w:val="00AE2625"/>
    <w:rsid w:val="00AE29F6"/>
    <w:rsid w:val="00AE2A1B"/>
    <w:rsid w:val="00AE3413"/>
    <w:rsid w:val="00AE3B64"/>
    <w:rsid w:val="00AE4245"/>
    <w:rsid w:val="00AE444C"/>
    <w:rsid w:val="00AE5AFD"/>
    <w:rsid w:val="00AE5F04"/>
    <w:rsid w:val="00AE6165"/>
    <w:rsid w:val="00AE6BC2"/>
    <w:rsid w:val="00AE6BFD"/>
    <w:rsid w:val="00AE6D1A"/>
    <w:rsid w:val="00AE74C9"/>
    <w:rsid w:val="00AE7696"/>
    <w:rsid w:val="00AE7DA2"/>
    <w:rsid w:val="00AF06B0"/>
    <w:rsid w:val="00AF1E34"/>
    <w:rsid w:val="00AF2709"/>
    <w:rsid w:val="00AF33A2"/>
    <w:rsid w:val="00AF3639"/>
    <w:rsid w:val="00AF3DB4"/>
    <w:rsid w:val="00AF4EC6"/>
    <w:rsid w:val="00AF5418"/>
    <w:rsid w:val="00AF55B0"/>
    <w:rsid w:val="00AF5F9D"/>
    <w:rsid w:val="00AF64E2"/>
    <w:rsid w:val="00AF6931"/>
    <w:rsid w:val="00AF6A4C"/>
    <w:rsid w:val="00AF6C53"/>
    <w:rsid w:val="00AF6CC9"/>
    <w:rsid w:val="00AF72E9"/>
    <w:rsid w:val="00AF746F"/>
    <w:rsid w:val="00AF75A6"/>
    <w:rsid w:val="00AF77B1"/>
    <w:rsid w:val="00B0033F"/>
    <w:rsid w:val="00B00618"/>
    <w:rsid w:val="00B00B1B"/>
    <w:rsid w:val="00B012DF"/>
    <w:rsid w:val="00B0178F"/>
    <w:rsid w:val="00B01BC3"/>
    <w:rsid w:val="00B01CE9"/>
    <w:rsid w:val="00B034F1"/>
    <w:rsid w:val="00B03989"/>
    <w:rsid w:val="00B039C0"/>
    <w:rsid w:val="00B03B07"/>
    <w:rsid w:val="00B040EB"/>
    <w:rsid w:val="00B04E0D"/>
    <w:rsid w:val="00B053CC"/>
    <w:rsid w:val="00B0619D"/>
    <w:rsid w:val="00B061DB"/>
    <w:rsid w:val="00B066F0"/>
    <w:rsid w:val="00B06775"/>
    <w:rsid w:val="00B06B69"/>
    <w:rsid w:val="00B122DC"/>
    <w:rsid w:val="00B12788"/>
    <w:rsid w:val="00B129D4"/>
    <w:rsid w:val="00B130C4"/>
    <w:rsid w:val="00B13904"/>
    <w:rsid w:val="00B13EB2"/>
    <w:rsid w:val="00B1432F"/>
    <w:rsid w:val="00B14444"/>
    <w:rsid w:val="00B14936"/>
    <w:rsid w:val="00B1560B"/>
    <w:rsid w:val="00B15674"/>
    <w:rsid w:val="00B15AAC"/>
    <w:rsid w:val="00B15D36"/>
    <w:rsid w:val="00B16016"/>
    <w:rsid w:val="00B161F2"/>
    <w:rsid w:val="00B163B0"/>
    <w:rsid w:val="00B164C3"/>
    <w:rsid w:val="00B16AB5"/>
    <w:rsid w:val="00B17F3C"/>
    <w:rsid w:val="00B200CC"/>
    <w:rsid w:val="00B2039B"/>
    <w:rsid w:val="00B2066A"/>
    <w:rsid w:val="00B209D5"/>
    <w:rsid w:val="00B2120F"/>
    <w:rsid w:val="00B21451"/>
    <w:rsid w:val="00B21554"/>
    <w:rsid w:val="00B2176F"/>
    <w:rsid w:val="00B2186D"/>
    <w:rsid w:val="00B21BFA"/>
    <w:rsid w:val="00B21E4E"/>
    <w:rsid w:val="00B2236A"/>
    <w:rsid w:val="00B22580"/>
    <w:rsid w:val="00B22645"/>
    <w:rsid w:val="00B23331"/>
    <w:rsid w:val="00B244E6"/>
    <w:rsid w:val="00B24956"/>
    <w:rsid w:val="00B24CD7"/>
    <w:rsid w:val="00B24E22"/>
    <w:rsid w:val="00B25E39"/>
    <w:rsid w:val="00B261C7"/>
    <w:rsid w:val="00B26C33"/>
    <w:rsid w:val="00B27436"/>
    <w:rsid w:val="00B2749A"/>
    <w:rsid w:val="00B2768B"/>
    <w:rsid w:val="00B279E0"/>
    <w:rsid w:val="00B27E1D"/>
    <w:rsid w:val="00B3093E"/>
    <w:rsid w:val="00B3180B"/>
    <w:rsid w:val="00B31D4E"/>
    <w:rsid w:val="00B321A4"/>
    <w:rsid w:val="00B32930"/>
    <w:rsid w:val="00B329C9"/>
    <w:rsid w:val="00B3312E"/>
    <w:rsid w:val="00B33808"/>
    <w:rsid w:val="00B339CC"/>
    <w:rsid w:val="00B33A38"/>
    <w:rsid w:val="00B3424F"/>
    <w:rsid w:val="00B34526"/>
    <w:rsid w:val="00B345B3"/>
    <w:rsid w:val="00B34EEB"/>
    <w:rsid w:val="00B35CC6"/>
    <w:rsid w:val="00B3617D"/>
    <w:rsid w:val="00B365EC"/>
    <w:rsid w:val="00B367B6"/>
    <w:rsid w:val="00B36CF4"/>
    <w:rsid w:val="00B37317"/>
    <w:rsid w:val="00B37B14"/>
    <w:rsid w:val="00B40423"/>
    <w:rsid w:val="00B40B99"/>
    <w:rsid w:val="00B41605"/>
    <w:rsid w:val="00B4191F"/>
    <w:rsid w:val="00B41E60"/>
    <w:rsid w:val="00B4204A"/>
    <w:rsid w:val="00B42217"/>
    <w:rsid w:val="00B426F4"/>
    <w:rsid w:val="00B42F03"/>
    <w:rsid w:val="00B42F73"/>
    <w:rsid w:val="00B44B2B"/>
    <w:rsid w:val="00B45430"/>
    <w:rsid w:val="00B45685"/>
    <w:rsid w:val="00B458A7"/>
    <w:rsid w:val="00B46613"/>
    <w:rsid w:val="00B468DF"/>
    <w:rsid w:val="00B50B9B"/>
    <w:rsid w:val="00B50D7F"/>
    <w:rsid w:val="00B50E71"/>
    <w:rsid w:val="00B51ABA"/>
    <w:rsid w:val="00B536A7"/>
    <w:rsid w:val="00B53C05"/>
    <w:rsid w:val="00B53ECB"/>
    <w:rsid w:val="00B541AE"/>
    <w:rsid w:val="00B544C9"/>
    <w:rsid w:val="00B549CB"/>
    <w:rsid w:val="00B551B4"/>
    <w:rsid w:val="00B55663"/>
    <w:rsid w:val="00B55C8C"/>
    <w:rsid w:val="00B56048"/>
    <w:rsid w:val="00B561B9"/>
    <w:rsid w:val="00B57FB1"/>
    <w:rsid w:val="00B602EF"/>
    <w:rsid w:val="00B60F15"/>
    <w:rsid w:val="00B617B9"/>
    <w:rsid w:val="00B61A70"/>
    <w:rsid w:val="00B61F79"/>
    <w:rsid w:val="00B631AD"/>
    <w:rsid w:val="00B642A5"/>
    <w:rsid w:val="00B64C80"/>
    <w:rsid w:val="00B64E31"/>
    <w:rsid w:val="00B65B1E"/>
    <w:rsid w:val="00B65BA2"/>
    <w:rsid w:val="00B65F86"/>
    <w:rsid w:val="00B66065"/>
    <w:rsid w:val="00B665C4"/>
    <w:rsid w:val="00B66644"/>
    <w:rsid w:val="00B66FBC"/>
    <w:rsid w:val="00B67402"/>
    <w:rsid w:val="00B67FA0"/>
    <w:rsid w:val="00B70D63"/>
    <w:rsid w:val="00B714A8"/>
    <w:rsid w:val="00B715F0"/>
    <w:rsid w:val="00B7162F"/>
    <w:rsid w:val="00B716D6"/>
    <w:rsid w:val="00B720C4"/>
    <w:rsid w:val="00B720E7"/>
    <w:rsid w:val="00B725E4"/>
    <w:rsid w:val="00B7275D"/>
    <w:rsid w:val="00B7281E"/>
    <w:rsid w:val="00B73364"/>
    <w:rsid w:val="00B735A8"/>
    <w:rsid w:val="00B73877"/>
    <w:rsid w:val="00B7485C"/>
    <w:rsid w:val="00B7545F"/>
    <w:rsid w:val="00B75EE7"/>
    <w:rsid w:val="00B77A0A"/>
    <w:rsid w:val="00B77FD8"/>
    <w:rsid w:val="00B809E0"/>
    <w:rsid w:val="00B818C5"/>
    <w:rsid w:val="00B81A7B"/>
    <w:rsid w:val="00B82A37"/>
    <w:rsid w:val="00B82B48"/>
    <w:rsid w:val="00B82B66"/>
    <w:rsid w:val="00B84ABA"/>
    <w:rsid w:val="00B85262"/>
    <w:rsid w:val="00B8546F"/>
    <w:rsid w:val="00B854BA"/>
    <w:rsid w:val="00B85757"/>
    <w:rsid w:val="00B86595"/>
    <w:rsid w:val="00B8669D"/>
    <w:rsid w:val="00B86A53"/>
    <w:rsid w:val="00B86B7B"/>
    <w:rsid w:val="00B86BD7"/>
    <w:rsid w:val="00B86F32"/>
    <w:rsid w:val="00B86F56"/>
    <w:rsid w:val="00B875F3"/>
    <w:rsid w:val="00B8760A"/>
    <w:rsid w:val="00B90975"/>
    <w:rsid w:val="00B90C5D"/>
    <w:rsid w:val="00B90F4A"/>
    <w:rsid w:val="00B91147"/>
    <w:rsid w:val="00B92745"/>
    <w:rsid w:val="00B92838"/>
    <w:rsid w:val="00B929B4"/>
    <w:rsid w:val="00B93E56"/>
    <w:rsid w:val="00B951E2"/>
    <w:rsid w:val="00B95259"/>
    <w:rsid w:val="00B95341"/>
    <w:rsid w:val="00B9621C"/>
    <w:rsid w:val="00B96CA8"/>
    <w:rsid w:val="00B97010"/>
    <w:rsid w:val="00B9741F"/>
    <w:rsid w:val="00B974CA"/>
    <w:rsid w:val="00B97974"/>
    <w:rsid w:val="00B97AA1"/>
    <w:rsid w:val="00BA0227"/>
    <w:rsid w:val="00BA080D"/>
    <w:rsid w:val="00BA0D9B"/>
    <w:rsid w:val="00BA1004"/>
    <w:rsid w:val="00BA1306"/>
    <w:rsid w:val="00BA317D"/>
    <w:rsid w:val="00BA321E"/>
    <w:rsid w:val="00BA343E"/>
    <w:rsid w:val="00BA3475"/>
    <w:rsid w:val="00BA3860"/>
    <w:rsid w:val="00BA7101"/>
    <w:rsid w:val="00BA7954"/>
    <w:rsid w:val="00BA7E1A"/>
    <w:rsid w:val="00BB000E"/>
    <w:rsid w:val="00BB023A"/>
    <w:rsid w:val="00BB0468"/>
    <w:rsid w:val="00BB0CB7"/>
    <w:rsid w:val="00BB240B"/>
    <w:rsid w:val="00BB258C"/>
    <w:rsid w:val="00BB2D8D"/>
    <w:rsid w:val="00BB2DC2"/>
    <w:rsid w:val="00BB377A"/>
    <w:rsid w:val="00BB4D9C"/>
    <w:rsid w:val="00BB56F7"/>
    <w:rsid w:val="00BB6753"/>
    <w:rsid w:val="00BB6E3C"/>
    <w:rsid w:val="00BB70BE"/>
    <w:rsid w:val="00BB70F0"/>
    <w:rsid w:val="00BB7359"/>
    <w:rsid w:val="00BB7883"/>
    <w:rsid w:val="00BB7A02"/>
    <w:rsid w:val="00BB7A53"/>
    <w:rsid w:val="00BC09E7"/>
    <w:rsid w:val="00BC0C48"/>
    <w:rsid w:val="00BC0EE7"/>
    <w:rsid w:val="00BC0F1A"/>
    <w:rsid w:val="00BC2A14"/>
    <w:rsid w:val="00BC2A71"/>
    <w:rsid w:val="00BC2BF6"/>
    <w:rsid w:val="00BC2FA1"/>
    <w:rsid w:val="00BC33E1"/>
    <w:rsid w:val="00BC360F"/>
    <w:rsid w:val="00BC4A5A"/>
    <w:rsid w:val="00BC4CB3"/>
    <w:rsid w:val="00BC4E89"/>
    <w:rsid w:val="00BC5082"/>
    <w:rsid w:val="00BC5E36"/>
    <w:rsid w:val="00BC6B08"/>
    <w:rsid w:val="00BC7431"/>
    <w:rsid w:val="00BD01E7"/>
    <w:rsid w:val="00BD0283"/>
    <w:rsid w:val="00BD07BA"/>
    <w:rsid w:val="00BD0EE0"/>
    <w:rsid w:val="00BD1C9A"/>
    <w:rsid w:val="00BD203F"/>
    <w:rsid w:val="00BD2360"/>
    <w:rsid w:val="00BD2C4A"/>
    <w:rsid w:val="00BD2DB7"/>
    <w:rsid w:val="00BD3266"/>
    <w:rsid w:val="00BD474E"/>
    <w:rsid w:val="00BD5137"/>
    <w:rsid w:val="00BD5400"/>
    <w:rsid w:val="00BD54A4"/>
    <w:rsid w:val="00BD5CB6"/>
    <w:rsid w:val="00BD67C9"/>
    <w:rsid w:val="00BD7586"/>
    <w:rsid w:val="00BD7A73"/>
    <w:rsid w:val="00BE2173"/>
    <w:rsid w:val="00BE2D04"/>
    <w:rsid w:val="00BE37D0"/>
    <w:rsid w:val="00BE3AF2"/>
    <w:rsid w:val="00BE40C5"/>
    <w:rsid w:val="00BE453F"/>
    <w:rsid w:val="00BE58D8"/>
    <w:rsid w:val="00BE5A79"/>
    <w:rsid w:val="00BE5BD0"/>
    <w:rsid w:val="00BE6171"/>
    <w:rsid w:val="00BE6285"/>
    <w:rsid w:val="00BE63CB"/>
    <w:rsid w:val="00BE65A7"/>
    <w:rsid w:val="00BE6793"/>
    <w:rsid w:val="00BE6DCB"/>
    <w:rsid w:val="00BE70FA"/>
    <w:rsid w:val="00BE7B06"/>
    <w:rsid w:val="00BE7DCD"/>
    <w:rsid w:val="00BF054A"/>
    <w:rsid w:val="00BF1A07"/>
    <w:rsid w:val="00BF1A7D"/>
    <w:rsid w:val="00BF1CAB"/>
    <w:rsid w:val="00BF208A"/>
    <w:rsid w:val="00BF21C0"/>
    <w:rsid w:val="00BF2B43"/>
    <w:rsid w:val="00BF34CA"/>
    <w:rsid w:val="00BF4096"/>
    <w:rsid w:val="00BF493F"/>
    <w:rsid w:val="00BF52C9"/>
    <w:rsid w:val="00BF57F4"/>
    <w:rsid w:val="00BF5C50"/>
    <w:rsid w:val="00BF5DED"/>
    <w:rsid w:val="00BF6107"/>
    <w:rsid w:val="00BF6561"/>
    <w:rsid w:val="00BF6803"/>
    <w:rsid w:val="00BF6F29"/>
    <w:rsid w:val="00C00B9D"/>
    <w:rsid w:val="00C00FAB"/>
    <w:rsid w:val="00C0148F"/>
    <w:rsid w:val="00C01C68"/>
    <w:rsid w:val="00C01CBF"/>
    <w:rsid w:val="00C020AB"/>
    <w:rsid w:val="00C02739"/>
    <w:rsid w:val="00C02887"/>
    <w:rsid w:val="00C028A2"/>
    <w:rsid w:val="00C036A5"/>
    <w:rsid w:val="00C038C1"/>
    <w:rsid w:val="00C03AF8"/>
    <w:rsid w:val="00C03C1E"/>
    <w:rsid w:val="00C03CF8"/>
    <w:rsid w:val="00C05900"/>
    <w:rsid w:val="00C05991"/>
    <w:rsid w:val="00C059F1"/>
    <w:rsid w:val="00C05C9E"/>
    <w:rsid w:val="00C062E3"/>
    <w:rsid w:val="00C063FC"/>
    <w:rsid w:val="00C074AB"/>
    <w:rsid w:val="00C07919"/>
    <w:rsid w:val="00C09216"/>
    <w:rsid w:val="00C106B0"/>
    <w:rsid w:val="00C1124C"/>
    <w:rsid w:val="00C11E22"/>
    <w:rsid w:val="00C1319C"/>
    <w:rsid w:val="00C13CA8"/>
    <w:rsid w:val="00C14281"/>
    <w:rsid w:val="00C156D0"/>
    <w:rsid w:val="00C1576C"/>
    <w:rsid w:val="00C1592E"/>
    <w:rsid w:val="00C15DA6"/>
    <w:rsid w:val="00C15E4D"/>
    <w:rsid w:val="00C1644B"/>
    <w:rsid w:val="00C16C0D"/>
    <w:rsid w:val="00C1711A"/>
    <w:rsid w:val="00C17211"/>
    <w:rsid w:val="00C17311"/>
    <w:rsid w:val="00C1782E"/>
    <w:rsid w:val="00C200FF"/>
    <w:rsid w:val="00C202CA"/>
    <w:rsid w:val="00C208B1"/>
    <w:rsid w:val="00C20C10"/>
    <w:rsid w:val="00C20DAB"/>
    <w:rsid w:val="00C21CA0"/>
    <w:rsid w:val="00C21FA3"/>
    <w:rsid w:val="00C2214E"/>
    <w:rsid w:val="00C22189"/>
    <w:rsid w:val="00C223D5"/>
    <w:rsid w:val="00C2347B"/>
    <w:rsid w:val="00C2406E"/>
    <w:rsid w:val="00C24A07"/>
    <w:rsid w:val="00C24C49"/>
    <w:rsid w:val="00C24F6F"/>
    <w:rsid w:val="00C26460"/>
    <w:rsid w:val="00C266A6"/>
    <w:rsid w:val="00C26772"/>
    <w:rsid w:val="00C26A15"/>
    <w:rsid w:val="00C26A9C"/>
    <w:rsid w:val="00C26D07"/>
    <w:rsid w:val="00C27539"/>
    <w:rsid w:val="00C2755F"/>
    <w:rsid w:val="00C279DF"/>
    <w:rsid w:val="00C27C5F"/>
    <w:rsid w:val="00C27FB4"/>
    <w:rsid w:val="00C30899"/>
    <w:rsid w:val="00C30CA2"/>
    <w:rsid w:val="00C30D0E"/>
    <w:rsid w:val="00C31200"/>
    <w:rsid w:val="00C31267"/>
    <w:rsid w:val="00C31ECF"/>
    <w:rsid w:val="00C32373"/>
    <w:rsid w:val="00C32935"/>
    <w:rsid w:val="00C333EE"/>
    <w:rsid w:val="00C33834"/>
    <w:rsid w:val="00C3398C"/>
    <w:rsid w:val="00C33D41"/>
    <w:rsid w:val="00C33E93"/>
    <w:rsid w:val="00C345D4"/>
    <w:rsid w:val="00C35401"/>
    <w:rsid w:val="00C35EDC"/>
    <w:rsid w:val="00C35F5D"/>
    <w:rsid w:val="00C366B5"/>
    <w:rsid w:val="00C366F1"/>
    <w:rsid w:val="00C37CE7"/>
    <w:rsid w:val="00C37D47"/>
    <w:rsid w:val="00C37E5A"/>
    <w:rsid w:val="00C4044E"/>
    <w:rsid w:val="00C40F71"/>
    <w:rsid w:val="00C41130"/>
    <w:rsid w:val="00C41D1A"/>
    <w:rsid w:val="00C42548"/>
    <w:rsid w:val="00C42831"/>
    <w:rsid w:val="00C428E1"/>
    <w:rsid w:val="00C42A72"/>
    <w:rsid w:val="00C433E1"/>
    <w:rsid w:val="00C4376E"/>
    <w:rsid w:val="00C44321"/>
    <w:rsid w:val="00C45572"/>
    <w:rsid w:val="00C45D0E"/>
    <w:rsid w:val="00C46037"/>
    <w:rsid w:val="00C46D76"/>
    <w:rsid w:val="00C47147"/>
    <w:rsid w:val="00C50EC6"/>
    <w:rsid w:val="00C50F02"/>
    <w:rsid w:val="00C512E8"/>
    <w:rsid w:val="00C51324"/>
    <w:rsid w:val="00C5134F"/>
    <w:rsid w:val="00C51628"/>
    <w:rsid w:val="00C51658"/>
    <w:rsid w:val="00C51862"/>
    <w:rsid w:val="00C518D3"/>
    <w:rsid w:val="00C519D5"/>
    <w:rsid w:val="00C53172"/>
    <w:rsid w:val="00C533F9"/>
    <w:rsid w:val="00C5422C"/>
    <w:rsid w:val="00C57111"/>
    <w:rsid w:val="00C6073D"/>
    <w:rsid w:val="00C6099A"/>
    <w:rsid w:val="00C609D8"/>
    <w:rsid w:val="00C6148C"/>
    <w:rsid w:val="00C61733"/>
    <w:rsid w:val="00C61C0F"/>
    <w:rsid w:val="00C62B07"/>
    <w:rsid w:val="00C63891"/>
    <w:rsid w:val="00C64706"/>
    <w:rsid w:val="00C6476F"/>
    <w:rsid w:val="00C654BD"/>
    <w:rsid w:val="00C65CB0"/>
    <w:rsid w:val="00C66966"/>
    <w:rsid w:val="00C66E5A"/>
    <w:rsid w:val="00C66F85"/>
    <w:rsid w:val="00C67291"/>
    <w:rsid w:val="00C67D68"/>
    <w:rsid w:val="00C67E2A"/>
    <w:rsid w:val="00C709D1"/>
    <w:rsid w:val="00C71181"/>
    <w:rsid w:val="00C71D0D"/>
    <w:rsid w:val="00C71ED1"/>
    <w:rsid w:val="00C71FB7"/>
    <w:rsid w:val="00C71FF2"/>
    <w:rsid w:val="00C7316A"/>
    <w:rsid w:val="00C73597"/>
    <w:rsid w:val="00C736DD"/>
    <w:rsid w:val="00C74924"/>
    <w:rsid w:val="00C74E27"/>
    <w:rsid w:val="00C75532"/>
    <w:rsid w:val="00C759EE"/>
    <w:rsid w:val="00C762F6"/>
    <w:rsid w:val="00C76398"/>
    <w:rsid w:val="00C768D1"/>
    <w:rsid w:val="00C76AFC"/>
    <w:rsid w:val="00C76D5D"/>
    <w:rsid w:val="00C77462"/>
    <w:rsid w:val="00C800C8"/>
    <w:rsid w:val="00C80222"/>
    <w:rsid w:val="00C80540"/>
    <w:rsid w:val="00C8083E"/>
    <w:rsid w:val="00C809C4"/>
    <w:rsid w:val="00C80BDB"/>
    <w:rsid w:val="00C80D56"/>
    <w:rsid w:val="00C81067"/>
    <w:rsid w:val="00C81B29"/>
    <w:rsid w:val="00C81CE2"/>
    <w:rsid w:val="00C823FB"/>
    <w:rsid w:val="00C82762"/>
    <w:rsid w:val="00C82B61"/>
    <w:rsid w:val="00C8321D"/>
    <w:rsid w:val="00C83568"/>
    <w:rsid w:val="00C84DE9"/>
    <w:rsid w:val="00C85517"/>
    <w:rsid w:val="00C85C89"/>
    <w:rsid w:val="00C86309"/>
    <w:rsid w:val="00C866C8"/>
    <w:rsid w:val="00C86918"/>
    <w:rsid w:val="00C86B07"/>
    <w:rsid w:val="00C86C1A"/>
    <w:rsid w:val="00C86C5A"/>
    <w:rsid w:val="00C87980"/>
    <w:rsid w:val="00C9105A"/>
    <w:rsid w:val="00C91158"/>
    <w:rsid w:val="00C92079"/>
    <w:rsid w:val="00C9221E"/>
    <w:rsid w:val="00C92728"/>
    <w:rsid w:val="00C938A1"/>
    <w:rsid w:val="00C9456E"/>
    <w:rsid w:val="00C945DA"/>
    <w:rsid w:val="00C945EA"/>
    <w:rsid w:val="00C9460E"/>
    <w:rsid w:val="00C94A29"/>
    <w:rsid w:val="00C94FDB"/>
    <w:rsid w:val="00C95D2B"/>
    <w:rsid w:val="00C97E37"/>
    <w:rsid w:val="00CA0626"/>
    <w:rsid w:val="00CA0915"/>
    <w:rsid w:val="00CA1359"/>
    <w:rsid w:val="00CA1CC2"/>
    <w:rsid w:val="00CA2747"/>
    <w:rsid w:val="00CA37D4"/>
    <w:rsid w:val="00CA3A5A"/>
    <w:rsid w:val="00CA3FDD"/>
    <w:rsid w:val="00CA4020"/>
    <w:rsid w:val="00CA43E1"/>
    <w:rsid w:val="00CA4AEE"/>
    <w:rsid w:val="00CA4E64"/>
    <w:rsid w:val="00CA524A"/>
    <w:rsid w:val="00CA5548"/>
    <w:rsid w:val="00CA61A1"/>
    <w:rsid w:val="00CA6396"/>
    <w:rsid w:val="00CA667A"/>
    <w:rsid w:val="00CA6CB7"/>
    <w:rsid w:val="00CA6D47"/>
    <w:rsid w:val="00CA71EC"/>
    <w:rsid w:val="00CA7E6E"/>
    <w:rsid w:val="00CA7FFB"/>
    <w:rsid w:val="00CB0510"/>
    <w:rsid w:val="00CB080F"/>
    <w:rsid w:val="00CB0D6A"/>
    <w:rsid w:val="00CB15D4"/>
    <w:rsid w:val="00CB4829"/>
    <w:rsid w:val="00CB4B7C"/>
    <w:rsid w:val="00CB4BCD"/>
    <w:rsid w:val="00CB4F4D"/>
    <w:rsid w:val="00CB4FF5"/>
    <w:rsid w:val="00CB55B4"/>
    <w:rsid w:val="00CB5892"/>
    <w:rsid w:val="00CB5CA8"/>
    <w:rsid w:val="00CB7629"/>
    <w:rsid w:val="00CB76AF"/>
    <w:rsid w:val="00CB7703"/>
    <w:rsid w:val="00CB775B"/>
    <w:rsid w:val="00CC0C97"/>
    <w:rsid w:val="00CC1084"/>
    <w:rsid w:val="00CC1AA2"/>
    <w:rsid w:val="00CC1AB7"/>
    <w:rsid w:val="00CC1B49"/>
    <w:rsid w:val="00CC1ECA"/>
    <w:rsid w:val="00CC2695"/>
    <w:rsid w:val="00CC2F51"/>
    <w:rsid w:val="00CC318C"/>
    <w:rsid w:val="00CC326B"/>
    <w:rsid w:val="00CC3ACA"/>
    <w:rsid w:val="00CC4196"/>
    <w:rsid w:val="00CC425A"/>
    <w:rsid w:val="00CC42F7"/>
    <w:rsid w:val="00CC4EB8"/>
    <w:rsid w:val="00CC58A2"/>
    <w:rsid w:val="00CC59E8"/>
    <w:rsid w:val="00CC5EC6"/>
    <w:rsid w:val="00CC61F8"/>
    <w:rsid w:val="00CC64E5"/>
    <w:rsid w:val="00CC6A2A"/>
    <w:rsid w:val="00CC6A30"/>
    <w:rsid w:val="00CC6D24"/>
    <w:rsid w:val="00CC711C"/>
    <w:rsid w:val="00CC74ED"/>
    <w:rsid w:val="00CC7A21"/>
    <w:rsid w:val="00CC7B66"/>
    <w:rsid w:val="00CD03F5"/>
    <w:rsid w:val="00CD050E"/>
    <w:rsid w:val="00CD098B"/>
    <w:rsid w:val="00CD0E45"/>
    <w:rsid w:val="00CD1042"/>
    <w:rsid w:val="00CD15EA"/>
    <w:rsid w:val="00CD1A25"/>
    <w:rsid w:val="00CD1C7F"/>
    <w:rsid w:val="00CD2913"/>
    <w:rsid w:val="00CD33B6"/>
    <w:rsid w:val="00CD3D3D"/>
    <w:rsid w:val="00CD3D4C"/>
    <w:rsid w:val="00CD3F42"/>
    <w:rsid w:val="00CD4B37"/>
    <w:rsid w:val="00CD5447"/>
    <w:rsid w:val="00CD5D12"/>
    <w:rsid w:val="00CD5F40"/>
    <w:rsid w:val="00CD72B9"/>
    <w:rsid w:val="00CD7C78"/>
    <w:rsid w:val="00CE09F9"/>
    <w:rsid w:val="00CE11FE"/>
    <w:rsid w:val="00CE1F1D"/>
    <w:rsid w:val="00CE242B"/>
    <w:rsid w:val="00CE3256"/>
    <w:rsid w:val="00CE3287"/>
    <w:rsid w:val="00CE48C5"/>
    <w:rsid w:val="00CE57A3"/>
    <w:rsid w:val="00CE7099"/>
    <w:rsid w:val="00CE73E0"/>
    <w:rsid w:val="00CF0082"/>
    <w:rsid w:val="00CF02A2"/>
    <w:rsid w:val="00CF0A2A"/>
    <w:rsid w:val="00CF0AB2"/>
    <w:rsid w:val="00CF0B9E"/>
    <w:rsid w:val="00CF1388"/>
    <w:rsid w:val="00CF142B"/>
    <w:rsid w:val="00CF186C"/>
    <w:rsid w:val="00CF3F6B"/>
    <w:rsid w:val="00CF45C5"/>
    <w:rsid w:val="00CF4C38"/>
    <w:rsid w:val="00CF50EC"/>
    <w:rsid w:val="00CF56BC"/>
    <w:rsid w:val="00CF5A7D"/>
    <w:rsid w:val="00CF5D77"/>
    <w:rsid w:val="00CF5EDF"/>
    <w:rsid w:val="00CF6ACD"/>
    <w:rsid w:val="00CF7372"/>
    <w:rsid w:val="00CF7436"/>
    <w:rsid w:val="00CF7B1D"/>
    <w:rsid w:val="00D00D7B"/>
    <w:rsid w:val="00D0184F"/>
    <w:rsid w:val="00D02945"/>
    <w:rsid w:val="00D02AB5"/>
    <w:rsid w:val="00D02F8C"/>
    <w:rsid w:val="00D030A2"/>
    <w:rsid w:val="00D037D2"/>
    <w:rsid w:val="00D04219"/>
    <w:rsid w:val="00D0467D"/>
    <w:rsid w:val="00D0483B"/>
    <w:rsid w:val="00D04E8E"/>
    <w:rsid w:val="00D04F3C"/>
    <w:rsid w:val="00D06573"/>
    <w:rsid w:val="00D06913"/>
    <w:rsid w:val="00D06FE0"/>
    <w:rsid w:val="00D07D0A"/>
    <w:rsid w:val="00D10754"/>
    <w:rsid w:val="00D10F0F"/>
    <w:rsid w:val="00D11D4C"/>
    <w:rsid w:val="00D12B92"/>
    <w:rsid w:val="00D12C76"/>
    <w:rsid w:val="00D13299"/>
    <w:rsid w:val="00D132CF"/>
    <w:rsid w:val="00D13F65"/>
    <w:rsid w:val="00D13FB7"/>
    <w:rsid w:val="00D1446C"/>
    <w:rsid w:val="00D1529A"/>
    <w:rsid w:val="00D167D0"/>
    <w:rsid w:val="00D17033"/>
    <w:rsid w:val="00D172C3"/>
    <w:rsid w:val="00D1798C"/>
    <w:rsid w:val="00D1798E"/>
    <w:rsid w:val="00D2030E"/>
    <w:rsid w:val="00D20915"/>
    <w:rsid w:val="00D20FF6"/>
    <w:rsid w:val="00D2247A"/>
    <w:rsid w:val="00D228DC"/>
    <w:rsid w:val="00D23AB5"/>
    <w:rsid w:val="00D245FD"/>
    <w:rsid w:val="00D24B39"/>
    <w:rsid w:val="00D24BB1"/>
    <w:rsid w:val="00D24DD2"/>
    <w:rsid w:val="00D27B80"/>
    <w:rsid w:val="00D309EB"/>
    <w:rsid w:val="00D322E0"/>
    <w:rsid w:val="00D32476"/>
    <w:rsid w:val="00D329A1"/>
    <w:rsid w:val="00D334E6"/>
    <w:rsid w:val="00D33507"/>
    <w:rsid w:val="00D33D45"/>
    <w:rsid w:val="00D3426D"/>
    <w:rsid w:val="00D34C82"/>
    <w:rsid w:val="00D34E0E"/>
    <w:rsid w:val="00D351E6"/>
    <w:rsid w:val="00D37A91"/>
    <w:rsid w:val="00D37AC2"/>
    <w:rsid w:val="00D4105E"/>
    <w:rsid w:val="00D41585"/>
    <w:rsid w:val="00D4239A"/>
    <w:rsid w:val="00D42C1F"/>
    <w:rsid w:val="00D43181"/>
    <w:rsid w:val="00D43243"/>
    <w:rsid w:val="00D438DF"/>
    <w:rsid w:val="00D43A2F"/>
    <w:rsid w:val="00D43A79"/>
    <w:rsid w:val="00D43BC6"/>
    <w:rsid w:val="00D43C1A"/>
    <w:rsid w:val="00D446C2"/>
    <w:rsid w:val="00D448AC"/>
    <w:rsid w:val="00D44C83"/>
    <w:rsid w:val="00D44EBB"/>
    <w:rsid w:val="00D44F6D"/>
    <w:rsid w:val="00D45055"/>
    <w:rsid w:val="00D45A1E"/>
    <w:rsid w:val="00D46285"/>
    <w:rsid w:val="00D46D90"/>
    <w:rsid w:val="00D472D2"/>
    <w:rsid w:val="00D47968"/>
    <w:rsid w:val="00D503A5"/>
    <w:rsid w:val="00D513E1"/>
    <w:rsid w:val="00D51788"/>
    <w:rsid w:val="00D5220B"/>
    <w:rsid w:val="00D5255E"/>
    <w:rsid w:val="00D53691"/>
    <w:rsid w:val="00D53DB6"/>
    <w:rsid w:val="00D54217"/>
    <w:rsid w:val="00D551DF"/>
    <w:rsid w:val="00D5575E"/>
    <w:rsid w:val="00D55E7C"/>
    <w:rsid w:val="00D55FC0"/>
    <w:rsid w:val="00D569A1"/>
    <w:rsid w:val="00D573E2"/>
    <w:rsid w:val="00D5742D"/>
    <w:rsid w:val="00D57F5C"/>
    <w:rsid w:val="00D60749"/>
    <w:rsid w:val="00D614EE"/>
    <w:rsid w:val="00D61DD3"/>
    <w:rsid w:val="00D62577"/>
    <w:rsid w:val="00D6285B"/>
    <w:rsid w:val="00D628BF"/>
    <w:rsid w:val="00D638FF"/>
    <w:rsid w:val="00D63AC7"/>
    <w:rsid w:val="00D64014"/>
    <w:rsid w:val="00D64CA0"/>
    <w:rsid w:val="00D6568A"/>
    <w:rsid w:val="00D65BF2"/>
    <w:rsid w:val="00D66699"/>
    <w:rsid w:val="00D6696C"/>
    <w:rsid w:val="00D67073"/>
    <w:rsid w:val="00D679C1"/>
    <w:rsid w:val="00D70AA9"/>
    <w:rsid w:val="00D71023"/>
    <w:rsid w:val="00D71981"/>
    <w:rsid w:val="00D71B29"/>
    <w:rsid w:val="00D71BDD"/>
    <w:rsid w:val="00D72027"/>
    <w:rsid w:val="00D723C7"/>
    <w:rsid w:val="00D724B6"/>
    <w:rsid w:val="00D72CDC"/>
    <w:rsid w:val="00D73436"/>
    <w:rsid w:val="00D735C0"/>
    <w:rsid w:val="00D737E8"/>
    <w:rsid w:val="00D7407C"/>
    <w:rsid w:val="00D74EAC"/>
    <w:rsid w:val="00D75402"/>
    <w:rsid w:val="00D76307"/>
    <w:rsid w:val="00D7638E"/>
    <w:rsid w:val="00D77B90"/>
    <w:rsid w:val="00D8138E"/>
    <w:rsid w:val="00D81BC9"/>
    <w:rsid w:val="00D8276E"/>
    <w:rsid w:val="00D827C8"/>
    <w:rsid w:val="00D82B56"/>
    <w:rsid w:val="00D83A7F"/>
    <w:rsid w:val="00D843FC"/>
    <w:rsid w:val="00D84A98"/>
    <w:rsid w:val="00D84E53"/>
    <w:rsid w:val="00D851E1"/>
    <w:rsid w:val="00D856E3"/>
    <w:rsid w:val="00D857D4"/>
    <w:rsid w:val="00D8621E"/>
    <w:rsid w:val="00D86562"/>
    <w:rsid w:val="00D86909"/>
    <w:rsid w:val="00D86C52"/>
    <w:rsid w:val="00D90572"/>
    <w:rsid w:val="00D90FEC"/>
    <w:rsid w:val="00D911C5"/>
    <w:rsid w:val="00D91C49"/>
    <w:rsid w:val="00D92475"/>
    <w:rsid w:val="00D9255B"/>
    <w:rsid w:val="00D92E83"/>
    <w:rsid w:val="00D931D9"/>
    <w:rsid w:val="00D93A79"/>
    <w:rsid w:val="00D93DF6"/>
    <w:rsid w:val="00D944C3"/>
    <w:rsid w:val="00D946B7"/>
    <w:rsid w:val="00D9495E"/>
    <w:rsid w:val="00D9586A"/>
    <w:rsid w:val="00D95A48"/>
    <w:rsid w:val="00D962C1"/>
    <w:rsid w:val="00D964DC"/>
    <w:rsid w:val="00D966A5"/>
    <w:rsid w:val="00D969AB"/>
    <w:rsid w:val="00D96A2D"/>
    <w:rsid w:val="00D96C7F"/>
    <w:rsid w:val="00D96FD3"/>
    <w:rsid w:val="00D97177"/>
    <w:rsid w:val="00D9726E"/>
    <w:rsid w:val="00D97DA2"/>
    <w:rsid w:val="00D97F28"/>
    <w:rsid w:val="00DA06FD"/>
    <w:rsid w:val="00DA16BE"/>
    <w:rsid w:val="00DA1825"/>
    <w:rsid w:val="00DA1DAD"/>
    <w:rsid w:val="00DA2576"/>
    <w:rsid w:val="00DA2801"/>
    <w:rsid w:val="00DA308F"/>
    <w:rsid w:val="00DA3452"/>
    <w:rsid w:val="00DA38CD"/>
    <w:rsid w:val="00DA3BEB"/>
    <w:rsid w:val="00DA47E0"/>
    <w:rsid w:val="00DA66FE"/>
    <w:rsid w:val="00DA6913"/>
    <w:rsid w:val="00DA7584"/>
    <w:rsid w:val="00DA78BE"/>
    <w:rsid w:val="00DA7B53"/>
    <w:rsid w:val="00DA7BBD"/>
    <w:rsid w:val="00DB0490"/>
    <w:rsid w:val="00DB0758"/>
    <w:rsid w:val="00DB1FB4"/>
    <w:rsid w:val="00DB217C"/>
    <w:rsid w:val="00DB236D"/>
    <w:rsid w:val="00DB23FF"/>
    <w:rsid w:val="00DB31F0"/>
    <w:rsid w:val="00DB3331"/>
    <w:rsid w:val="00DB390F"/>
    <w:rsid w:val="00DB40B5"/>
    <w:rsid w:val="00DB483C"/>
    <w:rsid w:val="00DB4891"/>
    <w:rsid w:val="00DB4AAE"/>
    <w:rsid w:val="00DB4E25"/>
    <w:rsid w:val="00DB5249"/>
    <w:rsid w:val="00DB55E6"/>
    <w:rsid w:val="00DB5701"/>
    <w:rsid w:val="00DB6AB0"/>
    <w:rsid w:val="00DB7FFE"/>
    <w:rsid w:val="00DC01CA"/>
    <w:rsid w:val="00DC06BF"/>
    <w:rsid w:val="00DC2846"/>
    <w:rsid w:val="00DC28C1"/>
    <w:rsid w:val="00DC2DD0"/>
    <w:rsid w:val="00DC336E"/>
    <w:rsid w:val="00DC376F"/>
    <w:rsid w:val="00DC3A6D"/>
    <w:rsid w:val="00DC3B9A"/>
    <w:rsid w:val="00DC437F"/>
    <w:rsid w:val="00DC66FC"/>
    <w:rsid w:val="00DC697C"/>
    <w:rsid w:val="00DC746A"/>
    <w:rsid w:val="00DC785F"/>
    <w:rsid w:val="00DC7BB8"/>
    <w:rsid w:val="00DD0288"/>
    <w:rsid w:val="00DD0518"/>
    <w:rsid w:val="00DD09F0"/>
    <w:rsid w:val="00DD0AD2"/>
    <w:rsid w:val="00DD15A7"/>
    <w:rsid w:val="00DD1DE6"/>
    <w:rsid w:val="00DD241B"/>
    <w:rsid w:val="00DD2A24"/>
    <w:rsid w:val="00DD2E73"/>
    <w:rsid w:val="00DD2F0F"/>
    <w:rsid w:val="00DD3126"/>
    <w:rsid w:val="00DD3461"/>
    <w:rsid w:val="00DD3A3F"/>
    <w:rsid w:val="00DD435A"/>
    <w:rsid w:val="00DD463F"/>
    <w:rsid w:val="00DD4D45"/>
    <w:rsid w:val="00DD5544"/>
    <w:rsid w:val="00DD58C9"/>
    <w:rsid w:val="00DD7617"/>
    <w:rsid w:val="00DD767B"/>
    <w:rsid w:val="00DD99A5"/>
    <w:rsid w:val="00DE0B4B"/>
    <w:rsid w:val="00DE2825"/>
    <w:rsid w:val="00DE542A"/>
    <w:rsid w:val="00DE5EBD"/>
    <w:rsid w:val="00DE6467"/>
    <w:rsid w:val="00DE64B5"/>
    <w:rsid w:val="00DE673F"/>
    <w:rsid w:val="00DE6D9F"/>
    <w:rsid w:val="00DE6E4E"/>
    <w:rsid w:val="00DE7321"/>
    <w:rsid w:val="00DE7343"/>
    <w:rsid w:val="00DE7A47"/>
    <w:rsid w:val="00DF00DC"/>
    <w:rsid w:val="00DF00E7"/>
    <w:rsid w:val="00DF088C"/>
    <w:rsid w:val="00DF0A4D"/>
    <w:rsid w:val="00DF0AA3"/>
    <w:rsid w:val="00DF10DB"/>
    <w:rsid w:val="00DF1B5F"/>
    <w:rsid w:val="00DF26BF"/>
    <w:rsid w:val="00DF30B0"/>
    <w:rsid w:val="00DF32FF"/>
    <w:rsid w:val="00DF3A24"/>
    <w:rsid w:val="00DF41BB"/>
    <w:rsid w:val="00DF4BF0"/>
    <w:rsid w:val="00DF4CC4"/>
    <w:rsid w:val="00DF5505"/>
    <w:rsid w:val="00DF586C"/>
    <w:rsid w:val="00DF598E"/>
    <w:rsid w:val="00DF60B4"/>
    <w:rsid w:val="00DF632A"/>
    <w:rsid w:val="00DF71DD"/>
    <w:rsid w:val="00DF7473"/>
    <w:rsid w:val="00DF7C53"/>
    <w:rsid w:val="00E00318"/>
    <w:rsid w:val="00E00450"/>
    <w:rsid w:val="00E009D4"/>
    <w:rsid w:val="00E01627"/>
    <w:rsid w:val="00E019AB"/>
    <w:rsid w:val="00E01A1B"/>
    <w:rsid w:val="00E01CB9"/>
    <w:rsid w:val="00E02F46"/>
    <w:rsid w:val="00E02F73"/>
    <w:rsid w:val="00E051CA"/>
    <w:rsid w:val="00E053D4"/>
    <w:rsid w:val="00E05EE8"/>
    <w:rsid w:val="00E068D0"/>
    <w:rsid w:val="00E0742E"/>
    <w:rsid w:val="00E07530"/>
    <w:rsid w:val="00E0770B"/>
    <w:rsid w:val="00E07857"/>
    <w:rsid w:val="00E103C1"/>
    <w:rsid w:val="00E10835"/>
    <w:rsid w:val="00E1083D"/>
    <w:rsid w:val="00E10A47"/>
    <w:rsid w:val="00E10AF2"/>
    <w:rsid w:val="00E11654"/>
    <w:rsid w:val="00E11C0F"/>
    <w:rsid w:val="00E12D9E"/>
    <w:rsid w:val="00E13215"/>
    <w:rsid w:val="00E13B58"/>
    <w:rsid w:val="00E13DCF"/>
    <w:rsid w:val="00E1436B"/>
    <w:rsid w:val="00E1477E"/>
    <w:rsid w:val="00E14DA0"/>
    <w:rsid w:val="00E1502C"/>
    <w:rsid w:val="00E15AD7"/>
    <w:rsid w:val="00E15DD3"/>
    <w:rsid w:val="00E16413"/>
    <w:rsid w:val="00E168ED"/>
    <w:rsid w:val="00E17CE7"/>
    <w:rsid w:val="00E20916"/>
    <w:rsid w:val="00E228F7"/>
    <w:rsid w:val="00E22DFD"/>
    <w:rsid w:val="00E238FB"/>
    <w:rsid w:val="00E23F36"/>
    <w:rsid w:val="00E2471B"/>
    <w:rsid w:val="00E2730D"/>
    <w:rsid w:val="00E2763B"/>
    <w:rsid w:val="00E278F6"/>
    <w:rsid w:val="00E27F8E"/>
    <w:rsid w:val="00E31E20"/>
    <w:rsid w:val="00E320A3"/>
    <w:rsid w:val="00E32854"/>
    <w:rsid w:val="00E33687"/>
    <w:rsid w:val="00E339FA"/>
    <w:rsid w:val="00E33AF0"/>
    <w:rsid w:val="00E34266"/>
    <w:rsid w:val="00E3488E"/>
    <w:rsid w:val="00E34D23"/>
    <w:rsid w:val="00E35D2B"/>
    <w:rsid w:val="00E360A7"/>
    <w:rsid w:val="00E37041"/>
    <w:rsid w:val="00E370A3"/>
    <w:rsid w:val="00E373E4"/>
    <w:rsid w:val="00E406F6"/>
    <w:rsid w:val="00E4143E"/>
    <w:rsid w:val="00E41DA5"/>
    <w:rsid w:val="00E428BF"/>
    <w:rsid w:val="00E4295B"/>
    <w:rsid w:val="00E4337D"/>
    <w:rsid w:val="00E434C8"/>
    <w:rsid w:val="00E43578"/>
    <w:rsid w:val="00E43900"/>
    <w:rsid w:val="00E43FB6"/>
    <w:rsid w:val="00E44D5A"/>
    <w:rsid w:val="00E44FD4"/>
    <w:rsid w:val="00E45005"/>
    <w:rsid w:val="00E45774"/>
    <w:rsid w:val="00E45B2D"/>
    <w:rsid w:val="00E46B33"/>
    <w:rsid w:val="00E47072"/>
    <w:rsid w:val="00E470EB"/>
    <w:rsid w:val="00E476D1"/>
    <w:rsid w:val="00E47B95"/>
    <w:rsid w:val="00E47F08"/>
    <w:rsid w:val="00E5004C"/>
    <w:rsid w:val="00E5061B"/>
    <w:rsid w:val="00E50834"/>
    <w:rsid w:val="00E50BAC"/>
    <w:rsid w:val="00E50E01"/>
    <w:rsid w:val="00E516E0"/>
    <w:rsid w:val="00E521B8"/>
    <w:rsid w:val="00E52314"/>
    <w:rsid w:val="00E52636"/>
    <w:rsid w:val="00E52746"/>
    <w:rsid w:val="00E5277A"/>
    <w:rsid w:val="00E52834"/>
    <w:rsid w:val="00E52B7F"/>
    <w:rsid w:val="00E533C0"/>
    <w:rsid w:val="00E533F2"/>
    <w:rsid w:val="00E534AB"/>
    <w:rsid w:val="00E53AA1"/>
    <w:rsid w:val="00E54459"/>
    <w:rsid w:val="00E55072"/>
    <w:rsid w:val="00E55816"/>
    <w:rsid w:val="00E55FA8"/>
    <w:rsid w:val="00E565F3"/>
    <w:rsid w:val="00E56A4D"/>
    <w:rsid w:val="00E56AE6"/>
    <w:rsid w:val="00E56B82"/>
    <w:rsid w:val="00E56E03"/>
    <w:rsid w:val="00E56EB2"/>
    <w:rsid w:val="00E574BC"/>
    <w:rsid w:val="00E57C39"/>
    <w:rsid w:val="00E5AD83"/>
    <w:rsid w:val="00E6029F"/>
    <w:rsid w:val="00E602FF"/>
    <w:rsid w:val="00E60780"/>
    <w:rsid w:val="00E610AD"/>
    <w:rsid w:val="00E61393"/>
    <w:rsid w:val="00E618F7"/>
    <w:rsid w:val="00E61A57"/>
    <w:rsid w:val="00E61EC7"/>
    <w:rsid w:val="00E62498"/>
    <w:rsid w:val="00E630F9"/>
    <w:rsid w:val="00E63294"/>
    <w:rsid w:val="00E636D7"/>
    <w:rsid w:val="00E63D68"/>
    <w:rsid w:val="00E644ED"/>
    <w:rsid w:val="00E650EF"/>
    <w:rsid w:val="00E66D11"/>
    <w:rsid w:val="00E66D15"/>
    <w:rsid w:val="00E67A1B"/>
    <w:rsid w:val="00E67D08"/>
    <w:rsid w:val="00E708AE"/>
    <w:rsid w:val="00E70920"/>
    <w:rsid w:val="00E70A07"/>
    <w:rsid w:val="00E711A2"/>
    <w:rsid w:val="00E71ABA"/>
    <w:rsid w:val="00E720AA"/>
    <w:rsid w:val="00E72613"/>
    <w:rsid w:val="00E72D55"/>
    <w:rsid w:val="00E73A25"/>
    <w:rsid w:val="00E73A82"/>
    <w:rsid w:val="00E73C9E"/>
    <w:rsid w:val="00E74731"/>
    <w:rsid w:val="00E748E3"/>
    <w:rsid w:val="00E74DFB"/>
    <w:rsid w:val="00E7579A"/>
    <w:rsid w:val="00E75A91"/>
    <w:rsid w:val="00E75AC3"/>
    <w:rsid w:val="00E75EC8"/>
    <w:rsid w:val="00E766AA"/>
    <w:rsid w:val="00E7683A"/>
    <w:rsid w:val="00E77D85"/>
    <w:rsid w:val="00E8077B"/>
    <w:rsid w:val="00E8080F"/>
    <w:rsid w:val="00E80DD4"/>
    <w:rsid w:val="00E81467"/>
    <w:rsid w:val="00E82480"/>
    <w:rsid w:val="00E82742"/>
    <w:rsid w:val="00E8294A"/>
    <w:rsid w:val="00E84519"/>
    <w:rsid w:val="00E8492C"/>
    <w:rsid w:val="00E84EC7"/>
    <w:rsid w:val="00E85733"/>
    <w:rsid w:val="00E86010"/>
    <w:rsid w:val="00E86971"/>
    <w:rsid w:val="00E86994"/>
    <w:rsid w:val="00E86999"/>
    <w:rsid w:val="00E86A6C"/>
    <w:rsid w:val="00E876F2"/>
    <w:rsid w:val="00E9017F"/>
    <w:rsid w:val="00E90E08"/>
    <w:rsid w:val="00E91055"/>
    <w:rsid w:val="00E914AB"/>
    <w:rsid w:val="00E91F0F"/>
    <w:rsid w:val="00E9292E"/>
    <w:rsid w:val="00E93445"/>
    <w:rsid w:val="00E93968"/>
    <w:rsid w:val="00E93A69"/>
    <w:rsid w:val="00E93E70"/>
    <w:rsid w:val="00E94067"/>
    <w:rsid w:val="00E94703"/>
    <w:rsid w:val="00E9577A"/>
    <w:rsid w:val="00E95B58"/>
    <w:rsid w:val="00E95E07"/>
    <w:rsid w:val="00E95FC1"/>
    <w:rsid w:val="00E96079"/>
    <w:rsid w:val="00E96A2B"/>
    <w:rsid w:val="00E96CE4"/>
    <w:rsid w:val="00E96F9C"/>
    <w:rsid w:val="00E9781E"/>
    <w:rsid w:val="00E97858"/>
    <w:rsid w:val="00E97A4E"/>
    <w:rsid w:val="00E97A90"/>
    <w:rsid w:val="00E97B38"/>
    <w:rsid w:val="00EA0271"/>
    <w:rsid w:val="00EA0E18"/>
    <w:rsid w:val="00EA2DDD"/>
    <w:rsid w:val="00EA2E77"/>
    <w:rsid w:val="00EA3A2F"/>
    <w:rsid w:val="00EA3D02"/>
    <w:rsid w:val="00EA44A0"/>
    <w:rsid w:val="00EA52A8"/>
    <w:rsid w:val="00EA5BCF"/>
    <w:rsid w:val="00EA661F"/>
    <w:rsid w:val="00EB0299"/>
    <w:rsid w:val="00EB0324"/>
    <w:rsid w:val="00EB1321"/>
    <w:rsid w:val="00EB151A"/>
    <w:rsid w:val="00EB1F17"/>
    <w:rsid w:val="00EB1FD2"/>
    <w:rsid w:val="00EB313D"/>
    <w:rsid w:val="00EB5D30"/>
    <w:rsid w:val="00EB61CE"/>
    <w:rsid w:val="00EB61D2"/>
    <w:rsid w:val="00EB6B03"/>
    <w:rsid w:val="00EB6BBE"/>
    <w:rsid w:val="00EB7011"/>
    <w:rsid w:val="00EB70CC"/>
    <w:rsid w:val="00EB715C"/>
    <w:rsid w:val="00EB78CD"/>
    <w:rsid w:val="00EC00B7"/>
    <w:rsid w:val="00EC01FB"/>
    <w:rsid w:val="00EC0B3C"/>
    <w:rsid w:val="00EC16DA"/>
    <w:rsid w:val="00EC17F6"/>
    <w:rsid w:val="00EC20F1"/>
    <w:rsid w:val="00EC2CF1"/>
    <w:rsid w:val="00EC4A11"/>
    <w:rsid w:val="00EC4BDA"/>
    <w:rsid w:val="00EC5433"/>
    <w:rsid w:val="00EC56A7"/>
    <w:rsid w:val="00EC58FD"/>
    <w:rsid w:val="00EC61BD"/>
    <w:rsid w:val="00EC6527"/>
    <w:rsid w:val="00EC7385"/>
    <w:rsid w:val="00EC7D08"/>
    <w:rsid w:val="00EC7F3E"/>
    <w:rsid w:val="00ED0EA3"/>
    <w:rsid w:val="00ED0F35"/>
    <w:rsid w:val="00ED0FC9"/>
    <w:rsid w:val="00ED16D9"/>
    <w:rsid w:val="00ED173D"/>
    <w:rsid w:val="00ED1819"/>
    <w:rsid w:val="00ED1F36"/>
    <w:rsid w:val="00ED2075"/>
    <w:rsid w:val="00ED217C"/>
    <w:rsid w:val="00ED219B"/>
    <w:rsid w:val="00ED31DF"/>
    <w:rsid w:val="00ED39AE"/>
    <w:rsid w:val="00ED3C60"/>
    <w:rsid w:val="00ED49C5"/>
    <w:rsid w:val="00ED4C38"/>
    <w:rsid w:val="00ED549F"/>
    <w:rsid w:val="00ED5B0F"/>
    <w:rsid w:val="00ED6066"/>
    <w:rsid w:val="00ED68B1"/>
    <w:rsid w:val="00ED6941"/>
    <w:rsid w:val="00ED7E34"/>
    <w:rsid w:val="00EE0CFE"/>
    <w:rsid w:val="00EE131B"/>
    <w:rsid w:val="00EE2250"/>
    <w:rsid w:val="00EE281E"/>
    <w:rsid w:val="00EE3A63"/>
    <w:rsid w:val="00EE4FA1"/>
    <w:rsid w:val="00EE50C0"/>
    <w:rsid w:val="00EE5FB4"/>
    <w:rsid w:val="00EE6381"/>
    <w:rsid w:val="00EE6535"/>
    <w:rsid w:val="00EE7209"/>
    <w:rsid w:val="00EE77EA"/>
    <w:rsid w:val="00EF14ED"/>
    <w:rsid w:val="00EF15F9"/>
    <w:rsid w:val="00EF206F"/>
    <w:rsid w:val="00EF28F8"/>
    <w:rsid w:val="00EF33CF"/>
    <w:rsid w:val="00EF3AA3"/>
    <w:rsid w:val="00EF4B01"/>
    <w:rsid w:val="00EF4C8F"/>
    <w:rsid w:val="00EF5352"/>
    <w:rsid w:val="00EF5ABC"/>
    <w:rsid w:val="00EF6AAE"/>
    <w:rsid w:val="00F01234"/>
    <w:rsid w:val="00F017FF"/>
    <w:rsid w:val="00F0180C"/>
    <w:rsid w:val="00F024E4"/>
    <w:rsid w:val="00F03010"/>
    <w:rsid w:val="00F04C6F"/>
    <w:rsid w:val="00F05213"/>
    <w:rsid w:val="00F06122"/>
    <w:rsid w:val="00F06D11"/>
    <w:rsid w:val="00F07047"/>
    <w:rsid w:val="00F072AE"/>
    <w:rsid w:val="00F07622"/>
    <w:rsid w:val="00F078F4"/>
    <w:rsid w:val="00F1183A"/>
    <w:rsid w:val="00F11F63"/>
    <w:rsid w:val="00F12857"/>
    <w:rsid w:val="00F13016"/>
    <w:rsid w:val="00F13488"/>
    <w:rsid w:val="00F13FD2"/>
    <w:rsid w:val="00F146F5"/>
    <w:rsid w:val="00F14936"/>
    <w:rsid w:val="00F14B46"/>
    <w:rsid w:val="00F14EF8"/>
    <w:rsid w:val="00F15F76"/>
    <w:rsid w:val="00F164A4"/>
    <w:rsid w:val="00F16FAE"/>
    <w:rsid w:val="00F1732F"/>
    <w:rsid w:val="00F17D3F"/>
    <w:rsid w:val="00F2057D"/>
    <w:rsid w:val="00F206B5"/>
    <w:rsid w:val="00F21328"/>
    <w:rsid w:val="00F21F95"/>
    <w:rsid w:val="00F22101"/>
    <w:rsid w:val="00F22866"/>
    <w:rsid w:val="00F23EB6"/>
    <w:rsid w:val="00F23EBA"/>
    <w:rsid w:val="00F24156"/>
    <w:rsid w:val="00F259AF"/>
    <w:rsid w:val="00F263B6"/>
    <w:rsid w:val="00F2648B"/>
    <w:rsid w:val="00F2681C"/>
    <w:rsid w:val="00F26A98"/>
    <w:rsid w:val="00F3042F"/>
    <w:rsid w:val="00F30873"/>
    <w:rsid w:val="00F30BDE"/>
    <w:rsid w:val="00F30BF1"/>
    <w:rsid w:val="00F32068"/>
    <w:rsid w:val="00F3242A"/>
    <w:rsid w:val="00F32AF5"/>
    <w:rsid w:val="00F33027"/>
    <w:rsid w:val="00F3324D"/>
    <w:rsid w:val="00F3349E"/>
    <w:rsid w:val="00F33720"/>
    <w:rsid w:val="00F33CC2"/>
    <w:rsid w:val="00F33FAC"/>
    <w:rsid w:val="00F340E5"/>
    <w:rsid w:val="00F348A9"/>
    <w:rsid w:val="00F348AD"/>
    <w:rsid w:val="00F34F11"/>
    <w:rsid w:val="00F3565D"/>
    <w:rsid w:val="00F35F6F"/>
    <w:rsid w:val="00F3782B"/>
    <w:rsid w:val="00F408D4"/>
    <w:rsid w:val="00F40922"/>
    <w:rsid w:val="00F40A50"/>
    <w:rsid w:val="00F40B77"/>
    <w:rsid w:val="00F40C09"/>
    <w:rsid w:val="00F40FD4"/>
    <w:rsid w:val="00F41025"/>
    <w:rsid w:val="00F415E5"/>
    <w:rsid w:val="00F41772"/>
    <w:rsid w:val="00F418F0"/>
    <w:rsid w:val="00F41D11"/>
    <w:rsid w:val="00F42527"/>
    <w:rsid w:val="00F4289A"/>
    <w:rsid w:val="00F42CC8"/>
    <w:rsid w:val="00F4406F"/>
    <w:rsid w:val="00F449EB"/>
    <w:rsid w:val="00F44C12"/>
    <w:rsid w:val="00F45031"/>
    <w:rsid w:val="00F4510D"/>
    <w:rsid w:val="00F45160"/>
    <w:rsid w:val="00F455F0"/>
    <w:rsid w:val="00F4570C"/>
    <w:rsid w:val="00F45AD2"/>
    <w:rsid w:val="00F464F8"/>
    <w:rsid w:val="00F467E4"/>
    <w:rsid w:val="00F46BB6"/>
    <w:rsid w:val="00F47600"/>
    <w:rsid w:val="00F476EA"/>
    <w:rsid w:val="00F50313"/>
    <w:rsid w:val="00F5041C"/>
    <w:rsid w:val="00F515BA"/>
    <w:rsid w:val="00F5186B"/>
    <w:rsid w:val="00F51FE9"/>
    <w:rsid w:val="00F52773"/>
    <w:rsid w:val="00F527AE"/>
    <w:rsid w:val="00F52E74"/>
    <w:rsid w:val="00F530C5"/>
    <w:rsid w:val="00F530FB"/>
    <w:rsid w:val="00F53331"/>
    <w:rsid w:val="00F535FC"/>
    <w:rsid w:val="00F53F72"/>
    <w:rsid w:val="00F54435"/>
    <w:rsid w:val="00F54838"/>
    <w:rsid w:val="00F54D3A"/>
    <w:rsid w:val="00F554E0"/>
    <w:rsid w:val="00F558BD"/>
    <w:rsid w:val="00F562F7"/>
    <w:rsid w:val="00F56858"/>
    <w:rsid w:val="00F56E00"/>
    <w:rsid w:val="00F57522"/>
    <w:rsid w:val="00F575C4"/>
    <w:rsid w:val="00F577E8"/>
    <w:rsid w:val="00F57E3C"/>
    <w:rsid w:val="00F6087B"/>
    <w:rsid w:val="00F60D1D"/>
    <w:rsid w:val="00F615BA"/>
    <w:rsid w:val="00F615D7"/>
    <w:rsid w:val="00F618C1"/>
    <w:rsid w:val="00F61D10"/>
    <w:rsid w:val="00F61DF7"/>
    <w:rsid w:val="00F63246"/>
    <w:rsid w:val="00F64173"/>
    <w:rsid w:val="00F643E1"/>
    <w:rsid w:val="00F64829"/>
    <w:rsid w:val="00F65A30"/>
    <w:rsid w:val="00F65AFA"/>
    <w:rsid w:val="00F65DAD"/>
    <w:rsid w:val="00F666B7"/>
    <w:rsid w:val="00F67775"/>
    <w:rsid w:val="00F67AB4"/>
    <w:rsid w:val="00F67D6C"/>
    <w:rsid w:val="00F67ED5"/>
    <w:rsid w:val="00F70F53"/>
    <w:rsid w:val="00F71749"/>
    <w:rsid w:val="00F71CDA"/>
    <w:rsid w:val="00F72557"/>
    <w:rsid w:val="00F7286E"/>
    <w:rsid w:val="00F72D9F"/>
    <w:rsid w:val="00F731A0"/>
    <w:rsid w:val="00F734AA"/>
    <w:rsid w:val="00F7356E"/>
    <w:rsid w:val="00F73AC6"/>
    <w:rsid w:val="00F74BBF"/>
    <w:rsid w:val="00F7560C"/>
    <w:rsid w:val="00F7643D"/>
    <w:rsid w:val="00F7674B"/>
    <w:rsid w:val="00F76C77"/>
    <w:rsid w:val="00F77267"/>
    <w:rsid w:val="00F77300"/>
    <w:rsid w:val="00F777D9"/>
    <w:rsid w:val="00F8089E"/>
    <w:rsid w:val="00F815BE"/>
    <w:rsid w:val="00F816ED"/>
    <w:rsid w:val="00F81F2A"/>
    <w:rsid w:val="00F8261E"/>
    <w:rsid w:val="00F82A8F"/>
    <w:rsid w:val="00F830AC"/>
    <w:rsid w:val="00F834A7"/>
    <w:rsid w:val="00F834F8"/>
    <w:rsid w:val="00F839AA"/>
    <w:rsid w:val="00F8455D"/>
    <w:rsid w:val="00F84D6C"/>
    <w:rsid w:val="00F8543A"/>
    <w:rsid w:val="00F85D53"/>
    <w:rsid w:val="00F8687F"/>
    <w:rsid w:val="00F86F1C"/>
    <w:rsid w:val="00F87137"/>
    <w:rsid w:val="00F8755A"/>
    <w:rsid w:val="00F87611"/>
    <w:rsid w:val="00F87A4A"/>
    <w:rsid w:val="00F87C9A"/>
    <w:rsid w:val="00F87FDE"/>
    <w:rsid w:val="00F90A3C"/>
    <w:rsid w:val="00F917D3"/>
    <w:rsid w:val="00F91A66"/>
    <w:rsid w:val="00F92031"/>
    <w:rsid w:val="00F9222C"/>
    <w:rsid w:val="00F9280C"/>
    <w:rsid w:val="00F9281E"/>
    <w:rsid w:val="00F939BA"/>
    <w:rsid w:val="00F94211"/>
    <w:rsid w:val="00F94E6A"/>
    <w:rsid w:val="00F94EE9"/>
    <w:rsid w:val="00F95195"/>
    <w:rsid w:val="00F95243"/>
    <w:rsid w:val="00F96386"/>
    <w:rsid w:val="00F9645E"/>
    <w:rsid w:val="00F9677E"/>
    <w:rsid w:val="00F969F2"/>
    <w:rsid w:val="00F96C14"/>
    <w:rsid w:val="00F97916"/>
    <w:rsid w:val="00F97B77"/>
    <w:rsid w:val="00F97C7C"/>
    <w:rsid w:val="00F97C97"/>
    <w:rsid w:val="00F97CE8"/>
    <w:rsid w:val="00F97DEC"/>
    <w:rsid w:val="00FA007B"/>
    <w:rsid w:val="00FA0B4C"/>
    <w:rsid w:val="00FA1F5C"/>
    <w:rsid w:val="00FA24CD"/>
    <w:rsid w:val="00FA2B7B"/>
    <w:rsid w:val="00FA2FC3"/>
    <w:rsid w:val="00FA3D5D"/>
    <w:rsid w:val="00FA3D84"/>
    <w:rsid w:val="00FA41D9"/>
    <w:rsid w:val="00FA4445"/>
    <w:rsid w:val="00FA4A17"/>
    <w:rsid w:val="00FA5372"/>
    <w:rsid w:val="00FA6D07"/>
    <w:rsid w:val="00FA72DF"/>
    <w:rsid w:val="00FA7793"/>
    <w:rsid w:val="00FA7840"/>
    <w:rsid w:val="00FA7A7A"/>
    <w:rsid w:val="00FB0F50"/>
    <w:rsid w:val="00FB17EF"/>
    <w:rsid w:val="00FB19E1"/>
    <w:rsid w:val="00FB1F3D"/>
    <w:rsid w:val="00FB2A47"/>
    <w:rsid w:val="00FB2E1C"/>
    <w:rsid w:val="00FB3366"/>
    <w:rsid w:val="00FB3F98"/>
    <w:rsid w:val="00FB441D"/>
    <w:rsid w:val="00FB4782"/>
    <w:rsid w:val="00FB47EE"/>
    <w:rsid w:val="00FB4875"/>
    <w:rsid w:val="00FB4BF3"/>
    <w:rsid w:val="00FB4CD7"/>
    <w:rsid w:val="00FB54A1"/>
    <w:rsid w:val="00FB5DD8"/>
    <w:rsid w:val="00FB60A2"/>
    <w:rsid w:val="00FB65ED"/>
    <w:rsid w:val="00FB6BE1"/>
    <w:rsid w:val="00FC0424"/>
    <w:rsid w:val="00FC09B2"/>
    <w:rsid w:val="00FC09D0"/>
    <w:rsid w:val="00FC0BD3"/>
    <w:rsid w:val="00FC0D5E"/>
    <w:rsid w:val="00FC0E22"/>
    <w:rsid w:val="00FC20AA"/>
    <w:rsid w:val="00FC2754"/>
    <w:rsid w:val="00FC2E4C"/>
    <w:rsid w:val="00FC3312"/>
    <w:rsid w:val="00FC4E0E"/>
    <w:rsid w:val="00FC4E47"/>
    <w:rsid w:val="00FC5269"/>
    <w:rsid w:val="00FC526F"/>
    <w:rsid w:val="00FC5320"/>
    <w:rsid w:val="00FC613B"/>
    <w:rsid w:val="00FC6455"/>
    <w:rsid w:val="00FC7EE0"/>
    <w:rsid w:val="00FD01B1"/>
    <w:rsid w:val="00FD0513"/>
    <w:rsid w:val="00FD0558"/>
    <w:rsid w:val="00FD1569"/>
    <w:rsid w:val="00FD1B97"/>
    <w:rsid w:val="00FD1D7B"/>
    <w:rsid w:val="00FD2525"/>
    <w:rsid w:val="00FD2B87"/>
    <w:rsid w:val="00FD2BF7"/>
    <w:rsid w:val="00FD2BF9"/>
    <w:rsid w:val="00FD2FB9"/>
    <w:rsid w:val="00FD4207"/>
    <w:rsid w:val="00FD4657"/>
    <w:rsid w:val="00FD469C"/>
    <w:rsid w:val="00FD49CF"/>
    <w:rsid w:val="00FD4A6D"/>
    <w:rsid w:val="00FD516C"/>
    <w:rsid w:val="00FD5722"/>
    <w:rsid w:val="00FD5A0E"/>
    <w:rsid w:val="00FD641D"/>
    <w:rsid w:val="00FD688F"/>
    <w:rsid w:val="00FD6B86"/>
    <w:rsid w:val="00FD7224"/>
    <w:rsid w:val="00FE008D"/>
    <w:rsid w:val="00FE04CF"/>
    <w:rsid w:val="00FE1023"/>
    <w:rsid w:val="00FE108C"/>
    <w:rsid w:val="00FE1090"/>
    <w:rsid w:val="00FE1592"/>
    <w:rsid w:val="00FE1B5C"/>
    <w:rsid w:val="00FE24F2"/>
    <w:rsid w:val="00FE2DF2"/>
    <w:rsid w:val="00FE3401"/>
    <w:rsid w:val="00FE3407"/>
    <w:rsid w:val="00FE4BC1"/>
    <w:rsid w:val="00FE5E83"/>
    <w:rsid w:val="00FE64B6"/>
    <w:rsid w:val="00FE70E8"/>
    <w:rsid w:val="00FE7126"/>
    <w:rsid w:val="00FE7EB3"/>
    <w:rsid w:val="00FF018C"/>
    <w:rsid w:val="00FF0531"/>
    <w:rsid w:val="00FF0D33"/>
    <w:rsid w:val="00FF0F21"/>
    <w:rsid w:val="00FF1234"/>
    <w:rsid w:val="00FF1338"/>
    <w:rsid w:val="00FF176A"/>
    <w:rsid w:val="00FF18BE"/>
    <w:rsid w:val="00FF2123"/>
    <w:rsid w:val="00FF2A23"/>
    <w:rsid w:val="00FF2EF5"/>
    <w:rsid w:val="00FF33C4"/>
    <w:rsid w:val="00FF379A"/>
    <w:rsid w:val="00FF4350"/>
    <w:rsid w:val="00FF4492"/>
    <w:rsid w:val="00FF45E0"/>
    <w:rsid w:val="00FF45E7"/>
    <w:rsid w:val="00FF4FE6"/>
    <w:rsid w:val="00FF5166"/>
    <w:rsid w:val="00FF5312"/>
    <w:rsid w:val="00FF5F28"/>
    <w:rsid w:val="00FF6020"/>
    <w:rsid w:val="00FF618D"/>
    <w:rsid w:val="00FF6649"/>
    <w:rsid w:val="00FF698D"/>
    <w:rsid w:val="00FF6E7E"/>
    <w:rsid w:val="00FF70D9"/>
    <w:rsid w:val="00FF7276"/>
    <w:rsid w:val="00FF76AE"/>
    <w:rsid w:val="01041260"/>
    <w:rsid w:val="011C691E"/>
    <w:rsid w:val="013F88C3"/>
    <w:rsid w:val="014425B8"/>
    <w:rsid w:val="0157A2E4"/>
    <w:rsid w:val="015A906F"/>
    <w:rsid w:val="016987B7"/>
    <w:rsid w:val="01B04A43"/>
    <w:rsid w:val="01D7F16D"/>
    <w:rsid w:val="01D96EF9"/>
    <w:rsid w:val="02084F11"/>
    <w:rsid w:val="0208E1E3"/>
    <w:rsid w:val="020A05D3"/>
    <w:rsid w:val="021D68FC"/>
    <w:rsid w:val="0225B34E"/>
    <w:rsid w:val="02273FE8"/>
    <w:rsid w:val="022A51A2"/>
    <w:rsid w:val="022AE254"/>
    <w:rsid w:val="022C8F3A"/>
    <w:rsid w:val="0236F626"/>
    <w:rsid w:val="025A8CF8"/>
    <w:rsid w:val="025BD303"/>
    <w:rsid w:val="02749956"/>
    <w:rsid w:val="02754D65"/>
    <w:rsid w:val="027FFFFA"/>
    <w:rsid w:val="0280F8E8"/>
    <w:rsid w:val="0281B8A2"/>
    <w:rsid w:val="02A1BCFB"/>
    <w:rsid w:val="02B79E5B"/>
    <w:rsid w:val="02FDF258"/>
    <w:rsid w:val="02FE2BB0"/>
    <w:rsid w:val="033CC7F8"/>
    <w:rsid w:val="034A4547"/>
    <w:rsid w:val="0369A5BA"/>
    <w:rsid w:val="036DC784"/>
    <w:rsid w:val="0376D6BB"/>
    <w:rsid w:val="037C008B"/>
    <w:rsid w:val="03885782"/>
    <w:rsid w:val="039A0780"/>
    <w:rsid w:val="03A157DD"/>
    <w:rsid w:val="03B2814A"/>
    <w:rsid w:val="03C2714B"/>
    <w:rsid w:val="03E740B8"/>
    <w:rsid w:val="0402814C"/>
    <w:rsid w:val="0404A622"/>
    <w:rsid w:val="041B55E6"/>
    <w:rsid w:val="0421A924"/>
    <w:rsid w:val="042793A5"/>
    <w:rsid w:val="042C5E18"/>
    <w:rsid w:val="046B02AB"/>
    <w:rsid w:val="047859D3"/>
    <w:rsid w:val="048D4D0A"/>
    <w:rsid w:val="049B0573"/>
    <w:rsid w:val="04A5277F"/>
    <w:rsid w:val="04B2E692"/>
    <w:rsid w:val="04C1A3BC"/>
    <w:rsid w:val="04CE8AA5"/>
    <w:rsid w:val="052A637C"/>
    <w:rsid w:val="0531B231"/>
    <w:rsid w:val="0533B48D"/>
    <w:rsid w:val="053C701A"/>
    <w:rsid w:val="053DFE83"/>
    <w:rsid w:val="05442B5C"/>
    <w:rsid w:val="054740A7"/>
    <w:rsid w:val="0566CFA6"/>
    <w:rsid w:val="05901766"/>
    <w:rsid w:val="059603B3"/>
    <w:rsid w:val="059886E3"/>
    <w:rsid w:val="05CA46EF"/>
    <w:rsid w:val="05E081D6"/>
    <w:rsid w:val="05E62D30"/>
    <w:rsid w:val="05FE273F"/>
    <w:rsid w:val="0615BA85"/>
    <w:rsid w:val="062291CD"/>
    <w:rsid w:val="0653D38C"/>
    <w:rsid w:val="0657A604"/>
    <w:rsid w:val="06612E52"/>
    <w:rsid w:val="066724A5"/>
    <w:rsid w:val="066BC914"/>
    <w:rsid w:val="066F9B74"/>
    <w:rsid w:val="06871110"/>
    <w:rsid w:val="06961646"/>
    <w:rsid w:val="069D04B3"/>
    <w:rsid w:val="06AA0FF3"/>
    <w:rsid w:val="06CD26B9"/>
    <w:rsid w:val="06E2A251"/>
    <w:rsid w:val="06E6AA86"/>
    <w:rsid w:val="06F4DFFF"/>
    <w:rsid w:val="07061631"/>
    <w:rsid w:val="072EAE96"/>
    <w:rsid w:val="076BB966"/>
    <w:rsid w:val="0770E385"/>
    <w:rsid w:val="077B948E"/>
    <w:rsid w:val="0781AA92"/>
    <w:rsid w:val="07829DD9"/>
    <w:rsid w:val="07A1B1EE"/>
    <w:rsid w:val="07AA6FA2"/>
    <w:rsid w:val="07E8D968"/>
    <w:rsid w:val="08074BB5"/>
    <w:rsid w:val="08351EFF"/>
    <w:rsid w:val="08367013"/>
    <w:rsid w:val="083C5083"/>
    <w:rsid w:val="08602A8C"/>
    <w:rsid w:val="086D7279"/>
    <w:rsid w:val="087DF356"/>
    <w:rsid w:val="08AA602C"/>
    <w:rsid w:val="08BFCDE3"/>
    <w:rsid w:val="08E682F9"/>
    <w:rsid w:val="08FA74D4"/>
    <w:rsid w:val="09003907"/>
    <w:rsid w:val="09516F1B"/>
    <w:rsid w:val="095859BC"/>
    <w:rsid w:val="097FBA7E"/>
    <w:rsid w:val="0982ACC3"/>
    <w:rsid w:val="09983372"/>
    <w:rsid w:val="09B91385"/>
    <w:rsid w:val="09E574AB"/>
    <w:rsid w:val="09F1B3F8"/>
    <w:rsid w:val="0A21EF47"/>
    <w:rsid w:val="0A238091"/>
    <w:rsid w:val="0A4400AC"/>
    <w:rsid w:val="0A443A5F"/>
    <w:rsid w:val="0A4DF276"/>
    <w:rsid w:val="0A4EEBDE"/>
    <w:rsid w:val="0A65B49F"/>
    <w:rsid w:val="0A78EA2A"/>
    <w:rsid w:val="0AB38FFE"/>
    <w:rsid w:val="0ABCC9CB"/>
    <w:rsid w:val="0AC9D314"/>
    <w:rsid w:val="0AEBF804"/>
    <w:rsid w:val="0AFB310B"/>
    <w:rsid w:val="0B035B45"/>
    <w:rsid w:val="0B250772"/>
    <w:rsid w:val="0B34DA60"/>
    <w:rsid w:val="0B3BA0ED"/>
    <w:rsid w:val="0B3F976E"/>
    <w:rsid w:val="0B43DE43"/>
    <w:rsid w:val="0B45D3A7"/>
    <w:rsid w:val="0B475795"/>
    <w:rsid w:val="0B48F19B"/>
    <w:rsid w:val="0B4EF467"/>
    <w:rsid w:val="0B719B39"/>
    <w:rsid w:val="0B927E87"/>
    <w:rsid w:val="0B931C69"/>
    <w:rsid w:val="0B9C55D5"/>
    <w:rsid w:val="0BB2F3AD"/>
    <w:rsid w:val="0BB51826"/>
    <w:rsid w:val="0BB9F9E8"/>
    <w:rsid w:val="0BC18493"/>
    <w:rsid w:val="0BC9D0E4"/>
    <w:rsid w:val="0BCC9B33"/>
    <w:rsid w:val="0BECF481"/>
    <w:rsid w:val="0BEDED3E"/>
    <w:rsid w:val="0BF48272"/>
    <w:rsid w:val="0C018CA1"/>
    <w:rsid w:val="0C01ED6E"/>
    <w:rsid w:val="0C0CCE93"/>
    <w:rsid w:val="0C2D0CFE"/>
    <w:rsid w:val="0C4A38B7"/>
    <w:rsid w:val="0C50FE2E"/>
    <w:rsid w:val="0C5530A2"/>
    <w:rsid w:val="0C8BE7E5"/>
    <w:rsid w:val="0C943A19"/>
    <w:rsid w:val="0C9C8118"/>
    <w:rsid w:val="0CA62602"/>
    <w:rsid w:val="0CAE319A"/>
    <w:rsid w:val="0CB4E7D1"/>
    <w:rsid w:val="0CB9124C"/>
    <w:rsid w:val="0CD5E476"/>
    <w:rsid w:val="0CD74BFE"/>
    <w:rsid w:val="0CEEF245"/>
    <w:rsid w:val="0CF14AC5"/>
    <w:rsid w:val="0CF92E89"/>
    <w:rsid w:val="0CFADDC0"/>
    <w:rsid w:val="0CFEA592"/>
    <w:rsid w:val="0D114415"/>
    <w:rsid w:val="0D187517"/>
    <w:rsid w:val="0D214E17"/>
    <w:rsid w:val="0D2931BD"/>
    <w:rsid w:val="0D3DAA9D"/>
    <w:rsid w:val="0D957C17"/>
    <w:rsid w:val="0DBA003D"/>
    <w:rsid w:val="0DBA5094"/>
    <w:rsid w:val="0DBBE144"/>
    <w:rsid w:val="0DC12E3B"/>
    <w:rsid w:val="0E15CE47"/>
    <w:rsid w:val="0E2F3162"/>
    <w:rsid w:val="0E2FA14C"/>
    <w:rsid w:val="0E584916"/>
    <w:rsid w:val="0E587F0B"/>
    <w:rsid w:val="0E831FEE"/>
    <w:rsid w:val="0EB218D6"/>
    <w:rsid w:val="0ECAA643"/>
    <w:rsid w:val="0EE032BA"/>
    <w:rsid w:val="0EEA6272"/>
    <w:rsid w:val="0EF40CF4"/>
    <w:rsid w:val="0EF6E887"/>
    <w:rsid w:val="0F297B69"/>
    <w:rsid w:val="0F450C7E"/>
    <w:rsid w:val="0F4553B1"/>
    <w:rsid w:val="0F460506"/>
    <w:rsid w:val="0F571B30"/>
    <w:rsid w:val="0F63593F"/>
    <w:rsid w:val="0F75CB6E"/>
    <w:rsid w:val="0F8D5993"/>
    <w:rsid w:val="0FB1760B"/>
    <w:rsid w:val="0FB2AA65"/>
    <w:rsid w:val="0FD2C109"/>
    <w:rsid w:val="0FE50B2A"/>
    <w:rsid w:val="0FEDF9DC"/>
    <w:rsid w:val="10027F7D"/>
    <w:rsid w:val="102096B2"/>
    <w:rsid w:val="1021769C"/>
    <w:rsid w:val="1045C8C1"/>
    <w:rsid w:val="104AB30C"/>
    <w:rsid w:val="105D97D8"/>
    <w:rsid w:val="105EB83A"/>
    <w:rsid w:val="10762860"/>
    <w:rsid w:val="1087585A"/>
    <w:rsid w:val="108CE827"/>
    <w:rsid w:val="108E69E4"/>
    <w:rsid w:val="108F7056"/>
    <w:rsid w:val="10A6A632"/>
    <w:rsid w:val="10B8B3FB"/>
    <w:rsid w:val="10E2A960"/>
    <w:rsid w:val="10FC1E25"/>
    <w:rsid w:val="11013F09"/>
    <w:rsid w:val="1127EE40"/>
    <w:rsid w:val="1144D874"/>
    <w:rsid w:val="1146D649"/>
    <w:rsid w:val="114A1019"/>
    <w:rsid w:val="1158E6A5"/>
    <w:rsid w:val="1161E5AA"/>
    <w:rsid w:val="117159EB"/>
    <w:rsid w:val="1199D906"/>
    <w:rsid w:val="11A2B06E"/>
    <w:rsid w:val="11E008CF"/>
    <w:rsid w:val="11E114D4"/>
    <w:rsid w:val="11F0B108"/>
    <w:rsid w:val="124411B5"/>
    <w:rsid w:val="124828FC"/>
    <w:rsid w:val="1248A625"/>
    <w:rsid w:val="1249F1FA"/>
    <w:rsid w:val="12547206"/>
    <w:rsid w:val="12877BB8"/>
    <w:rsid w:val="128D2101"/>
    <w:rsid w:val="1298E0C3"/>
    <w:rsid w:val="12AF930D"/>
    <w:rsid w:val="12B5F675"/>
    <w:rsid w:val="12C05521"/>
    <w:rsid w:val="12CFEAC8"/>
    <w:rsid w:val="12DAC006"/>
    <w:rsid w:val="12F30649"/>
    <w:rsid w:val="12F53A3F"/>
    <w:rsid w:val="130515D5"/>
    <w:rsid w:val="132F2AAF"/>
    <w:rsid w:val="1334EE88"/>
    <w:rsid w:val="133C8D8A"/>
    <w:rsid w:val="133E3A0E"/>
    <w:rsid w:val="133F3A8B"/>
    <w:rsid w:val="1340B228"/>
    <w:rsid w:val="136A730D"/>
    <w:rsid w:val="13746722"/>
    <w:rsid w:val="1374974E"/>
    <w:rsid w:val="137C90D8"/>
    <w:rsid w:val="138797CF"/>
    <w:rsid w:val="1390A084"/>
    <w:rsid w:val="139557FD"/>
    <w:rsid w:val="13A3A11C"/>
    <w:rsid w:val="13C7E84C"/>
    <w:rsid w:val="13C97DF0"/>
    <w:rsid w:val="13CBEA80"/>
    <w:rsid w:val="13DC3FE5"/>
    <w:rsid w:val="14062C5D"/>
    <w:rsid w:val="1418C877"/>
    <w:rsid w:val="1419D395"/>
    <w:rsid w:val="142AC440"/>
    <w:rsid w:val="143B81F7"/>
    <w:rsid w:val="14683D4D"/>
    <w:rsid w:val="146EE9FC"/>
    <w:rsid w:val="14728468"/>
    <w:rsid w:val="147FDC4B"/>
    <w:rsid w:val="148DE2B6"/>
    <w:rsid w:val="14AFCC31"/>
    <w:rsid w:val="14B51D1F"/>
    <w:rsid w:val="14B81761"/>
    <w:rsid w:val="14BA0B01"/>
    <w:rsid w:val="14D715A7"/>
    <w:rsid w:val="14D9C96B"/>
    <w:rsid w:val="14DB34D0"/>
    <w:rsid w:val="14DDEAC4"/>
    <w:rsid w:val="15139C97"/>
    <w:rsid w:val="1515C02F"/>
    <w:rsid w:val="15469CB4"/>
    <w:rsid w:val="1546EA72"/>
    <w:rsid w:val="15478749"/>
    <w:rsid w:val="155A7F17"/>
    <w:rsid w:val="155AE545"/>
    <w:rsid w:val="156074B6"/>
    <w:rsid w:val="15710602"/>
    <w:rsid w:val="1597366A"/>
    <w:rsid w:val="15B3EADB"/>
    <w:rsid w:val="15F29155"/>
    <w:rsid w:val="160B3524"/>
    <w:rsid w:val="161BCD39"/>
    <w:rsid w:val="16228BB9"/>
    <w:rsid w:val="162FF6B5"/>
    <w:rsid w:val="163C1632"/>
    <w:rsid w:val="16454A46"/>
    <w:rsid w:val="165844EA"/>
    <w:rsid w:val="165C2CC0"/>
    <w:rsid w:val="165E0F36"/>
    <w:rsid w:val="1664734F"/>
    <w:rsid w:val="16695B0D"/>
    <w:rsid w:val="166B2478"/>
    <w:rsid w:val="1692FCAE"/>
    <w:rsid w:val="16A585A1"/>
    <w:rsid w:val="16CAFAA5"/>
    <w:rsid w:val="16CF8BCB"/>
    <w:rsid w:val="16D9A738"/>
    <w:rsid w:val="16DF04F9"/>
    <w:rsid w:val="16F64EED"/>
    <w:rsid w:val="17113DA6"/>
    <w:rsid w:val="1714D403"/>
    <w:rsid w:val="174374EE"/>
    <w:rsid w:val="1755692F"/>
    <w:rsid w:val="178E8C2C"/>
    <w:rsid w:val="1798A4A1"/>
    <w:rsid w:val="179C3396"/>
    <w:rsid w:val="17A5016C"/>
    <w:rsid w:val="17AD352D"/>
    <w:rsid w:val="17C53D9C"/>
    <w:rsid w:val="17C9F3B0"/>
    <w:rsid w:val="17E2C8C2"/>
    <w:rsid w:val="17F0B51A"/>
    <w:rsid w:val="17F333DA"/>
    <w:rsid w:val="17FDC492"/>
    <w:rsid w:val="181D900B"/>
    <w:rsid w:val="1823057B"/>
    <w:rsid w:val="1826F7D1"/>
    <w:rsid w:val="183DB267"/>
    <w:rsid w:val="185E5B07"/>
    <w:rsid w:val="1868C5B1"/>
    <w:rsid w:val="186F527B"/>
    <w:rsid w:val="18779922"/>
    <w:rsid w:val="18AC1C97"/>
    <w:rsid w:val="18BD4425"/>
    <w:rsid w:val="18C16459"/>
    <w:rsid w:val="18C53CDC"/>
    <w:rsid w:val="18D11F94"/>
    <w:rsid w:val="18D12319"/>
    <w:rsid w:val="18E06598"/>
    <w:rsid w:val="18E84A07"/>
    <w:rsid w:val="19032DF6"/>
    <w:rsid w:val="190431D8"/>
    <w:rsid w:val="1914F8A3"/>
    <w:rsid w:val="193E5493"/>
    <w:rsid w:val="195BDAF8"/>
    <w:rsid w:val="195FC340"/>
    <w:rsid w:val="197065F5"/>
    <w:rsid w:val="19742726"/>
    <w:rsid w:val="19869E30"/>
    <w:rsid w:val="1995B5AB"/>
    <w:rsid w:val="199A2330"/>
    <w:rsid w:val="199BEC3D"/>
    <w:rsid w:val="19B39A95"/>
    <w:rsid w:val="19BDAF89"/>
    <w:rsid w:val="19C259E0"/>
    <w:rsid w:val="19C8B686"/>
    <w:rsid w:val="19CED496"/>
    <w:rsid w:val="19E513F2"/>
    <w:rsid w:val="19F3B476"/>
    <w:rsid w:val="1A05B742"/>
    <w:rsid w:val="1A09E780"/>
    <w:rsid w:val="1A0D212B"/>
    <w:rsid w:val="1A1A4A8D"/>
    <w:rsid w:val="1A29A187"/>
    <w:rsid w:val="1A399E73"/>
    <w:rsid w:val="1A3DE2A5"/>
    <w:rsid w:val="1A3EECBD"/>
    <w:rsid w:val="1A403ADD"/>
    <w:rsid w:val="1A45A191"/>
    <w:rsid w:val="1A4DC232"/>
    <w:rsid w:val="1A4DFF02"/>
    <w:rsid w:val="1A74F144"/>
    <w:rsid w:val="1A776973"/>
    <w:rsid w:val="1A8FCF3E"/>
    <w:rsid w:val="1AB914A0"/>
    <w:rsid w:val="1AC2AFA7"/>
    <w:rsid w:val="1AC6214F"/>
    <w:rsid w:val="1ACA15A2"/>
    <w:rsid w:val="1AE99D68"/>
    <w:rsid w:val="1B325A99"/>
    <w:rsid w:val="1B3CDAEA"/>
    <w:rsid w:val="1B4AFA7F"/>
    <w:rsid w:val="1B4D18F4"/>
    <w:rsid w:val="1B52679E"/>
    <w:rsid w:val="1B537E74"/>
    <w:rsid w:val="1B564E00"/>
    <w:rsid w:val="1B81746E"/>
    <w:rsid w:val="1B89A449"/>
    <w:rsid w:val="1BA8C3E7"/>
    <w:rsid w:val="1BB5123D"/>
    <w:rsid w:val="1BBB8193"/>
    <w:rsid w:val="1BC85315"/>
    <w:rsid w:val="1BDB97AA"/>
    <w:rsid w:val="1C17243C"/>
    <w:rsid w:val="1C1AE8A8"/>
    <w:rsid w:val="1C2154C6"/>
    <w:rsid w:val="1C42A3B7"/>
    <w:rsid w:val="1C75BF20"/>
    <w:rsid w:val="1C793CFA"/>
    <w:rsid w:val="1CA7EF55"/>
    <w:rsid w:val="1CB27A4E"/>
    <w:rsid w:val="1CCC777A"/>
    <w:rsid w:val="1CCF6792"/>
    <w:rsid w:val="1CD54354"/>
    <w:rsid w:val="1CE53D49"/>
    <w:rsid w:val="1CFE0C33"/>
    <w:rsid w:val="1D0FB519"/>
    <w:rsid w:val="1D2D5091"/>
    <w:rsid w:val="1D329B9E"/>
    <w:rsid w:val="1D3776A3"/>
    <w:rsid w:val="1D3B9F6C"/>
    <w:rsid w:val="1D519DB3"/>
    <w:rsid w:val="1D66BFC5"/>
    <w:rsid w:val="1D6F77E4"/>
    <w:rsid w:val="1D8ABBB3"/>
    <w:rsid w:val="1D9CD162"/>
    <w:rsid w:val="1E0A9E2A"/>
    <w:rsid w:val="1E18DD03"/>
    <w:rsid w:val="1E2A4B12"/>
    <w:rsid w:val="1E33B35E"/>
    <w:rsid w:val="1E447D3B"/>
    <w:rsid w:val="1E4FD01A"/>
    <w:rsid w:val="1E5ABE46"/>
    <w:rsid w:val="1E672120"/>
    <w:rsid w:val="1E6A4D3E"/>
    <w:rsid w:val="1E86C7F6"/>
    <w:rsid w:val="1E92BA97"/>
    <w:rsid w:val="1E9FBA8C"/>
    <w:rsid w:val="1EAB4F6A"/>
    <w:rsid w:val="1EBB478B"/>
    <w:rsid w:val="1EBF7E3B"/>
    <w:rsid w:val="1EC285E1"/>
    <w:rsid w:val="1ECF668E"/>
    <w:rsid w:val="1ED6663C"/>
    <w:rsid w:val="1ED99337"/>
    <w:rsid w:val="1EF24003"/>
    <w:rsid w:val="1F04705A"/>
    <w:rsid w:val="1F081CD9"/>
    <w:rsid w:val="1F151D12"/>
    <w:rsid w:val="1F340C8A"/>
    <w:rsid w:val="1F4E079D"/>
    <w:rsid w:val="1F530D3C"/>
    <w:rsid w:val="1F56DDB8"/>
    <w:rsid w:val="1F6C9249"/>
    <w:rsid w:val="1F713614"/>
    <w:rsid w:val="1F92670B"/>
    <w:rsid w:val="1FA81A66"/>
    <w:rsid w:val="1FB2AB21"/>
    <w:rsid w:val="1FCF2686"/>
    <w:rsid w:val="1FEC517C"/>
    <w:rsid w:val="1FEFE7FF"/>
    <w:rsid w:val="1FF97751"/>
    <w:rsid w:val="1FFA5AB1"/>
    <w:rsid w:val="2000EF9B"/>
    <w:rsid w:val="2018DEE0"/>
    <w:rsid w:val="201D00A5"/>
    <w:rsid w:val="20458772"/>
    <w:rsid w:val="207ED22C"/>
    <w:rsid w:val="207F03C8"/>
    <w:rsid w:val="20825E8A"/>
    <w:rsid w:val="208F5809"/>
    <w:rsid w:val="2092FCCA"/>
    <w:rsid w:val="2094EB0C"/>
    <w:rsid w:val="20950381"/>
    <w:rsid w:val="20B3207F"/>
    <w:rsid w:val="20BD14B3"/>
    <w:rsid w:val="20C00F81"/>
    <w:rsid w:val="20CEAEA0"/>
    <w:rsid w:val="20EEF198"/>
    <w:rsid w:val="20F0DBA6"/>
    <w:rsid w:val="20F6E937"/>
    <w:rsid w:val="20F9599A"/>
    <w:rsid w:val="21141F67"/>
    <w:rsid w:val="21262819"/>
    <w:rsid w:val="212A40F1"/>
    <w:rsid w:val="217C05FB"/>
    <w:rsid w:val="2194A459"/>
    <w:rsid w:val="21D2EB11"/>
    <w:rsid w:val="21DCFF45"/>
    <w:rsid w:val="2215FF12"/>
    <w:rsid w:val="2221470E"/>
    <w:rsid w:val="222E46FA"/>
    <w:rsid w:val="2230C499"/>
    <w:rsid w:val="22468AEC"/>
    <w:rsid w:val="225A7189"/>
    <w:rsid w:val="225CE8A4"/>
    <w:rsid w:val="226C02FC"/>
    <w:rsid w:val="227E7362"/>
    <w:rsid w:val="2297757A"/>
    <w:rsid w:val="22A2A9CE"/>
    <w:rsid w:val="22A92A8F"/>
    <w:rsid w:val="22AC5205"/>
    <w:rsid w:val="22B20AFD"/>
    <w:rsid w:val="22C80735"/>
    <w:rsid w:val="22CD3A94"/>
    <w:rsid w:val="22D2C269"/>
    <w:rsid w:val="23061605"/>
    <w:rsid w:val="232A7640"/>
    <w:rsid w:val="23466943"/>
    <w:rsid w:val="235E172C"/>
    <w:rsid w:val="23764601"/>
    <w:rsid w:val="23A2A0C5"/>
    <w:rsid w:val="23B208EB"/>
    <w:rsid w:val="23C2D94B"/>
    <w:rsid w:val="23C5792C"/>
    <w:rsid w:val="23E24A13"/>
    <w:rsid w:val="23E5E68B"/>
    <w:rsid w:val="23F92961"/>
    <w:rsid w:val="240436FB"/>
    <w:rsid w:val="2409291A"/>
    <w:rsid w:val="240BCE1C"/>
    <w:rsid w:val="2423C84A"/>
    <w:rsid w:val="24312053"/>
    <w:rsid w:val="243F952C"/>
    <w:rsid w:val="244E2CC3"/>
    <w:rsid w:val="245180D6"/>
    <w:rsid w:val="24662D8E"/>
    <w:rsid w:val="2469857B"/>
    <w:rsid w:val="246B4033"/>
    <w:rsid w:val="2482AB93"/>
    <w:rsid w:val="24AA6FB1"/>
    <w:rsid w:val="24E5B115"/>
    <w:rsid w:val="25083731"/>
    <w:rsid w:val="2511A70D"/>
    <w:rsid w:val="25222D09"/>
    <w:rsid w:val="252C6020"/>
    <w:rsid w:val="25383FC6"/>
    <w:rsid w:val="253BEF2F"/>
    <w:rsid w:val="253C8FE0"/>
    <w:rsid w:val="2541CABE"/>
    <w:rsid w:val="2554371F"/>
    <w:rsid w:val="256DB88D"/>
    <w:rsid w:val="257084B6"/>
    <w:rsid w:val="257B190B"/>
    <w:rsid w:val="257C4505"/>
    <w:rsid w:val="257FA404"/>
    <w:rsid w:val="259DCBFB"/>
    <w:rsid w:val="25BF5E1B"/>
    <w:rsid w:val="25C3E760"/>
    <w:rsid w:val="25C4D98E"/>
    <w:rsid w:val="25CA42AE"/>
    <w:rsid w:val="25DD0724"/>
    <w:rsid w:val="25EB8C59"/>
    <w:rsid w:val="25EF81A4"/>
    <w:rsid w:val="25FB5C26"/>
    <w:rsid w:val="2601C82E"/>
    <w:rsid w:val="260A100A"/>
    <w:rsid w:val="262AEC53"/>
    <w:rsid w:val="2642BF7C"/>
    <w:rsid w:val="26567A53"/>
    <w:rsid w:val="26664927"/>
    <w:rsid w:val="266F3D62"/>
    <w:rsid w:val="269348EB"/>
    <w:rsid w:val="269B1F9B"/>
    <w:rsid w:val="26B0243E"/>
    <w:rsid w:val="26DF6751"/>
    <w:rsid w:val="26EC6B2D"/>
    <w:rsid w:val="26FFA20D"/>
    <w:rsid w:val="2711663C"/>
    <w:rsid w:val="27124C1F"/>
    <w:rsid w:val="2731B217"/>
    <w:rsid w:val="27534723"/>
    <w:rsid w:val="2754B334"/>
    <w:rsid w:val="275C230D"/>
    <w:rsid w:val="2785A2CA"/>
    <w:rsid w:val="279EE6FE"/>
    <w:rsid w:val="27A29401"/>
    <w:rsid w:val="27A2EF56"/>
    <w:rsid w:val="27B4BCAB"/>
    <w:rsid w:val="27B78D83"/>
    <w:rsid w:val="27C7A0AF"/>
    <w:rsid w:val="27C9F076"/>
    <w:rsid w:val="27D213C2"/>
    <w:rsid w:val="27DCB2BE"/>
    <w:rsid w:val="27F2C648"/>
    <w:rsid w:val="27F9F9D2"/>
    <w:rsid w:val="2800C4D6"/>
    <w:rsid w:val="28056A3F"/>
    <w:rsid w:val="28147EFE"/>
    <w:rsid w:val="2817FD6C"/>
    <w:rsid w:val="282FD77B"/>
    <w:rsid w:val="283E7BEB"/>
    <w:rsid w:val="2856B330"/>
    <w:rsid w:val="28620D62"/>
    <w:rsid w:val="28629C14"/>
    <w:rsid w:val="28633129"/>
    <w:rsid w:val="2868D03E"/>
    <w:rsid w:val="2887B04D"/>
    <w:rsid w:val="2894569A"/>
    <w:rsid w:val="2895AF55"/>
    <w:rsid w:val="28BF57F1"/>
    <w:rsid w:val="28F58395"/>
    <w:rsid w:val="291B68E4"/>
    <w:rsid w:val="293D2E44"/>
    <w:rsid w:val="2942DA65"/>
    <w:rsid w:val="2996A7EB"/>
    <w:rsid w:val="29C30102"/>
    <w:rsid w:val="29C9D026"/>
    <w:rsid w:val="29CDD8E3"/>
    <w:rsid w:val="29D0AC45"/>
    <w:rsid w:val="29E29237"/>
    <w:rsid w:val="2A0678D6"/>
    <w:rsid w:val="2A1422B4"/>
    <w:rsid w:val="2A23B025"/>
    <w:rsid w:val="2A3A1FDD"/>
    <w:rsid w:val="2A6D77C3"/>
    <w:rsid w:val="2A7D1160"/>
    <w:rsid w:val="2A92F084"/>
    <w:rsid w:val="2A9B4983"/>
    <w:rsid w:val="2A9D8E99"/>
    <w:rsid w:val="2AA58702"/>
    <w:rsid w:val="2AA65E2D"/>
    <w:rsid w:val="2AA6E7D3"/>
    <w:rsid w:val="2AB212F5"/>
    <w:rsid w:val="2AD10D31"/>
    <w:rsid w:val="2AD22EC6"/>
    <w:rsid w:val="2AD43C7D"/>
    <w:rsid w:val="2B043F96"/>
    <w:rsid w:val="2B232523"/>
    <w:rsid w:val="2B4634BC"/>
    <w:rsid w:val="2B49349D"/>
    <w:rsid w:val="2B5A9D18"/>
    <w:rsid w:val="2B625178"/>
    <w:rsid w:val="2B64179B"/>
    <w:rsid w:val="2B6F1A49"/>
    <w:rsid w:val="2B74AD55"/>
    <w:rsid w:val="2B7B09F1"/>
    <w:rsid w:val="2B9BB705"/>
    <w:rsid w:val="2BA78CE4"/>
    <w:rsid w:val="2BAA2977"/>
    <w:rsid w:val="2BBCC2F7"/>
    <w:rsid w:val="2BDA73F6"/>
    <w:rsid w:val="2BEBA07C"/>
    <w:rsid w:val="2BF273D3"/>
    <w:rsid w:val="2BFD639C"/>
    <w:rsid w:val="2C04F052"/>
    <w:rsid w:val="2C58CC3E"/>
    <w:rsid w:val="2C6FD9AE"/>
    <w:rsid w:val="2C743EC8"/>
    <w:rsid w:val="2C7FDAED"/>
    <w:rsid w:val="2C9401AB"/>
    <w:rsid w:val="2C971921"/>
    <w:rsid w:val="2CA2F95A"/>
    <w:rsid w:val="2CA5A553"/>
    <w:rsid w:val="2CB06F69"/>
    <w:rsid w:val="2CBBCF33"/>
    <w:rsid w:val="2CC967B4"/>
    <w:rsid w:val="2CF7A328"/>
    <w:rsid w:val="2CF81B20"/>
    <w:rsid w:val="2D1E2E14"/>
    <w:rsid w:val="2D220E01"/>
    <w:rsid w:val="2D3AC120"/>
    <w:rsid w:val="2D3C8471"/>
    <w:rsid w:val="2D410F57"/>
    <w:rsid w:val="2D4C7E43"/>
    <w:rsid w:val="2D5F4EEA"/>
    <w:rsid w:val="2D65EE9A"/>
    <w:rsid w:val="2D69D516"/>
    <w:rsid w:val="2D7879D7"/>
    <w:rsid w:val="2D79DEE4"/>
    <w:rsid w:val="2D7A2DFA"/>
    <w:rsid w:val="2D9003C8"/>
    <w:rsid w:val="2D9373CC"/>
    <w:rsid w:val="2DB6C217"/>
    <w:rsid w:val="2DC62C18"/>
    <w:rsid w:val="2DD1C49A"/>
    <w:rsid w:val="2DDD5A25"/>
    <w:rsid w:val="2DDF3499"/>
    <w:rsid w:val="2DE2FF77"/>
    <w:rsid w:val="2DFFA5A9"/>
    <w:rsid w:val="2E07AF39"/>
    <w:rsid w:val="2E1EE3B8"/>
    <w:rsid w:val="2E3F85E9"/>
    <w:rsid w:val="2E45C4A5"/>
    <w:rsid w:val="2E467AFC"/>
    <w:rsid w:val="2E5AF63A"/>
    <w:rsid w:val="2E9AD43D"/>
    <w:rsid w:val="2EAC47C5"/>
    <w:rsid w:val="2EE4CF6F"/>
    <w:rsid w:val="2F05DA5B"/>
    <w:rsid w:val="2F16B1EF"/>
    <w:rsid w:val="2F1D5F3C"/>
    <w:rsid w:val="2F222578"/>
    <w:rsid w:val="2F22C92F"/>
    <w:rsid w:val="2F244E3F"/>
    <w:rsid w:val="2F4E5B11"/>
    <w:rsid w:val="2F531DF0"/>
    <w:rsid w:val="2F5C69A3"/>
    <w:rsid w:val="2F65FBC8"/>
    <w:rsid w:val="2F6BB8DA"/>
    <w:rsid w:val="2F6CACC2"/>
    <w:rsid w:val="2F8ECB8F"/>
    <w:rsid w:val="2F9FA7DE"/>
    <w:rsid w:val="2FCC9394"/>
    <w:rsid w:val="2FD48EF3"/>
    <w:rsid w:val="2FD5D778"/>
    <w:rsid w:val="2FD96EAF"/>
    <w:rsid w:val="300C7105"/>
    <w:rsid w:val="301E8D3F"/>
    <w:rsid w:val="3024686C"/>
    <w:rsid w:val="302A3670"/>
    <w:rsid w:val="305036FC"/>
    <w:rsid w:val="3061A5AA"/>
    <w:rsid w:val="3089330C"/>
    <w:rsid w:val="30A5D915"/>
    <w:rsid w:val="30B24E50"/>
    <w:rsid w:val="30B4E9EF"/>
    <w:rsid w:val="30BBD2D2"/>
    <w:rsid w:val="30CB19ED"/>
    <w:rsid w:val="30DE303F"/>
    <w:rsid w:val="30EAD733"/>
    <w:rsid w:val="310BFE8E"/>
    <w:rsid w:val="31189A14"/>
    <w:rsid w:val="31193B93"/>
    <w:rsid w:val="311D4899"/>
    <w:rsid w:val="31225434"/>
    <w:rsid w:val="3125C49E"/>
    <w:rsid w:val="314D057C"/>
    <w:rsid w:val="316EA84E"/>
    <w:rsid w:val="31793965"/>
    <w:rsid w:val="319259D0"/>
    <w:rsid w:val="319C28B5"/>
    <w:rsid w:val="319D3FE4"/>
    <w:rsid w:val="319FA109"/>
    <w:rsid w:val="31C5123A"/>
    <w:rsid w:val="31CA9116"/>
    <w:rsid w:val="31E194F8"/>
    <w:rsid w:val="31E71BFD"/>
    <w:rsid w:val="31F3B597"/>
    <w:rsid w:val="322060E5"/>
    <w:rsid w:val="32394963"/>
    <w:rsid w:val="324D4F3B"/>
    <w:rsid w:val="3263E74A"/>
    <w:rsid w:val="3271BFA2"/>
    <w:rsid w:val="3290C64E"/>
    <w:rsid w:val="3297D90C"/>
    <w:rsid w:val="32AAB532"/>
    <w:rsid w:val="32AE208A"/>
    <w:rsid w:val="32B39B3F"/>
    <w:rsid w:val="32B5AC66"/>
    <w:rsid w:val="32B71C68"/>
    <w:rsid w:val="32D0BF58"/>
    <w:rsid w:val="32E6A3AF"/>
    <w:rsid w:val="32E7DDCF"/>
    <w:rsid w:val="33193629"/>
    <w:rsid w:val="331AFBDC"/>
    <w:rsid w:val="331BE634"/>
    <w:rsid w:val="331E2140"/>
    <w:rsid w:val="3329D114"/>
    <w:rsid w:val="334AC542"/>
    <w:rsid w:val="334EE66F"/>
    <w:rsid w:val="335E66F8"/>
    <w:rsid w:val="336C5188"/>
    <w:rsid w:val="3375C710"/>
    <w:rsid w:val="3376FE47"/>
    <w:rsid w:val="3379EBB9"/>
    <w:rsid w:val="3393260B"/>
    <w:rsid w:val="33A84D7E"/>
    <w:rsid w:val="33B312AC"/>
    <w:rsid w:val="33BC2D6A"/>
    <w:rsid w:val="33C78666"/>
    <w:rsid w:val="33D65712"/>
    <w:rsid w:val="33EBE536"/>
    <w:rsid w:val="33F293BC"/>
    <w:rsid w:val="33F527A6"/>
    <w:rsid w:val="3407B66A"/>
    <w:rsid w:val="340A4CD9"/>
    <w:rsid w:val="34202D96"/>
    <w:rsid w:val="34350A28"/>
    <w:rsid w:val="3470C25B"/>
    <w:rsid w:val="3477FF2D"/>
    <w:rsid w:val="347CD1AC"/>
    <w:rsid w:val="348899F0"/>
    <w:rsid w:val="3497C9CB"/>
    <w:rsid w:val="34A6AA34"/>
    <w:rsid w:val="34B1AA5A"/>
    <w:rsid w:val="34C74FE2"/>
    <w:rsid w:val="34D0D219"/>
    <w:rsid w:val="34E2D5D0"/>
    <w:rsid w:val="34F3A77C"/>
    <w:rsid w:val="3520BC15"/>
    <w:rsid w:val="3521DBCA"/>
    <w:rsid w:val="3546DB00"/>
    <w:rsid w:val="35489BC0"/>
    <w:rsid w:val="35555163"/>
    <w:rsid w:val="3558D05A"/>
    <w:rsid w:val="355C1BC0"/>
    <w:rsid w:val="356B72A5"/>
    <w:rsid w:val="3570B463"/>
    <w:rsid w:val="3572FC3E"/>
    <w:rsid w:val="35A371A8"/>
    <w:rsid w:val="35AC52D3"/>
    <w:rsid w:val="35AF0704"/>
    <w:rsid w:val="35D197E1"/>
    <w:rsid w:val="35D25921"/>
    <w:rsid w:val="35EC1350"/>
    <w:rsid w:val="35FAF722"/>
    <w:rsid w:val="3604B6BC"/>
    <w:rsid w:val="3609BC3C"/>
    <w:rsid w:val="3612D5AB"/>
    <w:rsid w:val="3613E0DC"/>
    <w:rsid w:val="3619A419"/>
    <w:rsid w:val="361B58B5"/>
    <w:rsid w:val="361D8D30"/>
    <w:rsid w:val="364CDAE3"/>
    <w:rsid w:val="364F1635"/>
    <w:rsid w:val="3664CFB5"/>
    <w:rsid w:val="366F9D2B"/>
    <w:rsid w:val="368C1001"/>
    <w:rsid w:val="368C1B0C"/>
    <w:rsid w:val="36A00337"/>
    <w:rsid w:val="36A1D2E7"/>
    <w:rsid w:val="36A4C18E"/>
    <w:rsid w:val="36B05B06"/>
    <w:rsid w:val="36C9E49C"/>
    <w:rsid w:val="36CF5B67"/>
    <w:rsid w:val="3703C5D6"/>
    <w:rsid w:val="37047756"/>
    <w:rsid w:val="37136002"/>
    <w:rsid w:val="372E75CF"/>
    <w:rsid w:val="3738C21E"/>
    <w:rsid w:val="373C0B7E"/>
    <w:rsid w:val="3744EBA2"/>
    <w:rsid w:val="3754C521"/>
    <w:rsid w:val="3759A5DC"/>
    <w:rsid w:val="375A1558"/>
    <w:rsid w:val="377738BE"/>
    <w:rsid w:val="378ADE79"/>
    <w:rsid w:val="3793B1DB"/>
    <w:rsid w:val="37C04962"/>
    <w:rsid w:val="37C87095"/>
    <w:rsid w:val="37CC21EF"/>
    <w:rsid w:val="37D137CB"/>
    <w:rsid w:val="37EF2F3A"/>
    <w:rsid w:val="37F70E03"/>
    <w:rsid w:val="380CCF60"/>
    <w:rsid w:val="38394A2F"/>
    <w:rsid w:val="38600E58"/>
    <w:rsid w:val="386CD520"/>
    <w:rsid w:val="38D3FF8C"/>
    <w:rsid w:val="38E035BF"/>
    <w:rsid w:val="38F82277"/>
    <w:rsid w:val="38FF43A3"/>
    <w:rsid w:val="391AB1DF"/>
    <w:rsid w:val="39559E0B"/>
    <w:rsid w:val="396CD35A"/>
    <w:rsid w:val="39755C4D"/>
    <w:rsid w:val="3989F37D"/>
    <w:rsid w:val="399254B2"/>
    <w:rsid w:val="399591ED"/>
    <w:rsid w:val="399AFC59"/>
    <w:rsid w:val="39C94584"/>
    <w:rsid w:val="39E70CD5"/>
    <w:rsid w:val="39FD5EBA"/>
    <w:rsid w:val="3A03F38F"/>
    <w:rsid w:val="3A09772F"/>
    <w:rsid w:val="3A17A2F6"/>
    <w:rsid w:val="3A1EFFD2"/>
    <w:rsid w:val="3A6F3980"/>
    <w:rsid w:val="3A7313B9"/>
    <w:rsid w:val="3A774E5C"/>
    <w:rsid w:val="3AA2770E"/>
    <w:rsid w:val="3AD3670E"/>
    <w:rsid w:val="3AE6006F"/>
    <w:rsid w:val="3B2E4F1B"/>
    <w:rsid w:val="3B6E4969"/>
    <w:rsid w:val="3B8E1936"/>
    <w:rsid w:val="3B8F6738"/>
    <w:rsid w:val="3B91813A"/>
    <w:rsid w:val="3BA3B6D1"/>
    <w:rsid w:val="3BAF3DDB"/>
    <w:rsid w:val="3BB6695D"/>
    <w:rsid w:val="3BBB9B66"/>
    <w:rsid w:val="3C20406C"/>
    <w:rsid w:val="3C2E0E93"/>
    <w:rsid w:val="3C41EA65"/>
    <w:rsid w:val="3C4435DA"/>
    <w:rsid w:val="3C71724B"/>
    <w:rsid w:val="3C8052B2"/>
    <w:rsid w:val="3C81209A"/>
    <w:rsid w:val="3C939CAF"/>
    <w:rsid w:val="3CA485D8"/>
    <w:rsid w:val="3CA5AA7D"/>
    <w:rsid w:val="3CA86287"/>
    <w:rsid w:val="3CAB9BB5"/>
    <w:rsid w:val="3CC10FA5"/>
    <w:rsid w:val="3CD106E6"/>
    <w:rsid w:val="3CE165C9"/>
    <w:rsid w:val="3D02D689"/>
    <w:rsid w:val="3D086D60"/>
    <w:rsid w:val="3D1C3BC3"/>
    <w:rsid w:val="3D2A203E"/>
    <w:rsid w:val="3D2FE2ED"/>
    <w:rsid w:val="3D314957"/>
    <w:rsid w:val="3D45CE79"/>
    <w:rsid w:val="3D4BF755"/>
    <w:rsid w:val="3D5DA4D8"/>
    <w:rsid w:val="3D5EA233"/>
    <w:rsid w:val="3D5EC29E"/>
    <w:rsid w:val="3D768D28"/>
    <w:rsid w:val="3D7A8CBC"/>
    <w:rsid w:val="3D7AAC28"/>
    <w:rsid w:val="3DAE1F9E"/>
    <w:rsid w:val="3DBD3638"/>
    <w:rsid w:val="3DD737AA"/>
    <w:rsid w:val="3DE7301B"/>
    <w:rsid w:val="3DEC99E9"/>
    <w:rsid w:val="3E12D763"/>
    <w:rsid w:val="3E2E1ECB"/>
    <w:rsid w:val="3E402E41"/>
    <w:rsid w:val="3E404305"/>
    <w:rsid w:val="3E48642A"/>
    <w:rsid w:val="3E50E4D9"/>
    <w:rsid w:val="3E584E18"/>
    <w:rsid w:val="3E890C98"/>
    <w:rsid w:val="3EB0323C"/>
    <w:rsid w:val="3EBC7C13"/>
    <w:rsid w:val="3EF371D7"/>
    <w:rsid w:val="3EFD8D22"/>
    <w:rsid w:val="3F46F594"/>
    <w:rsid w:val="3F4BA9B8"/>
    <w:rsid w:val="3F61498C"/>
    <w:rsid w:val="3F70B2C4"/>
    <w:rsid w:val="3F9A3592"/>
    <w:rsid w:val="3F9B3D26"/>
    <w:rsid w:val="3FAC1071"/>
    <w:rsid w:val="3FCEE217"/>
    <w:rsid w:val="3FD60C75"/>
    <w:rsid w:val="3FDE34C2"/>
    <w:rsid w:val="3FDF8A93"/>
    <w:rsid w:val="3FE2B86D"/>
    <w:rsid w:val="3FEFCED5"/>
    <w:rsid w:val="400923CB"/>
    <w:rsid w:val="401A4987"/>
    <w:rsid w:val="4027879A"/>
    <w:rsid w:val="4044D4F4"/>
    <w:rsid w:val="4048D91B"/>
    <w:rsid w:val="40560E51"/>
    <w:rsid w:val="40709C70"/>
    <w:rsid w:val="4073BCF8"/>
    <w:rsid w:val="4081E6D4"/>
    <w:rsid w:val="40A24C89"/>
    <w:rsid w:val="40A73C0D"/>
    <w:rsid w:val="40DE6739"/>
    <w:rsid w:val="40EF9059"/>
    <w:rsid w:val="4110C674"/>
    <w:rsid w:val="41175B07"/>
    <w:rsid w:val="4118506F"/>
    <w:rsid w:val="413C1ADD"/>
    <w:rsid w:val="414753BB"/>
    <w:rsid w:val="41533439"/>
    <w:rsid w:val="41625D59"/>
    <w:rsid w:val="416922F0"/>
    <w:rsid w:val="41A3A0DA"/>
    <w:rsid w:val="41A6DB6A"/>
    <w:rsid w:val="41C3BFBC"/>
    <w:rsid w:val="41D4EC8B"/>
    <w:rsid w:val="41EE04D9"/>
    <w:rsid w:val="41F1EABA"/>
    <w:rsid w:val="425178BA"/>
    <w:rsid w:val="42537F67"/>
    <w:rsid w:val="4256A435"/>
    <w:rsid w:val="426FE8FC"/>
    <w:rsid w:val="427181E4"/>
    <w:rsid w:val="428F5975"/>
    <w:rsid w:val="4295007F"/>
    <w:rsid w:val="42B6D105"/>
    <w:rsid w:val="42BB2D04"/>
    <w:rsid w:val="42BCBD01"/>
    <w:rsid w:val="42CB8596"/>
    <w:rsid w:val="42E638D6"/>
    <w:rsid w:val="43077F26"/>
    <w:rsid w:val="4335E0C9"/>
    <w:rsid w:val="43368C77"/>
    <w:rsid w:val="433D09A8"/>
    <w:rsid w:val="435B57BB"/>
    <w:rsid w:val="4363FB7C"/>
    <w:rsid w:val="436C243C"/>
    <w:rsid w:val="436D07C1"/>
    <w:rsid w:val="43764C94"/>
    <w:rsid w:val="43874978"/>
    <w:rsid w:val="43B981EC"/>
    <w:rsid w:val="43BD6FBA"/>
    <w:rsid w:val="43EF9973"/>
    <w:rsid w:val="43F23204"/>
    <w:rsid w:val="43F678A3"/>
    <w:rsid w:val="441F2B5A"/>
    <w:rsid w:val="4425206A"/>
    <w:rsid w:val="4437E4D9"/>
    <w:rsid w:val="445AAB29"/>
    <w:rsid w:val="4482B05F"/>
    <w:rsid w:val="44B264A4"/>
    <w:rsid w:val="44D3B8B0"/>
    <w:rsid w:val="44E5E7F0"/>
    <w:rsid w:val="44E9744F"/>
    <w:rsid w:val="44F603A2"/>
    <w:rsid w:val="451EDB9F"/>
    <w:rsid w:val="45408296"/>
    <w:rsid w:val="4562341D"/>
    <w:rsid w:val="4596EE31"/>
    <w:rsid w:val="45A2926A"/>
    <w:rsid w:val="45A63373"/>
    <w:rsid w:val="45CBFA6B"/>
    <w:rsid w:val="45CFEEF3"/>
    <w:rsid w:val="45DE5FE5"/>
    <w:rsid w:val="45F1EB8D"/>
    <w:rsid w:val="4601C123"/>
    <w:rsid w:val="4611B2D3"/>
    <w:rsid w:val="466E2CCE"/>
    <w:rsid w:val="46AC849E"/>
    <w:rsid w:val="46AFE09C"/>
    <w:rsid w:val="46DA3436"/>
    <w:rsid w:val="4713E33E"/>
    <w:rsid w:val="4717D5F1"/>
    <w:rsid w:val="472B5F65"/>
    <w:rsid w:val="4732C8C6"/>
    <w:rsid w:val="4733CA64"/>
    <w:rsid w:val="473CA0CD"/>
    <w:rsid w:val="4740B0BD"/>
    <w:rsid w:val="4750A57B"/>
    <w:rsid w:val="477AA82C"/>
    <w:rsid w:val="47C64305"/>
    <w:rsid w:val="47FDF0B8"/>
    <w:rsid w:val="480CB755"/>
    <w:rsid w:val="4822A134"/>
    <w:rsid w:val="4844AE02"/>
    <w:rsid w:val="484BFE03"/>
    <w:rsid w:val="484CAE40"/>
    <w:rsid w:val="484D04EA"/>
    <w:rsid w:val="484F156B"/>
    <w:rsid w:val="4867E6AB"/>
    <w:rsid w:val="48704AAE"/>
    <w:rsid w:val="487203DC"/>
    <w:rsid w:val="488B35E2"/>
    <w:rsid w:val="48BAB207"/>
    <w:rsid w:val="48CE9772"/>
    <w:rsid w:val="48E14FA8"/>
    <w:rsid w:val="49004E98"/>
    <w:rsid w:val="49024296"/>
    <w:rsid w:val="4929AA78"/>
    <w:rsid w:val="49509BCB"/>
    <w:rsid w:val="4966FA66"/>
    <w:rsid w:val="49687338"/>
    <w:rsid w:val="49A8DC37"/>
    <w:rsid w:val="49BABF98"/>
    <w:rsid w:val="49BF6138"/>
    <w:rsid w:val="49CE40A3"/>
    <w:rsid w:val="49F2029F"/>
    <w:rsid w:val="4A049BD9"/>
    <w:rsid w:val="4A22DF56"/>
    <w:rsid w:val="4A31D64F"/>
    <w:rsid w:val="4A366E92"/>
    <w:rsid w:val="4A421696"/>
    <w:rsid w:val="4A4CDC47"/>
    <w:rsid w:val="4A695AD5"/>
    <w:rsid w:val="4A9F4FD5"/>
    <w:rsid w:val="4AAA8721"/>
    <w:rsid w:val="4AC24791"/>
    <w:rsid w:val="4AC62D3B"/>
    <w:rsid w:val="4AD9A94B"/>
    <w:rsid w:val="4ADC33CD"/>
    <w:rsid w:val="4AF1EFC4"/>
    <w:rsid w:val="4B05E590"/>
    <w:rsid w:val="4B0EA257"/>
    <w:rsid w:val="4B18FBDD"/>
    <w:rsid w:val="4B44FD73"/>
    <w:rsid w:val="4B4AB1D8"/>
    <w:rsid w:val="4B4C4EF7"/>
    <w:rsid w:val="4B4D5848"/>
    <w:rsid w:val="4B7D0020"/>
    <w:rsid w:val="4B939EBC"/>
    <w:rsid w:val="4B96CBAE"/>
    <w:rsid w:val="4BB507B4"/>
    <w:rsid w:val="4BB5EC24"/>
    <w:rsid w:val="4BC317F2"/>
    <w:rsid w:val="4BE62275"/>
    <w:rsid w:val="4BE881EB"/>
    <w:rsid w:val="4BEA3896"/>
    <w:rsid w:val="4C013E5E"/>
    <w:rsid w:val="4C1E6CE0"/>
    <w:rsid w:val="4C242FB6"/>
    <w:rsid w:val="4C48A4B2"/>
    <w:rsid w:val="4C5E7A4A"/>
    <w:rsid w:val="4C6B7132"/>
    <w:rsid w:val="4C78A633"/>
    <w:rsid w:val="4C8E3BC9"/>
    <w:rsid w:val="4C9E3102"/>
    <w:rsid w:val="4CC24D91"/>
    <w:rsid w:val="4CD3D23D"/>
    <w:rsid w:val="4CD4FDDC"/>
    <w:rsid w:val="4CD6C1B7"/>
    <w:rsid w:val="4CDC10D5"/>
    <w:rsid w:val="4CE33713"/>
    <w:rsid w:val="4CFBCDA6"/>
    <w:rsid w:val="4D0AEB57"/>
    <w:rsid w:val="4D0B8AB3"/>
    <w:rsid w:val="4D15A3E4"/>
    <w:rsid w:val="4D1A8EF7"/>
    <w:rsid w:val="4D44E7EB"/>
    <w:rsid w:val="4D469E69"/>
    <w:rsid w:val="4D477537"/>
    <w:rsid w:val="4D72A7E7"/>
    <w:rsid w:val="4D73DFEA"/>
    <w:rsid w:val="4D918E98"/>
    <w:rsid w:val="4D96DFFA"/>
    <w:rsid w:val="4DA4DB83"/>
    <w:rsid w:val="4DD94AD7"/>
    <w:rsid w:val="4DF2550B"/>
    <w:rsid w:val="4DF2E35F"/>
    <w:rsid w:val="4DF8BF99"/>
    <w:rsid w:val="4E0B5226"/>
    <w:rsid w:val="4E190BD0"/>
    <w:rsid w:val="4E3D67E3"/>
    <w:rsid w:val="4E4D4D4B"/>
    <w:rsid w:val="4E8DA772"/>
    <w:rsid w:val="4E9F14AE"/>
    <w:rsid w:val="4EBFAE1D"/>
    <w:rsid w:val="4EECFF3C"/>
    <w:rsid w:val="4F02D30E"/>
    <w:rsid w:val="4F1BED43"/>
    <w:rsid w:val="4F39EB05"/>
    <w:rsid w:val="4F6EF23C"/>
    <w:rsid w:val="4F75F96A"/>
    <w:rsid w:val="4F962D5B"/>
    <w:rsid w:val="4F99A1AB"/>
    <w:rsid w:val="4FB8A445"/>
    <w:rsid w:val="4FBF05EC"/>
    <w:rsid w:val="4FC6C140"/>
    <w:rsid w:val="4FEC1F40"/>
    <w:rsid w:val="4FF94A0B"/>
    <w:rsid w:val="501046BF"/>
    <w:rsid w:val="5012B348"/>
    <w:rsid w:val="503654C7"/>
    <w:rsid w:val="504120C7"/>
    <w:rsid w:val="504D8404"/>
    <w:rsid w:val="504E8FC3"/>
    <w:rsid w:val="5072E302"/>
    <w:rsid w:val="50818EBD"/>
    <w:rsid w:val="50B88793"/>
    <w:rsid w:val="50DC4D6C"/>
    <w:rsid w:val="50DCEF35"/>
    <w:rsid w:val="50ED6A80"/>
    <w:rsid w:val="50F4702A"/>
    <w:rsid w:val="51187ADC"/>
    <w:rsid w:val="51294039"/>
    <w:rsid w:val="5148640A"/>
    <w:rsid w:val="514C36CC"/>
    <w:rsid w:val="516E33EB"/>
    <w:rsid w:val="5179AC2D"/>
    <w:rsid w:val="5184F081"/>
    <w:rsid w:val="519E5683"/>
    <w:rsid w:val="51B1DD8D"/>
    <w:rsid w:val="51BA4568"/>
    <w:rsid w:val="51BFCC3C"/>
    <w:rsid w:val="51C1652E"/>
    <w:rsid w:val="51C3C947"/>
    <w:rsid w:val="51DF9A84"/>
    <w:rsid w:val="51E4A0F9"/>
    <w:rsid w:val="51F26240"/>
    <w:rsid w:val="5207A932"/>
    <w:rsid w:val="5214B735"/>
    <w:rsid w:val="52158389"/>
    <w:rsid w:val="5217F9D3"/>
    <w:rsid w:val="522DED08"/>
    <w:rsid w:val="52324539"/>
    <w:rsid w:val="523B854E"/>
    <w:rsid w:val="523EDEA1"/>
    <w:rsid w:val="524050B5"/>
    <w:rsid w:val="524A4A59"/>
    <w:rsid w:val="524D902D"/>
    <w:rsid w:val="52561AA6"/>
    <w:rsid w:val="525C2B76"/>
    <w:rsid w:val="528083BA"/>
    <w:rsid w:val="5280AF06"/>
    <w:rsid w:val="52A28464"/>
    <w:rsid w:val="52B41D68"/>
    <w:rsid w:val="52EEB88F"/>
    <w:rsid w:val="52FC7074"/>
    <w:rsid w:val="5310D185"/>
    <w:rsid w:val="5349D354"/>
    <w:rsid w:val="53598B0E"/>
    <w:rsid w:val="5375F38B"/>
    <w:rsid w:val="538BB6AE"/>
    <w:rsid w:val="539B2904"/>
    <w:rsid w:val="53A86EFD"/>
    <w:rsid w:val="53D00454"/>
    <w:rsid w:val="53DE01D7"/>
    <w:rsid w:val="53DE0DA1"/>
    <w:rsid w:val="53E2681D"/>
    <w:rsid w:val="53E92AD5"/>
    <w:rsid w:val="53EA6BBB"/>
    <w:rsid w:val="5401F228"/>
    <w:rsid w:val="54165B51"/>
    <w:rsid w:val="5469FDCA"/>
    <w:rsid w:val="546F72A3"/>
    <w:rsid w:val="548BDD9A"/>
    <w:rsid w:val="548E4C33"/>
    <w:rsid w:val="5496725D"/>
    <w:rsid w:val="54A61539"/>
    <w:rsid w:val="54B9EC37"/>
    <w:rsid w:val="54D8DB45"/>
    <w:rsid w:val="54E85771"/>
    <w:rsid w:val="54F23A74"/>
    <w:rsid w:val="55115CB4"/>
    <w:rsid w:val="5512455A"/>
    <w:rsid w:val="551FE4E5"/>
    <w:rsid w:val="55317AC3"/>
    <w:rsid w:val="5544DAE3"/>
    <w:rsid w:val="5544FDAD"/>
    <w:rsid w:val="55563D57"/>
    <w:rsid w:val="555C9AA1"/>
    <w:rsid w:val="5560FA01"/>
    <w:rsid w:val="556B767D"/>
    <w:rsid w:val="557B3E43"/>
    <w:rsid w:val="559E4D1B"/>
    <w:rsid w:val="55A48D41"/>
    <w:rsid w:val="55AF24C1"/>
    <w:rsid w:val="55D78026"/>
    <w:rsid w:val="55EAE826"/>
    <w:rsid w:val="55FC44AA"/>
    <w:rsid w:val="56241944"/>
    <w:rsid w:val="562491B5"/>
    <w:rsid w:val="5642A4D5"/>
    <w:rsid w:val="5660372B"/>
    <w:rsid w:val="56835A97"/>
    <w:rsid w:val="568606A9"/>
    <w:rsid w:val="56A4B020"/>
    <w:rsid w:val="56B2C692"/>
    <w:rsid w:val="56C825D6"/>
    <w:rsid w:val="56CC93A3"/>
    <w:rsid w:val="56F62EAA"/>
    <w:rsid w:val="56F9382F"/>
    <w:rsid w:val="5721C7BA"/>
    <w:rsid w:val="574533C3"/>
    <w:rsid w:val="574F3E96"/>
    <w:rsid w:val="57588973"/>
    <w:rsid w:val="57593BDD"/>
    <w:rsid w:val="5762E82B"/>
    <w:rsid w:val="57700297"/>
    <w:rsid w:val="57725C73"/>
    <w:rsid w:val="57A79E3D"/>
    <w:rsid w:val="57A7DC7F"/>
    <w:rsid w:val="57C83BF8"/>
    <w:rsid w:val="57CA5981"/>
    <w:rsid w:val="57E2D390"/>
    <w:rsid w:val="57E3BF0E"/>
    <w:rsid w:val="580EF6C9"/>
    <w:rsid w:val="580F0896"/>
    <w:rsid w:val="5821009D"/>
    <w:rsid w:val="5845FC61"/>
    <w:rsid w:val="5868F210"/>
    <w:rsid w:val="586BC447"/>
    <w:rsid w:val="5876443E"/>
    <w:rsid w:val="58DD0293"/>
    <w:rsid w:val="594972C6"/>
    <w:rsid w:val="597E528A"/>
    <w:rsid w:val="598372DE"/>
    <w:rsid w:val="5991890A"/>
    <w:rsid w:val="599CFBE4"/>
    <w:rsid w:val="599E002D"/>
    <w:rsid w:val="59A6D65D"/>
    <w:rsid w:val="59BD2688"/>
    <w:rsid w:val="59CE57CE"/>
    <w:rsid w:val="59F1633A"/>
    <w:rsid w:val="5A13CE00"/>
    <w:rsid w:val="5A468D78"/>
    <w:rsid w:val="5A5308E7"/>
    <w:rsid w:val="5A621864"/>
    <w:rsid w:val="5A644BCE"/>
    <w:rsid w:val="5A66128B"/>
    <w:rsid w:val="5A6B1E1B"/>
    <w:rsid w:val="5A90DA2D"/>
    <w:rsid w:val="5A9254BE"/>
    <w:rsid w:val="5A9C51ED"/>
    <w:rsid w:val="5ABD8241"/>
    <w:rsid w:val="5ABDE930"/>
    <w:rsid w:val="5AE61528"/>
    <w:rsid w:val="5AE64814"/>
    <w:rsid w:val="5AE8642C"/>
    <w:rsid w:val="5AF2D516"/>
    <w:rsid w:val="5B3FAACF"/>
    <w:rsid w:val="5B463F38"/>
    <w:rsid w:val="5B4E58D1"/>
    <w:rsid w:val="5B6514AB"/>
    <w:rsid w:val="5B651A8F"/>
    <w:rsid w:val="5B7BE07D"/>
    <w:rsid w:val="5BAA3BEE"/>
    <w:rsid w:val="5BC1440A"/>
    <w:rsid w:val="5BD4099B"/>
    <w:rsid w:val="5BDF42FC"/>
    <w:rsid w:val="5BE04E56"/>
    <w:rsid w:val="5BE48D66"/>
    <w:rsid w:val="5BF8FF6E"/>
    <w:rsid w:val="5C361EA4"/>
    <w:rsid w:val="5C410E6E"/>
    <w:rsid w:val="5C8D91BC"/>
    <w:rsid w:val="5CA0930E"/>
    <w:rsid w:val="5CB02DB4"/>
    <w:rsid w:val="5CB9F9C5"/>
    <w:rsid w:val="5CC7053E"/>
    <w:rsid w:val="5CD7C2C3"/>
    <w:rsid w:val="5CD88D5C"/>
    <w:rsid w:val="5CEBBD70"/>
    <w:rsid w:val="5CFC0997"/>
    <w:rsid w:val="5D02A8F7"/>
    <w:rsid w:val="5D1C643A"/>
    <w:rsid w:val="5D24F6F1"/>
    <w:rsid w:val="5D2C1A11"/>
    <w:rsid w:val="5D48DADB"/>
    <w:rsid w:val="5D4E31BC"/>
    <w:rsid w:val="5D4FB7CF"/>
    <w:rsid w:val="5D52D330"/>
    <w:rsid w:val="5D72061E"/>
    <w:rsid w:val="5D826EF6"/>
    <w:rsid w:val="5D9872F8"/>
    <w:rsid w:val="5DA18421"/>
    <w:rsid w:val="5DA3503C"/>
    <w:rsid w:val="5DA853B9"/>
    <w:rsid w:val="5DB29C14"/>
    <w:rsid w:val="5DBEFBDC"/>
    <w:rsid w:val="5DD950E2"/>
    <w:rsid w:val="5DF605BF"/>
    <w:rsid w:val="5E045EFB"/>
    <w:rsid w:val="5E074E45"/>
    <w:rsid w:val="5E07F7EC"/>
    <w:rsid w:val="5E10FA6C"/>
    <w:rsid w:val="5E11F698"/>
    <w:rsid w:val="5E17A7AD"/>
    <w:rsid w:val="5E2A4AFF"/>
    <w:rsid w:val="5E5494F6"/>
    <w:rsid w:val="5E5CB219"/>
    <w:rsid w:val="5E70E5A4"/>
    <w:rsid w:val="5E7F0BBA"/>
    <w:rsid w:val="5E94290C"/>
    <w:rsid w:val="5EC32960"/>
    <w:rsid w:val="5ED38492"/>
    <w:rsid w:val="5EE13D7B"/>
    <w:rsid w:val="5EF18DA6"/>
    <w:rsid w:val="5EFFF174"/>
    <w:rsid w:val="5F1052AA"/>
    <w:rsid w:val="5F268F06"/>
    <w:rsid w:val="5F293627"/>
    <w:rsid w:val="5F2DFBE8"/>
    <w:rsid w:val="5F4A6401"/>
    <w:rsid w:val="5F546DE1"/>
    <w:rsid w:val="5F5AE16B"/>
    <w:rsid w:val="5F872154"/>
    <w:rsid w:val="5F8EBD36"/>
    <w:rsid w:val="5F94BF1D"/>
    <w:rsid w:val="5FBBFC88"/>
    <w:rsid w:val="5FCA6E67"/>
    <w:rsid w:val="5FE15264"/>
    <w:rsid w:val="5FF0B644"/>
    <w:rsid w:val="600813B3"/>
    <w:rsid w:val="600ADDA1"/>
    <w:rsid w:val="601478A5"/>
    <w:rsid w:val="60195531"/>
    <w:rsid w:val="6019C256"/>
    <w:rsid w:val="602EB2EE"/>
    <w:rsid w:val="604C0CD4"/>
    <w:rsid w:val="605196C4"/>
    <w:rsid w:val="6051D4F6"/>
    <w:rsid w:val="6078735F"/>
    <w:rsid w:val="608086CB"/>
    <w:rsid w:val="6083729E"/>
    <w:rsid w:val="609E7765"/>
    <w:rsid w:val="60ADFE81"/>
    <w:rsid w:val="60C6C65D"/>
    <w:rsid w:val="60D4D86A"/>
    <w:rsid w:val="6114E4B0"/>
    <w:rsid w:val="613F2D5F"/>
    <w:rsid w:val="6144A2A1"/>
    <w:rsid w:val="61544B42"/>
    <w:rsid w:val="61996C3A"/>
    <w:rsid w:val="61CFD638"/>
    <w:rsid w:val="61F0977F"/>
    <w:rsid w:val="61FB9B18"/>
    <w:rsid w:val="6206F2FD"/>
    <w:rsid w:val="620FF649"/>
    <w:rsid w:val="62389966"/>
    <w:rsid w:val="62565F8A"/>
    <w:rsid w:val="625BB82D"/>
    <w:rsid w:val="62663409"/>
    <w:rsid w:val="627809C3"/>
    <w:rsid w:val="629DF172"/>
    <w:rsid w:val="62A74AFD"/>
    <w:rsid w:val="62B9694F"/>
    <w:rsid w:val="62D6C804"/>
    <w:rsid w:val="62EE3139"/>
    <w:rsid w:val="62FAC322"/>
    <w:rsid w:val="6314596C"/>
    <w:rsid w:val="632265B6"/>
    <w:rsid w:val="6337B637"/>
    <w:rsid w:val="633A6563"/>
    <w:rsid w:val="6344A415"/>
    <w:rsid w:val="6353002A"/>
    <w:rsid w:val="6354F8ED"/>
    <w:rsid w:val="63550C62"/>
    <w:rsid w:val="635C0CFD"/>
    <w:rsid w:val="63602945"/>
    <w:rsid w:val="63720226"/>
    <w:rsid w:val="637B0407"/>
    <w:rsid w:val="638F4C77"/>
    <w:rsid w:val="63BE25C8"/>
    <w:rsid w:val="63C565A5"/>
    <w:rsid w:val="63CC436B"/>
    <w:rsid w:val="63DF9A19"/>
    <w:rsid w:val="63EC9836"/>
    <w:rsid w:val="6410788F"/>
    <w:rsid w:val="64107CE3"/>
    <w:rsid w:val="6433C095"/>
    <w:rsid w:val="644E9B2B"/>
    <w:rsid w:val="646C2B84"/>
    <w:rsid w:val="6471767A"/>
    <w:rsid w:val="64956685"/>
    <w:rsid w:val="64AC6AF1"/>
    <w:rsid w:val="64C1BCD1"/>
    <w:rsid w:val="64CB5AFD"/>
    <w:rsid w:val="6502ACC9"/>
    <w:rsid w:val="65047A1D"/>
    <w:rsid w:val="65128102"/>
    <w:rsid w:val="6523864D"/>
    <w:rsid w:val="65391F7E"/>
    <w:rsid w:val="654D8125"/>
    <w:rsid w:val="654DF88B"/>
    <w:rsid w:val="6556C98A"/>
    <w:rsid w:val="655C3A57"/>
    <w:rsid w:val="65879FE9"/>
    <w:rsid w:val="65DBDF76"/>
    <w:rsid w:val="65E71838"/>
    <w:rsid w:val="660694AD"/>
    <w:rsid w:val="661BBBB9"/>
    <w:rsid w:val="6624B4F8"/>
    <w:rsid w:val="6641FE7A"/>
    <w:rsid w:val="66598C67"/>
    <w:rsid w:val="665E5A7C"/>
    <w:rsid w:val="66933BC4"/>
    <w:rsid w:val="6696AB04"/>
    <w:rsid w:val="669ED65D"/>
    <w:rsid w:val="66AC27A7"/>
    <w:rsid w:val="66B55976"/>
    <w:rsid w:val="66B604DE"/>
    <w:rsid w:val="66DFFC57"/>
    <w:rsid w:val="66FBC76B"/>
    <w:rsid w:val="6711A9A3"/>
    <w:rsid w:val="671E3E76"/>
    <w:rsid w:val="671F014A"/>
    <w:rsid w:val="6724943C"/>
    <w:rsid w:val="6739A266"/>
    <w:rsid w:val="674425DE"/>
    <w:rsid w:val="674F4924"/>
    <w:rsid w:val="67664E1C"/>
    <w:rsid w:val="676DFC4A"/>
    <w:rsid w:val="678BFA61"/>
    <w:rsid w:val="679E4AE3"/>
    <w:rsid w:val="67C453EC"/>
    <w:rsid w:val="68320B29"/>
    <w:rsid w:val="684BD1BC"/>
    <w:rsid w:val="6852817A"/>
    <w:rsid w:val="685D6BF0"/>
    <w:rsid w:val="6863F8E2"/>
    <w:rsid w:val="68788EDD"/>
    <w:rsid w:val="688796DE"/>
    <w:rsid w:val="688FFA8E"/>
    <w:rsid w:val="689F87B5"/>
    <w:rsid w:val="68AE641B"/>
    <w:rsid w:val="68D14838"/>
    <w:rsid w:val="68E05C1A"/>
    <w:rsid w:val="68E5854B"/>
    <w:rsid w:val="68E72EDB"/>
    <w:rsid w:val="690CD650"/>
    <w:rsid w:val="692084CC"/>
    <w:rsid w:val="693A19C4"/>
    <w:rsid w:val="693FE8DB"/>
    <w:rsid w:val="6942B4F0"/>
    <w:rsid w:val="6945DF81"/>
    <w:rsid w:val="694F93E7"/>
    <w:rsid w:val="695DC08E"/>
    <w:rsid w:val="69639EA7"/>
    <w:rsid w:val="69657043"/>
    <w:rsid w:val="6969E7DC"/>
    <w:rsid w:val="698221C6"/>
    <w:rsid w:val="6995C4BA"/>
    <w:rsid w:val="69A74D82"/>
    <w:rsid w:val="69B44DA2"/>
    <w:rsid w:val="69C51AE7"/>
    <w:rsid w:val="69CDC869"/>
    <w:rsid w:val="69D09F27"/>
    <w:rsid w:val="69EDB514"/>
    <w:rsid w:val="69F39881"/>
    <w:rsid w:val="69F9EA8E"/>
    <w:rsid w:val="6A04E283"/>
    <w:rsid w:val="6A0577BA"/>
    <w:rsid w:val="6A0939BD"/>
    <w:rsid w:val="6A0AC710"/>
    <w:rsid w:val="6A2EA3FE"/>
    <w:rsid w:val="6A510C6D"/>
    <w:rsid w:val="6A5C18F2"/>
    <w:rsid w:val="6A5E7FBC"/>
    <w:rsid w:val="6A73D55D"/>
    <w:rsid w:val="6A8239E1"/>
    <w:rsid w:val="6A8C6766"/>
    <w:rsid w:val="6A9E7A63"/>
    <w:rsid w:val="6ABBF847"/>
    <w:rsid w:val="6AD75A9D"/>
    <w:rsid w:val="6AD7E591"/>
    <w:rsid w:val="6AD8050E"/>
    <w:rsid w:val="6ADD85D8"/>
    <w:rsid w:val="6AE2BD9B"/>
    <w:rsid w:val="6AF4A570"/>
    <w:rsid w:val="6AFB551D"/>
    <w:rsid w:val="6B467031"/>
    <w:rsid w:val="6B5AB05F"/>
    <w:rsid w:val="6B62A2D9"/>
    <w:rsid w:val="6B6B6752"/>
    <w:rsid w:val="6B7DE20E"/>
    <w:rsid w:val="6B86810A"/>
    <w:rsid w:val="6BA01405"/>
    <w:rsid w:val="6BA3560C"/>
    <w:rsid w:val="6BB0C4F9"/>
    <w:rsid w:val="6BD5CDD9"/>
    <w:rsid w:val="6BDEC8C4"/>
    <w:rsid w:val="6BE707B9"/>
    <w:rsid w:val="6BE821B7"/>
    <w:rsid w:val="6BEDD5E5"/>
    <w:rsid w:val="6BF9B4BE"/>
    <w:rsid w:val="6C045CC3"/>
    <w:rsid w:val="6C318D4C"/>
    <w:rsid w:val="6C3A75B8"/>
    <w:rsid w:val="6C477EAD"/>
    <w:rsid w:val="6C4814F7"/>
    <w:rsid w:val="6C493F95"/>
    <w:rsid w:val="6C504463"/>
    <w:rsid w:val="6C6705F3"/>
    <w:rsid w:val="6C7292B4"/>
    <w:rsid w:val="6C736377"/>
    <w:rsid w:val="6CB85E43"/>
    <w:rsid w:val="6CD73074"/>
    <w:rsid w:val="6CEBCBE3"/>
    <w:rsid w:val="6CFDCE20"/>
    <w:rsid w:val="6D07DE23"/>
    <w:rsid w:val="6D213B37"/>
    <w:rsid w:val="6D2B53E0"/>
    <w:rsid w:val="6D3539D6"/>
    <w:rsid w:val="6D4C71EB"/>
    <w:rsid w:val="6D51D733"/>
    <w:rsid w:val="6D9A295C"/>
    <w:rsid w:val="6D9D2317"/>
    <w:rsid w:val="6DA2ACEE"/>
    <w:rsid w:val="6DAF289C"/>
    <w:rsid w:val="6DBF1CDE"/>
    <w:rsid w:val="6DCFEB70"/>
    <w:rsid w:val="6DD18EBA"/>
    <w:rsid w:val="6DE0D613"/>
    <w:rsid w:val="6DF2961C"/>
    <w:rsid w:val="6DFE0995"/>
    <w:rsid w:val="6E03F226"/>
    <w:rsid w:val="6E29A53B"/>
    <w:rsid w:val="6E38E5B6"/>
    <w:rsid w:val="6E520B7D"/>
    <w:rsid w:val="6E5928E2"/>
    <w:rsid w:val="6E6760B8"/>
    <w:rsid w:val="6E8A4807"/>
    <w:rsid w:val="6EAEDED2"/>
    <w:rsid w:val="6EB04669"/>
    <w:rsid w:val="6EBE659B"/>
    <w:rsid w:val="6F010D7B"/>
    <w:rsid w:val="6F0414F6"/>
    <w:rsid w:val="6F0537A8"/>
    <w:rsid w:val="6F285F8A"/>
    <w:rsid w:val="6F2BDE24"/>
    <w:rsid w:val="6F5F60E4"/>
    <w:rsid w:val="6F83B0D0"/>
    <w:rsid w:val="6F86FB7D"/>
    <w:rsid w:val="6F888B2F"/>
    <w:rsid w:val="6F98926D"/>
    <w:rsid w:val="6FD5E2ED"/>
    <w:rsid w:val="6FDB28E2"/>
    <w:rsid w:val="6FDD2F5A"/>
    <w:rsid w:val="6FF08AAA"/>
    <w:rsid w:val="6FF1D1D5"/>
    <w:rsid w:val="6FF50CFF"/>
    <w:rsid w:val="700D0C74"/>
    <w:rsid w:val="7014FD72"/>
    <w:rsid w:val="701ECA34"/>
    <w:rsid w:val="7023708A"/>
    <w:rsid w:val="7025E844"/>
    <w:rsid w:val="702B4D6C"/>
    <w:rsid w:val="7032C13F"/>
    <w:rsid w:val="704B88FF"/>
    <w:rsid w:val="705B540D"/>
    <w:rsid w:val="708BE065"/>
    <w:rsid w:val="70918497"/>
    <w:rsid w:val="7099D0B9"/>
    <w:rsid w:val="709AA9F2"/>
    <w:rsid w:val="709AEE8A"/>
    <w:rsid w:val="70AD868F"/>
    <w:rsid w:val="70BF61BA"/>
    <w:rsid w:val="70E91593"/>
    <w:rsid w:val="70E962E5"/>
    <w:rsid w:val="70FEA914"/>
    <w:rsid w:val="71288095"/>
    <w:rsid w:val="7136528F"/>
    <w:rsid w:val="7141AEA5"/>
    <w:rsid w:val="7144BD67"/>
    <w:rsid w:val="715012D6"/>
    <w:rsid w:val="7158C047"/>
    <w:rsid w:val="715A6225"/>
    <w:rsid w:val="717189FA"/>
    <w:rsid w:val="71973DE6"/>
    <w:rsid w:val="71BBCBAF"/>
    <w:rsid w:val="71F78216"/>
    <w:rsid w:val="71FB2482"/>
    <w:rsid w:val="722CFCF5"/>
    <w:rsid w:val="724F677F"/>
    <w:rsid w:val="7264401A"/>
    <w:rsid w:val="72671E57"/>
    <w:rsid w:val="72678AE8"/>
    <w:rsid w:val="7269A8CC"/>
    <w:rsid w:val="7292E1CB"/>
    <w:rsid w:val="72992164"/>
    <w:rsid w:val="72B030B3"/>
    <w:rsid w:val="72DFF4B4"/>
    <w:rsid w:val="72E09A7E"/>
    <w:rsid w:val="72E86D20"/>
    <w:rsid w:val="72EFCE37"/>
    <w:rsid w:val="72FB04D4"/>
    <w:rsid w:val="73145205"/>
    <w:rsid w:val="731D6510"/>
    <w:rsid w:val="73279329"/>
    <w:rsid w:val="733BC011"/>
    <w:rsid w:val="73442D26"/>
    <w:rsid w:val="734F99BA"/>
    <w:rsid w:val="735B0B06"/>
    <w:rsid w:val="73652CC7"/>
    <w:rsid w:val="73692289"/>
    <w:rsid w:val="7370813E"/>
    <w:rsid w:val="737DC88B"/>
    <w:rsid w:val="738E14F0"/>
    <w:rsid w:val="739FB627"/>
    <w:rsid w:val="73A1DD48"/>
    <w:rsid w:val="73AF3EB5"/>
    <w:rsid w:val="73C055A8"/>
    <w:rsid w:val="73D22F6D"/>
    <w:rsid w:val="73E93333"/>
    <w:rsid w:val="73F220C2"/>
    <w:rsid w:val="73FDEE53"/>
    <w:rsid w:val="740433E0"/>
    <w:rsid w:val="740E87E7"/>
    <w:rsid w:val="741E67E8"/>
    <w:rsid w:val="7420E87F"/>
    <w:rsid w:val="74238F47"/>
    <w:rsid w:val="74275FF9"/>
    <w:rsid w:val="742D92EA"/>
    <w:rsid w:val="7441E73B"/>
    <w:rsid w:val="744F243B"/>
    <w:rsid w:val="746088A3"/>
    <w:rsid w:val="746B80C5"/>
    <w:rsid w:val="746F21BA"/>
    <w:rsid w:val="74D1DB22"/>
    <w:rsid w:val="74DBB5EF"/>
    <w:rsid w:val="74F0DE0A"/>
    <w:rsid w:val="74F291AD"/>
    <w:rsid w:val="74FB9867"/>
    <w:rsid w:val="75150ABE"/>
    <w:rsid w:val="75167D45"/>
    <w:rsid w:val="75183EA9"/>
    <w:rsid w:val="75351E4F"/>
    <w:rsid w:val="753A21A8"/>
    <w:rsid w:val="753B001C"/>
    <w:rsid w:val="756DEEBF"/>
    <w:rsid w:val="75726468"/>
    <w:rsid w:val="75999579"/>
    <w:rsid w:val="75CC0677"/>
    <w:rsid w:val="75D1814B"/>
    <w:rsid w:val="75EE9C19"/>
    <w:rsid w:val="75F32ADD"/>
    <w:rsid w:val="75FB2478"/>
    <w:rsid w:val="75FB8F7B"/>
    <w:rsid w:val="75FF4A94"/>
    <w:rsid w:val="760375FA"/>
    <w:rsid w:val="7607F681"/>
    <w:rsid w:val="760A4AB4"/>
    <w:rsid w:val="761371FC"/>
    <w:rsid w:val="761813F0"/>
    <w:rsid w:val="7620EB74"/>
    <w:rsid w:val="7642D906"/>
    <w:rsid w:val="76496C58"/>
    <w:rsid w:val="76582785"/>
    <w:rsid w:val="765906FB"/>
    <w:rsid w:val="76610B99"/>
    <w:rsid w:val="7663B15B"/>
    <w:rsid w:val="7663CF96"/>
    <w:rsid w:val="76A0D569"/>
    <w:rsid w:val="76C8F488"/>
    <w:rsid w:val="76DAAC37"/>
    <w:rsid w:val="76E2ACEE"/>
    <w:rsid w:val="771566BC"/>
    <w:rsid w:val="7716B273"/>
    <w:rsid w:val="774592E7"/>
    <w:rsid w:val="7751F4EA"/>
    <w:rsid w:val="77645803"/>
    <w:rsid w:val="776D7745"/>
    <w:rsid w:val="779BF36C"/>
    <w:rsid w:val="77A36340"/>
    <w:rsid w:val="77A5A234"/>
    <w:rsid w:val="77A80055"/>
    <w:rsid w:val="77B9CF31"/>
    <w:rsid w:val="77BB5AC6"/>
    <w:rsid w:val="77D93FD2"/>
    <w:rsid w:val="78035BB6"/>
    <w:rsid w:val="780619A3"/>
    <w:rsid w:val="78135AF7"/>
    <w:rsid w:val="78160304"/>
    <w:rsid w:val="781F0B7C"/>
    <w:rsid w:val="7829BECE"/>
    <w:rsid w:val="782AD25C"/>
    <w:rsid w:val="782D0557"/>
    <w:rsid w:val="78378E41"/>
    <w:rsid w:val="7852FD2D"/>
    <w:rsid w:val="78554986"/>
    <w:rsid w:val="785F2B0C"/>
    <w:rsid w:val="7882B0C1"/>
    <w:rsid w:val="788810A1"/>
    <w:rsid w:val="78AA0A15"/>
    <w:rsid w:val="78B5A8EA"/>
    <w:rsid w:val="78BC903A"/>
    <w:rsid w:val="78C91793"/>
    <w:rsid w:val="78EE1C96"/>
    <w:rsid w:val="78EF6720"/>
    <w:rsid w:val="790E05CD"/>
    <w:rsid w:val="793175BD"/>
    <w:rsid w:val="795D11B2"/>
    <w:rsid w:val="79668BE2"/>
    <w:rsid w:val="7994F3C9"/>
    <w:rsid w:val="79D56251"/>
    <w:rsid w:val="79E3746D"/>
    <w:rsid w:val="7A218542"/>
    <w:rsid w:val="7A2E3624"/>
    <w:rsid w:val="7A561203"/>
    <w:rsid w:val="7A77F8CA"/>
    <w:rsid w:val="7A82BEE8"/>
    <w:rsid w:val="7AB77BF0"/>
    <w:rsid w:val="7AC1E991"/>
    <w:rsid w:val="7AD42343"/>
    <w:rsid w:val="7ADA2E37"/>
    <w:rsid w:val="7B0D71AA"/>
    <w:rsid w:val="7B319FA3"/>
    <w:rsid w:val="7B3DB28B"/>
    <w:rsid w:val="7B3EB742"/>
    <w:rsid w:val="7B42BC16"/>
    <w:rsid w:val="7B681BC1"/>
    <w:rsid w:val="7B86AE3F"/>
    <w:rsid w:val="7B89ACAC"/>
    <w:rsid w:val="7B8AB15F"/>
    <w:rsid w:val="7B8B3ED1"/>
    <w:rsid w:val="7BB1478D"/>
    <w:rsid w:val="7BD4D7BB"/>
    <w:rsid w:val="7BDD445A"/>
    <w:rsid w:val="7C090D1D"/>
    <w:rsid w:val="7C1A1A36"/>
    <w:rsid w:val="7C24386E"/>
    <w:rsid w:val="7C4B26E5"/>
    <w:rsid w:val="7C69AC65"/>
    <w:rsid w:val="7D1898F6"/>
    <w:rsid w:val="7D24DA1C"/>
    <w:rsid w:val="7D2622B2"/>
    <w:rsid w:val="7D2ED1E9"/>
    <w:rsid w:val="7D343622"/>
    <w:rsid w:val="7D3D8B29"/>
    <w:rsid w:val="7D60D4BC"/>
    <w:rsid w:val="7D6EB67E"/>
    <w:rsid w:val="7D7D6CBF"/>
    <w:rsid w:val="7D8B6130"/>
    <w:rsid w:val="7D8D2623"/>
    <w:rsid w:val="7D98EAF1"/>
    <w:rsid w:val="7D9B9A4F"/>
    <w:rsid w:val="7DC3C392"/>
    <w:rsid w:val="7DD41AB8"/>
    <w:rsid w:val="7DE50901"/>
    <w:rsid w:val="7DEF8E09"/>
    <w:rsid w:val="7DF8B012"/>
    <w:rsid w:val="7DF92DE5"/>
    <w:rsid w:val="7E2A4DD0"/>
    <w:rsid w:val="7E2C5D88"/>
    <w:rsid w:val="7E372021"/>
    <w:rsid w:val="7E43F281"/>
    <w:rsid w:val="7E536DFB"/>
    <w:rsid w:val="7E5FEB63"/>
    <w:rsid w:val="7E8E22D0"/>
    <w:rsid w:val="7EB57209"/>
    <w:rsid w:val="7F1B02D9"/>
    <w:rsid w:val="7F1D6302"/>
    <w:rsid w:val="7F268A9A"/>
    <w:rsid w:val="7F324E58"/>
    <w:rsid w:val="7F32AE9B"/>
    <w:rsid w:val="7F5D3021"/>
    <w:rsid w:val="7F6E4E84"/>
    <w:rsid w:val="7F80EBDD"/>
    <w:rsid w:val="7F95E760"/>
    <w:rsid w:val="7F99EA3C"/>
    <w:rsid w:val="7F9C4B45"/>
    <w:rsid w:val="7FBF02CE"/>
    <w:rsid w:val="7FDD639C"/>
    <w:rsid w:val="7FEB06F0"/>
    <w:rsid w:val="7FF565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F2AEF"/>
    <w:rPr>
      <w:rFonts w:ascii="Times New Roman" w:hAnsi="Times New Roman" w:cs="Times New Roman"/>
      <w:sz w:val="24"/>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F2AEF"/>
    <w:rPr>
      <w:rFonts w:ascii="Times New Roman" w:hAnsi="Times New Roman" w:cs="Times New Roman"/>
      <w:b/>
      <w:sz w:val="32"/>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F2AEF"/>
    <w:rPr>
      <w:rFonts w:ascii="Times New Roman" w:hAnsi="Times New Roman" w:cs="Times New Roman"/>
      <w:sz w:val="24"/>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F2AEF"/>
    <w:rPr>
      <w:rFonts w:ascii="Times New Roman" w:hAnsi="Times New Roman" w:cs="Times New Roman"/>
      <w:b/>
      <w:sz w:val="32"/>
    </w:rPr>
  </w:style>
  <w:style w:type="paragraph" w:customStyle="1" w:styleId="HeaderSensitivityRight">
    <w:name w:val="Header Sensitivity Right"/>
    <w:basedOn w:val="Normal"/>
    <w:link w:val="HeaderSensitivityRightChar"/>
    <w:rsid w:val="00653F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F2AEF"/>
    <w:rPr>
      <w:rFonts w:ascii="Times New Roman" w:hAnsi="Times New Roman" w:cs="Times New Roman"/>
      <w:sz w:val="28"/>
    </w:rPr>
  </w:style>
  <w:style w:type="paragraph" w:customStyle="1" w:styleId="li">
    <w:name w:val="li"/>
    <w:basedOn w:val="Normal"/>
    <w:rsid w:val="005A63C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Normal1">
    <w:name w:val="Normal1"/>
    <w:basedOn w:val="Normal"/>
    <w:rsid w:val="005A63C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footnotereference">
    <w:name w:val="footnotereference"/>
    <w:basedOn w:val="DefaultParagraphFont"/>
    <w:rsid w:val="005A63C8"/>
  </w:style>
  <w:style w:type="character" w:styleId="Hyperlink">
    <w:name w:val="Hyperlink"/>
    <w:basedOn w:val="DefaultParagraphFont"/>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ascii="Times New Roman" w:eastAsia="Times New Roman" w:hAnsi="Times New Roman" w:cs="Times New Roman"/>
      <w:b/>
      <w:sz w:val="24"/>
      <w:szCs w:val="20"/>
      <w:lang w:eastAsia="en-GB"/>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footnote text,Char"/>
    <w:basedOn w:val="Normal"/>
    <w:link w:val="FootnoteTextChar"/>
    <w:uiPriority w:val="99"/>
    <w:unhideWhenUsed/>
    <w:qFormat/>
    <w:rsid w:val="00B279E0"/>
    <w:pPr>
      <w:spacing w:after="0" w:line="240" w:lineRule="auto"/>
    </w:pPr>
    <w:rPr>
      <w:sz w:val="20"/>
      <w:szCs w:val="20"/>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
    <w:basedOn w:val="DefaultParagraphFont"/>
    <w:link w:val="FootnoteText"/>
    <w:uiPriority w:val="99"/>
    <w:qFormat/>
    <w:rsid w:val="00B279E0"/>
    <w:rPr>
      <w:sz w:val="20"/>
      <w:szCs w:val="20"/>
      <w:lang w:val="fr-FR"/>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B279E0"/>
    <w:pPr>
      <w:spacing w:line="256" w:lineRule="auto"/>
      <w:ind w:left="720"/>
      <w:contextualSpacing/>
    </w:pPr>
  </w:style>
  <w:style w:type="character" w:styleId="FootnoteReference0">
    <w:name w:val="footnote reference"/>
    <w:aliases w:val="BVI fnr, BVI fnr,Footnote Reference Superscript,Footnote symbol,Odwołanie przypisu,Footnote Reference_LVL6,Footnote Reference_LVL61,Footnote Reference_LVL62,Footnote Reference_LVL63,Footnote Reference_LVL64,Footnote Reference_LVL,Nota"/>
    <w:basedOn w:val="DefaultParagraphFont"/>
    <w:link w:val="FootnotesymbolCarZchn"/>
    <w:uiPriority w:val="99"/>
    <w:unhideWhenUsed/>
    <w:qFormat/>
    <w:rsid w:val="00B279E0"/>
    <w:rPr>
      <w:vertAlign w:val="superscript"/>
    </w:rPr>
  </w:style>
  <w:style w:type="character" w:styleId="CommentReference">
    <w:name w:val="annotation reference"/>
    <w:basedOn w:val="DefaultParagraphFont"/>
    <w:uiPriority w:val="99"/>
    <w:semiHidden/>
    <w:unhideWhenUsed/>
    <w:rsid w:val="00DD09F0"/>
    <w:rPr>
      <w:sz w:val="16"/>
      <w:szCs w:val="16"/>
    </w:rPr>
  </w:style>
  <w:style w:type="paragraph" w:styleId="CommentText">
    <w:name w:val="annotation text"/>
    <w:basedOn w:val="Normal"/>
    <w:link w:val="CommentTextChar"/>
    <w:uiPriority w:val="99"/>
    <w:unhideWhenUsed/>
    <w:rsid w:val="00DD09F0"/>
    <w:pPr>
      <w:spacing w:line="240" w:lineRule="auto"/>
    </w:pPr>
    <w:rPr>
      <w:sz w:val="20"/>
      <w:szCs w:val="20"/>
    </w:rPr>
  </w:style>
  <w:style w:type="character" w:customStyle="1" w:styleId="CommentTextChar">
    <w:name w:val="Comment Text Char"/>
    <w:basedOn w:val="DefaultParagraphFont"/>
    <w:link w:val="CommentText"/>
    <w:uiPriority w:val="99"/>
    <w:rsid w:val="00DD09F0"/>
    <w:rPr>
      <w:sz w:val="20"/>
      <w:szCs w:val="20"/>
    </w:rPr>
  </w:style>
  <w:style w:type="paragraph" w:styleId="CommentSubject">
    <w:name w:val="annotation subject"/>
    <w:basedOn w:val="CommentText"/>
    <w:next w:val="CommentText"/>
    <w:link w:val="CommentSubjectChar"/>
    <w:uiPriority w:val="99"/>
    <w:semiHidden/>
    <w:unhideWhenUsed/>
    <w:rsid w:val="00DD09F0"/>
    <w:rPr>
      <w:b/>
      <w:bCs/>
    </w:rPr>
  </w:style>
  <w:style w:type="character" w:customStyle="1" w:styleId="CommentSubjectChar">
    <w:name w:val="Comment Subject Char"/>
    <w:basedOn w:val="CommentTextChar"/>
    <w:link w:val="CommentSubject"/>
    <w:uiPriority w:val="99"/>
    <w:semiHidden/>
    <w:rsid w:val="00DD09F0"/>
    <w:rPr>
      <w:b/>
      <w:bCs/>
      <w:sz w:val="20"/>
      <w:szCs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szCs w:val="18"/>
    </w:rPr>
  </w:style>
  <w:style w:type="paragraph" w:customStyle="1" w:styleId="paragraph">
    <w:name w:val="paragraph"/>
    <w:basedOn w:val="Normal"/>
    <w:rsid w:val="00624A3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54526B"/>
    <w:pPr>
      <w:spacing w:before="360" w:after="360" w:line="240" w:lineRule="auto"/>
      <w:jc w:val="center"/>
    </w:pPr>
    <w:rPr>
      <w:rFonts w:ascii="Times New Roman" w:hAnsi="Times New Roman" w:cs="Times New Roman"/>
      <w:b/>
      <w:sz w:val="24"/>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B240B"/>
    <w:rPr>
      <w:lang w:val="fr-FR"/>
    </w:rPr>
  </w:style>
  <w:style w:type="paragraph" w:customStyle="1" w:styleId="Style1">
    <w:name w:val="Style1"/>
    <w:basedOn w:val="Subject"/>
    <w:link w:val="Style1Char"/>
    <w:qFormat/>
    <w:rsid w:val="00E12D9E"/>
    <w:pPr>
      <w:numPr>
        <w:numId w:val="3"/>
      </w:numPr>
      <w:jc w:val="both"/>
    </w:pPr>
    <w:rPr>
      <w:smallCaps/>
      <w:color w:val="333333"/>
      <w:szCs w:val="24"/>
    </w:rPr>
  </w:style>
  <w:style w:type="paragraph" w:customStyle="1" w:styleId="Style2">
    <w:name w:val="Style2"/>
    <w:basedOn w:val="ListParagraph"/>
    <w:link w:val="Style2Char"/>
    <w:qFormat/>
    <w:rsid w:val="00775262"/>
    <w:pPr>
      <w:numPr>
        <w:ilvl w:val="1"/>
        <w:numId w:val="3"/>
      </w:numPr>
      <w:autoSpaceDE w:val="0"/>
      <w:autoSpaceDN w:val="0"/>
      <w:spacing w:after="0" w:line="252" w:lineRule="auto"/>
      <w:jc w:val="both"/>
    </w:pPr>
    <w:rPr>
      <w:rFonts w:ascii="Times New Roman" w:hAnsi="Times New Roman" w:cs="Times New Roman"/>
      <w:b/>
      <w:bCs/>
      <w:sz w:val="24"/>
      <w:szCs w:val="24"/>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szCs w:val="20"/>
      <w:lang w:val="fr-FR" w:eastAsia="en-GB"/>
    </w:rPr>
  </w:style>
  <w:style w:type="character" w:customStyle="1" w:styleId="Style1Char">
    <w:name w:val="Style1 Char"/>
    <w:basedOn w:val="SubjectChar"/>
    <w:link w:val="Style1"/>
    <w:rsid w:val="00E12D9E"/>
    <w:rPr>
      <w:rFonts w:ascii="Times New Roman" w:eastAsia="Times New Roman" w:hAnsi="Times New Roman" w:cs="Times New Roman"/>
      <w:b/>
      <w:smallCaps/>
      <w:color w:val="333333"/>
      <w:sz w:val="24"/>
      <w:szCs w:val="24"/>
      <w:lang w:val="fr-FR" w:eastAsia="en-GB"/>
    </w:rPr>
  </w:style>
  <w:style w:type="character" w:customStyle="1" w:styleId="Style2Char">
    <w:name w:val="Style2 Char"/>
    <w:basedOn w:val="ListParagraphChar"/>
    <w:link w:val="Style2"/>
    <w:rsid w:val="00E12D9E"/>
    <w:rPr>
      <w:rFonts w:ascii="Times New Roman" w:hAnsi="Times New Roman" w:cs="Times New Roman"/>
      <w:b/>
      <w:bCs/>
      <w:sz w:val="24"/>
      <w:szCs w:val="24"/>
      <w:lang w:val="fr-FR"/>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szCs w:val="18"/>
    </w:rPr>
  </w:style>
  <w:style w:type="character" w:customStyle="1" w:styleId="cf11">
    <w:name w:val="cf11"/>
    <w:basedOn w:val="DefaultParagraphFont"/>
    <w:rsid w:val="00174BBC"/>
    <w:rPr>
      <w:rFonts w:ascii="Segoe UI" w:hAnsi="Segoe UI" w:cs="Segoe UI" w:hint="default"/>
      <w:b/>
      <w:bCs/>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0"/>
    <w:uiPriority w:val="99"/>
    <w:rsid w:val="005203A6"/>
    <w:pPr>
      <w:widowControl w:val="0"/>
      <w:adjustRightInd w:val="0"/>
      <w:spacing w:line="240" w:lineRule="exact"/>
      <w:jc w:val="both"/>
      <w:textAlignment w:val="baseline"/>
    </w:pPr>
    <w:rPr>
      <w:vertAlign w:val="superscript"/>
    </w:rPr>
  </w:style>
  <w:style w:type="character" w:customStyle="1" w:styleId="Hyperlink1">
    <w:name w:val="Hyperlink1"/>
    <w:basedOn w:val="DefaultParagraphFont"/>
    <w:uiPriority w:val="99"/>
    <w:unhideWhenUsed/>
    <w:rsid w:val="00012BCC"/>
    <w:rPr>
      <w:color w:val="0000FF"/>
      <w:u w:val="single"/>
    </w:rPr>
  </w:style>
  <w:style w:type="paragraph" w:customStyle="1" w:styleId="FootnoteText1">
    <w:name w:val="Footnote Text1"/>
    <w:basedOn w:val="Normal"/>
    <w:next w:val="FootnoteText"/>
    <w:uiPriority w:val="99"/>
    <w:unhideWhenUsed/>
    <w:rsid w:val="00012BCC"/>
    <w:pPr>
      <w:spacing w:after="0" w:line="240" w:lineRule="auto"/>
    </w:pPr>
    <w:rPr>
      <w:rFonts w:eastAsia="MS Mincho"/>
      <w:sz w:val="20"/>
      <w:szCs w:val="20"/>
    </w:rPr>
  </w:style>
  <w:style w:type="character" w:customStyle="1" w:styleId="UnresolvedMention3">
    <w:name w:val="Unresolved Mention3"/>
    <w:basedOn w:val="DefaultParagraphFont"/>
    <w:uiPriority w:val="99"/>
    <w:semiHidden/>
    <w:unhideWhenUsed/>
    <w:rsid w:val="00014793"/>
    <w:rPr>
      <w:color w:val="605E5C"/>
      <w:shd w:val="clear" w:color="auto" w:fill="E1DFDD"/>
    </w:rPr>
  </w:style>
  <w:style w:type="paragraph" w:customStyle="1" w:styleId="ContNum">
    <w:name w:val="ContNum"/>
    <w:basedOn w:val="Normal"/>
    <w:uiPriority w:val="20"/>
    <w:qFormat/>
    <w:rsid w:val="00132CCB"/>
    <w:pPr>
      <w:spacing w:after="240" w:line="240" w:lineRule="auto"/>
      <w:jc w:val="both"/>
    </w:pPr>
    <w:rPr>
      <w:rFonts w:ascii="Times New Roman" w:eastAsia="Times New Roman" w:hAnsi="Times New Roman" w:cs="Times New Roman"/>
      <w:sz w:val="24"/>
      <w:szCs w:val="20"/>
      <w:lang w:eastAsia="en-GB"/>
    </w:rPr>
  </w:style>
  <w:style w:type="table" w:styleId="TableGrid">
    <w:name w:val="Table Grid"/>
    <w:basedOn w:val="TableNormal"/>
    <w:uiPriority w:val="39"/>
    <w:rsid w:val="00A33633"/>
    <w:pPr>
      <w:spacing w:after="0" w:line="240" w:lineRule="auto"/>
    </w:pPr>
    <w:tblPr/>
  </w:style>
  <w:style w:type="paragraph" w:customStyle="1" w:styleId="Languesfaisantfoi">
    <w:name w:val="Langues faisant foi"/>
    <w:basedOn w:val="Normal"/>
    <w:next w:val="Normal"/>
    <w:rsid w:val="009C694E"/>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9C694E"/>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9C694E"/>
    <w:pPr>
      <w:spacing w:after="0"/>
    </w:pPr>
  </w:style>
  <w:style w:type="paragraph" w:customStyle="1" w:styleId="IntrtEEEPagedecouverture">
    <w:name w:val="Intérêt EEE (Page de couverture)"/>
    <w:basedOn w:val="IntrtEEE"/>
    <w:next w:val="Normal"/>
    <w:rsid w:val="009C694E"/>
  </w:style>
  <w:style w:type="paragraph" w:customStyle="1" w:styleId="Disclaimer">
    <w:name w:val="Disclaimer"/>
    <w:basedOn w:val="Normal"/>
    <w:rsid w:val="00653F1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653F1F"/>
    <w:pPr>
      <w:spacing w:after="0" w:line="276" w:lineRule="auto"/>
      <w:ind w:left="5103"/>
    </w:pPr>
    <w:rPr>
      <w:rFonts w:ascii="Times New Roman" w:hAnsi="Times New Roman" w:cs="Times New Roman"/>
      <w:sz w:val="28"/>
    </w:rPr>
  </w:style>
  <w:style w:type="paragraph" w:customStyle="1" w:styleId="DateMarking">
    <w:name w:val="DateMarking"/>
    <w:basedOn w:val="Normal"/>
    <w:rsid w:val="00653F1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653F1F"/>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5082">
      <w:bodyDiv w:val="1"/>
      <w:marLeft w:val="0"/>
      <w:marRight w:val="0"/>
      <w:marTop w:val="0"/>
      <w:marBottom w:val="0"/>
      <w:divBdr>
        <w:top w:val="none" w:sz="0" w:space="0" w:color="auto"/>
        <w:left w:val="none" w:sz="0" w:space="0" w:color="auto"/>
        <w:bottom w:val="none" w:sz="0" w:space="0" w:color="auto"/>
        <w:right w:val="none" w:sz="0" w:space="0" w:color="auto"/>
      </w:divBdr>
    </w:div>
    <w:div w:id="8872536">
      <w:bodyDiv w:val="1"/>
      <w:marLeft w:val="0"/>
      <w:marRight w:val="0"/>
      <w:marTop w:val="0"/>
      <w:marBottom w:val="0"/>
      <w:divBdr>
        <w:top w:val="none" w:sz="0" w:space="0" w:color="auto"/>
        <w:left w:val="none" w:sz="0" w:space="0" w:color="auto"/>
        <w:bottom w:val="none" w:sz="0" w:space="0" w:color="auto"/>
        <w:right w:val="none" w:sz="0" w:space="0" w:color="auto"/>
      </w:divBdr>
      <w:divsChild>
        <w:div w:id="280963178">
          <w:marLeft w:val="0"/>
          <w:marRight w:val="0"/>
          <w:marTop w:val="0"/>
          <w:marBottom w:val="0"/>
          <w:divBdr>
            <w:top w:val="none" w:sz="0" w:space="0" w:color="auto"/>
            <w:left w:val="none" w:sz="0" w:space="0" w:color="auto"/>
            <w:bottom w:val="none" w:sz="0" w:space="0" w:color="auto"/>
            <w:right w:val="none" w:sz="0" w:space="0" w:color="auto"/>
          </w:divBdr>
          <w:divsChild>
            <w:div w:id="596602164">
              <w:marLeft w:val="0"/>
              <w:marRight w:val="0"/>
              <w:marTop w:val="0"/>
              <w:marBottom w:val="0"/>
              <w:divBdr>
                <w:top w:val="none" w:sz="0" w:space="0" w:color="auto"/>
                <w:left w:val="none" w:sz="0" w:space="0" w:color="auto"/>
                <w:bottom w:val="none" w:sz="0" w:space="0" w:color="auto"/>
                <w:right w:val="none" w:sz="0" w:space="0" w:color="auto"/>
              </w:divBdr>
              <w:divsChild>
                <w:div w:id="194126057">
                  <w:marLeft w:val="0"/>
                  <w:marRight w:val="0"/>
                  <w:marTop w:val="0"/>
                  <w:marBottom w:val="0"/>
                  <w:divBdr>
                    <w:top w:val="none" w:sz="0" w:space="0" w:color="auto"/>
                    <w:left w:val="none" w:sz="0" w:space="0" w:color="auto"/>
                    <w:bottom w:val="none" w:sz="0" w:space="0" w:color="auto"/>
                    <w:right w:val="none" w:sz="0" w:space="0" w:color="auto"/>
                  </w:divBdr>
                  <w:divsChild>
                    <w:div w:id="1110245436">
                      <w:marLeft w:val="0"/>
                      <w:marRight w:val="0"/>
                      <w:marTop w:val="0"/>
                      <w:marBottom w:val="0"/>
                      <w:divBdr>
                        <w:top w:val="none" w:sz="0" w:space="0" w:color="auto"/>
                        <w:left w:val="none" w:sz="0" w:space="0" w:color="auto"/>
                        <w:bottom w:val="none" w:sz="0" w:space="0" w:color="auto"/>
                        <w:right w:val="none" w:sz="0" w:space="0" w:color="auto"/>
                      </w:divBdr>
                      <w:divsChild>
                        <w:div w:id="1038897399">
                          <w:marLeft w:val="0"/>
                          <w:marRight w:val="0"/>
                          <w:marTop w:val="0"/>
                          <w:marBottom w:val="0"/>
                          <w:divBdr>
                            <w:top w:val="none" w:sz="0" w:space="0" w:color="auto"/>
                            <w:left w:val="none" w:sz="0" w:space="0" w:color="auto"/>
                            <w:bottom w:val="none" w:sz="0" w:space="0" w:color="auto"/>
                            <w:right w:val="none" w:sz="0" w:space="0" w:color="auto"/>
                          </w:divBdr>
                          <w:divsChild>
                            <w:div w:id="418411640">
                              <w:marLeft w:val="0"/>
                              <w:marRight w:val="0"/>
                              <w:marTop w:val="0"/>
                              <w:marBottom w:val="0"/>
                              <w:divBdr>
                                <w:top w:val="none" w:sz="0" w:space="0" w:color="auto"/>
                                <w:left w:val="none" w:sz="0" w:space="0" w:color="auto"/>
                                <w:bottom w:val="none" w:sz="0" w:space="0" w:color="auto"/>
                                <w:right w:val="none" w:sz="0" w:space="0" w:color="auto"/>
                              </w:divBdr>
                              <w:divsChild>
                                <w:div w:id="783579842">
                                  <w:marLeft w:val="0"/>
                                  <w:marRight w:val="0"/>
                                  <w:marTop w:val="0"/>
                                  <w:marBottom w:val="0"/>
                                  <w:divBdr>
                                    <w:top w:val="none" w:sz="0" w:space="0" w:color="auto"/>
                                    <w:left w:val="none" w:sz="0" w:space="0" w:color="auto"/>
                                    <w:bottom w:val="none" w:sz="0" w:space="0" w:color="auto"/>
                                    <w:right w:val="none" w:sz="0" w:space="0" w:color="auto"/>
                                  </w:divBdr>
                                  <w:divsChild>
                                    <w:div w:id="1033265013">
                                      <w:marLeft w:val="0"/>
                                      <w:marRight w:val="0"/>
                                      <w:marTop w:val="0"/>
                                      <w:marBottom w:val="0"/>
                                      <w:divBdr>
                                        <w:top w:val="none" w:sz="0" w:space="0" w:color="auto"/>
                                        <w:left w:val="none" w:sz="0" w:space="0" w:color="auto"/>
                                        <w:bottom w:val="none" w:sz="0" w:space="0" w:color="auto"/>
                                        <w:right w:val="none" w:sz="0" w:space="0" w:color="auto"/>
                                      </w:divBdr>
                                      <w:divsChild>
                                        <w:div w:id="144705401">
                                          <w:marLeft w:val="0"/>
                                          <w:marRight w:val="0"/>
                                          <w:marTop w:val="0"/>
                                          <w:marBottom w:val="0"/>
                                          <w:divBdr>
                                            <w:top w:val="none" w:sz="0" w:space="0" w:color="auto"/>
                                            <w:left w:val="none" w:sz="0" w:space="0" w:color="auto"/>
                                            <w:bottom w:val="none" w:sz="0" w:space="0" w:color="auto"/>
                                            <w:right w:val="none" w:sz="0" w:space="0" w:color="auto"/>
                                          </w:divBdr>
                                          <w:divsChild>
                                            <w:div w:id="89844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90167">
                                  <w:marLeft w:val="0"/>
                                  <w:marRight w:val="0"/>
                                  <w:marTop w:val="0"/>
                                  <w:marBottom w:val="0"/>
                                  <w:divBdr>
                                    <w:top w:val="none" w:sz="0" w:space="0" w:color="auto"/>
                                    <w:left w:val="none" w:sz="0" w:space="0" w:color="auto"/>
                                    <w:bottom w:val="none" w:sz="0" w:space="0" w:color="auto"/>
                                    <w:right w:val="none" w:sz="0" w:space="0" w:color="auto"/>
                                  </w:divBdr>
                                  <w:divsChild>
                                    <w:div w:id="5633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241654">
          <w:marLeft w:val="0"/>
          <w:marRight w:val="0"/>
          <w:marTop w:val="0"/>
          <w:marBottom w:val="0"/>
          <w:divBdr>
            <w:top w:val="none" w:sz="0" w:space="0" w:color="auto"/>
            <w:left w:val="none" w:sz="0" w:space="0" w:color="auto"/>
            <w:bottom w:val="none" w:sz="0" w:space="0" w:color="auto"/>
            <w:right w:val="none" w:sz="0" w:space="0" w:color="auto"/>
          </w:divBdr>
          <w:divsChild>
            <w:div w:id="520820222">
              <w:marLeft w:val="0"/>
              <w:marRight w:val="0"/>
              <w:marTop w:val="0"/>
              <w:marBottom w:val="0"/>
              <w:divBdr>
                <w:top w:val="none" w:sz="0" w:space="0" w:color="auto"/>
                <w:left w:val="none" w:sz="0" w:space="0" w:color="auto"/>
                <w:bottom w:val="none" w:sz="0" w:space="0" w:color="auto"/>
                <w:right w:val="none" w:sz="0" w:space="0" w:color="auto"/>
              </w:divBdr>
              <w:divsChild>
                <w:div w:id="1704746682">
                  <w:marLeft w:val="0"/>
                  <w:marRight w:val="0"/>
                  <w:marTop w:val="0"/>
                  <w:marBottom w:val="0"/>
                  <w:divBdr>
                    <w:top w:val="none" w:sz="0" w:space="0" w:color="auto"/>
                    <w:left w:val="none" w:sz="0" w:space="0" w:color="auto"/>
                    <w:bottom w:val="none" w:sz="0" w:space="0" w:color="auto"/>
                    <w:right w:val="none" w:sz="0" w:space="0" w:color="auto"/>
                  </w:divBdr>
                  <w:divsChild>
                    <w:div w:id="586111442">
                      <w:marLeft w:val="0"/>
                      <w:marRight w:val="0"/>
                      <w:marTop w:val="0"/>
                      <w:marBottom w:val="0"/>
                      <w:divBdr>
                        <w:top w:val="none" w:sz="0" w:space="0" w:color="auto"/>
                        <w:left w:val="none" w:sz="0" w:space="0" w:color="auto"/>
                        <w:bottom w:val="none" w:sz="0" w:space="0" w:color="auto"/>
                        <w:right w:val="none" w:sz="0" w:space="0" w:color="auto"/>
                      </w:divBdr>
                      <w:divsChild>
                        <w:div w:id="1528134612">
                          <w:marLeft w:val="0"/>
                          <w:marRight w:val="0"/>
                          <w:marTop w:val="0"/>
                          <w:marBottom w:val="0"/>
                          <w:divBdr>
                            <w:top w:val="none" w:sz="0" w:space="0" w:color="auto"/>
                            <w:left w:val="none" w:sz="0" w:space="0" w:color="auto"/>
                            <w:bottom w:val="none" w:sz="0" w:space="0" w:color="auto"/>
                            <w:right w:val="none" w:sz="0" w:space="0" w:color="auto"/>
                          </w:divBdr>
                          <w:divsChild>
                            <w:div w:id="1058281596">
                              <w:marLeft w:val="0"/>
                              <w:marRight w:val="0"/>
                              <w:marTop w:val="0"/>
                              <w:marBottom w:val="0"/>
                              <w:divBdr>
                                <w:top w:val="none" w:sz="0" w:space="0" w:color="auto"/>
                                <w:left w:val="none" w:sz="0" w:space="0" w:color="auto"/>
                                <w:bottom w:val="none" w:sz="0" w:space="0" w:color="auto"/>
                                <w:right w:val="none" w:sz="0" w:space="0" w:color="auto"/>
                              </w:divBdr>
                              <w:divsChild>
                                <w:div w:id="1296645433">
                                  <w:marLeft w:val="0"/>
                                  <w:marRight w:val="0"/>
                                  <w:marTop w:val="0"/>
                                  <w:marBottom w:val="0"/>
                                  <w:divBdr>
                                    <w:top w:val="none" w:sz="0" w:space="0" w:color="auto"/>
                                    <w:left w:val="none" w:sz="0" w:space="0" w:color="auto"/>
                                    <w:bottom w:val="none" w:sz="0" w:space="0" w:color="auto"/>
                                    <w:right w:val="none" w:sz="0" w:space="0" w:color="auto"/>
                                  </w:divBdr>
                                  <w:divsChild>
                                    <w:div w:id="632440589">
                                      <w:marLeft w:val="0"/>
                                      <w:marRight w:val="0"/>
                                      <w:marTop w:val="0"/>
                                      <w:marBottom w:val="0"/>
                                      <w:divBdr>
                                        <w:top w:val="none" w:sz="0" w:space="0" w:color="auto"/>
                                        <w:left w:val="none" w:sz="0" w:space="0" w:color="auto"/>
                                        <w:bottom w:val="none" w:sz="0" w:space="0" w:color="auto"/>
                                        <w:right w:val="none" w:sz="0" w:space="0" w:color="auto"/>
                                      </w:divBdr>
                                      <w:divsChild>
                                        <w:div w:id="707724863">
                                          <w:marLeft w:val="0"/>
                                          <w:marRight w:val="0"/>
                                          <w:marTop w:val="0"/>
                                          <w:marBottom w:val="0"/>
                                          <w:divBdr>
                                            <w:top w:val="none" w:sz="0" w:space="0" w:color="auto"/>
                                            <w:left w:val="none" w:sz="0" w:space="0" w:color="auto"/>
                                            <w:bottom w:val="none" w:sz="0" w:space="0" w:color="auto"/>
                                            <w:right w:val="none" w:sz="0" w:space="0" w:color="auto"/>
                                          </w:divBdr>
                                          <w:divsChild>
                                            <w:div w:id="691227898">
                                              <w:marLeft w:val="0"/>
                                              <w:marRight w:val="0"/>
                                              <w:marTop w:val="0"/>
                                              <w:marBottom w:val="0"/>
                                              <w:divBdr>
                                                <w:top w:val="none" w:sz="0" w:space="0" w:color="auto"/>
                                                <w:left w:val="none" w:sz="0" w:space="0" w:color="auto"/>
                                                <w:bottom w:val="none" w:sz="0" w:space="0" w:color="auto"/>
                                                <w:right w:val="none" w:sz="0" w:space="0" w:color="auto"/>
                                              </w:divBdr>
                                              <w:divsChild>
                                                <w:div w:id="2480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73355">
      <w:bodyDiv w:val="1"/>
      <w:marLeft w:val="0"/>
      <w:marRight w:val="0"/>
      <w:marTop w:val="0"/>
      <w:marBottom w:val="0"/>
      <w:divBdr>
        <w:top w:val="none" w:sz="0" w:space="0" w:color="auto"/>
        <w:left w:val="none" w:sz="0" w:space="0" w:color="auto"/>
        <w:bottom w:val="none" w:sz="0" w:space="0" w:color="auto"/>
        <w:right w:val="none" w:sz="0" w:space="0" w:color="auto"/>
      </w:divBdr>
    </w:div>
    <w:div w:id="17390782">
      <w:bodyDiv w:val="1"/>
      <w:marLeft w:val="0"/>
      <w:marRight w:val="0"/>
      <w:marTop w:val="0"/>
      <w:marBottom w:val="0"/>
      <w:divBdr>
        <w:top w:val="none" w:sz="0" w:space="0" w:color="auto"/>
        <w:left w:val="none" w:sz="0" w:space="0" w:color="auto"/>
        <w:bottom w:val="none" w:sz="0" w:space="0" w:color="auto"/>
        <w:right w:val="none" w:sz="0" w:space="0" w:color="auto"/>
      </w:divBdr>
    </w:div>
    <w:div w:id="29495440">
      <w:bodyDiv w:val="1"/>
      <w:marLeft w:val="0"/>
      <w:marRight w:val="0"/>
      <w:marTop w:val="0"/>
      <w:marBottom w:val="0"/>
      <w:divBdr>
        <w:top w:val="none" w:sz="0" w:space="0" w:color="auto"/>
        <w:left w:val="none" w:sz="0" w:space="0" w:color="auto"/>
        <w:bottom w:val="none" w:sz="0" w:space="0" w:color="auto"/>
        <w:right w:val="none" w:sz="0" w:space="0" w:color="auto"/>
      </w:divBdr>
    </w:div>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71512278">
      <w:bodyDiv w:val="1"/>
      <w:marLeft w:val="0"/>
      <w:marRight w:val="0"/>
      <w:marTop w:val="0"/>
      <w:marBottom w:val="0"/>
      <w:divBdr>
        <w:top w:val="none" w:sz="0" w:space="0" w:color="auto"/>
        <w:left w:val="none" w:sz="0" w:space="0" w:color="auto"/>
        <w:bottom w:val="none" w:sz="0" w:space="0" w:color="auto"/>
        <w:right w:val="none" w:sz="0" w:space="0" w:color="auto"/>
      </w:divBdr>
    </w:div>
    <w:div w:id="75369004">
      <w:bodyDiv w:val="1"/>
      <w:marLeft w:val="0"/>
      <w:marRight w:val="0"/>
      <w:marTop w:val="0"/>
      <w:marBottom w:val="0"/>
      <w:divBdr>
        <w:top w:val="none" w:sz="0" w:space="0" w:color="auto"/>
        <w:left w:val="none" w:sz="0" w:space="0" w:color="auto"/>
        <w:bottom w:val="none" w:sz="0" w:space="0" w:color="auto"/>
        <w:right w:val="none" w:sz="0" w:space="0" w:color="auto"/>
      </w:divBdr>
    </w:div>
    <w:div w:id="89199976">
      <w:bodyDiv w:val="1"/>
      <w:marLeft w:val="0"/>
      <w:marRight w:val="0"/>
      <w:marTop w:val="0"/>
      <w:marBottom w:val="0"/>
      <w:divBdr>
        <w:top w:val="none" w:sz="0" w:space="0" w:color="auto"/>
        <w:left w:val="none" w:sz="0" w:space="0" w:color="auto"/>
        <w:bottom w:val="none" w:sz="0" w:space="0" w:color="auto"/>
        <w:right w:val="none" w:sz="0" w:space="0" w:color="auto"/>
      </w:divBdr>
    </w:div>
    <w:div w:id="109126966">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26514529">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53227571">
      <w:bodyDiv w:val="1"/>
      <w:marLeft w:val="0"/>
      <w:marRight w:val="0"/>
      <w:marTop w:val="0"/>
      <w:marBottom w:val="0"/>
      <w:divBdr>
        <w:top w:val="none" w:sz="0" w:space="0" w:color="auto"/>
        <w:left w:val="none" w:sz="0" w:space="0" w:color="auto"/>
        <w:bottom w:val="none" w:sz="0" w:space="0" w:color="auto"/>
        <w:right w:val="none" w:sz="0" w:space="0" w:color="auto"/>
      </w:divBdr>
      <w:divsChild>
        <w:div w:id="774905975">
          <w:marLeft w:val="0"/>
          <w:marRight w:val="0"/>
          <w:marTop w:val="0"/>
          <w:marBottom w:val="0"/>
          <w:divBdr>
            <w:top w:val="none" w:sz="0" w:space="0" w:color="auto"/>
            <w:left w:val="none" w:sz="0" w:space="0" w:color="auto"/>
            <w:bottom w:val="none" w:sz="0" w:space="0" w:color="auto"/>
            <w:right w:val="none" w:sz="0" w:space="0" w:color="auto"/>
          </w:divBdr>
        </w:div>
      </w:divsChild>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70797293">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176165290">
      <w:bodyDiv w:val="1"/>
      <w:marLeft w:val="0"/>
      <w:marRight w:val="0"/>
      <w:marTop w:val="0"/>
      <w:marBottom w:val="0"/>
      <w:divBdr>
        <w:top w:val="none" w:sz="0" w:space="0" w:color="auto"/>
        <w:left w:val="none" w:sz="0" w:space="0" w:color="auto"/>
        <w:bottom w:val="none" w:sz="0" w:space="0" w:color="auto"/>
        <w:right w:val="none" w:sz="0" w:space="0" w:color="auto"/>
      </w:divBdr>
    </w:div>
    <w:div w:id="178081558">
      <w:bodyDiv w:val="1"/>
      <w:marLeft w:val="0"/>
      <w:marRight w:val="0"/>
      <w:marTop w:val="0"/>
      <w:marBottom w:val="0"/>
      <w:divBdr>
        <w:top w:val="none" w:sz="0" w:space="0" w:color="auto"/>
        <w:left w:val="none" w:sz="0" w:space="0" w:color="auto"/>
        <w:bottom w:val="none" w:sz="0" w:space="0" w:color="auto"/>
        <w:right w:val="none" w:sz="0" w:space="0" w:color="auto"/>
      </w:divBdr>
    </w:div>
    <w:div w:id="180166846">
      <w:bodyDiv w:val="1"/>
      <w:marLeft w:val="0"/>
      <w:marRight w:val="0"/>
      <w:marTop w:val="0"/>
      <w:marBottom w:val="0"/>
      <w:divBdr>
        <w:top w:val="none" w:sz="0" w:space="0" w:color="auto"/>
        <w:left w:val="none" w:sz="0" w:space="0" w:color="auto"/>
        <w:bottom w:val="none" w:sz="0" w:space="0" w:color="auto"/>
        <w:right w:val="none" w:sz="0" w:space="0" w:color="auto"/>
      </w:divBdr>
    </w:div>
    <w:div w:id="194461556">
      <w:bodyDiv w:val="1"/>
      <w:marLeft w:val="0"/>
      <w:marRight w:val="0"/>
      <w:marTop w:val="0"/>
      <w:marBottom w:val="0"/>
      <w:divBdr>
        <w:top w:val="none" w:sz="0" w:space="0" w:color="auto"/>
        <w:left w:val="none" w:sz="0" w:space="0" w:color="auto"/>
        <w:bottom w:val="none" w:sz="0" w:space="0" w:color="auto"/>
        <w:right w:val="none" w:sz="0" w:space="0" w:color="auto"/>
      </w:divBdr>
    </w:div>
    <w:div w:id="204026660">
      <w:bodyDiv w:val="1"/>
      <w:marLeft w:val="0"/>
      <w:marRight w:val="0"/>
      <w:marTop w:val="0"/>
      <w:marBottom w:val="0"/>
      <w:divBdr>
        <w:top w:val="none" w:sz="0" w:space="0" w:color="auto"/>
        <w:left w:val="none" w:sz="0" w:space="0" w:color="auto"/>
        <w:bottom w:val="none" w:sz="0" w:space="0" w:color="auto"/>
        <w:right w:val="none" w:sz="0" w:space="0" w:color="auto"/>
      </w:divBdr>
    </w:div>
    <w:div w:id="238559743">
      <w:bodyDiv w:val="1"/>
      <w:marLeft w:val="0"/>
      <w:marRight w:val="0"/>
      <w:marTop w:val="0"/>
      <w:marBottom w:val="0"/>
      <w:divBdr>
        <w:top w:val="none" w:sz="0" w:space="0" w:color="auto"/>
        <w:left w:val="none" w:sz="0" w:space="0" w:color="auto"/>
        <w:bottom w:val="none" w:sz="0" w:space="0" w:color="auto"/>
        <w:right w:val="none" w:sz="0" w:space="0" w:color="auto"/>
      </w:divBdr>
    </w:div>
    <w:div w:id="244384310">
      <w:bodyDiv w:val="1"/>
      <w:marLeft w:val="0"/>
      <w:marRight w:val="0"/>
      <w:marTop w:val="0"/>
      <w:marBottom w:val="0"/>
      <w:divBdr>
        <w:top w:val="none" w:sz="0" w:space="0" w:color="auto"/>
        <w:left w:val="none" w:sz="0" w:space="0" w:color="auto"/>
        <w:bottom w:val="none" w:sz="0" w:space="0" w:color="auto"/>
        <w:right w:val="none" w:sz="0" w:space="0" w:color="auto"/>
      </w:divBdr>
    </w:div>
    <w:div w:id="246809814">
      <w:bodyDiv w:val="1"/>
      <w:marLeft w:val="0"/>
      <w:marRight w:val="0"/>
      <w:marTop w:val="0"/>
      <w:marBottom w:val="0"/>
      <w:divBdr>
        <w:top w:val="none" w:sz="0" w:space="0" w:color="auto"/>
        <w:left w:val="none" w:sz="0" w:space="0" w:color="auto"/>
        <w:bottom w:val="none" w:sz="0" w:space="0" w:color="auto"/>
        <w:right w:val="none" w:sz="0" w:space="0" w:color="auto"/>
      </w:divBdr>
    </w:div>
    <w:div w:id="263654518">
      <w:bodyDiv w:val="1"/>
      <w:marLeft w:val="0"/>
      <w:marRight w:val="0"/>
      <w:marTop w:val="0"/>
      <w:marBottom w:val="0"/>
      <w:divBdr>
        <w:top w:val="none" w:sz="0" w:space="0" w:color="auto"/>
        <w:left w:val="none" w:sz="0" w:space="0" w:color="auto"/>
        <w:bottom w:val="none" w:sz="0" w:space="0" w:color="auto"/>
        <w:right w:val="none" w:sz="0" w:space="0" w:color="auto"/>
      </w:divBdr>
      <w:divsChild>
        <w:div w:id="509177464">
          <w:marLeft w:val="0"/>
          <w:marRight w:val="0"/>
          <w:marTop w:val="0"/>
          <w:marBottom w:val="0"/>
          <w:divBdr>
            <w:top w:val="none" w:sz="0" w:space="0" w:color="auto"/>
            <w:left w:val="none" w:sz="0" w:space="0" w:color="auto"/>
            <w:bottom w:val="none" w:sz="0" w:space="0" w:color="auto"/>
            <w:right w:val="none" w:sz="0" w:space="0" w:color="auto"/>
          </w:divBdr>
          <w:divsChild>
            <w:div w:id="1256939934">
              <w:marLeft w:val="0"/>
              <w:marRight w:val="0"/>
              <w:marTop w:val="0"/>
              <w:marBottom w:val="0"/>
              <w:divBdr>
                <w:top w:val="none" w:sz="0" w:space="0" w:color="auto"/>
                <w:left w:val="none" w:sz="0" w:space="0" w:color="auto"/>
                <w:bottom w:val="none" w:sz="0" w:space="0" w:color="auto"/>
                <w:right w:val="none" w:sz="0" w:space="0" w:color="auto"/>
              </w:divBdr>
              <w:divsChild>
                <w:div w:id="344672216">
                  <w:marLeft w:val="0"/>
                  <w:marRight w:val="0"/>
                  <w:marTop w:val="0"/>
                  <w:marBottom w:val="0"/>
                  <w:divBdr>
                    <w:top w:val="none" w:sz="0" w:space="0" w:color="auto"/>
                    <w:left w:val="none" w:sz="0" w:space="0" w:color="auto"/>
                    <w:bottom w:val="none" w:sz="0" w:space="0" w:color="auto"/>
                    <w:right w:val="none" w:sz="0" w:space="0" w:color="auto"/>
                  </w:divBdr>
                  <w:divsChild>
                    <w:div w:id="741298225">
                      <w:marLeft w:val="0"/>
                      <w:marRight w:val="0"/>
                      <w:marTop w:val="0"/>
                      <w:marBottom w:val="0"/>
                      <w:divBdr>
                        <w:top w:val="none" w:sz="0" w:space="0" w:color="auto"/>
                        <w:left w:val="none" w:sz="0" w:space="0" w:color="auto"/>
                        <w:bottom w:val="none" w:sz="0" w:space="0" w:color="auto"/>
                        <w:right w:val="none" w:sz="0" w:space="0" w:color="auto"/>
                      </w:divBdr>
                      <w:divsChild>
                        <w:div w:id="1114129697">
                          <w:marLeft w:val="0"/>
                          <w:marRight w:val="0"/>
                          <w:marTop w:val="0"/>
                          <w:marBottom w:val="0"/>
                          <w:divBdr>
                            <w:top w:val="none" w:sz="0" w:space="0" w:color="auto"/>
                            <w:left w:val="none" w:sz="0" w:space="0" w:color="auto"/>
                            <w:bottom w:val="none" w:sz="0" w:space="0" w:color="auto"/>
                            <w:right w:val="none" w:sz="0" w:space="0" w:color="auto"/>
                          </w:divBdr>
                          <w:divsChild>
                            <w:div w:id="374231945">
                              <w:marLeft w:val="0"/>
                              <w:marRight w:val="0"/>
                              <w:marTop w:val="0"/>
                              <w:marBottom w:val="0"/>
                              <w:divBdr>
                                <w:top w:val="none" w:sz="0" w:space="0" w:color="auto"/>
                                <w:left w:val="none" w:sz="0" w:space="0" w:color="auto"/>
                                <w:bottom w:val="none" w:sz="0" w:space="0" w:color="auto"/>
                                <w:right w:val="none" w:sz="0" w:space="0" w:color="auto"/>
                              </w:divBdr>
                              <w:divsChild>
                                <w:div w:id="1018123103">
                                  <w:marLeft w:val="0"/>
                                  <w:marRight w:val="0"/>
                                  <w:marTop w:val="0"/>
                                  <w:marBottom w:val="0"/>
                                  <w:divBdr>
                                    <w:top w:val="none" w:sz="0" w:space="0" w:color="auto"/>
                                    <w:left w:val="none" w:sz="0" w:space="0" w:color="auto"/>
                                    <w:bottom w:val="none" w:sz="0" w:space="0" w:color="auto"/>
                                    <w:right w:val="none" w:sz="0" w:space="0" w:color="auto"/>
                                  </w:divBdr>
                                  <w:divsChild>
                                    <w:div w:id="1829980937">
                                      <w:marLeft w:val="0"/>
                                      <w:marRight w:val="0"/>
                                      <w:marTop w:val="0"/>
                                      <w:marBottom w:val="0"/>
                                      <w:divBdr>
                                        <w:top w:val="none" w:sz="0" w:space="0" w:color="auto"/>
                                        <w:left w:val="none" w:sz="0" w:space="0" w:color="auto"/>
                                        <w:bottom w:val="none" w:sz="0" w:space="0" w:color="auto"/>
                                        <w:right w:val="none" w:sz="0" w:space="0" w:color="auto"/>
                                      </w:divBdr>
                                      <w:divsChild>
                                        <w:div w:id="918831882">
                                          <w:marLeft w:val="0"/>
                                          <w:marRight w:val="0"/>
                                          <w:marTop w:val="0"/>
                                          <w:marBottom w:val="0"/>
                                          <w:divBdr>
                                            <w:top w:val="none" w:sz="0" w:space="0" w:color="auto"/>
                                            <w:left w:val="none" w:sz="0" w:space="0" w:color="auto"/>
                                            <w:bottom w:val="none" w:sz="0" w:space="0" w:color="auto"/>
                                            <w:right w:val="none" w:sz="0" w:space="0" w:color="auto"/>
                                          </w:divBdr>
                                          <w:divsChild>
                                            <w:div w:id="1867670773">
                                              <w:marLeft w:val="0"/>
                                              <w:marRight w:val="0"/>
                                              <w:marTop w:val="0"/>
                                              <w:marBottom w:val="0"/>
                                              <w:divBdr>
                                                <w:top w:val="none" w:sz="0" w:space="0" w:color="auto"/>
                                                <w:left w:val="none" w:sz="0" w:space="0" w:color="auto"/>
                                                <w:bottom w:val="none" w:sz="0" w:space="0" w:color="auto"/>
                                                <w:right w:val="none" w:sz="0" w:space="0" w:color="auto"/>
                                              </w:divBdr>
                                              <w:divsChild>
                                                <w:div w:id="15597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495839">
          <w:marLeft w:val="0"/>
          <w:marRight w:val="0"/>
          <w:marTop w:val="0"/>
          <w:marBottom w:val="0"/>
          <w:divBdr>
            <w:top w:val="none" w:sz="0" w:space="0" w:color="auto"/>
            <w:left w:val="none" w:sz="0" w:space="0" w:color="auto"/>
            <w:bottom w:val="none" w:sz="0" w:space="0" w:color="auto"/>
            <w:right w:val="none" w:sz="0" w:space="0" w:color="auto"/>
          </w:divBdr>
          <w:divsChild>
            <w:div w:id="240680436">
              <w:marLeft w:val="0"/>
              <w:marRight w:val="0"/>
              <w:marTop w:val="0"/>
              <w:marBottom w:val="0"/>
              <w:divBdr>
                <w:top w:val="none" w:sz="0" w:space="0" w:color="auto"/>
                <w:left w:val="none" w:sz="0" w:space="0" w:color="auto"/>
                <w:bottom w:val="none" w:sz="0" w:space="0" w:color="auto"/>
                <w:right w:val="none" w:sz="0" w:space="0" w:color="auto"/>
              </w:divBdr>
              <w:divsChild>
                <w:div w:id="723676038">
                  <w:marLeft w:val="0"/>
                  <w:marRight w:val="0"/>
                  <w:marTop w:val="0"/>
                  <w:marBottom w:val="0"/>
                  <w:divBdr>
                    <w:top w:val="none" w:sz="0" w:space="0" w:color="auto"/>
                    <w:left w:val="none" w:sz="0" w:space="0" w:color="auto"/>
                    <w:bottom w:val="none" w:sz="0" w:space="0" w:color="auto"/>
                    <w:right w:val="none" w:sz="0" w:space="0" w:color="auto"/>
                  </w:divBdr>
                  <w:divsChild>
                    <w:div w:id="1590039958">
                      <w:marLeft w:val="0"/>
                      <w:marRight w:val="0"/>
                      <w:marTop w:val="0"/>
                      <w:marBottom w:val="0"/>
                      <w:divBdr>
                        <w:top w:val="none" w:sz="0" w:space="0" w:color="auto"/>
                        <w:left w:val="none" w:sz="0" w:space="0" w:color="auto"/>
                        <w:bottom w:val="none" w:sz="0" w:space="0" w:color="auto"/>
                        <w:right w:val="none" w:sz="0" w:space="0" w:color="auto"/>
                      </w:divBdr>
                      <w:divsChild>
                        <w:div w:id="731732427">
                          <w:marLeft w:val="0"/>
                          <w:marRight w:val="0"/>
                          <w:marTop w:val="0"/>
                          <w:marBottom w:val="0"/>
                          <w:divBdr>
                            <w:top w:val="none" w:sz="0" w:space="0" w:color="auto"/>
                            <w:left w:val="none" w:sz="0" w:space="0" w:color="auto"/>
                            <w:bottom w:val="none" w:sz="0" w:space="0" w:color="auto"/>
                            <w:right w:val="none" w:sz="0" w:space="0" w:color="auto"/>
                          </w:divBdr>
                          <w:divsChild>
                            <w:div w:id="1432581803">
                              <w:marLeft w:val="0"/>
                              <w:marRight w:val="0"/>
                              <w:marTop w:val="0"/>
                              <w:marBottom w:val="0"/>
                              <w:divBdr>
                                <w:top w:val="none" w:sz="0" w:space="0" w:color="auto"/>
                                <w:left w:val="none" w:sz="0" w:space="0" w:color="auto"/>
                                <w:bottom w:val="none" w:sz="0" w:space="0" w:color="auto"/>
                                <w:right w:val="none" w:sz="0" w:space="0" w:color="auto"/>
                              </w:divBdr>
                              <w:divsChild>
                                <w:div w:id="62726162">
                                  <w:marLeft w:val="0"/>
                                  <w:marRight w:val="0"/>
                                  <w:marTop w:val="0"/>
                                  <w:marBottom w:val="0"/>
                                  <w:divBdr>
                                    <w:top w:val="none" w:sz="0" w:space="0" w:color="auto"/>
                                    <w:left w:val="none" w:sz="0" w:space="0" w:color="auto"/>
                                    <w:bottom w:val="none" w:sz="0" w:space="0" w:color="auto"/>
                                    <w:right w:val="none" w:sz="0" w:space="0" w:color="auto"/>
                                  </w:divBdr>
                                  <w:divsChild>
                                    <w:div w:id="1895115646">
                                      <w:marLeft w:val="0"/>
                                      <w:marRight w:val="0"/>
                                      <w:marTop w:val="0"/>
                                      <w:marBottom w:val="0"/>
                                      <w:divBdr>
                                        <w:top w:val="none" w:sz="0" w:space="0" w:color="auto"/>
                                        <w:left w:val="none" w:sz="0" w:space="0" w:color="auto"/>
                                        <w:bottom w:val="none" w:sz="0" w:space="0" w:color="auto"/>
                                        <w:right w:val="none" w:sz="0" w:space="0" w:color="auto"/>
                                      </w:divBdr>
                                    </w:div>
                                  </w:divsChild>
                                </w:div>
                                <w:div w:id="1086923441">
                                  <w:marLeft w:val="0"/>
                                  <w:marRight w:val="0"/>
                                  <w:marTop w:val="0"/>
                                  <w:marBottom w:val="0"/>
                                  <w:divBdr>
                                    <w:top w:val="none" w:sz="0" w:space="0" w:color="auto"/>
                                    <w:left w:val="none" w:sz="0" w:space="0" w:color="auto"/>
                                    <w:bottom w:val="none" w:sz="0" w:space="0" w:color="auto"/>
                                    <w:right w:val="none" w:sz="0" w:space="0" w:color="auto"/>
                                  </w:divBdr>
                                  <w:divsChild>
                                    <w:div w:id="1624269442">
                                      <w:marLeft w:val="0"/>
                                      <w:marRight w:val="0"/>
                                      <w:marTop w:val="0"/>
                                      <w:marBottom w:val="0"/>
                                      <w:divBdr>
                                        <w:top w:val="none" w:sz="0" w:space="0" w:color="auto"/>
                                        <w:left w:val="none" w:sz="0" w:space="0" w:color="auto"/>
                                        <w:bottom w:val="none" w:sz="0" w:space="0" w:color="auto"/>
                                        <w:right w:val="none" w:sz="0" w:space="0" w:color="auto"/>
                                      </w:divBdr>
                                      <w:divsChild>
                                        <w:div w:id="1494296538">
                                          <w:marLeft w:val="0"/>
                                          <w:marRight w:val="0"/>
                                          <w:marTop w:val="0"/>
                                          <w:marBottom w:val="0"/>
                                          <w:divBdr>
                                            <w:top w:val="none" w:sz="0" w:space="0" w:color="auto"/>
                                            <w:left w:val="none" w:sz="0" w:space="0" w:color="auto"/>
                                            <w:bottom w:val="none" w:sz="0" w:space="0" w:color="auto"/>
                                            <w:right w:val="none" w:sz="0" w:space="0" w:color="auto"/>
                                          </w:divBdr>
                                          <w:divsChild>
                                            <w:div w:id="613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4267630">
      <w:bodyDiv w:val="1"/>
      <w:marLeft w:val="0"/>
      <w:marRight w:val="0"/>
      <w:marTop w:val="0"/>
      <w:marBottom w:val="0"/>
      <w:divBdr>
        <w:top w:val="none" w:sz="0" w:space="0" w:color="auto"/>
        <w:left w:val="none" w:sz="0" w:space="0" w:color="auto"/>
        <w:bottom w:val="none" w:sz="0" w:space="0" w:color="auto"/>
        <w:right w:val="none" w:sz="0" w:space="0" w:color="auto"/>
      </w:divBdr>
    </w:div>
    <w:div w:id="276183737">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2422447">
      <w:bodyDiv w:val="1"/>
      <w:marLeft w:val="0"/>
      <w:marRight w:val="0"/>
      <w:marTop w:val="0"/>
      <w:marBottom w:val="0"/>
      <w:divBdr>
        <w:top w:val="none" w:sz="0" w:space="0" w:color="auto"/>
        <w:left w:val="none" w:sz="0" w:space="0" w:color="auto"/>
        <w:bottom w:val="none" w:sz="0" w:space="0" w:color="auto"/>
        <w:right w:val="none" w:sz="0" w:space="0" w:color="auto"/>
      </w:divBdr>
    </w:div>
    <w:div w:id="282660774">
      <w:bodyDiv w:val="1"/>
      <w:marLeft w:val="0"/>
      <w:marRight w:val="0"/>
      <w:marTop w:val="0"/>
      <w:marBottom w:val="0"/>
      <w:divBdr>
        <w:top w:val="none" w:sz="0" w:space="0" w:color="auto"/>
        <w:left w:val="none" w:sz="0" w:space="0" w:color="auto"/>
        <w:bottom w:val="none" w:sz="0" w:space="0" w:color="auto"/>
        <w:right w:val="none" w:sz="0" w:space="0" w:color="auto"/>
      </w:divBdr>
    </w:div>
    <w:div w:id="284118901">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294872117">
      <w:bodyDiv w:val="1"/>
      <w:marLeft w:val="0"/>
      <w:marRight w:val="0"/>
      <w:marTop w:val="0"/>
      <w:marBottom w:val="0"/>
      <w:divBdr>
        <w:top w:val="none" w:sz="0" w:space="0" w:color="auto"/>
        <w:left w:val="none" w:sz="0" w:space="0" w:color="auto"/>
        <w:bottom w:val="none" w:sz="0" w:space="0" w:color="auto"/>
        <w:right w:val="none" w:sz="0" w:space="0" w:color="auto"/>
      </w:divBdr>
    </w:div>
    <w:div w:id="296836152">
      <w:bodyDiv w:val="1"/>
      <w:marLeft w:val="0"/>
      <w:marRight w:val="0"/>
      <w:marTop w:val="0"/>
      <w:marBottom w:val="0"/>
      <w:divBdr>
        <w:top w:val="none" w:sz="0" w:space="0" w:color="auto"/>
        <w:left w:val="none" w:sz="0" w:space="0" w:color="auto"/>
        <w:bottom w:val="none" w:sz="0" w:space="0" w:color="auto"/>
        <w:right w:val="none" w:sz="0" w:space="0" w:color="auto"/>
      </w:divBdr>
    </w:div>
    <w:div w:id="304161974">
      <w:bodyDiv w:val="1"/>
      <w:marLeft w:val="0"/>
      <w:marRight w:val="0"/>
      <w:marTop w:val="0"/>
      <w:marBottom w:val="0"/>
      <w:divBdr>
        <w:top w:val="none" w:sz="0" w:space="0" w:color="auto"/>
        <w:left w:val="none" w:sz="0" w:space="0" w:color="auto"/>
        <w:bottom w:val="none" w:sz="0" w:space="0" w:color="auto"/>
        <w:right w:val="none" w:sz="0" w:space="0" w:color="auto"/>
      </w:divBdr>
    </w:div>
    <w:div w:id="331758879">
      <w:bodyDiv w:val="1"/>
      <w:marLeft w:val="0"/>
      <w:marRight w:val="0"/>
      <w:marTop w:val="0"/>
      <w:marBottom w:val="0"/>
      <w:divBdr>
        <w:top w:val="none" w:sz="0" w:space="0" w:color="auto"/>
        <w:left w:val="none" w:sz="0" w:space="0" w:color="auto"/>
        <w:bottom w:val="none" w:sz="0" w:space="0" w:color="auto"/>
        <w:right w:val="none" w:sz="0" w:space="0" w:color="auto"/>
      </w:divBdr>
    </w:div>
    <w:div w:id="337581717">
      <w:bodyDiv w:val="1"/>
      <w:marLeft w:val="0"/>
      <w:marRight w:val="0"/>
      <w:marTop w:val="0"/>
      <w:marBottom w:val="0"/>
      <w:divBdr>
        <w:top w:val="none" w:sz="0" w:space="0" w:color="auto"/>
        <w:left w:val="none" w:sz="0" w:space="0" w:color="auto"/>
        <w:bottom w:val="none" w:sz="0" w:space="0" w:color="auto"/>
        <w:right w:val="none" w:sz="0" w:space="0" w:color="auto"/>
      </w:divBdr>
    </w:div>
    <w:div w:id="350303449">
      <w:bodyDiv w:val="1"/>
      <w:marLeft w:val="0"/>
      <w:marRight w:val="0"/>
      <w:marTop w:val="0"/>
      <w:marBottom w:val="0"/>
      <w:divBdr>
        <w:top w:val="none" w:sz="0" w:space="0" w:color="auto"/>
        <w:left w:val="none" w:sz="0" w:space="0" w:color="auto"/>
        <w:bottom w:val="none" w:sz="0" w:space="0" w:color="auto"/>
        <w:right w:val="none" w:sz="0" w:space="0" w:color="auto"/>
      </w:divBdr>
    </w:div>
    <w:div w:id="353456609">
      <w:bodyDiv w:val="1"/>
      <w:marLeft w:val="0"/>
      <w:marRight w:val="0"/>
      <w:marTop w:val="0"/>
      <w:marBottom w:val="0"/>
      <w:divBdr>
        <w:top w:val="none" w:sz="0" w:space="0" w:color="auto"/>
        <w:left w:val="none" w:sz="0" w:space="0" w:color="auto"/>
        <w:bottom w:val="none" w:sz="0" w:space="0" w:color="auto"/>
        <w:right w:val="none" w:sz="0" w:space="0" w:color="auto"/>
      </w:divBdr>
    </w:div>
    <w:div w:id="357196410">
      <w:bodyDiv w:val="1"/>
      <w:marLeft w:val="0"/>
      <w:marRight w:val="0"/>
      <w:marTop w:val="0"/>
      <w:marBottom w:val="0"/>
      <w:divBdr>
        <w:top w:val="none" w:sz="0" w:space="0" w:color="auto"/>
        <w:left w:val="none" w:sz="0" w:space="0" w:color="auto"/>
        <w:bottom w:val="none" w:sz="0" w:space="0" w:color="auto"/>
        <w:right w:val="none" w:sz="0" w:space="0" w:color="auto"/>
      </w:divBdr>
    </w:div>
    <w:div w:id="358167794">
      <w:bodyDiv w:val="1"/>
      <w:marLeft w:val="0"/>
      <w:marRight w:val="0"/>
      <w:marTop w:val="0"/>
      <w:marBottom w:val="0"/>
      <w:divBdr>
        <w:top w:val="none" w:sz="0" w:space="0" w:color="auto"/>
        <w:left w:val="none" w:sz="0" w:space="0" w:color="auto"/>
        <w:bottom w:val="none" w:sz="0" w:space="0" w:color="auto"/>
        <w:right w:val="none" w:sz="0" w:space="0" w:color="auto"/>
      </w:divBdr>
    </w:div>
    <w:div w:id="366295164">
      <w:bodyDiv w:val="1"/>
      <w:marLeft w:val="0"/>
      <w:marRight w:val="0"/>
      <w:marTop w:val="0"/>
      <w:marBottom w:val="0"/>
      <w:divBdr>
        <w:top w:val="none" w:sz="0" w:space="0" w:color="auto"/>
        <w:left w:val="none" w:sz="0" w:space="0" w:color="auto"/>
        <w:bottom w:val="none" w:sz="0" w:space="0" w:color="auto"/>
        <w:right w:val="none" w:sz="0" w:space="0" w:color="auto"/>
      </w:divBdr>
    </w:div>
    <w:div w:id="379206315">
      <w:bodyDiv w:val="1"/>
      <w:marLeft w:val="0"/>
      <w:marRight w:val="0"/>
      <w:marTop w:val="0"/>
      <w:marBottom w:val="0"/>
      <w:divBdr>
        <w:top w:val="none" w:sz="0" w:space="0" w:color="auto"/>
        <w:left w:val="none" w:sz="0" w:space="0" w:color="auto"/>
        <w:bottom w:val="none" w:sz="0" w:space="0" w:color="auto"/>
        <w:right w:val="none" w:sz="0" w:space="0" w:color="auto"/>
      </w:divBdr>
    </w:div>
    <w:div w:id="387917305">
      <w:bodyDiv w:val="1"/>
      <w:marLeft w:val="0"/>
      <w:marRight w:val="0"/>
      <w:marTop w:val="0"/>
      <w:marBottom w:val="0"/>
      <w:divBdr>
        <w:top w:val="none" w:sz="0" w:space="0" w:color="auto"/>
        <w:left w:val="none" w:sz="0" w:space="0" w:color="auto"/>
        <w:bottom w:val="none" w:sz="0" w:space="0" w:color="auto"/>
        <w:right w:val="none" w:sz="0" w:space="0" w:color="auto"/>
      </w:divBdr>
    </w:div>
    <w:div w:id="395593622">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501941">
      <w:bodyDiv w:val="1"/>
      <w:marLeft w:val="0"/>
      <w:marRight w:val="0"/>
      <w:marTop w:val="0"/>
      <w:marBottom w:val="0"/>
      <w:divBdr>
        <w:top w:val="none" w:sz="0" w:space="0" w:color="auto"/>
        <w:left w:val="none" w:sz="0" w:space="0" w:color="auto"/>
        <w:bottom w:val="none" w:sz="0" w:space="0" w:color="auto"/>
        <w:right w:val="none" w:sz="0" w:space="0" w:color="auto"/>
      </w:divBdr>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440876707">
      <w:bodyDiv w:val="1"/>
      <w:marLeft w:val="0"/>
      <w:marRight w:val="0"/>
      <w:marTop w:val="0"/>
      <w:marBottom w:val="0"/>
      <w:divBdr>
        <w:top w:val="none" w:sz="0" w:space="0" w:color="auto"/>
        <w:left w:val="none" w:sz="0" w:space="0" w:color="auto"/>
        <w:bottom w:val="none" w:sz="0" w:space="0" w:color="auto"/>
        <w:right w:val="none" w:sz="0" w:space="0" w:color="auto"/>
      </w:divBdr>
    </w:div>
    <w:div w:id="448428684">
      <w:bodyDiv w:val="1"/>
      <w:marLeft w:val="0"/>
      <w:marRight w:val="0"/>
      <w:marTop w:val="0"/>
      <w:marBottom w:val="0"/>
      <w:divBdr>
        <w:top w:val="none" w:sz="0" w:space="0" w:color="auto"/>
        <w:left w:val="none" w:sz="0" w:space="0" w:color="auto"/>
        <w:bottom w:val="none" w:sz="0" w:space="0" w:color="auto"/>
        <w:right w:val="none" w:sz="0" w:space="0" w:color="auto"/>
      </w:divBdr>
    </w:div>
    <w:div w:id="450127769">
      <w:bodyDiv w:val="1"/>
      <w:marLeft w:val="0"/>
      <w:marRight w:val="0"/>
      <w:marTop w:val="0"/>
      <w:marBottom w:val="0"/>
      <w:divBdr>
        <w:top w:val="none" w:sz="0" w:space="0" w:color="auto"/>
        <w:left w:val="none" w:sz="0" w:space="0" w:color="auto"/>
        <w:bottom w:val="none" w:sz="0" w:space="0" w:color="auto"/>
        <w:right w:val="none" w:sz="0" w:space="0" w:color="auto"/>
      </w:divBdr>
    </w:div>
    <w:div w:id="474374282">
      <w:bodyDiv w:val="1"/>
      <w:marLeft w:val="0"/>
      <w:marRight w:val="0"/>
      <w:marTop w:val="0"/>
      <w:marBottom w:val="0"/>
      <w:divBdr>
        <w:top w:val="none" w:sz="0" w:space="0" w:color="auto"/>
        <w:left w:val="none" w:sz="0" w:space="0" w:color="auto"/>
        <w:bottom w:val="none" w:sz="0" w:space="0" w:color="auto"/>
        <w:right w:val="none" w:sz="0" w:space="0" w:color="auto"/>
      </w:divBdr>
    </w:div>
    <w:div w:id="486172175">
      <w:bodyDiv w:val="1"/>
      <w:marLeft w:val="0"/>
      <w:marRight w:val="0"/>
      <w:marTop w:val="0"/>
      <w:marBottom w:val="0"/>
      <w:divBdr>
        <w:top w:val="none" w:sz="0" w:space="0" w:color="auto"/>
        <w:left w:val="none" w:sz="0" w:space="0" w:color="auto"/>
        <w:bottom w:val="none" w:sz="0" w:space="0" w:color="auto"/>
        <w:right w:val="none" w:sz="0" w:space="0" w:color="auto"/>
      </w:divBdr>
    </w:div>
    <w:div w:id="497111376">
      <w:bodyDiv w:val="1"/>
      <w:marLeft w:val="0"/>
      <w:marRight w:val="0"/>
      <w:marTop w:val="0"/>
      <w:marBottom w:val="0"/>
      <w:divBdr>
        <w:top w:val="none" w:sz="0" w:space="0" w:color="auto"/>
        <w:left w:val="none" w:sz="0" w:space="0" w:color="auto"/>
        <w:bottom w:val="none" w:sz="0" w:space="0" w:color="auto"/>
        <w:right w:val="none" w:sz="0" w:space="0" w:color="auto"/>
      </w:divBdr>
    </w:div>
    <w:div w:id="497304580">
      <w:bodyDiv w:val="1"/>
      <w:marLeft w:val="0"/>
      <w:marRight w:val="0"/>
      <w:marTop w:val="0"/>
      <w:marBottom w:val="0"/>
      <w:divBdr>
        <w:top w:val="none" w:sz="0" w:space="0" w:color="auto"/>
        <w:left w:val="none" w:sz="0" w:space="0" w:color="auto"/>
        <w:bottom w:val="none" w:sz="0" w:space="0" w:color="auto"/>
        <w:right w:val="none" w:sz="0" w:space="0" w:color="auto"/>
      </w:divBdr>
    </w:div>
    <w:div w:id="499661843">
      <w:bodyDiv w:val="1"/>
      <w:marLeft w:val="0"/>
      <w:marRight w:val="0"/>
      <w:marTop w:val="0"/>
      <w:marBottom w:val="0"/>
      <w:divBdr>
        <w:top w:val="none" w:sz="0" w:space="0" w:color="auto"/>
        <w:left w:val="none" w:sz="0" w:space="0" w:color="auto"/>
        <w:bottom w:val="none" w:sz="0" w:space="0" w:color="auto"/>
        <w:right w:val="none" w:sz="0" w:space="0" w:color="auto"/>
      </w:divBdr>
    </w:div>
    <w:div w:id="515266925">
      <w:bodyDiv w:val="1"/>
      <w:marLeft w:val="0"/>
      <w:marRight w:val="0"/>
      <w:marTop w:val="0"/>
      <w:marBottom w:val="0"/>
      <w:divBdr>
        <w:top w:val="none" w:sz="0" w:space="0" w:color="auto"/>
        <w:left w:val="none" w:sz="0" w:space="0" w:color="auto"/>
        <w:bottom w:val="none" w:sz="0" w:space="0" w:color="auto"/>
        <w:right w:val="none" w:sz="0" w:space="0" w:color="auto"/>
      </w:divBdr>
    </w:div>
    <w:div w:id="517086547">
      <w:bodyDiv w:val="1"/>
      <w:marLeft w:val="0"/>
      <w:marRight w:val="0"/>
      <w:marTop w:val="0"/>
      <w:marBottom w:val="0"/>
      <w:divBdr>
        <w:top w:val="none" w:sz="0" w:space="0" w:color="auto"/>
        <w:left w:val="none" w:sz="0" w:space="0" w:color="auto"/>
        <w:bottom w:val="none" w:sz="0" w:space="0" w:color="auto"/>
        <w:right w:val="none" w:sz="0" w:space="0" w:color="auto"/>
      </w:divBdr>
    </w:div>
    <w:div w:id="518391703">
      <w:bodyDiv w:val="1"/>
      <w:marLeft w:val="0"/>
      <w:marRight w:val="0"/>
      <w:marTop w:val="0"/>
      <w:marBottom w:val="0"/>
      <w:divBdr>
        <w:top w:val="none" w:sz="0" w:space="0" w:color="auto"/>
        <w:left w:val="none" w:sz="0" w:space="0" w:color="auto"/>
        <w:bottom w:val="none" w:sz="0" w:space="0" w:color="auto"/>
        <w:right w:val="none" w:sz="0" w:space="0" w:color="auto"/>
      </w:divBdr>
    </w:div>
    <w:div w:id="525026999">
      <w:bodyDiv w:val="1"/>
      <w:marLeft w:val="0"/>
      <w:marRight w:val="0"/>
      <w:marTop w:val="0"/>
      <w:marBottom w:val="0"/>
      <w:divBdr>
        <w:top w:val="none" w:sz="0" w:space="0" w:color="auto"/>
        <w:left w:val="none" w:sz="0" w:space="0" w:color="auto"/>
        <w:bottom w:val="none" w:sz="0" w:space="0" w:color="auto"/>
        <w:right w:val="none" w:sz="0" w:space="0" w:color="auto"/>
      </w:divBdr>
    </w:div>
    <w:div w:id="530146513">
      <w:bodyDiv w:val="1"/>
      <w:marLeft w:val="0"/>
      <w:marRight w:val="0"/>
      <w:marTop w:val="0"/>
      <w:marBottom w:val="0"/>
      <w:divBdr>
        <w:top w:val="none" w:sz="0" w:space="0" w:color="auto"/>
        <w:left w:val="none" w:sz="0" w:space="0" w:color="auto"/>
        <w:bottom w:val="none" w:sz="0" w:space="0" w:color="auto"/>
        <w:right w:val="none" w:sz="0" w:space="0" w:color="auto"/>
      </w:divBdr>
      <w:divsChild>
        <w:div w:id="407003457">
          <w:marLeft w:val="0"/>
          <w:marRight w:val="0"/>
          <w:marTop w:val="0"/>
          <w:marBottom w:val="0"/>
          <w:divBdr>
            <w:top w:val="none" w:sz="0" w:space="0" w:color="auto"/>
            <w:left w:val="none" w:sz="0" w:space="0" w:color="auto"/>
            <w:bottom w:val="none" w:sz="0" w:space="0" w:color="auto"/>
            <w:right w:val="none" w:sz="0" w:space="0" w:color="auto"/>
          </w:divBdr>
          <w:divsChild>
            <w:div w:id="860779355">
              <w:marLeft w:val="0"/>
              <w:marRight w:val="0"/>
              <w:marTop w:val="0"/>
              <w:marBottom w:val="0"/>
              <w:divBdr>
                <w:top w:val="none" w:sz="0" w:space="0" w:color="auto"/>
                <w:left w:val="none" w:sz="0" w:space="0" w:color="auto"/>
                <w:bottom w:val="none" w:sz="0" w:space="0" w:color="auto"/>
                <w:right w:val="none" w:sz="0" w:space="0" w:color="auto"/>
              </w:divBdr>
              <w:divsChild>
                <w:div w:id="309873040">
                  <w:marLeft w:val="0"/>
                  <w:marRight w:val="0"/>
                  <w:marTop w:val="0"/>
                  <w:marBottom w:val="0"/>
                  <w:divBdr>
                    <w:top w:val="none" w:sz="0" w:space="0" w:color="auto"/>
                    <w:left w:val="none" w:sz="0" w:space="0" w:color="auto"/>
                    <w:bottom w:val="none" w:sz="0" w:space="0" w:color="auto"/>
                    <w:right w:val="none" w:sz="0" w:space="0" w:color="auto"/>
                  </w:divBdr>
                  <w:divsChild>
                    <w:div w:id="1012342333">
                      <w:marLeft w:val="0"/>
                      <w:marRight w:val="0"/>
                      <w:marTop w:val="0"/>
                      <w:marBottom w:val="0"/>
                      <w:divBdr>
                        <w:top w:val="none" w:sz="0" w:space="0" w:color="auto"/>
                        <w:left w:val="none" w:sz="0" w:space="0" w:color="auto"/>
                        <w:bottom w:val="none" w:sz="0" w:space="0" w:color="auto"/>
                        <w:right w:val="none" w:sz="0" w:space="0" w:color="auto"/>
                      </w:divBdr>
                      <w:divsChild>
                        <w:div w:id="544172488">
                          <w:marLeft w:val="0"/>
                          <w:marRight w:val="0"/>
                          <w:marTop w:val="0"/>
                          <w:marBottom w:val="0"/>
                          <w:divBdr>
                            <w:top w:val="none" w:sz="0" w:space="0" w:color="auto"/>
                            <w:left w:val="none" w:sz="0" w:space="0" w:color="auto"/>
                            <w:bottom w:val="none" w:sz="0" w:space="0" w:color="auto"/>
                            <w:right w:val="none" w:sz="0" w:space="0" w:color="auto"/>
                          </w:divBdr>
                          <w:divsChild>
                            <w:div w:id="1654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890858">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56431620">
      <w:bodyDiv w:val="1"/>
      <w:marLeft w:val="0"/>
      <w:marRight w:val="0"/>
      <w:marTop w:val="0"/>
      <w:marBottom w:val="0"/>
      <w:divBdr>
        <w:top w:val="none" w:sz="0" w:space="0" w:color="auto"/>
        <w:left w:val="none" w:sz="0" w:space="0" w:color="auto"/>
        <w:bottom w:val="none" w:sz="0" w:space="0" w:color="auto"/>
        <w:right w:val="none" w:sz="0" w:space="0" w:color="auto"/>
      </w:divBdr>
    </w:div>
    <w:div w:id="560168500">
      <w:bodyDiv w:val="1"/>
      <w:marLeft w:val="0"/>
      <w:marRight w:val="0"/>
      <w:marTop w:val="0"/>
      <w:marBottom w:val="0"/>
      <w:divBdr>
        <w:top w:val="none" w:sz="0" w:space="0" w:color="auto"/>
        <w:left w:val="none" w:sz="0" w:space="0" w:color="auto"/>
        <w:bottom w:val="none" w:sz="0" w:space="0" w:color="auto"/>
        <w:right w:val="none" w:sz="0" w:space="0" w:color="auto"/>
      </w:divBdr>
    </w:div>
    <w:div w:id="569967737">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574631986">
      <w:bodyDiv w:val="1"/>
      <w:marLeft w:val="0"/>
      <w:marRight w:val="0"/>
      <w:marTop w:val="0"/>
      <w:marBottom w:val="0"/>
      <w:divBdr>
        <w:top w:val="none" w:sz="0" w:space="0" w:color="auto"/>
        <w:left w:val="none" w:sz="0" w:space="0" w:color="auto"/>
        <w:bottom w:val="none" w:sz="0" w:space="0" w:color="auto"/>
        <w:right w:val="none" w:sz="0" w:space="0" w:color="auto"/>
      </w:divBdr>
    </w:div>
    <w:div w:id="578295408">
      <w:bodyDiv w:val="1"/>
      <w:marLeft w:val="0"/>
      <w:marRight w:val="0"/>
      <w:marTop w:val="0"/>
      <w:marBottom w:val="0"/>
      <w:divBdr>
        <w:top w:val="none" w:sz="0" w:space="0" w:color="auto"/>
        <w:left w:val="none" w:sz="0" w:space="0" w:color="auto"/>
        <w:bottom w:val="none" w:sz="0" w:space="0" w:color="auto"/>
        <w:right w:val="none" w:sz="0" w:space="0" w:color="auto"/>
      </w:divBdr>
    </w:div>
    <w:div w:id="587228209">
      <w:bodyDiv w:val="1"/>
      <w:marLeft w:val="0"/>
      <w:marRight w:val="0"/>
      <w:marTop w:val="0"/>
      <w:marBottom w:val="0"/>
      <w:divBdr>
        <w:top w:val="none" w:sz="0" w:space="0" w:color="auto"/>
        <w:left w:val="none" w:sz="0" w:space="0" w:color="auto"/>
        <w:bottom w:val="none" w:sz="0" w:space="0" w:color="auto"/>
        <w:right w:val="none" w:sz="0" w:space="0" w:color="auto"/>
      </w:divBdr>
    </w:div>
    <w:div w:id="596594860">
      <w:bodyDiv w:val="1"/>
      <w:marLeft w:val="0"/>
      <w:marRight w:val="0"/>
      <w:marTop w:val="0"/>
      <w:marBottom w:val="0"/>
      <w:divBdr>
        <w:top w:val="none" w:sz="0" w:space="0" w:color="auto"/>
        <w:left w:val="none" w:sz="0" w:space="0" w:color="auto"/>
        <w:bottom w:val="none" w:sz="0" w:space="0" w:color="auto"/>
        <w:right w:val="none" w:sz="0" w:space="0" w:color="auto"/>
      </w:divBdr>
      <w:divsChild>
        <w:div w:id="58671389">
          <w:marLeft w:val="0"/>
          <w:marRight w:val="0"/>
          <w:marTop w:val="0"/>
          <w:marBottom w:val="0"/>
          <w:divBdr>
            <w:top w:val="none" w:sz="0" w:space="0" w:color="auto"/>
            <w:left w:val="none" w:sz="0" w:space="0" w:color="auto"/>
            <w:bottom w:val="none" w:sz="0" w:space="0" w:color="auto"/>
            <w:right w:val="none" w:sz="0" w:space="0" w:color="auto"/>
          </w:divBdr>
          <w:divsChild>
            <w:div w:id="909462693">
              <w:marLeft w:val="0"/>
              <w:marRight w:val="0"/>
              <w:marTop w:val="0"/>
              <w:marBottom w:val="0"/>
              <w:divBdr>
                <w:top w:val="none" w:sz="0" w:space="0" w:color="auto"/>
                <w:left w:val="none" w:sz="0" w:space="0" w:color="auto"/>
                <w:bottom w:val="none" w:sz="0" w:space="0" w:color="auto"/>
                <w:right w:val="none" w:sz="0" w:space="0" w:color="auto"/>
              </w:divBdr>
              <w:divsChild>
                <w:div w:id="1947422110">
                  <w:marLeft w:val="0"/>
                  <w:marRight w:val="0"/>
                  <w:marTop w:val="0"/>
                  <w:marBottom w:val="0"/>
                  <w:divBdr>
                    <w:top w:val="none" w:sz="0" w:space="0" w:color="auto"/>
                    <w:left w:val="none" w:sz="0" w:space="0" w:color="auto"/>
                    <w:bottom w:val="none" w:sz="0" w:space="0" w:color="auto"/>
                    <w:right w:val="none" w:sz="0" w:space="0" w:color="auto"/>
                  </w:divBdr>
                  <w:divsChild>
                    <w:div w:id="882520057">
                      <w:marLeft w:val="0"/>
                      <w:marRight w:val="0"/>
                      <w:marTop w:val="0"/>
                      <w:marBottom w:val="0"/>
                      <w:divBdr>
                        <w:top w:val="none" w:sz="0" w:space="0" w:color="auto"/>
                        <w:left w:val="none" w:sz="0" w:space="0" w:color="auto"/>
                        <w:bottom w:val="none" w:sz="0" w:space="0" w:color="auto"/>
                        <w:right w:val="none" w:sz="0" w:space="0" w:color="auto"/>
                      </w:divBdr>
                      <w:divsChild>
                        <w:div w:id="312103589">
                          <w:marLeft w:val="0"/>
                          <w:marRight w:val="0"/>
                          <w:marTop w:val="0"/>
                          <w:marBottom w:val="0"/>
                          <w:divBdr>
                            <w:top w:val="none" w:sz="0" w:space="0" w:color="auto"/>
                            <w:left w:val="none" w:sz="0" w:space="0" w:color="auto"/>
                            <w:bottom w:val="none" w:sz="0" w:space="0" w:color="auto"/>
                            <w:right w:val="none" w:sz="0" w:space="0" w:color="auto"/>
                          </w:divBdr>
                          <w:divsChild>
                            <w:div w:id="108282545">
                              <w:marLeft w:val="0"/>
                              <w:marRight w:val="0"/>
                              <w:marTop w:val="0"/>
                              <w:marBottom w:val="0"/>
                              <w:divBdr>
                                <w:top w:val="none" w:sz="0" w:space="0" w:color="auto"/>
                                <w:left w:val="none" w:sz="0" w:space="0" w:color="auto"/>
                                <w:bottom w:val="none" w:sz="0" w:space="0" w:color="auto"/>
                                <w:right w:val="none" w:sz="0" w:space="0" w:color="auto"/>
                              </w:divBdr>
                              <w:divsChild>
                                <w:div w:id="487327175">
                                  <w:marLeft w:val="0"/>
                                  <w:marRight w:val="0"/>
                                  <w:marTop w:val="0"/>
                                  <w:marBottom w:val="0"/>
                                  <w:divBdr>
                                    <w:top w:val="none" w:sz="0" w:space="0" w:color="auto"/>
                                    <w:left w:val="none" w:sz="0" w:space="0" w:color="auto"/>
                                    <w:bottom w:val="none" w:sz="0" w:space="0" w:color="auto"/>
                                    <w:right w:val="none" w:sz="0" w:space="0" w:color="auto"/>
                                  </w:divBdr>
                                  <w:divsChild>
                                    <w:div w:id="739062481">
                                      <w:marLeft w:val="0"/>
                                      <w:marRight w:val="0"/>
                                      <w:marTop w:val="0"/>
                                      <w:marBottom w:val="0"/>
                                      <w:divBdr>
                                        <w:top w:val="none" w:sz="0" w:space="0" w:color="auto"/>
                                        <w:left w:val="none" w:sz="0" w:space="0" w:color="auto"/>
                                        <w:bottom w:val="none" w:sz="0" w:space="0" w:color="auto"/>
                                        <w:right w:val="none" w:sz="0" w:space="0" w:color="auto"/>
                                      </w:divBdr>
                                      <w:divsChild>
                                        <w:div w:id="185337050">
                                          <w:marLeft w:val="0"/>
                                          <w:marRight w:val="0"/>
                                          <w:marTop w:val="0"/>
                                          <w:marBottom w:val="0"/>
                                          <w:divBdr>
                                            <w:top w:val="none" w:sz="0" w:space="0" w:color="auto"/>
                                            <w:left w:val="none" w:sz="0" w:space="0" w:color="auto"/>
                                            <w:bottom w:val="none" w:sz="0" w:space="0" w:color="auto"/>
                                            <w:right w:val="none" w:sz="0" w:space="0" w:color="auto"/>
                                          </w:divBdr>
                                          <w:divsChild>
                                            <w:div w:id="864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39760">
                                  <w:marLeft w:val="0"/>
                                  <w:marRight w:val="0"/>
                                  <w:marTop w:val="0"/>
                                  <w:marBottom w:val="0"/>
                                  <w:divBdr>
                                    <w:top w:val="none" w:sz="0" w:space="0" w:color="auto"/>
                                    <w:left w:val="none" w:sz="0" w:space="0" w:color="auto"/>
                                    <w:bottom w:val="none" w:sz="0" w:space="0" w:color="auto"/>
                                    <w:right w:val="none" w:sz="0" w:space="0" w:color="auto"/>
                                  </w:divBdr>
                                  <w:divsChild>
                                    <w:div w:id="61467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376016">
          <w:marLeft w:val="0"/>
          <w:marRight w:val="0"/>
          <w:marTop w:val="0"/>
          <w:marBottom w:val="0"/>
          <w:divBdr>
            <w:top w:val="none" w:sz="0" w:space="0" w:color="auto"/>
            <w:left w:val="none" w:sz="0" w:space="0" w:color="auto"/>
            <w:bottom w:val="none" w:sz="0" w:space="0" w:color="auto"/>
            <w:right w:val="none" w:sz="0" w:space="0" w:color="auto"/>
          </w:divBdr>
          <w:divsChild>
            <w:div w:id="1960212483">
              <w:marLeft w:val="0"/>
              <w:marRight w:val="0"/>
              <w:marTop w:val="0"/>
              <w:marBottom w:val="0"/>
              <w:divBdr>
                <w:top w:val="none" w:sz="0" w:space="0" w:color="auto"/>
                <w:left w:val="none" w:sz="0" w:space="0" w:color="auto"/>
                <w:bottom w:val="none" w:sz="0" w:space="0" w:color="auto"/>
                <w:right w:val="none" w:sz="0" w:space="0" w:color="auto"/>
              </w:divBdr>
              <w:divsChild>
                <w:div w:id="1191798557">
                  <w:marLeft w:val="0"/>
                  <w:marRight w:val="0"/>
                  <w:marTop w:val="0"/>
                  <w:marBottom w:val="0"/>
                  <w:divBdr>
                    <w:top w:val="none" w:sz="0" w:space="0" w:color="auto"/>
                    <w:left w:val="none" w:sz="0" w:space="0" w:color="auto"/>
                    <w:bottom w:val="none" w:sz="0" w:space="0" w:color="auto"/>
                    <w:right w:val="none" w:sz="0" w:space="0" w:color="auto"/>
                  </w:divBdr>
                  <w:divsChild>
                    <w:div w:id="1965581044">
                      <w:marLeft w:val="0"/>
                      <w:marRight w:val="0"/>
                      <w:marTop w:val="0"/>
                      <w:marBottom w:val="0"/>
                      <w:divBdr>
                        <w:top w:val="none" w:sz="0" w:space="0" w:color="auto"/>
                        <w:left w:val="none" w:sz="0" w:space="0" w:color="auto"/>
                        <w:bottom w:val="none" w:sz="0" w:space="0" w:color="auto"/>
                        <w:right w:val="none" w:sz="0" w:space="0" w:color="auto"/>
                      </w:divBdr>
                      <w:divsChild>
                        <w:div w:id="136336129">
                          <w:marLeft w:val="0"/>
                          <w:marRight w:val="0"/>
                          <w:marTop w:val="0"/>
                          <w:marBottom w:val="0"/>
                          <w:divBdr>
                            <w:top w:val="none" w:sz="0" w:space="0" w:color="auto"/>
                            <w:left w:val="none" w:sz="0" w:space="0" w:color="auto"/>
                            <w:bottom w:val="none" w:sz="0" w:space="0" w:color="auto"/>
                            <w:right w:val="none" w:sz="0" w:space="0" w:color="auto"/>
                          </w:divBdr>
                          <w:divsChild>
                            <w:div w:id="1009214521">
                              <w:marLeft w:val="0"/>
                              <w:marRight w:val="0"/>
                              <w:marTop w:val="0"/>
                              <w:marBottom w:val="0"/>
                              <w:divBdr>
                                <w:top w:val="none" w:sz="0" w:space="0" w:color="auto"/>
                                <w:left w:val="none" w:sz="0" w:space="0" w:color="auto"/>
                                <w:bottom w:val="none" w:sz="0" w:space="0" w:color="auto"/>
                                <w:right w:val="none" w:sz="0" w:space="0" w:color="auto"/>
                              </w:divBdr>
                              <w:divsChild>
                                <w:div w:id="1520848056">
                                  <w:marLeft w:val="0"/>
                                  <w:marRight w:val="0"/>
                                  <w:marTop w:val="0"/>
                                  <w:marBottom w:val="0"/>
                                  <w:divBdr>
                                    <w:top w:val="none" w:sz="0" w:space="0" w:color="auto"/>
                                    <w:left w:val="none" w:sz="0" w:space="0" w:color="auto"/>
                                    <w:bottom w:val="none" w:sz="0" w:space="0" w:color="auto"/>
                                    <w:right w:val="none" w:sz="0" w:space="0" w:color="auto"/>
                                  </w:divBdr>
                                  <w:divsChild>
                                    <w:div w:id="37364764">
                                      <w:marLeft w:val="0"/>
                                      <w:marRight w:val="0"/>
                                      <w:marTop w:val="0"/>
                                      <w:marBottom w:val="0"/>
                                      <w:divBdr>
                                        <w:top w:val="none" w:sz="0" w:space="0" w:color="auto"/>
                                        <w:left w:val="none" w:sz="0" w:space="0" w:color="auto"/>
                                        <w:bottom w:val="none" w:sz="0" w:space="0" w:color="auto"/>
                                        <w:right w:val="none" w:sz="0" w:space="0" w:color="auto"/>
                                      </w:divBdr>
                                      <w:divsChild>
                                        <w:div w:id="102700400">
                                          <w:marLeft w:val="0"/>
                                          <w:marRight w:val="0"/>
                                          <w:marTop w:val="0"/>
                                          <w:marBottom w:val="0"/>
                                          <w:divBdr>
                                            <w:top w:val="none" w:sz="0" w:space="0" w:color="auto"/>
                                            <w:left w:val="none" w:sz="0" w:space="0" w:color="auto"/>
                                            <w:bottom w:val="none" w:sz="0" w:space="0" w:color="auto"/>
                                            <w:right w:val="none" w:sz="0" w:space="0" w:color="auto"/>
                                          </w:divBdr>
                                          <w:divsChild>
                                            <w:div w:id="989335133">
                                              <w:marLeft w:val="0"/>
                                              <w:marRight w:val="0"/>
                                              <w:marTop w:val="0"/>
                                              <w:marBottom w:val="0"/>
                                              <w:divBdr>
                                                <w:top w:val="none" w:sz="0" w:space="0" w:color="auto"/>
                                                <w:left w:val="none" w:sz="0" w:space="0" w:color="auto"/>
                                                <w:bottom w:val="none" w:sz="0" w:space="0" w:color="auto"/>
                                                <w:right w:val="none" w:sz="0" w:space="0" w:color="auto"/>
                                              </w:divBdr>
                                              <w:divsChild>
                                                <w:div w:id="2856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8178666">
      <w:bodyDiv w:val="1"/>
      <w:marLeft w:val="0"/>
      <w:marRight w:val="0"/>
      <w:marTop w:val="0"/>
      <w:marBottom w:val="0"/>
      <w:divBdr>
        <w:top w:val="none" w:sz="0" w:space="0" w:color="auto"/>
        <w:left w:val="none" w:sz="0" w:space="0" w:color="auto"/>
        <w:bottom w:val="none" w:sz="0" w:space="0" w:color="auto"/>
        <w:right w:val="none" w:sz="0" w:space="0" w:color="auto"/>
      </w:divBdr>
    </w:div>
    <w:div w:id="598873512">
      <w:bodyDiv w:val="1"/>
      <w:marLeft w:val="0"/>
      <w:marRight w:val="0"/>
      <w:marTop w:val="0"/>
      <w:marBottom w:val="0"/>
      <w:divBdr>
        <w:top w:val="none" w:sz="0" w:space="0" w:color="auto"/>
        <w:left w:val="none" w:sz="0" w:space="0" w:color="auto"/>
        <w:bottom w:val="none" w:sz="0" w:space="0" w:color="auto"/>
        <w:right w:val="none" w:sz="0" w:space="0" w:color="auto"/>
      </w:divBdr>
    </w:div>
    <w:div w:id="601572704">
      <w:bodyDiv w:val="1"/>
      <w:marLeft w:val="0"/>
      <w:marRight w:val="0"/>
      <w:marTop w:val="0"/>
      <w:marBottom w:val="0"/>
      <w:divBdr>
        <w:top w:val="none" w:sz="0" w:space="0" w:color="auto"/>
        <w:left w:val="none" w:sz="0" w:space="0" w:color="auto"/>
        <w:bottom w:val="none" w:sz="0" w:space="0" w:color="auto"/>
        <w:right w:val="none" w:sz="0" w:space="0" w:color="auto"/>
      </w:divBdr>
    </w:div>
    <w:div w:id="607470277">
      <w:bodyDiv w:val="1"/>
      <w:marLeft w:val="0"/>
      <w:marRight w:val="0"/>
      <w:marTop w:val="0"/>
      <w:marBottom w:val="0"/>
      <w:divBdr>
        <w:top w:val="none" w:sz="0" w:space="0" w:color="auto"/>
        <w:left w:val="none" w:sz="0" w:space="0" w:color="auto"/>
        <w:bottom w:val="none" w:sz="0" w:space="0" w:color="auto"/>
        <w:right w:val="none" w:sz="0" w:space="0" w:color="auto"/>
      </w:divBdr>
    </w:div>
    <w:div w:id="617218376">
      <w:bodyDiv w:val="1"/>
      <w:marLeft w:val="0"/>
      <w:marRight w:val="0"/>
      <w:marTop w:val="0"/>
      <w:marBottom w:val="0"/>
      <w:divBdr>
        <w:top w:val="none" w:sz="0" w:space="0" w:color="auto"/>
        <w:left w:val="none" w:sz="0" w:space="0" w:color="auto"/>
        <w:bottom w:val="none" w:sz="0" w:space="0" w:color="auto"/>
        <w:right w:val="none" w:sz="0" w:space="0" w:color="auto"/>
      </w:divBdr>
    </w:div>
    <w:div w:id="641273074">
      <w:bodyDiv w:val="1"/>
      <w:marLeft w:val="0"/>
      <w:marRight w:val="0"/>
      <w:marTop w:val="0"/>
      <w:marBottom w:val="0"/>
      <w:divBdr>
        <w:top w:val="none" w:sz="0" w:space="0" w:color="auto"/>
        <w:left w:val="none" w:sz="0" w:space="0" w:color="auto"/>
        <w:bottom w:val="none" w:sz="0" w:space="0" w:color="auto"/>
        <w:right w:val="none" w:sz="0" w:space="0" w:color="auto"/>
      </w:divBdr>
      <w:divsChild>
        <w:div w:id="1287082671">
          <w:marLeft w:val="0"/>
          <w:marRight w:val="0"/>
          <w:marTop w:val="0"/>
          <w:marBottom w:val="0"/>
          <w:divBdr>
            <w:top w:val="none" w:sz="0" w:space="0" w:color="auto"/>
            <w:left w:val="none" w:sz="0" w:space="0" w:color="auto"/>
            <w:bottom w:val="none" w:sz="0" w:space="0" w:color="auto"/>
            <w:right w:val="none" w:sz="0" w:space="0" w:color="auto"/>
          </w:divBdr>
          <w:divsChild>
            <w:div w:id="1452356266">
              <w:marLeft w:val="0"/>
              <w:marRight w:val="0"/>
              <w:marTop w:val="0"/>
              <w:marBottom w:val="0"/>
              <w:divBdr>
                <w:top w:val="none" w:sz="0" w:space="0" w:color="auto"/>
                <w:left w:val="none" w:sz="0" w:space="0" w:color="auto"/>
                <w:bottom w:val="none" w:sz="0" w:space="0" w:color="auto"/>
                <w:right w:val="none" w:sz="0" w:space="0" w:color="auto"/>
              </w:divBdr>
              <w:divsChild>
                <w:div w:id="2008241133">
                  <w:marLeft w:val="0"/>
                  <w:marRight w:val="0"/>
                  <w:marTop w:val="0"/>
                  <w:marBottom w:val="0"/>
                  <w:divBdr>
                    <w:top w:val="none" w:sz="0" w:space="0" w:color="auto"/>
                    <w:left w:val="none" w:sz="0" w:space="0" w:color="auto"/>
                    <w:bottom w:val="none" w:sz="0" w:space="0" w:color="auto"/>
                    <w:right w:val="none" w:sz="0" w:space="0" w:color="auto"/>
                  </w:divBdr>
                  <w:divsChild>
                    <w:div w:id="1774934389">
                      <w:marLeft w:val="0"/>
                      <w:marRight w:val="0"/>
                      <w:marTop w:val="0"/>
                      <w:marBottom w:val="0"/>
                      <w:divBdr>
                        <w:top w:val="none" w:sz="0" w:space="0" w:color="auto"/>
                        <w:left w:val="none" w:sz="0" w:space="0" w:color="auto"/>
                        <w:bottom w:val="none" w:sz="0" w:space="0" w:color="auto"/>
                        <w:right w:val="none" w:sz="0" w:space="0" w:color="auto"/>
                      </w:divBdr>
                      <w:divsChild>
                        <w:div w:id="101511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889517">
      <w:bodyDiv w:val="1"/>
      <w:marLeft w:val="0"/>
      <w:marRight w:val="0"/>
      <w:marTop w:val="0"/>
      <w:marBottom w:val="0"/>
      <w:divBdr>
        <w:top w:val="none" w:sz="0" w:space="0" w:color="auto"/>
        <w:left w:val="none" w:sz="0" w:space="0" w:color="auto"/>
        <w:bottom w:val="none" w:sz="0" w:space="0" w:color="auto"/>
        <w:right w:val="none" w:sz="0" w:space="0" w:color="auto"/>
      </w:divBdr>
    </w:div>
    <w:div w:id="662514877">
      <w:bodyDiv w:val="1"/>
      <w:marLeft w:val="0"/>
      <w:marRight w:val="0"/>
      <w:marTop w:val="0"/>
      <w:marBottom w:val="0"/>
      <w:divBdr>
        <w:top w:val="none" w:sz="0" w:space="0" w:color="auto"/>
        <w:left w:val="none" w:sz="0" w:space="0" w:color="auto"/>
        <w:bottom w:val="none" w:sz="0" w:space="0" w:color="auto"/>
        <w:right w:val="none" w:sz="0" w:space="0" w:color="auto"/>
      </w:divBdr>
    </w:div>
    <w:div w:id="663168913">
      <w:bodyDiv w:val="1"/>
      <w:marLeft w:val="0"/>
      <w:marRight w:val="0"/>
      <w:marTop w:val="0"/>
      <w:marBottom w:val="0"/>
      <w:divBdr>
        <w:top w:val="none" w:sz="0" w:space="0" w:color="auto"/>
        <w:left w:val="none" w:sz="0" w:space="0" w:color="auto"/>
        <w:bottom w:val="none" w:sz="0" w:space="0" w:color="auto"/>
        <w:right w:val="none" w:sz="0" w:space="0" w:color="auto"/>
      </w:divBdr>
    </w:div>
    <w:div w:id="666591383">
      <w:bodyDiv w:val="1"/>
      <w:marLeft w:val="0"/>
      <w:marRight w:val="0"/>
      <w:marTop w:val="0"/>
      <w:marBottom w:val="0"/>
      <w:divBdr>
        <w:top w:val="none" w:sz="0" w:space="0" w:color="auto"/>
        <w:left w:val="none" w:sz="0" w:space="0" w:color="auto"/>
        <w:bottom w:val="none" w:sz="0" w:space="0" w:color="auto"/>
        <w:right w:val="none" w:sz="0" w:space="0" w:color="auto"/>
      </w:divBdr>
    </w:div>
    <w:div w:id="668408742">
      <w:bodyDiv w:val="1"/>
      <w:marLeft w:val="0"/>
      <w:marRight w:val="0"/>
      <w:marTop w:val="0"/>
      <w:marBottom w:val="0"/>
      <w:divBdr>
        <w:top w:val="none" w:sz="0" w:space="0" w:color="auto"/>
        <w:left w:val="none" w:sz="0" w:space="0" w:color="auto"/>
        <w:bottom w:val="none" w:sz="0" w:space="0" w:color="auto"/>
        <w:right w:val="none" w:sz="0" w:space="0" w:color="auto"/>
      </w:divBdr>
    </w:div>
    <w:div w:id="671223938">
      <w:bodyDiv w:val="1"/>
      <w:marLeft w:val="0"/>
      <w:marRight w:val="0"/>
      <w:marTop w:val="0"/>
      <w:marBottom w:val="0"/>
      <w:divBdr>
        <w:top w:val="none" w:sz="0" w:space="0" w:color="auto"/>
        <w:left w:val="none" w:sz="0" w:space="0" w:color="auto"/>
        <w:bottom w:val="none" w:sz="0" w:space="0" w:color="auto"/>
        <w:right w:val="none" w:sz="0" w:space="0" w:color="auto"/>
      </w:divBdr>
    </w:div>
    <w:div w:id="709888118">
      <w:bodyDiv w:val="1"/>
      <w:marLeft w:val="0"/>
      <w:marRight w:val="0"/>
      <w:marTop w:val="0"/>
      <w:marBottom w:val="0"/>
      <w:divBdr>
        <w:top w:val="none" w:sz="0" w:space="0" w:color="auto"/>
        <w:left w:val="none" w:sz="0" w:space="0" w:color="auto"/>
        <w:bottom w:val="none" w:sz="0" w:space="0" w:color="auto"/>
        <w:right w:val="none" w:sz="0" w:space="0" w:color="auto"/>
      </w:divBdr>
    </w:div>
    <w:div w:id="715203054">
      <w:bodyDiv w:val="1"/>
      <w:marLeft w:val="0"/>
      <w:marRight w:val="0"/>
      <w:marTop w:val="0"/>
      <w:marBottom w:val="0"/>
      <w:divBdr>
        <w:top w:val="none" w:sz="0" w:space="0" w:color="auto"/>
        <w:left w:val="none" w:sz="0" w:space="0" w:color="auto"/>
        <w:bottom w:val="none" w:sz="0" w:space="0" w:color="auto"/>
        <w:right w:val="none" w:sz="0" w:space="0" w:color="auto"/>
      </w:divBdr>
    </w:div>
    <w:div w:id="733818759">
      <w:bodyDiv w:val="1"/>
      <w:marLeft w:val="0"/>
      <w:marRight w:val="0"/>
      <w:marTop w:val="0"/>
      <w:marBottom w:val="0"/>
      <w:divBdr>
        <w:top w:val="none" w:sz="0" w:space="0" w:color="auto"/>
        <w:left w:val="none" w:sz="0" w:space="0" w:color="auto"/>
        <w:bottom w:val="none" w:sz="0" w:space="0" w:color="auto"/>
        <w:right w:val="none" w:sz="0" w:space="0" w:color="auto"/>
      </w:divBdr>
    </w:div>
    <w:div w:id="734006699">
      <w:bodyDiv w:val="1"/>
      <w:marLeft w:val="0"/>
      <w:marRight w:val="0"/>
      <w:marTop w:val="0"/>
      <w:marBottom w:val="0"/>
      <w:divBdr>
        <w:top w:val="none" w:sz="0" w:space="0" w:color="auto"/>
        <w:left w:val="none" w:sz="0" w:space="0" w:color="auto"/>
        <w:bottom w:val="none" w:sz="0" w:space="0" w:color="auto"/>
        <w:right w:val="none" w:sz="0" w:space="0" w:color="auto"/>
      </w:divBdr>
    </w:div>
    <w:div w:id="742292464">
      <w:bodyDiv w:val="1"/>
      <w:marLeft w:val="0"/>
      <w:marRight w:val="0"/>
      <w:marTop w:val="0"/>
      <w:marBottom w:val="0"/>
      <w:divBdr>
        <w:top w:val="none" w:sz="0" w:space="0" w:color="auto"/>
        <w:left w:val="none" w:sz="0" w:space="0" w:color="auto"/>
        <w:bottom w:val="none" w:sz="0" w:space="0" w:color="auto"/>
        <w:right w:val="none" w:sz="0" w:space="0" w:color="auto"/>
      </w:divBdr>
    </w:div>
    <w:div w:id="742802624">
      <w:bodyDiv w:val="1"/>
      <w:marLeft w:val="0"/>
      <w:marRight w:val="0"/>
      <w:marTop w:val="0"/>
      <w:marBottom w:val="0"/>
      <w:divBdr>
        <w:top w:val="none" w:sz="0" w:space="0" w:color="auto"/>
        <w:left w:val="none" w:sz="0" w:space="0" w:color="auto"/>
        <w:bottom w:val="none" w:sz="0" w:space="0" w:color="auto"/>
        <w:right w:val="none" w:sz="0" w:space="0" w:color="auto"/>
      </w:divBdr>
    </w:div>
    <w:div w:id="750737420">
      <w:bodyDiv w:val="1"/>
      <w:marLeft w:val="0"/>
      <w:marRight w:val="0"/>
      <w:marTop w:val="0"/>
      <w:marBottom w:val="0"/>
      <w:divBdr>
        <w:top w:val="none" w:sz="0" w:space="0" w:color="auto"/>
        <w:left w:val="none" w:sz="0" w:space="0" w:color="auto"/>
        <w:bottom w:val="none" w:sz="0" w:space="0" w:color="auto"/>
        <w:right w:val="none" w:sz="0" w:space="0" w:color="auto"/>
      </w:divBdr>
      <w:divsChild>
        <w:div w:id="1286042938">
          <w:marLeft w:val="0"/>
          <w:marRight w:val="0"/>
          <w:marTop w:val="0"/>
          <w:marBottom w:val="0"/>
          <w:divBdr>
            <w:top w:val="none" w:sz="0" w:space="0" w:color="auto"/>
            <w:left w:val="none" w:sz="0" w:space="0" w:color="auto"/>
            <w:bottom w:val="none" w:sz="0" w:space="0" w:color="auto"/>
            <w:right w:val="none" w:sz="0" w:space="0" w:color="auto"/>
          </w:divBdr>
          <w:divsChild>
            <w:div w:id="509295712">
              <w:marLeft w:val="0"/>
              <w:marRight w:val="0"/>
              <w:marTop w:val="0"/>
              <w:marBottom w:val="0"/>
              <w:divBdr>
                <w:top w:val="none" w:sz="0" w:space="0" w:color="auto"/>
                <w:left w:val="none" w:sz="0" w:space="0" w:color="auto"/>
                <w:bottom w:val="none" w:sz="0" w:space="0" w:color="auto"/>
                <w:right w:val="none" w:sz="0" w:space="0" w:color="auto"/>
              </w:divBdr>
              <w:divsChild>
                <w:div w:id="550961723">
                  <w:marLeft w:val="0"/>
                  <w:marRight w:val="0"/>
                  <w:marTop w:val="0"/>
                  <w:marBottom w:val="0"/>
                  <w:divBdr>
                    <w:top w:val="none" w:sz="0" w:space="0" w:color="auto"/>
                    <w:left w:val="none" w:sz="0" w:space="0" w:color="auto"/>
                    <w:bottom w:val="none" w:sz="0" w:space="0" w:color="auto"/>
                    <w:right w:val="none" w:sz="0" w:space="0" w:color="auto"/>
                  </w:divBdr>
                  <w:divsChild>
                    <w:div w:id="1472013806">
                      <w:marLeft w:val="0"/>
                      <w:marRight w:val="0"/>
                      <w:marTop w:val="0"/>
                      <w:marBottom w:val="0"/>
                      <w:divBdr>
                        <w:top w:val="none" w:sz="0" w:space="0" w:color="auto"/>
                        <w:left w:val="none" w:sz="0" w:space="0" w:color="auto"/>
                        <w:bottom w:val="none" w:sz="0" w:space="0" w:color="auto"/>
                        <w:right w:val="none" w:sz="0" w:space="0" w:color="auto"/>
                      </w:divBdr>
                      <w:divsChild>
                        <w:div w:id="799348517">
                          <w:marLeft w:val="0"/>
                          <w:marRight w:val="0"/>
                          <w:marTop w:val="0"/>
                          <w:marBottom w:val="0"/>
                          <w:divBdr>
                            <w:top w:val="none" w:sz="0" w:space="0" w:color="auto"/>
                            <w:left w:val="none" w:sz="0" w:space="0" w:color="auto"/>
                            <w:bottom w:val="none" w:sz="0" w:space="0" w:color="auto"/>
                            <w:right w:val="none" w:sz="0" w:space="0" w:color="auto"/>
                          </w:divBdr>
                          <w:divsChild>
                            <w:div w:id="1024745250">
                              <w:marLeft w:val="0"/>
                              <w:marRight w:val="0"/>
                              <w:marTop w:val="0"/>
                              <w:marBottom w:val="0"/>
                              <w:divBdr>
                                <w:top w:val="none" w:sz="0" w:space="0" w:color="auto"/>
                                <w:left w:val="none" w:sz="0" w:space="0" w:color="auto"/>
                                <w:bottom w:val="none" w:sz="0" w:space="0" w:color="auto"/>
                                <w:right w:val="none" w:sz="0" w:space="0" w:color="auto"/>
                              </w:divBdr>
                              <w:divsChild>
                                <w:div w:id="1442457631">
                                  <w:marLeft w:val="0"/>
                                  <w:marRight w:val="0"/>
                                  <w:marTop w:val="0"/>
                                  <w:marBottom w:val="0"/>
                                  <w:divBdr>
                                    <w:top w:val="none" w:sz="0" w:space="0" w:color="auto"/>
                                    <w:left w:val="none" w:sz="0" w:space="0" w:color="auto"/>
                                    <w:bottom w:val="none" w:sz="0" w:space="0" w:color="auto"/>
                                    <w:right w:val="none" w:sz="0" w:space="0" w:color="auto"/>
                                  </w:divBdr>
                                  <w:divsChild>
                                    <w:div w:id="1667242648">
                                      <w:marLeft w:val="0"/>
                                      <w:marRight w:val="0"/>
                                      <w:marTop w:val="0"/>
                                      <w:marBottom w:val="0"/>
                                      <w:divBdr>
                                        <w:top w:val="none" w:sz="0" w:space="0" w:color="auto"/>
                                        <w:left w:val="none" w:sz="0" w:space="0" w:color="auto"/>
                                        <w:bottom w:val="none" w:sz="0" w:space="0" w:color="auto"/>
                                        <w:right w:val="none" w:sz="0" w:space="0" w:color="auto"/>
                                      </w:divBdr>
                                      <w:divsChild>
                                        <w:div w:id="1859007798">
                                          <w:marLeft w:val="0"/>
                                          <w:marRight w:val="0"/>
                                          <w:marTop w:val="0"/>
                                          <w:marBottom w:val="0"/>
                                          <w:divBdr>
                                            <w:top w:val="none" w:sz="0" w:space="0" w:color="auto"/>
                                            <w:left w:val="none" w:sz="0" w:space="0" w:color="auto"/>
                                            <w:bottom w:val="none" w:sz="0" w:space="0" w:color="auto"/>
                                            <w:right w:val="none" w:sz="0" w:space="0" w:color="auto"/>
                                          </w:divBdr>
                                          <w:divsChild>
                                            <w:div w:id="1391028511">
                                              <w:marLeft w:val="0"/>
                                              <w:marRight w:val="0"/>
                                              <w:marTop w:val="0"/>
                                              <w:marBottom w:val="0"/>
                                              <w:divBdr>
                                                <w:top w:val="none" w:sz="0" w:space="0" w:color="auto"/>
                                                <w:left w:val="none" w:sz="0" w:space="0" w:color="auto"/>
                                                <w:bottom w:val="none" w:sz="0" w:space="0" w:color="auto"/>
                                                <w:right w:val="none" w:sz="0" w:space="0" w:color="auto"/>
                                              </w:divBdr>
                                              <w:divsChild>
                                                <w:div w:id="8036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396005">
                          <w:marLeft w:val="0"/>
                          <w:marRight w:val="0"/>
                          <w:marTop w:val="0"/>
                          <w:marBottom w:val="0"/>
                          <w:divBdr>
                            <w:top w:val="none" w:sz="0" w:space="0" w:color="auto"/>
                            <w:left w:val="none" w:sz="0" w:space="0" w:color="auto"/>
                            <w:bottom w:val="none" w:sz="0" w:space="0" w:color="auto"/>
                            <w:right w:val="none" w:sz="0" w:space="0" w:color="auto"/>
                          </w:divBdr>
                          <w:divsChild>
                            <w:div w:id="950934442">
                              <w:marLeft w:val="0"/>
                              <w:marRight w:val="0"/>
                              <w:marTop w:val="0"/>
                              <w:marBottom w:val="0"/>
                              <w:divBdr>
                                <w:top w:val="none" w:sz="0" w:space="0" w:color="auto"/>
                                <w:left w:val="none" w:sz="0" w:space="0" w:color="auto"/>
                                <w:bottom w:val="none" w:sz="0" w:space="0" w:color="auto"/>
                                <w:right w:val="none" w:sz="0" w:space="0" w:color="auto"/>
                              </w:divBdr>
                              <w:divsChild>
                                <w:div w:id="19278649">
                                  <w:marLeft w:val="0"/>
                                  <w:marRight w:val="0"/>
                                  <w:marTop w:val="0"/>
                                  <w:marBottom w:val="0"/>
                                  <w:divBdr>
                                    <w:top w:val="none" w:sz="0" w:space="0" w:color="auto"/>
                                    <w:left w:val="none" w:sz="0" w:space="0" w:color="auto"/>
                                    <w:bottom w:val="none" w:sz="0" w:space="0" w:color="auto"/>
                                    <w:right w:val="none" w:sz="0" w:space="0" w:color="auto"/>
                                  </w:divBdr>
                                  <w:divsChild>
                                    <w:div w:id="677734871">
                                      <w:marLeft w:val="0"/>
                                      <w:marRight w:val="0"/>
                                      <w:marTop w:val="0"/>
                                      <w:marBottom w:val="0"/>
                                      <w:divBdr>
                                        <w:top w:val="none" w:sz="0" w:space="0" w:color="auto"/>
                                        <w:left w:val="none" w:sz="0" w:space="0" w:color="auto"/>
                                        <w:bottom w:val="none" w:sz="0" w:space="0" w:color="auto"/>
                                        <w:right w:val="none" w:sz="0" w:space="0" w:color="auto"/>
                                      </w:divBdr>
                                      <w:divsChild>
                                        <w:div w:id="1431467094">
                                          <w:marLeft w:val="0"/>
                                          <w:marRight w:val="0"/>
                                          <w:marTop w:val="0"/>
                                          <w:marBottom w:val="0"/>
                                          <w:divBdr>
                                            <w:top w:val="none" w:sz="0" w:space="0" w:color="auto"/>
                                            <w:left w:val="none" w:sz="0" w:space="0" w:color="auto"/>
                                            <w:bottom w:val="none" w:sz="0" w:space="0" w:color="auto"/>
                                            <w:right w:val="none" w:sz="0" w:space="0" w:color="auto"/>
                                          </w:divBdr>
                                          <w:divsChild>
                                            <w:div w:id="19879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602626">
                          <w:marLeft w:val="0"/>
                          <w:marRight w:val="0"/>
                          <w:marTop w:val="0"/>
                          <w:marBottom w:val="0"/>
                          <w:divBdr>
                            <w:top w:val="none" w:sz="0" w:space="0" w:color="auto"/>
                            <w:left w:val="none" w:sz="0" w:space="0" w:color="auto"/>
                            <w:bottom w:val="none" w:sz="0" w:space="0" w:color="auto"/>
                            <w:right w:val="none" w:sz="0" w:space="0" w:color="auto"/>
                          </w:divBdr>
                          <w:divsChild>
                            <w:div w:id="1788430357">
                              <w:marLeft w:val="0"/>
                              <w:marRight w:val="0"/>
                              <w:marTop w:val="0"/>
                              <w:marBottom w:val="0"/>
                              <w:divBdr>
                                <w:top w:val="none" w:sz="0" w:space="0" w:color="auto"/>
                                <w:left w:val="none" w:sz="0" w:space="0" w:color="auto"/>
                                <w:bottom w:val="none" w:sz="0" w:space="0" w:color="auto"/>
                                <w:right w:val="none" w:sz="0" w:space="0" w:color="auto"/>
                              </w:divBdr>
                              <w:divsChild>
                                <w:div w:id="916985794">
                                  <w:marLeft w:val="0"/>
                                  <w:marRight w:val="0"/>
                                  <w:marTop w:val="0"/>
                                  <w:marBottom w:val="0"/>
                                  <w:divBdr>
                                    <w:top w:val="none" w:sz="0" w:space="0" w:color="auto"/>
                                    <w:left w:val="none" w:sz="0" w:space="0" w:color="auto"/>
                                    <w:bottom w:val="none" w:sz="0" w:space="0" w:color="auto"/>
                                    <w:right w:val="none" w:sz="0" w:space="0" w:color="auto"/>
                                  </w:divBdr>
                                  <w:divsChild>
                                    <w:div w:id="1312641191">
                                      <w:marLeft w:val="0"/>
                                      <w:marRight w:val="0"/>
                                      <w:marTop w:val="0"/>
                                      <w:marBottom w:val="0"/>
                                      <w:divBdr>
                                        <w:top w:val="none" w:sz="0" w:space="0" w:color="auto"/>
                                        <w:left w:val="none" w:sz="0" w:space="0" w:color="auto"/>
                                        <w:bottom w:val="none" w:sz="0" w:space="0" w:color="auto"/>
                                        <w:right w:val="none" w:sz="0" w:space="0" w:color="auto"/>
                                      </w:divBdr>
                                    </w:div>
                                  </w:divsChild>
                                </w:div>
                                <w:div w:id="1390225997">
                                  <w:marLeft w:val="0"/>
                                  <w:marRight w:val="0"/>
                                  <w:marTop w:val="0"/>
                                  <w:marBottom w:val="0"/>
                                  <w:divBdr>
                                    <w:top w:val="none" w:sz="0" w:space="0" w:color="auto"/>
                                    <w:left w:val="none" w:sz="0" w:space="0" w:color="auto"/>
                                    <w:bottom w:val="none" w:sz="0" w:space="0" w:color="auto"/>
                                    <w:right w:val="none" w:sz="0" w:space="0" w:color="auto"/>
                                  </w:divBdr>
                                  <w:divsChild>
                                    <w:div w:id="1531988859">
                                      <w:marLeft w:val="0"/>
                                      <w:marRight w:val="0"/>
                                      <w:marTop w:val="0"/>
                                      <w:marBottom w:val="0"/>
                                      <w:divBdr>
                                        <w:top w:val="none" w:sz="0" w:space="0" w:color="auto"/>
                                        <w:left w:val="none" w:sz="0" w:space="0" w:color="auto"/>
                                        <w:bottom w:val="none" w:sz="0" w:space="0" w:color="auto"/>
                                        <w:right w:val="none" w:sz="0" w:space="0" w:color="auto"/>
                                      </w:divBdr>
                                      <w:divsChild>
                                        <w:div w:id="240408021">
                                          <w:marLeft w:val="0"/>
                                          <w:marRight w:val="0"/>
                                          <w:marTop w:val="0"/>
                                          <w:marBottom w:val="0"/>
                                          <w:divBdr>
                                            <w:top w:val="none" w:sz="0" w:space="0" w:color="auto"/>
                                            <w:left w:val="none" w:sz="0" w:space="0" w:color="auto"/>
                                            <w:bottom w:val="none" w:sz="0" w:space="0" w:color="auto"/>
                                            <w:right w:val="none" w:sz="0" w:space="0" w:color="auto"/>
                                          </w:divBdr>
                                          <w:divsChild>
                                            <w:div w:id="7619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708405">
          <w:marLeft w:val="0"/>
          <w:marRight w:val="0"/>
          <w:marTop w:val="0"/>
          <w:marBottom w:val="0"/>
          <w:divBdr>
            <w:top w:val="none" w:sz="0" w:space="0" w:color="auto"/>
            <w:left w:val="none" w:sz="0" w:space="0" w:color="auto"/>
            <w:bottom w:val="none" w:sz="0" w:space="0" w:color="auto"/>
            <w:right w:val="none" w:sz="0" w:space="0" w:color="auto"/>
          </w:divBdr>
          <w:divsChild>
            <w:div w:id="1781951372">
              <w:marLeft w:val="0"/>
              <w:marRight w:val="0"/>
              <w:marTop w:val="0"/>
              <w:marBottom w:val="0"/>
              <w:divBdr>
                <w:top w:val="none" w:sz="0" w:space="0" w:color="auto"/>
                <w:left w:val="none" w:sz="0" w:space="0" w:color="auto"/>
                <w:bottom w:val="none" w:sz="0" w:space="0" w:color="auto"/>
                <w:right w:val="none" w:sz="0" w:space="0" w:color="auto"/>
              </w:divBdr>
              <w:divsChild>
                <w:div w:id="1611821060">
                  <w:marLeft w:val="0"/>
                  <w:marRight w:val="0"/>
                  <w:marTop w:val="0"/>
                  <w:marBottom w:val="0"/>
                  <w:divBdr>
                    <w:top w:val="none" w:sz="0" w:space="0" w:color="auto"/>
                    <w:left w:val="none" w:sz="0" w:space="0" w:color="auto"/>
                    <w:bottom w:val="none" w:sz="0" w:space="0" w:color="auto"/>
                    <w:right w:val="none" w:sz="0" w:space="0" w:color="auto"/>
                  </w:divBdr>
                  <w:divsChild>
                    <w:div w:id="2087725909">
                      <w:marLeft w:val="0"/>
                      <w:marRight w:val="0"/>
                      <w:marTop w:val="0"/>
                      <w:marBottom w:val="0"/>
                      <w:divBdr>
                        <w:top w:val="none" w:sz="0" w:space="0" w:color="auto"/>
                        <w:left w:val="none" w:sz="0" w:space="0" w:color="auto"/>
                        <w:bottom w:val="none" w:sz="0" w:space="0" w:color="auto"/>
                        <w:right w:val="none" w:sz="0" w:space="0" w:color="auto"/>
                      </w:divBdr>
                      <w:divsChild>
                        <w:div w:id="859509971">
                          <w:marLeft w:val="0"/>
                          <w:marRight w:val="0"/>
                          <w:marTop w:val="0"/>
                          <w:marBottom w:val="0"/>
                          <w:divBdr>
                            <w:top w:val="none" w:sz="0" w:space="0" w:color="auto"/>
                            <w:left w:val="none" w:sz="0" w:space="0" w:color="auto"/>
                            <w:bottom w:val="none" w:sz="0" w:space="0" w:color="auto"/>
                            <w:right w:val="none" w:sz="0" w:space="0" w:color="auto"/>
                          </w:divBdr>
                          <w:divsChild>
                            <w:div w:id="852231433">
                              <w:marLeft w:val="0"/>
                              <w:marRight w:val="0"/>
                              <w:marTop w:val="0"/>
                              <w:marBottom w:val="0"/>
                              <w:divBdr>
                                <w:top w:val="none" w:sz="0" w:space="0" w:color="auto"/>
                                <w:left w:val="none" w:sz="0" w:space="0" w:color="auto"/>
                                <w:bottom w:val="none" w:sz="0" w:space="0" w:color="auto"/>
                                <w:right w:val="none" w:sz="0" w:space="0" w:color="auto"/>
                              </w:divBdr>
                              <w:divsChild>
                                <w:div w:id="942029963">
                                  <w:marLeft w:val="0"/>
                                  <w:marRight w:val="0"/>
                                  <w:marTop w:val="0"/>
                                  <w:marBottom w:val="0"/>
                                  <w:divBdr>
                                    <w:top w:val="none" w:sz="0" w:space="0" w:color="auto"/>
                                    <w:left w:val="none" w:sz="0" w:space="0" w:color="auto"/>
                                    <w:bottom w:val="none" w:sz="0" w:space="0" w:color="auto"/>
                                    <w:right w:val="none" w:sz="0" w:space="0" w:color="auto"/>
                                  </w:divBdr>
                                  <w:divsChild>
                                    <w:div w:id="2125146360">
                                      <w:marLeft w:val="0"/>
                                      <w:marRight w:val="0"/>
                                      <w:marTop w:val="0"/>
                                      <w:marBottom w:val="0"/>
                                      <w:divBdr>
                                        <w:top w:val="none" w:sz="0" w:space="0" w:color="auto"/>
                                        <w:left w:val="none" w:sz="0" w:space="0" w:color="auto"/>
                                        <w:bottom w:val="none" w:sz="0" w:space="0" w:color="auto"/>
                                        <w:right w:val="none" w:sz="0" w:space="0" w:color="auto"/>
                                      </w:divBdr>
                                      <w:divsChild>
                                        <w:div w:id="1253784250">
                                          <w:marLeft w:val="0"/>
                                          <w:marRight w:val="0"/>
                                          <w:marTop w:val="0"/>
                                          <w:marBottom w:val="0"/>
                                          <w:divBdr>
                                            <w:top w:val="none" w:sz="0" w:space="0" w:color="auto"/>
                                            <w:left w:val="none" w:sz="0" w:space="0" w:color="auto"/>
                                            <w:bottom w:val="none" w:sz="0" w:space="0" w:color="auto"/>
                                            <w:right w:val="none" w:sz="0" w:space="0" w:color="auto"/>
                                          </w:divBdr>
                                          <w:divsChild>
                                            <w:div w:id="263390333">
                                              <w:marLeft w:val="0"/>
                                              <w:marRight w:val="0"/>
                                              <w:marTop w:val="0"/>
                                              <w:marBottom w:val="0"/>
                                              <w:divBdr>
                                                <w:top w:val="none" w:sz="0" w:space="0" w:color="auto"/>
                                                <w:left w:val="none" w:sz="0" w:space="0" w:color="auto"/>
                                                <w:bottom w:val="none" w:sz="0" w:space="0" w:color="auto"/>
                                                <w:right w:val="none" w:sz="0" w:space="0" w:color="auto"/>
                                              </w:divBdr>
                                              <w:divsChild>
                                                <w:div w:id="1532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6370026">
      <w:bodyDiv w:val="1"/>
      <w:marLeft w:val="0"/>
      <w:marRight w:val="0"/>
      <w:marTop w:val="0"/>
      <w:marBottom w:val="0"/>
      <w:divBdr>
        <w:top w:val="none" w:sz="0" w:space="0" w:color="auto"/>
        <w:left w:val="none" w:sz="0" w:space="0" w:color="auto"/>
        <w:bottom w:val="none" w:sz="0" w:space="0" w:color="auto"/>
        <w:right w:val="none" w:sz="0" w:space="0" w:color="auto"/>
      </w:divBdr>
    </w:div>
    <w:div w:id="757484717">
      <w:bodyDiv w:val="1"/>
      <w:marLeft w:val="0"/>
      <w:marRight w:val="0"/>
      <w:marTop w:val="0"/>
      <w:marBottom w:val="0"/>
      <w:divBdr>
        <w:top w:val="none" w:sz="0" w:space="0" w:color="auto"/>
        <w:left w:val="none" w:sz="0" w:space="0" w:color="auto"/>
        <w:bottom w:val="none" w:sz="0" w:space="0" w:color="auto"/>
        <w:right w:val="none" w:sz="0" w:space="0" w:color="auto"/>
      </w:divBdr>
    </w:div>
    <w:div w:id="770861247">
      <w:bodyDiv w:val="1"/>
      <w:marLeft w:val="0"/>
      <w:marRight w:val="0"/>
      <w:marTop w:val="0"/>
      <w:marBottom w:val="0"/>
      <w:divBdr>
        <w:top w:val="none" w:sz="0" w:space="0" w:color="auto"/>
        <w:left w:val="none" w:sz="0" w:space="0" w:color="auto"/>
        <w:bottom w:val="none" w:sz="0" w:space="0" w:color="auto"/>
        <w:right w:val="none" w:sz="0" w:space="0" w:color="auto"/>
      </w:divBdr>
    </w:div>
    <w:div w:id="798299177">
      <w:bodyDiv w:val="1"/>
      <w:marLeft w:val="0"/>
      <w:marRight w:val="0"/>
      <w:marTop w:val="0"/>
      <w:marBottom w:val="0"/>
      <w:divBdr>
        <w:top w:val="none" w:sz="0" w:space="0" w:color="auto"/>
        <w:left w:val="none" w:sz="0" w:space="0" w:color="auto"/>
        <w:bottom w:val="none" w:sz="0" w:space="0" w:color="auto"/>
        <w:right w:val="none" w:sz="0" w:space="0" w:color="auto"/>
      </w:divBdr>
    </w:div>
    <w:div w:id="811946795">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843203632">
      <w:bodyDiv w:val="1"/>
      <w:marLeft w:val="0"/>
      <w:marRight w:val="0"/>
      <w:marTop w:val="0"/>
      <w:marBottom w:val="0"/>
      <w:divBdr>
        <w:top w:val="none" w:sz="0" w:space="0" w:color="auto"/>
        <w:left w:val="none" w:sz="0" w:space="0" w:color="auto"/>
        <w:bottom w:val="none" w:sz="0" w:space="0" w:color="auto"/>
        <w:right w:val="none" w:sz="0" w:space="0" w:color="auto"/>
      </w:divBdr>
      <w:divsChild>
        <w:div w:id="353729496">
          <w:marLeft w:val="0"/>
          <w:marRight w:val="0"/>
          <w:marTop w:val="0"/>
          <w:marBottom w:val="0"/>
          <w:divBdr>
            <w:top w:val="none" w:sz="0" w:space="0" w:color="auto"/>
            <w:left w:val="none" w:sz="0" w:space="0" w:color="auto"/>
            <w:bottom w:val="none" w:sz="0" w:space="0" w:color="auto"/>
            <w:right w:val="none" w:sz="0" w:space="0" w:color="auto"/>
          </w:divBdr>
        </w:div>
      </w:divsChild>
    </w:div>
    <w:div w:id="848177396">
      <w:bodyDiv w:val="1"/>
      <w:marLeft w:val="0"/>
      <w:marRight w:val="0"/>
      <w:marTop w:val="0"/>
      <w:marBottom w:val="0"/>
      <w:divBdr>
        <w:top w:val="none" w:sz="0" w:space="0" w:color="auto"/>
        <w:left w:val="none" w:sz="0" w:space="0" w:color="auto"/>
        <w:bottom w:val="none" w:sz="0" w:space="0" w:color="auto"/>
        <w:right w:val="none" w:sz="0" w:space="0" w:color="auto"/>
      </w:divBdr>
    </w:div>
    <w:div w:id="849105894">
      <w:bodyDiv w:val="1"/>
      <w:marLeft w:val="0"/>
      <w:marRight w:val="0"/>
      <w:marTop w:val="0"/>
      <w:marBottom w:val="0"/>
      <w:divBdr>
        <w:top w:val="none" w:sz="0" w:space="0" w:color="auto"/>
        <w:left w:val="none" w:sz="0" w:space="0" w:color="auto"/>
        <w:bottom w:val="none" w:sz="0" w:space="0" w:color="auto"/>
        <w:right w:val="none" w:sz="0" w:space="0" w:color="auto"/>
      </w:divBdr>
    </w:div>
    <w:div w:id="865681068">
      <w:bodyDiv w:val="1"/>
      <w:marLeft w:val="0"/>
      <w:marRight w:val="0"/>
      <w:marTop w:val="0"/>
      <w:marBottom w:val="0"/>
      <w:divBdr>
        <w:top w:val="none" w:sz="0" w:space="0" w:color="auto"/>
        <w:left w:val="none" w:sz="0" w:space="0" w:color="auto"/>
        <w:bottom w:val="none" w:sz="0" w:space="0" w:color="auto"/>
        <w:right w:val="none" w:sz="0" w:space="0" w:color="auto"/>
      </w:divBdr>
    </w:div>
    <w:div w:id="867333641">
      <w:bodyDiv w:val="1"/>
      <w:marLeft w:val="0"/>
      <w:marRight w:val="0"/>
      <w:marTop w:val="0"/>
      <w:marBottom w:val="0"/>
      <w:divBdr>
        <w:top w:val="none" w:sz="0" w:space="0" w:color="auto"/>
        <w:left w:val="none" w:sz="0" w:space="0" w:color="auto"/>
        <w:bottom w:val="none" w:sz="0" w:space="0" w:color="auto"/>
        <w:right w:val="none" w:sz="0" w:space="0" w:color="auto"/>
      </w:divBdr>
    </w:div>
    <w:div w:id="888567451">
      <w:bodyDiv w:val="1"/>
      <w:marLeft w:val="0"/>
      <w:marRight w:val="0"/>
      <w:marTop w:val="0"/>
      <w:marBottom w:val="0"/>
      <w:divBdr>
        <w:top w:val="none" w:sz="0" w:space="0" w:color="auto"/>
        <w:left w:val="none" w:sz="0" w:space="0" w:color="auto"/>
        <w:bottom w:val="none" w:sz="0" w:space="0" w:color="auto"/>
        <w:right w:val="none" w:sz="0" w:space="0" w:color="auto"/>
      </w:divBdr>
    </w:div>
    <w:div w:id="899442888">
      <w:bodyDiv w:val="1"/>
      <w:marLeft w:val="0"/>
      <w:marRight w:val="0"/>
      <w:marTop w:val="0"/>
      <w:marBottom w:val="0"/>
      <w:divBdr>
        <w:top w:val="none" w:sz="0" w:space="0" w:color="auto"/>
        <w:left w:val="none" w:sz="0" w:space="0" w:color="auto"/>
        <w:bottom w:val="none" w:sz="0" w:space="0" w:color="auto"/>
        <w:right w:val="none" w:sz="0" w:space="0" w:color="auto"/>
      </w:divBdr>
    </w:div>
    <w:div w:id="919096803">
      <w:bodyDiv w:val="1"/>
      <w:marLeft w:val="0"/>
      <w:marRight w:val="0"/>
      <w:marTop w:val="0"/>
      <w:marBottom w:val="0"/>
      <w:divBdr>
        <w:top w:val="none" w:sz="0" w:space="0" w:color="auto"/>
        <w:left w:val="none" w:sz="0" w:space="0" w:color="auto"/>
        <w:bottom w:val="none" w:sz="0" w:space="0" w:color="auto"/>
        <w:right w:val="none" w:sz="0" w:space="0" w:color="auto"/>
      </w:divBdr>
    </w:div>
    <w:div w:id="922107105">
      <w:bodyDiv w:val="1"/>
      <w:marLeft w:val="0"/>
      <w:marRight w:val="0"/>
      <w:marTop w:val="0"/>
      <w:marBottom w:val="0"/>
      <w:divBdr>
        <w:top w:val="none" w:sz="0" w:space="0" w:color="auto"/>
        <w:left w:val="none" w:sz="0" w:space="0" w:color="auto"/>
        <w:bottom w:val="none" w:sz="0" w:space="0" w:color="auto"/>
        <w:right w:val="none" w:sz="0" w:space="0" w:color="auto"/>
      </w:divBdr>
    </w:div>
    <w:div w:id="931746737">
      <w:bodyDiv w:val="1"/>
      <w:marLeft w:val="0"/>
      <w:marRight w:val="0"/>
      <w:marTop w:val="0"/>
      <w:marBottom w:val="0"/>
      <w:divBdr>
        <w:top w:val="none" w:sz="0" w:space="0" w:color="auto"/>
        <w:left w:val="none" w:sz="0" w:space="0" w:color="auto"/>
        <w:bottom w:val="none" w:sz="0" w:space="0" w:color="auto"/>
        <w:right w:val="none" w:sz="0" w:space="0" w:color="auto"/>
      </w:divBdr>
    </w:div>
    <w:div w:id="938829791">
      <w:bodyDiv w:val="1"/>
      <w:marLeft w:val="0"/>
      <w:marRight w:val="0"/>
      <w:marTop w:val="0"/>
      <w:marBottom w:val="0"/>
      <w:divBdr>
        <w:top w:val="none" w:sz="0" w:space="0" w:color="auto"/>
        <w:left w:val="none" w:sz="0" w:space="0" w:color="auto"/>
        <w:bottom w:val="none" w:sz="0" w:space="0" w:color="auto"/>
        <w:right w:val="none" w:sz="0" w:space="0" w:color="auto"/>
      </w:divBdr>
    </w:div>
    <w:div w:id="958876909">
      <w:bodyDiv w:val="1"/>
      <w:marLeft w:val="0"/>
      <w:marRight w:val="0"/>
      <w:marTop w:val="0"/>
      <w:marBottom w:val="0"/>
      <w:divBdr>
        <w:top w:val="none" w:sz="0" w:space="0" w:color="auto"/>
        <w:left w:val="none" w:sz="0" w:space="0" w:color="auto"/>
        <w:bottom w:val="none" w:sz="0" w:space="0" w:color="auto"/>
        <w:right w:val="none" w:sz="0" w:space="0" w:color="auto"/>
      </w:divBdr>
    </w:div>
    <w:div w:id="959606171">
      <w:bodyDiv w:val="1"/>
      <w:marLeft w:val="0"/>
      <w:marRight w:val="0"/>
      <w:marTop w:val="0"/>
      <w:marBottom w:val="0"/>
      <w:divBdr>
        <w:top w:val="none" w:sz="0" w:space="0" w:color="auto"/>
        <w:left w:val="none" w:sz="0" w:space="0" w:color="auto"/>
        <w:bottom w:val="none" w:sz="0" w:space="0" w:color="auto"/>
        <w:right w:val="none" w:sz="0" w:space="0" w:color="auto"/>
      </w:divBdr>
    </w:div>
    <w:div w:id="960500854">
      <w:bodyDiv w:val="1"/>
      <w:marLeft w:val="0"/>
      <w:marRight w:val="0"/>
      <w:marTop w:val="0"/>
      <w:marBottom w:val="0"/>
      <w:divBdr>
        <w:top w:val="none" w:sz="0" w:space="0" w:color="auto"/>
        <w:left w:val="none" w:sz="0" w:space="0" w:color="auto"/>
        <w:bottom w:val="none" w:sz="0" w:space="0" w:color="auto"/>
        <w:right w:val="none" w:sz="0" w:space="0" w:color="auto"/>
      </w:divBdr>
    </w:div>
    <w:div w:id="968822723">
      <w:bodyDiv w:val="1"/>
      <w:marLeft w:val="0"/>
      <w:marRight w:val="0"/>
      <w:marTop w:val="0"/>
      <w:marBottom w:val="0"/>
      <w:divBdr>
        <w:top w:val="none" w:sz="0" w:space="0" w:color="auto"/>
        <w:left w:val="none" w:sz="0" w:space="0" w:color="auto"/>
        <w:bottom w:val="none" w:sz="0" w:space="0" w:color="auto"/>
        <w:right w:val="none" w:sz="0" w:space="0" w:color="auto"/>
      </w:divBdr>
    </w:div>
    <w:div w:id="973171202">
      <w:bodyDiv w:val="1"/>
      <w:marLeft w:val="0"/>
      <w:marRight w:val="0"/>
      <w:marTop w:val="0"/>
      <w:marBottom w:val="0"/>
      <w:divBdr>
        <w:top w:val="none" w:sz="0" w:space="0" w:color="auto"/>
        <w:left w:val="none" w:sz="0" w:space="0" w:color="auto"/>
        <w:bottom w:val="none" w:sz="0" w:space="0" w:color="auto"/>
        <w:right w:val="none" w:sz="0" w:space="0" w:color="auto"/>
      </w:divBdr>
    </w:div>
    <w:div w:id="981345748">
      <w:bodyDiv w:val="1"/>
      <w:marLeft w:val="0"/>
      <w:marRight w:val="0"/>
      <w:marTop w:val="0"/>
      <w:marBottom w:val="0"/>
      <w:divBdr>
        <w:top w:val="none" w:sz="0" w:space="0" w:color="auto"/>
        <w:left w:val="none" w:sz="0" w:space="0" w:color="auto"/>
        <w:bottom w:val="none" w:sz="0" w:space="0" w:color="auto"/>
        <w:right w:val="none" w:sz="0" w:space="0" w:color="auto"/>
      </w:divBdr>
    </w:div>
    <w:div w:id="994067937">
      <w:bodyDiv w:val="1"/>
      <w:marLeft w:val="0"/>
      <w:marRight w:val="0"/>
      <w:marTop w:val="0"/>
      <w:marBottom w:val="0"/>
      <w:divBdr>
        <w:top w:val="none" w:sz="0" w:space="0" w:color="auto"/>
        <w:left w:val="none" w:sz="0" w:space="0" w:color="auto"/>
        <w:bottom w:val="none" w:sz="0" w:space="0" w:color="auto"/>
        <w:right w:val="none" w:sz="0" w:space="0" w:color="auto"/>
      </w:divBdr>
    </w:div>
    <w:div w:id="1001422282">
      <w:bodyDiv w:val="1"/>
      <w:marLeft w:val="0"/>
      <w:marRight w:val="0"/>
      <w:marTop w:val="0"/>
      <w:marBottom w:val="0"/>
      <w:divBdr>
        <w:top w:val="none" w:sz="0" w:space="0" w:color="auto"/>
        <w:left w:val="none" w:sz="0" w:space="0" w:color="auto"/>
        <w:bottom w:val="none" w:sz="0" w:space="0" w:color="auto"/>
        <w:right w:val="none" w:sz="0" w:space="0" w:color="auto"/>
      </w:divBdr>
    </w:div>
    <w:div w:id="1020661562">
      <w:bodyDiv w:val="1"/>
      <w:marLeft w:val="0"/>
      <w:marRight w:val="0"/>
      <w:marTop w:val="0"/>
      <w:marBottom w:val="0"/>
      <w:divBdr>
        <w:top w:val="none" w:sz="0" w:space="0" w:color="auto"/>
        <w:left w:val="none" w:sz="0" w:space="0" w:color="auto"/>
        <w:bottom w:val="none" w:sz="0" w:space="0" w:color="auto"/>
        <w:right w:val="none" w:sz="0" w:space="0" w:color="auto"/>
      </w:divBdr>
    </w:div>
    <w:div w:id="1021853984">
      <w:bodyDiv w:val="1"/>
      <w:marLeft w:val="0"/>
      <w:marRight w:val="0"/>
      <w:marTop w:val="0"/>
      <w:marBottom w:val="0"/>
      <w:divBdr>
        <w:top w:val="none" w:sz="0" w:space="0" w:color="auto"/>
        <w:left w:val="none" w:sz="0" w:space="0" w:color="auto"/>
        <w:bottom w:val="none" w:sz="0" w:space="0" w:color="auto"/>
        <w:right w:val="none" w:sz="0" w:space="0" w:color="auto"/>
      </w:divBdr>
    </w:div>
    <w:div w:id="1026366046">
      <w:bodyDiv w:val="1"/>
      <w:marLeft w:val="0"/>
      <w:marRight w:val="0"/>
      <w:marTop w:val="0"/>
      <w:marBottom w:val="0"/>
      <w:divBdr>
        <w:top w:val="none" w:sz="0" w:space="0" w:color="auto"/>
        <w:left w:val="none" w:sz="0" w:space="0" w:color="auto"/>
        <w:bottom w:val="none" w:sz="0" w:space="0" w:color="auto"/>
        <w:right w:val="none" w:sz="0" w:space="0" w:color="auto"/>
      </w:divBdr>
    </w:div>
    <w:div w:id="1048262069">
      <w:bodyDiv w:val="1"/>
      <w:marLeft w:val="0"/>
      <w:marRight w:val="0"/>
      <w:marTop w:val="0"/>
      <w:marBottom w:val="0"/>
      <w:divBdr>
        <w:top w:val="none" w:sz="0" w:space="0" w:color="auto"/>
        <w:left w:val="none" w:sz="0" w:space="0" w:color="auto"/>
        <w:bottom w:val="none" w:sz="0" w:space="0" w:color="auto"/>
        <w:right w:val="none" w:sz="0" w:space="0" w:color="auto"/>
      </w:divBdr>
    </w:div>
    <w:div w:id="1058281414">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102189264">
      <w:bodyDiv w:val="1"/>
      <w:marLeft w:val="0"/>
      <w:marRight w:val="0"/>
      <w:marTop w:val="0"/>
      <w:marBottom w:val="0"/>
      <w:divBdr>
        <w:top w:val="none" w:sz="0" w:space="0" w:color="auto"/>
        <w:left w:val="none" w:sz="0" w:space="0" w:color="auto"/>
        <w:bottom w:val="none" w:sz="0" w:space="0" w:color="auto"/>
        <w:right w:val="none" w:sz="0" w:space="0" w:color="auto"/>
      </w:divBdr>
    </w:div>
    <w:div w:id="1102997175">
      <w:bodyDiv w:val="1"/>
      <w:marLeft w:val="0"/>
      <w:marRight w:val="0"/>
      <w:marTop w:val="0"/>
      <w:marBottom w:val="0"/>
      <w:divBdr>
        <w:top w:val="none" w:sz="0" w:space="0" w:color="auto"/>
        <w:left w:val="none" w:sz="0" w:space="0" w:color="auto"/>
        <w:bottom w:val="none" w:sz="0" w:space="0" w:color="auto"/>
        <w:right w:val="none" w:sz="0" w:space="0" w:color="auto"/>
      </w:divBdr>
    </w:div>
    <w:div w:id="1126507197">
      <w:bodyDiv w:val="1"/>
      <w:marLeft w:val="0"/>
      <w:marRight w:val="0"/>
      <w:marTop w:val="0"/>
      <w:marBottom w:val="0"/>
      <w:divBdr>
        <w:top w:val="none" w:sz="0" w:space="0" w:color="auto"/>
        <w:left w:val="none" w:sz="0" w:space="0" w:color="auto"/>
        <w:bottom w:val="none" w:sz="0" w:space="0" w:color="auto"/>
        <w:right w:val="none" w:sz="0" w:space="0" w:color="auto"/>
      </w:divBdr>
      <w:divsChild>
        <w:div w:id="100536770">
          <w:marLeft w:val="0"/>
          <w:marRight w:val="0"/>
          <w:marTop w:val="0"/>
          <w:marBottom w:val="0"/>
          <w:divBdr>
            <w:top w:val="none" w:sz="0" w:space="0" w:color="auto"/>
            <w:left w:val="none" w:sz="0" w:space="0" w:color="auto"/>
            <w:bottom w:val="none" w:sz="0" w:space="0" w:color="auto"/>
            <w:right w:val="none" w:sz="0" w:space="0" w:color="auto"/>
          </w:divBdr>
          <w:divsChild>
            <w:div w:id="733085983">
              <w:marLeft w:val="0"/>
              <w:marRight w:val="0"/>
              <w:marTop w:val="0"/>
              <w:marBottom w:val="0"/>
              <w:divBdr>
                <w:top w:val="none" w:sz="0" w:space="0" w:color="auto"/>
                <w:left w:val="none" w:sz="0" w:space="0" w:color="auto"/>
                <w:bottom w:val="none" w:sz="0" w:space="0" w:color="auto"/>
                <w:right w:val="none" w:sz="0" w:space="0" w:color="auto"/>
              </w:divBdr>
              <w:divsChild>
                <w:div w:id="311101361">
                  <w:marLeft w:val="0"/>
                  <w:marRight w:val="0"/>
                  <w:marTop w:val="0"/>
                  <w:marBottom w:val="0"/>
                  <w:divBdr>
                    <w:top w:val="none" w:sz="0" w:space="0" w:color="auto"/>
                    <w:left w:val="none" w:sz="0" w:space="0" w:color="auto"/>
                    <w:bottom w:val="none" w:sz="0" w:space="0" w:color="auto"/>
                    <w:right w:val="none" w:sz="0" w:space="0" w:color="auto"/>
                  </w:divBdr>
                  <w:divsChild>
                    <w:div w:id="948194853">
                      <w:marLeft w:val="0"/>
                      <w:marRight w:val="0"/>
                      <w:marTop w:val="0"/>
                      <w:marBottom w:val="0"/>
                      <w:divBdr>
                        <w:top w:val="none" w:sz="0" w:space="0" w:color="auto"/>
                        <w:left w:val="none" w:sz="0" w:space="0" w:color="auto"/>
                        <w:bottom w:val="none" w:sz="0" w:space="0" w:color="auto"/>
                        <w:right w:val="none" w:sz="0" w:space="0" w:color="auto"/>
                      </w:divBdr>
                      <w:divsChild>
                        <w:div w:id="434987180">
                          <w:marLeft w:val="0"/>
                          <w:marRight w:val="0"/>
                          <w:marTop w:val="0"/>
                          <w:marBottom w:val="0"/>
                          <w:divBdr>
                            <w:top w:val="none" w:sz="0" w:space="0" w:color="auto"/>
                            <w:left w:val="none" w:sz="0" w:space="0" w:color="auto"/>
                            <w:bottom w:val="none" w:sz="0" w:space="0" w:color="auto"/>
                            <w:right w:val="none" w:sz="0" w:space="0" w:color="auto"/>
                          </w:divBdr>
                          <w:divsChild>
                            <w:div w:id="537009862">
                              <w:marLeft w:val="0"/>
                              <w:marRight w:val="0"/>
                              <w:marTop w:val="0"/>
                              <w:marBottom w:val="0"/>
                              <w:divBdr>
                                <w:top w:val="none" w:sz="0" w:space="0" w:color="auto"/>
                                <w:left w:val="none" w:sz="0" w:space="0" w:color="auto"/>
                                <w:bottom w:val="none" w:sz="0" w:space="0" w:color="auto"/>
                                <w:right w:val="none" w:sz="0" w:space="0" w:color="auto"/>
                              </w:divBdr>
                              <w:divsChild>
                                <w:div w:id="1123309648">
                                  <w:marLeft w:val="0"/>
                                  <w:marRight w:val="0"/>
                                  <w:marTop w:val="0"/>
                                  <w:marBottom w:val="0"/>
                                  <w:divBdr>
                                    <w:top w:val="none" w:sz="0" w:space="0" w:color="auto"/>
                                    <w:left w:val="none" w:sz="0" w:space="0" w:color="auto"/>
                                    <w:bottom w:val="none" w:sz="0" w:space="0" w:color="auto"/>
                                    <w:right w:val="none" w:sz="0" w:space="0" w:color="auto"/>
                                  </w:divBdr>
                                  <w:divsChild>
                                    <w:div w:id="193349522">
                                      <w:marLeft w:val="0"/>
                                      <w:marRight w:val="0"/>
                                      <w:marTop w:val="0"/>
                                      <w:marBottom w:val="0"/>
                                      <w:divBdr>
                                        <w:top w:val="none" w:sz="0" w:space="0" w:color="auto"/>
                                        <w:left w:val="none" w:sz="0" w:space="0" w:color="auto"/>
                                        <w:bottom w:val="none" w:sz="0" w:space="0" w:color="auto"/>
                                        <w:right w:val="none" w:sz="0" w:space="0" w:color="auto"/>
                                      </w:divBdr>
                                    </w:div>
                                  </w:divsChild>
                                </w:div>
                                <w:div w:id="1931426193">
                                  <w:marLeft w:val="0"/>
                                  <w:marRight w:val="0"/>
                                  <w:marTop w:val="0"/>
                                  <w:marBottom w:val="0"/>
                                  <w:divBdr>
                                    <w:top w:val="none" w:sz="0" w:space="0" w:color="auto"/>
                                    <w:left w:val="none" w:sz="0" w:space="0" w:color="auto"/>
                                    <w:bottom w:val="none" w:sz="0" w:space="0" w:color="auto"/>
                                    <w:right w:val="none" w:sz="0" w:space="0" w:color="auto"/>
                                  </w:divBdr>
                                  <w:divsChild>
                                    <w:div w:id="2037152953">
                                      <w:marLeft w:val="0"/>
                                      <w:marRight w:val="0"/>
                                      <w:marTop w:val="0"/>
                                      <w:marBottom w:val="0"/>
                                      <w:divBdr>
                                        <w:top w:val="none" w:sz="0" w:space="0" w:color="auto"/>
                                        <w:left w:val="none" w:sz="0" w:space="0" w:color="auto"/>
                                        <w:bottom w:val="none" w:sz="0" w:space="0" w:color="auto"/>
                                        <w:right w:val="none" w:sz="0" w:space="0" w:color="auto"/>
                                      </w:divBdr>
                                      <w:divsChild>
                                        <w:div w:id="1351099901">
                                          <w:marLeft w:val="0"/>
                                          <w:marRight w:val="0"/>
                                          <w:marTop w:val="0"/>
                                          <w:marBottom w:val="0"/>
                                          <w:divBdr>
                                            <w:top w:val="none" w:sz="0" w:space="0" w:color="auto"/>
                                            <w:left w:val="none" w:sz="0" w:space="0" w:color="auto"/>
                                            <w:bottom w:val="none" w:sz="0" w:space="0" w:color="auto"/>
                                            <w:right w:val="none" w:sz="0" w:space="0" w:color="auto"/>
                                          </w:divBdr>
                                          <w:divsChild>
                                            <w:div w:id="15497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7159487">
          <w:marLeft w:val="0"/>
          <w:marRight w:val="0"/>
          <w:marTop w:val="0"/>
          <w:marBottom w:val="0"/>
          <w:divBdr>
            <w:top w:val="none" w:sz="0" w:space="0" w:color="auto"/>
            <w:left w:val="none" w:sz="0" w:space="0" w:color="auto"/>
            <w:bottom w:val="none" w:sz="0" w:space="0" w:color="auto"/>
            <w:right w:val="none" w:sz="0" w:space="0" w:color="auto"/>
          </w:divBdr>
          <w:divsChild>
            <w:div w:id="1680086423">
              <w:marLeft w:val="0"/>
              <w:marRight w:val="0"/>
              <w:marTop w:val="0"/>
              <w:marBottom w:val="0"/>
              <w:divBdr>
                <w:top w:val="none" w:sz="0" w:space="0" w:color="auto"/>
                <w:left w:val="none" w:sz="0" w:space="0" w:color="auto"/>
                <w:bottom w:val="none" w:sz="0" w:space="0" w:color="auto"/>
                <w:right w:val="none" w:sz="0" w:space="0" w:color="auto"/>
              </w:divBdr>
              <w:divsChild>
                <w:div w:id="435711323">
                  <w:marLeft w:val="0"/>
                  <w:marRight w:val="0"/>
                  <w:marTop w:val="0"/>
                  <w:marBottom w:val="0"/>
                  <w:divBdr>
                    <w:top w:val="none" w:sz="0" w:space="0" w:color="auto"/>
                    <w:left w:val="none" w:sz="0" w:space="0" w:color="auto"/>
                    <w:bottom w:val="none" w:sz="0" w:space="0" w:color="auto"/>
                    <w:right w:val="none" w:sz="0" w:space="0" w:color="auto"/>
                  </w:divBdr>
                  <w:divsChild>
                    <w:div w:id="218982571">
                      <w:marLeft w:val="0"/>
                      <w:marRight w:val="0"/>
                      <w:marTop w:val="0"/>
                      <w:marBottom w:val="0"/>
                      <w:divBdr>
                        <w:top w:val="none" w:sz="0" w:space="0" w:color="auto"/>
                        <w:left w:val="none" w:sz="0" w:space="0" w:color="auto"/>
                        <w:bottom w:val="none" w:sz="0" w:space="0" w:color="auto"/>
                        <w:right w:val="none" w:sz="0" w:space="0" w:color="auto"/>
                      </w:divBdr>
                      <w:divsChild>
                        <w:div w:id="2082487150">
                          <w:marLeft w:val="0"/>
                          <w:marRight w:val="0"/>
                          <w:marTop w:val="0"/>
                          <w:marBottom w:val="0"/>
                          <w:divBdr>
                            <w:top w:val="none" w:sz="0" w:space="0" w:color="auto"/>
                            <w:left w:val="none" w:sz="0" w:space="0" w:color="auto"/>
                            <w:bottom w:val="none" w:sz="0" w:space="0" w:color="auto"/>
                            <w:right w:val="none" w:sz="0" w:space="0" w:color="auto"/>
                          </w:divBdr>
                          <w:divsChild>
                            <w:div w:id="1729962750">
                              <w:marLeft w:val="0"/>
                              <w:marRight w:val="0"/>
                              <w:marTop w:val="0"/>
                              <w:marBottom w:val="0"/>
                              <w:divBdr>
                                <w:top w:val="none" w:sz="0" w:space="0" w:color="auto"/>
                                <w:left w:val="none" w:sz="0" w:space="0" w:color="auto"/>
                                <w:bottom w:val="none" w:sz="0" w:space="0" w:color="auto"/>
                                <w:right w:val="none" w:sz="0" w:space="0" w:color="auto"/>
                              </w:divBdr>
                              <w:divsChild>
                                <w:div w:id="470751977">
                                  <w:marLeft w:val="0"/>
                                  <w:marRight w:val="0"/>
                                  <w:marTop w:val="0"/>
                                  <w:marBottom w:val="0"/>
                                  <w:divBdr>
                                    <w:top w:val="none" w:sz="0" w:space="0" w:color="auto"/>
                                    <w:left w:val="none" w:sz="0" w:space="0" w:color="auto"/>
                                    <w:bottom w:val="none" w:sz="0" w:space="0" w:color="auto"/>
                                    <w:right w:val="none" w:sz="0" w:space="0" w:color="auto"/>
                                  </w:divBdr>
                                  <w:divsChild>
                                    <w:div w:id="1481117701">
                                      <w:marLeft w:val="0"/>
                                      <w:marRight w:val="0"/>
                                      <w:marTop w:val="0"/>
                                      <w:marBottom w:val="0"/>
                                      <w:divBdr>
                                        <w:top w:val="none" w:sz="0" w:space="0" w:color="auto"/>
                                        <w:left w:val="none" w:sz="0" w:space="0" w:color="auto"/>
                                        <w:bottom w:val="none" w:sz="0" w:space="0" w:color="auto"/>
                                        <w:right w:val="none" w:sz="0" w:space="0" w:color="auto"/>
                                      </w:divBdr>
                                      <w:divsChild>
                                        <w:div w:id="1613123008">
                                          <w:marLeft w:val="0"/>
                                          <w:marRight w:val="0"/>
                                          <w:marTop w:val="0"/>
                                          <w:marBottom w:val="0"/>
                                          <w:divBdr>
                                            <w:top w:val="none" w:sz="0" w:space="0" w:color="auto"/>
                                            <w:left w:val="none" w:sz="0" w:space="0" w:color="auto"/>
                                            <w:bottom w:val="none" w:sz="0" w:space="0" w:color="auto"/>
                                            <w:right w:val="none" w:sz="0" w:space="0" w:color="auto"/>
                                          </w:divBdr>
                                          <w:divsChild>
                                            <w:div w:id="481044345">
                                              <w:marLeft w:val="0"/>
                                              <w:marRight w:val="0"/>
                                              <w:marTop w:val="0"/>
                                              <w:marBottom w:val="0"/>
                                              <w:divBdr>
                                                <w:top w:val="none" w:sz="0" w:space="0" w:color="auto"/>
                                                <w:left w:val="none" w:sz="0" w:space="0" w:color="auto"/>
                                                <w:bottom w:val="none" w:sz="0" w:space="0" w:color="auto"/>
                                                <w:right w:val="none" w:sz="0" w:space="0" w:color="auto"/>
                                              </w:divBdr>
                                              <w:divsChild>
                                                <w:div w:id="12552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7354223">
      <w:bodyDiv w:val="1"/>
      <w:marLeft w:val="0"/>
      <w:marRight w:val="0"/>
      <w:marTop w:val="0"/>
      <w:marBottom w:val="0"/>
      <w:divBdr>
        <w:top w:val="none" w:sz="0" w:space="0" w:color="auto"/>
        <w:left w:val="none" w:sz="0" w:space="0" w:color="auto"/>
        <w:bottom w:val="none" w:sz="0" w:space="0" w:color="auto"/>
        <w:right w:val="none" w:sz="0" w:space="0" w:color="auto"/>
      </w:divBdr>
    </w:div>
    <w:div w:id="1158114853">
      <w:bodyDiv w:val="1"/>
      <w:marLeft w:val="0"/>
      <w:marRight w:val="0"/>
      <w:marTop w:val="0"/>
      <w:marBottom w:val="0"/>
      <w:divBdr>
        <w:top w:val="none" w:sz="0" w:space="0" w:color="auto"/>
        <w:left w:val="none" w:sz="0" w:space="0" w:color="auto"/>
        <w:bottom w:val="none" w:sz="0" w:space="0" w:color="auto"/>
        <w:right w:val="none" w:sz="0" w:space="0" w:color="auto"/>
      </w:divBdr>
    </w:div>
    <w:div w:id="1158885905">
      <w:bodyDiv w:val="1"/>
      <w:marLeft w:val="0"/>
      <w:marRight w:val="0"/>
      <w:marTop w:val="0"/>
      <w:marBottom w:val="0"/>
      <w:divBdr>
        <w:top w:val="none" w:sz="0" w:space="0" w:color="auto"/>
        <w:left w:val="none" w:sz="0" w:space="0" w:color="auto"/>
        <w:bottom w:val="none" w:sz="0" w:space="0" w:color="auto"/>
        <w:right w:val="none" w:sz="0" w:space="0" w:color="auto"/>
      </w:divBdr>
      <w:divsChild>
        <w:div w:id="682048391">
          <w:marLeft w:val="0"/>
          <w:marRight w:val="0"/>
          <w:marTop w:val="0"/>
          <w:marBottom w:val="0"/>
          <w:divBdr>
            <w:top w:val="none" w:sz="0" w:space="0" w:color="auto"/>
            <w:left w:val="none" w:sz="0" w:space="0" w:color="auto"/>
            <w:bottom w:val="none" w:sz="0" w:space="0" w:color="auto"/>
            <w:right w:val="none" w:sz="0" w:space="0" w:color="auto"/>
          </w:divBdr>
          <w:divsChild>
            <w:div w:id="1754281538">
              <w:marLeft w:val="0"/>
              <w:marRight w:val="0"/>
              <w:marTop w:val="0"/>
              <w:marBottom w:val="0"/>
              <w:divBdr>
                <w:top w:val="none" w:sz="0" w:space="0" w:color="auto"/>
                <w:left w:val="none" w:sz="0" w:space="0" w:color="auto"/>
                <w:bottom w:val="none" w:sz="0" w:space="0" w:color="auto"/>
                <w:right w:val="none" w:sz="0" w:space="0" w:color="auto"/>
              </w:divBdr>
              <w:divsChild>
                <w:div w:id="869489082">
                  <w:marLeft w:val="0"/>
                  <w:marRight w:val="0"/>
                  <w:marTop w:val="0"/>
                  <w:marBottom w:val="0"/>
                  <w:divBdr>
                    <w:top w:val="none" w:sz="0" w:space="0" w:color="auto"/>
                    <w:left w:val="none" w:sz="0" w:space="0" w:color="auto"/>
                    <w:bottom w:val="none" w:sz="0" w:space="0" w:color="auto"/>
                    <w:right w:val="none" w:sz="0" w:space="0" w:color="auto"/>
                  </w:divBdr>
                  <w:divsChild>
                    <w:div w:id="734664403">
                      <w:marLeft w:val="0"/>
                      <w:marRight w:val="0"/>
                      <w:marTop w:val="0"/>
                      <w:marBottom w:val="0"/>
                      <w:divBdr>
                        <w:top w:val="none" w:sz="0" w:space="0" w:color="auto"/>
                        <w:left w:val="none" w:sz="0" w:space="0" w:color="auto"/>
                        <w:bottom w:val="none" w:sz="0" w:space="0" w:color="auto"/>
                        <w:right w:val="none" w:sz="0" w:space="0" w:color="auto"/>
                      </w:divBdr>
                      <w:divsChild>
                        <w:div w:id="309866220">
                          <w:marLeft w:val="0"/>
                          <w:marRight w:val="0"/>
                          <w:marTop w:val="0"/>
                          <w:marBottom w:val="0"/>
                          <w:divBdr>
                            <w:top w:val="none" w:sz="0" w:space="0" w:color="auto"/>
                            <w:left w:val="none" w:sz="0" w:space="0" w:color="auto"/>
                            <w:bottom w:val="none" w:sz="0" w:space="0" w:color="auto"/>
                            <w:right w:val="none" w:sz="0" w:space="0" w:color="auto"/>
                          </w:divBdr>
                          <w:divsChild>
                            <w:div w:id="808478294">
                              <w:marLeft w:val="0"/>
                              <w:marRight w:val="0"/>
                              <w:marTop w:val="0"/>
                              <w:marBottom w:val="0"/>
                              <w:divBdr>
                                <w:top w:val="none" w:sz="0" w:space="0" w:color="auto"/>
                                <w:left w:val="none" w:sz="0" w:space="0" w:color="auto"/>
                                <w:bottom w:val="none" w:sz="0" w:space="0" w:color="auto"/>
                                <w:right w:val="none" w:sz="0" w:space="0" w:color="auto"/>
                              </w:divBdr>
                              <w:divsChild>
                                <w:div w:id="1655914108">
                                  <w:marLeft w:val="0"/>
                                  <w:marRight w:val="0"/>
                                  <w:marTop w:val="0"/>
                                  <w:marBottom w:val="0"/>
                                  <w:divBdr>
                                    <w:top w:val="none" w:sz="0" w:space="0" w:color="auto"/>
                                    <w:left w:val="none" w:sz="0" w:space="0" w:color="auto"/>
                                    <w:bottom w:val="none" w:sz="0" w:space="0" w:color="auto"/>
                                    <w:right w:val="none" w:sz="0" w:space="0" w:color="auto"/>
                                  </w:divBdr>
                                  <w:divsChild>
                                    <w:div w:id="137454722">
                                      <w:marLeft w:val="0"/>
                                      <w:marRight w:val="0"/>
                                      <w:marTop w:val="0"/>
                                      <w:marBottom w:val="0"/>
                                      <w:divBdr>
                                        <w:top w:val="none" w:sz="0" w:space="0" w:color="auto"/>
                                        <w:left w:val="none" w:sz="0" w:space="0" w:color="auto"/>
                                        <w:bottom w:val="none" w:sz="0" w:space="0" w:color="auto"/>
                                        <w:right w:val="none" w:sz="0" w:space="0" w:color="auto"/>
                                      </w:divBdr>
                                      <w:divsChild>
                                        <w:div w:id="1861814196">
                                          <w:marLeft w:val="0"/>
                                          <w:marRight w:val="0"/>
                                          <w:marTop w:val="0"/>
                                          <w:marBottom w:val="0"/>
                                          <w:divBdr>
                                            <w:top w:val="none" w:sz="0" w:space="0" w:color="auto"/>
                                            <w:left w:val="none" w:sz="0" w:space="0" w:color="auto"/>
                                            <w:bottom w:val="none" w:sz="0" w:space="0" w:color="auto"/>
                                            <w:right w:val="none" w:sz="0" w:space="0" w:color="auto"/>
                                          </w:divBdr>
                                          <w:divsChild>
                                            <w:div w:id="734856128">
                                              <w:marLeft w:val="0"/>
                                              <w:marRight w:val="0"/>
                                              <w:marTop w:val="0"/>
                                              <w:marBottom w:val="0"/>
                                              <w:divBdr>
                                                <w:top w:val="none" w:sz="0" w:space="0" w:color="auto"/>
                                                <w:left w:val="none" w:sz="0" w:space="0" w:color="auto"/>
                                                <w:bottom w:val="none" w:sz="0" w:space="0" w:color="auto"/>
                                                <w:right w:val="none" w:sz="0" w:space="0" w:color="auto"/>
                                              </w:divBdr>
                                              <w:divsChild>
                                                <w:div w:id="102898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387575">
          <w:marLeft w:val="0"/>
          <w:marRight w:val="0"/>
          <w:marTop w:val="0"/>
          <w:marBottom w:val="0"/>
          <w:divBdr>
            <w:top w:val="none" w:sz="0" w:space="0" w:color="auto"/>
            <w:left w:val="none" w:sz="0" w:space="0" w:color="auto"/>
            <w:bottom w:val="none" w:sz="0" w:space="0" w:color="auto"/>
            <w:right w:val="none" w:sz="0" w:space="0" w:color="auto"/>
          </w:divBdr>
          <w:divsChild>
            <w:div w:id="1739673557">
              <w:marLeft w:val="0"/>
              <w:marRight w:val="0"/>
              <w:marTop w:val="0"/>
              <w:marBottom w:val="0"/>
              <w:divBdr>
                <w:top w:val="none" w:sz="0" w:space="0" w:color="auto"/>
                <w:left w:val="none" w:sz="0" w:space="0" w:color="auto"/>
                <w:bottom w:val="none" w:sz="0" w:space="0" w:color="auto"/>
                <w:right w:val="none" w:sz="0" w:space="0" w:color="auto"/>
              </w:divBdr>
              <w:divsChild>
                <w:div w:id="43991901">
                  <w:marLeft w:val="0"/>
                  <w:marRight w:val="0"/>
                  <w:marTop w:val="0"/>
                  <w:marBottom w:val="0"/>
                  <w:divBdr>
                    <w:top w:val="none" w:sz="0" w:space="0" w:color="auto"/>
                    <w:left w:val="none" w:sz="0" w:space="0" w:color="auto"/>
                    <w:bottom w:val="none" w:sz="0" w:space="0" w:color="auto"/>
                    <w:right w:val="none" w:sz="0" w:space="0" w:color="auto"/>
                  </w:divBdr>
                  <w:divsChild>
                    <w:div w:id="382296331">
                      <w:marLeft w:val="0"/>
                      <w:marRight w:val="0"/>
                      <w:marTop w:val="0"/>
                      <w:marBottom w:val="0"/>
                      <w:divBdr>
                        <w:top w:val="none" w:sz="0" w:space="0" w:color="auto"/>
                        <w:left w:val="none" w:sz="0" w:space="0" w:color="auto"/>
                        <w:bottom w:val="none" w:sz="0" w:space="0" w:color="auto"/>
                        <w:right w:val="none" w:sz="0" w:space="0" w:color="auto"/>
                      </w:divBdr>
                      <w:divsChild>
                        <w:div w:id="782189937">
                          <w:marLeft w:val="0"/>
                          <w:marRight w:val="0"/>
                          <w:marTop w:val="0"/>
                          <w:marBottom w:val="0"/>
                          <w:divBdr>
                            <w:top w:val="none" w:sz="0" w:space="0" w:color="auto"/>
                            <w:left w:val="none" w:sz="0" w:space="0" w:color="auto"/>
                            <w:bottom w:val="none" w:sz="0" w:space="0" w:color="auto"/>
                            <w:right w:val="none" w:sz="0" w:space="0" w:color="auto"/>
                          </w:divBdr>
                          <w:divsChild>
                            <w:div w:id="724333887">
                              <w:marLeft w:val="0"/>
                              <w:marRight w:val="0"/>
                              <w:marTop w:val="0"/>
                              <w:marBottom w:val="0"/>
                              <w:divBdr>
                                <w:top w:val="none" w:sz="0" w:space="0" w:color="auto"/>
                                <w:left w:val="none" w:sz="0" w:space="0" w:color="auto"/>
                                <w:bottom w:val="none" w:sz="0" w:space="0" w:color="auto"/>
                                <w:right w:val="none" w:sz="0" w:space="0" w:color="auto"/>
                              </w:divBdr>
                              <w:divsChild>
                                <w:div w:id="1301226546">
                                  <w:marLeft w:val="0"/>
                                  <w:marRight w:val="0"/>
                                  <w:marTop w:val="0"/>
                                  <w:marBottom w:val="0"/>
                                  <w:divBdr>
                                    <w:top w:val="none" w:sz="0" w:space="0" w:color="auto"/>
                                    <w:left w:val="none" w:sz="0" w:space="0" w:color="auto"/>
                                    <w:bottom w:val="none" w:sz="0" w:space="0" w:color="auto"/>
                                    <w:right w:val="none" w:sz="0" w:space="0" w:color="auto"/>
                                  </w:divBdr>
                                  <w:divsChild>
                                    <w:div w:id="1631008730">
                                      <w:marLeft w:val="0"/>
                                      <w:marRight w:val="0"/>
                                      <w:marTop w:val="0"/>
                                      <w:marBottom w:val="0"/>
                                      <w:divBdr>
                                        <w:top w:val="none" w:sz="0" w:space="0" w:color="auto"/>
                                        <w:left w:val="none" w:sz="0" w:space="0" w:color="auto"/>
                                        <w:bottom w:val="none" w:sz="0" w:space="0" w:color="auto"/>
                                        <w:right w:val="none" w:sz="0" w:space="0" w:color="auto"/>
                                      </w:divBdr>
                                      <w:divsChild>
                                        <w:div w:id="663975743">
                                          <w:marLeft w:val="0"/>
                                          <w:marRight w:val="0"/>
                                          <w:marTop w:val="0"/>
                                          <w:marBottom w:val="0"/>
                                          <w:divBdr>
                                            <w:top w:val="none" w:sz="0" w:space="0" w:color="auto"/>
                                            <w:left w:val="none" w:sz="0" w:space="0" w:color="auto"/>
                                            <w:bottom w:val="none" w:sz="0" w:space="0" w:color="auto"/>
                                            <w:right w:val="none" w:sz="0" w:space="0" w:color="auto"/>
                                          </w:divBdr>
                                          <w:divsChild>
                                            <w:div w:id="8691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1045">
                                  <w:marLeft w:val="0"/>
                                  <w:marRight w:val="0"/>
                                  <w:marTop w:val="0"/>
                                  <w:marBottom w:val="0"/>
                                  <w:divBdr>
                                    <w:top w:val="none" w:sz="0" w:space="0" w:color="auto"/>
                                    <w:left w:val="none" w:sz="0" w:space="0" w:color="auto"/>
                                    <w:bottom w:val="none" w:sz="0" w:space="0" w:color="auto"/>
                                    <w:right w:val="none" w:sz="0" w:space="0" w:color="auto"/>
                                  </w:divBdr>
                                  <w:divsChild>
                                    <w:div w:id="6698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420757">
      <w:bodyDiv w:val="1"/>
      <w:marLeft w:val="0"/>
      <w:marRight w:val="0"/>
      <w:marTop w:val="0"/>
      <w:marBottom w:val="0"/>
      <w:divBdr>
        <w:top w:val="none" w:sz="0" w:space="0" w:color="auto"/>
        <w:left w:val="none" w:sz="0" w:space="0" w:color="auto"/>
        <w:bottom w:val="none" w:sz="0" w:space="0" w:color="auto"/>
        <w:right w:val="none" w:sz="0" w:space="0" w:color="auto"/>
      </w:divBdr>
    </w:div>
    <w:div w:id="1180513054">
      <w:bodyDiv w:val="1"/>
      <w:marLeft w:val="0"/>
      <w:marRight w:val="0"/>
      <w:marTop w:val="0"/>
      <w:marBottom w:val="0"/>
      <w:divBdr>
        <w:top w:val="none" w:sz="0" w:space="0" w:color="auto"/>
        <w:left w:val="none" w:sz="0" w:space="0" w:color="auto"/>
        <w:bottom w:val="none" w:sz="0" w:space="0" w:color="auto"/>
        <w:right w:val="none" w:sz="0" w:space="0" w:color="auto"/>
      </w:divBdr>
    </w:div>
    <w:div w:id="1192035223">
      <w:bodyDiv w:val="1"/>
      <w:marLeft w:val="0"/>
      <w:marRight w:val="0"/>
      <w:marTop w:val="0"/>
      <w:marBottom w:val="0"/>
      <w:divBdr>
        <w:top w:val="none" w:sz="0" w:space="0" w:color="auto"/>
        <w:left w:val="none" w:sz="0" w:space="0" w:color="auto"/>
        <w:bottom w:val="none" w:sz="0" w:space="0" w:color="auto"/>
        <w:right w:val="none" w:sz="0" w:space="0" w:color="auto"/>
      </w:divBdr>
    </w:div>
    <w:div w:id="1192111967">
      <w:bodyDiv w:val="1"/>
      <w:marLeft w:val="0"/>
      <w:marRight w:val="0"/>
      <w:marTop w:val="0"/>
      <w:marBottom w:val="0"/>
      <w:divBdr>
        <w:top w:val="none" w:sz="0" w:space="0" w:color="auto"/>
        <w:left w:val="none" w:sz="0" w:space="0" w:color="auto"/>
        <w:bottom w:val="none" w:sz="0" w:space="0" w:color="auto"/>
        <w:right w:val="none" w:sz="0" w:space="0" w:color="auto"/>
      </w:divBdr>
    </w:div>
    <w:div w:id="1192300668">
      <w:bodyDiv w:val="1"/>
      <w:marLeft w:val="0"/>
      <w:marRight w:val="0"/>
      <w:marTop w:val="0"/>
      <w:marBottom w:val="0"/>
      <w:divBdr>
        <w:top w:val="none" w:sz="0" w:space="0" w:color="auto"/>
        <w:left w:val="none" w:sz="0" w:space="0" w:color="auto"/>
        <w:bottom w:val="none" w:sz="0" w:space="0" w:color="auto"/>
        <w:right w:val="none" w:sz="0" w:space="0" w:color="auto"/>
      </w:divBdr>
      <w:divsChild>
        <w:div w:id="1229799527">
          <w:marLeft w:val="0"/>
          <w:marRight w:val="0"/>
          <w:marTop w:val="0"/>
          <w:marBottom w:val="0"/>
          <w:divBdr>
            <w:top w:val="none" w:sz="0" w:space="0" w:color="auto"/>
            <w:left w:val="none" w:sz="0" w:space="0" w:color="auto"/>
            <w:bottom w:val="none" w:sz="0" w:space="0" w:color="auto"/>
            <w:right w:val="none" w:sz="0" w:space="0" w:color="auto"/>
          </w:divBdr>
          <w:divsChild>
            <w:div w:id="1285042398">
              <w:marLeft w:val="0"/>
              <w:marRight w:val="0"/>
              <w:marTop w:val="0"/>
              <w:marBottom w:val="0"/>
              <w:divBdr>
                <w:top w:val="none" w:sz="0" w:space="0" w:color="auto"/>
                <w:left w:val="none" w:sz="0" w:space="0" w:color="auto"/>
                <w:bottom w:val="none" w:sz="0" w:space="0" w:color="auto"/>
                <w:right w:val="none" w:sz="0" w:space="0" w:color="auto"/>
              </w:divBdr>
              <w:divsChild>
                <w:div w:id="706876096">
                  <w:marLeft w:val="0"/>
                  <w:marRight w:val="0"/>
                  <w:marTop w:val="0"/>
                  <w:marBottom w:val="0"/>
                  <w:divBdr>
                    <w:top w:val="none" w:sz="0" w:space="0" w:color="auto"/>
                    <w:left w:val="none" w:sz="0" w:space="0" w:color="auto"/>
                    <w:bottom w:val="none" w:sz="0" w:space="0" w:color="auto"/>
                    <w:right w:val="none" w:sz="0" w:space="0" w:color="auto"/>
                  </w:divBdr>
                  <w:divsChild>
                    <w:div w:id="1605455255">
                      <w:marLeft w:val="0"/>
                      <w:marRight w:val="0"/>
                      <w:marTop w:val="0"/>
                      <w:marBottom w:val="0"/>
                      <w:divBdr>
                        <w:top w:val="none" w:sz="0" w:space="0" w:color="auto"/>
                        <w:left w:val="none" w:sz="0" w:space="0" w:color="auto"/>
                        <w:bottom w:val="none" w:sz="0" w:space="0" w:color="auto"/>
                        <w:right w:val="none" w:sz="0" w:space="0" w:color="auto"/>
                      </w:divBdr>
                      <w:divsChild>
                        <w:div w:id="20391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38707482">
      <w:bodyDiv w:val="1"/>
      <w:marLeft w:val="0"/>
      <w:marRight w:val="0"/>
      <w:marTop w:val="0"/>
      <w:marBottom w:val="0"/>
      <w:divBdr>
        <w:top w:val="none" w:sz="0" w:space="0" w:color="auto"/>
        <w:left w:val="none" w:sz="0" w:space="0" w:color="auto"/>
        <w:bottom w:val="none" w:sz="0" w:space="0" w:color="auto"/>
        <w:right w:val="none" w:sz="0" w:space="0" w:color="auto"/>
      </w:divBdr>
    </w:div>
    <w:div w:id="1254319248">
      <w:bodyDiv w:val="1"/>
      <w:marLeft w:val="0"/>
      <w:marRight w:val="0"/>
      <w:marTop w:val="0"/>
      <w:marBottom w:val="0"/>
      <w:divBdr>
        <w:top w:val="none" w:sz="0" w:space="0" w:color="auto"/>
        <w:left w:val="none" w:sz="0" w:space="0" w:color="auto"/>
        <w:bottom w:val="none" w:sz="0" w:space="0" w:color="auto"/>
        <w:right w:val="none" w:sz="0" w:space="0" w:color="auto"/>
      </w:divBdr>
    </w:div>
    <w:div w:id="1262254748">
      <w:bodyDiv w:val="1"/>
      <w:marLeft w:val="0"/>
      <w:marRight w:val="0"/>
      <w:marTop w:val="0"/>
      <w:marBottom w:val="0"/>
      <w:divBdr>
        <w:top w:val="none" w:sz="0" w:space="0" w:color="auto"/>
        <w:left w:val="none" w:sz="0" w:space="0" w:color="auto"/>
        <w:bottom w:val="none" w:sz="0" w:space="0" w:color="auto"/>
        <w:right w:val="none" w:sz="0" w:space="0" w:color="auto"/>
      </w:divBdr>
    </w:div>
    <w:div w:id="1263999450">
      <w:bodyDiv w:val="1"/>
      <w:marLeft w:val="0"/>
      <w:marRight w:val="0"/>
      <w:marTop w:val="0"/>
      <w:marBottom w:val="0"/>
      <w:divBdr>
        <w:top w:val="none" w:sz="0" w:space="0" w:color="auto"/>
        <w:left w:val="none" w:sz="0" w:space="0" w:color="auto"/>
        <w:bottom w:val="none" w:sz="0" w:space="0" w:color="auto"/>
        <w:right w:val="none" w:sz="0" w:space="0" w:color="auto"/>
      </w:divBdr>
    </w:div>
    <w:div w:id="1271858398">
      <w:bodyDiv w:val="1"/>
      <w:marLeft w:val="0"/>
      <w:marRight w:val="0"/>
      <w:marTop w:val="0"/>
      <w:marBottom w:val="0"/>
      <w:divBdr>
        <w:top w:val="none" w:sz="0" w:space="0" w:color="auto"/>
        <w:left w:val="none" w:sz="0" w:space="0" w:color="auto"/>
        <w:bottom w:val="none" w:sz="0" w:space="0" w:color="auto"/>
        <w:right w:val="none" w:sz="0" w:space="0" w:color="auto"/>
      </w:divBdr>
    </w:div>
    <w:div w:id="1278826759">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300068681">
      <w:bodyDiv w:val="1"/>
      <w:marLeft w:val="0"/>
      <w:marRight w:val="0"/>
      <w:marTop w:val="0"/>
      <w:marBottom w:val="0"/>
      <w:divBdr>
        <w:top w:val="none" w:sz="0" w:space="0" w:color="auto"/>
        <w:left w:val="none" w:sz="0" w:space="0" w:color="auto"/>
        <w:bottom w:val="none" w:sz="0" w:space="0" w:color="auto"/>
        <w:right w:val="none" w:sz="0" w:space="0" w:color="auto"/>
      </w:divBdr>
    </w:div>
    <w:div w:id="1302879244">
      <w:bodyDiv w:val="1"/>
      <w:marLeft w:val="0"/>
      <w:marRight w:val="0"/>
      <w:marTop w:val="0"/>
      <w:marBottom w:val="0"/>
      <w:divBdr>
        <w:top w:val="none" w:sz="0" w:space="0" w:color="auto"/>
        <w:left w:val="none" w:sz="0" w:space="0" w:color="auto"/>
        <w:bottom w:val="none" w:sz="0" w:space="0" w:color="auto"/>
        <w:right w:val="none" w:sz="0" w:space="0" w:color="auto"/>
      </w:divBdr>
    </w:div>
    <w:div w:id="1335915240">
      <w:bodyDiv w:val="1"/>
      <w:marLeft w:val="0"/>
      <w:marRight w:val="0"/>
      <w:marTop w:val="0"/>
      <w:marBottom w:val="0"/>
      <w:divBdr>
        <w:top w:val="none" w:sz="0" w:space="0" w:color="auto"/>
        <w:left w:val="none" w:sz="0" w:space="0" w:color="auto"/>
        <w:bottom w:val="none" w:sz="0" w:space="0" w:color="auto"/>
        <w:right w:val="none" w:sz="0" w:space="0" w:color="auto"/>
      </w:divBdr>
    </w:div>
    <w:div w:id="1340158403">
      <w:bodyDiv w:val="1"/>
      <w:marLeft w:val="0"/>
      <w:marRight w:val="0"/>
      <w:marTop w:val="0"/>
      <w:marBottom w:val="0"/>
      <w:divBdr>
        <w:top w:val="none" w:sz="0" w:space="0" w:color="auto"/>
        <w:left w:val="none" w:sz="0" w:space="0" w:color="auto"/>
        <w:bottom w:val="none" w:sz="0" w:space="0" w:color="auto"/>
        <w:right w:val="none" w:sz="0" w:space="0" w:color="auto"/>
      </w:divBdr>
    </w:div>
    <w:div w:id="1348367821">
      <w:bodyDiv w:val="1"/>
      <w:marLeft w:val="0"/>
      <w:marRight w:val="0"/>
      <w:marTop w:val="0"/>
      <w:marBottom w:val="0"/>
      <w:divBdr>
        <w:top w:val="none" w:sz="0" w:space="0" w:color="auto"/>
        <w:left w:val="none" w:sz="0" w:space="0" w:color="auto"/>
        <w:bottom w:val="none" w:sz="0" w:space="0" w:color="auto"/>
        <w:right w:val="none" w:sz="0" w:space="0" w:color="auto"/>
      </w:divBdr>
    </w:div>
    <w:div w:id="1350764125">
      <w:bodyDiv w:val="1"/>
      <w:marLeft w:val="0"/>
      <w:marRight w:val="0"/>
      <w:marTop w:val="0"/>
      <w:marBottom w:val="0"/>
      <w:divBdr>
        <w:top w:val="none" w:sz="0" w:space="0" w:color="auto"/>
        <w:left w:val="none" w:sz="0" w:space="0" w:color="auto"/>
        <w:bottom w:val="none" w:sz="0" w:space="0" w:color="auto"/>
        <w:right w:val="none" w:sz="0" w:space="0" w:color="auto"/>
      </w:divBdr>
    </w:div>
    <w:div w:id="1357195072">
      <w:bodyDiv w:val="1"/>
      <w:marLeft w:val="0"/>
      <w:marRight w:val="0"/>
      <w:marTop w:val="0"/>
      <w:marBottom w:val="0"/>
      <w:divBdr>
        <w:top w:val="none" w:sz="0" w:space="0" w:color="auto"/>
        <w:left w:val="none" w:sz="0" w:space="0" w:color="auto"/>
        <w:bottom w:val="none" w:sz="0" w:space="0" w:color="auto"/>
        <w:right w:val="none" w:sz="0" w:space="0" w:color="auto"/>
      </w:divBdr>
    </w:div>
    <w:div w:id="1363365073">
      <w:bodyDiv w:val="1"/>
      <w:marLeft w:val="0"/>
      <w:marRight w:val="0"/>
      <w:marTop w:val="0"/>
      <w:marBottom w:val="0"/>
      <w:divBdr>
        <w:top w:val="none" w:sz="0" w:space="0" w:color="auto"/>
        <w:left w:val="none" w:sz="0" w:space="0" w:color="auto"/>
        <w:bottom w:val="none" w:sz="0" w:space="0" w:color="auto"/>
        <w:right w:val="none" w:sz="0" w:space="0" w:color="auto"/>
      </w:divBdr>
    </w:div>
    <w:div w:id="1363675685">
      <w:bodyDiv w:val="1"/>
      <w:marLeft w:val="0"/>
      <w:marRight w:val="0"/>
      <w:marTop w:val="0"/>
      <w:marBottom w:val="0"/>
      <w:divBdr>
        <w:top w:val="none" w:sz="0" w:space="0" w:color="auto"/>
        <w:left w:val="none" w:sz="0" w:space="0" w:color="auto"/>
        <w:bottom w:val="none" w:sz="0" w:space="0" w:color="auto"/>
        <w:right w:val="none" w:sz="0" w:space="0" w:color="auto"/>
      </w:divBdr>
    </w:div>
    <w:div w:id="1370296840">
      <w:bodyDiv w:val="1"/>
      <w:marLeft w:val="0"/>
      <w:marRight w:val="0"/>
      <w:marTop w:val="0"/>
      <w:marBottom w:val="0"/>
      <w:divBdr>
        <w:top w:val="none" w:sz="0" w:space="0" w:color="auto"/>
        <w:left w:val="none" w:sz="0" w:space="0" w:color="auto"/>
        <w:bottom w:val="none" w:sz="0" w:space="0" w:color="auto"/>
        <w:right w:val="none" w:sz="0" w:space="0" w:color="auto"/>
      </w:divBdr>
    </w:div>
    <w:div w:id="1379352633">
      <w:bodyDiv w:val="1"/>
      <w:marLeft w:val="0"/>
      <w:marRight w:val="0"/>
      <w:marTop w:val="0"/>
      <w:marBottom w:val="0"/>
      <w:divBdr>
        <w:top w:val="none" w:sz="0" w:space="0" w:color="auto"/>
        <w:left w:val="none" w:sz="0" w:space="0" w:color="auto"/>
        <w:bottom w:val="none" w:sz="0" w:space="0" w:color="auto"/>
        <w:right w:val="none" w:sz="0" w:space="0" w:color="auto"/>
      </w:divBdr>
    </w:div>
    <w:div w:id="1383406317">
      <w:bodyDiv w:val="1"/>
      <w:marLeft w:val="0"/>
      <w:marRight w:val="0"/>
      <w:marTop w:val="0"/>
      <w:marBottom w:val="0"/>
      <w:divBdr>
        <w:top w:val="none" w:sz="0" w:space="0" w:color="auto"/>
        <w:left w:val="none" w:sz="0" w:space="0" w:color="auto"/>
        <w:bottom w:val="none" w:sz="0" w:space="0" w:color="auto"/>
        <w:right w:val="none" w:sz="0" w:space="0" w:color="auto"/>
      </w:divBdr>
    </w:div>
    <w:div w:id="1388139806">
      <w:bodyDiv w:val="1"/>
      <w:marLeft w:val="0"/>
      <w:marRight w:val="0"/>
      <w:marTop w:val="0"/>
      <w:marBottom w:val="0"/>
      <w:divBdr>
        <w:top w:val="none" w:sz="0" w:space="0" w:color="auto"/>
        <w:left w:val="none" w:sz="0" w:space="0" w:color="auto"/>
        <w:bottom w:val="none" w:sz="0" w:space="0" w:color="auto"/>
        <w:right w:val="none" w:sz="0" w:space="0" w:color="auto"/>
      </w:divBdr>
    </w:div>
    <w:div w:id="1388607414">
      <w:bodyDiv w:val="1"/>
      <w:marLeft w:val="0"/>
      <w:marRight w:val="0"/>
      <w:marTop w:val="0"/>
      <w:marBottom w:val="0"/>
      <w:divBdr>
        <w:top w:val="none" w:sz="0" w:space="0" w:color="auto"/>
        <w:left w:val="none" w:sz="0" w:space="0" w:color="auto"/>
        <w:bottom w:val="none" w:sz="0" w:space="0" w:color="auto"/>
        <w:right w:val="none" w:sz="0" w:space="0" w:color="auto"/>
      </w:divBdr>
    </w:div>
    <w:div w:id="1392116876">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32162477">
      <w:bodyDiv w:val="1"/>
      <w:marLeft w:val="0"/>
      <w:marRight w:val="0"/>
      <w:marTop w:val="0"/>
      <w:marBottom w:val="0"/>
      <w:divBdr>
        <w:top w:val="none" w:sz="0" w:space="0" w:color="auto"/>
        <w:left w:val="none" w:sz="0" w:space="0" w:color="auto"/>
        <w:bottom w:val="none" w:sz="0" w:space="0" w:color="auto"/>
        <w:right w:val="none" w:sz="0" w:space="0" w:color="auto"/>
      </w:divBdr>
    </w:div>
    <w:div w:id="1437485735">
      <w:bodyDiv w:val="1"/>
      <w:marLeft w:val="0"/>
      <w:marRight w:val="0"/>
      <w:marTop w:val="0"/>
      <w:marBottom w:val="0"/>
      <w:divBdr>
        <w:top w:val="none" w:sz="0" w:space="0" w:color="auto"/>
        <w:left w:val="none" w:sz="0" w:space="0" w:color="auto"/>
        <w:bottom w:val="none" w:sz="0" w:space="0" w:color="auto"/>
        <w:right w:val="none" w:sz="0" w:space="0" w:color="auto"/>
      </w:divBdr>
    </w:div>
    <w:div w:id="1438023280">
      <w:bodyDiv w:val="1"/>
      <w:marLeft w:val="0"/>
      <w:marRight w:val="0"/>
      <w:marTop w:val="0"/>
      <w:marBottom w:val="0"/>
      <w:divBdr>
        <w:top w:val="none" w:sz="0" w:space="0" w:color="auto"/>
        <w:left w:val="none" w:sz="0" w:space="0" w:color="auto"/>
        <w:bottom w:val="none" w:sz="0" w:space="0" w:color="auto"/>
        <w:right w:val="none" w:sz="0" w:space="0" w:color="auto"/>
      </w:divBdr>
    </w:div>
    <w:div w:id="1452287350">
      <w:bodyDiv w:val="1"/>
      <w:marLeft w:val="0"/>
      <w:marRight w:val="0"/>
      <w:marTop w:val="0"/>
      <w:marBottom w:val="0"/>
      <w:divBdr>
        <w:top w:val="none" w:sz="0" w:space="0" w:color="auto"/>
        <w:left w:val="none" w:sz="0" w:space="0" w:color="auto"/>
        <w:bottom w:val="none" w:sz="0" w:space="0" w:color="auto"/>
        <w:right w:val="none" w:sz="0" w:space="0" w:color="auto"/>
      </w:divBdr>
    </w:div>
    <w:div w:id="1461457102">
      <w:bodyDiv w:val="1"/>
      <w:marLeft w:val="0"/>
      <w:marRight w:val="0"/>
      <w:marTop w:val="0"/>
      <w:marBottom w:val="0"/>
      <w:divBdr>
        <w:top w:val="none" w:sz="0" w:space="0" w:color="auto"/>
        <w:left w:val="none" w:sz="0" w:space="0" w:color="auto"/>
        <w:bottom w:val="none" w:sz="0" w:space="0" w:color="auto"/>
        <w:right w:val="none" w:sz="0" w:space="0" w:color="auto"/>
      </w:divBdr>
    </w:div>
    <w:div w:id="1474365684">
      <w:bodyDiv w:val="1"/>
      <w:marLeft w:val="0"/>
      <w:marRight w:val="0"/>
      <w:marTop w:val="0"/>
      <w:marBottom w:val="0"/>
      <w:divBdr>
        <w:top w:val="none" w:sz="0" w:space="0" w:color="auto"/>
        <w:left w:val="none" w:sz="0" w:space="0" w:color="auto"/>
        <w:bottom w:val="none" w:sz="0" w:space="0" w:color="auto"/>
        <w:right w:val="none" w:sz="0" w:space="0" w:color="auto"/>
      </w:divBdr>
    </w:div>
    <w:div w:id="1491209189">
      <w:bodyDiv w:val="1"/>
      <w:marLeft w:val="0"/>
      <w:marRight w:val="0"/>
      <w:marTop w:val="0"/>
      <w:marBottom w:val="0"/>
      <w:divBdr>
        <w:top w:val="none" w:sz="0" w:space="0" w:color="auto"/>
        <w:left w:val="none" w:sz="0" w:space="0" w:color="auto"/>
        <w:bottom w:val="none" w:sz="0" w:space="0" w:color="auto"/>
        <w:right w:val="none" w:sz="0" w:space="0" w:color="auto"/>
      </w:divBdr>
    </w:div>
    <w:div w:id="1496645783">
      <w:bodyDiv w:val="1"/>
      <w:marLeft w:val="0"/>
      <w:marRight w:val="0"/>
      <w:marTop w:val="0"/>
      <w:marBottom w:val="0"/>
      <w:divBdr>
        <w:top w:val="none" w:sz="0" w:space="0" w:color="auto"/>
        <w:left w:val="none" w:sz="0" w:space="0" w:color="auto"/>
        <w:bottom w:val="none" w:sz="0" w:space="0" w:color="auto"/>
        <w:right w:val="none" w:sz="0" w:space="0" w:color="auto"/>
      </w:divBdr>
    </w:div>
    <w:div w:id="1496720743">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501893052">
      <w:bodyDiv w:val="1"/>
      <w:marLeft w:val="0"/>
      <w:marRight w:val="0"/>
      <w:marTop w:val="0"/>
      <w:marBottom w:val="0"/>
      <w:divBdr>
        <w:top w:val="none" w:sz="0" w:space="0" w:color="auto"/>
        <w:left w:val="none" w:sz="0" w:space="0" w:color="auto"/>
        <w:bottom w:val="none" w:sz="0" w:space="0" w:color="auto"/>
        <w:right w:val="none" w:sz="0" w:space="0" w:color="auto"/>
      </w:divBdr>
    </w:div>
    <w:div w:id="1522279412">
      <w:bodyDiv w:val="1"/>
      <w:marLeft w:val="0"/>
      <w:marRight w:val="0"/>
      <w:marTop w:val="0"/>
      <w:marBottom w:val="0"/>
      <w:divBdr>
        <w:top w:val="none" w:sz="0" w:space="0" w:color="auto"/>
        <w:left w:val="none" w:sz="0" w:space="0" w:color="auto"/>
        <w:bottom w:val="none" w:sz="0" w:space="0" w:color="auto"/>
        <w:right w:val="none" w:sz="0" w:space="0" w:color="auto"/>
      </w:divBdr>
    </w:div>
    <w:div w:id="1556427247">
      <w:bodyDiv w:val="1"/>
      <w:marLeft w:val="0"/>
      <w:marRight w:val="0"/>
      <w:marTop w:val="0"/>
      <w:marBottom w:val="0"/>
      <w:divBdr>
        <w:top w:val="none" w:sz="0" w:space="0" w:color="auto"/>
        <w:left w:val="none" w:sz="0" w:space="0" w:color="auto"/>
        <w:bottom w:val="none" w:sz="0" w:space="0" w:color="auto"/>
        <w:right w:val="none" w:sz="0" w:space="0" w:color="auto"/>
      </w:divBdr>
    </w:div>
    <w:div w:id="1563756599">
      <w:bodyDiv w:val="1"/>
      <w:marLeft w:val="0"/>
      <w:marRight w:val="0"/>
      <w:marTop w:val="0"/>
      <w:marBottom w:val="0"/>
      <w:divBdr>
        <w:top w:val="none" w:sz="0" w:space="0" w:color="auto"/>
        <w:left w:val="none" w:sz="0" w:space="0" w:color="auto"/>
        <w:bottom w:val="none" w:sz="0" w:space="0" w:color="auto"/>
        <w:right w:val="none" w:sz="0" w:space="0" w:color="auto"/>
      </w:divBdr>
      <w:divsChild>
        <w:div w:id="2127307480">
          <w:marLeft w:val="0"/>
          <w:marRight w:val="0"/>
          <w:marTop w:val="0"/>
          <w:marBottom w:val="0"/>
          <w:divBdr>
            <w:top w:val="none" w:sz="0" w:space="0" w:color="auto"/>
            <w:left w:val="none" w:sz="0" w:space="0" w:color="auto"/>
            <w:bottom w:val="none" w:sz="0" w:space="0" w:color="auto"/>
            <w:right w:val="none" w:sz="0" w:space="0" w:color="auto"/>
          </w:divBdr>
          <w:divsChild>
            <w:div w:id="499393118">
              <w:marLeft w:val="0"/>
              <w:marRight w:val="0"/>
              <w:marTop w:val="0"/>
              <w:marBottom w:val="0"/>
              <w:divBdr>
                <w:top w:val="none" w:sz="0" w:space="0" w:color="auto"/>
                <w:left w:val="none" w:sz="0" w:space="0" w:color="auto"/>
                <w:bottom w:val="none" w:sz="0" w:space="0" w:color="auto"/>
                <w:right w:val="none" w:sz="0" w:space="0" w:color="auto"/>
              </w:divBdr>
              <w:divsChild>
                <w:div w:id="1080174502">
                  <w:marLeft w:val="0"/>
                  <w:marRight w:val="0"/>
                  <w:marTop w:val="0"/>
                  <w:marBottom w:val="0"/>
                  <w:divBdr>
                    <w:top w:val="none" w:sz="0" w:space="0" w:color="auto"/>
                    <w:left w:val="none" w:sz="0" w:space="0" w:color="auto"/>
                    <w:bottom w:val="none" w:sz="0" w:space="0" w:color="auto"/>
                    <w:right w:val="none" w:sz="0" w:space="0" w:color="auto"/>
                  </w:divBdr>
                  <w:divsChild>
                    <w:div w:id="521750444">
                      <w:marLeft w:val="0"/>
                      <w:marRight w:val="0"/>
                      <w:marTop w:val="0"/>
                      <w:marBottom w:val="0"/>
                      <w:divBdr>
                        <w:top w:val="none" w:sz="0" w:space="0" w:color="auto"/>
                        <w:left w:val="none" w:sz="0" w:space="0" w:color="auto"/>
                        <w:bottom w:val="none" w:sz="0" w:space="0" w:color="auto"/>
                        <w:right w:val="none" w:sz="0" w:space="0" w:color="auto"/>
                      </w:divBdr>
                      <w:divsChild>
                        <w:div w:id="1968857042">
                          <w:marLeft w:val="0"/>
                          <w:marRight w:val="0"/>
                          <w:marTop w:val="0"/>
                          <w:marBottom w:val="0"/>
                          <w:divBdr>
                            <w:top w:val="none" w:sz="0" w:space="0" w:color="auto"/>
                            <w:left w:val="none" w:sz="0" w:space="0" w:color="auto"/>
                            <w:bottom w:val="none" w:sz="0" w:space="0" w:color="auto"/>
                            <w:right w:val="none" w:sz="0" w:space="0" w:color="auto"/>
                          </w:divBdr>
                          <w:divsChild>
                            <w:div w:id="15540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803479">
      <w:bodyDiv w:val="1"/>
      <w:marLeft w:val="0"/>
      <w:marRight w:val="0"/>
      <w:marTop w:val="0"/>
      <w:marBottom w:val="0"/>
      <w:divBdr>
        <w:top w:val="none" w:sz="0" w:space="0" w:color="auto"/>
        <w:left w:val="none" w:sz="0" w:space="0" w:color="auto"/>
        <w:bottom w:val="none" w:sz="0" w:space="0" w:color="auto"/>
        <w:right w:val="none" w:sz="0" w:space="0" w:color="auto"/>
      </w:divBdr>
    </w:div>
    <w:div w:id="1574701531">
      <w:bodyDiv w:val="1"/>
      <w:marLeft w:val="0"/>
      <w:marRight w:val="0"/>
      <w:marTop w:val="0"/>
      <w:marBottom w:val="0"/>
      <w:divBdr>
        <w:top w:val="none" w:sz="0" w:space="0" w:color="auto"/>
        <w:left w:val="none" w:sz="0" w:space="0" w:color="auto"/>
        <w:bottom w:val="none" w:sz="0" w:space="0" w:color="auto"/>
        <w:right w:val="none" w:sz="0" w:space="0" w:color="auto"/>
      </w:divBdr>
    </w:div>
    <w:div w:id="1578400083">
      <w:bodyDiv w:val="1"/>
      <w:marLeft w:val="0"/>
      <w:marRight w:val="0"/>
      <w:marTop w:val="0"/>
      <w:marBottom w:val="0"/>
      <w:divBdr>
        <w:top w:val="none" w:sz="0" w:space="0" w:color="auto"/>
        <w:left w:val="none" w:sz="0" w:space="0" w:color="auto"/>
        <w:bottom w:val="none" w:sz="0" w:space="0" w:color="auto"/>
        <w:right w:val="none" w:sz="0" w:space="0" w:color="auto"/>
      </w:divBdr>
    </w:div>
    <w:div w:id="1582178282">
      <w:bodyDiv w:val="1"/>
      <w:marLeft w:val="0"/>
      <w:marRight w:val="0"/>
      <w:marTop w:val="0"/>
      <w:marBottom w:val="0"/>
      <w:divBdr>
        <w:top w:val="none" w:sz="0" w:space="0" w:color="auto"/>
        <w:left w:val="none" w:sz="0" w:space="0" w:color="auto"/>
        <w:bottom w:val="none" w:sz="0" w:space="0" w:color="auto"/>
        <w:right w:val="none" w:sz="0" w:space="0" w:color="auto"/>
      </w:divBdr>
    </w:div>
    <w:div w:id="1584951917">
      <w:bodyDiv w:val="1"/>
      <w:marLeft w:val="0"/>
      <w:marRight w:val="0"/>
      <w:marTop w:val="0"/>
      <w:marBottom w:val="0"/>
      <w:divBdr>
        <w:top w:val="none" w:sz="0" w:space="0" w:color="auto"/>
        <w:left w:val="none" w:sz="0" w:space="0" w:color="auto"/>
        <w:bottom w:val="none" w:sz="0" w:space="0" w:color="auto"/>
        <w:right w:val="none" w:sz="0" w:space="0" w:color="auto"/>
      </w:divBdr>
    </w:div>
    <w:div w:id="1590693063">
      <w:bodyDiv w:val="1"/>
      <w:marLeft w:val="0"/>
      <w:marRight w:val="0"/>
      <w:marTop w:val="0"/>
      <w:marBottom w:val="0"/>
      <w:divBdr>
        <w:top w:val="none" w:sz="0" w:space="0" w:color="auto"/>
        <w:left w:val="none" w:sz="0" w:space="0" w:color="auto"/>
        <w:bottom w:val="none" w:sz="0" w:space="0" w:color="auto"/>
        <w:right w:val="none" w:sz="0" w:space="0" w:color="auto"/>
      </w:divBdr>
    </w:div>
    <w:div w:id="1603024802">
      <w:bodyDiv w:val="1"/>
      <w:marLeft w:val="0"/>
      <w:marRight w:val="0"/>
      <w:marTop w:val="0"/>
      <w:marBottom w:val="0"/>
      <w:divBdr>
        <w:top w:val="none" w:sz="0" w:space="0" w:color="auto"/>
        <w:left w:val="none" w:sz="0" w:space="0" w:color="auto"/>
        <w:bottom w:val="none" w:sz="0" w:space="0" w:color="auto"/>
        <w:right w:val="none" w:sz="0" w:space="0" w:color="auto"/>
      </w:divBdr>
    </w:div>
    <w:div w:id="1606033525">
      <w:bodyDiv w:val="1"/>
      <w:marLeft w:val="0"/>
      <w:marRight w:val="0"/>
      <w:marTop w:val="0"/>
      <w:marBottom w:val="0"/>
      <w:divBdr>
        <w:top w:val="none" w:sz="0" w:space="0" w:color="auto"/>
        <w:left w:val="none" w:sz="0" w:space="0" w:color="auto"/>
        <w:bottom w:val="none" w:sz="0" w:space="0" w:color="auto"/>
        <w:right w:val="none" w:sz="0" w:space="0" w:color="auto"/>
      </w:divBdr>
    </w:div>
    <w:div w:id="1606422591">
      <w:bodyDiv w:val="1"/>
      <w:marLeft w:val="0"/>
      <w:marRight w:val="0"/>
      <w:marTop w:val="0"/>
      <w:marBottom w:val="0"/>
      <w:divBdr>
        <w:top w:val="none" w:sz="0" w:space="0" w:color="auto"/>
        <w:left w:val="none" w:sz="0" w:space="0" w:color="auto"/>
        <w:bottom w:val="none" w:sz="0" w:space="0" w:color="auto"/>
        <w:right w:val="none" w:sz="0" w:space="0" w:color="auto"/>
      </w:divBdr>
    </w:div>
    <w:div w:id="1619994096">
      <w:bodyDiv w:val="1"/>
      <w:marLeft w:val="0"/>
      <w:marRight w:val="0"/>
      <w:marTop w:val="0"/>
      <w:marBottom w:val="0"/>
      <w:divBdr>
        <w:top w:val="none" w:sz="0" w:space="0" w:color="auto"/>
        <w:left w:val="none" w:sz="0" w:space="0" w:color="auto"/>
        <w:bottom w:val="none" w:sz="0" w:space="0" w:color="auto"/>
        <w:right w:val="none" w:sz="0" w:space="0" w:color="auto"/>
      </w:divBdr>
    </w:div>
    <w:div w:id="1620914819">
      <w:bodyDiv w:val="1"/>
      <w:marLeft w:val="0"/>
      <w:marRight w:val="0"/>
      <w:marTop w:val="0"/>
      <w:marBottom w:val="0"/>
      <w:divBdr>
        <w:top w:val="none" w:sz="0" w:space="0" w:color="auto"/>
        <w:left w:val="none" w:sz="0" w:space="0" w:color="auto"/>
        <w:bottom w:val="none" w:sz="0" w:space="0" w:color="auto"/>
        <w:right w:val="none" w:sz="0" w:space="0" w:color="auto"/>
      </w:divBdr>
    </w:div>
    <w:div w:id="1622229482">
      <w:bodyDiv w:val="1"/>
      <w:marLeft w:val="0"/>
      <w:marRight w:val="0"/>
      <w:marTop w:val="0"/>
      <w:marBottom w:val="0"/>
      <w:divBdr>
        <w:top w:val="none" w:sz="0" w:space="0" w:color="auto"/>
        <w:left w:val="none" w:sz="0" w:space="0" w:color="auto"/>
        <w:bottom w:val="none" w:sz="0" w:space="0" w:color="auto"/>
        <w:right w:val="none" w:sz="0" w:space="0" w:color="auto"/>
      </w:divBdr>
      <w:divsChild>
        <w:div w:id="1692414778">
          <w:marLeft w:val="0"/>
          <w:marRight w:val="0"/>
          <w:marTop w:val="0"/>
          <w:marBottom w:val="0"/>
          <w:divBdr>
            <w:top w:val="none" w:sz="0" w:space="0" w:color="auto"/>
            <w:left w:val="none" w:sz="0" w:space="0" w:color="auto"/>
            <w:bottom w:val="none" w:sz="0" w:space="0" w:color="auto"/>
            <w:right w:val="none" w:sz="0" w:space="0" w:color="auto"/>
          </w:divBdr>
          <w:divsChild>
            <w:div w:id="1226138650">
              <w:marLeft w:val="0"/>
              <w:marRight w:val="0"/>
              <w:marTop w:val="0"/>
              <w:marBottom w:val="0"/>
              <w:divBdr>
                <w:top w:val="none" w:sz="0" w:space="0" w:color="auto"/>
                <w:left w:val="none" w:sz="0" w:space="0" w:color="auto"/>
                <w:bottom w:val="none" w:sz="0" w:space="0" w:color="auto"/>
                <w:right w:val="none" w:sz="0" w:space="0" w:color="auto"/>
              </w:divBdr>
              <w:divsChild>
                <w:div w:id="1098714181">
                  <w:marLeft w:val="0"/>
                  <w:marRight w:val="0"/>
                  <w:marTop w:val="0"/>
                  <w:marBottom w:val="0"/>
                  <w:divBdr>
                    <w:top w:val="none" w:sz="0" w:space="0" w:color="auto"/>
                    <w:left w:val="none" w:sz="0" w:space="0" w:color="auto"/>
                    <w:bottom w:val="none" w:sz="0" w:space="0" w:color="auto"/>
                    <w:right w:val="none" w:sz="0" w:space="0" w:color="auto"/>
                  </w:divBdr>
                  <w:divsChild>
                    <w:div w:id="800927695">
                      <w:marLeft w:val="0"/>
                      <w:marRight w:val="0"/>
                      <w:marTop w:val="0"/>
                      <w:marBottom w:val="0"/>
                      <w:divBdr>
                        <w:top w:val="none" w:sz="0" w:space="0" w:color="auto"/>
                        <w:left w:val="none" w:sz="0" w:space="0" w:color="auto"/>
                        <w:bottom w:val="none" w:sz="0" w:space="0" w:color="auto"/>
                        <w:right w:val="none" w:sz="0" w:space="0" w:color="auto"/>
                      </w:divBdr>
                      <w:divsChild>
                        <w:div w:id="292761291">
                          <w:marLeft w:val="0"/>
                          <w:marRight w:val="0"/>
                          <w:marTop w:val="0"/>
                          <w:marBottom w:val="0"/>
                          <w:divBdr>
                            <w:top w:val="none" w:sz="0" w:space="0" w:color="auto"/>
                            <w:left w:val="none" w:sz="0" w:space="0" w:color="auto"/>
                            <w:bottom w:val="none" w:sz="0" w:space="0" w:color="auto"/>
                            <w:right w:val="none" w:sz="0" w:space="0" w:color="auto"/>
                          </w:divBdr>
                          <w:divsChild>
                            <w:div w:id="1675766697">
                              <w:marLeft w:val="0"/>
                              <w:marRight w:val="0"/>
                              <w:marTop w:val="0"/>
                              <w:marBottom w:val="0"/>
                              <w:divBdr>
                                <w:top w:val="none" w:sz="0" w:space="0" w:color="auto"/>
                                <w:left w:val="none" w:sz="0" w:space="0" w:color="auto"/>
                                <w:bottom w:val="none" w:sz="0" w:space="0" w:color="auto"/>
                                <w:right w:val="none" w:sz="0" w:space="0" w:color="auto"/>
                              </w:divBdr>
                              <w:divsChild>
                                <w:div w:id="744062293">
                                  <w:marLeft w:val="0"/>
                                  <w:marRight w:val="0"/>
                                  <w:marTop w:val="0"/>
                                  <w:marBottom w:val="0"/>
                                  <w:divBdr>
                                    <w:top w:val="none" w:sz="0" w:space="0" w:color="auto"/>
                                    <w:left w:val="none" w:sz="0" w:space="0" w:color="auto"/>
                                    <w:bottom w:val="none" w:sz="0" w:space="0" w:color="auto"/>
                                    <w:right w:val="none" w:sz="0" w:space="0" w:color="auto"/>
                                  </w:divBdr>
                                  <w:divsChild>
                                    <w:div w:id="1421411753">
                                      <w:marLeft w:val="0"/>
                                      <w:marRight w:val="0"/>
                                      <w:marTop w:val="0"/>
                                      <w:marBottom w:val="0"/>
                                      <w:divBdr>
                                        <w:top w:val="none" w:sz="0" w:space="0" w:color="auto"/>
                                        <w:left w:val="none" w:sz="0" w:space="0" w:color="auto"/>
                                        <w:bottom w:val="none" w:sz="0" w:space="0" w:color="auto"/>
                                        <w:right w:val="none" w:sz="0" w:space="0" w:color="auto"/>
                                      </w:divBdr>
                                      <w:divsChild>
                                        <w:div w:id="21829549">
                                          <w:marLeft w:val="0"/>
                                          <w:marRight w:val="0"/>
                                          <w:marTop w:val="0"/>
                                          <w:marBottom w:val="0"/>
                                          <w:divBdr>
                                            <w:top w:val="none" w:sz="0" w:space="0" w:color="auto"/>
                                            <w:left w:val="none" w:sz="0" w:space="0" w:color="auto"/>
                                            <w:bottom w:val="none" w:sz="0" w:space="0" w:color="auto"/>
                                            <w:right w:val="none" w:sz="0" w:space="0" w:color="auto"/>
                                          </w:divBdr>
                                          <w:divsChild>
                                            <w:div w:id="1839611161">
                                              <w:marLeft w:val="0"/>
                                              <w:marRight w:val="0"/>
                                              <w:marTop w:val="0"/>
                                              <w:marBottom w:val="0"/>
                                              <w:divBdr>
                                                <w:top w:val="none" w:sz="0" w:space="0" w:color="auto"/>
                                                <w:left w:val="none" w:sz="0" w:space="0" w:color="auto"/>
                                                <w:bottom w:val="none" w:sz="0" w:space="0" w:color="auto"/>
                                                <w:right w:val="none" w:sz="0" w:space="0" w:color="auto"/>
                                              </w:divBdr>
                                              <w:divsChild>
                                                <w:div w:id="19934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530027">
          <w:marLeft w:val="0"/>
          <w:marRight w:val="0"/>
          <w:marTop w:val="0"/>
          <w:marBottom w:val="0"/>
          <w:divBdr>
            <w:top w:val="none" w:sz="0" w:space="0" w:color="auto"/>
            <w:left w:val="none" w:sz="0" w:space="0" w:color="auto"/>
            <w:bottom w:val="none" w:sz="0" w:space="0" w:color="auto"/>
            <w:right w:val="none" w:sz="0" w:space="0" w:color="auto"/>
          </w:divBdr>
          <w:divsChild>
            <w:div w:id="488903267">
              <w:marLeft w:val="0"/>
              <w:marRight w:val="0"/>
              <w:marTop w:val="0"/>
              <w:marBottom w:val="0"/>
              <w:divBdr>
                <w:top w:val="none" w:sz="0" w:space="0" w:color="auto"/>
                <w:left w:val="none" w:sz="0" w:space="0" w:color="auto"/>
                <w:bottom w:val="none" w:sz="0" w:space="0" w:color="auto"/>
                <w:right w:val="none" w:sz="0" w:space="0" w:color="auto"/>
              </w:divBdr>
              <w:divsChild>
                <w:div w:id="389156956">
                  <w:marLeft w:val="0"/>
                  <w:marRight w:val="0"/>
                  <w:marTop w:val="0"/>
                  <w:marBottom w:val="0"/>
                  <w:divBdr>
                    <w:top w:val="none" w:sz="0" w:space="0" w:color="auto"/>
                    <w:left w:val="none" w:sz="0" w:space="0" w:color="auto"/>
                    <w:bottom w:val="none" w:sz="0" w:space="0" w:color="auto"/>
                    <w:right w:val="none" w:sz="0" w:space="0" w:color="auto"/>
                  </w:divBdr>
                  <w:divsChild>
                    <w:div w:id="2054500349">
                      <w:marLeft w:val="0"/>
                      <w:marRight w:val="0"/>
                      <w:marTop w:val="0"/>
                      <w:marBottom w:val="0"/>
                      <w:divBdr>
                        <w:top w:val="none" w:sz="0" w:space="0" w:color="auto"/>
                        <w:left w:val="none" w:sz="0" w:space="0" w:color="auto"/>
                        <w:bottom w:val="none" w:sz="0" w:space="0" w:color="auto"/>
                        <w:right w:val="none" w:sz="0" w:space="0" w:color="auto"/>
                      </w:divBdr>
                      <w:divsChild>
                        <w:div w:id="1729113091">
                          <w:marLeft w:val="0"/>
                          <w:marRight w:val="0"/>
                          <w:marTop w:val="0"/>
                          <w:marBottom w:val="0"/>
                          <w:divBdr>
                            <w:top w:val="none" w:sz="0" w:space="0" w:color="auto"/>
                            <w:left w:val="none" w:sz="0" w:space="0" w:color="auto"/>
                            <w:bottom w:val="none" w:sz="0" w:space="0" w:color="auto"/>
                            <w:right w:val="none" w:sz="0" w:space="0" w:color="auto"/>
                          </w:divBdr>
                          <w:divsChild>
                            <w:div w:id="563226306">
                              <w:marLeft w:val="0"/>
                              <w:marRight w:val="0"/>
                              <w:marTop w:val="0"/>
                              <w:marBottom w:val="0"/>
                              <w:divBdr>
                                <w:top w:val="none" w:sz="0" w:space="0" w:color="auto"/>
                                <w:left w:val="none" w:sz="0" w:space="0" w:color="auto"/>
                                <w:bottom w:val="none" w:sz="0" w:space="0" w:color="auto"/>
                                <w:right w:val="none" w:sz="0" w:space="0" w:color="auto"/>
                              </w:divBdr>
                              <w:divsChild>
                                <w:div w:id="801654696">
                                  <w:marLeft w:val="0"/>
                                  <w:marRight w:val="0"/>
                                  <w:marTop w:val="0"/>
                                  <w:marBottom w:val="0"/>
                                  <w:divBdr>
                                    <w:top w:val="none" w:sz="0" w:space="0" w:color="auto"/>
                                    <w:left w:val="none" w:sz="0" w:space="0" w:color="auto"/>
                                    <w:bottom w:val="none" w:sz="0" w:space="0" w:color="auto"/>
                                    <w:right w:val="none" w:sz="0" w:space="0" w:color="auto"/>
                                  </w:divBdr>
                                  <w:divsChild>
                                    <w:div w:id="1536113556">
                                      <w:marLeft w:val="0"/>
                                      <w:marRight w:val="0"/>
                                      <w:marTop w:val="0"/>
                                      <w:marBottom w:val="0"/>
                                      <w:divBdr>
                                        <w:top w:val="none" w:sz="0" w:space="0" w:color="auto"/>
                                        <w:left w:val="none" w:sz="0" w:space="0" w:color="auto"/>
                                        <w:bottom w:val="none" w:sz="0" w:space="0" w:color="auto"/>
                                        <w:right w:val="none" w:sz="0" w:space="0" w:color="auto"/>
                                      </w:divBdr>
                                    </w:div>
                                  </w:divsChild>
                                </w:div>
                                <w:div w:id="1645423995">
                                  <w:marLeft w:val="0"/>
                                  <w:marRight w:val="0"/>
                                  <w:marTop w:val="0"/>
                                  <w:marBottom w:val="0"/>
                                  <w:divBdr>
                                    <w:top w:val="none" w:sz="0" w:space="0" w:color="auto"/>
                                    <w:left w:val="none" w:sz="0" w:space="0" w:color="auto"/>
                                    <w:bottom w:val="none" w:sz="0" w:space="0" w:color="auto"/>
                                    <w:right w:val="none" w:sz="0" w:space="0" w:color="auto"/>
                                  </w:divBdr>
                                  <w:divsChild>
                                    <w:div w:id="1314483981">
                                      <w:marLeft w:val="0"/>
                                      <w:marRight w:val="0"/>
                                      <w:marTop w:val="0"/>
                                      <w:marBottom w:val="0"/>
                                      <w:divBdr>
                                        <w:top w:val="none" w:sz="0" w:space="0" w:color="auto"/>
                                        <w:left w:val="none" w:sz="0" w:space="0" w:color="auto"/>
                                        <w:bottom w:val="none" w:sz="0" w:space="0" w:color="auto"/>
                                        <w:right w:val="none" w:sz="0" w:space="0" w:color="auto"/>
                                      </w:divBdr>
                                      <w:divsChild>
                                        <w:div w:id="314797736">
                                          <w:marLeft w:val="0"/>
                                          <w:marRight w:val="0"/>
                                          <w:marTop w:val="0"/>
                                          <w:marBottom w:val="0"/>
                                          <w:divBdr>
                                            <w:top w:val="none" w:sz="0" w:space="0" w:color="auto"/>
                                            <w:left w:val="none" w:sz="0" w:space="0" w:color="auto"/>
                                            <w:bottom w:val="none" w:sz="0" w:space="0" w:color="auto"/>
                                            <w:right w:val="none" w:sz="0" w:space="0" w:color="auto"/>
                                          </w:divBdr>
                                          <w:divsChild>
                                            <w:div w:id="1571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498869">
      <w:bodyDiv w:val="1"/>
      <w:marLeft w:val="0"/>
      <w:marRight w:val="0"/>
      <w:marTop w:val="0"/>
      <w:marBottom w:val="0"/>
      <w:divBdr>
        <w:top w:val="none" w:sz="0" w:space="0" w:color="auto"/>
        <w:left w:val="none" w:sz="0" w:space="0" w:color="auto"/>
        <w:bottom w:val="none" w:sz="0" w:space="0" w:color="auto"/>
        <w:right w:val="none" w:sz="0" w:space="0" w:color="auto"/>
      </w:divBdr>
    </w:div>
    <w:div w:id="1666785927">
      <w:bodyDiv w:val="1"/>
      <w:marLeft w:val="0"/>
      <w:marRight w:val="0"/>
      <w:marTop w:val="0"/>
      <w:marBottom w:val="0"/>
      <w:divBdr>
        <w:top w:val="none" w:sz="0" w:space="0" w:color="auto"/>
        <w:left w:val="none" w:sz="0" w:space="0" w:color="auto"/>
        <w:bottom w:val="none" w:sz="0" w:space="0" w:color="auto"/>
        <w:right w:val="none" w:sz="0" w:space="0" w:color="auto"/>
      </w:divBdr>
    </w:div>
    <w:div w:id="1675572857">
      <w:bodyDiv w:val="1"/>
      <w:marLeft w:val="0"/>
      <w:marRight w:val="0"/>
      <w:marTop w:val="0"/>
      <w:marBottom w:val="0"/>
      <w:divBdr>
        <w:top w:val="none" w:sz="0" w:space="0" w:color="auto"/>
        <w:left w:val="none" w:sz="0" w:space="0" w:color="auto"/>
        <w:bottom w:val="none" w:sz="0" w:space="0" w:color="auto"/>
        <w:right w:val="none" w:sz="0" w:space="0" w:color="auto"/>
      </w:divBdr>
    </w:div>
    <w:div w:id="1678338617">
      <w:bodyDiv w:val="1"/>
      <w:marLeft w:val="0"/>
      <w:marRight w:val="0"/>
      <w:marTop w:val="0"/>
      <w:marBottom w:val="0"/>
      <w:divBdr>
        <w:top w:val="none" w:sz="0" w:space="0" w:color="auto"/>
        <w:left w:val="none" w:sz="0" w:space="0" w:color="auto"/>
        <w:bottom w:val="none" w:sz="0" w:space="0" w:color="auto"/>
        <w:right w:val="none" w:sz="0" w:space="0" w:color="auto"/>
      </w:divBdr>
    </w:div>
    <w:div w:id="1682512084">
      <w:bodyDiv w:val="1"/>
      <w:marLeft w:val="0"/>
      <w:marRight w:val="0"/>
      <w:marTop w:val="0"/>
      <w:marBottom w:val="0"/>
      <w:divBdr>
        <w:top w:val="none" w:sz="0" w:space="0" w:color="auto"/>
        <w:left w:val="none" w:sz="0" w:space="0" w:color="auto"/>
        <w:bottom w:val="none" w:sz="0" w:space="0" w:color="auto"/>
        <w:right w:val="none" w:sz="0" w:space="0" w:color="auto"/>
      </w:divBdr>
    </w:div>
    <w:div w:id="1690831116">
      <w:bodyDiv w:val="1"/>
      <w:marLeft w:val="0"/>
      <w:marRight w:val="0"/>
      <w:marTop w:val="0"/>
      <w:marBottom w:val="0"/>
      <w:divBdr>
        <w:top w:val="none" w:sz="0" w:space="0" w:color="auto"/>
        <w:left w:val="none" w:sz="0" w:space="0" w:color="auto"/>
        <w:bottom w:val="none" w:sz="0" w:space="0" w:color="auto"/>
        <w:right w:val="none" w:sz="0" w:space="0" w:color="auto"/>
      </w:divBdr>
    </w:div>
    <w:div w:id="1694304389">
      <w:bodyDiv w:val="1"/>
      <w:marLeft w:val="0"/>
      <w:marRight w:val="0"/>
      <w:marTop w:val="0"/>
      <w:marBottom w:val="0"/>
      <w:divBdr>
        <w:top w:val="none" w:sz="0" w:space="0" w:color="auto"/>
        <w:left w:val="none" w:sz="0" w:space="0" w:color="auto"/>
        <w:bottom w:val="none" w:sz="0" w:space="0" w:color="auto"/>
        <w:right w:val="none" w:sz="0" w:space="0" w:color="auto"/>
      </w:divBdr>
    </w:div>
    <w:div w:id="1708335464">
      <w:bodyDiv w:val="1"/>
      <w:marLeft w:val="0"/>
      <w:marRight w:val="0"/>
      <w:marTop w:val="0"/>
      <w:marBottom w:val="0"/>
      <w:divBdr>
        <w:top w:val="none" w:sz="0" w:space="0" w:color="auto"/>
        <w:left w:val="none" w:sz="0" w:space="0" w:color="auto"/>
        <w:bottom w:val="none" w:sz="0" w:space="0" w:color="auto"/>
        <w:right w:val="none" w:sz="0" w:space="0" w:color="auto"/>
      </w:divBdr>
    </w:div>
    <w:div w:id="1708752892">
      <w:bodyDiv w:val="1"/>
      <w:marLeft w:val="0"/>
      <w:marRight w:val="0"/>
      <w:marTop w:val="0"/>
      <w:marBottom w:val="0"/>
      <w:divBdr>
        <w:top w:val="none" w:sz="0" w:space="0" w:color="auto"/>
        <w:left w:val="none" w:sz="0" w:space="0" w:color="auto"/>
        <w:bottom w:val="none" w:sz="0" w:space="0" w:color="auto"/>
        <w:right w:val="none" w:sz="0" w:space="0" w:color="auto"/>
      </w:divBdr>
    </w:div>
    <w:div w:id="1710691136">
      <w:bodyDiv w:val="1"/>
      <w:marLeft w:val="0"/>
      <w:marRight w:val="0"/>
      <w:marTop w:val="0"/>
      <w:marBottom w:val="0"/>
      <w:divBdr>
        <w:top w:val="none" w:sz="0" w:space="0" w:color="auto"/>
        <w:left w:val="none" w:sz="0" w:space="0" w:color="auto"/>
        <w:bottom w:val="none" w:sz="0" w:space="0" w:color="auto"/>
        <w:right w:val="none" w:sz="0" w:space="0" w:color="auto"/>
      </w:divBdr>
      <w:divsChild>
        <w:div w:id="203442414">
          <w:marLeft w:val="0"/>
          <w:marRight w:val="0"/>
          <w:marTop w:val="0"/>
          <w:marBottom w:val="0"/>
          <w:divBdr>
            <w:top w:val="none" w:sz="0" w:space="0" w:color="auto"/>
            <w:left w:val="none" w:sz="0" w:space="0" w:color="auto"/>
            <w:bottom w:val="none" w:sz="0" w:space="0" w:color="auto"/>
            <w:right w:val="none" w:sz="0" w:space="0" w:color="auto"/>
          </w:divBdr>
          <w:divsChild>
            <w:div w:id="606230578">
              <w:marLeft w:val="0"/>
              <w:marRight w:val="0"/>
              <w:marTop w:val="0"/>
              <w:marBottom w:val="0"/>
              <w:divBdr>
                <w:top w:val="none" w:sz="0" w:space="0" w:color="auto"/>
                <w:left w:val="none" w:sz="0" w:space="0" w:color="auto"/>
                <w:bottom w:val="none" w:sz="0" w:space="0" w:color="auto"/>
                <w:right w:val="none" w:sz="0" w:space="0" w:color="auto"/>
              </w:divBdr>
              <w:divsChild>
                <w:div w:id="1893271757">
                  <w:marLeft w:val="0"/>
                  <w:marRight w:val="0"/>
                  <w:marTop w:val="0"/>
                  <w:marBottom w:val="0"/>
                  <w:divBdr>
                    <w:top w:val="none" w:sz="0" w:space="0" w:color="auto"/>
                    <w:left w:val="none" w:sz="0" w:space="0" w:color="auto"/>
                    <w:bottom w:val="none" w:sz="0" w:space="0" w:color="auto"/>
                    <w:right w:val="none" w:sz="0" w:space="0" w:color="auto"/>
                  </w:divBdr>
                  <w:divsChild>
                    <w:div w:id="85077088">
                      <w:marLeft w:val="0"/>
                      <w:marRight w:val="0"/>
                      <w:marTop w:val="0"/>
                      <w:marBottom w:val="0"/>
                      <w:divBdr>
                        <w:top w:val="none" w:sz="0" w:space="0" w:color="auto"/>
                        <w:left w:val="none" w:sz="0" w:space="0" w:color="auto"/>
                        <w:bottom w:val="none" w:sz="0" w:space="0" w:color="auto"/>
                        <w:right w:val="none" w:sz="0" w:space="0" w:color="auto"/>
                      </w:divBdr>
                      <w:divsChild>
                        <w:div w:id="940138870">
                          <w:marLeft w:val="0"/>
                          <w:marRight w:val="0"/>
                          <w:marTop w:val="0"/>
                          <w:marBottom w:val="0"/>
                          <w:divBdr>
                            <w:top w:val="none" w:sz="0" w:space="0" w:color="auto"/>
                            <w:left w:val="none" w:sz="0" w:space="0" w:color="auto"/>
                            <w:bottom w:val="none" w:sz="0" w:space="0" w:color="auto"/>
                            <w:right w:val="none" w:sz="0" w:space="0" w:color="auto"/>
                          </w:divBdr>
                          <w:divsChild>
                            <w:div w:id="1323853959">
                              <w:marLeft w:val="0"/>
                              <w:marRight w:val="0"/>
                              <w:marTop w:val="0"/>
                              <w:marBottom w:val="0"/>
                              <w:divBdr>
                                <w:top w:val="none" w:sz="0" w:space="0" w:color="auto"/>
                                <w:left w:val="none" w:sz="0" w:space="0" w:color="auto"/>
                                <w:bottom w:val="none" w:sz="0" w:space="0" w:color="auto"/>
                                <w:right w:val="none" w:sz="0" w:space="0" w:color="auto"/>
                              </w:divBdr>
                              <w:divsChild>
                                <w:div w:id="1403016960">
                                  <w:marLeft w:val="0"/>
                                  <w:marRight w:val="0"/>
                                  <w:marTop w:val="0"/>
                                  <w:marBottom w:val="0"/>
                                  <w:divBdr>
                                    <w:top w:val="none" w:sz="0" w:space="0" w:color="auto"/>
                                    <w:left w:val="none" w:sz="0" w:space="0" w:color="auto"/>
                                    <w:bottom w:val="none" w:sz="0" w:space="0" w:color="auto"/>
                                    <w:right w:val="none" w:sz="0" w:space="0" w:color="auto"/>
                                  </w:divBdr>
                                  <w:divsChild>
                                    <w:div w:id="988359101">
                                      <w:marLeft w:val="0"/>
                                      <w:marRight w:val="0"/>
                                      <w:marTop w:val="0"/>
                                      <w:marBottom w:val="0"/>
                                      <w:divBdr>
                                        <w:top w:val="none" w:sz="0" w:space="0" w:color="auto"/>
                                        <w:left w:val="none" w:sz="0" w:space="0" w:color="auto"/>
                                        <w:bottom w:val="none" w:sz="0" w:space="0" w:color="auto"/>
                                        <w:right w:val="none" w:sz="0" w:space="0" w:color="auto"/>
                                      </w:divBdr>
                                      <w:divsChild>
                                        <w:div w:id="273943821">
                                          <w:marLeft w:val="0"/>
                                          <w:marRight w:val="0"/>
                                          <w:marTop w:val="0"/>
                                          <w:marBottom w:val="0"/>
                                          <w:divBdr>
                                            <w:top w:val="none" w:sz="0" w:space="0" w:color="auto"/>
                                            <w:left w:val="none" w:sz="0" w:space="0" w:color="auto"/>
                                            <w:bottom w:val="none" w:sz="0" w:space="0" w:color="auto"/>
                                            <w:right w:val="none" w:sz="0" w:space="0" w:color="auto"/>
                                          </w:divBdr>
                                          <w:divsChild>
                                            <w:div w:id="1773168094">
                                              <w:marLeft w:val="0"/>
                                              <w:marRight w:val="0"/>
                                              <w:marTop w:val="0"/>
                                              <w:marBottom w:val="0"/>
                                              <w:divBdr>
                                                <w:top w:val="none" w:sz="0" w:space="0" w:color="auto"/>
                                                <w:left w:val="none" w:sz="0" w:space="0" w:color="auto"/>
                                                <w:bottom w:val="none" w:sz="0" w:space="0" w:color="auto"/>
                                                <w:right w:val="none" w:sz="0" w:space="0" w:color="auto"/>
                                              </w:divBdr>
                                              <w:divsChild>
                                                <w:div w:id="12364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07194">
          <w:marLeft w:val="0"/>
          <w:marRight w:val="0"/>
          <w:marTop w:val="0"/>
          <w:marBottom w:val="0"/>
          <w:divBdr>
            <w:top w:val="none" w:sz="0" w:space="0" w:color="auto"/>
            <w:left w:val="none" w:sz="0" w:space="0" w:color="auto"/>
            <w:bottom w:val="none" w:sz="0" w:space="0" w:color="auto"/>
            <w:right w:val="none" w:sz="0" w:space="0" w:color="auto"/>
          </w:divBdr>
          <w:divsChild>
            <w:div w:id="1683779216">
              <w:marLeft w:val="0"/>
              <w:marRight w:val="0"/>
              <w:marTop w:val="0"/>
              <w:marBottom w:val="0"/>
              <w:divBdr>
                <w:top w:val="none" w:sz="0" w:space="0" w:color="auto"/>
                <w:left w:val="none" w:sz="0" w:space="0" w:color="auto"/>
                <w:bottom w:val="none" w:sz="0" w:space="0" w:color="auto"/>
                <w:right w:val="none" w:sz="0" w:space="0" w:color="auto"/>
              </w:divBdr>
              <w:divsChild>
                <w:div w:id="473447658">
                  <w:marLeft w:val="0"/>
                  <w:marRight w:val="0"/>
                  <w:marTop w:val="0"/>
                  <w:marBottom w:val="0"/>
                  <w:divBdr>
                    <w:top w:val="none" w:sz="0" w:space="0" w:color="auto"/>
                    <w:left w:val="none" w:sz="0" w:space="0" w:color="auto"/>
                    <w:bottom w:val="none" w:sz="0" w:space="0" w:color="auto"/>
                    <w:right w:val="none" w:sz="0" w:space="0" w:color="auto"/>
                  </w:divBdr>
                  <w:divsChild>
                    <w:div w:id="1067806258">
                      <w:marLeft w:val="0"/>
                      <w:marRight w:val="0"/>
                      <w:marTop w:val="0"/>
                      <w:marBottom w:val="0"/>
                      <w:divBdr>
                        <w:top w:val="none" w:sz="0" w:space="0" w:color="auto"/>
                        <w:left w:val="none" w:sz="0" w:space="0" w:color="auto"/>
                        <w:bottom w:val="none" w:sz="0" w:space="0" w:color="auto"/>
                        <w:right w:val="none" w:sz="0" w:space="0" w:color="auto"/>
                      </w:divBdr>
                      <w:divsChild>
                        <w:div w:id="878051843">
                          <w:marLeft w:val="0"/>
                          <w:marRight w:val="0"/>
                          <w:marTop w:val="0"/>
                          <w:marBottom w:val="0"/>
                          <w:divBdr>
                            <w:top w:val="none" w:sz="0" w:space="0" w:color="auto"/>
                            <w:left w:val="none" w:sz="0" w:space="0" w:color="auto"/>
                            <w:bottom w:val="none" w:sz="0" w:space="0" w:color="auto"/>
                            <w:right w:val="none" w:sz="0" w:space="0" w:color="auto"/>
                          </w:divBdr>
                          <w:divsChild>
                            <w:div w:id="362942646">
                              <w:marLeft w:val="0"/>
                              <w:marRight w:val="0"/>
                              <w:marTop w:val="0"/>
                              <w:marBottom w:val="0"/>
                              <w:divBdr>
                                <w:top w:val="none" w:sz="0" w:space="0" w:color="auto"/>
                                <w:left w:val="none" w:sz="0" w:space="0" w:color="auto"/>
                                <w:bottom w:val="none" w:sz="0" w:space="0" w:color="auto"/>
                                <w:right w:val="none" w:sz="0" w:space="0" w:color="auto"/>
                              </w:divBdr>
                              <w:divsChild>
                                <w:div w:id="670375532">
                                  <w:marLeft w:val="0"/>
                                  <w:marRight w:val="0"/>
                                  <w:marTop w:val="0"/>
                                  <w:marBottom w:val="0"/>
                                  <w:divBdr>
                                    <w:top w:val="none" w:sz="0" w:space="0" w:color="auto"/>
                                    <w:left w:val="none" w:sz="0" w:space="0" w:color="auto"/>
                                    <w:bottom w:val="none" w:sz="0" w:space="0" w:color="auto"/>
                                    <w:right w:val="none" w:sz="0" w:space="0" w:color="auto"/>
                                  </w:divBdr>
                                  <w:divsChild>
                                    <w:div w:id="674192545">
                                      <w:marLeft w:val="0"/>
                                      <w:marRight w:val="0"/>
                                      <w:marTop w:val="0"/>
                                      <w:marBottom w:val="0"/>
                                      <w:divBdr>
                                        <w:top w:val="none" w:sz="0" w:space="0" w:color="auto"/>
                                        <w:left w:val="none" w:sz="0" w:space="0" w:color="auto"/>
                                        <w:bottom w:val="none" w:sz="0" w:space="0" w:color="auto"/>
                                        <w:right w:val="none" w:sz="0" w:space="0" w:color="auto"/>
                                      </w:divBdr>
                                      <w:divsChild>
                                        <w:div w:id="1739865133">
                                          <w:marLeft w:val="0"/>
                                          <w:marRight w:val="0"/>
                                          <w:marTop w:val="0"/>
                                          <w:marBottom w:val="0"/>
                                          <w:divBdr>
                                            <w:top w:val="none" w:sz="0" w:space="0" w:color="auto"/>
                                            <w:left w:val="none" w:sz="0" w:space="0" w:color="auto"/>
                                            <w:bottom w:val="none" w:sz="0" w:space="0" w:color="auto"/>
                                            <w:right w:val="none" w:sz="0" w:space="0" w:color="auto"/>
                                          </w:divBdr>
                                          <w:divsChild>
                                            <w:div w:id="2822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273405">
                          <w:marLeft w:val="0"/>
                          <w:marRight w:val="0"/>
                          <w:marTop w:val="0"/>
                          <w:marBottom w:val="0"/>
                          <w:divBdr>
                            <w:top w:val="none" w:sz="0" w:space="0" w:color="auto"/>
                            <w:left w:val="none" w:sz="0" w:space="0" w:color="auto"/>
                            <w:bottom w:val="none" w:sz="0" w:space="0" w:color="auto"/>
                            <w:right w:val="none" w:sz="0" w:space="0" w:color="auto"/>
                          </w:divBdr>
                          <w:divsChild>
                            <w:div w:id="445857681">
                              <w:marLeft w:val="0"/>
                              <w:marRight w:val="0"/>
                              <w:marTop w:val="0"/>
                              <w:marBottom w:val="0"/>
                              <w:divBdr>
                                <w:top w:val="none" w:sz="0" w:space="0" w:color="auto"/>
                                <w:left w:val="none" w:sz="0" w:space="0" w:color="auto"/>
                                <w:bottom w:val="none" w:sz="0" w:space="0" w:color="auto"/>
                                <w:right w:val="none" w:sz="0" w:space="0" w:color="auto"/>
                              </w:divBdr>
                              <w:divsChild>
                                <w:div w:id="14355657">
                                  <w:marLeft w:val="0"/>
                                  <w:marRight w:val="0"/>
                                  <w:marTop w:val="0"/>
                                  <w:marBottom w:val="0"/>
                                  <w:divBdr>
                                    <w:top w:val="none" w:sz="0" w:space="0" w:color="auto"/>
                                    <w:left w:val="none" w:sz="0" w:space="0" w:color="auto"/>
                                    <w:bottom w:val="none" w:sz="0" w:space="0" w:color="auto"/>
                                    <w:right w:val="none" w:sz="0" w:space="0" w:color="auto"/>
                                  </w:divBdr>
                                  <w:divsChild>
                                    <w:div w:id="517543577">
                                      <w:marLeft w:val="0"/>
                                      <w:marRight w:val="0"/>
                                      <w:marTop w:val="0"/>
                                      <w:marBottom w:val="0"/>
                                      <w:divBdr>
                                        <w:top w:val="none" w:sz="0" w:space="0" w:color="auto"/>
                                        <w:left w:val="none" w:sz="0" w:space="0" w:color="auto"/>
                                        <w:bottom w:val="none" w:sz="0" w:space="0" w:color="auto"/>
                                        <w:right w:val="none" w:sz="0" w:space="0" w:color="auto"/>
                                      </w:divBdr>
                                      <w:divsChild>
                                        <w:div w:id="201790703">
                                          <w:marLeft w:val="0"/>
                                          <w:marRight w:val="0"/>
                                          <w:marTop w:val="0"/>
                                          <w:marBottom w:val="0"/>
                                          <w:divBdr>
                                            <w:top w:val="none" w:sz="0" w:space="0" w:color="auto"/>
                                            <w:left w:val="none" w:sz="0" w:space="0" w:color="auto"/>
                                            <w:bottom w:val="none" w:sz="0" w:space="0" w:color="auto"/>
                                            <w:right w:val="none" w:sz="0" w:space="0" w:color="auto"/>
                                          </w:divBdr>
                                          <w:divsChild>
                                            <w:div w:id="172513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21697">
                                  <w:marLeft w:val="0"/>
                                  <w:marRight w:val="0"/>
                                  <w:marTop w:val="0"/>
                                  <w:marBottom w:val="0"/>
                                  <w:divBdr>
                                    <w:top w:val="none" w:sz="0" w:space="0" w:color="auto"/>
                                    <w:left w:val="none" w:sz="0" w:space="0" w:color="auto"/>
                                    <w:bottom w:val="none" w:sz="0" w:space="0" w:color="auto"/>
                                    <w:right w:val="none" w:sz="0" w:space="0" w:color="auto"/>
                                  </w:divBdr>
                                  <w:divsChild>
                                    <w:div w:id="3942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95220">
                          <w:marLeft w:val="0"/>
                          <w:marRight w:val="0"/>
                          <w:marTop w:val="0"/>
                          <w:marBottom w:val="0"/>
                          <w:divBdr>
                            <w:top w:val="none" w:sz="0" w:space="0" w:color="auto"/>
                            <w:left w:val="none" w:sz="0" w:space="0" w:color="auto"/>
                            <w:bottom w:val="none" w:sz="0" w:space="0" w:color="auto"/>
                            <w:right w:val="none" w:sz="0" w:space="0" w:color="auto"/>
                          </w:divBdr>
                          <w:divsChild>
                            <w:div w:id="1327518248">
                              <w:marLeft w:val="0"/>
                              <w:marRight w:val="0"/>
                              <w:marTop w:val="0"/>
                              <w:marBottom w:val="0"/>
                              <w:divBdr>
                                <w:top w:val="none" w:sz="0" w:space="0" w:color="auto"/>
                                <w:left w:val="none" w:sz="0" w:space="0" w:color="auto"/>
                                <w:bottom w:val="none" w:sz="0" w:space="0" w:color="auto"/>
                                <w:right w:val="none" w:sz="0" w:space="0" w:color="auto"/>
                              </w:divBdr>
                              <w:divsChild>
                                <w:div w:id="1284309674">
                                  <w:marLeft w:val="0"/>
                                  <w:marRight w:val="0"/>
                                  <w:marTop w:val="0"/>
                                  <w:marBottom w:val="0"/>
                                  <w:divBdr>
                                    <w:top w:val="none" w:sz="0" w:space="0" w:color="auto"/>
                                    <w:left w:val="none" w:sz="0" w:space="0" w:color="auto"/>
                                    <w:bottom w:val="none" w:sz="0" w:space="0" w:color="auto"/>
                                    <w:right w:val="none" w:sz="0" w:space="0" w:color="auto"/>
                                  </w:divBdr>
                                  <w:divsChild>
                                    <w:div w:id="1419328098">
                                      <w:marLeft w:val="0"/>
                                      <w:marRight w:val="0"/>
                                      <w:marTop w:val="0"/>
                                      <w:marBottom w:val="0"/>
                                      <w:divBdr>
                                        <w:top w:val="none" w:sz="0" w:space="0" w:color="auto"/>
                                        <w:left w:val="none" w:sz="0" w:space="0" w:color="auto"/>
                                        <w:bottom w:val="none" w:sz="0" w:space="0" w:color="auto"/>
                                        <w:right w:val="none" w:sz="0" w:space="0" w:color="auto"/>
                                      </w:divBdr>
                                      <w:divsChild>
                                        <w:div w:id="780684736">
                                          <w:marLeft w:val="0"/>
                                          <w:marRight w:val="0"/>
                                          <w:marTop w:val="0"/>
                                          <w:marBottom w:val="0"/>
                                          <w:divBdr>
                                            <w:top w:val="none" w:sz="0" w:space="0" w:color="auto"/>
                                            <w:left w:val="none" w:sz="0" w:space="0" w:color="auto"/>
                                            <w:bottom w:val="none" w:sz="0" w:space="0" w:color="auto"/>
                                            <w:right w:val="none" w:sz="0" w:space="0" w:color="auto"/>
                                          </w:divBdr>
                                          <w:divsChild>
                                            <w:div w:id="371078719">
                                              <w:marLeft w:val="0"/>
                                              <w:marRight w:val="0"/>
                                              <w:marTop w:val="0"/>
                                              <w:marBottom w:val="0"/>
                                              <w:divBdr>
                                                <w:top w:val="none" w:sz="0" w:space="0" w:color="auto"/>
                                                <w:left w:val="none" w:sz="0" w:space="0" w:color="auto"/>
                                                <w:bottom w:val="none" w:sz="0" w:space="0" w:color="auto"/>
                                                <w:right w:val="none" w:sz="0" w:space="0" w:color="auto"/>
                                              </w:divBdr>
                                              <w:divsChild>
                                                <w:div w:id="18607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6926587">
      <w:bodyDiv w:val="1"/>
      <w:marLeft w:val="0"/>
      <w:marRight w:val="0"/>
      <w:marTop w:val="0"/>
      <w:marBottom w:val="0"/>
      <w:divBdr>
        <w:top w:val="none" w:sz="0" w:space="0" w:color="auto"/>
        <w:left w:val="none" w:sz="0" w:space="0" w:color="auto"/>
        <w:bottom w:val="none" w:sz="0" w:space="0" w:color="auto"/>
        <w:right w:val="none" w:sz="0" w:space="0" w:color="auto"/>
      </w:divBdr>
    </w:div>
    <w:div w:id="1722049862">
      <w:bodyDiv w:val="1"/>
      <w:marLeft w:val="0"/>
      <w:marRight w:val="0"/>
      <w:marTop w:val="0"/>
      <w:marBottom w:val="0"/>
      <w:divBdr>
        <w:top w:val="none" w:sz="0" w:space="0" w:color="auto"/>
        <w:left w:val="none" w:sz="0" w:space="0" w:color="auto"/>
        <w:bottom w:val="none" w:sz="0" w:space="0" w:color="auto"/>
        <w:right w:val="none" w:sz="0" w:space="0" w:color="auto"/>
      </w:divBdr>
    </w:div>
    <w:div w:id="1728413152">
      <w:bodyDiv w:val="1"/>
      <w:marLeft w:val="0"/>
      <w:marRight w:val="0"/>
      <w:marTop w:val="0"/>
      <w:marBottom w:val="0"/>
      <w:divBdr>
        <w:top w:val="none" w:sz="0" w:space="0" w:color="auto"/>
        <w:left w:val="none" w:sz="0" w:space="0" w:color="auto"/>
        <w:bottom w:val="none" w:sz="0" w:space="0" w:color="auto"/>
        <w:right w:val="none" w:sz="0" w:space="0" w:color="auto"/>
      </w:divBdr>
    </w:div>
    <w:div w:id="1735469242">
      <w:bodyDiv w:val="1"/>
      <w:marLeft w:val="0"/>
      <w:marRight w:val="0"/>
      <w:marTop w:val="0"/>
      <w:marBottom w:val="0"/>
      <w:divBdr>
        <w:top w:val="none" w:sz="0" w:space="0" w:color="auto"/>
        <w:left w:val="none" w:sz="0" w:space="0" w:color="auto"/>
        <w:bottom w:val="none" w:sz="0" w:space="0" w:color="auto"/>
        <w:right w:val="none" w:sz="0" w:space="0" w:color="auto"/>
      </w:divBdr>
    </w:div>
    <w:div w:id="1736974451">
      <w:bodyDiv w:val="1"/>
      <w:marLeft w:val="0"/>
      <w:marRight w:val="0"/>
      <w:marTop w:val="0"/>
      <w:marBottom w:val="0"/>
      <w:divBdr>
        <w:top w:val="none" w:sz="0" w:space="0" w:color="auto"/>
        <w:left w:val="none" w:sz="0" w:space="0" w:color="auto"/>
        <w:bottom w:val="none" w:sz="0" w:space="0" w:color="auto"/>
        <w:right w:val="none" w:sz="0" w:space="0" w:color="auto"/>
      </w:divBdr>
    </w:div>
    <w:div w:id="17510733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62021106">
      <w:bodyDiv w:val="1"/>
      <w:marLeft w:val="0"/>
      <w:marRight w:val="0"/>
      <w:marTop w:val="0"/>
      <w:marBottom w:val="0"/>
      <w:divBdr>
        <w:top w:val="none" w:sz="0" w:space="0" w:color="auto"/>
        <w:left w:val="none" w:sz="0" w:space="0" w:color="auto"/>
        <w:bottom w:val="none" w:sz="0" w:space="0" w:color="auto"/>
        <w:right w:val="none" w:sz="0" w:space="0" w:color="auto"/>
      </w:divBdr>
    </w:div>
    <w:div w:id="1776242144">
      <w:bodyDiv w:val="1"/>
      <w:marLeft w:val="0"/>
      <w:marRight w:val="0"/>
      <w:marTop w:val="0"/>
      <w:marBottom w:val="0"/>
      <w:divBdr>
        <w:top w:val="none" w:sz="0" w:space="0" w:color="auto"/>
        <w:left w:val="none" w:sz="0" w:space="0" w:color="auto"/>
        <w:bottom w:val="none" w:sz="0" w:space="0" w:color="auto"/>
        <w:right w:val="none" w:sz="0" w:space="0" w:color="auto"/>
      </w:divBdr>
    </w:div>
    <w:div w:id="1791362257">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00875818">
      <w:bodyDiv w:val="1"/>
      <w:marLeft w:val="0"/>
      <w:marRight w:val="0"/>
      <w:marTop w:val="0"/>
      <w:marBottom w:val="0"/>
      <w:divBdr>
        <w:top w:val="none" w:sz="0" w:space="0" w:color="auto"/>
        <w:left w:val="none" w:sz="0" w:space="0" w:color="auto"/>
        <w:bottom w:val="none" w:sz="0" w:space="0" w:color="auto"/>
        <w:right w:val="none" w:sz="0" w:space="0" w:color="auto"/>
      </w:divBdr>
    </w:div>
    <w:div w:id="1812672307">
      <w:bodyDiv w:val="1"/>
      <w:marLeft w:val="0"/>
      <w:marRight w:val="0"/>
      <w:marTop w:val="0"/>
      <w:marBottom w:val="0"/>
      <w:divBdr>
        <w:top w:val="none" w:sz="0" w:space="0" w:color="auto"/>
        <w:left w:val="none" w:sz="0" w:space="0" w:color="auto"/>
        <w:bottom w:val="none" w:sz="0" w:space="0" w:color="auto"/>
        <w:right w:val="none" w:sz="0" w:space="0" w:color="auto"/>
      </w:divBdr>
    </w:div>
    <w:div w:id="1816604207">
      <w:bodyDiv w:val="1"/>
      <w:marLeft w:val="0"/>
      <w:marRight w:val="0"/>
      <w:marTop w:val="0"/>
      <w:marBottom w:val="0"/>
      <w:divBdr>
        <w:top w:val="none" w:sz="0" w:space="0" w:color="auto"/>
        <w:left w:val="none" w:sz="0" w:space="0" w:color="auto"/>
        <w:bottom w:val="none" w:sz="0" w:space="0" w:color="auto"/>
        <w:right w:val="none" w:sz="0" w:space="0" w:color="auto"/>
      </w:divBdr>
    </w:div>
    <w:div w:id="1825930249">
      <w:bodyDiv w:val="1"/>
      <w:marLeft w:val="0"/>
      <w:marRight w:val="0"/>
      <w:marTop w:val="0"/>
      <w:marBottom w:val="0"/>
      <w:divBdr>
        <w:top w:val="none" w:sz="0" w:space="0" w:color="auto"/>
        <w:left w:val="none" w:sz="0" w:space="0" w:color="auto"/>
        <w:bottom w:val="none" w:sz="0" w:space="0" w:color="auto"/>
        <w:right w:val="none" w:sz="0" w:space="0" w:color="auto"/>
      </w:divBdr>
      <w:divsChild>
        <w:div w:id="1590501829">
          <w:marLeft w:val="0"/>
          <w:marRight w:val="0"/>
          <w:marTop w:val="0"/>
          <w:marBottom w:val="0"/>
          <w:divBdr>
            <w:top w:val="none" w:sz="0" w:space="0" w:color="auto"/>
            <w:left w:val="none" w:sz="0" w:space="0" w:color="auto"/>
            <w:bottom w:val="none" w:sz="0" w:space="0" w:color="auto"/>
            <w:right w:val="none" w:sz="0" w:space="0" w:color="auto"/>
          </w:divBdr>
          <w:divsChild>
            <w:div w:id="754088087">
              <w:marLeft w:val="0"/>
              <w:marRight w:val="0"/>
              <w:marTop w:val="0"/>
              <w:marBottom w:val="0"/>
              <w:divBdr>
                <w:top w:val="none" w:sz="0" w:space="0" w:color="auto"/>
                <w:left w:val="none" w:sz="0" w:space="0" w:color="auto"/>
                <w:bottom w:val="none" w:sz="0" w:space="0" w:color="auto"/>
                <w:right w:val="none" w:sz="0" w:space="0" w:color="auto"/>
              </w:divBdr>
              <w:divsChild>
                <w:div w:id="1757553057">
                  <w:marLeft w:val="0"/>
                  <w:marRight w:val="0"/>
                  <w:marTop w:val="0"/>
                  <w:marBottom w:val="0"/>
                  <w:divBdr>
                    <w:top w:val="none" w:sz="0" w:space="0" w:color="auto"/>
                    <w:left w:val="none" w:sz="0" w:space="0" w:color="auto"/>
                    <w:bottom w:val="none" w:sz="0" w:space="0" w:color="auto"/>
                    <w:right w:val="none" w:sz="0" w:space="0" w:color="auto"/>
                  </w:divBdr>
                  <w:divsChild>
                    <w:div w:id="1352799493">
                      <w:marLeft w:val="0"/>
                      <w:marRight w:val="0"/>
                      <w:marTop w:val="0"/>
                      <w:marBottom w:val="0"/>
                      <w:divBdr>
                        <w:top w:val="none" w:sz="0" w:space="0" w:color="auto"/>
                        <w:left w:val="none" w:sz="0" w:space="0" w:color="auto"/>
                        <w:bottom w:val="none" w:sz="0" w:space="0" w:color="auto"/>
                        <w:right w:val="none" w:sz="0" w:space="0" w:color="auto"/>
                      </w:divBdr>
                      <w:divsChild>
                        <w:div w:id="960383113">
                          <w:marLeft w:val="0"/>
                          <w:marRight w:val="0"/>
                          <w:marTop w:val="0"/>
                          <w:marBottom w:val="0"/>
                          <w:divBdr>
                            <w:top w:val="none" w:sz="0" w:space="0" w:color="auto"/>
                            <w:left w:val="none" w:sz="0" w:space="0" w:color="auto"/>
                            <w:bottom w:val="none" w:sz="0" w:space="0" w:color="auto"/>
                            <w:right w:val="none" w:sz="0" w:space="0" w:color="auto"/>
                          </w:divBdr>
                          <w:divsChild>
                            <w:div w:id="367612652">
                              <w:marLeft w:val="0"/>
                              <w:marRight w:val="0"/>
                              <w:marTop w:val="0"/>
                              <w:marBottom w:val="0"/>
                              <w:divBdr>
                                <w:top w:val="none" w:sz="0" w:space="0" w:color="auto"/>
                                <w:left w:val="none" w:sz="0" w:space="0" w:color="auto"/>
                                <w:bottom w:val="none" w:sz="0" w:space="0" w:color="auto"/>
                                <w:right w:val="none" w:sz="0" w:space="0" w:color="auto"/>
                              </w:divBdr>
                              <w:divsChild>
                                <w:div w:id="447088825">
                                  <w:marLeft w:val="0"/>
                                  <w:marRight w:val="0"/>
                                  <w:marTop w:val="0"/>
                                  <w:marBottom w:val="0"/>
                                  <w:divBdr>
                                    <w:top w:val="none" w:sz="0" w:space="0" w:color="auto"/>
                                    <w:left w:val="none" w:sz="0" w:space="0" w:color="auto"/>
                                    <w:bottom w:val="none" w:sz="0" w:space="0" w:color="auto"/>
                                    <w:right w:val="none" w:sz="0" w:space="0" w:color="auto"/>
                                  </w:divBdr>
                                  <w:divsChild>
                                    <w:div w:id="758719791">
                                      <w:marLeft w:val="0"/>
                                      <w:marRight w:val="0"/>
                                      <w:marTop w:val="0"/>
                                      <w:marBottom w:val="0"/>
                                      <w:divBdr>
                                        <w:top w:val="none" w:sz="0" w:space="0" w:color="auto"/>
                                        <w:left w:val="none" w:sz="0" w:space="0" w:color="auto"/>
                                        <w:bottom w:val="none" w:sz="0" w:space="0" w:color="auto"/>
                                        <w:right w:val="none" w:sz="0" w:space="0" w:color="auto"/>
                                      </w:divBdr>
                                      <w:divsChild>
                                        <w:div w:id="218370804">
                                          <w:marLeft w:val="0"/>
                                          <w:marRight w:val="0"/>
                                          <w:marTop w:val="0"/>
                                          <w:marBottom w:val="0"/>
                                          <w:divBdr>
                                            <w:top w:val="none" w:sz="0" w:space="0" w:color="auto"/>
                                            <w:left w:val="none" w:sz="0" w:space="0" w:color="auto"/>
                                            <w:bottom w:val="none" w:sz="0" w:space="0" w:color="auto"/>
                                            <w:right w:val="none" w:sz="0" w:space="0" w:color="auto"/>
                                          </w:divBdr>
                                          <w:divsChild>
                                            <w:div w:id="19522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32334">
                                  <w:marLeft w:val="0"/>
                                  <w:marRight w:val="0"/>
                                  <w:marTop w:val="0"/>
                                  <w:marBottom w:val="0"/>
                                  <w:divBdr>
                                    <w:top w:val="none" w:sz="0" w:space="0" w:color="auto"/>
                                    <w:left w:val="none" w:sz="0" w:space="0" w:color="auto"/>
                                    <w:bottom w:val="none" w:sz="0" w:space="0" w:color="auto"/>
                                    <w:right w:val="none" w:sz="0" w:space="0" w:color="auto"/>
                                  </w:divBdr>
                                  <w:divsChild>
                                    <w:div w:id="7109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344322">
          <w:marLeft w:val="0"/>
          <w:marRight w:val="0"/>
          <w:marTop w:val="0"/>
          <w:marBottom w:val="0"/>
          <w:divBdr>
            <w:top w:val="none" w:sz="0" w:space="0" w:color="auto"/>
            <w:left w:val="none" w:sz="0" w:space="0" w:color="auto"/>
            <w:bottom w:val="none" w:sz="0" w:space="0" w:color="auto"/>
            <w:right w:val="none" w:sz="0" w:space="0" w:color="auto"/>
          </w:divBdr>
          <w:divsChild>
            <w:div w:id="1368678372">
              <w:marLeft w:val="0"/>
              <w:marRight w:val="0"/>
              <w:marTop w:val="0"/>
              <w:marBottom w:val="0"/>
              <w:divBdr>
                <w:top w:val="none" w:sz="0" w:space="0" w:color="auto"/>
                <w:left w:val="none" w:sz="0" w:space="0" w:color="auto"/>
                <w:bottom w:val="none" w:sz="0" w:space="0" w:color="auto"/>
                <w:right w:val="none" w:sz="0" w:space="0" w:color="auto"/>
              </w:divBdr>
              <w:divsChild>
                <w:div w:id="2145391106">
                  <w:marLeft w:val="0"/>
                  <w:marRight w:val="0"/>
                  <w:marTop w:val="0"/>
                  <w:marBottom w:val="0"/>
                  <w:divBdr>
                    <w:top w:val="none" w:sz="0" w:space="0" w:color="auto"/>
                    <w:left w:val="none" w:sz="0" w:space="0" w:color="auto"/>
                    <w:bottom w:val="none" w:sz="0" w:space="0" w:color="auto"/>
                    <w:right w:val="none" w:sz="0" w:space="0" w:color="auto"/>
                  </w:divBdr>
                  <w:divsChild>
                    <w:div w:id="628897382">
                      <w:marLeft w:val="0"/>
                      <w:marRight w:val="0"/>
                      <w:marTop w:val="0"/>
                      <w:marBottom w:val="0"/>
                      <w:divBdr>
                        <w:top w:val="none" w:sz="0" w:space="0" w:color="auto"/>
                        <w:left w:val="none" w:sz="0" w:space="0" w:color="auto"/>
                        <w:bottom w:val="none" w:sz="0" w:space="0" w:color="auto"/>
                        <w:right w:val="none" w:sz="0" w:space="0" w:color="auto"/>
                      </w:divBdr>
                      <w:divsChild>
                        <w:div w:id="861674459">
                          <w:marLeft w:val="0"/>
                          <w:marRight w:val="0"/>
                          <w:marTop w:val="0"/>
                          <w:marBottom w:val="0"/>
                          <w:divBdr>
                            <w:top w:val="none" w:sz="0" w:space="0" w:color="auto"/>
                            <w:left w:val="none" w:sz="0" w:space="0" w:color="auto"/>
                            <w:bottom w:val="none" w:sz="0" w:space="0" w:color="auto"/>
                            <w:right w:val="none" w:sz="0" w:space="0" w:color="auto"/>
                          </w:divBdr>
                          <w:divsChild>
                            <w:div w:id="439761231">
                              <w:marLeft w:val="0"/>
                              <w:marRight w:val="0"/>
                              <w:marTop w:val="0"/>
                              <w:marBottom w:val="0"/>
                              <w:divBdr>
                                <w:top w:val="none" w:sz="0" w:space="0" w:color="auto"/>
                                <w:left w:val="none" w:sz="0" w:space="0" w:color="auto"/>
                                <w:bottom w:val="none" w:sz="0" w:space="0" w:color="auto"/>
                                <w:right w:val="none" w:sz="0" w:space="0" w:color="auto"/>
                              </w:divBdr>
                              <w:divsChild>
                                <w:div w:id="1565145733">
                                  <w:marLeft w:val="0"/>
                                  <w:marRight w:val="0"/>
                                  <w:marTop w:val="0"/>
                                  <w:marBottom w:val="0"/>
                                  <w:divBdr>
                                    <w:top w:val="none" w:sz="0" w:space="0" w:color="auto"/>
                                    <w:left w:val="none" w:sz="0" w:space="0" w:color="auto"/>
                                    <w:bottom w:val="none" w:sz="0" w:space="0" w:color="auto"/>
                                    <w:right w:val="none" w:sz="0" w:space="0" w:color="auto"/>
                                  </w:divBdr>
                                  <w:divsChild>
                                    <w:div w:id="2008898328">
                                      <w:marLeft w:val="0"/>
                                      <w:marRight w:val="0"/>
                                      <w:marTop w:val="0"/>
                                      <w:marBottom w:val="0"/>
                                      <w:divBdr>
                                        <w:top w:val="none" w:sz="0" w:space="0" w:color="auto"/>
                                        <w:left w:val="none" w:sz="0" w:space="0" w:color="auto"/>
                                        <w:bottom w:val="none" w:sz="0" w:space="0" w:color="auto"/>
                                        <w:right w:val="none" w:sz="0" w:space="0" w:color="auto"/>
                                      </w:divBdr>
                                      <w:divsChild>
                                        <w:div w:id="867568957">
                                          <w:marLeft w:val="0"/>
                                          <w:marRight w:val="0"/>
                                          <w:marTop w:val="0"/>
                                          <w:marBottom w:val="0"/>
                                          <w:divBdr>
                                            <w:top w:val="none" w:sz="0" w:space="0" w:color="auto"/>
                                            <w:left w:val="none" w:sz="0" w:space="0" w:color="auto"/>
                                            <w:bottom w:val="none" w:sz="0" w:space="0" w:color="auto"/>
                                            <w:right w:val="none" w:sz="0" w:space="0" w:color="auto"/>
                                          </w:divBdr>
                                          <w:divsChild>
                                            <w:div w:id="48963220">
                                              <w:marLeft w:val="0"/>
                                              <w:marRight w:val="0"/>
                                              <w:marTop w:val="0"/>
                                              <w:marBottom w:val="0"/>
                                              <w:divBdr>
                                                <w:top w:val="none" w:sz="0" w:space="0" w:color="auto"/>
                                                <w:left w:val="none" w:sz="0" w:space="0" w:color="auto"/>
                                                <w:bottom w:val="none" w:sz="0" w:space="0" w:color="auto"/>
                                                <w:right w:val="none" w:sz="0" w:space="0" w:color="auto"/>
                                              </w:divBdr>
                                              <w:divsChild>
                                                <w:div w:id="49781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7477022">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1910726025">
      <w:bodyDiv w:val="1"/>
      <w:marLeft w:val="0"/>
      <w:marRight w:val="0"/>
      <w:marTop w:val="0"/>
      <w:marBottom w:val="0"/>
      <w:divBdr>
        <w:top w:val="none" w:sz="0" w:space="0" w:color="auto"/>
        <w:left w:val="none" w:sz="0" w:space="0" w:color="auto"/>
        <w:bottom w:val="none" w:sz="0" w:space="0" w:color="auto"/>
        <w:right w:val="none" w:sz="0" w:space="0" w:color="auto"/>
      </w:divBdr>
    </w:div>
    <w:div w:id="1914777402">
      <w:bodyDiv w:val="1"/>
      <w:marLeft w:val="0"/>
      <w:marRight w:val="0"/>
      <w:marTop w:val="0"/>
      <w:marBottom w:val="0"/>
      <w:divBdr>
        <w:top w:val="none" w:sz="0" w:space="0" w:color="auto"/>
        <w:left w:val="none" w:sz="0" w:space="0" w:color="auto"/>
        <w:bottom w:val="none" w:sz="0" w:space="0" w:color="auto"/>
        <w:right w:val="none" w:sz="0" w:space="0" w:color="auto"/>
      </w:divBdr>
    </w:div>
    <w:div w:id="1917859922">
      <w:bodyDiv w:val="1"/>
      <w:marLeft w:val="0"/>
      <w:marRight w:val="0"/>
      <w:marTop w:val="0"/>
      <w:marBottom w:val="0"/>
      <w:divBdr>
        <w:top w:val="none" w:sz="0" w:space="0" w:color="auto"/>
        <w:left w:val="none" w:sz="0" w:space="0" w:color="auto"/>
        <w:bottom w:val="none" w:sz="0" w:space="0" w:color="auto"/>
        <w:right w:val="none" w:sz="0" w:space="0" w:color="auto"/>
      </w:divBdr>
    </w:div>
    <w:div w:id="1926760760">
      <w:bodyDiv w:val="1"/>
      <w:marLeft w:val="0"/>
      <w:marRight w:val="0"/>
      <w:marTop w:val="0"/>
      <w:marBottom w:val="0"/>
      <w:divBdr>
        <w:top w:val="none" w:sz="0" w:space="0" w:color="auto"/>
        <w:left w:val="none" w:sz="0" w:space="0" w:color="auto"/>
        <w:bottom w:val="none" w:sz="0" w:space="0" w:color="auto"/>
        <w:right w:val="none" w:sz="0" w:space="0" w:color="auto"/>
      </w:divBdr>
    </w:div>
    <w:div w:id="1930499551">
      <w:bodyDiv w:val="1"/>
      <w:marLeft w:val="0"/>
      <w:marRight w:val="0"/>
      <w:marTop w:val="0"/>
      <w:marBottom w:val="0"/>
      <w:divBdr>
        <w:top w:val="none" w:sz="0" w:space="0" w:color="auto"/>
        <w:left w:val="none" w:sz="0" w:space="0" w:color="auto"/>
        <w:bottom w:val="none" w:sz="0" w:space="0" w:color="auto"/>
        <w:right w:val="none" w:sz="0" w:space="0" w:color="auto"/>
      </w:divBdr>
    </w:div>
    <w:div w:id="1932279521">
      <w:bodyDiv w:val="1"/>
      <w:marLeft w:val="0"/>
      <w:marRight w:val="0"/>
      <w:marTop w:val="0"/>
      <w:marBottom w:val="0"/>
      <w:divBdr>
        <w:top w:val="none" w:sz="0" w:space="0" w:color="auto"/>
        <w:left w:val="none" w:sz="0" w:space="0" w:color="auto"/>
        <w:bottom w:val="none" w:sz="0" w:space="0" w:color="auto"/>
        <w:right w:val="none" w:sz="0" w:space="0" w:color="auto"/>
      </w:divBdr>
    </w:div>
    <w:div w:id="1949044305">
      <w:bodyDiv w:val="1"/>
      <w:marLeft w:val="0"/>
      <w:marRight w:val="0"/>
      <w:marTop w:val="0"/>
      <w:marBottom w:val="0"/>
      <w:divBdr>
        <w:top w:val="none" w:sz="0" w:space="0" w:color="auto"/>
        <w:left w:val="none" w:sz="0" w:space="0" w:color="auto"/>
        <w:bottom w:val="none" w:sz="0" w:space="0" w:color="auto"/>
        <w:right w:val="none" w:sz="0" w:space="0" w:color="auto"/>
      </w:divBdr>
    </w:div>
    <w:div w:id="1956324269">
      <w:bodyDiv w:val="1"/>
      <w:marLeft w:val="0"/>
      <w:marRight w:val="0"/>
      <w:marTop w:val="0"/>
      <w:marBottom w:val="0"/>
      <w:divBdr>
        <w:top w:val="none" w:sz="0" w:space="0" w:color="auto"/>
        <w:left w:val="none" w:sz="0" w:space="0" w:color="auto"/>
        <w:bottom w:val="none" w:sz="0" w:space="0" w:color="auto"/>
        <w:right w:val="none" w:sz="0" w:space="0" w:color="auto"/>
      </w:divBdr>
    </w:div>
    <w:div w:id="1968313494">
      <w:bodyDiv w:val="1"/>
      <w:marLeft w:val="0"/>
      <w:marRight w:val="0"/>
      <w:marTop w:val="0"/>
      <w:marBottom w:val="0"/>
      <w:divBdr>
        <w:top w:val="none" w:sz="0" w:space="0" w:color="auto"/>
        <w:left w:val="none" w:sz="0" w:space="0" w:color="auto"/>
        <w:bottom w:val="none" w:sz="0" w:space="0" w:color="auto"/>
        <w:right w:val="none" w:sz="0" w:space="0" w:color="auto"/>
      </w:divBdr>
    </w:div>
    <w:div w:id="1990090889">
      <w:bodyDiv w:val="1"/>
      <w:marLeft w:val="0"/>
      <w:marRight w:val="0"/>
      <w:marTop w:val="0"/>
      <w:marBottom w:val="0"/>
      <w:divBdr>
        <w:top w:val="none" w:sz="0" w:space="0" w:color="auto"/>
        <w:left w:val="none" w:sz="0" w:space="0" w:color="auto"/>
        <w:bottom w:val="none" w:sz="0" w:space="0" w:color="auto"/>
        <w:right w:val="none" w:sz="0" w:space="0" w:color="auto"/>
      </w:divBdr>
    </w:div>
    <w:div w:id="1993411408">
      <w:bodyDiv w:val="1"/>
      <w:marLeft w:val="0"/>
      <w:marRight w:val="0"/>
      <w:marTop w:val="0"/>
      <w:marBottom w:val="0"/>
      <w:divBdr>
        <w:top w:val="none" w:sz="0" w:space="0" w:color="auto"/>
        <w:left w:val="none" w:sz="0" w:space="0" w:color="auto"/>
        <w:bottom w:val="none" w:sz="0" w:space="0" w:color="auto"/>
        <w:right w:val="none" w:sz="0" w:space="0" w:color="auto"/>
      </w:divBdr>
    </w:div>
    <w:div w:id="1997220345">
      <w:bodyDiv w:val="1"/>
      <w:marLeft w:val="0"/>
      <w:marRight w:val="0"/>
      <w:marTop w:val="0"/>
      <w:marBottom w:val="0"/>
      <w:divBdr>
        <w:top w:val="none" w:sz="0" w:space="0" w:color="auto"/>
        <w:left w:val="none" w:sz="0" w:space="0" w:color="auto"/>
        <w:bottom w:val="none" w:sz="0" w:space="0" w:color="auto"/>
        <w:right w:val="none" w:sz="0" w:space="0" w:color="auto"/>
      </w:divBdr>
    </w:div>
    <w:div w:id="2000649974">
      <w:bodyDiv w:val="1"/>
      <w:marLeft w:val="0"/>
      <w:marRight w:val="0"/>
      <w:marTop w:val="0"/>
      <w:marBottom w:val="0"/>
      <w:divBdr>
        <w:top w:val="none" w:sz="0" w:space="0" w:color="auto"/>
        <w:left w:val="none" w:sz="0" w:space="0" w:color="auto"/>
        <w:bottom w:val="none" w:sz="0" w:space="0" w:color="auto"/>
        <w:right w:val="none" w:sz="0" w:space="0" w:color="auto"/>
      </w:divBdr>
    </w:div>
    <w:div w:id="2025597012">
      <w:bodyDiv w:val="1"/>
      <w:marLeft w:val="0"/>
      <w:marRight w:val="0"/>
      <w:marTop w:val="0"/>
      <w:marBottom w:val="0"/>
      <w:divBdr>
        <w:top w:val="none" w:sz="0" w:space="0" w:color="auto"/>
        <w:left w:val="none" w:sz="0" w:space="0" w:color="auto"/>
        <w:bottom w:val="none" w:sz="0" w:space="0" w:color="auto"/>
        <w:right w:val="none" w:sz="0" w:space="0" w:color="auto"/>
      </w:divBdr>
    </w:div>
    <w:div w:id="2031643281">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33917580">
      <w:bodyDiv w:val="1"/>
      <w:marLeft w:val="0"/>
      <w:marRight w:val="0"/>
      <w:marTop w:val="0"/>
      <w:marBottom w:val="0"/>
      <w:divBdr>
        <w:top w:val="none" w:sz="0" w:space="0" w:color="auto"/>
        <w:left w:val="none" w:sz="0" w:space="0" w:color="auto"/>
        <w:bottom w:val="none" w:sz="0" w:space="0" w:color="auto"/>
        <w:right w:val="none" w:sz="0" w:space="0" w:color="auto"/>
      </w:divBdr>
    </w:div>
    <w:div w:id="2052412199">
      <w:bodyDiv w:val="1"/>
      <w:marLeft w:val="0"/>
      <w:marRight w:val="0"/>
      <w:marTop w:val="0"/>
      <w:marBottom w:val="0"/>
      <w:divBdr>
        <w:top w:val="none" w:sz="0" w:space="0" w:color="auto"/>
        <w:left w:val="none" w:sz="0" w:space="0" w:color="auto"/>
        <w:bottom w:val="none" w:sz="0" w:space="0" w:color="auto"/>
        <w:right w:val="none" w:sz="0" w:space="0" w:color="auto"/>
      </w:divBdr>
    </w:div>
    <w:div w:id="2057313270">
      <w:bodyDiv w:val="1"/>
      <w:marLeft w:val="0"/>
      <w:marRight w:val="0"/>
      <w:marTop w:val="0"/>
      <w:marBottom w:val="0"/>
      <w:divBdr>
        <w:top w:val="none" w:sz="0" w:space="0" w:color="auto"/>
        <w:left w:val="none" w:sz="0" w:space="0" w:color="auto"/>
        <w:bottom w:val="none" w:sz="0" w:space="0" w:color="auto"/>
        <w:right w:val="none" w:sz="0" w:space="0" w:color="auto"/>
      </w:divBdr>
      <w:divsChild>
        <w:div w:id="363017347">
          <w:marLeft w:val="0"/>
          <w:marRight w:val="0"/>
          <w:marTop w:val="0"/>
          <w:marBottom w:val="0"/>
          <w:divBdr>
            <w:top w:val="none" w:sz="0" w:space="0" w:color="auto"/>
            <w:left w:val="none" w:sz="0" w:space="0" w:color="auto"/>
            <w:bottom w:val="none" w:sz="0" w:space="0" w:color="auto"/>
            <w:right w:val="none" w:sz="0" w:space="0" w:color="auto"/>
          </w:divBdr>
          <w:divsChild>
            <w:div w:id="907574788">
              <w:marLeft w:val="0"/>
              <w:marRight w:val="0"/>
              <w:marTop w:val="0"/>
              <w:marBottom w:val="0"/>
              <w:divBdr>
                <w:top w:val="none" w:sz="0" w:space="0" w:color="auto"/>
                <w:left w:val="none" w:sz="0" w:space="0" w:color="auto"/>
                <w:bottom w:val="none" w:sz="0" w:space="0" w:color="auto"/>
                <w:right w:val="none" w:sz="0" w:space="0" w:color="auto"/>
              </w:divBdr>
              <w:divsChild>
                <w:div w:id="319694622">
                  <w:marLeft w:val="0"/>
                  <w:marRight w:val="0"/>
                  <w:marTop w:val="0"/>
                  <w:marBottom w:val="0"/>
                  <w:divBdr>
                    <w:top w:val="none" w:sz="0" w:space="0" w:color="auto"/>
                    <w:left w:val="none" w:sz="0" w:space="0" w:color="auto"/>
                    <w:bottom w:val="none" w:sz="0" w:space="0" w:color="auto"/>
                    <w:right w:val="none" w:sz="0" w:space="0" w:color="auto"/>
                  </w:divBdr>
                  <w:divsChild>
                    <w:div w:id="1986622312">
                      <w:marLeft w:val="0"/>
                      <w:marRight w:val="0"/>
                      <w:marTop w:val="0"/>
                      <w:marBottom w:val="0"/>
                      <w:divBdr>
                        <w:top w:val="none" w:sz="0" w:space="0" w:color="auto"/>
                        <w:left w:val="none" w:sz="0" w:space="0" w:color="auto"/>
                        <w:bottom w:val="none" w:sz="0" w:space="0" w:color="auto"/>
                        <w:right w:val="none" w:sz="0" w:space="0" w:color="auto"/>
                      </w:divBdr>
                      <w:divsChild>
                        <w:div w:id="1205748387">
                          <w:marLeft w:val="0"/>
                          <w:marRight w:val="0"/>
                          <w:marTop w:val="0"/>
                          <w:marBottom w:val="0"/>
                          <w:divBdr>
                            <w:top w:val="none" w:sz="0" w:space="0" w:color="auto"/>
                            <w:left w:val="none" w:sz="0" w:space="0" w:color="auto"/>
                            <w:bottom w:val="none" w:sz="0" w:space="0" w:color="auto"/>
                            <w:right w:val="none" w:sz="0" w:space="0" w:color="auto"/>
                          </w:divBdr>
                          <w:divsChild>
                            <w:div w:id="489178319">
                              <w:marLeft w:val="0"/>
                              <w:marRight w:val="0"/>
                              <w:marTop w:val="0"/>
                              <w:marBottom w:val="0"/>
                              <w:divBdr>
                                <w:top w:val="none" w:sz="0" w:space="0" w:color="auto"/>
                                <w:left w:val="none" w:sz="0" w:space="0" w:color="auto"/>
                                <w:bottom w:val="none" w:sz="0" w:space="0" w:color="auto"/>
                                <w:right w:val="none" w:sz="0" w:space="0" w:color="auto"/>
                              </w:divBdr>
                              <w:divsChild>
                                <w:div w:id="1364551338">
                                  <w:marLeft w:val="0"/>
                                  <w:marRight w:val="0"/>
                                  <w:marTop w:val="0"/>
                                  <w:marBottom w:val="0"/>
                                  <w:divBdr>
                                    <w:top w:val="none" w:sz="0" w:space="0" w:color="auto"/>
                                    <w:left w:val="none" w:sz="0" w:space="0" w:color="auto"/>
                                    <w:bottom w:val="none" w:sz="0" w:space="0" w:color="auto"/>
                                    <w:right w:val="none" w:sz="0" w:space="0" w:color="auto"/>
                                  </w:divBdr>
                                  <w:divsChild>
                                    <w:div w:id="2128890347">
                                      <w:marLeft w:val="0"/>
                                      <w:marRight w:val="0"/>
                                      <w:marTop w:val="0"/>
                                      <w:marBottom w:val="0"/>
                                      <w:divBdr>
                                        <w:top w:val="none" w:sz="0" w:space="0" w:color="auto"/>
                                        <w:left w:val="none" w:sz="0" w:space="0" w:color="auto"/>
                                        <w:bottom w:val="none" w:sz="0" w:space="0" w:color="auto"/>
                                        <w:right w:val="none" w:sz="0" w:space="0" w:color="auto"/>
                                      </w:divBdr>
                                      <w:divsChild>
                                        <w:div w:id="944267597">
                                          <w:marLeft w:val="0"/>
                                          <w:marRight w:val="0"/>
                                          <w:marTop w:val="0"/>
                                          <w:marBottom w:val="0"/>
                                          <w:divBdr>
                                            <w:top w:val="none" w:sz="0" w:space="0" w:color="auto"/>
                                            <w:left w:val="none" w:sz="0" w:space="0" w:color="auto"/>
                                            <w:bottom w:val="none" w:sz="0" w:space="0" w:color="auto"/>
                                            <w:right w:val="none" w:sz="0" w:space="0" w:color="auto"/>
                                          </w:divBdr>
                                          <w:divsChild>
                                            <w:div w:id="167622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09190">
                                  <w:marLeft w:val="0"/>
                                  <w:marRight w:val="0"/>
                                  <w:marTop w:val="0"/>
                                  <w:marBottom w:val="0"/>
                                  <w:divBdr>
                                    <w:top w:val="none" w:sz="0" w:space="0" w:color="auto"/>
                                    <w:left w:val="none" w:sz="0" w:space="0" w:color="auto"/>
                                    <w:bottom w:val="none" w:sz="0" w:space="0" w:color="auto"/>
                                    <w:right w:val="none" w:sz="0" w:space="0" w:color="auto"/>
                                  </w:divBdr>
                                  <w:divsChild>
                                    <w:div w:id="10162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357984">
          <w:marLeft w:val="0"/>
          <w:marRight w:val="0"/>
          <w:marTop w:val="0"/>
          <w:marBottom w:val="0"/>
          <w:divBdr>
            <w:top w:val="none" w:sz="0" w:space="0" w:color="auto"/>
            <w:left w:val="none" w:sz="0" w:space="0" w:color="auto"/>
            <w:bottom w:val="none" w:sz="0" w:space="0" w:color="auto"/>
            <w:right w:val="none" w:sz="0" w:space="0" w:color="auto"/>
          </w:divBdr>
          <w:divsChild>
            <w:div w:id="103231995">
              <w:marLeft w:val="0"/>
              <w:marRight w:val="0"/>
              <w:marTop w:val="0"/>
              <w:marBottom w:val="0"/>
              <w:divBdr>
                <w:top w:val="none" w:sz="0" w:space="0" w:color="auto"/>
                <w:left w:val="none" w:sz="0" w:space="0" w:color="auto"/>
                <w:bottom w:val="none" w:sz="0" w:space="0" w:color="auto"/>
                <w:right w:val="none" w:sz="0" w:space="0" w:color="auto"/>
              </w:divBdr>
              <w:divsChild>
                <w:div w:id="1707170886">
                  <w:marLeft w:val="0"/>
                  <w:marRight w:val="0"/>
                  <w:marTop w:val="0"/>
                  <w:marBottom w:val="0"/>
                  <w:divBdr>
                    <w:top w:val="none" w:sz="0" w:space="0" w:color="auto"/>
                    <w:left w:val="none" w:sz="0" w:space="0" w:color="auto"/>
                    <w:bottom w:val="none" w:sz="0" w:space="0" w:color="auto"/>
                    <w:right w:val="none" w:sz="0" w:space="0" w:color="auto"/>
                  </w:divBdr>
                  <w:divsChild>
                    <w:div w:id="171997145">
                      <w:marLeft w:val="0"/>
                      <w:marRight w:val="0"/>
                      <w:marTop w:val="0"/>
                      <w:marBottom w:val="0"/>
                      <w:divBdr>
                        <w:top w:val="none" w:sz="0" w:space="0" w:color="auto"/>
                        <w:left w:val="none" w:sz="0" w:space="0" w:color="auto"/>
                        <w:bottom w:val="none" w:sz="0" w:space="0" w:color="auto"/>
                        <w:right w:val="none" w:sz="0" w:space="0" w:color="auto"/>
                      </w:divBdr>
                      <w:divsChild>
                        <w:div w:id="1849756860">
                          <w:marLeft w:val="0"/>
                          <w:marRight w:val="0"/>
                          <w:marTop w:val="0"/>
                          <w:marBottom w:val="0"/>
                          <w:divBdr>
                            <w:top w:val="none" w:sz="0" w:space="0" w:color="auto"/>
                            <w:left w:val="none" w:sz="0" w:space="0" w:color="auto"/>
                            <w:bottom w:val="none" w:sz="0" w:space="0" w:color="auto"/>
                            <w:right w:val="none" w:sz="0" w:space="0" w:color="auto"/>
                          </w:divBdr>
                          <w:divsChild>
                            <w:div w:id="1242373882">
                              <w:marLeft w:val="0"/>
                              <w:marRight w:val="0"/>
                              <w:marTop w:val="0"/>
                              <w:marBottom w:val="0"/>
                              <w:divBdr>
                                <w:top w:val="none" w:sz="0" w:space="0" w:color="auto"/>
                                <w:left w:val="none" w:sz="0" w:space="0" w:color="auto"/>
                                <w:bottom w:val="none" w:sz="0" w:space="0" w:color="auto"/>
                                <w:right w:val="none" w:sz="0" w:space="0" w:color="auto"/>
                              </w:divBdr>
                              <w:divsChild>
                                <w:div w:id="1215315611">
                                  <w:marLeft w:val="0"/>
                                  <w:marRight w:val="0"/>
                                  <w:marTop w:val="0"/>
                                  <w:marBottom w:val="0"/>
                                  <w:divBdr>
                                    <w:top w:val="none" w:sz="0" w:space="0" w:color="auto"/>
                                    <w:left w:val="none" w:sz="0" w:space="0" w:color="auto"/>
                                    <w:bottom w:val="none" w:sz="0" w:space="0" w:color="auto"/>
                                    <w:right w:val="none" w:sz="0" w:space="0" w:color="auto"/>
                                  </w:divBdr>
                                  <w:divsChild>
                                    <w:div w:id="92361242">
                                      <w:marLeft w:val="0"/>
                                      <w:marRight w:val="0"/>
                                      <w:marTop w:val="0"/>
                                      <w:marBottom w:val="0"/>
                                      <w:divBdr>
                                        <w:top w:val="none" w:sz="0" w:space="0" w:color="auto"/>
                                        <w:left w:val="none" w:sz="0" w:space="0" w:color="auto"/>
                                        <w:bottom w:val="none" w:sz="0" w:space="0" w:color="auto"/>
                                        <w:right w:val="none" w:sz="0" w:space="0" w:color="auto"/>
                                      </w:divBdr>
                                      <w:divsChild>
                                        <w:div w:id="260450257">
                                          <w:marLeft w:val="0"/>
                                          <w:marRight w:val="0"/>
                                          <w:marTop w:val="0"/>
                                          <w:marBottom w:val="0"/>
                                          <w:divBdr>
                                            <w:top w:val="none" w:sz="0" w:space="0" w:color="auto"/>
                                            <w:left w:val="none" w:sz="0" w:space="0" w:color="auto"/>
                                            <w:bottom w:val="none" w:sz="0" w:space="0" w:color="auto"/>
                                            <w:right w:val="none" w:sz="0" w:space="0" w:color="auto"/>
                                          </w:divBdr>
                                          <w:divsChild>
                                            <w:div w:id="636372714">
                                              <w:marLeft w:val="0"/>
                                              <w:marRight w:val="0"/>
                                              <w:marTop w:val="0"/>
                                              <w:marBottom w:val="0"/>
                                              <w:divBdr>
                                                <w:top w:val="none" w:sz="0" w:space="0" w:color="auto"/>
                                                <w:left w:val="none" w:sz="0" w:space="0" w:color="auto"/>
                                                <w:bottom w:val="none" w:sz="0" w:space="0" w:color="auto"/>
                                                <w:right w:val="none" w:sz="0" w:space="0" w:color="auto"/>
                                              </w:divBdr>
                                              <w:divsChild>
                                                <w:div w:id="6881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061397394">
      <w:bodyDiv w:val="1"/>
      <w:marLeft w:val="0"/>
      <w:marRight w:val="0"/>
      <w:marTop w:val="0"/>
      <w:marBottom w:val="0"/>
      <w:divBdr>
        <w:top w:val="none" w:sz="0" w:space="0" w:color="auto"/>
        <w:left w:val="none" w:sz="0" w:space="0" w:color="auto"/>
        <w:bottom w:val="none" w:sz="0" w:space="0" w:color="auto"/>
        <w:right w:val="none" w:sz="0" w:space="0" w:color="auto"/>
      </w:divBdr>
    </w:div>
    <w:div w:id="2072532208">
      <w:bodyDiv w:val="1"/>
      <w:marLeft w:val="0"/>
      <w:marRight w:val="0"/>
      <w:marTop w:val="0"/>
      <w:marBottom w:val="0"/>
      <w:divBdr>
        <w:top w:val="none" w:sz="0" w:space="0" w:color="auto"/>
        <w:left w:val="none" w:sz="0" w:space="0" w:color="auto"/>
        <w:bottom w:val="none" w:sz="0" w:space="0" w:color="auto"/>
        <w:right w:val="none" w:sz="0" w:space="0" w:color="auto"/>
      </w:divBdr>
    </w:div>
    <w:div w:id="2079160606">
      <w:bodyDiv w:val="1"/>
      <w:marLeft w:val="0"/>
      <w:marRight w:val="0"/>
      <w:marTop w:val="0"/>
      <w:marBottom w:val="0"/>
      <w:divBdr>
        <w:top w:val="none" w:sz="0" w:space="0" w:color="auto"/>
        <w:left w:val="none" w:sz="0" w:space="0" w:color="auto"/>
        <w:bottom w:val="none" w:sz="0" w:space="0" w:color="auto"/>
        <w:right w:val="none" w:sz="0" w:space="0" w:color="auto"/>
      </w:divBdr>
    </w:div>
    <w:div w:id="2099980395">
      <w:bodyDiv w:val="1"/>
      <w:marLeft w:val="0"/>
      <w:marRight w:val="0"/>
      <w:marTop w:val="0"/>
      <w:marBottom w:val="0"/>
      <w:divBdr>
        <w:top w:val="none" w:sz="0" w:space="0" w:color="auto"/>
        <w:left w:val="none" w:sz="0" w:space="0" w:color="auto"/>
        <w:bottom w:val="none" w:sz="0" w:space="0" w:color="auto"/>
        <w:right w:val="none" w:sz="0" w:space="0" w:color="auto"/>
      </w:divBdr>
    </w:div>
    <w:div w:id="2100171628">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 w:id="2117941837">
      <w:bodyDiv w:val="1"/>
      <w:marLeft w:val="0"/>
      <w:marRight w:val="0"/>
      <w:marTop w:val="0"/>
      <w:marBottom w:val="0"/>
      <w:divBdr>
        <w:top w:val="none" w:sz="0" w:space="0" w:color="auto"/>
        <w:left w:val="none" w:sz="0" w:space="0" w:color="auto"/>
        <w:bottom w:val="none" w:sz="0" w:space="0" w:color="auto"/>
        <w:right w:val="none" w:sz="0" w:space="0" w:color="auto"/>
      </w:divBdr>
    </w:div>
    <w:div w:id="2125423521">
      <w:bodyDiv w:val="1"/>
      <w:marLeft w:val="0"/>
      <w:marRight w:val="0"/>
      <w:marTop w:val="0"/>
      <w:marBottom w:val="0"/>
      <w:divBdr>
        <w:top w:val="none" w:sz="0" w:space="0" w:color="auto"/>
        <w:left w:val="none" w:sz="0" w:space="0" w:color="auto"/>
        <w:bottom w:val="none" w:sz="0" w:space="0" w:color="auto"/>
        <w:right w:val="none" w:sz="0" w:space="0" w:color="auto"/>
      </w:divBdr>
    </w:div>
    <w:div w:id="2131778302">
      <w:bodyDiv w:val="1"/>
      <w:marLeft w:val="0"/>
      <w:marRight w:val="0"/>
      <w:marTop w:val="0"/>
      <w:marBottom w:val="0"/>
      <w:divBdr>
        <w:top w:val="none" w:sz="0" w:space="0" w:color="auto"/>
        <w:left w:val="none" w:sz="0" w:space="0" w:color="auto"/>
        <w:bottom w:val="none" w:sz="0" w:space="0" w:color="auto"/>
        <w:right w:val="none" w:sz="0" w:space="0" w:color="auto"/>
      </w:divBdr>
    </w:div>
    <w:div w:id="2134011628">
      <w:bodyDiv w:val="1"/>
      <w:marLeft w:val="0"/>
      <w:marRight w:val="0"/>
      <w:marTop w:val="0"/>
      <w:marBottom w:val="0"/>
      <w:divBdr>
        <w:top w:val="none" w:sz="0" w:space="0" w:color="auto"/>
        <w:left w:val="none" w:sz="0" w:space="0" w:color="auto"/>
        <w:bottom w:val="none" w:sz="0" w:space="0" w:color="auto"/>
        <w:right w:val="none" w:sz="0" w:space="0" w:color="auto"/>
      </w:divBdr>
    </w:div>
    <w:div w:id="2139831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dvoramo\AppData\Local\Microsoft\Windows\INetCache\Content.Outlook\P22S49AH\JRC%20Border%20Security%20Lab%20initiative%20-%20The%20Joint%20Research%20Centre:%20EU%20Science%20Hub%20JRC%20Border%20Security%20Lab%20initiative"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consilium.europa.eu/doc/document/ST-10265-2025-INIT/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95266-321F-4D1C-B231-2AF3F1DE6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10439</Words>
  <Characters>59506</Characters>
  <Application>Microsoft Office Word</Application>
  <DocSecurity>0</DocSecurity>
  <Lines>495</Lines>
  <Paragraphs>139</Paragraphs>
  <ScaleCrop>false</ScaleCrop>
  <Manager/>
  <Company/>
  <LinksUpToDate>false</LinksUpToDate>
  <CharactersWithSpaces>69806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2025-12-03T14:13:00Z</dcterms:created>
  <dcterms:modified xsi:type="dcterms:W3CDTF">2026-01-20T19:27:00Z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2025-11-28T21:56:19Z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903c4502-f8ae-457c-8674-dc0f81124247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