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AFE65E" w14:textId="2952D6C0" w:rsidR="002F2AEF" w:rsidRPr="00CB4B7C" w:rsidRDefault="00BF3B37" w:rsidP="00BF3B37">
      <w:pPr>
        <w:pStyle w:val="Pagedecouverture"/>
        <w:rPr>
          <w:noProof/>
        </w:rPr>
      </w:pPr>
      <w:bookmarkStart w:id="0" w:name="LW_BM_COVERPAGE"/>
      <w:r>
        <w:rPr>
          <w:noProof/>
        </w:rPr>
        <w:pict w14:anchorId="28DAA89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5DD2BBC7-EF34-48E5-80FD-3F4D18E1620F" style="width:455.25pt;height:271.5pt">
            <v:imagedata r:id="rId8" o:title=""/>
          </v:shape>
        </w:pict>
      </w:r>
    </w:p>
    <w:bookmarkEnd w:id="0"/>
    <w:p w14:paraId="612591B1" w14:textId="77777777" w:rsidR="002F2AEF" w:rsidRPr="00CB4B7C" w:rsidRDefault="002F2AEF" w:rsidP="002F2AEF">
      <w:pPr>
        <w:rPr>
          <w:rFonts w:ascii="Times New Roman" w:hAnsi="Times New Roman" w:cs="Times New Roman"/>
          <w:noProof/>
          <w:lang w:val="en-GB"/>
        </w:rPr>
        <w:sectPr w:rsidR="002F2AEF" w:rsidRPr="00CB4B7C" w:rsidSect="00BF3B37">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79532E1B" w14:textId="77E6D3A6" w:rsidR="005A63C8" w:rsidRPr="00CB4B7C" w:rsidRDefault="4CC24D91" w:rsidP="009D5C5F">
      <w:pPr>
        <w:pStyle w:val="Style1"/>
        <w:spacing w:after="240"/>
        <w:ind w:left="1077" w:hanging="357"/>
        <w:rPr>
          <w:noProof/>
        </w:rPr>
      </w:pPr>
      <w:bookmarkStart w:id="1" w:name="_Hlk135904197"/>
      <w:bookmarkStart w:id="2" w:name="_GoBack"/>
      <w:bookmarkEnd w:id="2"/>
      <w:r>
        <w:rPr>
          <w:noProof/>
        </w:rPr>
        <w:lastRenderedPageBreak/>
        <w:t>Introducere</w:t>
      </w:r>
      <w:bookmarkEnd w:id="1"/>
    </w:p>
    <w:p w14:paraId="1D51A98C" w14:textId="5AA9310E" w:rsidR="00D0467D" w:rsidRPr="00CB4B7C" w:rsidRDefault="6B467031" w:rsidP="009D5C5F">
      <w:pPr>
        <w:pStyle w:val="Subject"/>
        <w:tabs>
          <w:tab w:val="left" w:pos="3948"/>
        </w:tabs>
        <w:spacing w:after="240"/>
        <w:ind w:left="0" w:firstLine="0"/>
        <w:contextualSpacing w:val="0"/>
        <w:jc w:val="both"/>
        <w:rPr>
          <w:rFonts w:eastAsiaTheme="minorEastAsia"/>
          <w:b w:val="0"/>
          <w:noProof/>
          <w:szCs w:val="24"/>
        </w:rPr>
      </w:pPr>
      <w:r>
        <w:rPr>
          <w:b w:val="0"/>
          <w:noProof/>
        </w:rPr>
        <w:t>Traficul de droguri reprezintă o amenințare semnificativă și persistentă la adresa securității Europei. Peste jumătate dintre cele mai amenințătoare rețele infracționale care își desfășoară activitatea în UE sunt implicate în traficul de droguri</w:t>
      </w:r>
      <w:r>
        <w:rPr>
          <w:rFonts w:eastAsiaTheme="minorEastAsia"/>
          <w:noProof/>
          <w:szCs w:val="24"/>
        </w:rPr>
        <w:footnoteReference w:id="2"/>
      </w:r>
      <w:r>
        <w:rPr>
          <w:b w:val="0"/>
          <w:noProof/>
        </w:rPr>
        <w:t>, exploatând poziția UE de piață majoră de consum, centru de tranzit și zonă de producție pentru droguri ilicite</w:t>
      </w:r>
      <w:r>
        <w:rPr>
          <w:noProof/>
        </w:rPr>
        <w:t>.</w:t>
      </w:r>
      <w:r>
        <w:rPr>
          <w:b w:val="0"/>
          <w:noProof/>
        </w:rPr>
        <w:t xml:space="preserve"> Criminalitatea organizată exploatează rutele comerciale mondiale și tehnologiile digitale, construind infrastructuri infracționale sofisticate care destabilizează societatea UE prin violență, corupție și infiltrare în economia legală.</w:t>
      </w:r>
    </w:p>
    <w:p w14:paraId="0783CA39" w14:textId="4A481FA1" w:rsidR="00866AF3" w:rsidRPr="00CB4B7C" w:rsidRDefault="00D0467D" w:rsidP="009D5C5F">
      <w:pPr>
        <w:pStyle w:val="Subject"/>
        <w:tabs>
          <w:tab w:val="left" w:pos="3948"/>
        </w:tabs>
        <w:spacing w:after="240"/>
        <w:ind w:left="0" w:firstLine="0"/>
        <w:contextualSpacing w:val="0"/>
        <w:jc w:val="both"/>
        <w:rPr>
          <w:b w:val="0"/>
          <w:noProof/>
        </w:rPr>
      </w:pPr>
      <w:r>
        <w:rPr>
          <w:b w:val="0"/>
          <w:noProof/>
        </w:rPr>
        <w:t xml:space="preserve">Cocaina și drogurile sintetice, împreună cu precursorii lor, sunt elemente deosebit de dinamice ale traficului de droguri, fiind caracterizate prin schimbarea rutelor și a metodelor. În pofida acțiunilor reușite de asigurare a respectării legii, producția de droguri sintetice, cum ar fi MDMA, amfetamina și metamfetamina, continuă la scară largă în UE. Rețelele infracționale se adaptează rapid, utilizând metode sofisticate de trafic de droguri, comunicații criptate, platforme darknet și criptomonede pentru a se sustrage detectării. </w:t>
      </w:r>
    </w:p>
    <w:p w14:paraId="52316113" w14:textId="4C2F078B" w:rsidR="006C0281" w:rsidRPr="00CB4B7C" w:rsidRDefault="00E16413" w:rsidP="009D5C5F">
      <w:pPr>
        <w:pStyle w:val="Subject"/>
        <w:tabs>
          <w:tab w:val="left" w:pos="3948"/>
        </w:tabs>
        <w:spacing w:after="240"/>
        <w:ind w:left="0" w:firstLine="0"/>
        <w:contextualSpacing w:val="0"/>
        <w:jc w:val="both"/>
        <w:rPr>
          <w:b w:val="0"/>
          <w:noProof/>
        </w:rPr>
      </w:pPr>
      <w:r>
        <w:rPr>
          <w:b w:val="0"/>
          <w:noProof/>
        </w:rPr>
        <w:t>Profiturile obținute din traficul de droguri sunt spălate și reinvestite, întărind poziția rețelelor infracționale în sectoarele juridice și fiind adesea sinonime cu creșterea violenței, în special în orașele portuare și pe piețele urbane. Odată cu diversificarea rutelor și a punctelor de intrare utilizate pentru traficul de droguri, se poate preconiza o deplasare suplimentară a violenței</w:t>
      </w:r>
      <w:r>
        <w:rPr>
          <w:rStyle w:val="FootnoteReference0"/>
          <w:b w:val="0"/>
          <w:noProof/>
        </w:rPr>
        <w:footnoteReference w:id="3"/>
      </w:r>
      <w:r>
        <w:rPr>
          <w:b w:val="0"/>
          <w:noProof/>
        </w:rPr>
        <w:t xml:space="preserve">. Aceste rețele recrutează din ce în ce mai mult tineri și persoane vulnerabile, exploatând dificultățile sociale și economice cu care se confruntă acestea pentru a se sustrage autorităților de aplicare a legii. Tinerii recrutați prin intermediul platformelor de comunicare socială sunt exploatați ca dealeri, curieri și persoane care asigură sprijinul operațional în cadrul operațiunilor de trafic, cum este cazul celor care recuperează droguri din containerele de transport. </w:t>
      </w:r>
    </w:p>
    <w:p w14:paraId="43C7B0C2" w14:textId="51F46FF4" w:rsidR="00E44D5A" w:rsidRPr="00CB4B7C" w:rsidRDefault="413C1ADD" w:rsidP="009D5C5F">
      <w:pPr>
        <w:pStyle w:val="Subject"/>
        <w:tabs>
          <w:tab w:val="left" w:pos="3948"/>
        </w:tabs>
        <w:spacing w:after="240"/>
        <w:ind w:left="0" w:firstLine="0"/>
        <w:contextualSpacing w:val="0"/>
        <w:jc w:val="both"/>
        <w:rPr>
          <w:b w:val="0"/>
          <w:noProof/>
        </w:rPr>
      </w:pPr>
      <w:r>
        <w:rPr>
          <w:b w:val="0"/>
          <w:noProof/>
        </w:rPr>
        <w:t xml:space="preserve">Pentru a aborda aceste provocări în continuă evoluție, Comisia prezintă un nou </w:t>
      </w:r>
      <w:r>
        <w:rPr>
          <w:noProof/>
        </w:rPr>
        <w:t>plan de acțiune al UE de combatere a traficului de droguri</w:t>
      </w:r>
      <w:r>
        <w:rPr>
          <w:b w:val="0"/>
          <w:noProof/>
        </w:rPr>
        <w:t>, consolidând strategia mai amplă a UE în materie de droguri</w:t>
      </w:r>
      <w:r>
        <w:rPr>
          <w:rStyle w:val="FootnoteReference0"/>
          <w:b w:val="0"/>
          <w:noProof/>
        </w:rPr>
        <w:footnoteReference w:id="4"/>
      </w:r>
      <w:r>
        <w:rPr>
          <w:b w:val="0"/>
          <w:noProof/>
        </w:rPr>
        <w:t>, care se bazează pe o politică echilibrată, fundamentată pe date concrete, care acordă prioritate drepturilor omului</w:t>
      </w:r>
      <w:r>
        <w:rPr>
          <w:noProof/>
        </w:rPr>
        <w:t>.</w:t>
      </w:r>
      <w:r>
        <w:rPr>
          <w:b w:val="0"/>
          <w:noProof/>
        </w:rPr>
        <w:t xml:space="preserve"> Deși planul urmărește în primul rând să sporească securitatea, acesta include, de asemenea, măsuri de creștere a pregătirii, de reducere a efectelor negative ale drogurilor și de consolidare a cooperării și a parteneriatelor internaționale.</w:t>
      </w:r>
      <w:r>
        <w:rPr>
          <w:noProof/>
        </w:rPr>
        <w:t xml:space="preserve"> </w:t>
      </w:r>
      <w:r>
        <w:rPr>
          <w:b w:val="0"/>
          <w:noProof/>
        </w:rPr>
        <w:t>Pe baza evaluării planului de acțiune pentru perioada 2021-2025 și a experiențelor pozitive legate de punerea în aplicare a foii de parcurs a UE pentru combaterea traficului de droguri și a criminalității organizate</w:t>
      </w:r>
      <w:r>
        <w:rPr>
          <w:rStyle w:val="FootnoteReference0"/>
          <w:b w:val="0"/>
          <w:bCs/>
          <w:noProof/>
        </w:rPr>
        <w:footnoteReference w:id="5"/>
      </w:r>
      <w:r>
        <w:rPr>
          <w:b w:val="0"/>
          <w:noProof/>
        </w:rPr>
        <w:t xml:space="preserve">, prezentul plan de acțiune se axează pe acțiuni prioritare specifice pentru eforturi imediate și pe termen mediu, detaliind 19 acțiuni specifice de neutralizare a operațiunilor de trafic de droguri. </w:t>
      </w:r>
    </w:p>
    <w:p w14:paraId="5448B8BF" w14:textId="59F3021C" w:rsidR="008A5CDA" w:rsidRPr="00CB4B7C" w:rsidRDefault="00D10754" w:rsidP="009D5C5F">
      <w:pPr>
        <w:pStyle w:val="Subject"/>
        <w:spacing w:after="240"/>
        <w:ind w:left="0" w:firstLine="0"/>
        <w:contextualSpacing w:val="0"/>
        <w:jc w:val="both"/>
        <w:rPr>
          <w:b w:val="0"/>
          <w:noProof/>
        </w:rPr>
      </w:pPr>
      <w:r>
        <w:rPr>
          <w:b w:val="0"/>
          <w:noProof/>
        </w:rPr>
        <w:t xml:space="preserve">Planul de acțiune se bazează pe </w:t>
      </w:r>
      <w:r>
        <w:rPr>
          <w:noProof/>
        </w:rPr>
        <w:t>strategia de securitate internă ProtectEU</w:t>
      </w:r>
      <w:r>
        <w:rPr>
          <w:rStyle w:val="FootnoteReference0"/>
          <w:b w:val="0"/>
          <w:noProof/>
        </w:rPr>
        <w:footnoteReference w:id="6"/>
      </w:r>
      <w:r>
        <w:rPr>
          <w:noProof/>
        </w:rPr>
        <w:t xml:space="preserve"> </w:t>
      </w:r>
      <w:r>
        <w:rPr>
          <w:b w:val="0"/>
          <w:noProof/>
        </w:rPr>
        <w:t>ca unul dintre principalele sale rezultate și promovează</w:t>
      </w:r>
      <w:r>
        <w:rPr>
          <w:noProof/>
        </w:rPr>
        <w:t xml:space="preserve"> </w:t>
      </w:r>
      <w:r>
        <w:rPr>
          <w:b w:val="0"/>
          <w:noProof/>
        </w:rPr>
        <w:t xml:space="preserve">sinergii prin intermediul unor platforme precum </w:t>
      </w:r>
      <w:r>
        <w:rPr>
          <w:noProof/>
        </w:rPr>
        <w:t>Platforma multidisciplinară europeană împotriva amenințărilor infracționale</w:t>
      </w:r>
      <w:r>
        <w:rPr>
          <w:b w:val="0"/>
          <w:noProof/>
        </w:rPr>
        <w:t xml:space="preserve"> (EMPACT) și parteneriatul public-privat </w:t>
      </w:r>
      <w:r>
        <w:rPr>
          <w:noProof/>
        </w:rPr>
        <w:t>Alianța portuară europeană</w:t>
      </w:r>
      <w:r>
        <w:rPr>
          <w:b w:val="0"/>
          <w:noProof/>
        </w:rPr>
        <w:t>, esențial pentru coordonarea măsurilor de securitate la punctele de tranzit strategice</w:t>
      </w:r>
      <w:r>
        <w:rPr>
          <w:noProof/>
        </w:rPr>
        <w:t>.</w:t>
      </w:r>
      <w:r>
        <w:rPr>
          <w:b w:val="0"/>
          <w:noProof/>
        </w:rPr>
        <w:t xml:space="preserve"> </w:t>
      </w:r>
    </w:p>
    <w:p w14:paraId="0D8D7D01" w14:textId="4D2AF028" w:rsidR="009D1632" w:rsidRPr="009D1632" w:rsidRDefault="0058603D" w:rsidP="009D1632">
      <w:pPr>
        <w:pStyle w:val="ContNum"/>
        <w:rPr>
          <w:noProof/>
          <w:color w:val="000000" w:themeColor="text1"/>
        </w:rPr>
      </w:pPr>
      <w:r>
        <w:rPr>
          <w:noProof/>
          <w:color w:val="000000" w:themeColor="text1"/>
        </w:rPr>
        <w:t xml:space="preserve">Cooperarea la nivel mondial este esențială pentru planul de acțiune, consolidând colaborarea cu SUA și implicând parteneri din America Latină, zona Caraibilor, Africa de Vest, Orientul Mijlociu, China și India. Țările candidate și potențial candidate, inclusiv țările Balcanii de Vest, continuă să fie aliați esențiali. În acest context, cooperarea va sprijini, de asemenea, integrarea treptată a țărilor candidate la UE în activitatea agențiilor JAI (Europol, CEPOL, EUDA), precum și în contextul EMPACT, consolidând lupta colectivă împotriva traficului de droguri. Aceste parteneriate sunt esențiale pentru dezmembrarea rețelelor de trafic și securizarea rutelor. </w:t>
      </w:r>
    </w:p>
    <w:p w14:paraId="55A03A33" w14:textId="0801519B" w:rsidR="009D0FEE" w:rsidRPr="00CB4B7C" w:rsidRDefault="009D0FEE" w:rsidP="00194028">
      <w:pPr>
        <w:pStyle w:val="ContNum"/>
        <w:rPr>
          <w:noProof/>
        </w:rPr>
      </w:pPr>
      <w:r>
        <w:rPr>
          <w:noProof/>
          <w:color w:val="000000" w:themeColor="text1"/>
        </w:rPr>
        <w:t xml:space="preserve">De asemenea, UE se angajează să își consolideze cooperarea în cadrul </w:t>
      </w:r>
      <w:r>
        <w:rPr>
          <w:b/>
          <w:noProof/>
          <w:color w:val="000000" w:themeColor="text1"/>
        </w:rPr>
        <w:t>Coaliției europene împotriva drogurilor</w:t>
      </w:r>
      <w:r>
        <w:rPr>
          <w:noProof/>
          <w:color w:val="000000" w:themeColor="text1"/>
        </w:rPr>
        <w:t>, lansată de comunitatea politică europeană în octombrie 2025, reunind eforturile împotriva amenințării generalizate reprezentate de traficul de droguri.</w:t>
      </w:r>
    </w:p>
    <w:p w14:paraId="4C028960" w14:textId="7F1927E3" w:rsidR="5F5AE16B" w:rsidRPr="00CB4B7C" w:rsidRDefault="5F5AE16B" w:rsidP="000A1D51">
      <w:pPr>
        <w:pStyle w:val="Subject"/>
        <w:spacing w:after="0"/>
        <w:ind w:left="0"/>
        <w:jc w:val="both"/>
        <w:rPr>
          <w:noProof/>
        </w:rPr>
      </w:pPr>
    </w:p>
    <w:p w14:paraId="0EBEC1FD" w14:textId="0E78EDC1" w:rsidR="00B279E0" w:rsidRPr="00CB4B7C" w:rsidRDefault="00AD7680" w:rsidP="009E491F">
      <w:pPr>
        <w:pStyle w:val="Style1"/>
        <w:spacing w:after="240"/>
        <w:ind w:left="1077" w:hanging="357"/>
        <w:rPr>
          <w:noProof/>
        </w:rPr>
      </w:pPr>
      <w:r>
        <w:rPr>
          <w:noProof/>
        </w:rPr>
        <w:t>Acțiuni prioritare</w:t>
      </w:r>
    </w:p>
    <w:p w14:paraId="19C3CE93" w14:textId="3EA56C80" w:rsidR="006E0B5B" w:rsidRPr="00CB4B7C" w:rsidRDefault="00A80BC2" w:rsidP="009D5C5F">
      <w:pPr>
        <w:pStyle w:val="paragraph"/>
        <w:tabs>
          <w:tab w:val="left" w:pos="3948"/>
        </w:tabs>
        <w:spacing w:before="0" w:beforeAutospacing="0" w:after="240" w:afterAutospacing="0"/>
        <w:jc w:val="both"/>
        <w:rPr>
          <w:noProof/>
        </w:rPr>
      </w:pPr>
      <w:bookmarkStart w:id="3" w:name="_Hlk145239934"/>
      <w:r>
        <w:rPr>
          <w:noProof/>
        </w:rPr>
        <w:t>Pe măsură ce rețelele infracționale evoluează, iar comerțul cu droguri se diversifică, este esențială o acțiune coordonată. Punerea în aplicare eficace se bazează pe o cooperare puternică la nivelul UE, pe o colaborare strânsă cu partenerii internaționali și pe un angajament politic susținut.</w:t>
      </w:r>
    </w:p>
    <w:p w14:paraId="3EF2CD66" w14:textId="3D4F92A0" w:rsidR="00DA3452" w:rsidRPr="00CB4B7C" w:rsidRDefault="00557495" w:rsidP="009D5C5F">
      <w:pPr>
        <w:pStyle w:val="Subject"/>
        <w:tabs>
          <w:tab w:val="left" w:pos="3948"/>
        </w:tabs>
        <w:spacing w:after="0"/>
        <w:ind w:left="0" w:firstLine="0"/>
        <w:contextualSpacing w:val="0"/>
        <w:jc w:val="both"/>
        <w:rPr>
          <w:b w:val="0"/>
          <w:noProof/>
        </w:rPr>
      </w:pPr>
      <w:r>
        <w:rPr>
          <w:b w:val="0"/>
          <w:noProof/>
        </w:rPr>
        <w:t xml:space="preserve">Prezentul plan de acțiune se axează pe șase domenii prioritare de acțiune sporită, fiecare cu măsuri specifice de abordare a provocărilor relevante pentru traficul de droguri. Legăturile acestora cu pilonii Strategiei UE în materie de droguri sunt indicate mai jos. </w:t>
      </w:r>
    </w:p>
    <w:p w14:paraId="677DF92A" w14:textId="77777777" w:rsidR="00DA3452" w:rsidRPr="00CB4B7C" w:rsidRDefault="00DA3452" w:rsidP="0091740C">
      <w:pPr>
        <w:pStyle w:val="Subject"/>
        <w:tabs>
          <w:tab w:val="left" w:pos="3948"/>
        </w:tabs>
        <w:spacing w:after="0"/>
        <w:ind w:left="0" w:firstLine="0"/>
        <w:jc w:val="both"/>
        <w:rPr>
          <w:b w:val="0"/>
          <w:noProof/>
          <w:szCs w:val="24"/>
          <w:lang w:eastAsia="en-IE"/>
        </w:rPr>
      </w:pPr>
    </w:p>
    <w:tbl>
      <w:tblPr>
        <w:tblStyle w:val="TableGrid"/>
        <w:tblW w:w="0" w:type="auto"/>
        <w:tblInd w:w="534" w:type="dxa"/>
        <w:tblLook w:val="04A0" w:firstRow="1" w:lastRow="0" w:firstColumn="1" w:lastColumn="0" w:noHBand="0" w:noVBand="1"/>
      </w:tblPr>
      <w:tblGrid>
        <w:gridCol w:w="8363"/>
      </w:tblGrid>
      <w:tr w:rsidR="00A33633" w:rsidRPr="00CB4B7C" w14:paraId="3E65B7D5" w14:textId="77777777" w:rsidTr="00A33633">
        <w:trPr>
          <w:trHeight w:val="1946"/>
        </w:trPr>
        <w:tc>
          <w:tcPr>
            <w:tcW w:w="8363" w:type="dxa"/>
          </w:tcPr>
          <w:p w14:paraId="3DF555A0" w14:textId="0C6823C8" w:rsidR="00A33633" w:rsidRPr="00CB4B7C" w:rsidRDefault="00A33633">
            <w:pPr>
              <w:pStyle w:val="Subject"/>
              <w:numPr>
                <w:ilvl w:val="0"/>
                <w:numId w:val="19"/>
              </w:numPr>
              <w:tabs>
                <w:tab w:val="left" w:pos="3948"/>
              </w:tabs>
              <w:spacing w:after="120"/>
              <w:ind w:left="714" w:hanging="357"/>
              <w:jc w:val="both"/>
              <w:rPr>
                <w:b w:val="0"/>
                <w:noProof/>
              </w:rPr>
            </w:pPr>
            <w:r>
              <w:rPr>
                <w:b w:val="0"/>
                <w:noProof/>
              </w:rPr>
              <w:t>Adaptarea la evoluția rutelor și a modurilor de operare (pilonul 3: consolidarea securității)</w:t>
            </w:r>
          </w:p>
          <w:p w14:paraId="07E2A84E" w14:textId="3A35EDF0" w:rsidR="00A33633" w:rsidRPr="00CB4B7C" w:rsidRDefault="00A33633">
            <w:pPr>
              <w:pStyle w:val="Subject"/>
              <w:numPr>
                <w:ilvl w:val="0"/>
                <w:numId w:val="19"/>
              </w:numPr>
              <w:tabs>
                <w:tab w:val="left" w:pos="3948"/>
              </w:tabs>
              <w:spacing w:after="120"/>
              <w:ind w:left="714" w:hanging="357"/>
              <w:jc w:val="both"/>
              <w:rPr>
                <w:b w:val="0"/>
                <w:noProof/>
              </w:rPr>
            </w:pPr>
            <w:r>
              <w:rPr>
                <w:b w:val="0"/>
                <w:noProof/>
              </w:rPr>
              <w:t>Prevenirea criminalității și reducerea violenței legate de droguri (pilonul 4: abordarea efectelor negative)</w:t>
            </w:r>
          </w:p>
          <w:p w14:paraId="1D5F6F43" w14:textId="30B8DA38" w:rsidR="00A33633" w:rsidRPr="00CB4B7C" w:rsidRDefault="00A33633">
            <w:pPr>
              <w:pStyle w:val="Subject"/>
              <w:numPr>
                <w:ilvl w:val="0"/>
                <w:numId w:val="19"/>
              </w:numPr>
              <w:tabs>
                <w:tab w:val="left" w:pos="3948"/>
              </w:tabs>
              <w:spacing w:after="0"/>
              <w:jc w:val="both"/>
              <w:rPr>
                <w:b w:val="0"/>
                <w:noProof/>
              </w:rPr>
            </w:pPr>
            <w:r>
              <w:rPr>
                <w:b w:val="0"/>
                <w:noProof/>
              </w:rPr>
              <w:t>Consolidarea cooperării dintre autoritățile de aplicare a legii, sistemul judiciar și autoritățile vamale (pilonul 3: consolidarea securității)</w:t>
            </w:r>
          </w:p>
          <w:p w14:paraId="713C1648" w14:textId="1E2FD6A9" w:rsidR="00A33633" w:rsidRPr="00CB4B7C" w:rsidRDefault="00A33633">
            <w:pPr>
              <w:pStyle w:val="Subject"/>
              <w:numPr>
                <w:ilvl w:val="0"/>
                <w:numId w:val="19"/>
              </w:numPr>
              <w:tabs>
                <w:tab w:val="left" w:pos="3948"/>
              </w:tabs>
              <w:spacing w:after="0"/>
              <w:jc w:val="both"/>
              <w:rPr>
                <w:b w:val="0"/>
                <w:noProof/>
              </w:rPr>
            </w:pPr>
            <w:r>
              <w:rPr>
                <w:b w:val="0"/>
                <w:noProof/>
              </w:rPr>
              <w:t>Abordarea provocării reprezentate de drogurile sintetice și de precursorii de droguri (pilonul 3: consolidarea securității și pilonul 4: abordarea efectelor negative)</w:t>
            </w:r>
          </w:p>
          <w:p w14:paraId="292FCA29" w14:textId="022BC036" w:rsidR="00A33633" w:rsidRPr="00CB4B7C" w:rsidRDefault="00A33633">
            <w:pPr>
              <w:pStyle w:val="Subject"/>
              <w:numPr>
                <w:ilvl w:val="0"/>
                <w:numId w:val="19"/>
              </w:numPr>
              <w:tabs>
                <w:tab w:val="left" w:pos="3948"/>
              </w:tabs>
              <w:spacing w:after="0"/>
              <w:jc w:val="both"/>
              <w:rPr>
                <w:b w:val="0"/>
                <w:noProof/>
              </w:rPr>
            </w:pPr>
            <w:r>
              <w:rPr>
                <w:b w:val="0"/>
                <w:noProof/>
              </w:rPr>
              <w:t>Promovarea cercetării, a dezvoltării și a inovării (pilonul 1: îmbunătățirea pregătirii)</w:t>
            </w:r>
          </w:p>
          <w:p w14:paraId="66008E73" w14:textId="5DF7EB45" w:rsidR="00A33633" w:rsidRPr="00CB4B7C" w:rsidRDefault="00A33633">
            <w:pPr>
              <w:pStyle w:val="Subject"/>
              <w:numPr>
                <w:ilvl w:val="0"/>
                <w:numId w:val="19"/>
              </w:numPr>
              <w:tabs>
                <w:tab w:val="left" w:pos="3948"/>
              </w:tabs>
              <w:spacing w:after="0"/>
              <w:jc w:val="both"/>
              <w:rPr>
                <w:b w:val="0"/>
                <w:noProof/>
              </w:rPr>
            </w:pPr>
            <w:r>
              <w:rPr>
                <w:b w:val="0"/>
                <w:noProof/>
              </w:rPr>
              <w:t>Consolidarea cooperării și a parteneriatelor internaționale</w:t>
            </w:r>
            <w:r>
              <w:rPr>
                <w:b w:val="0"/>
                <w:noProof/>
                <w:sz w:val="22"/>
              </w:rPr>
              <w:t xml:space="preserve"> </w:t>
            </w:r>
            <w:r>
              <w:rPr>
                <w:b w:val="0"/>
                <w:noProof/>
              </w:rPr>
              <w:t>(pilonul 5: construirea unor parteneriate puternice)</w:t>
            </w:r>
          </w:p>
        </w:tc>
      </w:tr>
    </w:tbl>
    <w:p w14:paraId="7E8AAB2D" w14:textId="7F901CE5" w:rsidR="00201ED6" w:rsidRPr="00CB4B7C" w:rsidRDefault="00201ED6" w:rsidP="00201ED6">
      <w:pPr>
        <w:pStyle w:val="Style2"/>
        <w:rPr>
          <w:noProof/>
        </w:rPr>
      </w:pPr>
      <w:r>
        <w:rPr>
          <w:noProof/>
        </w:rPr>
        <w:t>Adaptarea la evoluția rutelor și a modurilor de operare</w:t>
      </w:r>
    </w:p>
    <w:p w14:paraId="30ADAFF6" w14:textId="77777777" w:rsidR="00F7356E" w:rsidRPr="00CB4B7C" w:rsidRDefault="00F7356E" w:rsidP="00F7356E">
      <w:pPr>
        <w:pStyle w:val="Style2"/>
        <w:numPr>
          <w:ilvl w:val="0"/>
          <w:numId w:val="0"/>
        </w:numPr>
        <w:ind w:left="1134"/>
        <w:rPr>
          <w:noProof/>
        </w:rPr>
      </w:pPr>
    </w:p>
    <w:p w14:paraId="6C8D6A5E" w14:textId="5F85D60C" w:rsidR="00F7356E" w:rsidRPr="00CB4B7C" w:rsidRDefault="0C2D0CFE" w:rsidP="190431D8">
      <w:pPr>
        <w:pBdr>
          <w:top w:val="single" w:sz="4" w:space="0" w:color="auto"/>
          <w:left w:val="single" w:sz="4" w:space="4" w:color="auto"/>
          <w:bottom w:val="single" w:sz="4" w:space="1" w:color="auto"/>
          <w:right w:val="single" w:sz="4" w:space="4" w:color="auto"/>
        </w:pBdr>
        <w:jc w:val="both"/>
        <w:rPr>
          <w:rFonts w:ascii="Times New Roman" w:hAnsi="Times New Roman" w:cs="Times New Roman"/>
          <w:i/>
          <w:iCs/>
          <w:noProof/>
          <w:sz w:val="24"/>
          <w:szCs w:val="24"/>
        </w:rPr>
      </w:pPr>
      <w:bookmarkStart w:id="4" w:name="_Hlk207112332"/>
      <w:r>
        <w:rPr>
          <w:rFonts w:ascii="Times New Roman" w:hAnsi="Times New Roman"/>
          <w:i/>
          <w:noProof/>
          <w:sz w:val="24"/>
        </w:rPr>
        <w:t xml:space="preserve">Pentru a răspunde în mod eficace amenințărilor în continuă evoluție, UE și statele membre ar trebui să vizeze eliminarea lacunelor din transportul maritim, terestru și aerian, ținând seama de rutele actuale de trafic și anticipând ajustările efectuate de rețelele infracționale. Acest efort trebuie să se concentreze pe crearea de bariere împotriva infiltrării criminalității în fiecare etapă. </w:t>
      </w:r>
      <w:bookmarkEnd w:id="4"/>
    </w:p>
    <w:p w14:paraId="111A58CC" w14:textId="2C718518" w:rsidR="00C518D3" w:rsidRPr="00CB4B7C" w:rsidRDefault="4AC24791" w:rsidP="00C518D3">
      <w:pPr>
        <w:pStyle w:val="Subject"/>
        <w:tabs>
          <w:tab w:val="left" w:pos="3948"/>
        </w:tabs>
        <w:ind w:left="0" w:firstLine="0"/>
        <w:jc w:val="both"/>
        <w:rPr>
          <w:b w:val="0"/>
          <w:noProof/>
        </w:rPr>
      </w:pPr>
      <w:r>
        <w:rPr>
          <w:b w:val="0"/>
          <w:noProof/>
        </w:rPr>
        <w:t xml:space="preserve">Rețelele infracționale introduc ilegal droguri în UE în principal pe mare, utilizând o rețea largă de rute de transport maritim comercial, precum și nave necomerciale. La sosire, transporturile de droguri circulă, de regulă, prin logistica internă a UE, pe cale rutieră și feroviară. Rutele aeriene sunt utilizate pentru transporturi cu valoare ridicată și cu volum redus, cum ar fi drogurile de sinteză sau precursorii. Rețelele se adaptează rapid la măsuri de securitate mai stricte și schimbă în mod dinamic rutele de trafic către porturi și trasee mai puțin monitorizate, pentru a evita detectarea. Aceste schimbări sunt ghidate de infiltrarea criminalității organizate în societate, de corupția lucrătorilor, de (amenințarea cu) violența și de exploatarea ulterioară a vulnerabilităților logistice – criminalitatea organizată nu depune niciun efort pentru a-și proteja câștigurile ilicite. </w:t>
      </w:r>
    </w:p>
    <w:p w14:paraId="0170769B" w14:textId="77777777" w:rsidR="00CA667A" w:rsidRPr="00CB4B7C" w:rsidRDefault="00CA667A" w:rsidP="00A10B70">
      <w:pPr>
        <w:pStyle w:val="Subject"/>
        <w:tabs>
          <w:tab w:val="left" w:pos="3948"/>
        </w:tabs>
        <w:spacing w:after="0" w:line="252" w:lineRule="auto"/>
        <w:ind w:left="0" w:firstLine="0"/>
        <w:jc w:val="both"/>
        <w:rPr>
          <w:b w:val="0"/>
          <w:noProof/>
        </w:rPr>
      </w:pPr>
    </w:p>
    <w:p w14:paraId="773805AE" w14:textId="1A0BB16E" w:rsidR="00284885" w:rsidRPr="00CB4B7C" w:rsidRDefault="00284885" w:rsidP="00284885">
      <w:pPr>
        <w:spacing w:after="0" w:line="252" w:lineRule="auto"/>
        <w:jc w:val="both"/>
        <w:rPr>
          <w:rFonts w:ascii="Times New Roman" w:hAnsi="Times New Roman" w:cs="Times New Roman"/>
          <w:b/>
          <w:bCs/>
          <w:i/>
          <w:iCs/>
          <w:noProof/>
          <w:sz w:val="24"/>
          <w:szCs w:val="24"/>
        </w:rPr>
      </w:pPr>
      <w:r>
        <w:rPr>
          <w:rFonts w:ascii="Times New Roman" w:hAnsi="Times New Roman"/>
          <w:b/>
          <w:i/>
          <w:noProof/>
          <w:sz w:val="24"/>
        </w:rPr>
        <w:t xml:space="preserve">Acțiunea 1: </w:t>
      </w:r>
      <w:bookmarkStart w:id="5" w:name="_Hlk210382700"/>
      <w:r>
        <w:rPr>
          <w:rFonts w:ascii="Times New Roman" w:hAnsi="Times New Roman"/>
          <w:b/>
          <w:i/>
          <w:noProof/>
          <w:sz w:val="24"/>
        </w:rPr>
        <w:t>o mai bună utilizare a informațiilor de călătorie pentru a detecta, a cartografia și a neutraliza traficul de droguri</w:t>
      </w:r>
    </w:p>
    <w:p w14:paraId="3B3EE098" w14:textId="77777777" w:rsidR="00284885" w:rsidRPr="004A7C78" w:rsidRDefault="00284885" w:rsidP="00284885">
      <w:pPr>
        <w:spacing w:after="0" w:line="252" w:lineRule="auto"/>
        <w:jc w:val="both"/>
        <w:rPr>
          <w:rFonts w:ascii="Times New Roman" w:hAnsi="Times New Roman" w:cs="Times New Roman"/>
          <w:b/>
          <w:bCs/>
          <w:i/>
          <w:iCs/>
          <w:noProof/>
          <w:sz w:val="24"/>
          <w:szCs w:val="24"/>
          <w:lang w:val="fr-BE"/>
        </w:rPr>
      </w:pPr>
    </w:p>
    <w:p w14:paraId="763B05DA" w14:textId="77777777" w:rsidR="00284885" w:rsidRPr="00CB4B7C" w:rsidRDefault="00284885" w:rsidP="00284885">
      <w:pPr>
        <w:spacing w:after="0" w:line="252" w:lineRule="auto"/>
        <w:jc w:val="both"/>
        <w:rPr>
          <w:rFonts w:ascii="Times New Roman" w:hAnsi="Times New Roman" w:cs="Times New Roman"/>
          <w:i/>
          <w:noProof/>
          <w:sz w:val="24"/>
        </w:rPr>
      </w:pPr>
      <w:r>
        <w:rPr>
          <w:rFonts w:ascii="Times New Roman" w:hAnsi="Times New Roman"/>
          <w:i/>
          <w:noProof/>
          <w:sz w:val="24"/>
        </w:rPr>
        <w:t>Actori principali: statele membre, Europol, Comisia</w:t>
      </w:r>
    </w:p>
    <w:p w14:paraId="515C65D8" w14:textId="77777777" w:rsidR="00284885" w:rsidRPr="004A7C78" w:rsidRDefault="00284885" w:rsidP="00284885">
      <w:pPr>
        <w:spacing w:after="0" w:line="252" w:lineRule="auto"/>
        <w:jc w:val="both"/>
        <w:rPr>
          <w:rFonts w:ascii="Times New Roman" w:hAnsi="Times New Roman" w:cs="Times New Roman"/>
          <w:b/>
          <w:bCs/>
          <w:i/>
          <w:iCs/>
          <w:noProof/>
          <w:sz w:val="24"/>
          <w:szCs w:val="24"/>
          <w:lang w:val="fr-BE"/>
        </w:rPr>
      </w:pPr>
    </w:p>
    <w:p w14:paraId="49DA78A5" w14:textId="2D0E2007" w:rsidR="009C6565" w:rsidRPr="00CB4B7C" w:rsidRDefault="009C6565" w:rsidP="009D5C5F">
      <w:pPr>
        <w:pStyle w:val="Subject"/>
        <w:tabs>
          <w:tab w:val="left" w:pos="3948"/>
        </w:tabs>
        <w:spacing w:after="240"/>
        <w:ind w:left="0" w:firstLine="0"/>
        <w:contextualSpacing w:val="0"/>
        <w:jc w:val="both"/>
        <w:rPr>
          <w:b w:val="0"/>
          <w:bCs/>
          <w:noProof/>
        </w:rPr>
      </w:pPr>
      <w:r>
        <w:rPr>
          <w:b w:val="0"/>
          <w:noProof/>
        </w:rPr>
        <w:t xml:space="preserve">Grupurile infracționale organizate exploatează aviația comercială și privată, precum și transportul terestru și maritim pentru traficul de stupefiante dincolo de frontierele externe și de-a lungul rutelor din interiorul spațiului Schengen. Este esențial ca agențiile de aplicare a legii, inclusiv autoritățile vamale, să dispună de instrumentele necesare pentru a detecta și a intercepta fluxurile ilicite. Instrumentele de informații privind călătoriile, inclusiv datele de zbor, registrele cu numele pasagerilor (PNR), recunoașterea automată a numerelor de înmatriculare (ANPR) și informațiile prealabile privind transportul de marfă (ACI) colectate de autoritățile vamale pe toate mijloacele de transport comerciale sunt instrumente importante care contribuie la detectarea, cartografierea și neutralizarea traficului de droguri. </w:t>
      </w:r>
    </w:p>
    <w:p w14:paraId="7A0FE056" w14:textId="29CD1443" w:rsidR="00284885" w:rsidRPr="00CB4B7C" w:rsidRDefault="00284885" w:rsidP="009D5C5F">
      <w:pPr>
        <w:pStyle w:val="Subject"/>
        <w:tabs>
          <w:tab w:val="left" w:pos="3948"/>
        </w:tabs>
        <w:spacing w:after="240"/>
        <w:ind w:left="0" w:firstLine="0"/>
        <w:contextualSpacing w:val="0"/>
        <w:jc w:val="both"/>
        <w:rPr>
          <w:b w:val="0"/>
          <w:noProof/>
        </w:rPr>
      </w:pPr>
      <w:r>
        <w:rPr>
          <w:noProof/>
        </w:rPr>
        <w:t>Combaterea traficului realizat prin intermediul aviației generale:</w:t>
      </w:r>
      <w:r>
        <w:rPr>
          <w:b w:val="0"/>
          <w:noProof/>
        </w:rPr>
        <w:t xml:space="preserve"> Rețelele infracționale continuă să evolueze și să își diversifice metodele de trafic. Utilizarea aeronavelor de dimensiuni mici pentru zboruri neregulate a devenit un vector din ce în ce mai atractiv pentru traficul transfrontalier de stupefiante. Aceste aeronave, care operează adesea în afara controlului intensiv aplicat aviației comerciale, oferă traficanților un mijloc discret, flexibil și cu risc scăzut de a transporta droguri cu valoare ridicată între Europa, Africa de Nord, America Latină și Balcanii de Vest. </w:t>
      </w:r>
    </w:p>
    <w:p w14:paraId="7BAF0B55" w14:textId="00A869CE" w:rsidR="00284885" w:rsidRPr="00CB4B7C" w:rsidRDefault="00284885" w:rsidP="009D5C5F">
      <w:pPr>
        <w:pStyle w:val="Subject"/>
        <w:tabs>
          <w:tab w:val="left" w:pos="3948"/>
        </w:tabs>
        <w:spacing w:after="240"/>
        <w:ind w:left="0" w:firstLine="0"/>
        <w:contextualSpacing w:val="0"/>
        <w:jc w:val="both"/>
        <w:rPr>
          <w:b w:val="0"/>
          <w:noProof/>
        </w:rPr>
      </w:pPr>
      <w:r>
        <w:rPr>
          <w:b w:val="0"/>
          <w:noProof/>
        </w:rPr>
        <w:t xml:space="preserve">Pentru a aborda această amenințare emergentă, autoritățile relevante ale statelor membre ar trebui să primească informații privind zborurile neregulate de la EUROCONTROL începând din 2026. Prin combinarea planului de zbor de rutină și a datelor de urmărire cu indicatori de risc, cum ar fi schimbările de rută de ultim moment, utilizarea aerodromurilor izolate sau proprietatea opacă asupra aeronavelor, statele membre ar putea îmbunătăți identificarea viitoare a zborurilor care ar trebui examinate mai atent. Întrucât EUROCONTROL nu primește planuri de zbor pentru aeronavele care zboară în conformitate cu regulile de zbor la vedere, statele membre ar trebui să evalueze posibilitățile de a colecta, partaja și analiza în mod sistematic informații esențiale privind zborurile și pentru aceste zboruri. Pentru a sprijini instituirea unor astfel de sisteme, EUROCONTROL a convenit să ofere orientări cu privire la procese și structuri de date. Europol ar putea oferi sprijin pentru elaborarea indicatorilor de risc și ar putea facilita analiza și schimbul de informații între statele membre, în conformitate cu mandatul său. </w:t>
      </w:r>
    </w:p>
    <w:bookmarkEnd w:id="5"/>
    <w:p w14:paraId="4EA50A61" w14:textId="10FA3B39" w:rsidR="00284885" w:rsidRPr="00CB4B7C" w:rsidRDefault="00284885" w:rsidP="009D5C5F">
      <w:pPr>
        <w:pStyle w:val="Subject"/>
        <w:tabs>
          <w:tab w:val="left" w:pos="3948"/>
        </w:tabs>
        <w:spacing w:after="240"/>
        <w:ind w:left="0" w:firstLine="0"/>
        <w:contextualSpacing w:val="0"/>
        <w:jc w:val="both"/>
        <w:rPr>
          <w:b w:val="0"/>
          <w:noProof/>
        </w:rPr>
      </w:pPr>
      <w:r>
        <w:rPr>
          <w:noProof/>
        </w:rPr>
        <w:t xml:space="preserve">Analiza datelor PNR: </w:t>
      </w:r>
      <w:r>
        <w:rPr>
          <w:b w:val="0"/>
          <w:noProof/>
        </w:rPr>
        <w:t>Rețelele de trafic de droguri devin din ce în ce mai sofisticate în ceea ce privește utilizarea rutelor de călătorie internaționale și a intermediarilor. Actualul cadru privind informațiile de călătorie – informațiile prealabile referitoare la pasageri (API) și datele PNR – este indispensabil pentru eforturile autorităților de aplicare a legii de a combate criminalitatea organizată gravă și traficul de droguri. Pentru a valorifica pe deplin potențialul datelor PNR în temeiul Directivei UE privind PNR</w:t>
      </w:r>
      <w:r>
        <w:rPr>
          <w:b w:val="0"/>
          <w:noProof/>
          <w:vertAlign w:val="superscript"/>
        </w:rPr>
        <w:footnoteReference w:id="7"/>
      </w:r>
      <w:r>
        <w:rPr>
          <w:b w:val="0"/>
          <w:noProof/>
        </w:rPr>
        <w:t>, unitățile de informații despre pasageri ale statelor membre ar trebui să identifice, să analizeze și să partajeze în mod sistematic modelele de călătorie și profilurile de risc relevante pentru traficul de droguri, lucrând în strânsă coordonare cu Europol și cu sprijinul acestuia.</w:t>
      </w:r>
    </w:p>
    <w:p w14:paraId="10DCD6C3" w14:textId="2629B777" w:rsidR="00284885" w:rsidRPr="00CB4B7C" w:rsidRDefault="00284885" w:rsidP="009D5C5F">
      <w:pPr>
        <w:pStyle w:val="Subject"/>
        <w:tabs>
          <w:tab w:val="left" w:pos="3948"/>
        </w:tabs>
        <w:spacing w:after="240"/>
        <w:ind w:left="0" w:firstLine="0"/>
        <w:contextualSpacing w:val="0"/>
        <w:jc w:val="both"/>
        <w:rPr>
          <w:b w:val="0"/>
          <w:noProof/>
        </w:rPr>
      </w:pPr>
      <w:r>
        <w:rPr>
          <w:b w:val="0"/>
          <w:noProof/>
        </w:rPr>
        <w:t xml:space="preserve">În plus, împreună cu statele membre și cu industria transporturilor, Comisia explorează opțiuni de consolidare a actualului cadru API/PNR, care se limitează în prezent la transportul aerian comercial. Acestea includ posibila introducere a unor măsuri pentru alte moduri de transport, cum ar fi transportul maritim, transportul terestru și zborurile private. Se vor lua în considerare rezultatele studiilor de fezabilitate privind transportul maritim și terestru, publicate în 2025, precum și studiul în curs privind zborurile private, care urmează să fie finalizat în 2026. </w:t>
      </w:r>
    </w:p>
    <w:p w14:paraId="255E8459" w14:textId="658DA97E" w:rsidR="00284885" w:rsidRPr="00CB4B7C" w:rsidRDefault="00284885" w:rsidP="009D5C5F">
      <w:pPr>
        <w:pStyle w:val="Subject"/>
        <w:tabs>
          <w:tab w:val="left" w:pos="3948"/>
        </w:tabs>
        <w:spacing w:after="240"/>
        <w:ind w:left="0" w:firstLine="0"/>
        <w:contextualSpacing w:val="0"/>
        <w:jc w:val="both"/>
        <w:rPr>
          <w:b w:val="0"/>
          <w:noProof/>
        </w:rPr>
      </w:pPr>
      <w:r>
        <w:rPr>
          <w:noProof/>
        </w:rPr>
        <w:t xml:space="preserve">Utilizarea eficace a sistemelor ANPR: </w:t>
      </w:r>
      <w:r>
        <w:rPr>
          <w:b w:val="0"/>
          <w:noProof/>
        </w:rPr>
        <w:t>Atunci când drogurile ilicite ajung pe teritoriul european, rețelele de trafic de droguri se bazează pe transportul rutier în întreaga UE, utilizând autoturisme, camionete și camioane pentru a transporta rapid substanțele ilicite, adesea fără ca acestea să fie detectate. Pentru a contracara acest lucru, statele membre și UE vor evalua și vor pune în aplicare măsurile necesare pentru a se asigura că sistemele ANPR utilizate de autoritățile de aplicare a legii și de autoritățile vamale consultă în mod eficace Sistemul de informații Schengen. Acest lucru ar permite o mai bună detectare a vehiculelor marcate pentru legăturile lor cu traficul de droguri și cu alte infracțiuni transfrontaliere grave.</w:t>
      </w:r>
    </w:p>
    <w:p w14:paraId="6DFF5B95" w14:textId="19B5DBCC" w:rsidR="00284885" w:rsidRPr="00CB4B7C" w:rsidRDefault="4C013E5E" w:rsidP="009D5C5F">
      <w:pPr>
        <w:pStyle w:val="Subject"/>
        <w:tabs>
          <w:tab w:val="left" w:pos="3948"/>
        </w:tabs>
        <w:spacing w:after="240"/>
        <w:ind w:left="0" w:firstLine="0"/>
        <w:contextualSpacing w:val="0"/>
        <w:jc w:val="both"/>
        <w:rPr>
          <w:b w:val="0"/>
          <w:noProof/>
        </w:rPr>
      </w:pPr>
      <w:r>
        <w:rPr>
          <w:b w:val="0"/>
          <w:noProof/>
        </w:rPr>
        <w:t>În plus, după caz, datele de localizare relevante ale ANPR ar trebui să fie puse la dispoziție pentru anchetele ulterioare. Acest lucru ar sprijini eforturile de urmărire a rutelor infracționale și de neutralizare mai eficace a rețelelor de trafic, punând accentul pe principalele noduri de transport, cum ar fi porturile, terminalele pentru feriboturi, depourile feroviare și drumurile principale pe care sunt adesea transportate drogurile. În sfârșit, UE ar trebui să promoveze standarde tehnice armonizate și interoperabilitatea sistemelor pentru a asigura schimbul neîntrerupt de informații între statele membre și agențiile UE, cum ar fi Europol. Împreună, aceste măsuri ar spori în mod semnificativ capacitatea UE de a detecta și de a destructura operațiunile de trafic pe drumurile sale.</w:t>
      </w:r>
    </w:p>
    <w:p w14:paraId="33EF8204" w14:textId="3FD3162B" w:rsidR="00CC5EC6" w:rsidRPr="00CB4B7C" w:rsidRDefault="00CC5EC6" w:rsidP="009D5C5F">
      <w:pPr>
        <w:pStyle w:val="Subject"/>
        <w:tabs>
          <w:tab w:val="left" w:pos="3948"/>
        </w:tabs>
        <w:spacing w:after="240"/>
        <w:ind w:left="0" w:firstLine="0"/>
        <w:contextualSpacing w:val="0"/>
        <w:jc w:val="both"/>
        <w:rPr>
          <w:b w:val="0"/>
          <w:noProof/>
        </w:rPr>
      </w:pPr>
      <w:r>
        <w:rPr>
          <w:noProof/>
        </w:rPr>
        <w:t>Informațiile prealabile privind transportul de marfă</w:t>
      </w:r>
      <w:r>
        <w:rPr>
          <w:b w:val="0"/>
          <w:noProof/>
        </w:rPr>
        <w:t xml:space="preserve"> colectate de autoritățile vamale prin intermediul sistemului de control al importurilor 2 (ICS2) oferă informații detaliate cu privire la toate bunurile care intră în UE înainte de sosirea acestora la frontierele externe</w:t>
      </w:r>
      <w:r>
        <w:rPr>
          <w:noProof/>
        </w:rPr>
        <w:t>.</w:t>
      </w:r>
      <w:r>
        <w:rPr>
          <w:b w:val="0"/>
          <w:noProof/>
        </w:rPr>
        <w:t xml:space="preserve"> Autoritățile vamale efectuează o analiză comună a riscurilor în timp real, fiind vizate transporturile riscante. În timp ce, pentru transportul aerian și maritim, acesta este deja operațional, ICS2 va fi implementat pe deplin cu integrarea transportului rutier și feroviar până la jumătatea anului 2026.</w:t>
      </w:r>
    </w:p>
    <w:p w14:paraId="1EFEF987" w14:textId="28344626" w:rsidR="00244D29" w:rsidRPr="00CB4B7C" w:rsidRDefault="27B4BCAB" w:rsidP="3329D114">
      <w:pPr>
        <w:spacing w:after="0" w:line="252" w:lineRule="auto"/>
        <w:jc w:val="both"/>
        <w:rPr>
          <w:rFonts w:ascii="Times New Roman" w:hAnsi="Times New Roman" w:cs="Times New Roman"/>
          <w:b/>
          <w:bCs/>
          <w:i/>
          <w:iCs/>
          <w:noProof/>
          <w:sz w:val="24"/>
          <w:szCs w:val="24"/>
        </w:rPr>
      </w:pPr>
      <w:r>
        <w:rPr>
          <w:rFonts w:ascii="Times New Roman" w:hAnsi="Times New Roman"/>
          <w:b/>
          <w:i/>
          <w:noProof/>
          <w:sz w:val="24"/>
        </w:rPr>
        <w:t>Acțiunea 2: extinderea operațiunilor MAOC-N</w:t>
      </w:r>
    </w:p>
    <w:p w14:paraId="36B764A5" w14:textId="77777777" w:rsidR="00244D29" w:rsidRPr="004A7C78" w:rsidRDefault="00244D29" w:rsidP="00244D29">
      <w:pPr>
        <w:spacing w:after="0" w:line="252" w:lineRule="auto"/>
        <w:jc w:val="both"/>
        <w:rPr>
          <w:rFonts w:ascii="Times New Roman" w:hAnsi="Times New Roman" w:cs="Times New Roman"/>
          <w:b/>
          <w:i/>
          <w:noProof/>
          <w:sz w:val="24"/>
          <w:lang w:val="fr-BE"/>
        </w:rPr>
      </w:pPr>
    </w:p>
    <w:p w14:paraId="439528CA" w14:textId="39187C7A" w:rsidR="00300144" w:rsidRPr="00CB4B7C" w:rsidRDefault="00244D29" w:rsidP="12B5F675">
      <w:pPr>
        <w:spacing w:after="0" w:line="252" w:lineRule="auto"/>
        <w:jc w:val="both"/>
        <w:rPr>
          <w:rFonts w:ascii="Times New Roman" w:hAnsi="Times New Roman" w:cs="Times New Roman"/>
          <w:i/>
          <w:iCs/>
          <w:noProof/>
          <w:sz w:val="24"/>
          <w:szCs w:val="24"/>
        </w:rPr>
      </w:pPr>
      <w:r>
        <w:rPr>
          <w:rFonts w:ascii="Times New Roman" w:hAnsi="Times New Roman"/>
          <w:i/>
          <w:noProof/>
          <w:sz w:val="24"/>
        </w:rPr>
        <w:t xml:space="preserve">Actori principali: MAOC-N, Comisia, Europol, statele membre </w:t>
      </w:r>
    </w:p>
    <w:p w14:paraId="54299430" w14:textId="77777777" w:rsidR="00E47F08" w:rsidRPr="00CB4B7C" w:rsidRDefault="00E47F08" w:rsidP="00E47F08">
      <w:pPr>
        <w:pStyle w:val="Subject"/>
        <w:tabs>
          <w:tab w:val="left" w:pos="3948"/>
        </w:tabs>
        <w:ind w:left="0" w:firstLine="0"/>
        <w:jc w:val="both"/>
        <w:rPr>
          <w:b w:val="0"/>
          <w:noProof/>
        </w:rPr>
      </w:pPr>
    </w:p>
    <w:p w14:paraId="72B00DD0" w14:textId="56A49F59" w:rsidR="00DE0B4B" w:rsidRPr="00CB4B7C" w:rsidRDefault="003B440C" w:rsidP="009D5C5F">
      <w:pPr>
        <w:pStyle w:val="Subject"/>
        <w:tabs>
          <w:tab w:val="left" w:pos="3948"/>
        </w:tabs>
        <w:spacing w:after="240"/>
        <w:ind w:left="0" w:firstLine="0"/>
        <w:contextualSpacing w:val="0"/>
        <w:jc w:val="both"/>
        <w:rPr>
          <w:b w:val="0"/>
          <w:noProof/>
        </w:rPr>
      </w:pPr>
      <w:r>
        <w:rPr>
          <w:b w:val="0"/>
          <w:noProof/>
          <w:color w:val="000000" w:themeColor="text1"/>
        </w:rPr>
        <w:t>Centrul de Analiză și Operațiuni Maritime – Stupefiante</w:t>
      </w:r>
      <w:r>
        <w:rPr>
          <w:noProof/>
          <w:color w:val="000000" w:themeColor="text1"/>
        </w:rPr>
        <w:t xml:space="preserve"> </w:t>
      </w:r>
      <w:r>
        <w:rPr>
          <w:b w:val="0"/>
          <w:noProof/>
          <w:color w:val="000000" w:themeColor="text1"/>
        </w:rPr>
        <w:t>(</w:t>
      </w:r>
      <w:r>
        <w:rPr>
          <w:b w:val="0"/>
          <w:noProof/>
        </w:rPr>
        <w:t>MAOC-N) este de mult timp un centru multinațional de coordonare unic și foarte eficace, dedicat combaterii traficului maritim de droguri</w:t>
      </w:r>
      <w:r>
        <w:rPr>
          <w:noProof/>
        </w:rPr>
        <w:t>.</w:t>
      </w:r>
      <w:r>
        <w:rPr>
          <w:b w:val="0"/>
          <w:noProof/>
        </w:rPr>
        <w:t xml:space="preserve"> Acesta reunește ofițeri de legătură din cadrul autorităților de aplicare a legii, vamale, militare și maritime din statele membre ale UE participante</w:t>
      </w:r>
      <w:r>
        <w:rPr>
          <w:rStyle w:val="FootnoteReference0"/>
          <w:b w:val="0"/>
          <w:noProof/>
        </w:rPr>
        <w:footnoteReference w:id="8"/>
      </w:r>
      <w:r>
        <w:rPr>
          <w:b w:val="0"/>
          <w:noProof/>
        </w:rPr>
        <w:t>, din Regatul Unit, precum și parteneri observatori, inclusiv Statele Unite. Principala sa misiune este de a sprijini detectarea, interceptarea și neutralizarea transporturilor de droguri la scară largă, în special a celor transportate pe culoarele maritime și, din ce în ce mai mult, prin intermediul aviației generale. Forța sa rezidă în coordonarea sa operațională, în capacitatea sa de a face schimb de informații în timp real și în abilitatea sa de a face legătura între jurisdicții naționale și eforturi de investigare. MAOC-N își desfășoară în principal activitatea în Oceanul Atlantic, în special pe rutele transatlantice către Europa și în largul coastei Africii de Vest – o zonă utilizată din ce în ce mai mult drept centru de transbordare a drogurilor către Europa. În 2024, MAOC-N a obținut rezultate operaționale semnificative, sprijinind partenerii internaționali pentru realizarea unor capturi maritime record de droguri care au depășit 70 de tone de cocaină în cadrul mai multor operațiuni de mare amploare de interceptare a drogurilor.</w:t>
      </w:r>
      <w:r w:rsidR="00330613">
        <w:rPr>
          <w:b w:val="0"/>
          <w:noProof/>
        </w:rPr>
        <w:t xml:space="preserve"> </w:t>
      </w:r>
    </w:p>
    <w:p w14:paraId="089CDF70" w14:textId="282B0324" w:rsidR="002A2587" w:rsidRPr="00CB4B7C" w:rsidRDefault="5E2A4AFF" w:rsidP="009D5C5F">
      <w:pPr>
        <w:pStyle w:val="Subject"/>
        <w:tabs>
          <w:tab w:val="left" w:pos="3948"/>
        </w:tabs>
        <w:spacing w:after="240"/>
        <w:ind w:left="0" w:firstLine="0"/>
        <w:contextualSpacing w:val="0"/>
        <w:jc w:val="both"/>
        <w:rPr>
          <w:b w:val="0"/>
          <w:noProof/>
        </w:rPr>
      </w:pPr>
      <w:r>
        <w:rPr>
          <w:b w:val="0"/>
          <w:noProof/>
        </w:rPr>
        <w:t>Având în vedere evoluția peisajului traficului internațional de droguri, în special utilizarea tot mai frecventă a rutelor maritime și de aviație generală, Comisia își va intensifica acțiunile de colaborare cu MAOC-N și cu statele membre. Scopul său este de a explora aprofundarea activităților operaționale actuale ale MAOC-N și posibila extindere a acestora, punând accentul pe extinderea amprentei operaționale în regiunea mediteraneeană și pe încurajarea unei participări sau a unei aderări mai ample a statelor membre.</w:t>
      </w:r>
    </w:p>
    <w:p w14:paraId="4F188C16" w14:textId="152435B3" w:rsidR="00C65CB0" w:rsidRPr="00CB4B7C" w:rsidRDefault="00244D29" w:rsidP="009D5C5F">
      <w:pPr>
        <w:pStyle w:val="Subject"/>
        <w:tabs>
          <w:tab w:val="left" w:pos="3948"/>
        </w:tabs>
        <w:spacing w:after="240"/>
        <w:ind w:left="0" w:firstLine="0"/>
        <w:contextualSpacing w:val="0"/>
        <w:jc w:val="both"/>
        <w:rPr>
          <w:b w:val="0"/>
          <w:noProof/>
        </w:rPr>
      </w:pPr>
      <w:r>
        <w:rPr>
          <w:b w:val="0"/>
          <w:noProof/>
        </w:rPr>
        <w:t xml:space="preserve">Posibila extindere a bazei de membri ai MAOC-N ar consolida acoperirea geografică a acestuia și capacitățile sale de informații, în special în bazinul mediteraneean, care se conturează ca un coridor critic de trafic pentru o varietate de substanțe ilicite, inclusiv rășină de canabis, cocaină și droguri sintetice. </w:t>
      </w:r>
    </w:p>
    <w:p w14:paraId="6EAFDB75" w14:textId="13E56EC6" w:rsidR="00244D29" w:rsidRPr="00CB4B7C" w:rsidRDefault="27B4BCAB" w:rsidP="009D5C5F">
      <w:pPr>
        <w:pStyle w:val="Subject"/>
        <w:tabs>
          <w:tab w:val="left" w:pos="3948"/>
        </w:tabs>
        <w:spacing w:after="240"/>
        <w:ind w:left="0" w:firstLine="0"/>
        <w:contextualSpacing w:val="0"/>
        <w:jc w:val="both"/>
        <w:rPr>
          <w:b w:val="0"/>
          <w:noProof/>
        </w:rPr>
      </w:pPr>
      <w:r>
        <w:rPr>
          <w:b w:val="0"/>
          <w:noProof/>
        </w:rPr>
        <w:t>Un aspect-cheie al acestei strategii este consolidarea cooperării dintre MAOC-N, Europol și Frontex. MAOC-N se axează pe coordonarea operațională pe mare și în aer, în timp ce Frontex sprijină gestionarea frontierelor, iar Europol sprijină anchetele penale în toate statele membre prin acțiuni precum urmărirea activelor și corelarea interdicțiilor legate de droguri cu rețelele mai mari de criminalitate organizată. Propunerea de instituire a unei echipe comune de acțiune împotriva stupefiantelor în domeniul maritim (J-MCAT) în cadrul Europol, care să implice MAOC-N, Frontex și statele membre, este în curs de examinare. Această echipă ar permite coordonarea în timp real a operațiunilor tactice și a confiscărilor de droguri, facilitând dezvoltarea unor anchete cuprinzătoare și pe termen lung privind rețelele infracționale.</w:t>
      </w:r>
      <w:r w:rsidR="00330613">
        <w:rPr>
          <w:b w:val="0"/>
          <w:noProof/>
        </w:rPr>
        <w:t xml:space="preserve"> </w:t>
      </w:r>
    </w:p>
    <w:p w14:paraId="6C9EF0FA" w14:textId="0C4E8323" w:rsidR="00284885" w:rsidRPr="00CB4B7C" w:rsidRDefault="00284885" w:rsidP="00284885">
      <w:pPr>
        <w:pStyle w:val="Subject"/>
        <w:spacing w:after="0" w:line="252" w:lineRule="auto"/>
        <w:jc w:val="both"/>
        <w:rPr>
          <w:bCs/>
          <w:i/>
          <w:iCs/>
          <w:noProof/>
          <w:szCs w:val="24"/>
        </w:rPr>
      </w:pPr>
      <w:r>
        <w:rPr>
          <w:i/>
          <w:noProof/>
        </w:rPr>
        <w:t>Acțiunea 3: utilizarea capacităților Frontex pentru a sprijini statele membre în detectarea traficului de droguri la frontierele externe ale UE și consolidarea cooperării cu Europol și cu alte organisme relevante</w:t>
      </w:r>
      <w:r w:rsidR="00330613">
        <w:rPr>
          <w:i/>
          <w:noProof/>
        </w:rPr>
        <w:t xml:space="preserve"> </w:t>
      </w:r>
    </w:p>
    <w:p w14:paraId="288FA560" w14:textId="77777777" w:rsidR="00284885" w:rsidRPr="004A7C78" w:rsidRDefault="00284885" w:rsidP="00284885">
      <w:pPr>
        <w:spacing w:after="0" w:line="252" w:lineRule="auto"/>
        <w:jc w:val="both"/>
        <w:rPr>
          <w:rFonts w:ascii="Times New Roman" w:hAnsi="Times New Roman" w:cs="Times New Roman"/>
          <w:b/>
          <w:bCs/>
          <w:i/>
          <w:iCs/>
          <w:noProof/>
          <w:sz w:val="24"/>
          <w:szCs w:val="24"/>
          <w:lang w:val="fr-BE"/>
        </w:rPr>
      </w:pPr>
    </w:p>
    <w:p w14:paraId="29C825C6" w14:textId="39AEB7E6" w:rsidR="00284885" w:rsidRPr="00CB4B7C" w:rsidRDefault="00284885" w:rsidP="00284885">
      <w:pPr>
        <w:spacing w:after="0" w:line="252" w:lineRule="auto"/>
        <w:jc w:val="both"/>
        <w:rPr>
          <w:rFonts w:ascii="Times New Roman" w:hAnsi="Times New Roman" w:cs="Times New Roman"/>
          <w:i/>
          <w:iCs/>
          <w:noProof/>
          <w:sz w:val="24"/>
          <w:szCs w:val="24"/>
        </w:rPr>
      </w:pPr>
      <w:r>
        <w:rPr>
          <w:rFonts w:ascii="Times New Roman" w:hAnsi="Times New Roman"/>
          <w:i/>
          <w:noProof/>
          <w:sz w:val="24"/>
        </w:rPr>
        <w:t>Actori principali: Frontex, EMSA, SatCen, Europol, MAOC-N, statele membre</w:t>
      </w:r>
    </w:p>
    <w:p w14:paraId="7E5DE4DB" w14:textId="77777777" w:rsidR="00284885" w:rsidRPr="004A7C78" w:rsidRDefault="00284885" w:rsidP="00284885">
      <w:pPr>
        <w:spacing w:after="0" w:line="252" w:lineRule="auto"/>
        <w:jc w:val="both"/>
        <w:rPr>
          <w:rFonts w:ascii="Times New Roman" w:hAnsi="Times New Roman" w:cs="Times New Roman"/>
          <w:i/>
          <w:iCs/>
          <w:noProof/>
          <w:sz w:val="24"/>
          <w:szCs w:val="24"/>
          <w:lang w:val="fr-BE"/>
        </w:rPr>
      </w:pPr>
    </w:p>
    <w:p w14:paraId="6670721C" w14:textId="0F3EF744" w:rsidR="00194028" w:rsidRPr="00CB4B7C" w:rsidRDefault="00194028" w:rsidP="00194028">
      <w:pPr>
        <w:pStyle w:val="Subject"/>
        <w:tabs>
          <w:tab w:val="left" w:pos="3948"/>
        </w:tabs>
        <w:spacing w:after="240" w:line="252" w:lineRule="auto"/>
        <w:ind w:left="0" w:firstLine="0"/>
        <w:contextualSpacing w:val="0"/>
        <w:jc w:val="both"/>
        <w:rPr>
          <w:b w:val="0"/>
          <w:noProof/>
        </w:rPr>
      </w:pPr>
      <w:r>
        <w:rPr>
          <w:b w:val="0"/>
          <w:noProof/>
        </w:rPr>
        <w:t>Prin mobilizarea capacităților sale de supraveghere și a celor ale partenerilor săi, inclusiv prin intermediul activelor aeriene și a imaginilor satelitare de înaltă rezoluție, Agenția Europeană pentru Poliția de Frontieră și Garda de Coastă (Frontex) poate monitoriza și detecta într-un mod mai eficace traficul de droguri la frontierele externe ale UE. Agenția ar trebui să pună un accent mai mare pe combaterea acestei amenințări, încorporând traficul de droguri în evaluările sale privind disponibilitatea echipamentelor tehnice, a sistemelor, a capacităților, a resurselor, a infrastructurii și a personalului instruit în statele membre pentru a asigura un control eficient la frontiere.</w:t>
      </w:r>
    </w:p>
    <w:p w14:paraId="7321B425" w14:textId="6AC27340" w:rsidR="00284885" w:rsidRPr="00CB4B7C" w:rsidRDefault="00AB0C3B" w:rsidP="009D5C5F">
      <w:pPr>
        <w:pStyle w:val="Subject"/>
        <w:tabs>
          <w:tab w:val="left" w:pos="3948"/>
        </w:tabs>
        <w:spacing w:after="240" w:line="252" w:lineRule="auto"/>
        <w:ind w:left="0" w:firstLine="0"/>
        <w:contextualSpacing w:val="0"/>
        <w:jc w:val="both"/>
        <w:rPr>
          <w:b w:val="0"/>
          <w:noProof/>
        </w:rPr>
      </w:pPr>
      <w:r>
        <w:rPr>
          <w:b w:val="0"/>
          <w:noProof/>
        </w:rPr>
        <w:t>Pentru a-și intensifica eforturile, Frontex ar trebui să consolideze cooperarea cu Agenția Europeană pentru Siguranță Maritimă (EMSA) și cu Centrul Satelitar al Uniunii Europene (SatCen) în contextul actualului serviciu de securitate Copernicus și al potențialului Serviciu guvernamental de observare a Pământului, integrând date și analize de la acești parteneri pentru a avea o conștientizare cuprinzătoare a situației. Frontex și Comisia ar trebui să dezvolte în continuare sinergiile actuale și să exploreze noi sinergii cu programul privind conectivitatea securizată și cu programele spațiale ale UE prin intermediul serviciilor de securitate și guvernamentale existente și viitoare în domeniul comunicării securizate, al poziționării, navigației și sincronizării reziliente și al observării Pământului. În plus, stabilirea unor noi acorduri de lucru cu Europol și MAOC-N va facilita un schimb de informații mai bun și o coordonare strategică mai bună.</w:t>
      </w:r>
    </w:p>
    <w:p w14:paraId="0C7D85FA" w14:textId="01E8AFEB" w:rsidR="00795CFE" w:rsidRPr="00CB4B7C" w:rsidRDefault="005F1C2D" w:rsidP="00EA661F">
      <w:pPr>
        <w:pStyle w:val="Subject"/>
        <w:tabs>
          <w:tab w:val="left" w:pos="3948"/>
        </w:tabs>
        <w:spacing w:after="240" w:line="252" w:lineRule="auto"/>
        <w:ind w:left="0" w:firstLine="0"/>
        <w:contextualSpacing w:val="0"/>
        <w:jc w:val="both"/>
        <w:rPr>
          <w:b w:val="0"/>
          <w:noProof/>
        </w:rPr>
      </w:pPr>
      <w:r>
        <w:rPr>
          <w:b w:val="0"/>
          <w:noProof/>
        </w:rPr>
        <w:t>Capacitățile Frontex includ o gamă tot mai largă de instrumente de supraveghere și monitorizare, care permit o monitorizare sporită a frontierelor externe ale UE și a zonelor prefrontaliere. Prin combinarea datelor de supraveghere cu informațiile statelor membre, Frontex ar trebui să desfășoare activități operaționale specifice ca parte a gestionării frontierelor pentru a sprijini țările-gazdă și alte părți interesate în combaterea traficului de droguri. Vor fi explorate sinergiile cu inițiativele de cooperare de succes existente cu țările terțe în domeniul gestionării frontierelor, inclusiv cu America Latină în cadrul rețelei Punto Atenas. În plus, capabilitățile dezvoltate în cadrul comunicării comune intitulate „Menținerea păcii – Foaia de parcurs privind pregătirea pentru apărare, în special prin intermediul Inițiativei europene de apărare împotriva dronelor, pot fi adaptate pentru dubla utilizare pentru a consolida protecția frontierelor și a îmbunătăți detectarea traficului de droguri.</w:t>
      </w:r>
    </w:p>
    <w:p w14:paraId="313A828D" w14:textId="2EBE3CF0" w:rsidR="00B22645" w:rsidRPr="00CB4B7C" w:rsidRDefault="00B22645" w:rsidP="00194028">
      <w:pPr>
        <w:pStyle w:val="Subject"/>
        <w:tabs>
          <w:tab w:val="left" w:pos="3948"/>
        </w:tabs>
        <w:spacing w:after="240" w:line="252" w:lineRule="auto"/>
        <w:ind w:left="0" w:firstLine="0"/>
        <w:contextualSpacing w:val="0"/>
        <w:jc w:val="both"/>
        <w:rPr>
          <w:b w:val="0"/>
          <w:noProof/>
        </w:rPr>
      </w:pPr>
      <w:r>
        <w:rPr>
          <w:b w:val="0"/>
          <w:noProof/>
        </w:rPr>
        <w:t>Un nou acord de lucru este în curs de negociere între Frontex și Europol, iar un acord de lucru al Frontex va fi negociat cu MAOC-N</w:t>
      </w:r>
      <w:r>
        <w:rPr>
          <w:b w:val="0"/>
          <w:noProof/>
          <w:vertAlign w:val="superscript"/>
        </w:rPr>
        <w:footnoteReference w:id="9"/>
      </w:r>
      <w:r>
        <w:rPr>
          <w:b w:val="0"/>
          <w:noProof/>
        </w:rPr>
        <w:t>. Aceste acorduri vizează consolidarea coordonării strategice și facilitarea unui schimb de informații mai bun, sporind cooperarea în combaterea traficului de droguri.</w:t>
      </w:r>
    </w:p>
    <w:p w14:paraId="749538B5" w14:textId="0085085A" w:rsidR="00284885" w:rsidRPr="00CB4B7C" w:rsidRDefault="00284885" w:rsidP="009D5C5F">
      <w:pPr>
        <w:pStyle w:val="Subject"/>
        <w:tabs>
          <w:tab w:val="left" w:pos="3948"/>
        </w:tabs>
        <w:spacing w:after="240" w:line="252" w:lineRule="auto"/>
        <w:ind w:left="0" w:firstLine="0"/>
        <w:contextualSpacing w:val="0"/>
        <w:jc w:val="both"/>
        <w:rPr>
          <w:b w:val="0"/>
          <w:noProof/>
        </w:rPr>
      </w:pPr>
      <w:r>
        <w:rPr>
          <w:b w:val="0"/>
          <w:noProof/>
        </w:rPr>
        <w:t>Agenția ar trebui să își consolideze utilizarea serviciilor de fuziune EUROSUR pentru a colecta date maritime de la EMSA, inclusiv informații din mediul comun pentru schimbul de informații (CISE) și de la SatCen. Informațiile colectate ar trebui transmise cu promptitudine autorităților naționale pentru o acțiune operațională și o interceptare a drogurilor eficace. În planificarea sa anuală, Frontex trebuie să ia în considerare în mod explicit amenințările legate de traficul de droguri, asigurând desfășurarea fără probleme a operațiunilor comune în acord cu statele membre gazdă.</w:t>
      </w:r>
    </w:p>
    <w:p w14:paraId="57C9138C" w14:textId="0A9E0D76" w:rsidR="003F27B4" w:rsidRPr="00CB4B7C" w:rsidRDefault="003F27B4" w:rsidP="003F27B4">
      <w:pPr>
        <w:spacing w:after="0" w:line="252" w:lineRule="auto"/>
        <w:jc w:val="both"/>
        <w:rPr>
          <w:rFonts w:ascii="Times New Roman" w:hAnsi="Times New Roman" w:cs="Times New Roman"/>
          <w:b/>
          <w:i/>
          <w:noProof/>
          <w:sz w:val="24"/>
        </w:rPr>
      </w:pPr>
      <w:r>
        <w:rPr>
          <w:rFonts w:ascii="Times New Roman" w:hAnsi="Times New Roman"/>
          <w:b/>
          <w:i/>
          <w:noProof/>
          <w:sz w:val="24"/>
        </w:rPr>
        <w:t>Acțiunea 4: intensificarea parteneriatelor dintre sectorul civil și cel militar pentru combaterea traficului maritim de droguri</w:t>
      </w:r>
    </w:p>
    <w:p w14:paraId="57FFCBF5" w14:textId="77777777" w:rsidR="003F27B4" w:rsidRPr="004A7C78" w:rsidRDefault="003F27B4" w:rsidP="003F27B4">
      <w:pPr>
        <w:pStyle w:val="ListParagraph"/>
        <w:spacing w:after="0" w:line="252" w:lineRule="auto"/>
        <w:ind w:left="360"/>
        <w:jc w:val="both"/>
        <w:rPr>
          <w:rFonts w:ascii="Times New Roman" w:hAnsi="Times New Roman" w:cs="Times New Roman"/>
          <w:i/>
          <w:noProof/>
          <w:sz w:val="24"/>
          <w:lang w:val="fr-BE"/>
        </w:rPr>
      </w:pPr>
    </w:p>
    <w:p w14:paraId="0B4057A4" w14:textId="2E69177C" w:rsidR="003F27B4" w:rsidRPr="00CB4B7C" w:rsidRDefault="003F27B4" w:rsidP="009D5C5F">
      <w:pPr>
        <w:spacing w:after="240" w:line="252" w:lineRule="auto"/>
        <w:jc w:val="both"/>
        <w:rPr>
          <w:rFonts w:ascii="Times New Roman" w:hAnsi="Times New Roman" w:cs="Times New Roman"/>
          <w:i/>
          <w:iCs/>
          <w:noProof/>
          <w:sz w:val="24"/>
          <w:szCs w:val="24"/>
        </w:rPr>
      </w:pPr>
      <w:r>
        <w:rPr>
          <w:rFonts w:ascii="Times New Roman" w:hAnsi="Times New Roman"/>
          <w:i/>
          <w:noProof/>
          <w:sz w:val="24"/>
        </w:rPr>
        <w:t>Actori principali: Comisia, Înaltul Reprezentant asistat de SEAE, statele membre</w:t>
      </w:r>
    </w:p>
    <w:p w14:paraId="3E6ED5B1" w14:textId="7CDC0924" w:rsidR="003F27B4" w:rsidRPr="00CB4B7C" w:rsidRDefault="003F27B4" w:rsidP="00B22645">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Anchetele recente ale autorităților de aplicare a legii arată că rețelele transnaționale de trafic de droguri utilizează în mod activ apele internaționale și rute maritime complexe pentru a introduce volume mari de substanțe ilicite în UE. Aceste rute traversează regiuni care reprezintă zone critice de tranzit pentru cocaină și alte stupefiante destinate Europei, cum ar fi Africa de Vest și rutele atlantice în sens mai larg. Îmbunătățirea capacităților de interceptare și supraveghere ale UE de-a lungul acestor coridoare de trafic este esențială, atunci când sunt identificate nave implicate în traficul de droguri, inclusiv prin exploatarea activelor spațiale. Beneficiind de capabilități militare adecvate, statele membre ale UE ar putea juca un rol important în sprijinirea eforturilor de interceptare a drogurilor, în conformitate cu mandatele legale și cadrele operaționale. Aceasta include transmiterea de informații esențiale autorităților de aplicare a legii și autorităților vamale în vederea luării de măsuri. </w:t>
      </w:r>
    </w:p>
    <w:p w14:paraId="5C0A950A" w14:textId="35067EDA" w:rsidR="00003160" w:rsidRPr="00A007A1" w:rsidRDefault="00F91A66" w:rsidP="00B22645">
      <w:pPr>
        <w:spacing w:after="240" w:line="252" w:lineRule="auto"/>
        <w:jc w:val="both"/>
        <w:rPr>
          <w:rFonts w:ascii="Times New Roman" w:eastAsia="Times New Roman" w:hAnsi="Times New Roman" w:cs="Times New Roman"/>
          <w:noProof/>
          <w:sz w:val="24"/>
          <w:szCs w:val="24"/>
        </w:rPr>
      </w:pPr>
      <w:r>
        <w:rPr>
          <w:rFonts w:ascii="Times New Roman" w:hAnsi="Times New Roman"/>
          <w:noProof/>
          <w:sz w:val="24"/>
        </w:rPr>
        <w:t>UE depune eforturi active pentru a combate traficul de droguri prin diverse inițiative în cadrul politicii sale de securitate și apărare comune. O astfel de acțiune, operația ATALANTA desfășurată de EUNAVFOR în Oceanul Indian, include un mandat care acoperă combaterea traficului de droguri. Mandatul EUCAP Somalia este de a consolida guvernanța și capacitățile maritime, cu scopul de a crea instituții și agenții durabile de aplicare a legii în domeniul maritim, inclusiv paza de coastă. În Golful Guineei, inițiativa Uniunii Europene pentru securitate și apărare oferă sprijin în materie de securitate și apărare țărilor din Africa de Vest, cum ar fi Côte d’Ivoire, Ghana, Togo și Benin. Această inițiativă urmărește să consolideze capacitățile acestor țări împotriva grupurilor teroriste și să îmbunătățească guvernanța prin trimiterea de experți militari și civili și de echipe mobile de formare la cererea țărilor gazdă.</w:t>
      </w:r>
    </w:p>
    <w:p w14:paraId="69244C60" w14:textId="021E74F6" w:rsidR="00003160" w:rsidRPr="00CB4B7C" w:rsidRDefault="00003160" w:rsidP="00003160">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În cazul în care aceste țări din Africa de Vest solicită asistență pentru a-și consolida sectorul asigurării respectării legii împotriva traficului de droguri, Comisia și Înaltul Reprezentant, fiecare în limitele competențelor sale, vor acorda prioritate acestei solicitări, propunând un eventual sprijin statelor membre ale UE. În plus, statele membre pot utiliza instrumentul prezențelor maritime coordonate în Golful Guineei pentru a consolida capacitățile de securitate ale statelor de coastă, îmbunătățind astfel eforturile de interceptare. Inițiative similare vor fi explorate în emisfera occidentală.</w:t>
      </w:r>
    </w:p>
    <w:p w14:paraId="7C3CE05A" w14:textId="5FD5F097" w:rsidR="00003160" w:rsidRPr="00CB4B7C" w:rsidRDefault="00003160" w:rsidP="00003160">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Maximizarea utilizării mediului comun pentru schimbul de informații este esențială pentru facilitarea schimbului eficace de informații între părțile interesate militare și civile din UE. Proiectele finanțate de UE, cum ar fi SEACOP în Golful Guineei și în America Latină și CRIMARIO în regiunea indo-pacifică și în America Latină, contribuie în continuare prin consolidarea conștientizării situației din domeniul maritim, a coordonării între agenții și a schimbului regional de informații.</w:t>
      </w:r>
    </w:p>
    <w:p w14:paraId="0ED6D8F1" w14:textId="38D45172" w:rsidR="00893B3C" w:rsidRPr="00CB4B7C" w:rsidRDefault="00154E5A" w:rsidP="009D5C5F">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Instrumentul european pentru pace (IEP) completează aceste eforturi prin furnizarea de echipamente, formare și cunoștințe de specialitate pentru a consolida capacitățile în materie de securitate maritimă în rândul partenerilor. Consolidarea acestor inițiative sprijină abordarea cuprinzătoare a UE de combatere a traficului maritim de droguri.</w:t>
      </w:r>
    </w:p>
    <w:p w14:paraId="634D57C9" w14:textId="1A265CBF" w:rsidR="00893B3C" w:rsidRPr="00A007A1" w:rsidRDefault="7A82BEE8" w:rsidP="00B22645">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Aceste acțiuni vizează în mod colectiv intensificarea eforturilor de combatere a traficului de droguri pe mare, menținând în același timp angajamentul UE de a promova libertatea de navigație și siguranța culoarelor maritime în conformitate cu dreptul internațional, în special cu Convenția Națiunilor Unite asupra dreptului mării (UNCLOS) și cu Convenția Națiunilor Unite împotriva traficului ilicit de stupefiante și substanțe psihotrope.</w:t>
      </w:r>
    </w:p>
    <w:p w14:paraId="248C2568" w14:textId="68D04D19" w:rsidR="005F4F55" w:rsidRPr="00CB4B7C" w:rsidRDefault="005F4F55" w:rsidP="005F4F55">
      <w:pPr>
        <w:spacing w:after="240" w:line="240" w:lineRule="auto"/>
        <w:jc w:val="both"/>
        <w:rPr>
          <w:rFonts w:ascii="Times New Roman" w:eastAsia="Times New Roman" w:hAnsi="Times New Roman" w:cs="Times New Roman"/>
          <w:noProof/>
          <w:sz w:val="24"/>
          <w:szCs w:val="24"/>
        </w:rPr>
      </w:pPr>
      <w:bookmarkStart w:id="6" w:name="_Hlk215216906"/>
      <w:r>
        <w:rPr>
          <w:rFonts w:ascii="Times New Roman" w:hAnsi="Times New Roman"/>
          <w:noProof/>
          <w:sz w:val="24"/>
        </w:rPr>
        <w:t xml:space="preserve">În general, misiunile PSAC civile pe teren depun eforturi pentru a consolida capacitățile țărilor gazdă. </w:t>
      </w:r>
      <w:r>
        <w:rPr>
          <w:rFonts w:ascii="Times New Roman" w:hAnsi="Times New Roman"/>
          <w:noProof/>
          <w:color w:val="000000" w:themeColor="text1"/>
          <w:sz w:val="24"/>
        </w:rPr>
        <w:t>În unele cazuri</w:t>
      </w:r>
      <w:r>
        <w:rPr>
          <w:rFonts w:ascii="Times New Roman" w:hAnsi="Times New Roman"/>
          <w:noProof/>
          <w:sz w:val="24"/>
        </w:rPr>
        <w:t xml:space="preserve">, acestea au sarcina de a consolida legătura dintre securitatea internă și cea externă printr-o mai bună coordonare și cooperare între actorii civili din domeniul PSAC și JAI din țările terțe, după caz și în limitele mandatelor și competențelor lor respective. Combaterea traficului maritim de droguri ar trebui să fie o parte importantă a legăturii dintre securitatea internă și cea externă. </w:t>
      </w:r>
    </w:p>
    <w:bookmarkEnd w:id="6"/>
    <w:p w14:paraId="2AF45708" w14:textId="4374D420" w:rsidR="00E47F08" w:rsidRPr="000A0A97" w:rsidRDefault="0BCC9B33" w:rsidP="00600DAE">
      <w:pPr>
        <w:spacing w:after="0" w:line="252" w:lineRule="auto"/>
        <w:jc w:val="both"/>
        <w:rPr>
          <w:rFonts w:ascii="Times New Roman" w:hAnsi="Times New Roman" w:cs="Times New Roman"/>
          <w:bCs/>
          <w:i/>
          <w:iCs/>
          <w:noProof/>
          <w:szCs w:val="24"/>
        </w:rPr>
      </w:pPr>
      <w:r>
        <w:rPr>
          <w:rFonts w:ascii="Times New Roman" w:hAnsi="Times New Roman"/>
          <w:b/>
          <w:i/>
          <w:noProof/>
          <w:sz w:val="24"/>
        </w:rPr>
        <w:t>Acțiunea 5: identificarea unor măsuri eficace de combatere a utilizării abuzive a navelor rapide („go-fast”)</w:t>
      </w:r>
    </w:p>
    <w:p w14:paraId="0F4E32AC" w14:textId="4801F0C9" w:rsidR="3329D114" w:rsidRPr="004A7C78" w:rsidRDefault="3329D114" w:rsidP="3329D114">
      <w:pPr>
        <w:spacing w:after="0" w:line="252" w:lineRule="auto"/>
        <w:jc w:val="both"/>
        <w:rPr>
          <w:rFonts w:ascii="Times New Roman" w:hAnsi="Times New Roman" w:cs="Times New Roman"/>
          <w:i/>
          <w:iCs/>
          <w:noProof/>
          <w:sz w:val="24"/>
          <w:szCs w:val="24"/>
        </w:rPr>
      </w:pPr>
    </w:p>
    <w:p w14:paraId="0A02625E" w14:textId="3C585114" w:rsidR="00E47F08" w:rsidRPr="00CB4B7C" w:rsidRDefault="00E47F08" w:rsidP="5184F081">
      <w:pPr>
        <w:spacing w:after="0" w:line="252" w:lineRule="auto"/>
        <w:jc w:val="both"/>
        <w:rPr>
          <w:rFonts w:ascii="Times New Roman" w:hAnsi="Times New Roman" w:cs="Times New Roman"/>
          <w:i/>
          <w:iCs/>
          <w:noProof/>
          <w:sz w:val="24"/>
          <w:szCs w:val="24"/>
        </w:rPr>
      </w:pPr>
      <w:r>
        <w:rPr>
          <w:rFonts w:ascii="Times New Roman" w:hAnsi="Times New Roman"/>
          <w:i/>
          <w:noProof/>
          <w:sz w:val="24"/>
        </w:rPr>
        <w:t>Actori principali: statele membre, Europol, Comisia</w:t>
      </w:r>
    </w:p>
    <w:p w14:paraId="5BAA1D0B" w14:textId="77777777" w:rsidR="00E47F08" w:rsidRPr="00CB4B7C" w:rsidRDefault="00E47F08" w:rsidP="00E47F08">
      <w:pPr>
        <w:pStyle w:val="Subject"/>
        <w:tabs>
          <w:tab w:val="left" w:pos="3948"/>
        </w:tabs>
        <w:ind w:left="0" w:firstLine="0"/>
        <w:jc w:val="both"/>
        <w:rPr>
          <w:b w:val="0"/>
          <w:noProof/>
        </w:rPr>
      </w:pPr>
    </w:p>
    <w:p w14:paraId="2E389DBF" w14:textId="69DDD235" w:rsidR="00B96CA8" w:rsidRPr="00CB4B7C" w:rsidRDefault="00D0483B" w:rsidP="009D5C5F">
      <w:pPr>
        <w:pStyle w:val="Subject"/>
        <w:tabs>
          <w:tab w:val="left" w:pos="3948"/>
        </w:tabs>
        <w:spacing w:after="240"/>
        <w:ind w:left="0" w:firstLine="0"/>
        <w:contextualSpacing w:val="0"/>
        <w:jc w:val="both"/>
        <w:rPr>
          <w:b w:val="0"/>
          <w:noProof/>
        </w:rPr>
      </w:pPr>
      <w:r>
        <w:rPr>
          <w:b w:val="0"/>
          <w:noProof/>
        </w:rPr>
        <w:t xml:space="preserve">În ultimii ani, utilizarea navelor rapide – ambarcațiuni de mare viteză și putere, care se sustrag autorităților de aplicare a legii – a devenit o metodă preferată pentru transportul drogurilor ilicite pe rutele maritime, în special către Spania, Portugalia și Franța. Ca răspuns la utilizarea din ce în ce mai intensă a navelor rapide de mare viteză de către grupurile infracționale organizate, este necesară o abordare europeană cuprinzătoare și coordonată. </w:t>
      </w:r>
    </w:p>
    <w:p w14:paraId="1B788088" w14:textId="7DD61BAF" w:rsidR="00B96CA8" w:rsidRPr="00CB4B7C" w:rsidRDefault="002409A2" w:rsidP="009D5C5F">
      <w:pPr>
        <w:pStyle w:val="Subject"/>
        <w:tabs>
          <w:tab w:val="left" w:pos="3948"/>
        </w:tabs>
        <w:spacing w:after="240"/>
        <w:ind w:left="0" w:firstLine="0"/>
        <w:contextualSpacing w:val="0"/>
        <w:jc w:val="both"/>
        <w:rPr>
          <w:b w:val="0"/>
          <w:noProof/>
        </w:rPr>
      </w:pPr>
      <w:r>
        <w:rPr>
          <w:b w:val="0"/>
          <w:noProof/>
        </w:rPr>
        <w:t>Unele state membre au luat deja măsuri legislative pentru a-și înăspri normele naționale pentru astfel de ambarcațiuni de mare viteză. Ca răspuns la aceste reglementări mai stricte, organizațiile criminale se adaptează prin relocarea operațiunilor lor în alte țări ale UE, în care nu există astfel de controale stricte.</w:t>
      </w:r>
      <w:r>
        <w:rPr>
          <w:b w:val="0"/>
          <w:noProof/>
          <w:sz w:val="22"/>
        </w:rPr>
        <w:t xml:space="preserve"> </w:t>
      </w:r>
    </w:p>
    <w:p w14:paraId="565F8BF2" w14:textId="5A7D09EB" w:rsidR="00B96CA8" w:rsidRPr="00F7674B" w:rsidRDefault="00B96CA8" w:rsidP="009D5C5F">
      <w:pPr>
        <w:pStyle w:val="Subject"/>
        <w:tabs>
          <w:tab w:val="left" w:pos="3948"/>
        </w:tabs>
        <w:spacing w:after="240"/>
        <w:ind w:left="0" w:firstLine="0"/>
        <w:contextualSpacing w:val="0"/>
        <w:jc w:val="both"/>
        <w:rPr>
          <w:b w:val="0"/>
          <w:noProof/>
        </w:rPr>
      </w:pPr>
      <w:r>
        <w:rPr>
          <w:b w:val="0"/>
          <w:noProof/>
        </w:rPr>
        <w:t xml:space="preserve">Pentru a contribui la combaterea acestui fenomen, Comisia va facilita schimbul de bune practici și de lecții învățate între statele membre prin intermediul unui atelier dedicat experților în 2026. Acesta va include discuții privind eficacitatea legislației naționale care reglementează utilizarea, înregistrarea și controlul navelor rapide în întreaga UE, precum și implementarea de noi tehnologii și metode inovatoare de detectare, urmărire și interceptare a navelor suspecte în timp real. Constatările vor fi compilate într-un ghid practic privind înregistrarea, trasabilitatea și controlul acestor nave de mare viteză. </w:t>
      </w:r>
    </w:p>
    <w:p w14:paraId="2A88A453" w14:textId="63CE1D94" w:rsidR="00B96CA8" w:rsidRPr="00CB4B7C" w:rsidRDefault="00B96CA8" w:rsidP="0034629C">
      <w:pPr>
        <w:pStyle w:val="Subject"/>
        <w:tabs>
          <w:tab w:val="left" w:pos="3948"/>
        </w:tabs>
        <w:ind w:left="0" w:firstLine="0"/>
        <w:jc w:val="both"/>
        <w:rPr>
          <w:b w:val="0"/>
          <w:bCs/>
          <w:noProof/>
        </w:rPr>
      </w:pPr>
      <w:r>
        <w:rPr>
          <w:b w:val="0"/>
          <w:noProof/>
        </w:rPr>
        <w:t>În paralel, Comisia va iniția dialoguri structurate cu producătorii de motoare exterioare. Întrucât traficanții utilizează adesea motoare capabile să atingă viteze extrem de mari, parteneriatele industriale ar trebui să promoveze distribuția responsabilă și trasabilitatea echipamentelor de mare putere. În plus, integrarea tehnologiilor inteligente facilitate de sistemele globale de navigație prin satelit și de sistemele de monitorizare a motoarelor poate spori eforturile de supraveghere și interceptare. Aceste capacități ar putea oferi autorităților de aplicare a legii noi modalități de a dezactiva sau de a restricționa în condiții de siguranță gama operațională a navelor rapide utilizate în activități infracționale.</w:t>
      </w:r>
    </w:p>
    <w:p w14:paraId="44EB316D" w14:textId="39E7B03A" w:rsidR="0041428D" w:rsidRPr="00CB4B7C" w:rsidRDefault="0041428D" w:rsidP="0041428D">
      <w:pPr>
        <w:spacing w:after="0" w:line="252" w:lineRule="auto"/>
        <w:jc w:val="both"/>
        <w:rPr>
          <w:rFonts w:ascii="Times New Roman" w:hAnsi="Times New Roman" w:cs="Times New Roman"/>
          <w:b/>
          <w:i/>
          <w:noProof/>
          <w:sz w:val="24"/>
        </w:rPr>
      </w:pPr>
      <w:r>
        <w:rPr>
          <w:rFonts w:ascii="Times New Roman" w:hAnsi="Times New Roman"/>
          <w:b/>
          <w:i/>
          <w:noProof/>
          <w:sz w:val="24"/>
        </w:rPr>
        <w:t xml:space="preserve">Acțiunea 6: consolidarea cooperării dintre sectorul public și cel privat pentru a neutraliza traficul de droguri prin intermediul serviciilor poștale și de coletărie </w:t>
      </w:r>
    </w:p>
    <w:p w14:paraId="0DD40A87" w14:textId="77777777" w:rsidR="0041428D" w:rsidRPr="004A7C78" w:rsidRDefault="0041428D" w:rsidP="0041428D">
      <w:pPr>
        <w:pStyle w:val="ListParagraph"/>
        <w:spacing w:after="0" w:line="252" w:lineRule="auto"/>
        <w:ind w:left="360"/>
        <w:jc w:val="both"/>
        <w:rPr>
          <w:rFonts w:ascii="Times New Roman" w:hAnsi="Times New Roman" w:cs="Times New Roman"/>
          <w:i/>
          <w:noProof/>
          <w:sz w:val="24"/>
          <w:lang w:val="fr-BE"/>
        </w:rPr>
      </w:pPr>
    </w:p>
    <w:p w14:paraId="1AA48E0C" w14:textId="7BA6FA85" w:rsidR="0041428D" w:rsidRPr="00CB4B7C" w:rsidRDefault="0041428D" w:rsidP="009D5C5F">
      <w:pPr>
        <w:spacing w:after="240" w:line="252" w:lineRule="auto"/>
        <w:jc w:val="both"/>
        <w:rPr>
          <w:rFonts w:ascii="Times New Roman" w:hAnsi="Times New Roman" w:cs="Times New Roman"/>
          <w:i/>
          <w:iCs/>
          <w:noProof/>
          <w:sz w:val="24"/>
          <w:szCs w:val="24"/>
        </w:rPr>
      </w:pPr>
      <w:r>
        <w:rPr>
          <w:rFonts w:ascii="Times New Roman" w:hAnsi="Times New Roman"/>
          <w:i/>
          <w:noProof/>
          <w:sz w:val="24"/>
        </w:rPr>
        <w:t xml:space="preserve">Actori principali: statele membre, Europol, Comisia </w:t>
      </w:r>
    </w:p>
    <w:p w14:paraId="1493A341" w14:textId="5535F7D5" w:rsidR="00706C12" w:rsidRPr="00CB4B7C" w:rsidRDefault="5EC32960" w:rsidP="009D5C5F">
      <w:pPr>
        <w:pStyle w:val="Subject"/>
        <w:tabs>
          <w:tab w:val="left" w:pos="3948"/>
        </w:tabs>
        <w:spacing w:after="240"/>
        <w:ind w:left="0" w:firstLine="0"/>
        <w:contextualSpacing w:val="0"/>
        <w:jc w:val="both"/>
        <w:rPr>
          <w:b w:val="0"/>
          <w:bCs/>
          <w:noProof/>
        </w:rPr>
      </w:pPr>
      <w:r>
        <w:rPr>
          <w:b w:val="0"/>
          <w:noProof/>
        </w:rPr>
        <w:t>Extinderea rapidă a comerțului electronic și a transportului maritim internațional a oferit rețelelor infracționale noi căi de a transporta în secret droguri ilicite prin intermediul serviciilor poștale și de coletărie. Aceste servicii sunt exploatate la scară largă pentru a distribui narcotice la nivel transfrontalier, adesea în cantități mici, care sunt mai greu de detectat, dar care contribuie în mod cumulativ la operațiuni de trafic de mare amploare. Este necesară o abordare la nivelul întregii societăți pentru a contracara această amenințare tot mai mare, care să mobilizeze autoritățile de aplicare a legii și instituțiile publice, dar și sectorul privat.</w:t>
      </w:r>
    </w:p>
    <w:p w14:paraId="7EEABD24" w14:textId="6AEED991" w:rsidR="00706C12" w:rsidRPr="00CB4B7C" w:rsidRDefault="00F530FB" w:rsidP="00834E34">
      <w:pPr>
        <w:pStyle w:val="Subject"/>
        <w:tabs>
          <w:tab w:val="left" w:pos="3948"/>
        </w:tabs>
        <w:spacing w:after="240"/>
        <w:ind w:left="0" w:firstLine="0"/>
        <w:contextualSpacing w:val="0"/>
        <w:jc w:val="both"/>
        <w:rPr>
          <w:b w:val="0"/>
          <w:noProof/>
        </w:rPr>
      </w:pPr>
      <w:r>
        <w:rPr>
          <w:b w:val="0"/>
          <w:noProof/>
        </w:rPr>
        <w:t xml:space="preserve">Comisia va crea un forum specific la nivelul UE care va reuni reprezentanți ai sectorului serviciilor poștale și de coletărie, autorități naționale de reglementare, autorități vamale și agenții de aplicare a legii. Această platformă va urmări să promoveze dialogul structurat, să îmbunătățească înțelegerea provocărilor operaționale și să consolideze cooperarea dintre sectorul public și cel privat. Obiectivul este de a detecta și a perturba traficul de droguri și fluxul de bunuri interzise în lanțurile de aprovizionare, respectând în același timp cadrele juridice, cum ar fi Codul vamal al UE. </w:t>
      </w:r>
    </w:p>
    <w:p w14:paraId="46FD9925" w14:textId="1D922AF0" w:rsidR="005203A6" w:rsidRPr="00CB4B7C" w:rsidRDefault="00E47B95" w:rsidP="00E47B95">
      <w:pPr>
        <w:pStyle w:val="Subject"/>
        <w:tabs>
          <w:tab w:val="left" w:pos="3948"/>
        </w:tabs>
        <w:spacing w:after="240"/>
        <w:ind w:left="0" w:firstLine="0"/>
        <w:contextualSpacing w:val="0"/>
        <w:jc w:val="both"/>
        <w:rPr>
          <w:b w:val="0"/>
          <w:noProof/>
        </w:rPr>
      </w:pPr>
      <w:r>
        <w:rPr>
          <w:b w:val="0"/>
          <w:noProof/>
        </w:rPr>
        <w:t>Operațiunile transfrontaliere ale societăților poștale și de coletărie subliniază necesitatea unei cooperări structurate la nivelul UE. Pentru a îmbunătăți prevenirea traficului de droguri și a circulației bunurilor interzise în cadrul fluxurilor intra-UE și extra-UE, Comisia va lua în considerare instituirea unor memorandumuri de înțelegere la nivelul UE. Aceste acorduri ar urma să oficializeze cooperarea, să definească responsabilități clare și să îmbunătățească schimbul de informații și eforturile comune. Astfel de memorandumuri ar sprijini obligațiile existente și viitoare privind schimbul de informații în temeiul legislației vamale a UE, mai degrabă venind în completarea lor decât afectându-le.</w:t>
      </w:r>
    </w:p>
    <w:p w14:paraId="4CC35380" w14:textId="2874BF52" w:rsidR="00F23EBA" w:rsidRPr="00CB4B7C" w:rsidRDefault="002662A0" w:rsidP="00F23EBA">
      <w:pPr>
        <w:pStyle w:val="Style2"/>
        <w:rPr>
          <w:noProof/>
        </w:rPr>
      </w:pPr>
      <w:r>
        <w:rPr>
          <w:b w:val="0"/>
          <w:noProof/>
        </w:rPr>
        <w:t xml:space="preserve"> </w:t>
      </w:r>
      <w:r>
        <w:rPr>
          <w:noProof/>
        </w:rPr>
        <w:t xml:space="preserve">Prevenirea criminalității și reducerea violenței legate de droguri </w:t>
      </w:r>
    </w:p>
    <w:p w14:paraId="7C67279E" w14:textId="77777777" w:rsidR="00F23EBA" w:rsidRPr="00CB4B7C" w:rsidRDefault="00F23EBA" w:rsidP="00F23EBA">
      <w:pPr>
        <w:pStyle w:val="Style2"/>
        <w:numPr>
          <w:ilvl w:val="0"/>
          <w:numId w:val="0"/>
        </w:numPr>
        <w:ind w:left="1494"/>
        <w:rPr>
          <w:noProof/>
        </w:rPr>
      </w:pPr>
    </w:p>
    <w:p w14:paraId="19940D2C" w14:textId="064070FB" w:rsidR="00F7356E" w:rsidRPr="00CB4B7C" w:rsidRDefault="0C2D0CFE" w:rsidP="190431D8">
      <w:pPr>
        <w:pBdr>
          <w:top w:val="single" w:sz="4" w:space="0" w:color="auto"/>
          <w:left w:val="single" w:sz="4" w:space="4" w:color="auto"/>
          <w:bottom w:val="single" w:sz="4" w:space="1" w:color="auto"/>
          <w:right w:val="single" w:sz="4" w:space="4" w:color="auto"/>
        </w:pBdr>
        <w:jc w:val="both"/>
        <w:rPr>
          <w:rFonts w:ascii="Times New Roman" w:hAnsi="Times New Roman" w:cs="Times New Roman"/>
          <w:i/>
          <w:iCs/>
          <w:noProof/>
          <w:sz w:val="24"/>
          <w:szCs w:val="24"/>
        </w:rPr>
      </w:pPr>
      <w:r>
        <w:rPr>
          <w:rFonts w:ascii="Times New Roman" w:hAnsi="Times New Roman"/>
          <w:i/>
          <w:noProof/>
          <w:sz w:val="24"/>
        </w:rPr>
        <w:t xml:space="preserve">UE și statele membre ar trebui să elaboreze măsuri de prevenire, lansând o platformă la nivelul UE pentru a împiedica atragerea tinerilor către traficul de droguri. Inițiativa va dota comunitățile cu instrumente practice, va conecta experți din întreaga Europă și va aborda recrutarea online. </w:t>
      </w:r>
    </w:p>
    <w:p w14:paraId="1C67DB9A" w14:textId="7C60AF07" w:rsidR="00F23EBA" w:rsidRPr="00CB4B7C" w:rsidRDefault="00F23EBA" w:rsidP="009D5C5F">
      <w:pPr>
        <w:pStyle w:val="Subject"/>
        <w:tabs>
          <w:tab w:val="left" w:pos="3948"/>
        </w:tabs>
        <w:spacing w:after="240"/>
        <w:ind w:left="0" w:firstLine="0"/>
        <w:contextualSpacing w:val="0"/>
        <w:jc w:val="both"/>
        <w:rPr>
          <w:b w:val="0"/>
          <w:noProof/>
        </w:rPr>
      </w:pPr>
      <w:r>
        <w:rPr>
          <w:b w:val="0"/>
          <w:noProof/>
        </w:rPr>
        <w:t xml:space="preserve">Recrutarea tinerilor de către rețelele de criminalitate organizată implicate în traficul de droguri reprezintă o preocupare din ce în ce mai mare în întreaga UE. Grupurile infracționale încearcă în mod activ să recruteze și să exploateze minori vulnerabili, adesea în zone defavorizate din punct de vedere economic sau social, tratându-i ca pe niște resurse care sunt ușor de înlocuit și care prezintă riscuri reduse. Dimensiunea digitală accelerează și mai mult această tendință, platformele online și platformele de comunicare socială fiind utilizate pentru a ademeni, manipula și recruta minori sub pretextul obținerii de câștiguri rapide sau pentru a crea un sentiment de apartenență. </w:t>
      </w:r>
    </w:p>
    <w:p w14:paraId="267444CB" w14:textId="1CC6CF8E" w:rsidR="00CD3D3D" w:rsidRPr="000A0A97" w:rsidRDefault="00CD3D3D" w:rsidP="00686301">
      <w:pPr>
        <w:spacing w:after="0" w:line="252" w:lineRule="auto"/>
        <w:jc w:val="both"/>
        <w:rPr>
          <w:rFonts w:ascii="Times New Roman" w:hAnsi="Times New Roman" w:cs="Times New Roman"/>
          <w:bCs/>
          <w:i/>
          <w:iCs/>
          <w:noProof/>
          <w:szCs w:val="24"/>
        </w:rPr>
      </w:pPr>
      <w:r>
        <w:rPr>
          <w:rFonts w:ascii="Times New Roman" w:hAnsi="Times New Roman"/>
          <w:b/>
          <w:i/>
          <w:noProof/>
          <w:sz w:val="24"/>
        </w:rPr>
        <w:t xml:space="preserve">Acțiunea 7: crearea unui set de instrumente pentru a preveni recrutarea minorilor în rețelele de trafic de droguri </w:t>
      </w:r>
    </w:p>
    <w:p w14:paraId="1E5F430C" w14:textId="77777777" w:rsidR="00934C06" w:rsidRPr="004A7C78" w:rsidRDefault="00934C06" w:rsidP="00CD3D3D">
      <w:pPr>
        <w:spacing w:after="0" w:line="252" w:lineRule="auto"/>
        <w:jc w:val="both"/>
        <w:rPr>
          <w:rFonts w:ascii="Times New Roman" w:hAnsi="Times New Roman" w:cs="Times New Roman"/>
          <w:i/>
          <w:noProof/>
          <w:sz w:val="24"/>
          <w:lang w:val="fr-BE"/>
        </w:rPr>
      </w:pPr>
    </w:p>
    <w:p w14:paraId="57C004F2" w14:textId="7A64335F" w:rsidR="00CD3D3D" w:rsidRPr="00CB4B7C" w:rsidRDefault="00CD3D3D" w:rsidP="00CD3D3D">
      <w:pPr>
        <w:spacing w:after="0" w:line="252" w:lineRule="auto"/>
        <w:jc w:val="both"/>
        <w:rPr>
          <w:rFonts w:ascii="Times New Roman" w:hAnsi="Times New Roman" w:cs="Times New Roman"/>
          <w:i/>
          <w:noProof/>
          <w:sz w:val="24"/>
        </w:rPr>
      </w:pPr>
      <w:r>
        <w:rPr>
          <w:rFonts w:ascii="Times New Roman" w:hAnsi="Times New Roman"/>
          <w:i/>
          <w:noProof/>
          <w:sz w:val="24"/>
        </w:rPr>
        <w:t>Actori principali: Rețeaua europeană de prevenire a criminalității (EUCPN), Agenția Uniunii Europene privind Drogurile (EUDA), statele membre, Comisia</w:t>
      </w:r>
    </w:p>
    <w:p w14:paraId="586673F6" w14:textId="77777777" w:rsidR="00CD3D3D" w:rsidRPr="00CB4B7C" w:rsidRDefault="00CD3D3D" w:rsidP="00934C06">
      <w:pPr>
        <w:pStyle w:val="Subject"/>
        <w:tabs>
          <w:tab w:val="left" w:pos="3948"/>
        </w:tabs>
        <w:ind w:left="0" w:firstLine="0"/>
        <w:jc w:val="both"/>
        <w:rPr>
          <w:b w:val="0"/>
          <w:noProof/>
        </w:rPr>
      </w:pPr>
    </w:p>
    <w:p w14:paraId="7E52105B" w14:textId="46954EED" w:rsidR="00CD3D3D" w:rsidRPr="00CB4B7C" w:rsidRDefault="6E520B7D" w:rsidP="00934C06">
      <w:pPr>
        <w:pStyle w:val="Subject"/>
        <w:tabs>
          <w:tab w:val="left" w:pos="3948"/>
        </w:tabs>
        <w:ind w:left="0" w:firstLine="0"/>
        <w:jc w:val="both"/>
        <w:rPr>
          <w:b w:val="0"/>
          <w:noProof/>
        </w:rPr>
      </w:pPr>
      <w:r>
        <w:rPr>
          <w:b w:val="0"/>
          <w:noProof/>
        </w:rPr>
        <w:t xml:space="preserve">Rețeaua europeană de prevenire a criminalității va elabora un set cuprinzător de instrumente în 2026, în timp ce </w:t>
      </w:r>
      <w:bookmarkStart w:id="7" w:name="_Hlk214958245"/>
      <w:r>
        <w:rPr>
          <w:b w:val="0"/>
          <w:noProof/>
        </w:rPr>
        <w:t xml:space="preserve">EUDA </w:t>
      </w:r>
      <w:bookmarkEnd w:id="7"/>
      <w:r>
        <w:rPr>
          <w:b w:val="0"/>
          <w:noProof/>
        </w:rPr>
        <w:t>va facilita activitatea Comunității Europene de Practică pentru a preveni recrutarea minorilor în rețelele de trafic de droguri</w:t>
      </w:r>
      <w:r>
        <w:rPr>
          <w:noProof/>
        </w:rPr>
        <w:t>.</w:t>
      </w:r>
      <w:r>
        <w:rPr>
          <w:b w:val="0"/>
          <w:noProof/>
        </w:rPr>
        <w:t xml:space="preserve"> Această inițiativă va combina măsurile practice de prevenire și intervenție cu o platformă la nivelul UE pentru colaborare și schimb de cunoștințe. Setul de instrumente va oferi autorităților naționale, cadrelor didactice, lucrătorilor comunitari și actorilor societății civile instrumente bazate pe dovezi pentru detectarea timpurie, intervenție și consolidarea rezilienței</w:t>
      </w:r>
      <w:r>
        <w:rPr>
          <w:noProof/>
          <w:sz w:val="22"/>
        </w:rPr>
        <w:t xml:space="preserve"> </w:t>
      </w:r>
      <w:r>
        <w:rPr>
          <w:b w:val="0"/>
          <w:noProof/>
        </w:rPr>
        <w:t>pentru a preveni recrutarea de către grupurile infracționale a minorilor din comunitățile expuse riscurilor</w:t>
      </w:r>
      <w:r>
        <w:rPr>
          <w:noProof/>
        </w:rPr>
        <w:t>.</w:t>
      </w:r>
      <w:r>
        <w:rPr>
          <w:b w:val="0"/>
          <w:noProof/>
        </w:rPr>
        <w:t xml:space="preserve"> În paralel, Comunitatea de Practică va reuni factorii de decizie, practicienii, cercetătorii și autoritățile de aplicare a legii pentru a face schimb de bune practici relevante, pentru a alinia strategiile și pentru a promova intervenții inovatoare și eficace. </w:t>
      </w:r>
    </w:p>
    <w:p w14:paraId="016F2FBD" w14:textId="77777777" w:rsidR="00CD3D3D" w:rsidRPr="00CB4B7C" w:rsidRDefault="00CD3D3D" w:rsidP="00934C06">
      <w:pPr>
        <w:pStyle w:val="Subject"/>
        <w:tabs>
          <w:tab w:val="left" w:pos="3948"/>
        </w:tabs>
        <w:ind w:left="0" w:firstLine="0"/>
        <w:jc w:val="both"/>
        <w:rPr>
          <w:b w:val="0"/>
          <w:noProof/>
        </w:rPr>
      </w:pPr>
    </w:p>
    <w:p w14:paraId="135AAE23" w14:textId="0202B6D0" w:rsidR="00934C06" w:rsidRPr="00CB4B7C" w:rsidRDefault="6E520B7D" w:rsidP="00934C06">
      <w:pPr>
        <w:pStyle w:val="Subject"/>
        <w:tabs>
          <w:tab w:val="left" w:pos="3948"/>
        </w:tabs>
        <w:ind w:left="0" w:firstLine="0"/>
        <w:jc w:val="both"/>
        <w:rPr>
          <w:b w:val="0"/>
          <w:noProof/>
        </w:rPr>
      </w:pPr>
      <w:r>
        <w:rPr>
          <w:b w:val="0"/>
          <w:noProof/>
        </w:rPr>
        <w:t xml:space="preserve">Recunoscând rolul dimensiunii digitale, se va elabora un pachet de cunoștințe specifice pentru platformele online, în cooperare cu furnizorii de tehnologie și cu experții în domeniul protecției copilului, ca parte a Forumului UE pentru internet, sprijinind detectarea și raportarea în timp real a tentativelor de recrutare. </w:t>
      </w:r>
    </w:p>
    <w:p w14:paraId="47C95A79" w14:textId="3D2BF77E" w:rsidR="005203A6" w:rsidRPr="00CB4B7C" w:rsidRDefault="00BB7883" w:rsidP="00BB7883">
      <w:pPr>
        <w:pStyle w:val="Style2"/>
        <w:rPr>
          <w:noProof/>
        </w:rPr>
      </w:pPr>
      <w:r>
        <w:rPr>
          <w:noProof/>
        </w:rPr>
        <w:t xml:space="preserve"> Consolidarea cooperării dintre autoritățile de aplicare a legii, sistemul judiciar și autoritățile vamale </w:t>
      </w:r>
    </w:p>
    <w:p w14:paraId="2B9C5554" w14:textId="77777777" w:rsidR="00331813" w:rsidRPr="00CB4B7C" w:rsidRDefault="00331813" w:rsidP="00331813">
      <w:pPr>
        <w:pStyle w:val="Style2"/>
        <w:numPr>
          <w:ilvl w:val="0"/>
          <w:numId w:val="0"/>
        </w:numPr>
        <w:ind w:left="1494"/>
        <w:rPr>
          <w:noProof/>
        </w:rPr>
      </w:pPr>
    </w:p>
    <w:p w14:paraId="6CEA071D" w14:textId="2E3FA511" w:rsidR="00F7356E" w:rsidRPr="00CB4B7C" w:rsidRDefault="0C2D0CFE" w:rsidP="190431D8">
      <w:pPr>
        <w:pBdr>
          <w:top w:val="single" w:sz="4" w:space="0" w:color="auto"/>
          <w:left w:val="single" w:sz="4" w:space="4" w:color="auto"/>
          <w:bottom w:val="single" w:sz="4" w:space="1" w:color="auto"/>
          <w:right w:val="single" w:sz="4" w:space="4" w:color="auto"/>
        </w:pBdr>
        <w:jc w:val="both"/>
        <w:rPr>
          <w:rFonts w:ascii="Times New Roman" w:hAnsi="Times New Roman" w:cs="Times New Roman"/>
          <w:i/>
          <w:iCs/>
          <w:noProof/>
          <w:sz w:val="24"/>
          <w:szCs w:val="24"/>
        </w:rPr>
      </w:pPr>
      <w:r>
        <w:rPr>
          <w:rFonts w:ascii="Times New Roman" w:hAnsi="Times New Roman"/>
          <w:i/>
          <w:noProof/>
          <w:sz w:val="24"/>
        </w:rPr>
        <w:t xml:space="preserve">Statele membre trebuie să consolideze în continuare cooperarea dintre autoritățile vamale, autoritățile de aplicare a legii și autoritățile judiciare. O astfel de cooperare ar trebui să se bazeze pe un cadru juridic al UE eficace și orientat spre viitor. Implementarea tehnologiilor de detectare de nouă generație și creșterea capacităților de combatere a traficului online și a celui din închisori vor contribui la dezmembrarea rețelelor de trafic de droguri. </w:t>
      </w:r>
    </w:p>
    <w:p w14:paraId="7FE29B5B" w14:textId="5CA15322" w:rsidR="00DE2825" w:rsidRPr="00CB4B7C" w:rsidRDefault="602EB2EE" w:rsidP="00E5277A">
      <w:pPr>
        <w:pStyle w:val="Subject"/>
        <w:tabs>
          <w:tab w:val="left" w:pos="3948"/>
        </w:tabs>
        <w:spacing w:after="240"/>
        <w:ind w:left="0" w:firstLine="0"/>
        <w:contextualSpacing w:val="0"/>
        <w:jc w:val="both"/>
        <w:rPr>
          <w:b w:val="0"/>
          <w:noProof/>
        </w:rPr>
      </w:pPr>
      <w:r>
        <w:rPr>
          <w:b w:val="0"/>
          <w:noProof/>
        </w:rPr>
        <w:t>Cooperarea eficace și coordonată între autoritățile de aplicare a legii, sistemul judiciar și autoritățile vamale este esențială pentru răspunsul UE împotriva rețelelor de trafic de droguri. Organizațiile criminale exploatează lacunele în ceea ce privește schimbul de informații și coordonarea dintre autoritățile naționale și cele ale UE și utilizează cadre juridice diferite pentru a reduce la minimum riscurile în materie de asigurare a respectării legii și de urmărire penală. În același timp, aceste rețele utilizează canalele digitale și adesea își continuă operațiunile chiar și din închisori, ceea ce reprezintă o provocare semnificativă pentru autorități.</w:t>
      </w:r>
    </w:p>
    <w:p w14:paraId="2AE6954F" w14:textId="1766510F" w:rsidR="00301AD8" w:rsidRPr="00CB4B7C" w:rsidRDefault="2297757A" w:rsidP="3329D114">
      <w:pPr>
        <w:spacing w:after="0" w:line="252" w:lineRule="auto"/>
        <w:jc w:val="both"/>
        <w:rPr>
          <w:rFonts w:ascii="Times New Roman" w:hAnsi="Times New Roman" w:cs="Times New Roman"/>
          <w:b/>
          <w:bCs/>
          <w:i/>
          <w:iCs/>
          <w:noProof/>
          <w:sz w:val="24"/>
          <w:szCs w:val="24"/>
        </w:rPr>
      </w:pPr>
      <w:r>
        <w:rPr>
          <w:rFonts w:ascii="Times New Roman" w:hAnsi="Times New Roman"/>
          <w:b/>
          <w:i/>
          <w:noProof/>
          <w:sz w:val="24"/>
        </w:rPr>
        <w:t>Acțiunea 8: îmbunătățirea cooperării și a schimbului de informații dintre autoritățile vamale, autoritățile de aplicare a legii și autoritățile judiciare</w:t>
      </w:r>
    </w:p>
    <w:p w14:paraId="6AFAB3F0" w14:textId="77777777" w:rsidR="00301AD8" w:rsidRPr="004A7C78" w:rsidRDefault="00301AD8" w:rsidP="00301AD8">
      <w:pPr>
        <w:pStyle w:val="ListParagraph"/>
        <w:spacing w:after="0" w:line="252" w:lineRule="auto"/>
        <w:ind w:left="360"/>
        <w:jc w:val="both"/>
        <w:rPr>
          <w:rFonts w:ascii="Times New Roman" w:hAnsi="Times New Roman" w:cs="Times New Roman"/>
          <w:i/>
          <w:noProof/>
          <w:sz w:val="24"/>
          <w:lang w:val="fr-BE"/>
        </w:rPr>
      </w:pPr>
    </w:p>
    <w:p w14:paraId="2ED5FFE4" w14:textId="70C7353C" w:rsidR="00301AD8" w:rsidRPr="00CB4B7C" w:rsidRDefault="00301AD8" w:rsidP="009D5C5F">
      <w:pPr>
        <w:spacing w:after="240" w:line="252" w:lineRule="auto"/>
        <w:jc w:val="both"/>
        <w:rPr>
          <w:rFonts w:ascii="Times New Roman" w:hAnsi="Times New Roman" w:cs="Times New Roman"/>
          <w:i/>
          <w:noProof/>
          <w:sz w:val="24"/>
        </w:rPr>
      </w:pPr>
      <w:r>
        <w:rPr>
          <w:rFonts w:ascii="Times New Roman" w:hAnsi="Times New Roman"/>
          <w:i/>
          <w:noProof/>
          <w:sz w:val="24"/>
        </w:rPr>
        <w:t>Actori principali: statele membre, Comisia, Europol, Eurojust, Parchetul European, Oficiul European de Luptă Antifraudă, Autoritatea UE pentru Combaterea Spălării Banilor, Frontex</w:t>
      </w:r>
    </w:p>
    <w:p w14:paraId="011A8D66" w14:textId="6CFC89F6" w:rsidR="00633028" w:rsidRPr="00CB4B7C" w:rsidRDefault="0CD74BFE" w:rsidP="009D5C5F">
      <w:pPr>
        <w:pStyle w:val="Subject"/>
        <w:tabs>
          <w:tab w:val="left" w:pos="3948"/>
        </w:tabs>
        <w:spacing w:after="240"/>
        <w:ind w:left="0" w:firstLine="0"/>
        <w:contextualSpacing w:val="0"/>
        <w:jc w:val="both"/>
        <w:rPr>
          <w:b w:val="0"/>
          <w:noProof/>
        </w:rPr>
      </w:pPr>
      <w:r>
        <w:rPr>
          <w:b w:val="0"/>
          <w:noProof/>
        </w:rPr>
        <w:t xml:space="preserve">O cooperare eficace și coordonată în materie de asigurare a respectării legii, judiciară și vamală necesită un schimb eficient de informații între diferitele autorități implicate. Cu toate acestea, posibilitățile actuale pentru un astfel de schimb de informații sunt insuficient utilizate de autoritățile relevante. Aceste deficiențe slăbesc capacitatea colectivă a UE de a detecta și de a perturba rutele din ce în ce mai complexe de trafic de droguri, permițând traficanților să profite de lacunele din sistem. </w:t>
      </w:r>
    </w:p>
    <w:p w14:paraId="0B6D409F" w14:textId="64E338A6" w:rsidR="002926FE" w:rsidRPr="00CB4B7C" w:rsidRDefault="32D0BF58" w:rsidP="009D5C5F">
      <w:pPr>
        <w:pStyle w:val="Subject"/>
        <w:tabs>
          <w:tab w:val="left" w:pos="3948"/>
        </w:tabs>
        <w:spacing w:after="240"/>
        <w:ind w:left="0" w:firstLine="0"/>
        <w:contextualSpacing w:val="0"/>
        <w:jc w:val="both"/>
        <w:rPr>
          <w:b w:val="0"/>
          <w:noProof/>
        </w:rPr>
      </w:pPr>
      <w:r>
        <w:rPr>
          <w:b w:val="0"/>
          <w:noProof/>
        </w:rPr>
        <w:t xml:space="preserve">Consolidarea și utilizarea deplină a mecanismelor existente sunt vitale pentru a asigura schimburi de informații fără sincope și în timp util între autoritățile de aplicare a legii și autoritățile vamale la nivel național și la nivelul UE, în conformitate cu cadrele juridice. Aceasta include consolidarea capacităților analitice pentru a îmbunătăți detectarea modelelor suspecte, a metodelor de disimulare și a vulnerabilităților din lanțurile de aprovizionare prin utilizarea datelor colectate din diferite sisteme, cum ar fi sistemul UE de control al importurilor 2 pentru fluxurile de intrare. Acest lucru va consolida, la rândul său, eficacitatea sistemelor de informații prealabile privind transportul de marfă și de gestionare a riscurilor, în cadrul cărora statele membre ale UE evaluează în comun riscurile transporturilor care intră în UE pe rute maritime, aeriene și terestre. </w:t>
      </w:r>
    </w:p>
    <w:p w14:paraId="20D0C071" w14:textId="641493DC" w:rsidR="0072043F" w:rsidRPr="00CB4B7C" w:rsidRDefault="57700297" w:rsidP="009D5C5F">
      <w:pPr>
        <w:pStyle w:val="Subject"/>
        <w:tabs>
          <w:tab w:val="left" w:pos="3948"/>
        </w:tabs>
        <w:spacing w:after="240"/>
        <w:ind w:left="0" w:firstLine="0"/>
        <w:contextualSpacing w:val="0"/>
        <w:jc w:val="both"/>
        <w:rPr>
          <w:b w:val="0"/>
          <w:noProof/>
        </w:rPr>
      </w:pPr>
      <w:r>
        <w:rPr>
          <w:b w:val="0"/>
          <w:noProof/>
        </w:rPr>
        <w:t xml:space="preserve">Coordonarea consolidată nu numai că va îmbunătăți răspunsurile operaționale în timp real, ci va sprijini, de asemenea, tabloul informațiilor pe termen lung necesar pentru combaterea strategică a rețelelor de trafic. Principalii actori, care includ autoritățile vamale ale UE, Europol, Eurojust, Parchetul European, Oficiul European de Luptă Antifraudă, Autoritatea UE pentru Combaterea Spălării Banilor și Frontex, ar trebui să contribuie cu datele lor la analiza comună. </w:t>
      </w:r>
    </w:p>
    <w:p w14:paraId="62AA4E7F" w14:textId="29DCE427" w:rsidR="00633028" w:rsidRPr="00CB4B7C" w:rsidRDefault="00633028" w:rsidP="00633028">
      <w:pPr>
        <w:spacing w:after="0" w:line="252" w:lineRule="auto"/>
        <w:jc w:val="both"/>
        <w:rPr>
          <w:rFonts w:ascii="Times New Roman" w:hAnsi="Times New Roman" w:cs="Times New Roman"/>
          <w:b/>
          <w:i/>
          <w:noProof/>
          <w:sz w:val="24"/>
        </w:rPr>
      </w:pPr>
      <w:r>
        <w:rPr>
          <w:rFonts w:ascii="Times New Roman" w:hAnsi="Times New Roman"/>
          <w:b/>
          <w:i/>
          <w:noProof/>
          <w:sz w:val="24"/>
        </w:rPr>
        <w:t>Acțiunea 9: implementarea unor tehnologii inovatoare de detectare pentru combaterea traficului de droguri</w:t>
      </w:r>
    </w:p>
    <w:p w14:paraId="5AC4B405" w14:textId="77777777" w:rsidR="00633028" w:rsidRPr="004A7C78" w:rsidRDefault="00633028" w:rsidP="00633028">
      <w:pPr>
        <w:spacing w:after="0" w:line="252" w:lineRule="auto"/>
        <w:jc w:val="both"/>
        <w:rPr>
          <w:rFonts w:ascii="Times New Roman" w:hAnsi="Times New Roman" w:cs="Times New Roman"/>
          <w:i/>
          <w:noProof/>
          <w:sz w:val="24"/>
          <w:lang w:val="fr-BE"/>
        </w:rPr>
      </w:pPr>
    </w:p>
    <w:p w14:paraId="41258BB6" w14:textId="4FB7C7E5" w:rsidR="00633028" w:rsidRPr="00CB4B7C" w:rsidRDefault="00633028" w:rsidP="009D5C5F">
      <w:pPr>
        <w:spacing w:after="240" w:line="252" w:lineRule="auto"/>
        <w:jc w:val="both"/>
        <w:rPr>
          <w:rFonts w:ascii="Times New Roman" w:hAnsi="Times New Roman" w:cs="Times New Roman"/>
          <w:i/>
          <w:noProof/>
          <w:sz w:val="24"/>
        </w:rPr>
      </w:pPr>
      <w:r>
        <w:rPr>
          <w:rFonts w:ascii="Times New Roman" w:hAnsi="Times New Roman"/>
          <w:i/>
          <w:noProof/>
          <w:sz w:val="24"/>
        </w:rPr>
        <w:t xml:space="preserve">Actori principali: Comisia, statele membre </w:t>
      </w:r>
    </w:p>
    <w:p w14:paraId="0575FA9C" w14:textId="7803ADFB" w:rsidR="00633028" w:rsidRPr="00CB4B7C" w:rsidRDefault="33F527A6" w:rsidP="003E7819">
      <w:pPr>
        <w:pStyle w:val="Subject"/>
        <w:tabs>
          <w:tab w:val="left" w:pos="3948"/>
        </w:tabs>
        <w:spacing w:after="240"/>
        <w:ind w:left="0" w:firstLine="0"/>
        <w:contextualSpacing w:val="0"/>
        <w:jc w:val="both"/>
        <w:rPr>
          <w:b w:val="0"/>
          <w:noProof/>
        </w:rPr>
      </w:pPr>
      <w:r>
        <w:rPr>
          <w:b w:val="0"/>
          <w:noProof/>
        </w:rPr>
        <w:t>Pentru a contracara metodele sofisticate ale traficului de droguri, este esențial să se sprijine implementarea unor tehnologii avansate de detectare care să abordeze tendințele infracționale transfrontaliere în continuă evoluție și să răspundă nevoilor practice ale autorităților din prima linie. Pe măsură ce traficanții își perfecționează în permanență tehnicile de disimulare și exploatează lacunele tehnologice, dotarea autorităților vamale, de control la frontiere și a agențiilor de aplicare a legii cu instrumente de vârf asigură faptul că UE rămâne cu un pas înainte în combaterea acestor amenințări.</w:t>
      </w:r>
    </w:p>
    <w:p w14:paraId="08E95EDA" w14:textId="535C30A5" w:rsidR="00FB4CD7" w:rsidRPr="00CB4B7C" w:rsidRDefault="006673E1" w:rsidP="003E7819">
      <w:pPr>
        <w:pStyle w:val="Subject"/>
        <w:tabs>
          <w:tab w:val="left" w:pos="3948"/>
        </w:tabs>
        <w:spacing w:after="240"/>
        <w:ind w:left="0" w:firstLine="0"/>
        <w:contextualSpacing w:val="0"/>
        <w:jc w:val="both"/>
        <w:rPr>
          <w:b w:val="0"/>
          <w:noProof/>
        </w:rPr>
      </w:pPr>
      <w:r>
        <w:rPr>
          <w:b w:val="0"/>
          <w:noProof/>
        </w:rPr>
        <w:t xml:space="preserve">Comisia și statele membre vor acorda prioritate finanțării pentru implementarea tehnologiilor avansate de detectare și monitorizare în zonele cu risc ridicat și în nodurile de transport pentru un impact maxim. Se va pune accentul pe sisteme avansate de scanare cu capacități analitice bazate pe IA și pe integrarea echipamentelor inovatoare de detectare din sectorul public și cel privat în instrumentele bazate pe IA de stabilire a profilului de risc utilizate de autoritățile naționale care supraveghează bunurile și mijloacele de transport. </w:t>
      </w:r>
    </w:p>
    <w:p w14:paraId="588F32C2" w14:textId="6579A3E8" w:rsidR="00B14936" w:rsidRPr="00CB4B7C" w:rsidRDefault="4FF94A0B" w:rsidP="00B14936">
      <w:pPr>
        <w:pStyle w:val="Subject"/>
        <w:tabs>
          <w:tab w:val="left" w:pos="3948"/>
        </w:tabs>
        <w:spacing w:after="240"/>
        <w:ind w:left="0" w:firstLine="0"/>
        <w:contextualSpacing w:val="0"/>
        <w:jc w:val="both"/>
        <w:rPr>
          <w:b w:val="0"/>
          <w:noProof/>
        </w:rPr>
      </w:pPr>
      <w:r>
        <w:rPr>
          <w:b w:val="0"/>
          <w:noProof/>
        </w:rPr>
        <w:t>Finanțarea ar trebui să sprijine, de asemenea, utilizarea unor instrumente precum imaginile prin satelit de înaltă rezoluție, pseudosateliții de mare altitudine, sistemele de informații geospațiale și dronele aeriene sau semi-submersibile pentru a detecta și a cartografia producția și activitățile de trafic de droguri ilicite. Aceste tehnologii ar urma să îmbunătățească monitorizarea coridoarelor de trafic, a laboratoarelor de droguri, a zonelor de cultivare a plantelor pentru producția de droguri și a hotspoturilor transfrontaliere, cu contribuții strategice din partea Europol, EUDA, SatCen și a altor agenții relevante ale UE. Foaia de parcurs europeană pentru transformarea industriei apărării</w:t>
      </w:r>
      <w:r>
        <w:rPr>
          <w:rStyle w:val="FootnoteReference0"/>
          <w:b w:val="0"/>
          <w:noProof/>
          <w:lang w:val="en-US"/>
        </w:rPr>
        <w:footnoteReference w:id="10"/>
      </w:r>
      <w:r>
        <w:rPr>
          <w:b w:val="0"/>
          <w:noProof/>
        </w:rPr>
        <w:t xml:space="preserve"> oferă, de asemenea, un cadru care va aduce beneficii aplicațiilor cu dublă utilizare, inclusiv în domeniul combaterii traficului de droguri.</w:t>
      </w:r>
    </w:p>
    <w:p w14:paraId="34F59BD6" w14:textId="51CEF35A" w:rsidR="00301AD8" w:rsidRPr="00CB4B7C" w:rsidRDefault="00301AD8" w:rsidP="004A58F7">
      <w:pPr>
        <w:spacing w:after="0" w:line="252" w:lineRule="auto"/>
        <w:jc w:val="both"/>
        <w:rPr>
          <w:rFonts w:ascii="Times New Roman" w:hAnsi="Times New Roman" w:cs="Times New Roman"/>
          <w:i/>
          <w:noProof/>
          <w:sz w:val="24"/>
        </w:rPr>
      </w:pPr>
      <w:bookmarkStart w:id="8" w:name="_Hlk212031307"/>
      <w:r>
        <w:rPr>
          <w:rFonts w:ascii="Times New Roman" w:hAnsi="Times New Roman"/>
          <w:b/>
          <w:i/>
          <w:noProof/>
          <w:sz w:val="24"/>
        </w:rPr>
        <w:t>Acțiunea 10: consolidarea capacităților de combatere a traficului online de droguri</w:t>
      </w:r>
    </w:p>
    <w:p w14:paraId="57439722" w14:textId="77777777" w:rsidR="004A58F7" w:rsidRPr="004A7C78" w:rsidRDefault="004A58F7" w:rsidP="00301AD8">
      <w:pPr>
        <w:spacing w:after="0" w:line="252" w:lineRule="auto"/>
        <w:jc w:val="both"/>
        <w:rPr>
          <w:rFonts w:ascii="Times New Roman" w:hAnsi="Times New Roman" w:cs="Times New Roman"/>
          <w:i/>
          <w:noProof/>
          <w:sz w:val="24"/>
          <w:lang w:val="fr-BE"/>
        </w:rPr>
      </w:pPr>
    </w:p>
    <w:p w14:paraId="4D683CAE" w14:textId="5D6E93AC" w:rsidR="00301AD8" w:rsidRPr="00CB4B7C" w:rsidRDefault="00301AD8" w:rsidP="009D5C5F">
      <w:pPr>
        <w:spacing w:after="240" w:line="252" w:lineRule="auto"/>
        <w:jc w:val="both"/>
        <w:rPr>
          <w:rFonts w:ascii="Times New Roman" w:hAnsi="Times New Roman" w:cs="Times New Roman"/>
          <w:i/>
          <w:noProof/>
          <w:sz w:val="24"/>
        </w:rPr>
      </w:pPr>
      <w:r>
        <w:rPr>
          <w:rFonts w:ascii="Times New Roman" w:hAnsi="Times New Roman"/>
          <w:i/>
          <w:noProof/>
          <w:sz w:val="24"/>
        </w:rPr>
        <w:t>Actori principali: Europol, Agenția Uniunii Europene pentru Formare în Materie de Aplicare a Legii (CEPOL), EUDA, Comisia</w:t>
      </w:r>
    </w:p>
    <w:p w14:paraId="258F99A7" w14:textId="551D63D6" w:rsidR="00A91593" w:rsidRPr="00CB4B7C" w:rsidRDefault="2F4E5B11" w:rsidP="009D5C5F">
      <w:pPr>
        <w:pStyle w:val="Subject"/>
        <w:tabs>
          <w:tab w:val="left" w:pos="3948"/>
        </w:tabs>
        <w:spacing w:after="240"/>
        <w:ind w:left="0" w:firstLine="0"/>
        <w:contextualSpacing w:val="0"/>
        <w:jc w:val="both"/>
        <w:rPr>
          <w:b w:val="0"/>
          <w:noProof/>
        </w:rPr>
      </w:pPr>
      <w:r>
        <w:rPr>
          <w:b w:val="0"/>
          <w:noProof/>
        </w:rPr>
        <w:t xml:space="preserve">Traficul de droguri este facilitat din ce în ce mai mult prin mijloace digitale. Autoritățile de aplicare a legii trebuie să dispună de instrumentele și competențele necesare pentru a detecta, a investiga și a neutraliza aceste metode infracționale în continuă evoluție. Ca răspuns, UE va acorda prioritate consolidării capacităților online de monitorizare și intervenție ale autorităților de aplicare a legii. </w:t>
      </w:r>
    </w:p>
    <w:p w14:paraId="53FA1F61" w14:textId="0929D82D" w:rsidR="00967496" w:rsidRPr="00CB4B7C" w:rsidRDefault="6C318D4C" w:rsidP="009D5C5F">
      <w:pPr>
        <w:pStyle w:val="Subject"/>
        <w:tabs>
          <w:tab w:val="left" w:pos="3948"/>
        </w:tabs>
        <w:spacing w:after="240"/>
        <w:ind w:left="0" w:firstLine="0"/>
        <w:contextualSpacing w:val="0"/>
        <w:jc w:val="both"/>
        <w:rPr>
          <w:b w:val="0"/>
          <w:noProof/>
        </w:rPr>
      </w:pPr>
      <w:r>
        <w:rPr>
          <w:b w:val="0"/>
          <w:noProof/>
        </w:rPr>
        <w:t xml:space="preserve">Europol ar trebui să ofere sprijin operațional extins statelor membre, inclusiv pentru a monitoriza în mod sistematic piețele drogurilor, pentru a analiza și a semnala activitățile suspecte, reflectând, de asemenea, contribuțiile analitice și de monitorizare din partea EUDA. În paralel, CEPOL ar trebui să ofere programe de formare avansate și specializate menite să consolideze cunoștințele de specialitate la nivel național în ceea ce privește identificarea și combaterea activităților legate de droguri în cadrul platformelor digitale. </w:t>
      </w:r>
    </w:p>
    <w:p w14:paraId="3E0D4E47" w14:textId="5CE6890A" w:rsidR="007410DE" w:rsidRPr="00CB4B7C" w:rsidRDefault="665E5A7C" w:rsidP="009D5C5F">
      <w:pPr>
        <w:pStyle w:val="Subject"/>
        <w:tabs>
          <w:tab w:val="left" w:pos="3948"/>
        </w:tabs>
        <w:spacing w:after="240"/>
        <w:ind w:left="0" w:firstLine="0"/>
        <w:contextualSpacing w:val="0"/>
        <w:jc w:val="both"/>
        <w:rPr>
          <w:b w:val="0"/>
          <w:noProof/>
        </w:rPr>
      </w:pPr>
      <w:r>
        <w:rPr>
          <w:b w:val="0"/>
          <w:noProof/>
        </w:rPr>
        <w:t>Asigurarea respectării obligațiilor de diligență ale intermediarilor online în temeiul Regulamentului privind serviciile digitale, atât de către statele membre, cât și de către Comisie, va fi esențială pentru abordarea aspectelor online ale traficului de droguri. În plus, cooperarea cu sectorul privat ar trebui consolidată prin intermediul Forumului UE pentru internet. UE ar trebui să depună eforturi în vederea elaborării unui protocol de cooperare cu companiile tehnologice implicate în Forumul UE pentru internet, care să stabilească puncte de contact și angajamente pentru a include traficul de droguri în termenii lor de referință și în procesele de moderare a conținutului.</w:t>
      </w:r>
    </w:p>
    <w:p w14:paraId="36D16003" w14:textId="1AA18AF0" w:rsidR="00A91593" w:rsidRPr="00CB4B7C" w:rsidRDefault="6C318D4C" w:rsidP="009D5C5F">
      <w:pPr>
        <w:pStyle w:val="Subject"/>
        <w:tabs>
          <w:tab w:val="left" w:pos="3948"/>
        </w:tabs>
        <w:spacing w:after="240"/>
        <w:ind w:left="0" w:firstLine="0"/>
        <w:contextualSpacing w:val="0"/>
        <w:jc w:val="both"/>
        <w:rPr>
          <w:b w:val="0"/>
          <w:noProof/>
        </w:rPr>
      </w:pPr>
      <w:r>
        <w:rPr>
          <w:b w:val="0"/>
          <w:noProof/>
        </w:rPr>
        <w:t>Această abordare multidimensională, care combină consolidarea capacității operaționale, supravegherea și cooperarea eficace cu sectorul privat și formarea de înaltă calitate, va permite autorităților de aplicare a legii din întreaga UE să combată mai eficace traficul de droguri prin intermediul canalelor online, să destructureze piețele infracționale digitale și să țină pasul cu evoluția rapidă a tehnicilor de trafic.</w:t>
      </w:r>
    </w:p>
    <w:bookmarkEnd w:id="8"/>
    <w:p w14:paraId="4172598E" w14:textId="6E0B451E" w:rsidR="00301AD8" w:rsidRPr="00CB4B7C" w:rsidRDefault="00301AD8" w:rsidP="00301AD8">
      <w:pPr>
        <w:spacing w:after="0" w:line="252" w:lineRule="auto"/>
        <w:jc w:val="both"/>
        <w:rPr>
          <w:rFonts w:ascii="Times New Roman" w:hAnsi="Times New Roman" w:cs="Times New Roman"/>
          <w:b/>
          <w:i/>
          <w:noProof/>
          <w:sz w:val="24"/>
        </w:rPr>
      </w:pPr>
      <w:r>
        <w:rPr>
          <w:rFonts w:ascii="Times New Roman" w:hAnsi="Times New Roman"/>
          <w:b/>
          <w:i/>
          <w:noProof/>
          <w:sz w:val="24"/>
        </w:rPr>
        <w:t>Acțiunea 11: neutralizarea traficului de droguri derulat din închisori și în cadrul acestora</w:t>
      </w:r>
    </w:p>
    <w:p w14:paraId="5AE28243" w14:textId="77777777" w:rsidR="00301AD8" w:rsidRPr="004A7C78" w:rsidRDefault="00301AD8" w:rsidP="00301AD8">
      <w:pPr>
        <w:pStyle w:val="ListParagraph"/>
        <w:spacing w:after="0" w:line="252" w:lineRule="auto"/>
        <w:ind w:left="360"/>
        <w:jc w:val="both"/>
        <w:rPr>
          <w:rFonts w:ascii="Times New Roman" w:hAnsi="Times New Roman" w:cs="Times New Roman"/>
          <w:i/>
          <w:noProof/>
          <w:sz w:val="24"/>
          <w:lang w:val="fr-BE"/>
        </w:rPr>
      </w:pPr>
    </w:p>
    <w:p w14:paraId="3EAC30D6" w14:textId="239C3B73" w:rsidR="00301AD8" w:rsidRPr="00CB4B7C" w:rsidRDefault="00301AD8" w:rsidP="009D5C5F">
      <w:pPr>
        <w:spacing w:after="240" w:line="252" w:lineRule="auto"/>
        <w:jc w:val="both"/>
        <w:rPr>
          <w:rFonts w:ascii="Times New Roman" w:hAnsi="Times New Roman" w:cs="Times New Roman"/>
          <w:i/>
          <w:noProof/>
          <w:sz w:val="24"/>
        </w:rPr>
      </w:pPr>
      <w:r>
        <w:rPr>
          <w:rFonts w:ascii="Times New Roman" w:hAnsi="Times New Roman"/>
          <w:i/>
          <w:noProof/>
          <w:sz w:val="24"/>
        </w:rPr>
        <w:t>Actori principali: EuroPris, EUDA, statele membre</w:t>
      </w:r>
    </w:p>
    <w:p w14:paraId="6B229D3D" w14:textId="39F65A9D" w:rsidR="00030AC8" w:rsidRPr="00CB4B7C" w:rsidRDefault="556B767D" w:rsidP="00AD3D09">
      <w:pPr>
        <w:pStyle w:val="Subject"/>
        <w:tabs>
          <w:tab w:val="left" w:pos="3948"/>
        </w:tabs>
        <w:spacing w:after="240"/>
        <w:ind w:left="0" w:firstLine="0"/>
        <w:contextualSpacing w:val="0"/>
        <w:jc w:val="both"/>
        <w:rPr>
          <w:b w:val="0"/>
          <w:noProof/>
        </w:rPr>
      </w:pPr>
      <w:r>
        <w:rPr>
          <w:b w:val="0"/>
          <w:noProof/>
        </w:rPr>
        <w:t>Închisorile ar trebui să îi izoleze pe infractori de rețelele infracționale, însă mulți traficanți importanți continuă să orchestreze operațiunile legate de droguri din spatele gratiilor. Utilizarea abuzivă a canalelor de comunicare, exploatarea vizitatorilor și coordonarea cu complici din afară pun sub semnul întrebării integritatea sistemului de justiție și siguranța publică. Uneori, grupurile infracționale organizate intimidează, mituiesc sau amenință personalul din penitenciare, punându-i în pericol siguranța și subminând, de asemenea, integritatea instituțională și eforturile de reabilitare. Pentru a aborda aceste probleme, Organizația Europeană a Serviciilor Penitenciare și Corecționale (EuroPris)</w:t>
      </w:r>
      <w:r>
        <w:rPr>
          <w:rStyle w:val="FootnoteReference0"/>
          <w:b w:val="0"/>
          <w:noProof/>
        </w:rPr>
        <w:footnoteReference w:id="11"/>
      </w:r>
      <w:r>
        <w:rPr>
          <w:b w:val="0"/>
          <w:noProof/>
        </w:rPr>
        <w:t xml:space="preserve"> va conduce o inițiativă de cartografiere a provocărilor actuale și de identificare a bunelor practici în întreaga UE pentru neutralizarea activității infracționale din cadrul sistemelor penitenciare.</w:t>
      </w:r>
    </w:p>
    <w:p w14:paraId="29F71B02" w14:textId="2022F38C" w:rsidR="00030AC8" w:rsidRPr="00CB4B7C" w:rsidRDefault="00030AC8" w:rsidP="009D5C5F">
      <w:pPr>
        <w:pStyle w:val="Subject"/>
        <w:tabs>
          <w:tab w:val="left" w:pos="3948"/>
        </w:tabs>
        <w:spacing w:after="240"/>
        <w:ind w:left="0" w:firstLine="0"/>
        <w:contextualSpacing w:val="0"/>
        <w:jc w:val="both"/>
        <w:rPr>
          <w:b w:val="0"/>
          <w:noProof/>
        </w:rPr>
      </w:pPr>
      <w:r>
        <w:rPr>
          <w:b w:val="0"/>
          <w:noProof/>
        </w:rPr>
        <w:t>Această inițiativă va oferi o imagine de ansamblu cuprinzătoare a abordărilor juridice, operaționale și tehnologice existente utilizate de statele membre pentru a preveni și a investiga continuarea traficului de droguri și a altor forme de criminalitate organizată din închisori. Organizația va analiza, de asemenea, eficacitatea unor măsuri precum controlul securizat al comunicațiilor, schimbul de informații dintre autoritățile penitenciare și autoritățile de aplicare a legii, formarea personalului și sistemele de clasificare a riscurilor legate de infractori.</w:t>
      </w:r>
    </w:p>
    <w:p w14:paraId="07D3DA4C" w14:textId="5EDDA1C9" w:rsidR="00030AC8" w:rsidRPr="00CB4B7C" w:rsidRDefault="5D1C643A" w:rsidP="009D5C5F">
      <w:pPr>
        <w:pStyle w:val="Subject"/>
        <w:tabs>
          <w:tab w:val="left" w:pos="3948"/>
        </w:tabs>
        <w:spacing w:after="240"/>
        <w:ind w:left="0" w:firstLine="0"/>
        <w:contextualSpacing w:val="0"/>
        <w:jc w:val="both"/>
        <w:rPr>
          <w:b w:val="0"/>
          <w:noProof/>
        </w:rPr>
      </w:pPr>
      <w:r>
        <w:rPr>
          <w:b w:val="0"/>
          <w:noProof/>
        </w:rPr>
        <w:t>În completarea eforturilor mai ample ale UE de combatere a criminalității organizate, EuroPris va facilita elaborarea și diseminarea de orientări practice, ajutând statele membre să adopte cele mai eficace instrumente. Pentru a încuraja învățarea reciprocă și a consolida capacitatea instituțională, EuroPris va organiza activități specifice pe teme precum bruierea telefoanelor mobile, gestionarea infractorilor cu risc ridicat și cooperarea dintre agenții.</w:t>
      </w:r>
    </w:p>
    <w:p w14:paraId="656A3C6C" w14:textId="3DC33161" w:rsidR="00030AC8" w:rsidRPr="00CB4B7C" w:rsidRDefault="5D1C643A" w:rsidP="009D5C5F">
      <w:pPr>
        <w:pStyle w:val="Subject"/>
        <w:tabs>
          <w:tab w:val="left" w:pos="3948"/>
        </w:tabs>
        <w:spacing w:after="240"/>
        <w:ind w:left="0" w:firstLine="0"/>
        <w:contextualSpacing w:val="0"/>
        <w:jc w:val="both"/>
        <w:rPr>
          <w:b w:val="0"/>
          <w:noProof/>
        </w:rPr>
      </w:pPr>
      <w:r>
        <w:rPr>
          <w:b w:val="0"/>
          <w:noProof/>
        </w:rPr>
        <w:t>Acțiunea urmărește să împiedice funcționarea închisorilor drept centre de comandă pentru traficul de droguri, neutralizând astfel rețelele infracționale și consolidând statul de drept în interiorul și în afara zidurilor închisorilor.</w:t>
      </w:r>
    </w:p>
    <w:p w14:paraId="7ECFB6AF" w14:textId="7E689C20" w:rsidR="00C3398C" w:rsidRPr="00CB4B7C" w:rsidRDefault="00C3398C" w:rsidP="00C3398C">
      <w:pPr>
        <w:spacing w:after="0" w:line="252" w:lineRule="auto"/>
        <w:jc w:val="both"/>
        <w:rPr>
          <w:rFonts w:ascii="Times New Roman" w:hAnsi="Times New Roman" w:cs="Times New Roman"/>
          <w:b/>
          <w:bCs/>
          <w:i/>
          <w:iCs/>
          <w:noProof/>
          <w:sz w:val="24"/>
          <w:szCs w:val="24"/>
        </w:rPr>
      </w:pPr>
      <w:r>
        <w:rPr>
          <w:rFonts w:ascii="Times New Roman" w:hAnsi="Times New Roman"/>
          <w:b/>
          <w:i/>
          <w:noProof/>
          <w:sz w:val="24"/>
        </w:rPr>
        <w:t>Acțiunea 12: evaluarea cadrului juridic al UE privind traficul de droguri</w:t>
      </w:r>
    </w:p>
    <w:p w14:paraId="01A04220" w14:textId="77777777" w:rsidR="00C3398C" w:rsidRPr="004A7C78" w:rsidRDefault="00C3398C" w:rsidP="00C3398C">
      <w:pPr>
        <w:pStyle w:val="ListParagraph"/>
        <w:spacing w:after="0" w:line="252" w:lineRule="auto"/>
        <w:ind w:left="360"/>
        <w:jc w:val="both"/>
        <w:rPr>
          <w:rFonts w:ascii="Times New Roman" w:hAnsi="Times New Roman" w:cs="Times New Roman"/>
          <w:i/>
          <w:noProof/>
          <w:sz w:val="24"/>
          <w:lang w:val="fr-BE"/>
        </w:rPr>
      </w:pPr>
    </w:p>
    <w:p w14:paraId="7C15847D" w14:textId="77777777" w:rsidR="00C3398C" w:rsidRPr="00CB4B7C" w:rsidRDefault="00C3398C" w:rsidP="009D5C5F">
      <w:pPr>
        <w:spacing w:after="240" w:line="252" w:lineRule="auto"/>
        <w:jc w:val="both"/>
        <w:rPr>
          <w:rFonts w:ascii="Times New Roman" w:hAnsi="Times New Roman" w:cs="Times New Roman"/>
          <w:i/>
          <w:noProof/>
          <w:sz w:val="24"/>
        </w:rPr>
      </w:pPr>
      <w:r>
        <w:rPr>
          <w:rFonts w:ascii="Times New Roman" w:hAnsi="Times New Roman"/>
          <w:i/>
          <w:noProof/>
          <w:sz w:val="24"/>
        </w:rPr>
        <w:t>Actori principali: Comisia, Parlamentul și Consiliul</w:t>
      </w:r>
    </w:p>
    <w:p w14:paraId="58B44DE0" w14:textId="7408E95B" w:rsidR="00B561B9" w:rsidRPr="000A0A97" w:rsidRDefault="005B3E54" w:rsidP="008D50A4">
      <w:pPr>
        <w:pStyle w:val="Subject"/>
        <w:tabs>
          <w:tab w:val="left" w:pos="3948"/>
        </w:tabs>
        <w:spacing w:after="240"/>
        <w:ind w:left="0" w:firstLine="0"/>
        <w:contextualSpacing w:val="0"/>
        <w:jc w:val="both"/>
        <w:rPr>
          <w:rFonts w:eastAsiaTheme="minorEastAsia"/>
          <w:b w:val="0"/>
          <w:noProof/>
          <w:sz w:val="22"/>
          <w:szCs w:val="22"/>
        </w:rPr>
      </w:pPr>
      <w:r>
        <w:rPr>
          <w:b w:val="0"/>
          <w:noProof/>
        </w:rPr>
        <w:t>Având în vedere caracterul evolutiv al traficului de droguri în întreaga UE, este esențial să se mențină eficacitatea cadrului juridic al UE. Comisia realizează în prezent o evaluare a Deciziei-cadru 2004/757/JAI, care</w:t>
      </w:r>
      <w:r>
        <w:rPr>
          <w:noProof/>
          <w:color w:val="333333"/>
          <w:sz w:val="21"/>
          <w:shd w:val="clear" w:color="auto" w:fill="FFFFFF"/>
        </w:rPr>
        <w:t xml:space="preserve"> </w:t>
      </w:r>
      <w:r>
        <w:rPr>
          <w:b w:val="0"/>
          <w:noProof/>
        </w:rPr>
        <w:t>stabilește dispozițiile minime privind elementele constitutive ale infracțiunilor și sancțiunile aplicabile în domeniul traficului ilicit de droguri, constatările acestei evaluări fiind așteptate în 2026</w:t>
      </w:r>
      <w:r>
        <w:rPr>
          <w:noProof/>
        </w:rPr>
        <w:t>.</w:t>
      </w:r>
      <w:r>
        <w:rPr>
          <w:b w:val="0"/>
          <w:noProof/>
        </w:rPr>
        <w:t xml:space="preserve"> În cadrul acestei evaluări, se va analiza dacă legislația UE abordează în mod eficace peisajul infracțional actual, în care traficul de droguri implică nu numai contrabanda transfrontalieră, ci, adesea, violența sistemică, exploatarea, corupția și infiltrarea la nivelul sistemelor și a instituțiilor juridice.</w:t>
      </w:r>
      <w:r>
        <w:rPr>
          <w:b w:val="0"/>
          <w:noProof/>
          <w:sz w:val="22"/>
        </w:rPr>
        <w:t xml:space="preserve"> </w:t>
      </w:r>
    </w:p>
    <w:p w14:paraId="734DBF34" w14:textId="6DA3C7F7" w:rsidR="00C3398C" w:rsidRPr="00CB4B7C" w:rsidRDefault="00BF6F29" w:rsidP="009D5C5F">
      <w:pPr>
        <w:pStyle w:val="Subject"/>
        <w:tabs>
          <w:tab w:val="left" w:pos="3948"/>
        </w:tabs>
        <w:spacing w:after="240"/>
        <w:ind w:left="0" w:firstLine="0"/>
        <w:contextualSpacing w:val="0"/>
        <w:jc w:val="both"/>
        <w:rPr>
          <w:b w:val="0"/>
          <w:noProof/>
        </w:rPr>
      </w:pPr>
      <w:r>
        <w:rPr>
          <w:b w:val="0"/>
          <w:noProof/>
        </w:rPr>
        <w:t>Cea de a 11-a rundă de evaluare reciprocă</w:t>
      </w:r>
      <w:r>
        <w:rPr>
          <w:rStyle w:val="FootnoteReference0"/>
          <w:b w:val="0"/>
          <w:noProof/>
        </w:rPr>
        <w:footnoteReference w:id="12"/>
      </w:r>
      <w:r>
        <w:rPr>
          <w:b w:val="0"/>
          <w:noProof/>
        </w:rPr>
        <w:t xml:space="preserve">, aflată în desfășurare, se axează pe combaterea traficului transfrontalier de droguri ilicite în cadrul UE. Pe baza constatărilor evaluării în curs și a rezultatelor evaluării reciproce a Consiliului privind traficul de droguri, Comisia poate lua în considerare o revizuire a cadrului juridic existent. </w:t>
      </w:r>
    </w:p>
    <w:p w14:paraId="5EF25E98" w14:textId="36E20C79" w:rsidR="005203A6" w:rsidRPr="00CB4B7C" w:rsidRDefault="00680937" w:rsidP="00680937">
      <w:pPr>
        <w:pStyle w:val="Style2"/>
        <w:rPr>
          <w:noProof/>
        </w:rPr>
      </w:pPr>
      <w:r>
        <w:rPr>
          <w:noProof/>
        </w:rPr>
        <w:t xml:space="preserve"> Abordarea provocării reprezentate de drogurile sintetice și de precursorii de droguri </w:t>
      </w:r>
    </w:p>
    <w:p w14:paraId="034B57B7" w14:textId="77777777" w:rsidR="00F7356E" w:rsidRPr="00CB4B7C" w:rsidRDefault="00F7356E" w:rsidP="00F7356E">
      <w:pPr>
        <w:pStyle w:val="Style2"/>
        <w:numPr>
          <w:ilvl w:val="0"/>
          <w:numId w:val="0"/>
        </w:numPr>
        <w:ind w:left="1494"/>
        <w:rPr>
          <w:noProof/>
        </w:rPr>
      </w:pPr>
    </w:p>
    <w:p w14:paraId="4EEBD902" w14:textId="46678C40" w:rsidR="00F449EB" w:rsidRPr="00CB4B7C" w:rsidRDefault="0C2D0CFE" w:rsidP="190431D8">
      <w:pPr>
        <w:pBdr>
          <w:top w:val="single" w:sz="4" w:space="0" w:color="auto"/>
          <w:left w:val="single" w:sz="4" w:space="4" w:color="auto"/>
          <w:bottom w:val="single" w:sz="4" w:space="1" w:color="auto"/>
          <w:right w:val="single" w:sz="4" w:space="4" w:color="auto"/>
        </w:pBdr>
        <w:jc w:val="both"/>
        <w:rPr>
          <w:rFonts w:ascii="Times New Roman" w:hAnsi="Times New Roman" w:cs="Times New Roman"/>
          <w:i/>
          <w:iCs/>
          <w:noProof/>
          <w:sz w:val="24"/>
          <w:szCs w:val="24"/>
        </w:rPr>
      </w:pPr>
      <w:r>
        <w:rPr>
          <w:rFonts w:ascii="Times New Roman" w:hAnsi="Times New Roman"/>
          <w:i/>
          <w:noProof/>
          <w:sz w:val="24"/>
        </w:rPr>
        <w:t>UE și statele membre ar trebui să își intensifice eforturile de combatere a amenințării tot mai mari reprezentate de drogurile sintetice prin eliminarea lacunelor juridice exploatate de traficanți, prin îmbunătățirea identificării substanțelor emergente și prin întreprinderea unor măsuri sigure și coordonate pentru a desființa laboratoarele ilicite. Aceste acțiuni sunt esențiale pentru a consolida reziliența UE, pentru a proteja sănătatea publică, pentru a reduce daunele de mediu și pentru a consolida capacitatea UE de a contracara evoluția rapidă a pieței drogurilor sintetice.</w:t>
      </w:r>
    </w:p>
    <w:p w14:paraId="0FFC612E" w14:textId="46C3ACFA" w:rsidR="000B7900" w:rsidRPr="00CB4B7C" w:rsidRDefault="2F9FA7DE" w:rsidP="009D5C5F">
      <w:pPr>
        <w:pStyle w:val="Subject"/>
        <w:tabs>
          <w:tab w:val="left" w:pos="3948"/>
        </w:tabs>
        <w:spacing w:after="240"/>
        <w:ind w:left="0" w:firstLine="0"/>
        <w:contextualSpacing w:val="0"/>
        <w:jc w:val="both"/>
        <w:rPr>
          <w:b w:val="0"/>
          <w:noProof/>
        </w:rPr>
      </w:pPr>
      <w:r>
        <w:rPr>
          <w:b w:val="0"/>
          <w:noProof/>
        </w:rPr>
        <w:t xml:space="preserve">Prezența tot mai mare a drogurilor sintetice în UE subliniază provocările actuale în ceea ce privește pregătirea pentru contracararea noilor substanțe psihoactive extrem de potente care prezintă riscuri grave pentru sănătate. Aceste substanțe evoluează rapid și sunt adesea produse în laboratoare ascunse, utilizând pre-precursori care eludează controalele existente. Diferențele dintre statele membre în ceea ce privește capacitățile de detectare și cadrele juridice, împreună cu abordările diferite în ceea ce privește desființarea laboratoarelor ilicite, creează provocări suplimentare pentru un răspuns eficace și coordonat al UE. </w:t>
      </w:r>
    </w:p>
    <w:p w14:paraId="03083A04" w14:textId="14A57830" w:rsidR="00680937" w:rsidRPr="00CB4B7C" w:rsidRDefault="00680937" w:rsidP="00BB7883">
      <w:pPr>
        <w:spacing w:before="240" w:after="0" w:line="252" w:lineRule="auto"/>
        <w:jc w:val="both"/>
        <w:rPr>
          <w:rFonts w:ascii="Times New Roman" w:hAnsi="Times New Roman" w:cs="Times New Roman"/>
          <w:b/>
          <w:i/>
          <w:noProof/>
          <w:sz w:val="24"/>
        </w:rPr>
      </w:pPr>
      <w:r>
        <w:rPr>
          <w:rFonts w:ascii="Times New Roman" w:hAnsi="Times New Roman"/>
          <w:b/>
          <w:i/>
          <w:noProof/>
          <w:sz w:val="24"/>
        </w:rPr>
        <w:t>Acțiunea 13: eliminarea lacunelor juridice privind pre-precursorii</w:t>
      </w:r>
    </w:p>
    <w:p w14:paraId="6DA664D9" w14:textId="77777777" w:rsidR="00680937" w:rsidRPr="00CB4B7C" w:rsidRDefault="00680937" w:rsidP="00680937">
      <w:pPr>
        <w:pStyle w:val="ListParagraph"/>
        <w:spacing w:after="0" w:line="252" w:lineRule="auto"/>
        <w:ind w:left="360"/>
        <w:jc w:val="both"/>
        <w:rPr>
          <w:rFonts w:ascii="Times New Roman" w:hAnsi="Times New Roman" w:cs="Times New Roman"/>
          <w:i/>
          <w:noProof/>
          <w:sz w:val="24"/>
          <w:lang w:val="en-GB"/>
        </w:rPr>
      </w:pPr>
    </w:p>
    <w:p w14:paraId="2377B7EC" w14:textId="1AB7C263" w:rsidR="00680937" w:rsidRPr="00CB4B7C" w:rsidRDefault="00680937" w:rsidP="009D5C5F">
      <w:pPr>
        <w:spacing w:after="240" w:line="252" w:lineRule="auto"/>
        <w:jc w:val="both"/>
        <w:rPr>
          <w:rFonts w:ascii="Times New Roman" w:eastAsia="Times New Roman" w:hAnsi="Times New Roman" w:cs="Times New Roman"/>
          <w:i/>
          <w:iCs/>
          <w:noProof/>
          <w:sz w:val="24"/>
          <w:szCs w:val="24"/>
        </w:rPr>
      </w:pPr>
      <w:r>
        <w:rPr>
          <w:rFonts w:ascii="Times New Roman" w:hAnsi="Times New Roman"/>
          <w:i/>
          <w:noProof/>
          <w:sz w:val="24"/>
        </w:rPr>
        <w:t>Actori principali: Comisia, statele membre, Parlamentul și Consiliul</w:t>
      </w:r>
    </w:p>
    <w:p w14:paraId="7189EA81" w14:textId="258DE250" w:rsidR="00A400B5" w:rsidRPr="00CB4B7C" w:rsidRDefault="00A400B5" w:rsidP="009D5C5F">
      <w:pPr>
        <w:pStyle w:val="Subject"/>
        <w:tabs>
          <w:tab w:val="left" w:pos="3948"/>
        </w:tabs>
        <w:spacing w:after="240"/>
        <w:ind w:left="0" w:firstLine="0"/>
        <w:contextualSpacing w:val="0"/>
        <w:jc w:val="both"/>
        <w:rPr>
          <w:b w:val="0"/>
          <w:noProof/>
        </w:rPr>
      </w:pPr>
      <w:r>
        <w:rPr>
          <w:b w:val="0"/>
          <w:noProof/>
        </w:rPr>
        <w:t>Gradul de sofisticare a producției de droguri sintetice în UE a crescut, iar rețelele infracționale exploatează lacunele juridice prin utilizarea pre-precursorilor. Aceste substanțe sunt similare din punct de vedere chimic cu precursorii clasificați, dar nu au utilizări legitime în afara domeniului cercetării și al inovării. Prin utilizarea pre-precursorilor care nu intră sub incidența măsurilor de control existente, traficanții pot susține producția la scară largă și pot eluda acțiunile de detectare și de asigurare a respectării legii.</w:t>
      </w:r>
    </w:p>
    <w:p w14:paraId="52F64708" w14:textId="4F5AE72F" w:rsidR="00A400B5" w:rsidRPr="00CB4B7C" w:rsidRDefault="1EF24003" w:rsidP="009D5C5F">
      <w:pPr>
        <w:pStyle w:val="Subject"/>
        <w:tabs>
          <w:tab w:val="left" w:pos="3948"/>
        </w:tabs>
        <w:spacing w:after="240"/>
        <w:ind w:left="0" w:firstLine="0"/>
        <w:contextualSpacing w:val="0"/>
        <w:jc w:val="both"/>
        <w:rPr>
          <w:b w:val="0"/>
          <w:noProof/>
        </w:rPr>
      </w:pPr>
      <w:r>
        <w:rPr>
          <w:b w:val="0"/>
          <w:noProof/>
        </w:rPr>
        <w:t>Pentru a remedia lacunele juridice, Comisia invită colegiuitorii să acorde prioritate adoptării unui cadru juridic revizuit privind precursorii de droguri</w:t>
      </w:r>
      <w:r>
        <w:rPr>
          <w:rStyle w:val="FootnoteReference0"/>
          <w:b w:val="0"/>
          <w:noProof/>
        </w:rPr>
        <w:footnoteReference w:id="13"/>
      </w:r>
      <w:r>
        <w:rPr>
          <w:b w:val="0"/>
          <w:noProof/>
        </w:rPr>
        <w:t xml:space="preserve">. Acest cadru urmărește să depășească limitările sistemului actual și să răspundă mai bine tacticilor în continuă evoluție ale rețelelor infracționale. Cadrul va introduce norme specifice pentru pre-precursori, protejând în același timp comerțul legal și sprijinind cercetarea și inovarea legitime care implică aceste substanțe. Un registru de informații va pune la dispoziția autorităților și a operatorilor economici informații privind substanțele care pot servi drept precursori, chiar dacă nu sunt enumerate în anexele la noul regulament privind precursorii de droguri, consolidând capacitatea de răspuns a autorităților naționale și ajutând industria să identifice tranzacțiile suspecte. </w:t>
      </w:r>
    </w:p>
    <w:p w14:paraId="4D0FD499" w14:textId="1CEC6B93" w:rsidR="00A400B5" w:rsidRPr="00CB4B7C" w:rsidRDefault="00241740" w:rsidP="008D56BA">
      <w:pPr>
        <w:pStyle w:val="Subject"/>
        <w:tabs>
          <w:tab w:val="left" w:pos="3948"/>
        </w:tabs>
        <w:spacing w:after="240"/>
        <w:ind w:left="0" w:firstLine="0"/>
        <w:contextualSpacing w:val="0"/>
        <w:jc w:val="both"/>
        <w:rPr>
          <w:b w:val="0"/>
          <w:noProof/>
        </w:rPr>
      </w:pPr>
      <w:r>
        <w:rPr>
          <w:b w:val="0"/>
          <w:noProof/>
        </w:rPr>
        <w:t>În același timp, Comisia va consolida cooperarea structurată cu industria chimică, recunoscând rolul vital al acesteia în detectarea și prevenirea deturnării substanțelor legale către producția de droguri ilicite.</w:t>
      </w:r>
    </w:p>
    <w:p w14:paraId="72EDECC3" w14:textId="34EFF3F0" w:rsidR="00680937" w:rsidRPr="00CB4B7C" w:rsidRDefault="58DD0293" w:rsidP="5F5AE16B">
      <w:pPr>
        <w:spacing w:after="0" w:line="252" w:lineRule="auto"/>
        <w:jc w:val="both"/>
        <w:rPr>
          <w:rFonts w:ascii="Times New Roman" w:hAnsi="Times New Roman" w:cs="Times New Roman"/>
          <w:b/>
          <w:i/>
          <w:noProof/>
          <w:sz w:val="24"/>
          <w:szCs w:val="24"/>
        </w:rPr>
      </w:pPr>
      <w:r>
        <w:rPr>
          <w:rFonts w:ascii="Times New Roman" w:hAnsi="Times New Roman"/>
          <w:b/>
          <w:i/>
          <w:noProof/>
          <w:sz w:val="24"/>
        </w:rPr>
        <w:t>Acțiunea 14: îmbunătățirea identificării substanțelor în vederea interceptării eficace a drogurilor și a precursorilor de droguri</w:t>
      </w:r>
    </w:p>
    <w:p w14:paraId="2CA0F1E6" w14:textId="77777777" w:rsidR="00680937" w:rsidRPr="004A7C78" w:rsidRDefault="00680937" w:rsidP="00680937">
      <w:pPr>
        <w:pStyle w:val="ListParagraph"/>
        <w:spacing w:after="0" w:line="252" w:lineRule="auto"/>
        <w:ind w:left="360"/>
        <w:jc w:val="both"/>
        <w:rPr>
          <w:rFonts w:ascii="Times New Roman" w:hAnsi="Times New Roman" w:cs="Times New Roman"/>
          <w:i/>
          <w:noProof/>
          <w:sz w:val="24"/>
        </w:rPr>
      </w:pPr>
    </w:p>
    <w:p w14:paraId="356CBE2D" w14:textId="16A16717" w:rsidR="00680937" w:rsidRPr="00CB4B7C" w:rsidRDefault="00680937" w:rsidP="009D5C5F">
      <w:pPr>
        <w:spacing w:after="240" w:line="252" w:lineRule="auto"/>
        <w:jc w:val="both"/>
        <w:rPr>
          <w:rFonts w:ascii="Times New Roman" w:hAnsi="Times New Roman" w:cs="Times New Roman"/>
          <w:i/>
          <w:iCs/>
          <w:noProof/>
          <w:sz w:val="24"/>
          <w:szCs w:val="24"/>
        </w:rPr>
      </w:pPr>
      <w:r>
        <w:rPr>
          <w:rFonts w:ascii="Times New Roman" w:hAnsi="Times New Roman"/>
          <w:i/>
          <w:noProof/>
          <w:sz w:val="24"/>
        </w:rPr>
        <w:t xml:space="preserve">Actori principali: EUDA, statele membre </w:t>
      </w:r>
    </w:p>
    <w:p w14:paraId="2946A593" w14:textId="5883BCC6" w:rsidR="00A400B5" w:rsidRPr="00CB4B7C" w:rsidRDefault="1EF24003" w:rsidP="009D5C5F">
      <w:pPr>
        <w:pStyle w:val="Subject"/>
        <w:tabs>
          <w:tab w:val="left" w:pos="3948"/>
        </w:tabs>
        <w:spacing w:after="240"/>
        <w:ind w:left="0" w:firstLine="0"/>
        <w:contextualSpacing w:val="0"/>
        <w:jc w:val="both"/>
        <w:rPr>
          <w:b w:val="0"/>
          <w:noProof/>
        </w:rPr>
      </w:pPr>
      <w:r>
        <w:rPr>
          <w:b w:val="0"/>
          <w:noProof/>
        </w:rPr>
        <w:t xml:space="preserve">Identificarea precisă și în timp util a substanțelor ilicite este esențială pentru eforturile eficace de interceptare a drogurilor la frontiere și în cadrul pieței interne. Pe măsură ce rețelele infracționale continuă să diversifice compoziția chimică a drogurilor, în special a celor sintetice, autoritățile vamale și de aplicare a legii se confruntă cu provocări din ce în ce mai mari în ceea ce privește detectarea și clasificarea, inclusiv identificarea pre-precursorilor. </w:t>
      </w:r>
    </w:p>
    <w:p w14:paraId="164AC296" w14:textId="69147084" w:rsidR="00A400B5" w:rsidRPr="00CB4B7C" w:rsidRDefault="2B625178" w:rsidP="009D5C5F">
      <w:pPr>
        <w:pStyle w:val="Subject"/>
        <w:tabs>
          <w:tab w:val="left" w:pos="3948"/>
        </w:tabs>
        <w:spacing w:after="240"/>
        <w:ind w:left="0" w:firstLine="0"/>
        <w:contextualSpacing w:val="0"/>
        <w:jc w:val="both"/>
        <w:rPr>
          <w:b w:val="0"/>
          <w:noProof/>
        </w:rPr>
      </w:pPr>
      <w:r>
        <w:rPr>
          <w:b w:val="0"/>
          <w:noProof/>
        </w:rPr>
        <w:t>Pentru a aborda acest aspect, EUDA va colabora cu noua sa rețea europeană de laboratoare pentru a crea la nivelul UE o bază de date cuprinzătoare privind substanțele, care să fie utilizată ca material de referință. Această bază de date va conține semnături chimice verificate, date spectrale și profiluri analitice atât ale substanțelor psihoactive controlate, cât și ale celor emergente, precum și ale precursorilor de droguri și ale potențialilor precursori.</w:t>
      </w:r>
    </w:p>
    <w:p w14:paraId="4D17A139" w14:textId="0D99007B" w:rsidR="00A400B5" w:rsidRPr="00CB4B7C" w:rsidRDefault="6FD5E2ED" w:rsidP="00AB6F4B">
      <w:pPr>
        <w:pStyle w:val="Subject"/>
        <w:tabs>
          <w:tab w:val="left" w:pos="3948"/>
        </w:tabs>
        <w:spacing w:after="240"/>
        <w:ind w:left="0" w:firstLine="0"/>
        <w:contextualSpacing w:val="0"/>
        <w:jc w:val="both"/>
        <w:rPr>
          <w:b w:val="0"/>
          <w:noProof/>
        </w:rPr>
      </w:pPr>
      <w:r>
        <w:rPr>
          <w:b w:val="0"/>
          <w:noProof/>
        </w:rPr>
        <w:t>Odată ce va deveni operațională, baza de date le va permite autorităților de aplicare a legii și autorităților vamale din statele membre să efectueze o identificare mai rapidă și mai precisă la fața locului a drogurilor și a precursorilor cu ajutorul echipamentelor de detectare electronică, inclusiv al tehnologiilor portabile și de laborator. Prin asigurarea accesului în timp real la date de referință armonizate, biblioteca de substanțe va reduce la minimum întârzierile în identificarea substanțelor, va spori precizia criminalistică și va consolida valoarea probatorie în cadrul procedurilor judiciare. Implementarea la scară mai largă a dispozitivelor portabile de detectare în întreaga UE pentru personalul autorităților de aplicare a legii și personalul vamal va amplifica și mai mult impactul acestei inițiative.</w:t>
      </w:r>
    </w:p>
    <w:p w14:paraId="03C12AB1" w14:textId="235C632D" w:rsidR="00680937" w:rsidRPr="00CB4B7C" w:rsidRDefault="00680937" w:rsidP="00680937">
      <w:pPr>
        <w:spacing w:after="0" w:line="252" w:lineRule="auto"/>
        <w:jc w:val="both"/>
        <w:rPr>
          <w:rFonts w:ascii="Times New Roman" w:hAnsi="Times New Roman" w:cs="Times New Roman"/>
          <w:b/>
          <w:i/>
          <w:noProof/>
          <w:sz w:val="24"/>
        </w:rPr>
      </w:pPr>
      <w:r>
        <w:rPr>
          <w:rFonts w:ascii="Times New Roman" w:hAnsi="Times New Roman"/>
          <w:b/>
          <w:i/>
          <w:noProof/>
          <w:sz w:val="24"/>
        </w:rPr>
        <w:t>Acțiunea 15: furnizarea unui manual comun pentru desființarea locurilor de producție a drogurilor sintetice ilicite</w:t>
      </w:r>
    </w:p>
    <w:p w14:paraId="248F82D2" w14:textId="77777777" w:rsidR="00680937" w:rsidRPr="004A7C78" w:rsidRDefault="00680937" w:rsidP="00680937">
      <w:pPr>
        <w:pStyle w:val="ListParagraph"/>
        <w:spacing w:after="0" w:line="252" w:lineRule="auto"/>
        <w:ind w:left="360"/>
        <w:jc w:val="both"/>
        <w:rPr>
          <w:rFonts w:ascii="Times New Roman" w:hAnsi="Times New Roman" w:cs="Times New Roman"/>
          <w:i/>
          <w:noProof/>
          <w:sz w:val="24"/>
        </w:rPr>
      </w:pPr>
    </w:p>
    <w:p w14:paraId="309A86CF" w14:textId="37D5A6E0" w:rsidR="00680937" w:rsidRPr="00CB4B7C" w:rsidRDefault="00680937" w:rsidP="009D5C5F">
      <w:pPr>
        <w:spacing w:after="240" w:line="252" w:lineRule="auto"/>
        <w:jc w:val="both"/>
        <w:rPr>
          <w:rFonts w:ascii="Times New Roman" w:hAnsi="Times New Roman" w:cs="Times New Roman"/>
          <w:i/>
          <w:iCs/>
          <w:noProof/>
          <w:sz w:val="24"/>
          <w:szCs w:val="24"/>
        </w:rPr>
      </w:pPr>
      <w:r>
        <w:rPr>
          <w:rFonts w:ascii="Times New Roman" w:hAnsi="Times New Roman"/>
          <w:i/>
          <w:noProof/>
          <w:sz w:val="24"/>
        </w:rPr>
        <w:t xml:space="preserve">Actori principali: Europol, EUDA, CEPOL, statele membre </w:t>
      </w:r>
    </w:p>
    <w:p w14:paraId="546A6400" w14:textId="26DE72E7" w:rsidR="00F97DEC" w:rsidRPr="00CB4B7C" w:rsidRDefault="00C00B9D" w:rsidP="009D5C5F">
      <w:pPr>
        <w:pStyle w:val="Subject"/>
        <w:tabs>
          <w:tab w:val="left" w:pos="3948"/>
        </w:tabs>
        <w:spacing w:after="240"/>
        <w:ind w:left="0" w:firstLine="0"/>
        <w:contextualSpacing w:val="0"/>
        <w:jc w:val="both"/>
        <w:rPr>
          <w:b w:val="0"/>
          <w:noProof/>
        </w:rPr>
      </w:pPr>
      <w:r>
        <w:rPr>
          <w:b w:val="0"/>
          <w:noProof/>
        </w:rPr>
        <w:t>Desființarea laboratoarelor clandestine de droguri sintetice prezintă provocări semnificative, având în vedere complexitatea și volatilitatea substanțelor chimice, precum și riscurile pentru sănătatea publică, personalul autorităților de aplicare a legii și mediu. Aceste laboratoare utilizează adesea echipamente improvizate și depozitează precursori chimici periculoși sau subproduse toxice care necesită manipulare specializată.</w:t>
      </w:r>
    </w:p>
    <w:p w14:paraId="3C704FDD" w14:textId="51A93317" w:rsidR="00A720B7" w:rsidRPr="00F27F7E" w:rsidRDefault="7642D906" w:rsidP="00A720B7">
      <w:pPr>
        <w:pStyle w:val="Subject"/>
        <w:tabs>
          <w:tab w:val="left" w:pos="3948"/>
        </w:tabs>
        <w:ind w:left="0" w:firstLine="0"/>
        <w:jc w:val="both"/>
        <w:rPr>
          <w:b w:val="0"/>
          <w:noProof/>
        </w:rPr>
      </w:pPr>
      <w:r>
        <w:rPr>
          <w:b w:val="0"/>
          <w:noProof/>
        </w:rPr>
        <w:t>Pentru a asigura un răspuns coerent, sigur și eficace al UE, Europol, în colaborare cu EUDA, va elabora orientări armonizate pentru desființarea laboratoarelor de droguri sintetice ilicite, transportul substanțelor și eliminarea în condiții de siguranță a substanțelor chimice conexe, în conformitate cu Concluziile Consiliului privind Pactul din 2025 de combatere a drogurilor sintetice și a noilor substanțe psihoactive</w:t>
      </w:r>
      <w:r>
        <w:rPr>
          <w:rStyle w:val="FootnoteReference0"/>
          <w:b w:val="0"/>
          <w:noProof/>
        </w:rPr>
        <w:footnoteReference w:id="14"/>
      </w:r>
      <w:r>
        <w:rPr>
          <w:b w:val="0"/>
          <w:noProof/>
        </w:rPr>
        <w:t xml:space="preserve">. Aceste orientări vor stabili protocoale standard aplicabile în toate statele membre, indiferent de infrastructura locală sau de diferențele în materie de resurse. În plus, statele membre sunt încurajate să valorifice cunoștințele de specialitate ale Europol și să asigure o formare adecvată pentru autoritățile de aplicare a legii, inclusiv prin intermediul CEPOL. </w:t>
      </w:r>
    </w:p>
    <w:p w14:paraId="4511CE5B" w14:textId="3BB4958C" w:rsidR="53598B0E" w:rsidRPr="004A7C78" w:rsidRDefault="53598B0E" w:rsidP="00170B09">
      <w:pPr>
        <w:pStyle w:val="Subject"/>
        <w:tabs>
          <w:tab w:val="left" w:pos="3948"/>
        </w:tabs>
        <w:spacing w:after="240"/>
        <w:ind w:left="0" w:firstLine="0"/>
        <w:contextualSpacing w:val="0"/>
        <w:jc w:val="both"/>
        <w:rPr>
          <w:b w:val="0"/>
          <w:noProof/>
          <w:lang w:val="fr-BE"/>
        </w:rPr>
      </w:pPr>
    </w:p>
    <w:p w14:paraId="7810F960" w14:textId="59E9214C" w:rsidR="005203A6" w:rsidRPr="00CB4B7C" w:rsidRDefault="009C0CCD" w:rsidP="00680937">
      <w:pPr>
        <w:pStyle w:val="Style2"/>
        <w:rPr>
          <w:noProof/>
        </w:rPr>
      </w:pPr>
      <w:r>
        <w:rPr>
          <w:b w:val="0"/>
          <w:noProof/>
        </w:rPr>
        <w:t xml:space="preserve"> </w:t>
      </w:r>
      <w:r>
        <w:rPr>
          <w:noProof/>
        </w:rPr>
        <w:t>Promovarea cercetării, a dezvoltării și a inovării</w:t>
      </w:r>
    </w:p>
    <w:p w14:paraId="60505C27" w14:textId="77777777" w:rsidR="00680937" w:rsidRPr="00CB4B7C" w:rsidRDefault="00680937" w:rsidP="005D202C">
      <w:pPr>
        <w:pStyle w:val="Style2"/>
        <w:numPr>
          <w:ilvl w:val="0"/>
          <w:numId w:val="0"/>
        </w:numPr>
        <w:rPr>
          <w:noProof/>
        </w:rPr>
      </w:pPr>
    </w:p>
    <w:p w14:paraId="10919C13" w14:textId="60A15C9A" w:rsidR="00F7356E" w:rsidRPr="00CB4B7C" w:rsidRDefault="0C2D0CFE" w:rsidP="190431D8">
      <w:pPr>
        <w:pBdr>
          <w:top w:val="single" w:sz="4" w:space="0" w:color="auto"/>
          <w:left w:val="single" w:sz="4" w:space="4" w:color="auto"/>
          <w:bottom w:val="single" w:sz="4" w:space="1" w:color="auto"/>
          <w:right w:val="single" w:sz="4" w:space="4" w:color="auto"/>
        </w:pBdr>
        <w:jc w:val="both"/>
        <w:rPr>
          <w:rFonts w:ascii="Times New Roman" w:hAnsi="Times New Roman" w:cs="Times New Roman"/>
          <w:i/>
          <w:iCs/>
          <w:noProof/>
          <w:sz w:val="24"/>
          <w:szCs w:val="24"/>
        </w:rPr>
      </w:pPr>
      <w:r>
        <w:rPr>
          <w:rFonts w:ascii="Times New Roman" w:hAnsi="Times New Roman"/>
          <w:i/>
          <w:noProof/>
          <w:sz w:val="24"/>
        </w:rPr>
        <w:t xml:space="preserve">UE și statele membre ar trebui să elimine decalajul dintre cerințele în materie de asigurare a respectării legii și inovarea în domeniul securității. Aceasta include identificarea nevoilor tehnologice prioritare și alinierea eforturilor de cercetare și ale industriei. Această abordare va asigura faptul că instrumentele și soluțiile de vârf sprijină în mod direct acțiunile din prima linie împotriva criminalității organizate și a traficului de droguri. </w:t>
      </w:r>
    </w:p>
    <w:p w14:paraId="6DF97EAC" w14:textId="50DF2C4F" w:rsidR="00A31FBF" w:rsidRPr="00CB4B7C" w:rsidRDefault="00557B71" w:rsidP="009D5C5F">
      <w:pPr>
        <w:pStyle w:val="Subject"/>
        <w:tabs>
          <w:tab w:val="left" w:pos="3948"/>
        </w:tabs>
        <w:spacing w:after="240"/>
        <w:ind w:left="0" w:firstLine="0"/>
        <w:contextualSpacing w:val="0"/>
        <w:jc w:val="both"/>
        <w:rPr>
          <w:b w:val="0"/>
          <w:noProof/>
        </w:rPr>
      </w:pPr>
      <w:r>
        <w:rPr>
          <w:b w:val="0"/>
          <w:noProof/>
        </w:rPr>
        <w:t xml:space="preserve">Raportul Europol de evaluare a amenințării pe care o reprezintă formele grave de criminalitate și criminalitatea organizată în Uniunea Europeană subliniază adaptabilitatea grupurilor infracționale organizate implicate în traficul de droguri. Rețelele adoptă rapid noi tehnici de producție, metode de disimulare și tehnologii emergente pentru a-și extinde operațiunile și pentru a evita detectarea. Autoritățile de aplicare a legii și autoritățile vamale se confruntă cu provocări din ce în ce mai mari în ceea ce privește adaptarea la această agilitate tehnologică. Decalajul dintre inovarea infracțională și răspunsurile în materie de securitate duce la vulnerabilități pe care traficanții le pot exploata. </w:t>
      </w:r>
    </w:p>
    <w:p w14:paraId="14ED1E83" w14:textId="447F1D6E" w:rsidR="00434748" w:rsidRPr="00CB4B7C" w:rsidRDefault="00434748" w:rsidP="5184F081">
      <w:pPr>
        <w:spacing w:after="0" w:line="252" w:lineRule="auto"/>
        <w:jc w:val="both"/>
        <w:rPr>
          <w:rFonts w:ascii="Times New Roman" w:hAnsi="Times New Roman" w:cs="Times New Roman"/>
          <w:b/>
          <w:bCs/>
          <w:i/>
          <w:iCs/>
          <w:noProof/>
          <w:sz w:val="24"/>
          <w:szCs w:val="24"/>
        </w:rPr>
      </w:pPr>
      <w:r>
        <w:rPr>
          <w:rFonts w:ascii="Times New Roman" w:hAnsi="Times New Roman"/>
          <w:b/>
          <w:i/>
          <w:noProof/>
          <w:sz w:val="24"/>
        </w:rPr>
        <w:t>Acțiunea 16: alinierea inovării la necesitățile operaționale de combatere a traficului de droguri</w:t>
      </w:r>
    </w:p>
    <w:p w14:paraId="67B84BB3" w14:textId="77777777" w:rsidR="00434748" w:rsidRPr="004A7C78" w:rsidRDefault="00434748" w:rsidP="00434748">
      <w:pPr>
        <w:pStyle w:val="ListParagraph"/>
        <w:spacing w:after="0" w:line="252" w:lineRule="auto"/>
        <w:ind w:left="360"/>
        <w:jc w:val="both"/>
        <w:rPr>
          <w:rFonts w:ascii="Times New Roman" w:hAnsi="Times New Roman" w:cs="Times New Roman"/>
          <w:i/>
          <w:noProof/>
          <w:sz w:val="24"/>
          <w:lang w:val="fr-BE"/>
        </w:rPr>
      </w:pPr>
    </w:p>
    <w:p w14:paraId="243CFBA4" w14:textId="720E31A1" w:rsidR="00434748" w:rsidRPr="00CB4B7C" w:rsidRDefault="00434748" w:rsidP="009D5C5F">
      <w:pPr>
        <w:spacing w:after="240" w:line="252" w:lineRule="auto"/>
        <w:jc w:val="both"/>
        <w:rPr>
          <w:rFonts w:ascii="Times New Roman" w:hAnsi="Times New Roman" w:cs="Times New Roman"/>
          <w:i/>
          <w:iCs/>
          <w:noProof/>
          <w:sz w:val="24"/>
          <w:szCs w:val="24"/>
        </w:rPr>
      </w:pPr>
      <w:r>
        <w:rPr>
          <w:rFonts w:ascii="Times New Roman" w:hAnsi="Times New Roman"/>
          <w:i/>
          <w:noProof/>
          <w:sz w:val="24"/>
        </w:rPr>
        <w:t>Actori principali: Comisia, sprijinită de Comunitatea pentru cercetare și inovare europeană în domeniul securității și de Centrul UE de inovare pentru securitate internă, EUDA, statele membre</w:t>
      </w:r>
    </w:p>
    <w:p w14:paraId="7AC73FD1" w14:textId="7F200DFD" w:rsidR="0024489D" w:rsidRPr="00CB4B7C" w:rsidRDefault="5E70E5A4" w:rsidP="00197797">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Întrucât rețelele de trafic de droguri valorifică din ce în ce mai mult tehnologiile emergente și comunicațiile criptate, necesitatea unor soluții de securitate în continuă evoluție, care să corespundă agilității lor, este esențială. Pentru a menține Europa în avangarda acestei lupte, este esențial să se reducă decalajul dintre nevoile în materie de asigurare a respectării legii și inovarea în domeniul securității.</w:t>
      </w:r>
    </w:p>
    <w:p w14:paraId="3C18E48C" w14:textId="5D14350F" w:rsidR="00150264" w:rsidRPr="00CB4B7C" w:rsidRDefault="5E70E5A4" w:rsidP="00197797">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Pentru a realiza acest lucru, Comisia, sprijinită de Comunitatea pentru cercetare și inovare europeană în domeniul securității și de Centrul UE de inovare pentru securitatea internă, va lansa un efort coordonat pentru a identifica nevoile tehnologice și operaționale cele mai urgente în ceea ce privește combaterea criminalității organizate, inclusiv a traficului de droguri. Acest efort va colecta contribuții din partea practicienilor, a agențiilor de aplicare a legii, a autorităților vamale, a experților criminaliști și a analiștilor de informații din întreaga UE. </w:t>
      </w:r>
    </w:p>
    <w:p w14:paraId="3BC432AB" w14:textId="6C66309C" w:rsidR="003F1FD1" w:rsidRDefault="003F1FD1" w:rsidP="009D5C5F">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În cadrul Centrului UE de inovare pentru securitatea internă, EUDA, cu sprijinul Europol, al Frontex și al Centrului Comun de Cercetare (JRC), efectuează analize prospective privind tehnologiile. Această analiză urmărește să evalueze impactul tehnologiilor noi și emergente asupra sectorului drogurilor, consolidând eforturile în materie de securitate și de asigurare a respectării legii.</w:t>
      </w:r>
    </w:p>
    <w:p w14:paraId="1361581F" w14:textId="13313A51" w:rsidR="00A96D7F" w:rsidRDefault="00781B31" w:rsidP="00197797">
      <w:pPr>
        <w:spacing w:after="240" w:line="240" w:lineRule="auto"/>
        <w:jc w:val="both"/>
        <w:rPr>
          <w:rFonts w:ascii="Times New Roman" w:eastAsia="Times New Roman" w:hAnsi="Times New Roman" w:cs="Times New Roman"/>
          <w:noProof/>
          <w:color w:val="000000"/>
          <w:kern w:val="2"/>
          <w:sz w:val="24"/>
          <w:szCs w:val="24"/>
        </w:rPr>
      </w:pPr>
      <w:r>
        <w:rPr>
          <w:rFonts w:ascii="Times New Roman" w:hAnsi="Times New Roman"/>
          <w:noProof/>
          <w:color w:val="000000"/>
          <w:sz w:val="24"/>
        </w:rPr>
        <w:t xml:space="preserve">Actuala </w:t>
      </w:r>
      <w:hyperlink r:id="rId15" w:history="1">
        <w:r>
          <w:rPr>
            <w:rStyle w:val="Hyperlink"/>
            <w:rFonts w:ascii="Times New Roman" w:hAnsi="Times New Roman"/>
            <w:noProof/>
            <w:sz w:val="24"/>
          </w:rPr>
          <w:t>inițiativă a JRC privind laboratoarele pentru securitatea frontierelor</w:t>
        </w:r>
      </w:hyperlink>
      <w:r>
        <w:rPr>
          <w:rFonts w:ascii="Times New Roman" w:hAnsi="Times New Roman"/>
          <w:noProof/>
          <w:color w:val="000000"/>
          <w:sz w:val="24"/>
        </w:rPr>
        <w:t xml:space="preserve"> a instituit o rețea valoroasă de laboratoare pentru a sprijini controlul la frontiere și controlul vamal</w:t>
      </w:r>
      <w:r>
        <w:rPr>
          <w:noProof/>
        </w:rPr>
        <w:t>.</w:t>
      </w:r>
      <w:r>
        <w:rPr>
          <w:rFonts w:ascii="Times New Roman" w:hAnsi="Times New Roman"/>
          <w:noProof/>
          <w:color w:val="000000"/>
          <w:sz w:val="24"/>
        </w:rPr>
        <w:t xml:space="preserve"> Rețeaua poate contribui, de asemenea, la identificarea cerințelor pentru o mai bună detectare a traficului de droguri. </w:t>
      </w:r>
    </w:p>
    <w:p w14:paraId="26DA5DF6" w14:textId="7253C960" w:rsidR="00F7356E" w:rsidRPr="00CB4B7C" w:rsidRDefault="0024489D" w:rsidP="00197797">
      <w:pPr>
        <w:spacing w:after="240" w:line="240" w:lineRule="auto"/>
        <w:jc w:val="both"/>
        <w:rPr>
          <w:rFonts w:ascii="Times New Roman" w:eastAsia="Times New Roman" w:hAnsi="Times New Roman" w:cs="Times New Roman"/>
          <w:noProof/>
          <w:color w:val="000000"/>
          <w:kern w:val="2"/>
          <w:sz w:val="24"/>
          <w:szCs w:val="24"/>
        </w:rPr>
      </w:pPr>
      <w:r>
        <w:rPr>
          <w:rFonts w:ascii="Times New Roman" w:hAnsi="Times New Roman"/>
          <w:noProof/>
          <w:sz w:val="24"/>
        </w:rPr>
        <w:t>Evaluarea nevoilor rezultată va încuraja dialogul cu industria securității și a tehnologiei, aliniind cercetarea și dezvoltarea la provocările de ordin practic. De asemenea, aceasta va sta la baza Campusului pentru securitate și inovare al Comisiei, care va fi lansat în 2026 de JRC. Acest campus va reuni cercetători pentru a accelera tranziția de la cercetare la inovare și punere în aplicare, reducând în același timp costurile de dezvoltare, testare și validare.</w:t>
      </w:r>
    </w:p>
    <w:p w14:paraId="31CD3048" w14:textId="62C6A28C" w:rsidR="005203A6" w:rsidRPr="00CB4B7C" w:rsidRDefault="005203A6" w:rsidP="00680937">
      <w:pPr>
        <w:pStyle w:val="Style2"/>
        <w:rPr>
          <w:noProof/>
        </w:rPr>
      </w:pPr>
      <w:r>
        <w:rPr>
          <w:noProof/>
        </w:rPr>
        <w:t xml:space="preserve"> Consolidarea cooperării și a parteneriatelor internaționale</w:t>
      </w:r>
    </w:p>
    <w:p w14:paraId="6CA329B5" w14:textId="77777777" w:rsidR="00F7356E" w:rsidRPr="00CB4B7C" w:rsidRDefault="00F7356E" w:rsidP="00F7356E">
      <w:pPr>
        <w:pStyle w:val="Style2"/>
        <w:numPr>
          <w:ilvl w:val="0"/>
          <w:numId w:val="0"/>
        </w:numPr>
        <w:ind w:left="1494"/>
        <w:rPr>
          <w:noProof/>
        </w:rPr>
      </w:pPr>
    </w:p>
    <w:p w14:paraId="00C0F191" w14:textId="26FF0914" w:rsidR="00F7356E" w:rsidRPr="00CB4B7C" w:rsidRDefault="0C2D0CFE" w:rsidP="190431D8">
      <w:pPr>
        <w:pBdr>
          <w:top w:val="single" w:sz="4" w:space="0" w:color="auto"/>
          <w:left w:val="single" w:sz="4" w:space="4" w:color="auto"/>
          <w:bottom w:val="single" w:sz="4" w:space="1" w:color="auto"/>
          <w:right w:val="single" w:sz="4" w:space="4" w:color="auto"/>
        </w:pBdr>
        <w:jc w:val="both"/>
        <w:rPr>
          <w:rFonts w:ascii="Times New Roman" w:hAnsi="Times New Roman" w:cs="Times New Roman"/>
          <w:i/>
          <w:iCs/>
          <w:noProof/>
          <w:sz w:val="24"/>
          <w:szCs w:val="24"/>
        </w:rPr>
      </w:pPr>
      <w:r>
        <w:rPr>
          <w:rFonts w:ascii="Times New Roman" w:hAnsi="Times New Roman"/>
          <w:i/>
          <w:noProof/>
          <w:sz w:val="24"/>
        </w:rPr>
        <w:t>Pentru a combate rețelele de criminalitate organizată, UE și statele sale membre ar trebui să conducă un răspuns transnațional coordonat, în strânsă cooperare cu partenerii internaționali. Atât cooperarea strategică, cât și cea operațională cu principalele țări terțe sunt esențiale pentru a dezmembra cele mai amenințătoare rețele de trafic de droguri. O astfel de cooperare va integra abordarea bazată pe drepturile omului, promovând respectarea deplină a dreptului internațional al drepturilor omului, inclusiv a principiilor egalității și nediscriminării.</w:t>
      </w:r>
    </w:p>
    <w:p w14:paraId="3135F9B9" w14:textId="68E7ED90" w:rsidR="00496DE9" w:rsidRPr="00CB4B7C" w:rsidRDefault="2CF81B20" w:rsidP="00D037D2">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Rețelele infracționale operează adesea la scară mondială, căutând oportunități în întreaga lume. Ele desfășoară activități de spălare a banilor și se infiltrează în întreprinderi legitime din diferite țări. În unele cazuri, conducerea lor are o bază strategică în străinătate pentru a complica anchetele și a evita arestările. </w:t>
      </w:r>
    </w:p>
    <w:p w14:paraId="2AB81EC1" w14:textId="581671B3" w:rsidR="007A4739" w:rsidRPr="00CB4B7C" w:rsidRDefault="00363396" w:rsidP="00BB7883">
      <w:pPr>
        <w:spacing w:before="240" w:after="0" w:line="252" w:lineRule="auto"/>
        <w:jc w:val="both"/>
        <w:rPr>
          <w:rFonts w:ascii="Times New Roman" w:hAnsi="Times New Roman" w:cs="Times New Roman"/>
          <w:b/>
          <w:bCs/>
          <w:i/>
          <w:iCs/>
          <w:noProof/>
          <w:sz w:val="24"/>
          <w:szCs w:val="24"/>
        </w:rPr>
      </w:pPr>
      <w:bookmarkStart w:id="9" w:name="_Hlk213855504"/>
      <w:r>
        <w:rPr>
          <w:rFonts w:ascii="Times New Roman" w:hAnsi="Times New Roman"/>
          <w:b/>
          <w:i/>
          <w:noProof/>
          <w:sz w:val="24"/>
        </w:rPr>
        <w:t xml:space="preserve">Acțiunea 17: consolidarea și extinderea dialogului strategic și a mecanismelor de cooperare cu țările terțe </w:t>
      </w:r>
    </w:p>
    <w:p w14:paraId="16828B28" w14:textId="77777777" w:rsidR="007A4739" w:rsidRPr="004A7C78" w:rsidRDefault="007A4739" w:rsidP="007A4739">
      <w:pPr>
        <w:spacing w:after="0" w:line="252" w:lineRule="auto"/>
        <w:jc w:val="both"/>
        <w:rPr>
          <w:rFonts w:ascii="Times New Roman" w:hAnsi="Times New Roman" w:cs="Times New Roman"/>
          <w:b/>
          <w:bCs/>
          <w:i/>
          <w:iCs/>
          <w:noProof/>
          <w:sz w:val="24"/>
          <w:szCs w:val="24"/>
        </w:rPr>
      </w:pPr>
    </w:p>
    <w:p w14:paraId="48A7A178" w14:textId="79F3B60D" w:rsidR="004103EF" w:rsidRPr="0051103B" w:rsidRDefault="4733CA64" w:rsidP="009D5C5F">
      <w:pPr>
        <w:spacing w:after="240" w:line="252" w:lineRule="auto"/>
        <w:jc w:val="both"/>
        <w:rPr>
          <w:rFonts w:ascii="Times New Roman" w:hAnsi="Times New Roman" w:cs="Times New Roman"/>
          <w:i/>
          <w:iCs/>
          <w:noProof/>
        </w:rPr>
      </w:pPr>
      <w:r>
        <w:rPr>
          <w:rFonts w:ascii="Times New Roman" w:hAnsi="Times New Roman"/>
          <w:i/>
          <w:noProof/>
          <w:sz w:val="24"/>
        </w:rPr>
        <w:t>Actori principali: Comisia în cooperare cu SEAE, Consiliul</w:t>
      </w:r>
    </w:p>
    <w:p w14:paraId="5F32BC74" w14:textId="435F40B9" w:rsidR="00F4570C" w:rsidRPr="00CB4B7C" w:rsidRDefault="0055686B" w:rsidP="00223BCA">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Traficul de droguri va fi un element central al dialogului strategic al UE cu țările terțe, întrucât UE urmărește să promoveze o abordare integrată, echilibrată și bazată pe dovezi a politicii în materie de droguri, aliniată la dreptul internațional și la standardele privind drepturile omului. Această abordare va sprijini Planul de acțiune al UE privind drepturile omului și democrația 2020-2027</w:t>
      </w:r>
      <w:r>
        <w:rPr>
          <w:rStyle w:val="FootnoteReference0"/>
          <w:rFonts w:ascii="Times New Roman" w:eastAsia="Times New Roman" w:hAnsi="Times New Roman" w:cs="Times New Roman"/>
          <w:noProof/>
          <w:sz w:val="24"/>
          <w:szCs w:val="24"/>
          <w:lang w:eastAsia="en-GB"/>
        </w:rPr>
        <w:footnoteReference w:id="15"/>
      </w:r>
      <w:r>
        <w:rPr>
          <w:rFonts w:ascii="Times New Roman" w:hAnsi="Times New Roman"/>
          <w:noProof/>
          <w:sz w:val="24"/>
        </w:rPr>
        <w:t xml:space="preserve"> și Concluziile Consiliului privind o abordare bazată pe drepturile omului în politicile în materie de droguri</w:t>
      </w:r>
      <w:r>
        <w:rPr>
          <w:rStyle w:val="FootnoteReference0"/>
          <w:rFonts w:ascii="Times New Roman" w:hAnsi="Times New Roman" w:cs="Times New Roman"/>
          <w:noProof/>
          <w:sz w:val="24"/>
          <w:szCs w:val="24"/>
          <w:lang w:val="en-GB"/>
        </w:rPr>
        <w:footnoteReference w:id="16"/>
      </w:r>
      <w:r>
        <w:rPr>
          <w:rFonts w:ascii="Times New Roman" w:hAnsi="Times New Roman"/>
          <w:noProof/>
          <w:sz w:val="24"/>
        </w:rPr>
        <w:t xml:space="preserve">, consolidând capacitatea colectivă de a face față provocărilor mondiale legate de producția și traficul de droguri ilicite, precum și criminalitatea organizată legată de acestea. </w:t>
      </w:r>
    </w:p>
    <w:p w14:paraId="1C412AD9" w14:textId="03900187" w:rsidR="00A721CE" w:rsidRPr="00CB4B7C" w:rsidRDefault="0055686B" w:rsidP="00223BCA">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UE va menține și va extinde dialogurile în materie de droguri cu partenerii din Balcanii de Vest, America Latină, zona Caraibilor, Asia Centrală și la nivel bilateral cu Statele Unite, China și Columbia. Aceste dialoguri se vor axa pe identificarea amenințărilor comune reprezentate de traficul de droguri și pe stabilirea unor priorități comune, transformându-le în măsuri operaționale concrete și acțiuni comune. Provocările specifice cu care se confruntă fiecare regiune sau țară, cum ar fi coridoarele esențiale pentru traficul de droguri și de precursori, aspectele legate de producția de droguri și activitățile de criminalitate organizată transnațională, vor contura prioritățile tematice. Atunci când condițiile permit acest lucru, UE va explora cadre politice mai avansate și mai cuprinzătoare, cum ar fi Alianța UE cu America Latină și zona Caraibilor pentru securitatea cetățenilor. UE va implica în cea mai mare măsură posibilă delegațiile relevante ale UE în aceste pregătiri.</w:t>
      </w:r>
    </w:p>
    <w:p w14:paraId="49587374" w14:textId="14CBEF69" w:rsidR="00197DC1" w:rsidRPr="00CB4B7C" w:rsidRDefault="0055686B" w:rsidP="009D5C5F">
      <w:pPr>
        <w:spacing w:after="240" w:line="252" w:lineRule="auto"/>
        <w:jc w:val="both"/>
        <w:rPr>
          <w:rFonts w:ascii="Times New Roman" w:hAnsi="Times New Roman" w:cs="Times New Roman"/>
          <w:b/>
          <w:bCs/>
          <w:i/>
          <w:iCs/>
          <w:noProof/>
          <w:sz w:val="24"/>
          <w:szCs w:val="24"/>
        </w:rPr>
      </w:pPr>
      <w:r>
        <w:rPr>
          <w:rFonts w:ascii="Times New Roman" w:hAnsi="Times New Roman"/>
          <w:noProof/>
          <w:sz w:val="24"/>
        </w:rPr>
        <w:t>În plus, UE va explora oportunitățile de noi dialoguri cu alte țări și regiuni prioritare afectate în mod semnificativ de impactul negativ al traficului de droguri. Prin intermediul acestor parteneriate consolidate, UE urmărește să aprofundeze cooperarea strategică și operațională, să îmbunătățească schimbul de informații și consolidarea reciprocă a capacităților, precum și să consolideze coordonarea internațională pentru răspunsuri eficace și coordonate.</w:t>
      </w:r>
      <w:bookmarkEnd w:id="9"/>
    </w:p>
    <w:p w14:paraId="033E7AB6" w14:textId="24F3D2D1" w:rsidR="00434748" w:rsidRPr="00CB4B7C" w:rsidRDefault="00434748" w:rsidP="6A5E7FBC">
      <w:pPr>
        <w:spacing w:after="0" w:line="252" w:lineRule="auto"/>
        <w:jc w:val="both"/>
        <w:rPr>
          <w:rFonts w:ascii="Times New Roman" w:hAnsi="Times New Roman" w:cs="Times New Roman"/>
          <w:b/>
          <w:bCs/>
          <w:i/>
          <w:iCs/>
          <w:noProof/>
          <w:sz w:val="24"/>
          <w:szCs w:val="24"/>
        </w:rPr>
      </w:pPr>
      <w:r>
        <w:rPr>
          <w:rFonts w:ascii="Times New Roman" w:hAnsi="Times New Roman"/>
          <w:b/>
          <w:i/>
          <w:noProof/>
          <w:sz w:val="24"/>
        </w:rPr>
        <w:t xml:space="preserve">Acțiunea 18: consolidarea rezilienței porturilor din țările terțe pentru neutralizarea traficului de droguri </w:t>
      </w:r>
    </w:p>
    <w:p w14:paraId="62D75D75" w14:textId="4C385622" w:rsidR="007374EE" w:rsidRPr="00CB4B7C" w:rsidRDefault="00434748" w:rsidP="009D5C5F">
      <w:pPr>
        <w:spacing w:before="240" w:after="240" w:line="240" w:lineRule="auto"/>
        <w:jc w:val="both"/>
        <w:rPr>
          <w:rFonts w:ascii="Times New Roman" w:hAnsi="Times New Roman" w:cs="Times New Roman"/>
          <w:i/>
          <w:noProof/>
          <w:sz w:val="24"/>
          <w:szCs w:val="24"/>
        </w:rPr>
      </w:pPr>
      <w:r>
        <w:rPr>
          <w:rFonts w:ascii="Times New Roman" w:hAnsi="Times New Roman"/>
          <w:i/>
          <w:noProof/>
          <w:sz w:val="24"/>
        </w:rPr>
        <w:t xml:space="preserve">Actori principali: Comisia în cooperare cu SEAE, Europol, statele membre </w:t>
      </w:r>
    </w:p>
    <w:p w14:paraId="143EAC44" w14:textId="3BB4BD00" w:rsidR="0039190B" w:rsidRPr="00CB4B7C" w:rsidRDefault="0039190B" w:rsidP="009D5C5F">
      <w:pPr>
        <w:spacing w:after="240" w:line="240" w:lineRule="auto"/>
        <w:jc w:val="both"/>
        <w:rPr>
          <w:rFonts w:ascii="Times New Roman" w:eastAsia="Times New Roman" w:hAnsi="Times New Roman" w:cs="Times New Roman"/>
          <w:noProof/>
          <w:sz w:val="24"/>
          <w:szCs w:val="20"/>
        </w:rPr>
      </w:pPr>
      <w:r>
        <w:rPr>
          <w:rFonts w:ascii="Times New Roman" w:hAnsi="Times New Roman"/>
          <w:noProof/>
          <w:sz w:val="24"/>
        </w:rPr>
        <w:t>Având în vedere că rețelele de trafic de droguri funcționează la scară mondială, principalele porturi maritime din țările terțe au devenit puncte critice de tranzit pentru transporturile ilicite de droguri destinate UE. Aceste centre logistice sunt adesea vizate și exploatate de criminalitatea organizată din cauza vulnerabilităților în materie de infrastructură, supraveghere și guvernanță. Consolidarea rezilienței acestor porturi este esențială pentru a perturba rutele de trafic la sursă și pentru a proteja securitatea internă a UE și integritatea lanțurilor de aprovizionare mondiale.</w:t>
      </w:r>
    </w:p>
    <w:p w14:paraId="43636B0B" w14:textId="330E86EF" w:rsidR="0039190B" w:rsidRPr="00CB4B7C" w:rsidRDefault="6BA01405" w:rsidP="0055686B">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Ca parte a strategiei de securitate internă ProtectEU și a viitoarei strategii portuare a UE, Comisia, în cooperare cu SEAE, va explora parteneriate cu mai mulți actori pentru a spori reziliența porturilor și a rutelor comerciale, în special pe rutele transatlantice, și va iniția evaluări comune specifice în anumite porturi din țări terțe cu grad ridicat de risc. Aceste porturi vor fi alese pe baza unei analize cuprinzătoare a amenințărilor și a riscurilor, care va include informații strategice, factori geopolitici și nivelul activității de trafic. Procesul va implica o coordonare strânsă cu Europol, cu delegațiile UE și cu partenerii internaționali relevanți pentru a asigura acțiuni specifice și eficace împotriva traficului de droguri. Selecția și evaluările vor necesita, de asemenea, cooperarea cu ofițerii de legătură ai statelor membre din țările respective, utilizând cunoștințele și experiența lor operațională pentru a consolida evaluările amenințărilor și eficacitatea generală a eforturilor comune.</w:t>
      </w:r>
    </w:p>
    <w:p w14:paraId="410EABCE" w14:textId="1A80F51C" w:rsidR="005402E2" w:rsidRPr="00CB4B7C" w:rsidRDefault="33F293BC" w:rsidP="0055686B">
      <w:pPr>
        <w:spacing w:after="240" w:line="240" w:lineRule="auto"/>
        <w:jc w:val="both"/>
        <w:rPr>
          <w:rFonts w:ascii="Times New Roman" w:eastAsia="Times New Roman" w:hAnsi="Times New Roman" w:cs="Times New Roman"/>
          <w:noProof/>
          <w:sz w:val="24"/>
          <w:szCs w:val="20"/>
        </w:rPr>
      </w:pPr>
      <w:r>
        <w:rPr>
          <w:rFonts w:ascii="Times New Roman" w:hAnsi="Times New Roman"/>
          <w:noProof/>
          <w:sz w:val="24"/>
        </w:rPr>
        <w:t>Aceste evaluări comune vor implica o cooperare strânsă cu autoritățile vamale, autoritățile de aplicare a legii și autoritățile portuare din țările gazdă. Scopul este de a identifica metodele de trafic, de a îmbunătăți procedurile de control și de a face schimb de cunoștințe de specialitate cu privire la recunoașterea încărcăturilor suspecte și a tehnicilor de disimulare. Inițiativa se axează, de asemenea, pe consolidarea capacității de securitate pe termen lung în porturile partenere, pe sprijinirea acestora în punerea în aplicare a standardelor internaționale, pe modernizarea tehnologiilor de inspecție și pe creșterea rezilienței împotriva infiltrării criminalității. Prin consolidarea arhitecturii de securitate a principalelor puncte logistice de acces din străinătate, această acțiune va servi drept mecanism de apărare avansat, perturbând fluxurile de trafic de droguri înainte ca acestea să ajungă în Europa și contribuind la rute comerciale mondiale mai sigure.</w:t>
      </w:r>
    </w:p>
    <w:p w14:paraId="6F32197D" w14:textId="47A7AB9E" w:rsidR="00434748" w:rsidRPr="00CB4B7C" w:rsidRDefault="00434748" w:rsidP="004A58F7">
      <w:pPr>
        <w:spacing w:after="0" w:line="252" w:lineRule="auto"/>
        <w:jc w:val="both"/>
        <w:rPr>
          <w:rFonts w:ascii="Times New Roman" w:hAnsi="Times New Roman" w:cs="Times New Roman"/>
          <w:b/>
          <w:i/>
          <w:noProof/>
          <w:sz w:val="24"/>
        </w:rPr>
      </w:pPr>
      <w:r>
        <w:rPr>
          <w:rFonts w:ascii="Times New Roman" w:hAnsi="Times New Roman"/>
          <w:b/>
          <w:i/>
          <w:noProof/>
          <w:sz w:val="24"/>
        </w:rPr>
        <w:t>Acțiunea 19: consolidarea cooperării internaționale prin anchete comune și centre de fuziune</w:t>
      </w:r>
    </w:p>
    <w:p w14:paraId="1D7C2250" w14:textId="46DE40E6" w:rsidR="00AC20F2" w:rsidRPr="00CB4B7C" w:rsidRDefault="00434748" w:rsidP="009D5C5F">
      <w:pPr>
        <w:spacing w:before="240" w:after="240" w:line="240" w:lineRule="auto"/>
        <w:jc w:val="both"/>
        <w:rPr>
          <w:rFonts w:ascii="Times New Roman" w:hAnsi="Times New Roman" w:cs="Times New Roman"/>
          <w:i/>
          <w:iCs/>
          <w:noProof/>
          <w:sz w:val="24"/>
          <w:szCs w:val="24"/>
        </w:rPr>
      </w:pPr>
      <w:r>
        <w:rPr>
          <w:rFonts w:ascii="Times New Roman" w:hAnsi="Times New Roman"/>
          <w:i/>
          <w:noProof/>
          <w:sz w:val="24"/>
        </w:rPr>
        <w:t xml:space="preserve">Actori principali: Comisia, Europol, Eurojust, statele membre </w:t>
      </w:r>
    </w:p>
    <w:p w14:paraId="1C51099B" w14:textId="6A819E69" w:rsidR="009D1632" w:rsidRPr="00F01234" w:rsidRDefault="00416AC5" w:rsidP="009D1632">
      <w:pPr>
        <w:spacing w:after="240"/>
        <w:jc w:val="both"/>
        <w:rPr>
          <w:rFonts w:ascii="Times New Roman" w:eastAsia="Times New Roman" w:hAnsi="Times New Roman" w:cs="Times New Roman"/>
          <w:noProof/>
          <w:sz w:val="24"/>
          <w:szCs w:val="24"/>
        </w:rPr>
      </w:pPr>
      <w:r>
        <w:rPr>
          <w:rFonts w:ascii="Times New Roman" w:hAnsi="Times New Roman"/>
          <w:noProof/>
          <w:sz w:val="24"/>
        </w:rPr>
        <w:t>Recunoscând caracterul transnațional al traficului modern de droguri, UE trebuie să consolideze cooperarea internațională în materie de asigurarea a respectării legii și cooperarea judiciară, cu respectarea deplină a dreptului internațional, pentru a consolida securitatea pentru sine și partenerii săi. UE va sprijini autoritățile statelor membre în instituirea și consolidarea unităților speciale de anchetă în principalele țări terțe, precum și a echipelor comune de anchetă (JIT) cu sprijin operațional din partea Europol și Eurojust. Aceste echipe vor permite schimbul de date în timp real, vor coordona anchetele între jurisdicții și vor construi dosare solide împotriva organizațiilor criminale, contribuind la urmărirea penală atât în UE, cât și în țările partenere. În același timp, consolidarea capacităților va rămâne un element important în întărirea capacității partenerilor-cheie de a efectua anchete bazate pe informații.</w:t>
      </w:r>
    </w:p>
    <w:p w14:paraId="0C050131" w14:textId="652C3EF8" w:rsidR="00627765" w:rsidRPr="00CB4B7C" w:rsidRDefault="00416AC5" w:rsidP="009D5C5F">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UE va sprijini, de asemenea, crearea unor centre comune de fuziune în țări terțe strategice și în cadrul UE. Aceste centre vor acționa drept centre regionale de coordonare, reunind experți ai UE, autorități locale de aplicare a legii și actori regionali din domeniul securității pentru a îmbunătăți schimbul de informații, pentru a analiza tendințele infracționale și rutele de trafic și pentru a coordona rapid acțiunile de asigurare a respectării legii.</w:t>
      </w:r>
    </w:p>
    <w:p w14:paraId="57514BB0" w14:textId="5642CACC" w:rsidR="00633A67" w:rsidRPr="00CB4B7C" w:rsidRDefault="00633A67" w:rsidP="009D5C5F">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În plus, UE va consolida cooperarea cu Statele Unite într-un efort comun de a reduce traficul de droguri și de a dezmembra rețelele infracționale din spatele acestuia, punând accentul pe consolidarea parteneriatelor operaționale și pe îmbunătățirea schimbului de informații, inclusiv a activităților legate de spălarea banilor. </w:t>
      </w:r>
    </w:p>
    <w:p w14:paraId="53DDFFD1" w14:textId="2BFB5CE7" w:rsidR="003F06AE" w:rsidRPr="00F01234" w:rsidRDefault="00416AC5" w:rsidP="00F01234">
      <w:pPr>
        <w:spacing w:after="240" w:line="240" w:lineRule="auto"/>
        <w:jc w:val="both"/>
        <w:rPr>
          <w:i/>
          <w:noProof/>
        </w:rPr>
      </w:pPr>
      <w:r>
        <w:rPr>
          <w:rFonts w:ascii="Times New Roman" w:hAnsi="Times New Roman"/>
          <w:noProof/>
          <w:sz w:val="24"/>
        </w:rPr>
        <w:t xml:space="preserve">UE va sprijini în mod activ obiectivele inițiativei privind Coaliția europeană împotriva drogurilor a comunității politice europene, lansând măsuri operaționale concrete, cum ar fi coordonarea consolidată a asigurării respectării legii și anchetele comune care vizează principalele rute de trafic. Recunoscând importanța fluxurilor financiare ilicite în traficul de droguri, UE va promova o „abordare bazată pe urmărirea banilor”, utilizând, de asemenea, instrumentele sale de acțiune externă, după caz, pentru a sprijini țările terțe în alinierea la standardele internaționale de combatere a spălării banilor și facilitând cooperarea pentru recuperarea activelor. </w:t>
      </w:r>
      <w:bookmarkStart w:id="10" w:name="_Hlk135657218"/>
      <w:bookmarkEnd w:id="3"/>
    </w:p>
    <w:bookmarkEnd w:id="10"/>
    <w:p w14:paraId="20E79A0D" w14:textId="4D49DF55" w:rsidR="00B279E0" w:rsidRPr="00CB4B7C" w:rsidRDefault="00B279E0" w:rsidP="00EC16DA">
      <w:pPr>
        <w:pStyle w:val="Style1"/>
        <w:spacing w:after="240"/>
        <w:ind w:left="1077" w:hanging="357"/>
        <w:rPr>
          <w:noProof/>
        </w:rPr>
      </w:pPr>
      <w:r>
        <w:rPr>
          <w:noProof/>
        </w:rPr>
        <w:t>Concluzii</w:t>
      </w:r>
    </w:p>
    <w:p w14:paraId="49A4053F" w14:textId="47BCF1EC" w:rsidR="0025364F" w:rsidRPr="00CB4B7C" w:rsidRDefault="001B724A" w:rsidP="009D5C5F">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Rețelele de criminalitate organizată implicate în traficul de droguri reprezintă o amenințare din ce în ce mai mare la adresa securității interne, a structurii sociale și a sănătății publice a UE. Aceste grupuri globalizate și avansate din punct de vedere tehnologic s-au integrat în lanțurile de aprovizionare, extinzându-și raza de acțiune prin violență, corupție și infiltrarea în instituții și structuri de afaceri legitime.</w:t>
      </w:r>
    </w:p>
    <w:p w14:paraId="47F26DD6" w14:textId="3D7B8941" w:rsidR="0083068D" w:rsidRPr="00CB4B7C" w:rsidRDefault="0025364F" w:rsidP="0083068D">
      <w:pPr>
        <w:pStyle w:val="Normal1"/>
        <w:shd w:val="clear" w:color="auto" w:fill="FFFFFF"/>
        <w:spacing w:before="0" w:beforeAutospacing="0" w:after="240" w:afterAutospacing="0"/>
        <w:jc w:val="both"/>
        <w:rPr>
          <w:noProof/>
        </w:rPr>
      </w:pPr>
      <w:r>
        <w:rPr>
          <w:noProof/>
        </w:rPr>
        <w:t xml:space="preserve">Pentru a aborda această situație urgentă, UE trebuie să acționeze cu o hotărâre reînnoită și cu un scop unificat. Întrucât rețelele infracționale inovează în permanență, UE și statele sale membre trebuie să facă același lucru. Răspunsul colectiv al UE ar trebui să fie </w:t>
      </w:r>
      <w:r>
        <w:rPr>
          <w:b/>
          <w:noProof/>
        </w:rPr>
        <w:t>strategic, bazat pe informații și adaptat exigențelor viitorului</w:t>
      </w:r>
      <w:r>
        <w:rPr>
          <w:noProof/>
        </w:rPr>
        <w:t xml:space="preserve">, combinând puterea operațională cu prevenirea, reziliența digitală și cooperarea internațională, toate acestea în conformitate cu dreptul internațional, inclusiv cu dreptul internațional al drepturilor omului. </w:t>
      </w:r>
    </w:p>
    <w:p w14:paraId="6B22C3D6" w14:textId="56554174" w:rsidR="0083068D" w:rsidRPr="00CB4B7C" w:rsidRDefault="0025364F" w:rsidP="0083068D">
      <w:pPr>
        <w:pStyle w:val="Normal1"/>
        <w:shd w:val="clear" w:color="auto" w:fill="FFFFFF"/>
        <w:spacing w:before="0" w:beforeAutospacing="0" w:after="240" w:afterAutospacing="0"/>
        <w:jc w:val="both"/>
        <w:rPr>
          <w:noProof/>
        </w:rPr>
      </w:pPr>
      <w:r>
        <w:rPr>
          <w:noProof/>
        </w:rPr>
        <w:t>O abordare la nivelul întregii societăți este esențială, iar aceasta necesită coordonarea dintre instituțiile, organele și agențiile UE, statele membre și autoritățile lor naționale, regionale și locale. În cadrul UE, este necesară consolidarea coordonării și a parteneriatelor cu societatea civilă și cu actorii privați. În plus, promovarea sensibilizării și a implicării publicului le va permite comunităților să participe la eforturile de combatere a traficului de droguri și să le sprijine, creând o societate mai informată și mai rezilientă, pregătită să facă față provocărilor reprezentate de criminalitatea organizată.</w:t>
      </w:r>
    </w:p>
    <w:p w14:paraId="7DFFF95A" w14:textId="0C75E33F" w:rsidR="00382A9B" w:rsidRPr="00CB4B7C" w:rsidRDefault="5A90DA2D" w:rsidP="009D5C5F">
      <w:pPr>
        <w:pStyle w:val="Normal1"/>
        <w:shd w:val="clear" w:color="auto" w:fill="FFFFFF" w:themeFill="background1"/>
        <w:spacing w:before="0" w:beforeAutospacing="0" w:after="240" w:afterAutospacing="0"/>
        <w:jc w:val="both"/>
        <w:rPr>
          <w:noProof/>
        </w:rPr>
      </w:pPr>
      <w:r>
        <w:rPr>
          <w:noProof/>
        </w:rPr>
        <w:t xml:space="preserve">Prezentul document prezintă acțiunile-cheie necesare la nivelul UE în perioada 2026-2030 pentru combaterea traficului de droguri și a rețelelor infracționale implicate în acesta. Ținând seama de informațiile furnizate de statele membre și de SEAE, Comisia ar trebui să monitorizeze punerea în aplicare a acestor acțiuni. Agențiile relevante ale UE, în special EUDA și Europol, ar trebui să sprijine aceste eforturi contribuind la monitorizarea și raportarea cu privire la progresele înregistrate. </w:t>
      </w:r>
    </w:p>
    <w:p w14:paraId="5E2FB8E6" w14:textId="53FEBA43" w:rsidR="0025364F" w:rsidRPr="00CB4B7C" w:rsidRDefault="00DF00DC" w:rsidP="0025364F">
      <w:pPr>
        <w:pStyle w:val="Normal1"/>
        <w:shd w:val="clear" w:color="auto" w:fill="FFFFFF"/>
        <w:spacing w:before="0" w:beforeAutospacing="0" w:after="240" w:afterAutospacing="0"/>
        <w:jc w:val="both"/>
        <w:rPr>
          <w:noProof/>
        </w:rPr>
      </w:pPr>
      <w:r>
        <w:rPr>
          <w:noProof/>
        </w:rPr>
        <w:t>Reafirmându-și angajamentul față de o acțiune unificată și strategică, UE urmărește să își protejeze societățile, să garanteze un viitor mai sigur pentru cetățenii săi și să consolideze securitatea mondială pentru partenerii săi.</w:t>
      </w:r>
    </w:p>
    <w:p w14:paraId="591741DE" w14:textId="77777777" w:rsidR="00603215" w:rsidRPr="004A7C78" w:rsidRDefault="00603215" w:rsidP="00603215">
      <w:pPr>
        <w:pStyle w:val="Normal1"/>
        <w:shd w:val="clear" w:color="auto" w:fill="FFFFFF"/>
        <w:spacing w:after="240"/>
        <w:jc w:val="both"/>
        <w:rPr>
          <w:noProof/>
        </w:rPr>
      </w:pPr>
    </w:p>
    <w:p w14:paraId="0A4E4B2D" w14:textId="77777777" w:rsidR="00603215" w:rsidRPr="004A7C78" w:rsidRDefault="00603215" w:rsidP="0025364F">
      <w:pPr>
        <w:pStyle w:val="Normal1"/>
        <w:shd w:val="clear" w:color="auto" w:fill="FFFFFF"/>
        <w:spacing w:before="0" w:beforeAutospacing="0" w:after="240" w:afterAutospacing="0"/>
        <w:jc w:val="both"/>
        <w:rPr>
          <w:noProof/>
        </w:rPr>
      </w:pPr>
    </w:p>
    <w:p w14:paraId="137CD7C7" w14:textId="77777777" w:rsidR="00516585" w:rsidRPr="00CB4B7C" w:rsidRDefault="00516585">
      <w:pPr>
        <w:rPr>
          <w:rFonts w:ascii="Times New Roman" w:eastAsia="Times New Roman" w:hAnsi="Times New Roman" w:cs="Times New Roman"/>
          <w:noProof/>
          <w:sz w:val="24"/>
          <w:szCs w:val="24"/>
        </w:rPr>
      </w:pPr>
      <w:r>
        <w:rPr>
          <w:noProof/>
        </w:rPr>
        <w:br w:type="page"/>
      </w:r>
    </w:p>
    <w:p w14:paraId="069792FE" w14:textId="6516F303" w:rsidR="00094288" w:rsidRPr="00CB4B7C" w:rsidRDefault="0028050B">
      <w:pPr>
        <w:pStyle w:val="Normal1"/>
        <w:shd w:val="clear" w:color="auto" w:fill="FFFFFF"/>
        <w:spacing w:after="0"/>
        <w:jc w:val="both"/>
        <w:rPr>
          <w:b/>
          <w:bCs/>
          <w:noProof/>
          <w:u w:val="single"/>
        </w:rPr>
      </w:pPr>
      <w:r>
        <w:rPr>
          <w:b/>
          <w:noProof/>
          <w:u w:val="single"/>
        </w:rPr>
        <w:t xml:space="preserve">Anexă: Lista acțiunilor: </w:t>
      </w:r>
    </w:p>
    <w:p w14:paraId="21B55D09" w14:textId="2872C7F1" w:rsidR="00094288" w:rsidRPr="00CB4B7C" w:rsidRDefault="00094288" w:rsidP="005A4FFB">
      <w:pPr>
        <w:pStyle w:val="Style2"/>
        <w:numPr>
          <w:ilvl w:val="0"/>
          <w:numId w:val="39"/>
        </w:numPr>
        <w:spacing w:before="120" w:after="240"/>
        <w:ind w:left="1077"/>
        <w:rPr>
          <w:noProof/>
        </w:rPr>
      </w:pPr>
      <w:r>
        <w:rPr>
          <w:noProof/>
        </w:rPr>
        <w:t>Adaptarea la evoluția rutelor și a modurilor de operare</w:t>
      </w:r>
    </w:p>
    <w:p w14:paraId="01E4D8BD" w14:textId="5655DC8D" w:rsidR="5A13CE00" w:rsidRPr="00CB4B7C" w:rsidRDefault="45F1EB8D" w:rsidP="02FE2BB0">
      <w:pPr>
        <w:pStyle w:val="Normal1"/>
        <w:shd w:val="clear" w:color="auto" w:fill="FFFFFF" w:themeFill="background1"/>
        <w:spacing w:before="120" w:beforeAutospacing="0" w:after="120" w:afterAutospacing="0"/>
        <w:jc w:val="both"/>
        <w:rPr>
          <w:noProof/>
        </w:rPr>
      </w:pPr>
      <w:r>
        <w:rPr>
          <w:b/>
          <w:noProof/>
        </w:rPr>
        <w:t>Acțiunea 1:</w:t>
      </w:r>
      <w:r>
        <w:rPr>
          <w:noProof/>
        </w:rPr>
        <w:t xml:space="preserve"> o mai bună utilizare a informațiilor de călătorie pentru a detecta, a cartografia și a perturba rutele de trafic de droguri</w:t>
      </w:r>
    </w:p>
    <w:p w14:paraId="5F105051" w14:textId="135535F7" w:rsidR="00C76AFC" w:rsidRPr="00CB4B7C" w:rsidRDefault="00094288" w:rsidP="0A4EEBDE">
      <w:pPr>
        <w:pStyle w:val="Normal1"/>
        <w:shd w:val="clear" w:color="auto" w:fill="FFFFFF" w:themeFill="background1"/>
        <w:spacing w:before="120" w:beforeAutospacing="0" w:after="120" w:afterAutospacing="0"/>
        <w:jc w:val="both"/>
        <w:rPr>
          <w:noProof/>
        </w:rPr>
      </w:pPr>
      <w:r>
        <w:rPr>
          <w:b/>
          <w:noProof/>
        </w:rPr>
        <w:t>Acțiunea 2:</w:t>
      </w:r>
      <w:r>
        <w:rPr>
          <w:noProof/>
        </w:rPr>
        <w:t xml:space="preserve"> extinderea operațiunilor MAOC-N</w:t>
      </w:r>
    </w:p>
    <w:p w14:paraId="5E9B3344" w14:textId="5415595E" w:rsidR="5544FDAD" w:rsidRPr="00CB4B7C" w:rsidRDefault="6E29A53B" w:rsidP="114A1019">
      <w:pPr>
        <w:pStyle w:val="Normal1"/>
        <w:shd w:val="clear" w:color="auto" w:fill="FFFFFF" w:themeFill="background1"/>
        <w:spacing w:before="120" w:beforeAutospacing="0" w:after="120" w:afterAutospacing="0"/>
        <w:jc w:val="both"/>
        <w:rPr>
          <w:noProof/>
        </w:rPr>
      </w:pPr>
      <w:r>
        <w:rPr>
          <w:b/>
          <w:noProof/>
        </w:rPr>
        <w:t>Acțiunea 3:</w:t>
      </w:r>
      <w:r>
        <w:rPr>
          <w:noProof/>
        </w:rPr>
        <w:t xml:space="preserve"> utilizarea capacităților Frontex pentru a sprijini statele membre în detectarea traficului de droguri la frontierele externe ale UE și consolidarea cooperării cu Europol și cu alte organisme relevante </w:t>
      </w:r>
    </w:p>
    <w:p w14:paraId="0014CC5F" w14:textId="47040192" w:rsidR="00C76AFC" w:rsidRPr="00CB4B7C" w:rsidRDefault="00094288" w:rsidP="225CE8A4">
      <w:pPr>
        <w:pStyle w:val="Normal1"/>
        <w:shd w:val="clear" w:color="auto" w:fill="FFFFFF" w:themeFill="background1"/>
        <w:spacing w:before="120" w:beforeAutospacing="0" w:after="120" w:afterAutospacing="0"/>
        <w:jc w:val="both"/>
        <w:rPr>
          <w:noProof/>
        </w:rPr>
      </w:pPr>
      <w:r>
        <w:rPr>
          <w:b/>
          <w:noProof/>
        </w:rPr>
        <w:t>Acțiunea</w:t>
      </w:r>
      <w:r>
        <w:rPr>
          <w:noProof/>
        </w:rPr>
        <w:t> </w:t>
      </w:r>
      <w:r>
        <w:rPr>
          <w:b/>
          <w:noProof/>
        </w:rPr>
        <w:t>4</w:t>
      </w:r>
      <w:r>
        <w:rPr>
          <w:noProof/>
        </w:rPr>
        <w:t>: intensificarea parteneriatelor dintre sectorul civil și cel militar pentru combaterea traficului maritim de droguri</w:t>
      </w:r>
    </w:p>
    <w:p w14:paraId="16877714" w14:textId="7F1CA621" w:rsidR="00C76AFC" w:rsidRPr="00CB4B7C" w:rsidRDefault="00094288" w:rsidP="4081E6D4">
      <w:pPr>
        <w:pStyle w:val="Normal1"/>
        <w:shd w:val="clear" w:color="auto" w:fill="FFFFFF" w:themeFill="background1"/>
        <w:spacing w:before="120" w:beforeAutospacing="0" w:after="120" w:afterAutospacing="0"/>
        <w:jc w:val="both"/>
        <w:rPr>
          <w:noProof/>
        </w:rPr>
      </w:pPr>
      <w:r>
        <w:rPr>
          <w:b/>
          <w:noProof/>
        </w:rPr>
        <w:t>Acțiunea 5:</w:t>
      </w:r>
      <w:r>
        <w:rPr>
          <w:noProof/>
        </w:rPr>
        <w:t xml:space="preserve"> identificarea unor măsuri eficace de combatere a utilizării abuzive a navelor de mare viteză („go-fast”)</w:t>
      </w:r>
    </w:p>
    <w:p w14:paraId="087A9F2E" w14:textId="2324F0B5" w:rsidR="00983560" w:rsidRPr="00CB4B7C" w:rsidRDefault="00094288" w:rsidP="005A4FFB">
      <w:pPr>
        <w:pStyle w:val="Normal1"/>
        <w:shd w:val="clear" w:color="auto" w:fill="FFFFFF"/>
        <w:spacing w:before="120" w:beforeAutospacing="0" w:after="120" w:afterAutospacing="0"/>
        <w:jc w:val="both"/>
        <w:rPr>
          <w:noProof/>
        </w:rPr>
      </w:pPr>
      <w:r>
        <w:rPr>
          <w:b/>
          <w:noProof/>
        </w:rPr>
        <w:t xml:space="preserve">Acțiunea 6: </w:t>
      </w:r>
      <w:r>
        <w:rPr>
          <w:noProof/>
        </w:rPr>
        <w:t>consolidarea cooperării dintre sectorul public și cel privat pentru a neutraliza traficul de droguri prin intermediul serviciilor poștale și de coletărie</w:t>
      </w:r>
    </w:p>
    <w:p w14:paraId="12547556" w14:textId="77777777" w:rsidR="00C76AFC" w:rsidRPr="00CB4B7C" w:rsidRDefault="00094288" w:rsidP="005A4FFB">
      <w:pPr>
        <w:pStyle w:val="Normal1"/>
        <w:numPr>
          <w:ilvl w:val="0"/>
          <w:numId w:val="39"/>
        </w:numPr>
        <w:shd w:val="clear" w:color="auto" w:fill="FFFFFF"/>
        <w:spacing w:before="240" w:beforeAutospacing="0" w:after="240" w:afterAutospacing="0"/>
        <w:ind w:left="1077"/>
        <w:jc w:val="both"/>
        <w:rPr>
          <w:b/>
          <w:bCs/>
          <w:noProof/>
        </w:rPr>
      </w:pPr>
      <w:r>
        <w:rPr>
          <w:b/>
          <w:noProof/>
        </w:rPr>
        <w:t>Prevenirea criminalității și reducerea violenței legate de droguri</w:t>
      </w:r>
    </w:p>
    <w:p w14:paraId="1E10E135" w14:textId="00E39294" w:rsidR="00C76AFC" w:rsidRPr="00CB4B7C" w:rsidRDefault="00C76AFC" w:rsidP="005A4FFB">
      <w:pPr>
        <w:pStyle w:val="Normal1"/>
        <w:shd w:val="clear" w:color="auto" w:fill="FFFFFF"/>
        <w:spacing w:before="120" w:beforeAutospacing="0" w:after="120" w:afterAutospacing="0"/>
        <w:jc w:val="both"/>
        <w:rPr>
          <w:b/>
          <w:bCs/>
          <w:noProof/>
        </w:rPr>
      </w:pPr>
      <w:r>
        <w:rPr>
          <w:b/>
          <w:noProof/>
        </w:rPr>
        <w:t xml:space="preserve">Acțiunea 7: </w:t>
      </w:r>
      <w:r>
        <w:rPr>
          <w:noProof/>
        </w:rPr>
        <w:t>crearea unui set de instrumente pentru a preveni recrutarea minorilor în rețelele de trafic de droguri</w:t>
      </w:r>
      <w:r>
        <w:rPr>
          <w:b/>
          <w:noProof/>
        </w:rPr>
        <w:t xml:space="preserve"> </w:t>
      </w:r>
    </w:p>
    <w:p w14:paraId="5B4E0CDC" w14:textId="357AE89F" w:rsidR="00094288" w:rsidRPr="00CB4B7C" w:rsidRDefault="00094288" w:rsidP="005A4FFB">
      <w:pPr>
        <w:pStyle w:val="Style2"/>
        <w:numPr>
          <w:ilvl w:val="0"/>
          <w:numId w:val="39"/>
        </w:numPr>
        <w:spacing w:before="240" w:after="240" w:line="240" w:lineRule="auto"/>
        <w:ind w:left="1077"/>
        <w:rPr>
          <w:noProof/>
        </w:rPr>
      </w:pPr>
      <w:r>
        <w:rPr>
          <w:noProof/>
        </w:rPr>
        <w:t xml:space="preserve">consolidarea cooperării dintre autoritățile de aplicare a legii, sistemul judiciar și autoritățile vamale </w:t>
      </w:r>
    </w:p>
    <w:p w14:paraId="007B66CF" w14:textId="77777777" w:rsidR="00023287" w:rsidRPr="00CB4B7C" w:rsidRDefault="00023287" w:rsidP="005A4FFB">
      <w:pPr>
        <w:pStyle w:val="Normal1"/>
        <w:shd w:val="clear" w:color="auto" w:fill="FFFFFF"/>
        <w:spacing w:before="120" w:beforeAutospacing="0" w:after="120" w:afterAutospacing="0"/>
        <w:jc w:val="both"/>
        <w:rPr>
          <w:noProof/>
        </w:rPr>
      </w:pPr>
      <w:r>
        <w:rPr>
          <w:b/>
          <w:noProof/>
        </w:rPr>
        <w:t>Acțiunea 8:</w:t>
      </w:r>
      <w:r>
        <w:rPr>
          <w:noProof/>
        </w:rPr>
        <w:t xml:space="preserve"> îmbunătățirea cooperării și a schimbului de informații dintre autoritățile vamale și alte autorități de aplicare a legii</w:t>
      </w:r>
    </w:p>
    <w:p w14:paraId="14F600B9" w14:textId="77777777" w:rsidR="00023287" w:rsidRPr="00CB4B7C" w:rsidRDefault="00023287" w:rsidP="005A4FFB">
      <w:pPr>
        <w:pStyle w:val="Normal1"/>
        <w:shd w:val="clear" w:color="auto" w:fill="FFFFFF"/>
        <w:spacing w:before="120" w:beforeAutospacing="0" w:after="120" w:afterAutospacing="0"/>
        <w:jc w:val="both"/>
        <w:rPr>
          <w:noProof/>
        </w:rPr>
      </w:pPr>
      <w:r>
        <w:rPr>
          <w:b/>
          <w:noProof/>
        </w:rPr>
        <w:t>Acțiunea 9:</w:t>
      </w:r>
      <w:r>
        <w:rPr>
          <w:noProof/>
        </w:rPr>
        <w:t xml:space="preserve"> implementarea unor tehnologii inovatoare de detectare pentru combaterea traficului de droguri</w:t>
      </w:r>
    </w:p>
    <w:p w14:paraId="1188AA70" w14:textId="77777777" w:rsidR="00023287" w:rsidRPr="00CB4B7C" w:rsidRDefault="00023287" w:rsidP="005A4FFB">
      <w:pPr>
        <w:pStyle w:val="Normal1"/>
        <w:shd w:val="clear" w:color="auto" w:fill="FFFFFF"/>
        <w:spacing w:before="120" w:beforeAutospacing="0" w:after="120" w:afterAutospacing="0"/>
        <w:jc w:val="both"/>
        <w:rPr>
          <w:noProof/>
        </w:rPr>
      </w:pPr>
      <w:r>
        <w:rPr>
          <w:b/>
          <w:noProof/>
        </w:rPr>
        <w:t>Acțiunea 10:</w:t>
      </w:r>
      <w:r>
        <w:rPr>
          <w:noProof/>
        </w:rPr>
        <w:t xml:space="preserve"> consolidarea capacităților de combatere a traficului online de droguri</w:t>
      </w:r>
    </w:p>
    <w:p w14:paraId="3A390C56" w14:textId="77777777" w:rsidR="00023287" w:rsidRPr="00CB4B7C" w:rsidRDefault="00023287" w:rsidP="005A4FFB">
      <w:pPr>
        <w:pStyle w:val="Normal1"/>
        <w:shd w:val="clear" w:color="auto" w:fill="FFFFFF"/>
        <w:spacing w:before="120" w:beforeAutospacing="0" w:after="120" w:afterAutospacing="0"/>
        <w:jc w:val="both"/>
        <w:rPr>
          <w:noProof/>
        </w:rPr>
      </w:pPr>
      <w:r>
        <w:rPr>
          <w:b/>
          <w:noProof/>
        </w:rPr>
        <w:t>Acțiunea 11:</w:t>
      </w:r>
      <w:r>
        <w:rPr>
          <w:noProof/>
        </w:rPr>
        <w:t xml:space="preserve"> neutralizarea traficului de droguri derulat din închisori și în cadrul acestora</w:t>
      </w:r>
    </w:p>
    <w:p w14:paraId="371780E0" w14:textId="064ADE26" w:rsidR="00094288" w:rsidRPr="00CB4B7C" w:rsidRDefault="00023287" w:rsidP="005A4FFB">
      <w:pPr>
        <w:pStyle w:val="Normal1"/>
        <w:shd w:val="clear" w:color="auto" w:fill="FFFFFF"/>
        <w:spacing w:before="120" w:beforeAutospacing="0" w:after="120" w:afterAutospacing="0"/>
        <w:jc w:val="both"/>
        <w:rPr>
          <w:noProof/>
        </w:rPr>
      </w:pPr>
      <w:r>
        <w:rPr>
          <w:b/>
          <w:noProof/>
        </w:rPr>
        <w:t>Acțiunea 12:</w:t>
      </w:r>
      <w:r>
        <w:rPr>
          <w:noProof/>
        </w:rPr>
        <w:t xml:space="preserve"> evaluarea cadrului juridic al UE privind traficul de droguri</w:t>
      </w:r>
    </w:p>
    <w:p w14:paraId="2DD5F5C2" w14:textId="3FC8D943" w:rsidR="00094288" w:rsidRPr="00CB4B7C" w:rsidRDefault="00094288" w:rsidP="005A4FFB">
      <w:pPr>
        <w:pStyle w:val="Normal1"/>
        <w:numPr>
          <w:ilvl w:val="0"/>
          <w:numId w:val="39"/>
        </w:numPr>
        <w:shd w:val="clear" w:color="auto" w:fill="FFFFFF"/>
        <w:spacing w:before="240" w:beforeAutospacing="0" w:after="240" w:afterAutospacing="0"/>
        <w:ind w:left="1077"/>
        <w:jc w:val="both"/>
        <w:rPr>
          <w:b/>
          <w:bCs/>
          <w:noProof/>
        </w:rPr>
      </w:pPr>
      <w:r>
        <w:rPr>
          <w:b/>
          <w:noProof/>
        </w:rPr>
        <w:t>Abordarea provocării reprezentate de drogurile sintetice și de precursorii de droguri</w:t>
      </w:r>
    </w:p>
    <w:p w14:paraId="62411CB1" w14:textId="77777777" w:rsidR="00023287" w:rsidRPr="00CB4B7C" w:rsidRDefault="00023287" w:rsidP="005A4FFB">
      <w:pPr>
        <w:pStyle w:val="Normal1"/>
        <w:shd w:val="clear" w:color="auto" w:fill="FFFFFF"/>
        <w:spacing w:before="120" w:beforeAutospacing="0" w:after="120" w:afterAutospacing="0"/>
        <w:jc w:val="both"/>
        <w:rPr>
          <w:noProof/>
        </w:rPr>
      </w:pPr>
      <w:r>
        <w:rPr>
          <w:b/>
          <w:noProof/>
        </w:rPr>
        <w:t>Acțiunea 13:</w:t>
      </w:r>
      <w:r>
        <w:rPr>
          <w:noProof/>
        </w:rPr>
        <w:t xml:space="preserve"> eliminarea lacunelor juridice privind pre-precursorii</w:t>
      </w:r>
    </w:p>
    <w:p w14:paraId="00423408" w14:textId="473ADFB9" w:rsidR="00023287" w:rsidRPr="00CB4B7C" w:rsidRDefault="00023287" w:rsidP="005A4FFB">
      <w:pPr>
        <w:pStyle w:val="Normal1"/>
        <w:shd w:val="clear" w:color="auto" w:fill="FFFFFF"/>
        <w:spacing w:before="120" w:beforeAutospacing="0" w:after="120" w:afterAutospacing="0"/>
        <w:jc w:val="both"/>
        <w:rPr>
          <w:noProof/>
        </w:rPr>
      </w:pPr>
      <w:r>
        <w:rPr>
          <w:b/>
          <w:noProof/>
        </w:rPr>
        <w:t>Acțiunea 14:</w:t>
      </w:r>
      <w:r>
        <w:rPr>
          <w:noProof/>
        </w:rPr>
        <w:t xml:space="preserve"> îmbunătățirea identificării substanțelor în vederea interceptării eficace a drogurilor</w:t>
      </w:r>
    </w:p>
    <w:p w14:paraId="1AE52BCA" w14:textId="054A3122" w:rsidR="00094288" w:rsidRPr="00CB4B7C" w:rsidRDefault="00023287" w:rsidP="005A4FFB">
      <w:pPr>
        <w:pStyle w:val="Normal1"/>
        <w:shd w:val="clear" w:color="auto" w:fill="FFFFFF"/>
        <w:spacing w:before="120" w:beforeAutospacing="0" w:after="120" w:afterAutospacing="0"/>
        <w:jc w:val="both"/>
        <w:rPr>
          <w:noProof/>
        </w:rPr>
      </w:pPr>
      <w:r>
        <w:rPr>
          <w:b/>
          <w:noProof/>
        </w:rPr>
        <w:t>Acțiunea 15:</w:t>
      </w:r>
      <w:r>
        <w:rPr>
          <w:noProof/>
        </w:rPr>
        <w:t xml:space="preserve"> furnizarea unui manual comun pentru desființarea locurilor de producție a drogurilor sintetice ilicite</w:t>
      </w:r>
    </w:p>
    <w:p w14:paraId="39905DF9" w14:textId="06C2D585" w:rsidR="00094288" w:rsidRPr="00CB4B7C" w:rsidRDefault="00094288" w:rsidP="005A4FFB">
      <w:pPr>
        <w:pStyle w:val="Normal1"/>
        <w:numPr>
          <w:ilvl w:val="0"/>
          <w:numId w:val="39"/>
        </w:numPr>
        <w:shd w:val="clear" w:color="auto" w:fill="FFFFFF"/>
        <w:spacing w:before="240" w:beforeAutospacing="0" w:after="240" w:afterAutospacing="0"/>
        <w:ind w:left="1077"/>
        <w:jc w:val="both"/>
        <w:rPr>
          <w:b/>
          <w:bCs/>
          <w:noProof/>
        </w:rPr>
      </w:pPr>
      <w:r>
        <w:rPr>
          <w:b/>
          <w:noProof/>
        </w:rPr>
        <w:t>Promovarea cercetării, a dezvoltării și a inovării</w:t>
      </w:r>
    </w:p>
    <w:p w14:paraId="708524CD" w14:textId="673C84BD" w:rsidR="00023287" w:rsidRPr="00CB4B7C" w:rsidRDefault="00023287" w:rsidP="005A4FFB">
      <w:pPr>
        <w:pStyle w:val="Normal1"/>
        <w:shd w:val="clear" w:color="auto" w:fill="FFFFFF"/>
        <w:spacing w:before="120" w:beforeAutospacing="0" w:after="120" w:afterAutospacing="0"/>
        <w:jc w:val="both"/>
        <w:rPr>
          <w:noProof/>
        </w:rPr>
      </w:pPr>
      <w:r>
        <w:rPr>
          <w:b/>
          <w:noProof/>
        </w:rPr>
        <w:t xml:space="preserve">Acțiunea 16: </w:t>
      </w:r>
      <w:r>
        <w:rPr>
          <w:noProof/>
        </w:rPr>
        <w:t>alinierea inovării la necesitățile operaționale de combatere a traficului de droguri</w:t>
      </w:r>
    </w:p>
    <w:p w14:paraId="61EFA07C" w14:textId="4F464184" w:rsidR="00A47ECD" w:rsidRPr="00CB4B7C" w:rsidRDefault="00A47ECD" w:rsidP="005A4FFB">
      <w:pPr>
        <w:pStyle w:val="Normal1"/>
        <w:numPr>
          <w:ilvl w:val="0"/>
          <w:numId w:val="39"/>
        </w:numPr>
        <w:shd w:val="clear" w:color="auto" w:fill="FFFFFF"/>
        <w:spacing w:before="240" w:beforeAutospacing="0" w:after="240" w:afterAutospacing="0"/>
        <w:ind w:left="1077"/>
        <w:jc w:val="both"/>
        <w:rPr>
          <w:b/>
          <w:bCs/>
          <w:noProof/>
        </w:rPr>
      </w:pPr>
      <w:r>
        <w:rPr>
          <w:b/>
          <w:noProof/>
        </w:rPr>
        <w:t>Consolidarea cooperării și a parteneriatelor internaționale</w:t>
      </w:r>
    </w:p>
    <w:p w14:paraId="58A3042D" w14:textId="5394D71B" w:rsidR="00011BF6" w:rsidRPr="00CB4B7C" w:rsidRDefault="00011BF6" w:rsidP="00011BF6">
      <w:pPr>
        <w:pStyle w:val="Normal1"/>
        <w:shd w:val="clear" w:color="auto" w:fill="FFFFFF"/>
        <w:spacing w:before="120" w:beforeAutospacing="0" w:after="120" w:afterAutospacing="0"/>
        <w:jc w:val="both"/>
        <w:rPr>
          <w:noProof/>
        </w:rPr>
      </w:pPr>
      <w:r>
        <w:rPr>
          <w:b/>
          <w:noProof/>
        </w:rPr>
        <w:t xml:space="preserve">Acțiunea 17: </w:t>
      </w:r>
      <w:r>
        <w:rPr>
          <w:noProof/>
        </w:rPr>
        <w:t>consolidarea și extinderea dialogului strategic și a mecanismelor de cooperare cu țările terțe</w:t>
      </w:r>
    </w:p>
    <w:p w14:paraId="5D6F890F" w14:textId="757843D1" w:rsidR="00023287" w:rsidRPr="00CB4B7C" w:rsidRDefault="00023287" w:rsidP="005A4FFB">
      <w:pPr>
        <w:pStyle w:val="Normal1"/>
        <w:shd w:val="clear" w:color="auto" w:fill="FFFFFF"/>
        <w:spacing w:before="120" w:beforeAutospacing="0" w:after="120" w:afterAutospacing="0"/>
        <w:jc w:val="both"/>
        <w:rPr>
          <w:noProof/>
        </w:rPr>
      </w:pPr>
      <w:r>
        <w:rPr>
          <w:b/>
          <w:noProof/>
        </w:rPr>
        <w:t>Acțiunea 18:</w:t>
      </w:r>
      <w:r>
        <w:rPr>
          <w:noProof/>
        </w:rPr>
        <w:t xml:space="preserve"> consolidarea rezilienței porturilor din țările terțe pentru neutralizarea traficului de droguri</w:t>
      </w:r>
    </w:p>
    <w:p w14:paraId="075DE0DD" w14:textId="51619485" w:rsidR="00023287" w:rsidRPr="00CB4B7C" w:rsidRDefault="00023287" w:rsidP="005A4FFB">
      <w:pPr>
        <w:pStyle w:val="Normal1"/>
        <w:shd w:val="clear" w:color="auto" w:fill="FFFFFF"/>
        <w:spacing w:before="120" w:beforeAutospacing="0" w:after="120" w:afterAutospacing="0"/>
        <w:jc w:val="both"/>
        <w:rPr>
          <w:noProof/>
        </w:rPr>
      </w:pPr>
      <w:r>
        <w:rPr>
          <w:b/>
          <w:noProof/>
        </w:rPr>
        <w:t>Acțiunea 19:</w:t>
      </w:r>
      <w:r>
        <w:rPr>
          <w:noProof/>
        </w:rPr>
        <w:t xml:space="preserve"> consolidarea cooperării internaționale prin anchete comune și centre de fuziune</w:t>
      </w:r>
    </w:p>
    <w:sectPr w:rsidR="00023287" w:rsidRPr="00CB4B7C" w:rsidSect="002F2AEF">
      <w:headerReference w:type="even" r:id="rId16"/>
      <w:headerReference w:type="default" r:id="rId17"/>
      <w:footerReference w:type="even" r:id="rId18"/>
      <w:footerReference w:type="default" r:id="rId19"/>
      <w:headerReference w:type="first" r:id="rId20"/>
      <w:footerReference w:type="first" r:id="rId21"/>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C93E0F" w14:textId="77777777" w:rsidR="007C100C" w:rsidRDefault="007C100C" w:rsidP="002F2AEF">
      <w:pPr>
        <w:spacing w:after="0" w:line="240" w:lineRule="auto"/>
      </w:pPr>
      <w:r>
        <w:separator/>
      </w:r>
    </w:p>
  </w:endnote>
  <w:endnote w:type="continuationSeparator" w:id="0">
    <w:p w14:paraId="1BE9EFE6" w14:textId="77777777" w:rsidR="007C100C" w:rsidRDefault="007C100C" w:rsidP="002F2AEF">
      <w:pPr>
        <w:spacing w:after="0" w:line="240" w:lineRule="auto"/>
      </w:pPr>
      <w:r>
        <w:continuationSeparator/>
      </w:r>
    </w:p>
  </w:endnote>
  <w:endnote w:type="continuationNotice" w:id="1">
    <w:p w14:paraId="6DB21F11" w14:textId="77777777" w:rsidR="007C100C" w:rsidRDefault="007C100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A1C168" w14:textId="61341682" w:rsidR="00BF3B37" w:rsidRPr="00BF3B37" w:rsidRDefault="00BF3B37" w:rsidP="00BF3B37">
    <w:pPr>
      <w:pStyle w:val="FooterCoverPage"/>
      <w:rPr>
        <w:rFonts w:ascii="Arial" w:hAnsi="Arial" w:cs="Arial"/>
        <w:b/>
        <w:sz w:val="48"/>
      </w:rPr>
    </w:pPr>
    <w:r w:rsidRPr="00BF3B37">
      <w:rPr>
        <w:rFonts w:ascii="Arial" w:hAnsi="Arial" w:cs="Arial"/>
        <w:b/>
        <w:sz w:val="48"/>
      </w:rPr>
      <w:t>RO</w:t>
    </w:r>
    <w:r w:rsidRPr="00BF3B37">
      <w:rPr>
        <w:rFonts w:ascii="Arial" w:hAnsi="Arial" w:cs="Arial"/>
        <w:b/>
        <w:sz w:val="48"/>
      </w:rPr>
      <w:tab/>
    </w:r>
    <w:r w:rsidRPr="00BF3B37">
      <w:rPr>
        <w:rFonts w:ascii="Arial" w:hAnsi="Arial" w:cs="Arial"/>
        <w:b/>
        <w:sz w:val="48"/>
      </w:rPr>
      <w:tab/>
    </w:r>
    <w:r w:rsidRPr="00BF3B37">
      <w:tab/>
    </w:r>
    <w:r w:rsidRPr="00BF3B37">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A7CD05" w14:textId="62953F8B" w:rsidR="00BF3B37" w:rsidRPr="00BF3B37" w:rsidRDefault="00BF3B37" w:rsidP="00BF3B37">
    <w:pPr>
      <w:pStyle w:val="FooterCoverPage"/>
      <w:rPr>
        <w:rFonts w:ascii="Arial" w:hAnsi="Arial" w:cs="Arial"/>
        <w:b/>
        <w:sz w:val="48"/>
      </w:rPr>
    </w:pPr>
    <w:r w:rsidRPr="00BF3B37">
      <w:rPr>
        <w:rFonts w:ascii="Arial" w:hAnsi="Arial" w:cs="Arial"/>
        <w:b/>
        <w:sz w:val="48"/>
      </w:rPr>
      <w:t>RO</w:t>
    </w:r>
    <w:r w:rsidRPr="00BF3B37">
      <w:rPr>
        <w:rFonts w:ascii="Arial" w:hAnsi="Arial" w:cs="Arial"/>
        <w:b/>
        <w:sz w:val="48"/>
      </w:rPr>
      <w:tab/>
    </w:r>
    <w:r w:rsidRPr="00BF3B37">
      <w:rPr>
        <w:rFonts w:ascii="Arial" w:hAnsi="Arial" w:cs="Arial"/>
        <w:b/>
        <w:sz w:val="48"/>
      </w:rPr>
      <w:tab/>
    </w:r>
    <w:r w:rsidRPr="00BF3B37">
      <w:tab/>
    </w:r>
    <w:r w:rsidRPr="00BF3B37">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BAB49B" w14:textId="77777777" w:rsidR="00BF3B37" w:rsidRPr="00BF3B37" w:rsidRDefault="00BF3B37" w:rsidP="00BF3B37">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0EA54E" w14:textId="77777777" w:rsidR="00D24BB1" w:rsidRDefault="00D24BB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292019146"/>
      <w:docPartObj>
        <w:docPartGallery w:val="Page Numbers (Bottom of Page)"/>
        <w:docPartUnique/>
      </w:docPartObj>
    </w:sdtPr>
    <w:sdtEndPr>
      <w:rPr>
        <w:noProof/>
      </w:rPr>
    </w:sdtEndPr>
    <w:sdtContent>
      <w:p w14:paraId="0D2E59F0" w14:textId="0EF57D02" w:rsidR="001F25BC" w:rsidRPr="003B440C" w:rsidRDefault="001F25BC">
        <w:pPr>
          <w:pStyle w:val="Footer"/>
          <w:jc w:val="center"/>
          <w:rPr>
            <w:rFonts w:ascii="Times New Roman" w:hAnsi="Times New Roman" w:cs="Times New Roman"/>
            <w:sz w:val="24"/>
            <w:szCs w:val="24"/>
          </w:rPr>
        </w:pPr>
        <w:r>
          <w:rPr>
            <w:rFonts w:ascii="Times New Roman" w:hAnsi="Times New Roman" w:cs="Times New Roman"/>
            <w:sz w:val="24"/>
          </w:rPr>
          <w:fldChar w:fldCharType="begin"/>
        </w:r>
        <w:r>
          <w:rPr>
            <w:rFonts w:ascii="Times New Roman" w:hAnsi="Times New Roman" w:cs="Times New Roman"/>
            <w:sz w:val="24"/>
          </w:rPr>
          <w:instrText xml:space="preserve"> PAGE   \* MERGEFORMAT </w:instrText>
        </w:r>
        <w:r>
          <w:rPr>
            <w:rFonts w:ascii="Times New Roman" w:hAnsi="Times New Roman" w:cs="Times New Roman"/>
            <w:sz w:val="24"/>
          </w:rPr>
          <w:fldChar w:fldCharType="separate"/>
        </w:r>
        <w:r w:rsidR="00BF3B37">
          <w:rPr>
            <w:rFonts w:ascii="Times New Roman" w:hAnsi="Times New Roman" w:cs="Times New Roman"/>
            <w:noProof/>
            <w:sz w:val="24"/>
          </w:rPr>
          <w:t>2</w:t>
        </w:r>
        <w:r>
          <w:rPr>
            <w:rFonts w:ascii="Times New Roman" w:hAnsi="Times New Roman" w:cs="Times New Roman"/>
            <w:sz w:val="24"/>
          </w:rPr>
          <w:fldChar w:fldCharType="end"/>
        </w:r>
      </w:p>
    </w:sdtContent>
  </w:sdt>
  <w:p w14:paraId="1D5E94CB" w14:textId="77777777" w:rsidR="00D24BB1" w:rsidRPr="003B440C" w:rsidRDefault="00D24BB1">
    <w:pPr>
      <w:pStyle w:val="Footer"/>
      <w:rPr>
        <w:rFonts w:ascii="Times New Roman" w:hAnsi="Times New Roman" w:cs="Times New Roman"/>
        <w:sz w:val="24"/>
        <w:szCs w:val="24"/>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9F8193" w14:textId="77777777" w:rsidR="00D24BB1" w:rsidRDefault="00D24B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FC906F" w14:textId="77777777" w:rsidR="007C100C" w:rsidRDefault="007C100C" w:rsidP="002F2AEF">
      <w:pPr>
        <w:spacing w:after="0" w:line="240" w:lineRule="auto"/>
      </w:pPr>
      <w:r>
        <w:separator/>
      </w:r>
    </w:p>
  </w:footnote>
  <w:footnote w:type="continuationSeparator" w:id="0">
    <w:p w14:paraId="788B6DDC" w14:textId="77777777" w:rsidR="007C100C" w:rsidRDefault="007C100C" w:rsidP="002F2AEF">
      <w:pPr>
        <w:spacing w:after="0" w:line="240" w:lineRule="auto"/>
      </w:pPr>
      <w:r>
        <w:continuationSeparator/>
      </w:r>
    </w:p>
  </w:footnote>
  <w:footnote w:type="continuationNotice" w:id="1">
    <w:p w14:paraId="36C57305" w14:textId="77777777" w:rsidR="007C100C" w:rsidRDefault="007C100C">
      <w:pPr>
        <w:spacing w:after="0" w:line="240" w:lineRule="auto"/>
      </w:pPr>
    </w:p>
  </w:footnote>
  <w:footnote w:id="2">
    <w:p w14:paraId="1EE1FE75" w14:textId="6F0F3C15" w:rsidR="00B2039B" w:rsidRPr="00781918" w:rsidRDefault="00B2039B" w:rsidP="00330613">
      <w:pPr>
        <w:pStyle w:val="FootnoteText"/>
        <w:jc w:val="both"/>
        <w:rPr>
          <w:rFonts w:ascii="Times New Roman" w:hAnsi="Times New Roman" w:cs="Times New Roman"/>
        </w:rPr>
      </w:pPr>
      <w:r>
        <w:rPr>
          <w:rStyle w:val="FootnoteReference0"/>
          <w:rFonts w:ascii="Times New Roman" w:hAnsi="Times New Roman" w:cs="Times New Roman"/>
        </w:rPr>
        <w:footnoteRef/>
      </w:r>
      <w:r>
        <w:rPr>
          <w:rFonts w:ascii="Times New Roman" w:hAnsi="Times New Roman"/>
        </w:rPr>
        <w:t xml:space="preserve"> Europol (2024), </w:t>
      </w:r>
      <w:r>
        <w:rPr>
          <w:rFonts w:ascii="Times New Roman" w:hAnsi="Times New Roman"/>
          <w:i/>
        </w:rPr>
        <w:t>Decoding the EU’s most threatening criminal networks</w:t>
      </w:r>
      <w:r>
        <w:rPr>
          <w:rFonts w:ascii="Times New Roman" w:hAnsi="Times New Roman"/>
        </w:rPr>
        <w:t xml:space="preserve"> (Decodarea celor mai amenințătoare rețele infracționale din UE)</w:t>
      </w:r>
      <w:r>
        <w:t>.</w:t>
      </w:r>
    </w:p>
  </w:footnote>
  <w:footnote w:id="3">
    <w:p w14:paraId="29C6E500" w14:textId="51E862DB" w:rsidR="00014793" w:rsidRPr="00781918" w:rsidRDefault="00014793" w:rsidP="00330613">
      <w:pPr>
        <w:pStyle w:val="FootnoteText"/>
        <w:jc w:val="both"/>
        <w:rPr>
          <w:rFonts w:ascii="Times New Roman" w:hAnsi="Times New Roman" w:cs="Times New Roman"/>
        </w:rPr>
      </w:pPr>
      <w:r>
        <w:rPr>
          <w:rStyle w:val="FootnoteReference0"/>
          <w:rFonts w:ascii="Times New Roman" w:hAnsi="Times New Roman" w:cs="Times New Roman"/>
        </w:rPr>
        <w:footnoteRef/>
      </w:r>
      <w:r>
        <w:rPr>
          <w:rFonts w:ascii="Times New Roman" w:hAnsi="Times New Roman"/>
        </w:rPr>
        <w:t xml:space="preserve"> Europol (2025), </w:t>
      </w:r>
      <w:r>
        <w:rPr>
          <w:rFonts w:ascii="Times New Roman" w:hAnsi="Times New Roman"/>
          <w:i/>
        </w:rPr>
        <w:t>Evaluarea amenințării pe care o reprezintă formele grave de criminalitate și criminalitatea organizată în Uniunea Europeană</w:t>
      </w:r>
      <w:r>
        <w:rPr>
          <w:rFonts w:ascii="Times New Roman" w:hAnsi="Times New Roman"/>
        </w:rPr>
        <w:t xml:space="preserve"> (EU-SOCTA 2025)</w:t>
      </w:r>
      <w:r>
        <w:t>.</w:t>
      </w:r>
    </w:p>
  </w:footnote>
  <w:footnote w:id="4">
    <w:p w14:paraId="614D89F1" w14:textId="358BDE4E" w:rsidR="00694FC7" w:rsidRPr="00781918" w:rsidRDefault="00694FC7" w:rsidP="00330613">
      <w:pPr>
        <w:pStyle w:val="FootnoteText"/>
        <w:jc w:val="both"/>
        <w:rPr>
          <w:rFonts w:ascii="Times New Roman" w:hAnsi="Times New Roman" w:cs="Times New Roman"/>
        </w:rPr>
      </w:pPr>
      <w:r>
        <w:rPr>
          <w:rStyle w:val="FootnoteReference0"/>
          <w:rFonts w:ascii="Times New Roman" w:hAnsi="Times New Roman" w:cs="Times New Roman"/>
        </w:rPr>
        <w:footnoteRef/>
      </w:r>
      <w:r>
        <w:rPr>
          <w:rFonts w:ascii="Times New Roman" w:hAnsi="Times New Roman"/>
        </w:rPr>
        <w:t xml:space="preserve"> Propunere de regulament al Parlamentului European și al Consiliului privind monitorizarea și controlul precursorilor de droguri și de abrogare a Regulamentelor (CE) nr. 273/2004 și (CE) nr. 111/2005 [COM(2025) 747 final].</w:t>
      </w:r>
    </w:p>
  </w:footnote>
  <w:footnote w:id="5">
    <w:p w14:paraId="17CB5BED" w14:textId="34E4029A" w:rsidR="0084510E" w:rsidRPr="00781918" w:rsidRDefault="0084510E" w:rsidP="00330613">
      <w:pPr>
        <w:pStyle w:val="FootnoteText"/>
        <w:jc w:val="both"/>
        <w:rPr>
          <w:rFonts w:ascii="Times New Roman" w:hAnsi="Times New Roman" w:cs="Times New Roman"/>
        </w:rPr>
      </w:pPr>
      <w:r>
        <w:rPr>
          <w:rStyle w:val="FootnoteReference0"/>
          <w:rFonts w:ascii="Times New Roman" w:hAnsi="Times New Roman" w:cs="Times New Roman"/>
        </w:rPr>
        <w:footnoteRef/>
      </w:r>
      <w:r>
        <w:rPr>
          <w:rFonts w:ascii="Times New Roman" w:hAnsi="Times New Roman"/>
        </w:rPr>
        <w:t xml:space="preserve"> Comunicarea Comisiei către Parlamentul European și Consiliu privind </w:t>
      </w:r>
      <w:r>
        <w:rPr>
          <w:rFonts w:ascii="Times New Roman" w:hAnsi="Times New Roman"/>
          <w:i/>
        </w:rPr>
        <w:t>foaia de parcurs a UE pentru combaterea traficului de droguri și a criminalității organizate</w:t>
      </w:r>
      <w:r>
        <w:rPr>
          <w:rFonts w:ascii="Times New Roman" w:hAnsi="Times New Roman"/>
        </w:rPr>
        <w:t xml:space="preserve"> [COM(2023) 641 final]</w:t>
      </w:r>
      <w:r>
        <w:t>.</w:t>
      </w:r>
    </w:p>
  </w:footnote>
  <w:footnote w:id="6">
    <w:p w14:paraId="5E738149" w14:textId="77777777" w:rsidR="00D10754" w:rsidRPr="00781918" w:rsidRDefault="00D10754" w:rsidP="00330613">
      <w:pPr>
        <w:pStyle w:val="FootnoteText"/>
        <w:jc w:val="both"/>
        <w:rPr>
          <w:rFonts w:ascii="Times New Roman" w:hAnsi="Times New Roman" w:cs="Times New Roman"/>
        </w:rPr>
      </w:pPr>
      <w:r>
        <w:rPr>
          <w:rStyle w:val="FootnoteReference0"/>
          <w:rFonts w:ascii="Times New Roman" w:hAnsi="Times New Roman" w:cs="Times New Roman"/>
        </w:rPr>
        <w:footnoteRef/>
      </w:r>
      <w:r>
        <w:rPr>
          <w:rFonts w:ascii="Times New Roman" w:hAnsi="Times New Roman"/>
        </w:rPr>
        <w:t xml:space="preserve"> Comunicarea Comisiei către Parlamentul European, Consiliu, Comitetul Economic și Social European și Comitetul Regiunilor privind </w:t>
      </w:r>
      <w:r>
        <w:rPr>
          <w:rFonts w:ascii="Times New Roman" w:hAnsi="Times New Roman"/>
          <w:i/>
        </w:rPr>
        <w:t>ProtectEU: o strategie europeană de securitate internă</w:t>
      </w:r>
      <w:r>
        <w:rPr>
          <w:rFonts w:ascii="Times New Roman" w:hAnsi="Times New Roman"/>
        </w:rPr>
        <w:t xml:space="preserve"> [COM(2025) 148 final].</w:t>
      </w:r>
    </w:p>
    <w:p w14:paraId="1033BB11" w14:textId="77777777" w:rsidR="00D10754" w:rsidRPr="004A7C78" w:rsidRDefault="00D10754" w:rsidP="00330613">
      <w:pPr>
        <w:pStyle w:val="FootnoteText"/>
        <w:jc w:val="both"/>
        <w:rPr>
          <w:rFonts w:ascii="Times New Roman" w:hAnsi="Times New Roman" w:cs="Times New Roman"/>
        </w:rPr>
      </w:pPr>
    </w:p>
  </w:footnote>
  <w:footnote w:id="7">
    <w:p w14:paraId="7E92FFEF" w14:textId="484B0B55" w:rsidR="00284885" w:rsidRPr="00781918" w:rsidRDefault="00284885" w:rsidP="00330613">
      <w:pPr>
        <w:jc w:val="both"/>
        <w:rPr>
          <w:rFonts w:ascii="Times New Roman" w:eastAsia="Calibri" w:hAnsi="Times New Roman" w:cs="Times New Roman"/>
          <w:sz w:val="20"/>
          <w:szCs w:val="20"/>
        </w:rPr>
      </w:pPr>
      <w:r>
        <w:rPr>
          <w:rFonts w:ascii="Times New Roman" w:hAnsi="Times New Roman" w:cs="Times New Roman"/>
          <w:sz w:val="20"/>
          <w:szCs w:val="20"/>
          <w:vertAlign w:val="superscript"/>
        </w:rPr>
        <w:footnoteRef/>
      </w:r>
      <w:r>
        <w:rPr>
          <w:rFonts w:ascii="Times New Roman" w:hAnsi="Times New Roman"/>
          <w:sz w:val="20"/>
          <w:vertAlign w:val="superscript"/>
        </w:rPr>
        <w:t xml:space="preserve"> </w:t>
      </w:r>
      <w:r>
        <w:rPr>
          <w:rFonts w:ascii="Times New Roman" w:hAnsi="Times New Roman"/>
          <w:sz w:val="20"/>
        </w:rPr>
        <w:t>Directiva (UE) 2016/681 a Parlamentului European și a Consiliului din 27 aprilie 2016 privind utilizarea datelor din registrul cu numele pasagerilor (PNR) pentru prevenirea, depistarea, investigarea și urmărirea penală a infracțiunilor de terorism și a infracțiunilor grave (JO L 119, 4.5.2016, p. 132)</w:t>
      </w:r>
      <w:r>
        <w:t>.</w:t>
      </w:r>
    </w:p>
  </w:footnote>
  <w:footnote w:id="8">
    <w:p w14:paraId="4E20732C" w14:textId="75C89684" w:rsidR="00B42F03" w:rsidRPr="00781918" w:rsidRDefault="00B42F03" w:rsidP="00330613">
      <w:pPr>
        <w:pStyle w:val="FootnoteText"/>
        <w:jc w:val="both"/>
        <w:rPr>
          <w:rFonts w:ascii="Times New Roman" w:hAnsi="Times New Roman" w:cs="Times New Roman"/>
        </w:rPr>
      </w:pPr>
      <w:r>
        <w:rPr>
          <w:rStyle w:val="FootnoteReference0"/>
          <w:rFonts w:ascii="Times New Roman" w:hAnsi="Times New Roman" w:cs="Times New Roman"/>
        </w:rPr>
        <w:footnoteRef/>
      </w:r>
      <w:r>
        <w:rPr>
          <w:rFonts w:ascii="Times New Roman" w:hAnsi="Times New Roman"/>
        </w:rPr>
        <w:t xml:space="preserve"> Franța, Irlanda, Italia, Țările de Jos, Portugalia, Spania, Belgia și Germania (Belgia și Germania au aderat în 2024)</w:t>
      </w:r>
      <w:r>
        <w:t>.</w:t>
      </w:r>
      <w:r>
        <w:rPr>
          <w:rFonts w:ascii="Times New Roman" w:hAnsi="Times New Roman"/>
        </w:rPr>
        <w:t xml:space="preserve"> MAOC-N este cofinanțat din Fondul pentru securitate internă al UE. </w:t>
      </w:r>
    </w:p>
  </w:footnote>
  <w:footnote w:id="9">
    <w:p w14:paraId="603A5EF0" w14:textId="23D760AA" w:rsidR="00284885" w:rsidRPr="00781918" w:rsidRDefault="00284885" w:rsidP="00330613">
      <w:pPr>
        <w:pStyle w:val="FootnoteText"/>
        <w:jc w:val="both"/>
        <w:rPr>
          <w:rFonts w:ascii="Times New Roman" w:hAnsi="Times New Roman" w:cs="Times New Roman"/>
        </w:rPr>
      </w:pPr>
      <w:r>
        <w:rPr>
          <w:rStyle w:val="FootnoteReference0"/>
          <w:rFonts w:ascii="Times New Roman" w:hAnsi="Times New Roman" w:cs="Times New Roman"/>
        </w:rPr>
        <w:footnoteRef/>
      </w:r>
      <w:r>
        <w:rPr>
          <w:rFonts w:ascii="Times New Roman" w:hAnsi="Times New Roman"/>
        </w:rPr>
        <w:t>Articolul 68 din Regulamentul (UE) 2019/1896 din 13 noiembrie 2019 privind Poliția de frontieră și garda de coastă la nivel european și de abrogare a Regulamentelor (UE) nr. 1052/2013 și (UE) 2016/1624 (JO L 295, 14.11.2019, p. 1)</w:t>
      </w:r>
      <w:r>
        <w:t>.</w:t>
      </w:r>
    </w:p>
  </w:footnote>
  <w:footnote w:id="10">
    <w:p w14:paraId="404F57A0" w14:textId="77777777" w:rsidR="00B14936" w:rsidRPr="00F01234" w:rsidRDefault="00B14936" w:rsidP="00330613">
      <w:pPr>
        <w:pStyle w:val="FootnoteText"/>
        <w:jc w:val="both"/>
        <w:rPr>
          <w:rFonts w:ascii="Times New Roman" w:hAnsi="Times New Roman" w:cs="Times New Roman"/>
        </w:rPr>
      </w:pPr>
      <w:r>
        <w:rPr>
          <w:rStyle w:val="FootnoteReference0"/>
          <w:rFonts w:ascii="Times New Roman" w:hAnsi="Times New Roman" w:cs="Times New Roman"/>
        </w:rPr>
        <w:footnoteRef/>
      </w:r>
      <w:r>
        <w:rPr>
          <w:rFonts w:ascii="Times New Roman" w:hAnsi="Times New Roman"/>
        </w:rPr>
        <w:t xml:space="preserve"> COM(2025) 845 final</w:t>
      </w:r>
      <w:r>
        <w:t>.</w:t>
      </w:r>
    </w:p>
  </w:footnote>
  <w:footnote w:id="11">
    <w:p w14:paraId="3AFF187F" w14:textId="767BEE0E" w:rsidR="00781918" w:rsidRPr="00781918" w:rsidRDefault="00781918" w:rsidP="00330613">
      <w:pPr>
        <w:pStyle w:val="FootnoteText"/>
        <w:jc w:val="both"/>
        <w:rPr>
          <w:rFonts w:ascii="Times New Roman" w:hAnsi="Times New Roman" w:cs="Times New Roman"/>
        </w:rPr>
      </w:pPr>
      <w:r>
        <w:rPr>
          <w:rStyle w:val="FootnoteReference0"/>
        </w:rPr>
        <w:footnoteRef/>
      </w:r>
      <w:r>
        <w:t xml:space="preserve"> </w:t>
      </w:r>
      <w:r>
        <w:rPr>
          <w:rFonts w:ascii="Times New Roman" w:hAnsi="Times New Roman"/>
        </w:rPr>
        <w:t>Organizația Europeană a Serviciilor Penitenciare și Corecționale este finanțată prin grantul de funcționare al UE, iar programul său anual de lucru și funcționarea sa generală sunt sprijinite de Comisia Europeană</w:t>
      </w:r>
      <w:r>
        <w:t>.</w:t>
      </w:r>
    </w:p>
  </w:footnote>
  <w:footnote w:id="12">
    <w:p w14:paraId="0758DBB8" w14:textId="6041684C" w:rsidR="00C3398C" w:rsidRPr="00781918" w:rsidRDefault="00C3398C" w:rsidP="00330613">
      <w:pPr>
        <w:pStyle w:val="FootnoteText"/>
        <w:jc w:val="both"/>
        <w:rPr>
          <w:rFonts w:ascii="Times New Roman" w:hAnsi="Times New Roman" w:cs="Times New Roman"/>
        </w:rPr>
      </w:pPr>
      <w:r>
        <w:rPr>
          <w:rStyle w:val="FootnoteReference0"/>
          <w:rFonts w:ascii="Times New Roman" w:hAnsi="Times New Roman" w:cs="Times New Roman"/>
        </w:rPr>
        <w:footnoteRef/>
      </w:r>
      <w:r>
        <w:rPr>
          <w:rFonts w:ascii="Times New Roman" w:hAnsi="Times New Roman"/>
        </w:rPr>
        <w:t xml:space="preserve"> Acțiunea comună 97/827/JAI din 5 decembrie 1997 de instituire a mecanismului de evaluare reciprocă în domeniul luptei împotriva criminalității organizate (JO L 344, 15.12.1997, p. 7)</w:t>
      </w:r>
      <w:r>
        <w:t>.</w:t>
      </w:r>
    </w:p>
  </w:footnote>
  <w:footnote w:id="13">
    <w:p w14:paraId="58B50B1D" w14:textId="4C47227B" w:rsidR="005A4711" w:rsidRPr="00781918" w:rsidRDefault="005A4711" w:rsidP="00330613">
      <w:pPr>
        <w:pStyle w:val="FootnoteText"/>
        <w:jc w:val="both"/>
        <w:rPr>
          <w:rFonts w:ascii="Times New Roman" w:hAnsi="Times New Roman" w:cs="Times New Roman"/>
        </w:rPr>
      </w:pPr>
      <w:r>
        <w:rPr>
          <w:rStyle w:val="FootnoteReference0"/>
          <w:rFonts w:ascii="Times New Roman" w:hAnsi="Times New Roman" w:cs="Times New Roman"/>
        </w:rPr>
        <w:footnoteRef/>
      </w:r>
      <w:r>
        <w:rPr>
          <w:rFonts w:ascii="Times New Roman" w:hAnsi="Times New Roman"/>
        </w:rPr>
        <w:t xml:space="preserve"> COM(2025) 747 final</w:t>
      </w:r>
      <w:r>
        <w:t>.</w:t>
      </w:r>
    </w:p>
  </w:footnote>
  <w:footnote w:id="14">
    <w:p w14:paraId="3BAB5935" w14:textId="2C2EE3F2" w:rsidR="00357AE6" w:rsidRPr="00781918" w:rsidRDefault="00357AE6" w:rsidP="00330613">
      <w:pPr>
        <w:pStyle w:val="FootnoteText"/>
        <w:jc w:val="both"/>
        <w:rPr>
          <w:rFonts w:ascii="Times New Roman" w:hAnsi="Times New Roman" w:cs="Times New Roman"/>
        </w:rPr>
      </w:pPr>
      <w:r>
        <w:rPr>
          <w:rStyle w:val="FootnoteReference0"/>
          <w:rFonts w:ascii="Times New Roman" w:hAnsi="Times New Roman" w:cs="Times New Roman"/>
        </w:rPr>
        <w:footnoteRef/>
      </w:r>
      <w:r>
        <w:rPr>
          <w:rFonts w:ascii="Times New Roman" w:hAnsi="Times New Roman"/>
        </w:rPr>
        <w:t xml:space="preserve"> </w:t>
      </w:r>
      <w:hyperlink r:id="rId1" w:tgtFrame="_blank" w:history="1">
        <w:r>
          <w:rPr>
            <w:rStyle w:val="Hyperlink"/>
            <w:rFonts w:ascii="Times New Roman" w:hAnsi="Times New Roman"/>
            <w:color w:val="auto"/>
            <w:u w:val="none"/>
          </w:rPr>
          <w:t>Concluziile Consiliului privind Pactul de combatere a amenințărilor reprezentate de noile droguri sintetice și de noile substanțe psihoactive în Uniunea Europeană</w:t>
        </w:r>
      </w:hyperlink>
      <w:r>
        <w:t>.</w:t>
      </w:r>
      <w:r>
        <w:rPr>
          <w:rFonts w:ascii="Times New Roman" w:hAnsi="Times New Roman"/>
        </w:rPr>
        <w:t xml:space="preserve"> </w:t>
      </w:r>
    </w:p>
  </w:footnote>
  <w:footnote w:id="15">
    <w:p w14:paraId="380D3D70" w14:textId="77777777" w:rsidR="009243BD" w:rsidRPr="00781918" w:rsidRDefault="009243BD" w:rsidP="00330613">
      <w:pPr>
        <w:pStyle w:val="FootnoteText"/>
        <w:jc w:val="both"/>
        <w:rPr>
          <w:rFonts w:ascii="Times New Roman" w:hAnsi="Times New Roman" w:cs="Times New Roman"/>
        </w:rPr>
      </w:pPr>
      <w:r>
        <w:rPr>
          <w:rStyle w:val="FootnoteReference0"/>
          <w:rFonts w:ascii="Times New Roman" w:hAnsi="Times New Roman" w:cs="Times New Roman"/>
        </w:rPr>
        <w:footnoteRef/>
      </w:r>
      <w:r>
        <w:rPr>
          <w:rFonts w:ascii="Times New Roman" w:hAnsi="Times New Roman"/>
        </w:rPr>
        <w:t xml:space="preserve"> Planul de acțiune al UE privind drepturile omului și democrația 2020-2024 – Concluziile Consiliului din 18 noiembrie 2020 (12848/20) și Concluziile Consiliului din 27 mai 2024 privind alinierea Planului de acțiune al UE privind drepturile omului și democrația 2020-2024 la cadrul financiar multianual 2021-2027 (9508/24)</w:t>
      </w:r>
      <w:r>
        <w:t>.</w:t>
      </w:r>
    </w:p>
  </w:footnote>
  <w:footnote w:id="16">
    <w:p w14:paraId="6EFAD482" w14:textId="722EBF3F" w:rsidR="009243BD" w:rsidRPr="00781918" w:rsidRDefault="009243BD" w:rsidP="00330613">
      <w:pPr>
        <w:pStyle w:val="FootnoteText"/>
        <w:jc w:val="both"/>
        <w:rPr>
          <w:rFonts w:ascii="Times New Roman" w:hAnsi="Times New Roman" w:cs="Times New Roman"/>
        </w:rPr>
      </w:pPr>
      <w:r>
        <w:rPr>
          <w:rStyle w:val="FootnoteReference0"/>
          <w:rFonts w:ascii="Times New Roman" w:hAnsi="Times New Roman" w:cs="Times New Roman"/>
        </w:rPr>
        <w:footnoteRef/>
      </w:r>
      <w:r>
        <w:rPr>
          <w:rFonts w:ascii="Times New Roman" w:hAnsi="Times New Roman"/>
        </w:rPr>
        <w:t xml:space="preserve"> Concluziile Consiliului din decembrie 2022 privind abordarea bazată pe drepturile omului în politicile în materie de droguri (15818/22)</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F03D8A" w14:textId="77777777" w:rsidR="00BF3B37" w:rsidRPr="00BF3B37" w:rsidRDefault="00BF3B37" w:rsidP="00BF3B37">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74A238" w14:textId="77777777" w:rsidR="00BF3B37" w:rsidRPr="00BF3B37" w:rsidRDefault="00BF3B37" w:rsidP="00BF3B37">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3C9E60" w14:textId="77777777" w:rsidR="00BF3B37" w:rsidRPr="00BF3B37" w:rsidRDefault="00BF3B37" w:rsidP="00BF3B37">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A93AA5" w14:textId="77777777" w:rsidR="00D24BB1" w:rsidRDefault="00D24BB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9A144E" w14:textId="77777777" w:rsidR="00D24BB1" w:rsidRDefault="00D24BB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2FA1B8" w14:textId="77777777" w:rsidR="00D24BB1" w:rsidRDefault="00D24BB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AC1B63"/>
    <w:multiLevelType w:val="multilevel"/>
    <w:tmpl w:val="B108ECEA"/>
    <w:lvl w:ilvl="0">
      <w:start w:val="1"/>
      <w:numFmt w:val="decimal"/>
      <w:lvlText w:val="%1."/>
      <w:lvlJc w:val="left"/>
      <w:pPr>
        <w:ind w:left="360" w:hanging="360"/>
      </w:pPr>
    </w:lvl>
    <w:lvl w:ilvl="1">
      <w:start w:val="1"/>
      <w:numFmt w:val="decimal"/>
      <w:lvlText w:val="%1.%2."/>
      <w:lvlJc w:val="left"/>
      <w:pPr>
        <w:ind w:left="574" w:hanging="360"/>
      </w:pPr>
    </w:lvl>
    <w:lvl w:ilvl="2">
      <w:start w:val="1"/>
      <w:numFmt w:val="decimal"/>
      <w:lvlText w:val="%1.%2.%3."/>
      <w:lvlJc w:val="left"/>
      <w:pPr>
        <w:ind w:left="1224" w:hanging="180"/>
      </w:pPr>
    </w:lvl>
    <w:lvl w:ilvl="3">
      <w:start w:val="1"/>
      <w:numFmt w:val="decimal"/>
      <w:lvlText w:val="%1.%2.%3.%4."/>
      <w:lvlJc w:val="left"/>
      <w:pPr>
        <w:ind w:left="1728" w:hanging="360"/>
      </w:pPr>
    </w:lvl>
    <w:lvl w:ilvl="4">
      <w:start w:val="1"/>
      <w:numFmt w:val="decimal"/>
      <w:lvlText w:val="%1.%2.%3.%4.%5."/>
      <w:lvlJc w:val="left"/>
      <w:pPr>
        <w:ind w:left="2232" w:hanging="360"/>
      </w:pPr>
    </w:lvl>
    <w:lvl w:ilvl="5">
      <w:start w:val="1"/>
      <w:numFmt w:val="decimal"/>
      <w:lvlText w:val="%1.%2.%3.%4.%5.%6."/>
      <w:lvlJc w:val="left"/>
      <w:pPr>
        <w:ind w:left="2736" w:hanging="180"/>
      </w:pPr>
    </w:lvl>
    <w:lvl w:ilvl="6">
      <w:start w:val="1"/>
      <w:numFmt w:val="decimal"/>
      <w:lvlText w:val="%1.%2.%3.%4.%5.%6.%7."/>
      <w:lvlJc w:val="left"/>
      <w:pPr>
        <w:ind w:left="3240" w:hanging="360"/>
      </w:pPr>
    </w:lvl>
    <w:lvl w:ilvl="7">
      <w:start w:val="1"/>
      <w:numFmt w:val="decimal"/>
      <w:lvlText w:val="%1.%2.%3.%4.%5.%6.%7.%8."/>
      <w:lvlJc w:val="left"/>
      <w:pPr>
        <w:ind w:left="3744" w:hanging="360"/>
      </w:pPr>
    </w:lvl>
    <w:lvl w:ilvl="8">
      <w:start w:val="1"/>
      <w:numFmt w:val="decimal"/>
      <w:lvlText w:val="%1.%2.%3.%4.%5.%6.%7.%8.%9."/>
      <w:lvlJc w:val="left"/>
      <w:pPr>
        <w:ind w:left="4320" w:hanging="180"/>
      </w:pPr>
    </w:lvl>
  </w:abstractNum>
  <w:abstractNum w:abstractNumId="1" w15:restartNumberingAfterBreak="0">
    <w:nsid w:val="08696650"/>
    <w:multiLevelType w:val="hybridMultilevel"/>
    <w:tmpl w:val="EE48E244"/>
    <w:lvl w:ilvl="0" w:tplc="988E2C60">
      <w:start w:val="1"/>
      <w:numFmt w:val="upperRoman"/>
      <w:lvlText w:val="%1."/>
      <w:lvlJc w:val="left"/>
      <w:pPr>
        <w:ind w:left="1080" w:hanging="720"/>
      </w:pPr>
      <w:rPr>
        <w:rFonts w:eastAsia="Times New Roman"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9134706"/>
    <w:multiLevelType w:val="hybridMultilevel"/>
    <w:tmpl w:val="0344B19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1CF93E34"/>
    <w:multiLevelType w:val="hybridMultilevel"/>
    <w:tmpl w:val="7536FFAC"/>
    <w:lvl w:ilvl="0" w:tplc="1809000F">
      <w:start w:val="1"/>
      <w:numFmt w:val="decimal"/>
      <w:lvlText w:val="%1."/>
      <w:lvlJc w:val="left"/>
      <w:pPr>
        <w:ind w:left="360" w:hanging="360"/>
      </w:pPr>
    </w:lvl>
    <w:lvl w:ilvl="1" w:tplc="FFFFFFFF">
      <w:start w:val="1"/>
      <w:numFmt w:val="lowerLetter"/>
      <w:lvlText w:val="%2."/>
      <w:lvlJc w:val="left"/>
      <w:pPr>
        <w:ind w:left="-65" w:hanging="360"/>
      </w:pPr>
    </w:lvl>
    <w:lvl w:ilvl="2" w:tplc="FFFFFFFF">
      <w:start w:val="1"/>
      <w:numFmt w:val="lowerRoman"/>
      <w:lvlText w:val="%3."/>
      <w:lvlJc w:val="right"/>
      <w:pPr>
        <w:ind w:left="605" w:hanging="180"/>
      </w:pPr>
    </w:lvl>
    <w:lvl w:ilvl="3" w:tplc="FFFFFFFF">
      <w:start w:val="1"/>
      <w:numFmt w:val="decimal"/>
      <w:lvlText w:val="%4."/>
      <w:lvlJc w:val="left"/>
      <w:pPr>
        <w:ind w:left="360" w:hanging="360"/>
      </w:pPr>
      <w:rPr>
        <w:rFonts w:ascii="Times New Roman" w:eastAsiaTheme="minorHAnsi" w:hAnsi="Times New Roman" w:cs="Times New Roman"/>
      </w:rPr>
    </w:lvl>
    <w:lvl w:ilvl="4" w:tplc="FFFFFFFF">
      <w:start w:val="1"/>
      <w:numFmt w:val="lowerLetter"/>
      <w:lvlText w:val="%5."/>
      <w:lvlJc w:val="left"/>
      <w:pPr>
        <w:ind w:left="3175" w:hanging="360"/>
      </w:pPr>
    </w:lvl>
    <w:lvl w:ilvl="5" w:tplc="FFFFFFFF">
      <w:start w:val="1"/>
      <w:numFmt w:val="lowerRoman"/>
      <w:lvlText w:val="%6."/>
      <w:lvlJc w:val="right"/>
      <w:pPr>
        <w:ind w:left="3895" w:hanging="180"/>
      </w:pPr>
    </w:lvl>
    <w:lvl w:ilvl="6" w:tplc="FFFFFFFF">
      <w:start w:val="1"/>
      <w:numFmt w:val="decimal"/>
      <w:lvlText w:val="%7."/>
      <w:lvlJc w:val="left"/>
      <w:pPr>
        <w:ind w:left="4615" w:hanging="360"/>
      </w:pPr>
    </w:lvl>
    <w:lvl w:ilvl="7" w:tplc="FFFFFFFF">
      <w:start w:val="1"/>
      <w:numFmt w:val="lowerLetter"/>
      <w:lvlText w:val="%8."/>
      <w:lvlJc w:val="left"/>
      <w:pPr>
        <w:ind w:left="5335" w:hanging="360"/>
      </w:pPr>
    </w:lvl>
    <w:lvl w:ilvl="8" w:tplc="FFFFFFFF">
      <w:start w:val="1"/>
      <w:numFmt w:val="lowerRoman"/>
      <w:lvlText w:val="%9."/>
      <w:lvlJc w:val="right"/>
      <w:pPr>
        <w:ind w:left="6055" w:hanging="180"/>
      </w:pPr>
    </w:lvl>
  </w:abstractNum>
  <w:abstractNum w:abstractNumId="4" w15:restartNumberingAfterBreak="0">
    <w:nsid w:val="25AE3AAA"/>
    <w:multiLevelType w:val="hybridMultilevel"/>
    <w:tmpl w:val="2FBCBF9A"/>
    <w:lvl w:ilvl="0" w:tplc="85B859EC">
      <w:numFmt w:val="bullet"/>
      <w:lvlText w:val="•"/>
      <w:lvlJc w:val="left"/>
      <w:pPr>
        <w:ind w:left="1545" w:hanging="1185"/>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25F60545"/>
    <w:multiLevelType w:val="multilevel"/>
    <w:tmpl w:val="CFE4D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F41642"/>
    <w:multiLevelType w:val="multilevel"/>
    <w:tmpl w:val="01BE0FC6"/>
    <w:lvl w:ilvl="0">
      <w:start w:val="1"/>
      <w:numFmt w:val="upperRoman"/>
      <w:lvlText w:val="%1."/>
      <w:lvlJc w:val="left"/>
      <w:pPr>
        <w:ind w:left="720" w:hanging="720"/>
      </w:pPr>
      <w:rPr>
        <w:rFonts w:hint="default"/>
      </w:rPr>
    </w:lvl>
    <w:lvl w:ilvl="1">
      <w:start w:val="1"/>
      <w:numFmt w:val="decimal"/>
      <w:isLgl/>
      <w:lvlText w:val="%1.%2."/>
      <w:lvlJc w:val="left"/>
      <w:pPr>
        <w:ind w:left="720" w:hanging="720"/>
      </w:pPr>
      <w:rPr>
        <w:rFonts w:hint="default"/>
      </w:rPr>
    </w:lvl>
    <w:lvl w:ilvl="2">
      <w:start w:val="2"/>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 w15:restartNumberingAfterBreak="0">
    <w:nsid w:val="2C457D36"/>
    <w:multiLevelType w:val="hybridMultilevel"/>
    <w:tmpl w:val="1500EE7A"/>
    <w:lvl w:ilvl="0" w:tplc="E6140C1E">
      <w:start w:val="1"/>
      <w:numFmt w:val="upperRoman"/>
      <w:lvlText w:val="%1."/>
      <w:lvlJc w:val="left"/>
      <w:pPr>
        <w:ind w:left="1003" w:hanging="72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8" w15:restartNumberingAfterBreak="0">
    <w:nsid w:val="2CA4393D"/>
    <w:multiLevelType w:val="hybridMultilevel"/>
    <w:tmpl w:val="3CBEB46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300C7AA7"/>
    <w:multiLevelType w:val="hybridMultilevel"/>
    <w:tmpl w:val="1222263C"/>
    <w:lvl w:ilvl="0" w:tplc="09380800">
      <w:start w:val="1"/>
      <w:numFmt w:val="bullet"/>
      <w:lvlText w:val=""/>
      <w:lvlJc w:val="left"/>
      <w:pPr>
        <w:ind w:left="720" w:hanging="360"/>
      </w:pPr>
      <w:rPr>
        <w:rFonts w:ascii="Symbol" w:hAnsi="Symbol"/>
      </w:rPr>
    </w:lvl>
    <w:lvl w:ilvl="1" w:tplc="2AA45D24">
      <w:start w:val="1"/>
      <w:numFmt w:val="bullet"/>
      <w:lvlText w:val=""/>
      <w:lvlJc w:val="left"/>
      <w:pPr>
        <w:ind w:left="2160" w:hanging="360"/>
      </w:pPr>
      <w:rPr>
        <w:rFonts w:ascii="Symbol" w:hAnsi="Symbol"/>
      </w:rPr>
    </w:lvl>
    <w:lvl w:ilvl="2" w:tplc="C31ED46A">
      <w:start w:val="1"/>
      <w:numFmt w:val="bullet"/>
      <w:lvlText w:val=""/>
      <w:lvlJc w:val="left"/>
      <w:pPr>
        <w:ind w:left="720" w:hanging="360"/>
      </w:pPr>
      <w:rPr>
        <w:rFonts w:ascii="Symbol" w:hAnsi="Symbol"/>
      </w:rPr>
    </w:lvl>
    <w:lvl w:ilvl="3" w:tplc="7DD83158">
      <w:start w:val="1"/>
      <w:numFmt w:val="bullet"/>
      <w:lvlText w:val=""/>
      <w:lvlJc w:val="left"/>
      <w:pPr>
        <w:ind w:left="720" w:hanging="360"/>
      </w:pPr>
      <w:rPr>
        <w:rFonts w:ascii="Symbol" w:hAnsi="Symbol"/>
      </w:rPr>
    </w:lvl>
    <w:lvl w:ilvl="4" w:tplc="73285B8A">
      <w:start w:val="1"/>
      <w:numFmt w:val="bullet"/>
      <w:lvlText w:val=""/>
      <w:lvlJc w:val="left"/>
      <w:pPr>
        <w:ind w:left="720" w:hanging="360"/>
      </w:pPr>
      <w:rPr>
        <w:rFonts w:ascii="Symbol" w:hAnsi="Symbol"/>
      </w:rPr>
    </w:lvl>
    <w:lvl w:ilvl="5" w:tplc="3F3E9076">
      <w:start w:val="1"/>
      <w:numFmt w:val="bullet"/>
      <w:lvlText w:val=""/>
      <w:lvlJc w:val="left"/>
      <w:pPr>
        <w:ind w:left="720" w:hanging="360"/>
      </w:pPr>
      <w:rPr>
        <w:rFonts w:ascii="Symbol" w:hAnsi="Symbol"/>
      </w:rPr>
    </w:lvl>
    <w:lvl w:ilvl="6" w:tplc="8346A000">
      <w:start w:val="1"/>
      <w:numFmt w:val="bullet"/>
      <w:lvlText w:val=""/>
      <w:lvlJc w:val="left"/>
      <w:pPr>
        <w:ind w:left="720" w:hanging="360"/>
      </w:pPr>
      <w:rPr>
        <w:rFonts w:ascii="Symbol" w:hAnsi="Symbol"/>
      </w:rPr>
    </w:lvl>
    <w:lvl w:ilvl="7" w:tplc="C294405A">
      <w:start w:val="1"/>
      <w:numFmt w:val="bullet"/>
      <w:lvlText w:val=""/>
      <w:lvlJc w:val="left"/>
      <w:pPr>
        <w:ind w:left="720" w:hanging="360"/>
      </w:pPr>
      <w:rPr>
        <w:rFonts w:ascii="Symbol" w:hAnsi="Symbol"/>
      </w:rPr>
    </w:lvl>
    <w:lvl w:ilvl="8" w:tplc="4572B168">
      <w:start w:val="1"/>
      <w:numFmt w:val="bullet"/>
      <w:lvlText w:val=""/>
      <w:lvlJc w:val="left"/>
      <w:pPr>
        <w:ind w:left="720" w:hanging="360"/>
      </w:pPr>
      <w:rPr>
        <w:rFonts w:ascii="Symbol" w:hAnsi="Symbol"/>
      </w:rPr>
    </w:lvl>
  </w:abstractNum>
  <w:abstractNum w:abstractNumId="10" w15:restartNumberingAfterBreak="0">
    <w:nsid w:val="36947B65"/>
    <w:multiLevelType w:val="multilevel"/>
    <w:tmpl w:val="573274FA"/>
    <w:lvl w:ilvl="0">
      <w:start w:val="1"/>
      <w:numFmt w:val="decimal"/>
      <w:lvlText w:val="%1."/>
      <w:lvlJc w:val="left"/>
      <w:pPr>
        <w:ind w:left="360" w:hanging="360"/>
      </w:pPr>
      <w:rPr>
        <w:rFonts w:hint="default"/>
      </w:rPr>
    </w:lvl>
    <w:lvl w:ilvl="1">
      <w:start w:val="1"/>
      <w:numFmt w:val="decimal"/>
      <w:lvlText w:val="%1.%2."/>
      <w:lvlJc w:val="left"/>
      <w:pPr>
        <w:ind w:left="57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96D5171"/>
    <w:multiLevelType w:val="hybridMultilevel"/>
    <w:tmpl w:val="88FA4924"/>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3FD878FB"/>
    <w:multiLevelType w:val="hybridMultilevel"/>
    <w:tmpl w:val="FF20184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412029C2"/>
    <w:multiLevelType w:val="multilevel"/>
    <w:tmpl w:val="5BFC4BE4"/>
    <w:lvl w:ilvl="0">
      <w:start w:val="1"/>
      <w:numFmt w:val="decimal"/>
      <w:pStyle w:val="Style1"/>
      <w:lvlText w:val="%1."/>
      <w:lvlJc w:val="left"/>
      <w:pPr>
        <w:ind w:left="1080" w:hanging="360"/>
      </w:pPr>
      <w:rPr>
        <w:rFonts w:hint="default"/>
      </w:rPr>
    </w:lvl>
    <w:lvl w:ilvl="1">
      <w:start w:val="1"/>
      <w:numFmt w:val="decimal"/>
      <w:pStyle w:val="Style2"/>
      <w:isLgl/>
      <w:lvlText w:val="%1.%2."/>
      <w:lvlJc w:val="left"/>
      <w:pPr>
        <w:ind w:left="1494"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4" w15:restartNumberingAfterBreak="0">
    <w:nsid w:val="42B3974E"/>
    <w:multiLevelType w:val="multilevel"/>
    <w:tmpl w:val="13B8E848"/>
    <w:lvl w:ilvl="0">
      <w:start w:val="1"/>
      <w:numFmt w:val="decimal"/>
      <w:lvlText w:val="%1."/>
      <w:lvlJc w:val="left"/>
      <w:pPr>
        <w:ind w:left="360" w:hanging="360"/>
      </w:pPr>
    </w:lvl>
    <w:lvl w:ilvl="1">
      <w:start w:val="1"/>
      <w:numFmt w:val="decimal"/>
      <w:lvlText w:val="%1.%2."/>
      <w:lvlJc w:val="left"/>
      <w:pPr>
        <w:ind w:left="574" w:hanging="360"/>
      </w:pPr>
    </w:lvl>
    <w:lvl w:ilvl="2">
      <w:start w:val="1"/>
      <w:numFmt w:val="decimal"/>
      <w:lvlText w:val="%1.%2.%3."/>
      <w:lvlJc w:val="left"/>
      <w:pPr>
        <w:ind w:left="1224" w:hanging="180"/>
      </w:pPr>
    </w:lvl>
    <w:lvl w:ilvl="3">
      <w:start w:val="1"/>
      <w:numFmt w:val="decimal"/>
      <w:lvlText w:val="%1.%2.%3.%4."/>
      <w:lvlJc w:val="left"/>
      <w:pPr>
        <w:ind w:left="1728" w:hanging="360"/>
      </w:pPr>
    </w:lvl>
    <w:lvl w:ilvl="4">
      <w:start w:val="1"/>
      <w:numFmt w:val="decimal"/>
      <w:lvlText w:val="%1.%2.%3.%4.%5."/>
      <w:lvlJc w:val="left"/>
      <w:pPr>
        <w:ind w:left="2232" w:hanging="360"/>
      </w:pPr>
    </w:lvl>
    <w:lvl w:ilvl="5">
      <w:start w:val="1"/>
      <w:numFmt w:val="decimal"/>
      <w:lvlText w:val="%1.%2.%3.%4.%5.%6."/>
      <w:lvlJc w:val="left"/>
      <w:pPr>
        <w:ind w:left="2736" w:hanging="180"/>
      </w:pPr>
    </w:lvl>
    <w:lvl w:ilvl="6">
      <w:start w:val="1"/>
      <w:numFmt w:val="decimal"/>
      <w:lvlText w:val="%1.%2.%3.%4.%5.%6.%7."/>
      <w:lvlJc w:val="left"/>
      <w:pPr>
        <w:ind w:left="3240" w:hanging="360"/>
      </w:pPr>
    </w:lvl>
    <w:lvl w:ilvl="7">
      <w:start w:val="1"/>
      <w:numFmt w:val="decimal"/>
      <w:lvlText w:val="%1.%2.%3.%4.%5.%6.%7.%8."/>
      <w:lvlJc w:val="left"/>
      <w:pPr>
        <w:ind w:left="3744" w:hanging="360"/>
      </w:pPr>
    </w:lvl>
    <w:lvl w:ilvl="8">
      <w:start w:val="1"/>
      <w:numFmt w:val="decimal"/>
      <w:lvlText w:val="%1.%2.%3.%4.%5.%6.%7.%8.%9."/>
      <w:lvlJc w:val="left"/>
      <w:pPr>
        <w:ind w:left="4320" w:hanging="180"/>
      </w:pPr>
    </w:lvl>
  </w:abstractNum>
  <w:abstractNum w:abstractNumId="15" w15:restartNumberingAfterBreak="0">
    <w:nsid w:val="486D3E06"/>
    <w:multiLevelType w:val="multilevel"/>
    <w:tmpl w:val="18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4CA8215B"/>
    <w:multiLevelType w:val="hybridMultilevel"/>
    <w:tmpl w:val="1FC8B9BE"/>
    <w:lvl w:ilvl="0" w:tplc="54E0A33E">
      <w:start w:val="1"/>
      <w:numFmt w:val="decimal"/>
      <w:lvlText w:val="%1."/>
      <w:lvlJc w:val="left"/>
      <w:pPr>
        <w:ind w:left="1210" w:hanging="360"/>
      </w:pPr>
      <w:rPr>
        <w:rFonts w:hint="default"/>
      </w:rPr>
    </w:lvl>
    <w:lvl w:ilvl="1" w:tplc="18090019" w:tentative="1">
      <w:start w:val="1"/>
      <w:numFmt w:val="lowerLetter"/>
      <w:lvlText w:val="%2."/>
      <w:lvlJc w:val="left"/>
      <w:pPr>
        <w:ind w:left="1930" w:hanging="360"/>
      </w:pPr>
    </w:lvl>
    <w:lvl w:ilvl="2" w:tplc="1809001B" w:tentative="1">
      <w:start w:val="1"/>
      <w:numFmt w:val="lowerRoman"/>
      <w:lvlText w:val="%3."/>
      <w:lvlJc w:val="right"/>
      <w:pPr>
        <w:ind w:left="2650" w:hanging="180"/>
      </w:pPr>
    </w:lvl>
    <w:lvl w:ilvl="3" w:tplc="1809000F" w:tentative="1">
      <w:start w:val="1"/>
      <w:numFmt w:val="decimal"/>
      <w:lvlText w:val="%4."/>
      <w:lvlJc w:val="left"/>
      <w:pPr>
        <w:ind w:left="3370" w:hanging="360"/>
      </w:pPr>
    </w:lvl>
    <w:lvl w:ilvl="4" w:tplc="18090019" w:tentative="1">
      <w:start w:val="1"/>
      <w:numFmt w:val="lowerLetter"/>
      <w:lvlText w:val="%5."/>
      <w:lvlJc w:val="left"/>
      <w:pPr>
        <w:ind w:left="4090" w:hanging="360"/>
      </w:pPr>
    </w:lvl>
    <w:lvl w:ilvl="5" w:tplc="1809001B" w:tentative="1">
      <w:start w:val="1"/>
      <w:numFmt w:val="lowerRoman"/>
      <w:lvlText w:val="%6."/>
      <w:lvlJc w:val="right"/>
      <w:pPr>
        <w:ind w:left="4810" w:hanging="180"/>
      </w:pPr>
    </w:lvl>
    <w:lvl w:ilvl="6" w:tplc="1809000F" w:tentative="1">
      <w:start w:val="1"/>
      <w:numFmt w:val="decimal"/>
      <w:lvlText w:val="%7."/>
      <w:lvlJc w:val="left"/>
      <w:pPr>
        <w:ind w:left="5530" w:hanging="360"/>
      </w:pPr>
    </w:lvl>
    <w:lvl w:ilvl="7" w:tplc="18090019" w:tentative="1">
      <w:start w:val="1"/>
      <w:numFmt w:val="lowerLetter"/>
      <w:lvlText w:val="%8."/>
      <w:lvlJc w:val="left"/>
      <w:pPr>
        <w:ind w:left="6250" w:hanging="360"/>
      </w:pPr>
    </w:lvl>
    <w:lvl w:ilvl="8" w:tplc="1809001B" w:tentative="1">
      <w:start w:val="1"/>
      <w:numFmt w:val="lowerRoman"/>
      <w:lvlText w:val="%9."/>
      <w:lvlJc w:val="right"/>
      <w:pPr>
        <w:ind w:left="6970" w:hanging="180"/>
      </w:pPr>
    </w:lvl>
  </w:abstractNum>
  <w:abstractNum w:abstractNumId="17" w15:restartNumberingAfterBreak="0">
    <w:nsid w:val="4CEB12D8"/>
    <w:multiLevelType w:val="multilevel"/>
    <w:tmpl w:val="33409C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D213772"/>
    <w:multiLevelType w:val="hybridMultilevel"/>
    <w:tmpl w:val="9CC00056"/>
    <w:lvl w:ilvl="0" w:tplc="0652E67A">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4DD11C62"/>
    <w:multiLevelType w:val="multilevel"/>
    <w:tmpl w:val="2FCCF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EBDCC6A"/>
    <w:multiLevelType w:val="hybridMultilevel"/>
    <w:tmpl w:val="30F0E9B4"/>
    <w:lvl w:ilvl="0" w:tplc="29D6783C">
      <w:start w:val="1"/>
      <w:numFmt w:val="bullet"/>
      <w:lvlText w:val=""/>
      <w:lvlJc w:val="left"/>
      <w:pPr>
        <w:ind w:left="720" w:hanging="360"/>
      </w:pPr>
      <w:rPr>
        <w:rFonts w:ascii="Symbol" w:hAnsi="Symbol" w:hint="default"/>
      </w:rPr>
    </w:lvl>
    <w:lvl w:ilvl="1" w:tplc="1A12A750">
      <w:start w:val="1"/>
      <w:numFmt w:val="bullet"/>
      <w:lvlText w:val="o"/>
      <w:lvlJc w:val="left"/>
      <w:pPr>
        <w:ind w:left="1440" w:hanging="360"/>
      </w:pPr>
      <w:rPr>
        <w:rFonts w:ascii="Courier New" w:hAnsi="Courier New" w:hint="default"/>
      </w:rPr>
    </w:lvl>
    <w:lvl w:ilvl="2" w:tplc="3A8678F2">
      <w:start w:val="1"/>
      <w:numFmt w:val="bullet"/>
      <w:lvlText w:val=""/>
      <w:lvlJc w:val="left"/>
      <w:pPr>
        <w:ind w:left="2160" w:hanging="360"/>
      </w:pPr>
      <w:rPr>
        <w:rFonts w:ascii="Wingdings" w:hAnsi="Wingdings" w:hint="default"/>
      </w:rPr>
    </w:lvl>
    <w:lvl w:ilvl="3" w:tplc="42EE17E2">
      <w:start w:val="1"/>
      <w:numFmt w:val="bullet"/>
      <w:lvlText w:val=""/>
      <w:lvlJc w:val="left"/>
      <w:pPr>
        <w:ind w:left="2880" w:hanging="360"/>
      </w:pPr>
      <w:rPr>
        <w:rFonts w:ascii="Symbol" w:hAnsi="Symbol" w:hint="default"/>
      </w:rPr>
    </w:lvl>
    <w:lvl w:ilvl="4" w:tplc="B460475A">
      <w:start w:val="1"/>
      <w:numFmt w:val="bullet"/>
      <w:lvlText w:val="o"/>
      <w:lvlJc w:val="left"/>
      <w:pPr>
        <w:ind w:left="3600" w:hanging="360"/>
      </w:pPr>
      <w:rPr>
        <w:rFonts w:ascii="Courier New" w:hAnsi="Courier New" w:hint="default"/>
      </w:rPr>
    </w:lvl>
    <w:lvl w:ilvl="5" w:tplc="BF2A643C">
      <w:start w:val="1"/>
      <w:numFmt w:val="bullet"/>
      <w:lvlText w:val=""/>
      <w:lvlJc w:val="left"/>
      <w:pPr>
        <w:ind w:left="4320" w:hanging="360"/>
      </w:pPr>
      <w:rPr>
        <w:rFonts w:ascii="Wingdings" w:hAnsi="Wingdings" w:hint="default"/>
      </w:rPr>
    </w:lvl>
    <w:lvl w:ilvl="6" w:tplc="D16A81B6">
      <w:start w:val="1"/>
      <w:numFmt w:val="bullet"/>
      <w:lvlText w:val=""/>
      <w:lvlJc w:val="left"/>
      <w:pPr>
        <w:ind w:left="5040" w:hanging="360"/>
      </w:pPr>
      <w:rPr>
        <w:rFonts w:ascii="Symbol" w:hAnsi="Symbol" w:hint="default"/>
      </w:rPr>
    </w:lvl>
    <w:lvl w:ilvl="7" w:tplc="85BA9A86">
      <w:start w:val="1"/>
      <w:numFmt w:val="bullet"/>
      <w:lvlText w:val="o"/>
      <w:lvlJc w:val="left"/>
      <w:pPr>
        <w:ind w:left="5760" w:hanging="360"/>
      </w:pPr>
      <w:rPr>
        <w:rFonts w:ascii="Courier New" w:hAnsi="Courier New" w:hint="default"/>
      </w:rPr>
    </w:lvl>
    <w:lvl w:ilvl="8" w:tplc="B5B08DAA">
      <w:start w:val="1"/>
      <w:numFmt w:val="bullet"/>
      <w:lvlText w:val=""/>
      <w:lvlJc w:val="left"/>
      <w:pPr>
        <w:ind w:left="6480" w:hanging="360"/>
      </w:pPr>
      <w:rPr>
        <w:rFonts w:ascii="Wingdings" w:hAnsi="Wingdings" w:hint="default"/>
      </w:rPr>
    </w:lvl>
  </w:abstractNum>
  <w:abstractNum w:abstractNumId="21" w15:restartNumberingAfterBreak="0">
    <w:nsid w:val="508242C8"/>
    <w:multiLevelType w:val="hybridMultilevel"/>
    <w:tmpl w:val="B958EFD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643064AB"/>
    <w:multiLevelType w:val="hybridMultilevel"/>
    <w:tmpl w:val="D786EB3A"/>
    <w:lvl w:ilvl="0" w:tplc="FFFFFFFF">
      <w:start w:val="1"/>
      <w:numFmt w:val="upperLetter"/>
      <w:lvlText w:val="%1."/>
      <w:lvlJc w:val="left"/>
      <w:pPr>
        <w:ind w:left="720" w:hanging="360"/>
      </w:pPr>
      <w:rPr>
        <w:rFonts w:hint="default"/>
        <w:i w:val="0"/>
        <w:iCs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659D0BE7"/>
    <w:multiLevelType w:val="multilevel"/>
    <w:tmpl w:val="AF8AD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63E3465"/>
    <w:multiLevelType w:val="hybridMultilevel"/>
    <w:tmpl w:val="FDAAEBB2"/>
    <w:lvl w:ilvl="0" w:tplc="9530E90E">
      <w:start w:val="1"/>
      <w:numFmt w:val="upperRoman"/>
      <w:lvlText w:val="%1."/>
      <w:lvlJc w:val="left"/>
      <w:pPr>
        <w:ind w:left="1080" w:hanging="720"/>
      </w:pPr>
      <w:rPr>
        <w:rFonts w:hint="default"/>
        <w:lang w:val="en-I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6BD7759C"/>
    <w:multiLevelType w:val="multilevel"/>
    <w:tmpl w:val="6D165FB0"/>
    <w:lvl w:ilvl="0">
      <w:start w:val="1"/>
      <w:numFmt w:val="decimal"/>
      <w:lvlText w:val="%1."/>
      <w:lvlJc w:val="left"/>
      <w:pPr>
        <w:ind w:left="108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6" w15:restartNumberingAfterBreak="0">
    <w:nsid w:val="6CDF78DD"/>
    <w:multiLevelType w:val="hybridMultilevel"/>
    <w:tmpl w:val="D786EB3A"/>
    <w:lvl w:ilvl="0" w:tplc="BA16896E">
      <w:start w:val="1"/>
      <w:numFmt w:val="upperLetter"/>
      <w:lvlText w:val="%1."/>
      <w:lvlJc w:val="left"/>
      <w:pPr>
        <w:ind w:left="720" w:hanging="360"/>
      </w:pPr>
      <w:rPr>
        <w:rFonts w:hint="default"/>
        <w:i w:val="0"/>
        <w:iCs w:val="0"/>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71331344"/>
    <w:multiLevelType w:val="hybridMultilevel"/>
    <w:tmpl w:val="7DD86E2A"/>
    <w:lvl w:ilvl="0" w:tplc="C464AF82">
      <w:start w:val="1"/>
      <w:numFmt w:val="bullet"/>
      <w:lvlText w:val=""/>
      <w:lvlJc w:val="left"/>
      <w:pPr>
        <w:ind w:left="1440" w:hanging="360"/>
      </w:pPr>
      <w:rPr>
        <w:rFonts w:ascii="Symbol" w:hAnsi="Symbol"/>
      </w:rPr>
    </w:lvl>
    <w:lvl w:ilvl="1" w:tplc="9BF20BC8">
      <w:start w:val="1"/>
      <w:numFmt w:val="bullet"/>
      <w:lvlText w:val=""/>
      <w:lvlJc w:val="left"/>
      <w:pPr>
        <w:ind w:left="2160" w:hanging="360"/>
      </w:pPr>
      <w:rPr>
        <w:rFonts w:ascii="Symbol" w:hAnsi="Symbol"/>
      </w:rPr>
    </w:lvl>
    <w:lvl w:ilvl="2" w:tplc="1AC8BB86">
      <w:start w:val="1"/>
      <w:numFmt w:val="bullet"/>
      <w:lvlText w:val=""/>
      <w:lvlJc w:val="left"/>
      <w:pPr>
        <w:ind w:left="1440" w:hanging="360"/>
      </w:pPr>
      <w:rPr>
        <w:rFonts w:ascii="Symbol" w:hAnsi="Symbol"/>
      </w:rPr>
    </w:lvl>
    <w:lvl w:ilvl="3" w:tplc="A8262912">
      <w:start w:val="1"/>
      <w:numFmt w:val="bullet"/>
      <w:lvlText w:val=""/>
      <w:lvlJc w:val="left"/>
      <w:pPr>
        <w:ind w:left="1440" w:hanging="360"/>
      </w:pPr>
      <w:rPr>
        <w:rFonts w:ascii="Symbol" w:hAnsi="Symbol"/>
      </w:rPr>
    </w:lvl>
    <w:lvl w:ilvl="4" w:tplc="DC4AC31C">
      <w:start w:val="1"/>
      <w:numFmt w:val="bullet"/>
      <w:lvlText w:val=""/>
      <w:lvlJc w:val="left"/>
      <w:pPr>
        <w:ind w:left="1440" w:hanging="360"/>
      </w:pPr>
      <w:rPr>
        <w:rFonts w:ascii="Symbol" w:hAnsi="Symbol"/>
      </w:rPr>
    </w:lvl>
    <w:lvl w:ilvl="5" w:tplc="8D1838EC">
      <w:start w:val="1"/>
      <w:numFmt w:val="bullet"/>
      <w:lvlText w:val=""/>
      <w:lvlJc w:val="left"/>
      <w:pPr>
        <w:ind w:left="1440" w:hanging="360"/>
      </w:pPr>
      <w:rPr>
        <w:rFonts w:ascii="Symbol" w:hAnsi="Symbol"/>
      </w:rPr>
    </w:lvl>
    <w:lvl w:ilvl="6" w:tplc="08249418">
      <w:start w:val="1"/>
      <w:numFmt w:val="bullet"/>
      <w:lvlText w:val=""/>
      <w:lvlJc w:val="left"/>
      <w:pPr>
        <w:ind w:left="1440" w:hanging="360"/>
      </w:pPr>
      <w:rPr>
        <w:rFonts w:ascii="Symbol" w:hAnsi="Symbol"/>
      </w:rPr>
    </w:lvl>
    <w:lvl w:ilvl="7" w:tplc="EEF853A0">
      <w:start w:val="1"/>
      <w:numFmt w:val="bullet"/>
      <w:lvlText w:val=""/>
      <w:lvlJc w:val="left"/>
      <w:pPr>
        <w:ind w:left="1440" w:hanging="360"/>
      </w:pPr>
      <w:rPr>
        <w:rFonts w:ascii="Symbol" w:hAnsi="Symbol"/>
      </w:rPr>
    </w:lvl>
    <w:lvl w:ilvl="8" w:tplc="8B1E914E">
      <w:start w:val="1"/>
      <w:numFmt w:val="bullet"/>
      <w:lvlText w:val=""/>
      <w:lvlJc w:val="left"/>
      <w:pPr>
        <w:ind w:left="1440" w:hanging="360"/>
      </w:pPr>
      <w:rPr>
        <w:rFonts w:ascii="Symbol" w:hAnsi="Symbol"/>
      </w:rPr>
    </w:lvl>
  </w:abstractNum>
  <w:abstractNum w:abstractNumId="28" w15:restartNumberingAfterBreak="0">
    <w:nsid w:val="73247463"/>
    <w:multiLevelType w:val="multilevel"/>
    <w:tmpl w:val="B03A2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3BC3896"/>
    <w:multiLevelType w:val="multilevel"/>
    <w:tmpl w:val="0D18C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5807B9B"/>
    <w:multiLevelType w:val="hybridMultilevel"/>
    <w:tmpl w:val="0DF86620"/>
    <w:lvl w:ilvl="0" w:tplc="FFFFFFFF">
      <w:start w:val="1"/>
      <w:numFmt w:val="bullet"/>
      <w:lvlText w:val=""/>
      <w:lvlJc w:val="left"/>
      <w:pPr>
        <w:ind w:left="360" w:hanging="360"/>
      </w:pPr>
      <w:rPr>
        <w:rFonts w:ascii="Symbol" w:hAnsi="Symbol" w:hint="default"/>
        <w:color w:val="auto"/>
      </w:rPr>
    </w:lvl>
    <w:lvl w:ilvl="1" w:tplc="04090017">
      <w:start w:val="1"/>
      <w:numFmt w:val="lowerLetter"/>
      <w:lvlText w:val="%2)"/>
      <w:lvlJc w:val="left"/>
      <w:pPr>
        <w:ind w:left="1080" w:hanging="360"/>
      </w:pPr>
      <w:rPr>
        <w:rFont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7C7329CB"/>
    <w:multiLevelType w:val="multilevel"/>
    <w:tmpl w:val="39141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E8755A0"/>
    <w:multiLevelType w:val="hybridMultilevel"/>
    <w:tmpl w:val="31E469DC"/>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num w:numId="1">
    <w:abstractNumId w:val="20"/>
  </w:num>
  <w:num w:numId="2">
    <w:abstractNumId w:val="16"/>
  </w:num>
  <w:num w:numId="3">
    <w:abstractNumId w:val="13"/>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6"/>
  </w:num>
  <w:num w:numId="9">
    <w:abstractNumId w:val="26"/>
  </w:num>
  <w:num w:numId="10">
    <w:abstractNumId w:val="12"/>
  </w:num>
  <w:num w:numId="11">
    <w:abstractNumId w:val="4"/>
  </w:num>
  <w:num w:numId="12">
    <w:abstractNumId w:val="22"/>
  </w:num>
  <w:num w:numId="13">
    <w:abstractNumId w:val="30"/>
  </w:num>
  <w:num w:numId="14">
    <w:abstractNumId w:val="25"/>
  </w:num>
  <w:num w:numId="15">
    <w:abstractNumId w:val="18"/>
  </w:num>
  <w:num w:numId="16">
    <w:abstractNumId w:val="11"/>
  </w:num>
  <w:num w:numId="17">
    <w:abstractNumId w:val="14"/>
  </w:num>
  <w:num w:numId="18">
    <w:abstractNumId w:val="15"/>
  </w:num>
  <w:num w:numId="19">
    <w:abstractNumId w:val="2"/>
  </w:num>
  <w:num w:numId="20">
    <w:abstractNumId w:val="32"/>
  </w:num>
  <w:num w:numId="21">
    <w:abstractNumId w:val="28"/>
  </w:num>
  <w:num w:numId="22">
    <w:abstractNumId w:val="19"/>
  </w:num>
  <w:num w:numId="23">
    <w:abstractNumId w:val="31"/>
  </w:num>
  <w:num w:numId="24">
    <w:abstractNumId w:val="5"/>
  </w:num>
  <w:num w:numId="25">
    <w:abstractNumId w:val="23"/>
  </w:num>
  <w:num w:numId="26">
    <w:abstractNumId w:val="13"/>
  </w:num>
  <w:num w:numId="27">
    <w:abstractNumId w:val="13"/>
  </w:num>
  <w:num w:numId="28">
    <w:abstractNumId w:val="13"/>
  </w:num>
  <w:num w:numId="29">
    <w:abstractNumId w:val="13"/>
  </w:num>
  <w:num w:numId="30">
    <w:abstractNumId w:val="13"/>
  </w:num>
  <w:num w:numId="31">
    <w:abstractNumId w:val="17"/>
  </w:num>
  <w:num w:numId="32">
    <w:abstractNumId w:val="21"/>
  </w:num>
  <w:num w:numId="33">
    <w:abstractNumId w:val="0"/>
  </w:num>
  <w:num w:numId="34">
    <w:abstractNumId w:val="10"/>
  </w:num>
  <w:num w:numId="35">
    <w:abstractNumId w:val="29"/>
  </w:num>
  <w:num w:numId="3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3"/>
  </w:num>
  <w:num w:numId="38">
    <w:abstractNumId w:val="27"/>
  </w:num>
  <w:num w:numId="39">
    <w:abstractNumId w:val="24"/>
  </w:num>
  <w:num w:numId="40">
    <w:abstractNumId w:val="9"/>
  </w:num>
  <w:num w:numId="4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fr-BE" w:vendorID="64" w:dllVersion="0" w:nlCheck="1" w:checkStyle="0"/>
  <w:activeWritingStyle w:appName="MSWord" w:lang="en-GB" w:vendorID="64" w:dllVersion="0" w:nlCheck="1" w:checkStyle="0"/>
  <w:activeWritingStyle w:appName="MSWord" w:lang="en-US" w:vendorID="64" w:dllVersion="0" w:nlCheck="1" w:checkStyle="0"/>
  <w:activeWritingStyle w:appName="MSWord" w:lang="en-IE" w:vendorID="64" w:dllVersion="0" w:nlCheck="1" w:checkStyle="0"/>
  <w:revisionView w:markup="0"/>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2"/>
  </w:compat>
  <w:docVars>
    <w:docVar w:name="DocStatus" w:val="Green"/>
    <w:docVar w:name="LW_CORRIGENDUM" w:val="&lt;UNUSED&gt;"/>
    <w:docVar w:name="LW_COVERPAGE_EXISTS" w:val="True"/>
    <w:docVar w:name="LW_COVERPAGE_GUID" w:val="5DD2BBC7-EF34-48E5-80FD-3F4D18E1620F"/>
    <w:docVar w:name="LW_COVERPAGE_TYPE" w:val="1"/>
    <w:docVar w:name="LW_CROSSREFERENCE" w:val="&lt;UNUSED&gt;"/>
    <w:docVar w:name="LW_DocType" w:val="NORMAL"/>
    <w:docVar w:name="LW_EMISSION" w:val="4.12.2025"/>
    <w:docVar w:name="LW_EMISSION_ISODATE" w:val="2025-12-04"/>
    <w:docVar w:name="LW_EMISSION_LOCATION" w:val="BRX"/>
    <w:docVar w:name="LW_EMISSION_PREFIX" w:val="Bruxelles, "/>
    <w:docVar w:name="LW_EMISSION_SUFFIX" w:val=" "/>
    <w:docVar w:name="LW_ID_DOCTYPE_NONLW" w:val="CP-012"/>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5) 74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rivind Planul de ac\u539?iune al UE de combatere a traficului de droguri"/>
    <w:docVar w:name="LW_TYPE.DOC.CP" w:val="COMUNICARE A COMISIEI C\u258?TRE PARLAMENTUL EUROPEAN \u536?I CONSILIU"/>
    <w:docVar w:name="LW_TYPE.DOC.CP.USERTEXT" w:val="&lt;EMPTY&gt;"/>
    <w:docVar w:name="LwApiVersions" w:val="LW4CoDe 1.24.5.0; LW 9.2, Build 20251112"/>
  </w:docVars>
  <w:rsids>
    <w:rsidRoot w:val="002F2AEF"/>
    <w:rsid w:val="000017D0"/>
    <w:rsid w:val="000024B9"/>
    <w:rsid w:val="000024F1"/>
    <w:rsid w:val="00002FA0"/>
    <w:rsid w:val="00003160"/>
    <w:rsid w:val="0000329D"/>
    <w:rsid w:val="000044AB"/>
    <w:rsid w:val="00004C6C"/>
    <w:rsid w:val="00004D49"/>
    <w:rsid w:val="0000520A"/>
    <w:rsid w:val="00005686"/>
    <w:rsid w:val="00006098"/>
    <w:rsid w:val="000062A3"/>
    <w:rsid w:val="00006D71"/>
    <w:rsid w:val="00007171"/>
    <w:rsid w:val="0000777B"/>
    <w:rsid w:val="00010324"/>
    <w:rsid w:val="00011065"/>
    <w:rsid w:val="000117B4"/>
    <w:rsid w:val="0001180B"/>
    <w:rsid w:val="00011BF6"/>
    <w:rsid w:val="00012312"/>
    <w:rsid w:val="00012716"/>
    <w:rsid w:val="0001296A"/>
    <w:rsid w:val="00012BCC"/>
    <w:rsid w:val="00012F48"/>
    <w:rsid w:val="0001355D"/>
    <w:rsid w:val="00014793"/>
    <w:rsid w:val="00014D6E"/>
    <w:rsid w:val="00015524"/>
    <w:rsid w:val="00016453"/>
    <w:rsid w:val="00016708"/>
    <w:rsid w:val="000169DF"/>
    <w:rsid w:val="00016B2F"/>
    <w:rsid w:val="00017AE6"/>
    <w:rsid w:val="000202CD"/>
    <w:rsid w:val="0002044E"/>
    <w:rsid w:val="00020A76"/>
    <w:rsid w:val="00020F77"/>
    <w:rsid w:val="0002182C"/>
    <w:rsid w:val="00021838"/>
    <w:rsid w:val="00021930"/>
    <w:rsid w:val="00021F66"/>
    <w:rsid w:val="00022136"/>
    <w:rsid w:val="00022FFF"/>
    <w:rsid w:val="00023000"/>
    <w:rsid w:val="00023120"/>
    <w:rsid w:val="00023287"/>
    <w:rsid w:val="00023BB2"/>
    <w:rsid w:val="00024F8C"/>
    <w:rsid w:val="00026C7E"/>
    <w:rsid w:val="00027306"/>
    <w:rsid w:val="0002E9AF"/>
    <w:rsid w:val="00030AC8"/>
    <w:rsid w:val="00031459"/>
    <w:rsid w:val="0003160C"/>
    <w:rsid w:val="00031AD9"/>
    <w:rsid w:val="00032118"/>
    <w:rsid w:val="00032919"/>
    <w:rsid w:val="00033AC6"/>
    <w:rsid w:val="00034337"/>
    <w:rsid w:val="00035F8E"/>
    <w:rsid w:val="000363C7"/>
    <w:rsid w:val="00036E0C"/>
    <w:rsid w:val="00037B09"/>
    <w:rsid w:val="0004196F"/>
    <w:rsid w:val="00042142"/>
    <w:rsid w:val="00042327"/>
    <w:rsid w:val="0004279A"/>
    <w:rsid w:val="00042962"/>
    <w:rsid w:val="00042A62"/>
    <w:rsid w:val="0004387E"/>
    <w:rsid w:val="0004411D"/>
    <w:rsid w:val="00044A2C"/>
    <w:rsid w:val="00046129"/>
    <w:rsid w:val="00046A5E"/>
    <w:rsid w:val="00047EC8"/>
    <w:rsid w:val="00049ABC"/>
    <w:rsid w:val="00050B12"/>
    <w:rsid w:val="000522E5"/>
    <w:rsid w:val="0005256B"/>
    <w:rsid w:val="00052815"/>
    <w:rsid w:val="00052D2D"/>
    <w:rsid w:val="00053477"/>
    <w:rsid w:val="00054658"/>
    <w:rsid w:val="000548F7"/>
    <w:rsid w:val="00054D2F"/>
    <w:rsid w:val="00055F81"/>
    <w:rsid w:val="00055FDB"/>
    <w:rsid w:val="00056257"/>
    <w:rsid w:val="0005683F"/>
    <w:rsid w:val="000568E3"/>
    <w:rsid w:val="000568E8"/>
    <w:rsid w:val="00057EAB"/>
    <w:rsid w:val="00057F81"/>
    <w:rsid w:val="00060085"/>
    <w:rsid w:val="00060A75"/>
    <w:rsid w:val="000616DF"/>
    <w:rsid w:val="00061F53"/>
    <w:rsid w:val="000623F7"/>
    <w:rsid w:val="0006254C"/>
    <w:rsid w:val="00062A52"/>
    <w:rsid w:val="00062BC5"/>
    <w:rsid w:val="0006360A"/>
    <w:rsid w:val="00063B29"/>
    <w:rsid w:val="00063C98"/>
    <w:rsid w:val="00063CC6"/>
    <w:rsid w:val="0006480D"/>
    <w:rsid w:val="00064BDA"/>
    <w:rsid w:val="00065301"/>
    <w:rsid w:val="0006659C"/>
    <w:rsid w:val="000668F1"/>
    <w:rsid w:val="00067504"/>
    <w:rsid w:val="00067982"/>
    <w:rsid w:val="00067F3A"/>
    <w:rsid w:val="0007011F"/>
    <w:rsid w:val="00070FE8"/>
    <w:rsid w:val="00071360"/>
    <w:rsid w:val="00071DF9"/>
    <w:rsid w:val="0007245B"/>
    <w:rsid w:val="0007272F"/>
    <w:rsid w:val="000727BB"/>
    <w:rsid w:val="00072F34"/>
    <w:rsid w:val="00073E90"/>
    <w:rsid w:val="0007459E"/>
    <w:rsid w:val="00074730"/>
    <w:rsid w:val="00074CD5"/>
    <w:rsid w:val="00074D49"/>
    <w:rsid w:val="00074E49"/>
    <w:rsid w:val="00075070"/>
    <w:rsid w:val="00076166"/>
    <w:rsid w:val="00077C9E"/>
    <w:rsid w:val="00080BF1"/>
    <w:rsid w:val="00080F1A"/>
    <w:rsid w:val="00081166"/>
    <w:rsid w:val="00081401"/>
    <w:rsid w:val="00081A6C"/>
    <w:rsid w:val="00081BC7"/>
    <w:rsid w:val="00082E94"/>
    <w:rsid w:val="00082EB9"/>
    <w:rsid w:val="00083BA4"/>
    <w:rsid w:val="00084712"/>
    <w:rsid w:val="00084B0D"/>
    <w:rsid w:val="000853B1"/>
    <w:rsid w:val="00085EA3"/>
    <w:rsid w:val="000869D1"/>
    <w:rsid w:val="00086A66"/>
    <w:rsid w:val="0008779B"/>
    <w:rsid w:val="000907E9"/>
    <w:rsid w:val="00090A03"/>
    <w:rsid w:val="00090BAA"/>
    <w:rsid w:val="00090E9E"/>
    <w:rsid w:val="0009165E"/>
    <w:rsid w:val="00091D3D"/>
    <w:rsid w:val="00092BF5"/>
    <w:rsid w:val="00092C82"/>
    <w:rsid w:val="00092C95"/>
    <w:rsid w:val="00092FCD"/>
    <w:rsid w:val="000930B0"/>
    <w:rsid w:val="000935EE"/>
    <w:rsid w:val="00093AFF"/>
    <w:rsid w:val="00094288"/>
    <w:rsid w:val="00094DCF"/>
    <w:rsid w:val="00095051"/>
    <w:rsid w:val="000951A2"/>
    <w:rsid w:val="0009567A"/>
    <w:rsid w:val="00095D44"/>
    <w:rsid w:val="00096DB6"/>
    <w:rsid w:val="0009732F"/>
    <w:rsid w:val="000975C7"/>
    <w:rsid w:val="00097E12"/>
    <w:rsid w:val="000A01F8"/>
    <w:rsid w:val="000A0A97"/>
    <w:rsid w:val="000A14E0"/>
    <w:rsid w:val="000A1D51"/>
    <w:rsid w:val="000A3828"/>
    <w:rsid w:val="000A3ED4"/>
    <w:rsid w:val="000A4277"/>
    <w:rsid w:val="000A5AD6"/>
    <w:rsid w:val="000A5F26"/>
    <w:rsid w:val="000A6C5A"/>
    <w:rsid w:val="000A6CFF"/>
    <w:rsid w:val="000A7CFA"/>
    <w:rsid w:val="000B0B7B"/>
    <w:rsid w:val="000B107E"/>
    <w:rsid w:val="000B1945"/>
    <w:rsid w:val="000B1C53"/>
    <w:rsid w:val="000B1EB3"/>
    <w:rsid w:val="000B2420"/>
    <w:rsid w:val="000B39AD"/>
    <w:rsid w:val="000B3E03"/>
    <w:rsid w:val="000B4255"/>
    <w:rsid w:val="000B4C43"/>
    <w:rsid w:val="000B4DA1"/>
    <w:rsid w:val="000B503B"/>
    <w:rsid w:val="000B56CA"/>
    <w:rsid w:val="000B72EA"/>
    <w:rsid w:val="000B7900"/>
    <w:rsid w:val="000B7AEC"/>
    <w:rsid w:val="000B7F92"/>
    <w:rsid w:val="000C07E6"/>
    <w:rsid w:val="000C12F0"/>
    <w:rsid w:val="000C2435"/>
    <w:rsid w:val="000C29DD"/>
    <w:rsid w:val="000C2F25"/>
    <w:rsid w:val="000C37D7"/>
    <w:rsid w:val="000C3865"/>
    <w:rsid w:val="000C45C6"/>
    <w:rsid w:val="000C4A5A"/>
    <w:rsid w:val="000C5816"/>
    <w:rsid w:val="000C5A69"/>
    <w:rsid w:val="000C647E"/>
    <w:rsid w:val="000C6D21"/>
    <w:rsid w:val="000C6F04"/>
    <w:rsid w:val="000C723D"/>
    <w:rsid w:val="000C7D21"/>
    <w:rsid w:val="000D0207"/>
    <w:rsid w:val="000D03EA"/>
    <w:rsid w:val="000D07C9"/>
    <w:rsid w:val="000D104B"/>
    <w:rsid w:val="000D1130"/>
    <w:rsid w:val="000D275F"/>
    <w:rsid w:val="000D2C68"/>
    <w:rsid w:val="000D3EBA"/>
    <w:rsid w:val="000D66DA"/>
    <w:rsid w:val="000D6BA3"/>
    <w:rsid w:val="000D6FDB"/>
    <w:rsid w:val="000D7459"/>
    <w:rsid w:val="000D76D5"/>
    <w:rsid w:val="000D7E12"/>
    <w:rsid w:val="000D7F78"/>
    <w:rsid w:val="000E19F1"/>
    <w:rsid w:val="000E245A"/>
    <w:rsid w:val="000E2A50"/>
    <w:rsid w:val="000E3126"/>
    <w:rsid w:val="000E4176"/>
    <w:rsid w:val="000E4BE5"/>
    <w:rsid w:val="000E4DA5"/>
    <w:rsid w:val="000E4F07"/>
    <w:rsid w:val="000E5171"/>
    <w:rsid w:val="000E578E"/>
    <w:rsid w:val="000E653F"/>
    <w:rsid w:val="000E71C1"/>
    <w:rsid w:val="000F014F"/>
    <w:rsid w:val="000F0CC6"/>
    <w:rsid w:val="000F103C"/>
    <w:rsid w:val="000F1277"/>
    <w:rsid w:val="000F1914"/>
    <w:rsid w:val="000F2C1B"/>
    <w:rsid w:val="000F366C"/>
    <w:rsid w:val="000F38B7"/>
    <w:rsid w:val="000F3A15"/>
    <w:rsid w:val="000F3A26"/>
    <w:rsid w:val="000F3AE1"/>
    <w:rsid w:val="000F3E80"/>
    <w:rsid w:val="000F433E"/>
    <w:rsid w:val="000F5B10"/>
    <w:rsid w:val="000F6E3E"/>
    <w:rsid w:val="000F7040"/>
    <w:rsid w:val="000F70B7"/>
    <w:rsid w:val="000F783A"/>
    <w:rsid w:val="000F7A54"/>
    <w:rsid w:val="00100723"/>
    <w:rsid w:val="001007B5"/>
    <w:rsid w:val="0010113F"/>
    <w:rsid w:val="00101415"/>
    <w:rsid w:val="0010144F"/>
    <w:rsid w:val="00101520"/>
    <w:rsid w:val="00103BDB"/>
    <w:rsid w:val="00104082"/>
    <w:rsid w:val="001054EB"/>
    <w:rsid w:val="00105F68"/>
    <w:rsid w:val="00106311"/>
    <w:rsid w:val="0010680B"/>
    <w:rsid w:val="00106F1E"/>
    <w:rsid w:val="0010758A"/>
    <w:rsid w:val="00107D81"/>
    <w:rsid w:val="00107DDE"/>
    <w:rsid w:val="001105B9"/>
    <w:rsid w:val="001108FA"/>
    <w:rsid w:val="00110DD8"/>
    <w:rsid w:val="00112A94"/>
    <w:rsid w:val="00112F0A"/>
    <w:rsid w:val="001132DF"/>
    <w:rsid w:val="0011343A"/>
    <w:rsid w:val="00113FA9"/>
    <w:rsid w:val="00114323"/>
    <w:rsid w:val="00114696"/>
    <w:rsid w:val="00114E50"/>
    <w:rsid w:val="0011547C"/>
    <w:rsid w:val="001155D9"/>
    <w:rsid w:val="001162D3"/>
    <w:rsid w:val="001168C8"/>
    <w:rsid w:val="0011769E"/>
    <w:rsid w:val="00120278"/>
    <w:rsid w:val="0012041E"/>
    <w:rsid w:val="00120BAA"/>
    <w:rsid w:val="001214DB"/>
    <w:rsid w:val="00121FDA"/>
    <w:rsid w:val="0012203C"/>
    <w:rsid w:val="00122EF5"/>
    <w:rsid w:val="00123965"/>
    <w:rsid w:val="001244FC"/>
    <w:rsid w:val="0012456A"/>
    <w:rsid w:val="0012484F"/>
    <w:rsid w:val="00126450"/>
    <w:rsid w:val="00126C9C"/>
    <w:rsid w:val="00127821"/>
    <w:rsid w:val="00127921"/>
    <w:rsid w:val="00130E34"/>
    <w:rsid w:val="001315B2"/>
    <w:rsid w:val="0013254A"/>
    <w:rsid w:val="00132B90"/>
    <w:rsid w:val="00132CCB"/>
    <w:rsid w:val="00132D21"/>
    <w:rsid w:val="00132E96"/>
    <w:rsid w:val="001334D0"/>
    <w:rsid w:val="00133788"/>
    <w:rsid w:val="00133869"/>
    <w:rsid w:val="00133AFC"/>
    <w:rsid w:val="00134488"/>
    <w:rsid w:val="001346F6"/>
    <w:rsid w:val="0013488E"/>
    <w:rsid w:val="00134AA4"/>
    <w:rsid w:val="00134B8E"/>
    <w:rsid w:val="00135337"/>
    <w:rsid w:val="0013558A"/>
    <w:rsid w:val="00135731"/>
    <w:rsid w:val="001358F2"/>
    <w:rsid w:val="0013678B"/>
    <w:rsid w:val="00137019"/>
    <w:rsid w:val="001376CB"/>
    <w:rsid w:val="00137C88"/>
    <w:rsid w:val="001406B9"/>
    <w:rsid w:val="0014099F"/>
    <w:rsid w:val="00140C0E"/>
    <w:rsid w:val="0014159F"/>
    <w:rsid w:val="00141814"/>
    <w:rsid w:val="00141DB5"/>
    <w:rsid w:val="001422FA"/>
    <w:rsid w:val="00142372"/>
    <w:rsid w:val="00142D70"/>
    <w:rsid w:val="00143380"/>
    <w:rsid w:val="00144770"/>
    <w:rsid w:val="001448D3"/>
    <w:rsid w:val="00144A40"/>
    <w:rsid w:val="00144C73"/>
    <w:rsid w:val="00145429"/>
    <w:rsid w:val="00145BBF"/>
    <w:rsid w:val="00145E67"/>
    <w:rsid w:val="001466ED"/>
    <w:rsid w:val="00146A01"/>
    <w:rsid w:val="00147428"/>
    <w:rsid w:val="001479B0"/>
    <w:rsid w:val="00150264"/>
    <w:rsid w:val="001505BC"/>
    <w:rsid w:val="00150649"/>
    <w:rsid w:val="00150E00"/>
    <w:rsid w:val="00151A93"/>
    <w:rsid w:val="00151BC8"/>
    <w:rsid w:val="0015215F"/>
    <w:rsid w:val="00152441"/>
    <w:rsid w:val="00153052"/>
    <w:rsid w:val="001533B2"/>
    <w:rsid w:val="0015348C"/>
    <w:rsid w:val="00153684"/>
    <w:rsid w:val="00153987"/>
    <w:rsid w:val="0015428B"/>
    <w:rsid w:val="0015435C"/>
    <w:rsid w:val="00154E5A"/>
    <w:rsid w:val="00154F6F"/>
    <w:rsid w:val="00155AEF"/>
    <w:rsid w:val="00155DF1"/>
    <w:rsid w:val="0015643C"/>
    <w:rsid w:val="00156BE1"/>
    <w:rsid w:val="00156D14"/>
    <w:rsid w:val="00156FB3"/>
    <w:rsid w:val="00157472"/>
    <w:rsid w:val="001602BC"/>
    <w:rsid w:val="001603C5"/>
    <w:rsid w:val="001604CF"/>
    <w:rsid w:val="00160574"/>
    <w:rsid w:val="00160644"/>
    <w:rsid w:val="00160A6D"/>
    <w:rsid w:val="00161083"/>
    <w:rsid w:val="0016182D"/>
    <w:rsid w:val="001623A9"/>
    <w:rsid w:val="0016243A"/>
    <w:rsid w:val="0016346F"/>
    <w:rsid w:val="0016399A"/>
    <w:rsid w:val="001642B8"/>
    <w:rsid w:val="00164AAD"/>
    <w:rsid w:val="00164EFE"/>
    <w:rsid w:val="00164F36"/>
    <w:rsid w:val="0016511E"/>
    <w:rsid w:val="00165A9C"/>
    <w:rsid w:val="00165FD4"/>
    <w:rsid w:val="00166384"/>
    <w:rsid w:val="001663E8"/>
    <w:rsid w:val="00167135"/>
    <w:rsid w:val="001675D6"/>
    <w:rsid w:val="00167FBA"/>
    <w:rsid w:val="001701BE"/>
    <w:rsid w:val="00170A6B"/>
    <w:rsid w:val="00170B09"/>
    <w:rsid w:val="00170EE0"/>
    <w:rsid w:val="00172884"/>
    <w:rsid w:val="00173160"/>
    <w:rsid w:val="001734DC"/>
    <w:rsid w:val="0017368B"/>
    <w:rsid w:val="00173967"/>
    <w:rsid w:val="00174BBC"/>
    <w:rsid w:val="00174CBC"/>
    <w:rsid w:val="001751A6"/>
    <w:rsid w:val="00175217"/>
    <w:rsid w:val="00175570"/>
    <w:rsid w:val="001756A3"/>
    <w:rsid w:val="00175801"/>
    <w:rsid w:val="00176333"/>
    <w:rsid w:val="001767AB"/>
    <w:rsid w:val="001769FA"/>
    <w:rsid w:val="00176C7C"/>
    <w:rsid w:val="00177FB3"/>
    <w:rsid w:val="001803B7"/>
    <w:rsid w:val="001803F3"/>
    <w:rsid w:val="00180B92"/>
    <w:rsid w:val="00181350"/>
    <w:rsid w:val="00181A8F"/>
    <w:rsid w:val="00181DF1"/>
    <w:rsid w:val="00181E79"/>
    <w:rsid w:val="001827F2"/>
    <w:rsid w:val="0018287A"/>
    <w:rsid w:val="00182B33"/>
    <w:rsid w:val="00182EC0"/>
    <w:rsid w:val="0018305E"/>
    <w:rsid w:val="001833B1"/>
    <w:rsid w:val="001849FB"/>
    <w:rsid w:val="00184E4F"/>
    <w:rsid w:val="00185337"/>
    <w:rsid w:val="001855F6"/>
    <w:rsid w:val="001859B5"/>
    <w:rsid w:val="001867E3"/>
    <w:rsid w:val="0018738E"/>
    <w:rsid w:val="00187B41"/>
    <w:rsid w:val="00187E92"/>
    <w:rsid w:val="00187FDE"/>
    <w:rsid w:val="0019063E"/>
    <w:rsid w:val="00190662"/>
    <w:rsid w:val="0019070B"/>
    <w:rsid w:val="00190D1B"/>
    <w:rsid w:val="00190F17"/>
    <w:rsid w:val="00190F53"/>
    <w:rsid w:val="0019104B"/>
    <w:rsid w:val="00191156"/>
    <w:rsid w:val="00191349"/>
    <w:rsid w:val="00192FEC"/>
    <w:rsid w:val="0019378D"/>
    <w:rsid w:val="001938C1"/>
    <w:rsid w:val="00194028"/>
    <w:rsid w:val="00195679"/>
    <w:rsid w:val="00195783"/>
    <w:rsid w:val="00195C31"/>
    <w:rsid w:val="001963B1"/>
    <w:rsid w:val="0019678F"/>
    <w:rsid w:val="001968BE"/>
    <w:rsid w:val="00196E71"/>
    <w:rsid w:val="00197262"/>
    <w:rsid w:val="00197797"/>
    <w:rsid w:val="00197DC1"/>
    <w:rsid w:val="001A01A5"/>
    <w:rsid w:val="001A041B"/>
    <w:rsid w:val="001A0B85"/>
    <w:rsid w:val="001A107E"/>
    <w:rsid w:val="001A1883"/>
    <w:rsid w:val="001A19B3"/>
    <w:rsid w:val="001A1C4A"/>
    <w:rsid w:val="001A253D"/>
    <w:rsid w:val="001A26C3"/>
    <w:rsid w:val="001A28A3"/>
    <w:rsid w:val="001A2B4D"/>
    <w:rsid w:val="001A2FB5"/>
    <w:rsid w:val="001A40EB"/>
    <w:rsid w:val="001A4A35"/>
    <w:rsid w:val="001A4C19"/>
    <w:rsid w:val="001A4DF7"/>
    <w:rsid w:val="001A5214"/>
    <w:rsid w:val="001A52AF"/>
    <w:rsid w:val="001A57E8"/>
    <w:rsid w:val="001A5CA7"/>
    <w:rsid w:val="001A5CFA"/>
    <w:rsid w:val="001A60A2"/>
    <w:rsid w:val="001A68A1"/>
    <w:rsid w:val="001A77B9"/>
    <w:rsid w:val="001B01A3"/>
    <w:rsid w:val="001B08A1"/>
    <w:rsid w:val="001B11B1"/>
    <w:rsid w:val="001B1243"/>
    <w:rsid w:val="001B12B6"/>
    <w:rsid w:val="001B24D3"/>
    <w:rsid w:val="001B2927"/>
    <w:rsid w:val="001B2AB6"/>
    <w:rsid w:val="001B3833"/>
    <w:rsid w:val="001B3B03"/>
    <w:rsid w:val="001B3D3B"/>
    <w:rsid w:val="001B3D42"/>
    <w:rsid w:val="001B427B"/>
    <w:rsid w:val="001B4F91"/>
    <w:rsid w:val="001B5657"/>
    <w:rsid w:val="001B58B7"/>
    <w:rsid w:val="001B70D4"/>
    <w:rsid w:val="001B724A"/>
    <w:rsid w:val="001B7C81"/>
    <w:rsid w:val="001B7F0A"/>
    <w:rsid w:val="001C0334"/>
    <w:rsid w:val="001C0A0F"/>
    <w:rsid w:val="001C0F3B"/>
    <w:rsid w:val="001C11A1"/>
    <w:rsid w:val="001C167B"/>
    <w:rsid w:val="001C1873"/>
    <w:rsid w:val="001C233C"/>
    <w:rsid w:val="001C24A9"/>
    <w:rsid w:val="001C3805"/>
    <w:rsid w:val="001C3C21"/>
    <w:rsid w:val="001C47EA"/>
    <w:rsid w:val="001C483E"/>
    <w:rsid w:val="001C5006"/>
    <w:rsid w:val="001C576D"/>
    <w:rsid w:val="001C6BAE"/>
    <w:rsid w:val="001D0B3F"/>
    <w:rsid w:val="001D14E1"/>
    <w:rsid w:val="001D1646"/>
    <w:rsid w:val="001D1C6F"/>
    <w:rsid w:val="001D2124"/>
    <w:rsid w:val="001D2881"/>
    <w:rsid w:val="001D2978"/>
    <w:rsid w:val="001D2E8C"/>
    <w:rsid w:val="001D2F53"/>
    <w:rsid w:val="001D3B26"/>
    <w:rsid w:val="001D4439"/>
    <w:rsid w:val="001D45D7"/>
    <w:rsid w:val="001D462B"/>
    <w:rsid w:val="001D49BA"/>
    <w:rsid w:val="001D5D85"/>
    <w:rsid w:val="001D60C9"/>
    <w:rsid w:val="001D7241"/>
    <w:rsid w:val="001D72E6"/>
    <w:rsid w:val="001D73F6"/>
    <w:rsid w:val="001D7C7C"/>
    <w:rsid w:val="001D7EA3"/>
    <w:rsid w:val="001E005D"/>
    <w:rsid w:val="001E0F81"/>
    <w:rsid w:val="001E1A2E"/>
    <w:rsid w:val="001E21DC"/>
    <w:rsid w:val="001E280E"/>
    <w:rsid w:val="001E34A0"/>
    <w:rsid w:val="001E39C9"/>
    <w:rsid w:val="001E3C23"/>
    <w:rsid w:val="001E43E4"/>
    <w:rsid w:val="001E4C29"/>
    <w:rsid w:val="001E54C7"/>
    <w:rsid w:val="001E57DF"/>
    <w:rsid w:val="001E6575"/>
    <w:rsid w:val="001E6C42"/>
    <w:rsid w:val="001E6D28"/>
    <w:rsid w:val="001E6DFB"/>
    <w:rsid w:val="001E7168"/>
    <w:rsid w:val="001E7463"/>
    <w:rsid w:val="001E76B8"/>
    <w:rsid w:val="001E7720"/>
    <w:rsid w:val="001E77B4"/>
    <w:rsid w:val="001F0005"/>
    <w:rsid w:val="001F004E"/>
    <w:rsid w:val="001F0127"/>
    <w:rsid w:val="001F023F"/>
    <w:rsid w:val="001F100A"/>
    <w:rsid w:val="001F123B"/>
    <w:rsid w:val="001F1787"/>
    <w:rsid w:val="001F1AAF"/>
    <w:rsid w:val="001F254A"/>
    <w:rsid w:val="001F2563"/>
    <w:rsid w:val="001F25BC"/>
    <w:rsid w:val="001F28B0"/>
    <w:rsid w:val="001F316A"/>
    <w:rsid w:val="001F3910"/>
    <w:rsid w:val="001F3F31"/>
    <w:rsid w:val="001F42E5"/>
    <w:rsid w:val="001F4475"/>
    <w:rsid w:val="001F46BA"/>
    <w:rsid w:val="001F49BD"/>
    <w:rsid w:val="001F6839"/>
    <w:rsid w:val="001F6877"/>
    <w:rsid w:val="001F6CA5"/>
    <w:rsid w:val="001F6E00"/>
    <w:rsid w:val="001F74B0"/>
    <w:rsid w:val="001F7A1B"/>
    <w:rsid w:val="0020028C"/>
    <w:rsid w:val="002002E9"/>
    <w:rsid w:val="00200C74"/>
    <w:rsid w:val="00200DC4"/>
    <w:rsid w:val="00200F4B"/>
    <w:rsid w:val="00201590"/>
    <w:rsid w:val="00201837"/>
    <w:rsid w:val="00201ED6"/>
    <w:rsid w:val="00202345"/>
    <w:rsid w:val="00202630"/>
    <w:rsid w:val="00202752"/>
    <w:rsid w:val="00202BDD"/>
    <w:rsid w:val="00202D44"/>
    <w:rsid w:val="00202EA4"/>
    <w:rsid w:val="0020308D"/>
    <w:rsid w:val="00203197"/>
    <w:rsid w:val="00203312"/>
    <w:rsid w:val="00203493"/>
    <w:rsid w:val="00203DE0"/>
    <w:rsid w:val="00203FDD"/>
    <w:rsid w:val="00204369"/>
    <w:rsid w:val="00204B61"/>
    <w:rsid w:val="00205273"/>
    <w:rsid w:val="00205A42"/>
    <w:rsid w:val="00205E6D"/>
    <w:rsid w:val="0020631E"/>
    <w:rsid w:val="002068FD"/>
    <w:rsid w:val="00206EB8"/>
    <w:rsid w:val="002075DA"/>
    <w:rsid w:val="002104C6"/>
    <w:rsid w:val="00210666"/>
    <w:rsid w:val="00210797"/>
    <w:rsid w:val="00212535"/>
    <w:rsid w:val="0021298F"/>
    <w:rsid w:val="00212991"/>
    <w:rsid w:val="00212B70"/>
    <w:rsid w:val="00212D3B"/>
    <w:rsid w:val="00213342"/>
    <w:rsid w:val="00214E8E"/>
    <w:rsid w:val="00214FAB"/>
    <w:rsid w:val="00215A35"/>
    <w:rsid w:val="00215B20"/>
    <w:rsid w:val="00216A8E"/>
    <w:rsid w:val="00217731"/>
    <w:rsid w:val="00222C13"/>
    <w:rsid w:val="00223B9B"/>
    <w:rsid w:val="00223BCA"/>
    <w:rsid w:val="002243FD"/>
    <w:rsid w:val="00224423"/>
    <w:rsid w:val="00226B4D"/>
    <w:rsid w:val="0022787C"/>
    <w:rsid w:val="0023037A"/>
    <w:rsid w:val="00230763"/>
    <w:rsid w:val="002322A7"/>
    <w:rsid w:val="00232623"/>
    <w:rsid w:val="00232711"/>
    <w:rsid w:val="00232F04"/>
    <w:rsid w:val="002334F8"/>
    <w:rsid w:val="00233968"/>
    <w:rsid w:val="00233FA9"/>
    <w:rsid w:val="00234F52"/>
    <w:rsid w:val="002350DA"/>
    <w:rsid w:val="00235364"/>
    <w:rsid w:val="00235904"/>
    <w:rsid w:val="00235D71"/>
    <w:rsid w:val="00236097"/>
    <w:rsid w:val="00236162"/>
    <w:rsid w:val="00236B3D"/>
    <w:rsid w:val="00236BD9"/>
    <w:rsid w:val="0023715F"/>
    <w:rsid w:val="00237CC8"/>
    <w:rsid w:val="00237E5F"/>
    <w:rsid w:val="002401CD"/>
    <w:rsid w:val="0024033B"/>
    <w:rsid w:val="00240899"/>
    <w:rsid w:val="002409A2"/>
    <w:rsid w:val="002409AB"/>
    <w:rsid w:val="0024106E"/>
    <w:rsid w:val="002412E7"/>
    <w:rsid w:val="002414CD"/>
    <w:rsid w:val="00241740"/>
    <w:rsid w:val="00241795"/>
    <w:rsid w:val="00241DE7"/>
    <w:rsid w:val="002426ED"/>
    <w:rsid w:val="002442B1"/>
    <w:rsid w:val="002444FD"/>
    <w:rsid w:val="002447F9"/>
    <w:rsid w:val="0024489D"/>
    <w:rsid w:val="002448AB"/>
    <w:rsid w:val="00244A6C"/>
    <w:rsid w:val="00244ADE"/>
    <w:rsid w:val="00244D29"/>
    <w:rsid w:val="002453AF"/>
    <w:rsid w:val="002456F2"/>
    <w:rsid w:val="002458FC"/>
    <w:rsid w:val="00245E15"/>
    <w:rsid w:val="00246FFE"/>
    <w:rsid w:val="0025005E"/>
    <w:rsid w:val="00250A87"/>
    <w:rsid w:val="00250E1B"/>
    <w:rsid w:val="00251455"/>
    <w:rsid w:val="0025180C"/>
    <w:rsid w:val="00252C51"/>
    <w:rsid w:val="00253037"/>
    <w:rsid w:val="002534DD"/>
    <w:rsid w:val="0025364F"/>
    <w:rsid w:val="00253E8C"/>
    <w:rsid w:val="00253F98"/>
    <w:rsid w:val="0025412F"/>
    <w:rsid w:val="00254601"/>
    <w:rsid w:val="00254FD3"/>
    <w:rsid w:val="00254FF8"/>
    <w:rsid w:val="00255972"/>
    <w:rsid w:val="0025635A"/>
    <w:rsid w:val="00256932"/>
    <w:rsid w:val="002572EC"/>
    <w:rsid w:val="00257B0A"/>
    <w:rsid w:val="00261C65"/>
    <w:rsid w:val="002620EF"/>
    <w:rsid w:val="00262258"/>
    <w:rsid w:val="00262436"/>
    <w:rsid w:val="00262C22"/>
    <w:rsid w:val="00262F9E"/>
    <w:rsid w:val="00263B99"/>
    <w:rsid w:val="00263FA4"/>
    <w:rsid w:val="002643A0"/>
    <w:rsid w:val="00264924"/>
    <w:rsid w:val="0026538E"/>
    <w:rsid w:val="00265BE3"/>
    <w:rsid w:val="00265CC5"/>
    <w:rsid w:val="002662A0"/>
    <w:rsid w:val="00267D1D"/>
    <w:rsid w:val="00270818"/>
    <w:rsid w:val="00270BAD"/>
    <w:rsid w:val="0027112E"/>
    <w:rsid w:val="00271231"/>
    <w:rsid w:val="0027181F"/>
    <w:rsid w:val="0027197A"/>
    <w:rsid w:val="00272031"/>
    <w:rsid w:val="002721C1"/>
    <w:rsid w:val="002721FE"/>
    <w:rsid w:val="002730DE"/>
    <w:rsid w:val="002736ED"/>
    <w:rsid w:val="00273D6D"/>
    <w:rsid w:val="00273EBE"/>
    <w:rsid w:val="00273F3F"/>
    <w:rsid w:val="00274DF6"/>
    <w:rsid w:val="00274FBA"/>
    <w:rsid w:val="0027624A"/>
    <w:rsid w:val="00276E0A"/>
    <w:rsid w:val="00276F5C"/>
    <w:rsid w:val="00277FC7"/>
    <w:rsid w:val="0028048F"/>
    <w:rsid w:val="0028050B"/>
    <w:rsid w:val="00280E97"/>
    <w:rsid w:val="00281C6D"/>
    <w:rsid w:val="00282467"/>
    <w:rsid w:val="00282D6D"/>
    <w:rsid w:val="00283BA5"/>
    <w:rsid w:val="00283F7E"/>
    <w:rsid w:val="00284083"/>
    <w:rsid w:val="002844E5"/>
    <w:rsid w:val="00284875"/>
    <w:rsid w:val="00284885"/>
    <w:rsid w:val="0028522E"/>
    <w:rsid w:val="002856B1"/>
    <w:rsid w:val="00285EB3"/>
    <w:rsid w:val="0028647A"/>
    <w:rsid w:val="002866B5"/>
    <w:rsid w:val="002872B8"/>
    <w:rsid w:val="002875B5"/>
    <w:rsid w:val="002876B1"/>
    <w:rsid w:val="00287A3D"/>
    <w:rsid w:val="0028870C"/>
    <w:rsid w:val="00290B9B"/>
    <w:rsid w:val="00290C33"/>
    <w:rsid w:val="00291405"/>
    <w:rsid w:val="00291555"/>
    <w:rsid w:val="00291893"/>
    <w:rsid w:val="00291C69"/>
    <w:rsid w:val="002926CE"/>
    <w:rsid w:val="002926FE"/>
    <w:rsid w:val="002932F0"/>
    <w:rsid w:val="00293ADD"/>
    <w:rsid w:val="00293CCA"/>
    <w:rsid w:val="00293D7C"/>
    <w:rsid w:val="00294077"/>
    <w:rsid w:val="0029458A"/>
    <w:rsid w:val="00295C59"/>
    <w:rsid w:val="002967AB"/>
    <w:rsid w:val="00297FB3"/>
    <w:rsid w:val="002A01D6"/>
    <w:rsid w:val="002A0EEA"/>
    <w:rsid w:val="002A1214"/>
    <w:rsid w:val="002A18ED"/>
    <w:rsid w:val="002A2274"/>
    <w:rsid w:val="002A24EA"/>
    <w:rsid w:val="002A2587"/>
    <w:rsid w:val="002A3563"/>
    <w:rsid w:val="002A3583"/>
    <w:rsid w:val="002A3631"/>
    <w:rsid w:val="002A3C93"/>
    <w:rsid w:val="002A3D62"/>
    <w:rsid w:val="002A4025"/>
    <w:rsid w:val="002A48F2"/>
    <w:rsid w:val="002A6452"/>
    <w:rsid w:val="002A664E"/>
    <w:rsid w:val="002A77E3"/>
    <w:rsid w:val="002A7950"/>
    <w:rsid w:val="002A7A6F"/>
    <w:rsid w:val="002B0143"/>
    <w:rsid w:val="002B0294"/>
    <w:rsid w:val="002B0695"/>
    <w:rsid w:val="002B124A"/>
    <w:rsid w:val="002B1619"/>
    <w:rsid w:val="002B1B76"/>
    <w:rsid w:val="002B1BFB"/>
    <w:rsid w:val="002B1FCF"/>
    <w:rsid w:val="002B24B9"/>
    <w:rsid w:val="002B2F75"/>
    <w:rsid w:val="002B30E1"/>
    <w:rsid w:val="002B35EF"/>
    <w:rsid w:val="002B39BA"/>
    <w:rsid w:val="002B441B"/>
    <w:rsid w:val="002B4444"/>
    <w:rsid w:val="002B4621"/>
    <w:rsid w:val="002B50A2"/>
    <w:rsid w:val="002B55EB"/>
    <w:rsid w:val="002B5664"/>
    <w:rsid w:val="002B5FE2"/>
    <w:rsid w:val="002B6188"/>
    <w:rsid w:val="002B6C6C"/>
    <w:rsid w:val="002B703A"/>
    <w:rsid w:val="002B771A"/>
    <w:rsid w:val="002B7AD9"/>
    <w:rsid w:val="002C10DB"/>
    <w:rsid w:val="002C2946"/>
    <w:rsid w:val="002C2B91"/>
    <w:rsid w:val="002C31B7"/>
    <w:rsid w:val="002C38AB"/>
    <w:rsid w:val="002C46B7"/>
    <w:rsid w:val="002C479D"/>
    <w:rsid w:val="002C4B3D"/>
    <w:rsid w:val="002C571C"/>
    <w:rsid w:val="002C61A8"/>
    <w:rsid w:val="002C6204"/>
    <w:rsid w:val="002C62C3"/>
    <w:rsid w:val="002C6B8D"/>
    <w:rsid w:val="002C6D70"/>
    <w:rsid w:val="002C7B17"/>
    <w:rsid w:val="002D0264"/>
    <w:rsid w:val="002D0CEF"/>
    <w:rsid w:val="002D15F4"/>
    <w:rsid w:val="002D20D7"/>
    <w:rsid w:val="002D22F3"/>
    <w:rsid w:val="002D2435"/>
    <w:rsid w:val="002D283F"/>
    <w:rsid w:val="002D2C76"/>
    <w:rsid w:val="002D2D5B"/>
    <w:rsid w:val="002D2EF1"/>
    <w:rsid w:val="002D3B3D"/>
    <w:rsid w:val="002D4CBB"/>
    <w:rsid w:val="002D4DAB"/>
    <w:rsid w:val="002D582A"/>
    <w:rsid w:val="002D5B03"/>
    <w:rsid w:val="002D5C1C"/>
    <w:rsid w:val="002D5CFA"/>
    <w:rsid w:val="002D6537"/>
    <w:rsid w:val="002D72C0"/>
    <w:rsid w:val="002D76CA"/>
    <w:rsid w:val="002E041D"/>
    <w:rsid w:val="002E090E"/>
    <w:rsid w:val="002E16A9"/>
    <w:rsid w:val="002E179F"/>
    <w:rsid w:val="002E20FA"/>
    <w:rsid w:val="002E2994"/>
    <w:rsid w:val="002E30DE"/>
    <w:rsid w:val="002E3835"/>
    <w:rsid w:val="002E4472"/>
    <w:rsid w:val="002E45B5"/>
    <w:rsid w:val="002E4B29"/>
    <w:rsid w:val="002E5816"/>
    <w:rsid w:val="002E63C9"/>
    <w:rsid w:val="002E64C4"/>
    <w:rsid w:val="002E64D2"/>
    <w:rsid w:val="002E7208"/>
    <w:rsid w:val="002E7529"/>
    <w:rsid w:val="002E7CAA"/>
    <w:rsid w:val="002E7DD7"/>
    <w:rsid w:val="002F004E"/>
    <w:rsid w:val="002F05BF"/>
    <w:rsid w:val="002F0E19"/>
    <w:rsid w:val="002F0ED5"/>
    <w:rsid w:val="002F1C67"/>
    <w:rsid w:val="002F1C89"/>
    <w:rsid w:val="002F26DB"/>
    <w:rsid w:val="002F27FA"/>
    <w:rsid w:val="002F2AEF"/>
    <w:rsid w:val="002F3505"/>
    <w:rsid w:val="002F38AE"/>
    <w:rsid w:val="002F3BBC"/>
    <w:rsid w:val="002F3C1D"/>
    <w:rsid w:val="002F3D51"/>
    <w:rsid w:val="002F3DCB"/>
    <w:rsid w:val="002F43AF"/>
    <w:rsid w:val="002F476F"/>
    <w:rsid w:val="002F4ADA"/>
    <w:rsid w:val="002F4CFF"/>
    <w:rsid w:val="002F4D9A"/>
    <w:rsid w:val="002F5190"/>
    <w:rsid w:val="002F587C"/>
    <w:rsid w:val="002F5CF4"/>
    <w:rsid w:val="002F5E06"/>
    <w:rsid w:val="002F5E38"/>
    <w:rsid w:val="002F63DE"/>
    <w:rsid w:val="002F6AD0"/>
    <w:rsid w:val="002F738F"/>
    <w:rsid w:val="002F78EC"/>
    <w:rsid w:val="002F7988"/>
    <w:rsid w:val="003000AF"/>
    <w:rsid w:val="00300144"/>
    <w:rsid w:val="00300C8D"/>
    <w:rsid w:val="00301AD8"/>
    <w:rsid w:val="003027A9"/>
    <w:rsid w:val="00302828"/>
    <w:rsid w:val="0030424B"/>
    <w:rsid w:val="003043C4"/>
    <w:rsid w:val="00304563"/>
    <w:rsid w:val="00305298"/>
    <w:rsid w:val="003053D2"/>
    <w:rsid w:val="0030563D"/>
    <w:rsid w:val="00306001"/>
    <w:rsid w:val="00306907"/>
    <w:rsid w:val="0030750A"/>
    <w:rsid w:val="00307B21"/>
    <w:rsid w:val="003104B3"/>
    <w:rsid w:val="00310C0F"/>
    <w:rsid w:val="00310D77"/>
    <w:rsid w:val="003114F7"/>
    <w:rsid w:val="003117E3"/>
    <w:rsid w:val="0031193C"/>
    <w:rsid w:val="00312261"/>
    <w:rsid w:val="003128F9"/>
    <w:rsid w:val="003134C6"/>
    <w:rsid w:val="00313CED"/>
    <w:rsid w:val="00314673"/>
    <w:rsid w:val="003156A2"/>
    <w:rsid w:val="00316388"/>
    <w:rsid w:val="00316391"/>
    <w:rsid w:val="003164C3"/>
    <w:rsid w:val="0031657F"/>
    <w:rsid w:val="003173D0"/>
    <w:rsid w:val="003200BD"/>
    <w:rsid w:val="0032037C"/>
    <w:rsid w:val="00320769"/>
    <w:rsid w:val="0032089E"/>
    <w:rsid w:val="00320A56"/>
    <w:rsid w:val="00320AD1"/>
    <w:rsid w:val="0032120A"/>
    <w:rsid w:val="003213DF"/>
    <w:rsid w:val="00321466"/>
    <w:rsid w:val="0032192F"/>
    <w:rsid w:val="00321978"/>
    <w:rsid w:val="00322B94"/>
    <w:rsid w:val="0032378E"/>
    <w:rsid w:val="00323943"/>
    <w:rsid w:val="00324F6A"/>
    <w:rsid w:val="00326619"/>
    <w:rsid w:val="00326CFF"/>
    <w:rsid w:val="00327B58"/>
    <w:rsid w:val="00327CD2"/>
    <w:rsid w:val="00327E67"/>
    <w:rsid w:val="00327EAD"/>
    <w:rsid w:val="00330613"/>
    <w:rsid w:val="00330638"/>
    <w:rsid w:val="00330D5A"/>
    <w:rsid w:val="00330F56"/>
    <w:rsid w:val="003317A9"/>
    <w:rsid w:val="00331813"/>
    <w:rsid w:val="0033196D"/>
    <w:rsid w:val="00331DF9"/>
    <w:rsid w:val="0033273F"/>
    <w:rsid w:val="00332A3B"/>
    <w:rsid w:val="00332CF0"/>
    <w:rsid w:val="0033311F"/>
    <w:rsid w:val="00333122"/>
    <w:rsid w:val="00334062"/>
    <w:rsid w:val="003342F0"/>
    <w:rsid w:val="00335F72"/>
    <w:rsid w:val="00336055"/>
    <w:rsid w:val="00336094"/>
    <w:rsid w:val="00336221"/>
    <w:rsid w:val="00336362"/>
    <w:rsid w:val="00336A10"/>
    <w:rsid w:val="0033707C"/>
    <w:rsid w:val="003373FF"/>
    <w:rsid w:val="003377D6"/>
    <w:rsid w:val="00337BAD"/>
    <w:rsid w:val="00340D5A"/>
    <w:rsid w:val="00341767"/>
    <w:rsid w:val="003418F5"/>
    <w:rsid w:val="00341D82"/>
    <w:rsid w:val="003428A7"/>
    <w:rsid w:val="00342DBE"/>
    <w:rsid w:val="003432C0"/>
    <w:rsid w:val="003435BC"/>
    <w:rsid w:val="00343684"/>
    <w:rsid w:val="003438CE"/>
    <w:rsid w:val="00343B9E"/>
    <w:rsid w:val="00343C96"/>
    <w:rsid w:val="00344E2D"/>
    <w:rsid w:val="003451CB"/>
    <w:rsid w:val="00345669"/>
    <w:rsid w:val="00346208"/>
    <w:rsid w:val="0034629C"/>
    <w:rsid w:val="003478AC"/>
    <w:rsid w:val="0035003D"/>
    <w:rsid w:val="00350BC7"/>
    <w:rsid w:val="00350E18"/>
    <w:rsid w:val="00352611"/>
    <w:rsid w:val="00352790"/>
    <w:rsid w:val="00352A6C"/>
    <w:rsid w:val="00353BF9"/>
    <w:rsid w:val="00353DFC"/>
    <w:rsid w:val="003549FF"/>
    <w:rsid w:val="00354E40"/>
    <w:rsid w:val="00356350"/>
    <w:rsid w:val="00356418"/>
    <w:rsid w:val="00356703"/>
    <w:rsid w:val="00356B65"/>
    <w:rsid w:val="00356C60"/>
    <w:rsid w:val="00356D38"/>
    <w:rsid w:val="00357AE6"/>
    <w:rsid w:val="00357BD0"/>
    <w:rsid w:val="00357E14"/>
    <w:rsid w:val="00360FA9"/>
    <w:rsid w:val="00362433"/>
    <w:rsid w:val="003624A0"/>
    <w:rsid w:val="00362E0A"/>
    <w:rsid w:val="0036320B"/>
    <w:rsid w:val="0036328C"/>
    <w:rsid w:val="00363396"/>
    <w:rsid w:val="00363A50"/>
    <w:rsid w:val="00364512"/>
    <w:rsid w:val="00365371"/>
    <w:rsid w:val="00366258"/>
    <w:rsid w:val="00366719"/>
    <w:rsid w:val="00366DC6"/>
    <w:rsid w:val="00367053"/>
    <w:rsid w:val="0037110D"/>
    <w:rsid w:val="0037125C"/>
    <w:rsid w:val="0037139C"/>
    <w:rsid w:val="00371CAE"/>
    <w:rsid w:val="00372151"/>
    <w:rsid w:val="00372BA8"/>
    <w:rsid w:val="003731AC"/>
    <w:rsid w:val="00374385"/>
    <w:rsid w:val="003747D9"/>
    <w:rsid w:val="00374925"/>
    <w:rsid w:val="00374A34"/>
    <w:rsid w:val="00374A8D"/>
    <w:rsid w:val="00374D4A"/>
    <w:rsid w:val="0037502E"/>
    <w:rsid w:val="00375C7B"/>
    <w:rsid w:val="003772C2"/>
    <w:rsid w:val="0038022F"/>
    <w:rsid w:val="00380549"/>
    <w:rsid w:val="00380A3A"/>
    <w:rsid w:val="00381385"/>
    <w:rsid w:val="0038148E"/>
    <w:rsid w:val="003827A5"/>
    <w:rsid w:val="003827F0"/>
    <w:rsid w:val="00382A9B"/>
    <w:rsid w:val="00382B21"/>
    <w:rsid w:val="00383284"/>
    <w:rsid w:val="00383317"/>
    <w:rsid w:val="00384181"/>
    <w:rsid w:val="003843F7"/>
    <w:rsid w:val="003862C8"/>
    <w:rsid w:val="003866BB"/>
    <w:rsid w:val="00386872"/>
    <w:rsid w:val="00386940"/>
    <w:rsid w:val="00386AC2"/>
    <w:rsid w:val="00386D31"/>
    <w:rsid w:val="003878AF"/>
    <w:rsid w:val="00390366"/>
    <w:rsid w:val="0039047F"/>
    <w:rsid w:val="00390946"/>
    <w:rsid w:val="0039190B"/>
    <w:rsid w:val="00391937"/>
    <w:rsid w:val="00392390"/>
    <w:rsid w:val="003932D9"/>
    <w:rsid w:val="0039337F"/>
    <w:rsid w:val="00393488"/>
    <w:rsid w:val="00393BAD"/>
    <w:rsid w:val="00394480"/>
    <w:rsid w:val="00395BBE"/>
    <w:rsid w:val="00395FC9"/>
    <w:rsid w:val="0039672B"/>
    <w:rsid w:val="00396B00"/>
    <w:rsid w:val="003972AF"/>
    <w:rsid w:val="003973D6"/>
    <w:rsid w:val="00397485"/>
    <w:rsid w:val="00397BA2"/>
    <w:rsid w:val="00397E35"/>
    <w:rsid w:val="003A1F7C"/>
    <w:rsid w:val="003A20DE"/>
    <w:rsid w:val="003A2322"/>
    <w:rsid w:val="003A2BEC"/>
    <w:rsid w:val="003A3806"/>
    <w:rsid w:val="003A3B1B"/>
    <w:rsid w:val="003A3E2F"/>
    <w:rsid w:val="003A4174"/>
    <w:rsid w:val="003A49B7"/>
    <w:rsid w:val="003A51FF"/>
    <w:rsid w:val="003A5453"/>
    <w:rsid w:val="003A66CC"/>
    <w:rsid w:val="003A77BD"/>
    <w:rsid w:val="003A7AD8"/>
    <w:rsid w:val="003A7C38"/>
    <w:rsid w:val="003A7CDB"/>
    <w:rsid w:val="003B03A1"/>
    <w:rsid w:val="003B0747"/>
    <w:rsid w:val="003B0BC1"/>
    <w:rsid w:val="003B0F42"/>
    <w:rsid w:val="003B199C"/>
    <w:rsid w:val="003B1A7E"/>
    <w:rsid w:val="003B1CB6"/>
    <w:rsid w:val="003B3629"/>
    <w:rsid w:val="003B3B2D"/>
    <w:rsid w:val="003B440C"/>
    <w:rsid w:val="003B4F14"/>
    <w:rsid w:val="003B523B"/>
    <w:rsid w:val="003B5A94"/>
    <w:rsid w:val="003B6801"/>
    <w:rsid w:val="003B6994"/>
    <w:rsid w:val="003B745A"/>
    <w:rsid w:val="003B7A83"/>
    <w:rsid w:val="003B7E77"/>
    <w:rsid w:val="003C0380"/>
    <w:rsid w:val="003C0468"/>
    <w:rsid w:val="003C05BB"/>
    <w:rsid w:val="003C082F"/>
    <w:rsid w:val="003C1680"/>
    <w:rsid w:val="003C1B5E"/>
    <w:rsid w:val="003C1DCD"/>
    <w:rsid w:val="003C2317"/>
    <w:rsid w:val="003C2B15"/>
    <w:rsid w:val="003C2CC4"/>
    <w:rsid w:val="003C42B0"/>
    <w:rsid w:val="003C4E10"/>
    <w:rsid w:val="003C5203"/>
    <w:rsid w:val="003C779A"/>
    <w:rsid w:val="003C7F5E"/>
    <w:rsid w:val="003D0217"/>
    <w:rsid w:val="003D040A"/>
    <w:rsid w:val="003D1067"/>
    <w:rsid w:val="003D1071"/>
    <w:rsid w:val="003D1942"/>
    <w:rsid w:val="003D29B4"/>
    <w:rsid w:val="003D2C89"/>
    <w:rsid w:val="003D343A"/>
    <w:rsid w:val="003D3712"/>
    <w:rsid w:val="003D38C1"/>
    <w:rsid w:val="003D47DB"/>
    <w:rsid w:val="003D4AB7"/>
    <w:rsid w:val="003D4AFE"/>
    <w:rsid w:val="003D4C94"/>
    <w:rsid w:val="003D5C6B"/>
    <w:rsid w:val="003D5F40"/>
    <w:rsid w:val="003D6E61"/>
    <w:rsid w:val="003D6F2F"/>
    <w:rsid w:val="003D7AA7"/>
    <w:rsid w:val="003D7C8F"/>
    <w:rsid w:val="003D7EAD"/>
    <w:rsid w:val="003E0516"/>
    <w:rsid w:val="003E0CCA"/>
    <w:rsid w:val="003E1020"/>
    <w:rsid w:val="003E24F6"/>
    <w:rsid w:val="003E263D"/>
    <w:rsid w:val="003E2A0B"/>
    <w:rsid w:val="003E3277"/>
    <w:rsid w:val="003E36E3"/>
    <w:rsid w:val="003E61A0"/>
    <w:rsid w:val="003E626C"/>
    <w:rsid w:val="003E63C1"/>
    <w:rsid w:val="003E6441"/>
    <w:rsid w:val="003E7408"/>
    <w:rsid w:val="003E744E"/>
    <w:rsid w:val="003E76B0"/>
    <w:rsid w:val="003E7819"/>
    <w:rsid w:val="003E7B03"/>
    <w:rsid w:val="003E7F78"/>
    <w:rsid w:val="003F00BC"/>
    <w:rsid w:val="003F0209"/>
    <w:rsid w:val="003F06AE"/>
    <w:rsid w:val="003F072E"/>
    <w:rsid w:val="003F0E35"/>
    <w:rsid w:val="003F1891"/>
    <w:rsid w:val="003F1FD1"/>
    <w:rsid w:val="003F226A"/>
    <w:rsid w:val="003F23D5"/>
    <w:rsid w:val="003F2409"/>
    <w:rsid w:val="003F27B4"/>
    <w:rsid w:val="003F2DBA"/>
    <w:rsid w:val="003F2FE0"/>
    <w:rsid w:val="003F3690"/>
    <w:rsid w:val="003F3EB6"/>
    <w:rsid w:val="003F49A1"/>
    <w:rsid w:val="003F50CF"/>
    <w:rsid w:val="003F514A"/>
    <w:rsid w:val="003F57D8"/>
    <w:rsid w:val="003F57DA"/>
    <w:rsid w:val="003F58DC"/>
    <w:rsid w:val="003F62AE"/>
    <w:rsid w:val="003F740E"/>
    <w:rsid w:val="003F7917"/>
    <w:rsid w:val="0040032F"/>
    <w:rsid w:val="00400BCA"/>
    <w:rsid w:val="0040118E"/>
    <w:rsid w:val="004013C1"/>
    <w:rsid w:val="00401E50"/>
    <w:rsid w:val="00401FC6"/>
    <w:rsid w:val="0040229D"/>
    <w:rsid w:val="00402678"/>
    <w:rsid w:val="00402A00"/>
    <w:rsid w:val="00402A3A"/>
    <w:rsid w:val="00403AA5"/>
    <w:rsid w:val="00404896"/>
    <w:rsid w:val="00404ED0"/>
    <w:rsid w:val="00405BC2"/>
    <w:rsid w:val="004062F7"/>
    <w:rsid w:val="00406A07"/>
    <w:rsid w:val="004073B5"/>
    <w:rsid w:val="0041020E"/>
    <w:rsid w:val="004103EF"/>
    <w:rsid w:val="00410CCF"/>
    <w:rsid w:val="00411734"/>
    <w:rsid w:val="0041199E"/>
    <w:rsid w:val="0041227A"/>
    <w:rsid w:val="0041232D"/>
    <w:rsid w:val="004124BA"/>
    <w:rsid w:val="00413102"/>
    <w:rsid w:val="0041428D"/>
    <w:rsid w:val="00414371"/>
    <w:rsid w:val="0041460A"/>
    <w:rsid w:val="004155A0"/>
    <w:rsid w:val="0041650E"/>
    <w:rsid w:val="0041657A"/>
    <w:rsid w:val="00416AC5"/>
    <w:rsid w:val="00417892"/>
    <w:rsid w:val="00417A11"/>
    <w:rsid w:val="00417EAA"/>
    <w:rsid w:val="0042146E"/>
    <w:rsid w:val="00422601"/>
    <w:rsid w:val="00422A44"/>
    <w:rsid w:val="0042327B"/>
    <w:rsid w:val="004238F3"/>
    <w:rsid w:val="004240AB"/>
    <w:rsid w:val="00424286"/>
    <w:rsid w:val="00424364"/>
    <w:rsid w:val="0042452E"/>
    <w:rsid w:val="00424B87"/>
    <w:rsid w:val="004255F8"/>
    <w:rsid w:val="00426255"/>
    <w:rsid w:val="00426287"/>
    <w:rsid w:val="004265F2"/>
    <w:rsid w:val="00426FFB"/>
    <w:rsid w:val="004275B1"/>
    <w:rsid w:val="004276B0"/>
    <w:rsid w:val="00427C49"/>
    <w:rsid w:val="00430208"/>
    <w:rsid w:val="004310B0"/>
    <w:rsid w:val="0043128F"/>
    <w:rsid w:val="004317BA"/>
    <w:rsid w:val="00431DCB"/>
    <w:rsid w:val="00431E32"/>
    <w:rsid w:val="00432359"/>
    <w:rsid w:val="00432678"/>
    <w:rsid w:val="0043282F"/>
    <w:rsid w:val="00432F49"/>
    <w:rsid w:val="00433B68"/>
    <w:rsid w:val="00433D8C"/>
    <w:rsid w:val="00434145"/>
    <w:rsid w:val="00434748"/>
    <w:rsid w:val="00435035"/>
    <w:rsid w:val="00435390"/>
    <w:rsid w:val="0043644F"/>
    <w:rsid w:val="00436DBB"/>
    <w:rsid w:val="004370FB"/>
    <w:rsid w:val="0043763D"/>
    <w:rsid w:val="004406E0"/>
    <w:rsid w:val="004407B3"/>
    <w:rsid w:val="00440EF9"/>
    <w:rsid w:val="00441C36"/>
    <w:rsid w:val="00441DDB"/>
    <w:rsid w:val="00442490"/>
    <w:rsid w:val="004425E8"/>
    <w:rsid w:val="004431C2"/>
    <w:rsid w:val="0044347A"/>
    <w:rsid w:val="00443964"/>
    <w:rsid w:val="004447E0"/>
    <w:rsid w:val="00444D1C"/>
    <w:rsid w:val="0044565B"/>
    <w:rsid w:val="00445748"/>
    <w:rsid w:val="004460AB"/>
    <w:rsid w:val="00446424"/>
    <w:rsid w:val="0044786A"/>
    <w:rsid w:val="004501C2"/>
    <w:rsid w:val="00450854"/>
    <w:rsid w:val="00450D95"/>
    <w:rsid w:val="0045181E"/>
    <w:rsid w:val="00451E3E"/>
    <w:rsid w:val="0045283C"/>
    <w:rsid w:val="00453B71"/>
    <w:rsid w:val="00456554"/>
    <w:rsid w:val="004565DA"/>
    <w:rsid w:val="00457341"/>
    <w:rsid w:val="00457E16"/>
    <w:rsid w:val="00457F70"/>
    <w:rsid w:val="0046055B"/>
    <w:rsid w:val="004605B6"/>
    <w:rsid w:val="00460995"/>
    <w:rsid w:val="00461CE8"/>
    <w:rsid w:val="0046278D"/>
    <w:rsid w:val="00462A19"/>
    <w:rsid w:val="00462DD7"/>
    <w:rsid w:val="0046330A"/>
    <w:rsid w:val="004637E2"/>
    <w:rsid w:val="00463BA7"/>
    <w:rsid w:val="00463D17"/>
    <w:rsid w:val="0046436A"/>
    <w:rsid w:val="004643DC"/>
    <w:rsid w:val="004647DB"/>
    <w:rsid w:val="00464DE9"/>
    <w:rsid w:val="00465491"/>
    <w:rsid w:val="00465AAF"/>
    <w:rsid w:val="00465BDA"/>
    <w:rsid w:val="00465ECF"/>
    <w:rsid w:val="004662F3"/>
    <w:rsid w:val="004663F5"/>
    <w:rsid w:val="0046665F"/>
    <w:rsid w:val="0046669E"/>
    <w:rsid w:val="00467288"/>
    <w:rsid w:val="00470817"/>
    <w:rsid w:val="00471986"/>
    <w:rsid w:val="00471A0D"/>
    <w:rsid w:val="00471B67"/>
    <w:rsid w:val="004720BA"/>
    <w:rsid w:val="00472107"/>
    <w:rsid w:val="004724C4"/>
    <w:rsid w:val="00472859"/>
    <w:rsid w:val="004728BD"/>
    <w:rsid w:val="004728E1"/>
    <w:rsid w:val="00472ECB"/>
    <w:rsid w:val="00472FE4"/>
    <w:rsid w:val="0047336A"/>
    <w:rsid w:val="00473B97"/>
    <w:rsid w:val="004742A0"/>
    <w:rsid w:val="0047469B"/>
    <w:rsid w:val="00475186"/>
    <w:rsid w:val="004765ED"/>
    <w:rsid w:val="00480481"/>
    <w:rsid w:val="00480BD5"/>
    <w:rsid w:val="00480C60"/>
    <w:rsid w:val="00481216"/>
    <w:rsid w:val="00481546"/>
    <w:rsid w:val="00481746"/>
    <w:rsid w:val="00482BFF"/>
    <w:rsid w:val="004836B2"/>
    <w:rsid w:val="0048531A"/>
    <w:rsid w:val="00485904"/>
    <w:rsid w:val="00485F6D"/>
    <w:rsid w:val="004862AC"/>
    <w:rsid w:val="004868B1"/>
    <w:rsid w:val="00486BBF"/>
    <w:rsid w:val="00487BD8"/>
    <w:rsid w:val="00487EBB"/>
    <w:rsid w:val="0049002D"/>
    <w:rsid w:val="00490184"/>
    <w:rsid w:val="00490554"/>
    <w:rsid w:val="004907DC"/>
    <w:rsid w:val="00490D77"/>
    <w:rsid w:val="004919CD"/>
    <w:rsid w:val="004925A0"/>
    <w:rsid w:val="00492D99"/>
    <w:rsid w:val="00493ABB"/>
    <w:rsid w:val="00493C59"/>
    <w:rsid w:val="004947E2"/>
    <w:rsid w:val="0049617A"/>
    <w:rsid w:val="00496C60"/>
    <w:rsid w:val="00496D0D"/>
    <w:rsid w:val="00496DE9"/>
    <w:rsid w:val="004972BC"/>
    <w:rsid w:val="00497C79"/>
    <w:rsid w:val="00497D96"/>
    <w:rsid w:val="004A0E9B"/>
    <w:rsid w:val="004A16C2"/>
    <w:rsid w:val="004A1974"/>
    <w:rsid w:val="004A30B3"/>
    <w:rsid w:val="004A3BD0"/>
    <w:rsid w:val="004A48FC"/>
    <w:rsid w:val="004A4DBB"/>
    <w:rsid w:val="004A5722"/>
    <w:rsid w:val="004A58F7"/>
    <w:rsid w:val="004A5AE8"/>
    <w:rsid w:val="004A5E6A"/>
    <w:rsid w:val="004A6304"/>
    <w:rsid w:val="004A635D"/>
    <w:rsid w:val="004A6668"/>
    <w:rsid w:val="004A741C"/>
    <w:rsid w:val="004A7C78"/>
    <w:rsid w:val="004A7FE6"/>
    <w:rsid w:val="004B0192"/>
    <w:rsid w:val="004B04D7"/>
    <w:rsid w:val="004B1267"/>
    <w:rsid w:val="004B20DE"/>
    <w:rsid w:val="004B3A38"/>
    <w:rsid w:val="004B3DDA"/>
    <w:rsid w:val="004B3F3A"/>
    <w:rsid w:val="004B49A3"/>
    <w:rsid w:val="004B4E79"/>
    <w:rsid w:val="004B533A"/>
    <w:rsid w:val="004B5612"/>
    <w:rsid w:val="004B58C2"/>
    <w:rsid w:val="004B5C93"/>
    <w:rsid w:val="004B7CAF"/>
    <w:rsid w:val="004B7EDA"/>
    <w:rsid w:val="004C09FD"/>
    <w:rsid w:val="004C144D"/>
    <w:rsid w:val="004C153E"/>
    <w:rsid w:val="004C2192"/>
    <w:rsid w:val="004C2BED"/>
    <w:rsid w:val="004C2C24"/>
    <w:rsid w:val="004C4321"/>
    <w:rsid w:val="004C47C7"/>
    <w:rsid w:val="004C48EA"/>
    <w:rsid w:val="004C4CF7"/>
    <w:rsid w:val="004C56FA"/>
    <w:rsid w:val="004C571C"/>
    <w:rsid w:val="004C7003"/>
    <w:rsid w:val="004C7374"/>
    <w:rsid w:val="004C7C79"/>
    <w:rsid w:val="004C7CCF"/>
    <w:rsid w:val="004C7D34"/>
    <w:rsid w:val="004D0225"/>
    <w:rsid w:val="004D0423"/>
    <w:rsid w:val="004D05B3"/>
    <w:rsid w:val="004D094D"/>
    <w:rsid w:val="004D0EB1"/>
    <w:rsid w:val="004D19C3"/>
    <w:rsid w:val="004D1A5C"/>
    <w:rsid w:val="004D212D"/>
    <w:rsid w:val="004D307A"/>
    <w:rsid w:val="004D3437"/>
    <w:rsid w:val="004D38BF"/>
    <w:rsid w:val="004D41B5"/>
    <w:rsid w:val="004D463B"/>
    <w:rsid w:val="004D46A7"/>
    <w:rsid w:val="004D49EA"/>
    <w:rsid w:val="004D4C74"/>
    <w:rsid w:val="004D5327"/>
    <w:rsid w:val="004D588B"/>
    <w:rsid w:val="004D5BF5"/>
    <w:rsid w:val="004D63D6"/>
    <w:rsid w:val="004D68F3"/>
    <w:rsid w:val="004D6A2C"/>
    <w:rsid w:val="004D6AAC"/>
    <w:rsid w:val="004D6CF6"/>
    <w:rsid w:val="004D728E"/>
    <w:rsid w:val="004D72EC"/>
    <w:rsid w:val="004D7A4F"/>
    <w:rsid w:val="004E0741"/>
    <w:rsid w:val="004E322D"/>
    <w:rsid w:val="004E352D"/>
    <w:rsid w:val="004E46B6"/>
    <w:rsid w:val="004E4D50"/>
    <w:rsid w:val="004E5492"/>
    <w:rsid w:val="004E5B53"/>
    <w:rsid w:val="004E5F13"/>
    <w:rsid w:val="004E642C"/>
    <w:rsid w:val="004E650B"/>
    <w:rsid w:val="004E77BA"/>
    <w:rsid w:val="004E7DC9"/>
    <w:rsid w:val="004F02D1"/>
    <w:rsid w:val="004F037D"/>
    <w:rsid w:val="004F041A"/>
    <w:rsid w:val="004F0496"/>
    <w:rsid w:val="004F0802"/>
    <w:rsid w:val="004F1C5E"/>
    <w:rsid w:val="004F2042"/>
    <w:rsid w:val="004F2E96"/>
    <w:rsid w:val="004F2F9D"/>
    <w:rsid w:val="004F3001"/>
    <w:rsid w:val="004F33A5"/>
    <w:rsid w:val="004F33CD"/>
    <w:rsid w:val="004F3577"/>
    <w:rsid w:val="004F3FBB"/>
    <w:rsid w:val="004F541C"/>
    <w:rsid w:val="004F67A5"/>
    <w:rsid w:val="004F6D80"/>
    <w:rsid w:val="004F7B39"/>
    <w:rsid w:val="00500187"/>
    <w:rsid w:val="00500276"/>
    <w:rsid w:val="0050029B"/>
    <w:rsid w:val="005004C8"/>
    <w:rsid w:val="005004F9"/>
    <w:rsid w:val="00501085"/>
    <w:rsid w:val="005011AE"/>
    <w:rsid w:val="00501586"/>
    <w:rsid w:val="0050180A"/>
    <w:rsid w:val="005018E6"/>
    <w:rsid w:val="005021B4"/>
    <w:rsid w:val="005024EC"/>
    <w:rsid w:val="005029F5"/>
    <w:rsid w:val="00502D10"/>
    <w:rsid w:val="00504383"/>
    <w:rsid w:val="0050567D"/>
    <w:rsid w:val="005058C3"/>
    <w:rsid w:val="00505966"/>
    <w:rsid w:val="0050609D"/>
    <w:rsid w:val="005060D0"/>
    <w:rsid w:val="00506397"/>
    <w:rsid w:val="005066A1"/>
    <w:rsid w:val="00507459"/>
    <w:rsid w:val="0051096E"/>
    <w:rsid w:val="0051103B"/>
    <w:rsid w:val="0051158F"/>
    <w:rsid w:val="00511815"/>
    <w:rsid w:val="00511C89"/>
    <w:rsid w:val="00512513"/>
    <w:rsid w:val="005135B7"/>
    <w:rsid w:val="00514392"/>
    <w:rsid w:val="00514682"/>
    <w:rsid w:val="00515731"/>
    <w:rsid w:val="00515AE6"/>
    <w:rsid w:val="00515BC4"/>
    <w:rsid w:val="00516255"/>
    <w:rsid w:val="00516585"/>
    <w:rsid w:val="00516CB8"/>
    <w:rsid w:val="00517220"/>
    <w:rsid w:val="0051741F"/>
    <w:rsid w:val="00517A07"/>
    <w:rsid w:val="005200CF"/>
    <w:rsid w:val="005203A6"/>
    <w:rsid w:val="0052057E"/>
    <w:rsid w:val="005208AE"/>
    <w:rsid w:val="00520926"/>
    <w:rsid w:val="00520C66"/>
    <w:rsid w:val="00520E74"/>
    <w:rsid w:val="0052137F"/>
    <w:rsid w:val="00521B89"/>
    <w:rsid w:val="00523516"/>
    <w:rsid w:val="005237C8"/>
    <w:rsid w:val="0052455A"/>
    <w:rsid w:val="00524649"/>
    <w:rsid w:val="00524ED3"/>
    <w:rsid w:val="00525032"/>
    <w:rsid w:val="005258BE"/>
    <w:rsid w:val="00525A25"/>
    <w:rsid w:val="00525A63"/>
    <w:rsid w:val="00525C6E"/>
    <w:rsid w:val="0052606B"/>
    <w:rsid w:val="00526693"/>
    <w:rsid w:val="005300DD"/>
    <w:rsid w:val="005300F1"/>
    <w:rsid w:val="005311D1"/>
    <w:rsid w:val="0053146D"/>
    <w:rsid w:val="00531609"/>
    <w:rsid w:val="005316EB"/>
    <w:rsid w:val="005319B7"/>
    <w:rsid w:val="00531DCB"/>
    <w:rsid w:val="00531FB4"/>
    <w:rsid w:val="00532437"/>
    <w:rsid w:val="0053262F"/>
    <w:rsid w:val="00532BC6"/>
    <w:rsid w:val="00532CBA"/>
    <w:rsid w:val="005333AC"/>
    <w:rsid w:val="00533952"/>
    <w:rsid w:val="00533BF7"/>
    <w:rsid w:val="00533CB9"/>
    <w:rsid w:val="00533ED1"/>
    <w:rsid w:val="00533F94"/>
    <w:rsid w:val="005340E0"/>
    <w:rsid w:val="00534A21"/>
    <w:rsid w:val="005351C5"/>
    <w:rsid w:val="00535D41"/>
    <w:rsid w:val="00536317"/>
    <w:rsid w:val="00536891"/>
    <w:rsid w:val="00536A94"/>
    <w:rsid w:val="00536DD0"/>
    <w:rsid w:val="0053716F"/>
    <w:rsid w:val="00537535"/>
    <w:rsid w:val="00537C13"/>
    <w:rsid w:val="00540259"/>
    <w:rsid w:val="005402E2"/>
    <w:rsid w:val="00540C94"/>
    <w:rsid w:val="00541D7B"/>
    <w:rsid w:val="00543A8E"/>
    <w:rsid w:val="00543B02"/>
    <w:rsid w:val="0054404D"/>
    <w:rsid w:val="00544BD0"/>
    <w:rsid w:val="00544EB2"/>
    <w:rsid w:val="00545182"/>
    <w:rsid w:val="0054523F"/>
    <w:rsid w:val="0054526B"/>
    <w:rsid w:val="00545B8B"/>
    <w:rsid w:val="0054604A"/>
    <w:rsid w:val="005461C3"/>
    <w:rsid w:val="0054640F"/>
    <w:rsid w:val="005468FA"/>
    <w:rsid w:val="00547E48"/>
    <w:rsid w:val="00550896"/>
    <w:rsid w:val="005509B3"/>
    <w:rsid w:val="00550E57"/>
    <w:rsid w:val="005511A1"/>
    <w:rsid w:val="0055158B"/>
    <w:rsid w:val="00551D16"/>
    <w:rsid w:val="00552100"/>
    <w:rsid w:val="00552315"/>
    <w:rsid w:val="00552C1A"/>
    <w:rsid w:val="00553503"/>
    <w:rsid w:val="00554E06"/>
    <w:rsid w:val="005555EF"/>
    <w:rsid w:val="005557F7"/>
    <w:rsid w:val="00555C43"/>
    <w:rsid w:val="00555D19"/>
    <w:rsid w:val="00556342"/>
    <w:rsid w:val="00556406"/>
    <w:rsid w:val="0055686B"/>
    <w:rsid w:val="005571C4"/>
    <w:rsid w:val="00557495"/>
    <w:rsid w:val="005575C0"/>
    <w:rsid w:val="005576EE"/>
    <w:rsid w:val="00557B71"/>
    <w:rsid w:val="00557E03"/>
    <w:rsid w:val="00557F53"/>
    <w:rsid w:val="00560247"/>
    <w:rsid w:val="00560C1B"/>
    <w:rsid w:val="005612BA"/>
    <w:rsid w:val="00561347"/>
    <w:rsid w:val="00561459"/>
    <w:rsid w:val="005617E1"/>
    <w:rsid w:val="00561DDE"/>
    <w:rsid w:val="00562487"/>
    <w:rsid w:val="005630D8"/>
    <w:rsid w:val="005630EE"/>
    <w:rsid w:val="005631B8"/>
    <w:rsid w:val="00563359"/>
    <w:rsid w:val="00563F55"/>
    <w:rsid w:val="00563F8C"/>
    <w:rsid w:val="00563FAD"/>
    <w:rsid w:val="0056457E"/>
    <w:rsid w:val="00564C01"/>
    <w:rsid w:val="00565698"/>
    <w:rsid w:val="00565BBE"/>
    <w:rsid w:val="0056792B"/>
    <w:rsid w:val="00570706"/>
    <w:rsid w:val="005715E5"/>
    <w:rsid w:val="00572800"/>
    <w:rsid w:val="005728EC"/>
    <w:rsid w:val="00572E40"/>
    <w:rsid w:val="00573168"/>
    <w:rsid w:val="0057368C"/>
    <w:rsid w:val="00574398"/>
    <w:rsid w:val="00574C57"/>
    <w:rsid w:val="0057523B"/>
    <w:rsid w:val="00575916"/>
    <w:rsid w:val="00575917"/>
    <w:rsid w:val="0057596C"/>
    <w:rsid w:val="00576B0E"/>
    <w:rsid w:val="00577127"/>
    <w:rsid w:val="00577216"/>
    <w:rsid w:val="00577A42"/>
    <w:rsid w:val="00577C02"/>
    <w:rsid w:val="005806F2"/>
    <w:rsid w:val="00581510"/>
    <w:rsid w:val="0058196E"/>
    <w:rsid w:val="00581C0C"/>
    <w:rsid w:val="005829DA"/>
    <w:rsid w:val="0058386E"/>
    <w:rsid w:val="00583DDE"/>
    <w:rsid w:val="00584AB9"/>
    <w:rsid w:val="00585D9E"/>
    <w:rsid w:val="0058603D"/>
    <w:rsid w:val="00586297"/>
    <w:rsid w:val="005872CA"/>
    <w:rsid w:val="00587EA7"/>
    <w:rsid w:val="00590704"/>
    <w:rsid w:val="0059130E"/>
    <w:rsid w:val="005913C1"/>
    <w:rsid w:val="00592102"/>
    <w:rsid w:val="00592177"/>
    <w:rsid w:val="005922A2"/>
    <w:rsid w:val="0059283F"/>
    <w:rsid w:val="00592D61"/>
    <w:rsid w:val="00593010"/>
    <w:rsid w:val="005930BE"/>
    <w:rsid w:val="005933F1"/>
    <w:rsid w:val="005934D8"/>
    <w:rsid w:val="00593700"/>
    <w:rsid w:val="0059394B"/>
    <w:rsid w:val="00594514"/>
    <w:rsid w:val="005946F7"/>
    <w:rsid w:val="00595337"/>
    <w:rsid w:val="00595CEC"/>
    <w:rsid w:val="00595D78"/>
    <w:rsid w:val="00595DFD"/>
    <w:rsid w:val="00595FEB"/>
    <w:rsid w:val="00596C06"/>
    <w:rsid w:val="0059703A"/>
    <w:rsid w:val="00597052"/>
    <w:rsid w:val="005974E8"/>
    <w:rsid w:val="0059767B"/>
    <w:rsid w:val="005A0A97"/>
    <w:rsid w:val="005A1042"/>
    <w:rsid w:val="005A1655"/>
    <w:rsid w:val="005A2ECE"/>
    <w:rsid w:val="005A4174"/>
    <w:rsid w:val="005A4237"/>
    <w:rsid w:val="005A4711"/>
    <w:rsid w:val="005A49EB"/>
    <w:rsid w:val="005A4ABB"/>
    <w:rsid w:val="005A4CD1"/>
    <w:rsid w:val="005A4FFB"/>
    <w:rsid w:val="005A53B5"/>
    <w:rsid w:val="005A60F6"/>
    <w:rsid w:val="005A63C8"/>
    <w:rsid w:val="005A63D8"/>
    <w:rsid w:val="005A65A8"/>
    <w:rsid w:val="005A77C5"/>
    <w:rsid w:val="005B0BF2"/>
    <w:rsid w:val="005B151E"/>
    <w:rsid w:val="005B1D02"/>
    <w:rsid w:val="005B266C"/>
    <w:rsid w:val="005B2862"/>
    <w:rsid w:val="005B2E21"/>
    <w:rsid w:val="005B2FEF"/>
    <w:rsid w:val="005B35B5"/>
    <w:rsid w:val="005B36ED"/>
    <w:rsid w:val="005B3E54"/>
    <w:rsid w:val="005B4771"/>
    <w:rsid w:val="005B4932"/>
    <w:rsid w:val="005B4A60"/>
    <w:rsid w:val="005B4CBF"/>
    <w:rsid w:val="005B523D"/>
    <w:rsid w:val="005B5417"/>
    <w:rsid w:val="005B568C"/>
    <w:rsid w:val="005B7075"/>
    <w:rsid w:val="005B7E6A"/>
    <w:rsid w:val="005B7EDB"/>
    <w:rsid w:val="005C0016"/>
    <w:rsid w:val="005C00D5"/>
    <w:rsid w:val="005C0625"/>
    <w:rsid w:val="005C0718"/>
    <w:rsid w:val="005C08B6"/>
    <w:rsid w:val="005C0ADE"/>
    <w:rsid w:val="005C16D9"/>
    <w:rsid w:val="005C1CC4"/>
    <w:rsid w:val="005C2176"/>
    <w:rsid w:val="005C22BC"/>
    <w:rsid w:val="005C2896"/>
    <w:rsid w:val="005C2DA5"/>
    <w:rsid w:val="005C350C"/>
    <w:rsid w:val="005C3796"/>
    <w:rsid w:val="005C3FD4"/>
    <w:rsid w:val="005C4016"/>
    <w:rsid w:val="005C51D9"/>
    <w:rsid w:val="005C5983"/>
    <w:rsid w:val="005C5997"/>
    <w:rsid w:val="005C63A9"/>
    <w:rsid w:val="005C7898"/>
    <w:rsid w:val="005C7E47"/>
    <w:rsid w:val="005D044E"/>
    <w:rsid w:val="005D123C"/>
    <w:rsid w:val="005D1620"/>
    <w:rsid w:val="005D1AA3"/>
    <w:rsid w:val="005D202C"/>
    <w:rsid w:val="005D270F"/>
    <w:rsid w:val="005D2B18"/>
    <w:rsid w:val="005D338C"/>
    <w:rsid w:val="005D3818"/>
    <w:rsid w:val="005D3C31"/>
    <w:rsid w:val="005D3D7B"/>
    <w:rsid w:val="005D42C7"/>
    <w:rsid w:val="005D4362"/>
    <w:rsid w:val="005D48B7"/>
    <w:rsid w:val="005D493B"/>
    <w:rsid w:val="005D5A18"/>
    <w:rsid w:val="005D5BB9"/>
    <w:rsid w:val="005D5D75"/>
    <w:rsid w:val="005D5DA6"/>
    <w:rsid w:val="005D60AF"/>
    <w:rsid w:val="005D6358"/>
    <w:rsid w:val="005D6905"/>
    <w:rsid w:val="005D6A18"/>
    <w:rsid w:val="005D7418"/>
    <w:rsid w:val="005D77AD"/>
    <w:rsid w:val="005E0925"/>
    <w:rsid w:val="005E17B9"/>
    <w:rsid w:val="005E1C6C"/>
    <w:rsid w:val="005E1F28"/>
    <w:rsid w:val="005E211C"/>
    <w:rsid w:val="005E29E8"/>
    <w:rsid w:val="005E34DC"/>
    <w:rsid w:val="005E3A5A"/>
    <w:rsid w:val="005E48A8"/>
    <w:rsid w:val="005E5559"/>
    <w:rsid w:val="005E60A0"/>
    <w:rsid w:val="005E67F6"/>
    <w:rsid w:val="005E69D3"/>
    <w:rsid w:val="005E6AD7"/>
    <w:rsid w:val="005E75A0"/>
    <w:rsid w:val="005F02D4"/>
    <w:rsid w:val="005F05A5"/>
    <w:rsid w:val="005F0888"/>
    <w:rsid w:val="005F0F21"/>
    <w:rsid w:val="005F16FE"/>
    <w:rsid w:val="005F1C2D"/>
    <w:rsid w:val="005F1DA2"/>
    <w:rsid w:val="005F2A4E"/>
    <w:rsid w:val="005F2BCC"/>
    <w:rsid w:val="005F3083"/>
    <w:rsid w:val="005F4F55"/>
    <w:rsid w:val="005F55E3"/>
    <w:rsid w:val="005F5964"/>
    <w:rsid w:val="005F6748"/>
    <w:rsid w:val="005F6B35"/>
    <w:rsid w:val="005F6E4F"/>
    <w:rsid w:val="005F75C4"/>
    <w:rsid w:val="005F77A0"/>
    <w:rsid w:val="005F77FD"/>
    <w:rsid w:val="005F7DC9"/>
    <w:rsid w:val="005F7E9B"/>
    <w:rsid w:val="0060040A"/>
    <w:rsid w:val="0060045D"/>
    <w:rsid w:val="00600847"/>
    <w:rsid w:val="006009DD"/>
    <w:rsid w:val="00600DAE"/>
    <w:rsid w:val="006010B7"/>
    <w:rsid w:val="00602E09"/>
    <w:rsid w:val="00603215"/>
    <w:rsid w:val="00604BA4"/>
    <w:rsid w:val="00605633"/>
    <w:rsid w:val="00605754"/>
    <w:rsid w:val="0060581C"/>
    <w:rsid w:val="00605A84"/>
    <w:rsid w:val="00605DBE"/>
    <w:rsid w:val="006060A9"/>
    <w:rsid w:val="00606CC5"/>
    <w:rsid w:val="00611617"/>
    <w:rsid w:val="006116BA"/>
    <w:rsid w:val="0061226E"/>
    <w:rsid w:val="0061284A"/>
    <w:rsid w:val="00612CFF"/>
    <w:rsid w:val="00612E3E"/>
    <w:rsid w:val="00613C69"/>
    <w:rsid w:val="0061530A"/>
    <w:rsid w:val="00616A0C"/>
    <w:rsid w:val="0061703E"/>
    <w:rsid w:val="0062087E"/>
    <w:rsid w:val="00621AE6"/>
    <w:rsid w:val="00621EFF"/>
    <w:rsid w:val="00623324"/>
    <w:rsid w:val="0062338C"/>
    <w:rsid w:val="0062348D"/>
    <w:rsid w:val="006234C6"/>
    <w:rsid w:val="00624A39"/>
    <w:rsid w:val="006252C7"/>
    <w:rsid w:val="006257E3"/>
    <w:rsid w:val="0062584A"/>
    <w:rsid w:val="00625DCE"/>
    <w:rsid w:val="006260F1"/>
    <w:rsid w:val="00626367"/>
    <w:rsid w:val="00627765"/>
    <w:rsid w:val="00627E84"/>
    <w:rsid w:val="00627F1A"/>
    <w:rsid w:val="00630A68"/>
    <w:rsid w:val="00631A6F"/>
    <w:rsid w:val="00631A95"/>
    <w:rsid w:val="00632303"/>
    <w:rsid w:val="00633028"/>
    <w:rsid w:val="00633787"/>
    <w:rsid w:val="00633A5C"/>
    <w:rsid w:val="00633A67"/>
    <w:rsid w:val="00634220"/>
    <w:rsid w:val="006342F8"/>
    <w:rsid w:val="00634F1B"/>
    <w:rsid w:val="0063501B"/>
    <w:rsid w:val="006351EC"/>
    <w:rsid w:val="006353DD"/>
    <w:rsid w:val="0063551D"/>
    <w:rsid w:val="00635818"/>
    <w:rsid w:val="0063595B"/>
    <w:rsid w:val="00635D8D"/>
    <w:rsid w:val="00636656"/>
    <w:rsid w:val="00637286"/>
    <w:rsid w:val="0063742B"/>
    <w:rsid w:val="0063773E"/>
    <w:rsid w:val="006404E1"/>
    <w:rsid w:val="00640867"/>
    <w:rsid w:val="00641153"/>
    <w:rsid w:val="006412FC"/>
    <w:rsid w:val="006420FE"/>
    <w:rsid w:val="00642547"/>
    <w:rsid w:val="00642844"/>
    <w:rsid w:val="00642FA1"/>
    <w:rsid w:val="006434AD"/>
    <w:rsid w:val="00644484"/>
    <w:rsid w:val="00645230"/>
    <w:rsid w:val="006454C0"/>
    <w:rsid w:val="006463FD"/>
    <w:rsid w:val="006464D5"/>
    <w:rsid w:val="00646738"/>
    <w:rsid w:val="00646D0F"/>
    <w:rsid w:val="0064772B"/>
    <w:rsid w:val="0065093F"/>
    <w:rsid w:val="006516EE"/>
    <w:rsid w:val="0065222E"/>
    <w:rsid w:val="00652809"/>
    <w:rsid w:val="00653A77"/>
    <w:rsid w:val="00653F1F"/>
    <w:rsid w:val="00654161"/>
    <w:rsid w:val="006545BB"/>
    <w:rsid w:val="00654B2C"/>
    <w:rsid w:val="006556AE"/>
    <w:rsid w:val="00655AAA"/>
    <w:rsid w:val="00655B7B"/>
    <w:rsid w:val="0065635E"/>
    <w:rsid w:val="006574E8"/>
    <w:rsid w:val="006579E2"/>
    <w:rsid w:val="00657F50"/>
    <w:rsid w:val="006609E7"/>
    <w:rsid w:val="00660A90"/>
    <w:rsid w:val="00660EB5"/>
    <w:rsid w:val="00661BCE"/>
    <w:rsid w:val="00661DA6"/>
    <w:rsid w:val="00662563"/>
    <w:rsid w:val="006630DE"/>
    <w:rsid w:val="006631BE"/>
    <w:rsid w:val="00663BCC"/>
    <w:rsid w:val="00663E2E"/>
    <w:rsid w:val="00663F9F"/>
    <w:rsid w:val="00665A65"/>
    <w:rsid w:val="00666143"/>
    <w:rsid w:val="006663DB"/>
    <w:rsid w:val="0066660F"/>
    <w:rsid w:val="0066694A"/>
    <w:rsid w:val="006673E1"/>
    <w:rsid w:val="0066772E"/>
    <w:rsid w:val="00670122"/>
    <w:rsid w:val="006709DE"/>
    <w:rsid w:val="00670A11"/>
    <w:rsid w:val="00670BF7"/>
    <w:rsid w:val="00670CBC"/>
    <w:rsid w:val="0067122B"/>
    <w:rsid w:val="006712A3"/>
    <w:rsid w:val="00671327"/>
    <w:rsid w:val="006716F9"/>
    <w:rsid w:val="0067206B"/>
    <w:rsid w:val="00672305"/>
    <w:rsid w:val="00672BDC"/>
    <w:rsid w:val="00673058"/>
    <w:rsid w:val="00673550"/>
    <w:rsid w:val="006736F4"/>
    <w:rsid w:val="00673980"/>
    <w:rsid w:val="006744C4"/>
    <w:rsid w:val="00674769"/>
    <w:rsid w:val="00674C04"/>
    <w:rsid w:val="00674C68"/>
    <w:rsid w:val="00674CEF"/>
    <w:rsid w:val="00674DA2"/>
    <w:rsid w:val="00674F8C"/>
    <w:rsid w:val="00675084"/>
    <w:rsid w:val="0067558C"/>
    <w:rsid w:val="00675850"/>
    <w:rsid w:val="0067598D"/>
    <w:rsid w:val="00675C0D"/>
    <w:rsid w:val="00675EF6"/>
    <w:rsid w:val="00675F57"/>
    <w:rsid w:val="006769D7"/>
    <w:rsid w:val="00676EC3"/>
    <w:rsid w:val="00677029"/>
    <w:rsid w:val="00677ED4"/>
    <w:rsid w:val="00680937"/>
    <w:rsid w:val="006816C8"/>
    <w:rsid w:val="0068176A"/>
    <w:rsid w:val="00681FA7"/>
    <w:rsid w:val="006825D2"/>
    <w:rsid w:val="006826EF"/>
    <w:rsid w:val="006828BB"/>
    <w:rsid w:val="00683235"/>
    <w:rsid w:val="00683E80"/>
    <w:rsid w:val="006844D9"/>
    <w:rsid w:val="006848D7"/>
    <w:rsid w:val="00686095"/>
    <w:rsid w:val="00686301"/>
    <w:rsid w:val="006869C6"/>
    <w:rsid w:val="00686FE5"/>
    <w:rsid w:val="006875E1"/>
    <w:rsid w:val="006900E9"/>
    <w:rsid w:val="006907D3"/>
    <w:rsid w:val="00690C8B"/>
    <w:rsid w:val="00690DB1"/>
    <w:rsid w:val="00690DBB"/>
    <w:rsid w:val="00690E15"/>
    <w:rsid w:val="00691145"/>
    <w:rsid w:val="0069117B"/>
    <w:rsid w:val="00691FFF"/>
    <w:rsid w:val="006922D1"/>
    <w:rsid w:val="00692478"/>
    <w:rsid w:val="00693223"/>
    <w:rsid w:val="00693539"/>
    <w:rsid w:val="00693CFF"/>
    <w:rsid w:val="00694A27"/>
    <w:rsid w:val="00694FC7"/>
    <w:rsid w:val="00695F35"/>
    <w:rsid w:val="006965F7"/>
    <w:rsid w:val="00697268"/>
    <w:rsid w:val="006A0AAA"/>
    <w:rsid w:val="006A170D"/>
    <w:rsid w:val="006A2CDE"/>
    <w:rsid w:val="006A2D93"/>
    <w:rsid w:val="006A3827"/>
    <w:rsid w:val="006A3975"/>
    <w:rsid w:val="006A3A2C"/>
    <w:rsid w:val="006A3E24"/>
    <w:rsid w:val="006A4112"/>
    <w:rsid w:val="006A4128"/>
    <w:rsid w:val="006A55EC"/>
    <w:rsid w:val="006A5F42"/>
    <w:rsid w:val="006A5F5A"/>
    <w:rsid w:val="006A606B"/>
    <w:rsid w:val="006A6C7B"/>
    <w:rsid w:val="006A6E01"/>
    <w:rsid w:val="006A7731"/>
    <w:rsid w:val="006A7DDF"/>
    <w:rsid w:val="006B09EA"/>
    <w:rsid w:val="006B1035"/>
    <w:rsid w:val="006B1979"/>
    <w:rsid w:val="006B1C1A"/>
    <w:rsid w:val="006B35DD"/>
    <w:rsid w:val="006B3C30"/>
    <w:rsid w:val="006B5249"/>
    <w:rsid w:val="006B6598"/>
    <w:rsid w:val="006B695C"/>
    <w:rsid w:val="006B6D3A"/>
    <w:rsid w:val="006B6F1C"/>
    <w:rsid w:val="006B6F37"/>
    <w:rsid w:val="006B7070"/>
    <w:rsid w:val="006B73D3"/>
    <w:rsid w:val="006B7407"/>
    <w:rsid w:val="006C0281"/>
    <w:rsid w:val="006C2CD3"/>
    <w:rsid w:val="006C3174"/>
    <w:rsid w:val="006C424C"/>
    <w:rsid w:val="006C510B"/>
    <w:rsid w:val="006C515D"/>
    <w:rsid w:val="006C56D4"/>
    <w:rsid w:val="006C578F"/>
    <w:rsid w:val="006C5823"/>
    <w:rsid w:val="006C5FDA"/>
    <w:rsid w:val="006C63D7"/>
    <w:rsid w:val="006C6E6B"/>
    <w:rsid w:val="006C70F3"/>
    <w:rsid w:val="006C724F"/>
    <w:rsid w:val="006C7596"/>
    <w:rsid w:val="006C7A38"/>
    <w:rsid w:val="006C7BE5"/>
    <w:rsid w:val="006D1250"/>
    <w:rsid w:val="006D25A0"/>
    <w:rsid w:val="006D30D3"/>
    <w:rsid w:val="006D389B"/>
    <w:rsid w:val="006D4BFD"/>
    <w:rsid w:val="006D4DB3"/>
    <w:rsid w:val="006D5869"/>
    <w:rsid w:val="006D5DD0"/>
    <w:rsid w:val="006D5DE7"/>
    <w:rsid w:val="006D76B5"/>
    <w:rsid w:val="006E005F"/>
    <w:rsid w:val="006E0B5B"/>
    <w:rsid w:val="006E1024"/>
    <w:rsid w:val="006E1305"/>
    <w:rsid w:val="006E189D"/>
    <w:rsid w:val="006E1EF6"/>
    <w:rsid w:val="006E2199"/>
    <w:rsid w:val="006E2F43"/>
    <w:rsid w:val="006E3226"/>
    <w:rsid w:val="006E36EE"/>
    <w:rsid w:val="006E40B4"/>
    <w:rsid w:val="006E522D"/>
    <w:rsid w:val="006E55D0"/>
    <w:rsid w:val="006E5693"/>
    <w:rsid w:val="006E5FA9"/>
    <w:rsid w:val="006E6367"/>
    <w:rsid w:val="006E710A"/>
    <w:rsid w:val="006E7222"/>
    <w:rsid w:val="006E7564"/>
    <w:rsid w:val="006E75FC"/>
    <w:rsid w:val="006F03F1"/>
    <w:rsid w:val="006F040B"/>
    <w:rsid w:val="006F08E5"/>
    <w:rsid w:val="006F1136"/>
    <w:rsid w:val="006F11A1"/>
    <w:rsid w:val="006F1945"/>
    <w:rsid w:val="006F264A"/>
    <w:rsid w:val="006F3B24"/>
    <w:rsid w:val="006F3E44"/>
    <w:rsid w:val="006F54E1"/>
    <w:rsid w:val="006F5CCE"/>
    <w:rsid w:val="006F62D0"/>
    <w:rsid w:val="006F6985"/>
    <w:rsid w:val="006F7555"/>
    <w:rsid w:val="006F7E09"/>
    <w:rsid w:val="007003AD"/>
    <w:rsid w:val="007009EA"/>
    <w:rsid w:val="00700A3F"/>
    <w:rsid w:val="00701082"/>
    <w:rsid w:val="007016BD"/>
    <w:rsid w:val="00702E03"/>
    <w:rsid w:val="00703547"/>
    <w:rsid w:val="00703AE4"/>
    <w:rsid w:val="00703E3B"/>
    <w:rsid w:val="00703EB8"/>
    <w:rsid w:val="00704C53"/>
    <w:rsid w:val="007050A3"/>
    <w:rsid w:val="007053E8"/>
    <w:rsid w:val="007054C6"/>
    <w:rsid w:val="007066C1"/>
    <w:rsid w:val="00706C12"/>
    <w:rsid w:val="00706D0F"/>
    <w:rsid w:val="007072A8"/>
    <w:rsid w:val="00707811"/>
    <w:rsid w:val="00707BAC"/>
    <w:rsid w:val="00707F35"/>
    <w:rsid w:val="007101AA"/>
    <w:rsid w:val="00710254"/>
    <w:rsid w:val="00710325"/>
    <w:rsid w:val="0071151F"/>
    <w:rsid w:val="00711812"/>
    <w:rsid w:val="007129F7"/>
    <w:rsid w:val="00712C05"/>
    <w:rsid w:val="007132DC"/>
    <w:rsid w:val="00713472"/>
    <w:rsid w:val="00713C07"/>
    <w:rsid w:val="007154F7"/>
    <w:rsid w:val="0071573E"/>
    <w:rsid w:val="00715DF1"/>
    <w:rsid w:val="007163C7"/>
    <w:rsid w:val="00716958"/>
    <w:rsid w:val="007175FE"/>
    <w:rsid w:val="00717787"/>
    <w:rsid w:val="007177E1"/>
    <w:rsid w:val="00717990"/>
    <w:rsid w:val="00717C50"/>
    <w:rsid w:val="00717F3D"/>
    <w:rsid w:val="0072043F"/>
    <w:rsid w:val="007214CB"/>
    <w:rsid w:val="0072173F"/>
    <w:rsid w:val="0072198D"/>
    <w:rsid w:val="007223EB"/>
    <w:rsid w:val="00722928"/>
    <w:rsid w:val="00722CB5"/>
    <w:rsid w:val="00722D48"/>
    <w:rsid w:val="00722F17"/>
    <w:rsid w:val="007236DC"/>
    <w:rsid w:val="00723C2E"/>
    <w:rsid w:val="00724A1D"/>
    <w:rsid w:val="00724B82"/>
    <w:rsid w:val="0072646E"/>
    <w:rsid w:val="007264DE"/>
    <w:rsid w:val="007266FE"/>
    <w:rsid w:val="0072676B"/>
    <w:rsid w:val="007302F4"/>
    <w:rsid w:val="0073053F"/>
    <w:rsid w:val="007307D4"/>
    <w:rsid w:val="00730DEE"/>
    <w:rsid w:val="007326E4"/>
    <w:rsid w:val="00732974"/>
    <w:rsid w:val="007329F3"/>
    <w:rsid w:val="007347C7"/>
    <w:rsid w:val="00736046"/>
    <w:rsid w:val="00736CF6"/>
    <w:rsid w:val="00737043"/>
    <w:rsid w:val="007374EE"/>
    <w:rsid w:val="00740275"/>
    <w:rsid w:val="00740BA6"/>
    <w:rsid w:val="007410DE"/>
    <w:rsid w:val="00741D92"/>
    <w:rsid w:val="0074287F"/>
    <w:rsid w:val="00742AC5"/>
    <w:rsid w:val="0074322E"/>
    <w:rsid w:val="00743A16"/>
    <w:rsid w:val="00743D4C"/>
    <w:rsid w:val="00743F14"/>
    <w:rsid w:val="00744162"/>
    <w:rsid w:val="00744622"/>
    <w:rsid w:val="00744B53"/>
    <w:rsid w:val="00744E65"/>
    <w:rsid w:val="00745DB6"/>
    <w:rsid w:val="00745DC0"/>
    <w:rsid w:val="007461A0"/>
    <w:rsid w:val="00746784"/>
    <w:rsid w:val="00746F47"/>
    <w:rsid w:val="007472DB"/>
    <w:rsid w:val="00747A16"/>
    <w:rsid w:val="00747CA4"/>
    <w:rsid w:val="00747D80"/>
    <w:rsid w:val="00750612"/>
    <w:rsid w:val="00751976"/>
    <w:rsid w:val="00752495"/>
    <w:rsid w:val="0075250A"/>
    <w:rsid w:val="0075257E"/>
    <w:rsid w:val="00753C7E"/>
    <w:rsid w:val="00753D2C"/>
    <w:rsid w:val="007541B9"/>
    <w:rsid w:val="00754B15"/>
    <w:rsid w:val="00755437"/>
    <w:rsid w:val="0075645C"/>
    <w:rsid w:val="00756A5E"/>
    <w:rsid w:val="00756D8E"/>
    <w:rsid w:val="00761577"/>
    <w:rsid w:val="0076186F"/>
    <w:rsid w:val="007619EB"/>
    <w:rsid w:val="00761DA7"/>
    <w:rsid w:val="00763182"/>
    <w:rsid w:val="007631D2"/>
    <w:rsid w:val="00763E89"/>
    <w:rsid w:val="007642F8"/>
    <w:rsid w:val="00764772"/>
    <w:rsid w:val="00764826"/>
    <w:rsid w:val="007652B5"/>
    <w:rsid w:val="00765FDC"/>
    <w:rsid w:val="00766D16"/>
    <w:rsid w:val="0076758C"/>
    <w:rsid w:val="00767EB9"/>
    <w:rsid w:val="0077004D"/>
    <w:rsid w:val="00770F5A"/>
    <w:rsid w:val="007712DE"/>
    <w:rsid w:val="00771348"/>
    <w:rsid w:val="00771507"/>
    <w:rsid w:val="00771660"/>
    <w:rsid w:val="00771822"/>
    <w:rsid w:val="0077215F"/>
    <w:rsid w:val="00772374"/>
    <w:rsid w:val="0077237A"/>
    <w:rsid w:val="007723E5"/>
    <w:rsid w:val="00772DA9"/>
    <w:rsid w:val="00772F6B"/>
    <w:rsid w:val="00774474"/>
    <w:rsid w:val="00774E7D"/>
    <w:rsid w:val="00775131"/>
    <w:rsid w:val="00775262"/>
    <w:rsid w:val="0077547C"/>
    <w:rsid w:val="00775749"/>
    <w:rsid w:val="00775804"/>
    <w:rsid w:val="007758F9"/>
    <w:rsid w:val="00775D27"/>
    <w:rsid w:val="00775D39"/>
    <w:rsid w:val="00775EFB"/>
    <w:rsid w:val="00775F68"/>
    <w:rsid w:val="0077657A"/>
    <w:rsid w:val="00776BAA"/>
    <w:rsid w:val="0077716C"/>
    <w:rsid w:val="007779ED"/>
    <w:rsid w:val="0077C940"/>
    <w:rsid w:val="00781190"/>
    <w:rsid w:val="00781535"/>
    <w:rsid w:val="00781918"/>
    <w:rsid w:val="00781B31"/>
    <w:rsid w:val="0078200B"/>
    <w:rsid w:val="0078269F"/>
    <w:rsid w:val="00782AE9"/>
    <w:rsid w:val="00782CE2"/>
    <w:rsid w:val="0078360B"/>
    <w:rsid w:val="0078371E"/>
    <w:rsid w:val="00783B72"/>
    <w:rsid w:val="00783CE2"/>
    <w:rsid w:val="007847E8"/>
    <w:rsid w:val="00784A15"/>
    <w:rsid w:val="00784A7C"/>
    <w:rsid w:val="00784AE4"/>
    <w:rsid w:val="00784EE7"/>
    <w:rsid w:val="007851F0"/>
    <w:rsid w:val="0078564C"/>
    <w:rsid w:val="00785886"/>
    <w:rsid w:val="00785AA9"/>
    <w:rsid w:val="007860E6"/>
    <w:rsid w:val="00786B7C"/>
    <w:rsid w:val="00786BC7"/>
    <w:rsid w:val="00787870"/>
    <w:rsid w:val="00787E04"/>
    <w:rsid w:val="00790717"/>
    <w:rsid w:val="00790E45"/>
    <w:rsid w:val="00791041"/>
    <w:rsid w:val="007920F3"/>
    <w:rsid w:val="00792E64"/>
    <w:rsid w:val="00793260"/>
    <w:rsid w:val="007934F9"/>
    <w:rsid w:val="0079351F"/>
    <w:rsid w:val="00793843"/>
    <w:rsid w:val="00794B07"/>
    <w:rsid w:val="00794EA5"/>
    <w:rsid w:val="007957C3"/>
    <w:rsid w:val="00795B6D"/>
    <w:rsid w:val="00795CFE"/>
    <w:rsid w:val="00797980"/>
    <w:rsid w:val="00797C92"/>
    <w:rsid w:val="007A082E"/>
    <w:rsid w:val="007A0975"/>
    <w:rsid w:val="007A0D03"/>
    <w:rsid w:val="007A102E"/>
    <w:rsid w:val="007A1E67"/>
    <w:rsid w:val="007A2179"/>
    <w:rsid w:val="007A2718"/>
    <w:rsid w:val="007A31DD"/>
    <w:rsid w:val="007A373B"/>
    <w:rsid w:val="007A45FB"/>
    <w:rsid w:val="007A460E"/>
    <w:rsid w:val="007A4739"/>
    <w:rsid w:val="007A59CA"/>
    <w:rsid w:val="007A5A3A"/>
    <w:rsid w:val="007A5D86"/>
    <w:rsid w:val="007A623C"/>
    <w:rsid w:val="007A6A7E"/>
    <w:rsid w:val="007A7715"/>
    <w:rsid w:val="007A7A06"/>
    <w:rsid w:val="007B159D"/>
    <w:rsid w:val="007B1A2B"/>
    <w:rsid w:val="007B24C2"/>
    <w:rsid w:val="007B32C1"/>
    <w:rsid w:val="007B3D6E"/>
    <w:rsid w:val="007B44E8"/>
    <w:rsid w:val="007B4ABE"/>
    <w:rsid w:val="007B4C28"/>
    <w:rsid w:val="007B5025"/>
    <w:rsid w:val="007B56D5"/>
    <w:rsid w:val="007B6793"/>
    <w:rsid w:val="007B6F89"/>
    <w:rsid w:val="007B7B1F"/>
    <w:rsid w:val="007C0D90"/>
    <w:rsid w:val="007C100C"/>
    <w:rsid w:val="007C1841"/>
    <w:rsid w:val="007C1ED1"/>
    <w:rsid w:val="007C2928"/>
    <w:rsid w:val="007C2CB8"/>
    <w:rsid w:val="007C32AF"/>
    <w:rsid w:val="007C355C"/>
    <w:rsid w:val="007C3717"/>
    <w:rsid w:val="007C3D73"/>
    <w:rsid w:val="007C4184"/>
    <w:rsid w:val="007C44D1"/>
    <w:rsid w:val="007C46BB"/>
    <w:rsid w:val="007C4727"/>
    <w:rsid w:val="007C489D"/>
    <w:rsid w:val="007C4B2F"/>
    <w:rsid w:val="007C4C92"/>
    <w:rsid w:val="007C537B"/>
    <w:rsid w:val="007C53C4"/>
    <w:rsid w:val="007C5C1D"/>
    <w:rsid w:val="007C6114"/>
    <w:rsid w:val="007C61DE"/>
    <w:rsid w:val="007C7002"/>
    <w:rsid w:val="007C7462"/>
    <w:rsid w:val="007C7691"/>
    <w:rsid w:val="007C7818"/>
    <w:rsid w:val="007C78A8"/>
    <w:rsid w:val="007D0631"/>
    <w:rsid w:val="007D374E"/>
    <w:rsid w:val="007D40CC"/>
    <w:rsid w:val="007D4479"/>
    <w:rsid w:val="007D499A"/>
    <w:rsid w:val="007D5C20"/>
    <w:rsid w:val="007D5CE0"/>
    <w:rsid w:val="007D64E8"/>
    <w:rsid w:val="007D6905"/>
    <w:rsid w:val="007D6A7D"/>
    <w:rsid w:val="007D74A1"/>
    <w:rsid w:val="007D79E5"/>
    <w:rsid w:val="007D7FA9"/>
    <w:rsid w:val="007E0389"/>
    <w:rsid w:val="007E0B79"/>
    <w:rsid w:val="007E1D3E"/>
    <w:rsid w:val="007E29B2"/>
    <w:rsid w:val="007E3266"/>
    <w:rsid w:val="007E39E1"/>
    <w:rsid w:val="007E3AE2"/>
    <w:rsid w:val="007E3FEE"/>
    <w:rsid w:val="007E4D67"/>
    <w:rsid w:val="007E5A14"/>
    <w:rsid w:val="007E6409"/>
    <w:rsid w:val="007E6B7E"/>
    <w:rsid w:val="007E74FA"/>
    <w:rsid w:val="007F03C5"/>
    <w:rsid w:val="007F0734"/>
    <w:rsid w:val="007F0C44"/>
    <w:rsid w:val="007F1A98"/>
    <w:rsid w:val="007F1F41"/>
    <w:rsid w:val="007F2E00"/>
    <w:rsid w:val="007F3594"/>
    <w:rsid w:val="007F3B7B"/>
    <w:rsid w:val="007F3BAA"/>
    <w:rsid w:val="007F3E5C"/>
    <w:rsid w:val="007F401E"/>
    <w:rsid w:val="007F52B0"/>
    <w:rsid w:val="007F5D43"/>
    <w:rsid w:val="007F5E49"/>
    <w:rsid w:val="007F625B"/>
    <w:rsid w:val="007F6A96"/>
    <w:rsid w:val="007F6E84"/>
    <w:rsid w:val="007F7253"/>
    <w:rsid w:val="007F72A6"/>
    <w:rsid w:val="007F794B"/>
    <w:rsid w:val="007F79E6"/>
    <w:rsid w:val="007F7D61"/>
    <w:rsid w:val="00801C8A"/>
    <w:rsid w:val="00801D62"/>
    <w:rsid w:val="00802098"/>
    <w:rsid w:val="008021C0"/>
    <w:rsid w:val="00802EAD"/>
    <w:rsid w:val="008030A6"/>
    <w:rsid w:val="00803A3A"/>
    <w:rsid w:val="00803E45"/>
    <w:rsid w:val="00804DF5"/>
    <w:rsid w:val="0080515A"/>
    <w:rsid w:val="00806273"/>
    <w:rsid w:val="00806622"/>
    <w:rsid w:val="00806ACA"/>
    <w:rsid w:val="00806EDD"/>
    <w:rsid w:val="0080719D"/>
    <w:rsid w:val="00810DD2"/>
    <w:rsid w:val="00811CE9"/>
    <w:rsid w:val="00812932"/>
    <w:rsid w:val="00812C8D"/>
    <w:rsid w:val="008134C2"/>
    <w:rsid w:val="00813FDB"/>
    <w:rsid w:val="00814053"/>
    <w:rsid w:val="00814AF7"/>
    <w:rsid w:val="0081507C"/>
    <w:rsid w:val="0081527E"/>
    <w:rsid w:val="00815479"/>
    <w:rsid w:val="00815945"/>
    <w:rsid w:val="00815E77"/>
    <w:rsid w:val="0081704D"/>
    <w:rsid w:val="008175D0"/>
    <w:rsid w:val="00817CD5"/>
    <w:rsid w:val="0082087B"/>
    <w:rsid w:val="00820F00"/>
    <w:rsid w:val="0082196A"/>
    <w:rsid w:val="008220CB"/>
    <w:rsid w:val="00822D0E"/>
    <w:rsid w:val="00823065"/>
    <w:rsid w:val="0082319E"/>
    <w:rsid w:val="0082326A"/>
    <w:rsid w:val="00823588"/>
    <w:rsid w:val="008245E9"/>
    <w:rsid w:val="00824B11"/>
    <w:rsid w:val="00824E8A"/>
    <w:rsid w:val="00825120"/>
    <w:rsid w:val="00825DC1"/>
    <w:rsid w:val="00825EB7"/>
    <w:rsid w:val="008261E4"/>
    <w:rsid w:val="008269BC"/>
    <w:rsid w:val="00827443"/>
    <w:rsid w:val="0083068D"/>
    <w:rsid w:val="00831A7E"/>
    <w:rsid w:val="00832132"/>
    <w:rsid w:val="00832310"/>
    <w:rsid w:val="008324AB"/>
    <w:rsid w:val="008327C9"/>
    <w:rsid w:val="00832874"/>
    <w:rsid w:val="00832DDC"/>
    <w:rsid w:val="00833204"/>
    <w:rsid w:val="00833893"/>
    <w:rsid w:val="00834E34"/>
    <w:rsid w:val="00835C2A"/>
    <w:rsid w:val="00836418"/>
    <w:rsid w:val="0083695C"/>
    <w:rsid w:val="0083707A"/>
    <w:rsid w:val="00837CB5"/>
    <w:rsid w:val="00840B45"/>
    <w:rsid w:val="00840C79"/>
    <w:rsid w:val="0084124A"/>
    <w:rsid w:val="0084186D"/>
    <w:rsid w:val="008419EA"/>
    <w:rsid w:val="00841EA0"/>
    <w:rsid w:val="008428FA"/>
    <w:rsid w:val="00842D5E"/>
    <w:rsid w:val="00843009"/>
    <w:rsid w:val="0084355C"/>
    <w:rsid w:val="00843935"/>
    <w:rsid w:val="00843942"/>
    <w:rsid w:val="00843A76"/>
    <w:rsid w:val="00844523"/>
    <w:rsid w:val="0084456D"/>
    <w:rsid w:val="008449EC"/>
    <w:rsid w:val="0084510E"/>
    <w:rsid w:val="00845BE0"/>
    <w:rsid w:val="00845C84"/>
    <w:rsid w:val="008464A7"/>
    <w:rsid w:val="00846B40"/>
    <w:rsid w:val="00847363"/>
    <w:rsid w:val="00847397"/>
    <w:rsid w:val="008473E1"/>
    <w:rsid w:val="00847551"/>
    <w:rsid w:val="0084776F"/>
    <w:rsid w:val="00847833"/>
    <w:rsid w:val="008502B8"/>
    <w:rsid w:val="008504E9"/>
    <w:rsid w:val="00850606"/>
    <w:rsid w:val="00850928"/>
    <w:rsid w:val="00850D91"/>
    <w:rsid w:val="00851C22"/>
    <w:rsid w:val="00851E92"/>
    <w:rsid w:val="008520D8"/>
    <w:rsid w:val="008533AF"/>
    <w:rsid w:val="008538B3"/>
    <w:rsid w:val="00853C58"/>
    <w:rsid w:val="00854726"/>
    <w:rsid w:val="00854B98"/>
    <w:rsid w:val="0085566F"/>
    <w:rsid w:val="00855D6D"/>
    <w:rsid w:val="00856524"/>
    <w:rsid w:val="00856E0E"/>
    <w:rsid w:val="00856EF3"/>
    <w:rsid w:val="00857231"/>
    <w:rsid w:val="008577F4"/>
    <w:rsid w:val="0085798C"/>
    <w:rsid w:val="00857CCD"/>
    <w:rsid w:val="008608B0"/>
    <w:rsid w:val="00860EA5"/>
    <w:rsid w:val="00860FA5"/>
    <w:rsid w:val="0086115D"/>
    <w:rsid w:val="00862743"/>
    <w:rsid w:val="00862EB3"/>
    <w:rsid w:val="00863173"/>
    <w:rsid w:val="008636E1"/>
    <w:rsid w:val="008638C2"/>
    <w:rsid w:val="008643E6"/>
    <w:rsid w:val="00864D10"/>
    <w:rsid w:val="00864E42"/>
    <w:rsid w:val="00865B3C"/>
    <w:rsid w:val="008662CB"/>
    <w:rsid w:val="00866693"/>
    <w:rsid w:val="00866AF3"/>
    <w:rsid w:val="0087047A"/>
    <w:rsid w:val="00870E89"/>
    <w:rsid w:val="0087121F"/>
    <w:rsid w:val="0087160B"/>
    <w:rsid w:val="0087177B"/>
    <w:rsid w:val="008719EA"/>
    <w:rsid w:val="00872ADD"/>
    <w:rsid w:val="00873219"/>
    <w:rsid w:val="00873EE3"/>
    <w:rsid w:val="0087450C"/>
    <w:rsid w:val="0087487B"/>
    <w:rsid w:val="00874B4A"/>
    <w:rsid w:val="00874C8C"/>
    <w:rsid w:val="008751AD"/>
    <w:rsid w:val="00875357"/>
    <w:rsid w:val="00875D3B"/>
    <w:rsid w:val="00875D7E"/>
    <w:rsid w:val="00875EE0"/>
    <w:rsid w:val="008761D0"/>
    <w:rsid w:val="008764F3"/>
    <w:rsid w:val="008767AC"/>
    <w:rsid w:val="00876AB1"/>
    <w:rsid w:val="00876D53"/>
    <w:rsid w:val="00876E27"/>
    <w:rsid w:val="008770B7"/>
    <w:rsid w:val="008770BC"/>
    <w:rsid w:val="0087718E"/>
    <w:rsid w:val="00880E1C"/>
    <w:rsid w:val="00880EC5"/>
    <w:rsid w:val="008814AB"/>
    <w:rsid w:val="008814DA"/>
    <w:rsid w:val="00882D7A"/>
    <w:rsid w:val="00883A63"/>
    <w:rsid w:val="00883C1D"/>
    <w:rsid w:val="00883ED4"/>
    <w:rsid w:val="008843FC"/>
    <w:rsid w:val="0088443E"/>
    <w:rsid w:val="00884996"/>
    <w:rsid w:val="008850F6"/>
    <w:rsid w:val="00885B55"/>
    <w:rsid w:val="00886070"/>
    <w:rsid w:val="008862C4"/>
    <w:rsid w:val="0088656F"/>
    <w:rsid w:val="008868B1"/>
    <w:rsid w:val="00886EE9"/>
    <w:rsid w:val="008879E3"/>
    <w:rsid w:val="00887B49"/>
    <w:rsid w:val="00887BA2"/>
    <w:rsid w:val="00887ED5"/>
    <w:rsid w:val="008900D2"/>
    <w:rsid w:val="00891F66"/>
    <w:rsid w:val="008923A7"/>
    <w:rsid w:val="00893195"/>
    <w:rsid w:val="00893B3C"/>
    <w:rsid w:val="008948BF"/>
    <w:rsid w:val="008949B1"/>
    <w:rsid w:val="00894CF8"/>
    <w:rsid w:val="00894F3B"/>
    <w:rsid w:val="008965C4"/>
    <w:rsid w:val="008966D3"/>
    <w:rsid w:val="00897DDA"/>
    <w:rsid w:val="008A00C4"/>
    <w:rsid w:val="008A010D"/>
    <w:rsid w:val="008A0B4A"/>
    <w:rsid w:val="008A1C4A"/>
    <w:rsid w:val="008A1F61"/>
    <w:rsid w:val="008A2615"/>
    <w:rsid w:val="008A2C9B"/>
    <w:rsid w:val="008A3997"/>
    <w:rsid w:val="008A3B09"/>
    <w:rsid w:val="008A3D24"/>
    <w:rsid w:val="008A3DDB"/>
    <w:rsid w:val="008A3E73"/>
    <w:rsid w:val="008A478C"/>
    <w:rsid w:val="008A4935"/>
    <w:rsid w:val="008A4C3E"/>
    <w:rsid w:val="008A4DB8"/>
    <w:rsid w:val="008A53CE"/>
    <w:rsid w:val="008A582F"/>
    <w:rsid w:val="008A5CD8"/>
    <w:rsid w:val="008A5CDA"/>
    <w:rsid w:val="008A621A"/>
    <w:rsid w:val="008A6705"/>
    <w:rsid w:val="008A70AE"/>
    <w:rsid w:val="008A713B"/>
    <w:rsid w:val="008B0314"/>
    <w:rsid w:val="008B06F2"/>
    <w:rsid w:val="008B1921"/>
    <w:rsid w:val="008B1AD9"/>
    <w:rsid w:val="008B22CD"/>
    <w:rsid w:val="008B2B96"/>
    <w:rsid w:val="008B3215"/>
    <w:rsid w:val="008B35D2"/>
    <w:rsid w:val="008B37DB"/>
    <w:rsid w:val="008B439D"/>
    <w:rsid w:val="008B475B"/>
    <w:rsid w:val="008B4B1E"/>
    <w:rsid w:val="008B4D35"/>
    <w:rsid w:val="008B4E3D"/>
    <w:rsid w:val="008B5334"/>
    <w:rsid w:val="008B5871"/>
    <w:rsid w:val="008B5E1F"/>
    <w:rsid w:val="008B6BBB"/>
    <w:rsid w:val="008B6F23"/>
    <w:rsid w:val="008B77F8"/>
    <w:rsid w:val="008B7E25"/>
    <w:rsid w:val="008C0F47"/>
    <w:rsid w:val="008C10F3"/>
    <w:rsid w:val="008C1300"/>
    <w:rsid w:val="008C2070"/>
    <w:rsid w:val="008C2266"/>
    <w:rsid w:val="008C2601"/>
    <w:rsid w:val="008C2850"/>
    <w:rsid w:val="008C3133"/>
    <w:rsid w:val="008C31BF"/>
    <w:rsid w:val="008C3C75"/>
    <w:rsid w:val="008C5758"/>
    <w:rsid w:val="008C6616"/>
    <w:rsid w:val="008C6DC3"/>
    <w:rsid w:val="008C6E2B"/>
    <w:rsid w:val="008C7170"/>
    <w:rsid w:val="008C7998"/>
    <w:rsid w:val="008D185B"/>
    <w:rsid w:val="008D233F"/>
    <w:rsid w:val="008D2909"/>
    <w:rsid w:val="008D2BEE"/>
    <w:rsid w:val="008D2C69"/>
    <w:rsid w:val="008D3575"/>
    <w:rsid w:val="008D35EB"/>
    <w:rsid w:val="008D3C45"/>
    <w:rsid w:val="008D3D74"/>
    <w:rsid w:val="008D3F6B"/>
    <w:rsid w:val="008D4D68"/>
    <w:rsid w:val="008D50A4"/>
    <w:rsid w:val="008D50CB"/>
    <w:rsid w:val="008D51EF"/>
    <w:rsid w:val="008D54DF"/>
    <w:rsid w:val="008D5640"/>
    <w:rsid w:val="008D56BA"/>
    <w:rsid w:val="008D5F18"/>
    <w:rsid w:val="008D6FFC"/>
    <w:rsid w:val="008D740B"/>
    <w:rsid w:val="008D7A44"/>
    <w:rsid w:val="008E032F"/>
    <w:rsid w:val="008E06FE"/>
    <w:rsid w:val="008E080E"/>
    <w:rsid w:val="008E09CB"/>
    <w:rsid w:val="008E0F16"/>
    <w:rsid w:val="008E0F3C"/>
    <w:rsid w:val="008E10DD"/>
    <w:rsid w:val="008E1393"/>
    <w:rsid w:val="008E2C1F"/>
    <w:rsid w:val="008E2D92"/>
    <w:rsid w:val="008E378E"/>
    <w:rsid w:val="008E3D4E"/>
    <w:rsid w:val="008E42C9"/>
    <w:rsid w:val="008E4746"/>
    <w:rsid w:val="008E5B36"/>
    <w:rsid w:val="008E5C52"/>
    <w:rsid w:val="008E5D78"/>
    <w:rsid w:val="008E5F02"/>
    <w:rsid w:val="008E6178"/>
    <w:rsid w:val="008E6485"/>
    <w:rsid w:val="008E6ACC"/>
    <w:rsid w:val="008E7A69"/>
    <w:rsid w:val="008E7F16"/>
    <w:rsid w:val="008F007E"/>
    <w:rsid w:val="008F052A"/>
    <w:rsid w:val="008F06E8"/>
    <w:rsid w:val="008F084E"/>
    <w:rsid w:val="008F0A3B"/>
    <w:rsid w:val="008F0A42"/>
    <w:rsid w:val="008F0DC7"/>
    <w:rsid w:val="008F1034"/>
    <w:rsid w:val="008F1152"/>
    <w:rsid w:val="008F12DF"/>
    <w:rsid w:val="008F13C0"/>
    <w:rsid w:val="008F1A19"/>
    <w:rsid w:val="008F1FBA"/>
    <w:rsid w:val="008F2173"/>
    <w:rsid w:val="008F3ACB"/>
    <w:rsid w:val="008F44FD"/>
    <w:rsid w:val="008F48A1"/>
    <w:rsid w:val="008F4B9E"/>
    <w:rsid w:val="008F4DB4"/>
    <w:rsid w:val="008F51BC"/>
    <w:rsid w:val="008F62A2"/>
    <w:rsid w:val="008F6E62"/>
    <w:rsid w:val="008F7334"/>
    <w:rsid w:val="008F7837"/>
    <w:rsid w:val="008F7F8C"/>
    <w:rsid w:val="009004D2"/>
    <w:rsid w:val="00900771"/>
    <w:rsid w:val="00900FFD"/>
    <w:rsid w:val="009010F2"/>
    <w:rsid w:val="00901377"/>
    <w:rsid w:val="009014B8"/>
    <w:rsid w:val="00901C02"/>
    <w:rsid w:val="009024A6"/>
    <w:rsid w:val="00902DE8"/>
    <w:rsid w:val="00904318"/>
    <w:rsid w:val="00905032"/>
    <w:rsid w:val="00905393"/>
    <w:rsid w:val="009055E9"/>
    <w:rsid w:val="009057E3"/>
    <w:rsid w:val="00905B61"/>
    <w:rsid w:val="00906228"/>
    <w:rsid w:val="00906CB2"/>
    <w:rsid w:val="00906FCB"/>
    <w:rsid w:val="00907379"/>
    <w:rsid w:val="00907986"/>
    <w:rsid w:val="00911437"/>
    <w:rsid w:val="00911530"/>
    <w:rsid w:val="009117E5"/>
    <w:rsid w:val="00911ABF"/>
    <w:rsid w:val="00912251"/>
    <w:rsid w:val="0091226C"/>
    <w:rsid w:val="00912545"/>
    <w:rsid w:val="00912A1D"/>
    <w:rsid w:val="00912AC6"/>
    <w:rsid w:val="00912C13"/>
    <w:rsid w:val="00912E35"/>
    <w:rsid w:val="009133B9"/>
    <w:rsid w:val="00913455"/>
    <w:rsid w:val="00913915"/>
    <w:rsid w:val="00914315"/>
    <w:rsid w:val="009150C0"/>
    <w:rsid w:val="00915574"/>
    <w:rsid w:val="00915ED3"/>
    <w:rsid w:val="00916BF5"/>
    <w:rsid w:val="00916BFA"/>
    <w:rsid w:val="00916EDE"/>
    <w:rsid w:val="009170EB"/>
    <w:rsid w:val="0091734F"/>
    <w:rsid w:val="0091740C"/>
    <w:rsid w:val="00917450"/>
    <w:rsid w:val="0091766C"/>
    <w:rsid w:val="009179A6"/>
    <w:rsid w:val="0092066C"/>
    <w:rsid w:val="00920864"/>
    <w:rsid w:val="009218D1"/>
    <w:rsid w:val="00921E18"/>
    <w:rsid w:val="00922226"/>
    <w:rsid w:val="00922B5E"/>
    <w:rsid w:val="0092362E"/>
    <w:rsid w:val="009243BD"/>
    <w:rsid w:val="0092461B"/>
    <w:rsid w:val="00924CC4"/>
    <w:rsid w:val="009250E8"/>
    <w:rsid w:val="00925212"/>
    <w:rsid w:val="009259E1"/>
    <w:rsid w:val="00925D98"/>
    <w:rsid w:val="00925EDD"/>
    <w:rsid w:val="0092606B"/>
    <w:rsid w:val="00926D1A"/>
    <w:rsid w:val="00927D3B"/>
    <w:rsid w:val="00930B94"/>
    <w:rsid w:val="00931047"/>
    <w:rsid w:val="00931289"/>
    <w:rsid w:val="009312E9"/>
    <w:rsid w:val="00931ED6"/>
    <w:rsid w:val="009329FD"/>
    <w:rsid w:val="00933198"/>
    <w:rsid w:val="00933DC3"/>
    <w:rsid w:val="00934253"/>
    <w:rsid w:val="00934869"/>
    <w:rsid w:val="00934C06"/>
    <w:rsid w:val="00934D3F"/>
    <w:rsid w:val="0093506E"/>
    <w:rsid w:val="009350CF"/>
    <w:rsid w:val="00935AAD"/>
    <w:rsid w:val="00935F2A"/>
    <w:rsid w:val="00936205"/>
    <w:rsid w:val="0093651D"/>
    <w:rsid w:val="00936744"/>
    <w:rsid w:val="00936B1E"/>
    <w:rsid w:val="009378A6"/>
    <w:rsid w:val="00937CE4"/>
    <w:rsid w:val="00940E2B"/>
    <w:rsid w:val="009411C7"/>
    <w:rsid w:val="00941911"/>
    <w:rsid w:val="00941F19"/>
    <w:rsid w:val="0094219C"/>
    <w:rsid w:val="00942B33"/>
    <w:rsid w:val="00942CA9"/>
    <w:rsid w:val="0094313B"/>
    <w:rsid w:val="009455E7"/>
    <w:rsid w:val="00945F7A"/>
    <w:rsid w:val="00946CC0"/>
    <w:rsid w:val="009471CF"/>
    <w:rsid w:val="00947499"/>
    <w:rsid w:val="009479A8"/>
    <w:rsid w:val="00947C3D"/>
    <w:rsid w:val="00947D90"/>
    <w:rsid w:val="00947E07"/>
    <w:rsid w:val="009508C5"/>
    <w:rsid w:val="0095114D"/>
    <w:rsid w:val="00951412"/>
    <w:rsid w:val="00952343"/>
    <w:rsid w:val="00952345"/>
    <w:rsid w:val="00952CA9"/>
    <w:rsid w:val="00952DA9"/>
    <w:rsid w:val="009533D6"/>
    <w:rsid w:val="00953E95"/>
    <w:rsid w:val="009542D0"/>
    <w:rsid w:val="009542D8"/>
    <w:rsid w:val="00954530"/>
    <w:rsid w:val="00954A10"/>
    <w:rsid w:val="00954A17"/>
    <w:rsid w:val="009555DB"/>
    <w:rsid w:val="00955744"/>
    <w:rsid w:val="00955C33"/>
    <w:rsid w:val="009561B3"/>
    <w:rsid w:val="00956539"/>
    <w:rsid w:val="00961221"/>
    <w:rsid w:val="009612E8"/>
    <w:rsid w:val="0096131C"/>
    <w:rsid w:val="00961C73"/>
    <w:rsid w:val="009620E2"/>
    <w:rsid w:val="009632E8"/>
    <w:rsid w:val="009638FA"/>
    <w:rsid w:val="009650EA"/>
    <w:rsid w:val="009650FD"/>
    <w:rsid w:val="00965737"/>
    <w:rsid w:val="00965983"/>
    <w:rsid w:val="00965FC6"/>
    <w:rsid w:val="00966657"/>
    <w:rsid w:val="00966A6A"/>
    <w:rsid w:val="00967496"/>
    <w:rsid w:val="00967DEB"/>
    <w:rsid w:val="00967FB3"/>
    <w:rsid w:val="0097148E"/>
    <w:rsid w:val="0097187E"/>
    <w:rsid w:val="009721C7"/>
    <w:rsid w:val="009723F8"/>
    <w:rsid w:val="00972DD1"/>
    <w:rsid w:val="00972F44"/>
    <w:rsid w:val="0097418F"/>
    <w:rsid w:val="0097468E"/>
    <w:rsid w:val="009747F7"/>
    <w:rsid w:val="00974AD3"/>
    <w:rsid w:val="009753E7"/>
    <w:rsid w:val="00975C26"/>
    <w:rsid w:val="00976379"/>
    <w:rsid w:val="00976476"/>
    <w:rsid w:val="0097655A"/>
    <w:rsid w:val="0097789C"/>
    <w:rsid w:val="00980D73"/>
    <w:rsid w:val="00980E72"/>
    <w:rsid w:val="00980F56"/>
    <w:rsid w:val="0098189B"/>
    <w:rsid w:val="00981A7E"/>
    <w:rsid w:val="00981EAC"/>
    <w:rsid w:val="00982249"/>
    <w:rsid w:val="0098226E"/>
    <w:rsid w:val="00983560"/>
    <w:rsid w:val="00983639"/>
    <w:rsid w:val="00983682"/>
    <w:rsid w:val="009841BB"/>
    <w:rsid w:val="00984312"/>
    <w:rsid w:val="009857A0"/>
    <w:rsid w:val="00985921"/>
    <w:rsid w:val="00985FB9"/>
    <w:rsid w:val="00987924"/>
    <w:rsid w:val="009879C4"/>
    <w:rsid w:val="00990102"/>
    <w:rsid w:val="0099011B"/>
    <w:rsid w:val="00990496"/>
    <w:rsid w:val="009906D9"/>
    <w:rsid w:val="00990CAC"/>
    <w:rsid w:val="00990FFC"/>
    <w:rsid w:val="00991884"/>
    <w:rsid w:val="00991962"/>
    <w:rsid w:val="00992C18"/>
    <w:rsid w:val="00992D4F"/>
    <w:rsid w:val="0099328D"/>
    <w:rsid w:val="0099389C"/>
    <w:rsid w:val="00994154"/>
    <w:rsid w:val="00994B38"/>
    <w:rsid w:val="00994C0C"/>
    <w:rsid w:val="00994F88"/>
    <w:rsid w:val="00995615"/>
    <w:rsid w:val="00995B5C"/>
    <w:rsid w:val="00995D40"/>
    <w:rsid w:val="00996041"/>
    <w:rsid w:val="00996505"/>
    <w:rsid w:val="00996CAC"/>
    <w:rsid w:val="00996E51"/>
    <w:rsid w:val="00996F49"/>
    <w:rsid w:val="009970E0"/>
    <w:rsid w:val="00997AF4"/>
    <w:rsid w:val="00997D27"/>
    <w:rsid w:val="009A063E"/>
    <w:rsid w:val="009A0D00"/>
    <w:rsid w:val="009A21EC"/>
    <w:rsid w:val="009A238F"/>
    <w:rsid w:val="009A2E65"/>
    <w:rsid w:val="009A36AF"/>
    <w:rsid w:val="009A392B"/>
    <w:rsid w:val="009A55A9"/>
    <w:rsid w:val="009A5D65"/>
    <w:rsid w:val="009A6442"/>
    <w:rsid w:val="009A64AC"/>
    <w:rsid w:val="009A711C"/>
    <w:rsid w:val="009A7648"/>
    <w:rsid w:val="009B09B1"/>
    <w:rsid w:val="009B0A41"/>
    <w:rsid w:val="009B172F"/>
    <w:rsid w:val="009B179D"/>
    <w:rsid w:val="009B1A80"/>
    <w:rsid w:val="009B1C71"/>
    <w:rsid w:val="009B1F87"/>
    <w:rsid w:val="009B216E"/>
    <w:rsid w:val="009B2D68"/>
    <w:rsid w:val="009B311F"/>
    <w:rsid w:val="009B36FC"/>
    <w:rsid w:val="009B38E3"/>
    <w:rsid w:val="009B435D"/>
    <w:rsid w:val="009B4F40"/>
    <w:rsid w:val="009B6366"/>
    <w:rsid w:val="009B65AB"/>
    <w:rsid w:val="009B6A50"/>
    <w:rsid w:val="009B6C79"/>
    <w:rsid w:val="009B7070"/>
    <w:rsid w:val="009B70B9"/>
    <w:rsid w:val="009B72CC"/>
    <w:rsid w:val="009B7349"/>
    <w:rsid w:val="009B73AB"/>
    <w:rsid w:val="009BD1A8"/>
    <w:rsid w:val="009C0164"/>
    <w:rsid w:val="009C0674"/>
    <w:rsid w:val="009C0CCD"/>
    <w:rsid w:val="009C1262"/>
    <w:rsid w:val="009C1E35"/>
    <w:rsid w:val="009C2034"/>
    <w:rsid w:val="009C2150"/>
    <w:rsid w:val="009C2831"/>
    <w:rsid w:val="009C34C7"/>
    <w:rsid w:val="009C46B9"/>
    <w:rsid w:val="009C57AB"/>
    <w:rsid w:val="009C5CC3"/>
    <w:rsid w:val="009C6565"/>
    <w:rsid w:val="009C694E"/>
    <w:rsid w:val="009C6F02"/>
    <w:rsid w:val="009C6F7E"/>
    <w:rsid w:val="009C7581"/>
    <w:rsid w:val="009C7C9A"/>
    <w:rsid w:val="009D05F6"/>
    <w:rsid w:val="009D0FEE"/>
    <w:rsid w:val="009D115D"/>
    <w:rsid w:val="009D1632"/>
    <w:rsid w:val="009D18CC"/>
    <w:rsid w:val="009D1BE2"/>
    <w:rsid w:val="009D219F"/>
    <w:rsid w:val="009D3BD5"/>
    <w:rsid w:val="009D3DB3"/>
    <w:rsid w:val="009D49A7"/>
    <w:rsid w:val="009D53F0"/>
    <w:rsid w:val="009D5C5F"/>
    <w:rsid w:val="009D5C60"/>
    <w:rsid w:val="009D6324"/>
    <w:rsid w:val="009D6D15"/>
    <w:rsid w:val="009D7C6E"/>
    <w:rsid w:val="009D7D93"/>
    <w:rsid w:val="009E1FC3"/>
    <w:rsid w:val="009E201A"/>
    <w:rsid w:val="009E256B"/>
    <w:rsid w:val="009E257B"/>
    <w:rsid w:val="009E3471"/>
    <w:rsid w:val="009E34B6"/>
    <w:rsid w:val="009E41D0"/>
    <w:rsid w:val="009E4792"/>
    <w:rsid w:val="009E491F"/>
    <w:rsid w:val="009E4FBA"/>
    <w:rsid w:val="009E5BA8"/>
    <w:rsid w:val="009E5F47"/>
    <w:rsid w:val="009E5F8D"/>
    <w:rsid w:val="009E6384"/>
    <w:rsid w:val="009E6601"/>
    <w:rsid w:val="009E6A15"/>
    <w:rsid w:val="009E7B58"/>
    <w:rsid w:val="009E7EA7"/>
    <w:rsid w:val="009F061F"/>
    <w:rsid w:val="009F0723"/>
    <w:rsid w:val="009F1381"/>
    <w:rsid w:val="009F13D5"/>
    <w:rsid w:val="009F1AA4"/>
    <w:rsid w:val="009F1DDB"/>
    <w:rsid w:val="009F21ED"/>
    <w:rsid w:val="009F2CD1"/>
    <w:rsid w:val="009F309A"/>
    <w:rsid w:val="009F3880"/>
    <w:rsid w:val="009F458E"/>
    <w:rsid w:val="009F45E7"/>
    <w:rsid w:val="009F49AD"/>
    <w:rsid w:val="009F53C5"/>
    <w:rsid w:val="009F55EC"/>
    <w:rsid w:val="009F5ACA"/>
    <w:rsid w:val="009F5F4A"/>
    <w:rsid w:val="009F60A0"/>
    <w:rsid w:val="009F64FB"/>
    <w:rsid w:val="009F6831"/>
    <w:rsid w:val="009F7C23"/>
    <w:rsid w:val="009F7DBE"/>
    <w:rsid w:val="009F7FB0"/>
    <w:rsid w:val="00A000CC"/>
    <w:rsid w:val="00A007A1"/>
    <w:rsid w:val="00A01AC1"/>
    <w:rsid w:val="00A01B7E"/>
    <w:rsid w:val="00A01BC7"/>
    <w:rsid w:val="00A03111"/>
    <w:rsid w:val="00A031B8"/>
    <w:rsid w:val="00A03E86"/>
    <w:rsid w:val="00A03F49"/>
    <w:rsid w:val="00A04514"/>
    <w:rsid w:val="00A045CD"/>
    <w:rsid w:val="00A04B0B"/>
    <w:rsid w:val="00A04F80"/>
    <w:rsid w:val="00A053B6"/>
    <w:rsid w:val="00A05C10"/>
    <w:rsid w:val="00A0625B"/>
    <w:rsid w:val="00A064CC"/>
    <w:rsid w:val="00A07F8D"/>
    <w:rsid w:val="00A10B70"/>
    <w:rsid w:val="00A10ED0"/>
    <w:rsid w:val="00A11365"/>
    <w:rsid w:val="00A113C5"/>
    <w:rsid w:val="00A12794"/>
    <w:rsid w:val="00A1366F"/>
    <w:rsid w:val="00A139E0"/>
    <w:rsid w:val="00A13A41"/>
    <w:rsid w:val="00A1454C"/>
    <w:rsid w:val="00A1486B"/>
    <w:rsid w:val="00A1493E"/>
    <w:rsid w:val="00A151B2"/>
    <w:rsid w:val="00A15750"/>
    <w:rsid w:val="00A16D32"/>
    <w:rsid w:val="00A1726E"/>
    <w:rsid w:val="00A1779D"/>
    <w:rsid w:val="00A20F08"/>
    <w:rsid w:val="00A21421"/>
    <w:rsid w:val="00A226F0"/>
    <w:rsid w:val="00A23127"/>
    <w:rsid w:val="00A23488"/>
    <w:rsid w:val="00A23CC2"/>
    <w:rsid w:val="00A23E3F"/>
    <w:rsid w:val="00A24E89"/>
    <w:rsid w:val="00A25325"/>
    <w:rsid w:val="00A254B0"/>
    <w:rsid w:val="00A25B4A"/>
    <w:rsid w:val="00A26412"/>
    <w:rsid w:val="00A2663B"/>
    <w:rsid w:val="00A26F08"/>
    <w:rsid w:val="00A27309"/>
    <w:rsid w:val="00A273E4"/>
    <w:rsid w:val="00A27428"/>
    <w:rsid w:val="00A27443"/>
    <w:rsid w:val="00A2751F"/>
    <w:rsid w:val="00A27B74"/>
    <w:rsid w:val="00A27C2D"/>
    <w:rsid w:val="00A27D6C"/>
    <w:rsid w:val="00A31531"/>
    <w:rsid w:val="00A31758"/>
    <w:rsid w:val="00A31976"/>
    <w:rsid w:val="00A31986"/>
    <w:rsid w:val="00A31FBF"/>
    <w:rsid w:val="00A3296C"/>
    <w:rsid w:val="00A32F02"/>
    <w:rsid w:val="00A32FAF"/>
    <w:rsid w:val="00A33390"/>
    <w:rsid w:val="00A33633"/>
    <w:rsid w:val="00A3367C"/>
    <w:rsid w:val="00A339E8"/>
    <w:rsid w:val="00A34488"/>
    <w:rsid w:val="00A344E4"/>
    <w:rsid w:val="00A34DF6"/>
    <w:rsid w:val="00A36A57"/>
    <w:rsid w:val="00A400B5"/>
    <w:rsid w:val="00A405F5"/>
    <w:rsid w:val="00A410F0"/>
    <w:rsid w:val="00A41330"/>
    <w:rsid w:val="00A41596"/>
    <w:rsid w:val="00A42096"/>
    <w:rsid w:val="00A42188"/>
    <w:rsid w:val="00A42B30"/>
    <w:rsid w:val="00A42D44"/>
    <w:rsid w:val="00A42EB1"/>
    <w:rsid w:val="00A42EC5"/>
    <w:rsid w:val="00A42F33"/>
    <w:rsid w:val="00A43E61"/>
    <w:rsid w:val="00A43F81"/>
    <w:rsid w:val="00A44C04"/>
    <w:rsid w:val="00A456D7"/>
    <w:rsid w:val="00A4575A"/>
    <w:rsid w:val="00A45E28"/>
    <w:rsid w:val="00A45F06"/>
    <w:rsid w:val="00A46673"/>
    <w:rsid w:val="00A468CB"/>
    <w:rsid w:val="00A47B92"/>
    <w:rsid w:val="00A47E5B"/>
    <w:rsid w:val="00A47ECD"/>
    <w:rsid w:val="00A50958"/>
    <w:rsid w:val="00A519C7"/>
    <w:rsid w:val="00A51B63"/>
    <w:rsid w:val="00A52815"/>
    <w:rsid w:val="00A52967"/>
    <w:rsid w:val="00A535E1"/>
    <w:rsid w:val="00A5430F"/>
    <w:rsid w:val="00A54762"/>
    <w:rsid w:val="00A55960"/>
    <w:rsid w:val="00A5611B"/>
    <w:rsid w:val="00A56859"/>
    <w:rsid w:val="00A57831"/>
    <w:rsid w:val="00A5786F"/>
    <w:rsid w:val="00A57918"/>
    <w:rsid w:val="00A57A2B"/>
    <w:rsid w:val="00A57E0E"/>
    <w:rsid w:val="00A6170E"/>
    <w:rsid w:val="00A61CC5"/>
    <w:rsid w:val="00A6211D"/>
    <w:rsid w:val="00A622A4"/>
    <w:rsid w:val="00A6261C"/>
    <w:rsid w:val="00A627F8"/>
    <w:rsid w:val="00A62BB7"/>
    <w:rsid w:val="00A63962"/>
    <w:rsid w:val="00A63AF6"/>
    <w:rsid w:val="00A63B98"/>
    <w:rsid w:val="00A63EB4"/>
    <w:rsid w:val="00A63ED0"/>
    <w:rsid w:val="00A63F93"/>
    <w:rsid w:val="00A64522"/>
    <w:rsid w:val="00A65A22"/>
    <w:rsid w:val="00A70F18"/>
    <w:rsid w:val="00A7177E"/>
    <w:rsid w:val="00A71CC1"/>
    <w:rsid w:val="00A71EC1"/>
    <w:rsid w:val="00A71FFD"/>
    <w:rsid w:val="00A720B7"/>
    <w:rsid w:val="00A7210F"/>
    <w:rsid w:val="00A721CE"/>
    <w:rsid w:val="00A72A33"/>
    <w:rsid w:val="00A747B3"/>
    <w:rsid w:val="00A7588B"/>
    <w:rsid w:val="00A76397"/>
    <w:rsid w:val="00A77C6A"/>
    <w:rsid w:val="00A80277"/>
    <w:rsid w:val="00A80BC2"/>
    <w:rsid w:val="00A80C0C"/>
    <w:rsid w:val="00A80D72"/>
    <w:rsid w:val="00A82134"/>
    <w:rsid w:val="00A82BF9"/>
    <w:rsid w:val="00A83CF6"/>
    <w:rsid w:val="00A85049"/>
    <w:rsid w:val="00A8534A"/>
    <w:rsid w:val="00A85B3F"/>
    <w:rsid w:val="00A85F43"/>
    <w:rsid w:val="00A86335"/>
    <w:rsid w:val="00A86710"/>
    <w:rsid w:val="00A8681A"/>
    <w:rsid w:val="00A87028"/>
    <w:rsid w:val="00A87229"/>
    <w:rsid w:val="00A879F0"/>
    <w:rsid w:val="00A87C37"/>
    <w:rsid w:val="00A90A44"/>
    <w:rsid w:val="00A91151"/>
    <w:rsid w:val="00A91593"/>
    <w:rsid w:val="00A91F48"/>
    <w:rsid w:val="00A9242B"/>
    <w:rsid w:val="00A92558"/>
    <w:rsid w:val="00A938EF"/>
    <w:rsid w:val="00A93968"/>
    <w:rsid w:val="00A939B4"/>
    <w:rsid w:val="00A93ABD"/>
    <w:rsid w:val="00A94081"/>
    <w:rsid w:val="00A94264"/>
    <w:rsid w:val="00A948CB"/>
    <w:rsid w:val="00A95973"/>
    <w:rsid w:val="00A95C29"/>
    <w:rsid w:val="00A96700"/>
    <w:rsid w:val="00A967E1"/>
    <w:rsid w:val="00A96D7F"/>
    <w:rsid w:val="00A97077"/>
    <w:rsid w:val="00A9714D"/>
    <w:rsid w:val="00A971CD"/>
    <w:rsid w:val="00A971DC"/>
    <w:rsid w:val="00A97462"/>
    <w:rsid w:val="00A976C4"/>
    <w:rsid w:val="00A97855"/>
    <w:rsid w:val="00A97DC6"/>
    <w:rsid w:val="00AA038A"/>
    <w:rsid w:val="00AA07CC"/>
    <w:rsid w:val="00AA0940"/>
    <w:rsid w:val="00AA099D"/>
    <w:rsid w:val="00AA1044"/>
    <w:rsid w:val="00AA1254"/>
    <w:rsid w:val="00AA1C46"/>
    <w:rsid w:val="00AA2383"/>
    <w:rsid w:val="00AA25E1"/>
    <w:rsid w:val="00AA315C"/>
    <w:rsid w:val="00AA3A88"/>
    <w:rsid w:val="00AA46AD"/>
    <w:rsid w:val="00AA49D4"/>
    <w:rsid w:val="00AA4BA9"/>
    <w:rsid w:val="00AA5118"/>
    <w:rsid w:val="00AA5575"/>
    <w:rsid w:val="00AA5A64"/>
    <w:rsid w:val="00AA6018"/>
    <w:rsid w:val="00AA603C"/>
    <w:rsid w:val="00AA6751"/>
    <w:rsid w:val="00AA6E0B"/>
    <w:rsid w:val="00AA6EBA"/>
    <w:rsid w:val="00AA6F4E"/>
    <w:rsid w:val="00AA77A0"/>
    <w:rsid w:val="00AA785C"/>
    <w:rsid w:val="00AA7C5F"/>
    <w:rsid w:val="00AB095F"/>
    <w:rsid w:val="00AB09B3"/>
    <w:rsid w:val="00AB0C3B"/>
    <w:rsid w:val="00AB125D"/>
    <w:rsid w:val="00AB198C"/>
    <w:rsid w:val="00AB2CD4"/>
    <w:rsid w:val="00AB3298"/>
    <w:rsid w:val="00AB461A"/>
    <w:rsid w:val="00AB4DDA"/>
    <w:rsid w:val="00AB51DA"/>
    <w:rsid w:val="00AB5B64"/>
    <w:rsid w:val="00AB60DC"/>
    <w:rsid w:val="00AB6F4B"/>
    <w:rsid w:val="00AC0728"/>
    <w:rsid w:val="00AC07DA"/>
    <w:rsid w:val="00AC118A"/>
    <w:rsid w:val="00AC20F2"/>
    <w:rsid w:val="00AC2314"/>
    <w:rsid w:val="00AC295C"/>
    <w:rsid w:val="00AC32A8"/>
    <w:rsid w:val="00AC33FE"/>
    <w:rsid w:val="00AC3447"/>
    <w:rsid w:val="00AC3BE2"/>
    <w:rsid w:val="00AC3C43"/>
    <w:rsid w:val="00AC49E0"/>
    <w:rsid w:val="00AC4E12"/>
    <w:rsid w:val="00AC6805"/>
    <w:rsid w:val="00AC7849"/>
    <w:rsid w:val="00AD187D"/>
    <w:rsid w:val="00AD21A1"/>
    <w:rsid w:val="00AD22D9"/>
    <w:rsid w:val="00AD28B0"/>
    <w:rsid w:val="00AD2ACF"/>
    <w:rsid w:val="00AD2CDB"/>
    <w:rsid w:val="00AD3A8B"/>
    <w:rsid w:val="00AD3C93"/>
    <w:rsid w:val="00AD3D09"/>
    <w:rsid w:val="00AD3D9A"/>
    <w:rsid w:val="00AD41CF"/>
    <w:rsid w:val="00AD5042"/>
    <w:rsid w:val="00AD577C"/>
    <w:rsid w:val="00AD5809"/>
    <w:rsid w:val="00AD6118"/>
    <w:rsid w:val="00AD632F"/>
    <w:rsid w:val="00AD649D"/>
    <w:rsid w:val="00AD762D"/>
    <w:rsid w:val="00AD7680"/>
    <w:rsid w:val="00AD7CE6"/>
    <w:rsid w:val="00AD7D31"/>
    <w:rsid w:val="00AD7D65"/>
    <w:rsid w:val="00AE058E"/>
    <w:rsid w:val="00AE0854"/>
    <w:rsid w:val="00AE0F73"/>
    <w:rsid w:val="00AE10C3"/>
    <w:rsid w:val="00AE1680"/>
    <w:rsid w:val="00AE21A2"/>
    <w:rsid w:val="00AE24EC"/>
    <w:rsid w:val="00AE2625"/>
    <w:rsid w:val="00AE29F6"/>
    <w:rsid w:val="00AE2A1B"/>
    <w:rsid w:val="00AE3413"/>
    <w:rsid w:val="00AE3B64"/>
    <w:rsid w:val="00AE4245"/>
    <w:rsid w:val="00AE444C"/>
    <w:rsid w:val="00AE5AFD"/>
    <w:rsid w:val="00AE5F04"/>
    <w:rsid w:val="00AE6165"/>
    <w:rsid w:val="00AE6BC2"/>
    <w:rsid w:val="00AE6BFD"/>
    <w:rsid w:val="00AE6D1A"/>
    <w:rsid w:val="00AE74C9"/>
    <w:rsid w:val="00AE7696"/>
    <w:rsid w:val="00AE7DA2"/>
    <w:rsid w:val="00AF06B0"/>
    <w:rsid w:val="00AF1E34"/>
    <w:rsid w:val="00AF2709"/>
    <w:rsid w:val="00AF33A2"/>
    <w:rsid w:val="00AF3639"/>
    <w:rsid w:val="00AF3DB4"/>
    <w:rsid w:val="00AF4EC6"/>
    <w:rsid w:val="00AF5418"/>
    <w:rsid w:val="00AF55B0"/>
    <w:rsid w:val="00AF5F9D"/>
    <w:rsid w:val="00AF64E2"/>
    <w:rsid w:val="00AF6931"/>
    <w:rsid w:val="00AF6A4C"/>
    <w:rsid w:val="00AF6C53"/>
    <w:rsid w:val="00AF6CC9"/>
    <w:rsid w:val="00AF72E9"/>
    <w:rsid w:val="00AF746F"/>
    <w:rsid w:val="00AF75A6"/>
    <w:rsid w:val="00AF77B1"/>
    <w:rsid w:val="00B0033F"/>
    <w:rsid w:val="00B00618"/>
    <w:rsid w:val="00B00B1B"/>
    <w:rsid w:val="00B012DF"/>
    <w:rsid w:val="00B0178F"/>
    <w:rsid w:val="00B01BC3"/>
    <w:rsid w:val="00B01CE9"/>
    <w:rsid w:val="00B034F1"/>
    <w:rsid w:val="00B03989"/>
    <w:rsid w:val="00B039C0"/>
    <w:rsid w:val="00B03B07"/>
    <w:rsid w:val="00B040EB"/>
    <w:rsid w:val="00B04E0D"/>
    <w:rsid w:val="00B053CC"/>
    <w:rsid w:val="00B0619D"/>
    <w:rsid w:val="00B061DB"/>
    <w:rsid w:val="00B066F0"/>
    <w:rsid w:val="00B06775"/>
    <w:rsid w:val="00B06B69"/>
    <w:rsid w:val="00B122DC"/>
    <w:rsid w:val="00B12788"/>
    <w:rsid w:val="00B129D4"/>
    <w:rsid w:val="00B130C4"/>
    <w:rsid w:val="00B13904"/>
    <w:rsid w:val="00B13EB2"/>
    <w:rsid w:val="00B1432F"/>
    <w:rsid w:val="00B14444"/>
    <w:rsid w:val="00B14936"/>
    <w:rsid w:val="00B1560B"/>
    <w:rsid w:val="00B15674"/>
    <w:rsid w:val="00B15AAC"/>
    <w:rsid w:val="00B15D36"/>
    <w:rsid w:val="00B16016"/>
    <w:rsid w:val="00B161F2"/>
    <w:rsid w:val="00B163B0"/>
    <w:rsid w:val="00B164C3"/>
    <w:rsid w:val="00B16AB5"/>
    <w:rsid w:val="00B17F3C"/>
    <w:rsid w:val="00B200CC"/>
    <w:rsid w:val="00B2039B"/>
    <w:rsid w:val="00B2066A"/>
    <w:rsid w:val="00B209D5"/>
    <w:rsid w:val="00B2120F"/>
    <w:rsid w:val="00B21451"/>
    <w:rsid w:val="00B21554"/>
    <w:rsid w:val="00B2176F"/>
    <w:rsid w:val="00B2186D"/>
    <w:rsid w:val="00B21BFA"/>
    <w:rsid w:val="00B21E4E"/>
    <w:rsid w:val="00B2236A"/>
    <w:rsid w:val="00B22580"/>
    <w:rsid w:val="00B22645"/>
    <w:rsid w:val="00B23331"/>
    <w:rsid w:val="00B244E6"/>
    <w:rsid w:val="00B24956"/>
    <w:rsid w:val="00B24CD7"/>
    <w:rsid w:val="00B24E22"/>
    <w:rsid w:val="00B25E39"/>
    <w:rsid w:val="00B261C7"/>
    <w:rsid w:val="00B26C33"/>
    <w:rsid w:val="00B27436"/>
    <w:rsid w:val="00B2749A"/>
    <w:rsid w:val="00B2768B"/>
    <w:rsid w:val="00B279E0"/>
    <w:rsid w:val="00B27E1D"/>
    <w:rsid w:val="00B3093E"/>
    <w:rsid w:val="00B3180B"/>
    <w:rsid w:val="00B31D4E"/>
    <w:rsid w:val="00B321A4"/>
    <w:rsid w:val="00B32930"/>
    <w:rsid w:val="00B329C9"/>
    <w:rsid w:val="00B3312E"/>
    <w:rsid w:val="00B33808"/>
    <w:rsid w:val="00B339CC"/>
    <w:rsid w:val="00B33A38"/>
    <w:rsid w:val="00B3424F"/>
    <w:rsid w:val="00B34526"/>
    <w:rsid w:val="00B345B3"/>
    <w:rsid w:val="00B34EEB"/>
    <w:rsid w:val="00B35CC6"/>
    <w:rsid w:val="00B3617D"/>
    <w:rsid w:val="00B365EC"/>
    <w:rsid w:val="00B367B6"/>
    <w:rsid w:val="00B36CF4"/>
    <w:rsid w:val="00B37317"/>
    <w:rsid w:val="00B37B14"/>
    <w:rsid w:val="00B40423"/>
    <w:rsid w:val="00B40B99"/>
    <w:rsid w:val="00B41605"/>
    <w:rsid w:val="00B4191F"/>
    <w:rsid w:val="00B41E60"/>
    <w:rsid w:val="00B4204A"/>
    <w:rsid w:val="00B42217"/>
    <w:rsid w:val="00B426F4"/>
    <w:rsid w:val="00B42F03"/>
    <w:rsid w:val="00B42F73"/>
    <w:rsid w:val="00B44B2B"/>
    <w:rsid w:val="00B45430"/>
    <w:rsid w:val="00B45685"/>
    <w:rsid w:val="00B458A7"/>
    <w:rsid w:val="00B46613"/>
    <w:rsid w:val="00B468DF"/>
    <w:rsid w:val="00B50B9B"/>
    <w:rsid w:val="00B50D7F"/>
    <w:rsid w:val="00B50E71"/>
    <w:rsid w:val="00B51ABA"/>
    <w:rsid w:val="00B536A7"/>
    <w:rsid w:val="00B53C05"/>
    <w:rsid w:val="00B53ECB"/>
    <w:rsid w:val="00B541AE"/>
    <w:rsid w:val="00B544C9"/>
    <w:rsid w:val="00B549CB"/>
    <w:rsid w:val="00B551B4"/>
    <w:rsid w:val="00B55663"/>
    <w:rsid w:val="00B55C8C"/>
    <w:rsid w:val="00B56048"/>
    <w:rsid w:val="00B561B9"/>
    <w:rsid w:val="00B57FB1"/>
    <w:rsid w:val="00B602EF"/>
    <w:rsid w:val="00B60F15"/>
    <w:rsid w:val="00B617B9"/>
    <w:rsid w:val="00B61A70"/>
    <w:rsid w:val="00B61F79"/>
    <w:rsid w:val="00B631AD"/>
    <w:rsid w:val="00B642A5"/>
    <w:rsid w:val="00B64C80"/>
    <w:rsid w:val="00B64E31"/>
    <w:rsid w:val="00B65B1E"/>
    <w:rsid w:val="00B65BA2"/>
    <w:rsid w:val="00B65F86"/>
    <w:rsid w:val="00B66065"/>
    <w:rsid w:val="00B665C4"/>
    <w:rsid w:val="00B66644"/>
    <w:rsid w:val="00B66FBC"/>
    <w:rsid w:val="00B67402"/>
    <w:rsid w:val="00B67FA0"/>
    <w:rsid w:val="00B70D63"/>
    <w:rsid w:val="00B714A8"/>
    <w:rsid w:val="00B715F0"/>
    <w:rsid w:val="00B7162F"/>
    <w:rsid w:val="00B716D6"/>
    <w:rsid w:val="00B720C4"/>
    <w:rsid w:val="00B720E7"/>
    <w:rsid w:val="00B725E4"/>
    <w:rsid w:val="00B7275D"/>
    <w:rsid w:val="00B7281E"/>
    <w:rsid w:val="00B73364"/>
    <w:rsid w:val="00B735A8"/>
    <w:rsid w:val="00B73877"/>
    <w:rsid w:val="00B7485C"/>
    <w:rsid w:val="00B7545F"/>
    <w:rsid w:val="00B75EE7"/>
    <w:rsid w:val="00B77A0A"/>
    <w:rsid w:val="00B77FD8"/>
    <w:rsid w:val="00B809E0"/>
    <w:rsid w:val="00B818C5"/>
    <w:rsid w:val="00B81A7B"/>
    <w:rsid w:val="00B82A37"/>
    <w:rsid w:val="00B82B48"/>
    <w:rsid w:val="00B82B66"/>
    <w:rsid w:val="00B84ABA"/>
    <w:rsid w:val="00B85262"/>
    <w:rsid w:val="00B8546F"/>
    <w:rsid w:val="00B854BA"/>
    <w:rsid w:val="00B85757"/>
    <w:rsid w:val="00B86595"/>
    <w:rsid w:val="00B8669D"/>
    <w:rsid w:val="00B86A53"/>
    <w:rsid w:val="00B86B7B"/>
    <w:rsid w:val="00B86BD7"/>
    <w:rsid w:val="00B86F32"/>
    <w:rsid w:val="00B86F56"/>
    <w:rsid w:val="00B875F3"/>
    <w:rsid w:val="00B8760A"/>
    <w:rsid w:val="00B90975"/>
    <w:rsid w:val="00B90C5D"/>
    <w:rsid w:val="00B90F4A"/>
    <w:rsid w:val="00B91147"/>
    <w:rsid w:val="00B92745"/>
    <w:rsid w:val="00B92838"/>
    <w:rsid w:val="00B929B4"/>
    <w:rsid w:val="00B93E56"/>
    <w:rsid w:val="00B951E2"/>
    <w:rsid w:val="00B95259"/>
    <w:rsid w:val="00B95341"/>
    <w:rsid w:val="00B9621C"/>
    <w:rsid w:val="00B96CA8"/>
    <w:rsid w:val="00B97010"/>
    <w:rsid w:val="00B9741F"/>
    <w:rsid w:val="00B974CA"/>
    <w:rsid w:val="00B97974"/>
    <w:rsid w:val="00B97AA1"/>
    <w:rsid w:val="00BA0227"/>
    <w:rsid w:val="00BA080D"/>
    <w:rsid w:val="00BA0D9B"/>
    <w:rsid w:val="00BA1004"/>
    <w:rsid w:val="00BA1306"/>
    <w:rsid w:val="00BA317D"/>
    <w:rsid w:val="00BA321E"/>
    <w:rsid w:val="00BA343E"/>
    <w:rsid w:val="00BA3475"/>
    <w:rsid w:val="00BA3860"/>
    <w:rsid w:val="00BA7101"/>
    <w:rsid w:val="00BA7954"/>
    <w:rsid w:val="00BA7E1A"/>
    <w:rsid w:val="00BB000E"/>
    <w:rsid w:val="00BB023A"/>
    <w:rsid w:val="00BB0468"/>
    <w:rsid w:val="00BB0CB7"/>
    <w:rsid w:val="00BB240B"/>
    <w:rsid w:val="00BB258C"/>
    <w:rsid w:val="00BB2D8D"/>
    <w:rsid w:val="00BB2DC2"/>
    <w:rsid w:val="00BB377A"/>
    <w:rsid w:val="00BB4D9C"/>
    <w:rsid w:val="00BB56F7"/>
    <w:rsid w:val="00BB6753"/>
    <w:rsid w:val="00BB6E3C"/>
    <w:rsid w:val="00BB70BE"/>
    <w:rsid w:val="00BB70F0"/>
    <w:rsid w:val="00BB7359"/>
    <w:rsid w:val="00BB7883"/>
    <w:rsid w:val="00BB7A02"/>
    <w:rsid w:val="00BB7A53"/>
    <w:rsid w:val="00BC09E7"/>
    <w:rsid w:val="00BC0C48"/>
    <w:rsid w:val="00BC0EE7"/>
    <w:rsid w:val="00BC0F1A"/>
    <w:rsid w:val="00BC2A14"/>
    <w:rsid w:val="00BC2A71"/>
    <w:rsid w:val="00BC2BF6"/>
    <w:rsid w:val="00BC2FA1"/>
    <w:rsid w:val="00BC33E1"/>
    <w:rsid w:val="00BC360F"/>
    <w:rsid w:val="00BC4A5A"/>
    <w:rsid w:val="00BC4CB3"/>
    <w:rsid w:val="00BC4E89"/>
    <w:rsid w:val="00BC5082"/>
    <w:rsid w:val="00BC5E36"/>
    <w:rsid w:val="00BC6B08"/>
    <w:rsid w:val="00BC7431"/>
    <w:rsid w:val="00BD01E7"/>
    <w:rsid w:val="00BD0283"/>
    <w:rsid w:val="00BD07BA"/>
    <w:rsid w:val="00BD0EE0"/>
    <w:rsid w:val="00BD1C9A"/>
    <w:rsid w:val="00BD203F"/>
    <w:rsid w:val="00BD2360"/>
    <w:rsid w:val="00BD2C4A"/>
    <w:rsid w:val="00BD2DB7"/>
    <w:rsid w:val="00BD3266"/>
    <w:rsid w:val="00BD474E"/>
    <w:rsid w:val="00BD5137"/>
    <w:rsid w:val="00BD5400"/>
    <w:rsid w:val="00BD54A4"/>
    <w:rsid w:val="00BD5CB6"/>
    <w:rsid w:val="00BD67C9"/>
    <w:rsid w:val="00BD7586"/>
    <w:rsid w:val="00BD7A73"/>
    <w:rsid w:val="00BE2173"/>
    <w:rsid w:val="00BE2D04"/>
    <w:rsid w:val="00BE37D0"/>
    <w:rsid w:val="00BE3AF2"/>
    <w:rsid w:val="00BE40C5"/>
    <w:rsid w:val="00BE453F"/>
    <w:rsid w:val="00BE58D8"/>
    <w:rsid w:val="00BE5A79"/>
    <w:rsid w:val="00BE5BD0"/>
    <w:rsid w:val="00BE6171"/>
    <w:rsid w:val="00BE6285"/>
    <w:rsid w:val="00BE63CB"/>
    <w:rsid w:val="00BE65A7"/>
    <w:rsid w:val="00BE6793"/>
    <w:rsid w:val="00BE6DCB"/>
    <w:rsid w:val="00BE70FA"/>
    <w:rsid w:val="00BE7B06"/>
    <w:rsid w:val="00BE7DCD"/>
    <w:rsid w:val="00BF054A"/>
    <w:rsid w:val="00BF1A07"/>
    <w:rsid w:val="00BF1A7D"/>
    <w:rsid w:val="00BF1CAB"/>
    <w:rsid w:val="00BF208A"/>
    <w:rsid w:val="00BF21C0"/>
    <w:rsid w:val="00BF2B43"/>
    <w:rsid w:val="00BF34CA"/>
    <w:rsid w:val="00BF3B37"/>
    <w:rsid w:val="00BF4096"/>
    <w:rsid w:val="00BF493F"/>
    <w:rsid w:val="00BF52C9"/>
    <w:rsid w:val="00BF57F4"/>
    <w:rsid w:val="00BF5C50"/>
    <w:rsid w:val="00BF5DED"/>
    <w:rsid w:val="00BF6107"/>
    <w:rsid w:val="00BF6561"/>
    <w:rsid w:val="00BF6803"/>
    <w:rsid w:val="00BF6F29"/>
    <w:rsid w:val="00C00B9D"/>
    <w:rsid w:val="00C00FAB"/>
    <w:rsid w:val="00C0148F"/>
    <w:rsid w:val="00C01C68"/>
    <w:rsid w:val="00C01CBF"/>
    <w:rsid w:val="00C020AB"/>
    <w:rsid w:val="00C02739"/>
    <w:rsid w:val="00C02887"/>
    <w:rsid w:val="00C028A2"/>
    <w:rsid w:val="00C036A5"/>
    <w:rsid w:val="00C038C1"/>
    <w:rsid w:val="00C03AF8"/>
    <w:rsid w:val="00C03C1E"/>
    <w:rsid w:val="00C03CF8"/>
    <w:rsid w:val="00C05900"/>
    <w:rsid w:val="00C05991"/>
    <w:rsid w:val="00C059F1"/>
    <w:rsid w:val="00C05C9E"/>
    <w:rsid w:val="00C062E3"/>
    <w:rsid w:val="00C063FC"/>
    <w:rsid w:val="00C074AB"/>
    <w:rsid w:val="00C07919"/>
    <w:rsid w:val="00C09216"/>
    <w:rsid w:val="00C106B0"/>
    <w:rsid w:val="00C1124C"/>
    <w:rsid w:val="00C11E22"/>
    <w:rsid w:val="00C1319C"/>
    <w:rsid w:val="00C13CA8"/>
    <w:rsid w:val="00C14281"/>
    <w:rsid w:val="00C156D0"/>
    <w:rsid w:val="00C1576C"/>
    <w:rsid w:val="00C1592E"/>
    <w:rsid w:val="00C15DA6"/>
    <w:rsid w:val="00C15E4D"/>
    <w:rsid w:val="00C1644B"/>
    <w:rsid w:val="00C16C0D"/>
    <w:rsid w:val="00C1711A"/>
    <w:rsid w:val="00C17211"/>
    <w:rsid w:val="00C17311"/>
    <w:rsid w:val="00C1782E"/>
    <w:rsid w:val="00C200FF"/>
    <w:rsid w:val="00C202CA"/>
    <w:rsid w:val="00C208B1"/>
    <w:rsid w:val="00C20C10"/>
    <w:rsid w:val="00C20DAB"/>
    <w:rsid w:val="00C21CA0"/>
    <w:rsid w:val="00C21FA3"/>
    <w:rsid w:val="00C2214E"/>
    <w:rsid w:val="00C22189"/>
    <w:rsid w:val="00C223D5"/>
    <w:rsid w:val="00C2347B"/>
    <w:rsid w:val="00C2406E"/>
    <w:rsid w:val="00C24A07"/>
    <w:rsid w:val="00C24C49"/>
    <w:rsid w:val="00C24F6F"/>
    <w:rsid w:val="00C26460"/>
    <w:rsid w:val="00C266A6"/>
    <w:rsid w:val="00C26772"/>
    <w:rsid w:val="00C26A15"/>
    <w:rsid w:val="00C26A9C"/>
    <w:rsid w:val="00C26D07"/>
    <w:rsid w:val="00C27539"/>
    <w:rsid w:val="00C2755F"/>
    <w:rsid w:val="00C279DF"/>
    <w:rsid w:val="00C27C5F"/>
    <w:rsid w:val="00C27FB4"/>
    <w:rsid w:val="00C30899"/>
    <w:rsid w:val="00C30CA2"/>
    <w:rsid w:val="00C30D0E"/>
    <w:rsid w:val="00C31200"/>
    <w:rsid w:val="00C31267"/>
    <w:rsid w:val="00C31ECF"/>
    <w:rsid w:val="00C32373"/>
    <w:rsid w:val="00C32935"/>
    <w:rsid w:val="00C333EE"/>
    <w:rsid w:val="00C33834"/>
    <w:rsid w:val="00C3398C"/>
    <w:rsid w:val="00C33D41"/>
    <w:rsid w:val="00C33E93"/>
    <w:rsid w:val="00C345D4"/>
    <w:rsid w:val="00C35401"/>
    <w:rsid w:val="00C35EDC"/>
    <w:rsid w:val="00C35F5D"/>
    <w:rsid w:val="00C366B5"/>
    <w:rsid w:val="00C366F1"/>
    <w:rsid w:val="00C37CE7"/>
    <w:rsid w:val="00C37D47"/>
    <w:rsid w:val="00C37E5A"/>
    <w:rsid w:val="00C4044E"/>
    <w:rsid w:val="00C40F71"/>
    <w:rsid w:val="00C41130"/>
    <w:rsid w:val="00C41D1A"/>
    <w:rsid w:val="00C42548"/>
    <w:rsid w:val="00C42831"/>
    <w:rsid w:val="00C428E1"/>
    <w:rsid w:val="00C42A72"/>
    <w:rsid w:val="00C433E1"/>
    <w:rsid w:val="00C4376E"/>
    <w:rsid w:val="00C44321"/>
    <w:rsid w:val="00C45572"/>
    <w:rsid w:val="00C45D0E"/>
    <w:rsid w:val="00C46037"/>
    <w:rsid w:val="00C46D76"/>
    <w:rsid w:val="00C47147"/>
    <w:rsid w:val="00C50EC6"/>
    <w:rsid w:val="00C50F02"/>
    <w:rsid w:val="00C512E8"/>
    <w:rsid w:val="00C51324"/>
    <w:rsid w:val="00C5134F"/>
    <w:rsid w:val="00C51628"/>
    <w:rsid w:val="00C51658"/>
    <w:rsid w:val="00C51862"/>
    <w:rsid w:val="00C518D3"/>
    <w:rsid w:val="00C519D5"/>
    <w:rsid w:val="00C53172"/>
    <w:rsid w:val="00C533F9"/>
    <w:rsid w:val="00C5422C"/>
    <w:rsid w:val="00C57111"/>
    <w:rsid w:val="00C6073D"/>
    <w:rsid w:val="00C6099A"/>
    <w:rsid w:val="00C609D8"/>
    <w:rsid w:val="00C6148C"/>
    <w:rsid w:val="00C61733"/>
    <w:rsid w:val="00C61C0F"/>
    <w:rsid w:val="00C62B07"/>
    <w:rsid w:val="00C63891"/>
    <w:rsid w:val="00C64706"/>
    <w:rsid w:val="00C6476F"/>
    <w:rsid w:val="00C654BD"/>
    <w:rsid w:val="00C65CB0"/>
    <w:rsid w:val="00C66966"/>
    <w:rsid w:val="00C66E5A"/>
    <w:rsid w:val="00C66F85"/>
    <w:rsid w:val="00C67291"/>
    <w:rsid w:val="00C67D68"/>
    <w:rsid w:val="00C67E2A"/>
    <w:rsid w:val="00C709D1"/>
    <w:rsid w:val="00C71181"/>
    <w:rsid w:val="00C71D0D"/>
    <w:rsid w:val="00C71ED1"/>
    <w:rsid w:val="00C71FB7"/>
    <w:rsid w:val="00C71FF2"/>
    <w:rsid w:val="00C7316A"/>
    <w:rsid w:val="00C73597"/>
    <w:rsid w:val="00C736DD"/>
    <w:rsid w:val="00C74924"/>
    <w:rsid w:val="00C74E27"/>
    <w:rsid w:val="00C75532"/>
    <w:rsid w:val="00C759EE"/>
    <w:rsid w:val="00C762F6"/>
    <w:rsid w:val="00C76398"/>
    <w:rsid w:val="00C768D1"/>
    <w:rsid w:val="00C76AFC"/>
    <w:rsid w:val="00C76D5D"/>
    <w:rsid w:val="00C77462"/>
    <w:rsid w:val="00C800C8"/>
    <w:rsid w:val="00C80222"/>
    <w:rsid w:val="00C80540"/>
    <w:rsid w:val="00C8083E"/>
    <w:rsid w:val="00C809C4"/>
    <w:rsid w:val="00C80BDB"/>
    <w:rsid w:val="00C80D56"/>
    <w:rsid w:val="00C81067"/>
    <w:rsid w:val="00C81B29"/>
    <w:rsid w:val="00C81CE2"/>
    <w:rsid w:val="00C823FB"/>
    <w:rsid w:val="00C82762"/>
    <w:rsid w:val="00C82B61"/>
    <w:rsid w:val="00C8321D"/>
    <w:rsid w:val="00C83568"/>
    <w:rsid w:val="00C84DE9"/>
    <w:rsid w:val="00C85517"/>
    <w:rsid w:val="00C85C89"/>
    <w:rsid w:val="00C86309"/>
    <w:rsid w:val="00C866C8"/>
    <w:rsid w:val="00C86918"/>
    <w:rsid w:val="00C86B07"/>
    <w:rsid w:val="00C86C1A"/>
    <w:rsid w:val="00C86C5A"/>
    <w:rsid w:val="00C87980"/>
    <w:rsid w:val="00C9105A"/>
    <w:rsid w:val="00C91158"/>
    <w:rsid w:val="00C92079"/>
    <w:rsid w:val="00C9221E"/>
    <w:rsid w:val="00C92728"/>
    <w:rsid w:val="00C938A1"/>
    <w:rsid w:val="00C9456E"/>
    <w:rsid w:val="00C945DA"/>
    <w:rsid w:val="00C945EA"/>
    <w:rsid w:val="00C9460E"/>
    <w:rsid w:val="00C94A29"/>
    <w:rsid w:val="00C94FDB"/>
    <w:rsid w:val="00C95D2B"/>
    <w:rsid w:val="00C97E37"/>
    <w:rsid w:val="00CA0626"/>
    <w:rsid w:val="00CA0915"/>
    <w:rsid w:val="00CA1359"/>
    <w:rsid w:val="00CA1CC2"/>
    <w:rsid w:val="00CA2747"/>
    <w:rsid w:val="00CA37D4"/>
    <w:rsid w:val="00CA3A5A"/>
    <w:rsid w:val="00CA3FDD"/>
    <w:rsid w:val="00CA4020"/>
    <w:rsid w:val="00CA43E1"/>
    <w:rsid w:val="00CA4AEE"/>
    <w:rsid w:val="00CA4E64"/>
    <w:rsid w:val="00CA524A"/>
    <w:rsid w:val="00CA5548"/>
    <w:rsid w:val="00CA61A1"/>
    <w:rsid w:val="00CA6396"/>
    <w:rsid w:val="00CA667A"/>
    <w:rsid w:val="00CA6CB7"/>
    <w:rsid w:val="00CA6D47"/>
    <w:rsid w:val="00CA71EC"/>
    <w:rsid w:val="00CA7E6E"/>
    <w:rsid w:val="00CA7FFB"/>
    <w:rsid w:val="00CB0510"/>
    <w:rsid w:val="00CB080F"/>
    <w:rsid w:val="00CB0D6A"/>
    <w:rsid w:val="00CB15D4"/>
    <w:rsid w:val="00CB4829"/>
    <w:rsid w:val="00CB4B7C"/>
    <w:rsid w:val="00CB4BCD"/>
    <w:rsid w:val="00CB4F4D"/>
    <w:rsid w:val="00CB4FF5"/>
    <w:rsid w:val="00CB55B4"/>
    <w:rsid w:val="00CB5892"/>
    <w:rsid w:val="00CB5CA8"/>
    <w:rsid w:val="00CB7629"/>
    <w:rsid w:val="00CB76AF"/>
    <w:rsid w:val="00CB7703"/>
    <w:rsid w:val="00CB775B"/>
    <w:rsid w:val="00CC0C97"/>
    <w:rsid w:val="00CC1084"/>
    <w:rsid w:val="00CC1AA2"/>
    <w:rsid w:val="00CC1AB7"/>
    <w:rsid w:val="00CC1B49"/>
    <w:rsid w:val="00CC1ECA"/>
    <w:rsid w:val="00CC2695"/>
    <w:rsid w:val="00CC2F51"/>
    <w:rsid w:val="00CC318C"/>
    <w:rsid w:val="00CC326B"/>
    <w:rsid w:val="00CC3ACA"/>
    <w:rsid w:val="00CC4196"/>
    <w:rsid w:val="00CC425A"/>
    <w:rsid w:val="00CC42F7"/>
    <w:rsid w:val="00CC4EB8"/>
    <w:rsid w:val="00CC58A2"/>
    <w:rsid w:val="00CC59E8"/>
    <w:rsid w:val="00CC5EC6"/>
    <w:rsid w:val="00CC61F8"/>
    <w:rsid w:val="00CC64E5"/>
    <w:rsid w:val="00CC6A2A"/>
    <w:rsid w:val="00CC6A30"/>
    <w:rsid w:val="00CC6D24"/>
    <w:rsid w:val="00CC711C"/>
    <w:rsid w:val="00CC74ED"/>
    <w:rsid w:val="00CC7A21"/>
    <w:rsid w:val="00CC7B66"/>
    <w:rsid w:val="00CD03F5"/>
    <w:rsid w:val="00CD050E"/>
    <w:rsid w:val="00CD098B"/>
    <w:rsid w:val="00CD0E45"/>
    <w:rsid w:val="00CD1042"/>
    <w:rsid w:val="00CD15EA"/>
    <w:rsid w:val="00CD1A25"/>
    <w:rsid w:val="00CD1C7F"/>
    <w:rsid w:val="00CD2913"/>
    <w:rsid w:val="00CD33B6"/>
    <w:rsid w:val="00CD3D3D"/>
    <w:rsid w:val="00CD3D4C"/>
    <w:rsid w:val="00CD3F42"/>
    <w:rsid w:val="00CD4B37"/>
    <w:rsid w:val="00CD5447"/>
    <w:rsid w:val="00CD5D12"/>
    <w:rsid w:val="00CD5F40"/>
    <w:rsid w:val="00CD72B9"/>
    <w:rsid w:val="00CD7C78"/>
    <w:rsid w:val="00CE09F9"/>
    <w:rsid w:val="00CE11FE"/>
    <w:rsid w:val="00CE1F1D"/>
    <w:rsid w:val="00CE242B"/>
    <w:rsid w:val="00CE3256"/>
    <w:rsid w:val="00CE3287"/>
    <w:rsid w:val="00CE48C5"/>
    <w:rsid w:val="00CE57A3"/>
    <w:rsid w:val="00CE7099"/>
    <w:rsid w:val="00CE73E0"/>
    <w:rsid w:val="00CF0082"/>
    <w:rsid w:val="00CF02A2"/>
    <w:rsid w:val="00CF0A2A"/>
    <w:rsid w:val="00CF0AB2"/>
    <w:rsid w:val="00CF0B9E"/>
    <w:rsid w:val="00CF1388"/>
    <w:rsid w:val="00CF142B"/>
    <w:rsid w:val="00CF186C"/>
    <w:rsid w:val="00CF3F6B"/>
    <w:rsid w:val="00CF45C5"/>
    <w:rsid w:val="00CF4C38"/>
    <w:rsid w:val="00CF50EC"/>
    <w:rsid w:val="00CF56BC"/>
    <w:rsid w:val="00CF5A7D"/>
    <w:rsid w:val="00CF5D77"/>
    <w:rsid w:val="00CF5EDF"/>
    <w:rsid w:val="00CF6ACD"/>
    <w:rsid w:val="00CF7372"/>
    <w:rsid w:val="00CF7436"/>
    <w:rsid w:val="00CF7B1D"/>
    <w:rsid w:val="00D00D7B"/>
    <w:rsid w:val="00D0184F"/>
    <w:rsid w:val="00D02945"/>
    <w:rsid w:val="00D02AB5"/>
    <w:rsid w:val="00D02F8C"/>
    <w:rsid w:val="00D030A2"/>
    <w:rsid w:val="00D037D2"/>
    <w:rsid w:val="00D04219"/>
    <w:rsid w:val="00D0467D"/>
    <w:rsid w:val="00D0483B"/>
    <w:rsid w:val="00D04E8E"/>
    <w:rsid w:val="00D04F3C"/>
    <w:rsid w:val="00D06573"/>
    <w:rsid w:val="00D06913"/>
    <w:rsid w:val="00D06FE0"/>
    <w:rsid w:val="00D07D0A"/>
    <w:rsid w:val="00D10754"/>
    <w:rsid w:val="00D10F0F"/>
    <w:rsid w:val="00D11D4C"/>
    <w:rsid w:val="00D12B92"/>
    <w:rsid w:val="00D12C76"/>
    <w:rsid w:val="00D13299"/>
    <w:rsid w:val="00D132CF"/>
    <w:rsid w:val="00D13F65"/>
    <w:rsid w:val="00D13FB7"/>
    <w:rsid w:val="00D1446C"/>
    <w:rsid w:val="00D1529A"/>
    <w:rsid w:val="00D167D0"/>
    <w:rsid w:val="00D17033"/>
    <w:rsid w:val="00D172C3"/>
    <w:rsid w:val="00D1798C"/>
    <w:rsid w:val="00D1798E"/>
    <w:rsid w:val="00D2030E"/>
    <w:rsid w:val="00D20915"/>
    <w:rsid w:val="00D20FF6"/>
    <w:rsid w:val="00D2247A"/>
    <w:rsid w:val="00D228DC"/>
    <w:rsid w:val="00D23AB5"/>
    <w:rsid w:val="00D245FD"/>
    <w:rsid w:val="00D24B39"/>
    <w:rsid w:val="00D24BB1"/>
    <w:rsid w:val="00D24DD2"/>
    <w:rsid w:val="00D27B80"/>
    <w:rsid w:val="00D309EB"/>
    <w:rsid w:val="00D322E0"/>
    <w:rsid w:val="00D32476"/>
    <w:rsid w:val="00D329A1"/>
    <w:rsid w:val="00D334E6"/>
    <w:rsid w:val="00D33507"/>
    <w:rsid w:val="00D33D45"/>
    <w:rsid w:val="00D3426D"/>
    <w:rsid w:val="00D34C82"/>
    <w:rsid w:val="00D34E0E"/>
    <w:rsid w:val="00D351E6"/>
    <w:rsid w:val="00D37A91"/>
    <w:rsid w:val="00D37AC2"/>
    <w:rsid w:val="00D4105E"/>
    <w:rsid w:val="00D41585"/>
    <w:rsid w:val="00D4239A"/>
    <w:rsid w:val="00D42C1F"/>
    <w:rsid w:val="00D43181"/>
    <w:rsid w:val="00D43243"/>
    <w:rsid w:val="00D438DF"/>
    <w:rsid w:val="00D43A2F"/>
    <w:rsid w:val="00D43A79"/>
    <w:rsid w:val="00D43BC6"/>
    <w:rsid w:val="00D43C1A"/>
    <w:rsid w:val="00D446C2"/>
    <w:rsid w:val="00D448AC"/>
    <w:rsid w:val="00D44C83"/>
    <w:rsid w:val="00D44EBB"/>
    <w:rsid w:val="00D44F6D"/>
    <w:rsid w:val="00D45055"/>
    <w:rsid w:val="00D45A1E"/>
    <w:rsid w:val="00D46285"/>
    <w:rsid w:val="00D46D90"/>
    <w:rsid w:val="00D472D2"/>
    <w:rsid w:val="00D47968"/>
    <w:rsid w:val="00D503A5"/>
    <w:rsid w:val="00D513E1"/>
    <w:rsid w:val="00D51788"/>
    <w:rsid w:val="00D5220B"/>
    <w:rsid w:val="00D5255E"/>
    <w:rsid w:val="00D53691"/>
    <w:rsid w:val="00D53DB6"/>
    <w:rsid w:val="00D54217"/>
    <w:rsid w:val="00D551DF"/>
    <w:rsid w:val="00D5575E"/>
    <w:rsid w:val="00D55E7C"/>
    <w:rsid w:val="00D55FC0"/>
    <w:rsid w:val="00D569A1"/>
    <w:rsid w:val="00D573E2"/>
    <w:rsid w:val="00D5742D"/>
    <w:rsid w:val="00D57F5C"/>
    <w:rsid w:val="00D60749"/>
    <w:rsid w:val="00D614EE"/>
    <w:rsid w:val="00D61DD3"/>
    <w:rsid w:val="00D62577"/>
    <w:rsid w:val="00D6285B"/>
    <w:rsid w:val="00D628BF"/>
    <w:rsid w:val="00D638FF"/>
    <w:rsid w:val="00D63AC7"/>
    <w:rsid w:val="00D64014"/>
    <w:rsid w:val="00D64CA0"/>
    <w:rsid w:val="00D6568A"/>
    <w:rsid w:val="00D65BF2"/>
    <w:rsid w:val="00D66699"/>
    <w:rsid w:val="00D6696C"/>
    <w:rsid w:val="00D67073"/>
    <w:rsid w:val="00D679C1"/>
    <w:rsid w:val="00D70AA9"/>
    <w:rsid w:val="00D71023"/>
    <w:rsid w:val="00D71981"/>
    <w:rsid w:val="00D71B29"/>
    <w:rsid w:val="00D71BDD"/>
    <w:rsid w:val="00D72027"/>
    <w:rsid w:val="00D723C7"/>
    <w:rsid w:val="00D724B6"/>
    <w:rsid w:val="00D72CDC"/>
    <w:rsid w:val="00D73436"/>
    <w:rsid w:val="00D735C0"/>
    <w:rsid w:val="00D737E8"/>
    <w:rsid w:val="00D7407C"/>
    <w:rsid w:val="00D74EAC"/>
    <w:rsid w:val="00D75402"/>
    <w:rsid w:val="00D76307"/>
    <w:rsid w:val="00D7638E"/>
    <w:rsid w:val="00D77B90"/>
    <w:rsid w:val="00D8138E"/>
    <w:rsid w:val="00D81BC9"/>
    <w:rsid w:val="00D8276E"/>
    <w:rsid w:val="00D827C8"/>
    <w:rsid w:val="00D82B56"/>
    <w:rsid w:val="00D83A7F"/>
    <w:rsid w:val="00D843FC"/>
    <w:rsid w:val="00D84A98"/>
    <w:rsid w:val="00D84E53"/>
    <w:rsid w:val="00D851E1"/>
    <w:rsid w:val="00D856E3"/>
    <w:rsid w:val="00D857D4"/>
    <w:rsid w:val="00D8621E"/>
    <w:rsid w:val="00D86562"/>
    <w:rsid w:val="00D86909"/>
    <w:rsid w:val="00D86C52"/>
    <w:rsid w:val="00D90572"/>
    <w:rsid w:val="00D90FEC"/>
    <w:rsid w:val="00D911C5"/>
    <w:rsid w:val="00D91C49"/>
    <w:rsid w:val="00D92475"/>
    <w:rsid w:val="00D9255B"/>
    <w:rsid w:val="00D92E83"/>
    <w:rsid w:val="00D931D9"/>
    <w:rsid w:val="00D93A79"/>
    <w:rsid w:val="00D93DF6"/>
    <w:rsid w:val="00D944C3"/>
    <w:rsid w:val="00D946B7"/>
    <w:rsid w:val="00D9495E"/>
    <w:rsid w:val="00D9586A"/>
    <w:rsid w:val="00D95A48"/>
    <w:rsid w:val="00D962C1"/>
    <w:rsid w:val="00D964DC"/>
    <w:rsid w:val="00D966A5"/>
    <w:rsid w:val="00D969AB"/>
    <w:rsid w:val="00D96A2D"/>
    <w:rsid w:val="00D96C7F"/>
    <w:rsid w:val="00D96FD3"/>
    <w:rsid w:val="00D97177"/>
    <w:rsid w:val="00D9726E"/>
    <w:rsid w:val="00D97DA2"/>
    <w:rsid w:val="00D97F28"/>
    <w:rsid w:val="00DA06FD"/>
    <w:rsid w:val="00DA16BE"/>
    <w:rsid w:val="00DA1825"/>
    <w:rsid w:val="00DA1DAD"/>
    <w:rsid w:val="00DA2576"/>
    <w:rsid w:val="00DA2801"/>
    <w:rsid w:val="00DA308F"/>
    <w:rsid w:val="00DA3452"/>
    <w:rsid w:val="00DA38CD"/>
    <w:rsid w:val="00DA3BEB"/>
    <w:rsid w:val="00DA47E0"/>
    <w:rsid w:val="00DA66FE"/>
    <w:rsid w:val="00DA6913"/>
    <w:rsid w:val="00DA7584"/>
    <w:rsid w:val="00DA78BE"/>
    <w:rsid w:val="00DA7B53"/>
    <w:rsid w:val="00DA7BBD"/>
    <w:rsid w:val="00DB0490"/>
    <w:rsid w:val="00DB0758"/>
    <w:rsid w:val="00DB1FB4"/>
    <w:rsid w:val="00DB217C"/>
    <w:rsid w:val="00DB236D"/>
    <w:rsid w:val="00DB23FF"/>
    <w:rsid w:val="00DB31F0"/>
    <w:rsid w:val="00DB3331"/>
    <w:rsid w:val="00DB390F"/>
    <w:rsid w:val="00DB40B5"/>
    <w:rsid w:val="00DB483C"/>
    <w:rsid w:val="00DB4891"/>
    <w:rsid w:val="00DB4AAE"/>
    <w:rsid w:val="00DB4E25"/>
    <w:rsid w:val="00DB5249"/>
    <w:rsid w:val="00DB55E6"/>
    <w:rsid w:val="00DB5701"/>
    <w:rsid w:val="00DB6AB0"/>
    <w:rsid w:val="00DB7FFE"/>
    <w:rsid w:val="00DC01CA"/>
    <w:rsid w:val="00DC06BF"/>
    <w:rsid w:val="00DC2846"/>
    <w:rsid w:val="00DC28C1"/>
    <w:rsid w:val="00DC2DD0"/>
    <w:rsid w:val="00DC336E"/>
    <w:rsid w:val="00DC376F"/>
    <w:rsid w:val="00DC3A6D"/>
    <w:rsid w:val="00DC3B9A"/>
    <w:rsid w:val="00DC437F"/>
    <w:rsid w:val="00DC66FC"/>
    <w:rsid w:val="00DC697C"/>
    <w:rsid w:val="00DC746A"/>
    <w:rsid w:val="00DC785F"/>
    <w:rsid w:val="00DC7BB8"/>
    <w:rsid w:val="00DD0288"/>
    <w:rsid w:val="00DD0518"/>
    <w:rsid w:val="00DD09F0"/>
    <w:rsid w:val="00DD0AD2"/>
    <w:rsid w:val="00DD15A7"/>
    <w:rsid w:val="00DD1DE6"/>
    <w:rsid w:val="00DD241B"/>
    <w:rsid w:val="00DD2A24"/>
    <w:rsid w:val="00DD2E73"/>
    <w:rsid w:val="00DD2F0F"/>
    <w:rsid w:val="00DD3126"/>
    <w:rsid w:val="00DD3461"/>
    <w:rsid w:val="00DD3A3F"/>
    <w:rsid w:val="00DD435A"/>
    <w:rsid w:val="00DD463F"/>
    <w:rsid w:val="00DD4D45"/>
    <w:rsid w:val="00DD5544"/>
    <w:rsid w:val="00DD58C9"/>
    <w:rsid w:val="00DD7617"/>
    <w:rsid w:val="00DD767B"/>
    <w:rsid w:val="00DD99A5"/>
    <w:rsid w:val="00DE0B4B"/>
    <w:rsid w:val="00DE2825"/>
    <w:rsid w:val="00DE542A"/>
    <w:rsid w:val="00DE5EBD"/>
    <w:rsid w:val="00DE6467"/>
    <w:rsid w:val="00DE64B5"/>
    <w:rsid w:val="00DE673F"/>
    <w:rsid w:val="00DE6D9F"/>
    <w:rsid w:val="00DE6E4E"/>
    <w:rsid w:val="00DE7321"/>
    <w:rsid w:val="00DE7343"/>
    <w:rsid w:val="00DE7A47"/>
    <w:rsid w:val="00DF00DC"/>
    <w:rsid w:val="00DF00E7"/>
    <w:rsid w:val="00DF088C"/>
    <w:rsid w:val="00DF0A4D"/>
    <w:rsid w:val="00DF0AA3"/>
    <w:rsid w:val="00DF10DB"/>
    <w:rsid w:val="00DF1B5F"/>
    <w:rsid w:val="00DF26BF"/>
    <w:rsid w:val="00DF30B0"/>
    <w:rsid w:val="00DF32FF"/>
    <w:rsid w:val="00DF3A24"/>
    <w:rsid w:val="00DF41BB"/>
    <w:rsid w:val="00DF4BF0"/>
    <w:rsid w:val="00DF4CC4"/>
    <w:rsid w:val="00DF5505"/>
    <w:rsid w:val="00DF586C"/>
    <w:rsid w:val="00DF598E"/>
    <w:rsid w:val="00DF60B4"/>
    <w:rsid w:val="00DF632A"/>
    <w:rsid w:val="00DF71DD"/>
    <w:rsid w:val="00DF7473"/>
    <w:rsid w:val="00DF7C53"/>
    <w:rsid w:val="00E00318"/>
    <w:rsid w:val="00E00450"/>
    <w:rsid w:val="00E009D4"/>
    <w:rsid w:val="00E01627"/>
    <w:rsid w:val="00E019AB"/>
    <w:rsid w:val="00E01A1B"/>
    <w:rsid w:val="00E01CB9"/>
    <w:rsid w:val="00E02F46"/>
    <w:rsid w:val="00E02F73"/>
    <w:rsid w:val="00E03746"/>
    <w:rsid w:val="00E051CA"/>
    <w:rsid w:val="00E053D4"/>
    <w:rsid w:val="00E05EE8"/>
    <w:rsid w:val="00E068D0"/>
    <w:rsid w:val="00E0742E"/>
    <w:rsid w:val="00E07530"/>
    <w:rsid w:val="00E0770B"/>
    <w:rsid w:val="00E07857"/>
    <w:rsid w:val="00E103C1"/>
    <w:rsid w:val="00E10835"/>
    <w:rsid w:val="00E1083D"/>
    <w:rsid w:val="00E10A47"/>
    <w:rsid w:val="00E10AF2"/>
    <w:rsid w:val="00E11654"/>
    <w:rsid w:val="00E11C0F"/>
    <w:rsid w:val="00E12D9E"/>
    <w:rsid w:val="00E13215"/>
    <w:rsid w:val="00E13B58"/>
    <w:rsid w:val="00E13DCF"/>
    <w:rsid w:val="00E1436B"/>
    <w:rsid w:val="00E1477E"/>
    <w:rsid w:val="00E14DA0"/>
    <w:rsid w:val="00E1502C"/>
    <w:rsid w:val="00E15AD7"/>
    <w:rsid w:val="00E15DD3"/>
    <w:rsid w:val="00E16413"/>
    <w:rsid w:val="00E168ED"/>
    <w:rsid w:val="00E17CE7"/>
    <w:rsid w:val="00E20916"/>
    <w:rsid w:val="00E228F7"/>
    <w:rsid w:val="00E22DFD"/>
    <w:rsid w:val="00E238FB"/>
    <w:rsid w:val="00E23F36"/>
    <w:rsid w:val="00E2471B"/>
    <w:rsid w:val="00E2730D"/>
    <w:rsid w:val="00E2763B"/>
    <w:rsid w:val="00E278F6"/>
    <w:rsid w:val="00E27F8E"/>
    <w:rsid w:val="00E31E20"/>
    <w:rsid w:val="00E320A3"/>
    <w:rsid w:val="00E32854"/>
    <w:rsid w:val="00E33687"/>
    <w:rsid w:val="00E339FA"/>
    <w:rsid w:val="00E33AF0"/>
    <w:rsid w:val="00E34266"/>
    <w:rsid w:val="00E3488E"/>
    <w:rsid w:val="00E34D23"/>
    <w:rsid w:val="00E35D2B"/>
    <w:rsid w:val="00E360A7"/>
    <w:rsid w:val="00E37041"/>
    <w:rsid w:val="00E370A3"/>
    <w:rsid w:val="00E373E4"/>
    <w:rsid w:val="00E406F6"/>
    <w:rsid w:val="00E4143E"/>
    <w:rsid w:val="00E41DA5"/>
    <w:rsid w:val="00E428BF"/>
    <w:rsid w:val="00E4295B"/>
    <w:rsid w:val="00E4337D"/>
    <w:rsid w:val="00E434C8"/>
    <w:rsid w:val="00E43578"/>
    <w:rsid w:val="00E43900"/>
    <w:rsid w:val="00E43FB6"/>
    <w:rsid w:val="00E44D5A"/>
    <w:rsid w:val="00E44FD4"/>
    <w:rsid w:val="00E45005"/>
    <w:rsid w:val="00E45774"/>
    <w:rsid w:val="00E45B2D"/>
    <w:rsid w:val="00E46B33"/>
    <w:rsid w:val="00E47072"/>
    <w:rsid w:val="00E470EB"/>
    <w:rsid w:val="00E476D1"/>
    <w:rsid w:val="00E47B95"/>
    <w:rsid w:val="00E47F08"/>
    <w:rsid w:val="00E5004C"/>
    <w:rsid w:val="00E5061B"/>
    <w:rsid w:val="00E50834"/>
    <w:rsid w:val="00E50BAC"/>
    <w:rsid w:val="00E50E01"/>
    <w:rsid w:val="00E516E0"/>
    <w:rsid w:val="00E521B8"/>
    <w:rsid w:val="00E52314"/>
    <w:rsid w:val="00E52636"/>
    <w:rsid w:val="00E52746"/>
    <w:rsid w:val="00E5277A"/>
    <w:rsid w:val="00E52834"/>
    <w:rsid w:val="00E52B7F"/>
    <w:rsid w:val="00E533C0"/>
    <w:rsid w:val="00E533F2"/>
    <w:rsid w:val="00E534AB"/>
    <w:rsid w:val="00E53AA1"/>
    <w:rsid w:val="00E54459"/>
    <w:rsid w:val="00E55072"/>
    <w:rsid w:val="00E55816"/>
    <w:rsid w:val="00E55FA8"/>
    <w:rsid w:val="00E565F3"/>
    <w:rsid w:val="00E56A4D"/>
    <w:rsid w:val="00E56AE6"/>
    <w:rsid w:val="00E56B82"/>
    <w:rsid w:val="00E56E03"/>
    <w:rsid w:val="00E56EB2"/>
    <w:rsid w:val="00E574BC"/>
    <w:rsid w:val="00E57C39"/>
    <w:rsid w:val="00E5AD83"/>
    <w:rsid w:val="00E6029F"/>
    <w:rsid w:val="00E602FF"/>
    <w:rsid w:val="00E60780"/>
    <w:rsid w:val="00E610AD"/>
    <w:rsid w:val="00E61393"/>
    <w:rsid w:val="00E618F7"/>
    <w:rsid w:val="00E61A57"/>
    <w:rsid w:val="00E61EC7"/>
    <w:rsid w:val="00E62498"/>
    <w:rsid w:val="00E630F9"/>
    <w:rsid w:val="00E63294"/>
    <w:rsid w:val="00E636D7"/>
    <w:rsid w:val="00E63D68"/>
    <w:rsid w:val="00E644ED"/>
    <w:rsid w:val="00E650EF"/>
    <w:rsid w:val="00E66D11"/>
    <w:rsid w:val="00E66D15"/>
    <w:rsid w:val="00E67A1B"/>
    <w:rsid w:val="00E67D08"/>
    <w:rsid w:val="00E708AE"/>
    <w:rsid w:val="00E70920"/>
    <w:rsid w:val="00E70A07"/>
    <w:rsid w:val="00E711A2"/>
    <w:rsid w:val="00E71ABA"/>
    <w:rsid w:val="00E720AA"/>
    <w:rsid w:val="00E72613"/>
    <w:rsid w:val="00E72D55"/>
    <w:rsid w:val="00E73A25"/>
    <w:rsid w:val="00E73A82"/>
    <w:rsid w:val="00E73C9E"/>
    <w:rsid w:val="00E74731"/>
    <w:rsid w:val="00E748E3"/>
    <w:rsid w:val="00E74DFB"/>
    <w:rsid w:val="00E7579A"/>
    <w:rsid w:val="00E75A91"/>
    <w:rsid w:val="00E75AC3"/>
    <w:rsid w:val="00E75EC8"/>
    <w:rsid w:val="00E766AA"/>
    <w:rsid w:val="00E7683A"/>
    <w:rsid w:val="00E77D85"/>
    <w:rsid w:val="00E8077B"/>
    <w:rsid w:val="00E8080F"/>
    <w:rsid w:val="00E80DD4"/>
    <w:rsid w:val="00E81467"/>
    <w:rsid w:val="00E82480"/>
    <w:rsid w:val="00E82742"/>
    <w:rsid w:val="00E8294A"/>
    <w:rsid w:val="00E84519"/>
    <w:rsid w:val="00E8492C"/>
    <w:rsid w:val="00E84EC7"/>
    <w:rsid w:val="00E85733"/>
    <w:rsid w:val="00E86010"/>
    <w:rsid w:val="00E86971"/>
    <w:rsid w:val="00E86994"/>
    <w:rsid w:val="00E86999"/>
    <w:rsid w:val="00E86A6C"/>
    <w:rsid w:val="00E876F2"/>
    <w:rsid w:val="00E9017F"/>
    <w:rsid w:val="00E90E08"/>
    <w:rsid w:val="00E91055"/>
    <w:rsid w:val="00E914AB"/>
    <w:rsid w:val="00E91F0F"/>
    <w:rsid w:val="00E9292E"/>
    <w:rsid w:val="00E93445"/>
    <w:rsid w:val="00E93968"/>
    <w:rsid w:val="00E93A69"/>
    <w:rsid w:val="00E93E70"/>
    <w:rsid w:val="00E94067"/>
    <w:rsid w:val="00E94703"/>
    <w:rsid w:val="00E9577A"/>
    <w:rsid w:val="00E95B58"/>
    <w:rsid w:val="00E95E07"/>
    <w:rsid w:val="00E95FC1"/>
    <w:rsid w:val="00E96079"/>
    <w:rsid w:val="00E96A2B"/>
    <w:rsid w:val="00E96CE4"/>
    <w:rsid w:val="00E96F9C"/>
    <w:rsid w:val="00E9781E"/>
    <w:rsid w:val="00E97858"/>
    <w:rsid w:val="00E97A4E"/>
    <w:rsid w:val="00E97A90"/>
    <w:rsid w:val="00E97B38"/>
    <w:rsid w:val="00EA0271"/>
    <w:rsid w:val="00EA0E18"/>
    <w:rsid w:val="00EA2DDD"/>
    <w:rsid w:val="00EA2E77"/>
    <w:rsid w:val="00EA3A2F"/>
    <w:rsid w:val="00EA3D02"/>
    <w:rsid w:val="00EA44A0"/>
    <w:rsid w:val="00EA52A8"/>
    <w:rsid w:val="00EA5BCF"/>
    <w:rsid w:val="00EA661F"/>
    <w:rsid w:val="00EB0299"/>
    <w:rsid w:val="00EB0324"/>
    <w:rsid w:val="00EB1321"/>
    <w:rsid w:val="00EB151A"/>
    <w:rsid w:val="00EB1F17"/>
    <w:rsid w:val="00EB1FD2"/>
    <w:rsid w:val="00EB313D"/>
    <w:rsid w:val="00EB5D30"/>
    <w:rsid w:val="00EB61CE"/>
    <w:rsid w:val="00EB61D2"/>
    <w:rsid w:val="00EB6464"/>
    <w:rsid w:val="00EB6B03"/>
    <w:rsid w:val="00EB6BBE"/>
    <w:rsid w:val="00EB7011"/>
    <w:rsid w:val="00EB70CC"/>
    <w:rsid w:val="00EB715C"/>
    <w:rsid w:val="00EB78CD"/>
    <w:rsid w:val="00EC00B7"/>
    <w:rsid w:val="00EC01FB"/>
    <w:rsid w:val="00EC0B3C"/>
    <w:rsid w:val="00EC16DA"/>
    <w:rsid w:val="00EC17F6"/>
    <w:rsid w:val="00EC20F1"/>
    <w:rsid w:val="00EC2CF1"/>
    <w:rsid w:val="00EC4A11"/>
    <w:rsid w:val="00EC4BDA"/>
    <w:rsid w:val="00EC5433"/>
    <w:rsid w:val="00EC56A7"/>
    <w:rsid w:val="00EC58FD"/>
    <w:rsid w:val="00EC61BD"/>
    <w:rsid w:val="00EC6527"/>
    <w:rsid w:val="00EC7385"/>
    <w:rsid w:val="00EC7D08"/>
    <w:rsid w:val="00EC7F3E"/>
    <w:rsid w:val="00ED0EA3"/>
    <w:rsid w:val="00ED0F35"/>
    <w:rsid w:val="00ED0FC9"/>
    <w:rsid w:val="00ED16D9"/>
    <w:rsid w:val="00ED173D"/>
    <w:rsid w:val="00ED1819"/>
    <w:rsid w:val="00ED1F36"/>
    <w:rsid w:val="00ED2075"/>
    <w:rsid w:val="00ED217C"/>
    <w:rsid w:val="00ED219B"/>
    <w:rsid w:val="00ED31DF"/>
    <w:rsid w:val="00ED39AE"/>
    <w:rsid w:val="00ED3C60"/>
    <w:rsid w:val="00ED49C5"/>
    <w:rsid w:val="00ED4C38"/>
    <w:rsid w:val="00ED549F"/>
    <w:rsid w:val="00ED5B0F"/>
    <w:rsid w:val="00ED6066"/>
    <w:rsid w:val="00ED68B1"/>
    <w:rsid w:val="00ED6941"/>
    <w:rsid w:val="00ED7E34"/>
    <w:rsid w:val="00EE0CFE"/>
    <w:rsid w:val="00EE2250"/>
    <w:rsid w:val="00EE281E"/>
    <w:rsid w:val="00EE3A63"/>
    <w:rsid w:val="00EE4FA1"/>
    <w:rsid w:val="00EE50C0"/>
    <w:rsid w:val="00EE5FB4"/>
    <w:rsid w:val="00EE6381"/>
    <w:rsid w:val="00EE6535"/>
    <w:rsid w:val="00EE7209"/>
    <w:rsid w:val="00EE77EA"/>
    <w:rsid w:val="00EF14ED"/>
    <w:rsid w:val="00EF15F9"/>
    <w:rsid w:val="00EF206F"/>
    <w:rsid w:val="00EF28F8"/>
    <w:rsid w:val="00EF33CF"/>
    <w:rsid w:val="00EF3AA3"/>
    <w:rsid w:val="00EF4B01"/>
    <w:rsid w:val="00EF4C8F"/>
    <w:rsid w:val="00EF5352"/>
    <w:rsid w:val="00EF5ABC"/>
    <w:rsid w:val="00EF6AAE"/>
    <w:rsid w:val="00F01234"/>
    <w:rsid w:val="00F017FF"/>
    <w:rsid w:val="00F0180C"/>
    <w:rsid w:val="00F024E4"/>
    <w:rsid w:val="00F03010"/>
    <w:rsid w:val="00F04C6F"/>
    <w:rsid w:val="00F05213"/>
    <w:rsid w:val="00F06122"/>
    <w:rsid w:val="00F06D11"/>
    <w:rsid w:val="00F07047"/>
    <w:rsid w:val="00F072AE"/>
    <w:rsid w:val="00F07622"/>
    <w:rsid w:val="00F078F4"/>
    <w:rsid w:val="00F1183A"/>
    <w:rsid w:val="00F11F63"/>
    <w:rsid w:val="00F12857"/>
    <w:rsid w:val="00F13016"/>
    <w:rsid w:val="00F13488"/>
    <w:rsid w:val="00F13FD2"/>
    <w:rsid w:val="00F146F5"/>
    <w:rsid w:val="00F14936"/>
    <w:rsid w:val="00F14B46"/>
    <w:rsid w:val="00F14EF8"/>
    <w:rsid w:val="00F15F76"/>
    <w:rsid w:val="00F164A4"/>
    <w:rsid w:val="00F16FAE"/>
    <w:rsid w:val="00F1732F"/>
    <w:rsid w:val="00F17D3F"/>
    <w:rsid w:val="00F2057D"/>
    <w:rsid w:val="00F206B5"/>
    <w:rsid w:val="00F21328"/>
    <w:rsid w:val="00F21F95"/>
    <w:rsid w:val="00F22101"/>
    <w:rsid w:val="00F22866"/>
    <w:rsid w:val="00F23EB6"/>
    <w:rsid w:val="00F23EBA"/>
    <w:rsid w:val="00F24156"/>
    <w:rsid w:val="00F259AF"/>
    <w:rsid w:val="00F263B6"/>
    <w:rsid w:val="00F2648B"/>
    <w:rsid w:val="00F2681C"/>
    <w:rsid w:val="00F26A98"/>
    <w:rsid w:val="00F3042F"/>
    <w:rsid w:val="00F30873"/>
    <w:rsid w:val="00F30BDE"/>
    <w:rsid w:val="00F30BF1"/>
    <w:rsid w:val="00F32068"/>
    <w:rsid w:val="00F3242A"/>
    <w:rsid w:val="00F32AF5"/>
    <w:rsid w:val="00F33027"/>
    <w:rsid w:val="00F3324D"/>
    <w:rsid w:val="00F3349E"/>
    <w:rsid w:val="00F33720"/>
    <w:rsid w:val="00F33CC2"/>
    <w:rsid w:val="00F33FAC"/>
    <w:rsid w:val="00F340E5"/>
    <w:rsid w:val="00F348A9"/>
    <w:rsid w:val="00F348AD"/>
    <w:rsid w:val="00F34F11"/>
    <w:rsid w:val="00F3565D"/>
    <w:rsid w:val="00F35F6F"/>
    <w:rsid w:val="00F3782B"/>
    <w:rsid w:val="00F408D4"/>
    <w:rsid w:val="00F40922"/>
    <w:rsid w:val="00F40A50"/>
    <w:rsid w:val="00F40B77"/>
    <w:rsid w:val="00F40C09"/>
    <w:rsid w:val="00F40FD4"/>
    <w:rsid w:val="00F41025"/>
    <w:rsid w:val="00F415E5"/>
    <w:rsid w:val="00F418F0"/>
    <w:rsid w:val="00F41D11"/>
    <w:rsid w:val="00F42527"/>
    <w:rsid w:val="00F4289A"/>
    <w:rsid w:val="00F42CC8"/>
    <w:rsid w:val="00F4406F"/>
    <w:rsid w:val="00F449EB"/>
    <w:rsid w:val="00F44C12"/>
    <w:rsid w:val="00F45031"/>
    <w:rsid w:val="00F4510D"/>
    <w:rsid w:val="00F45160"/>
    <w:rsid w:val="00F455F0"/>
    <w:rsid w:val="00F4570C"/>
    <w:rsid w:val="00F45AD2"/>
    <w:rsid w:val="00F464F8"/>
    <w:rsid w:val="00F467E4"/>
    <w:rsid w:val="00F46BB6"/>
    <w:rsid w:val="00F47600"/>
    <w:rsid w:val="00F476EA"/>
    <w:rsid w:val="00F50313"/>
    <w:rsid w:val="00F5041C"/>
    <w:rsid w:val="00F515BA"/>
    <w:rsid w:val="00F5186B"/>
    <w:rsid w:val="00F51FE9"/>
    <w:rsid w:val="00F52773"/>
    <w:rsid w:val="00F527AE"/>
    <w:rsid w:val="00F52E74"/>
    <w:rsid w:val="00F530C5"/>
    <w:rsid w:val="00F530FB"/>
    <w:rsid w:val="00F53331"/>
    <w:rsid w:val="00F535FC"/>
    <w:rsid w:val="00F53F72"/>
    <w:rsid w:val="00F54435"/>
    <w:rsid w:val="00F54838"/>
    <w:rsid w:val="00F54D3A"/>
    <w:rsid w:val="00F554E0"/>
    <w:rsid w:val="00F558BD"/>
    <w:rsid w:val="00F562F7"/>
    <w:rsid w:val="00F56858"/>
    <w:rsid w:val="00F56E00"/>
    <w:rsid w:val="00F57522"/>
    <w:rsid w:val="00F575C4"/>
    <w:rsid w:val="00F577E8"/>
    <w:rsid w:val="00F57E3C"/>
    <w:rsid w:val="00F6087B"/>
    <w:rsid w:val="00F60D1D"/>
    <w:rsid w:val="00F615BA"/>
    <w:rsid w:val="00F615D7"/>
    <w:rsid w:val="00F618C1"/>
    <w:rsid w:val="00F61D10"/>
    <w:rsid w:val="00F61DF7"/>
    <w:rsid w:val="00F63246"/>
    <w:rsid w:val="00F64173"/>
    <w:rsid w:val="00F643E1"/>
    <w:rsid w:val="00F64829"/>
    <w:rsid w:val="00F65A30"/>
    <w:rsid w:val="00F65AFA"/>
    <w:rsid w:val="00F65DAD"/>
    <w:rsid w:val="00F666B7"/>
    <w:rsid w:val="00F67775"/>
    <w:rsid w:val="00F67AB4"/>
    <w:rsid w:val="00F67D6C"/>
    <w:rsid w:val="00F67ED5"/>
    <w:rsid w:val="00F70F53"/>
    <w:rsid w:val="00F71749"/>
    <w:rsid w:val="00F71CDA"/>
    <w:rsid w:val="00F72557"/>
    <w:rsid w:val="00F7286E"/>
    <w:rsid w:val="00F72D9F"/>
    <w:rsid w:val="00F731A0"/>
    <w:rsid w:val="00F734AA"/>
    <w:rsid w:val="00F7356E"/>
    <w:rsid w:val="00F73AC6"/>
    <w:rsid w:val="00F74BBF"/>
    <w:rsid w:val="00F7560C"/>
    <w:rsid w:val="00F7643D"/>
    <w:rsid w:val="00F7674B"/>
    <w:rsid w:val="00F76C77"/>
    <w:rsid w:val="00F77267"/>
    <w:rsid w:val="00F77300"/>
    <w:rsid w:val="00F777D9"/>
    <w:rsid w:val="00F8089E"/>
    <w:rsid w:val="00F815BE"/>
    <w:rsid w:val="00F816ED"/>
    <w:rsid w:val="00F81F2A"/>
    <w:rsid w:val="00F8261E"/>
    <w:rsid w:val="00F82A8F"/>
    <w:rsid w:val="00F830AC"/>
    <w:rsid w:val="00F834A7"/>
    <w:rsid w:val="00F834F8"/>
    <w:rsid w:val="00F839AA"/>
    <w:rsid w:val="00F8455D"/>
    <w:rsid w:val="00F84D6C"/>
    <w:rsid w:val="00F8543A"/>
    <w:rsid w:val="00F85D53"/>
    <w:rsid w:val="00F8687F"/>
    <w:rsid w:val="00F86F1C"/>
    <w:rsid w:val="00F87137"/>
    <w:rsid w:val="00F8755A"/>
    <w:rsid w:val="00F87611"/>
    <w:rsid w:val="00F87A4A"/>
    <w:rsid w:val="00F87C9A"/>
    <w:rsid w:val="00F87FDE"/>
    <w:rsid w:val="00F90A3C"/>
    <w:rsid w:val="00F917D3"/>
    <w:rsid w:val="00F91A66"/>
    <w:rsid w:val="00F92031"/>
    <w:rsid w:val="00F9222C"/>
    <w:rsid w:val="00F9280C"/>
    <w:rsid w:val="00F9281E"/>
    <w:rsid w:val="00F939BA"/>
    <w:rsid w:val="00F94211"/>
    <w:rsid w:val="00F94E6A"/>
    <w:rsid w:val="00F94EE9"/>
    <w:rsid w:val="00F95195"/>
    <w:rsid w:val="00F95243"/>
    <w:rsid w:val="00F96386"/>
    <w:rsid w:val="00F9645E"/>
    <w:rsid w:val="00F9677E"/>
    <w:rsid w:val="00F969F2"/>
    <w:rsid w:val="00F96C14"/>
    <w:rsid w:val="00F97916"/>
    <w:rsid w:val="00F97B77"/>
    <w:rsid w:val="00F97C7C"/>
    <w:rsid w:val="00F97C97"/>
    <w:rsid w:val="00F97CE8"/>
    <w:rsid w:val="00F97DEC"/>
    <w:rsid w:val="00FA007B"/>
    <w:rsid w:val="00FA0B4C"/>
    <w:rsid w:val="00FA1F5C"/>
    <w:rsid w:val="00FA24CD"/>
    <w:rsid w:val="00FA2B7B"/>
    <w:rsid w:val="00FA2FC3"/>
    <w:rsid w:val="00FA3D5D"/>
    <w:rsid w:val="00FA3D84"/>
    <w:rsid w:val="00FA41D9"/>
    <w:rsid w:val="00FA4445"/>
    <w:rsid w:val="00FA4A17"/>
    <w:rsid w:val="00FA5372"/>
    <w:rsid w:val="00FA6D07"/>
    <w:rsid w:val="00FA72DF"/>
    <w:rsid w:val="00FA7793"/>
    <w:rsid w:val="00FA7840"/>
    <w:rsid w:val="00FA7A7A"/>
    <w:rsid w:val="00FB0F50"/>
    <w:rsid w:val="00FB17EF"/>
    <w:rsid w:val="00FB19E1"/>
    <w:rsid w:val="00FB1F3D"/>
    <w:rsid w:val="00FB2A47"/>
    <w:rsid w:val="00FB2E1C"/>
    <w:rsid w:val="00FB3366"/>
    <w:rsid w:val="00FB3F98"/>
    <w:rsid w:val="00FB441D"/>
    <w:rsid w:val="00FB4782"/>
    <w:rsid w:val="00FB47EE"/>
    <w:rsid w:val="00FB4875"/>
    <w:rsid w:val="00FB4BF3"/>
    <w:rsid w:val="00FB4CD7"/>
    <w:rsid w:val="00FB54A1"/>
    <w:rsid w:val="00FB5DD8"/>
    <w:rsid w:val="00FB60A2"/>
    <w:rsid w:val="00FB65ED"/>
    <w:rsid w:val="00FB6BE1"/>
    <w:rsid w:val="00FC0424"/>
    <w:rsid w:val="00FC09B2"/>
    <w:rsid w:val="00FC09D0"/>
    <w:rsid w:val="00FC0BD3"/>
    <w:rsid w:val="00FC0D5E"/>
    <w:rsid w:val="00FC0E22"/>
    <w:rsid w:val="00FC20AA"/>
    <w:rsid w:val="00FC2754"/>
    <w:rsid w:val="00FC2E4C"/>
    <w:rsid w:val="00FC3312"/>
    <w:rsid w:val="00FC4E0E"/>
    <w:rsid w:val="00FC4E47"/>
    <w:rsid w:val="00FC5269"/>
    <w:rsid w:val="00FC526F"/>
    <w:rsid w:val="00FC5320"/>
    <w:rsid w:val="00FC613B"/>
    <w:rsid w:val="00FC6455"/>
    <w:rsid w:val="00FC7EE0"/>
    <w:rsid w:val="00FD01B1"/>
    <w:rsid w:val="00FD0513"/>
    <w:rsid w:val="00FD0558"/>
    <w:rsid w:val="00FD1569"/>
    <w:rsid w:val="00FD1B97"/>
    <w:rsid w:val="00FD1D7B"/>
    <w:rsid w:val="00FD2525"/>
    <w:rsid w:val="00FD2B87"/>
    <w:rsid w:val="00FD2BF7"/>
    <w:rsid w:val="00FD2BF9"/>
    <w:rsid w:val="00FD2FB9"/>
    <w:rsid w:val="00FD4207"/>
    <w:rsid w:val="00FD4657"/>
    <w:rsid w:val="00FD469C"/>
    <w:rsid w:val="00FD49CF"/>
    <w:rsid w:val="00FD4A6D"/>
    <w:rsid w:val="00FD516C"/>
    <w:rsid w:val="00FD5722"/>
    <w:rsid w:val="00FD5A0E"/>
    <w:rsid w:val="00FD641D"/>
    <w:rsid w:val="00FD688F"/>
    <w:rsid w:val="00FD6B86"/>
    <w:rsid w:val="00FD7224"/>
    <w:rsid w:val="00FE008D"/>
    <w:rsid w:val="00FE04CF"/>
    <w:rsid w:val="00FE1023"/>
    <w:rsid w:val="00FE108C"/>
    <w:rsid w:val="00FE1090"/>
    <w:rsid w:val="00FE1592"/>
    <w:rsid w:val="00FE1B5C"/>
    <w:rsid w:val="00FE24F2"/>
    <w:rsid w:val="00FE2DF2"/>
    <w:rsid w:val="00FE3401"/>
    <w:rsid w:val="00FE3407"/>
    <w:rsid w:val="00FE4BC1"/>
    <w:rsid w:val="00FE5E83"/>
    <w:rsid w:val="00FE64B6"/>
    <w:rsid w:val="00FE70E8"/>
    <w:rsid w:val="00FE7126"/>
    <w:rsid w:val="00FE7EB3"/>
    <w:rsid w:val="00FF018C"/>
    <w:rsid w:val="00FF0531"/>
    <w:rsid w:val="00FF0D33"/>
    <w:rsid w:val="00FF0F21"/>
    <w:rsid w:val="00FF1234"/>
    <w:rsid w:val="00FF1338"/>
    <w:rsid w:val="00FF176A"/>
    <w:rsid w:val="00FF18BE"/>
    <w:rsid w:val="00FF2123"/>
    <w:rsid w:val="00FF2A23"/>
    <w:rsid w:val="00FF2EF5"/>
    <w:rsid w:val="00FF33C4"/>
    <w:rsid w:val="00FF379A"/>
    <w:rsid w:val="00FF4350"/>
    <w:rsid w:val="00FF4492"/>
    <w:rsid w:val="00FF45E0"/>
    <w:rsid w:val="00FF45E7"/>
    <w:rsid w:val="00FF4FE6"/>
    <w:rsid w:val="00FF5166"/>
    <w:rsid w:val="00FF5312"/>
    <w:rsid w:val="00FF5F28"/>
    <w:rsid w:val="00FF6020"/>
    <w:rsid w:val="00FF618D"/>
    <w:rsid w:val="00FF6649"/>
    <w:rsid w:val="00FF698D"/>
    <w:rsid w:val="00FF6E7E"/>
    <w:rsid w:val="00FF70D9"/>
    <w:rsid w:val="00FF7276"/>
    <w:rsid w:val="00FF76AE"/>
    <w:rsid w:val="01041260"/>
    <w:rsid w:val="011C691E"/>
    <w:rsid w:val="013F88C3"/>
    <w:rsid w:val="014425B8"/>
    <w:rsid w:val="0157A2E4"/>
    <w:rsid w:val="015A906F"/>
    <w:rsid w:val="016987B7"/>
    <w:rsid w:val="01B04A43"/>
    <w:rsid w:val="01D7F16D"/>
    <w:rsid w:val="01D96EF9"/>
    <w:rsid w:val="02084F11"/>
    <w:rsid w:val="0208E1E3"/>
    <w:rsid w:val="020A05D3"/>
    <w:rsid w:val="021D68FC"/>
    <w:rsid w:val="0225B34E"/>
    <w:rsid w:val="02273FE8"/>
    <w:rsid w:val="022A51A2"/>
    <w:rsid w:val="022AE254"/>
    <w:rsid w:val="022C8F3A"/>
    <w:rsid w:val="0236F626"/>
    <w:rsid w:val="025A8CF8"/>
    <w:rsid w:val="025BD303"/>
    <w:rsid w:val="02749956"/>
    <w:rsid w:val="02754D65"/>
    <w:rsid w:val="027FFFFA"/>
    <w:rsid w:val="0280F8E8"/>
    <w:rsid w:val="0281B8A2"/>
    <w:rsid w:val="02A1BCFB"/>
    <w:rsid w:val="02B79E5B"/>
    <w:rsid w:val="02FDF258"/>
    <w:rsid w:val="02FE2BB0"/>
    <w:rsid w:val="033CC7F8"/>
    <w:rsid w:val="034A4547"/>
    <w:rsid w:val="0369A5BA"/>
    <w:rsid w:val="036DC784"/>
    <w:rsid w:val="0376D6BB"/>
    <w:rsid w:val="037C008B"/>
    <w:rsid w:val="03885782"/>
    <w:rsid w:val="039A0780"/>
    <w:rsid w:val="03A157DD"/>
    <w:rsid w:val="03B2814A"/>
    <w:rsid w:val="03C2714B"/>
    <w:rsid w:val="03E740B8"/>
    <w:rsid w:val="0402814C"/>
    <w:rsid w:val="0404A622"/>
    <w:rsid w:val="041B55E6"/>
    <w:rsid w:val="0421A924"/>
    <w:rsid w:val="042793A5"/>
    <w:rsid w:val="042C5E18"/>
    <w:rsid w:val="046B02AB"/>
    <w:rsid w:val="047859D3"/>
    <w:rsid w:val="048D4D0A"/>
    <w:rsid w:val="049B0573"/>
    <w:rsid w:val="04A5277F"/>
    <w:rsid w:val="04B2E692"/>
    <w:rsid w:val="04C1A3BC"/>
    <w:rsid w:val="04CE8AA5"/>
    <w:rsid w:val="052A637C"/>
    <w:rsid w:val="0531B231"/>
    <w:rsid w:val="0533B48D"/>
    <w:rsid w:val="053C701A"/>
    <w:rsid w:val="053DFE83"/>
    <w:rsid w:val="05442B5C"/>
    <w:rsid w:val="054740A7"/>
    <w:rsid w:val="0566CFA6"/>
    <w:rsid w:val="05901766"/>
    <w:rsid w:val="059603B3"/>
    <w:rsid w:val="059886E3"/>
    <w:rsid w:val="05CA46EF"/>
    <w:rsid w:val="05E081D6"/>
    <w:rsid w:val="05E62D30"/>
    <w:rsid w:val="05FE273F"/>
    <w:rsid w:val="0615BA85"/>
    <w:rsid w:val="062291CD"/>
    <w:rsid w:val="0653D38C"/>
    <w:rsid w:val="0657A604"/>
    <w:rsid w:val="06612E52"/>
    <w:rsid w:val="066724A5"/>
    <w:rsid w:val="066BC914"/>
    <w:rsid w:val="066F9B74"/>
    <w:rsid w:val="06871110"/>
    <w:rsid w:val="06961646"/>
    <w:rsid w:val="069D04B3"/>
    <w:rsid w:val="06AA0FF3"/>
    <w:rsid w:val="06CD26B9"/>
    <w:rsid w:val="06E2A251"/>
    <w:rsid w:val="06E6AA86"/>
    <w:rsid w:val="06F4DFFF"/>
    <w:rsid w:val="07061631"/>
    <w:rsid w:val="072EAE96"/>
    <w:rsid w:val="076BB966"/>
    <w:rsid w:val="0770E385"/>
    <w:rsid w:val="077B948E"/>
    <w:rsid w:val="0781AA92"/>
    <w:rsid w:val="07829DD9"/>
    <w:rsid w:val="07A1B1EE"/>
    <w:rsid w:val="07AA6FA2"/>
    <w:rsid w:val="07E8D968"/>
    <w:rsid w:val="08074BB5"/>
    <w:rsid w:val="08351EFF"/>
    <w:rsid w:val="08367013"/>
    <w:rsid w:val="083C5083"/>
    <w:rsid w:val="08602A8C"/>
    <w:rsid w:val="086D7279"/>
    <w:rsid w:val="087DF356"/>
    <w:rsid w:val="08AA602C"/>
    <w:rsid w:val="08BFCDE3"/>
    <w:rsid w:val="08E682F9"/>
    <w:rsid w:val="08FA74D4"/>
    <w:rsid w:val="09003907"/>
    <w:rsid w:val="09516F1B"/>
    <w:rsid w:val="095859BC"/>
    <w:rsid w:val="097FBA7E"/>
    <w:rsid w:val="0982ACC3"/>
    <w:rsid w:val="09983372"/>
    <w:rsid w:val="09B91385"/>
    <w:rsid w:val="09E574AB"/>
    <w:rsid w:val="09F1B3F8"/>
    <w:rsid w:val="0A21EF47"/>
    <w:rsid w:val="0A238091"/>
    <w:rsid w:val="0A4400AC"/>
    <w:rsid w:val="0A443A5F"/>
    <w:rsid w:val="0A4DF276"/>
    <w:rsid w:val="0A4EEBDE"/>
    <w:rsid w:val="0A65B49F"/>
    <w:rsid w:val="0A78EA2A"/>
    <w:rsid w:val="0AB38FFE"/>
    <w:rsid w:val="0ABCC9CB"/>
    <w:rsid w:val="0AC9D314"/>
    <w:rsid w:val="0AEBF804"/>
    <w:rsid w:val="0AFB310B"/>
    <w:rsid w:val="0B035B45"/>
    <w:rsid w:val="0B250772"/>
    <w:rsid w:val="0B34DA60"/>
    <w:rsid w:val="0B3BA0ED"/>
    <w:rsid w:val="0B3F976E"/>
    <w:rsid w:val="0B43DE43"/>
    <w:rsid w:val="0B45D3A7"/>
    <w:rsid w:val="0B475795"/>
    <w:rsid w:val="0B48F19B"/>
    <w:rsid w:val="0B4EF467"/>
    <w:rsid w:val="0B719B39"/>
    <w:rsid w:val="0B927E87"/>
    <w:rsid w:val="0B931C69"/>
    <w:rsid w:val="0B9C55D5"/>
    <w:rsid w:val="0BB2F3AD"/>
    <w:rsid w:val="0BB51826"/>
    <w:rsid w:val="0BB9F9E8"/>
    <w:rsid w:val="0BC18493"/>
    <w:rsid w:val="0BC9D0E4"/>
    <w:rsid w:val="0BCC9B33"/>
    <w:rsid w:val="0BECF481"/>
    <w:rsid w:val="0BEDED3E"/>
    <w:rsid w:val="0BF48272"/>
    <w:rsid w:val="0C018CA1"/>
    <w:rsid w:val="0C01ED6E"/>
    <w:rsid w:val="0C0CCE93"/>
    <w:rsid w:val="0C2D0CFE"/>
    <w:rsid w:val="0C4A38B7"/>
    <w:rsid w:val="0C50FE2E"/>
    <w:rsid w:val="0C5530A2"/>
    <w:rsid w:val="0C8BE7E5"/>
    <w:rsid w:val="0C943A19"/>
    <w:rsid w:val="0C9C8118"/>
    <w:rsid w:val="0CA62602"/>
    <w:rsid w:val="0CAE319A"/>
    <w:rsid w:val="0CB4E7D1"/>
    <w:rsid w:val="0CB9124C"/>
    <w:rsid w:val="0CD5E476"/>
    <w:rsid w:val="0CD74BFE"/>
    <w:rsid w:val="0CEEF245"/>
    <w:rsid w:val="0CF14AC5"/>
    <w:rsid w:val="0CF92E89"/>
    <w:rsid w:val="0CFADDC0"/>
    <w:rsid w:val="0CFEA592"/>
    <w:rsid w:val="0D114415"/>
    <w:rsid w:val="0D187517"/>
    <w:rsid w:val="0D214E17"/>
    <w:rsid w:val="0D2931BD"/>
    <w:rsid w:val="0D3DAA9D"/>
    <w:rsid w:val="0D957C17"/>
    <w:rsid w:val="0DBA003D"/>
    <w:rsid w:val="0DBA5094"/>
    <w:rsid w:val="0DBBE144"/>
    <w:rsid w:val="0DC12E3B"/>
    <w:rsid w:val="0E15CE47"/>
    <w:rsid w:val="0E2F3162"/>
    <w:rsid w:val="0E2FA14C"/>
    <w:rsid w:val="0E584916"/>
    <w:rsid w:val="0E587F0B"/>
    <w:rsid w:val="0E831FEE"/>
    <w:rsid w:val="0EB218D6"/>
    <w:rsid w:val="0ECAA643"/>
    <w:rsid w:val="0EE032BA"/>
    <w:rsid w:val="0EEA6272"/>
    <w:rsid w:val="0EF40CF4"/>
    <w:rsid w:val="0EF6E887"/>
    <w:rsid w:val="0F297B69"/>
    <w:rsid w:val="0F450C7E"/>
    <w:rsid w:val="0F4553B1"/>
    <w:rsid w:val="0F460506"/>
    <w:rsid w:val="0F571B30"/>
    <w:rsid w:val="0F63593F"/>
    <w:rsid w:val="0F75CB6E"/>
    <w:rsid w:val="0F8D5993"/>
    <w:rsid w:val="0FB1760B"/>
    <w:rsid w:val="0FB2AA65"/>
    <w:rsid w:val="0FD2C109"/>
    <w:rsid w:val="0FE50B2A"/>
    <w:rsid w:val="0FEDF9DC"/>
    <w:rsid w:val="10027F7D"/>
    <w:rsid w:val="102096B2"/>
    <w:rsid w:val="1021769C"/>
    <w:rsid w:val="1045C8C1"/>
    <w:rsid w:val="104AB30C"/>
    <w:rsid w:val="105D97D8"/>
    <w:rsid w:val="105EB83A"/>
    <w:rsid w:val="10762860"/>
    <w:rsid w:val="1087585A"/>
    <w:rsid w:val="108CE827"/>
    <w:rsid w:val="108E69E4"/>
    <w:rsid w:val="108F7056"/>
    <w:rsid w:val="10A6A632"/>
    <w:rsid w:val="10B8B3FB"/>
    <w:rsid w:val="10E2A960"/>
    <w:rsid w:val="10FC1E25"/>
    <w:rsid w:val="11013F09"/>
    <w:rsid w:val="1127EE40"/>
    <w:rsid w:val="1144D874"/>
    <w:rsid w:val="1146D649"/>
    <w:rsid w:val="114A1019"/>
    <w:rsid w:val="1158E6A5"/>
    <w:rsid w:val="1161E5AA"/>
    <w:rsid w:val="117159EB"/>
    <w:rsid w:val="1199D906"/>
    <w:rsid w:val="11A2B06E"/>
    <w:rsid w:val="11E008CF"/>
    <w:rsid w:val="11E114D4"/>
    <w:rsid w:val="11F0B108"/>
    <w:rsid w:val="124411B5"/>
    <w:rsid w:val="124828FC"/>
    <w:rsid w:val="1248A625"/>
    <w:rsid w:val="1249F1FA"/>
    <w:rsid w:val="12547206"/>
    <w:rsid w:val="12877BB8"/>
    <w:rsid w:val="128D2101"/>
    <w:rsid w:val="1298E0C3"/>
    <w:rsid w:val="12AF930D"/>
    <w:rsid w:val="12B5F675"/>
    <w:rsid w:val="12C05521"/>
    <w:rsid w:val="12CFEAC8"/>
    <w:rsid w:val="12DAC006"/>
    <w:rsid w:val="12F30649"/>
    <w:rsid w:val="12F53A3F"/>
    <w:rsid w:val="130515D5"/>
    <w:rsid w:val="132F2AAF"/>
    <w:rsid w:val="1334EE88"/>
    <w:rsid w:val="133C8D8A"/>
    <w:rsid w:val="133E3A0E"/>
    <w:rsid w:val="133F3A8B"/>
    <w:rsid w:val="1340B228"/>
    <w:rsid w:val="136A730D"/>
    <w:rsid w:val="13746722"/>
    <w:rsid w:val="1374974E"/>
    <w:rsid w:val="137C90D8"/>
    <w:rsid w:val="138797CF"/>
    <w:rsid w:val="1390A084"/>
    <w:rsid w:val="139557FD"/>
    <w:rsid w:val="13A3A11C"/>
    <w:rsid w:val="13C7E84C"/>
    <w:rsid w:val="13C97DF0"/>
    <w:rsid w:val="13CBEA80"/>
    <w:rsid w:val="13DC3FE5"/>
    <w:rsid w:val="14062C5D"/>
    <w:rsid w:val="1418C877"/>
    <w:rsid w:val="1419D395"/>
    <w:rsid w:val="142AC440"/>
    <w:rsid w:val="143B81F7"/>
    <w:rsid w:val="14683D4D"/>
    <w:rsid w:val="146EE9FC"/>
    <w:rsid w:val="14728468"/>
    <w:rsid w:val="147FDC4B"/>
    <w:rsid w:val="148DE2B6"/>
    <w:rsid w:val="14AFCC31"/>
    <w:rsid w:val="14B51D1F"/>
    <w:rsid w:val="14B81761"/>
    <w:rsid w:val="14BA0B01"/>
    <w:rsid w:val="14D715A7"/>
    <w:rsid w:val="14D9C96B"/>
    <w:rsid w:val="14DB34D0"/>
    <w:rsid w:val="14DDEAC4"/>
    <w:rsid w:val="15139C97"/>
    <w:rsid w:val="1515C02F"/>
    <w:rsid w:val="15469CB4"/>
    <w:rsid w:val="1546EA72"/>
    <w:rsid w:val="15478749"/>
    <w:rsid w:val="155A7F17"/>
    <w:rsid w:val="155AE545"/>
    <w:rsid w:val="156074B6"/>
    <w:rsid w:val="15710602"/>
    <w:rsid w:val="1597366A"/>
    <w:rsid w:val="15B3EADB"/>
    <w:rsid w:val="15F29155"/>
    <w:rsid w:val="160B3524"/>
    <w:rsid w:val="161BCD39"/>
    <w:rsid w:val="16228BB9"/>
    <w:rsid w:val="162FF6B5"/>
    <w:rsid w:val="163C1632"/>
    <w:rsid w:val="16454A46"/>
    <w:rsid w:val="165844EA"/>
    <w:rsid w:val="165C2CC0"/>
    <w:rsid w:val="165E0F36"/>
    <w:rsid w:val="1664734F"/>
    <w:rsid w:val="16695B0D"/>
    <w:rsid w:val="166B2478"/>
    <w:rsid w:val="1692FCAE"/>
    <w:rsid w:val="16A585A1"/>
    <w:rsid w:val="16CAFAA5"/>
    <w:rsid w:val="16CF8BCB"/>
    <w:rsid w:val="16D9A738"/>
    <w:rsid w:val="16DF04F9"/>
    <w:rsid w:val="16F64EED"/>
    <w:rsid w:val="17113DA6"/>
    <w:rsid w:val="1714D403"/>
    <w:rsid w:val="174374EE"/>
    <w:rsid w:val="1755692F"/>
    <w:rsid w:val="178E8C2C"/>
    <w:rsid w:val="1798A4A1"/>
    <w:rsid w:val="179C3396"/>
    <w:rsid w:val="17A5016C"/>
    <w:rsid w:val="17AD352D"/>
    <w:rsid w:val="17C53D9C"/>
    <w:rsid w:val="17C9F3B0"/>
    <w:rsid w:val="17E2C8C2"/>
    <w:rsid w:val="17F0B51A"/>
    <w:rsid w:val="17F333DA"/>
    <w:rsid w:val="17FDC492"/>
    <w:rsid w:val="181D900B"/>
    <w:rsid w:val="1823057B"/>
    <w:rsid w:val="1826F7D1"/>
    <w:rsid w:val="183DB267"/>
    <w:rsid w:val="185E5B07"/>
    <w:rsid w:val="1868C5B1"/>
    <w:rsid w:val="186F527B"/>
    <w:rsid w:val="18779922"/>
    <w:rsid w:val="18AC1C97"/>
    <w:rsid w:val="18BD4425"/>
    <w:rsid w:val="18C16459"/>
    <w:rsid w:val="18C53CDC"/>
    <w:rsid w:val="18D11F94"/>
    <w:rsid w:val="18D12319"/>
    <w:rsid w:val="18E06598"/>
    <w:rsid w:val="18E84A07"/>
    <w:rsid w:val="19032DF6"/>
    <w:rsid w:val="190431D8"/>
    <w:rsid w:val="1914F8A3"/>
    <w:rsid w:val="193E5493"/>
    <w:rsid w:val="195BDAF8"/>
    <w:rsid w:val="195FC340"/>
    <w:rsid w:val="197065F5"/>
    <w:rsid w:val="19742726"/>
    <w:rsid w:val="19869E30"/>
    <w:rsid w:val="1995B5AB"/>
    <w:rsid w:val="199A2330"/>
    <w:rsid w:val="199BEC3D"/>
    <w:rsid w:val="19B39A95"/>
    <w:rsid w:val="19BDAF89"/>
    <w:rsid w:val="19C259E0"/>
    <w:rsid w:val="19C8B686"/>
    <w:rsid w:val="19CED496"/>
    <w:rsid w:val="19E513F2"/>
    <w:rsid w:val="19F3B476"/>
    <w:rsid w:val="1A05B742"/>
    <w:rsid w:val="1A09E780"/>
    <w:rsid w:val="1A0D212B"/>
    <w:rsid w:val="1A1A4A8D"/>
    <w:rsid w:val="1A29A187"/>
    <w:rsid w:val="1A399E73"/>
    <w:rsid w:val="1A3DE2A5"/>
    <w:rsid w:val="1A3EECBD"/>
    <w:rsid w:val="1A403ADD"/>
    <w:rsid w:val="1A45A191"/>
    <w:rsid w:val="1A4DC232"/>
    <w:rsid w:val="1A4DFF02"/>
    <w:rsid w:val="1A74F144"/>
    <w:rsid w:val="1A776973"/>
    <w:rsid w:val="1A8FCF3E"/>
    <w:rsid w:val="1AB914A0"/>
    <w:rsid w:val="1AC2AFA7"/>
    <w:rsid w:val="1AC6214F"/>
    <w:rsid w:val="1ACA15A2"/>
    <w:rsid w:val="1AE99D68"/>
    <w:rsid w:val="1B325A99"/>
    <w:rsid w:val="1B3CDAEA"/>
    <w:rsid w:val="1B4AFA7F"/>
    <w:rsid w:val="1B4D18F4"/>
    <w:rsid w:val="1B52679E"/>
    <w:rsid w:val="1B537E74"/>
    <w:rsid w:val="1B564E00"/>
    <w:rsid w:val="1B81746E"/>
    <w:rsid w:val="1B89A449"/>
    <w:rsid w:val="1BA8C3E7"/>
    <w:rsid w:val="1BB5123D"/>
    <w:rsid w:val="1BBB8193"/>
    <w:rsid w:val="1BC85315"/>
    <w:rsid w:val="1BDB97AA"/>
    <w:rsid w:val="1C17243C"/>
    <w:rsid w:val="1C1AE8A8"/>
    <w:rsid w:val="1C2154C6"/>
    <w:rsid w:val="1C42A3B7"/>
    <w:rsid w:val="1C75BF20"/>
    <w:rsid w:val="1C793CFA"/>
    <w:rsid w:val="1CA7EF55"/>
    <w:rsid w:val="1CB27A4E"/>
    <w:rsid w:val="1CCC777A"/>
    <w:rsid w:val="1CCF6792"/>
    <w:rsid w:val="1CD54354"/>
    <w:rsid w:val="1CE53D49"/>
    <w:rsid w:val="1CFE0C33"/>
    <w:rsid w:val="1D0FB519"/>
    <w:rsid w:val="1D2D5091"/>
    <w:rsid w:val="1D329B9E"/>
    <w:rsid w:val="1D3776A3"/>
    <w:rsid w:val="1D3B9F6C"/>
    <w:rsid w:val="1D519DB3"/>
    <w:rsid w:val="1D66BFC5"/>
    <w:rsid w:val="1D6F77E4"/>
    <w:rsid w:val="1D8ABBB3"/>
    <w:rsid w:val="1D9CD162"/>
    <w:rsid w:val="1E0A9E2A"/>
    <w:rsid w:val="1E18DD03"/>
    <w:rsid w:val="1E2A4B12"/>
    <w:rsid w:val="1E33B35E"/>
    <w:rsid w:val="1E447D3B"/>
    <w:rsid w:val="1E4FD01A"/>
    <w:rsid w:val="1E5ABE46"/>
    <w:rsid w:val="1E672120"/>
    <w:rsid w:val="1E6A4D3E"/>
    <w:rsid w:val="1E86C7F6"/>
    <w:rsid w:val="1E92BA97"/>
    <w:rsid w:val="1E9FBA8C"/>
    <w:rsid w:val="1EAB4F6A"/>
    <w:rsid w:val="1EBB478B"/>
    <w:rsid w:val="1EBF7E3B"/>
    <w:rsid w:val="1EC285E1"/>
    <w:rsid w:val="1ECF668E"/>
    <w:rsid w:val="1ED6663C"/>
    <w:rsid w:val="1ED99337"/>
    <w:rsid w:val="1EF24003"/>
    <w:rsid w:val="1F04705A"/>
    <w:rsid w:val="1F081CD9"/>
    <w:rsid w:val="1F151D12"/>
    <w:rsid w:val="1F340C8A"/>
    <w:rsid w:val="1F4E079D"/>
    <w:rsid w:val="1F530D3C"/>
    <w:rsid w:val="1F56DDB8"/>
    <w:rsid w:val="1F6C9249"/>
    <w:rsid w:val="1F713614"/>
    <w:rsid w:val="1F92670B"/>
    <w:rsid w:val="1FA81A66"/>
    <w:rsid w:val="1FB2AB21"/>
    <w:rsid w:val="1FCF2686"/>
    <w:rsid w:val="1FEC517C"/>
    <w:rsid w:val="1FEFE7FF"/>
    <w:rsid w:val="1FF97751"/>
    <w:rsid w:val="1FFA5AB1"/>
    <w:rsid w:val="2000EF9B"/>
    <w:rsid w:val="2018DEE0"/>
    <w:rsid w:val="201D00A5"/>
    <w:rsid w:val="20458772"/>
    <w:rsid w:val="207ED22C"/>
    <w:rsid w:val="207F03C8"/>
    <w:rsid w:val="20825E8A"/>
    <w:rsid w:val="208F5809"/>
    <w:rsid w:val="2092FCCA"/>
    <w:rsid w:val="2094EB0C"/>
    <w:rsid w:val="20950381"/>
    <w:rsid w:val="20B3207F"/>
    <w:rsid w:val="20BD14B3"/>
    <w:rsid w:val="20C00F81"/>
    <w:rsid w:val="20CEAEA0"/>
    <w:rsid w:val="20EEF198"/>
    <w:rsid w:val="20F0DBA6"/>
    <w:rsid w:val="20F6E937"/>
    <w:rsid w:val="20F9599A"/>
    <w:rsid w:val="21141F67"/>
    <w:rsid w:val="21262819"/>
    <w:rsid w:val="212A40F1"/>
    <w:rsid w:val="217C05FB"/>
    <w:rsid w:val="2194A459"/>
    <w:rsid w:val="21D2EB11"/>
    <w:rsid w:val="21DCFF45"/>
    <w:rsid w:val="2215FF12"/>
    <w:rsid w:val="2221470E"/>
    <w:rsid w:val="222E46FA"/>
    <w:rsid w:val="2230C499"/>
    <w:rsid w:val="22468AEC"/>
    <w:rsid w:val="225A7189"/>
    <w:rsid w:val="225CE8A4"/>
    <w:rsid w:val="226C02FC"/>
    <w:rsid w:val="227E7362"/>
    <w:rsid w:val="2297757A"/>
    <w:rsid w:val="22A2A9CE"/>
    <w:rsid w:val="22A92A8F"/>
    <w:rsid w:val="22AC5205"/>
    <w:rsid w:val="22B20AFD"/>
    <w:rsid w:val="22C80735"/>
    <w:rsid w:val="22CD3A94"/>
    <w:rsid w:val="22D2C269"/>
    <w:rsid w:val="23061605"/>
    <w:rsid w:val="232A7640"/>
    <w:rsid w:val="23466943"/>
    <w:rsid w:val="235E172C"/>
    <w:rsid w:val="23764601"/>
    <w:rsid w:val="23A2A0C5"/>
    <w:rsid w:val="23B208EB"/>
    <w:rsid w:val="23C2D94B"/>
    <w:rsid w:val="23C5792C"/>
    <w:rsid w:val="23E24A13"/>
    <w:rsid w:val="23E5E68B"/>
    <w:rsid w:val="23F92961"/>
    <w:rsid w:val="240436FB"/>
    <w:rsid w:val="2409291A"/>
    <w:rsid w:val="240BCE1C"/>
    <w:rsid w:val="2423C84A"/>
    <w:rsid w:val="24312053"/>
    <w:rsid w:val="243F952C"/>
    <w:rsid w:val="244E2CC3"/>
    <w:rsid w:val="245180D6"/>
    <w:rsid w:val="24662D8E"/>
    <w:rsid w:val="2469857B"/>
    <w:rsid w:val="246B4033"/>
    <w:rsid w:val="2482AB93"/>
    <w:rsid w:val="24AA6FB1"/>
    <w:rsid w:val="24E5B115"/>
    <w:rsid w:val="25083731"/>
    <w:rsid w:val="2511A70D"/>
    <w:rsid w:val="25222D09"/>
    <w:rsid w:val="252C6020"/>
    <w:rsid w:val="25383FC6"/>
    <w:rsid w:val="253BEF2F"/>
    <w:rsid w:val="253C8FE0"/>
    <w:rsid w:val="2541CABE"/>
    <w:rsid w:val="2554371F"/>
    <w:rsid w:val="256DB88D"/>
    <w:rsid w:val="257084B6"/>
    <w:rsid w:val="257B190B"/>
    <w:rsid w:val="257C4505"/>
    <w:rsid w:val="257FA404"/>
    <w:rsid w:val="259DCBFB"/>
    <w:rsid w:val="25BF5E1B"/>
    <w:rsid w:val="25C3E760"/>
    <w:rsid w:val="25C4D98E"/>
    <w:rsid w:val="25CA42AE"/>
    <w:rsid w:val="25DD0724"/>
    <w:rsid w:val="25EB8C59"/>
    <w:rsid w:val="25EF81A4"/>
    <w:rsid w:val="25FB5C26"/>
    <w:rsid w:val="2601C82E"/>
    <w:rsid w:val="260A100A"/>
    <w:rsid w:val="262AEC53"/>
    <w:rsid w:val="2642BF7C"/>
    <w:rsid w:val="26567A53"/>
    <w:rsid w:val="26664927"/>
    <w:rsid w:val="266F3D62"/>
    <w:rsid w:val="269348EB"/>
    <w:rsid w:val="269B1F9B"/>
    <w:rsid w:val="26B0243E"/>
    <w:rsid w:val="26DF6751"/>
    <w:rsid w:val="26EC6B2D"/>
    <w:rsid w:val="26FFA20D"/>
    <w:rsid w:val="2711663C"/>
    <w:rsid w:val="27124C1F"/>
    <w:rsid w:val="2731B217"/>
    <w:rsid w:val="27534723"/>
    <w:rsid w:val="2754B334"/>
    <w:rsid w:val="275C230D"/>
    <w:rsid w:val="2785A2CA"/>
    <w:rsid w:val="279EE6FE"/>
    <w:rsid w:val="27A29401"/>
    <w:rsid w:val="27A2EF56"/>
    <w:rsid w:val="27B4BCAB"/>
    <w:rsid w:val="27B78D83"/>
    <w:rsid w:val="27C7A0AF"/>
    <w:rsid w:val="27C9F076"/>
    <w:rsid w:val="27D213C2"/>
    <w:rsid w:val="27DCB2BE"/>
    <w:rsid w:val="27F2C648"/>
    <w:rsid w:val="27F9F9D2"/>
    <w:rsid w:val="2800C4D6"/>
    <w:rsid w:val="28056A3F"/>
    <w:rsid w:val="28147EFE"/>
    <w:rsid w:val="2817FD6C"/>
    <w:rsid w:val="282FD77B"/>
    <w:rsid w:val="283E7BEB"/>
    <w:rsid w:val="2856B330"/>
    <w:rsid w:val="28620D62"/>
    <w:rsid w:val="28629C14"/>
    <w:rsid w:val="28633129"/>
    <w:rsid w:val="2868D03E"/>
    <w:rsid w:val="2887B04D"/>
    <w:rsid w:val="2894569A"/>
    <w:rsid w:val="2895AF55"/>
    <w:rsid w:val="28BF57F1"/>
    <w:rsid w:val="28F58395"/>
    <w:rsid w:val="291B68E4"/>
    <w:rsid w:val="293D2E44"/>
    <w:rsid w:val="2942DA65"/>
    <w:rsid w:val="2996A7EB"/>
    <w:rsid w:val="29C30102"/>
    <w:rsid w:val="29C9D026"/>
    <w:rsid w:val="29CDD8E3"/>
    <w:rsid w:val="29D0AC45"/>
    <w:rsid w:val="29E29237"/>
    <w:rsid w:val="2A0678D6"/>
    <w:rsid w:val="2A1422B4"/>
    <w:rsid w:val="2A23B025"/>
    <w:rsid w:val="2A3A1FDD"/>
    <w:rsid w:val="2A6D77C3"/>
    <w:rsid w:val="2A7D1160"/>
    <w:rsid w:val="2A92F084"/>
    <w:rsid w:val="2A9B4983"/>
    <w:rsid w:val="2A9D8E99"/>
    <w:rsid w:val="2AA58702"/>
    <w:rsid w:val="2AA65E2D"/>
    <w:rsid w:val="2AA6E7D3"/>
    <w:rsid w:val="2AB212F5"/>
    <w:rsid w:val="2AD10D31"/>
    <w:rsid w:val="2AD22EC6"/>
    <w:rsid w:val="2AD43C7D"/>
    <w:rsid w:val="2B043F96"/>
    <w:rsid w:val="2B232523"/>
    <w:rsid w:val="2B4634BC"/>
    <w:rsid w:val="2B49349D"/>
    <w:rsid w:val="2B5A9D18"/>
    <w:rsid w:val="2B625178"/>
    <w:rsid w:val="2B64179B"/>
    <w:rsid w:val="2B6F1A49"/>
    <w:rsid w:val="2B74AD55"/>
    <w:rsid w:val="2B7B09F1"/>
    <w:rsid w:val="2B9BB705"/>
    <w:rsid w:val="2BA78CE4"/>
    <w:rsid w:val="2BAA2977"/>
    <w:rsid w:val="2BBCC2F7"/>
    <w:rsid w:val="2BDA73F6"/>
    <w:rsid w:val="2BEBA07C"/>
    <w:rsid w:val="2BF273D3"/>
    <w:rsid w:val="2BFD639C"/>
    <w:rsid w:val="2C04F052"/>
    <w:rsid w:val="2C58CC3E"/>
    <w:rsid w:val="2C6FD9AE"/>
    <w:rsid w:val="2C743EC8"/>
    <w:rsid w:val="2C7FDAED"/>
    <w:rsid w:val="2C9401AB"/>
    <w:rsid w:val="2C971921"/>
    <w:rsid w:val="2CA2F95A"/>
    <w:rsid w:val="2CA5A553"/>
    <w:rsid w:val="2CB06F69"/>
    <w:rsid w:val="2CBBCF33"/>
    <w:rsid w:val="2CC967B4"/>
    <w:rsid w:val="2CF7A328"/>
    <w:rsid w:val="2CF81B20"/>
    <w:rsid w:val="2D1E2E14"/>
    <w:rsid w:val="2D220E01"/>
    <w:rsid w:val="2D3AC120"/>
    <w:rsid w:val="2D3C8471"/>
    <w:rsid w:val="2D410F57"/>
    <w:rsid w:val="2D4C7E43"/>
    <w:rsid w:val="2D5F4EEA"/>
    <w:rsid w:val="2D65EE9A"/>
    <w:rsid w:val="2D69D516"/>
    <w:rsid w:val="2D7879D7"/>
    <w:rsid w:val="2D79DEE4"/>
    <w:rsid w:val="2D7A2DFA"/>
    <w:rsid w:val="2D9003C8"/>
    <w:rsid w:val="2D9373CC"/>
    <w:rsid w:val="2DB6C217"/>
    <w:rsid w:val="2DC62C18"/>
    <w:rsid w:val="2DD1C49A"/>
    <w:rsid w:val="2DDD5A25"/>
    <w:rsid w:val="2DDF3499"/>
    <w:rsid w:val="2DE2FF77"/>
    <w:rsid w:val="2DFFA5A9"/>
    <w:rsid w:val="2E07AF39"/>
    <w:rsid w:val="2E1EE3B8"/>
    <w:rsid w:val="2E3F85E9"/>
    <w:rsid w:val="2E45C4A5"/>
    <w:rsid w:val="2E467AFC"/>
    <w:rsid w:val="2E5AF63A"/>
    <w:rsid w:val="2E9AD43D"/>
    <w:rsid w:val="2EAC47C5"/>
    <w:rsid w:val="2EE4CF6F"/>
    <w:rsid w:val="2F05DA5B"/>
    <w:rsid w:val="2F16B1EF"/>
    <w:rsid w:val="2F1D5F3C"/>
    <w:rsid w:val="2F222578"/>
    <w:rsid w:val="2F22C92F"/>
    <w:rsid w:val="2F244E3F"/>
    <w:rsid w:val="2F4E5B11"/>
    <w:rsid w:val="2F531DF0"/>
    <w:rsid w:val="2F5C69A3"/>
    <w:rsid w:val="2F65FBC8"/>
    <w:rsid w:val="2F6BB8DA"/>
    <w:rsid w:val="2F6CACC2"/>
    <w:rsid w:val="2F8ECB8F"/>
    <w:rsid w:val="2F9FA7DE"/>
    <w:rsid w:val="2FCC9394"/>
    <w:rsid w:val="2FD48EF3"/>
    <w:rsid w:val="2FD5D778"/>
    <w:rsid w:val="2FD96EAF"/>
    <w:rsid w:val="300C7105"/>
    <w:rsid w:val="301E8D3F"/>
    <w:rsid w:val="3024686C"/>
    <w:rsid w:val="302A3670"/>
    <w:rsid w:val="305036FC"/>
    <w:rsid w:val="3061A5AA"/>
    <w:rsid w:val="3089330C"/>
    <w:rsid w:val="30A5D915"/>
    <w:rsid w:val="30B24E50"/>
    <w:rsid w:val="30B4E9EF"/>
    <w:rsid w:val="30BBD2D2"/>
    <w:rsid w:val="30CB19ED"/>
    <w:rsid w:val="30DE303F"/>
    <w:rsid w:val="30EAD733"/>
    <w:rsid w:val="310BFE8E"/>
    <w:rsid w:val="31189A14"/>
    <w:rsid w:val="31193B93"/>
    <w:rsid w:val="311D4899"/>
    <w:rsid w:val="31225434"/>
    <w:rsid w:val="3125C49E"/>
    <w:rsid w:val="314D057C"/>
    <w:rsid w:val="316EA84E"/>
    <w:rsid w:val="31793965"/>
    <w:rsid w:val="319259D0"/>
    <w:rsid w:val="319C28B5"/>
    <w:rsid w:val="319D3FE4"/>
    <w:rsid w:val="319FA109"/>
    <w:rsid w:val="31C5123A"/>
    <w:rsid w:val="31CA9116"/>
    <w:rsid w:val="31E194F8"/>
    <w:rsid w:val="31E71BFD"/>
    <w:rsid w:val="31F3B597"/>
    <w:rsid w:val="322060E5"/>
    <w:rsid w:val="32394963"/>
    <w:rsid w:val="324D4F3B"/>
    <w:rsid w:val="3263E74A"/>
    <w:rsid w:val="3271BFA2"/>
    <w:rsid w:val="3290C64E"/>
    <w:rsid w:val="3297D90C"/>
    <w:rsid w:val="32AAB532"/>
    <w:rsid w:val="32AE208A"/>
    <w:rsid w:val="32B39B3F"/>
    <w:rsid w:val="32B5AC66"/>
    <w:rsid w:val="32B71C68"/>
    <w:rsid w:val="32D0BF58"/>
    <w:rsid w:val="32E6A3AF"/>
    <w:rsid w:val="32E7DDCF"/>
    <w:rsid w:val="33193629"/>
    <w:rsid w:val="331AFBDC"/>
    <w:rsid w:val="331BE634"/>
    <w:rsid w:val="331E2140"/>
    <w:rsid w:val="3329D114"/>
    <w:rsid w:val="334AC542"/>
    <w:rsid w:val="334EE66F"/>
    <w:rsid w:val="335E66F8"/>
    <w:rsid w:val="336C5188"/>
    <w:rsid w:val="3375C710"/>
    <w:rsid w:val="3376FE47"/>
    <w:rsid w:val="3379EBB9"/>
    <w:rsid w:val="3393260B"/>
    <w:rsid w:val="33A84D7E"/>
    <w:rsid w:val="33B312AC"/>
    <w:rsid w:val="33BC2D6A"/>
    <w:rsid w:val="33C78666"/>
    <w:rsid w:val="33D65712"/>
    <w:rsid w:val="33EBE536"/>
    <w:rsid w:val="33F293BC"/>
    <w:rsid w:val="33F527A6"/>
    <w:rsid w:val="3407B66A"/>
    <w:rsid w:val="340A4CD9"/>
    <w:rsid w:val="34202D96"/>
    <w:rsid w:val="34350A28"/>
    <w:rsid w:val="3470C25B"/>
    <w:rsid w:val="3477FF2D"/>
    <w:rsid w:val="347CD1AC"/>
    <w:rsid w:val="348899F0"/>
    <w:rsid w:val="3497C9CB"/>
    <w:rsid w:val="34A6AA34"/>
    <w:rsid w:val="34B1AA5A"/>
    <w:rsid w:val="34C74FE2"/>
    <w:rsid w:val="34D0D219"/>
    <w:rsid w:val="34E2D5D0"/>
    <w:rsid w:val="34F3A77C"/>
    <w:rsid w:val="3520BC15"/>
    <w:rsid w:val="3521DBCA"/>
    <w:rsid w:val="3546DB00"/>
    <w:rsid w:val="35489BC0"/>
    <w:rsid w:val="35555163"/>
    <w:rsid w:val="3558D05A"/>
    <w:rsid w:val="355C1BC0"/>
    <w:rsid w:val="356B72A5"/>
    <w:rsid w:val="3570B463"/>
    <w:rsid w:val="3572FC3E"/>
    <w:rsid w:val="35A371A8"/>
    <w:rsid w:val="35AC52D3"/>
    <w:rsid w:val="35AF0704"/>
    <w:rsid w:val="35D197E1"/>
    <w:rsid w:val="35D25921"/>
    <w:rsid w:val="35EC1350"/>
    <w:rsid w:val="35FAF722"/>
    <w:rsid w:val="3604B6BC"/>
    <w:rsid w:val="3609BC3C"/>
    <w:rsid w:val="3612D5AB"/>
    <w:rsid w:val="3613E0DC"/>
    <w:rsid w:val="3619A419"/>
    <w:rsid w:val="361B58B5"/>
    <w:rsid w:val="361D8D30"/>
    <w:rsid w:val="364CDAE3"/>
    <w:rsid w:val="364F1635"/>
    <w:rsid w:val="3664CFB5"/>
    <w:rsid w:val="366F9D2B"/>
    <w:rsid w:val="368C1001"/>
    <w:rsid w:val="368C1B0C"/>
    <w:rsid w:val="36A00337"/>
    <w:rsid w:val="36A1D2E7"/>
    <w:rsid w:val="36A4C18E"/>
    <w:rsid w:val="36B05B06"/>
    <w:rsid w:val="36C9E49C"/>
    <w:rsid w:val="36CF5B67"/>
    <w:rsid w:val="3703C5D6"/>
    <w:rsid w:val="37047756"/>
    <w:rsid w:val="37136002"/>
    <w:rsid w:val="372E75CF"/>
    <w:rsid w:val="3738C21E"/>
    <w:rsid w:val="373C0B7E"/>
    <w:rsid w:val="3744EBA2"/>
    <w:rsid w:val="3754C521"/>
    <w:rsid w:val="3759A5DC"/>
    <w:rsid w:val="375A1558"/>
    <w:rsid w:val="377738BE"/>
    <w:rsid w:val="378ADE79"/>
    <w:rsid w:val="3793B1DB"/>
    <w:rsid w:val="37C04962"/>
    <w:rsid w:val="37C87095"/>
    <w:rsid w:val="37CC21EF"/>
    <w:rsid w:val="37D137CB"/>
    <w:rsid w:val="37EF2F3A"/>
    <w:rsid w:val="37F70E03"/>
    <w:rsid w:val="380CCF60"/>
    <w:rsid w:val="38394A2F"/>
    <w:rsid w:val="38600E58"/>
    <w:rsid w:val="386CD520"/>
    <w:rsid w:val="38D3FF8C"/>
    <w:rsid w:val="38E035BF"/>
    <w:rsid w:val="38F82277"/>
    <w:rsid w:val="38FF43A3"/>
    <w:rsid w:val="391AB1DF"/>
    <w:rsid w:val="39559E0B"/>
    <w:rsid w:val="396CD35A"/>
    <w:rsid w:val="39755C4D"/>
    <w:rsid w:val="3989F37D"/>
    <w:rsid w:val="399254B2"/>
    <w:rsid w:val="399591ED"/>
    <w:rsid w:val="399AFC59"/>
    <w:rsid w:val="39C94584"/>
    <w:rsid w:val="39E70CD5"/>
    <w:rsid w:val="39FD5EBA"/>
    <w:rsid w:val="3A03F38F"/>
    <w:rsid w:val="3A09772F"/>
    <w:rsid w:val="3A17A2F6"/>
    <w:rsid w:val="3A1EFFD2"/>
    <w:rsid w:val="3A6F3980"/>
    <w:rsid w:val="3A7313B9"/>
    <w:rsid w:val="3A774E5C"/>
    <w:rsid w:val="3AA2770E"/>
    <w:rsid w:val="3AD3670E"/>
    <w:rsid w:val="3AE6006F"/>
    <w:rsid w:val="3B2E4F1B"/>
    <w:rsid w:val="3B6E4969"/>
    <w:rsid w:val="3B8E1936"/>
    <w:rsid w:val="3B8F6738"/>
    <w:rsid w:val="3B91813A"/>
    <w:rsid w:val="3BA3B6D1"/>
    <w:rsid w:val="3BAF3DDB"/>
    <w:rsid w:val="3BB6695D"/>
    <w:rsid w:val="3BBB9B66"/>
    <w:rsid w:val="3C20406C"/>
    <w:rsid w:val="3C2E0E93"/>
    <w:rsid w:val="3C41EA65"/>
    <w:rsid w:val="3C4435DA"/>
    <w:rsid w:val="3C71724B"/>
    <w:rsid w:val="3C8052B2"/>
    <w:rsid w:val="3C81209A"/>
    <w:rsid w:val="3C939CAF"/>
    <w:rsid w:val="3CA485D8"/>
    <w:rsid w:val="3CA5AA7D"/>
    <w:rsid w:val="3CA86287"/>
    <w:rsid w:val="3CAB9BB5"/>
    <w:rsid w:val="3CC10FA5"/>
    <w:rsid w:val="3CD106E6"/>
    <w:rsid w:val="3CE165C9"/>
    <w:rsid w:val="3D02D689"/>
    <w:rsid w:val="3D086D60"/>
    <w:rsid w:val="3D1C3BC3"/>
    <w:rsid w:val="3D2A203E"/>
    <w:rsid w:val="3D2FE2ED"/>
    <w:rsid w:val="3D314957"/>
    <w:rsid w:val="3D45CE79"/>
    <w:rsid w:val="3D4BF755"/>
    <w:rsid w:val="3D5DA4D8"/>
    <w:rsid w:val="3D5EA233"/>
    <w:rsid w:val="3D5EC29E"/>
    <w:rsid w:val="3D768D28"/>
    <w:rsid w:val="3D7A8CBC"/>
    <w:rsid w:val="3D7AAC28"/>
    <w:rsid w:val="3DAE1F9E"/>
    <w:rsid w:val="3DBD3638"/>
    <w:rsid w:val="3DD737AA"/>
    <w:rsid w:val="3DE7301B"/>
    <w:rsid w:val="3DEC99E9"/>
    <w:rsid w:val="3E12D763"/>
    <w:rsid w:val="3E2E1ECB"/>
    <w:rsid w:val="3E402E41"/>
    <w:rsid w:val="3E404305"/>
    <w:rsid w:val="3E48642A"/>
    <w:rsid w:val="3E50E4D9"/>
    <w:rsid w:val="3E584E18"/>
    <w:rsid w:val="3E890C98"/>
    <w:rsid w:val="3EB0323C"/>
    <w:rsid w:val="3EBC7C13"/>
    <w:rsid w:val="3EF371D7"/>
    <w:rsid w:val="3EFD8D22"/>
    <w:rsid w:val="3F46F594"/>
    <w:rsid w:val="3F4BA9B8"/>
    <w:rsid w:val="3F61498C"/>
    <w:rsid w:val="3F70B2C4"/>
    <w:rsid w:val="3F9A3592"/>
    <w:rsid w:val="3F9B3D26"/>
    <w:rsid w:val="3FAC1071"/>
    <w:rsid w:val="3FCEE217"/>
    <w:rsid w:val="3FD60C75"/>
    <w:rsid w:val="3FDE34C2"/>
    <w:rsid w:val="3FDF8A93"/>
    <w:rsid w:val="3FE2B86D"/>
    <w:rsid w:val="3FEFCED5"/>
    <w:rsid w:val="400923CB"/>
    <w:rsid w:val="401A4987"/>
    <w:rsid w:val="4027879A"/>
    <w:rsid w:val="4044D4F4"/>
    <w:rsid w:val="4048D91B"/>
    <w:rsid w:val="40560E51"/>
    <w:rsid w:val="40709C70"/>
    <w:rsid w:val="4073BCF8"/>
    <w:rsid w:val="4081E6D4"/>
    <w:rsid w:val="40A24C89"/>
    <w:rsid w:val="40A73C0D"/>
    <w:rsid w:val="40DE6739"/>
    <w:rsid w:val="40EF9059"/>
    <w:rsid w:val="4110C674"/>
    <w:rsid w:val="41175B07"/>
    <w:rsid w:val="4118506F"/>
    <w:rsid w:val="413C1ADD"/>
    <w:rsid w:val="414753BB"/>
    <w:rsid w:val="41533439"/>
    <w:rsid w:val="41625D59"/>
    <w:rsid w:val="416922F0"/>
    <w:rsid w:val="41A3A0DA"/>
    <w:rsid w:val="41A6DB6A"/>
    <w:rsid w:val="41C3BFBC"/>
    <w:rsid w:val="41D4EC8B"/>
    <w:rsid w:val="41EE04D9"/>
    <w:rsid w:val="41F1EABA"/>
    <w:rsid w:val="425178BA"/>
    <w:rsid w:val="42537F67"/>
    <w:rsid w:val="4256A435"/>
    <w:rsid w:val="426FE8FC"/>
    <w:rsid w:val="427181E4"/>
    <w:rsid w:val="428F5975"/>
    <w:rsid w:val="4295007F"/>
    <w:rsid w:val="42B6D105"/>
    <w:rsid w:val="42BB2D04"/>
    <w:rsid w:val="42BCBD01"/>
    <w:rsid w:val="42CB8596"/>
    <w:rsid w:val="42E638D6"/>
    <w:rsid w:val="43077F26"/>
    <w:rsid w:val="4335E0C9"/>
    <w:rsid w:val="43368C77"/>
    <w:rsid w:val="433D09A8"/>
    <w:rsid w:val="435B57BB"/>
    <w:rsid w:val="4363FB7C"/>
    <w:rsid w:val="436C243C"/>
    <w:rsid w:val="436D07C1"/>
    <w:rsid w:val="43764C94"/>
    <w:rsid w:val="43874978"/>
    <w:rsid w:val="43B981EC"/>
    <w:rsid w:val="43BD6FBA"/>
    <w:rsid w:val="43EF9973"/>
    <w:rsid w:val="43F23204"/>
    <w:rsid w:val="43F678A3"/>
    <w:rsid w:val="441F2B5A"/>
    <w:rsid w:val="4425206A"/>
    <w:rsid w:val="4437E4D9"/>
    <w:rsid w:val="445AAB29"/>
    <w:rsid w:val="4482B05F"/>
    <w:rsid w:val="44B264A4"/>
    <w:rsid w:val="44D3B8B0"/>
    <w:rsid w:val="44E5E7F0"/>
    <w:rsid w:val="44E9744F"/>
    <w:rsid w:val="44F603A2"/>
    <w:rsid w:val="451EDB9F"/>
    <w:rsid w:val="45408296"/>
    <w:rsid w:val="4562341D"/>
    <w:rsid w:val="4596EE31"/>
    <w:rsid w:val="45A2926A"/>
    <w:rsid w:val="45A63373"/>
    <w:rsid w:val="45CBFA6B"/>
    <w:rsid w:val="45CFEEF3"/>
    <w:rsid w:val="45DE5FE5"/>
    <w:rsid w:val="45F1EB8D"/>
    <w:rsid w:val="4601C123"/>
    <w:rsid w:val="4611B2D3"/>
    <w:rsid w:val="466E2CCE"/>
    <w:rsid w:val="46AC849E"/>
    <w:rsid w:val="46AFE09C"/>
    <w:rsid w:val="46DA3436"/>
    <w:rsid w:val="4713E33E"/>
    <w:rsid w:val="4717D5F1"/>
    <w:rsid w:val="472B5F65"/>
    <w:rsid w:val="4732C8C6"/>
    <w:rsid w:val="4733CA64"/>
    <w:rsid w:val="473CA0CD"/>
    <w:rsid w:val="4740B0BD"/>
    <w:rsid w:val="4750A57B"/>
    <w:rsid w:val="477AA82C"/>
    <w:rsid w:val="47C64305"/>
    <w:rsid w:val="47FDF0B8"/>
    <w:rsid w:val="480CB755"/>
    <w:rsid w:val="4822A134"/>
    <w:rsid w:val="4844AE02"/>
    <w:rsid w:val="484BFE03"/>
    <w:rsid w:val="484CAE40"/>
    <w:rsid w:val="484D04EA"/>
    <w:rsid w:val="484F156B"/>
    <w:rsid w:val="4867E6AB"/>
    <w:rsid w:val="48704AAE"/>
    <w:rsid w:val="487203DC"/>
    <w:rsid w:val="488B35E2"/>
    <w:rsid w:val="48BAB207"/>
    <w:rsid w:val="48CE9772"/>
    <w:rsid w:val="48E14FA8"/>
    <w:rsid w:val="49004E98"/>
    <w:rsid w:val="49024296"/>
    <w:rsid w:val="4929AA78"/>
    <w:rsid w:val="49509BCB"/>
    <w:rsid w:val="4966FA66"/>
    <w:rsid w:val="49687338"/>
    <w:rsid w:val="49A8DC37"/>
    <w:rsid w:val="49BABF98"/>
    <w:rsid w:val="49BF6138"/>
    <w:rsid w:val="49CE40A3"/>
    <w:rsid w:val="49F2029F"/>
    <w:rsid w:val="4A049BD9"/>
    <w:rsid w:val="4A22DF56"/>
    <w:rsid w:val="4A31D64F"/>
    <w:rsid w:val="4A366E92"/>
    <w:rsid w:val="4A421696"/>
    <w:rsid w:val="4A4CDC47"/>
    <w:rsid w:val="4A695AD5"/>
    <w:rsid w:val="4A9F4FD5"/>
    <w:rsid w:val="4AAA8721"/>
    <w:rsid w:val="4AC24791"/>
    <w:rsid w:val="4AC62D3B"/>
    <w:rsid w:val="4AD9A94B"/>
    <w:rsid w:val="4ADC33CD"/>
    <w:rsid w:val="4AF1EFC4"/>
    <w:rsid w:val="4B05E590"/>
    <w:rsid w:val="4B0EA257"/>
    <w:rsid w:val="4B18FBDD"/>
    <w:rsid w:val="4B44FD73"/>
    <w:rsid w:val="4B4AB1D8"/>
    <w:rsid w:val="4B4C4EF7"/>
    <w:rsid w:val="4B4D5848"/>
    <w:rsid w:val="4B7D0020"/>
    <w:rsid w:val="4B939EBC"/>
    <w:rsid w:val="4B96CBAE"/>
    <w:rsid w:val="4BB507B4"/>
    <w:rsid w:val="4BB5EC24"/>
    <w:rsid w:val="4BC317F2"/>
    <w:rsid w:val="4BE62275"/>
    <w:rsid w:val="4BE881EB"/>
    <w:rsid w:val="4BEA3896"/>
    <w:rsid w:val="4C013E5E"/>
    <w:rsid w:val="4C1E6CE0"/>
    <w:rsid w:val="4C242FB6"/>
    <w:rsid w:val="4C48A4B2"/>
    <w:rsid w:val="4C5E7A4A"/>
    <w:rsid w:val="4C6B7132"/>
    <w:rsid w:val="4C78A633"/>
    <w:rsid w:val="4C8E3BC9"/>
    <w:rsid w:val="4C9E3102"/>
    <w:rsid w:val="4CC24D91"/>
    <w:rsid w:val="4CD3D23D"/>
    <w:rsid w:val="4CD4FDDC"/>
    <w:rsid w:val="4CD6C1B7"/>
    <w:rsid w:val="4CDC10D5"/>
    <w:rsid w:val="4CE33713"/>
    <w:rsid w:val="4CFBCDA6"/>
    <w:rsid w:val="4D0AEB57"/>
    <w:rsid w:val="4D0B8AB3"/>
    <w:rsid w:val="4D15A3E4"/>
    <w:rsid w:val="4D1A8EF7"/>
    <w:rsid w:val="4D44E7EB"/>
    <w:rsid w:val="4D469E69"/>
    <w:rsid w:val="4D477537"/>
    <w:rsid w:val="4D72A7E7"/>
    <w:rsid w:val="4D73DFEA"/>
    <w:rsid w:val="4D918E98"/>
    <w:rsid w:val="4D96DFFA"/>
    <w:rsid w:val="4DA4DB83"/>
    <w:rsid w:val="4DD94AD7"/>
    <w:rsid w:val="4DF2550B"/>
    <w:rsid w:val="4DF2E35F"/>
    <w:rsid w:val="4DF8BF99"/>
    <w:rsid w:val="4E0B5226"/>
    <w:rsid w:val="4E190BD0"/>
    <w:rsid w:val="4E3D67E3"/>
    <w:rsid w:val="4E4D4D4B"/>
    <w:rsid w:val="4E8DA772"/>
    <w:rsid w:val="4E9F14AE"/>
    <w:rsid w:val="4EBFAE1D"/>
    <w:rsid w:val="4EECFF3C"/>
    <w:rsid w:val="4F02D30E"/>
    <w:rsid w:val="4F1BED43"/>
    <w:rsid w:val="4F39EB05"/>
    <w:rsid w:val="4F6EF23C"/>
    <w:rsid w:val="4F75F96A"/>
    <w:rsid w:val="4F962D5B"/>
    <w:rsid w:val="4F99A1AB"/>
    <w:rsid w:val="4FB8A445"/>
    <w:rsid w:val="4FBF05EC"/>
    <w:rsid w:val="4FC6C140"/>
    <w:rsid w:val="4FEC1F40"/>
    <w:rsid w:val="4FF94A0B"/>
    <w:rsid w:val="501046BF"/>
    <w:rsid w:val="5012B348"/>
    <w:rsid w:val="503654C7"/>
    <w:rsid w:val="504120C7"/>
    <w:rsid w:val="504D8404"/>
    <w:rsid w:val="504E8FC3"/>
    <w:rsid w:val="5072E302"/>
    <w:rsid w:val="50818EBD"/>
    <w:rsid w:val="50B88793"/>
    <w:rsid w:val="50DC4D6C"/>
    <w:rsid w:val="50DCEF35"/>
    <w:rsid w:val="50ED6A80"/>
    <w:rsid w:val="50F4702A"/>
    <w:rsid w:val="51187ADC"/>
    <w:rsid w:val="51294039"/>
    <w:rsid w:val="5148640A"/>
    <w:rsid w:val="514C36CC"/>
    <w:rsid w:val="516E33EB"/>
    <w:rsid w:val="5179AC2D"/>
    <w:rsid w:val="5184F081"/>
    <w:rsid w:val="519E5683"/>
    <w:rsid w:val="51B1DD8D"/>
    <w:rsid w:val="51BA4568"/>
    <w:rsid w:val="51BFCC3C"/>
    <w:rsid w:val="51C1652E"/>
    <w:rsid w:val="51C3C947"/>
    <w:rsid w:val="51DF9A84"/>
    <w:rsid w:val="51E4A0F9"/>
    <w:rsid w:val="51F26240"/>
    <w:rsid w:val="5207A932"/>
    <w:rsid w:val="5214B735"/>
    <w:rsid w:val="52158389"/>
    <w:rsid w:val="5217F9D3"/>
    <w:rsid w:val="522DED08"/>
    <w:rsid w:val="52324539"/>
    <w:rsid w:val="523B854E"/>
    <w:rsid w:val="523EDEA1"/>
    <w:rsid w:val="524050B5"/>
    <w:rsid w:val="524A4A59"/>
    <w:rsid w:val="524D902D"/>
    <w:rsid w:val="52561AA6"/>
    <w:rsid w:val="525C2B76"/>
    <w:rsid w:val="528083BA"/>
    <w:rsid w:val="5280AF06"/>
    <w:rsid w:val="52A28464"/>
    <w:rsid w:val="52B41D68"/>
    <w:rsid w:val="52EEB88F"/>
    <w:rsid w:val="52FC7074"/>
    <w:rsid w:val="5310D185"/>
    <w:rsid w:val="5349D354"/>
    <w:rsid w:val="53598B0E"/>
    <w:rsid w:val="5375F38B"/>
    <w:rsid w:val="538BB6AE"/>
    <w:rsid w:val="539B2904"/>
    <w:rsid w:val="53A86EFD"/>
    <w:rsid w:val="53D00454"/>
    <w:rsid w:val="53DE01D7"/>
    <w:rsid w:val="53DE0DA1"/>
    <w:rsid w:val="53E2681D"/>
    <w:rsid w:val="53E92AD5"/>
    <w:rsid w:val="53EA6BBB"/>
    <w:rsid w:val="5401F228"/>
    <w:rsid w:val="54165B51"/>
    <w:rsid w:val="5469FDCA"/>
    <w:rsid w:val="546F72A3"/>
    <w:rsid w:val="548BDD9A"/>
    <w:rsid w:val="548E4C33"/>
    <w:rsid w:val="5496725D"/>
    <w:rsid w:val="54A61539"/>
    <w:rsid w:val="54B9EC37"/>
    <w:rsid w:val="54D8DB45"/>
    <w:rsid w:val="54E85771"/>
    <w:rsid w:val="54F23A74"/>
    <w:rsid w:val="55115CB4"/>
    <w:rsid w:val="5512455A"/>
    <w:rsid w:val="551FE4E5"/>
    <w:rsid w:val="55317AC3"/>
    <w:rsid w:val="5544DAE3"/>
    <w:rsid w:val="5544FDAD"/>
    <w:rsid w:val="55563D57"/>
    <w:rsid w:val="555C9AA1"/>
    <w:rsid w:val="5560FA01"/>
    <w:rsid w:val="556B767D"/>
    <w:rsid w:val="557B3E43"/>
    <w:rsid w:val="559E4D1B"/>
    <w:rsid w:val="55A48D41"/>
    <w:rsid w:val="55AF24C1"/>
    <w:rsid w:val="55D78026"/>
    <w:rsid w:val="55EAE826"/>
    <w:rsid w:val="55FC44AA"/>
    <w:rsid w:val="56241944"/>
    <w:rsid w:val="562491B5"/>
    <w:rsid w:val="5642A4D5"/>
    <w:rsid w:val="5660372B"/>
    <w:rsid w:val="56835A97"/>
    <w:rsid w:val="568606A9"/>
    <w:rsid w:val="56A4B020"/>
    <w:rsid w:val="56B2C692"/>
    <w:rsid w:val="56C825D6"/>
    <w:rsid w:val="56CC93A3"/>
    <w:rsid w:val="56F62EAA"/>
    <w:rsid w:val="56F9382F"/>
    <w:rsid w:val="5721C7BA"/>
    <w:rsid w:val="574533C3"/>
    <w:rsid w:val="574F3E96"/>
    <w:rsid w:val="57588973"/>
    <w:rsid w:val="57593BDD"/>
    <w:rsid w:val="5762E82B"/>
    <w:rsid w:val="57700297"/>
    <w:rsid w:val="57725C73"/>
    <w:rsid w:val="57A79E3D"/>
    <w:rsid w:val="57A7DC7F"/>
    <w:rsid w:val="57C83BF8"/>
    <w:rsid w:val="57CA5981"/>
    <w:rsid w:val="57E2D390"/>
    <w:rsid w:val="57E3BF0E"/>
    <w:rsid w:val="580EF6C9"/>
    <w:rsid w:val="580F0896"/>
    <w:rsid w:val="5821009D"/>
    <w:rsid w:val="5845FC61"/>
    <w:rsid w:val="5868F210"/>
    <w:rsid w:val="586BC447"/>
    <w:rsid w:val="5876443E"/>
    <w:rsid w:val="58DD0293"/>
    <w:rsid w:val="594972C6"/>
    <w:rsid w:val="597E528A"/>
    <w:rsid w:val="598372DE"/>
    <w:rsid w:val="5991890A"/>
    <w:rsid w:val="599CFBE4"/>
    <w:rsid w:val="599E002D"/>
    <w:rsid w:val="59A6D65D"/>
    <w:rsid w:val="59BD2688"/>
    <w:rsid w:val="59CE57CE"/>
    <w:rsid w:val="59F1633A"/>
    <w:rsid w:val="5A13CE00"/>
    <w:rsid w:val="5A468D78"/>
    <w:rsid w:val="5A5308E7"/>
    <w:rsid w:val="5A621864"/>
    <w:rsid w:val="5A644BCE"/>
    <w:rsid w:val="5A66128B"/>
    <w:rsid w:val="5A6B1E1B"/>
    <w:rsid w:val="5A90DA2D"/>
    <w:rsid w:val="5A9254BE"/>
    <w:rsid w:val="5A9C51ED"/>
    <w:rsid w:val="5ABD8241"/>
    <w:rsid w:val="5ABDE930"/>
    <w:rsid w:val="5AE61528"/>
    <w:rsid w:val="5AE64814"/>
    <w:rsid w:val="5AE8642C"/>
    <w:rsid w:val="5AF2D516"/>
    <w:rsid w:val="5B3FAACF"/>
    <w:rsid w:val="5B463F38"/>
    <w:rsid w:val="5B4E58D1"/>
    <w:rsid w:val="5B6514AB"/>
    <w:rsid w:val="5B651A8F"/>
    <w:rsid w:val="5B7BE07D"/>
    <w:rsid w:val="5BAA3BEE"/>
    <w:rsid w:val="5BC1440A"/>
    <w:rsid w:val="5BD4099B"/>
    <w:rsid w:val="5BDF42FC"/>
    <w:rsid w:val="5BE04E56"/>
    <w:rsid w:val="5BE48D66"/>
    <w:rsid w:val="5BF8FF6E"/>
    <w:rsid w:val="5C361EA4"/>
    <w:rsid w:val="5C410E6E"/>
    <w:rsid w:val="5C8D91BC"/>
    <w:rsid w:val="5CA0930E"/>
    <w:rsid w:val="5CB02DB4"/>
    <w:rsid w:val="5CB9F9C5"/>
    <w:rsid w:val="5CC7053E"/>
    <w:rsid w:val="5CD7C2C3"/>
    <w:rsid w:val="5CD88D5C"/>
    <w:rsid w:val="5CEBBD70"/>
    <w:rsid w:val="5CFC0997"/>
    <w:rsid w:val="5D02A8F7"/>
    <w:rsid w:val="5D1C643A"/>
    <w:rsid w:val="5D24F6F1"/>
    <w:rsid w:val="5D2C1A11"/>
    <w:rsid w:val="5D48DADB"/>
    <w:rsid w:val="5D4E31BC"/>
    <w:rsid w:val="5D4FB7CF"/>
    <w:rsid w:val="5D52D330"/>
    <w:rsid w:val="5D72061E"/>
    <w:rsid w:val="5D826EF6"/>
    <w:rsid w:val="5D9872F8"/>
    <w:rsid w:val="5DA18421"/>
    <w:rsid w:val="5DA3503C"/>
    <w:rsid w:val="5DA853B9"/>
    <w:rsid w:val="5DB29C14"/>
    <w:rsid w:val="5DBEFBDC"/>
    <w:rsid w:val="5DD950E2"/>
    <w:rsid w:val="5DF605BF"/>
    <w:rsid w:val="5E045EFB"/>
    <w:rsid w:val="5E074E45"/>
    <w:rsid w:val="5E07F7EC"/>
    <w:rsid w:val="5E10FA6C"/>
    <w:rsid w:val="5E11F698"/>
    <w:rsid w:val="5E17A7AD"/>
    <w:rsid w:val="5E2A4AFF"/>
    <w:rsid w:val="5E5494F6"/>
    <w:rsid w:val="5E5CB219"/>
    <w:rsid w:val="5E70E5A4"/>
    <w:rsid w:val="5E7F0BBA"/>
    <w:rsid w:val="5E94290C"/>
    <w:rsid w:val="5EC32960"/>
    <w:rsid w:val="5ED38492"/>
    <w:rsid w:val="5EE13D7B"/>
    <w:rsid w:val="5EF18DA6"/>
    <w:rsid w:val="5EFFF174"/>
    <w:rsid w:val="5F1052AA"/>
    <w:rsid w:val="5F268F06"/>
    <w:rsid w:val="5F293627"/>
    <w:rsid w:val="5F2DFBE8"/>
    <w:rsid w:val="5F4A6401"/>
    <w:rsid w:val="5F546DE1"/>
    <w:rsid w:val="5F5AE16B"/>
    <w:rsid w:val="5F872154"/>
    <w:rsid w:val="5F8EBD36"/>
    <w:rsid w:val="5F94BF1D"/>
    <w:rsid w:val="5FBBFC88"/>
    <w:rsid w:val="5FCA6E67"/>
    <w:rsid w:val="5FE15264"/>
    <w:rsid w:val="5FF0B644"/>
    <w:rsid w:val="600813B3"/>
    <w:rsid w:val="600ADDA1"/>
    <w:rsid w:val="601478A5"/>
    <w:rsid w:val="60195531"/>
    <w:rsid w:val="6019C256"/>
    <w:rsid w:val="602EB2EE"/>
    <w:rsid w:val="604C0CD4"/>
    <w:rsid w:val="605196C4"/>
    <w:rsid w:val="6051D4F6"/>
    <w:rsid w:val="6078735F"/>
    <w:rsid w:val="608086CB"/>
    <w:rsid w:val="6083729E"/>
    <w:rsid w:val="609E7765"/>
    <w:rsid w:val="60ADFE81"/>
    <w:rsid w:val="60C6C65D"/>
    <w:rsid w:val="60D4D86A"/>
    <w:rsid w:val="6114E4B0"/>
    <w:rsid w:val="613F2D5F"/>
    <w:rsid w:val="6144A2A1"/>
    <w:rsid w:val="61544B42"/>
    <w:rsid w:val="61996C3A"/>
    <w:rsid w:val="61CFD638"/>
    <w:rsid w:val="61F0977F"/>
    <w:rsid w:val="61FB9B18"/>
    <w:rsid w:val="6206F2FD"/>
    <w:rsid w:val="620FF649"/>
    <w:rsid w:val="62389966"/>
    <w:rsid w:val="62565F8A"/>
    <w:rsid w:val="625BB82D"/>
    <w:rsid w:val="62663409"/>
    <w:rsid w:val="627809C3"/>
    <w:rsid w:val="629DF172"/>
    <w:rsid w:val="62A74AFD"/>
    <w:rsid w:val="62B9694F"/>
    <w:rsid w:val="62D6C804"/>
    <w:rsid w:val="62EE3139"/>
    <w:rsid w:val="62FAC322"/>
    <w:rsid w:val="6314596C"/>
    <w:rsid w:val="632265B6"/>
    <w:rsid w:val="6337B637"/>
    <w:rsid w:val="633A6563"/>
    <w:rsid w:val="6344A415"/>
    <w:rsid w:val="6353002A"/>
    <w:rsid w:val="6354F8ED"/>
    <w:rsid w:val="63550C62"/>
    <w:rsid w:val="635C0CFD"/>
    <w:rsid w:val="63602945"/>
    <w:rsid w:val="63720226"/>
    <w:rsid w:val="637B0407"/>
    <w:rsid w:val="638F4C77"/>
    <w:rsid w:val="63BE25C8"/>
    <w:rsid w:val="63C565A5"/>
    <w:rsid w:val="63CC436B"/>
    <w:rsid w:val="63DF9A19"/>
    <w:rsid w:val="63EC9836"/>
    <w:rsid w:val="6410788F"/>
    <w:rsid w:val="64107CE3"/>
    <w:rsid w:val="6433C095"/>
    <w:rsid w:val="644E9B2B"/>
    <w:rsid w:val="646C2B84"/>
    <w:rsid w:val="6471767A"/>
    <w:rsid w:val="64956685"/>
    <w:rsid w:val="64AC6AF1"/>
    <w:rsid w:val="64C1BCD1"/>
    <w:rsid w:val="64CB5AFD"/>
    <w:rsid w:val="6502ACC9"/>
    <w:rsid w:val="65047A1D"/>
    <w:rsid w:val="65128102"/>
    <w:rsid w:val="6523864D"/>
    <w:rsid w:val="65391F7E"/>
    <w:rsid w:val="654D8125"/>
    <w:rsid w:val="654DF88B"/>
    <w:rsid w:val="6556C98A"/>
    <w:rsid w:val="655C3A57"/>
    <w:rsid w:val="65879FE9"/>
    <w:rsid w:val="65DBDF76"/>
    <w:rsid w:val="65E71838"/>
    <w:rsid w:val="660694AD"/>
    <w:rsid w:val="661BBBB9"/>
    <w:rsid w:val="6624B4F8"/>
    <w:rsid w:val="6641FE7A"/>
    <w:rsid w:val="66598C67"/>
    <w:rsid w:val="665E5A7C"/>
    <w:rsid w:val="66933BC4"/>
    <w:rsid w:val="6696AB04"/>
    <w:rsid w:val="669ED65D"/>
    <w:rsid w:val="66AC27A7"/>
    <w:rsid w:val="66B55976"/>
    <w:rsid w:val="66B604DE"/>
    <w:rsid w:val="66DFFC57"/>
    <w:rsid w:val="66FBC76B"/>
    <w:rsid w:val="6711A9A3"/>
    <w:rsid w:val="671E3E76"/>
    <w:rsid w:val="671F014A"/>
    <w:rsid w:val="6724943C"/>
    <w:rsid w:val="6739A266"/>
    <w:rsid w:val="674425DE"/>
    <w:rsid w:val="674F4924"/>
    <w:rsid w:val="67664E1C"/>
    <w:rsid w:val="676DFC4A"/>
    <w:rsid w:val="678BFA61"/>
    <w:rsid w:val="679E4AE3"/>
    <w:rsid w:val="67C453EC"/>
    <w:rsid w:val="68320B29"/>
    <w:rsid w:val="684BD1BC"/>
    <w:rsid w:val="6852817A"/>
    <w:rsid w:val="685D6BF0"/>
    <w:rsid w:val="6863F8E2"/>
    <w:rsid w:val="68788EDD"/>
    <w:rsid w:val="688796DE"/>
    <w:rsid w:val="688FFA8E"/>
    <w:rsid w:val="689F87B5"/>
    <w:rsid w:val="68AE641B"/>
    <w:rsid w:val="68D14838"/>
    <w:rsid w:val="68E05C1A"/>
    <w:rsid w:val="68E5854B"/>
    <w:rsid w:val="68E72EDB"/>
    <w:rsid w:val="690CD650"/>
    <w:rsid w:val="692084CC"/>
    <w:rsid w:val="693A19C4"/>
    <w:rsid w:val="693FE8DB"/>
    <w:rsid w:val="6942B4F0"/>
    <w:rsid w:val="6945DF81"/>
    <w:rsid w:val="694F93E7"/>
    <w:rsid w:val="695DC08E"/>
    <w:rsid w:val="69639EA7"/>
    <w:rsid w:val="69657043"/>
    <w:rsid w:val="6969E7DC"/>
    <w:rsid w:val="698221C6"/>
    <w:rsid w:val="6995C4BA"/>
    <w:rsid w:val="69A74D82"/>
    <w:rsid w:val="69B44DA2"/>
    <w:rsid w:val="69C51AE7"/>
    <w:rsid w:val="69CDC869"/>
    <w:rsid w:val="69D09F27"/>
    <w:rsid w:val="69EDB514"/>
    <w:rsid w:val="69F39881"/>
    <w:rsid w:val="69F9EA8E"/>
    <w:rsid w:val="6A04E283"/>
    <w:rsid w:val="6A0577BA"/>
    <w:rsid w:val="6A0939BD"/>
    <w:rsid w:val="6A0AC710"/>
    <w:rsid w:val="6A2EA3FE"/>
    <w:rsid w:val="6A510C6D"/>
    <w:rsid w:val="6A5C18F2"/>
    <w:rsid w:val="6A5E7FBC"/>
    <w:rsid w:val="6A73D55D"/>
    <w:rsid w:val="6A8239E1"/>
    <w:rsid w:val="6A8C6766"/>
    <w:rsid w:val="6A9E7A63"/>
    <w:rsid w:val="6ABBF847"/>
    <w:rsid w:val="6AD75A9D"/>
    <w:rsid w:val="6AD7E591"/>
    <w:rsid w:val="6AD8050E"/>
    <w:rsid w:val="6ADD85D8"/>
    <w:rsid w:val="6AE2BD9B"/>
    <w:rsid w:val="6AF4A570"/>
    <w:rsid w:val="6AFB551D"/>
    <w:rsid w:val="6B467031"/>
    <w:rsid w:val="6B5AB05F"/>
    <w:rsid w:val="6B62A2D9"/>
    <w:rsid w:val="6B6B6752"/>
    <w:rsid w:val="6B7DE20E"/>
    <w:rsid w:val="6B86810A"/>
    <w:rsid w:val="6BA01405"/>
    <w:rsid w:val="6BA3560C"/>
    <w:rsid w:val="6BB0C4F9"/>
    <w:rsid w:val="6BD5CDD9"/>
    <w:rsid w:val="6BDEC8C4"/>
    <w:rsid w:val="6BE707B9"/>
    <w:rsid w:val="6BE821B7"/>
    <w:rsid w:val="6BEDD5E5"/>
    <w:rsid w:val="6BF9B4BE"/>
    <w:rsid w:val="6C045CC3"/>
    <w:rsid w:val="6C318D4C"/>
    <w:rsid w:val="6C3A75B8"/>
    <w:rsid w:val="6C477EAD"/>
    <w:rsid w:val="6C4814F7"/>
    <w:rsid w:val="6C493F95"/>
    <w:rsid w:val="6C504463"/>
    <w:rsid w:val="6C6705F3"/>
    <w:rsid w:val="6C7292B4"/>
    <w:rsid w:val="6C736377"/>
    <w:rsid w:val="6CB85E43"/>
    <w:rsid w:val="6CD73074"/>
    <w:rsid w:val="6CEBCBE3"/>
    <w:rsid w:val="6CFDCE20"/>
    <w:rsid w:val="6D07DE23"/>
    <w:rsid w:val="6D213B37"/>
    <w:rsid w:val="6D2B53E0"/>
    <w:rsid w:val="6D3539D6"/>
    <w:rsid w:val="6D4C71EB"/>
    <w:rsid w:val="6D51D733"/>
    <w:rsid w:val="6D9A295C"/>
    <w:rsid w:val="6D9D2317"/>
    <w:rsid w:val="6DA2ACEE"/>
    <w:rsid w:val="6DAF289C"/>
    <w:rsid w:val="6DBF1CDE"/>
    <w:rsid w:val="6DCFEB70"/>
    <w:rsid w:val="6DD18EBA"/>
    <w:rsid w:val="6DE0D613"/>
    <w:rsid w:val="6DF2961C"/>
    <w:rsid w:val="6DFE0995"/>
    <w:rsid w:val="6E03F226"/>
    <w:rsid w:val="6E29A53B"/>
    <w:rsid w:val="6E38E5B6"/>
    <w:rsid w:val="6E520B7D"/>
    <w:rsid w:val="6E5928E2"/>
    <w:rsid w:val="6E6760B8"/>
    <w:rsid w:val="6E8A4807"/>
    <w:rsid w:val="6EAEDED2"/>
    <w:rsid w:val="6EB04669"/>
    <w:rsid w:val="6EBE659B"/>
    <w:rsid w:val="6F010D7B"/>
    <w:rsid w:val="6F0414F6"/>
    <w:rsid w:val="6F0537A8"/>
    <w:rsid w:val="6F285F8A"/>
    <w:rsid w:val="6F2BDE24"/>
    <w:rsid w:val="6F5F60E4"/>
    <w:rsid w:val="6F83B0D0"/>
    <w:rsid w:val="6F86FB7D"/>
    <w:rsid w:val="6F888B2F"/>
    <w:rsid w:val="6F98926D"/>
    <w:rsid w:val="6FD5E2ED"/>
    <w:rsid w:val="6FDB28E2"/>
    <w:rsid w:val="6FDD2F5A"/>
    <w:rsid w:val="6FF08AAA"/>
    <w:rsid w:val="6FF1D1D5"/>
    <w:rsid w:val="6FF50CFF"/>
    <w:rsid w:val="700D0C74"/>
    <w:rsid w:val="7014FD72"/>
    <w:rsid w:val="701ECA34"/>
    <w:rsid w:val="7023708A"/>
    <w:rsid w:val="7025E844"/>
    <w:rsid w:val="702B4D6C"/>
    <w:rsid w:val="7032C13F"/>
    <w:rsid w:val="704B88FF"/>
    <w:rsid w:val="705B540D"/>
    <w:rsid w:val="708BE065"/>
    <w:rsid w:val="70918497"/>
    <w:rsid w:val="7099D0B9"/>
    <w:rsid w:val="709AA9F2"/>
    <w:rsid w:val="709AEE8A"/>
    <w:rsid w:val="70AD868F"/>
    <w:rsid w:val="70BF61BA"/>
    <w:rsid w:val="70E91593"/>
    <w:rsid w:val="70E962E5"/>
    <w:rsid w:val="70FEA914"/>
    <w:rsid w:val="71288095"/>
    <w:rsid w:val="7136528F"/>
    <w:rsid w:val="7141AEA5"/>
    <w:rsid w:val="7144BD67"/>
    <w:rsid w:val="715012D6"/>
    <w:rsid w:val="7158C047"/>
    <w:rsid w:val="715A6225"/>
    <w:rsid w:val="717189FA"/>
    <w:rsid w:val="71973DE6"/>
    <w:rsid w:val="71BBCBAF"/>
    <w:rsid w:val="71F78216"/>
    <w:rsid w:val="71FB2482"/>
    <w:rsid w:val="722CFCF5"/>
    <w:rsid w:val="724F677F"/>
    <w:rsid w:val="7264401A"/>
    <w:rsid w:val="72671E57"/>
    <w:rsid w:val="72678AE8"/>
    <w:rsid w:val="7269A8CC"/>
    <w:rsid w:val="7292E1CB"/>
    <w:rsid w:val="72992164"/>
    <w:rsid w:val="72B030B3"/>
    <w:rsid w:val="72DFF4B4"/>
    <w:rsid w:val="72E09A7E"/>
    <w:rsid w:val="72E86D20"/>
    <w:rsid w:val="72EFCE37"/>
    <w:rsid w:val="72FB04D4"/>
    <w:rsid w:val="73145205"/>
    <w:rsid w:val="731D6510"/>
    <w:rsid w:val="73279329"/>
    <w:rsid w:val="733BC011"/>
    <w:rsid w:val="73442D26"/>
    <w:rsid w:val="734F99BA"/>
    <w:rsid w:val="735B0B06"/>
    <w:rsid w:val="73652CC7"/>
    <w:rsid w:val="73692289"/>
    <w:rsid w:val="7370813E"/>
    <w:rsid w:val="737DC88B"/>
    <w:rsid w:val="738E14F0"/>
    <w:rsid w:val="739FB627"/>
    <w:rsid w:val="73A1DD48"/>
    <w:rsid w:val="73AF3EB5"/>
    <w:rsid w:val="73C055A8"/>
    <w:rsid w:val="73D22F6D"/>
    <w:rsid w:val="73E93333"/>
    <w:rsid w:val="73F220C2"/>
    <w:rsid w:val="73FDEE53"/>
    <w:rsid w:val="740433E0"/>
    <w:rsid w:val="740E87E7"/>
    <w:rsid w:val="741E67E8"/>
    <w:rsid w:val="7420E87F"/>
    <w:rsid w:val="74238F47"/>
    <w:rsid w:val="74275FF9"/>
    <w:rsid w:val="742D92EA"/>
    <w:rsid w:val="7441E73B"/>
    <w:rsid w:val="744F243B"/>
    <w:rsid w:val="746088A3"/>
    <w:rsid w:val="746B80C5"/>
    <w:rsid w:val="746F21BA"/>
    <w:rsid w:val="74D1DB22"/>
    <w:rsid w:val="74DBB5EF"/>
    <w:rsid w:val="74F0DE0A"/>
    <w:rsid w:val="74F291AD"/>
    <w:rsid w:val="74FB9867"/>
    <w:rsid w:val="75150ABE"/>
    <w:rsid w:val="75167D45"/>
    <w:rsid w:val="75183EA9"/>
    <w:rsid w:val="75351E4F"/>
    <w:rsid w:val="753A21A8"/>
    <w:rsid w:val="753B001C"/>
    <w:rsid w:val="756DEEBF"/>
    <w:rsid w:val="75726468"/>
    <w:rsid w:val="75999579"/>
    <w:rsid w:val="75CC0677"/>
    <w:rsid w:val="75D1814B"/>
    <w:rsid w:val="75EE9C19"/>
    <w:rsid w:val="75F32ADD"/>
    <w:rsid w:val="75FB2478"/>
    <w:rsid w:val="75FB8F7B"/>
    <w:rsid w:val="75FF4A94"/>
    <w:rsid w:val="760375FA"/>
    <w:rsid w:val="7607F681"/>
    <w:rsid w:val="760A4AB4"/>
    <w:rsid w:val="761371FC"/>
    <w:rsid w:val="761813F0"/>
    <w:rsid w:val="7620EB74"/>
    <w:rsid w:val="7642D906"/>
    <w:rsid w:val="76496C58"/>
    <w:rsid w:val="76582785"/>
    <w:rsid w:val="765906FB"/>
    <w:rsid w:val="76610B99"/>
    <w:rsid w:val="7663B15B"/>
    <w:rsid w:val="7663CF96"/>
    <w:rsid w:val="76A0D569"/>
    <w:rsid w:val="76C8F488"/>
    <w:rsid w:val="76DAAC37"/>
    <w:rsid w:val="76E2ACEE"/>
    <w:rsid w:val="771566BC"/>
    <w:rsid w:val="7716B273"/>
    <w:rsid w:val="774592E7"/>
    <w:rsid w:val="7751F4EA"/>
    <w:rsid w:val="77645803"/>
    <w:rsid w:val="776D7745"/>
    <w:rsid w:val="779BF36C"/>
    <w:rsid w:val="77A36340"/>
    <w:rsid w:val="77A5A234"/>
    <w:rsid w:val="77A80055"/>
    <w:rsid w:val="77B9CF31"/>
    <w:rsid w:val="77BB5AC6"/>
    <w:rsid w:val="77D93FD2"/>
    <w:rsid w:val="78035BB6"/>
    <w:rsid w:val="780619A3"/>
    <w:rsid w:val="78135AF7"/>
    <w:rsid w:val="78160304"/>
    <w:rsid w:val="781F0B7C"/>
    <w:rsid w:val="7829BECE"/>
    <w:rsid w:val="782AD25C"/>
    <w:rsid w:val="782D0557"/>
    <w:rsid w:val="78378E41"/>
    <w:rsid w:val="7852FD2D"/>
    <w:rsid w:val="78554986"/>
    <w:rsid w:val="785F2B0C"/>
    <w:rsid w:val="7882B0C1"/>
    <w:rsid w:val="788810A1"/>
    <w:rsid w:val="78AA0A15"/>
    <w:rsid w:val="78B5A8EA"/>
    <w:rsid w:val="78BC903A"/>
    <w:rsid w:val="78C91793"/>
    <w:rsid w:val="78EE1C96"/>
    <w:rsid w:val="78EF6720"/>
    <w:rsid w:val="790E05CD"/>
    <w:rsid w:val="793175BD"/>
    <w:rsid w:val="795D11B2"/>
    <w:rsid w:val="79668BE2"/>
    <w:rsid w:val="7994F3C9"/>
    <w:rsid w:val="79D56251"/>
    <w:rsid w:val="79E3746D"/>
    <w:rsid w:val="7A218542"/>
    <w:rsid w:val="7A2E3624"/>
    <w:rsid w:val="7A561203"/>
    <w:rsid w:val="7A77F8CA"/>
    <w:rsid w:val="7A82BEE8"/>
    <w:rsid w:val="7AB77BF0"/>
    <w:rsid w:val="7AC1E991"/>
    <w:rsid w:val="7AD42343"/>
    <w:rsid w:val="7ADA2E37"/>
    <w:rsid w:val="7B0D71AA"/>
    <w:rsid w:val="7B319FA3"/>
    <w:rsid w:val="7B3DB28B"/>
    <w:rsid w:val="7B3EB742"/>
    <w:rsid w:val="7B42BC16"/>
    <w:rsid w:val="7B681BC1"/>
    <w:rsid w:val="7B86AE3F"/>
    <w:rsid w:val="7B89ACAC"/>
    <w:rsid w:val="7B8AB15F"/>
    <w:rsid w:val="7B8B3ED1"/>
    <w:rsid w:val="7BB1478D"/>
    <w:rsid w:val="7BD4D7BB"/>
    <w:rsid w:val="7BDD445A"/>
    <w:rsid w:val="7C090D1D"/>
    <w:rsid w:val="7C1A1A36"/>
    <w:rsid w:val="7C24386E"/>
    <w:rsid w:val="7C4B26E5"/>
    <w:rsid w:val="7C69AC65"/>
    <w:rsid w:val="7D1898F6"/>
    <w:rsid w:val="7D24DA1C"/>
    <w:rsid w:val="7D2622B2"/>
    <w:rsid w:val="7D2ED1E9"/>
    <w:rsid w:val="7D343622"/>
    <w:rsid w:val="7D3D8B29"/>
    <w:rsid w:val="7D60D4BC"/>
    <w:rsid w:val="7D6EB67E"/>
    <w:rsid w:val="7D7D6CBF"/>
    <w:rsid w:val="7D8B6130"/>
    <w:rsid w:val="7D8D2623"/>
    <w:rsid w:val="7D98EAF1"/>
    <w:rsid w:val="7D9B9A4F"/>
    <w:rsid w:val="7DC3C392"/>
    <w:rsid w:val="7DD41AB8"/>
    <w:rsid w:val="7DE50901"/>
    <w:rsid w:val="7DEF8E09"/>
    <w:rsid w:val="7DF8B012"/>
    <w:rsid w:val="7DF92DE5"/>
    <w:rsid w:val="7E2A4DD0"/>
    <w:rsid w:val="7E2C5D88"/>
    <w:rsid w:val="7E372021"/>
    <w:rsid w:val="7E43F281"/>
    <w:rsid w:val="7E536DFB"/>
    <w:rsid w:val="7E5FEB63"/>
    <w:rsid w:val="7E8E22D0"/>
    <w:rsid w:val="7EB57209"/>
    <w:rsid w:val="7F1B02D9"/>
    <w:rsid w:val="7F1D6302"/>
    <w:rsid w:val="7F268A9A"/>
    <w:rsid w:val="7F324E58"/>
    <w:rsid w:val="7F32AE9B"/>
    <w:rsid w:val="7F5D3021"/>
    <w:rsid w:val="7F6E4E84"/>
    <w:rsid w:val="7F80EBDD"/>
    <w:rsid w:val="7F95E760"/>
    <w:rsid w:val="7F99EA3C"/>
    <w:rsid w:val="7F9C4B45"/>
    <w:rsid w:val="7FBF02CE"/>
    <w:rsid w:val="7FDD639C"/>
    <w:rsid w:val="7FEB06F0"/>
    <w:rsid w:val="7FF565F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037C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2F2AEF"/>
    <w:rPr>
      <w:color w:val="0000FF"/>
      <w:shd w:val="clear" w:color="auto" w:fill="auto"/>
    </w:rPr>
  </w:style>
  <w:style w:type="paragraph" w:styleId="Header">
    <w:name w:val="header"/>
    <w:basedOn w:val="Normal"/>
    <w:link w:val="HeaderChar"/>
    <w:uiPriority w:val="99"/>
    <w:unhideWhenUsed/>
    <w:rsid w:val="002F2AEF"/>
    <w:pPr>
      <w:tabs>
        <w:tab w:val="center" w:pos="4513"/>
        <w:tab w:val="right" w:pos="9026"/>
      </w:tabs>
      <w:spacing w:after="0" w:line="240" w:lineRule="auto"/>
    </w:pPr>
  </w:style>
  <w:style w:type="character" w:customStyle="1" w:styleId="HeaderChar">
    <w:name w:val="Header Char"/>
    <w:basedOn w:val="DefaultParagraphFont"/>
    <w:link w:val="Header"/>
    <w:uiPriority w:val="99"/>
    <w:rsid w:val="002F2AEF"/>
  </w:style>
  <w:style w:type="paragraph" w:styleId="Footer">
    <w:name w:val="footer"/>
    <w:basedOn w:val="Normal"/>
    <w:link w:val="FooterChar"/>
    <w:uiPriority w:val="99"/>
    <w:unhideWhenUsed/>
    <w:rsid w:val="002F2AEF"/>
    <w:pPr>
      <w:tabs>
        <w:tab w:val="center" w:pos="4513"/>
        <w:tab w:val="right" w:pos="9026"/>
      </w:tabs>
      <w:spacing w:after="0" w:line="240" w:lineRule="auto"/>
    </w:pPr>
  </w:style>
  <w:style w:type="character" w:customStyle="1" w:styleId="FooterChar">
    <w:name w:val="Footer Char"/>
    <w:basedOn w:val="DefaultParagraphFont"/>
    <w:link w:val="Footer"/>
    <w:uiPriority w:val="99"/>
    <w:rsid w:val="002F2AEF"/>
  </w:style>
  <w:style w:type="paragraph" w:customStyle="1" w:styleId="Pagedecouverture">
    <w:name w:val="Page de couverture"/>
    <w:basedOn w:val="Normal"/>
    <w:next w:val="Normal"/>
    <w:rsid w:val="002F2AEF"/>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2F2AEF"/>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2F2AEF"/>
    <w:rPr>
      <w:rFonts w:ascii="Times New Roman" w:hAnsi="Times New Roman" w:cs="Times New Roman"/>
      <w:sz w:val="24"/>
    </w:rPr>
  </w:style>
  <w:style w:type="paragraph" w:customStyle="1" w:styleId="FooterSensitivity">
    <w:name w:val="Footer Sensitivity"/>
    <w:basedOn w:val="Normal"/>
    <w:link w:val="FooterSensitivityChar"/>
    <w:rsid w:val="002F2AEF"/>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2F2AEF"/>
    <w:rPr>
      <w:rFonts w:ascii="Times New Roman" w:hAnsi="Times New Roman" w:cs="Times New Roman"/>
      <w:b/>
      <w:sz w:val="32"/>
    </w:rPr>
  </w:style>
  <w:style w:type="paragraph" w:customStyle="1" w:styleId="HeaderCoverPage">
    <w:name w:val="Header Cover Page"/>
    <w:basedOn w:val="Normal"/>
    <w:link w:val="HeaderCoverPageChar"/>
    <w:rsid w:val="002F2AEF"/>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2F2AEF"/>
    <w:rPr>
      <w:rFonts w:ascii="Times New Roman" w:hAnsi="Times New Roman" w:cs="Times New Roman"/>
      <w:sz w:val="24"/>
    </w:rPr>
  </w:style>
  <w:style w:type="paragraph" w:customStyle="1" w:styleId="HeaderSensitivity">
    <w:name w:val="Header Sensitivity"/>
    <w:basedOn w:val="Normal"/>
    <w:link w:val="HeaderSensitivityChar"/>
    <w:rsid w:val="002F2AEF"/>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2F2AEF"/>
    <w:rPr>
      <w:rFonts w:ascii="Times New Roman" w:hAnsi="Times New Roman" w:cs="Times New Roman"/>
      <w:b/>
      <w:sz w:val="32"/>
    </w:rPr>
  </w:style>
  <w:style w:type="paragraph" w:customStyle="1" w:styleId="HeaderSensitivityRight">
    <w:name w:val="Header Sensitivity Right"/>
    <w:basedOn w:val="Normal"/>
    <w:link w:val="HeaderSensitivityRightChar"/>
    <w:rsid w:val="00653F1F"/>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2F2AEF"/>
    <w:rPr>
      <w:rFonts w:ascii="Times New Roman" w:hAnsi="Times New Roman" w:cs="Times New Roman"/>
      <w:sz w:val="28"/>
    </w:rPr>
  </w:style>
  <w:style w:type="paragraph" w:customStyle="1" w:styleId="li">
    <w:name w:val="li"/>
    <w:basedOn w:val="Normal"/>
    <w:rsid w:val="005A63C8"/>
    <w:pPr>
      <w:spacing w:before="100" w:beforeAutospacing="1" w:after="100" w:afterAutospacing="1" w:line="240" w:lineRule="auto"/>
    </w:pPr>
    <w:rPr>
      <w:rFonts w:ascii="Times New Roman" w:eastAsia="Times New Roman" w:hAnsi="Times New Roman" w:cs="Times New Roman"/>
      <w:sz w:val="24"/>
      <w:szCs w:val="24"/>
      <w:lang w:eastAsia="en-IE"/>
    </w:rPr>
  </w:style>
  <w:style w:type="paragraph" w:customStyle="1" w:styleId="Normal1">
    <w:name w:val="Normal1"/>
    <w:basedOn w:val="Normal"/>
    <w:rsid w:val="005A63C8"/>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footnotereference">
    <w:name w:val="footnotereference"/>
    <w:basedOn w:val="DefaultParagraphFont"/>
    <w:rsid w:val="005A63C8"/>
  </w:style>
  <w:style w:type="character" w:styleId="Hyperlink">
    <w:name w:val="Hyperlink"/>
    <w:basedOn w:val="DefaultParagraphFont"/>
    <w:unhideWhenUsed/>
    <w:rsid w:val="005A63C8"/>
    <w:rPr>
      <w:color w:val="0000FF"/>
      <w:u w:val="single"/>
    </w:rPr>
  </w:style>
  <w:style w:type="character" w:customStyle="1" w:styleId="normaltextrun">
    <w:name w:val="normaltextrun"/>
    <w:basedOn w:val="DefaultParagraphFont"/>
    <w:rsid w:val="005A63C8"/>
  </w:style>
  <w:style w:type="character" w:customStyle="1" w:styleId="num">
    <w:name w:val="num"/>
    <w:basedOn w:val="DefaultParagraphFont"/>
    <w:rsid w:val="005A63C8"/>
  </w:style>
  <w:style w:type="paragraph" w:customStyle="1" w:styleId="Subject">
    <w:name w:val="Subject"/>
    <w:basedOn w:val="Normal"/>
    <w:link w:val="SubjectChar"/>
    <w:uiPriority w:val="2"/>
    <w:rsid w:val="005A63C8"/>
    <w:pPr>
      <w:spacing w:after="480" w:line="240" w:lineRule="auto"/>
      <w:ind w:left="1191" w:hanging="1191"/>
      <w:contextualSpacing/>
    </w:pPr>
    <w:rPr>
      <w:rFonts w:ascii="Times New Roman" w:eastAsia="Times New Roman" w:hAnsi="Times New Roman" w:cs="Times New Roman"/>
      <w:b/>
      <w:sz w:val="24"/>
      <w:szCs w:val="20"/>
      <w:lang w:eastAsia="en-GB"/>
    </w:rPr>
  </w:style>
  <w:style w:type="paragraph" w:styleId="FootnoteText">
    <w:name w:val="footnote text"/>
    <w:aliases w:val="Footnote Text Char1 Char,Footnote Text Char Char Char,Fußnotentext Char Char1 Char Char,Fußnotentext Char1 Char1 Char Char Char,Fußnotentext Char Char Char Char Char Char Char1,Footnote Text Char1,Footnote Text Char Char,footnote text,Char"/>
    <w:basedOn w:val="Normal"/>
    <w:link w:val="FootnoteTextChar"/>
    <w:uiPriority w:val="99"/>
    <w:unhideWhenUsed/>
    <w:qFormat/>
    <w:rsid w:val="00B279E0"/>
    <w:pPr>
      <w:spacing w:after="0" w:line="240" w:lineRule="auto"/>
    </w:pPr>
    <w:rPr>
      <w:sz w:val="20"/>
      <w:szCs w:val="20"/>
    </w:rPr>
  </w:style>
  <w:style w:type="character" w:customStyle="1" w:styleId="FootnoteTextChar">
    <w:name w:val="Footnote Text Char"/>
    <w:aliases w:val="Footnote Text Char1 Char Char,Footnote Text Char Char Char Char,Fußnotentext Char Char1 Char Char Char,Fußnotentext Char1 Char1 Char Char Char Char,Fußnotentext Char Char Char Char Char Char Char1 Char,Footnote Text Char1 Char1"/>
    <w:basedOn w:val="DefaultParagraphFont"/>
    <w:link w:val="FootnoteText"/>
    <w:uiPriority w:val="99"/>
    <w:qFormat/>
    <w:rsid w:val="00B279E0"/>
    <w:rPr>
      <w:sz w:val="20"/>
      <w:szCs w:val="20"/>
      <w:lang w:val="ro-RO"/>
    </w:rPr>
  </w:style>
  <w:style w:type="paragraph" w:styleId="ListParagraph">
    <w:name w:val="List Paragraph"/>
    <w:aliases w:val="Heading 2_sj,List Paragraph1,Számozott lista 1,LISTA,Listaszerű bekezdés1,Dot pt,No Spacing1,List Paragraph Char Char Char,Indicator Text,Numbered Para 1,List Paragraph à moi,Welt L Char,Welt L,Bullet List,FooterText,numbered,2,3,GSA List"/>
    <w:basedOn w:val="Normal"/>
    <w:link w:val="ListParagraphChar"/>
    <w:uiPriority w:val="34"/>
    <w:qFormat/>
    <w:rsid w:val="00B279E0"/>
    <w:pPr>
      <w:spacing w:line="256" w:lineRule="auto"/>
      <w:ind w:left="720"/>
      <w:contextualSpacing/>
    </w:pPr>
  </w:style>
  <w:style w:type="character" w:styleId="FootnoteReference0">
    <w:name w:val="footnote reference"/>
    <w:aliases w:val="BVI fnr, BVI fnr,Footnote Reference Superscript,Footnote symbol,Odwołanie przypisu,Footnote Reference_LVL6,Footnote Reference_LVL61,Footnote Reference_LVL62,Footnote Reference_LVL63,Footnote Reference_LVL64,Footnote Reference_LVL,Nota"/>
    <w:basedOn w:val="DefaultParagraphFont"/>
    <w:link w:val="FootnotesymbolCarZchn"/>
    <w:uiPriority w:val="99"/>
    <w:unhideWhenUsed/>
    <w:qFormat/>
    <w:rsid w:val="00B279E0"/>
    <w:rPr>
      <w:vertAlign w:val="superscript"/>
    </w:rPr>
  </w:style>
  <w:style w:type="character" w:styleId="CommentReference">
    <w:name w:val="annotation reference"/>
    <w:basedOn w:val="DefaultParagraphFont"/>
    <w:uiPriority w:val="99"/>
    <w:semiHidden/>
    <w:unhideWhenUsed/>
    <w:rsid w:val="00DD09F0"/>
    <w:rPr>
      <w:sz w:val="16"/>
      <w:szCs w:val="16"/>
    </w:rPr>
  </w:style>
  <w:style w:type="paragraph" w:styleId="CommentText">
    <w:name w:val="annotation text"/>
    <w:basedOn w:val="Normal"/>
    <w:link w:val="CommentTextChar"/>
    <w:uiPriority w:val="99"/>
    <w:unhideWhenUsed/>
    <w:rsid w:val="00DD09F0"/>
    <w:pPr>
      <w:spacing w:line="240" w:lineRule="auto"/>
    </w:pPr>
    <w:rPr>
      <w:sz w:val="20"/>
      <w:szCs w:val="20"/>
    </w:rPr>
  </w:style>
  <w:style w:type="character" w:customStyle="1" w:styleId="CommentTextChar">
    <w:name w:val="Comment Text Char"/>
    <w:basedOn w:val="DefaultParagraphFont"/>
    <w:link w:val="CommentText"/>
    <w:uiPriority w:val="99"/>
    <w:rsid w:val="00DD09F0"/>
    <w:rPr>
      <w:sz w:val="20"/>
      <w:szCs w:val="20"/>
    </w:rPr>
  </w:style>
  <w:style w:type="paragraph" w:styleId="CommentSubject">
    <w:name w:val="annotation subject"/>
    <w:basedOn w:val="CommentText"/>
    <w:next w:val="CommentText"/>
    <w:link w:val="CommentSubjectChar"/>
    <w:uiPriority w:val="99"/>
    <w:semiHidden/>
    <w:unhideWhenUsed/>
    <w:rsid w:val="00DD09F0"/>
    <w:rPr>
      <w:b/>
      <w:bCs/>
    </w:rPr>
  </w:style>
  <w:style w:type="character" w:customStyle="1" w:styleId="CommentSubjectChar">
    <w:name w:val="Comment Subject Char"/>
    <w:basedOn w:val="CommentTextChar"/>
    <w:link w:val="CommentSubject"/>
    <w:uiPriority w:val="99"/>
    <w:semiHidden/>
    <w:rsid w:val="00DD09F0"/>
    <w:rPr>
      <w:b/>
      <w:bCs/>
      <w:sz w:val="20"/>
      <w:szCs w:val="20"/>
    </w:rPr>
  </w:style>
  <w:style w:type="paragraph" w:styleId="NormalWeb">
    <w:name w:val="Normal (Web)"/>
    <w:basedOn w:val="Normal"/>
    <w:uiPriority w:val="99"/>
    <w:semiHidden/>
    <w:unhideWhenUsed/>
    <w:rsid w:val="001E34A0"/>
    <w:pPr>
      <w:spacing w:before="100" w:beforeAutospacing="1" w:after="100" w:afterAutospacing="1" w:line="240" w:lineRule="auto"/>
    </w:pPr>
    <w:rPr>
      <w:rFonts w:ascii="Times New Roman" w:eastAsia="Times New Roman" w:hAnsi="Times New Roman" w:cs="Times New Roman"/>
      <w:sz w:val="24"/>
      <w:szCs w:val="24"/>
      <w:lang w:eastAsia="en-IE"/>
    </w:rPr>
  </w:style>
  <w:style w:type="paragraph" w:styleId="Revision">
    <w:name w:val="Revision"/>
    <w:hidden/>
    <w:uiPriority w:val="99"/>
    <w:semiHidden/>
    <w:rsid w:val="00CA0626"/>
    <w:pPr>
      <w:spacing w:after="0" w:line="240" w:lineRule="auto"/>
    </w:pPr>
  </w:style>
  <w:style w:type="character" w:customStyle="1" w:styleId="UnresolvedMention1">
    <w:name w:val="Unresolved Mention1"/>
    <w:basedOn w:val="DefaultParagraphFont"/>
    <w:uiPriority w:val="99"/>
    <w:unhideWhenUsed/>
    <w:rsid w:val="00CA0626"/>
    <w:rPr>
      <w:color w:val="605E5C"/>
      <w:shd w:val="clear" w:color="auto" w:fill="E1DFDD"/>
    </w:rPr>
  </w:style>
  <w:style w:type="character" w:customStyle="1" w:styleId="Mention1">
    <w:name w:val="Mention1"/>
    <w:basedOn w:val="DefaultParagraphFont"/>
    <w:uiPriority w:val="99"/>
    <w:unhideWhenUsed/>
    <w:rsid w:val="00CA0626"/>
    <w:rPr>
      <w:color w:val="2B579A"/>
      <w:shd w:val="clear" w:color="auto" w:fill="E1DFDD"/>
    </w:rPr>
  </w:style>
  <w:style w:type="paragraph" w:styleId="BalloonText">
    <w:name w:val="Balloon Text"/>
    <w:basedOn w:val="Normal"/>
    <w:link w:val="BalloonTextChar"/>
    <w:uiPriority w:val="99"/>
    <w:semiHidden/>
    <w:unhideWhenUsed/>
    <w:rsid w:val="00CA062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0626"/>
    <w:rPr>
      <w:rFonts w:ascii="Segoe UI" w:hAnsi="Segoe UI" w:cs="Segoe UI"/>
      <w:sz w:val="18"/>
      <w:szCs w:val="18"/>
    </w:rPr>
  </w:style>
  <w:style w:type="paragraph" w:customStyle="1" w:styleId="paragraph">
    <w:name w:val="paragraph"/>
    <w:basedOn w:val="Normal"/>
    <w:rsid w:val="00624A39"/>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eop">
    <w:name w:val="eop"/>
    <w:basedOn w:val="DefaultParagraphFont"/>
    <w:rsid w:val="00624A39"/>
  </w:style>
  <w:style w:type="paragraph" w:customStyle="1" w:styleId="Typedudocument">
    <w:name w:val="Type du document"/>
    <w:basedOn w:val="Normal"/>
    <w:next w:val="Normal"/>
    <w:rsid w:val="0054526B"/>
    <w:pPr>
      <w:spacing w:before="360" w:after="0" w:line="240" w:lineRule="auto"/>
      <w:jc w:val="center"/>
    </w:pPr>
    <w:rPr>
      <w:rFonts w:ascii="Times New Roman" w:hAnsi="Times New Roman" w:cs="Times New Roman"/>
      <w:b/>
      <w:sz w:val="24"/>
    </w:rPr>
  </w:style>
  <w:style w:type="paragraph" w:customStyle="1" w:styleId="Titreobjet">
    <w:name w:val="Titre objet"/>
    <w:basedOn w:val="Normal"/>
    <w:next w:val="Normal"/>
    <w:rsid w:val="0054526B"/>
    <w:pPr>
      <w:spacing w:before="360" w:after="360" w:line="240" w:lineRule="auto"/>
      <w:jc w:val="center"/>
    </w:pPr>
    <w:rPr>
      <w:rFonts w:ascii="Times New Roman" w:hAnsi="Times New Roman" w:cs="Times New Roman"/>
      <w:b/>
      <w:sz w:val="24"/>
    </w:rPr>
  </w:style>
  <w:style w:type="character" w:customStyle="1" w:styleId="UnresolvedMention2">
    <w:name w:val="Unresolved Mention2"/>
    <w:basedOn w:val="DefaultParagraphFont"/>
    <w:uiPriority w:val="99"/>
    <w:semiHidden/>
    <w:unhideWhenUsed/>
    <w:rsid w:val="00F22101"/>
    <w:rPr>
      <w:color w:val="605E5C"/>
      <w:shd w:val="clear" w:color="auto" w:fill="E1DFDD"/>
    </w:rPr>
  </w:style>
  <w:style w:type="character" w:styleId="FollowedHyperlink">
    <w:name w:val="FollowedHyperlink"/>
    <w:basedOn w:val="DefaultParagraphFont"/>
    <w:uiPriority w:val="99"/>
    <w:semiHidden/>
    <w:unhideWhenUsed/>
    <w:rsid w:val="006434AD"/>
    <w:rPr>
      <w:color w:val="954F72" w:themeColor="followedHyperlink"/>
      <w:u w:val="single"/>
    </w:rPr>
  </w:style>
  <w:style w:type="character" w:customStyle="1" w:styleId="ListParagraphChar">
    <w:name w:val="List Paragraph Char"/>
    <w:aliases w:val="Heading 2_sj Char,List Paragraph1 Char,Számozott lista 1 Char,LISTA Char,Listaszerű bekezdés1 Char,Dot pt Char,No Spacing1 Char,List Paragraph Char Char Char Char,Indicator Text Char,Numbered Para 1 Char,List Paragraph à moi Char"/>
    <w:basedOn w:val="DefaultParagraphFont"/>
    <w:link w:val="ListParagraph"/>
    <w:uiPriority w:val="34"/>
    <w:qFormat/>
    <w:locked/>
    <w:rsid w:val="00BB240B"/>
    <w:rPr>
      <w:lang w:val="ro-RO"/>
    </w:rPr>
  </w:style>
  <w:style w:type="paragraph" w:customStyle="1" w:styleId="Style1">
    <w:name w:val="Style1"/>
    <w:basedOn w:val="Subject"/>
    <w:link w:val="Style1Char"/>
    <w:qFormat/>
    <w:rsid w:val="00E12D9E"/>
    <w:pPr>
      <w:numPr>
        <w:numId w:val="3"/>
      </w:numPr>
      <w:jc w:val="both"/>
    </w:pPr>
    <w:rPr>
      <w:smallCaps/>
      <w:color w:val="333333"/>
      <w:szCs w:val="24"/>
    </w:rPr>
  </w:style>
  <w:style w:type="paragraph" w:customStyle="1" w:styleId="Style2">
    <w:name w:val="Style2"/>
    <w:basedOn w:val="ListParagraph"/>
    <w:link w:val="Style2Char"/>
    <w:qFormat/>
    <w:rsid w:val="00775262"/>
    <w:pPr>
      <w:numPr>
        <w:ilvl w:val="1"/>
        <w:numId w:val="3"/>
      </w:numPr>
      <w:autoSpaceDE w:val="0"/>
      <w:autoSpaceDN w:val="0"/>
      <w:spacing w:after="0" w:line="252" w:lineRule="auto"/>
      <w:jc w:val="both"/>
    </w:pPr>
    <w:rPr>
      <w:rFonts w:ascii="Times New Roman" w:hAnsi="Times New Roman" w:cs="Times New Roman"/>
      <w:b/>
      <w:bCs/>
      <w:sz w:val="24"/>
      <w:szCs w:val="24"/>
    </w:rPr>
  </w:style>
  <w:style w:type="character" w:customStyle="1" w:styleId="SubjectChar">
    <w:name w:val="Subject Char"/>
    <w:basedOn w:val="DefaultParagraphFont"/>
    <w:link w:val="Subject"/>
    <w:uiPriority w:val="2"/>
    <w:rsid w:val="00E12D9E"/>
    <w:rPr>
      <w:rFonts w:ascii="Times New Roman" w:eastAsia="Times New Roman" w:hAnsi="Times New Roman" w:cs="Times New Roman"/>
      <w:b/>
      <w:sz w:val="24"/>
      <w:szCs w:val="20"/>
      <w:lang w:val="ro-RO" w:eastAsia="en-GB"/>
    </w:rPr>
  </w:style>
  <w:style w:type="character" w:customStyle="1" w:styleId="Style1Char">
    <w:name w:val="Style1 Char"/>
    <w:basedOn w:val="SubjectChar"/>
    <w:link w:val="Style1"/>
    <w:rsid w:val="00E12D9E"/>
    <w:rPr>
      <w:rFonts w:ascii="Times New Roman" w:eastAsia="Times New Roman" w:hAnsi="Times New Roman" w:cs="Times New Roman"/>
      <w:b/>
      <w:smallCaps/>
      <w:color w:val="333333"/>
      <w:sz w:val="24"/>
      <w:szCs w:val="24"/>
      <w:lang w:val="ro-RO" w:eastAsia="en-GB"/>
    </w:rPr>
  </w:style>
  <w:style w:type="character" w:customStyle="1" w:styleId="Style2Char">
    <w:name w:val="Style2 Char"/>
    <w:basedOn w:val="ListParagraphChar"/>
    <w:link w:val="Style2"/>
    <w:rsid w:val="00E12D9E"/>
    <w:rPr>
      <w:rFonts w:ascii="Times New Roman" w:hAnsi="Times New Roman" w:cs="Times New Roman"/>
      <w:b/>
      <w:bCs/>
      <w:sz w:val="24"/>
      <w:szCs w:val="24"/>
      <w:lang w:val="ro-RO"/>
    </w:rPr>
  </w:style>
  <w:style w:type="character" w:customStyle="1" w:styleId="Mention2">
    <w:name w:val="Mention2"/>
    <w:basedOn w:val="DefaultParagraphFont"/>
    <w:uiPriority w:val="99"/>
    <w:unhideWhenUsed/>
    <w:rsid w:val="000D03EA"/>
    <w:rPr>
      <w:color w:val="2B579A"/>
      <w:shd w:val="clear" w:color="auto" w:fill="E1DFDD"/>
    </w:rPr>
  </w:style>
  <w:style w:type="character" w:styleId="PlaceholderText">
    <w:name w:val="Placeholder Text"/>
    <w:basedOn w:val="DefaultParagraphFont"/>
    <w:uiPriority w:val="99"/>
    <w:semiHidden/>
    <w:rsid w:val="00DD5544"/>
    <w:rPr>
      <w:color w:val="808080"/>
    </w:rPr>
  </w:style>
  <w:style w:type="character" w:customStyle="1" w:styleId="markedcontent">
    <w:name w:val="markedcontent"/>
    <w:basedOn w:val="DefaultParagraphFont"/>
    <w:rsid w:val="00174BBC"/>
  </w:style>
  <w:style w:type="character" w:customStyle="1" w:styleId="cf01">
    <w:name w:val="cf01"/>
    <w:basedOn w:val="DefaultParagraphFont"/>
    <w:rsid w:val="00174BBC"/>
    <w:rPr>
      <w:rFonts w:ascii="Segoe UI" w:hAnsi="Segoe UI" w:cs="Segoe UI" w:hint="default"/>
      <w:sz w:val="18"/>
      <w:szCs w:val="18"/>
    </w:rPr>
  </w:style>
  <w:style w:type="character" w:customStyle="1" w:styleId="cf11">
    <w:name w:val="cf11"/>
    <w:basedOn w:val="DefaultParagraphFont"/>
    <w:rsid w:val="00174BBC"/>
    <w:rPr>
      <w:rFonts w:ascii="Segoe UI" w:hAnsi="Segoe UI" w:cs="Segoe UI" w:hint="default"/>
      <w:b/>
      <w:bCs/>
      <w:sz w:val="18"/>
      <w:szCs w:val="18"/>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0"/>
    <w:uiPriority w:val="99"/>
    <w:rsid w:val="005203A6"/>
    <w:pPr>
      <w:widowControl w:val="0"/>
      <w:adjustRightInd w:val="0"/>
      <w:spacing w:line="240" w:lineRule="exact"/>
      <w:jc w:val="both"/>
      <w:textAlignment w:val="baseline"/>
    </w:pPr>
    <w:rPr>
      <w:vertAlign w:val="superscript"/>
    </w:rPr>
  </w:style>
  <w:style w:type="character" w:customStyle="1" w:styleId="Hyperlink1">
    <w:name w:val="Hyperlink1"/>
    <w:basedOn w:val="DefaultParagraphFont"/>
    <w:uiPriority w:val="99"/>
    <w:unhideWhenUsed/>
    <w:rsid w:val="00012BCC"/>
    <w:rPr>
      <w:color w:val="0000FF"/>
      <w:u w:val="single"/>
    </w:rPr>
  </w:style>
  <w:style w:type="paragraph" w:customStyle="1" w:styleId="FootnoteText1">
    <w:name w:val="Footnote Text1"/>
    <w:basedOn w:val="Normal"/>
    <w:next w:val="FootnoteText"/>
    <w:uiPriority w:val="99"/>
    <w:unhideWhenUsed/>
    <w:rsid w:val="00012BCC"/>
    <w:pPr>
      <w:spacing w:after="0" w:line="240" w:lineRule="auto"/>
    </w:pPr>
    <w:rPr>
      <w:rFonts w:eastAsia="MS Mincho"/>
      <w:sz w:val="20"/>
      <w:szCs w:val="20"/>
    </w:rPr>
  </w:style>
  <w:style w:type="character" w:customStyle="1" w:styleId="UnresolvedMention3">
    <w:name w:val="Unresolved Mention3"/>
    <w:basedOn w:val="DefaultParagraphFont"/>
    <w:uiPriority w:val="99"/>
    <w:semiHidden/>
    <w:unhideWhenUsed/>
    <w:rsid w:val="00014793"/>
    <w:rPr>
      <w:color w:val="605E5C"/>
      <w:shd w:val="clear" w:color="auto" w:fill="E1DFDD"/>
    </w:rPr>
  </w:style>
  <w:style w:type="paragraph" w:customStyle="1" w:styleId="ContNum">
    <w:name w:val="ContNum"/>
    <w:basedOn w:val="Normal"/>
    <w:uiPriority w:val="20"/>
    <w:qFormat/>
    <w:rsid w:val="00132CCB"/>
    <w:pPr>
      <w:spacing w:after="240" w:line="240" w:lineRule="auto"/>
      <w:jc w:val="both"/>
    </w:pPr>
    <w:rPr>
      <w:rFonts w:ascii="Times New Roman" w:eastAsia="Times New Roman" w:hAnsi="Times New Roman" w:cs="Times New Roman"/>
      <w:sz w:val="24"/>
      <w:szCs w:val="20"/>
      <w:lang w:eastAsia="en-GB"/>
    </w:rPr>
  </w:style>
  <w:style w:type="table" w:styleId="TableGrid">
    <w:name w:val="Table Grid"/>
    <w:basedOn w:val="TableNormal"/>
    <w:uiPriority w:val="39"/>
    <w:rsid w:val="00A33633"/>
    <w:pPr>
      <w:spacing w:after="0" w:line="240" w:lineRule="auto"/>
    </w:pPr>
    <w:tblPr/>
  </w:style>
  <w:style w:type="paragraph" w:customStyle="1" w:styleId="Languesfaisantfoi">
    <w:name w:val="Langues faisant foi"/>
    <w:basedOn w:val="Normal"/>
    <w:next w:val="Normal"/>
    <w:rsid w:val="009C694E"/>
    <w:pPr>
      <w:spacing w:before="360" w:after="240" w:line="240" w:lineRule="auto"/>
      <w:jc w:val="center"/>
    </w:pPr>
    <w:rPr>
      <w:rFonts w:ascii="Times New Roman" w:hAnsi="Times New Roman" w:cs="Times New Roman"/>
      <w:sz w:val="24"/>
    </w:rPr>
  </w:style>
  <w:style w:type="paragraph" w:customStyle="1" w:styleId="LanguesfaisantfoiPagedecouverture">
    <w:name w:val="Langues faisant foi (Page de couverture)"/>
    <w:basedOn w:val="Normal"/>
    <w:next w:val="Normal"/>
    <w:rsid w:val="009C694E"/>
    <w:pPr>
      <w:spacing w:before="360" w:after="240" w:line="240" w:lineRule="auto"/>
      <w:jc w:val="center"/>
    </w:pPr>
    <w:rPr>
      <w:rFonts w:ascii="Times New Roman" w:hAnsi="Times New Roman" w:cs="Times New Roman"/>
      <w:sz w:val="24"/>
    </w:rPr>
  </w:style>
  <w:style w:type="paragraph" w:customStyle="1" w:styleId="IntrtEEE">
    <w:name w:val="Intérêt EEE"/>
    <w:basedOn w:val="Languesfaisantfoi"/>
    <w:next w:val="Normal"/>
    <w:rsid w:val="009C694E"/>
    <w:pPr>
      <w:spacing w:after="0"/>
    </w:pPr>
  </w:style>
  <w:style w:type="paragraph" w:customStyle="1" w:styleId="IntrtEEEPagedecouverture">
    <w:name w:val="Intérêt EEE (Page de couverture)"/>
    <w:basedOn w:val="IntrtEEE"/>
    <w:next w:val="Normal"/>
    <w:rsid w:val="009C694E"/>
  </w:style>
  <w:style w:type="paragraph" w:customStyle="1" w:styleId="Disclaimer">
    <w:name w:val="Disclaimer"/>
    <w:basedOn w:val="Normal"/>
    <w:rsid w:val="00653F1F"/>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653F1F"/>
    <w:pPr>
      <w:spacing w:after="0" w:line="276" w:lineRule="auto"/>
      <w:ind w:left="5103"/>
    </w:pPr>
    <w:rPr>
      <w:rFonts w:ascii="Times New Roman" w:hAnsi="Times New Roman" w:cs="Times New Roman"/>
      <w:sz w:val="28"/>
    </w:rPr>
  </w:style>
  <w:style w:type="paragraph" w:customStyle="1" w:styleId="DateMarking">
    <w:name w:val="DateMarking"/>
    <w:basedOn w:val="Normal"/>
    <w:rsid w:val="00653F1F"/>
    <w:pPr>
      <w:spacing w:after="0" w:line="276" w:lineRule="auto"/>
      <w:ind w:left="5103"/>
    </w:pPr>
    <w:rPr>
      <w:rFonts w:ascii="Times New Roman" w:hAnsi="Times New Roman" w:cs="Times New Roman"/>
      <w:i/>
      <w:sz w:val="28"/>
    </w:rPr>
  </w:style>
  <w:style w:type="paragraph" w:customStyle="1" w:styleId="ReleasableTo">
    <w:name w:val="ReleasableTo"/>
    <w:basedOn w:val="Normal"/>
    <w:rsid w:val="00653F1F"/>
    <w:pPr>
      <w:spacing w:after="0" w:line="276" w:lineRule="auto"/>
      <w:ind w:left="5103"/>
    </w:pPr>
    <w:rPr>
      <w:rFonts w:ascii="Times New Roman" w:hAnsi="Times New Roman" w:cs="Times New Roman"/>
      <w:i/>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15082">
      <w:bodyDiv w:val="1"/>
      <w:marLeft w:val="0"/>
      <w:marRight w:val="0"/>
      <w:marTop w:val="0"/>
      <w:marBottom w:val="0"/>
      <w:divBdr>
        <w:top w:val="none" w:sz="0" w:space="0" w:color="auto"/>
        <w:left w:val="none" w:sz="0" w:space="0" w:color="auto"/>
        <w:bottom w:val="none" w:sz="0" w:space="0" w:color="auto"/>
        <w:right w:val="none" w:sz="0" w:space="0" w:color="auto"/>
      </w:divBdr>
    </w:div>
    <w:div w:id="8872536">
      <w:bodyDiv w:val="1"/>
      <w:marLeft w:val="0"/>
      <w:marRight w:val="0"/>
      <w:marTop w:val="0"/>
      <w:marBottom w:val="0"/>
      <w:divBdr>
        <w:top w:val="none" w:sz="0" w:space="0" w:color="auto"/>
        <w:left w:val="none" w:sz="0" w:space="0" w:color="auto"/>
        <w:bottom w:val="none" w:sz="0" w:space="0" w:color="auto"/>
        <w:right w:val="none" w:sz="0" w:space="0" w:color="auto"/>
      </w:divBdr>
      <w:divsChild>
        <w:div w:id="280963178">
          <w:marLeft w:val="0"/>
          <w:marRight w:val="0"/>
          <w:marTop w:val="0"/>
          <w:marBottom w:val="0"/>
          <w:divBdr>
            <w:top w:val="none" w:sz="0" w:space="0" w:color="auto"/>
            <w:left w:val="none" w:sz="0" w:space="0" w:color="auto"/>
            <w:bottom w:val="none" w:sz="0" w:space="0" w:color="auto"/>
            <w:right w:val="none" w:sz="0" w:space="0" w:color="auto"/>
          </w:divBdr>
          <w:divsChild>
            <w:div w:id="596602164">
              <w:marLeft w:val="0"/>
              <w:marRight w:val="0"/>
              <w:marTop w:val="0"/>
              <w:marBottom w:val="0"/>
              <w:divBdr>
                <w:top w:val="none" w:sz="0" w:space="0" w:color="auto"/>
                <w:left w:val="none" w:sz="0" w:space="0" w:color="auto"/>
                <w:bottom w:val="none" w:sz="0" w:space="0" w:color="auto"/>
                <w:right w:val="none" w:sz="0" w:space="0" w:color="auto"/>
              </w:divBdr>
              <w:divsChild>
                <w:div w:id="194126057">
                  <w:marLeft w:val="0"/>
                  <w:marRight w:val="0"/>
                  <w:marTop w:val="0"/>
                  <w:marBottom w:val="0"/>
                  <w:divBdr>
                    <w:top w:val="none" w:sz="0" w:space="0" w:color="auto"/>
                    <w:left w:val="none" w:sz="0" w:space="0" w:color="auto"/>
                    <w:bottom w:val="none" w:sz="0" w:space="0" w:color="auto"/>
                    <w:right w:val="none" w:sz="0" w:space="0" w:color="auto"/>
                  </w:divBdr>
                  <w:divsChild>
                    <w:div w:id="1110245436">
                      <w:marLeft w:val="0"/>
                      <w:marRight w:val="0"/>
                      <w:marTop w:val="0"/>
                      <w:marBottom w:val="0"/>
                      <w:divBdr>
                        <w:top w:val="none" w:sz="0" w:space="0" w:color="auto"/>
                        <w:left w:val="none" w:sz="0" w:space="0" w:color="auto"/>
                        <w:bottom w:val="none" w:sz="0" w:space="0" w:color="auto"/>
                        <w:right w:val="none" w:sz="0" w:space="0" w:color="auto"/>
                      </w:divBdr>
                      <w:divsChild>
                        <w:div w:id="1038897399">
                          <w:marLeft w:val="0"/>
                          <w:marRight w:val="0"/>
                          <w:marTop w:val="0"/>
                          <w:marBottom w:val="0"/>
                          <w:divBdr>
                            <w:top w:val="none" w:sz="0" w:space="0" w:color="auto"/>
                            <w:left w:val="none" w:sz="0" w:space="0" w:color="auto"/>
                            <w:bottom w:val="none" w:sz="0" w:space="0" w:color="auto"/>
                            <w:right w:val="none" w:sz="0" w:space="0" w:color="auto"/>
                          </w:divBdr>
                          <w:divsChild>
                            <w:div w:id="418411640">
                              <w:marLeft w:val="0"/>
                              <w:marRight w:val="0"/>
                              <w:marTop w:val="0"/>
                              <w:marBottom w:val="0"/>
                              <w:divBdr>
                                <w:top w:val="none" w:sz="0" w:space="0" w:color="auto"/>
                                <w:left w:val="none" w:sz="0" w:space="0" w:color="auto"/>
                                <w:bottom w:val="none" w:sz="0" w:space="0" w:color="auto"/>
                                <w:right w:val="none" w:sz="0" w:space="0" w:color="auto"/>
                              </w:divBdr>
                              <w:divsChild>
                                <w:div w:id="783579842">
                                  <w:marLeft w:val="0"/>
                                  <w:marRight w:val="0"/>
                                  <w:marTop w:val="0"/>
                                  <w:marBottom w:val="0"/>
                                  <w:divBdr>
                                    <w:top w:val="none" w:sz="0" w:space="0" w:color="auto"/>
                                    <w:left w:val="none" w:sz="0" w:space="0" w:color="auto"/>
                                    <w:bottom w:val="none" w:sz="0" w:space="0" w:color="auto"/>
                                    <w:right w:val="none" w:sz="0" w:space="0" w:color="auto"/>
                                  </w:divBdr>
                                  <w:divsChild>
                                    <w:div w:id="1033265013">
                                      <w:marLeft w:val="0"/>
                                      <w:marRight w:val="0"/>
                                      <w:marTop w:val="0"/>
                                      <w:marBottom w:val="0"/>
                                      <w:divBdr>
                                        <w:top w:val="none" w:sz="0" w:space="0" w:color="auto"/>
                                        <w:left w:val="none" w:sz="0" w:space="0" w:color="auto"/>
                                        <w:bottom w:val="none" w:sz="0" w:space="0" w:color="auto"/>
                                        <w:right w:val="none" w:sz="0" w:space="0" w:color="auto"/>
                                      </w:divBdr>
                                      <w:divsChild>
                                        <w:div w:id="144705401">
                                          <w:marLeft w:val="0"/>
                                          <w:marRight w:val="0"/>
                                          <w:marTop w:val="0"/>
                                          <w:marBottom w:val="0"/>
                                          <w:divBdr>
                                            <w:top w:val="none" w:sz="0" w:space="0" w:color="auto"/>
                                            <w:left w:val="none" w:sz="0" w:space="0" w:color="auto"/>
                                            <w:bottom w:val="none" w:sz="0" w:space="0" w:color="auto"/>
                                            <w:right w:val="none" w:sz="0" w:space="0" w:color="auto"/>
                                          </w:divBdr>
                                          <w:divsChild>
                                            <w:div w:id="898441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0490167">
                                  <w:marLeft w:val="0"/>
                                  <w:marRight w:val="0"/>
                                  <w:marTop w:val="0"/>
                                  <w:marBottom w:val="0"/>
                                  <w:divBdr>
                                    <w:top w:val="none" w:sz="0" w:space="0" w:color="auto"/>
                                    <w:left w:val="none" w:sz="0" w:space="0" w:color="auto"/>
                                    <w:bottom w:val="none" w:sz="0" w:space="0" w:color="auto"/>
                                    <w:right w:val="none" w:sz="0" w:space="0" w:color="auto"/>
                                  </w:divBdr>
                                  <w:divsChild>
                                    <w:div w:id="563377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9241654">
          <w:marLeft w:val="0"/>
          <w:marRight w:val="0"/>
          <w:marTop w:val="0"/>
          <w:marBottom w:val="0"/>
          <w:divBdr>
            <w:top w:val="none" w:sz="0" w:space="0" w:color="auto"/>
            <w:left w:val="none" w:sz="0" w:space="0" w:color="auto"/>
            <w:bottom w:val="none" w:sz="0" w:space="0" w:color="auto"/>
            <w:right w:val="none" w:sz="0" w:space="0" w:color="auto"/>
          </w:divBdr>
          <w:divsChild>
            <w:div w:id="520820222">
              <w:marLeft w:val="0"/>
              <w:marRight w:val="0"/>
              <w:marTop w:val="0"/>
              <w:marBottom w:val="0"/>
              <w:divBdr>
                <w:top w:val="none" w:sz="0" w:space="0" w:color="auto"/>
                <w:left w:val="none" w:sz="0" w:space="0" w:color="auto"/>
                <w:bottom w:val="none" w:sz="0" w:space="0" w:color="auto"/>
                <w:right w:val="none" w:sz="0" w:space="0" w:color="auto"/>
              </w:divBdr>
              <w:divsChild>
                <w:div w:id="1704746682">
                  <w:marLeft w:val="0"/>
                  <w:marRight w:val="0"/>
                  <w:marTop w:val="0"/>
                  <w:marBottom w:val="0"/>
                  <w:divBdr>
                    <w:top w:val="none" w:sz="0" w:space="0" w:color="auto"/>
                    <w:left w:val="none" w:sz="0" w:space="0" w:color="auto"/>
                    <w:bottom w:val="none" w:sz="0" w:space="0" w:color="auto"/>
                    <w:right w:val="none" w:sz="0" w:space="0" w:color="auto"/>
                  </w:divBdr>
                  <w:divsChild>
                    <w:div w:id="586111442">
                      <w:marLeft w:val="0"/>
                      <w:marRight w:val="0"/>
                      <w:marTop w:val="0"/>
                      <w:marBottom w:val="0"/>
                      <w:divBdr>
                        <w:top w:val="none" w:sz="0" w:space="0" w:color="auto"/>
                        <w:left w:val="none" w:sz="0" w:space="0" w:color="auto"/>
                        <w:bottom w:val="none" w:sz="0" w:space="0" w:color="auto"/>
                        <w:right w:val="none" w:sz="0" w:space="0" w:color="auto"/>
                      </w:divBdr>
                      <w:divsChild>
                        <w:div w:id="1528134612">
                          <w:marLeft w:val="0"/>
                          <w:marRight w:val="0"/>
                          <w:marTop w:val="0"/>
                          <w:marBottom w:val="0"/>
                          <w:divBdr>
                            <w:top w:val="none" w:sz="0" w:space="0" w:color="auto"/>
                            <w:left w:val="none" w:sz="0" w:space="0" w:color="auto"/>
                            <w:bottom w:val="none" w:sz="0" w:space="0" w:color="auto"/>
                            <w:right w:val="none" w:sz="0" w:space="0" w:color="auto"/>
                          </w:divBdr>
                          <w:divsChild>
                            <w:div w:id="1058281596">
                              <w:marLeft w:val="0"/>
                              <w:marRight w:val="0"/>
                              <w:marTop w:val="0"/>
                              <w:marBottom w:val="0"/>
                              <w:divBdr>
                                <w:top w:val="none" w:sz="0" w:space="0" w:color="auto"/>
                                <w:left w:val="none" w:sz="0" w:space="0" w:color="auto"/>
                                <w:bottom w:val="none" w:sz="0" w:space="0" w:color="auto"/>
                                <w:right w:val="none" w:sz="0" w:space="0" w:color="auto"/>
                              </w:divBdr>
                              <w:divsChild>
                                <w:div w:id="1296645433">
                                  <w:marLeft w:val="0"/>
                                  <w:marRight w:val="0"/>
                                  <w:marTop w:val="0"/>
                                  <w:marBottom w:val="0"/>
                                  <w:divBdr>
                                    <w:top w:val="none" w:sz="0" w:space="0" w:color="auto"/>
                                    <w:left w:val="none" w:sz="0" w:space="0" w:color="auto"/>
                                    <w:bottom w:val="none" w:sz="0" w:space="0" w:color="auto"/>
                                    <w:right w:val="none" w:sz="0" w:space="0" w:color="auto"/>
                                  </w:divBdr>
                                  <w:divsChild>
                                    <w:div w:id="632440589">
                                      <w:marLeft w:val="0"/>
                                      <w:marRight w:val="0"/>
                                      <w:marTop w:val="0"/>
                                      <w:marBottom w:val="0"/>
                                      <w:divBdr>
                                        <w:top w:val="none" w:sz="0" w:space="0" w:color="auto"/>
                                        <w:left w:val="none" w:sz="0" w:space="0" w:color="auto"/>
                                        <w:bottom w:val="none" w:sz="0" w:space="0" w:color="auto"/>
                                        <w:right w:val="none" w:sz="0" w:space="0" w:color="auto"/>
                                      </w:divBdr>
                                      <w:divsChild>
                                        <w:div w:id="707724863">
                                          <w:marLeft w:val="0"/>
                                          <w:marRight w:val="0"/>
                                          <w:marTop w:val="0"/>
                                          <w:marBottom w:val="0"/>
                                          <w:divBdr>
                                            <w:top w:val="none" w:sz="0" w:space="0" w:color="auto"/>
                                            <w:left w:val="none" w:sz="0" w:space="0" w:color="auto"/>
                                            <w:bottom w:val="none" w:sz="0" w:space="0" w:color="auto"/>
                                            <w:right w:val="none" w:sz="0" w:space="0" w:color="auto"/>
                                          </w:divBdr>
                                          <w:divsChild>
                                            <w:div w:id="691227898">
                                              <w:marLeft w:val="0"/>
                                              <w:marRight w:val="0"/>
                                              <w:marTop w:val="0"/>
                                              <w:marBottom w:val="0"/>
                                              <w:divBdr>
                                                <w:top w:val="none" w:sz="0" w:space="0" w:color="auto"/>
                                                <w:left w:val="none" w:sz="0" w:space="0" w:color="auto"/>
                                                <w:bottom w:val="none" w:sz="0" w:space="0" w:color="auto"/>
                                                <w:right w:val="none" w:sz="0" w:space="0" w:color="auto"/>
                                              </w:divBdr>
                                              <w:divsChild>
                                                <w:div w:id="248005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373355">
      <w:bodyDiv w:val="1"/>
      <w:marLeft w:val="0"/>
      <w:marRight w:val="0"/>
      <w:marTop w:val="0"/>
      <w:marBottom w:val="0"/>
      <w:divBdr>
        <w:top w:val="none" w:sz="0" w:space="0" w:color="auto"/>
        <w:left w:val="none" w:sz="0" w:space="0" w:color="auto"/>
        <w:bottom w:val="none" w:sz="0" w:space="0" w:color="auto"/>
        <w:right w:val="none" w:sz="0" w:space="0" w:color="auto"/>
      </w:divBdr>
    </w:div>
    <w:div w:id="17390782">
      <w:bodyDiv w:val="1"/>
      <w:marLeft w:val="0"/>
      <w:marRight w:val="0"/>
      <w:marTop w:val="0"/>
      <w:marBottom w:val="0"/>
      <w:divBdr>
        <w:top w:val="none" w:sz="0" w:space="0" w:color="auto"/>
        <w:left w:val="none" w:sz="0" w:space="0" w:color="auto"/>
        <w:bottom w:val="none" w:sz="0" w:space="0" w:color="auto"/>
        <w:right w:val="none" w:sz="0" w:space="0" w:color="auto"/>
      </w:divBdr>
    </w:div>
    <w:div w:id="29495440">
      <w:bodyDiv w:val="1"/>
      <w:marLeft w:val="0"/>
      <w:marRight w:val="0"/>
      <w:marTop w:val="0"/>
      <w:marBottom w:val="0"/>
      <w:divBdr>
        <w:top w:val="none" w:sz="0" w:space="0" w:color="auto"/>
        <w:left w:val="none" w:sz="0" w:space="0" w:color="auto"/>
        <w:bottom w:val="none" w:sz="0" w:space="0" w:color="auto"/>
        <w:right w:val="none" w:sz="0" w:space="0" w:color="auto"/>
      </w:divBdr>
    </w:div>
    <w:div w:id="39743472">
      <w:bodyDiv w:val="1"/>
      <w:marLeft w:val="0"/>
      <w:marRight w:val="0"/>
      <w:marTop w:val="0"/>
      <w:marBottom w:val="0"/>
      <w:divBdr>
        <w:top w:val="none" w:sz="0" w:space="0" w:color="auto"/>
        <w:left w:val="none" w:sz="0" w:space="0" w:color="auto"/>
        <w:bottom w:val="none" w:sz="0" w:space="0" w:color="auto"/>
        <w:right w:val="none" w:sz="0" w:space="0" w:color="auto"/>
      </w:divBdr>
    </w:div>
    <w:div w:id="71512278">
      <w:bodyDiv w:val="1"/>
      <w:marLeft w:val="0"/>
      <w:marRight w:val="0"/>
      <w:marTop w:val="0"/>
      <w:marBottom w:val="0"/>
      <w:divBdr>
        <w:top w:val="none" w:sz="0" w:space="0" w:color="auto"/>
        <w:left w:val="none" w:sz="0" w:space="0" w:color="auto"/>
        <w:bottom w:val="none" w:sz="0" w:space="0" w:color="auto"/>
        <w:right w:val="none" w:sz="0" w:space="0" w:color="auto"/>
      </w:divBdr>
    </w:div>
    <w:div w:id="75369004">
      <w:bodyDiv w:val="1"/>
      <w:marLeft w:val="0"/>
      <w:marRight w:val="0"/>
      <w:marTop w:val="0"/>
      <w:marBottom w:val="0"/>
      <w:divBdr>
        <w:top w:val="none" w:sz="0" w:space="0" w:color="auto"/>
        <w:left w:val="none" w:sz="0" w:space="0" w:color="auto"/>
        <w:bottom w:val="none" w:sz="0" w:space="0" w:color="auto"/>
        <w:right w:val="none" w:sz="0" w:space="0" w:color="auto"/>
      </w:divBdr>
    </w:div>
    <w:div w:id="89199976">
      <w:bodyDiv w:val="1"/>
      <w:marLeft w:val="0"/>
      <w:marRight w:val="0"/>
      <w:marTop w:val="0"/>
      <w:marBottom w:val="0"/>
      <w:divBdr>
        <w:top w:val="none" w:sz="0" w:space="0" w:color="auto"/>
        <w:left w:val="none" w:sz="0" w:space="0" w:color="auto"/>
        <w:bottom w:val="none" w:sz="0" w:space="0" w:color="auto"/>
        <w:right w:val="none" w:sz="0" w:space="0" w:color="auto"/>
      </w:divBdr>
    </w:div>
    <w:div w:id="109126966">
      <w:bodyDiv w:val="1"/>
      <w:marLeft w:val="0"/>
      <w:marRight w:val="0"/>
      <w:marTop w:val="0"/>
      <w:marBottom w:val="0"/>
      <w:divBdr>
        <w:top w:val="none" w:sz="0" w:space="0" w:color="auto"/>
        <w:left w:val="none" w:sz="0" w:space="0" w:color="auto"/>
        <w:bottom w:val="none" w:sz="0" w:space="0" w:color="auto"/>
        <w:right w:val="none" w:sz="0" w:space="0" w:color="auto"/>
      </w:divBdr>
    </w:div>
    <w:div w:id="111629392">
      <w:bodyDiv w:val="1"/>
      <w:marLeft w:val="0"/>
      <w:marRight w:val="0"/>
      <w:marTop w:val="0"/>
      <w:marBottom w:val="0"/>
      <w:divBdr>
        <w:top w:val="none" w:sz="0" w:space="0" w:color="auto"/>
        <w:left w:val="none" w:sz="0" w:space="0" w:color="auto"/>
        <w:bottom w:val="none" w:sz="0" w:space="0" w:color="auto"/>
        <w:right w:val="none" w:sz="0" w:space="0" w:color="auto"/>
      </w:divBdr>
    </w:div>
    <w:div w:id="126514529">
      <w:bodyDiv w:val="1"/>
      <w:marLeft w:val="0"/>
      <w:marRight w:val="0"/>
      <w:marTop w:val="0"/>
      <w:marBottom w:val="0"/>
      <w:divBdr>
        <w:top w:val="none" w:sz="0" w:space="0" w:color="auto"/>
        <w:left w:val="none" w:sz="0" w:space="0" w:color="auto"/>
        <w:bottom w:val="none" w:sz="0" w:space="0" w:color="auto"/>
        <w:right w:val="none" w:sz="0" w:space="0" w:color="auto"/>
      </w:divBdr>
    </w:div>
    <w:div w:id="127165792">
      <w:bodyDiv w:val="1"/>
      <w:marLeft w:val="0"/>
      <w:marRight w:val="0"/>
      <w:marTop w:val="0"/>
      <w:marBottom w:val="0"/>
      <w:divBdr>
        <w:top w:val="none" w:sz="0" w:space="0" w:color="auto"/>
        <w:left w:val="none" w:sz="0" w:space="0" w:color="auto"/>
        <w:bottom w:val="none" w:sz="0" w:space="0" w:color="auto"/>
        <w:right w:val="none" w:sz="0" w:space="0" w:color="auto"/>
      </w:divBdr>
    </w:div>
    <w:div w:id="153227571">
      <w:bodyDiv w:val="1"/>
      <w:marLeft w:val="0"/>
      <w:marRight w:val="0"/>
      <w:marTop w:val="0"/>
      <w:marBottom w:val="0"/>
      <w:divBdr>
        <w:top w:val="none" w:sz="0" w:space="0" w:color="auto"/>
        <w:left w:val="none" w:sz="0" w:space="0" w:color="auto"/>
        <w:bottom w:val="none" w:sz="0" w:space="0" w:color="auto"/>
        <w:right w:val="none" w:sz="0" w:space="0" w:color="auto"/>
      </w:divBdr>
      <w:divsChild>
        <w:div w:id="774905975">
          <w:marLeft w:val="0"/>
          <w:marRight w:val="0"/>
          <w:marTop w:val="0"/>
          <w:marBottom w:val="0"/>
          <w:divBdr>
            <w:top w:val="none" w:sz="0" w:space="0" w:color="auto"/>
            <w:left w:val="none" w:sz="0" w:space="0" w:color="auto"/>
            <w:bottom w:val="none" w:sz="0" w:space="0" w:color="auto"/>
            <w:right w:val="none" w:sz="0" w:space="0" w:color="auto"/>
          </w:divBdr>
        </w:div>
      </w:divsChild>
    </w:div>
    <w:div w:id="154345357">
      <w:bodyDiv w:val="1"/>
      <w:marLeft w:val="0"/>
      <w:marRight w:val="0"/>
      <w:marTop w:val="0"/>
      <w:marBottom w:val="0"/>
      <w:divBdr>
        <w:top w:val="none" w:sz="0" w:space="0" w:color="auto"/>
        <w:left w:val="none" w:sz="0" w:space="0" w:color="auto"/>
        <w:bottom w:val="none" w:sz="0" w:space="0" w:color="auto"/>
        <w:right w:val="none" w:sz="0" w:space="0" w:color="auto"/>
      </w:divBdr>
    </w:div>
    <w:div w:id="170797293">
      <w:bodyDiv w:val="1"/>
      <w:marLeft w:val="0"/>
      <w:marRight w:val="0"/>
      <w:marTop w:val="0"/>
      <w:marBottom w:val="0"/>
      <w:divBdr>
        <w:top w:val="none" w:sz="0" w:space="0" w:color="auto"/>
        <w:left w:val="none" w:sz="0" w:space="0" w:color="auto"/>
        <w:bottom w:val="none" w:sz="0" w:space="0" w:color="auto"/>
        <w:right w:val="none" w:sz="0" w:space="0" w:color="auto"/>
      </w:divBdr>
    </w:div>
    <w:div w:id="171917572">
      <w:bodyDiv w:val="1"/>
      <w:marLeft w:val="0"/>
      <w:marRight w:val="0"/>
      <w:marTop w:val="0"/>
      <w:marBottom w:val="0"/>
      <w:divBdr>
        <w:top w:val="none" w:sz="0" w:space="0" w:color="auto"/>
        <w:left w:val="none" w:sz="0" w:space="0" w:color="auto"/>
        <w:bottom w:val="none" w:sz="0" w:space="0" w:color="auto"/>
        <w:right w:val="none" w:sz="0" w:space="0" w:color="auto"/>
      </w:divBdr>
    </w:div>
    <w:div w:id="176165290">
      <w:bodyDiv w:val="1"/>
      <w:marLeft w:val="0"/>
      <w:marRight w:val="0"/>
      <w:marTop w:val="0"/>
      <w:marBottom w:val="0"/>
      <w:divBdr>
        <w:top w:val="none" w:sz="0" w:space="0" w:color="auto"/>
        <w:left w:val="none" w:sz="0" w:space="0" w:color="auto"/>
        <w:bottom w:val="none" w:sz="0" w:space="0" w:color="auto"/>
        <w:right w:val="none" w:sz="0" w:space="0" w:color="auto"/>
      </w:divBdr>
    </w:div>
    <w:div w:id="178081558">
      <w:bodyDiv w:val="1"/>
      <w:marLeft w:val="0"/>
      <w:marRight w:val="0"/>
      <w:marTop w:val="0"/>
      <w:marBottom w:val="0"/>
      <w:divBdr>
        <w:top w:val="none" w:sz="0" w:space="0" w:color="auto"/>
        <w:left w:val="none" w:sz="0" w:space="0" w:color="auto"/>
        <w:bottom w:val="none" w:sz="0" w:space="0" w:color="auto"/>
        <w:right w:val="none" w:sz="0" w:space="0" w:color="auto"/>
      </w:divBdr>
    </w:div>
    <w:div w:id="180166846">
      <w:bodyDiv w:val="1"/>
      <w:marLeft w:val="0"/>
      <w:marRight w:val="0"/>
      <w:marTop w:val="0"/>
      <w:marBottom w:val="0"/>
      <w:divBdr>
        <w:top w:val="none" w:sz="0" w:space="0" w:color="auto"/>
        <w:left w:val="none" w:sz="0" w:space="0" w:color="auto"/>
        <w:bottom w:val="none" w:sz="0" w:space="0" w:color="auto"/>
        <w:right w:val="none" w:sz="0" w:space="0" w:color="auto"/>
      </w:divBdr>
    </w:div>
    <w:div w:id="194461556">
      <w:bodyDiv w:val="1"/>
      <w:marLeft w:val="0"/>
      <w:marRight w:val="0"/>
      <w:marTop w:val="0"/>
      <w:marBottom w:val="0"/>
      <w:divBdr>
        <w:top w:val="none" w:sz="0" w:space="0" w:color="auto"/>
        <w:left w:val="none" w:sz="0" w:space="0" w:color="auto"/>
        <w:bottom w:val="none" w:sz="0" w:space="0" w:color="auto"/>
        <w:right w:val="none" w:sz="0" w:space="0" w:color="auto"/>
      </w:divBdr>
    </w:div>
    <w:div w:id="204026660">
      <w:bodyDiv w:val="1"/>
      <w:marLeft w:val="0"/>
      <w:marRight w:val="0"/>
      <w:marTop w:val="0"/>
      <w:marBottom w:val="0"/>
      <w:divBdr>
        <w:top w:val="none" w:sz="0" w:space="0" w:color="auto"/>
        <w:left w:val="none" w:sz="0" w:space="0" w:color="auto"/>
        <w:bottom w:val="none" w:sz="0" w:space="0" w:color="auto"/>
        <w:right w:val="none" w:sz="0" w:space="0" w:color="auto"/>
      </w:divBdr>
    </w:div>
    <w:div w:id="238559743">
      <w:bodyDiv w:val="1"/>
      <w:marLeft w:val="0"/>
      <w:marRight w:val="0"/>
      <w:marTop w:val="0"/>
      <w:marBottom w:val="0"/>
      <w:divBdr>
        <w:top w:val="none" w:sz="0" w:space="0" w:color="auto"/>
        <w:left w:val="none" w:sz="0" w:space="0" w:color="auto"/>
        <w:bottom w:val="none" w:sz="0" w:space="0" w:color="auto"/>
        <w:right w:val="none" w:sz="0" w:space="0" w:color="auto"/>
      </w:divBdr>
    </w:div>
    <w:div w:id="244384310">
      <w:bodyDiv w:val="1"/>
      <w:marLeft w:val="0"/>
      <w:marRight w:val="0"/>
      <w:marTop w:val="0"/>
      <w:marBottom w:val="0"/>
      <w:divBdr>
        <w:top w:val="none" w:sz="0" w:space="0" w:color="auto"/>
        <w:left w:val="none" w:sz="0" w:space="0" w:color="auto"/>
        <w:bottom w:val="none" w:sz="0" w:space="0" w:color="auto"/>
        <w:right w:val="none" w:sz="0" w:space="0" w:color="auto"/>
      </w:divBdr>
    </w:div>
    <w:div w:id="246809814">
      <w:bodyDiv w:val="1"/>
      <w:marLeft w:val="0"/>
      <w:marRight w:val="0"/>
      <w:marTop w:val="0"/>
      <w:marBottom w:val="0"/>
      <w:divBdr>
        <w:top w:val="none" w:sz="0" w:space="0" w:color="auto"/>
        <w:left w:val="none" w:sz="0" w:space="0" w:color="auto"/>
        <w:bottom w:val="none" w:sz="0" w:space="0" w:color="auto"/>
        <w:right w:val="none" w:sz="0" w:space="0" w:color="auto"/>
      </w:divBdr>
    </w:div>
    <w:div w:id="263654518">
      <w:bodyDiv w:val="1"/>
      <w:marLeft w:val="0"/>
      <w:marRight w:val="0"/>
      <w:marTop w:val="0"/>
      <w:marBottom w:val="0"/>
      <w:divBdr>
        <w:top w:val="none" w:sz="0" w:space="0" w:color="auto"/>
        <w:left w:val="none" w:sz="0" w:space="0" w:color="auto"/>
        <w:bottom w:val="none" w:sz="0" w:space="0" w:color="auto"/>
        <w:right w:val="none" w:sz="0" w:space="0" w:color="auto"/>
      </w:divBdr>
      <w:divsChild>
        <w:div w:id="509177464">
          <w:marLeft w:val="0"/>
          <w:marRight w:val="0"/>
          <w:marTop w:val="0"/>
          <w:marBottom w:val="0"/>
          <w:divBdr>
            <w:top w:val="none" w:sz="0" w:space="0" w:color="auto"/>
            <w:left w:val="none" w:sz="0" w:space="0" w:color="auto"/>
            <w:bottom w:val="none" w:sz="0" w:space="0" w:color="auto"/>
            <w:right w:val="none" w:sz="0" w:space="0" w:color="auto"/>
          </w:divBdr>
          <w:divsChild>
            <w:div w:id="1256939934">
              <w:marLeft w:val="0"/>
              <w:marRight w:val="0"/>
              <w:marTop w:val="0"/>
              <w:marBottom w:val="0"/>
              <w:divBdr>
                <w:top w:val="none" w:sz="0" w:space="0" w:color="auto"/>
                <w:left w:val="none" w:sz="0" w:space="0" w:color="auto"/>
                <w:bottom w:val="none" w:sz="0" w:space="0" w:color="auto"/>
                <w:right w:val="none" w:sz="0" w:space="0" w:color="auto"/>
              </w:divBdr>
              <w:divsChild>
                <w:div w:id="344672216">
                  <w:marLeft w:val="0"/>
                  <w:marRight w:val="0"/>
                  <w:marTop w:val="0"/>
                  <w:marBottom w:val="0"/>
                  <w:divBdr>
                    <w:top w:val="none" w:sz="0" w:space="0" w:color="auto"/>
                    <w:left w:val="none" w:sz="0" w:space="0" w:color="auto"/>
                    <w:bottom w:val="none" w:sz="0" w:space="0" w:color="auto"/>
                    <w:right w:val="none" w:sz="0" w:space="0" w:color="auto"/>
                  </w:divBdr>
                  <w:divsChild>
                    <w:div w:id="741298225">
                      <w:marLeft w:val="0"/>
                      <w:marRight w:val="0"/>
                      <w:marTop w:val="0"/>
                      <w:marBottom w:val="0"/>
                      <w:divBdr>
                        <w:top w:val="none" w:sz="0" w:space="0" w:color="auto"/>
                        <w:left w:val="none" w:sz="0" w:space="0" w:color="auto"/>
                        <w:bottom w:val="none" w:sz="0" w:space="0" w:color="auto"/>
                        <w:right w:val="none" w:sz="0" w:space="0" w:color="auto"/>
                      </w:divBdr>
                      <w:divsChild>
                        <w:div w:id="1114129697">
                          <w:marLeft w:val="0"/>
                          <w:marRight w:val="0"/>
                          <w:marTop w:val="0"/>
                          <w:marBottom w:val="0"/>
                          <w:divBdr>
                            <w:top w:val="none" w:sz="0" w:space="0" w:color="auto"/>
                            <w:left w:val="none" w:sz="0" w:space="0" w:color="auto"/>
                            <w:bottom w:val="none" w:sz="0" w:space="0" w:color="auto"/>
                            <w:right w:val="none" w:sz="0" w:space="0" w:color="auto"/>
                          </w:divBdr>
                          <w:divsChild>
                            <w:div w:id="374231945">
                              <w:marLeft w:val="0"/>
                              <w:marRight w:val="0"/>
                              <w:marTop w:val="0"/>
                              <w:marBottom w:val="0"/>
                              <w:divBdr>
                                <w:top w:val="none" w:sz="0" w:space="0" w:color="auto"/>
                                <w:left w:val="none" w:sz="0" w:space="0" w:color="auto"/>
                                <w:bottom w:val="none" w:sz="0" w:space="0" w:color="auto"/>
                                <w:right w:val="none" w:sz="0" w:space="0" w:color="auto"/>
                              </w:divBdr>
                              <w:divsChild>
                                <w:div w:id="1018123103">
                                  <w:marLeft w:val="0"/>
                                  <w:marRight w:val="0"/>
                                  <w:marTop w:val="0"/>
                                  <w:marBottom w:val="0"/>
                                  <w:divBdr>
                                    <w:top w:val="none" w:sz="0" w:space="0" w:color="auto"/>
                                    <w:left w:val="none" w:sz="0" w:space="0" w:color="auto"/>
                                    <w:bottom w:val="none" w:sz="0" w:space="0" w:color="auto"/>
                                    <w:right w:val="none" w:sz="0" w:space="0" w:color="auto"/>
                                  </w:divBdr>
                                  <w:divsChild>
                                    <w:div w:id="1829980937">
                                      <w:marLeft w:val="0"/>
                                      <w:marRight w:val="0"/>
                                      <w:marTop w:val="0"/>
                                      <w:marBottom w:val="0"/>
                                      <w:divBdr>
                                        <w:top w:val="none" w:sz="0" w:space="0" w:color="auto"/>
                                        <w:left w:val="none" w:sz="0" w:space="0" w:color="auto"/>
                                        <w:bottom w:val="none" w:sz="0" w:space="0" w:color="auto"/>
                                        <w:right w:val="none" w:sz="0" w:space="0" w:color="auto"/>
                                      </w:divBdr>
                                      <w:divsChild>
                                        <w:div w:id="918831882">
                                          <w:marLeft w:val="0"/>
                                          <w:marRight w:val="0"/>
                                          <w:marTop w:val="0"/>
                                          <w:marBottom w:val="0"/>
                                          <w:divBdr>
                                            <w:top w:val="none" w:sz="0" w:space="0" w:color="auto"/>
                                            <w:left w:val="none" w:sz="0" w:space="0" w:color="auto"/>
                                            <w:bottom w:val="none" w:sz="0" w:space="0" w:color="auto"/>
                                            <w:right w:val="none" w:sz="0" w:space="0" w:color="auto"/>
                                          </w:divBdr>
                                          <w:divsChild>
                                            <w:div w:id="1867670773">
                                              <w:marLeft w:val="0"/>
                                              <w:marRight w:val="0"/>
                                              <w:marTop w:val="0"/>
                                              <w:marBottom w:val="0"/>
                                              <w:divBdr>
                                                <w:top w:val="none" w:sz="0" w:space="0" w:color="auto"/>
                                                <w:left w:val="none" w:sz="0" w:space="0" w:color="auto"/>
                                                <w:bottom w:val="none" w:sz="0" w:space="0" w:color="auto"/>
                                                <w:right w:val="none" w:sz="0" w:space="0" w:color="auto"/>
                                              </w:divBdr>
                                              <w:divsChild>
                                                <w:div w:id="1559783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68495839">
          <w:marLeft w:val="0"/>
          <w:marRight w:val="0"/>
          <w:marTop w:val="0"/>
          <w:marBottom w:val="0"/>
          <w:divBdr>
            <w:top w:val="none" w:sz="0" w:space="0" w:color="auto"/>
            <w:left w:val="none" w:sz="0" w:space="0" w:color="auto"/>
            <w:bottom w:val="none" w:sz="0" w:space="0" w:color="auto"/>
            <w:right w:val="none" w:sz="0" w:space="0" w:color="auto"/>
          </w:divBdr>
          <w:divsChild>
            <w:div w:id="240680436">
              <w:marLeft w:val="0"/>
              <w:marRight w:val="0"/>
              <w:marTop w:val="0"/>
              <w:marBottom w:val="0"/>
              <w:divBdr>
                <w:top w:val="none" w:sz="0" w:space="0" w:color="auto"/>
                <w:left w:val="none" w:sz="0" w:space="0" w:color="auto"/>
                <w:bottom w:val="none" w:sz="0" w:space="0" w:color="auto"/>
                <w:right w:val="none" w:sz="0" w:space="0" w:color="auto"/>
              </w:divBdr>
              <w:divsChild>
                <w:div w:id="723676038">
                  <w:marLeft w:val="0"/>
                  <w:marRight w:val="0"/>
                  <w:marTop w:val="0"/>
                  <w:marBottom w:val="0"/>
                  <w:divBdr>
                    <w:top w:val="none" w:sz="0" w:space="0" w:color="auto"/>
                    <w:left w:val="none" w:sz="0" w:space="0" w:color="auto"/>
                    <w:bottom w:val="none" w:sz="0" w:space="0" w:color="auto"/>
                    <w:right w:val="none" w:sz="0" w:space="0" w:color="auto"/>
                  </w:divBdr>
                  <w:divsChild>
                    <w:div w:id="1590039958">
                      <w:marLeft w:val="0"/>
                      <w:marRight w:val="0"/>
                      <w:marTop w:val="0"/>
                      <w:marBottom w:val="0"/>
                      <w:divBdr>
                        <w:top w:val="none" w:sz="0" w:space="0" w:color="auto"/>
                        <w:left w:val="none" w:sz="0" w:space="0" w:color="auto"/>
                        <w:bottom w:val="none" w:sz="0" w:space="0" w:color="auto"/>
                        <w:right w:val="none" w:sz="0" w:space="0" w:color="auto"/>
                      </w:divBdr>
                      <w:divsChild>
                        <w:div w:id="731732427">
                          <w:marLeft w:val="0"/>
                          <w:marRight w:val="0"/>
                          <w:marTop w:val="0"/>
                          <w:marBottom w:val="0"/>
                          <w:divBdr>
                            <w:top w:val="none" w:sz="0" w:space="0" w:color="auto"/>
                            <w:left w:val="none" w:sz="0" w:space="0" w:color="auto"/>
                            <w:bottom w:val="none" w:sz="0" w:space="0" w:color="auto"/>
                            <w:right w:val="none" w:sz="0" w:space="0" w:color="auto"/>
                          </w:divBdr>
                          <w:divsChild>
                            <w:div w:id="1432581803">
                              <w:marLeft w:val="0"/>
                              <w:marRight w:val="0"/>
                              <w:marTop w:val="0"/>
                              <w:marBottom w:val="0"/>
                              <w:divBdr>
                                <w:top w:val="none" w:sz="0" w:space="0" w:color="auto"/>
                                <w:left w:val="none" w:sz="0" w:space="0" w:color="auto"/>
                                <w:bottom w:val="none" w:sz="0" w:space="0" w:color="auto"/>
                                <w:right w:val="none" w:sz="0" w:space="0" w:color="auto"/>
                              </w:divBdr>
                              <w:divsChild>
                                <w:div w:id="62726162">
                                  <w:marLeft w:val="0"/>
                                  <w:marRight w:val="0"/>
                                  <w:marTop w:val="0"/>
                                  <w:marBottom w:val="0"/>
                                  <w:divBdr>
                                    <w:top w:val="none" w:sz="0" w:space="0" w:color="auto"/>
                                    <w:left w:val="none" w:sz="0" w:space="0" w:color="auto"/>
                                    <w:bottom w:val="none" w:sz="0" w:space="0" w:color="auto"/>
                                    <w:right w:val="none" w:sz="0" w:space="0" w:color="auto"/>
                                  </w:divBdr>
                                  <w:divsChild>
                                    <w:div w:id="1895115646">
                                      <w:marLeft w:val="0"/>
                                      <w:marRight w:val="0"/>
                                      <w:marTop w:val="0"/>
                                      <w:marBottom w:val="0"/>
                                      <w:divBdr>
                                        <w:top w:val="none" w:sz="0" w:space="0" w:color="auto"/>
                                        <w:left w:val="none" w:sz="0" w:space="0" w:color="auto"/>
                                        <w:bottom w:val="none" w:sz="0" w:space="0" w:color="auto"/>
                                        <w:right w:val="none" w:sz="0" w:space="0" w:color="auto"/>
                                      </w:divBdr>
                                    </w:div>
                                  </w:divsChild>
                                </w:div>
                                <w:div w:id="1086923441">
                                  <w:marLeft w:val="0"/>
                                  <w:marRight w:val="0"/>
                                  <w:marTop w:val="0"/>
                                  <w:marBottom w:val="0"/>
                                  <w:divBdr>
                                    <w:top w:val="none" w:sz="0" w:space="0" w:color="auto"/>
                                    <w:left w:val="none" w:sz="0" w:space="0" w:color="auto"/>
                                    <w:bottom w:val="none" w:sz="0" w:space="0" w:color="auto"/>
                                    <w:right w:val="none" w:sz="0" w:space="0" w:color="auto"/>
                                  </w:divBdr>
                                  <w:divsChild>
                                    <w:div w:id="1624269442">
                                      <w:marLeft w:val="0"/>
                                      <w:marRight w:val="0"/>
                                      <w:marTop w:val="0"/>
                                      <w:marBottom w:val="0"/>
                                      <w:divBdr>
                                        <w:top w:val="none" w:sz="0" w:space="0" w:color="auto"/>
                                        <w:left w:val="none" w:sz="0" w:space="0" w:color="auto"/>
                                        <w:bottom w:val="none" w:sz="0" w:space="0" w:color="auto"/>
                                        <w:right w:val="none" w:sz="0" w:space="0" w:color="auto"/>
                                      </w:divBdr>
                                      <w:divsChild>
                                        <w:div w:id="1494296538">
                                          <w:marLeft w:val="0"/>
                                          <w:marRight w:val="0"/>
                                          <w:marTop w:val="0"/>
                                          <w:marBottom w:val="0"/>
                                          <w:divBdr>
                                            <w:top w:val="none" w:sz="0" w:space="0" w:color="auto"/>
                                            <w:left w:val="none" w:sz="0" w:space="0" w:color="auto"/>
                                            <w:bottom w:val="none" w:sz="0" w:space="0" w:color="auto"/>
                                            <w:right w:val="none" w:sz="0" w:space="0" w:color="auto"/>
                                          </w:divBdr>
                                          <w:divsChild>
                                            <w:div w:id="613942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64267630">
      <w:bodyDiv w:val="1"/>
      <w:marLeft w:val="0"/>
      <w:marRight w:val="0"/>
      <w:marTop w:val="0"/>
      <w:marBottom w:val="0"/>
      <w:divBdr>
        <w:top w:val="none" w:sz="0" w:space="0" w:color="auto"/>
        <w:left w:val="none" w:sz="0" w:space="0" w:color="auto"/>
        <w:bottom w:val="none" w:sz="0" w:space="0" w:color="auto"/>
        <w:right w:val="none" w:sz="0" w:space="0" w:color="auto"/>
      </w:divBdr>
    </w:div>
    <w:div w:id="276183737">
      <w:bodyDiv w:val="1"/>
      <w:marLeft w:val="0"/>
      <w:marRight w:val="0"/>
      <w:marTop w:val="0"/>
      <w:marBottom w:val="0"/>
      <w:divBdr>
        <w:top w:val="none" w:sz="0" w:space="0" w:color="auto"/>
        <w:left w:val="none" w:sz="0" w:space="0" w:color="auto"/>
        <w:bottom w:val="none" w:sz="0" w:space="0" w:color="auto"/>
        <w:right w:val="none" w:sz="0" w:space="0" w:color="auto"/>
      </w:divBdr>
    </w:div>
    <w:div w:id="277494873">
      <w:bodyDiv w:val="1"/>
      <w:marLeft w:val="0"/>
      <w:marRight w:val="0"/>
      <w:marTop w:val="0"/>
      <w:marBottom w:val="0"/>
      <w:divBdr>
        <w:top w:val="none" w:sz="0" w:space="0" w:color="auto"/>
        <w:left w:val="none" w:sz="0" w:space="0" w:color="auto"/>
        <w:bottom w:val="none" w:sz="0" w:space="0" w:color="auto"/>
        <w:right w:val="none" w:sz="0" w:space="0" w:color="auto"/>
      </w:divBdr>
    </w:div>
    <w:div w:id="282422447">
      <w:bodyDiv w:val="1"/>
      <w:marLeft w:val="0"/>
      <w:marRight w:val="0"/>
      <w:marTop w:val="0"/>
      <w:marBottom w:val="0"/>
      <w:divBdr>
        <w:top w:val="none" w:sz="0" w:space="0" w:color="auto"/>
        <w:left w:val="none" w:sz="0" w:space="0" w:color="auto"/>
        <w:bottom w:val="none" w:sz="0" w:space="0" w:color="auto"/>
        <w:right w:val="none" w:sz="0" w:space="0" w:color="auto"/>
      </w:divBdr>
    </w:div>
    <w:div w:id="282660774">
      <w:bodyDiv w:val="1"/>
      <w:marLeft w:val="0"/>
      <w:marRight w:val="0"/>
      <w:marTop w:val="0"/>
      <w:marBottom w:val="0"/>
      <w:divBdr>
        <w:top w:val="none" w:sz="0" w:space="0" w:color="auto"/>
        <w:left w:val="none" w:sz="0" w:space="0" w:color="auto"/>
        <w:bottom w:val="none" w:sz="0" w:space="0" w:color="auto"/>
        <w:right w:val="none" w:sz="0" w:space="0" w:color="auto"/>
      </w:divBdr>
    </w:div>
    <w:div w:id="284118901">
      <w:bodyDiv w:val="1"/>
      <w:marLeft w:val="0"/>
      <w:marRight w:val="0"/>
      <w:marTop w:val="0"/>
      <w:marBottom w:val="0"/>
      <w:divBdr>
        <w:top w:val="none" w:sz="0" w:space="0" w:color="auto"/>
        <w:left w:val="none" w:sz="0" w:space="0" w:color="auto"/>
        <w:bottom w:val="none" w:sz="0" w:space="0" w:color="auto"/>
        <w:right w:val="none" w:sz="0" w:space="0" w:color="auto"/>
      </w:divBdr>
    </w:div>
    <w:div w:id="289480186">
      <w:bodyDiv w:val="1"/>
      <w:marLeft w:val="0"/>
      <w:marRight w:val="0"/>
      <w:marTop w:val="0"/>
      <w:marBottom w:val="0"/>
      <w:divBdr>
        <w:top w:val="none" w:sz="0" w:space="0" w:color="auto"/>
        <w:left w:val="none" w:sz="0" w:space="0" w:color="auto"/>
        <w:bottom w:val="none" w:sz="0" w:space="0" w:color="auto"/>
        <w:right w:val="none" w:sz="0" w:space="0" w:color="auto"/>
      </w:divBdr>
    </w:div>
    <w:div w:id="294872117">
      <w:bodyDiv w:val="1"/>
      <w:marLeft w:val="0"/>
      <w:marRight w:val="0"/>
      <w:marTop w:val="0"/>
      <w:marBottom w:val="0"/>
      <w:divBdr>
        <w:top w:val="none" w:sz="0" w:space="0" w:color="auto"/>
        <w:left w:val="none" w:sz="0" w:space="0" w:color="auto"/>
        <w:bottom w:val="none" w:sz="0" w:space="0" w:color="auto"/>
        <w:right w:val="none" w:sz="0" w:space="0" w:color="auto"/>
      </w:divBdr>
    </w:div>
    <w:div w:id="296836152">
      <w:bodyDiv w:val="1"/>
      <w:marLeft w:val="0"/>
      <w:marRight w:val="0"/>
      <w:marTop w:val="0"/>
      <w:marBottom w:val="0"/>
      <w:divBdr>
        <w:top w:val="none" w:sz="0" w:space="0" w:color="auto"/>
        <w:left w:val="none" w:sz="0" w:space="0" w:color="auto"/>
        <w:bottom w:val="none" w:sz="0" w:space="0" w:color="auto"/>
        <w:right w:val="none" w:sz="0" w:space="0" w:color="auto"/>
      </w:divBdr>
    </w:div>
    <w:div w:id="304161974">
      <w:bodyDiv w:val="1"/>
      <w:marLeft w:val="0"/>
      <w:marRight w:val="0"/>
      <w:marTop w:val="0"/>
      <w:marBottom w:val="0"/>
      <w:divBdr>
        <w:top w:val="none" w:sz="0" w:space="0" w:color="auto"/>
        <w:left w:val="none" w:sz="0" w:space="0" w:color="auto"/>
        <w:bottom w:val="none" w:sz="0" w:space="0" w:color="auto"/>
        <w:right w:val="none" w:sz="0" w:space="0" w:color="auto"/>
      </w:divBdr>
    </w:div>
    <w:div w:id="331758879">
      <w:bodyDiv w:val="1"/>
      <w:marLeft w:val="0"/>
      <w:marRight w:val="0"/>
      <w:marTop w:val="0"/>
      <w:marBottom w:val="0"/>
      <w:divBdr>
        <w:top w:val="none" w:sz="0" w:space="0" w:color="auto"/>
        <w:left w:val="none" w:sz="0" w:space="0" w:color="auto"/>
        <w:bottom w:val="none" w:sz="0" w:space="0" w:color="auto"/>
        <w:right w:val="none" w:sz="0" w:space="0" w:color="auto"/>
      </w:divBdr>
    </w:div>
    <w:div w:id="337581717">
      <w:bodyDiv w:val="1"/>
      <w:marLeft w:val="0"/>
      <w:marRight w:val="0"/>
      <w:marTop w:val="0"/>
      <w:marBottom w:val="0"/>
      <w:divBdr>
        <w:top w:val="none" w:sz="0" w:space="0" w:color="auto"/>
        <w:left w:val="none" w:sz="0" w:space="0" w:color="auto"/>
        <w:bottom w:val="none" w:sz="0" w:space="0" w:color="auto"/>
        <w:right w:val="none" w:sz="0" w:space="0" w:color="auto"/>
      </w:divBdr>
    </w:div>
    <w:div w:id="350303449">
      <w:bodyDiv w:val="1"/>
      <w:marLeft w:val="0"/>
      <w:marRight w:val="0"/>
      <w:marTop w:val="0"/>
      <w:marBottom w:val="0"/>
      <w:divBdr>
        <w:top w:val="none" w:sz="0" w:space="0" w:color="auto"/>
        <w:left w:val="none" w:sz="0" w:space="0" w:color="auto"/>
        <w:bottom w:val="none" w:sz="0" w:space="0" w:color="auto"/>
        <w:right w:val="none" w:sz="0" w:space="0" w:color="auto"/>
      </w:divBdr>
    </w:div>
    <w:div w:id="353456609">
      <w:bodyDiv w:val="1"/>
      <w:marLeft w:val="0"/>
      <w:marRight w:val="0"/>
      <w:marTop w:val="0"/>
      <w:marBottom w:val="0"/>
      <w:divBdr>
        <w:top w:val="none" w:sz="0" w:space="0" w:color="auto"/>
        <w:left w:val="none" w:sz="0" w:space="0" w:color="auto"/>
        <w:bottom w:val="none" w:sz="0" w:space="0" w:color="auto"/>
        <w:right w:val="none" w:sz="0" w:space="0" w:color="auto"/>
      </w:divBdr>
    </w:div>
    <w:div w:id="357196410">
      <w:bodyDiv w:val="1"/>
      <w:marLeft w:val="0"/>
      <w:marRight w:val="0"/>
      <w:marTop w:val="0"/>
      <w:marBottom w:val="0"/>
      <w:divBdr>
        <w:top w:val="none" w:sz="0" w:space="0" w:color="auto"/>
        <w:left w:val="none" w:sz="0" w:space="0" w:color="auto"/>
        <w:bottom w:val="none" w:sz="0" w:space="0" w:color="auto"/>
        <w:right w:val="none" w:sz="0" w:space="0" w:color="auto"/>
      </w:divBdr>
    </w:div>
    <w:div w:id="358167794">
      <w:bodyDiv w:val="1"/>
      <w:marLeft w:val="0"/>
      <w:marRight w:val="0"/>
      <w:marTop w:val="0"/>
      <w:marBottom w:val="0"/>
      <w:divBdr>
        <w:top w:val="none" w:sz="0" w:space="0" w:color="auto"/>
        <w:left w:val="none" w:sz="0" w:space="0" w:color="auto"/>
        <w:bottom w:val="none" w:sz="0" w:space="0" w:color="auto"/>
        <w:right w:val="none" w:sz="0" w:space="0" w:color="auto"/>
      </w:divBdr>
    </w:div>
    <w:div w:id="366295164">
      <w:bodyDiv w:val="1"/>
      <w:marLeft w:val="0"/>
      <w:marRight w:val="0"/>
      <w:marTop w:val="0"/>
      <w:marBottom w:val="0"/>
      <w:divBdr>
        <w:top w:val="none" w:sz="0" w:space="0" w:color="auto"/>
        <w:left w:val="none" w:sz="0" w:space="0" w:color="auto"/>
        <w:bottom w:val="none" w:sz="0" w:space="0" w:color="auto"/>
        <w:right w:val="none" w:sz="0" w:space="0" w:color="auto"/>
      </w:divBdr>
    </w:div>
    <w:div w:id="379206315">
      <w:bodyDiv w:val="1"/>
      <w:marLeft w:val="0"/>
      <w:marRight w:val="0"/>
      <w:marTop w:val="0"/>
      <w:marBottom w:val="0"/>
      <w:divBdr>
        <w:top w:val="none" w:sz="0" w:space="0" w:color="auto"/>
        <w:left w:val="none" w:sz="0" w:space="0" w:color="auto"/>
        <w:bottom w:val="none" w:sz="0" w:space="0" w:color="auto"/>
        <w:right w:val="none" w:sz="0" w:space="0" w:color="auto"/>
      </w:divBdr>
    </w:div>
    <w:div w:id="387917305">
      <w:bodyDiv w:val="1"/>
      <w:marLeft w:val="0"/>
      <w:marRight w:val="0"/>
      <w:marTop w:val="0"/>
      <w:marBottom w:val="0"/>
      <w:divBdr>
        <w:top w:val="none" w:sz="0" w:space="0" w:color="auto"/>
        <w:left w:val="none" w:sz="0" w:space="0" w:color="auto"/>
        <w:bottom w:val="none" w:sz="0" w:space="0" w:color="auto"/>
        <w:right w:val="none" w:sz="0" w:space="0" w:color="auto"/>
      </w:divBdr>
    </w:div>
    <w:div w:id="395593622">
      <w:bodyDiv w:val="1"/>
      <w:marLeft w:val="0"/>
      <w:marRight w:val="0"/>
      <w:marTop w:val="0"/>
      <w:marBottom w:val="0"/>
      <w:divBdr>
        <w:top w:val="none" w:sz="0" w:space="0" w:color="auto"/>
        <w:left w:val="none" w:sz="0" w:space="0" w:color="auto"/>
        <w:bottom w:val="none" w:sz="0" w:space="0" w:color="auto"/>
        <w:right w:val="none" w:sz="0" w:space="0" w:color="auto"/>
      </w:divBdr>
    </w:div>
    <w:div w:id="418723520">
      <w:bodyDiv w:val="1"/>
      <w:marLeft w:val="0"/>
      <w:marRight w:val="0"/>
      <w:marTop w:val="0"/>
      <w:marBottom w:val="0"/>
      <w:divBdr>
        <w:top w:val="none" w:sz="0" w:space="0" w:color="auto"/>
        <w:left w:val="none" w:sz="0" w:space="0" w:color="auto"/>
        <w:bottom w:val="none" w:sz="0" w:space="0" w:color="auto"/>
        <w:right w:val="none" w:sz="0" w:space="0" w:color="auto"/>
      </w:divBdr>
      <w:divsChild>
        <w:div w:id="116872412">
          <w:marLeft w:val="0"/>
          <w:marRight w:val="0"/>
          <w:marTop w:val="0"/>
          <w:marBottom w:val="0"/>
          <w:divBdr>
            <w:top w:val="none" w:sz="0" w:space="0" w:color="auto"/>
            <w:left w:val="none" w:sz="0" w:space="0" w:color="auto"/>
            <w:bottom w:val="none" w:sz="0" w:space="0" w:color="auto"/>
            <w:right w:val="none" w:sz="0" w:space="0" w:color="auto"/>
          </w:divBdr>
          <w:divsChild>
            <w:div w:id="610475133">
              <w:marLeft w:val="0"/>
              <w:marRight w:val="0"/>
              <w:marTop w:val="0"/>
              <w:marBottom w:val="0"/>
              <w:divBdr>
                <w:top w:val="none" w:sz="0" w:space="0" w:color="auto"/>
                <w:left w:val="none" w:sz="0" w:space="0" w:color="auto"/>
                <w:bottom w:val="none" w:sz="0" w:space="0" w:color="auto"/>
                <w:right w:val="none" w:sz="0" w:space="0" w:color="auto"/>
              </w:divBdr>
              <w:divsChild>
                <w:div w:id="644939877">
                  <w:marLeft w:val="0"/>
                  <w:marRight w:val="0"/>
                  <w:marTop w:val="0"/>
                  <w:marBottom w:val="0"/>
                  <w:divBdr>
                    <w:top w:val="none" w:sz="0" w:space="0" w:color="auto"/>
                    <w:left w:val="none" w:sz="0" w:space="0" w:color="auto"/>
                    <w:bottom w:val="none" w:sz="0" w:space="0" w:color="auto"/>
                    <w:right w:val="none" w:sz="0" w:space="0" w:color="auto"/>
                  </w:divBdr>
                  <w:divsChild>
                    <w:div w:id="694581741">
                      <w:marLeft w:val="0"/>
                      <w:marRight w:val="0"/>
                      <w:marTop w:val="0"/>
                      <w:marBottom w:val="0"/>
                      <w:divBdr>
                        <w:top w:val="none" w:sz="0" w:space="0" w:color="auto"/>
                        <w:left w:val="none" w:sz="0" w:space="0" w:color="auto"/>
                        <w:bottom w:val="none" w:sz="0" w:space="0" w:color="auto"/>
                        <w:right w:val="none" w:sz="0" w:space="0" w:color="auto"/>
                      </w:divBdr>
                      <w:divsChild>
                        <w:div w:id="608853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3654455">
              <w:marLeft w:val="0"/>
              <w:marRight w:val="0"/>
              <w:marTop w:val="0"/>
              <w:marBottom w:val="0"/>
              <w:divBdr>
                <w:top w:val="none" w:sz="0" w:space="0" w:color="auto"/>
                <w:left w:val="none" w:sz="0" w:space="0" w:color="auto"/>
                <w:bottom w:val="none" w:sz="0" w:space="0" w:color="auto"/>
                <w:right w:val="none" w:sz="0" w:space="0" w:color="auto"/>
              </w:divBdr>
              <w:divsChild>
                <w:div w:id="1347949388">
                  <w:marLeft w:val="0"/>
                  <w:marRight w:val="0"/>
                  <w:marTop w:val="0"/>
                  <w:marBottom w:val="0"/>
                  <w:divBdr>
                    <w:top w:val="none" w:sz="0" w:space="0" w:color="auto"/>
                    <w:left w:val="none" w:sz="0" w:space="0" w:color="auto"/>
                    <w:bottom w:val="none" w:sz="0" w:space="0" w:color="auto"/>
                    <w:right w:val="none" w:sz="0" w:space="0" w:color="auto"/>
                  </w:divBdr>
                  <w:divsChild>
                    <w:div w:id="1853570525">
                      <w:marLeft w:val="0"/>
                      <w:marRight w:val="0"/>
                      <w:marTop w:val="0"/>
                      <w:marBottom w:val="0"/>
                      <w:divBdr>
                        <w:top w:val="none" w:sz="0" w:space="0" w:color="auto"/>
                        <w:left w:val="none" w:sz="0" w:space="0" w:color="auto"/>
                        <w:bottom w:val="none" w:sz="0" w:space="0" w:color="auto"/>
                        <w:right w:val="none" w:sz="0" w:space="0" w:color="auto"/>
                      </w:divBdr>
                      <w:divsChild>
                        <w:div w:id="489904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6817185">
          <w:marLeft w:val="0"/>
          <w:marRight w:val="0"/>
          <w:marTop w:val="0"/>
          <w:marBottom w:val="0"/>
          <w:divBdr>
            <w:top w:val="none" w:sz="0" w:space="0" w:color="auto"/>
            <w:left w:val="none" w:sz="0" w:space="0" w:color="auto"/>
            <w:bottom w:val="none" w:sz="0" w:space="0" w:color="auto"/>
            <w:right w:val="none" w:sz="0" w:space="0" w:color="auto"/>
          </w:divBdr>
          <w:divsChild>
            <w:div w:id="1386370885">
              <w:marLeft w:val="0"/>
              <w:marRight w:val="0"/>
              <w:marTop w:val="0"/>
              <w:marBottom w:val="0"/>
              <w:divBdr>
                <w:top w:val="none" w:sz="0" w:space="0" w:color="auto"/>
                <w:left w:val="none" w:sz="0" w:space="0" w:color="auto"/>
                <w:bottom w:val="none" w:sz="0" w:space="0" w:color="auto"/>
                <w:right w:val="none" w:sz="0" w:space="0" w:color="auto"/>
              </w:divBdr>
              <w:divsChild>
                <w:div w:id="874004039">
                  <w:marLeft w:val="0"/>
                  <w:marRight w:val="0"/>
                  <w:marTop w:val="0"/>
                  <w:marBottom w:val="0"/>
                  <w:divBdr>
                    <w:top w:val="none" w:sz="0" w:space="0" w:color="auto"/>
                    <w:left w:val="none" w:sz="0" w:space="0" w:color="auto"/>
                    <w:bottom w:val="none" w:sz="0" w:space="0" w:color="auto"/>
                    <w:right w:val="none" w:sz="0" w:space="0" w:color="auto"/>
                  </w:divBdr>
                  <w:divsChild>
                    <w:div w:id="1768427249">
                      <w:marLeft w:val="0"/>
                      <w:marRight w:val="0"/>
                      <w:marTop w:val="0"/>
                      <w:marBottom w:val="0"/>
                      <w:divBdr>
                        <w:top w:val="none" w:sz="0" w:space="0" w:color="auto"/>
                        <w:left w:val="none" w:sz="0" w:space="0" w:color="auto"/>
                        <w:bottom w:val="none" w:sz="0" w:space="0" w:color="auto"/>
                        <w:right w:val="none" w:sz="0" w:space="0" w:color="auto"/>
                      </w:divBdr>
                      <w:divsChild>
                        <w:div w:id="940381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3501941">
      <w:bodyDiv w:val="1"/>
      <w:marLeft w:val="0"/>
      <w:marRight w:val="0"/>
      <w:marTop w:val="0"/>
      <w:marBottom w:val="0"/>
      <w:divBdr>
        <w:top w:val="none" w:sz="0" w:space="0" w:color="auto"/>
        <w:left w:val="none" w:sz="0" w:space="0" w:color="auto"/>
        <w:bottom w:val="none" w:sz="0" w:space="0" w:color="auto"/>
        <w:right w:val="none" w:sz="0" w:space="0" w:color="auto"/>
      </w:divBdr>
    </w:div>
    <w:div w:id="425273816">
      <w:bodyDiv w:val="1"/>
      <w:marLeft w:val="0"/>
      <w:marRight w:val="0"/>
      <w:marTop w:val="0"/>
      <w:marBottom w:val="0"/>
      <w:divBdr>
        <w:top w:val="none" w:sz="0" w:space="0" w:color="auto"/>
        <w:left w:val="none" w:sz="0" w:space="0" w:color="auto"/>
        <w:bottom w:val="none" w:sz="0" w:space="0" w:color="auto"/>
        <w:right w:val="none" w:sz="0" w:space="0" w:color="auto"/>
      </w:divBdr>
    </w:div>
    <w:div w:id="440876707">
      <w:bodyDiv w:val="1"/>
      <w:marLeft w:val="0"/>
      <w:marRight w:val="0"/>
      <w:marTop w:val="0"/>
      <w:marBottom w:val="0"/>
      <w:divBdr>
        <w:top w:val="none" w:sz="0" w:space="0" w:color="auto"/>
        <w:left w:val="none" w:sz="0" w:space="0" w:color="auto"/>
        <w:bottom w:val="none" w:sz="0" w:space="0" w:color="auto"/>
        <w:right w:val="none" w:sz="0" w:space="0" w:color="auto"/>
      </w:divBdr>
    </w:div>
    <w:div w:id="448428684">
      <w:bodyDiv w:val="1"/>
      <w:marLeft w:val="0"/>
      <w:marRight w:val="0"/>
      <w:marTop w:val="0"/>
      <w:marBottom w:val="0"/>
      <w:divBdr>
        <w:top w:val="none" w:sz="0" w:space="0" w:color="auto"/>
        <w:left w:val="none" w:sz="0" w:space="0" w:color="auto"/>
        <w:bottom w:val="none" w:sz="0" w:space="0" w:color="auto"/>
        <w:right w:val="none" w:sz="0" w:space="0" w:color="auto"/>
      </w:divBdr>
    </w:div>
    <w:div w:id="450127769">
      <w:bodyDiv w:val="1"/>
      <w:marLeft w:val="0"/>
      <w:marRight w:val="0"/>
      <w:marTop w:val="0"/>
      <w:marBottom w:val="0"/>
      <w:divBdr>
        <w:top w:val="none" w:sz="0" w:space="0" w:color="auto"/>
        <w:left w:val="none" w:sz="0" w:space="0" w:color="auto"/>
        <w:bottom w:val="none" w:sz="0" w:space="0" w:color="auto"/>
        <w:right w:val="none" w:sz="0" w:space="0" w:color="auto"/>
      </w:divBdr>
    </w:div>
    <w:div w:id="474374282">
      <w:bodyDiv w:val="1"/>
      <w:marLeft w:val="0"/>
      <w:marRight w:val="0"/>
      <w:marTop w:val="0"/>
      <w:marBottom w:val="0"/>
      <w:divBdr>
        <w:top w:val="none" w:sz="0" w:space="0" w:color="auto"/>
        <w:left w:val="none" w:sz="0" w:space="0" w:color="auto"/>
        <w:bottom w:val="none" w:sz="0" w:space="0" w:color="auto"/>
        <w:right w:val="none" w:sz="0" w:space="0" w:color="auto"/>
      </w:divBdr>
    </w:div>
    <w:div w:id="486172175">
      <w:bodyDiv w:val="1"/>
      <w:marLeft w:val="0"/>
      <w:marRight w:val="0"/>
      <w:marTop w:val="0"/>
      <w:marBottom w:val="0"/>
      <w:divBdr>
        <w:top w:val="none" w:sz="0" w:space="0" w:color="auto"/>
        <w:left w:val="none" w:sz="0" w:space="0" w:color="auto"/>
        <w:bottom w:val="none" w:sz="0" w:space="0" w:color="auto"/>
        <w:right w:val="none" w:sz="0" w:space="0" w:color="auto"/>
      </w:divBdr>
    </w:div>
    <w:div w:id="497111376">
      <w:bodyDiv w:val="1"/>
      <w:marLeft w:val="0"/>
      <w:marRight w:val="0"/>
      <w:marTop w:val="0"/>
      <w:marBottom w:val="0"/>
      <w:divBdr>
        <w:top w:val="none" w:sz="0" w:space="0" w:color="auto"/>
        <w:left w:val="none" w:sz="0" w:space="0" w:color="auto"/>
        <w:bottom w:val="none" w:sz="0" w:space="0" w:color="auto"/>
        <w:right w:val="none" w:sz="0" w:space="0" w:color="auto"/>
      </w:divBdr>
    </w:div>
    <w:div w:id="497304580">
      <w:bodyDiv w:val="1"/>
      <w:marLeft w:val="0"/>
      <w:marRight w:val="0"/>
      <w:marTop w:val="0"/>
      <w:marBottom w:val="0"/>
      <w:divBdr>
        <w:top w:val="none" w:sz="0" w:space="0" w:color="auto"/>
        <w:left w:val="none" w:sz="0" w:space="0" w:color="auto"/>
        <w:bottom w:val="none" w:sz="0" w:space="0" w:color="auto"/>
        <w:right w:val="none" w:sz="0" w:space="0" w:color="auto"/>
      </w:divBdr>
    </w:div>
    <w:div w:id="499661843">
      <w:bodyDiv w:val="1"/>
      <w:marLeft w:val="0"/>
      <w:marRight w:val="0"/>
      <w:marTop w:val="0"/>
      <w:marBottom w:val="0"/>
      <w:divBdr>
        <w:top w:val="none" w:sz="0" w:space="0" w:color="auto"/>
        <w:left w:val="none" w:sz="0" w:space="0" w:color="auto"/>
        <w:bottom w:val="none" w:sz="0" w:space="0" w:color="auto"/>
        <w:right w:val="none" w:sz="0" w:space="0" w:color="auto"/>
      </w:divBdr>
    </w:div>
    <w:div w:id="515266925">
      <w:bodyDiv w:val="1"/>
      <w:marLeft w:val="0"/>
      <w:marRight w:val="0"/>
      <w:marTop w:val="0"/>
      <w:marBottom w:val="0"/>
      <w:divBdr>
        <w:top w:val="none" w:sz="0" w:space="0" w:color="auto"/>
        <w:left w:val="none" w:sz="0" w:space="0" w:color="auto"/>
        <w:bottom w:val="none" w:sz="0" w:space="0" w:color="auto"/>
        <w:right w:val="none" w:sz="0" w:space="0" w:color="auto"/>
      </w:divBdr>
    </w:div>
    <w:div w:id="517086547">
      <w:bodyDiv w:val="1"/>
      <w:marLeft w:val="0"/>
      <w:marRight w:val="0"/>
      <w:marTop w:val="0"/>
      <w:marBottom w:val="0"/>
      <w:divBdr>
        <w:top w:val="none" w:sz="0" w:space="0" w:color="auto"/>
        <w:left w:val="none" w:sz="0" w:space="0" w:color="auto"/>
        <w:bottom w:val="none" w:sz="0" w:space="0" w:color="auto"/>
        <w:right w:val="none" w:sz="0" w:space="0" w:color="auto"/>
      </w:divBdr>
    </w:div>
    <w:div w:id="518391703">
      <w:bodyDiv w:val="1"/>
      <w:marLeft w:val="0"/>
      <w:marRight w:val="0"/>
      <w:marTop w:val="0"/>
      <w:marBottom w:val="0"/>
      <w:divBdr>
        <w:top w:val="none" w:sz="0" w:space="0" w:color="auto"/>
        <w:left w:val="none" w:sz="0" w:space="0" w:color="auto"/>
        <w:bottom w:val="none" w:sz="0" w:space="0" w:color="auto"/>
        <w:right w:val="none" w:sz="0" w:space="0" w:color="auto"/>
      </w:divBdr>
    </w:div>
    <w:div w:id="525026999">
      <w:bodyDiv w:val="1"/>
      <w:marLeft w:val="0"/>
      <w:marRight w:val="0"/>
      <w:marTop w:val="0"/>
      <w:marBottom w:val="0"/>
      <w:divBdr>
        <w:top w:val="none" w:sz="0" w:space="0" w:color="auto"/>
        <w:left w:val="none" w:sz="0" w:space="0" w:color="auto"/>
        <w:bottom w:val="none" w:sz="0" w:space="0" w:color="auto"/>
        <w:right w:val="none" w:sz="0" w:space="0" w:color="auto"/>
      </w:divBdr>
    </w:div>
    <w:div w:id="530146513">
      <w:bodyDiv w:val="1"/>
      <w:marLeft w:val="0"/>
      <w:marRight w:val="0"/>
      <w:marTop w:val="0"/>
      <w:marBottom w:val="0"/>
      <w:divBdr>
        <w:top w:val="none" w:sz="0" w:space="0" w:color="auto"/>
        <w:left w:val="none" w:sz="0" w:space="0" w:color="auto"/>
        <w:bottom w:val="none" w:sz="0" w:space="0" w:color="auto"/>
        <w:right w:val="none" w:sz="0" w:space="0" w:color="auto"/>
      </w:divBdr>
      <w:divsChild>
        <w:div w:id="407003457">
          <w:marLeft w:val="0"/>
          <w:marRight w:val="0"/>
          <w:marTop w:val="0"/>
          <w:marBottom w:val="0"/>
          <w:divBdr>
            <w:top w:val="none" w:sz="0" w:space="0" w:color="auto"/>
            <w:left w:val="none" w:sz="0" w:space="0" w:color="auto"/>
            <w:bottom w:val="none" w:sz="0" w:space="0" w:color="auto"/>
            <w:right w:val="none" w:sz="0" w:space="0" w:color="auto"/>
          </w:divBdr>
          <w:divsChild>
            <w:div w:id="860779355">
              <w:marLeft w:val="0"/>
              <w:marRight w:val="0"/>
              <w:marTop w:val="0"/>
              <w:marBottom w:val="0"/>
              <w:divBdr>
                <w:top w:val="none" w:sz="0" w:space="0" w:color="auto"/>
                <w:left w:val="none" w:sz="0" w:space="0" w:color="auto"/>
                <w:bottom w:val="none" w:sz="0" w:space="0" w:color="auto"/>
                <w:right w:val="none" w:sz="0" w:space="0" w:color="auto"/>
              </w:divBdr>
              <w:divsChild>
                <w:div w:id="309873040">
                  <w:marLeft w:val="0"/>
                  <w:marRight w:val="0"/>
                  <w:marTop w:val="0"/>
                  <w:marBottom w:val="0"/>
                  <w:divBdr>
                    <w:top w:val="none" w:sz="0" w:space="0" w:color="auto"/>
                    <w:left w:val="none" w:sz="0" w:space="0" w:color="auto"/>
                    <w:bottom w:val="none" w:sz="0" w:space="0" w:color="auto"/>
                    <w:right w:val="none" w:sz="0" w:space="0" w:color="auto"/>
                  </w:divBdr>
                  <w:divsChild>
                    <w:div w:id="1012342333">
                      <w:marLeft w:val="0"/>
                      <w:marRight w:val="0"/>
                      <w:marTop w:val="0"/>
                      <w:marBottom w:val="0"/>
                      <w:divBdr>
                        <w:top w:val="none" w:sz="0" w:space="0" w:color="auto"/>
                        <w:left w:val="none" w:sz="0" w:space="0" w:color="auto"/>
                        <w:bottom w:val="none" w:sz="0" w:space="0" w:color="auto"/>
                        <w:right w:val="none" w:sz="0" w:space="0" w:color="auto"/>
                      </w:divBdr>
                      <w:divsChild>
                        <w:div w:id="544172488">
                          <w:marLeft w:val="0"/>
                          <w:marRight w:val="0"/>
                          <w:marTop w:val="0"/>
                          <w:marBottom w:val="0"/>
                          <w:divBdr>
                            <w:top w:val="none" w:sz="0" w:space="0" w:color="auto"/>
                            <w:left w:val="none" w:sz="0" w:space="0" w:color="auto"/>
                            <w:bottom w:val="none" w:sz="0" w:space="0" w:color="auto"/>
                            <w:right w:val="none" w:sz="0" w:space="0" w:color="auto"/>
                          </w:divBdr>
                          <w:divsChild>
                            <w:div w:id="165444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2890858">
      <w:bodyDiv w:val="1"/>
      <w:marLeft w:val="0"/>
      <w:marRight w:val="0"/>
      <w:marTop w:val="0"/>
      <w:marBottom w:val="0"/>
      <w:divBdr>
        <w:top w:val="none" w:sz="0" w:space="0" w:color="auto"/>
        <w:left w:val="none" w:sz="0" w:space="0" w:color="auto"/>
        <w:bottom w:val="none" w:sz="0" w:space="0" w:color="auto"/>
        <w:right w:val="none" w:sz="0" w:space="0" w:color="auto"/>
      </w:divBdr>
    </w:div>
    <w:div w:id="535430467">
      <w:bodyDiv w:val="1"/>
      <w:marLeft w:val="0"/>
      <w:marRight w:val="0"/>
      <w:marTop w:val="0"/>
      <w:marBottom w:val="0"/>
      <w:divBdr>
        <w:top w:val="none" w:sz="0" w:space="0" w:color="auto"/>
        <w:left w:val="none" w:sz="0" w:space="0" w:color="auto"/>
        <w:bottom w:val="none" w:sz="0" w:space="0" w:color="auto"/>
        <w:right w:val="none" w:sz="0" w:space="0" w:color="auto"/>
      </w:divBdr>
    </w:div>
    <w:div w:id="556431620">
      <w:bodyDiv w:val="1"/>
      <w:marLeft w:val="0"/>
      <w:marRight w:val="0"/>
      <w:marTop w:val="0"/>
      <w:marBottom w:val="0"/>
      <w:divBdr>
        <w:top w:val="none" w:sz="0" w:space="0" w:color="auto"/>
        <w:left w:val="none" w:sz="0" w:space="0" w:color="auto"/>
        <w:bottom w:val="none" w:sz="0" w:space="0" w:color="auto"/>
        <w:right w:val="none" w:sz="0" w:space="0" w:color="auto"/>
      </w:divBdr>
    </w:div>
    <w:div w:id="560168500">
      <w:bodyDiv w:val="1"/>
      <w:marLeft w:val="0"/>
      <w:marRight w:val="0"/>
      <w:marTop w:val="0"/>
      <w:marBottom w:val="0"/>
      <w:divBdr>
        <w:top w:val="none" w:sz="0" w:space="0" w:color="auto"/>
        <w:left w:val="none" w:sz="0" w:space="0" w:color="auto"/>
        <w:bottom w:val="none" w:sz="0" w:space="0" w:color="auto"/>
        <w:right w:val="none" w:sz="0" w:space="0" w:color="auto"/>
      </w:divBdr>
    </w:div>
    <w:div w:id="569967737">
      <w:bodyDiv w:val="1"/>
      <w:marLeft w:val="0"/>
      <w:marRight w:val="0"/>
      <w:marTop w:val="0"/>
      <w:marBottom w:val="0"/>
      <w:divBdr>
        <w:top w:val="none" w:sz="0" w:space="0" w:color="auto"/>
        <w:left w:val="none" w:sz="0" w:space="0" w:color="auto"/>
        <w:bottom w:val="none" w:sz="0" w:space="0" w:color="auto"/>
        <w:right w:val="none" w:sz="0" w:space="0" w:color="auto"/>
      </w:divBdr>
    </w:div>
    <w:div w:id="573667037">
      <w:bodyDiv w:val="1"/>
      <w:marLeft w:val="0"/>
      <w:marRight w:val="0"/>
      <w:marTop w:val="0"/>
      <w:marBottom w:val="0"/>
      <w:divBdr>
        <w:top w:val="none" w:sz="0" w:space="0" w:color="auto"/>
        <w:left w:val="none" w:sz="0" w:space="0" w:color="auto"/>
        <w:bottom w:val="none" w:sz="0" w:space="0" w:color="auto"/>
        <w:right w:val="none" w:sz="0" w:space="0" w:color="auto"/>
      </w:divBdr>
    </w:div>
    <w:div w:id="574631986">
      <w:bodyDiv w:val="1"/>
      <w:marLeft w:val="0"/>
      <w:marRight w:val="0"/>
      <w:marTop w:val="0"/>
      <w:marBottom w:val="0"/>
      <w:divBdr>
        <w:top w:val="none" w:sz="0" w:space="0" w:color="auto"/>
        <w:left w:val="none" w:sz="0" w:space="0" w:color="auto"/>
        <w:bottom w:val="none" w:sz="0" w:space="0" w:color="auto"/>
        <w:right w:val="none" w:sz="0" w:space="0" w:color="auto"/>
      </w:divBdr>
    </w:div>
    <w:div w:id="578295408">
      <w:bodyDiv w:val="1"/>
      <w:marLeft w:val="0"/>
      <w:marRight w:val="0"/>
      <w:marTop w:val="0"/>
      <w:marBottom w:val="0"/>
      <w:divBdr>
        <w:top w:val="none" w:sz="0" w:space="0" w:color="auto"/>
        <w:left w:val="none" w:sz="0" w:space="0" w:color="auto"/>
        <w:bottom w:val="none" w:sz="0" w:space="0" w:color="auto"/>
        <w:right w:val="none" w:sz="0" w:space="0" w:color="auto"/>
      </w:divBdr>
    </w:div>
    <w:div w:id="587228209">
      <w:bodyDiv w:val="1"/>
      <w:marLeft w:val="0"/>
      <w:marRight w:val="0"/>
      <w:marTop w:val="0"/>
      <w:marBottom w:val="0"/>
      <w:divBdr>
        <w:top w:val="none" w:sz="0" w:space="0" w:color="auto"/>
        <w:left w:val="none" w:sz="0" w:space="0" w:color="auto"/>
        <w:bottom w:val="none" w:sz="0" w:space="0" w:color="auto"/>
        <w:right w:val="none" w:sz="0" w:space="0" w:color="auto"/>
      </w:divBdr>
    </w:div>
    <w:div w:id="596594860">
      <w:bodyDiv w:val="1"/>
      <w:marLeft w:val="0"/>
      <w:marRight w:val="0"/>
      <w:marTop w:val="0"/>
      <w:marBottom w:val="0"/>
      <w:divBdr>
        <w:top w:val="none" w:sz="0" w:space="0" w:color="auto"/>
        <w:left w:val="none" w:sz="0" w:space="0" w:color="auto"/>
        <w:bottom w:val="none" w:sz="0" w:space="0" w:color="auto"/>
        <w:right w:val="none" w:sz="0" w:space="0" w:color="auto"/>
      </w:divBdr>
      <w:divsChild>
        <w:div w:id="58671389">
          <w:marLeft w:val="0"/>
          <w:marRight w:val="0"/>
          <w:marTop w:val="0"/>
          <w:marBottom w:val="0"/>
          <w:divBdr>
            <w:top w:val="none" w:sz="0" w:space="0" w:color="auto"/>
            <w:left w:val="none" w:sz="0" w:space="0" w:color="auto"/>
            <w:bottom w:val="none" w:sz="0" w:space="0" w:color="auto"/>
            <w:right w:val="none" w:sz="0" w:space="0" w:color="auto"/>
          </w:divBdr>
          <w:divsChild>
            <w:div w:id="909462693">
              <w:marLeft w:val="0"/>
              <w:marRight w:val="0"/>
              <w:marTop w:val="0"/>
              <w:marBottom w:val="0"/>
              <w:divBdr>
                <w:top w:val="none" w:sz="0" w:space="0" w:color="auto"/>
                <w:left w:val="none" w:sz="0" w:space="0" w:color="auto"/>
                <w:bottom w:val="none" w:sz="0" w:space="0" w:color="auto"/>
                <w:right w:val="none" w:sz="0" w:space="0" w:color="auto"/>
              </w:divBdr>
              <w:divsChild>
                <w:div w:id="1947422110">
                  <w:marLeft w:val="0"/>
                  <w:marRight w:val="0"/>
                  <w:marTop w:val="0"/>
                  <w:marBottom w:val="0"/>
                  <w:divBdr>
                    <w:top w:val="none" w:sz="0" w:space="0" w:color="auto"/>
                    <w:left w:val="none" w:sz="0" w:space="0" w:color="auto"/>
                    <w:bottom w:val="none" w:sz="0" w:space="0" w:color="auto"/>
                    <w:right w:val="none" w:sz="0" w:space="0" w:color="auto"/>
                  </w:divBdr>
                  <w:divsChild>
                    <w:div w:id="882520057">
                      <w:marLeft w:val="0"/>
                      <w:marRight w:val="0"/>
                      <w:marTop w:val="0"/>
                      <w:marBottom w:val="0"/>
                      <w:divBdr>
                        <w:top w:val="none" w:sz="0" w:space="0" w:color="auto"/>
                        <w:left w:val="none" w:sz="0" w:space="0" w:color="auto"/>
                        <w:bottom w:val="none" w:sz="0" w:space="0" w:color="auto"/>
                        <w:right w:val="none" w:sz="0" w:space="0" w:color="auto"/>
                      </w:divBdr>
                      <w:divsChild>
                        <w:div w:id="312103589">
                          <w:marLeft w:val="0"/>
                          <w:marRight w:val="0"/>
                          <w:marTop w:val="0"/>
                          <w:marBottom w:val="0"/>
                          <w:divBdr>
                            <w:top w:val="none" w:sz="0" w:space="0" w:color="auto"/>
                            <w:left w:val="none" w:sz="0" w:space="0" w:color="auto"/>
                            <w:bottom w:val="none" w:sz="0" w:space="0" w:color="auto"/>
                            <w:right w:val="none" w:sz="0" w:space="0" w:color="auto"/>
                          </w:divBdr>
                          <w:divsChild>
                            <w:div w:id="108282545">
                              <w:marLeft w:val="0"/>
                              <w:marRight w:val="0"/>
                              <w:marTop w:val="0"/>
                              <w:marBottom w:val="0"/>
                              <w:divBdr>
                                <w:top w:val="none" w:sz="0" w:space="0" w:color="auto"/>
                                <w:left w:val="none" w:sz="0" w:space="0" w:color="auto"/>
                                <w:bottom w:val="none" w:sz="0" w:space="0" w:color="auto"/>
                                <w:right w:val="none" w:sz="0" w:space="0" w:color="auto"/>
                              </w:divBdr>
                              <w:divsChild>
                                <w:div w:id="487327175">
                                  <w:marLeft w:val="0"/>
                                  <w:marRight w:val="0"/>
                                  <w:marTop w:val="0"/>
                                  <w:marBottom w:val="0"/>
                                  <w:divBdr>
                                    <w:top w:val="none" w:sz="0" w:space="0" w:color="auto"/>
                                    <w:left w:val="none" w:sz="0" w:space="0" w:color="auto"/>
                                    <w:bottom w:val="none" w:sz="0" w:space="0" w:color="auto"/>
                                    <w:right w:val="none" w:sz="0" w:space="0" w:color="auto"/>
                                  </w:divBdr>
                                  <w:divsChild>
                                    <w:div w:id="739062481">
                                      <w:marLeft w:val="0"/>
                                      <w:marRight w:val="0"/>
                                      <w:marTop w:val="0"/>
                                      <w:marBottom w:val="0"/>
                                      <w:divBdr>
                                        <w:top w:val="none" w:sz="0" w:space="0" w:color="auto"/>
                                        <w:left w:val="none" w:sz="0" w:space="0" w:color="auto"/>
                                        <w:bottom w:val="none" w:sz="0" w:space="0" w:color="auto"/>
                                        <w:right w:val="none" w:sz="0" w:space="0" w:color="auto"/>
                                      </w:divBdr>
                                      <w:divsChild>
                                        <w:div w:id="185337050">
                                          <w:marLeft w:val="0"/>
                                          <w:marRight w:val="0"/>
                                          <w:marTop w:val="0"/>
                                          <w:marBottom w:val="0"/>
                                          <w:divBdr>
                                            <w:top w:val="none" w:sz="0" w:space="0" w:color="auto"/>
                                            <w:left w:val="none" w:sz="0" w:space="0" w:color="auto"/>
                                            <w:bottom w:val="none" w:sz="0" w:space="0" w:color="auto"/>
                                            <w:right w:val="none" w:sz="0" w:space="0" w:color="auto"/>
                                          </w:divBdr>
                                          <w:divsChild>
                                            <w:div w:id="864248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5839760">
                                  <w:marLeft w:val="0"/>
                                  <w:marRight w:val="0"/>
                                  <w:marTop w:val="0"/>
                                  <w:marBottom w:val="0"/>
                                  <w:divBdr>
                                    <w:top w:val="none" w:sz="0" w:space="0" w:color="auto"/>
                                    <w:left w:val="none" w:sz="0" w:space="0" w:color="auto"/>
                                    <w:bottom w:val="none" w:sz="0" w:space="0" w:color="auto"/>
                                    <w:right w:val="none" w:sz="0" w:space="0" w:color="auto"/>
                                  </w:divBdr>
                                  <w:divsChild>
                                    <w:div w:id="614675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3376016">
          <w:marLeft w:val="0"/>
          <w:marRight w:val="0"/>
          <w:marTop w:val="0"/>
          <w:marBottom w:val="0"/>
          <w:divBdr>
            <w:top w:val="none" w:sz="0" w:space="0" w:color="auto"/>
            <w:left w:val="none" w:sz="0" w:space="0" w:color="auto"/>
            <w:bottom w:val="none" w:sz="0" w:space="0" w:color="auto"/>
            <w:right w:val="none" w:sz="0" w:space="0" w:color="auto"/>
          </w:divBdr>
          <w:divsChild>
            <w:div w:id="1960212483">
              <w:marLeft w:val="0"/>
              <w:marRight w:val="0"/>
              <w:marTop w:val="0"/>
              <w:marBottom w:val="0"/>
              <w:divBdr>
                <w:top w:val="none" w:sz="0" w:space="0" w:color="auto"/>
                <w:left w:val="none" w:sz="0" w:space="0" w:color="auto"/>
                <w:bottom w:val="none" w:sz="0" w:space="0" w:color="auto"/>
                <w:right w:val="none" w:sz="0" w:space="0" w:color="auto"/>
              </w:divBdr>
              <w:divsChild>
                <w:div w:id="1191798557">
                  <w:marLeft w:val="0"/>
                  <w:marRight w:val="0"/>
                  <w:marTop w:val="0"/>
                  <w:marBottom w:val="0"/>
                  <w:divBdr>
                    <w:top w:val="none" w:sz="0" w:space="0" w:color="auto"/>
                    <w:left w:val="none" w:sz="0" w:space="0" w:color="auto"/>
                    <w:bottom w:val="none" w:sz="0" w:space="0" w:color="auto"/>
                    <w:right w:val="none" w:sz="0" w:space="0" w:color="auto"/>
                  </w:divBdr>
                  <w:divsChild>
                    <w:div w:id="1965581044">
                      <w:marLeft w:val="0"/>
                      <w:marRight w:val="0"/>
                      <w:marTop w:val="0"/>
                      <w:marBottom w:val="0"/>
                      <w:divBdr>
                        <w:top w:val="none" w:sz="0" w:space="0" w:color="auto"/>
                        <w:left w:val="none" w:sz="0" w:space="0" w:color="auto"/>
                        <w:bottom w:val="none" w:sz="0" w:space="0" w:color="auto"/>
                        <w:right w:val="none" w:sz="0" w:space="0" w:color="auto"/>
                      </w:divBdr>
                      <w:divsChild>
                        <w:div w:id="136336129">
                          <w:marLeft w:val="0"/>
                          <w:marRight w:val="0"/>
                          <w:marTop w:val="0"/>
                          <w:marBottom w:val="0"/>
                          <w:divBdr>
                            <w:top w:val="none" w:sz="0" w:space="0" w:color="auto"/>
                            <w:left w:val="none" w:sz="0" w:space="0" w:color="auto"/>
                            <w:bottom w:val="none" w:sz="0" w:space="0" w:color="auto"/>
                            <w:right w:val="none" w:sz="0" w:space="0" w:color="auto"/>
                          </w:divBdr>
                          <w:divsChild>
                            <w:div w:id="1009214521">
                              <w:marLeft w:val="0"/>
                              <w:marRight w:val="0"/>
                              <w:marTop w:val="0"/>
                              <w:marBottom w:val="0"/>
                              <w:divBdr>
                                <w:top w:val="none" w:sz="0" w:space="0" w:color="auto"/>
                                <w:left w:val="none" w:sz="0" w:space="0" w:color="auto"/>
                                <w:bottom w:val="none" w:sz="0" w:space="0" w:color="auto"/>
                                <w:right w:val="none" w:sz="0" w:space="0" w:color="auto"/>
                              </w:divBdr>
                              <w:divsChild>
                                <w:div w:id="1520848056">
                                  <w:marLeft w:val="0"/>
                                  <w:marRight w:val="0"/>
                                  <w:marTop w:val="0"/>
                                  <w:marBottom w:val="0"/>
                                  <w:divBdr>
                                    <w:top w:val="none" w:sz="0" w:space="0" w:color="auto"/>
                                    <w:left w:val="none" w:sz="0" w:space="0" w:color="auto"/>
                                    <w:bottom w:val="none" w:sz="0" w:space="0" w:color="auto"/>
                                    <w:right w:val="none" w:sz="0" w:space="0" w:color="auto"/>
                                  </w:divBdr>
                                  <w:divsChild>
                                    <w:div w:id="37364764">
                                      <w:marLeft w:val="0"/>
                                      <w:marRight w:val="0"/>
                                      <w:marTop w:val="0"/>
                                      <w:marBottom w:val="0"/>
                                      <w:divBdr>
                                        <w:top w:val="none" w:sz="0" w:space="0" w:color="auto"/>
                                        <w:left w:val="none" w:sz="0" w:space="0" w:color="auto"/>
                                        <w:bottom w:val="none" w:sz="0" w:space="0" w:color="auto"/>
                                        <w:right w:val="none" w:sz="0" w:space="0" w:color="auto"/>
                                      </w:divBdr>
                                      <w:divsChild>
                                        <w:div w:id="102700400">
                                          <w:marLeft w:val="0"/>
                                          <w:marRight w:val="0"/>
                                          <w:marTop w:val="0"/>
                                          <w:marBottom w:val="0"/>
                                          <w:divBdr>
                                            <w:top w:val="none" w:sz="0" w:space="0" w:color="auto"/>
                                            <w:left w:val="none" w:sz="0" w:space="0" w:color="auto"/>
                                            <w:bottom w:val="none" w:sz="0" w:space="0" w:color="auto"/>
                                            <w:right w:val="none" w:sz="0" w:space="0" w:color="auto"/>
                                          </w:divBdr>
                                          <w:divsChild>
                                            <w:div w:id="989335133">
                                              <w:marLeft w:val="0"/>
                                              <w:marRight w:val="0"/>
                                              <w:marTop w:val="0"/>
                                              <w:marBottom w:val="0"/>
                                              <w:divBdr>
                                                <w:top w:val="none" w:sz="0" w:space="0" w:color="auto"/>
                                                <w:left w:val="none" w:sz="0" w:space="0" w:color="auto"/>
                                                <w:bottom w:val="none" w:sz="0" w:space="0" w:color="auto"/>
                                                <w:right w:val="none" w:sz="0" w:space="0" w:color="auto"/>
                                              </w:divBdr>
                                              <w:divsChild>
                                                <w:div w:id="285625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98178666">
      <w:bodyDiv w:val="1"/>
      <w:marLeft w:val="0"/>
      <w:marRight w:val="0"/>
      <w:marTop w:val="0"/>
      <w:marBottom w:val="0"/>
      <w:divBdr>
        <w:top w:val="none" w:sz="0" w:space="0" w:color="auto"/>
        <w:left w:val="none" w:sz="0" w:space="0" w:color="auto"/>
        <w:bottom w:val="none" w:sz="0" w:space="0" w:color="auto"/>
        <w:right w:val="none" w:sz="0" w:space="0" w:color="auto"/>
      </w:divBdr>
    </w:div>
    <w:div w:id="598873512">
      <w:bodyDiv w:val="1"/>
      <w:marLeft w:val="0"/>
      <w:marRight w:val="0"/>
      <w:marTop w:val="0"/>
      <w:marBottom w:val="0"/>
      <w:divBdr>
        <w:top w:val="none" w:sz="0" w:space="0" w:color="auto"/>
        <w:left w:val="none" w:sz="0" w:space="0" w:color="auto"/>
        <w:bottom w:val="none" w:sz="0" w:space="0" w:color="auto"/>
        <w:right w:val="none" w:sz="0" w:space="0" w:color="auto"/>
      </w:divBdr>
    </w:div>
    <w:div w:id="601572704">
      <w:bodyDiv w:val="1"/>
      <w:marLeft w:val="0"/>
      <w:marRight w:val="0"/>
      <w:marTop w:val="0"/>
      <w:marBottom w:val="0"/>
      <w:divBdr>
        <w:top w:val="none" w:sz="0" w:space="0" w:color="auto"/>
        <w:left w:val="none" w:sz="0" w:space="0" w:color="auto"/>
        <w:bottom w:val="none" w:sz="0" w:space="0" w:color="auto"/>
        <w:right w:val="none" w:sz="0" w:space="0" w:color="auto"/>
      </w:divBdr>
    </w:div>
    <w:div w:id="607470277">
      <w:bodyDiv w:val="1"/>
      <w:marLeft w:val="0"/>
      <w:marRight w:val="0"/>
      <w:marTop w:val="0"/>
      <w:marBottom w:val="0"/>
      <w:divBdr>
        <w:top w:val="none" w:sz="0" w:space="0" w:color="auto"/>
        <w:left w:val="none" w:sz="0" w:space="0" w:color="auto"/>
        <w:bottom w:val="none" w:sz="0" w:space="0" w:color="auto"/>
        <w:right w:val="none" w:sz="0" w:space="0" w:color="auto"/>
      </w:divBdr>
    </w:div>
    <w:div w:id="617218376">
      <w:bodyDiv w:val="1"/>
      <w:marLeft w:val="0"/>
      <w:marRight w:val="0"/>
      <w:marTop w:val="0"/>
      <w:marBottom w:val="0"/>
      <w:divBdr>
        <w:top w:val="none" w:sz="0" w:space="0" w:color="auto"/>
        <w:left w:val="none" w:sz="0" w:space="0" w:color="auto"/>
        <w:bottom w:val="none" w:sz="0" w:space="0" w:color="auto"/>
        <w:right w:val="none" w:sz="0" w:space="0" w:color="auto"/>
      </w:divBdr>
    </w:div>
    <w:div w:id="641273074">
      <w:bodyDiv w:val="1"/>
      <w:marLeft w:val="0"/>
      <w:marRight w:val="0"/>
      <w:marTop w:val="0"/>
      <w:marBottom w:val="0"/>
      <w:divBdr>
        <w:top w:val="none" w:sz="0" w:space="0" w:color="auto"/>
        <w:left w:val="none" w:sz="0" w:space="0" w:color="auto"/>
        <w:bottom w:val="none" w:sz="0" w:space="0" w:color="auto"/>
        <w:right w:val="none" w:sz="0" w:space="0" w:color="auto"/>
      </w:divBdr>
      <w:divsChild>
        <w:div w:id="1287082671">
          <w:marLeft w:val="0"/>
          <w:marRight w:val="0"/>
          <w:marTop w:val="0"/>
          <w:marBottom w:val="0"/>
          <w:divBdr>
            <w:top w:val="none" w:sz="0" w:space="0" w:color="auto"/>
            <w:left w:val="none" w:sz="0" w:space="0" w:color="auto"/>
            <w:bottom w:val="none" w:sz="0" w:space="0" w:color="auto"/>
            <w:right w:val="none" w:sz="0" w:space="0" w:color="auto"/>
          </w:divBdr>
          <w:divsChild>
            <w:div w:id="1452356266">
              <w:marLeft w:val="0"/>
              <w:marRight w:val="0"/>
              <w:marTop w:val="0"/>
              <w:marBottom w:val="0"/>
              <w:divBdr>
                <w:top w:val="none" w:sz="0" w:space="0" w:color="auto"/>
                <w:left w:val="none" w:sz="0" w:space="0" w:color="auto"/>
                <w:bottom w:val="none" w:sz="0" w:space="0" w:color="auto"/>
                <w:right w:val="none" w:sz="0" w:space="0" w:color="auto"/>
              </w:divBdr>
              <w:divsChild>
                <w:div w:id="2008241133">
                  <w:marLeft w:val="0"/>
                  <w:marRight w:val="0"/>
                  <w:marTop w:val="0"/>
                  <w:marBottom w:val="0"/>
                  <w:divBdr>
                    <w:top w:val="none" w:sz="0" w:space="0" w:color="auto"/>
                    <w:left w:val="none" w:sz="0" w:space="0" w:color="auto"/>
                    <w:bottom w:val="none" w:sz="0" w:space="0" w:color="auto"/>
                    <w:right w:val="none" w:sz="0" w:space="0" w:color="auto"/>
                  </w:divBdr>
                  <w:divsChild>
                    <w:div w:id="1774934389">
                      <w:marLeft w:val="0"/>
                      <w:marRight w:val="0"/>
                      <w:marTop w:val="0"/>
                      <w:marBottom w:val="0"/>
                      <w:divBdr>
                        <w:top w:val="none" w:sz="0" w:space="0" w:color="auto"/>
                        <w:left w:val="none" w:sz="0" w:space="0" w:color="auto"/>
                        <w:bottom w:val="none" w:sz="0" w:space="0" w:color="auto"/>
                        <w:right w:val="none" w:sz="0" w:space="0" w:color="auto"/>
                      </w:divBdr>
                      <w:divsChild>
                        <w:div w:id="1015110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9889517">
      <w:bodyDiv w:val="1"/>
      <w:marLeft w:val="0"/>
      <w:marRight w:val="0"/>
      <w:marTop w:val="0"/>
      <w:marBottom w:val="0"/>
      <w:divBdr>
        <w:top w:val="none" w:sz="0" w:space="0" w:color="auto"/>
        <w:left w:val="none" w:sz="0" w:space="0" w:color="auto"/>
        <w:bottom w:val="none" w:sz="0" w:space="0" w:color="auto"/>
        <w:right w:val="none" w:sz="0" w:space="0" w:color="auto"/>
      </w:divBdr>
    </w:div>
    <w:div w:id="662514877">
      <w:bodyDiv w:val="1"/>
      <w:marLeft w:val="0"/>
      <w:marRight w:val="0"/>
      <w:marTop w:val="0"/>
      <w:marBottom w:val="0"/>
      <w:divBdr>
        <w:top w:val="none" w:sz="0" w:space="0" w:color="auto"/>
        <w:left w:val="none" w:sz="0" w:space="0" w:color="auto"/>
        <w:bottom w:val="none" w:sz="0" w:space="0" w:color="auto"/>
        <w:right w:val="none" w:sz="0" w:space="0" w:color="auto"/>
      </w:divBdr>
    </w:div>
    <w:div w:id="663168913">
      <w:bodyDiv w:val="1"/>
      <w:marLeft w:val="0"/>
      <w:marRight w:val="0"/>
      <w:marTop w:val="0"/>
      <w:marBottom w:val="0"/>
      <w:divBdr>
        <w:top w:val="none" w:sz="0" w:space="0" w:color="auto"/>
        <w:left w:val="none" w:sz="0" w:space="0" w:color="auto"/>
        <w:bottom w:val="none" w:sz="0" w:space="0" w:color="auto"/>
        <w:right w:val="none" w:sz="0" w:space="0" w:color="auto"/>
      </w:divBdr>
    </w:div>
    <w:div w:id="666591383">
      <w:bodyDiv w:val="1"/>
      <w:marLeft w:val="0"/>
      <w:marRight w:val="0"/>
      <w:marTop w:val="0"/>
      <w:marBottom w:val="0"/>
      <w:divBdr>
        <w:top w:val="none" w:sz="0" w:space="0" w:color="auto"/>
        <w:left w:val="none" w:sz="0" w:space="0" w:color="auto"/>
        <w:bottom w:val="none" w:sz="0" w:space="0" w:color="auto"/>
        <w:right w:val="none" w:sz="0" w:space="0" w:color="auto"/>
      </w:divBdr>
    </w:div>
    <w:div w:id="668408742">
      <w:bodyDiv w:val="1"/>
      <w:marLeft w:val="0"/>
      <w:marRight w:val="0"/>
      <w:marTop w:val="0"/>
      <w:marBottom w:val="0"/>
      <w:divBdr>
        <w:top w:val="none" w:sz="0" w:space="0" w:color="auto"/>
        <w:left w:val="none" w:sz="0" w:space="0" w:color="auto"/>
        <w:bottom w:val="none" w:sz="0" w:space="0" w:color="auto"/>
        <w:right w:val="none" w:sz="0" w:space="0" w:color="auto"/>
      </w:divBdr>
    </w:div>
    <w:div w:id="671223938">
      <w:bodyDiv w:val="1"/>
      <w:marLeft w:val="0"/>
      <w:marRight w:val="0"/>
      <w:marTop w:val="0"/>
      <w:marBottom w:val="0"/>
      <w:divBdr>
        <w:top w:val="none" w:sz="0" w:space="0" w:color="auto"/>
        <w:left w:val="none" w:sz="0" w:space="0" w:color="auto"/>
        <w:bottom w:val="none" w:sz="0" w:space="0" w:color="auto"/>
        <w:right w:val="none" w:sz="0" w:space="0" w:color="auto"/>
      </w:divBdr>
    </w:div>
    <w:div w:id="709888118">
      <w:bodyDiv w:val="1"/>
      <w:marLeft w:val="0"/>
      <w:marRight w:val="0"/>
      <w:marTop w:val="0"/>
      <w:marBottom w:val="0"/>
      <w:divBdr>
        <w:top w:val="none" w:sz="0" w:space="0" w:color="auto"/>
        <w:left w:val="none" w:sz="0" w:space="0" w:color="auto"/>
        <w:bottom w:val="none" w:sz="0" w:space="0" w:color="auto"/>
        <w:right w:val="none" w:sz="0" w:space="0" w:color="auto"/>
      </w:divBdr>
    </w:div>
    <w:div w:id="715203054">
      <w:bodyDiv w:val="1"/>
      <w:marLeft w:val="0"/>
      <w:marRight w:val="0"/>
      <w:marTop w:val="0"/>
      <w:marBottom w:val="0"/>
      <w:divBdr>
        <w:top w:val="none" w:sz="0" w:space="0" w:color="auto"/>
        <w:left w:val="none" w:sz="0" w:space="0" w:color="auto"/>
        <w:bottom w:val="none" w:sz="0" w:space="0" w:color="auto"/>
        <w:right w:val="none" w:sz="0" w:space="0" w:color="auto"/>
      </w:divBdr>
    </w:div>
    <w:div w:id="733818759">
      <w:bodyDiv w:val="1"/>
      <w:marLeft w:val="0"/>
      <w:marRight w:val="0"/>
      <w:marTop w:val="0"/>
      <w:marBottom w:val="0"/>
      <w:divBdr>
        <w:top w:val="none" w:sz="0" w:space="0" w:color="auto"/>
        <w:left w:val="none" w:sz="0" w:space="0" w:color="auto"/>
        <w:bottom w:val="none" w:sz="0" w:space="0" w:color="auto"/>
        <w:right w:val="none" w:sz="0" w:space="0" w:color="auto"/>
      </w:divBdr>
    </w:div>
    <w:div w:id="734006699">
      <w:bodyDiv w:val="1"/>
      <w:marLeft w:val="0"/>
      <w:marRight w:val="0"/>
      <w:marTop w:val="0"/>
      <w:marBottom w:val="0"/>
      <w:divBdr>
        <w:top w:val="none" w:sz="0" w:space="0" w:color="auto"/>
        <w:left w:val="none" w:sz="0" w:space="0" w:color="auto"/>
        <w:bottom w:val="none" w:sz="0" w:space="0" w:color="auto"/>
        <w:right w:val="none" w:sz="0" w:space="0" w:color="auto"/>
      </w:divBdr>
    </w:div>
    <w:div w:id="742292464">
      <w:bodyDiv w:val="1"/>
      <w:marLeft w:val="0"/>
      <w:marRight w:val="0"/>
      <w:marTop w:val="0"/>
      <w:marBottom w:val="0"/>
      <w:divBdr>
        <w:top w:val="none" w:sz="0" w:space="0" w:color="auto"/>
        <w:left w:val="none" w:sz="0" w:space="0" w:color="auto"/>
        <w:bottom w:val="none" w:sz="0" w:space="0" w:color="auto"/>
        <w:right w:val="none" w:sz="0" w:space="0" w:color="auto"/>
      </w:divBdr>
    </w:div>
    <w:div w:id="742802624">
      <w:bodyDiv w:val="1"/>
      <w:marLeft w:val="0"/>
      <w:marRight w:val="0"/>
      <w:marTop w:val="0"/>
      <w:marBottom w:val="0"/>
      <w:divBdr>
        <w:top w:val="none" w:sz="0" w:space="0" w:color="auto"/>
        <w:left w:val="none" w:sz="0" w:space="0" w:color="auto"/>
        <w:bottom w:val="none" w:sz="0" w:space="0" w:color="auto"/>
        <w:right w:val="none" w:sz="0" w:space="0" w:color="auto"/>
      </w:divBdr>
    </w:div>
    <w:div w:id="750737420">
      <w:bodyDiv w:val="1"/>
      <w:marLeft w:val="0"/>
      <w:marRight w:val="0"/>
      <w:marTop w:val="0"/>
      <w:marBottom w:val="0"/>
      <w:divBdr>
        <w:top w:val="none" w:sz="0" w:space="0" w:color="auto"/>
        <w:left w:val="none" w:sz="0" w:space="0" w:color="auto"/>
        <w:bottom w:val="none" w:sz="0" w:space="0" w:color="auto"/>
        <w:right w:val="none" w:sz="0" w:space="0" w:color="auto"/>
      </w:divBdr>
      <w:divsChild>
        <w:div w:id="1286042938">
          <w:marLeft w:val="0"/>
          <w:marRight w:val="0"/>
          <w:marTop w:val="0"/>
          <w:marBottom w:val="0"/>
          <w:divBdr>
            <w:top w:val="none" w:sz="0" w:space="0" w:color="auto"/>
            <w:left w:val="none" w:sz="0" w:space="0" w:color="auto"/>
            <w:bottom w:val="none" w:sz="0" w:space="0" w:color="auto"/>
            <w:right w:val="none" w:sz="0" w:space="0" w:color="auto"/>
          </w:divBdr>
          <w:divsChild>
            <w:div w:id="509295712">
              <w:marLeft w:val="0"/>
              <w:marRight w:val="0"/>
              <w:marTop w:val="0"/>
              <w:marBottom w:val="0"/>
              <w:divBdr>
                <w:top w:val="none" w:sz="0" w:space="0" w:color="auto"/>
                <w:left w:val="none" w:sz="0" w:space="0" w:color="auto"/>
                <w:bottom w:val="none" w:sz="0" w:space="0" w:color="auto"/>
                <w:right w:val="none" w:sz="0" w:space="0" w:color="auto"/>
              </w:divBdr>
              <w:divsChild>
                <w:div w:id="550961723">
                  <w:marLeft w:val="0"/>
                  <w:marRight w:val="0"/>
                  <w:marTop w:val="0"/>
                  <w:marBottom w:val="0"/>
                  <w:divBdr>
                    <w:top w:val="none" w:sz="0" w:space="0" w:color="auto"/>
                    <w:left w:val="none" w:sz="0" w:space="0" w:color="auto"/>
                    <w:bottom w:val="none" w:sz="0" w:space="0" w:color="auto"/>
                    <w:right w:val="none" w:sz="0" w:space="0" w:color="auto"/>
                  </w:divBdr>
                  <w:divsChild>
                    <w:div w:id="1472013806">
                      <w:marLeft w:val="0"/>
                      <w:marRight w:val="0"/>
                      <w:marTop w:val="0"/>
                      <w:marBottom w:val="0"/>
                      <w:divBdr>
                        <w:top w:val="none" w:sz="0" w:space="0" w:color="auto"/>
                        <w:left w:val="none" w:sz="0" w:space="0" w:color="auto"/>
                        <w:bottom w:val="none" w:sz="0" w:space="0" w:color="auto"/>
                        <w:right w:val="none" w:sz="0" w:space="0" w:color="auto"/>
                      </w:divBdr>
                      <w:divsChild>
                        <w:div w:id="799348517">
                          <w:marLeft w:val="0"/>
                          <w:marRight w:val="0"/>
                          <w:marTop w:val="0"/>
                          <w:marBottom w:val="0"/>
                          <w:divBdr>
                            <w:top w:val="none" w:sz="0" w:space="0" w:color="auto"/>
                            <w:left w:val="none" w:sz="0" w:space="0" w:color="auto"/>
                            <w:bottom w:val="none" w:sz="0" w:space="0" w:color="auto"/>
                            <w:right w:val="none" w:sz="0" w:space="0" w:color="auto"/>
                          </w:divBdr>
                          <w:divsChild>
                            <w:div w:id="1024745250">
                              <w:marLeft w:val="0"/>
                              <w:marRight w:val="0"/>
                              <w:marTop w:val="0"/>
                              <w:marBottom w:val="0"/>
                              <w:divBdr>
                                <w:top w:val="none" w:sz="0" w:space="0" w:color="auto"/>
                                <w:left w:val="none" w:sz="0" w:space="0" w:color="auto"/>
                                <w:bottom w:val="none" w:sz="0" w:space="0" w:color="auto"/>
                                <w:right w:val="none" w:sz="0" w:space="0" w:color="auto"/>
                              </w:divBdr>
                              <w:divsChild>
                                <w:div w:id="1442457631">
                                  <w:marLeft w:val="0"/>
                                  <w:marRight w:val="0"/>
                                  <w:marTop w:val="0"/>
                                  <w:marBottom w:val="0"/>
                                  <w:divBdr>
                                    <w:top w:val="none" w:sz="0" w:space="0" w:color="auto"/>
                                    <w:left w:val="none" w:sz="0" w:space="0" w:color="auto"/>
                                    <w:bottom w:val="none" w:sz="0" w:space="0" w:color="auto"/>
                                    <w:right w:val="none" w:sz="0" w:space="0" w:color="auto"/>
                                  </w:divBdr>
                                  <w:divsChild>
                                    <w:div w:id="1667242648">
                                      <w:marLeft w:val="0"/>
                                      <w:marRight w:val="0"/>
                                      <w:marTop w:val="0"/>
                                      <w:marBottom w:val="0"/>
                                      <w:divBdr>
                                        <w:top w:val="none" w:sz="0" w:space="0" w:color="auto"/>
                                        <w:left w:val="none" w:sz="0" w:space="0" w:color="auto"/>
                                        <w:bottom w:val="none" w:sz="0" w:space="0" w:color="auto"/>
                                        <w:right w:val="none" w:sz="0" w:space="0" w:color="auto"/>
                                      </w:divBdr>
                                      <w:divsChild>
                                        <w:div w:id="1859007798">
                                          <w:marLeft w:val="0"/>
                                          <w:marRight w:val="0"/>
                                          <w:marTop w:val="0"/>
                                          <w:marBottom w:val="0"/>
                                          <w:divBdr>
                                            <w:top w:val="none" w:sz="0" w:space="0" w:color="auto"/>
                                            <w:left w:val="none" w:sz="0" w:space="0" w:color="auto"/>
                                            <w:bottom w:val="none" w:sz="0" w:space="0" w:color="auto"/>
                                            <w:right w:val="none" w:sz="0" w:space="0" w:color="auto"/>
                                          </w:divBdr>
                                          <w:divsChild>
                                            <w:div w:id="1391028511">
                                              <w:marLeft w:val="0"/>
                                              <w:marRight w:val="0"/>
                                              <w:marTop w:val="0"/>
                                              <w:marBottom w:val="0"/>
                                              <w:divBdr>
                                                <w:top w:val="none" w:sz="0" w:space="0" w:color="auto"/>
                                                <w:left w:val="none" w:sz="0" w:space="0" w:color="auto"/>
                                                <w:bottom w:val="none" w:sz="0" w:space="0" w:color="auto"/>
                                                <w:right w:val="none" w:sz="0" w:space="0" w:color="auto"/>
                                              </w:divBdr>
                                              <w:divsChild>
                                                <w:div w:id="803617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5396005">
                          <w:marLeft w:val="0"/>
                          <w:marRight w:val="0"/>
                          <w:marTop w:val="0"/>
                          <w:marBottom w:val="0"/>
                          <w:divBdr>
                            <w:top w:val="none" w:sz="0" w:space="0" w:color="auto"/>
                            <w:left w:val="none" w:sz="0" w:space="0" w:color="auto"/>
                            <w:bottom w:val="none" w:sz="0" w:space="0" w:color="auto"/>
                            <w:right w:val="none" w:sz="0" w:space="0" w:color="auto"/>
                          </w:divBdr>
                          <w:divsChild>
                            <w:div w:id="950934442">
                              <w:marLeft w:val="0"/>
                              <w:marRight w:val="0"/>
                              <w:marTop w:val="0"/>
                              <w:marBottom w:val="0"/>
                              <w:divBdr>
                                <w:top w:val="none" w:sz="0" w:space="0" w:color="auto"/>
                                <w:left w:val="none" w:sz="0" w:space="0" w:color="auto"/>
                                <w:bottom w:val="none" w:sz="0" w:space="0" w:color="auto"/>
                                <w:right w:val="none" w:sz="0" w:space="0" w:color="auto"/>
                              </w:divBdr>
                              <w:divsChild>
                                <w:div w:id="19278649">
                                  <w:marLeft w:val="0"/>
                                  <w:marRight w:val="0"/>
                                  <w:marTop w:val="0"/>
                                  <w:marBottom w:val="0"/>
                                  <w:divBdr>
                                    <w:top w:val="none" w:sz="0" w:space="0" w:color="auto"/>
                                    <w:left w:val="none" w:sz="0" w:space="0" w:color="auto"/>
                                    <w:bottom w:val="none" w:sz="0" w:space="0" w:color="auto"/>
                                    <w:right w:val="none" w:sz="0" w:space="0" w:color="auto"/>
                                  </w:divBdr>
                                  <w:divsChild>
                                    <w:div w:id="677734871">
                                      <w:marLeft w:val="0"/>
                                      <w:marRight w:val="0"/>
                                      <w:marTop w:val="0"/>
                                      <w:marBottom w:val="0"/>
                                      <w:divBdr>
                                        <w:top w:val="none" w:sz="0" w:space="0" w:color="auto"/>
                                        <w:left w:val="none" w:sz="0" w:space="0" w:color="auto"/>
                                        <w:bottom w:val="none" w:sz="0" w:space="0" w:color="auto"/>
                                        <w:right w:val="none" w:sz="0" w:space="0" w:color="auto"/>
                                      </w:divBdr>
                                      <w:divsChild>
                                        <w:div w:id="1431467094">
                                          <w:marLeft w:val="0"/>
                                          <w:marRight w:val="0"/>
                                          <w:marTop w:val="0"/>
                                          <w:marBottom w:val="0"/>
                                          <w:divBdr>
                                            <w:top w:val="none" w:sz="0" w:space="0" w:color="auto"/>
                                            <w:left w:val="none" w:sz="0" w:space="0" w:color="auto"/>
                                            <w:bottom w:val="none" w:sz="0" w:space="0" w:color="auto"/>
                                            <w:right w:val="none" w:sz="0" w:space="0" w:color="auto"/>
                                          </w:divBdr>
                                          <w:divsChild>
                                            <w:div w:id="1987974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6602626">
                          <w:marLeft w:val="0"/>
                          <w:marRight w:val="0"/>
                          <w:marTop w:val="0"/>
                          <w:marBottom w:val="0"/>
                          <w:divBdr>
                            <w:top w:val="none" w:sz="0" w:space="0" w:color="auto"/>
                            <w:left w:val="none" w:sz="0" w:space="0" w:color="auto"/>
                            <w:bottom w:val="none" w:sz="0" w:space="0" w:color="auto"/>
                            <w:right w:val="none" w:sz="0" w:space="0" w:color="auto"/>
                          </w:divBdr>
                          <w:divsChild>
                            <w:div w:id="1788430357">
                              <w:marLeft w:val="0"/>
                              <w:marRight w:val="0"/>
                              <w:marTop w:val="0"/>
                              <w:marBottom w:val="0"/>
                              <w:divBdr>
                                <w:top w:val="none" w:sz="0" w:space="0" w:color="auto"/>
                                <w:left w:val="none" w:sz="0" w:space="0" w:color="auto"/>
                                <w:bottom w:val="none" w:sz="0" w:space="0" w:color="auto"/>
                                <w:right w:val="none" w:sz="0" w:space="0" w:color="auto"/>
                              </w:divBdr>
                              <w:divsChild>
                                <w:div w:id="916985794">
                                  <w:marLeft w:val="0"/>
                                  <w:marRight w:val="0"/>
                                  <w:marTop w:val="0"/>
                                  <w:marBottom w:val="0"/>
                                  <w:divBdr>
                                    <w:top w:val="none" w:sz="0" w:space="0" w:color="auto"/>
                                    <w:left w:val="none" w:sz="0" w:space="0" w:color="auto"/>
                                    <w:bottom w:val="none" w:sz="0" w:space="0" w:color="auto"/>
                                    <w:right w:val="none" w:sz="0" w:space="0" w:color="auto"/>
                                  </w:divBdr>
                                  <w:divsChild>
                                    <w:div w:id="1312641191">
                                      <w:marLeft w:val="0"/>
                                      <w:marRight w:val="0"/>
                                      <w:marTop w:val="0"/>
                                      <w:marBottom w:val="0"/>
                                      <w:divBdr>
                                        <w:top w:val="none" w:sz="0" w:space="0" w:color="auto"/>
                                        <w:left w:val="none" w:sz="0" w:space="0" w:color="auto"/>
                                        <w:bottom w:val="none" w:sz="0" w:space="0" w:color="auto"/>
                                        <w:right w:val="none" w:sz="0" w:space="0" w:color="auto"/>
                                      </w:divBdr>
                                    </w:div>
                                  </w:divsChild>
                                </w:div>
                                <w:div w:id="1390225997">
                                  <w:marLeft w:val="0"/>
                                  <w:marRight w:val="0"/>
                                  <w:marTop w:val="0"/>
                                  <w:marBottom w:val="0"/>
                                  <w:divBdr>
                                    <w:top w:val="none" w:sz="0" w:space="0" w:color="auto"/>
                                    <w:left w:val="none" w:sz="0" w:space="0" w:color="auto"/>
                                    <w:bottom w:val="none" w:sz="0" w:space="0" w:color="auto"/>
                                    <w:right w:val="none" w:sz="0" w:space="0" w:color="auto"/>
                                  </w:divBdr>
                                  <w:divsChild>
                                    <w:div w:id="1531988859">
                                      <w:marLeft w:val="0"/>
                                      <w:marRight w:val="0"/>
                                      <w:marTop w:val="0"/>
                                      <w:marBottom w:val="0"/>
                                      <w:divBdr>
                                        <w:top w:val="none" w:sz="0" w:space="0" w:color="auto"/>
                                        <w:left w:val="none" w:sz="0" w:space="0" w:color="auto"/>
                                        <w:bottom w:val="none" w:sz="0" w:space="0" w:color="auto"/>
                                        <w:right w:val="none" w:sz="0" w:space="0" w:color="auto"/>
                                      </w:divBdr>
                                      <w:divsChild>
                                        <w:div w:id="240408021">
                                          <w:marLeft w:val="0"/>
                                          <w:marRight w:val="0"/>
                                          <w:marTop w:val="0"/>
                                          <w:marBottom w:val="0"/>
                                          <w:divBdr>
                                            <w:top w:val="none" w:sz="0" w:space="0" w:color="auto"/>
                                            <w:left w:val="none" w:sz="0" w:space="0" w:color="auto"/>
                                            <w:bottom w:val="none" w:sz="0" w:space="0" w:color="auto"/>
                                            <w:right w:val="none" w:sz="0" w:space="0" w:color="auto"/>
                                          </w:divBdr>
                                          <w:divsChild>
                                            <w:div w:id="761947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99708405">
          <w:marLeft w:val="0"/>
          <w:marRight w:val="0"/>
          <w:marTop w:val="0"/>
          <w:marBottom w:val="0"/>
          <w:divBdr>
            <w:top w:val="none" w:sz="0" w:space="0" w:color="auto"/>
            <w:left w:val="none" w:sz="0" w:space="0" w:color="auto"/>
            <w:bottom w:val="none" w:sz="0" w:space="0" w:color="auto"/>
            <w:right w:val="none" w:sz="0" w:space="0" w:color="auto"/>
          </w:divBdr>
          <w:divsChild>
            <w:div w:id="1781951372">
              <w:marLeft w:val="0"/>
              <w:marRight w:val="0"/>
              <w:marTop w:val="0"/>
              <w:marBottom w:val="0"/>
              <w:divBdr>
                <w:top w:val="none" w:sz="0" w:space="0" w:color="auto"/>
                <w:left w:val="none" w:sz="0" w:space="0" w:color="auto"/>
                <w:bottom w:val="none" w:sz="0" w:space="0" w:color="auto"/>
                <w:right w:val="none" w:sz="0" w:space="0" w:color="auto"/>
              </w:divBdr>
              <w:divsChild>
                <w:div w:id="1611821060">
                  <w:marLeft w:val="0"/>
                  <w:marRight w:val="0"/>
                  <w:marTop w:val="0"/>
                  <w:marBottom w:val="0"/>
                  <w:divBdr>
                    <w:top w:val="none" w:sz="0" w:space="0" w:color="auto"/>
                    <w:left w:val="none" w:sz="0" w:space="0" w:color="auto"/>
                    <w:bottom w:val="none" w:sz="0" w:space="0" w:color="auto"/>
                    <w:right w:val="none" w:sz="0" w:space="0" w:color="auto"/>
                  </w:divBdr>
                  <w:divsChild>
                    <w:div w:id="2087725909">
                      <w:marLeft w:val="0"/>
                      <w:marRight w:val="0"/>
                      <w:marTop w:val="0"/>
                      <w:marBottom w:val="0"/>
                      <w:divBdr>
                        <w:top w:val="none" w:sz="0" w:space="0" w:color="auto"/>
                        <w:left w:val="none" w:sz="0" w:space="0" w:color="auto"/>
                        <w:bottom w:val="none" w:sz="0" w:space="0" w:color="auto"/>
                        <w:right w:val="none" w:sz="0" w:space="0" w:color="auto"/>
                      </w:divBdr>
                      <w:divsChild>
                        <w:div w:id="859509971">
                          <w:marLeft w:val="0"/>
                          <w:marRight w:val="0"/>
                          <w:marTop w:val="0"/>
                          <w:marBottom w:val="0"/>
                          <w:divBdr>
                            <w:top w:val="none" w:sz="0" w:space="0" w:color="auto"/>
                            <w:left w:val="none" w:sz="0" w:space="0" w:color="auto"/>
                            <w:bottom w:val="none" w:sz="0" w:space="0" w:color="auto"/>
                            <w:right w:val="none" w:sz="0" w:space="0" w:color="auto"/>
                          </w:divBdr>
                          <w:divsChild>
                            <w:div w:id="852231433">
                              <w:marLeft w:val="0"/>
                              <w:marRight w:val="0"/>
                              <w:marTop w:val="0"/>
                              <w:marBottom w:val="0"/>
                              <w:divBdr>
                                <w:top w:val="none" w:sz="0" w:space="0" w:color="auto"/>
                                <w:left w:val="none" w:sz="0" w:space="0" w:color="auto"/>
                                <w:bottom w:val="none" w:sz="0" w:space="0" w:color="auto"/>
                                <w:right w:val="none" w:sz="0" w:space="0" w:color="auto"/>
                              </w:divBdr>
                              <w:divsChild>
                                <w:div w:id="942029963">
                                  <w:marLeft w:val="0"/>
                                  <w:marRight w:val="0"/>
                                  <w:marTop w:val="0"/>
                                  <w:marBottom w:val="0"/>
                                  <w:divBdr>
                                    <w:top w:val="none" w:sz="0" w:space="0" w:color="auto"/>
                                    <w:left w:val="none" w:sz="0" w:space="0" w:color="auto"/>
                                    <w:bottom w:val="none" w:sz="0" w:space="0" w:color="auto"/>
                                    <w:right w:val="none" w:sz="0" w:space="0" w:color="auto"/>
                                  </w:divBdr>
                                  <w:divsChild>
                                    <w:div w:id="2125146360">
                                      <w:marLeft w:val="0"/>
                                      <w:marRight w:val="0"/>
                                      <w:marTop w:val="0"/>
                                      <w:marBottom w:val="0"/>
                                      <w:divBdr>
                                        <w:top w:val="none" w:sz="0" w:space="0" w:color="auto"/>
                                        <w:left w:val="none" w:sz="0" w:space="0" w:color="auto"/>
                                        <w:bottom w:val="none" w:sz="0" w:space="0" w:color="auto"/>
                                        <w:right w:val="none" w:sz="0" w:space="0" w:color="auto"/>
                                      </w:divBdr>
                                      <w:divsChild>
                                        <w:div w:id="1253784250">
                                          <w:marLeft w:val="0"/>
                                          <w:marRight w:val="0"/>
                                          <w:marTop w:val="0"/>
                                          <w:marBottom w:val="0"/>
                                          <w:divBdr>
                                            <w:top w:val="none" w:sz="0" w:space="0" w:color="auto"/>
                                            <w:left w:val="none" w:sz="0" w:space="0" w:color="auto"/>
                                            <w:bottom w:val="none" w:sz="0" w:space="0" w:color="auto"/>
                                            <w:right w:val="none" w:sz="0" w:space="0" w:color="auto"/>
                                          </w:divBdr>
                                          <w:divsChild>
                                            <w:div w:id="263390333">
                                              <w:marLeft w:val="0"/>
                                              <w:marRight w:val="0"/>
                                              <w:marTop w:val="0"/>
                                              <w:marBottom w:val="0"/>
                                              <w:divBdr>
                                                <w:top w:val="none" w:sz="0" w:space="0" w:color="auto"/>
                                                <w:left w:val="none" w:sz="0" w:space="0" w:color="auto"/>
                                                <w:bottom w:val="none" w:sz="0" w:space="0" w:color="auto"/>
                                                <w:right w:val="none" w:sz="0" w:space="0" w:color="auto"/>
                                              </w:divBdr>
                                              <w:divsChild>
                                                <w:div w:id="1532453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56370026">
      <w:bodyDiv w:val="1"/>
      <w:marLeft w:val="0"/>
      <w:marRight w:val="0"/>
      <w:marTop w:val="0"/>
      <w:marBottom w:val="0"/>
      <w:divBdr>
        <w:top w:val="none" w:sz="0" w:space="0" w:color="auto"/>
        <w:left w:val="none" w:sz="0" w:space="0" w:color="auto"/>
        <w:bottom w:val="none" w:sz="0" w:space="0" w:color="auto"/>
        <w:right w:val="none" w:sz="0" w:space="0" w:color="auto"/>
      </w:divBdr>
    </w:div>
    <w:div w:id="757484717">
      <w:bodyDiv w:val="1"/>
      <w:marLeft w:val="0"/>
      <w:marRight w:val="0"/>
      <w:marTop w:val="0"/>
      <w:marBottom w:val="0"/>
      <w:divBdr>
        <w:top w:val="none" w:sz="0" w:space="0" w:color="auto"/>
        <w:left w:val="none" w:sz="0" w:space="0" w:color="auto"/>
        <w:bottom w:val="none" w:sz="0" w:space="0" w:color="auto"/>
        <w:right w:val="none" w:sz="0" w:space="0" w:color="auto"/>
      </w:divBdr>
    </w:div>
    <w:div w:id="770861247">
      <w:bodyDiv w:val="1"/>
      <w:marLeft w:val="0"/>
      <w:marRight w:val="0"/>
      <w:marTop w:val="0"/>
      <w:marBottom w:val="0"/>
      <w:divBdr>
        <w:top w:val="none" w:sz="0" w:space="0" w:color="auto"/>
        <w:left w:val="none" w:sz="0" w:space="0" w:color="auto"/>
        <w:bottom w:val="none" w:sz="0" w:space="0" w:color="auto"/>
        <w:right w:val="none" w:sz="0" w:space="0" w:color="auto"/>
      </w:divBdr>
    </w:div>
    <w:div w:id="798299177">
      <w:bodyDiv w:val="1"/>
      <w:marLeft w:val="0"/>
      <w:marRight w:val="0"/>
      <w:marTop w:val="0"/>
      <w:marBottom w:val="0"/>
      <w:divBdr>
        <w:top w:val="none" w:sz="0" w:space="0" w:color="auto"/>
        <w:left w:val="none" w:sz="0" w:space="0" w:color="auto"/>
        <w:bottom w:val="none" w:sz="0" w:space="0" w:color="auto"/>
        <w:right w:val="none" w:sz="0" w:space="0" w:color="auto"/>
      </w:divBdr>
    </w:div>
    <w:div w:id="811946795">
      <w:bodyDiv w:val="1"/>
      <w:marLeft w:val="0"/>
      <w:marRight w:val="0"/>
      <w:marTop w:val="0"/>
      <w:marBottom w:val="0"/>
      <w:divBdr>
        <w:top w:val="none" w:sz="0" w:space="0" w:color="auto"/>
        <w:left w:val="none" w:sz="0" w:space="0" w:color="auto"/>
        <w:bottom w:val="none" w:sz="0" w:space="0" w:color="auto"/>
        <w:right w:val="none" w:sz="0" w:space="0" w:color="auto"/>
      </w:divBdr>
    </w:div>
    <w:div w:id="836924068">
      <w:bodyDiv w:val="1"/>
      <w:marLeft w:val="0"/>
      <w:marRight w:val="0"/>
      <w:marTop w:val="0"/>
      <w:marBottom w:val="0"/>
      <w:divBdr>
        <w:top w:val="none" w:sz="0" w:space="0" w:color="auto"/>
        <w:left w:val="none" w:sz="0" w:space="0" w:color="auto"/>
        <w:bottom w:val="none" w:sz="0" w:space="0" w:color="auto"/>
        <w:right w:val="none" w:sz="0" w:space="0" w:color="auto"/>
      </w:divBdr>
    </w:div>
    <w:div w:id="843203632">
      <w:bodyDiv w:val="1"/>
      <w:marLeft w:val="0"/>
      <w:marRight w:val="0"/>
      <w:marTop w:val="0"/>
      <w:marBottom w:val="0"/>
      <w:divBdr>
        <w:top w:val="none" w:sz="0" w:space="0" w:color="auto"/>
        <w:left w:val="none" w:sz="0" w:space="0" w:color="auto"/>
        <w:bottom w:val="none" w:sz="0" w:space="0" w:color="auto"/>
        <w:right w:val="none" w:sz="0" w:space="0" w:color="auto"/>
      </w:divBdr>
      <w:divsChild>
        <w:div w:id="353729496">
          <w:marLeft w:val="0"/>
          <w:marRight w:val="0"/>
          <w:marTop w:val="0"/>
          <w:marBottom w:val="0"/>
          <w:divBdr>
            <w:top w:val="none" w:sz="0" w:space="0" w:color="auto"/>
            <w:left w:val="none" w:sz="0" w:space="0" w:color="auto"/>
            <w:bottom w:val="none" w:sz="0" w:space="0" w:color="auto"/>
            <w:right w:val="none" w:sz="0" w:space="0" w:color="auto"/>
          </w:divBdr>
        </w:div>
      </w:divsChild>
    </w:div>
    <w:div w:id="848177396">
      <w:bodyDiv w:val="1"/>
      <w:marLeft w:val="0"/>
      <w:marRight w:val="0"/>
      <w:marTop w:val="0"/>
      <w:marBottom w:val="0"/>
      <w:divBdr>
        <w:top w:val="none" w:sz="0" w:space="0" w:color="auto"/>
        <w:left w:val="none" w:sz="0" w:space="0" w:color="auto"/>
        <w:bottom w:val="none" w:sz="0" w:space="0" w:color="auto"/>
        <w:right w:val="none" w:sz="0" w:space="0" w:color="auto"/>
      </w:divBdr>
    </w:div>
    <w:div w:id="849105894">
      <w:bodyDiv w:val="1"/>
      <w:marLeft w:val="0"/>
      <w:marRight w:val="0"/>
      <w:marTop w:val="0"/>
      <w:marBottom w:val="0"/>
      <w:divBdr>
        <w:top w:val="none" w:sz="0" w:space="0" w:color="auto"/>
        <w:left w:val="none" w:sz="0" w:space="0" w:color="auto"/>
        <w:bottom w:val="none" w:sz="0" w:space="0" w:color="auto"/>
        <w:right w:val="none" w:sz="0" w:space="0" w:color="auto"/>
      </w:divBdr>
    </w:div>
    <w:div w:id="865681068">
      <w:bodyDiv w:val="1"/>
      <w:marLeft w:val="0"/>
      <w:marRight w:val="0"/>
      <w:marTop w:val="0"/>
      <w:marBottom w:val="0"/>
      <w:divBdr>
        <w:top w:val="none" w:sz="0" w:space="0" w:color="auto"/>
        <w:left w:val="none" w:sz="0" w:space="0" w:color="auto"/>
        <w:bottom w:val="none" w:sz="0" w:space="0" w:color="auto"/>
        <w:right w:val="none" w:sz="0" w:space="0" w:color="auto"/>
      </w:divBdr>
    </w:div>
    <w:div w:id="867333641">
      <w:bodyDiv w:val="1"/>
      <w:marLeft w:val="0"/>
      <w:marRight w:val="0"/>
      <w:marTop w:val="0"/>
      <w:marBottom w:val="0"/>
      <w:divBdr>
        <w:top w:val="none" w:sz="0" w:space="0" w:color="auto"/>
        <w:left w:val="none" w:sz="0" w:space="0" w:color="auto"/>
        <w:bottom w:val="none" w:sz="0" w:space="0" w:color="auto"/>
        <w:right w:val="none" w:sz="0" w:space="0" w:color="auto"/>
      </w:divBdr>
    </w:div>
    <w:div w:id="888567451">
      <w:bodyDiv w:val="1"/>
      <w:marLeft w:val="0"/>
      <w:marRight w:val="0"/>
      <w:marTop w:val="0"/>
      <w:marBottom w:val="0"/>
      <w:divBdr>
        <w:top w:val="none" w:sz="0" w:space="0" w:color="auto"/>
        <w:left w:val="none" w:sz="0" w:space="0" w:color="auto"/>
        <w:bottom w:val="none" w:sz="0" w:space="0" w:color="auto"/>
        <w:right w:val="none" w:sz="0" w:space="0" w:color="auto"/>
      </w:divBdr>
    </w:div>
    <w:div w:id="899442888">
      <w:bodyDiv w:val="1"/>
      <w:marLeft w:val="0"/>
      <w:marRight w:val="0"/>
      <w:marTop w:val="0"/>
      <w:marBottom w:val="0"/>
      <w:divBdr>
        <w:top w:val="none" w:sz="0" w:space="0" w:color="auto"/>
        <w:left w:val="none" w:sz="0" w:space="0" w:color="auto"/>
        <w:bottom w:val="none" w:sz="0" w:space="0" w:color="auto"/>
        <w:right w:val="none" w:sz="0" w:space="0" w:color="auto"/>
      </w:divBdr>
    </w:div>
    <w:div w:id="919096803">
      <w:bodyDiv w:val="1"/>
      <w:marLeft w:val="0"/>
      <w:marRight w:val="0"/>
      <w:marTop w:val="0"/>
      <w:marBottom w:val="0"/>
      <w:divBdr>
        <w:top w:val="none" w:sz="0" w:space="0" w:color="auto"/>
        <w:left w:val="none" w:sz="0" w:space="0" w:color="auto"/>
        <w:bottom w:val="none" w:sz="0" w:space="0" w:color="auto"/>
        <w:right w:val="none" w:sz="0" w:space="0" w:color="auto"/>
      </w:divBdr>
    </w:div>
    <w:div w:id="922107105">
      <w:bodyDiv w:val="1"/>
      <w:marLeft w:val="0"/>
      <w:marRight w:val="0"/>
      <w:marTop w:val="0"/>
      <w:marBottom w:val="0"/>
      <w:divBdr>
        <w:top w:val="none" w:sz="0" w:space="0" w:color="auto"/>
        <w:left w:val="none" w:sz="0" w:space="0" w:color="auto"/>
        <w:bottom w:val="none" w:sz="0" w:space="0" w:color="auto"/>
        <w:right w:val="none" w:sz="0" w:space="0" w:color="auto"/>
      </w:divBdr>
    </w:div>
    <w:div w:id="931746737">
      <w:bodyDiv w:val="1"/>
      <w:marLeft w:val="0"/>
      <w:marRight w:val="0"/>
      <w:marTop w:val="0"/>
      <w:marBottom w:val="0"/>
      <w:divBdr>
        <w:top w:val="none" w:sz="0" w:space="0" w:color="auto"/>
        <w:left w:val="none" w:sz="0" w:space="0" w:color="auto"/>
        <w:bottom w:val="none" w:sz="0" w:space="0" w:color="auto"/>
        <w:right w:val="none" w:sz="0" w:space="0" w:color="auto"/>
      </w:divBdr>
    </w:div>
    <w:div w:id="938829791">
      <w:bodyDiv w:val="1"/>
      <w:marLeft w:val="0"/>
      <w:marRight w:val="0"/>
      <w:marTop w:val="0"/>
      <w:marBottom w:val="0"/>
      <w:divBdr>
        <w:top w:val="none" w:sz="0" w:space="0" w:color="auto"/>
        <w:left w:val="none" w:sz="0" w:space="0" w:color="auto"/>
        <w:bottom w:val="none" w:sz="0" w:space="0" w:color="auto"/>
        <w:right w:val="none" w:sz="0" w:space="0" w:color="auto"/>
      </w:divBdr>
    </w:div>
    <w:div w:id="958876909">
      <w:bodyDiv w:val="1"/>
      <w:marLeft w:val="0"/>
      <w:marRight w:val="0"/>
      <w:marTop w:val="0"/>
      <w:marBottom w:val="0"/>
      <w:divBdr>
        <w:top w:val="none" w:sz="0" w:space="0" w:color="auto"/>
        <w:left w:val="none" w:sz="0" w:space="0" w:color="auto"/>
        <w:bottom w:val="none" w:sz="0" w:space="0" w:color="auto"/>
        <w:right w:val="none" w:sz="0" w:space="0" w:color="auto"/>
      </w:divBdr>
    </w:div>
    <w:div w:id="959606171">
      <w:bodyDiv w:val="1"/>
      <w:marLeft w:val="0"/>
      <w:marRight w:val="0"/>
      <w:marTop w:val="0"/>
      <w:marBottom w:val="0"/>
      <w:divBdr>
        <w:top w:val="none" w:sz="0" w:space="0" w:color="auto"/>
        <w:left w:val="none" w:sz="0" w:space="0" w:color="auto"/>
        <w:bottom w:val="none" w:sz="0" w:space="0" w:color="auto"/>
        <w:right w:val="none" w:sz="0" w:space="0" w:color="auto"/>
      </w:divBdr>
    </w:div>
    <w:div w:id="960500854">
      <w:bodyDiv w:val="1"/>
      <w:marLeft w:val="0"/>
      <w:marRight w:val="0"/>
      <w:marTop w:val="0"/>
      <w:marBottom w:val="0"/>
      <w:divBdr>
        <w:top w:val="none" w:sz="0" w:space="0" w:color="auto"/>
        <w:left w:val="none" w:sz="0" w:space="0" w:color="auto"/>
        <w:bottom w:val="none" w:sz="0" w:space="0" w:color="auto"/>
        <w:right w:val="none" w:sz="0" w:space="0" w:color="auto"/>
      </w:divBdr>
    </w:div>
    <w:div w:id="968822723">
      <w:bodyDiv w:val="1"/>
      <w:marLeft w:val="0"/>
      <w:marRight w:val="0"/>
      <w:marTop w:val="0"/>
      <w:marBottom w:val="0"/>
      <w:divBdr>
        <w:top w:val="none" w:sz="0" w:space="0" w:color="auto"/>
        <w:left w:val="none" w:sz="0" w:space="0" w:color="auto"/>
        <w:bottom w:val="none" w:sz="0" w:space="0" w:color="auto"/>
        <w:right w:val="none" w:sz="0" w:space="0" w:color="auto"/>
      </w:divBdr>
    </w:div>
    <w:div w:id="973171202">
      <w:bodyDiv w:val="1"/>
      <w:marLeft w:val="0"/>
      <w:marRight w:val="0"/>
      <w:marTop w:val="0"/>
      <w:marBottom w:val="0"/>
      <w:divBdr>
        <w:top w:val="none" w:sz="0" w:space="0" w:color="auto"/>
        <w:left w:val="none" w:sz="0" w:space="0" w:color="auto"/>
        <w:bottom w:val="none" w:sz="0" w:space="0" w:color="auto"/>
        <w:right w:val="none" w:sz="0" w:space="0" w:color="auto"/>
      </w:divBdr>
    </w:div>
    <w:div w:id="981345748">
      <w:bodyDiv w:val="1"/>
      <w:marLeft w:val="0"/>
      <w:marRight w:val="0"/>
      <w:marTop w:val="0"/>
      <w:marBottom w:val="0"/>
      <w:divBdr>
        <w:top w:val="none" w:sz="0" w:space="0" w:color="auto"/>
        <w:left w:val="none" w:sz="0" w:space="0" w:color="auto"/>
        <w:bottom w:val="none" w:sz="0" w:space="0" w:color="auto"/>
        <w:right w:val="none" w:sz="0" w:space="0" w:color="auto"/>
      </w:divBdr>
    </w:div>
    <w:div w:id="994067937">
      <w:bodyDiv w:val="1"/>
      <w:marLeft w:val="0"/>
      <w:marRight w:val="0"/>
      <w:marTop w:val="0"/>
      <w:marBottom w:val="0"/>
      <w:divBdr>
        <w:top w:val="none" w:sz="0" w:space="0" w:color="auto"/>
        <w:left w:val="none" w:sz="0" w:space="0" w:color="auto"/>
        <w:bottom w:val="none" w:sz="0" w:space="0" w:color="auto"/>
        <w:right w:val="none" w:sz="0" w:space="0" w:color="auto"/>
      </w:divBdr>
    </w:div>
    <w:div w:id="1001422282">
      <w:bodyDiv w:val="1"/>
      <w:marLeft w:val="0"/>
      <w:marRight w:val="0"/>
      <w:marTop w:val="0"/>
      <w:marBottom w:val="0"/>
      <w:divBdr>
        <w:top w:val="none" w:sz="0" w:space="0" w:color="auto"/>
        <w:left w:val="none" w:sz="0" w:space="0" w:color="auto"/>
        <w:bottom w:val="none" w:sz="0" w:space="0" w:color="auto"/>
        <w:right w:val="none" w:sz="0" w:space="0" w:color="auto"/>
      </w:divBdr>
    </w:div>
    <w:div w:id="1020661562">
      <w:bodyDiv w:val="1"/>
      <w:marLeft w:val="0"/>
      <w:marRight w:val="0"/>
      <w:marTop w:val="0"/>
      <w:marBottom w:val="0"/>
      <w:divBdr>
        <w:top w:val="none" w:sz="0" w:space="0" w:color="auto"/>
        <w:left w:val="none" w:sz="0" w:space="0" w:color="auto"/>
        <w:bottom w:val="none" w:sz="0" w:space="0" w:color="auto"/>
        <w:right w:val="none" w:sz="0" w:space="0" w:color="auto"/>
      </w:divBdr>
    </w:div>
    <w:div w:id="1021853984">
      <w:bodyDiv w:val="1"/>
      <w:marLeft w:val="0"/>
      <w:marRight w:val="0"/>
      <w:marTop w:val="0"/>
      <w:marBottom w:val="0"/>
      <w:divBdr>
        <w:top w:val="none" w:sz="0" w:space="0" w:color="auto"/>
        <w:left w:val="none" w:sz="0" w:space="0" w:color="auto"/>
        <w:bottom w:val="none" w:sz="0" w:space="0" w:color="auto"/>
        <w:right w:val="none" w:sz="0" w:space="0" w:color="auto"/>
      </w:divBdr>
    </w:div>
    <w:div w:id="1026366046">
      <w:bodyDiv w:val="1"/>
      <w:marLeft w:val="0"/>
      <w:marRight w:val="0"/>
      <w:marTop w:val="0"/>
      <w:marBottom w:val="0"/>
      <w:divBdr>
        <w:top w:val="none" w:sz="0" w:space="0" w:color="auto"/>
        <w:left w:val="none" w:sz="0" w:space="0" w:color="auto"/>
        <w:bottom w:val="none" w:sz="0" w:space="0" w:color="auto"/>
        <w:right w:val="none" w:sz="0" w:space="0" w:color="auto"/>
      </w:divBdr>
    </w:div>
    <w:div w:id="1048262069">
      <w:bodyDiv w:val="1"/>
      <w:marLeft w:val="0"/>
      <w:marRight w:val="0"/>
      <w:marTop w:val="0"/>
      <w:marBottom w:val="0"/>
      <w:divBdr>
        <w:top w:val="none" w:sz="0" w:space="0" w:color="auto"/>
        <w:left w:val="none" w:sz="0" w:space="0" w:color="auto"/>
        <w:bottom w:val="none" w:sz="0" w:space="0" w:color="auto"/>
        <w:right w:val="none" w:sz="0" w:space="0" w:color="auto"/>
      </w:divBdr>
    </w:div>
    <w:div w:id="1058281414">
      <w:bodyDiv w:val="1"/>
      <w:marLeft w:val="0"/>
      <w:marRight w:val="0"/>
      <w:marTop w:val="0"/>
      <w:marBottom w:val="0"/>
      <w:divBdr>
        <w:top w:val="none" w:sz="0" w:space="0" w:color="auto"/>
        <w:left w:val="none" w:sz="0" w:space="0" w:color="auto"/>
        <w:bottom w:val="none" w:sz="0" w:space="0" w:color="auto"/>
        <w:right w:val="none" w:sz="0" w:space="0" w:color="auto"/>
      </w:divBdr>
    </w:div>
    <w:div w:id="1079135704">
      <w:bodyDiv w:val="1"/>
      <w:marLeft w:val="0"/>
      <w:marRight w:val="0"/>
      <w:marTop w:val="0"/>
      <w:marBottom w:val="0"/>
      <w:divBdr>
        <w:top w:val="none" w:sz="0" w:space="0" w:color="auto"/>
        <w:left w:val="none" w:sz="0" w:space="0" w:color="auto"/>
        <w:bottom w:val="none" w:sz="0" w:space="0" w:color="auto"/>
        <w:right w:val="none" w:sz="0" w:space="0" w:color="auto"/>
      </w:divBdr>
    </w:div>
    <w:div w:id="1079905030">
      <w:bodyDiv w:val="1"/>
      <w:marLeft w:val="0"/>
      <w:marRight w:val="0"/>
      <w:marTop w:val="0"/>
      <w:marBottom w:val="0"/>
      <w:divBdr>
        <w:top w:val="none" w:sz="0" w:space="0" w:color="auto"/>
        <w:left w:val="none" w:sz="0" w:space="0" w:color="auto"/>
        <w:bottom w:val="none" w:sz="0" w:space="0" w:color="auto"/>
        <w:right w:val="none" w:sz="0" w:space="0" w:color="auto"/>
      </w:divBdr>
    </w:div>
    <w:div w:id="1102189264">
      <w:bodyDiv w:val="1"/>
      <w:marLeft w:val="0"/>
      <w:marRight w:val="0"/>
      <w:marTop w:val="0"/>
      <w:marBottom w:val="0"/>
      <w:divBdr>
        <w:top w:val="none" w:sz="0" w:space="0" w:color="auto"/>
        <w:left w:val="none" w:sz="0" w:space="0" w:color="auto"/>
        <w:bottom w:val="none" w:sz="0" w:space="0" w:color="auto"/>
        <w:right w:val="none" w:sz="0" w:space="0" w:color="auto"/>
      </w:divBdr>
    </w:div>
    <w:div w:id="1102997175">
      <w:bodyDiv w:val="1"/>
      <w:marLeft w:val="0"/>
      <w:marRight w:val="0"/>
      <w:marTop w:val="0"/>
      <w:marBottom w:val="0"/>
      <w:divBdr>
        <w:top w:val="none" w:sz="0" w:space="0" w:color="auto"/>
        <w:left w:val="none" w:sz="0" w:space="0" w:color="auto"/>
        <w:bottom w:val="none" w:sz="0" w:space="0" w:color="auto"/>
        <w:right w:val="none" w:sz="0" w:space="0" w:color="auto"/>
      </w:divBdr>
    </w:div>
    <w:div w:id="1126507197">
      <w:bodyDiv w:val="1"/>
      <w:marLeft w:val="0"/>
      <w:marRight w:val="0"/>
      <w:marTop w:val="0"/>
      <w:marBottom w:val="0"/>
      <w:divBdr>
        <w:top w:val="none" w:sz="0" w:space="0" w:color="auto"/>
        <w:left w:val="none" w:sz="0" w:space="0" w:color="auto"/>
        <w:bottom w:val="none" w:sz="0" w:space="0" w:color="auto"/>
        <w:right w:val="none" w:sz="0" w:space="0" w:color="auto"/>
      </w:divBdr>
      <w:divsChild>
        <w:div w:id="100536770">
          <w:marLeft w:val="0"/>
          <w:marRight w:val="0"/>
          <w:marTop w:val="0"/>
          <w:marBottom w:val="0"/>
          <w:divBdr>
            <w:top w:val="none" w:sz="0" w:space="0" w:color="auto"/>
            <w:left w:val="none" w:sz="0" w:space="0" w:color="auto"/>
            <w:bottom w:val="none" w:sz="0" w:space="0" w:color="auto"/>
            <w:right w:val="none" w:sz="0" w:space="0" w:color="auto"/>
          </w:divBdr>
          <w:divsChild>
            <w:div w:id="733085983">
              <w:marLeft w:val="0"/>
              <w:marRight w:val="0"/>
              <w:marTop w:val="0"/>
              <w:marBottom w:val="0"/>
              <w:divBdr>
                <w:top w:val="none" w:sz="0" w:space="0" w:color="auto"/>
                <w:left w:val="none" w:sz="0" w:space="0" w:color="auto"/>
                <w:bottom w:val="none" w:sz="0" w:space="0" w:color="auto"/>
                <w:right w:val="none" w:sz="0" w:space="0" w:color="auto"/>
              </w:divBdr>
              <w:divsChild>
                <w:div w:id="311101361">
                  <w:marLeft w:val="0"/>
                  <w:marRight w:val="0"/>
                  <w:marTop w:val="0"/>
                  <w:marBottom w:val="0"/>
                  <w:divBdr>
                    <w:top w:val="none" w:sz="0" w:space="0" w:color="auto"/>
                    <w:left w:val="none" w:sz="0" w:space="0" w:color="auto"/>
                    <w:bottom w:val="none" w:sz="0" w:space="0" w:color="auto"/>
                    <w:right w:val="none" w:sz="0" w:space="0" w:color="auto"/>
                  </w:divBdr>
                  <w:divsChild>
                    <w:div w:id="948194853">
                      <w:marLeft w:val="0"/>
                      <w:marRight w:val="0"/>
                      <w:marTop w:val="0"/>
                      <w:marBottom w:val="0"/>
                      <w:divBdr>
                        <w:top w:val="none" w:sz="0" w:space="0" w:color="auto"/>
                        <w:left w:val="none" w:sz="0" w:space="0" w:color="auto"/>
                        <w:bottom w:val="none" w:sz="0" w:space="0" w:color="auto"/>
                        <w:right w:val="none" w:sz="0" w:space="0" w:color="auto"/>
                      </w:divBdr>
                      <w:divsChild>
                        <w:div w:id="434987180">
                          <w:marLeft w:val="0"/>
                          <w:marRight w:val="0"/>
                          <w:marTop w:val="0"/>
                          <w:marBottom w:val="0"/>
                          <w:divBdr>
                            <w:top w:val="none" w:sz="0" w:space="0" w:color="auto"/>
                            <w:left w:val="none" w:sz="0" w:space="0" w:color="auto"/>
                            <w:bottom w:val="none" w:sz="0" w:space="0" w:color="auto"/>
                            <w:right w:val="none" w:sz="0" w:space="0" w:color="auto"/>
                          </w:divBdr>
                          <w:divsChild>
                            <w:div w:id="537009862">
                              <w:marLeft w:val="0"/>
                              <w:marRight w:val="0"/>
                              <w:marTop w:val="0"/>
                              <w:marBottom w:val="0"/>
                              <w:divBdr>
                                <w:top w:val="none" w:sz="0" w:space="0" w:color="auto"/>
                                <w:left w:val="none" w:sz="0" w:space="0" w:color="auto"/>
                                <w:bottom w:val="none" w:sz="0" w:space="0" w:color="auto"/>
                                <w:right w:val="none" w:sz="0" w:space="0" w:color="auto"/>
                              </w:divBdr>
                              <w:divsChild>
                                <w:div w:id="1123309648">
                                  <w:marLeft w:val="0"/>
                                  <w:marRight w:val="0"/>
                                  <w:marTop w:val="0"/>
                                  <w:marBottom w:val="0"/>
                                  <w:divBdr>
                                    <w:top w:val="none" w:sz="0" w:space="0" w:color="auto"/>
                                    <w:left w:val="none" w:sz="0" w:space="0" w:color="auto"/>
                                    <w:bottom w:val="none" w:sz="0" w:space="0" w:color="auto"/>
                                    <w:right w:val="none" w:sz="0" w:space="0" w:color="auto"/>
                                  </w:divBdr>
                                  <w:divsChild>
                                    <w:div w:id="193349522">
                                      <w:marLeft w:val="0"/>
                                      <w:marRight w:val="0"/>
                                      <w:marTop w:val="0"/>
                                      <w:marBottom w:val="0"/>
                                      <w:divBdr>
                                        <w:top w:val="none" w:sz="0" w:space="0" w:color="auto"/>
                                        <w:left w:val="none" w:sz="0" w:space="0" w:color="auto"/>
                                        <w:bottom w:val="none" w:sz="0" w:space="0" w:color="auto"/>
                                        <w:right w:val="none" w:sz="0" w:space="0" w:color="auto"/>
                                      </w:divBdr>
                                    </w:div>
                                  </w:divsChild>
                                </w:div>
                                <w:div w:id="1931426193">
                                  <w:marLeft w:val="0"/>
                                  <w:marRight w:val="0"/>
                                  <w:marTop w:val="0"/>
                                  <w:marBottom w:val="0"/>
                                  <w:divBdr>
                                    <w:top w:val="none" w:sz="0" w:space="0" w:color="auto"/>
                                    <w:left w:val="none" w:sz="0" w:space="0" w:color="auto"/>
                                    <w:bottom w:val="none" w:sz="0" w:space="0" w:color="auto"/>
                                    <w:right w:val="none" w:sz="0" w:space="0" w:color="auto"/>
                                  </w:divBdr>
                                  <w:divsChild>
                                    <w:div w:id="2037152953">
                                      <w:marLeft w:val="0"/>
                                      <w:marRight w:val="0"/>
                                      <w:marTop w:val="0"/>
                                      <w:marBottom w:val="0"/>
                                      <w:divBdr>
                                        <w:top w:val="none" w:sz="0" w:space="0" w:color="auto"/>
                                        <w:left w:val="none" w:sz="0" w:space="0" w:color="auto"/>
                                        <w:bottom w:val="none" w:sz="0" w:space="0" w:color="auto"/>
                                        <w:right w:val="none" w:sz="0" w:space="0" w:color="auto"/>
                                      </w:divBdr>
                                      <w:divsChild>
                                        <w:div w:id="1351099901">
                                          <w:marLeft w:val="0"/>
                                          <w:marRight w:val="0"/>
                                          <w:marTop w:val="0"/>
                                          <w:marBottom w:val="0"/>
                                          <w:divBdr>
                                            <w:top w:val="none" w:sz="0" w:space="0" w:color="auto"/>
                                            <w:left w:val="none" w:sz="0" w:space="0" w:color="auto"/>
                                            <w:bottom w:val="none" w:sz="0" w:space="0" w:color="auto"/>
                                            <w:right w:val="none" w:sz="0" w:space="0" w:color="auto"/>
                                          </w:divBdr>
                                          <w:divsChild>
                                            <w:div w:id="1549796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57159487">
          <w:marLeft w:val="0"/>
          <w:marRight w:val="0"/>
          <w:marTop w:val="0"/>
          <w:marBottom w:val="0"/>
          <w:divBdr>
            <w:top w:val="none" w:sz="0" w:space="0" w:color="auto"/>
            <w:left w:val="none" w:sz="0" w:space="0" w:color="auto"/>
            <w:bottom w:val="none" w:sz="0" w:space="0" w:color="auto"/>
            <w:right w:val="none" w:sz="0" w:space="0" w:color="auto"/>
          </w:divBdr>
          <w:divsChild>
            <w:div w:id="1680086423">
              <w:marLeft w:val="0"/>
              <w:marRight w:val="0"/>
              <w:marTop w:val="0"/>
              <w:marBottom w:val="0"/>
              <w:divBdr>
                <w:top w:val="none" w:sz="0" w:space="0" w:color="auto"/>
                <w:left w:val="none" w:sz="0" w:space="0" w:color="auto"/>
                <w:bottom w:val="none" w:sz="0" w:space="0" w:color="auto"/>
                <w:right w:val="none" w:sz="0" w:space="0" w:color="auto"/>
              </w:divBdr>
              <w:divsChild>
                <w:div w:id="435711323">
                  <w:marLeft w:val="0"/>
                  <w:marRight w:val="0"/>
                  <w:marTop w:val="0"/>
                  <w:marBottom w:val="0"/>
                  <w:divBdr>
                    <w:top w:val="none" w:sz="0" w:space="0" w:color="auto"/>
                    <w:left w:val="none" w:sz="0" w:space="0" w:color="auto"/>
                    <w:bottom w:val="none" w:sz="0" w:space="0" w:color="auto"/>
                    <w:right w:val="none" w:sz="0" w:space="0" w:color="auto"/>
                  </w:divBdr>
                  <w:divsChild>
                    <w:div w:id="218982571">
                      <w:marLeft w:val="0"/>
                      <w:marRight w:val="0"/>
                      <w:marTop w:val="0"/>
                      <w:marBottom w:val="0"/>
                      <w:divBdr>
                        <w:top w:val="none" w:sz="0" w:space="0" w:color="auto"/>
                        <w:left w:val="none" w:sz="0" w:space="0" w:color="auto"/>
                        <w:bottom w:val="none" w:sz="0" w:space="0" w:color="auto"/>
                        <w:right w:val="none" w:sz="0" w:space="0" w:color="auto"/>
                      </w:divBdr>
                      <w:divsChild>
                        <w:div w:id="2082487150">
                          <w:marLeft w:val="0"/>
                          <w:marRight w:val="0"/>
                          <w:marTop w:val="0"/>
                          <w:marBottom w:val="0"/>
                          <w:divBdr>
                            <w:top w:val="none" w:sz="0" w:space="0" w:color="auto"/>
                            <w:left w:val="none" w:sz="0" w:space="0" w:color="auto"/>
                            <w:bottom w:val="none" w:sz="0" w:space="0" w:color="auto"/>
                            <w:right w:val="none" w:sz="0" w:space="0" w:color="auto"/>
                          </w:divBdr>
                          <w:divsChild>
                            <w:div w:id="1729962750">
                              <w:marLeft w:val="0"/>
                              <w:marRight w:val="0"/>
                              <w:marTop w:val="0"/>
                              <w:marBottom w:val="0"/>
                              <w:divBdr>
                                <w:top w:val="none" w:sz="0" w:space="0" w:color="auto"/>
                                <w:left w:val="none" w:sz="0" w:space="0" w:color="auto"/>
                                <w:bottom w:val="none" w:sz="0" w:space="0" w:color="auto"/>
                                <w:right w:val="none" w:sz="0" w:space="0" w:color="auto"/>
                              </w:divBdr>
                              <w:divsChild>
                                <w:div w:id="470751977">
                                  <w:marLeft w:val="0"/>
                                  <w:marRight w:val="0"/>
                                  <w:marTop w:val="0"/>
                                  <w:marBottom w:val="0"/>
                                  <w:divBdr>
                                    <w:top w:val="none" w:sz="0" w:space="0" w:color="auto"/>
                                    <w:left w:val="none" w:sz="0" w:space="0" w:color="auto"/>
                                    <w:bottom w:val="none" w:sz="0" w:space="0" w:color="auto"/>
                                    <w:right w:val="none" w:sz="0" w:space="0" w:color="auto"/>
                                  </w:divBdr>
                                  <w:divsChild>
                                    <w:div w:id="1481117701">
                                      <w:marLeft w:val="0"/>
                                      <w:marRight w:val="0"/>
                                      <w:marTop w:val="0"/>
                                      <w:marBottom w:val="0"/>
                                      <w:divBdr>
                                        <w:top w:val="none" w:sz="0" w:space="0" w:color="auto"/>
                                        <w:left w:val="none" w:sz="0" w:space="0" w:color="auto"/>
                                        <w:bottom w:val="none" w:sz="0" w:space="0" w:color="auto"/>
                                        <w:right w:val="none" w:sz="0" w:space="0" w:color="auto"/>
                                      </w:divBdr>
                                      <w:divsChild>
                                        <w:div w:id="1613123008">
                                          <w:marLeft w:val="0"/>
                                          <w:marRight w:val="0"/>
                                          <w:marTop w:val="0"/>
                                          <w:marBottom w:val="0"/>
                                          <w:divBdr>
                                            <w:top w:val="none" w:sz="0" w:space="0" w:color="auto"/>
                                            <w:left w:val="none" w:sz="0" w:space="0" w:color="auto"/>
                                            <w:bottom w:val="none" w:sz="0" w:space="0" w:color="auto"/>
                                            <w:right w:val="none" w:sz="0" w:space="0" w:color="auto"/>
                                          </w:divBdr>
                                          <w:divsChild>
                                            <w:div w:id="481044345">
                                              <w:marLeft w:val="0"/>
                                              <w:marRight w:val="0"/>
                                              <w:marTop w:val="0"/>
                                              <w:marBottom w:val="0"/>
                                              <w:divBdr>
                                                <w:top w:val="none" w:sz="0" w:space="0" w:color="auto"/>
                                                <w:left w:val="none" w:sz="0" w:space="0" w:color="auto"/>
                                                <w:bottom w:val="none" w:sz="0" w:space="0" w:color="auto"/>
                                                <w:right w:val="none" w:sz="0" w:space="0" w:color="auto"/>
                                              </w:divBdr>
                                              <w:divsChild>
                                                <w:div w:id="1255285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47354223">
      <w:bodyDiv w:val="1"/>
      <w:marLeft w:val="0"/>
      <w:marRight w:val="0"/>
      <w:marTop w:val="0"/>
      <w:marBottom w:val="0"/>
      <w:divBdr>
        <w:top w:val="none" w:sz="0" w:space="0" w:color="auto"/>
        <w:left w:val="none" w:sz="0" w:space="0" w:color="auto"/>
        <w:bottom w:val="none" w:sz="0" w:space="0" w:color="auto"/>
        <w:right w:val="none" w:sz="0" w:space="0" w:color="auto"/>
      </w:divBdr>
    </w:div>
    <w:div w:id="1158114853">
      <w:bodyDiv w:val="1"/>
      <w:marLeft w:val="0"/>
      <w:marRight w:val="0"/>
      <w:marTop w:val="0"/>
      <w:marBottom w:val="0"/>
      <w:divBdr>
        <w:top w:val="none" w:sz="0" w:space="0" w:color="auto"/>
        <w:left w:val="none" w:sz="0" w:space="0" w:color="auto"/>
        <w:bottom w:val="none" w:sz="0" w:space="0" w:color="auto"/>
        <w:right w:val="none" w:sz="0" w:space="0" w:color="auto"/>
      </w:divBdr>
    </w:div>
    <w:div w:id="1158885905">
      <w:bodyDiv w:val="1"/>
      <w:marLeft w:val="0"/>
      <w:marRight w:val="0"/>
      <w:marTop w:val="0"/>
      <w:marBottom w:val="0"/>
      <w:divBdr>
        <w:top w:val="none" w:sz="0" w:space="0" w:color="auto"/>
        <w:left w:val="none" w:sz="0" w:space="0" w:color="auto"/>
        <w:bottom w:val="none" w:sz="0" w:space="0" w:color="auto"/>
        <w:right w:val="none" w:sz="0" w:space="0" w:color="auto"/>
      </w:divBdr>
      <w:divsChild>
        <w:div w:id="682048391">
          <w:marLeft w:val="0"/>
          <w:marRight w:val="0"/>
          <w:marTop w:val="0"/>
          <w:marBottom w:val="0"/>
          <w:divBdr>
            <w:top w:val="none" w:sz="0" w:space="0" w:color="auto"/>
            <w:left w:val="none" w:sz="0" w:space="0" w:color="auto"/>
            <w:bottom w:val="none" w:sz="0" w:space="0" w:color="auto"/>
            <w:right w:val="none" w:sz="0" w:space="0" w:color="auto"/>
          </w:divBdr>
          <w:divsChild>
            <w:div w:id="1754281538">
              <w:marLeft w:val="0"/>
              <w:marRight w:val="0"/>
              <w:marTop w:val="0"/>
              <w:marBottom w:val="0"/>
              <w:divBdr>
                <w:top w:val="none" w:sz="0" w:space="0" w:color="auto"/>
                <w:left w:val="none" w:sz="0" w:space="0" w:color="auto"/>
                <w:bottom w:val="none" w:sz="0" w:space="0" w:color="auto"/>
                <w:right w:val="none" w:sz="0" w:space="0" w:color="auto"/>
              </w:divBdr>
              <w:divsChild>
                <w:div w:id="869489082">
                  <w:marLeft w:val="0"/>
                  <w:marRight w:val="0"/>
                  <w:marTop w:val="0"/>
                  <w:marBottom w:val="0"/>
                  <w:divBdr>
                    <w:top w:val="none" w:sz="0" w:space="0" w:color="auto"/>
                    <w:left w:val="none" w:sz="0" w:space="0" w:color="auto"/>
                    <w:bottom w:val="none" w:sz="0" w:space="0" w:color="auto"/>
                    <w:right w:val="none" w:sz="0" w:space="0" w:color="auto"/>
                  </w:divBdr>
                  <w:divsChild>
                    <w:div w:id="734664403">
                      <w:marLeft w:val="0"/>
                      <w:marRight w:val="0"/>
                      <w:marTop w:val="0"/>
                      <w:marBottom w:val="0"/>
                      <w:divBdr>
                        <w:top w:val="none" w:sz="0" w:space="0" w:color="auto"/>
                        <w:left w:val="none" w:sz="0" w:space="0" w:color="auto"/>
                        <w:bottom w:val="none" w:sz="0" w:space="0" w:color="auto"/>
                        <w:right w:val="none" w:sz="0" w:space="0" w:color="auto"/>
                      </w:divBdr>
                      <w:divsChild>
                        <w:div w:id="309866220">
                          <w:marLeft w:val="0"/>
                          <w:marRight w:val="0"/>
                          <w:marTop w:val="0"/>
                          <w:marBottom w:val="0"/>
                          <w:divBdr>
                            <w:top w:val="none" w:sz="0" w:space="0" w:color="auto"/>
                            <w:left w:val="none" w:sz="0" w:space="0" w:color="auto"/>
                            <w:bottom w:val="none" w:sz="0" w:space="0" w:color="auto"/>
                            <w:right w:val="none" w:sz="0" w:space="0" w:color="auto"/>
                          </w:divBdr>
                          <w:divsChild>
                            <w:div w:id="808478294">
                              <w:marLeft w:val="0"/>
                              <w:marRight w:val="0"/>
                              <w:marTop w:val="0"/>
                              <w:marBottom w:val="0"/>
                              <w:divBdr>
                                <w:top w:val="none" w:sz="0" w:space="0" w:color="auto"/>
                                <w:left w:val="none" w:sz="0" w:space="0" w:color="auto"/>
                                <w:bottom w:val="none" w:sz="0" w:space="0" w:color="auto"/>
                                <w:right w:val="none" w:sz="0" w:space="0" w:color="auto"/>
                              </w:divBdr>
                              <w:divsChild>
                                <w:div w:id="1655914108">
                                  <w:marLeft w:val="0"/>
                                  <w:marRight w:val="0"/>
                                  <w:marTop w:val="0"/>
                                  <w:marBottom w:val="0"/>
                                  <w:divBdr>
                                    <w:top w:val="none" w:sz="0" w:space="0" w:color="auto"/>
                                    <w:left w:val="none" w:sz="0" w:space="0" w:color="auto"/>
                                    <w:bottom w:val="none" w:sz="0" w:space="0" w:color="auto"/>
                                    <w:right w:val="none" w:sz="0" w:space="0" w:color="auto"/>
                                  </w:divBdr>
                                  <w:divsChild>
                                    <w:div w:id="137454722">
                                      <w:marLeft w:val="0"/>
                                      <w:marRight w:val="0"/>
                                      <w:marTop w:val="0"/>
                                      <w:marBottom w:val="0"/>
                                      <w:divBdr>
                                        <w:top w:val="none" w:sz="0" w:space="0" w:color="auto"/>
                                        <w:left w:val="none" w:sz="0" w:space="0" w:color="auto"/>
                                        <w:bottom w:val="none" w:sz="0" w:space="0" w:color="auto"/>
                                        <w:right w:val="none" w:sz="0" w:space="0" w:color="auto"/>
                                      </w:divBdr>
                                      <w:divsChild>
                                        <w:div w:id="1861814196">
                                          <w:marLeft w:val="0"/>
                                          <w:marRight w:val="0"/>
                                          <w:marTop w:val="0"/>
                                          <w:marBottom w:val="0"/>
                                          <w:divBdr>
                                            <w:top w:val="none" w:sz="0" w:space="0" w:color="auto"/>
                                            <w:left w:val="none" w:sz="0" w:space="0" w:color="auto"/>
                                            <w:bottom w:val="none" w:sz="0" w:space="0" w:color="auto"/>
                                            <w:right w:val="none" w:sz="0" w:space="0" w:color="auto"/>
                                          </w:divBdr>
                                          <w:divsChild>
                                            <w:div w:id="734856128">
                                              <w:marLeft w:val="0"/>
                                              <w:marRight w:val="0"/>
                                              <w:marTop w:val="0"/>
                                              <w:marBottom w:val="0"/>
                                              <w:divBdr>
                                                <w:top w:val="none" w:sz="0" w:space="0" w:color="auto"/>
                                                <w:left w:val="none" w:sz="0" w:space="0" w:color="auto"/>
                                                <w:bottom w:val="none" w:sz="0" w:space="0" w:color="auto"/>
                                                <w:right w:val="none" w:sz="0" w:space="0" w:color="auto"/>
                                              </w:divBdr>
                                              <w:divsChild>
                                                <w:div w:id="1028986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79387575">
          <w:marLeft w:val="0"/>
          <w:marRight w:val="0"/>
          <w:marTop w:val="0"/>
          <w:marBottom w:val="0"/>
          <w:divBdr>
            <w:top w:val="none" w:sz="0" w:space="0" w:color="auto"/>
            <w:left w:val="none" w:sz="0" w:space="0" w:color="auto"/>
            <w:bottom w:val="none" w:sz="0" w:space="0" w:color="auto"/>
            <w:right w:val="none" w:sz="0" w:space="0" w:color="auto"/>
          </w:divBdr>
          <w:divsChild>
            <w:div w:id="1739673557">
              <w:marLeft w:val="0"/>
              <w:marRight w:val="0"/>
              <w:marTop w:val="0"/>
              <w:marBottom w:val="0"/>
              <w:divBdr>
                <w:top w:val="none" w:sz="0" w:space="0" w:color="auto"/>
                <w:left w:val="none" w:sz="0" w:space="0" w:color="auto"/>
                <w:bottom w:val="none" w:sz="0" w:space="0" w:color="auto"/>
                <w:right w:val="none" w:sz="0" w:space="0" w:color="auto"/>
              </w:divBdr>
              <w:divsChild>
                <w:div w:id="43991901">
                  <w:marLeft w:val="0"/>
                  <w:marRight w:val="0"/>
                  <w:marTop w:val="0"/>
                  <w:marBottom w:val="0"/>
                  <w:divBdr>
                    <w:top w:val="none" w:sz="0" w:space="0" w:color="auto"/>
                    <w:left w:val="none" w:sz="0" w:space="0" w:color="auto"/>
                    <w:bottom w:val="none" w:sz="0" w:space="0" w:color="auto"/>
                    <w:right w:val="none" w:sz="0" w:space="0" w:color="auto"/>
                  </w:divBdr>
                  <w:divsChild>
                    <w:div w:id="382296331">
                      <w:marLeft w:val="0"/>
                      <w:marRight w:val="0"/>
                      <w:marTop w:val="0"/>
                      <w:marBottom w:val="0"/>
                      <w:divBdr>
                        <w:top w:val="none" w:sz="0" w:space="0" w:color="auto"/>
                        <w:left w:val="none" w:sz="0" w:space="0" w:color="auto"/>
                        <w:bottom w:val="none" w:sz="0" w:space="0" w:color="auto"/>
                        <w:right w:val="none" w:sz="0" w:space="0" w:color="auto"/>
                      </w:divBdr>
                      <w:divsChild>
                        <w:div w:id="782189937">
                          <w:marLeft w:val="0"/>
                          <w:marRight w:val="0"/>
                          <w:marTop w:val="0"/>
                          <w:marBottom w:val="0"/>
                          <w:divBdr>
                            <w:top w:val="none" w:sz="0" w:space="0" w:color="auto"/>
                            <w:left w:val="none" w:sz="0" w:space="0" w:color="auto"/>
                            <w:bottom w:val="none" w:sz="0" w:space="0" w:color="auto"/>
                            <w:right w:val="none" w:sz="0" w:space="0" w:color="auto"/>
                          </w:divBdr>
                          <w:divsChild>
                            <w:div w:id="724333887">
                              <w:marLeft w:val="0"/>
                              <w:marRight w:val="0"/>
                              <w:marTop w:val="0"/>
                              <w:marBottom w:val="0"/>
                              <w:divBdr>
                                <w:top w:val="none" w:sz="0" w:space="0" w:color="auto"/>
                                <w:left w:val="none" w:sz="0" w:space="0" w:color="auto"/>
                                <w:bottom w:val="none" w:sz="0" w:space="0" w:color="auto"/>
                                <w:right w:val="none" w:sz="0" w:space="0" w:color="auto"/>
                              </w:divBdr>
                              <w:divsChild>
                                <w:div w:id="1301226546">
                                  <w:marLeft w:val="0"/>
                                  <w:marRight w:val="0"/>
                                  <w:marTop w:val="0"/>
                                  <w:marBottom w:val="0"/>
                                  <w:divBdr>
                                    <w:top w:val="none" w:sz="0" w:space="0" w:color="auto"/>
                                    <w:left w:val="none" w:sz="0" w:space="0" w:color="auto"/>
                                    <w:bottom w:val="none" w:sz="0" w:space="0" w:color="auto"/>
                                    <w:right w:val="none" w:sz="0" w:space="0" w:color="auto"/>
                                  </w:divBdr>
                                  <w:divsChild>
                                    <w:div w:id="1631008730">
                                      <w:marLeft w:val="0"/>
                                      <w:marRight w:val="0"/>
                                      <w:marTop w:val="0"/>
                                      <w:marBottom w:val="0"/>
                                      <w:divBdr>
                                        <w:top w:val="none" w:sz="0" w:space="0" w:color="auto"/>
                                        <w:left w:val="none" w:sz="0" w:space="0" w:color="auto"/>
                                        <w:bottom w:val="none" w:sz="0" w:space="0" w:color="auto"/>
                                        <w:right w:val="none" w:sz="0" w:space="0" w:color="auto"/>
                                      </w:divBdr>
                                      <w:divsChild>
                                        <w:div w:id="663975743">
                                          <w:marLeft w:val="0"/>
                                          <w:marRight w:val="0"/>
                                          <w:marTop w:val="0"/>
                                          <w:marBottom w:val="0"/>
                                          <w:divBdr>
                                            <w:top w:val="none" w:sz="0" w:space="0" w:color="auto"/>
                                            <w:left w:val="none" w:sz="0" w:space="0" w:color="auto"/>
                                            <w:bottom w:val="none" w:sz="0" w:space="0" w:color="auto"/>
                                            <w:right w:val="none" w:sz="0" w:space="0" w:color="auto"/>
                                          </w:divBdr>
                                          <w:divsChild>
                                            <w:div w:id="869151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8131045">
                                  <w:marLeft w:val="0"/>
                                  <w:marRight w:val="0"/>
                                  <w:marTop w:val="0"/>
                                  <w:marBottom w:val="0"/>
                                  <w:divBdr>
                                    <w:top w:val="none" w:sz="0" w:space="0" w:color="auto"/>
                                    <w:left w:val="none" w:sz="0" w:space="0" w:color="auto"/>
                                    <w:bottom w:val="none" w:sz="0" w:space="0" w:color="auto"/>
                                    <w:right w:val="none" w:sz="0" w:space="0" w:color="auto"/>
                                  </w:divBdr>
                                  <w:divsChild>
                                    <w:div w:id="669869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9420757">
      <w:bodyDiv w:val="1"/>
      <w:marLeft w:val="0"/>
      <w:marRight w:val="0"/>
      <w:marTop w:val="0"/>
      <w:marBottom w:val="0"/>
      <w:divBdr>
        <w:top w:val="none" w:sz="0" w:space="0" w:color="auto"/>
        <w:left w:val="none" w:sz="0" w:space="0" w:color="auto"/>
        <w:bottom w:val="none" w:sz="0" w:space="0" w:color="auto"/>
        <w:right w:val="none" w:sz="0" w:space="0" w:color="auto"/>
      </w:divBdr>
    </w:div>
    <w:div w:id="1180513054">
      <w:bodyDiv w:val="1"/>
      <w:marLeft w:val="0"/>
      <w:marRight w:val="0"/>
      <w:marTop w:val="0"/>
      <w:marBottom w:val="0"/>
      <w:divBdr>
        <w:top w:val="none" w:sz="0" w:space="0" w:color="auto"/>
        <w:left w:val="none" w:sz="0" w:space="0" w:color="auto"/>
        <w:bottom w:val="none" w:sz="0" w:space="0" w:color="auto"/>
        <w:right w:val="none" w:sz="0" w:space="0" w:color="auto"/>
      </w:divBdr>
    </w:div>
    <w:div w:id="1192035223">
      <w:bodyDiv w:val="1"/>
      <w:marLeft w:val="0"/>
      <w:marRight w:val="0"/>
      <w:marTop w:val="0"/>
      <w:marBottom w:val="0"/>
      <w:divBdr>
        <w:top w:val="none" w:sz="0" w:space="0" w:color="auto"/>
        <w:left w:val="none" w:sz="0" w:space="0" w:color="auto"/>
        <w:bottom w:val="none" w:sz="0" w:space="0" w:color="auto"/>
        <w:right w:val="none" w:sz="0" w:space="0" w:color="auto"/>
      </w:divBdr>
    </w:div>
    <w:div w:id="1192111967">
      <w:bodyDiv w:val="1"/>
      <w:marLeft w:val="0"/>
      <w:marRight w:val="0"/>
      <w:marTop w:val="0"/>
      <w:marBottom w:val="0"/>
      <w:divBdr>
        <w:top w:val="none" w:sz="0" w:space="0" w:color="auto"/>
        <w:left w:val="none" w:sz="0" w:space="0" w:color="auto"/>
        <w:bottom w:val="none" w:sz="0" w:space="0" w:color="auto"/>
        <w:right w:val="none" w:sz="0" w:space="0" w:color="auto"/>
      </w:divBdr>
    </w:div>
    <w:div w:id="1192300668">
      <w:bodyDiv w:val="1"/>
      <w:marLeft w:val="0"/>
      <w:marRight w:val="0"/>
      <w:marTop w:val="0"/>
      <w:marBottom w:val="0"/>
      <w:divBdr>
        <w:top w:val="none" w:sz="0" w:space="0" w:color="auto"/>
        <w:left w:val="none" w:sz="0" w:space="0" w:color="auto"/>
        <w:bottom w:val="none" w:sz="0" w:space="0" w:color="auto"/>
        <w:right w:val="none" w:sz="0" w:space="0" w:color="auto"/>
      </w:divBdr>
      <w:divsChild>
        <w:div w:id="1229799527">
          <w:marLeft w:val="0"/>
          <w:marRight w:val="0"/>
          <w:marTop w:val="0"/>
          <w:marBottom w:val="0"/>
          <w:divBdr>
            <w:top w:val="none" w:sz="0" w:space="0" w:color="auto"/>
            <w:left w:val="none" w:sz="0" w:space="0" w:color="auto"/>
            <w:bottom w:val="none" w:sz="0" w:space="0" w:color="auto"/>
            <w:right w:val="none" w:sz="0" w:space="0" w:color="auto"/>
          </w:divBdr>
          <w:divsChild>
            <w:div w:id="1285042398">
              <w:marLeft w:val="0"/>
              <w:marRight w:val="0"/>
              <w:marTop w:val="0"/>
              <w:marBottom w:val="0"/>
              <w:divBdr>
                <w:top w:val="none" w:sz="0" w:space="0" w:color="auto"/>
                <w:left w:val="none" w:sz="0" w:space="0" w:color="auto"/>
                <w:bottom w:val="none" w:sz="0" w:space="0" w:color="auto"/>
                <w:right w:val="none" w:sz="0" w:space="0" w:color="auto"/>
              </w:divBdr>
              <w:divsChild>
                <w:div w:id="706876096">
                  <w:marLeft w:val="0"/>
                  <w:marRight w:val="0"/>
                  <w:marTop w:val="0"/>
                  <w:marBottom w:val="0"/>
                  <w:divBdr>
                    <w:top w:val="none" w:sz="0" w:space="0" w:color="auto"/>
                    <w:left w:val="none" w:sz="0" w:space="0" w:color="auto"/>
                    <w:bottom w:val="none" w:sz="0" w:space="0" w:color="auto"/>
                    <w:right w:val="none" w:sz="0" w:space="0" w:color="auto"/>
                  </w:divBdr>
                  <w:divsChild>
                    <w:div w:id="1605455255">
                      <w:marLeft w:val="0"/>
                      <w:marRight w:val="0"/>
                      <w:marTop w:val="0"/>
                      <w:marBottom w:val="0"/>
                      <w:divBdr>
                        <w:top w:val="none" w:sz="0" w:space="0" w:color="auto"/>
                        <w:left w:val="none" w:sz="0" w:space="0" w:color="auto"/>
                        <w:bottom w:val="none" w:sz="0" w:space="0" w:color="auto"/>
                        <w:right w:val="none" w:sz="0" w:space="0" w:color="auto"/>
                      </w:divBdr>
                      <w:divsChild>
                        <w:div w:id="203913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7373155">
      <w:bodyDiv w:val="1"/>
      <w:marLeft w:val="0"/>
      <w:marRight w:val="0"/>
      <w:marTop w:val="0"/>
      <w:marBottom w:val="0"/>
      <w:divBdr>
        <w:top w:val="none" w:sz="0" w:space="0" w:color="auto"/>
        <w:left w:val="none" w:sz="0" w:space="0" w:color="auto"/>
        <w:bottom w:val="none" w:sz="0" w:space="0" w:color="auto"/>
        <w:right w:val="none" w:sz="0" w:space="0" w:color="auto"/>
      </w:divBdr>
    </w:div>
    <w:div w:id="1238707482">
      <w:bodyDiv w:val="1"/>
      <w:marLeft w:val="0"/>
      <w:marRight w:val="0"/>
      <w:marTop w:val="0"/>
      <w:marBottom w:val="0"/>
      <w:divBdr>
        <w:top w:val="none" w:sz="0" w:space="0" w:color="auto"/>
        <w:left w:val="none" w:sz="0" w:space="0" w:color="auto"/>
        <w:bottom w:val="none" w:sz="0" w:space="0" w:color="auto"/>
        <w:right w:val="none" w:sz="0" w:space="0" w:color="auto"/>
      </w:divBdr>
    </w:div>
    <w:div w:id="1254319248">
      <w:bodyDiv w:val="1"/>
      <w:marLeft w:val="0"/>
      <w:marRight w:val="0"/>
      <w:marTop w:val="0"/>
      <w:marBottom w:val="0"/>
      <w:divBdr>
        <w:top w:val="none" w:sz="0" w:space="0" w:color="auto"/>
        <w:left w:val="none" w:sz="0" w:space="0" w:color="auto"/>
        <w:bottom w:val="none" w:sz="0" w:space="0" w:color="auto"/>
        <w:right w:val="none" w:sz="0" w:space="0" w:color="auto"/>
      </w:divBdr>
    </w:div>
    <w:div w:id="1262254748">
      <w:bodyDiv w:val="1"/>
      <w:marLeft w:val="0"/>
      <w:marRight w:val="0"/>
      <w:marTop w:val="0"/>
      <w:marBottom w:val="0"/>
      <w:divBdr>
        <w:top w:val="none" w:sz="0" w:space="0" w:color="auto"/>
        <w:left w:val="none" w:sz="0" w:space="0" w:color="auto"/>
        <w:bottom w:val="none" w:sz="0" w:space="0" w:color="auto"/>
        <w:right w:val="none" w:sz="0" w:space="0" w:color="auto"/>
      </w:divBdr>
    </w:div>
    <w:div w:id="1263999450">
      <w:bodyDiv w:val="1"/>
      <w:marLeft w:val="0"/>
      <w:marRight w:val="0"/>
      <w:marTop w:val="0"/>
      <w:marBottom w:val="0"/>
      <w:divBdr>
        <w:top w:val="none" w:sz="0" w:space="0" w:color="auto"/>
        <w:left w:val="none" w:sz="0" w:space="0" w:color="auto"/>
        <w:bottom w:val="none" w:sz="0" w:space="0" w:color="auto"/>
        <w:right w:val="none" w:sz="0" w:space="0" w:color="auto"/>
      </w:divBdr>
    </w:div>
    <w:div w:id="1271858398">
      <w:bodyDiv w:val="1"/>
      <w:marLeft w:val="0"/>
      <w:marRight w:val="0"/>
      <w:marTop w:val="0"/>
      <w:marBottom w:val="0"/>
      <w:divBdr>
        <w:top w:val="none" w:sz="0" w:space="0" w:color="auto"/>
        <w:left w:val="none" w:sz="0" w:space="0" w:color="auto"/>
        <w:bottom w:val="none" w:sz="0" w:space="0" w:color="auto"/>
        <w:right w:val="none" w:sz="0" w:space="0" w:color="auto"/>
      </w:divBdr>
    </w:div>
    <w:div w:id="1278826759">
      <w:bodyDiv w:val="1"/>
      <w:marLeft w:val="0"/>
      <w:marRight w:val="0"/>
      <w:marTop w:val="0"/>
      <w:marBottom w:val="0"/>
      <w:divBdr>
        <w:top w:val="none" w:sz="0" w:space="0" w:color="auto"/>
        <w:left w:val="none" w:sz="0" w:space="0" w:color="auto"/>
        <w:bottom w:val="none" w:sz="0" w:space="0" w:color="auto"/>
        <w:right w:val="none" w:sz="0" w:space="0" w:color="auto"/>
      </w:divBdr>
    </w:div>
    <w:div w:id="1297569749">
      <w:bodyDiv w:val="1"/>
      <w:marLeft w:val="0"/>
      <w:marRight w:val="0"/>
      <w:marTop w:val="0"/>
      <w:marBottom w:val="0"/>
      <w:divBdr>
        <w:top w:val="none" w:sz="0" w:space="0" w:color="auto"/>
        <w:left w:val="none" w:sz="0" w:space="0" w:color="auto"/>
        <w:bottom w:val="none" w:sz="0" w:space="0" w:color="auto"/>
        <w:right w:val="none" w:sz="0" w:space="0" w:color="auto"/>
      </w:divBdr>
    </w:div>
    <w:div w:id="1300068681">
      <w:bodyDiv w:val="1"/>
      <w:marLeft w:val="0"/>
      <w:marRight w:val="0"/>
      <w:marTop w:val="0"/>
      <w:marBottom w:val="0"/>
      <w:divBdr>
        <w:top w:val="none" w:sz="0" w:space="0" w:color="auto"/>
        <w:left w:val="none" w:sz="0" w:space="0" w:color="auto"/>
        <w:bottom w:val="none" w:sz="0" w:space="0" w:color="auto"/>
        <w:right w:val="none" w:sz="0" w:space="0" w:color="auto"/>
      </w:divBdr>
    </w:div>
    <w:div w:id="1302879244">
      <w:bodyDiv w:val="1"/>
      <w:marLeft w:val="0"/>
      <w:marRight w:val="0"/>
      <w:marTop w:val="0"/>
      <w:marBottom w:val="0"/>
      <w:divBdr>
        <w:top w:val="none" w:sz="0" w:space="0" w:color="auto"/>
        <w:left w:val="none" w:sz="0" w:space="0" w:color="auto"/>
        <w:bottom w:val="none" w:sz="0" w:space="0" w:color="auto"/>
        <w:right w:val="none" w:sz="0" w:space="0" w:color="auto"/>
      </w:divBdr>
    </w:div>
    <w:div w:id="1335915240">
      <w:bodyDiv w:val="1"/>
      <w:marLeft w:val="0"/>
      <w:marRight w:val="0"/>
      <w:marTop w:val="0"/>
      <w:marBottom w:val="0"/>
      <w:divBdr>
        <w:top w:val="none" w:sz="0" w:space="0" w:color="auto"/>
        <w:left w:val="none" w:sz="0" w:space="0" w:color="auto"/>
        <w:bottom w:val="none" w:sz="0" w:space="0" w:color="auto"/>
        <w:right w:val="none" w:sz="0" w:space="0" w:color="auto"/>
      </w:divBdr>
    </w:div>
    <w:div w:id="1340158403">
      <w:bodyDiv w:val="1"/>
      <w:marLeft w:val="0"/>
      <w:marRight w:val="0"/>
      <w:marTop w:val="0"/>
      <w:marBottom w:val="0"/>
      <w:divBdr>
        <w:top w:val="none" w:sz="0" w:space="0" w:color="auto"/>
        <w:left w:val="none" w:sz="0" w:space="0" w:color="auto"/>
        <w:bottom w:val="none" w:sz="0" w:space="0" w:color="auto"/>
        <w:right w:val="none" w:sz="0" w:space="0" w:color="auto"/>
      </w:divBdr>
    </w:div>
    <w:div w:id="1348367821">
      <w:bodyDiv w:val="1"/>
      <w:marLeft w:val="0"/>
      <w:marRight w:val="0"/>
      <w:marTop w:val="0"/>
      <w:marBottom w:val="0"/>
      <w:divBdr>
        <w:top w:val="none" w:sz="0" w:space="0" w:color="auto"/>
        <w:left w:val="none" w:sz="0" w:space="0" w:color="auto"/>
        <w:bottom w:val="none" w:sz="0" w:space="0" w:color="auto"/>
        <w:right w:val="none" w:sz="0" w:space="0" w:color="auto"/>
      </w:divBdr>
    </w:div>
    <w:div w:id="1350764125">
      <w:bodyDiv w:val="1"/>
      <w:marLeft w:val="0"/>
      <w:marRight w:val="0"/>
      <w:marTop w:val="0"/>
      <w:marBottom w:val="0"/>
      <w:divBdr>
        <w:top w:val="none" w:sz="0" w:space="0" w:color="auto"/>
        <w:left w:val="none" w:sz="0" w:space="0" w:color="auto"/>
        <w:bottom w:val="none" w:sz="0" w:space="0" w:color="auto"/>
        <w:right w:val="none" w:sz="0" w:space="0" w:color="auto"/>
      </w:divBdr>
    </w:div>
    <w:div w:id="1357195072">
      <w:bodyDiv w:val="1"/>
      <w:marLeft w:val="0"/>
      <w:marRight w:val="0"/>
      <w:marTop w:val="0"/>
      <w:marBottom w:val="0"/>
      <w:divBdr>
        <w:top w:val="none" w:sz="0" w:space="0" w:color="auto"/>
        <w:left w:val="none" w:sz="0" w:space="0" w:color="auto"/>
        <w:bottom w:val="none" w:sz="0" w:space="0" w:color="auto"/>
        <w:right w:val="none" w:sz="0" w:space="0" w:color="auto"/>
      </w:divBdr>
    </w:div>
    <w:div w:id="1363365073">
      <w:bodyDiv w:val="1"/>
      <w:marLeft w:val="0"/>
      <w:marRight w:val="0"/>
      <w:marTop w:val="0"/>
      <w:marBottom w:val="0"/>
      <w:divBdr>
        <w:top w:val="none" w:sz="0" w:space="0" w:color="auto"/>
        <w:left w:val="none" w:sz="0" w:space="0" w:color="auto"/>
        <w:bottom w:val="none" w:sz="0" w:space="0" w:color="auto"/>
        <w:right w:val="none" w:sz="0" w:space="0" w:color="auto"/>
      </w:divBdr>
    </w:div>
    <w:div w:id="1363675685">
      <w:bodyDiv w:val="1"/>
      <w:marLeft w:val="0"/>
      <w:marRight w:val="0"/>
      <w:marTop w:val="0"/>
      <w:marBottom w:val="0"/>
      <w:divBdr>
        <w:top w:val="none" w:sz="0" w:space="0" w:color="auto"/>
        <w:left w:val="none" w:sz="0" w:space="0" w:color="auto"/>
        <w:bottom w:val="none" w:sz="0" w:space="0" w:color="auto"/>
        <w:right w:val="none" w:sz="0" w:space="0" w:color="auto"/>
      </w:divBdr>
    </w:div>
    <w:div w:id="1370296840">
      <w:bodyDiv w:val="1"/>
      <w:marLeft w:val="0"/>
      <w:marRight w:val="0"/>
      <w:marTop w:val="0"/>
      <w:marBottom w:val="0"/>
      <w:divBdr>
        <w:top w:val="none" w:sz="0" w:space="0" w:color="auto"/>
        <w:left w:val="none" w:sz="0" w:space="0" w:color="auto"/>
        <w:bottom w:val="none" w:sz="0" w:space="0" w:color="auto"/>
        <w:right w:val="none" w:sz="0" w:space="0" w:color="auto"/>
      </w:divBdr>
    </w:div>
    <w:div w:id="1379352633">
      <w:bodyDiv w:val="1"/>
      <w:marLeft w:val="0"/>
      <w:marRight w:val="0"/>
      <w:marTop w:val="0"/>
      <w:marBottom w:val="0"/>
      <w:divBdr>
        <w:top w:val="none" w:sz="0" w:space="0" w:color="auto"/>
        <w:left w:val="none" w:sz="0" w:space="0" w:color="auto"/>
        <w:bottom w:val="none" w:sz="0" w:space="0" w:color="auto"/>
        <w:right w:val="none" w:sz="0" w:space="0" w:color="auto"/>
      </w:divBdr>
    </w:div>
    <w:div w:id="1383406317">
      <w:bodyDiv w:val="1"/>
      <w:marLeft w:val="0"/>
      <w:marRight w:val="0"/>
      <w:marTop w:val="0"/>
      <w:marBottom w:val="0"/>
      <w:divBdr>
        <w:top w:val="none" w:sz="0" w:space="0" w:color="auto"/>
        <w:left w:val="none" w:sz="0" w:space="0" w:color="auto"/>
        <w:bottom w:val="none" w:sz="0" w:space="0" w:color="auto"/>
        <w:right w:val="none" w:sz="0" w:space="0" w:color="auto"/>
      </w:divBdr>
    </w:div>
    <w:div w:id="1388139806">
      <w:bodyDiv w:val="1"/>
      <w:marLeft w:val="0"/>
      <w:marRight w:val="0"/>
      <w:marTop w:val="0"/>
      <w:marBottom w:val="0"/>
      <w:divBdr>
        <w:top w:val="none" w:sz="0" w:space="0" w:color="auto"/>
        <w:left w:val="none" w:sz="0" w:space="0" w:color="auto"/>
        <w:bottom w:val="none" w:sz="0" w:space="0" w:color="auto"/>
        <w:right w:val="none" w:sz="0" w:space="0" w:color="auto"/>
      </w:divBdr>
    </w:div>
    <w:div w:id="1388607414">
      <w:bodyDiv w:val="1"/>
      <w:marLeft w:val="0"/>
      <w:marRight w:val="0"/>
      <w:marTop w:val="0"/>
      <w:marBottom w:val="0"/>
      <w:divBdr>
        <w:top w:val="none" w:sz="0" w:space="0" w:color="auto"/>
        <w:left w:val="none" w:sz="0" w:space="0" w:color="auto"/>
        <w:bottom w:val="none" w:sz="0" w:space="0" w:color="auto"/>
        <w:right w:val="none" w:sz="0" w:space="0" w:color="auto"/>
      </w:divBdr>
    </w:div>
    <w:div w:id="1392116876">
      <w:bodyDiv w:val="1"/>
      <w:marLeft w:val="0"/>
      <w:marRight w:val="0"/>
      <w:marTop w:val="0"/>
      <w:marBottom w:val="0"/>
      <w:divBdr>
        <w:top w:val="none" w:sz="0" w:space="0" w:color="auto"/>
        <w:left w:val="none" w:sz="0" w:space="0" w:color="auto"/>
        <w:bottom w:val="none" w:sz="0" w:space="0" w:color="auto"/>
        <w:right w:val="none" w:sz="0" w:space="0" w:color="auto"/>
      </w:divBdr>
    </w:div>
    <w:div w:id="1421835617">
      <w:bodyDiv w:val="1"/>
      <w:marLeft w:val="0"/>
      <w:marRight w:val="0"/>
      <w:marTop w:val="0"/>
      <w:marBottom w:val="0"/>
      <w:divBdr>
        <w:top w:val="none" w:sz="0" w:space="0" w:color="auto"/>
        <w:left w:val="none" w:sz="0" w:space="0" w:color="auto"/>
        <w:bottom w:val="none" w:sz="0" w:space="0" w:color="auto"/>
        <w:right w:val="none" w:sz="0" w:space="0" w:color="auto"/>
      </w:divBdr>
    </w:div>
    <w:div w:id="1432162477">
      <w:bodyDiv w:val="1"/>
      <w:marLeft w:val="0"/>
      <w:marRight w:val="0"/>
      <w:marTop w:val="0"/>
      <w:marBottom w:val="0"/>
      <w:divBdr>
        <w:top w:val="none" w:sz="0" w:space="0" w:color="auto"/>
        <w:left w:val="none" w:sz="0" w:space="0" w:color="auto"/>
        <w:bottom w:val="none" w:sz="0" w:space="0" w:color="auto"/>
        <w:right w:val="none" w:sz="0" w:space="0" w:color="auto"/>
      </w:divBdr>
    </w:div>
    <w:div w:id="1437485735">
      <w:bodyDiv w:val="1"/>
      <w:marLeft w:val="0"/>
      <w:marRight w:val="0"/>
      <w:marTop w:val="0"/>
      <w:marBottom w:val="0"/>
      <w:divBdr>
        <w:top w:val="none" w:sz="0" w:space="0" w:color="auto"/>
        <w:left w:val="none" w:sz="0" w:space="0" w:color="auto"/>
        <w:bottom w:val="none" w:sz="0" w:space="0" w:color="auto"/>
        <w:right w:val="none" w:sz="0" w:space="0" w:color="auto"/>
      </w:divBdr>
    </w:div>
    <w:div w:id="1438023280">
      <w:bodyDiv w:val="1"/>
      <w:marLeft w:val="0"/>
      <w:marRight w:val="0"/>
      <w:marTop w:val="0"/>
      <w:marBottom w:val="0"/>
      <w:divBdr>
        <w:top w:val="none" w:sz="0" w:space="0" w:color="auto"/>
        <w:left w:val="none" w:sz="0" w:space="0" w:color="auto"/>
        <w:bottom w:val="none" w:sz="0" w:space="0" w:color="auto"/>
        <w:right w:val="none" w:sz="0" w:space="0" w:color="auto"/>
      </w:divBdr>
    </w:div>
    <w:div w:id="1452287350">
      <w:bodyDiv w:val="1"/>
      <w:marLeft w:val="0"/>
      <w:marRight w:val="0"/>
      <w:marTop w:val="0"/>
      <w:marBottom w:val="0"/>
      <w:divBdr>
        <w:top w:val="none" w:sz="0" w:space="0" w:color="auto"/>
        <w:left w:val="none" w:sz="0" w:space="0" w:color="auto"/>
        <w:bottom w:val="none" w:sz="0" w:space="0" w:color="auto"/>
        <w:right w:val="none" w:sz="0" w:space="0" w:color="auto"/>
      </w:divBdr>
    </w:div>
    <w:div w:id="1461457102">
      <w:bodyDiv w:val="1"/>
      <w:marLeft w:val="0"/>
      <w:marRight w:val="0"/>
      <w:marTop w:val="0"/>
      <w:marBottom w:val="0"/>
      <w:divBdr>
        <w:top w:val="none" w:sz="0" w:space="0" w:color="auto"/>
        <w:left w:val="none" w:sz="0" w:space="0" w:color="auto"/>
        <w:bottom w:val="none" w:sz="0" w:space="0" w:color="auto"/>
        <w:right w:val="none" w:sz="0" w:space="0" w:color="auto"/>
      </w:divBdr>
    </w:div>
    <w:div w:id="1474365684">
      <w:bodyDiv w:val="1"/>
      <w:marLeft w:val="0"/>
      <w:marRight w:val="0"/>
      <w:marTop w:val="0"/>
      <w:marBottom w:val="0"/>
      <w:divBdr>
        <w:top w:val="none" w:sz="0" w:space="0" w:color="auto"/>
        <w:left w:val="none" w:sz="0" w:space="0" w:color="auto"/>
        <w:bottom w:val="none" w:sz="0" w:space="0" w:color="auto"/>
        <w:right w:val="none" w:sz="0" w:space="0" w:color="auto"/>
      </w:divBdr>
    </w:div>
    <w:div w:id="1491209189">
      <w:bodyDiv w:val="1"/>
      <w:marLeft w:val="0"/>
      <w:marRight w:val="0"/>
      <w:marTop w:val="0"/>
      <w:marBottom w:val="0"/>
      <w:divBdr>
        <w:top w:val="none" w:sz="0" w:space="0" w:color="auto"/>
        <w:left w:val="none" w:sz="0" w:space="0" w:color="auto"/>
        <w:bottom w:val="none" w:sz="0" w:space="0" w:color="auto"/>
        <w:right w:val="none" w:sz="0" w:space="0" w:color="auto"/>
      </w:divBdr>
    </w:div>
    <w:div w:id="1496645783">
      <w:bodyDiv w:val="1"/>
      <w:marLeft w:val="0"/>
      <w:marRight w:val="0"/>
      <w:marTop w:val="0"/>
      <w:marBottom w:val="0"/>
      <w:divBdr>
        <w:top w:val="none" w:sz="0" w:space="0" w:color="auto"/>
        <w:left w:val="none" w:sz="0" w:space="0" w:color="auto"/>
        <w:bottom w:val="none" w:sz="0" w:space="0" w:color="auto"/>
        <w:right w:val="none" w:sz="0" w:space="0" w:color="auto"/>
      </w:divBdr>
    </w:div>
    <w:div w:id="1496720743">
      <w:bodyDiv w:val="1"/>
      <w:marLeft w:val="0"/>
      <w:marRight w:val="0"/>
      <w:marTop w:val="0"/>
      <w:marBottom w:val="0"/>
      <w:divBdr>
        <w:top w:val="none" w:sz="0" w:space="0" w:color="auto"/>
        <w:left w:val="none" w:sz="0" w:space="0" w:color="auto"/>
        <w:bottom w:val="none" w:sz="0" w:space="0" w:color="auto"/>
        <w:right w:val="none" w:sz="0" w:space="0" w:color="auto"/>
      </w:divBdr>
    </w:div>
    <w:div w:id="1498956879">
      <w:bodyDiv w:val="1"/>
      <w:marLeft w:val="0"/>
      <w:marRight w:val="0"/>
      <w:marTop w:val="0"/>
      <w:marBottom w:val="0"/>
      <w:divBdr>
        <w:top w:val="none" w:sz="0" w:space="0" w:color="auto"/>
        <w:left w:val="none" w:sz="0" w:space="0" w:color="auto"/>
        <w:bottom w:val="none" w:sz="0" w:space="0" w:color="auto"/>
        <w:right w:val="none" w:sz="0" w:space="0" w:color="auto"/>
      </w:divBdr>
    </w:div>
    <w:div w:id="1501893052">
      <w:bodyDiv w:val="1"/>
      <w:marLeft w:val="0"/>
      <w:marRight w:val="0"/>
      <w:marTop w:val="0"/>
      <w:marBottom w:val="0"/>
      <w:divBdr>
        <w:top w:val="none" w:sz="0" w:space="0" w:color="auto"/>
        <w:left w:val="none" w:sz="0" w:space="0" w:color="auto"/>
        <w:bottom w:val="none" w:sz="0" w:space="0" w:color="auto"/>
        <w:right w:val="none" w:sz="0" w:space="0" w:color="auto"/>
      </w:divBdr>
    </w:div>
    <w:div w:id="1522279412">
      <w:bodyDiv w:val="1"/>
      <w:marLeft w:val="0"/>
      <w:marRight w:val="0"/>
      <w:marTop w:val="0"/>
      <w:marBottom w:val="0"/>
      <w:divBdr>
        <w:top w:val="none" w:sz="0" w:space="0" w:color="auto"/>
        <w:left w:val="none" w:sz="0" w:space="0" w:color="auto"/>
        <w:bottom w:val="none" w:sz="0" w:space="0" w:color="auto"/>
        <w:right w:val="none" w:sz="0" w:space="0" w:color="auto"/>
      </w:divBdr>
    </w:div>
    <w:div w:id="1556427247">
      <w:bodyDiv w:val="1"/>
      <w:marLeft w:val="0"/>
      <w:marRight w:val="0"/>
      <w:marTop w:val="0"/>
      <w:marBottom w:val="0"/>
      <w:divBdr>
        <w:top w:val="none" w:sz="0" w:space="0" w:color="auto"/>
        <w:left w:val="none" w:sz="0" w:space="0" w:color="auto"/>
        <w:bottom w:val="none" w:sz="0" w:space="0" w:color="auto"/>
        <w:right w:val="none" w:sz="0" w:space="0" w:color="auto"/>
      </w:divBdr>
    </w:div>
    <w:div w:id="1563756599">
      <w:bodyDiv w:val="1"/>
      <w:marLeft w:val="0"/>
      <w:marRight w:val="0"/>
      <w:marTop w:val="0"/>
      <w:marBottom w:val="0"/>
      <w:divBdr>
        <w:top w:val="none" w:sz="0" w:space="0" w:color="auto"/>
        <w:left w:val="none" w:sz="0" w:space="0" w:color="auto"/>
        <w:bottom w:val="none" w:sz="0" w:space="0" w:color="auto"/>
        <w:right w:val="none" w:sz="0" w:space="0" w:color="auto"/>
      </w:divBdr>
      <w:divsChild>
        <w:div w:id="2127307480">
          <w:marLeft w:val="0"/>
          <w:marRight w:val="0"/>
          <w:marTop w:val="0"/>
          <w:marBottom w:val="0"/>
          <w:divBdr>
            <w:top w:val="none" w:sz="0" w:space="0" w:color="auto"/>
            <w:left w:val="none" w:sz="0" w:space="0" w:color="auto"/>
            <w:bottom w:val="none" w:sz="0" w:space="0" w:color="auto"/>
            <w:right w:val="none" w:sz="0" w:space="0" w:color="auto"/>
          </w:divBdr>
          <w:divsChild>
            <w:div w:id="499393118">
              <w:marLeft w:val="0"/>
              <w:marRight w:val="0"/>
              <w:marTop w:val="0"/>
              <w:marBottom w:val="0"/>
              <w:divBdr>
                <w:top w:val="none" w:sz="0" w:space="0" w:color="auto"/>
                <w:left w:val="none" w:sz="0" w:space="0" w:color="auto"/>
                <w:bottom w:val="none" w:sz="0" w:space="0" w:color="auto"/>
                <w:right w:val="none" w:sz="0" w:space="0" w:color="auto"/>
              </w:divBdr>
              <w:divsChild>
                <w:div w:id="1080174502">
                  <w:marLeft w:val="0"/>
                  <w:marRight w:val="0"/>
                  <w:marTop w:val="0"/>
                  <w:marBottom w:val="0"/>
                  <w:divBdr>
                    <w:top w:val="none" w:sz="0" w:space="0" w:color="auto"/>
                    <w:left w:val="none" w:sz="0" w:space="0" w:color="auto"/>
                    <w:bottom w:val="none" w:sz="0" w:space="0" w:color="auto"/>
                    <w:right w:val="none" w:sz="0" w:space="0" w:color="auto"/>
                  </w:divBdr>
                  <w:divsChild>
                    <w:div w:id="521750444">
                      <w:marLeft w:val="0"/>
                      <w:marRight w:val="0"/>
                      <w:marTop w:val="0"/>
                      <w:marBottom w:val="0"/>
                      <w:divBdr>
                        <w:top w:val="none" w:sz="0" w:space="0" w:color="auto"/>
                        <w:left w:val="none" w:sz="0" w:space="0" w:color="auto"/>
                        <w:bottom w:val="none" w:sz="0" w:space="0" w:color="auto"/>
                        <w:right w:val="none" w:sz="0" w:space="0" w:color="auto"/>
                      </w:divBdr>
                      <w:divsChild>
                        <w:div w:id="1968857042">
                          <w:marLeft w:val="0"/>
                          <w:marRight w:val="0"/>
                          <w:marTop w:val="0"/>
                          <w:marBottom w:val="0"/>
                          <w:divBdr>
                            <w:top w:val="none" w:sz="0" w:space="0" w:color="auto"/>
                            <w:left w:val="none" w:sz="0" w:space="0" w:color="auto"/>
                            <w:bottom w:val="none" w:sz="0" w:space="0" w:color="auto"/>
                            <w:right w:val="none" w:sz="0" w:space="0" w:color="auto"/>
                          </w:divBdr>
                          <w:divsChild>
                            <w:div w:id="155407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9803479">
      <w:bodyDiv w:val="1"/>
      <w:marLeft w:val="0"/>
      <w:marRight w:val="0"/>
      <w:marTop w:val="0"/>
      <w:marBottom w:val="0"/>
      <w:divBdr>
        <w:top w:val="none" w:sz="0" w:space="0" w:color="auto"/>
        <w:left w:val="none" w:sz="0" w:space="0" w:color="auto"/>
        <w:bottom w:val="none" w:sz="0" w:space="0" w:color="auto"/>
        <w:right w:val="none" w:sz="0" w:space="0" w:color="auto"/>
      </w:divBdr>
    </w:div>
    <w:div w:id="1574701531">
      <w:bodyDiv w:val="1"/>
      <w:marLeft w:val="0"/>
      <w:marRight w:val="0"/>
      <w:marTop w:val="0"/>
      <w:marBottom w:val="0"/>
      <w:divBdr>
        <w:top w:val="none" w:sz="0" w:space="0" w:color="auto"/>
        <w:left w:val="none" w:sz="0" w:space="0" w:color="auto"/>
        <w:bottom w:val="none" w:sz="0" w:space="0" w:color="auto"/>
        <w:right w:val="none" w:sz="0" w:space="0" w:color="auto"/>
      </w:divBdr>
    </w:div>
    <w:div w:id="1578400083">
      <w:bodyDiv w:val="1"/>
      <w:marLeft w:val="0"/>
      <w:marRight w:val="0"/>
      <w:marTop w:val="0"/>
      <w:marBottom w:val="0"/>
      <w:divBdr>
        <w:top w:val="none" w:sz="0" w:space="0" w:color="auto"/>
        <w:left w:val="none" w:sz="0" w:space="0" w:color="auto"/>
        <w:bottom w:val="none" w:sz="0" w:space="0" w:color="auto"/>
        <w:right w:val="none" w:sz="0" w:space="0" w:color="auto"/>
      </w:divBdr>
    </w:div>
    <w:div w:id="1582178282">
      <w:bodyDiv w:val="1"/>
      <w:marLeft w:val="0"/>
      <w:marRight w:val="0"/>
      <w:marTop w:val="0"/>
      <w:marBottom w:val="0"/>
      <w:divBdr>
        <w:top w:val="none" w:sz="0" w:space="0" w:color="auto"/>
        <w:left w:val="none" w:sz="0" w:space="0" w:color="auto"/>
        <w:bottom w:val="none" w:sz="0" w:space="0" w:color="auto"/>
        <w:right w:val="none" w:sz="0" w:space="0" w:color="auto"/>
      </w:divBdr>
    </w:div>
    <w:div w:id="1584951917">
      <w:bodyDiv w:val="1"/>
      <w:marLeft w:val="0"/>
      <w:marRight w:val="0"/>
      <w:marTop w:val="0"/>
      <w:marBottom w:val="0"/>
      <w:divBdr>
        <w:top w:val="none" w:sz="0" w:space="0" w:color="auto"/>
        <w:left w:val="none" w:sz="0" w:space="0" w:color="auto"/>
        <w:bottom w:val="none" w:sz="0" w:space="0" w:color="auto"/>
        <w:right w:val="none" w:sz="0" w:space="0" w:color="auto"/>
      </w:divBdr>
    </w:div>
    <w:div w:id="1590693063">
      <w:bodyDiv w:val="1"/>
      <w:marLeft w:val="0"/>
      <w:marRight w:val="0"/>
      <w:marTop w:val="0"/>
      <w:marBottom w:val="0"/>
      <w:divBdr>
        <w:top w:val="none" w:sz="0" w:space="0" w:color="auto"/>
        <w:left w:val="none" w:sz="0" w:space="0" w:color="auto"/>
        <w:bottom w:val="none" w:sz="0" w:space="0" w:color="auto"/>
        <w:right w:val="none" w:sz="0" w:space="0" w:color="auto"/>
      </w:divBdr>
    </w:div>
    <w:div w:id="1603024802">
      <w:bodyDiv w:val="1"/>
      <w:marLeft w:val="0"/>
      <w:marRight w:val="0"/>
      <w:marTop w:val="0"/>
      <w:marBottom w:val="0"/>
      <w:divBdr>
        <w:top w:val="none" w:sz="0" w:space="0" w:color="auto"/>
        <w:left w:val="none" w:sz="0" w:space="0" w:color="auto"/>
        <w:bottom w:val="none" w:sz="0" w:space="0" w:color="auto"/>
        <w:right w:val="none" w:sz="0" w:space="0" w:color="auto"/>
      </w:divBdr>
    </w:div>
    <w:div w:id="1606033525">
      <w:bodyDiv w:val="1"/>
      <w:marLeft w:val="0"/>
      <w:marRight w:val="0"/>
      <w:marTop w:val="0"/>
      <w:marBottom w:val="0"/>
      <w:divBdr>
        <w:top w:val="none" w:sz="0" w:space="0" w:color="auto"/>
        <w:left w:val="none" w:sz="0" w:space="0" w:color="auto"/>
        <w:bottom w:val="none" w:sz="0" w:space="0" w:color="auto"/>
        <w:right w:val="none" w:sz="0" w:space="0" w:color="auto"/>
      </w:divBdr>
    </w:div>
    <w:div w:id="1606422591">
      <w:bodyDiv w:val="1"/>
      <w:marLeft w:val="0"/>
      <w:marRight w:val="0"/>
      <w:marTop w:val="0"/>
      <w:marBottom w:val="0"/>
      <w:divBdr>
        <w:top w:val="none" w:sz="0" w:space="0" w:color="auto"/>
        <w:left w:val="none" w:sz="0" w:space="0" w:color="auto"/>
        <w:bottom w:val="none" w:sz="0" w:space="0" w:color="auto"/>
        <w:right w:val="none" w:sz="0" w:space="0" w:color="auto"/>
      </w:divBdr>
    </w:div>
    <w:div w:id="1619994096">
      <w:bodyDiv w:val="1"/>
      <w:marLeft w:val="0"/>
      <w:marRight w:val="0"/>
      <w:marTop w:val="0"/>
      <w:marBottom w:val="0"/>
      <w:divBdr>
        <w:top w:val="none" w:sz="0" w:space="0" w:color="auto"/>
        <w:left w:val="none" w:sz="0" w:space="0" w:color="auto"/>
        <w:bottom w:val="none" w:sz="0" w:space="0" w:color="auto"/>
        <w:right w:val="none" w:sz="0" w:space="0" w:color="auto"/>
      </w:divBdr>
    </w:div>
    <w:div w:id="1620914819">
      <w:bodyDiv w:val="1"/>
      <w:marLeft w:val="0"/>
      <w:marRight w:val="0"/>
      <w:marTop w:val="0"/>
      <w:marBottom w:val="0"/>
      <w:divBdr>
        <w:top w:val="none" w:sz="0" w:space="0" w:color="auto"/>
        <w:left w:val="none" w:sz="0" w:space="0" w:color="auto"/>
        <w:bottom w:val="none" w:sz="0" w:space="0" w:color="auto"/>
        <w:right w:val="none" w:sz="0" w:space="0" w:color="auto"/>
      </w:divBdr>
    </w:div>
    <w:div w:id="1622229482">
      <w:bodyDiv w:val="1"/>
      <w:marLeft w:val="0"/>
      <w:marRight w:val="0"/>
      <w:marTop w:val="0"/>
      <w:marBottom w:val="0"/>
      <w:divBdr>
        <w:top w:val="none" w:sz="0" w:space="0" w:color="auto"/>
        <w:left w:val="none" w:sz="0" w:space="0" w:color="auto"/>
        <w:bottom w:val="none" w:sz="0" w:space="0" w:color="auto"/>
        <w:right w:val="none" w:sz="0" w:space="0" w:color="auto"/>
      </w:divBdr>
      <w:divsChild>
        <w:div w:id="1692414778">
          <w:marLeft w:val="0"/>
          <w:marRight w:val="0"/>
          <w:marTop w:val="0"/>
          <w:marBottom w:val="0"/>
          <w:divBdr>
            <w:top w:val="none" w:sz="0" w:space="0" w:color="auto"/>
            <w:left w:val="none" w:sz="0" w:space="0" w:color="auto"/>
            <w:bottom w:val="none" w:sz="0" w:space="0" w:color="auto"/>
            <w:right w:val="none" w:sz="0" w:space="0" w:color="auto"/>
          </w:divBdr>
          <w:divsChild>
            <w:div w:id="1226138650">
              <w:marLeft w:val="0"/>
              <w:marRight w:val="0"/>
              <w:marTop w:val="0"/>
              <w:marBottom w:val="0"/>
              <w:divBdr>
                <w:top w:val="none" w:sz="0" w:space="0" w:color="auto"/>
                <w:left w:val="none" w:sz="0" w:space="0" w:color="auto"/>
                <w:bottom w:val="none" w:sz="0" w:space="0" w:color="auto"/>
                <w:right w:val="none" w:sz="0" w:space="0" w:color="auto"/>
              </w:divBdr>
              <w:divsChild>
                <w:div w:id="1098714181">
                  <w:marLeft w:val="0"/>
                  <w:marRight w:val="0"/>
                  <w:marTop w:val="0"/>
                  <w:marBottom w:val="0"/>
                  <w:divBdr>
                    <w:top w:val="none" w:sz="0" w:space="0" w:color="auto"/>
                    <w:left w:val="none" w:sz="0" w:space="0" w:color="auto"/>
                    <w:bottom w:val="none" w:sz="0" w:space="0" w:color="auto"/>
                    <w:right w:val="none" w:sz="0" w:space="0" w:color="auto"/>
                  </w:divBdr>
                  <w:divsChild>
                    <w:div w:id="800927695">
                      <w:marLeft w:val="0"/>
                      <w:marRight w:val="0"/>
                      <w:marTop w:val="0"/>
                      <w:marBottom w:val="0"/>
                      <w:divBdr>
                        <w:top w:val="none" w:sz="0" w:space="0" w:color="auto"/>
                        <w:left w:val="none" w:sz="0" w:space="0" w:color="auto"/>
                        <w:bottom w:val="none" w:sz="0" w:space="0" w:color="auto"/>
                        <w:right w:val="none" w:sz="0" w:space="0" w:color="auto"/>
                      </w:divBdr>
                      <w:divsChild>
                        <w:div w:id="292761291">
                          <w:marLeft w:val="0"/>
                          <w:marRight w:val="0"/>
                          <w:marTop w:val="0"/>
                          <w:marBottom w:val="0"/>
                          <w:divBdr>
                            <w:top w:val="none" w:sz="0" w:space="0" w:color="auto"/>
                            <w:left w:val="none" w:sz="0" w:space="0" w:color="auto"/>
                            <w:bottom w:val="none" w:sz="0" w:space="0" w:color="auto"/>
                            <w:right w:val="none" w:sz="0" w:space="0" w:color="auto"/>
                          </w:divBdr>
                          <w:divsChild>
                            <w:div w:id="1675766697">
                              <w:marLeft w:val="0"/>
                              <w:marRight w:val="0"/>
                              <w:marTop w:val="0"/>
                              <w:marBottom w:val="0"/>
                              <w:divBdr>
                                <w:top w:val="none" w:sz="0" w:space="0" w:color="auto"/>
                                <w:left w:val="none" w:sz="0" w:space="0" w:color="auto"/>
                                <w:bottom w:val="none" w:sz="0" w:space="0" w:color="auto"/>
                                <w:right w:val="none" w:sz="0" w:space="0" w:color="auto"/>
                              </w:divBdr>
                              <w:divsChild>
                                <w:div w:id="744062293">
                                  <w:marLeft w:val="0"/>
                                  <w:marRight w:val="0"/>
                                  <w:marTop w:val="0"/>
                                  <w:marBottom w:val="0"/>
                                  <w:divBdr>
                                    <w:top w:val="none" w:sz="0" w:space="0" w:color="auto"/>
                                    <w:left w:val="none" w:sz="0" w:space="0" w:color="auto"/>
                                    <w:bottom w:val="none" w:sz="0" w:space="0" w:color="auto"/>
                                    <w:right w:val="none" w:sz="0" w:space="0" w:color="auto"/>
                                  </w:divBdr>
                                  <w:divsChild>
                                    <w:div w:id="1421411753">
                                      <w:marLeft w:val="0"/>
                                      <w:marRight w:val="0"/>
                                      <w:marTop w:val="0"/>
                                      <w:marBottom w:val="0"/>
                                      <w:divBdr>
                                        <w:top w:val="none" w:sz="0" w:space="0" w:color="auto"/>
                                        <w:left w:val="none" w:sz="0" w:space="0" w:color="auto"/>
                                        <w:bottom w:val="none" w:sz="0" w:space="0" w:color="auto"/>
                                        <w:right w:val="none" w:sz="0" w:space="0" w:color="auto"/>
                                      </w:divBdr>
                                      <w:divsChild>
                                        <w:div w:id="21829549">
                                          <w:marLeft w:val="0"/>
                                          <w:marRight w:val="0"/>
                                          <w:marTop w:val="0"/>
                                          <w:marBottom w:val="0"/>
                                          <w:divBdr>
                                            <w:top w:val="none" w:sz="0" w:space="0" w:color="auto"/>
                                            <w:left w:val="none" w:sz="0" w:space="0" w:color="auto"/>
                                            <w:bottom w:val="none" w:sz="0" w:space="0" w:color="auto"/>
                                            <w:right w:val="none" w:sz="0" w:space="0" w:color="auto"/>
                                          </w:divBdr>
                                          <w:divsChild>
                                            <w:div w:id="1839611161">
                                              <w:marLeft w:val="0"/>
                                              <w:marRight w:val="0"/>
                                              <w:marTop w:val="0"/>
                                              <w:marBottom w:val="0"/>
                                              <w:divBdr>
                                                <w:top w:val="none" w:sz="0" w:space="0" w:color="auto"/>
                                                <w:left w:val="none" w:sz="0" w:space="0" w:color="auto"/>
                                                <w:bottom w:val="none" w:sz="0" w:space="0" w:color="auto"/>
                                                <w:right w:val="none" w:sz="0" w:space="0" w:color="auto"/>
                                              </w:divBdr>
                                              <w:divsChild>
                                                <w:div w:id="1993440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06530027">
          <w:marLeft w:val="0"/>
          <w:marRight w:val="0"/>
          <w:marTop w:val="0"/>
          <w:marBottom w:val="0"/>
          <w:divBdr>
            <w:top w:val="none" w:sz="0" w:space="0" w:color="auto"/>
            <w:left w:val="none" w:sz="0" w:space="0" w:color="auto"/>
            <w:bottom w:val="none" w:sz="0" w:space="0" w:color="auto"/>
            <w:right w:val="none" w:sz="0" w:space="0" w:color="auto"/>
          </w:divBdr>
          <w:divsChild>
            <w:div w:id="488903267">
              <w:marLeft w:val="0"/>
              <w:marRight w:val="0"/>
              <w:marTop w:val="0"/>
              <w:marBottom w:val="0"/>
              <w:divBdr>
                <w:top w:val="none" w:sz="0" w:space="0" w:color="auto"/>
                <w:left w:val="none" w:sz="0" w:space="0" w:color="auto"/>
                <w:bottom w:val="none" w:sz="0" w:space="0" w:color="auto"/>
                <w:right w:val="none" w:sz="0" w:space="0" w:color="auto"/>
              </w:divBdr>
              <w:divsChild>
                <w:div w:id="389156956">
                  <w:marLeft w:val="0"/>
                  <w:marRight w:val="0"/>
                  <w:marTop w:val="0"/>
                  <w:marBottom w:val="0"/>
                  <w:divBdr>
                    <w:top w:val="none" w:sz="0" w:space="0" w:color="auto"/>
                    <w:left w:val="none" w:sz="0" w:space="0" w:color="auto"/>
                    <w:bottom w:val="none" w:sz="0" w:space="0" w:color="auto"/>
                    <w:right w:val="none" w:sz="0" w:space="0" w:color="auto"/>
                  </w:divBdr>
                  <w:divsChild>
                    <w:div w:id="2054500349">
                      <w:marLeft w:val="0"/>
                      <w:marRight w:val="0"/>
                      <w:marTop w:val="0"/>
                      <w:marBottom w:val="0"/>
                      <w:divBdr>
                        <w:top w:val="none" w:sz="0" w:space="0" w:color="auto"/>
                        <w:left w:val="none" w:sz="0" w:space="0" w:color="auto"/>
                        <w:bottom w:val="none" w:sz="0" w:space="0" w:color="auto"/>
                        <w:right w:val="none" w:sz="0" w:space="0" w:color="auto"/>
                      </w:divBdr>
                      <w:divsChild>
                        <w:div w:id="1729113091">
                          <w:marLeft w:val="0"/>
                          <w:marRight w:val="0"/>
                          <w:marTop w:val="0"/>
                          <w:marBottom w:val="0"/>
                          <w:divBdr>
                            <w:top w:val="none" w:sz="0" w:space="0" w:color="auto"/>
                            <w:left w:val="none" w:sz="0" w:space="0" w:color="auto"/>
                            <w:bottom w:val="none" w:sz="0" w:space="0" w:color="auto"/>
                            <w:right w:val="none" w:sz="0" w:space="0" w:color="auto"/>
                          </w:divBdr>
                          <w:divsChild>
                            <w:div w:id="563226306">
                              <w:marLeft w:val="0"/>
                              <w:marRight w:val="0"/>
                              <w:marTop w:val="0"/>
                              <w:marBottom w:val="0"/>
                              <w:divBdr>
                                <w:top w:val="none" w:sz="0" w:space="0" w:color="auto"/>
                                <w:left w:val="none" w:sz="0" w:space="0" w:color="auto"/>
                                <w:bottom w:val="none" w:sz="0" w:space="0" w:color="auto"/>
                                <w:right w:val="none" w:sz="0" w:space="0" w:color="auto"/>
                              </w:divBdr>
                              <w:divsChild>
                                <w:div w:id="801654696">
                                  <w:marLeft w:val="0"/>
                                  <w:marRight w:val="0"/>
                                  <w:marTop w:val="0"/>
                                  <w:marBottom w:val="0"/>
                                  <w:divBdr>
                                    <w:top w:val="none" w:sz="0" w:space="0" w:color="auto"/>
                                    <w:left w:val="none" w:sz="0" w:space="0" w:color="auto"/>
                                    <w:bottom w:val="none" w:sz="0" w:space="0" w:color="auto"/>
                                    <w:right w:val="none" w:sz="0" w:space="0" w:color="auto"/>
                                  </w:divBdr>
                                  <w:divsChild>
                                    <w:div w:id="1536113556">
                                      <w:marLeft w:val="0"/>
                                      <w:marRight w:val="0"/>
                                      <w:marTop w:val="0"/>
                                      <w:marBottom w:val="0"/>
                                      <w:divBdr>
                                        <w:top w:val="none" w:sz="0" w:space="0" w:color="auto"/>
                                        <w:left w:val="none" w:sz="0" w:space="0" w:color="auto"/>
                                        <w:bottom w:val="none" w:sz="0" w:space="0" w:color="auto"/>
                                        <w:right w:val="none" w:sz="0" w:space="0" w:color="auto"/>
                                      </w:divBdr>
                                    </w:div>
                                  </w:divsChild>
                                </w:div>
                                <w:div w:id="1645423995">
                                  <w:marLeft w:val="0"/>
                                  <w:marRight w:val="0"/>
                                  <w:marTop w:val="0"/>
                                  <w:marBottom w:val="0"/>
                                  <w:divBdr>
                                    <w:top w:val="none" w:sz="0" w:space="0" w:color="auto"/>
                                    <w:left w:val="none" w:sz="0" w:space="0" w:color="auto"/>
                                    <w:bottom w:val="none" w:sz="0" w:space="0" w:color="auto"/>
                                    <w:right w:val="none" w:sz="0" w:space="0" w:color="auto"/>
                                  </w:divBdr>
                                  <w:divsChild>
                                    <w:div w:id="1314483981">
                                      <w:marLeft w:val="0"/>
                                      <w:marRight w:val="0"/>
                                      <w:marTop w:val="0"/>
                                      <w:marBottom w:val="0"/>
                                      <w:divBdr>
                                        <w:top w:val="none" w:sz="0" w:space="0" w:color="auto"/>
                                        <w:left w:val="none" w:sz="0" w:space="0" w:color="auto"/>
                                        <w:bottom w:val="none" w:sz="0" w:space="0" w:color="auto"/>
                                        <w:right w:val="none" w:sz="0" w:space="0" w:color="auto"/>
                                      </w:divBdr>
                                      <w:divsChild>
                                        <w:div w:id="314797736">
                                          <w:marLeft w:val="0"/>
                                          <w:marRight w:val="0"/>
                                          <w:marTop w:val="0"/>
                                          <w:marBottom w:val="0"/>
                                          <w:divBdr>
                                            <w:top w:val="none" w:sz="0" w:space="0" w:color="auto"/>
                                            <w:left w:val="none" w:sz="0" w:space="0" w:color="auto"/>
                                            <w:bottom w:val="none" w:sz="0" w:space="0" w:color="auto"/>
                                            <w:right w:val="none" w:sz="0" w:space="0" w:color="auto"/>
                                          </w:divBdr>
                                          <w:divsChild>
                                            <w:div w:id="15716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26498869">
      <w:bodyDiv w:val="1"/>
      <w:marLeft w:val="0"/>
      <w:marRight w:val="0"/>
      <w:marTop w:val="0"/>
      <w:marBottom w:val="0"/>
      <w:divBdr>
        <w:top w:val="none" w:sz="0" w:space="0" w:color="auto"/>
        <w:left w:val="none" w:sz="0" w:space="0" w:color="auto"/>
        <w:bottom w:val="none" w:sz="0" w:space="0" w:color="auto"/>
        <w:right w:val="none" w:sz="0" w:space="0" w:color="auto"/>
      </w:divBdr>
    </w:div>
    <w:div w:id="1666785927">
      <w:bodyDiv w:val="1"/>
      <w:marLeft w:val="0"/>
      <w:marRight w:val="0"/>
      <w:marTop w:val="0"/>
      <w:marBottom w:val="0"/>
      <w:divBdr>
        <w:top w:val="none" w:sz="0" w:space="0" w:color="auto"/>
        <w:left w:val="none" w:sz="0" w:space="0" w:color="auto"/>
        <w:bottom w:val="none" w:sz="0" w:space="0" w:color="auto"/>
        <w:right w:val="none" w:sz="0" w:space="0" w:color="auto"/>
      </w:divBdr>
    </w:div>
    <w:div w:id="1675572857">
      <w:bodyDiv w:val="1"/>
      <w:marLeft w:val="0"/>
      <w:marRight w:val="0"/>
      <w:marTop w:val="0"/>
      <w:marBottom w:val="0"/>
      <w:divBdr>
        <w:top w:val="none" w:sz="0" w:space="0" w:color="auto"/>
        <w:left w:val="none" w:sz="0" w:space="0" w:color="auto"/>
        <w:bottom w:val="none" w:sz="0" w:space="0" w:color="auto"/>
        <w:right w:val="none" w:sz="0" w:space="0" w:color="auto"/>
      </w:divBdr>
    </w:div>
    <w:div w:id="1678338617">
      <w:bodyDiv w:val="1"/>
      <w:marLeft w:val="0"/>
      <w:marRight w:val="0"/>
      <w:marTop w:val="0"/>
      <w:marBottom w:val="0"/>
      <w:divBdr>
        <w:top w:val="none" w:sz="0" w:space="0" w:color="auto"/>
        <w:left w:val="none" w:sz="0" w:space="0" w:color="auto"/>
        <w:bottom w:val="none" w:sz="0" w:space="0" w:color="auto"/>
        <w:right w:val="none" w:sz="0" w:space="0" w:color="auto"/>
      </w:divBdr>
    </w:div>
    <w:div w:id="1682512084">
      <w:bodyDiv w:val="1"/>
      <w:marLeft w:val="0"/>
      <w:marRight w:val="0"/>
      <w:marTop w:val="0"/>
      <w:marBottom w:val="0"/>
      <w:divBdr>
        <w:top w:val="none" w:sz="0" w:space="0" w:color="auto"/>
        <w:left w:val="none" w:sz="0" w:space="0" w:color="auto"/>
        <w:bottom w:val="none" w:sz="0" w:space="0" w:color="auto"/>
        <w:right w:val="none" w:sz="0" w:space="0" w:color="auto"/>
      </w:divBdr>
    </w:div>
    <w:div w:id="1690831116">
      <w:bodyDiv w:val="1"/>
      <w:marLeft w:val="0"/>
      <w:marRight w:val="0"/>
      <w:marTop w:val="0"/>
      <w:marBottom w:val="0"/>
      <w:divBdr>
        <w:top w:val="none" w:sz="0" w:space="0" w:color="auto"/>
        <w:left w:val="none" w:sz="0" w:space="0" w:color="auto"/>
        <w:bottom w:val="none" w:sz="0" w:space="0" w:color="auto"/>
        <w:right w:val="none" w:sz="0" w:space="0" w:color="auto"/>
      </w:divBdr>
    </w:div>
    <w:div w:id="1694304389">
      <w:bodyDiv w:val="1"/>
      <w:marLeft w:val="0"/>
      <w:marRight w:val="0"/>
      <w:marTop w:val="0"/>
      <w:marBottom w:val="0"/>
      <w:divBdr>
        <w:top w:val="none" w:sz="0" w:space="0" w:color="auto"/>
        <w:left w:val="none" w:sz="0" w:space="0" w:color="auto"/>
        <w:bottom w:val="none" w:sz="0" w:space="0" w:color="auto"/>
        <w:right w:val="none" w:sz="0" w:space="0" w:color="auto"/>
      </w:divBdr>
    </w:div>
    <w:div w:id="1708335464">
      <w:bodyDiv w:val="1"/>
      <w:marLeft w:val="0"/>
      <w:marRight w:val="0"/>
      <w:marTop w:val="0"/>
      <w:marBottom w:val="0"/>
      <w:divBdr>
        <w:top w:val="none" w:sz="0" w:space="0" w:color="auto"/>
        <w:left w:val="none" w:sz="0" w:space="0" w:color="auto"/>
        <w:bottom w:val="none" w:sz="0" w:space="0" w:color="auto"/>
        <w:right w:val="none" w:sz="0" w:space="0" w:color="auto"/>
      </w:divBdr>
    </w:div>
    <w:div w:id="1708752892">
      <w:bodyDiv w:val="1"/>
      <w:marLeft w:val="0"/>
      <w:marRight w:val="0"/>
      <w:marTop w:val="0"/>
      <w:marBottom w:val="0"/>
      <w:divBdr>
        <w:top w:val="none" w:sz="0" w:space="0" w:color="auto"/>
        <w:left w:val="none" w:sz="0" w:space="0" w:color="auto"/>
        <w:bottom w:val="none" w:sz="0" w:space="0" w:color="auto"/>
        <w:right w:val="none" w:sz="0" w:space="0" w:color="auto"/>
      </w:divBdr>
    </w:div>
    <w:div w:id="1710691136">
      <w:bodyDiv w:val="1"/>
      <w:marLeft w:val="0"/>
      <w:marRight w:val="0"/>
      <w:marTop w:val="0"/>
      <w:marBottom w:val="0"/>
      <w:divBdr>
        <w:top w:val="none" w:sz="0" w:space="0" w:color="auto"/>
        <w:left w:val="none" w:sz="0" w:space="0" w:color="auto"/>
        <w:bottom w:val="none" w:sz="0" w:space="0" w:color="auto"/>
        <w:right w:val="none" w:sz="0" w:space="0" w:color="auto"/>
      </w:divBdr>
      <w:divsChild>
        <w:div w:id="203442414">
          <w:marLeft w:val="0"/>
          <w:marRight w:val="0"/>
          <w:marTop w:val="0"/>
          <w:marBottom w:val="0"/>
          <w:divBdr>
            <w:top w:val="none" w:sz="0" w:space="0" w:color="auto"/>
            <w:left w:val="none" w:sz="0" w:space="0" w:color="auto"/>
            <w:bottom w:val="none" w:sz="0" w:space="0" w:color="auto"/>
            <w:right w:val="none" w:sz="0" w:space="0" w:color="auto"/>
          </w:divBdr>
          <w:divsChild>
            <w:div w:id="606230578">
              <w:marLeft w:val="0"/>
              <w:marRight w:val="0"/>
              <w:marTop w:val="0"/>
              <w:marBottom w:val="0"/>
              <w:divBdr>
                <w:top w:val="none" w:sz="0" w:space="0" w:color="auto"/>
                <w:left w:val="none" w:sz="0" w:space="0" w:color="auto"/>
                <w:bottom w:val="none" w:sz="0" w:space="0" w:color="auto"/>
                <w:right w:val="none" w:sz="0" w:space="0" w:color="auto"/>
              </w:divBdr>
              <w:divsChild>
                <w:div w:id="1893271757">
                  <w:marLeft w:val="0"/>
                  <w:marRight w:val="0"/>
                  <w:marTop w:val="0"/>
                  <w:marBottom w:val="0"/>
                  <w:divBdr>
                    <w:top w:val="none" w:sz="0" w:space="0" w:color="auto"/>
                    <w:left w:val="none" w:sz="0" w:space="0" w:color="auto"/>
                    <w:bottom w:val="none" w:sz="0" w:space="0" w:color="auto"/>
                    <w:right w:val="none" w:sz="0" w:space="0" w:color="auto"/>
                  </w:divBdr>
                  <w:divsChild>
                    <w:div w:id="85077088">
                      <w:marLeft w:val="0"/>
                      <w:marRight w:val="0"/>
                      <w:marTop w:val="0"/>
                      <w:marBottom w:val="0"/>
                      <w:divBdr>
                        <w:top w:val="none" w:sz="0" w:space="0" w:color="auto"/>
                        <w:left w:val="none" w:sz="0" w:space="0" w:color="auto"/>
                        <w:bottom w:val="none" w:sz="0" w:space="0" w:color="auto"/>
                        <w:right w:val="none" w:sz="0" w:space="0" w:color="auto"/>
                      </w:divBdr>
                      <w:divsChild>
                        <w:div w:id="940138870">
                          <w:marLeft w:val="0"/>
                          <w:marRight w:val="0"/>
                          <w:marTop w:val="0"/>
                          <w:marBottom w:val="0"/>
                          <w:divBdr>
                            <w:top w:val="none" w:sz="0" w:space="0" w:color="auto"/>
                            <w:left w:val="none" w:sz="0" w:space="0" w:color="auto"/>
                            <w:bottom w:val="none" w:sz="0" w:space="0" w:color="auto"/>
                            <w:right w:val="none" w:sz="0" w:space="0" w:color="auto"/>
                          </w:divBdr>
                          <w:divsChild>
                            <w:div w:id="1323853959">
                              <w:marLeft w:val="0"/>
                              <w:marRight w:val="0"/>
                              <w:marTop w:val="0"/>
                              <w:marBottom w:val="0"/>
                              <w:divBdr>
                                <w:top w:val="none" w:sz="0" w:space="0" w:color="auto"/>
                                <w:left w:val="none" w:sz="0" w:space="0" w:color="auto"/>
                                <w:bottom w:val="none" w:sz="0" w:space="0" w:color="auto"/>
                                <w:right w:val="none" w:sz="0" w:space="0" w:color="auto"/>
                              </w:divBdr>
                              <w:divsChild>
                                <w:div w:id="1403016960">
                                  <w:marLeft w:val="0"/>
                                  <w:marRight w:val="0"/>
                                  <w:marTop w:val="0"/>
                                  <w:marBottom w:val="0"/>
                                  <w:divBdr>
                                    <w:top w:val="none" w:sz="0" w:space="0" w:color="auto"/>
                                    <w:left w:val="none" w:sz="0" w:space="0" w:color="auto"/>
                                    <w:bottom w:val="none" w:sz="0" w:space="0" w:color="auto"/>
                                    <w:right w:val="none" w:sz="0" w:space="0" w:color="auto"/>
                                  </w:divBdr>
                                  <w:divsChild>
                                    <w:div w:id="988359101">
                                      <w:marLeft w:val="0"/>
                                      <w:marRight w:val="0"/>
                                      <w:marTop w:val="0"/>
                                      <w:marBottom w:val="0"/>
                                      <w:divBdr>
                                        <w:top w:val="none" w:sz="0" w:space="0" w:color="auto"/>
                                        <w:left w:val="none" w:sz="0" w:space="0" w:color="auto"/>
                                        <w:bottom w:val="none" w:sz="0" w:space="0" w:color="auto"/>
                                        <w:right w:val="none" w:sz="0" w:space="0" w:color="auto"/>
                                      </w:divBdr>
                                      <w:divsChild>
                                        <w:div w:id="273943821">
                                          <w:marLeft w:val="0"/>
                                          <w:marRight w:val="0"/>
                                          <w:marTop w:val="0"/>
                                          <w:marBottom w:val="0"/>
                                          <w:divBdr>
                                            <w:top w:val="none" w:sz="0" w:space="0" w:color="auto"/>
                                            <w:left w:val="none" w:sz="0" w:space="0" w:color="auto"/>
                                            <w:bottom w:val="none" w:sz="0" w:space="0" w:color="auto"/>
                                            <w:right w:val="none" w:sz="0" w:space="0" w:color="auto"/>
                                          </w:divBdr>
                                          <w:divsChild>
                                            <w:div w:id="1773168094">
                                              <w:marLeft w:val="0"/>
                                              <w:marRight w:val="0"/>
                                              <w:marTop w:val="0"/>
                                              <w:marBottom w:val="0"/>
                                              <w:divBdr>
                                                <w:top w:val="none" w:sz="0" w:space="0" w:color="auto"/>
                                                <w:left w:val="none" w:sz="0" w:space="0" w:color="auto"/>
                                                <w:bottom w:val="none" w:sz="0" w:space="0" w:color="auto"/>
                                                <w:right w:val="none" w:sz="0" w:space="0" w:color="auto"/>
                                              </w:divBdr>
                                              <w:divsChild>
                                                <w:div w:id="1236430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26007194">
          <w:marLeft w:val="0"/>
          <w:marRight w:val="0"/>
          <w:marTop w:val="0"/>
          <w:marBottom w:val="0"/>
          <w:divBdr>
            <w:top w:val="none" w:sz="0" w:space="0" w:color="auto"/>
            <w:left w:val="none" w:sz="0" w:space="0" w:color="auto"/>
            <w:bottom w:val="none" w:sz="0" w:space="0" w:color="auto"/>
            <w:right w:val="none" w:sz="0" w:space="0" w:color="auto"/>
          </w:divBdr>
          <w:divsChild>
            <w:div w:id="1683779216">
              <w:marLeft w:val="0"/>
              <w:marRight w:val="0"/>
              <w:marTop w:val="0"/>
              <w:marBottom w:val="0"/>
              <w:divBdr>
                <w:top w:val="none" w:sz="0" w:space="0" w:color="auto"/>
                <w:left w:val="none" w:sz="0" w:space="0" w:color="auto"/>
                <w:bottom w:val="none" w:sz="0" w:space="0" w:color="auto"/>
                <w:right w:val="none" w:sz="0" w:space="0" w:color="auto"/>
              </w:divBdr>
              <w:divsChild>
                <w:div w:id="473447658">
                  <w:marLeft w:val="0"/>
                  <w:marRight w:val="0"/>
                  <w:marTop w:val="0"/>
                  <w:marBottom w:val="0"/>
                  <w:divBdr>
                    <w:top w:val="none" w:sz="0" w:space="0" w:color="auto"/>
                    <w:left w:val="none" w:sz="0" w:space="0" w:color="auto"/>
                    <w:bottom w:val="none" w:sz="0" w:space="0" w:color="auto"/>
                    <w:right w:val="none" w:sz="0" w:space="0" w:color="auto"/>
                  </w:divBdr>
                  <w:divsChild>
                    <w:div w:id="1067806258">
                      <w:marLeft w:val="0"/>
                      <w:marRight w:val="0"/>
                      <w:marTop w:val="0"/>
                      <w:marBottom w:val="0"/>
                      <w:divBdr>
                        <w:top w:val="none" w:sz="0" w:space="0" w:color="auto"/>
                        <w:left w:val="none" w:sz="0" w:space="0" w:color="auto"/>
                        <w:bottom w:val="none" w:sz="0" w:space="0" w:color="auto"/>
                        <w:right w:val="none" w:sz="0" w:space="0" w:color="auto"/>
                      </w:divBdr>
                      <w:divsChild>
                        <w:div w:id="878051843">
                          <w:marLeft w:val="0"/>
                          <w:marRight w:val="0"/>
                          <w:marTop w:val="0"/>
                          <w:marBottom w:val="0"/>
                          <w:divBdr>
                            <w:top w:val="none" w:sz="0" w:space="0" w:color="auto"/>
                            <w:left w:val="none" w:sz="0" w:space="0" w:color="auto"/>
                            <w:bottom w:val="none" w:sz="0" w:space="0" w:color="auto"/>
                            <w:right w:val="none" w:sz="0" w:space="0" w:color="auto"/>
                          </w:divBdr>
                          <w:divsChild>
                            <w:div w:id="362942646">
                              <w:marLeft w:val="0"/>
                              <w:marRight w:val="0"/>
                              <w:marTop w:val="0"/>
                              <w:marBottom w:val="0"/>
                              <w:divBdr>
                                <w:top w:val="none" w:sz="0" w:space="0" w:color="auto"/>
                                <w:left w:val="none" w:sz="0" w:space="0" w:color="auto"/>
                                <w:bottom w:val="none" w:sz="0" w:space="0" w:color="auto"/>
                                <w:right w:val="none" w:sz="0" w:space="0" w:color="auto"/>
                              </w:divBdr>
                              <w:divsChild>
                                <w:div w:id="670375532">
                                  <w:marLeft w:val="0"/>
                                  <w:marRight w:val="0"/>
                                  <w:marTop w:val="0"/>
                                  <w:marBottom w:val="0"/>
                                  <w:divBdr>
                                    <w:top w:val="none" w:sz="0" w:space="0" w:color="auto"/>
                                    <w:left w:val="none" w:sz="0" w:space="0" w:color="auto"/>
                                    <w:bottom w:val="none" w:sz="0" w:space="0" w:color="auto"/>
                                    <w:right w:val="none" w:sz="0" w:space="0" w:color="auto"/>
                                  </w:divBdr>
                                  <w:divsChild>
                                    <w:div w:id="674192545">
                                      <w:marLeft w:val="0"/>
                                      <w:marRight w:val="0"/>
                                      <w:marTop w:val="0"/>
                                      <w:marBottom w:val="0"/>
                                      <w:divBdr>
                                        <w:top w:val="none" w:sz="0" w:space="0" w:color="auto"/>
                                        <w:left w:val="none" w:sz="0" w:space="0" w:color="auto"/>
                                        <w:bottom w:val="none" w:sz="0" w:space="0" w:color="auto"/>
                                        <w:right w:val="none" w:sz="0" w:space="0" w:color="auto"/>
                                      </w:divBdr>
                                      <w:divsChild>
                                        <w:div w:id="1739865133">
                                          <w:marLeft w:val="0"/>
                                          <w:marRight w:val="0"/>
                                          <w:marTop w:val="0"/>
                                          <w:marBottom w:val="0"/>
                                          <w:divBdr>
                                            <w:top w:val="none" w:sz="0" w:space="0" w:color="auto"/>
                                            <w:left w:val="none" w:sz="0" w:space="0" w:color="auto"/>
                                            <w:bottom w:val="none" w:sz="0" w:space="0" w:color="auto"/>
                                            <w:right w:val="none" w:sz="0" w:space="0" w:color="auto"/>
                                          </w:divBdr>
                                          <w:divsChild>
                                            <w:div w:id="282275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5273405">
                          <w:marLeft w:val="0"/>
                          <w:marRight w:val="0"/>
                          <w:marTop w:val="0"/>
                          <w:marBottom w:val="0"/>
                          <w:divBdr>
                            <w:top w:val="none" w:sz="0" w:space="0" w:color="auto"/>
                            <w:left w:val="none" w:sz="0" w:space="0" w:color="auto"/>
                            <w:bottom w:val="none" w:sz="0" w:space="0" w:color="auto"/>
                            <w:right w:val="none" w:sz="0" w:space="0" w:color="auto"/>
                          </w:divBdr>
                          <w:divsChild>
                            <w:div w:id="445857681">
                              <w:marLeft w:val="0"/>
                              <w:marRight w:val="0"/>
                              <w:marTop w:val="0"/>
                              <w:marBottom w:val="0"/>
                              <w:divBdr>
                                <w:top w:val="none" w:sz="0" w:space="0" w:color="auto"/>
                                <w:left w:val="none" w:sz="0" w:space="0" w:color="auto"/>
                                <w:bottom w:val="none" w:sz="0" w:space="0" w:color="auto"/>
                                <w:right w:val="none" w:sz="0" w:space="0" w:color="auto"/>
                              </w:divBdr>
                              <w:divsChild>
                                <w:div w:id="14355657">
                                  <w:marLeft w:val="0"/>
                                  <w:marRight w:val="0"/>
                                  <w:marTop w:val="0"/>
                                  <w:marBottom w:val="0"/>
                                  <w:divBdr>
                                    <w:top w:val="none" w:sz="0" w:space="0" w:color="auto"/>
                                    <w:left w:val="none" w:sz="0" w:space="0" w:color="auto"/>
                                    <w:bottom w:val="none" w:sz="0" w:space="0" w:color="auto"/>
                                    <w:right w:val="none" w:sz="0" w:space="0" w:color="auto"/>
                                  </w:divBdr>
                                  <w:divsChild>
                                    <w:div w:id="517543577">
                                      <w:marLeft w:val="0"/>
                                      <w:marRight w:val="0"/>
                                      <w:marTop w:val="0"/>
                                      <w:marBottom w:val="0"/>
                                      <w:divBdr>
                                        <w:top w:val="none" w:sz="0" w:space="0" w:color="auto"/>
                                        <w:left w:val="none" w:sz="0" w:space="0" w:color="auto"/>
                                        <w:bottom w:val="none" w:sz="0" w:space="0" w:color="auto"/>
                                        <w:right w:val="none" w:sz="0" w:space="0" w:color="auto"/>
                                      </w:divBdr>
                                      <w:divsChild>
                                        <w:div w:id="201790703">
                                          <w:marLeft w:val="0"/>
                                          <w:marRight w:val="0"/>
                                          <w:marTop w:val="0"/>
                                          <w:marBottom w:val="0"/>
                                          <w:divBdr>
                                            <w:top w:val="none" w:sz="0" w:space="0" w:color="auto"/>
                                            <w:left w:val="none" w:sz="0" w:space="0" w:color="auto"/>
                                            <w:bottom w:val="none" w:sz="0" w:space="0" w:color="auto"/>
                                            <w:right w:val="none" w:sz="0" w:space="0" w:color="auto"/>
                                          </w:divBdr>
                                          <w:divsChild>
                                            <w:div w:id="1725135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721697">
                                  <w:marLeft w:val="0"/>
                                  <w:marRight w:val="0"/>
                                  <w:marTop w:val="0"/>
                                  <w:marBottom w:val="0"/>
                                  <w:divBdr>
                                    <w:top w:val="none" w:sz="0" w:space="0" w:color="auto"/>
                                    <w:left w:val="none" w:sz="0" w:space="0" w:color="auto"/>
                                    <w:bottom w:val="none" w:sz="0" w:space="0" w:color="auto"/>
                                    <w:right w:val="none" w:sz="0" w:space="0" w:color="auto"/>
                                  </w:divBdr>
                                  <w:divsChild>
                                    <w:div w:id="394281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195220">
                          <w:marLeft w:val="0"/>
                          <w:marRight w:val="0"/>
                          <w:marTop w:val="0"/>
                          <w:marBottom w:val="0"/>
                          <w:divBdr>
                            <w:top w:val="none" w:sz="0" w:space="0" w:color="auto"/>
                            <w:left w:val="none" w:sz="0" w:space="0" w:color="auto"/>
                            <w:bottom w:val="none" w:sz="0" w:space="0" w:color="auto"/>
                            <w:right w:val="none" w:sz="0" w:space="0" w:color="auto"/>
                          </w:divBdr>
                          <w:divsChild>
                            <w:div w:id="1327518248">
                              <w:marLeft w:val="0"/>
                              <w:marRight w:val="0"/>
                              <w:marTop w:val="0"/>
                              <w:marBottom w:val="0"/>
                              <w:divBdr>
                                <w:top w:val="none" w:sz="0" w:space="0" w:color="auto"/>
                                <w:left w:val="none" w:sz="0" w:space="0" w:color="auto"/>
                                <w:bottom w:val="none" w:sz="0" w:space="0" w:color="auto"/>
                                <w:right w:val="none" w:sz="0" w:space="0" w:color="auto"/>
                              </w:divBdr>
                              <w:divsChild>
                                <w:div w:id="1284309674">
                                  <w:marLeft w:val="0"/>
                                  <w:marRight w:val="0"/>
                                  <w:marTop w:val="0"/>
                                  <w:marBottom w:val="0"/>
                                  <w:divBdr>
                                    <w:top w:val="none" w:sz="0" w:space="0" w:color="auto"/>
                                    <w:left w:val="none" w:sz="0" w:space="0" w:color="auto"/>
                                    <w:bottom w:val="none" w:sz="0" w:space="0" w:color="auto"/>
                                    <w:right w:val="none" w:sz="0" w:space="0" w:color="auto"/>
                                  </w:divBdr>
                                  <w:divsChild>
                                    <w:div w:id="1419328098">
                                      <w:marLeft w:val="0"/>
                                      <w:marRight w:val="0"/>
                                      <w:marTop w:val="0"/>
                                      <w:marBottom w:val="0"/>
                                      <w:divBdr>
                                        <w:top w:val="none" w:sz="0" w:space="0" w:color="auto"/>
                                        <w:left w:val="none" w:sz="0" w:space="0" w:color="auto"/>
                                        <w:bottom w:val="none" w:sz="0" w:space="0" w:color="auto"/>
                                        <w:right w:val="none" w:sz="0" w:space="0" w:color="auto"/>
                                      </w:divBdr>
                                      <w:divsChild>
                                        <w:div w:id="780684736">
                                          <w:marLeft w:val="0"/>
                                          <w:marRight w:val="0"/>
                                          <w:marTop w:val="0"/>
                                          <w:marBottom w:val="0"/>
                                          <w:divBdr>
                                            <w:top w:val="none" w:sz="0" w:space="0" w:color="auto"/>
                                            <w:left w:val="none" w:sz="0" w:space="0" w:color="auto"/>
                                            <w:bottom w:val="none" w:sz="0" w:space="0" w:color="auto"/>
                                            <w:right w:val="none" w:sz="0" w:space="0" w:color="auto"/>
                                          </w:divBdr>
                                          <w:divsChild>
                                            <w:div w:id="371078719">
                                              <w:marLeft w:val="0"/>
                                              <w:marRight w:val="0"/>
                                              <w:marTop w:val="0"/>
                                              <w:marBottom w:val="0"/>
                                              <w:divBdr>
                                                <w:top w:val="none" w:sz="0" w:space="0" w:color="auto"/>
                                                <w:left w:val="none" w:sz="0" w:space="0" w:color="auto"/>
                                                <w:bottom w:val="none" w:sz="0" w:space="0" w:color="auto"/>
                                                <w:right w:val="none" w:sz="0" w:space="0" w:color="auto"/>
                                              </w:divBdr>
                                              <w:divsChild>
                                                <w:div w:id="1860780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16926587">
      <w:bodyDiv w:val="1"/>
      <w:marLeft w:val="0"/>
      <w:marRight w:val="0"/>
      <w:marTop w:val="0"/>
      <w:marBottom w:val="0"/>
      <w:divBdr>
        <w:top w:val="none" w:sz="0" w:space="0" w:color="auto"/>
        <w:left w:val="none" w:sz="0" w:space="0" w:color="auto"/>
        <w:bottom w:val="none" w:sz="0" w:space="0" w:color="auto"/>
        <w:right w:val="none" w:sz="0" w:space="0" w:color="auto"/>
      </w:divBdr>
    </w:div>
    <w:div w:id="1722049862">
      <w:bodyDiv w:val="1"/>
      <w:marLeft w:val="0"/>
      <w:marRight w:val="0"/>
      <w:marTop w:val="0"/>
      <w:marBottom w:val="0"/>
      <w:divBdr>
        <w:top w:val="none" w:sz="0" w:space="0" w:color="auto"/>
        <w:left w:val="none" w:sz="0" w:space="0" w:color="auto"/>
        <w:bottom w:val="none" w:sz="0" w:space="0" w:color="auto"/>
        <w:right w:val="none" w:sz="0" w:space="0" w:color="auto"/>
      </w:divBdr>
    </w:div>
    <w:div w:id="1728413152">
      <w:bodyDiv w:val="1"/>
      <w:marLeft w:val="0"/>
      <w:marRight w:val="0"/>
      <w:marTop w:val="0"/>
      <w:marBottom w:val="0"/>
      <w:divBdr>
        <w:top w:val="none" w:sz="0" w:space="0" w:color="auto"/>
        <w:left w:val="none" w:sz="0" w:space="0" w:color="auto"/>
        <w:bottom w:val="none" w:sz="0" w:space="0" w:color="auto"/>
        <w:right w:val="none" w:sz="0" w:space="0" w:color="auto"/>
      </w:divBdr>
    </w:div>
    <w:div w:id="1735469242">
      <w:bodyDiv w:val="1"/>
      <w:marLeft w:val="0"/>
      <w:marRight w:val="0"/>
      <w:marTop w:val="0"/>
      <w:marBottom w:val="0"/>
      <w:divBdr>
        <w:top w:val="none" w:sz="0" w:space="0" w:color="auto"/>
        <w:left w:val="none" w:sz="0" w:space="0" w:color="auto"/>
        <w:bottom w:val="none" w:sz="0" w:space="0" w:color="auto"/>
        <w:right w:val="none" w:sz="0" w:space="0" w:color="auto"/>
      </w:divBdr>
    </w:div>
    <w:div w:id="1736974451">
      <w:bodyDiv w:val="1"/>
      <w:marLeft w:val="0"/>
      <w:marRight w:val="0"/>
      <w:marTop w:val="0"/>
      <w:marBottom w:val="0"/>
      <w:divBdr>
        <w:top w:val="none" w:sz="0" w:space="0" w:color="auto"/>
        <w:left w:val="none" w:sz="0" w:space="0" w:color="auto"/>
        <w:bottom w:val="none" w:sz="0" w:space="0" w:color="auto"/>
        <w:right w:val="none" w:sz="0" w:space="0" w:color="auto"/>
      </w:divBdr>
    </w:div>
    <w:div w:id="1751073379">
      <w:bodyDiv w:val="1"/>
      <w:marLeft w:val="0"/>
      <w:marRight w:val="0"/>
      <w:marTop w:val="0"/>
      <w:marBottom w:val="0"/>
      <w:divBdr>
        <w:top w:val="none" w:sz="0" w:space="0" w:color="auto"/>
        <w:left w:val="none" w:sz="0" w:space="0" w:color="auto"/>
        <w:bottom w:val="none" w:sz="0" w:space="0" w:color="auto"/>
        <w:right w:val="none" w:sz="0" w:space="0" w:color="auto"/>
      </w:divBdr>
    </w:div>
    <w:div w:id="1760246432">
      <w:bodyDiv w:val="1"/>
      <w:marLeft w:val="0"/>
      <w:marRight w:val="0"/>
      <w:marTop w:val="0"/>
      <w:marBottom w:val="0"/>
      <w:divBdr>
        <w:top w:val="none" w:sz="0" w:space="0" w:color="auto"/>
        <w:left w:val="none" w:sz="0" w:space="0" w:color="auto"/>
        <w:bottom w:val="none" w:sz="0" w:space="0" w:color="auto"/>
        <w:right w:val="none" w:sz="0" w:space="0" w:color="auto"/>
      </w:divBdr>
    </w:div>
    <w:div w:id="1762021106">
      <w:bodyDiv w:val="1"/>
      <w:marLeft w:val="0"/>
      <w:marRight w:val="0"/>
      <w:marTop w:val="0"/>
      <w:marBottom w:val="0"/>
      <w:divBdr>
        <w:top w:val="none" w:sz="0" w:space="0" w:color="auto"/>
        <w:left w:val="none" w:sz="0" w:space="0" w:color="auto"/>
        <w:bottom w:val="none" w:sz="0" w:space="0" w:color="auto"/>
        <w:right w:val="none" w:sz="0" w:space="0" w:color="auto"/>
      </w:divBdr>
    </w:div>
    <w:div w:id="1776242144">
      <w:bodyDiv w:val="1"/>
      <w:marLeft w:val="0"/>
      <w:marRight w:val="0"/>
      <w:marTop w:val="0"/>
      <w:marBottom w:val="0"/>
      <w:divBdr>
        <w:top w:val="none" w:sz="0" w:space="0" w:color="auto"/>
        <w:left w:val="none" w:sz="0" w:space="0" w:color="auto"/>
        <w:bottom w:val="none" w:sz="0" w:space="0" w:color="auto"/>
        <w:right w:val="none" w:sz="0" w:space="0" w:color="auto"/>
      </w:divBdr>
    </w:div>
    <w:div w:id="1791362257">
      <w:bodyDiv w:val="1"/>
      <w:marLeft w:val="0"/>
      <w:marRight w:val="0"/>
      <w:marTop w:val="0"/>
      <w:marBottom w:val="0"/>
      <w:divBdr>
        <w:top w:val="none" w:sz="0" w:space="0" w:color="auto"/>
        <w:left w:val="none" w:sz="0" w:space="0" w:color="auto"/>
        <w:bottom w:val="none" w:sz="0" w:space="0" w:color="auto"/>
        <w:right w:val="none" w:sz="0" w:space="0" w:color="auto"/>
      </w:divBdr>
    </w:div>
    <w:div w:id="1798060424">
      <w:bodyDiv w:val="1"/>
      <w:marLeft w:val="0"/>
      <w:marRight w:val="0"/>
      <w:marTop w:val="0"/>
      <w:marBottom w:val="0"/>
      <w:divBdr>
        <w:top w:val="none" w:sz="0" w:space="0" w:color="auto"/>
        <w:left w:val="none" w:sz="0" w:space="0" w:color="auto"/>
        <w:bottom w:val="none" w:sz="0" w:space="0" w:color="auto"/>
        <w:right w:val="none" w:sz="0" w:space="0" w:color="auto"/>
      </w:divBdr>
    </w:div>
    <w:div w:id="1800875818">
      <w:bodyDiv w:val="1"/>
      <w:marLeft w:val="0"/>
      <w:marRight w:val="0"/>
      <w:marTop w:val="0"/>
      <w:marBottom w:val="0"/>
      <w:divBdr>
        <w:top w:val="none" w:sz="0" w:space="0" w:color="auto"/>
        <w:left w:val="none" w:sz="0" w:space="0" w:color="auto"/>
        <w:bottom w:val="none" w:sz="0" w:space="0" w:color="auto"/>
        <w:right w:val="none" w:sz="0" w:space="0" w:color="auto"/>
      </w:divBdr>
    </w:div>
    <w:div w:id="1812672307">
      <w:bodyDiv w:val="1"/>
      <w:marLeft w:val="0"/>
      <w:marRight w:val="0"/>
      <w:marTop w:val="0"/>
      <w:marBottom w:val="0"/>
      <w:divBdr>
        <w:top w:val="none" w:sz="0" w:space="0" w:color="auto"/>
        <w:left w:val="none" w:sz="0" w:space="0" w:color="auto"/>
        <w:bottom w:val="none" w:sz="0" w:space="0" w:color="auto"/>
        <w:right w:val="none" w:sz="0" w:space="0" w:color="auto"/>
      </w:divBdr>
    </w:div>
    <w:div w:id="1816604207">
      <w:bodyDiv w:val="1"/>
      <w:marLeft w:val="0"/>
      <w:marRight w:val="0"/>
      <w:marTop w:val="0"/>
      <w:marBottom w:val="0"/>
      <w:divBdr>
        <w:top w:val="none" w:sz="0" w:space="0" w:color="auto"/>
        <w:left w:val="none" w:sz="0" w:space="0" w:color="auto"/>
        <w:bottom w:val="none" w:sz="0" w:space="0" w:color="auto"/>
        <w:right w:val="none" w:sz="0" w:space="0" w:color="auto"/>
      </w:divBdr>
    </w:div>
    <w:div w:id="1825930249">
      <w:bodyDiv w:val="1"/>
      <w:marLeft w:val="0"/>
      <w:marRight w:val="0"/>
      <w:marTop w:val="0"/>
      <w:marBottom w:val="0"/>
      <w:divBdr>
        <w:top w:val="none" w:sz="0" w:space="0" w:color="auto"/>
        <w:left w:val="none" w:sz="0" w:space="0" w:color="auto"/>
        <w:bottom w:val="none" w:sz="0" w:space="0" w:color="auto"/>
        <w:right w:val="none" w:sz="0" w:space="0" w:color="auto"/>
      </w:divBdr>
      <w:divsChild>
        <w:div w:id="1590501829">
          <w:marLeft w:val="0"/>
          <w:marRight w:val="0"/>
          <w:marTop w:val="0"/>
          <w:marBottom w:val="0"/>
          <w:divBdr>
            <w:top w:val="none" w:sz="0" w:space="0" w:color="auto"/>
            <w:left w:val="none" w:sz="0" w:space="0" w:color="auto"/>
            <w:bottom w:val="none" w:sz="0" w:space="0" w:color="auto"/>
            <w:right w:val="none" w:sz="0" w:space="0" w:color="auto"/>
          </w:divBdr>
          <w:divsChild>
            <w:div w:id="754088087">
              <w:marLeft w:val="0"/>
              <w:marRight w:val="0"/>
              <w:marTop w:val="0"/>
              <w:marBottom w:val="0"/>
              <w:divBdr>
                <w:top w:val="none" w:sz="0" w:space="0" w:color="auto"/>
                <w:left w:val="none" w:sz="0" w:space="0" w:color="auto"/>
                <w:bottom w:val="none" w:sz="0" w:space="0" w:color="auto"/>
                <w:right w:val="none" w:sz="0" w:space="0" w:color="auto"/>
              </w:divBdr>
              <w:divsChild>
                <w:div w:id="1757553057">
                  <w:marLeft w:val="0"/>
                  <w:marRight w:val="0"/>
                  <w:marTop w:val="0"/>
                  <w:marBottom w:val="0"/>
                  <w:divBdr>
                    <w:top w:val="none" w:sz="0" w:space="0" w:color="auto"/>
                    <w:left w:val="none" w:sz="0" w:space="0" w:color="auto"/>
                    <w:bottom w:val="none" w:sz="0" w:space="0" w:color="auto"/>
                    <w:right w:val="none" w:sz="0" w:space="0" w:color="auto"/>
                  </w:divBdr>
                  <w:divsChild>
                    <w:div w:id="1352799493">
                      <w:marLeft w:val="0"/>
                      <w:marRight w:val="0"/>
                      <w:marTop w:val="0"/>
                      <w:marBottom w:val="0"/>
                      <w:divBdr>
                        <w:top w:val="none" w:sz="0" w:space="0" w:color="auto"/>
                        <w:left w:val="none" w:sz="0" w:space="0" w:color="auto"/>
                        <w:bottom w:val="none" w:sz="0" w:space="0" w:color="auto"/>
                        <w:right w:val="none" w:sz="0" w:space="0" w:color="auto"/>
                      </w:divBdr>
                      <w:divsChild>
                        <w:div w:id="960383113">
                          <w:marLeft w:val="0"/>
                          <w:marRight w:val="0"/>
                          <w:marTop w:val="0"/>
                          <w:marBottom w:val="0"/>
                          <w:divBdr>
                            <w:top w:val="none" w:sz="0" w:space="0" w:color="auto"/>
                            <w:left w:val="none" w:sz="0" w:space="0" w:color="auto"/>
                            <w:bottom w:val="none" w:sz="0" w:space="0" w:color="auto"/>
                            <w:right w:val="none" w:sz="0" w:space="0" w:color="auto"/>
                          </w:divBdr>
                          <w:divsChild>
                            <w:div w:id="367612652">
                              <w:marLeft w:val="0"/>
                              <w:marRight w:val="0"/>
                              <w:marTop w:val="0"/>
                              <w:marBottom w:val="0"/>
                              <w:divBdr>
                                <w:top w:val="none" w:sz="0" w:space="0" w:color="auto"/>
                                <w:left w:val="none" w:sz="0" w:space="0" w:color="auto"/>
                                <w:bottom w:val="none" w:sz="0" w:space="0" w:color="auto"/>
                                <w:right w:val="none" w:sz="0" w:space="0" w:color="auto"/>
                              </w:divBdr>
                              <w:divsChild>
                                <w:div w:id="447088825">
                                  <w:marLeft w:val="0"/>
                                  <w:marRight w:val="0"/>
                                  <w:marTop w:val="0"/>
                                  <w:marBottom w:val="0"/>
                                  <w:divBdr>
                                    <w:top w:val="none" w:sz="0" w:space="0" w:color="auto"/>
                                    <w:left w:val="none" w:sz="0" w:space="0" w:color="auto"/>
                                    <w:bottom w:val="none" w:sz="0" w:space="0" w:color="auto"/>
                                    <w:right w:val="none" w:sz="0" w:space="0" w:color="auto"/>
                                  </w:divBdr>
                                  <w:divsChild>
                                    <w:div w:id="758719791">
                                      <w:marLeft w:val="0"/>
                                      <w:marRight w:val="0"/>
                                      <w:marTop w:val="0"/>
                                      <w:marBottom w:val="0"/>
                                      <w:divBdr>
                                        <w:top w:val="none" w:sz="0" w:space="0" w:color="auto"/>
                                        <w:left w:val="none" w:sz="0" w:space="0" w:color="auto"/>
                                        <w:bottom w:val="none" w:sz="0" w:space="0" w:color="auto"/>
                                        <w:right w:val="none" w:sz="0" w:space="0" w:color="auto"/>
                                      </w:divBdr>
                                      <w:divsChild>
                                        <w:div w:id="218370804">
                                          <w:marLeft w:val="0"/>
                                          <w:marRight w:val="0"/>
                                          <w:marTop w:val="0"/>
                                          <w:marBottom w:val="0"/>
                                          <w:divBdr>
                                            <w:top w:val="none" w:sz="0" w:space="0" w:color="auto"/>
                                            <w:left w:val="none" w:sz="0" w:space="0" w:color="auto"/>
                                            <w:bottom w:val="none" w:sz="0" w:space="0" w:color="auto"/>
                                            <w:right w:val="none" w:sz="0" w:space="0" w:color="auto"/>
                                          </w:divBdr>
                                          <w:divsChild>
                                            <w:div w:id="1952274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7632334">
                                  <w:marLeft w:val="0"/>
                                  <w:marRight w:val="0"/>
                                  <w:marTop w:val="0"/>
                                  <w:marBottom w:val="0"/>
                                  <w:divBdr>
                                    <w:top w:val="none" w:sz="0" w:space="0" w:color="auto"/>
                                    <w:left w:val="none" w:sz="0" w:space="0" w:color="auto"/>
                                    <w:bottom w:val="none" w:sz="0" w:space="0" w:color="auto"/>
                                    <w:right w:val="none" w:sz="0" w:space="0" w:color="auto"/>
                                  </w:divBdr>
                                  <w:divsChild>
                                    <w:div w:id="710957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8344322">
          <w:marLeft w:val="0"/>
          <w:marRight w:val="0"/>
          <w:marTop w:val="0"/>
          <w:marBottom w:val="0"/>
          <w:divBdr>
            <w:top w:val="none" w:sz="0" w:space="0" w:color="auto"/>
            <w:left w:val="none" w:sz="0" w:space="0" w:color="auto"/>
            <w:bottom w:val="none" w:sz="0" w:space="0" w:color="auto"/>
            <w:right w:val="none" w:sz="0" w:space="0" w:color="auto"/>
          </w:divBdr>
          <w:divsChild>
            <w:div w:id="1368678372">
              <w:marLeft w:val="0"/>
              <w:marRight w:val="0"/>
              <w:marTop w:val="0"/>
              <w:marBottom w:val="0"/>
              <w:divBdr>
                <w:top w:val="none" w:sz="0" w:space="0" w:color="auto"/>
                <w:left w:val="none" w:sz="0" w:space="0" w:color="auto"/>
                <w:bottom w:val="none" w:sz="0" w:space="0" w:color="auto"/>
                <w:right w:val="none" w:sz="0" w:space="0" w:color="auto"/>
              </w:divBdr>
              <w:divsChild>
                <w:div w:id="2145391106">
                  <w:marLeft w:val="0"/>
                  <w:marRight w:val="0"/>
                  <w:marTop w:val="0"/>
                  <w:marBottom w:val="0"/>
                  <w:divBdr>
                    <w:top w:val="none" w:sz="0" w:space="0" w:color="auto"/>
                    <w:left w:val="none" w:sz="0" w:space="0" w:color="auto"/>
                    <w:bottom w:val="none" w:sz="0" w:space="0" w:color="auto"/>
                    <w:right w:val="none" w:sz="0" w:space="0" w:color="auto"/>
                  </w:divBdr>
                  <w:divsChild>
                    <w:div w:id="628897382">
                      <w:marLeft w:val="0"/>
                      <w:marRight w:val="0"/>
                      <w:marTop w:val="0"/>
                      <w:marBottom w:val="0"/>
                      <w:divBdr>
                        <w:top w:val="none" w:sz="0" w:space="0" w:color="auto"/>
                        <w:left w:val="none" w:sz="0" w:space="0" w:color="auto"/>
                        <w:bottom w:val="none" w:sz="0" w:space="0" w:color="auto"/>
                        <w:right w:val="none" w:sz="0" w:space="0" w:color="auto"/>
                      </w:divBdr>
                      <w:divsChild>
                        <w:div w:id="861674459">
                          <w:marLeft w:val="0"/>
                          <w:marRight w:val="0"/>
                          <w:marTop w:val="0"/>
                          <w:marBottom w:val="0"/>
                          <w:divBdr>
                            <w:top w:val="none" w:sz="0" w:space="0" w:color="auto"/>
                            <w:left w:val="none" w:sz="0" w:space="0" w:color="auto"/>
                            <w:bottom w:val="none" w:sz="0" w:space="0" w:color="auto"/>
                            <w:right w:val="none" w:sz="0" w:space="0" w:color="auto"/>
                          </w:divBdr>
                          <w:divsChild>
                            <w:div w:id="439761231">
                              <w:marLeft w:val="0"/>
                              <w:marRight w:val="0"/>
                              <w:marTop w:val="0"/>
                              <w:marBottom w:val="0"/>
                              <w:divBdr>
                                <w:top w:val="none" w:sz="0" w:space="0" w:color="auto"/>
                                <w:left w:val="none" w:sz="0" w:space="0" w:color="auto"/>
                                <w:bottom w:val="none" w:sz="0" w:space="0" w:color="auto"/>
                                <w:right w:val="none" w:sz="0" w:space="0" w:color="auto"/>
                              </w:divBdr>
                              <w:divsChild>
                                <w:div w:id="1565145733">
                                  <w:marLeft w:val="0"/>
                                  <w:marRight w:val="0"/>
                                  <w:marTop w:val="0"/>
                                  <w:marBottom w:val="0"/>
                                  <w:divBdr>
                                    <w:top w:val="none" w:sz="0" w:space="0" w:color="auto"/>
                                    <w:left w:val="none" w:sz="0" w:space="0" w:color="auto"/>
                                    <w:bottom w:val="none" w:sz="0" w:space="0" w:color="auto"/>
                                    <w:right w:val="none" w:sz="0" w:space="0" w:color="auto"/>
                                  </w:divBdr>
                                  <w:divsChild>
                                    <w:div w:id="2008898328">
                                      <w:marLeft w:val="0"/>
                                      <w:marRight w:val="0"/>
                                      <w:marTop w:val="0"/>
                                      <w:marBottom w:val="0"/>
                                      <w:divBdr>
                                        <w:top w:val="none" w:sz="0" w:space="0" w:color="auto"/>
                                        <w:left w:val="none" w:sz="0" w:space="0" w:color="auto"/>
                                        <w:bottom w:val="none" w:sz="0" w:space="0" w:color="auto"/>
                                        <w:right w:val="none" w:sz="0" w:space="0" w:color="auto"/>
                                      </w:divBdr>
                                      <w:divsChild>
                                        <w:div w:id="867568957">
                                          <w:marLeft w:val="0"/>
                                          <w:marRight w:val="0"/>
                                          <w:marTop w:val="0"/>
                                          <w:marBottom w:val="0"/>
                                          <w:divBdr>
                                            <w:top w:val="none" w:sz="0" w:space="0" w:color="auto"/>
                                            <w:left w:val="none" w:sz="0" w:space="0" w:color="auto"/>
                                            <w:bottom w:val="none" w:sz="0" w:space="0" w:color="auto"/>
                                            <w:right w:val="none" w:sz="0" w:space="0" w:color="auto"/>
                                          </w:divBdr>
                                          <w:divsChild>
                                            <w:div w:id="48963220">
                                              <w:marLeft w:val="0"/>
                                              <w:marRight w:val="0"/>
                                              <w:marTop w:val="0"/>
                                              <w:marBottom w:val="0"/>
                                              <w:divBdr>
                                                <w:top w:val="none" w:sz="0" w:space="0" w:color="auto"/>
                                                <w:left w:val="none" w:sz="0" w:space="0" w:color="auto"/>
                                                <w:bottom w:val="none" w:sz="0" w:space="0" w:color="auto"/>
                                                <w:right w:val="none" w:sz="0" w:space="0" w:color="auto"/>
                                              </w:divBdr>
                                              <w:divsChild>
                                                <w:div w:id="497817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67477022">
      <w:bodyDiv w:val="1"/>
      <w:marLeft w:val="0"/>
      <w:marRight w:val="0"/>
      <w:marTop w:val="0"/>
      <w:marBottom w:val="0"/>
      <w:divBdr>
        <w:top w:val="none" w:sz="0" w:space="0" w:color="auto"/>
        <w:left w:val="none" w:sz="0" w:space="0" w:color="auto"/>
        <w:bottom w:val="none" w:sz="0" w:space="0" w:color="auto"/>
        <w:right w:val="none" w:sz="0" w:space="0" w:color="auto"/>
      </w:divBdr>
    </w:div>
    <w:div w:id="1895192623">
      <w:bodyDiv w:val="1"/>
      <w:marLeft w:val="0"/>
      <w:marRight w:val="0"/>
      <w:marTop w:val="0"/>
      <w:marBottom w:val="0"/>
      <w:divBdr>
        <w:top w:val="none" w:sz="0" w:space="0" w:color="auto"/>
        <w:left w:val="none" w:sz="0" w:space="0" w:color="auto"/>
        <w:bottom w:val="none" w:sz="0" w:space="0" w:color="auto"/>
        <w:right w:val="none" w:sz="0" w:space="0" w:color="auto"/>
      </w:divBdr>
    </w:div>
    <w:div w:id="1910726025">
      <w:bodyDiv w:val="1"/>
      <w:marLeft w:val="0"/>
      <w:marRight w:val="0"/>
      <w:marTop w:val="0"/>
      <w:marBottom w:val="0"/>
      <w:divBdr>
        <w:top w:val="none" w:sz="0" w:space="0" w:color="auto"/>
        <w:left w:val="none" w:sz="0" w:space="0" w:color="auto"/>
        <w:bottom w:val="none" w:sz="0" w:space="0" w:color="auto"/>
        <w:right w:val="none" w:sz="0" w:space="0" w:color="auto"/>
      </w:divBdr>
    </w:div>
    <w:div w:id="1914777402">
      <w:bodyDiv w:val="1"/>
      <w:marLeft w:val="0"/>
      <w:marRight w:val="0"/>
      <w:marTop w:val="0"/>
      <w:marBottom w:val="0"/>
      <w:divBdr>
        <w:top w:val="none" w:sz="0" w:space="0" w:color="auto"/>
        <w:left w:val="none" w:sz="0" w:space="0" w:color="auto"/>
        <w:bottom w:val="none" w:sz="0" w:space="0" w:color="auto"/>
        <w:right w:val="none" w:sz="0" w:space="0" w:color="auto"/>
      </w:divBdr>
    </w:div>
    <w:div w:id="1917859922">
      <w:bodyDiv w:val="1"/>
      <w:marLeft w:val="0"/>
      <w:marRight w:val="0"/>
      <w:marTop w:val="0"/>
      <w:marBottom w:val="0"/>
      <w:divBdr>
        <w:top w:val="none" w:sz="0" w:space="0" w:color="auto"/>
        <w:left w:val="none" w:sz="0" w:space="0" w:color="auto"/>
        <w:bottom w:val="none" w:sz="0" w:space="0" w:color="auto"/>
        <w:right w:val="none" w:sz="0" w:space="0" w:color="auto"/>
      </w:divBdr>
    </w:div>
    <w:div w:id="1926760760">
      <w:bodyDiv w:val="1"/>
      <w:marLeft w:val="0"/>
      <w:marRight w:val="0"/>
      <w:marTop w:val="0"/>
      <w:marBottom w:val="0"/>
      <w:divBdr>
        <w:top w:val="none" w:sz="0" w:space="0" w:color="auto"/>
        <w:left w:val="none" w:sz="0" w:space="0" w:color="auto"/>
        <w:bottom w:val="none" w:sz="0" w:space="0" w:color="auto"/>
        <w:right w:val="none" w:sz="0" w:space="0" w:color="auto"/>
      </w:divBdr>
    </w:div>
    <w:div w:id="1930499551">
      <w:bodyDiv w:val="1"/>
      <w:marLeft w:val="0"/>
      <w:marRight w:val="0"/>
      <w:marTop w:val="0"/>
      <w:marBottom w:val="0"/>
      <w:divBdr>
        <w:top w:val="none" w:sz="0" w:space="0" w:color="auto"/>
        <w:left w:val="none" w:sz="0" w:space="0" w:color="auto"/>
        <w:bottom w:val="none" w:sz="0" w:space="0" w:color="auto"/>
        <w:right w:val="none" w:sz="0" w:space="0" w:color="auto"/>
      </w:divBdr>
    </w:div>
    <w:div w:id="1932279521">
      <w:bodyDiv w:val="1"/>
      <w:marLeft w:val="0"/>
      <w:marRight w:val="0"/>
      <w:marTop w:val="0"/>
      <w:marBottom w:val="0"/>
      <w:divBdr>
        <w:top w:val="none" w:sz="0" w:space="0" w:color="auto"/>
        <w:left w:val="none" w:sz="0" w:space="0" w:color="auto"/>
        <w:bottom w:val="none" w:sz="0" w:space="0" w:color="auto"/>
        <w:right w:val="none" w:sz="0" w:space="0" w:color="auto"/>
      </w:divBdr>
    </w:div>
    <w:div w:id="1949044305">
      <w:bodyDiv w:val="1"/>
      <w:marLeft w:val="0"/>
      <w:marRight w:val="0"/>
      <w:marTop w:val="0"/>
      <w:marBottom w:val="0"/>
      <w:divBdr>
        <w:top w:val="none" w:sz="0" w:space="0" w:color="auto"/>
        <w:left w:val="none" w:sz="0" w:space="0" w:color="auto"/>
        <w:bottom w:val="none" w:sz="0" w:space="0" w:color="auto"/>
        <w:right w:val="none" w:sz="0" w:space="0" w:color="auto"/>
      </w:divBdr>
    </w:div>
    <w:div w:id="1956324269">
      <w:bodyDiv w:val="1"/>
      <w:marLeft w:val="0"/>
      <w:marRight w:val="0"/>
      <w:marTop w:val="0"/>
      <w:marBottom w:val="0"/>
      <w:divBdr>
        <w:top w:val="none" w:sz="0" w:space="0" w:color="auto"/>
        <w:left w:val="none" w:sz="0" w:space="0" w:color="auto"/>
        <w:bottom w:val="none" w:sz="0" w:space="0" w:color="auto"/>
        <w:right w:val="none" w:sz="0" w:space="0" w:color="auto"/>
      </w:divBdr>
    </w:div>
    <w:div w:id="1968313494">
      <w:bodyDiv w:val="1"/>
      <w:marLeft w:val="0"/>
      <w:marRight w:val="0"/>
      <w:marTop w:val="0"/>
      <w:marBottom w:val="0"/>
      <w:divBdr>
        <w:top w:val="none" w:sz="0" w:space="0" w:color="auto"/>
        <w:left w:val="none" w:sz="0" w:space="0" w:color="auto"/>
        <w:bottom w:val="none" w:sz="0" w:space="0" w:color="auto"/>
        <w:right w:val="none" w:sz="0" w:space="0" w:color="auto"/>
      </w:divBdr>
    </w:div>
    <w:div w:id="1990090889">
      <w:bodyDiv w:val="1"/>
      <w:marLeft w:val="0"/>
      <w:marRight w:val="0"/>
      <w:marTop w:val="0"/>
      <w:marBottom w:val="0"/>
      <w:divBdr>
        <w:top w:val="none" w:sz="0" w:space="0" w:color="auto"/>
        <w:left w:val="none" w:sz="0" w:space="0" w:color="auto"/>
        <w:bottom w:val="none" w:sz="0" w:space="0" w:color="auto"/>
        <w:right w:val="none" w:sz="0" w:space="0" w:color="auto"/>
      </w:divBdr>
    </w:div>
    <w:div w:id="1993411408">
      <w:bodyDiv w:val="1"/>
      <w:marLeft w:val="0"/>
      <w:marRight w:val="0"/>
      <w:marTop w:val="0"/>
      <w:marBottom w:val="0"/>
      <w:divBdr>
        <w:top w:val="none" w:sz="0" w:space="0" w:color="auto"/>
        <w:left w:val="none" w:sz="0" w:space="0" w:color="auto"/>
        <w:bottom w:val="none" w:sz="0" w:space="0" w:color="auto"/>
        <w:right w:val="none" w:sz="0" w:space="0" w:color="auto"/>
      </w:divBdr>
    </w:div>
    <w:div w:id="1997220345">
      <w:bodyDiv w:val="1"/>
      <w:marLeft w:val="0"/>
      <w:marRight w:val="0"/>
      <w:marTop w:val="0"/>
      <w:marBottom w:val="0"/>
      <w:divBdr>
        <w:top w:val="none" w:sz="0" w:space="0" w:color="auto"/>
        <w:left w:val="none" w:sz="0" w:space="0" w:color="auto"/>
        <w:bottom w:val="none" w:sz="0" w:space="0" w:color="auto"/>
        <w:right w:val="none" w:sz="0" w:space="0" w:color="auto"/>
      </w:divBdr>
    </w:div>
    <w:div w:id="2000649974">
      <w:bodyDiv w:val="1"/>
      <w:marLeft w:val="0"/>
      <w:marRight w:val="0"/>
      <w:marTop w:val="0"/>
      <w:marBottom w:val="0"/>
      <w:divBdr>
        <w:top w:val="none" w:sz="0" w:space="0" w:color="auto"/>
        <w:left w:val="none" w:sz="0" w:space="0" w:color="auto"/>
        <w:bottom w:val="none" w:sz="0" w:space="0" w:color="auto"/>
        <w:right w:val="none" w:sz="0" w:space="0" w:color="auto"/>
      </w:divBdr>
    </w:div>
    <w:div w:id="2025597012">
      <w:bodyDiv w:val="1"/>
      <w:marLeft w:val="0"/>
      <w:marRight w:val="0"/>
      <w:marTop w:val="0"/>
      <w:marBottom w:val="0"/>
      <w:divBdr>
        <w:top w:val="none" w:sz="0" w:space="0" w:color="auto"/>
        <w:left w:val="none" w:sz="0" w:space="0" w:color="auto"/>
        <w:bottom w:val="none" w:sz="0" w:space="0" w:color="auto"/>
        <w:right w:val="none" w:sz="0" w:space="0" w:color="auto"/>
      </w:divBdr>
    </w:div>
    <w:div w:id="2031643281">
      <w:bodyDiv w:val="1"/>
      <w:marLeft w:val="0"/>
      <w:marRight w:val="0"/>
      <w:marTop w:val="0"/>
      <w:marBottom w:val="0"/>
      <w:divBdr>
        <w:top w:val="none" w:sz="0" w:space="0" w:color="auto"/>
        <w:left w:val="none" w:sz="0" w:space="0" w:color="auto"/>
        <w:bottom w:val="none" w:sz="0" w:space="0" w:color="auto"/>
        <w:right w:val="none" w:sz="0" w:space="0" w:color="auto"/>
      </w:divBdr>
    </w:div>
    <w:div w:id="2032954580">
      <w:bodyDiv w:val="1"/>
      <w:marLeft w:val="0"/>
      <w:marRight w:val="0"/>
      <w:marTop w:val="0"/>
      <w:marBottom w:val="0"/>
      <w:divBdr>
        <w:top w:val="none" w:sz="0" w:space="0" w:color="auto"/>
        <w:left w:val="none" w:sz="0" w:space="0" w:color="auto"/>
        <w:bottom w:val="none" w:sz="0" w:space="0" w:color="auto"/>
        <w:right w:val="none" w:sz="0" w:space="0" w:color="auto"/>
      </w:divBdr>
    </w:div>
    <w:div w:id="2033917580">
      <w:bodyDiv w:val="1"/>
      <w:marLeft w:val="0"/>
      <w:marRight w:val="0"/>
      <w:marTop w:val="0"/>
      <w:marBottom w:val="0"/>
      <w:divBdr>
        <w:top w:val="none" w:sz="0" w:space="0" w:color="auto"/>
        <w:left w:val="none" w:sz="0" w:space="0" w:color="auto"/>
        <w:bottom w:val="none" w:sz="0" w:space="0" w:color="auto"/>
        <w:right w:val="none" w:sz="0" w:space="0" w:color="auto"/>
      </w:divBdr>
    </w:div>
    <w:div w:id="2052412199">
      <w:bodyDiv w:val="1"/>
      <w:marLeft w:val="0"/>
      <w:marRight w:val="0"/>
      <w:marTop w:val="0"/>
      <w:marBottom w:val="0"/>
      <w:divBdr>
        <w:top w:val="none" w:sz="0" w:space="0" w:color="auto"/>
        <w:left w:val="none" w:sz="0" w:space="0" w:color="auto"/>
        <w:bottom w:val="none" w:sz="0" w:space="0" w:color="auto"/>
        <w:right w:val="none" w:sz="0" w:space="0" w:color="auto"/>
      </w:divBdr>
    </w:div>
    <w:div w:id="2057313270">
      <w:bodyDiv w:val="1"/>
      <w:marLeft w:val="0"/>
      <w:marRight w:val="0"/>
      <w:marTop w:val="0"/>
      <w:marBottom w:val="0"/>
      <w:divBdr>
        <w:top w:val="none" w:sz="0" w:space="0" w:color="auto"/>
        <w:left w:val="none" w:sz="0" w:space="0" w:color="auto"/>
        <w:bottom w:val="none" w:sz="0" w:space="0" w:color="auto"/>
        <w:right w:val="none" w:sz="0" w:space="0" w:color="auto"/>
      </w:divBdr>
      <w:divsChild>
        <w:div w:id="363017347">
          <w:marLeft w:val="0"/>
          <w:marRight w:val="0"/>
          <w:marTop w:val="0"/>
          <w:marBottom w:val="0"/>
          <w:divBdr>
            <w:top w:val="none" w:sz="0" w:space="0" w:color="auto"/>
            <w:left w:val="none" w:sz="0" w:space="0" w:color="auto"/>
            <w:bottom w:val="none" w:sz="0" w:space="0" w:color="auto"/>
            <w:right w:val="none" w:sz="0" w:space="0" w:color="auto"/>
          </w:divBdr>
          <w:divsChild>
            <w:div w:id="907574788">
              <w:marLeft w:val="0"/>
              <w:marRight w:val="0"/>
              <w:marTop w:val="0"/>
              <w:marBottom w:val="0"/>
              <w:divBdr>
                <w:top w:val="none" w:sz="0" w:space="0" w:color="auto"/>
                <w:left w:val="none" w:sz="0" w:space="0" w:color="auto"/>
                <w:bottom w:val="none" w:sz="0" w:space="0" w:color="auto"/>
                <w:right w:val="none" w:sz="0" w:space="0" w:color="auto"/>
              </w:divBdr>
              <w:divsChild>
                <w:div w:id="319694622">
                  <w:marLeft w:val="0"/>
                  <w:marRight w:val="0"/>
                  <w:marTop w:val="0"/>
                  <w:marBottom w:val="0"/>
                  <w:divBdr>
                    <w:top w:val="none" w:sz="0" w:space="0" w:color="auto"/>
                    <w:left w:val="none" w:sz="0" w:space="0" w:color="auto"/>
                    <w:bottom w:val="none" w:sz="0" w:space="0" w:color="auto"/>
                    <w:right w:val="none" w:sz="0" w:space="0" w:color="auto"/>
                  </w:divBdr>
                  <w:divsChild>
                    <w:div w:id="1986622312">
                      <w:marLeft w:val="0"/>
                      <w:marRight w:val="0"/>
                      <w:marTop w:val="0"/>
                      <w:marBottom w:val="0"/>
                      <w:divBdr>
                        <w:top w:val="none" w:sz="0" w:space="0" w:color="auto"/>
                        <w:left w:val="none" w:sz="0" w:space="0" w:color="auto"/>
                        <w:bottom w:val="none" w:sz="0" w:space="0" w:color="auto"/>
                        <w:right w:val="none" w:sz="0" w:space="0" w:color="auto"/>
                      </w:divBdr>
                      <w:divsChild>
                        <w:div w:id="1205748387">
                          <w:marLeft w:val="0"/>
                          <w:marRight w:val="0"/>
                          <w:marTop w:val="0"/>
                          <w:marBottom w:val="0"/>
                          <w:divBdr>
                            <w:top w:val="none" w:sz="0" w:space="0" w:color="auto"/>
                            <w:left w:val="none" w:sz="0" w:space="0" w:color="auto"/>
                            <w:bottom w:val="none" w:sz="0" w:space="0" w:color="auto"/>
                            <w:right w:val="none" w:sz="0" w:space="0" w:color="auto"/>
                          </w:divBdr>
                          <w:divsChild>
                            <w:div w:id="489178319">
                              <w:marLeft w:val="0"/>
                              <w:marRight w:val="0"/>
                              <w:marTop w:val="0"/>
                              <w:marBottom w:val="0"/>
                              <w:divBdr>
                                <w:top w:val="none" w:sz="0" w:space="0" w:color="auto"/>
                                <w:left w:val="none" w:sz="0" w:space="0" w:color="auto"/>
                                <w:bottom w:val="none" w:sz="0" w:space="0" w:color="auto"/>
                                <w:right w:val="none" w:sz="0" w:space="0" w:color="auto"/>
                              </w:divBdr>
                              <w:divsChild>
                                <w:div w:id="1364551338">
                                  <w:marLeft w:val="0"/>
                                  <w:marRight w:val="0"/>
                                  <w:marTop w:val="0"/>
                                  <w:marBottom w:val="0"/>
                                  <w:divBdr>
                                    <w:top w:val="none" w:sz="0" w:space="0" w:color="auto"/>
                                    <w:left w:val="none" w:sz="0" w:space="0" w:color="auto"/>
                                    <w:bottom w:val="none" w:sz="0" w:space="0" w:color="auto"/>
                                    <w:right w:val="none" w:sz="0" w:space="0" w:color="auto"/>
                                  </w:divBdr>
                                  <w:divsChild>
                                    <w:div w:id="2128890347">
                                      <w:marLeft w:val="0"/>
                                      <w:marRight w:val="0"/>
                                      <w:marTop w:val="0"/>
                                      <w:marBottom w:val="0"/>
                                      <w:divBdr>
                                        <w:top w:val="none" w:sz="0" w:space="0" w:color="auto"/>
                                        <w:left w:val="none" w:sz="0" w:space="0" w:color="auto"/>
                                        <w:bottom w:val="none" w:sz="0" w:space="0" w:color="auto"/>
                                        <w:right w:val="none" w:sz="0" w:space="0" w:color="auto"/>
                                      </w:divBdr>
                                      <w:divsChild>
                                        <w:div w:id="944267597">
                                          <w:marLeft w:val="0"/>
                                          <w:marRight w:val="0"/>
                                          <w:marTop w:val="0"/>
                                          <w:marBottom w:val="0"/>
                                          <w:divBdr>
                                            <w:top w:val="none" w:sz="0" w:space="0" w:color="auto"/>
                                            <w:left w:val="none" w:sz="0" w:space="0" w:color="auto"/>
                                            <w:bottom w:val="none" w:sz="0" w:space="0" w:color="auto"/>
                                            <w:right w:val="none" w:sz="0" w:space="0" w:color="auto"/>
                                          </w:divBdr>
                                          <w:divsChild>
                                            <w:div w:id="1676225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8309190">
                                  <w:marLeft w:val="0"/>
                                  <w:marRight w:val="0"/>
                                  <w:marTop w:val="0"/>
                                  <w:marBottom w:val="0"/>
                                  <w:divBdr>
                                    <w:top w:val="none" w:sz="0" w:space="0" w:color="auto"/>
                                    <w:left w:val="none" w:sz="0" w:space="0" w:color="auto"/>
                                    <w:bottom w:val="none" w:sz="0" w:space="0" w:color="auto"/>
                                    <w:right w:val="none" w:sz="0" w:space="0" w:color="auto"/>
                                  </w:divBdr>
                                  <w:divsChild>
                                    <w:div w:id="101627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9357984">
          <w:marLeft w:val="0"/>
          <w:marRight w:val="0"/>
          <w:marTop w:val="0"/>
          <w:marBottom w:val="0"/>
          <w:divBdr>
            <w:top w:val="none" w:sz="0" w:space="0" w:color="auto"/>
            <w:left w:val="none" w:sz="0" w:space="0" w:color="auto"/>
            <w:bottom w:val="none" w:sz="0" w:space="0" w:color="auto"/>
            <w:right w:val="none" w:sz="0" w:space="0" w:color="auto"/>
          </w:divBdr>
          <w:divsChild>
            <w:div w:id="103231995">
              <w:marLeft w:val="0"/>
              <w:marRight w:val="0"/>
              <w:marTop w:val="0"/>
              <w:marBottom w:val="0"/>
              <w:divBdr>
                <w:top w:val="none" w:sz="0" w:space="0" w:color="auto"/>
                <w:left w:val="none" w:sz="0" w:space="0" w:color="auto"/>
                <w:bottom w:val="none" w:sz="0" w:space="0" w:color="auto"/>
                <w:right w:val="none" w:sz="0" w:space="0" w:color="auto"/>
              </w:divBdr>
              <w:divsChild>
                <w:div w:id="1707170886">
                  <w:marLeft w:val="0"/>
                  <w:marRight w:val="0"/>
                  <w:marTop w:val="0"/>
                  <w:marBottom w:val="0"/>
                  <w:divBdr>
                    <w:top w:val="none" w:sz="0" w:space="0" w:color="auto"/>
                    <w:left w:val="none" w:sz="0" w:space="0" w:color="auto"/>
                    <w:bottom w:val="none" w:sz="0" w:space="0" w:color="auto"/>
                    <w:right w:val="none" w:sz="0" w:space="0" w:color="auto"/>
                  </w:divBdr>
                  <w:divsChild>
                    <w:div w:id="171997145">
                      <w:marLeft w:val="0"/>
                      <w:marRight w:val="0"/>
                      <w:marTop w:val="0"/>
                      <w:marBottom w:val="0"/>
                      <w:divBdr>
                        <w:top w:val="none" w:sz="0" w:space="0" w:color="auto"/>
                        <w:left w:val="none" w:sz="0" w:space="0" w:color="auto"/>
                        <w:bottom w:val="none" w:sz="0" w:space="0" w:color="auto"/>
                        <w:right w:val="none" w:sz="0" w:space="0" w:color="auto"/>
                      </w:divBdr>
                      <w:divsChild>
                        <w:div w:id="1849756860">
                          <w:marLeft w:val="0"/>
                          <w:marRight w:val="0"/>
                          <w:marTop w:val="0"/>
                          <w:marBottom w:val="0"/>
                          <w:divBdr>
                            <w:top w:val="none" w:sz="0" w:space="0" w:color="auto"/>
                            <w:left w:val="none" w:sz="0" w:space="0" w:color="auto"/>
                            <w:bottom w:val="none" w:sz="0" w:space="0" w:color="auto"/>
                            <w:right w:val="none" w:sz="0" w:space="0" w:color="auto"/>
                          </w:divBdr>
                          <w:divsChild>
                            <w:div w:id="1242373882">
                              <w:marLeft w:val="0"/>
                              <w:marRight w:val="0"/>
                              <w:marTop w:val="0"/>
                              <w:marBottom w:val="0"/>
                              <w:divBdr>
                                <w:top w:val="none" w:sz="0" w:space="0" w:color="auto"/>
                                <w:left w:val="none" w:sz="0" w:space="0" w:color="auto"/>
                                <w:bottom w:val="none" w:sz="0" w:space="0" w:color="auto"/>
                                <w:right w:val="none" w:sz="0" w:space="0" w:color="auto"/>
                              </w:divBdr>
                              <w:divsChild>
                                <w:div w:id="1215315611">
                                  <w:marLeft w:val="0"/>
                                  <w:marRight w:val="0"/>
                                  <w:marTop w:val="0"/>
                                  <w:marBottom w:val="0"/>
                                  <w:divBdr>
                                    <w:top w:val="none" w:sz="0" w:space="0" w:color="auto"/>
                                    <w:left w:val="none" w:sz="0" w:space="0" w:color="auto"/>
                                    <w:bottom w:val="none" w:sz="0" w:space="0" w:color="auto"/>
                                    <w:right w:val="none" w:sz="0" w:space="0" w:color="auto"/>
                                  </w:divBdr>
                                  <w:divsChild>
                                    <w:div w:id="92361242">
                                      <w:marLeft w:val="0"/>
                                      <w:marRight w:val="0"/>
                                      <w:marTop w:val="0"/>
                                      <w:marBottom w:val="0"/>
                                      <w:divBdr>
                                        <w:top w:val="none" w:sz="0" w:space="0" w:color="auto"/>
                                        <w:left w:val="none" w:sz="0" w:space="0" w:color="auto"/>
                                        <w:bottom w:val="none" w:sz="0" w:space="0" w:color="auto"/>
                                        <w:right w:val="none" w:sz="0" w:space="0" w:color="auto"/>
                                      </w:divBdr>
                                      <w:divsChild>
                                        <w:div w:id="260450257">
                                          <w:marLeft w:val="0"/>
                                          <w:marRight w:val="0"/>
                                          <w:marTop w:val="0"/>
                                          <w:marBottom w:val="0"/>
                                          <w:divBdr>
                                            <w:top w:val="none" w:sz="0" w:space="0" w:color="auto"/>
                                            <w:left w:val="none" w:sz="0" w:space="0" w:color="auto"/>
                                            <w:bottom w:val="none" w:sz="0" w:space="0" w:color="auto"/>
                                            <w:right w:val="none" w:sz="0" w:space="0" w:color="auto"/>
                                          </w:divBdr>
                                          <w:divsChild>
                                            <w:div w:id="636372714">
                                              <w:marLeft w:val="0"/>
                                              <w:marRight w:val="0"/>
                                              <w:marTop w:val="0"/>
                                              <w:marBottom w:val="0"/>
                                              <w:divBdr>
                                                <w:top w:val="none" w:sz="0" w:space="0" w:color="auto"/>
                                                <w:left w:val="none" w:sz="0" w:space="0" w:color="auto"/>
                                                <w:bottom w:val="none" w:sz="0" w:space="0" w:color="auto"/>
                                                <w:right w:val="none" w:sz="0" w:space="0" w:color="auto"/>
                                              </w:divBdr>
                                              <w:divsChild>
                                                <w:div w:id="688145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60663000">
      <w:bodyDiv w:val="1"/>
      <w:marLeft w:val="0"/>
      <w:marRight w:val="0"/>
      <w:marTop w:val="0"/>
      <w:marBottom w:val="0"/>
      <w:divBdr>
        <w:top w:val="none" w:sz="0" w:space="0" w:color="auto"/>
        <w:left w:val="none" w:sz="0" w:space="0" w:color="auto"/>
        <w:bottom w:val="none" w:sz="0" w:space="0" w:color="auto"/>
        <w:right w:val="none" w:sz="0" w:space="0" w:color="auto"/>
      </w:divBdr>
    </w:div>
    <w:div w:id="2061397394">
      <w:bodyDiv w:val="1"/>
      <w:marLeft w:val="0"/>
      <w:marRight w:val="0"/>
      <w:marTop w:val="0"/>
      <w:marBottom w:val="0"/>
      <w:divBdr>
        <w:top w:val="none" w:sz="0" w:space="0" w:color="auto"/>
        <w:left w:val="none" w:sz="0" w:space="0" w:color="auto"/>
        <w:bottom w:val="none" w:sz="0" w:space="0" w:color="auto"/>
        <w:right w:val="none" w:sz="0" w:space="0" w:color="auto"/>
      </w:divBdr>
    </w:div>
    <w:div w:id="2072532208">
      <w:bodyDiv w:val="1"/>
      <w:marLeft w:val="0"/>
      <w:marRight w:val="0"/>
      <w:marTop w:val="0"/>
      <w:marBottom w:val="0"/>
      <w:divBdr>
        <w:top w:val="none" w:sz="0" w:space="0" w:color="auto"/>
        <w:left w:val="none" w:sz="0" w:space="0" w:color="auto"/>
        <w:bottom w:val="none" w:sz="0" w:space="0" w:color="auto"/>
        <w:right w:val="none" w:sz="0" w:space="0" w:color="auto"/>
      </w:divBdr>
    </w:div>
    <w:div w:id="2079160606">
      <w:bodyDiv w:val="1"/>
      <w:marLeft w:val="0"/>
      <w:marRight w:val="0"/>
      <w:marTop w:val="0"/>
      <w:marBottom w:val="0"/>
      <w:divBdr>
        <w:top w:val="none" w:sz="0" w:space="0" w:color="auto"/>
        <w:left w:val="none" w:sz="0" w:space="0" w:color="auto"/>
        <w:bottom w:val="none" w:sz="0" w:space="0" w:color="auto"/>
        <w:right w:val="none" w:sz="0" w:space="0" w:color="auto"/>
      </w:divBdr>
    </w:div>
    <w:div w:id="2099980395">
      <w:bodyDiv w:val="1"/>
      <w:marLeft w:val="0"/>
      <w:marRight w:val="0"/>
      <w:marTop w:val="0"/>
      <w:marBottom w:val="0"/>
      <w:divBdr>
        <w:top w:val="none" w:sz="0" w:space="0" w:color="auto"/>
        <w:left w:val="none" w:sz="0" w:space="0" w:color="auto"/>
        <w:bottom w:val="none" w:sz="0" w:space="0" w:color="auto"/>
        <w:right w:val="none" w:sz="0" w:space="0" w:color="auto"/>
      </w:divBdr>
    </w:div>
    <w:div w:id="2100171628">
      <w:bodyDiv w:val="1"/>
      <w:marLeft w:val="0"/>
      <w:marRight w:val="0"/>
      <w:marTop w:val="0"/>
      <w:marBottom w:val="0"/>
      <w:divBdr>
        <w:top w:val="none" w:sz="0" w:space="0" w:color="auto"/>
        <w:left w:val="none" w:sz="0" w:space="0" w:color="auto"/>
        <w:bottom w:val="none" w:sz="0" w:space="0" w:color="auto"/>
        <w:right w:val="none" w:sz="0" w:space="0" w:color="auto"/>
      </w:divBdr>
    </w:div>
    <w:div w:id="2102679462">
      <w:bodyDiv w:val="1"/>
      <w:marLeft w:val="0"/>
      <w:marRight w:val="0"/>
      <w:marTop w:val="0"/>
      <w:marBottom w:val="0"/>
      <w:divBdr>
        <w:top w:val="none" w:sz="0" w:space="0" w:color="auto"/>
        <w:left w:val="none" w:sz="0" w:space="0" w:color="auto"/>
        <w:bottom w:val="none" w:sz="0" w:space="0" w:color="auto"/>
        <w:right w:val="none" w:sz="0" w:space="0" w:color="auto"/>
      </w:divBdr>
    </w:div>
    <w:div w:id="2117941837">
      <w:bodyDiv w:val="1"/>
      <w:marLeft w:val="0"/>
      <w:marRight w:val="0"/>
      <w:marTop w:val="0"/>
      <w:marBottom w:val="0"/>
      <w:divBdr>
        <w:top w:val="none" w:sz="0" w:space="0" w:color="auto"/>
        <w:left w:val="none" w:sz="0" w:space="0" w:color="auto"/>
        <w:bottom w:val="none" w:sz="0" w:space="0" w:color="auto"/>
        <w:right w:val="none" w:sz="0" w:space="0" w:color="auto"/>
      </w:divBdr>
    </w:div>
    <w:div w:id="2125423521">
      <w:bodyDiv w:val="1"/>
      <w:marLeft w:val="0"/>
      <w:marRight w:val="0"/>
      <w:marTop w:val="0"/>
      <w:marBottom w:val="0"/>
      <w:divBdr>
        <w:top w:val="none" w:sz="0" w:space="0" w:color="auto"/>
        <w:left w:val="none" w:sz="0" w:space="0" w:color="auto"/>
        <w:bottom w:val="none" w:sz="0" w:space="0" w:color="auto"/>
        <w:right w:val="none" w:sz="0" w:space="0" w:color="auto"/>
      </w:divBdr>
    </w:div>
    <w:div w:id="2131778302">
      <w:bodyDiv w:val="1"/>
      <w:marLeft w:val="0"/>
      <w:marRight w:val="0"/>
      <w:marTop w:val="0"/>
      <w:marBottom w:val="0"/>
      <w:divBdr>
        <w:top w:val="none" w:sz="0" w:space="0" w:color="auto"/>
        <w:left w:val="none" w:sz="0" w:space="0" w:color="auto"/>
        <w:bottom w:val="none" w:sz="0" w:space="0" w:color="auto"/>
        <w:right w:val="none" w:sz="0" w:space="0" w:color="auto"/>
      </w:divBdr>
    </w:div>
    <w:div w:id="2134011628">
      <w:bodyDiv w:val="1"/>
      <w:marLeft w:val="0"/>
      <w:marRight w:val="0"/>
      <w:marTop w:val="0"/>
      <w:marBottom w:val="0"/>
      <w:divBdr>
        <w:top w:val="none" w:sz="0" w:space="0" w:color="auto"/>
        <w:left w:val="none" w:sz="0" w:space="0" w:color="auto"/>
        <w:bottom w:val="none" w:sz="0" w:space="0" w:color="auto"/>
        <w:right w:val="none" w:sz="0" w:space="0" w:color="auto"/>
      </w:divBdr>
    </w:div>
    <w:div w:id="21398317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file:///C:\Users\dvoramo\AppData\Local\Microsoft\Windows\INetCache\Content.Outlook\P22S49AH\JRC%20Border%20Security%20Lab%20initiative%20-%20The%20Joint%20Research%20Centre:%20EU%20Science%20Hub%20JRC%20Border%20Security%20Lab%20initiative" TargetMode="Externa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data.consilium.europa.eu/doc/document/ST-10265-2025-INIT/ro/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9A089D-16FD-44B9-A8A0-669149EC5F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10014</Words>
  <Characters>57081</Characters>
  <Application>Microsoft Office Word</Application>
  <DocSecurity>0</DocSecurity>
  <Lines>475</Lines>
  <Paragraphs>133</Paragraphs>
  <ScaleCrop>false</ScaleCrop>
  <Manager/>
  <Company/>
  <LinksUpToDate>false</LinksUpToDate>
  <CharactersWithSpaces>66962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2025-12-03T14:13:00Z</dcterms:created>
  <dcterms:modified xsi:type="dcterms:W3CDTF">2026-01-20T19:27:00Z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2025-11-28T21:56:19Z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903c4502-f8ae-457c-8674-dc0f81124247</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Last edited using">
    <vt:lpwstr>LW 9.2, Build 20250828</vt:lpwstr>
  </property>
  <property fmtid="{D5CDD505-2E9C-101B-9397-08002B2CF9AE}" pid="12" name="Part">
    <vt:lpwstr>1</vt:lpwstr>
  </property>
  <property fmtid="{D5CDD505-2E9C-101B-9397-08002B2CF9AE}" pid="13" name="Total parts">
    <vt:lpwstr>1</vt:lpwstr>
  </property>
  <property fmtid="{D5CDD505-2E9C-101B-9397-08002B2CF9AE}" pid="14" name="DocStatus">
    <vt:lpwstr>Green</vt:lpwstr>
  </property>
  <property fmtid="{D5CDD505-2E9C-101B-9397-08002B2CF9AE}" pid="15" name="CPTemplateID">
    <vt:lpwstr>CP-012</vt:lpwstr>
  </property>
</Properties>
</file>