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CB979" w14:textId="1483FF46" w:rsidR="00B43BB7" w:rsidRDefault="00490803" w:rsidP="00490803">
      <w:pPr>
        <w:pStyle w:val="Pagedecouverture"/>
        <w:rPr>
          <w:noProof/>
        </w:rPr>
      </w:pPr>
      <w:bookmarkStart w:id="0" w:name="LW_BM_COVERPAGE"/>
      <w:r>
        <w:rPr>
          <w:noProof/>
        </w:rPr>
        <w:pict w14:anchorId="665C6A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FF63A7F-21A7-4F5B-9B8B-324E661E2A34" style="width:455.25pt;height:342pt">
            <v:imagedata r:id="rId11" o:title=""/>
          </v:shape>
        </w:pict>
      </w:r>
    </w:p>
    <w:bookmarkEnd w:id="0"/>
    <w:p w14:paraId="19A0645B" w14:textId="77777777" w:rsidR="007C0EDE" w:rsidRDefault="007C0EDE" w:rsidP="00D50528">
      <w:pPr>
        <w:rPr>
          <w:noProof/>
        </w:rPr>
        <w:sectPr w:rsidR="007C0EDE" w:rsidSect="0049080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BBB4BEB" w14:textId="16D6DD12" w:rsidR="005B0409" w:rsidRPr="007225A3" w:rsidRDefault="619FF431" w:rsidP="00380474">
      <w:pPr>
        <w:pStyle w:val="ManualHeading1"/>
        <w:numPr>
          <w:ilvl w:val="0"/>
          <w:numId w:val="24"/>
        </w:numPr>
        <w:spacing w:before="0" w:after="360"/>
        <w:ind w:hanging="720"/>
        <w:rPr>
          <w:noProof/>
        </w:rPr>
      </w:pPr>
      <w:bookmarkStart w:id="1" w:name="_GoBack"/>
      <w:bookmarkEnd w:id="1"/>
      <w:r>
        <w:rPr>
          <w:noProof/>
        </w:rPr>
        <w:lastRenderedPageBreak/>
        <w:t>RENFORCER LA PRÉPARATION ET LA RÉSILIENCE DE L’UNION EUROPÉENNE FACE AUX MENACES TRANSFRONTIÈRES ÉMERGENTES POUR LA SANTÉ</w:t>
      </w:r>
    </w:p>
    <w:p w14:paraId="1501B90D" w14:textId="6F107D0C" w:rsidR="00F54888" w:rsidRDefault="6E3F089F" w:rsidP="60C30607">
      <w:pPr>
        <w:jc w:val="both"/>
        <w:rPr>
          <w:rFonts w:ascii="Times New Roman" w:hAnsi="Times New Roman" w:cs="Times New Roman"/>
          <w:noProof/>
          <w:sz w:val="24"/>
          <w:szCs w:val="24"/>
        </w:rPr>
      </w:pPr>
      <w:r>
        <w:rPr>
          <w:rFonts w:ascii="Times New Roman" w:hAnsi="Times New Roman"/>
          <w:noProof/>
          <w:sz w:val="24"/>
        </w:rPr>
        <w:t>L’Union européenne (ci-après l’«UE») évolue dans un contexte d’incertitude croissante, marqué par des menaces et des risques multidimensionnels. Elle fait face à un</w:t>
      </w:r>
      <w:r>
        <w:rPr>
          <w:rFonts w:ascii="Times New Roman" w:hAnsi="Times New Roman"/>
          <w:b/>
          <w:noProof/>
          <w:sz w:val="24"/>
        </w:rPr>
        <w:t xml:space="preserve"> panorama des menaces complexe et s’intensifiant</w:t>
      </w:r>
      <w:r>
        <w:rPr>
          <w:rFonts w:ascii="Times New Roman" w:hAnsi="Times New Roman"/>
          <w:noProof/>
          <w:sz w:val="24"/>
        </w:rPr>
        <w:t>, qui va des pandémies et des cyberattaques à la désinformation, en passant par les catastrophes liées au climat et l’instabilité géopolitique. Ces problèmes ne sont plus isolés: ils sont étroitement liés les uns aux autres, s’amplifient mutuellement et mettent à l’épreuve la résilience des sociétés, des économies et des démocraties. La sécurité, la prospérité et l’unité de l’UE dépendent de sa capacité à se préparer, à anticiper et à réagir, non seulement lorsque des crises éclatent, mais aussi bien avant.</w:t>
      </w:r>
    </w:p>
    <w:p w14:paraId="30710300" w14:textId="554782FB" w:rsidR="00D2722C" w:rsidRDefault="024ED746" w:rsidP="4BF39691">
      <w:pPr>
        <w:spacing w:before="240" w:after="240"/>
        <w:jc w:val="both"/>
        <w:rPr>
          <w:rFonts w:ascii="Times New Roman" w:hAnsi="Times New Roman" w:cs="Times New Roman"/>
          <w:noProof/>
          <w:sz w:val="24"/>
          <w:szCs w:val="24"/>
        </w:rPr>
      </w:pPr>
      <w:r>
        <w:rPr>
          <w:rFonts w:ascii="Times New Roman" w:hAnsi="Times New Roman"/>
          <w:noProof/>
          <w:sz w:val="24"/>
        </w:rPr>
        <w:t xml:space="preserve">Nombre de ces menaces croisées sont susceptibles de déboucher sur une </w:t>
      </w:r>
      <w:r>
        <w:rPr>
          <w:rFonts w:ascii="Times New Roman" w:hAnsi="Times New Roman"/>
          <w:b/>
          <w:noProof/>
          <w:sz w:val="24"/>
        </w:rPr>
        <w:t>crise sanitaire</w:t>
      </w:r>
      <w:r>
        <w:rPr>
          <w:rFonts w:ascii="Times New Roman" w:hAnsi="Times New Roman"/>
          <w:noProof/>
          <w:sz w:val="24"/>
        </w:rPr>
        <w:t xml:space="preserve"> </w:t>
      </w:r>
      <w:r>
        <w:rPr>
          <w:rFonts w:ascii="Times New Roman" w:hAnsi="Times New Roman"/>
          <w:b/>
          <w:noProof/>
          <w:sz w:val="24"/>
        </w:rPr>
        <w:t>transfrontière</w:t>
      </w:r>
      <w:r>
        <w:rPr>
          <w:rFonts w:ascii="Times New Roman" w:hAnsi="Times New Roman"/>
          <w:noProof/>
          <w:sz w:val="24"/>
        </w:rPr>
        <w:t>. Dans le contexte actuel instable, une crise sanitaire à grande échelle pourrait être profondément néfaste et porter atteinte non seulement au bien-être individuel, mais aussi au fonctionnement global des sociétés et des économies. L’ampleur de la pandémie de COVID-19 l’a prouvé et nous a donné de nombreux enseignements douloureux mais inestimables sur lesquels nous devons continuer à nous appuyer dans nos efforts pour faire face aux futures crises sanitaires. Les systèmes de santé mal préparés, fragmentés et manquant de résilience peuvent se retrouver submergés pendant une crise sanitaire, entraînant une perturbation des services essentiels et une baisse de la confiance publique dans les institutions. Qui plus est, les crises sanitaires frappent bien au-delà des murs des hôpitaux et peuvent déstabiliser les économies, exacerber les inégalités sociales, mettre un terme aux échanges et ébranler profondément la confiance des citoyens. Dès lors que les crises sanitaires touchent de manière disproportionnée différents groupes de la société, il est essentiel, pour renforcer l’équité et la résilience des systèmes de santé publique de l’Union, ainsi que la confiance en ces derniers, de veiller à ce que les mesures de prévention, de préparation et de réaction soient conçues et mises en œuvre de manière inclusive et accessible à tous. En outre, dans une Europe interconnectée, les crises sanitaires peuvent se propager au-delà des frontières, mettant à mal la solidarité et le partage des ressources. Ces répercussions transfrontières et transsectorielles montrent clairement l’importance d’une coordination solide entre les États membres et la nécessité d’une panoplie complète de mesures tant au niveau national qu’à celui de l’UE.</w:t>
      </w:r>
    </w:p>
    <w:p w14:paraId="6E1F5429" w14:textId="267B773E" w:rsidR="00014DA9" w:rsidRDefault="629B92CE" w:rsidP="00014DA9">
      <w:pPr>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coût de l’inaction</w:t>
      </w:r>
      <w:r>
        <w:rPr>
          <w:rFonts w:ascii="Times New Roman" w:hAnsi="Times New Roman"/>
          <w:noProof/>
          <w:sz w:val="24"/>
        </w:rPr>
        <w:t xml:space="preserve"> face aux menaces prévisibles est immense, non seulement sur le plan des pertes économiques, mais surtout en ce qui concerne la souffrance humaine et l’affaiblissement de la résilience. En revanche, la prévention et la préparation offrent d’importants retours sur investissement et présentent un bien meilleur rapport coût-efficacité que le fait de réagir simplement à une crise (</w:t>
      </w:r>
      <w:r>
        <w:rPr>
          <w:rStyle w:val="FootnoteReference"/>
          <w:rFonts w:ascii="Times New Roman" w:hAnsi="Times New Roman" w:cs="Times New Roman"/>
          <w:noProof/>
          <w:sz w:val="24"/>
          <w:szCs w:val="24"/>
        </w:rPr>
        <w:footnoteReference w:id="2"/>
      </w:r>
      <w:r>
        <w:rPr>
          <w:rFonts w:ascii="Times New Roman" w:hAnsi="Times New Roman"/>
          <w:noProof/>
          <w:sz w:val="24"/>
        </w:rPr>
        <w:t>). Des sociétés bien préparées se rétablissent plus rapidement, peuvent mieux protéger les moyens de subsistance et maintenir une plus grande stabilité.</w:t>
      </w:r>
    </w:p>
    <w:p w14:paraId="65E4CD09" w14:textId="18A1B657" w:rsidR="005B3B04" w:rsidRPr="007225A3" w:rsidRDefault="0996FC84" w:rsidP="078808B9">
      <w:pPr>
        <w:jc w:val="both"/>
        <w:rPr>
          <w:rFonts w:ascii="Times New Roman" w:hAnsi="Times New Roman" w:cs="Times New Roman"/>
          <w:noProof/>
          <w:sz w:val="24"/>
          <w:szCs w:val="24"/>
        </w:rPr>
      </w:pPr>
      <w:r>
        <w:rPr>
          <w:rFonts w:ascii="Times New Roman" w:hAnsi="Times New Roman"/>
          <w:noProof/>
          <w:sz w:val="24"/>
        </w:rPr>
        <w:t xml:space="preserve">Les enseignements à retenir de ces dernières années sont clairs: la préparation aux crises sanitaires transfrontières n’est pas une question de choix, c’est une nécessité. La Commission, les États membres et les agences et organes de l’UE ont donc pris des mesures décisives en vue d’une </w:t>
      </w:r>
      <w:r>
        <w:rPr>
          <w:rFonts w:ascii="Times New Roman" w:hAnsi="Times New Roman"/>
          <w:b/>
          <w:noProof/>
          <w:sz w:val="24"/>
        </w:rPr>
        <w:t>union européenne de la santé</w:t>
      </w:r>
      <w:r>
        <w:rPr>
          <w:rFonts w:ascii="Times New Roman" w:hAnsi="Times New Roman"/>
          <w:noProof/>
          <w:sz w:val="24"/>
        </w:rPr>
        <w:t xml:space="preserve"> plus forte et plus résiliente, dans le but de renforcer la capacité de l’UE à se préparer aux crises sanitaires et à y réagir. Parmi les principaux éléments constitutifs de cette union figurent l’adoption du </w:t>
      </w:r>
      <w:r>
        <w:rPr>
          <w:rFonts w:ascii="Times New Roman" w:hAnsi="Times New Roman"/>
          <w:b/>
          <w:noProof/>
          <w:sz w:val="24"/>
        </w:rPr>
        <w:t>règlement de l’UE concernant les menaces transfrontières graves pour la santé</w:t>
      </w:r>
      <w:r>
        <w:rPr>
          <w:rFonts w:ascii="Times New Roman" w:hAnsi="Times New Roman"/>
          <w:noProof/>
          <w:sz w:val="24"/>
        </w:rPr>
        <w:t> (</w:t>
      </w:r>
      <w:r>
        <w:rPr>
          <w:rStyle w:val="FootnoteReference"/>
          <w:rFonts w:ascii="Times New Roman" w:hAnsi="Times New Roman" w:cs="Times New Roman"/>
          <w:noProof/>
          <w:sz w:val="24"/>
          <w:szCs w:val="24"/>
        </w:rPr>
        <w:footnoteReference w:id="3"/>
      </w:r>
      <w:r>
        <w:rPr>
          <w:rFonts w:ascii="Times New Roman" w:hAnsi="Times New Roman"/>
          <w:noProof/>
          <w:sz w:val="24"/>
        </w:rPr>
        <w:t>), le renforcement des mandats du Centre européen de prévention et de contrôle des maladies (</w:t>
      </w:r>
      <w:r>
        <w:rPr>
          <w:rFonts w:ascii="Times New Roman" w:hAnsi="Times New Roman"/>
          <w:b/>
          <w:noProof/>
          <w:sz w:val="24"/>
        </w:rPr>
        <w:t>ECDC</w:t>
      </w:r>
      <w:r>
        <w:rPr>
          <w:rFonts w:ascii="Times New Roman" w:hAnsi="Times New Roman"/>
          <w:noProof/>
          <w:sz w:val="24"/>
        </w:rPr>
        <w:t>) (</w:t>
      </w:r>
      <w:r>
        <w:rPr>
          <w:rStyle w:val="FootnoteReference"/>
          <w:rFonts w:ascii="Times New Roman" w:hAnsi="Times New Roman" w:cs="Times New Roman"/>
          <w:noProof/>
          <w:sz w:val="24"/>
          <w:szCs w:val="24"/>
        </w:rPr>
        <w:footnoteReference w:id="4"/>
      </w:r>
      <w:r>
        <w:rPr>
          <w:rFonts w:ascii="Times New Roman" w:hAnsi="Times New Roman"/>
          <w:noProof/>
          <w:sz w:val="24"/>
        </w:rPr>
        <w:t>) et de l’Agence européenne des médicaments (</w:t>
      </w:r>
      <w:r>
        <w:rPr>
          <w:rFonts w:ascii="Times New Roman" w:hAnsi="Times New Roman"/>
          <w:b/>
          <w:noProof/>
          <w:sz w:val="24"/>
        </w:rPr>
        <w:t>EMA</w:t>
      </w:r>
      <w:r>
        <w:rPr>
          <w:rFonts w:ascii="Times New Roman" w:hAnsi="Times New Roman"/>
          <w:noProof/>
          <w:sz w:val="24"/>
        </w:rPr>
        <w:t>) (</w:t>
      </w:r>
      <w:r>
        <w:rPr>
          <w:rStyle w:val="FootnoteReference"/>
          <w:rFonts w:ascii="Times New Roman" w:hAnsi="Times New Roman" w:cs="Times New Roman"/>
          <w:noProof/>
          <w:sz w:val="24"/>
          <w:szCs w:val="24"/>
        </w:rPr>
        <w:footnoteReference w:id="5"/>
      </w:r>
      <w:r>
        <w:rPr>
          <w:rFonts w:ascii="Times New Roman" w:hAnsi="Times New Roman"/>
          <w:noProof/>
          <w:sz w:val="24"/>
        </w:rPr>
        <w:t>), et la création de l’Autorité de préparation et de réaction en cas d’urgence sanitaire (</w:t>
      </w:r>
      <w:r>
        <w:rPr>
          <w:rFonts w:ascii="Times New Roman" w:hAnsi="Times New Roman"/>
          <w:b/>
          <w:noProof/>
          <w:sz w:val="24"/>
        </w:rPr>
        <w:t>HERA</w:t>
      </w:r>
      <w:r>
        <w:rPr>
          <w:rFonts w:ascii="Times New Roman" w:hAnsi="Times New Roman"/>
          <w:noProof/>
          <w:sz w:val="24"/>
        </w:rPr>
        <w:t>) de la Commission afin d’améliorer la préparation et la réaction aux menaces transfrontières graves dans le domaine des contre-mesures médicales (</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À cela s’ajoute l’adoption du </w:t>
      </w:r>
      <w:r>
        <w:rPr>
          <w:rFonts w:ascii="Times New Roman" w:hAnsi="Times New Roman"/>
          <w:b/>
          <w:noProof/>
          <w:sz w:val="24"/>
        </w:rPr>
        <w:t>règlement du Conseil</w:t>
      </w:r>
      <w:r>
        <w:rPr>
          <w:rFonts w:ascii="Times New Roman" w:hAnsi="Times New Roman"/>
          <w:noProof/>
          <w:sz w:val="24"/>
        </w:rPr>
        <w:t xml:space="preserve"> relatif à un cadre de mesures visant à garantir la fourniture des contre-mesures médicales nécessaires en cas de crise dans l’éventualité d’une urgence de santé publique au niveau de l’Union (</w:t>
      </w:r>
      <w:r>
        <w:rPr>
          <w:rStyle w:val="FootnoteReference"/>
          <w:rFonts w:ascii="Times New Roman" w:hAnsi="Times New Roman" w:cs="Times New Roman"/>
          <w:noProof/>
          <w:sz w:val="24"/>
          <w:szCs w:val="24"/>
        </w:rPr>
        <w:footnoteReference w:id="7"/>
      </w:r>
      <w:r>
        <w:rPr>
          <w:rFonts w:ascii="Times New Roman" w:hAnsi="Times New Roman"/>
          <w:noProof/>
          <w:sz w:val="24"/>
        </w:rPr>
        <w:t>).</w:t>
      </w:r>
    </w:p>
    <w:p w14:paraId="26A3A6F0" w14:textId="7DB87369" w:rsidR="00D33319" w:rsidRDefault="3C7BADBF" w:rsidP="00450290">
      <w:pPr>
        <w:jc w:val="both"/>
        <w:rPr>
          <w:rFonts w:ascii="Times New Roman" w:hAnsi="Times New Roman" w:cs="Times New Roman"/>
          <w:noProof/>
          <w:sz w:val="24"/>
          <w:szCs w:val="24"/>
        </w:rPr>
      </w:pPr>
      <w:r>
        <w:rPr>
          <w:rFonts w:ascii="Times New Roman" w:hAnsi="Times New Roman"/>
          <w:noProof/>
          <w:sz w:val="24"/>
        </w:rPr>
        <w:t xml:space="preserve">Depuis lors, de nombreuses autres initiatives stratégiques de l’UE ont été adoptées, afin de renforcer la résilience de l’UE et d’améliorer sa capacité à anticiper les crises, à les prévenir, à s’y préparer, à y réagir et à s’en rétablir. En particulier, la </w:t>
      </w:r>
      <w:r>
        <w:rPr>
          <w:rFonts w:ascii="Times New Roman" w:hAnsi="Times New Roman"/>
          <w:b/>
          <w:noProof/>
          <w:sz w:val="24"/>
        </w:rPr>
        <w:t>stratégie pour une union de la préparation</w:t>
      </w:r>
      <w:r>
        <w:rPr>
          <w:rFonts w:ascii="Times New Roman" w:hAnsi="Times New Roman"/>
          <w:noProof/>
          <w:sz w:val="24"/>
        </w:rPr>
        <w:t> (</w:t>
      </w:r>
      <w:r>
        <w:rPr>
          <w:rStyle w:val="FootnoteReference"/>
          <w:rFonts w:ascii="Times New Roman" w:hAnsi="Times New Roman" w:cs="Times New Roman"/>
          <w:noProof/>
          <w:sz w:val="24"/>
          <w:szCs w:val="24"/>
        </w:rPr>
        <w:footnoteReference w:id="8"/>
      </w:r>
      <w:r>
        <w:rPr>
          <w:rFonts w:ascii="Times New Roman" w:hAnsi="Times New Roman"/>
          <w:noProof/>
          <w:sz w:val="24"/>
        </w:rPr>
        <w:t>) est une initiative majeure de l’UE, conçue pour faire face à un contexte de menaces interconnectées en renforçant la résilience à tous les niveaux et dans tous les secteurs. Elle repose sur une approche proactive de la gestion des crises axée sur trois concepts qui se renforcent mutuellement: i) l’approche «tous risques» (</w:t>
      </w:r>
      <w:r>
        <w:rPr>
          <w:rStyle w:val="FootnoteReference"/>
          <w:rFonts w:ascii="Times New Roman" w:hAnsi="Times New Roman" w:cs="Times New Roman"/>
          <w:noProof/>
          <w:sz w:val="24"/>
          <w:szCs w:val="24"/>
        </w:rPr>
        <w:footnoteReference w:id="9"/>
      </w:r>
      <w:r>
        <w:rPr>
          <w:rFonts w:ascii="Times New Roman" w:hAnsi="Times New Roman"/>
          <w:noProof/>
          <w:sz w:val="24"/>
        </w:rPr>
        <w:t>); ii) l’approche pangouvernementale (</w:t>
      </w:r>
      <w:r>
        <w:rPr>
          <w:rStyle w:val="FootnoteReference"/>
          <w:rFonts w:ascii="Times New Roman" w:hAnsi="Times New Roman" w:cs="Times New Roman"/>
          <w:noProof/>
          <w:sz w:val="24"/>
          <w:szCs w:val="24"/>
        </w:rPr>
        <w:footnoteReference w:id="10"/>
      </w:r>
      <w:r>
        <w:rPr>
          <w:rFonts w:ascii="Times New Roman" w:hAnsi="Times New Roman"/>
          <w:noProof/>
          <w:sz w:val="24"/>
        </w:rPr>
        <w:t>); et iii) l’approche englobant l’ensemble de la société (</w:t>
      </w:r>
      <w:r>
        <w:rPr>
          <w:rStyle w:val="FootnoteReference"/>
          <w:rFonts w:ascii="Times New Roman" w:hAnsi="Times New Roman" w:cs="Times New Roman"/>
          <w:noProof/>
          <w:sz w:val="24"/>
          <w:szCs w:val="24"/>
        </w:rPr>
        <w:footnoteReference w:id="11"/>
      </w:r>
      <w:r>
        <w:rPr>
          <w:rFonts w:ascii="Times New Roman" w:hAnsi="Times New Roman"/>
          <w:noProof/>
          <w:sz w:val="24"/>
        </w:rPr>
        <w:t>). En outre, elle prévoit l’intégration et la prise en compte systématique des considérations relatives à la préparation et à la sécurité dans l’ensemble de la législation, des politiques et des programmes de l’UE. La stratégie pour une union de la préparation vise à renforcer les capacités durables qui garantissent la solidité de l’UE sur tous les fronts et à tous les niveaux de la société.</w:t>
      </w:r>
    </w:p>
    <w:p w14:paraId="3DDEB70E" w14:textId="44CBECE7" w:rsidR="00EA1140" w:rsidRPr="008B3AAF" w:rsidRDefault="356A2314" w:rsidP="00450290">
      <w:pPr>
        <w:jc w:val="both"/>
        <w:rPr>
          <w:noProof/>
        </w:rPr>
      </w:pPr>
      <w:r>
        <w:rPr>
          <w:rFonts w:ascii="Times New Roman" w:hAnsi="Times New Roman"/>
          <w:noProof/>
          <w:sz w:val="24"/>
        </w:rPr>
        <w:t xml:space="preserve">La stratégie s’accompagne d’un </w:t>
      </w:r>
      <w:r>
        <w:rPr>
          <w:rFonts w:ascii="Times New Roman" w:hAnsi="Times New Roman"/>
          <w:b/>
          <w:noProof/>
          <w:sz w:val="24"/>
        </w:rPr>
        <w:t>plan d’action</w:t>
      </w:r>
      <w:r>
        <w:rPr>
          <w:rFonts w:ascii="Times New Roman" w:hAnsi="Times New Roman"/>
          <w:noProof/>
          <w:sz w:val="24"/>
        </w:rPr>
        <w:t> (</w:t>
      </w:r>
      <w:r>
        <w:rPr>
          <w:rStyle w:val="FootnoteReference"/>
          <w:rFonts w:ascii="Times New Roman" w:hAnsi="Times New Roman" w:cs="Times New Roman"/>
          <w:noProof/>
          <w:sz w:val="24"/>
          <w:szCs w:val="24"/>
        </w:rPr>
        <w:footnoteReference w:id="12"/>
      </w:r>
      <w:r>
        <w:rPr>
          <w:rFonts w:ascii="Times New Roman" w:hAnsi="Times New Roman"/>
          <w:noProof/>
          <w:sz w:val="24"/>
        </w:rPr>
        <w:t xml:space="preserve">) qui définit 30 actions clés à mettre en œuvre par la Commission et les États membres dans les sept domaines thématiques de la stratégie. Il est nécessaire d’adopter une approche cohérente et coordonnée à l’échelle de l’UE entre les différents acteurs et instruments intervenant dans le renforcement de l’architecture de sécurité sanitaire de l’UE. Par conséquent, l’une des mesures concrètes du plan d’action est l’exécution, d’ici la fin de 2025, du </w:t>
      </w:r>
      <w:r>
        <w:rPr>
          <w:rFonts w:ascii="Times New Roman" w:hAnsi="Times New Roman"/>
          <w:b/>
          <w:noProof/>
          <w:sz w:val="24"/>
        </w:rPr>
        <w:t>plan de prévention, de préparation et de réaction de l’Union contre les crises sanitaires (ci-après le «plan de l’Union»)</w:t>
      </w:r>
      <w:r>
        <w:rPr>
          <w:rFonts w:ascii="Times New Roman" w:hAnsi="Times New Roman"/>
          <w:noProof/>
          <w:sz w:val="24"/>
        </w:rPr>
        <w:t>, une exigence juridique déjà prévue dans le règlement concernant les menaces transfrontières graves pour la santé (</w:t>
      </w:r>
      <w:r>
        <w:rPr>
          <w:rStyle w:val="FootnoteReference"/>
          <w:rFonts w:ascii="Times New Roman" w:hAnsi="Times New Roman" w:cs="Times New Roman"/>
          <w:noProof/>
          <w:sz w:val="24"/>
          <w:szCs w:val="24"/>
        </w:rPr>
        <w:footnoteReference w:id="13"/>
      </w:r>
      <w:r>
        <w:rPr>
          <w:rFonts w:ascii="Times New Roman" w:hAnsi="Times New Roman"/>
          <w:noProof/>
          <w:sz w:val="24"/>
        </w:rPr>
        <w:t>).</w:t>
      </w:r>
    </w:p>
    <w:p w14:paraId="5A85C2CB" w14:textId="005B32BF" w:rsidR="00662A66" w:rsidRDefault="00662A66" w:rsidP="00662A66">
      <w:pPr>
        <w:jc w:val="both"/>
        <w:rPr>
          <w:rFonts w:ascii="Times New Roman" w:hAnsi="Times New Roman" w:cs="Times New Roman"/>
          <w:noProof/>
          <w:sz w:val="24"/>
          <w:szCs w:val="24"/>
        </w:rPr>
      </w:pPr>
      <w:r>
        <w:rPr>
          <w:rFonts w:ascii="Times New Roman" w:hAnsi="Times New Roman"/>
          <w:noProof/>
          <w:sz w:val="24"/>
        </w:rPr>
        <w:t xml:space="preserve">Bien que le plan de l’Union ne concerne pas la réaction aux crises sanitaires en dehors de l’UE, il est aligné sur </w:t>
      </w:r>
      <w:r>
        <w:rPr>
          <w:rFonts w:ascii="Times New Roman" w:hAnsi="Times New Roman"/>
          <w:b/>
          <w:noProof/>
          <w:sz w:val="24"/>
        </w:rPr>
        <w:t>les priorités et les initiatives de l’UE en matière de santé mondiale</w:t>
      </w:r>
      <w:r>
        <w:rPr>
          <w:rFonts w:ascii="Times New Roman" w:hAnsi="Times New Roman"/>
          <w:noProof/>
          <w:sz w:val="24"/>
        </w:rPr>
        <w:t>. Il est crucial, pour la résilience et la sécurité sanitaires de l’UE et du monde, d’encourager la coopération avec les pays tiers et les organisations internationales dans le domaine de la santé publique, comme l’indiquent le règlement concernant les menaces transfrontières graves pour la santé (</w:t>
      </w:r>
      <w:r>
        <w:rPr>
          <w:rStyle w:val="FootnoteReference"/>
          <w:rFonts w:ascii="Times New Roman" w:hAnsi="Times New Roman" w:cs="Times New Roman"/>
          <w:noProof/>
          <w:sz w:val="24"/>
          <w:szCs w:val="24"/>
        </w:rPr>
        <w:footnoteReference w:id="14"/>
      </w:r>
      <w:r>
        <w:rPr>
          <w:rFonts w:ascii="Times New Roman" w:hAnsi="Times New Roman"/>
          <w:noProof/>
          <w:sz w:val="24"/>
        </w:rPr>
        <w:t xml:space="preserve">) et la stratégie pour une union de la préparation. L’engagement de l’UE dans ce domaine est guidé par les principes et les actions énoncés dans la </w:t>
      </w:r>
      <w:r>
        <w:rPr>
          <w:rFonts w:ascii="Times New Roman" w:hAnsi="Times New Roman"/>
          <w:b/>
          <w:noProof/>
          <w:sz w:val="24"/>
        </w:rPr>
        <w:t>stratégie de l’UE en matière de santé mondiale</w:t>
      </w:r>
      <w:r>
        <w:rPr>
          <w:rFonts w:ascii="Times New Roman" w:hAnsi="Times New Roman"/>
          <w:noProof/>
          <w:sz w:val="24"/>
        </w:rPr>
        <w:t> (</w:t>
      </w:r>
      <w:r>
        <w:rPr>
          <w:rStyle w:val="FootnoteReference"/>
          <w:rFonts w:ascii="Times New Roman" w:hAnsi="Times New Roman" w:cs="Times New Roman"/>
          <w:noProof/>
          <w:sz w:val="24"/>
          <w:szCs w:val="24"/>
        </w:rPr>
        <w:footnoteReference w:id="15"/>
      </w:r>
      <w:r>
        <w:rPr>
          <w:rFonts w:ascii="Times New Roman" w:hAnsi="Times New Roman"/>
          <w:noProof/>
          <w:sz w:val="24"/>
        </w:rPr>
        <w:t xml:space="preserve">) et la </w:t>
      </w:r>
      <w:r>
        <w:rPr>
          <w:rFonts w:ascii="Times New Roman" w:hAnsi="Times New Roman"/>
          <w:b/>
          <w:noProof/>
          <w:sz w:val="24"/>
        </w:rPr>
        <w:t>stratégie «Global Gateway»</w:t>
      </w:r>
      <w:r>
        <w:rPr>
          <w:rFonts w:ascii="Times New Roman" w:hAnsi="Times New Roman"/>
          <w:noProof/>
          <w:sz w:val="24"/>
        </w:rPr>
        <w:t> (</w:t>
      </w:r>
      <w:r>
        <w:rPr>
          <w:rStyle w:val="FootnoteReference"/>
          <w:rFonts w:ascii="Times New Roman" w:hAnsi="Times New Roman" w:cs="Times New Roman"/>
          <w:noProof/>
          <w:sz w:val="24"/>
          <w:szCs w:val="24"/>
        </w:rPr>
        <w:footnoteReference w:id="16"/>
      </w:r>
      <w:r>
        <w:rPr>
          <w:rFonts w:ascii="Times New Roman" w:hAnsi="Times New Roman"/>
          <w:noProof/>
          <w:sz w:val="24"/>
        </w:rPr>
        <w:t xml:space="preserve">). L’annonce récente de </w:t>
      </w:r>
      <w:r>
        <w:rPr>
          <w:rFonts w:ascii="Times New Roman" w:hAnsi="Times New Roman"/>
          <w:b/>
          <w:noProof/>
          <w:sz w:val="24"/>
        </w:rPr>
        <w:t>l’initiative mondiale pour la résilience sanitaire</w:t>
      </w:r>
      <w:r>
        <w:rPr>
          <w:rFonts w:ascii="Times New Roman" w:hAnsi="Times New Roman"/>
          <w:noProof/>
          <w:sz w:val="24"/>
        </w:rPr>
        <w:t xml:space="preserve"> par la présidente Ursula von der Leyen dans son discours sur l’état de l’Union (</w:t>
      </w:r>
      <w:r>
        <w:rPr>
          <w:rStyle w:val="FootnoteReference"/>
          <w:rFonts w:ascii="Times New Roman" w:hAnsi="Times New Roman" w:cs="Times New Roman"/>
          <w:noProof/>
          <w:sz w:val="24"/>
          <w:szCs w:val="24"/>
        </w:rPr>
        <w:footnoteReference w:id="17"/>
      </w:r>
      <w:r>
        <w:rPr>
          <w:rFonts w:ascii="Times New Roman" w:hAnsi="Times New Roman"/>
          <w:noProof/>
          <w:sz w:val="24"/>
        </w:rPr>
        <w:t>) en septembre 2025 confirme cet engagement.</w:t>
      </w:r>
    </w:p>
    <w:p w14:paraId="0E8AB0C3" w14:textId="049BFF11" w:rsidR="4E534A51" w:rsidRPr="008B3AAF" w:rsidRDefault="00824D60" w:rsidP="005752A8">
      <w:pPr>
        <w:pStyle w:val="ManualHeading1"/>
        <w:spacing w:after="360"/>
        <w:rPr>
          <w:noProof/>
        </w:rPr>
      </w:pPr>
      <w:r>
        <w:rPr>
          <w:noProof/>
        </w:rPr>
        <w:t>2.</w:t>
      </w:r>
      <w:r>
        <w:rPr>
          <w:noProof/>
        </w:rPr>
        <w:tab/>
        <w:t>LE PLAN DE PRÉVENTION, DE PRÉPARATION ET DE RÉACTION DE L’UNION CONTRE LES CRISES SANITAIRES</w:t>
      </w:r>
    </w:p>
    <w:p w14:paraId="2209F424" w14:textId="12FA0D0A" w:rsidR="007C063A" w:rsidRPr="003E1F30" w:rsidRDefault="00060691" w:rsidP="003E1F30">
      <w:pPr>
        <w:pStyle w:val="Heading2"/>
        <w:rPr>
          <w:rStyle w:val="Emphasis"/>
          <w:noProof/>
        </w:rPr>
      </w:pPr>
      <w:r>
        <w:rPr>
          <w:rStyle w:val="Emphasis"/>
          <w:noProof/>
        </w:rPr>
        <w:t>Le plan de l’Union: une boîte à outils pour les gestionnaires de crise</w:t>
      </w:r>
    </w:p>
    <w:p w14:paraId="68188CC9" w14:textId="308D8F1A" w:rsidR="008D2B18" w:rsidRDefault="1CC26C06" w:rsidP="44CCC7F6">
      <w:pPr>
        <w:jc w:val="both"/>
        <w:rPr>
          <w:rFonts w:ascii="Times New Roman" w:hAnsi="Times New Roman" w:cs="Times New Roman"/>
          <w:noProof/>
          <w:sz w:val="24"/>
          <w:szCs w:val="24"/>
        </w:rPr>
      </w:pPr>
      <w:r>
        <w:rPr>
          <w:rFonts w:ascii="Times New Roman" w:hAnsi="Times New Roman"/>
          <w:noProof/>
          <w:sz w:val="24"/>
        </w:rPr>
        <w:t>Le plan de l’Union, qui accompagne la présente communication de la Commission, est le schéma directeur de l’UE pour l’action face aux menaces transfrontières graves pour la santé et il englobe la prévention, la préparation et la réaction. Il constitue une boîte à outils complète qui donne aux gestionnaires de crise les moyens de prévenir les situations d’urgence, de s’y préparer et d’y réagir rapidement et efficacement. Il complète les efforts nationaux en décrivant la manière dont l’UE coordonne la prévention et la préparation, les capacités et les ressources communes qui peuvent être exploitées et comment la solidarité mène à l’action quand cela compte le plus. Le plan de l’Union présente également le processus de reconnaissance d’une urgence de santé publique à l’échelle de l’UE et décrit sommairement les mesures et procédures supplémentaires qui peuvent être activées, garantissant ainsi que l’UE peut agir rapidement et avec détermination. Point tout aussi important, le plan contribue à favoriser une culture de l’apprentissage et de l’amélioration continue, en aidant les États membres à revoir, à réviser et à renforcer leurs propres systèmes. Cela permet à l’UE de se rétablir rapidement et de sortir plus forte de chaque crise.</w:t>
      </w:r>
    </w:p>
    <w:p w14:paraId="26628D76" w14:textId="32F8530C" w:rsidR="00B319D7" w:rsidRPr="007225A3" w:rsidRDefault="03F25038" w:rsidP="00B319D7">
      <w:pPr>
        <w:jc w:val="both"/>
        <w:rPr>
          <w:rFonts w:ascii="Times New Roman" w:hAnsi="Times New Roman" w:cs="Times New Roman"/>
          <w:noProof/>
          <w:sz w:val="24"/>
          <w:szCs w:val="24"/>
        </w:rPr>
      </w:pPr>
      <w:r>
        <w:rPr>
          <w:rFonts w:ascii="Times New Roman" w:hAnsi="Times New Roman"/>
          <w:noProof/>
          <w:sz w:val="24"/>
        </w:rPr>
        <w:t>Le plan de l’Union est principalement conçu pour les États membres, en particulier pour les autorités chargées de la gestion des crises et de la mise en œuvre des politiques en matière de planification de la prévention, de la préparation et de la réaction. Toutefois, son utilité va bien au-delà, car il profite aux agences et aux organes de l’UE, aux partenaires internationaux tels que l’Organisation mondiale de la santé (OMS) et aux acteurs clés de la société civile, des milieux universitaires, du secteur privé, des partenaires sociaux et des médias.</w:t>
      </w:r>
    </w:p>
    <w:p w14:paraId="2C2A581B" w14:textId="025F1DEC" w:rsidR="007C063A" w:rsidRPr="007225A3" w:rsidRDefault="3FD569D5" w:rsidP="007C063A">
      <w:pPr>
        <w:jc w:val="both"/>
        <w:rPr>
          <w:rFonts w:ascii="Times New Roman" w:hAnsi="Times New Roman" w:cs="Times New Roman"/>
          <w:noProof/>
          <w:sz w:val="24"/>
          <w:szCs w:val="24"/>
        </w:rPr>
      </w:pPr>
      <w:r>
        <w:rPr>
          <w:rFonts w:ascii="Times New Roman" w:hAnsi="Times New Roman"/>
          <w:noProof/>
          <w:sz w:val="24"/>
        </w:rPr>
        <w:t>Le plan de l’Union a été élaboré grâce à une collaboration intersectorielle et en consultation avec les États membres et d’autres parties prenantes (</w:t>
      </w:r>
      <w:r>
        <w:rPr>
          <w:rStyle w:val="FootnoteReference"/>
          <w:rFonts w:ascii="Times New Roman" w:hAnsi="Times New Roman" w:cs="Times New Roman"/>
          <w:noProof/>
          <w:sz w:val="24"/>
          <w:szCs w:val="24"/>
        </w:rPr>
        <w:footnoteReference w:id="18"/>
      </w:r>
      <w:r>
        <w:rPr>
          <w:rFonts w:ascii="Times New Roman" w:hAnsi="Times New Roman"/>
          <w:noProof/>
          <w:sz w:val="24"/>
        </w:rPr>
        <w:t>). Il s’appuie sur le cadre de sécurité sanitaire renforcé de l’UE et sur des documents d’orientation récemment publiés (</w:t>
      </w:r>
      <w:r>
        <w:rPr>
          <w:rStyle w:val="FootnoteReference"/>
          <w:rFonts w:ascii="Times New Roman" w:hAnsi="Times New Roman" w:cs="Times New Roman"/>
          <w:noProof/>
          <w:sz w:val="24"/>
          <w:szCs w:val="24"/>
        </w:rPr>
        <w:footnoteReference w:id="19"/>
      </w:r>
      <w:r>
        <w:rPr>
          <w:rFonts w:ascii="Times New Roman" w:hAnsi="Times New Roman"/>
          <w:noProof/>
          <w:sz w:val="24"/>
        </w:rPr>
        <w:t>), et les intègre.</w:t>
      </w:r>
    </w:p>
    <w:p w14:paraId="250A8914" w14:textId="02A4B666" w:rsidR="007C063A" w:rsidRPr="003C7286" w:rsidRDefault="01545CC2" w:rsidP="672E3538">
      <w:pPr>
        <w:pStyle w:val="Heading2"/>
        <w:rPr>
          <w:rFonts w:cs="Times New Roman"/>
          <w:i/>
          <w:iCs/>
          <w:noProof/>
        </w:rPr>
      </w:pPr>
      <w:r>
        <w:rPr>
          <w:i/>
          <w:noProof/>
        </w:rPr>
        <w:t>Prévenir une crise sanitaire, s’y préparer, y réagir et s’en rétablir</w:t>
      </w:r>
    </w:p>
    <w:p w14:paraId="44D1BAAF" w14:textId="78550751" w:rsidR="00060691" w:rsidRPr="008B3AAF" w:rsidRDefault="01545CC2" w:rsidP="00060691">
      <w:pPr>
        <w:jc w:val="both"/>
        <w:rPr>
          <w:rFonts w:ascii="Times New Roman" w:hAnsi="Times New Roman" w:cs="Times New Roman"/>
          <w:noProof/>
          <w:sz w:val="24"/>
          <w:szCs w:val="24"/>
        </w:rPr>
      </w:pPr>
      <w:r>
        <w:rPr>
          <w:rFonts w:ascii="Times New Roman" w:hAnsi="Times New Roman"/>
          <w:noProof/>
          <w:sz w:val="24"/>
        </w:rPr>
        <w:t>Le plan de l’Union se rapporte à un large éventail de crises, qu’elles soient naturelles, accidentelles ou intentionnelles, y compris celles d’origine biologique, chimique, environnementale ou inconnue (</w:t>
      </w:r>
      <w:r>
        <w:rPr>
          <w:rStyle w:val="FootnoteReference"/>
          <w:rFonts w:ascii="Times New Roman" w:hAnsi="Times New Roman" w:cs="Times New Roman"/>
          <w:noProof/>
          <w:sz w:val="24"/>
          <w:szCs w:val="24"/>
        </w:rPr>
        <w:footnoteReference w:id="20"/>
      </w:r>
      <w:r>
        <w:rPr>
          <w:rFonts w:ascii="Times New Roman" w:hAnsi="Times New Roman"/>
          <w:noProof/>
          <w:sz w:val="24"/>
        </w:rPr>
        <w:t>). Il s’applique également aux «situations d’urgence exceptionnelles» qui nécessitent une réaction coordonnée de l’UE (</w:t>
      </w:r>
      <w:r>
        <w:rPr>
          <w:rFonts w:ascii="Times New Roman" w:hAnsi="Times New Roman" w:cs="Times New Roman"/>
          <w:noProof/>
          <w:sz w:val="24"/>
          <w:szCs w:val="24"/>
          <w:vertAlign w:val="superscript"/>
        </w:rPr>
        <w:footnoteReference w:id="21"/>
      </w:r>
      <w:r>
        <w:rPr>
          <w:rFonts w:ascii="Times New Roman" w:hAnsi="Times New Roman"/>
          <w:noProof/>
          <w:sz w:val="24"/>
        </w:rPr>
        <w:t>), telles que les conflits armés ou les situations dans lesquelles les mesures existantes se sont révélées insuffisantes pour protéger la santé des personnes. Le plan de l’Union repose sur une approche tous risques, tous secteurs et pansociétale, fondée sur les principes de l’approche «Une seule santé» (</w:t>
      </w:r>
      <w:r>
        <w:rPr>
          <w:rStyle w:val="FootnoteReference"/>
          <w:rFonts w:ascii="Times New Roman" w:hAnsi="Times New Roman" w:cs="Times New Roman"/>
          <w:noProof/>
          <w:sz w:val="24"/>
          <w:szCs w:val="24"/>
        </w:rPr>
        <w:footnoteReference w:id="22"/>
      </w:r>
      <w:r>
        <w:rPr>
          <w:rFonts w:ascii="Times New Roman" w:hAnsi="Times New Roman"/>
          <w:noProof/>
          <w:sz w:val="24"/>
        </w:rPr>
        <w:t>) ainsi que sur une coopération pangouvernementale englobant l’ensemble de la société. Cette approche est essentielle, étant donné qu’il est nécessaire de réagir de manière exhaustive aux menaces et aux risques complexes pour les gérer efficacement.</w:t>
      </w:r>
    </w:p>
    <w:p w14:paraId="4A24C525" w14:textId="0A63B8FD" w:rsidR="00551838" w:rsidRPr="008B3AAF" w:rsidRDefault="7751046B" w:rsidP="00B26F15">
      <w:pPr>
        <w:jc w:val="both"/>
        <w:rPr>
          <w:rFonts w:ascii="Times New Roman" w:hAnsi="Times New Roman" w:cs="Times New Roman"/>
          <w:noProof/>
          <w:sz w:val="24"/>
          <w:szCs w:val="24"/>
        </w:rPr>
      </w:pPr>
      <w:r>
        <w:rPr>
          <w:rFonts w:ascii="Times New Roman" w:hAnsi="Times New Roman"/>
          <w:noProof/>
          <w:sz w:val="24"/>
        </w:rPr>
        <w:t>Le plan de l’Union couvre les quatre phases du cycle de gestion des crises sanitaires: 1) prévention et préparation, 2) détection et évaluation, 3) réaction et 4) rétablissement. Il présente les ressources, les capacités et l’architecture de gouvernance de l’UE en matière de crise sanitaire, ainsi que les mécanismes de soutien en place pour chaque phase.</w:t>
      </w:r>
    </w:p>
    <w:p w14:paraId="48D187F2" w14:textId="0ED944E2" w:rsidR="004127E2" w:rsidRPr="008B3AAF" w:rsidRDefault="004127E2" w:rsidP="00B26F15">
      <w:pPr>
        <w:keepNext/>
        <w:pBdr>
          <w:top w:val="single" w:sz="4" w:space="1" w:color="auto"/>
          <w:left w:val="single" w:sz="4" w:space="4" w:color="auto"/>
          <w:bottom w:val="single" w:sz="4" w:space="1" w:color="auto"/>
          <w:right w:val="single" w:sz="4" w:space="4" w:color="auto"/>
        </w:pBdr>
        <w:shd w:val="clear" w:color="auto" w:fill="DBE5F1" w:themeFill="accent1" w:themeFillTint="33"/>
        <w:jc w:val="both"/>
        <w:rPr>
          <w:rFonts w:ascii="Times New Roman" w:hAnsi="Times New Roman" w:cs="Times New Roman"/>
          <w:b/>
          <w:bCs/>
          <w:noProof/>
          <w:sz w:val="24"/>
          <w:szCs w:val="24"/>
        </w:rPr>
      </w:pPr>
      <w:r>
        <w:rPr>
          <w:rFonts w:ascii="Times New Roman" w:hAnsi="Times New Roman"/>
          <w:b/>
          <w:noProof/>
          <w:sz w:val="24"/>
        </w:rPr>
        <w:t>Phase 1: prévenir les crises sanitaires et s’y préparer</w:t>
      </w:r>
    </w:p>
    <w:p w14:paraId="0E0C7581" w14:textId="40345B28" w:rsidR="00144D74" w:rsidRPr="008B3AAF" w:rsidRDefault="6B3DFF14" w:rsidP="00396873">
      <w:pPr>
        <w:shd w:val="clear" w:color="auto" w:fill="FFFFFF" w:themeFill="background1"/>
        <w:spacing w:after="120"/>
        <w:jc w:val="both"/>
        <w:rPr>
          <w:rFonts w:ascii="Times New Roman" w:hAnsi="Times New Roman" w:cs="Times New Roman"/>
          <w:noProof/>
          <w:sz w:val="24"/>
          <w:szCs w:val="24"/>
        </w:rPr>
      </w:pPr>
      <w:r>
        <w:rPr>
          <w:rFonts w:ascii="Times New Roman" w:hAnsi="Times New Roman"/>
          <w:noProof/>
          <w:sz w:val="24"/>
        </w:rPr>
        <w:t>L’UE doit garantir une prévention et une préparation solides face aux potentielles menaces transfrontières graves pour la santé afin d’être en mesure de protéger les populations et de préserver la sécurité de la santé publique. Les activités suivantes contribuent à la réalisation de cet objectif.</w:t>
      </w:r>
    </w:p>
    <w:p w14:paraId="502424C0" w14:textId="69BFAEA1" w:rsidR="003B750C" w:rsidRPr="008C29AF" w:rsidRDefault="5D5FFD3E" w:rsidP="003B750C">
      <w:pPr>
        <w:pStyle w:val="ListParagraph"/>
        <w:numPr>
          <w:ilvl w:val="0"/>
          <w:numId w:val="25"/>
        </w:numPr>
        <w:shd w:val="clear" w:color="auto" w:fill="FFFFFF" w:themeFill="background1"/>
        <w:jc w:val="both"/>
        <w:rPr>
          <w:rFonts w:ascii="Times New Roman" w:hAnsi="Times New Roman" w:cs="Times New Roman"/>
          <w:noProof/>
          <w:sz w:val="24"/>
          <w:szCs w:val="24"/>
        </w:rPr>
      </w:pPr>
      <w:r>
        <w:rPr>
          <w:rFonts w:ascii="Times New Roman" w:hAnsi="Times New Roman"/>
          <w:noProof/>
          <w:sz w:val="24"/>
        </w:rPr>
        <w:t xml:space="preserve">Les États membres établissent périodiquement des rapports concernant la planification et la mise en œuvre de leurs </w:t>
      </w:r>
      <w:r>
        <w:rPr>
          <w:rFonts w:ascii="Times New Roman" w:hAnsi="Times New Roman"/>
          <w:b/>
          <w:noProof/>
          <w:sz w:val="24"/>
        </w:rPr>
        <w:t>plans nationaux de prévention, de préparation et de réaction</w:t>
      </w:r>
      <w:r>
        <w:rPr>
          <w:rFonts w:ascii="Times New Roman" w:hAnsi="Times New Roman"/>
          <w:noProof/>
          <w:sz w:val="24"/>
        </w:rPr>
        <w:t> (</w:t>
      </w:r>
      <w:r>
        <w:rPr>
          <w:rStyle w:val="FootnoteReference"/>
          <w:rFonts w:ascii="Times New Roman" w:hAnsi="Times New Roman" w:cs="Times New Roman"/>
          <w:noProof/>
          <w:sz w:val="24"/>
          <w:szCs w:val="24"/>
        </w:rPr>
        <w:footnoteReference w:id="23"/>
      </w:r>
      <w:r>
        <w:rPr>
          <w:rFonts w:ascii="Times New Roman" w:hAnsi="Times New Roman"/>
          <w:noProof/>
          <w:sz w:val="24"/>
        </w:rPr>
        <w:t>).</w:t>
      </w:r>
    </w:p>
    <w:p w14:paraId="15A2ABCD" w14:textId="3D2574B9" w:rsidR="003B750C" w:rsidRPr="007225A3" w:rsidRDefault="5D5FFD3E" w:rsidP="003B750C">
      <w:pPr>
        <w:pStyle w:val="ListParagraph"/>
        <w:numPr>
          <w:ilvl w:val="0"/>
          <w:numId w:val="25"/>
        </w:numPr>
        <w:shd w:val="clear" w:color="auto" w:fill="FFFFFF" w:themeFill="background1"/>
        <w:jc w:val="both"/>
        <w:rPr>
          <w:rFonts w:ascii="Times New Roman" w:hAnsi="Times New Roman" w:cs="Times New Roman"/>
          <w:noProof/>
          <w:sz w:val="24"/>
          <w:szCs w:val="24"/>
        </w:rPr>
      </w:pPr>
      <w:r>
        <w:rPr>
          <w:rFonts w:ascii="Times New Roman" w:hAnsi="Times New Roman"/>
          <w:noProof/>
          <w:sz w:val="24"/>
        </w:rPr>
        <w:t xml:space="preserve">Les États membres se coordonnent avec la Commission au sein du </w:t>
      </w:r>
      <w:r>
        <w:rPr>
          <w:rFonts w:ascii="Times New Roman" w:hAnsi="Times New Roman"/>
          <w:b/>
          <w:noProof/>
          <w:sz w:val="24"/>
        </w:rPr>
        <w:t>comité de sécurité sanitaire</w:t>
      </w:r>
      <w:r>
        <w:rPr>
          <w:rFonts w:ascii="Times New Roman" w:hAnsi="Times New Roman"/>
          <w:noProof/>
          <w:sz w:val="24"/>
        </w:rPr>
        <w:t xml:space="preserve"> (CSS) (</w:t>
      </w:r>
      <w:r>
        <w:rPr>
          <w:rStyle w:val="FootnoteReference"/>
          <w:rFonts w:ascii="Times New Roman" w:eastAsia="Times New Roman" w:hAnsi="Times New Roman" w:cs="Times New Roman"/>
          <w:noProof/>
          <w:sz w:val="24"/>
          <w:szCs w:val="24"/>
        </w:rPr>
        <w:footnoteReference w:id="24"/>
      </w:r>
      <w:r>
        <w:rPr>
          <w:rFonts w:ascii="Times New Roman" w:hAnsi="Times New Roman"/>
          <w:noProof/>
          <w:sz w:val="24"/>
        </w:rPr>
        <w:t>) afin de faciliter l’élaboration de leurs plans nationaux de prévention, de préparation et de réaction.</w:t>
      </w:r>
    </w:p>
    <w:p w14:paraId="1CA586FB" w14:textId="6E20BD66" w:rsidR="003B750C" w:rsidRPr="007225A3" w:rsidRDefault="003B750C" w:rsidP="003B750C">
      <w:pPr>
        <w:pStyle w:val="ListParagraph"/>
        <w:numPr>
          <w:ilvl w:val="0"/>
          <w:numId w:val="25"/>
        </w:numPr>
        <w:shd w:val="clear" w:color="auto" w:fill="FFFFFF" w:themeFill="background1"/>
        <w:jc w:val="both"/>
        <w:rPr>
          <w:rFonts w:ascii="Times New Roman" w:hAnsi="Times New Roman" w:cs="Times New Roman"/>
          <w:noProof/>
          <w:sz w:val="24"/>
          <w:szCs w:val="24"/>
        </w:rPr>
      </w:pPr>
      <w:r>
        <w:rPr>
          <w:rFonts w:ascii="Times New Roman" w:hAnsi="Times New Roman"/>
          <w:noProof/>
          <w:sz w:val="24"/>
        </w:rPr>
        <w:t xml:space="preserve">L’ECDC procède à des </w:t>
      </w:r>
      <w:r>
        <w:rPr>
          <w:rFonts w:ascii="Times New Roman" w:hAnsi="Times New Roman"/>
          <w:b/>
          <w:noProof/>
          <w:sz w:val="24"/>
        </w:rPr>
        <w:t>évaluations de la préparation aux situations d’urgence de santé publique</w:t>
      </w:r>
      <w:r>
        <w:rPr>
          <w:rFonts w:ascii="Times New Roman" w:hAnsi="Times New Roman"/>
          <w:noProof/>
          <w:sz w:val="24"/>
        </w:rPr>
        <w:t> (</w:t>
      </w:r>
      <w:r>
        <w:rPr>
          <w:rStyle w:val="FootnoteReference"/>
          <w:rFonts w:ascii="Times New Roman" w:eastAsia="Times New Roman" w:hAnsi="Times New Roman" w:cs="Times New Roman"/>
          <w:noProof/>
          <w:sz w:val="24"/>
          <w:szCs w:val="24"/>
        </w:rPr>
        <w:footnoteReference w:id="25"/>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pour évaluer l’état d’avancement de la mise en œuvre des plans nationaux et formule des recommandations pour les améliorer.</w:t>
      </w:r>
    </w:p>
    <w:p w14:paraId="65D106A7" w14:textId="66AB3CC9" w:rsidR="004C5F2E" w:rsidRPr="007225A3" w:rsidRDefault="00556273" w:rsidP="00B26F15">
      <w:pPr>
        <w:pStyle w:val="ListParagraph"/>
        <w:numPr>
          <w:ilvl w:val="0"/>
          <w:numId w:val="25"/>
        </w:numPr>
        <w:shd w:val="clear" w:color="auto" w:fill="FFFFFF" w:themeFill="background1"/>
        <w:jc w:val="both"/>
        <w:rPr>
          <w:rFonts w:ascii="Times New Roman" w:hAnsi="Times New Roman" w:cs="Times New Roman"/>
          <w:noProof/>
          <w:sz w:val="24"/>
          <w:szCs w:val="24"/>
        </w:rPr>
      </w:pPr>
      <w:r>
        <w:rPr>
          <w:rFonts w:ascii="Times New Roman" w:hAnsi="Times New Roman"/>
          <w:noProof/>
          <w:sz w:val="24"/>
        </w:rPr>
        <w:t xml:space="preserve">Les États membres renforcent </w:t>
      </w:r>
      <w:r>
        <w:rPr>
          <w:rFonts w:ascii="Times New Roman" w:hAnsi="Times New Roman"/>
          <w:b/>
          <w:noProof/>
          <w:sz w:val="24"/>
        </w:rPr>
        <w:t>les systèmes de soins de santé et le personnel de santé</w:t>
      </w:r>
      <w:r>
        <w:rPr>
          <w:rFonts w:ascii="Times New Roman" w:hAnsi="Times New Roman"/>
          <w:noProof/>
          <w:sz w:val="24"/>
        </w:rPr>
        <w:t xml:space="preserve"> afin qu’ils puissent être plus résilients sous pression; cela englobe la promotion de la </w:t>
      </w:r>
      <w:r>
        <w:rPr>
          <w:rFonts w:ascii="Times New Roman" w:hAnsi="Times New Roman"/>
          <w:b/>
          <w:noProof/>
          <w:sz w:val="24"/>
        </w:rPr>
        <w:t>vaccination</w:t>
      </w:r>
      <w:r>
        <w:rPr>
          <w:rFonts w:ascii="Times New Roman" w:hAnsi="Times New Roman"/>
          <w:noProof/>
          <w:sz w:val="24"/>
        </w:rPr>
        <w:t xml:space="preserve"> comme l’un des outils de santé publique les plus puissants et les plus efficaces sur le plan des coûts pour prévenir les maladies.</w:t>
      </w:r>
    </w:p>
    <w:p w14:paraId="10FB6A43" w14:textId="36F2B30E" w:rsidR="00FE37AC" w:rsidRPr="007225A3" w:rsidRDefault="79F5159F" w:rsidP="00B26F15">
      <w:pPr>
        <w:pStyle w:val="ListParagraph"/>
        <w:numPr>
          <w:ilvl w:val="0"/>
          <w:numId w:val="25"/>
        </w:numPr>
        <w:shd w:val="clear" w:color="auto" w:fill="FFFFFF" w:themeFill="background1"/>
        <w:jc w:val="both"/>
        <w:rPr>
          <w:rFonts w:ascii="Times New Roman" w:hAnsi="Times New Roman" w:cs="Times New Roman"/>
          <w:noProof/>
          <w:sz w:val="24"/>
          <w:szCs w:val="24"/>
        </w:rPr>
      </w:pPr>
      <w:r>
        <w:rPr>
          <w:rFonts w:ascii="Times New Roman" w:hAnsi="Times New Roman"/>
          <w:noProof/>
          <w:sz w:val="24"/>
        </w:rPr>
        <w:t>La Commission, avec l’assistance et les avis des États membres par l’intermédiaire du</w:t>
      </w:r>
      <w:r>
        <w:rPr>
          <w:rFonts w:ascii="Times New Roman" w:hAnsi="Times New Roman"/>
          <w:b/>
          <w:noProof/>
          <w:sz w:val="24"/>
        </w:rPr>
        <w:t xml:space="preserve"> conseil de l’HERA</w:t>
      </w:r>
      <w:r>
        <w:rPr>
          <w:rFonts w:ascii="Times New Roman" w:hAnsi="Times New Roman"/>
          <w:noProof/>
          <w:sz w:val="24"/>
        </w:rPr>
        <w:t xml:space="preserve">, soutient le développement, la disponibilité et la distribution de </w:t>
      </w:r>
      <w:r>
        <w:rPr>
          <w:rFonts w:ascii="Times New Roman" w:hAnsi="Times New Roman"/>
          <w:b/>
          <w:noProof/>
          <w:sz w:val="24"/>
        </w:rPr>
        <w:t>contre-mesures médicales</w:t>
      </w:r>
      <w:r>
        <w:rPr>
          <w:rFonts w:ascii="Times New Roman" w:hAnsi="Times New Roman"/>
          <w:noProof/>
          <w:sz w:val="24"/>
        </w:rPr>
        <w:t>, allant des vaccins aux traitements, aux diagnostics, aux dispositifs médicaux et aux équipements de protection, y compris l’évaluation et l’anticipation des menaces s’y rapportant ainsi que la collecte de renseignements.</w:t>
      </w:r>
    </w:p>
    <w:p w14:paraId="7DAAFB4B" w14:textId="5542E686" w:rsidR="00F45F0E" w:rsidRPr="007225A3" w:rsidRDefault="718246AD" w:rsidP="00B26F15">
      <w:pPr>
        <w:pStyle w:val="ListParagraph"/>
        <w:numPr>
          <w:ilvl w:val="0"/>
          <w:numId w:val="25"/>
        </w:numPr>
        <w:shd w:val="clear" w:color="auto" w:fill="FFFFFF" w:themeFill="background1"/>
        <w:jc w:val="both"/>
        <w:rPr>
          <w:rFonts w:ascii="Times New Roman" w:hAnsi="Times New Roman" w:cs="Times New Roman"/>
          <w:noProof/>
          <w:sz w:val="24"/>
          <w:szCs w:val="24"/>
        </w:rPr>
      </w:pPr>
      <w:r>
        <w:rPr>
          <w:rFonts w:ascii="Times New Roman" w:hAnsi="Times New Roman"/>
          <w:noProof/>
          <w:sz w:val="24"/>
        </w:rPr>
        <w:t xml:space="preserve">Afin d’atténuer les risques en cas de futures urgences sanitaires, la Commission a réservé une capacité de fabrication de vaccins à l’aide de </w:t>
      </w:r>
      <w:r>
        <w:rPr>
          <w:rFonts w:ascii="Times New Roman" w:hAnsi="Times New Roman"/>
          <w:b/>
          <w:noProof/>
          <w:sz w:val="24"/>
        </w:rPr>
        <w:t>Fab UE</w:t>
      </w:r>
      <w:r>
        <w:rPr>
          <w:rFonts w:ascii="Times New Roman" w:hAnsi="Times New Roman"/>
          <w:noProof/>
          <w:sz w:val="24"/>
        </w:rPr>
        <w:t xml:space="preserve"> afin de garantir un état de préparation constant et un approvisionnement adéquat en matières premières critiques.</w:t>
      </w:r>
    </w:p>
    <w:p w14:paraId="17B488B4" w14:textId="3399EB31" w:rsidR="001A40DA" w:rsidRPr="00F513B5" w:rsidDel="009F06A0" w:rsidRDefault="7A15B252" w:rsidP="00351968">
      <w:pPr>
        <w:pStyle w:val="ListParagraph"/>
        <w:numPr>
          <w:ilvl w:val="0"/>
          <w:numId w:val="25"/>
        </w:numPr>
        <w:shd w:val="clear" w:color="auto" w:fill="FFFFFF" w:themeFill="background1"/>
        <w:spacing w:after="360"/>
        <w:jc w:val="both"/>
        <w:rPr>
          <w:rFonts w:ascii="Times New Roman" w:hAnsi="Times New Roman" w:cs="Times New Roman"/>
          <w:noProof/>
          <w:sz w:val="24"/>
          <w:szCs w:val="24"/>
        </w:rPr>
      </w:pPr>
      <w:r>
        <w:rPr>
          <w:rFonts w:ascii="Times New Roman" w:hAnsi="Times New Roman"/>
          <w:noProof/>
          <w:sz w:val="24"/>
        </w:rPr>
        <w:t xml:space="preserve">Les mécanismes de soutien de l’UE, tels que </w:t>
      </w:r>
      <w:r>
        <w:rPr>
          <w:rFonts w:ascii="Times New Roman" w:hAnsi="Times New Roman"/>
          <w:b/>
          <w:noProof/>
          <w:sz w:val="24"/>
        </w:rPr>
        <w:t>la task-force de l’Union dans le domaine de la santé</w:t>
      </w:r>
      <w:r>
        <w:rPr>
          <w:rFonts w:ascii="Times New Roman" w:hAnsi="Times New Roman"/>
          <w:noProof/>
          <w:sz w:val="24"/>
        </w:rPr>
        <w:t xml:space="preserve"> et le </w:t>
      </w:r>
      <w:r>
        <w:rPr>
          <w:rFonts w:ascii="Times New Roman" w:hAnsi="Times New Roman"/>
          <w:b/>
          <w:noProof/>
          <w:sz w:val="24"/>
        </w:rPr>
        <w:t>mécanisme de protection civile de l’Union (MPCU)</w:t>
      </w:r>
      <w:r>
        <w:rPr>
          <w:rFonts w:ascii="Times New Roman" w:hAnsi="Times New Roman"/>
          <w:noProof/>
          <w:sz w:val="24"/>
        </w:rPr>
        <w:t>, aident les États membres à se préparer aux crises sanitaires.</w:t>
      </w:r>
    </w:p>
    <w:p w14:paraId="5C76FFD1" w14:textId="2D8B0348" w:rsidR="00625D5F" w:rsidRDefault="00F102B9" w:rsidP="00625D5F">
      <w:pPr>
        <w:pBdr>
          <w:top w:val="single" w:sz="4" w:space="1" w:color="auto"/>
          <w:left w:val="single" w:sz="4" w:space="4" w:color="auto"/>
          <w:bottom w:val="single" w:sz="4" w:space="0" w:color="auto"/>
          <w:right w:val="single" w:sz="4" w:space="4" w:color="auto"/>
        </w:pBdr>
        <w:shd w:val="clear" w:color="auto" w:fill="F2F2F2" w:themeFill="background1" w:themeFillShade="F2"/>
        <w:spacing w:after="120"/>
        <w:jc w:val="both"/>
        <w:rPr>
          <w:rFonts w:ascii="Times New Roman" w:eastAsia="Times New Roman" w:hAnsi="Times New Roman" w:cs="Times New Roman"/>
          <w:b/>
          <w:bCs/>
          <w:noProof/>
        </w:rPr>
      </w:pPr>
      <w:r>
        <w:rPr>
          <w:rFonts w:ascii="Times New Roman" w:hAnsi="Times New Roman"/>
          <w:b/>
          <w:noProof/>
        </w:rPr>
        <w:t>La préparation en pratique:</w:t>
      </w:r>
      <w:r>
        <w:rPr>
          <w:rFonts w:ascii="Times New Roman" w:hAnsi="Times New Roman"/>
          <w:noProof/>
        </w:rPr>
        <w:t xml:space="preserve"> </w:t>
      </w:r>
      <w:r>
        <w:rPr>
          <w:rFonts w:ascii="Times New Roman" w:hAnsi="Times New Roman"/>
          <w:b/>
          <w:noProof/>
        </w:rPr>
        <w:t>acquisition de vaccins et vaccination</w:t>
      </w:r>
    </w:p>
    <w:p w14:paraId="2E6A2648" w14:textId="32E09297" w:rsidR="009D20DC" w:rsidRDefault="5D42E562" w:rsidP="672E3538">
      <w:pPr>
        <w:pBdr>
          <w:top w:val="single" w:sz="4" w:space="1" w:color="auto"/>
          <w:left w:val="single" w:sz="4" w:space="4" w:color="auto"/>
          <w:bottom w:val="single" w:sz="4" w:space="0" w:color="auto"/>
          <w:right w:val="single" w:sz="4" w:space="4" w:color="auto"/>
        </w:pBdr>
        <w:shd w:val="clear" w:color="auto" w:fill="F2F2F2" w:themeFill="background1" w:themeFillShade="F2"/>
        <w:jc w:val="both"/>
        <w:rPr>
          <w:rFonts w:ascii="Times New Roman" w:hAnsi="Times New Roman" w:cs="Times New Roman"/>
          <w:noProof/>
        </w:rPr>
      </w:pPr>
      <w:r>
        <w:rPr>
          <w:rFonts w:ascii="Times New Roman" w:hAnsi="Times New Roman"/>
          <w:noProof/>
        </w:rPr>
        <w:t xml:space="preserve">L’épidémie de mpox (anciennement connu sous le nom de variole du singe) dans l’UE/EEE en 2022 a mis en évidence l’importance d’une préparation à l’échelle de l’UE aux menaces transfrontières graves pour la santé. Tout d’abord, le </w:t>
      </w:r>
      <w:r>
        <w:rPr>
          <w:rFonts w:ascii="Times New Roman" w:hAnsi="Times New Roman"/>
          <w:b/>
          <w:noProof/>
        </w:rPr>
        <w:t>comité de sécurité sanitaire</w:t>
      </w:r>
      <w:r>
        <w:rPr>
          <w:rFonts w:ascii="Times New Roman" w:hAnsi="Times New Roman"/>
          <w:noProof/>
        </w:rPr>
        <w:t xml:space="preserve"> (CSS) a analysé la situation épidémiologique. Ensuite, le </w:t>
      </w:r>
      <w:r>
        <w:rPr>
          <w:rFonts w:ascii="Times New Roman" w:hAnsi="Times New Roman"/>
          <w:b/>
          <w:noProof/>
        </w:rPr>
        <w:t xml:space="preserve">conseil de l’HERA </w:t>
      </w:r>
      <w:r>
        <w:rPr>
          <w:rFonts w:ascii="Times New Roman" w:hAnsi="Times New Roman"/>
          <w:noProof/>
        </w:rPr>
        <w:t>s’est réuni et a aidé la Commission à obtenir en juin 2022 plus de 109 000 doses de vaccin, qui ont été données aux États membres et aux pays associés au programme «L’UE pour la santé» en un mois seulement à compter de la déclaration de la flambée épidémique.</w:t>
      </w:r>
    </w:p>
    <w:p w14:paraId="4EE8F40C" w14:textId="474D7B36" w:rsidR="00993893" w:rsidRDefault="5A24B1D5" w:rsidP="672E3538">
      <w:pPr>
        <w:pBdr>
          <w:top w:val="single" w:sz="4" w:space="1" w:color="auto"/>
          <w:left w:val="single" w:sz="4" w:space="4" w:color="auto"/>
          <w:bottom w:val="single" w:sz="4" w:space="0" w:color="auto"/>
          <w:right w:val="single" w:sz="4" w:space="4" w:color="auto"/>
        </w:pBdr>
        <w:shd w:val="clear" w:color="auto" w:fill="F2F2F2" w:themeFill="background1" w:themeFillShade="F2"/>
        <w:jc w:val="both"/>
        <w:rPr>
          <w:rFonts w:ascii="Times New Roman" w:hAnsi="Times New Roman" w:cs="Times New Roman"/>
          <w:noProof/>
        </w:rPr>
      </w:pPr>
      <w:r>
        <w:rPr>
          <w:rFonts w:ascii="Times New Roman" w:hAnsi="Times New Roman"/>
          <w:noProof/>
        </w:rPr>
        <w:t>Le CSS a également joué un rôle important en adoptant des recommandations pour une approche commune de l’UE en matière de politiques de vaccination contre le mpox (</w:t>
      </w:r>
      <w:r>
        <w:rPr>
          <w:rStyle w:val="FootnoteReference"/>
          <w:rFonts w:ascii="Times New Roman" w:hAnsi="Times New Roman" w:cs="Times New Roman"/>
          <w:noProof/>
          <w:lang w:val="en-IE"/>
        </w:rPr>
        <w:footnoteReference w:id="26"/>
      </w:r>
      <w:r>
        <w:rPr>
          <w:rFonts w:ascii="Times New Roman" w:hAnsi="Times New Roman"/>
          <w:noProof/>
        </w:rPr>
        <w:t>). L’avis du CSS exposait les principales considérations relatives aux stratégies nationales des États membres en matière de vaccination contre le mpox, conformément aux orientations publiées par l’ECDC/l’OMS et compte tenu de leurs circonstances épidémiologiques et de santé publique nationales, y compris la disponibilité des vaccins.</w:t>
      </w:r>
    </w:p>
    <w:p w14:paraId="3E431147" w14:textId="0B484F23" w:rsidR="00A47074" w:rsidRDefault="40CD293A" w:rsidP="672E3538">
      <w:pPr>
        <w:pBdr>
          <w:top w:val="single" w:sz="4" w:space="1" w:color="auto"/>
          <w:left w:val="single" w:sz="4" w:space="4" w:color="auto"/>
          <w:bottom w:val="single" w:sz="4" w:space="0" w:color="auto"/>
          <w:right w:val="single" w:sz="4" w:space="4" w:color="auto"/>
        </w:pBdr>
        <w:shd w:val="clear" w:color="auto" w:fill="F2F2F2" w:themeFill="background1" w:themeFillShade="F2"/>
        <w:jc w:val="both"/>
        <w:rPr>
          <w:rFonts w:ascii="Times New Roman" w:hAnsi="Times New Roman" w:cs="Times New Roman"/>
          <w:noProof/>
        </w:rPr>
      </w:pPr>
      <w:r>
        <w:rPr>
          <w:rFonts w:ascii="Times New Roman" w:hAnsi="Times New Roman"/>
          <w:noProof/>
        </w:rPr>
        <w:t>Afin de renforcer la préparation à moyen et à long terme au mpox, la Commission a également obtenu jusqu’à deux millions de doses du vaccin contre ce virus en 2023 et 2024 au moyen d’un contrat-cadre de passation conjointe de marché (</w:t>
      </w:r>
      <w:r>
        <w:rPr>
          <w:rStyle w:val="FootnoteReference"/>
          <w:rFonts w:ascii="Times New Roman" w:hAnsi="Times New Roman" w:cs="Times New Roman"/>
          <w:noProof/>
          <w:lang w:val="en-IE"/>
        </w:rPr>
        <w:footnoteReference w:id="27"/>
      </w:r>
      <w:r>
        <w:rPr>
          <w:rFonts w:ascii="Times New Roman" w:hAnsi="Times New Roman"/>
          <w:noProof/>
        </w:rPr>
        <w:t>). Ce contrat-cadre a donné aux États membres participants la possibilité de constituer des stocks et de planifier des stratégies de vaccination et a permis de préparer les mesures de réaction prises en 2024, telles que la coordination des dons de vaccins. Ces efforts montrent comment l’UE a su mettre à profit les achats regroupés et la constitution de stocks stratégiques pour maintenir un accès équitable, atténuer les risques liés à l’approvisionnement et anticiper les futures menaces pour la santé.</w:t>
      </w:r>
    </w:p>
    <w:p w14:paraId="51FFBAB2" w14:textId="05A8F81D" w:rsidR="00F102B9" w:rsidRDefault="5DAB468E" w:rsidP="672E3538">
      <w:pPr>
        <w:pBdr>
          <w:top w:val="single" w:sz="4" w:space="1" w:color="auto"/>
          <w:left w:val="single" w:sz="4" w:space="4" w:color="auto"/>
          <w:bottom w:val="single" w:sz="4" w:space="0" w:color="auto"/>
          <w:right w:val="single" w:sz="4" w:space="4" w:color="auto"/>
        </w:pBdr>
        <w:shd w:val="clear" w:color="auto" w:fill="F2F2F2" w:themeFill="background1" w:themeFillShade="F2"/>
        <w:spacing w:after="480"/>
        <w:jc w:val="both"/>
        <w:rPr>
          <w:rFonts w:ascii="Times New Roman" w:eastAsia="Times New Roman" w:hAnsi="Times New Roman" w:cs="Times New Roman"/>
          <w:b/>
          <w:bCs/>
          <w:noProof/>
        </w:rPr>
      </w:pPr>
      <w:r>
        <w:rPr>
          <w:rFonts w:ascii="Times New Roman" w:hAnsi="Times New Roman"/>
          <w:noProof/>
        </w:rPr>
        <w:t>Ces mécanismes vont au-delà de la réaction à une seule épidémie: ils illustrent une approche structurée et prospective de la préparation, qui permet à l’UE de réagir plus efficacement aux menaces sanitaires émergentes tout en renforçant la coopération transfrontière, la planification des ressources et la prise de décision fondée sur des données probantes pour l’avenir.</w:t>
      </w:r>
    </w:p>
    <w:p w14:paraId="79B29A5A" w14:textId="6782A56E" w:rsidR="62D65E89" w:rsidRPr="008B3AAF" w:rsidRDefault="62D65E89" w:rsidP="00952EEB">
      <w:pPr>
        <w:keepNext/>
        <w:pBdr>
          <w:top w:val="single" w:sz="4" w:space="1" w:color="auto"/>
          <w:left w:val="single" w:sz="4" w:space="4" w:color="auto"/>
          <w:bottom w:val="single" w:sz="4" w:space="1" w:color="auto"/>
          <w:right w:val="single" w:sz="4" w:space="4" w:color="auto"/>
        </w:pBdr>
        <w:shd w:val="clear" w:color="auto" w:fill="DBE5F1" w:themeFill="accent1" w:themeFillTint="33"/>
        <w:jc w:val="both"/>
        <w:rPr>
          <w:rFonts w:ascii="Times New Roman" w:hAnsi="Times New Roman" w:cs="Times New Roman"/>
          <w:b/>
          <w:bCs/>
          <w:noProof/>
          <w:sz w:val="24"/>
          <w:szCs w:val="24"/>
        </w:rPr>
      </w:pPr>
      <w:r>
        <w:rPr>
          <w:rFonts w:ascii="Times New Roman" w:hAnsi="Times New Roman"/>
          <w:b/>
          <w:noProof/>
          <w:sz w:val="24"/>
        </w:rPr>
        <w:t>Phase 2: détecter et évaluer les menaces pour la santé</w:t>
      </w:r>
    </w:p>
    <w:p w14:paraId="492AA0AA" w14:textId="57932015" w:rsidR="4FB4B7FC" w:rsidRPr="008B3AAF" w:rsidRDefault="4FB4B7FC" w:rsidP="00396873">
      <w:pPr>
        <w:shd w:val="clear" w:color="auto" w:fill="FFFFFF" w:themeFill="background1"/>
        <w:spacing w:after="120"/>
        <w:jc w:val="both"/>
        <w:rPr>
          <w:rFonts w:ascii="Times New Roman" w:eastAsia="Times New Roman" w:hAnsi="Times New Roman" w:cs="Times New Roman"/>
          <w:noProof/>
          <w:sz w:val="24"/>
          <w:szCs w:val="24"/>
        </w:rPr>
      </w:pPr>
      <w:r>
        <w:rPr>
          <w:rFonts w:ascii="Times New Roman" w:hAnsi="Times New Roman"/>
          <w:noProof/>
          <w:sz w:val="24"/>
        </w:rPr>
        <w:t>Pour pouvoir réagir aux crises sanitaires, il est indispensable de détecter et d’évaluer efficacement les menaces pour la santé. Les activités suivantes contribuent à la réalisation de cet objectif.</w:t>
      </w:r>
    </w:p>
    <w:p w14:paraId="177530B0" w14:textId="6C6471E3" w:rsidR="4FB4B7FC" w:rsidRPr="00A47F5F" w:rsidRDefault="2F50142D" w:rsidP="00914E8A">
      <w:pPr>
        <w:pStyle w:val="ListParagraph"/>
        <w:numPr>
          <w:ilvl w:val="0"/>
          <w:numId w:val="28"/>
        </w:num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La Commission améliore les </w:t>
      </w:r>
      <w:r>
        <w:rPr>
          <w:rFonts w:ascii="Times New Roman" w:hAnsi="Times New Roman"/>
          <w:b/>
          <w:noProof/>
          <w:sz w:val="24"/>
        </w:rPr>
        <w:t>systèmes de surveillance et de détection</w:t>
      </w:r>
      <w:r>
        <w:rPr>
          <w:rFonts w:ascii="Times New Roman" w:hAnsi="Times New Roman"/>
          <w:noProof/>
          <w:sz w:val="24"/>
        </w:rPr>
        <w:t>, notamment en désignant des laboratoires de référence de l’UE pour la santé publique et en intégrant diverses approches de surveillance, y compris le cadre «Une seule santé», le suivi en laboratoire, l’analyse des eaux usées et le contrôle et la surveillance des vecteurs.</w:t>
      </w:r>
    </w:p>
    <w:p w14:paraId="5B6AA6B1" w14:textId="0F381595" w:rsidR="4FB4B7FC" w:rsidRPr="008B3AAF" w:rsidRDefault="004D4A85" w:rsidP="00B26F15">
      <w:pPr>
        <w:pStyle w:val="ListParagraph"/>
        <w:numPr>
          <w:ilvl w:val="0"/>
          <w:numId w:val="28"/>
        </w:num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La Commission encourage </w:t>
      </w:r>
      <w:r>
        <w:rPr>
          <w:rFonts w:ascii="Times New Roman" w:hAnsi="Times New Roman"/>
          <w:b/>
          <w:noProof/>
          <w:sz w:val="24"/>
        </w:rPr>
        <w:t xml:space="preserve">le partage d’informations et l’interopérabilité des données </w:t>
      </w:r>
      <w:r>
        <w:rPr>
          <w:rFonts w:ascii="Times New Roman" w:hAnsi="Times New Roman"/>
          <w:noProof/>
          <w:sz w:val="24"/>
        </w:rPr>
        <w:t>afin d’améliorer la préparation et la réaction collectives aux crises sanitaires.</w:t>
      </w:r>
    </w:p>
    <w:p w14:paraId="34055E3E" w14:textId="6471F2CB" w:rsidR="4FB4B7FC" w:rsidRPr="008B3AAF" w:rsidRDefault="186A9034" w:rsidP="00B26F15">
      <w:pPr>
        <w:pStyle w:val="ListParagraph"/>
        <w:numPr>
          <w:ilvl w:val="0"/>
          <w:numId w:val="28"/>
        </w:num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La Commission soutient le caractère global et coordonné de </w:t>
      </w:r>
      <w:r>
        <w:rPr>
          <w:rFonts w:ascii="Times New Roman" w:hAnsi="Times New Roman"/>
          <w:b/>
          <w:noProof/>
          <w:sz w:val="24"/>
        </w:rPr>
        <w:t>l’évaluation des menaces et des risques et de l’alerte précoce</w:t>
      </w:r>
      <w:r>
        <w:rPr>
          <w:rFonts w:ascii="Times New Roman" w:hAnsi="Times New Roman"/>
          <w:noProof/>
          <w:sz w:val="24"/>
        </w:rPr>
        <w:t xml:space="preserve"> au niveau national et à l’échelle de l’UE afin d’éclairer des mesures de réaction rapidement prises et efficaces.</w:t>
      </w:r>
    </w:p>
    <w:p w14:paraId="3D54FABE" w14:textId="088F4271" w:rsidR="00351968" w:rsidRDefault="00AA17A0" w:rsidP="00D81829">
      <w:pPr>
        <w:pStyle w:val="ListParagraph"/>
        <w:numPr>
          <w:ilvl w:val="0"/>
          <w:numId w:val="28"/>
        </w:numPr>
        <w:spacing w:after="360"/>
        <w:jc w:val="both"/>
        <w:rPr>
          <w:rFonts w:ascii="Times New Roman" w:eastAsia="Times New Roman" w:hAnsi="Times New Roman" w:cs="Times New Roman"/>
          <w:noProof/>
          <w:sz w:val="24"/>
          <w:szCs w:val="24"/>
        </w:rPr>
      </w:pPr>
      <w:r>
        <w:rPr>
          <w:rFonts w:ascii="Times New Roman" w:hAnsi="Times New Roman"/>
          <w:noProof/>
          <w:sz w:val="24"/>
        </w:rPr>
        <w:t>Les agences de l’UE, telles que l’ECDC, l’EMA et l’EFSA (</w:t>
      </w:r>
      <w:r>
        <w:rPr>
          <w:rStyle w:val="FootnoteReference"/>
          <w:rFonts w:ascii="Times New Roman" w:eastAsia="Times New Roman" w:hAnsi="Times New Roman" w:cs="Times New Roman"/>
          <w:noProof/>
          <w:sz w:val="24"/>
          <w:szCs w:val="24"/>
        </w:rPr>
        <w:footnoteReference w:id="28"/>
      </w:r>
      <w:r>
        <w:rPr>
          <w:rFonts w:ascii="Times New Roman" w:hAnsi="Times New Roman"/>
          <w:noProof/>
          <w:sz w:val="24"/>
        </w:rPr>
        <w:t>), contribuent à la réalisation d’</w:t>
      </w:r>
      <w:r>
        <w:rPr>
          <w:rFonts w:ascii="Times New Roman" w:hAnsi="Times New Roman"/>
          <w:b/>
          <w:noProof/>
          <w:sz w:val="24"/>
        </w:rPr>
        <w:t>évaluations rapides des risques pour la santé publique</w:t>
      </w:r>
      <w:r>
        <w:rPr>
          <w:rFonts w:ascii="Times New Roman" w:hAnsi="Times New Roman"/>
          <w:noProof/>
          <w:sz w:val="24"/>
        </w:rPr>
        <w:t xml:space="preserve"> afin de soutenir une coordination des efforts de réaction à l’échelle de l’UE qui soit fondée sur des données et qui repose sur des observations factuelles.</w:t>
      </w:r>
    </w:p>
    <w:p w14:paraId="49FCE754" w14:textId="4A674EC6" w:rsidR="00B11ED2" w:rsidRPr="00B11ED2" w:rsidRDefault="43413514" w:rsidP="078808B9">
      <w:pPr>
        <w:pBdr>
          <w:top w:val="single" w:sz="4" w:space="1" w:color="000000"/>
          <w:left w:val="single" w:sz="4" w:space="4" w:color="000000"/>
          <w:bottom w:val="single" w:sz="4" w:space="1" w:color="000000"/>
          <w:right w:val="single" w:sz="4" w:space="4" w:color="000000"/>
        </w:pBdr>
        <w:shd w:val="clear" w:color="auto" w:fill="F2F2F2" w:themeFill="background1" w:themeFillShade="F2"/>
        <w:spacing w:after="120"/>
        <w:rPr>
          <w:rFonts w:ascii="Times New Roman" w:hAnsi="Times New Roman" w:cs="Times New Roman"/>
          <w:noProof/>
        </w:rPr>
      </w:pPr>
      <w:r>
        <w:rPr>
          <w:rFonts w:ascii="Times New Roman" w:hAnsi="Times New Roman"/>
          <w:b/>
          <w:noProof/>
        </w:rPr>
        <w:t>L’évaluation des risques en pratique: l’évaluation rapide des risques au sein de l’UE réalisée par un groupe unique d’agences de l’UE</w:t>
      </w:r>
    </w:p>
    <w:p w14:paraId="06436998" w14:textId="027C5427" w:rsidR="00B11ED2" w:rsidRPr="00B11ED2" w:rsidRDefault="7EF71F35" w:rsidP="672E3538">
      <w:pPr>
        <w:pBdr>
          <w:top w:val="single" w:sz="4" w:space="1" w:color="000000"/>
          <w:left w:val="single" w:sz="4" w:space="4" w:color="000000"/>
          <w:bottom w:val="single" w:sz="4" w:space="1" w:color="000000"/>
          <w:right w:val="single" w:sz="4" w:space="4" w:color="000000"/>
        </w:pBdr>
        <w:shd w:val="clear" w:color="auto" w:fill="F2F2F2" w:themeFill="background1" w:themeFillShade="F2"/>
        <w:jc w:val="both"/>
        <w:rPr>
          <w:rFonts w:ascii="Times New Roman" w:hAnsi="Times New Roman" w:cs="Times New Roman"/>
          <w:noProof/>
        </w:rPr>
      </w:pPr>
      <w:r>
        <w:rPr>
          <w:rFonts w:ascii="Times New Roman" w:hAnsi="Times New Roman"/>
          <w:noProof/>
        </w:rPr>
        <w:t>Lorsqu’un État membre de l’UE signale une menace transfrontière grave pour la santé, la Commission ou le comité de sécurité sanitaire peut demander à un ou plusieurs organes et agences de l’UE de procéder à une évaluation des risques pour la santé publique. Ces évaluations visent à soutenir une coordination de la réaction à ces menaces qui soit fondée sur des données, basée sur des observations factuelles et conseillée par des experts.</w:t>
      </w:r>
    </w:p>
    <w:p w14:paraId="0E25B60A" w14:textId="34C74ACC" w:rsidR="00B11ED2" w:rsidRPr="00B11ED2" w:rsidRDefault="12B17E65" w:rsidP="672E3538">
      <w:pPr>
        <w:pBdr>
          <w:top w:val="single" w:sz="4" w:space="1" w:color="000000"/>
          <w:left w:val="single" w:sz="4" w:space="4" w:color="000000"/>
          <w:bottom w:val="single" w:sz="4" w:space="1" w:color="000000"/>
          <w:right w:val="single" w:sz="4" w:space="4" w:color="000000"/>
        </w:pBdr>
        <w:shd w:val="clear" w:color="auto" w:fill="F2F2F2" w:themeFill="background1" w:themeFillShade="F2"/>
        <w:jc w:val="both"/>
        <w:rPr>
          <w:rFonts w:ascii="Times New Roman" w:hAnsi="Times New Roman" w:cs="Times New Roman"/>
          <w:noProof/>
        </w:rPr>
      </w:pPr>
      <w:r>
        <w:rPr>
          <w:rFonts w:ascii="Times New Roman" w:hAnsi="Times New Roman"/>
          <w:noProof/>
        </w:rPr>
        <w:t>L’ECDC, l’EMA, l’EFSA, l’ECHA (</w:t>
      </w:r>
      <w:r>
        <w:rPr>
          <w:rStyle w:val="FootnoteReference"/>
          <w:rFonts w:ascii="Times New Roman" w:hAnsi="Times New Roman" w:cs="Times New Roman"/>
          <w:noProof/>
        </w:rPr>
        <w:footnoteReference w:id="29"/>
      </w:r>
      <w:r>
        <w:rPr>
          <w:rFonts w:ascii="Times New Roman" w:hAnsi="Times New Roman"/>
          <w:noProof/>
        </w:rPr>
        <w:t>), l’AEE (</w:t>
      </w:r>
      <w:r>
        <w:rPr>
          <w:rStyle w:val="FootnoteReference"/>
          <w:rFonts w:ascii="Times New Roman" w:hAnsi="Times New Roman" w:cs="Times New Roman"/>
          <w:noProof/>
        </w:rPr>
        <w:footnoteReference w:id="30"/>
      </w:r>
      <w:r>
        <w:rPr>
          <w:rFonts w:ascii="Times New Roman" w:hAnsi="Times New Roman"/>
          <w:noProof/>
        </w:rPr>
        <w:t>), l’EUDA (</w:t>
      </w:r>
      <w:r>
        <w:rPr>
          <w:rStyle w:val="FootnoteReference"/>
          <w:rFonts w:ascii="Times New Roman" w:hAnsi="Times New Roman" w:cs="Times New Roman"/>
          <w:noProof/>
        </w:rPr>
        <w:footnoteReference w:id="31"/>
      </w:r>
      <w:r>
        <w:rPr>
          <w:rFonts w:ascii="Times New Roman" w:hAnsi="Times New Roman"/>
          <w:noProof/>
        </w:rPr>
        <w:t>) et Europol contribuent chacune à ces évaluations des risques pour la santé publique en fonction de leurs mandats et de leur expertise respectifs. Les agences de l’UE évaluent la gravité potentielle de la menace pour la santé publique et étudient les incidences des mesures sociales et de santé publique. Afin de soutenir une évaluation complète des risques, la Commission partage les informations relatives aux contre-mesures médicales avec les agences compétentes de l’UE, y compris en ce qui concerne l’approvisionnement, la passation de marchés et le déploiement.</w:t>
      </w:r>
    </w:p>
    <w:p w14:paraId="584C68B5" w14:textId="76B5200D" w:rsidR="00B11ED2" w:rsidRDefault="00B11ED2" w:rsidP="00AB54D1">
      <w:pPr>
        <w:pBdr>
          <w:top w:val="single" w:sz="4" w:space="1" w:color="000000"/>
          <w:left w:val="single" w:sz="4" w:space="4" w:color="000000"/>
          <w:bottom w:val="single" w:sz="4" w:space="1" w:color="000000"/>
          <w:right w:val="single" w:sz="4" w:space="4" w:color="000000"/>
        </w:pBdr>
        <w:shd w:val="clear" w:color="auto" w:fill="F2F2F2" w:themeFill="background1" w:themeFillShade="F2"/>
        <w:spacing w:after="120"/>
        <w:jc w:val="both"/>
        <w:rPr>
          <w:rFonts w:ascii="Times New Roman" w:hAnsi="Times New Roman" w:cs="Times New Roman"/>
          <w:b/>
          <w:bCs/>
          <w:noProof/>
        </w:rPr>
      </w:pPr>
      <w:r>
        <w:rPr>
          <w:rFonts w:ascii="Times New Roman" w:hAnsi="Times New Roman"/>
          <w:b/>
          <w:noProof/>
        </w:rPr>
        <w:t>Exemple concret: réaction à l’épidémie de salmonelle</w:t>
      </w:r>
    </w:p>
    <w:p w14:paraId="69B82E1B" w14:textId="42E68890" w:rsidR="008E43DC" w:rsidRPr="008E43DC" w:rsidRDefault="5560E1D7" w:rsidP="00AB54D1">
      <w:pPr>
        <w:pBdr>
          <w:top w:val="single" w:sz="4" w:space="1" w:color="000000"/>
          <w:left w:val="single" w:sz="4" w:space="4" w:color="000000"/>
          <w:bottom w:val="single" w:sz="4" w:space="1" w:color="000000"/>
          <w:right w:val="single" w:sz="4" w:space="4" w:color="000000"/>
        </w:pBdr>
        <w:shd w:val="clear" w:color="auto" w:fill="F2F2F2" w:themeFill="background1" w:themeFillShade="F2"/>
        <w:jc w:val="both"/>
        <w:rPr>
          <w:noProof/>
          <w:sz w:val="10"/>
          <w:szCs w:val="10"/>
        </w:rPr>
      </w:pPr>
      <w:r>
        <w:rPr>
          <w:rFonts w:ascii="Times New Roman" w:hAnsi="Times New Roman"/>
          <w:noProof/>
        </w:rPr>
        <w:t xml:space="preserve">En octobre 2025, l’ECDC et l’EFSA ont publié conjointement une évaluation rapide de l’épidémie transfrontière prolongée de </w:t>
      </w:r>
      <w:r>
        <w:rPr>
          <w:rFonts w:ascii="Times New Roman" w:hAnsi="Times New Roman"/>
          <w:i/>
          <w:iCs/>
          <w:noProof/>
        </w:rPr>
        <w:t>Salmonella Strathcona</w:t>
      </w:r>
      <w:r>
        <w:rPr>
          <w:rFonts w:ascii="Times New Roman" w:hAnsi="Times New Roman"/>
          <w:noProof/>
        </w:rPr>
        <w:t xml:space="preserve"> ST2559 (</w:t>
      </w:r>
      <w:r>
        <w:rPr>
          <w:rStyle w:val="FootnoteReference"/>
          <w:rFonts w:ascii="Times New Roman" w:hAnsi="Times New Roman" w:cs="Times New Roman"/>
          <w:noProof/>
        </w:rPr>
        <w:footnoteReference w:id="32"/>
      </w:r>
      <w:r>
        <w:rPr>
          <w:rFonts w:ascii="Times New Roman" w:hAnsi="Times New Roman"/>
          <w:noProof/>
        </w:rPr>
        <w:t xml:space="preserve">), dont 437 cas avaient été détectés entre 2023 et 2025 dans 15 pays de l’UE/EEE. Plusieurs enquêtes nationales ont révélé que les tomates étaient le principal vecteur d’infection. La détection de </w:t>
      </w:r>
      <w:r>
        <w:rPr>
          <w:rFonts w:ascii="Times New Roman" w:hAnsi="Times New Roman"/>
          <w:i/>
          <w:iCs/>
          <w:noProof/>
        </w:rPr>
        <w:t>S. Strathcona</w:t>
      </w:r>
      <w:r>
        <w:rPr>
          <w:rFonts w:ascii="Times New Roman" w:hAnsi="Times New Roman"/>
          <w:noProof/>
        </w:rPr>
        <w:t xml:space="preserve"> dans des échantillons d’eau d’irrigation prélevés sur un site de production de tomates a confirmé le rôle de l’environnement dans la contamination des tomates. Ces résultats témoignent de la nécessité d’une stratégie pluridisciplinaire intégrant les évaluations environnementales afin d’atténuer le risque de contamination par les salmonelles.</w:t>
      </w:r>
    </w:p>
    <w:p w14:paraId="22FEE65C" w14:textId="77777777" w:rsidR="00351968" w:rsidRPr="00330694" w:rsidRDefault="00351968" w:rsidP="00AB54D1">
      <w:pPr>
        <w:spacing w:after="0"/>
        <w:jc w:val="both"/>
        <w:rPr>
          <w:rFonts w:ascii="Times New Roman" w:eastAsia="Times New Roman" w:hAnsi="Times New Roman" w:cs="Times New Roman"/>
          <w:noProof/>
          <w:sz w:val="24"/>
          <w:szCs w:val="24"/>
        </w:rPr>
      </w:pPr>
    </w:p>
    <w:p w14:paraId="4FA72586" w14:textId="0D45600B" w:rsidR="62D65E89" w:rsidRPr="008B3AAF" w:rsidRDefault="62D65E89" w:rsidP="006807E6">
      <w:pPr>
        <w:pBdr>
          <w:top w:val="single" w:sz="4" w:space="1" w:color="auto"/>
          <w:left w:val="single" w:sz="4" w:space="4" w:color="auto"/>
          <w:bottom w:val="single" w:sz="4" w:space="1" w:color="auto"/>
          <w:right w:val="single" w:sz="4" w:space="4" w:color="auto"/>
        </w:pBdr>
        <w:shd w:val="clear" w:color="auto" w:fill="DBE5F1" w:themeFill="accent1" w:themeFillTint="33"/>
        <w:jc w:val="both"/>
        <w:rPr>
          <w:rFonts w:ascii="Times New Roman" w:hAnsi="Times New Roman" w:cs="Times New Roman"/>
          <w:b/>
          <w:bCs/>
          <w:noProof/>
          <w:sz w:val="24"/>
          <w:szCs w:val="24"/>
        </w:rPr>
      </w:pPr>
      <w:r>
        <w:rPr>
          <w:rFonts w:ascii="Times New Roman" w:hAnsi="Times New Roman"/>
          <w:b/>
          <w:noProof/>
          <w:sz w:val="24"/>
        </w:rPr>
        <w:t>Phase 3: réagir à une crise sanitaire</w:t>
      </w:r>
    </w:p>
    <w:p w14:paraId="1BF2FE41" w14:textId="41EABD5E" w:rsidR="18D1E473" w:rsidRPr="007225A3" w:rsidRDefault="4EE96355" w:rsidP="4D905D50">
      <w:pPr>
        <w:spacing w:before="240" w:after="120"/>
        <w:jc w:val="both"/>
        <w:rPr>
          <w:rFonts w:ascii="Times New Roman" w:eastAsia="Times New Roman" w:hAnsi="Times New Roman" w:cs="Times New Roman"/>
          <w:noProof/>
          <w:sz w:val="24"/>
          <w:szCs w:val="24"/>
        </w:rPr>
      </w:pPr>
      <w:r>
        <w:rPr>
          <w:rFonts w:ascii="Times New Roman" w:hAnsi="Times New Roman"/>
          <w:noProof/>
          <w:sz w:val="24"/>
        </w:rPr>
        <w:t>Il est crucial de réagir de manière coordonnée et complémentaire à une menace transfrontière grave pour la santé. Les activités suivantes contribuent à la réalisation de cet objectif.</w:t>
      </w:r>
    </w:p>
    <w:p w14:paraId="119B883B" w14:textId="5A28325B" w:rsidR="00220778" w:rsidRPr="00220778" w:rsidRDefault="0FE275DC" w:rsidP="00B26F15">
      <w:pPr>
        <w:pStyle w:val="ListParagraph"/>
        <w:numPr>
          <w:ilvl w:val="0"/>
          <w:numId w:val="27"/>
        </w:numPr>
        <w:spacing w:after="0"/>
        <w:jc w:val="both"/>
        <w:rPr>
          <w:rFonts w:ascii="Times New Roman" w:eastAsia="Times New Roman" w:hAnsi="Times New Roman" w:cs="Times New Roman"/>
          <w:noProof/>
          <w:sz w:val="24"/>
          <w:szCs w:val="24"/>
        </w:rPr>
      </w:pPr>
      <w:r>
        <w:rPr>
          <w:rFonts w:ascii="Times New Roman" w:hAnsi="Times New Roman"/>
          <w:noProof/>
          <w:sz w:val="24"/>
        </w:rPr>
        <w:t>Au sein du</w:t>
      </w:r>
      <w:r>
        <w:rPr>
          <w:rFonts w:ascii="Times New Roman" w:hAnsi="Times New Roman"/>
          <w:b/>
          <w:noProof/>
          <w:sz w:val="24"/>
        </w:rPr>
        <w:t xml:space="preserve"> comité de sécurité sanitaire</w:t>
      </w:r>
      <w:r>
        <w:rPr>
          <w:rFonts w:ascii="Times New Roman" w:hAnsi="Times New Roman"/>
          <w:noProof/>
          <w:sz w:val="24"/>
        </w:rPr>
        <w:t xml:space="preserve"> (CSS), présidé par la Commission, les États membres coordonnent les efforts de réaction avec la Commission et les agences et organes de l’UE, y compris la gestion des crises et les mesures sociales et de santé publique.</w:t>
      </w:r>
    </w:p>
    <w:p w14:paraId="33AAAFDF" w14:textId="1085F49A" w:rsidR="18D1E473" w:rsidRPr="007225A3" w:rsidRDefault="399A3A7A" w:rsidP="00B26F15">
      <w:pPr>
        <w:pStyle w:val="ListParagraph"/>
        <w:numPr>
          <w:ilvl w:val="0"/>
          <w:numId w:val="27"/>
        </w:num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La Commission, avec le soutien du </w:t>
      </w:r>
      <w:r>
        <w:rPr>
          <w:rFonts w:ascii="Times New Roman" w:hAnsi="Times New Roman"/>
          <w:b/>
          <w:noProof/>
          <w:sz w:val="24"/>
        </w:rPr>
        <w:t>conseil de l’HERA</w:t>
      </w:r>
      <w:r>
        <w:rPr>
          <w:rFonts w:ascii="Times New Roman" w:hAnsi="Times New Roman"/>
          <w:noProof/>
          <w:sz w:val="24"/>
        </w:rPr>
        <w:t> (</w:t>
      </w:r>
      <w:r>
        <w:rPr>
          <w:rStyle w:val="FootnoteReference"/>
          <w:rFonts w:ascii="Times New Roman" w:eastAsia="Times New Roman" w:hAnsi="Times New Roman" w:cs="Times New Roman"/>
          <w:noProof/>
          <w:sz w:val="24"/>
          <w:szCs w:val="24"/>
        </w:rPr>
        <w:footnoteReference w:id="33"/>
      </w:r>
      <w:r>
        <w:rPr>
          <w:rFonts w:ascii="Times New Roman" w:hAnsi="Times New Roman"/>
          <w:noProof/>
          <w:sz w:val="24"/>
        </w:rPr>
        <w:t>), coordonne les efforts sur les questions liées aux contre-mesures médicales afin de garantir leur disponibilité et leur accessibilité en réaction à une menace transfrontière grave pour la santé.</w:t>
      </w:r>
    </w:p>
    <w:p w14:paraId="33394333" w14:textId="77777777" w:rsidR="002E7009" w:rsidRPr="002E7009" w:rsidRDefault="002E7009" w:rsidP="00707CFD">
      <w:pPr>
        <w:pStyle w:val="ListParagraph"/>
        <w:numPr>
          <w:ilvl w:val="0"/>
          <w:numId w:val="27"/>
        </w:numPr>
        <w:jc w:val="both"/>
        <w:rPr>
          <w:rFonts w:ascii="Times New Roman" w:eastAsia="Times New Roman" w:hAnsi="Times New Roman" w:cs="Times New Roman"/>
          <w:noProof/>
          <w:sz w:val="24"/>
          <w:szCs w:val="24"/>
        </w:rPr>
      </w:pPr>
      <w:r>
        <w:rPr>
          <w:rFonts w:ascii="Times New Roman" w:hAnsi="Times New Roman"/>
          <w:noProof/>
          <w:sz w:val="24"/>
        </w:rPr>
        <w:t xml:space="preserve">Les États membres veillent à </w:t>
      </w:r>
      <w:r>
        <w:rPr>
          <w:rFonts w:ascii="Times New Roman" w:hAnsi="Times New Roman"/>
          <w:b/>
          <w:noProof/>
          <w:sz w:val="24"/>
        </w:rPr>
        <w:t>améliorer l’appréciation de la situation et la communication relative aux risques et aux crises</w:t>
      </w:r>
      <w:r>
        <w:rPr>
          <w:rFonts w:ascii="Times New Roman" w:hAnsi="Times New Roman"/>
          <w:noProof/>
          <w:sz w:val="24"/>
        </w:rPr>
        <w:t xml:space="preserve">, ainsi qu’à renforcer </w:t>
      </w:r>
      <w:r>
        <w:rPr>
          <w:rFonts w:ascii="Times New Roman" w:hAnsi="Times New Roman"/>
          <w:b/>
          <w:noProof/>
          <w:sz w:val="24"/>
        </w:rPr>
        <w:t>la recherche et les fonds d’urgence nécessaires</w:t>
      </w:r>
      <w:r>
        <w:rPr>
          <w:rFonts w:ascii="Times New Roman" w:hAnsi="Times New Roman"/>
          <w:noProof/>
          <w:sz w:val="24"/>
        </w:rPr>
        <w:t xml:space="preserve"> pour soutenir les efforts de réaction.</w:t>
      </w:r>
    </w:p>
    <w:p w14:paraId="352C84BD" w14:textId="77777777" w:rsidR="00653FF4" w:rsidRDefault="00D2480F" w:rsidP="00653FF4">
      <w:pPr>
        <w:pStyle w:val="ListParagraph"/>
        <w:numPr>
          <w:ilvl w:val="0"/>
          <w:numId w:val="27"/>
        </w:numPr>
        <w:spacing w:after="0"/>
        <w:jc w:val="both"/>
        <w:rPr>
          <w:rFonts w:ascii="Times New Roman" w:eastAsia="Times New Roman" w:hAnsi="Times New Roman" w:cs="Times New Roman"/>
          <w:noProof/>
          <w:sz w:val="24"/>
          <w:szCs w:val="24"/>
        </w:rPr>
      </w:pPr>
      <w:r>
        <w:rPr>
          <w:rFonts w:ascii="Times New Roman" w:hAnsi="Times New Roman"/>
          <w:noProof/>
          <w:sz w:val="24"/>
        </w:rPr>
        <w:t>En fonction de la gravité de la menace et de la nécessité et de la proportionnalité des mesures complémentaires,</w:t>
      </w:r>
      <w:r>
        <w:rPr>
          <w:rFonts w:ascii="Times New Roman" w:hAnsi="Times New Roman"/>
          <w:b/>
          <w:noProof/>
          <w:sz w:val="24"/>
        </w:rPr>
        <w:t xml:space="preserve"> </w:t>
      </w:r>
      <w:r>
        <w:rPr>
          <w:rFonts w:ascii="Times New Roman" w:hAnsi="Times New Roman"/>
          <w:noProof/>
          <w:sz w:val="24"/>
        </w:rPr>
        <w:t xml:space="preserve">la Commission peut décider de reconnaître </w:t>
      </w:r>
      <w:r>
        <w:rPr>
          <w:rFonts w:ascii="Times New Roman" w:hAnsi="Times New Roman"/>
          <w:b/>
          <w:noProof/>
          <w:sz w:val="24"/>
        </w:rPr>
        <w:t>une urgence de santé publique à l’échelle de l’Union</w:t>
      </w:r>
      <w:r>
        <w:rPr>
          <w:rFonts w:ascii="Times New Roman" w:hAnsi="Times New Roman"/>
          <w:noProof/>
          <w:sz w:val="24"/>
        </w:rPr>
        <w:t xml:space="preserve">, ce qui permet de débloquer des capacités et des ressources supplémentaires, y compris des mandats élargis pour certains organes et agences de l’UE. Le </w:t>
      </w:r>
      <w:r>
        <w:rPr>
          <w:rFonts w:ascii="Times New Roman" w:hAnsi="Times New Roman"/>
          <w:b/>
          <w:noProof/>
          <w:sz w:val="24"/>
        </w:rPr>
        <w:t>comité consultatif de l’UE pour les urgences de santé publique</w:t>
      </w:r>
      <w:r>
        <w:rPr>
          <w:rFonts w:ascii="Times New Roman" w:hAnsi="Times New Roman"/>
          <w:noProof/>
          <w:sz w:val="24"/>
        </w:rPr>
        <w:t xml:space="preserve"> soutient la Commission, à sa demande, en la conseillant pour lui permettre de déterminer si une menace constitue ou non une urgence de santé publique à l’échelle de l’Union.</w:t>
      </w:r>
    </w:p>
    <w:p w14:paraId="0A526DCF" w14:textId="0388EF8E" w:rsidR="00653FF4" w:rsidRPr="00653FF4" w:rsidRDefault="689FC7B1" w:rsidP="00653FF4">
      <w:pPr>
        <w:pStyle w:val="ListParagraph"/>
        <w:numPr>
          <w:ilvl w:val="0"/>
          <w:numId w:val="27"/>
        </w:num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Au sein du </w:t>
      </w:r>
      <w:r>
        <w:rPr>
          <w:rFonts w:ascii="Times New Roman" w:hAnsi="Times New Roman"/>
          <w:b/>
          <w:noProof/>
          <w:sz w:val="24"/>
        </w:rPr>
        <w:t>conseil de gestion des crises sanitaires</w:t>
      </w:r>
      <w:r>
        <w:rPr>
          <w:rFonts w:ascii="Times New Roman" w:hAnsi="Times New Roman"/>
          <w:noProof/>
          <w:sz w:val="24"/>
        </w:rPr>
        <w:t>, coprésidé par la Commission et la présidence tournante du Conseil, le Conseil, la Commission, les organes et organismes compétents de l’UE et les États membres coordonnent leurs efforts afin de garantir la fourniture de</w:t>
      </w:r>
      <w:r>
        <w:rPr>
          <w:noProof/>
          <w:sz w:val="24"/>
        </w:rPr>
        <w:t xml:space="preserve"> </w:t>
      </w:r>
      <w:r>
        <w:rPr>
          <w:rFonts w:ascii="Cambria" w:hAnsi="Cambria"/>
          <w:noProof/>
          <w:sz w:val="24"/>
        </w:rPr>
        <w:t>contre-mesures</w:t>
      </w:r>
      <w:r>
        <w:rPr>
          <w:noProof/>
          <w:sz w:val="24"/>
        </w:rPr>
        <w:t xml:space="preserve"> </w:t>
      </w:r>
      <w:r>
        <w:rPr>
          <w:rFonts w:ascii="Times New Roman" w:hAnsi="Times New Roman"/>
          <w:noProof/>
          <w:sz w:val="24"/>
        </w:rPr>
        <w:t xml:space="preserve">médicales nécessaires en cas de crise et l’accès à celles-ci. Le conseil de gestion des crises sanitaires est mis en place si une urgence de santé publique à l’échelle de l’Union est reconnue et si le Conseil </w:t>
      </w:r>
      <w:r>
        <w:rPr>
          <w:rFonts w:ascii="Times New Roman" w:hAnsi="Times New Roman"/>
          <w:b/>
          <w:noProof/>
          <w:sz w:val="24"/>
        </w:rPr>
        <w:t>active le cadre de mesures d’urgence</w:t>
      </w:r>
      <w:r>
        <w:rPr>
          <w:rFonts w:ascii="Times New Roman" w:hAnsi="Times New Roman"/>
          <w:noProof/>
          <w:sz w:val="24"/>
        </w:rPr>
        <w:t> (</w:t>
      </w:r>
      <w:r>
        <w:rPr>
          <w:rStyle w:val="FootnoteReference"/>
          <w:rFonts w:ascii="Times New Roman" w:eastAsia="Times New Roman" w:hAnsi="Times New Roman" w:cs="Times New Roman"/>
          <w:noProof/>
          <w:sz w:val="24"/>
          <w:szCs w:val="24"/>
        </w:rPr>
        <w:footnoteReference w:id="34"/>
      </w:r>
      <w:r>
        <w:rPr>
          <w:rFonts w:ascii="Times New Roman" w:hAnsi="Times New Roman"/>
          <w:noProof/>
          <w:sz w:val="24"/>
        </w:rPr>
        <w:t xml:space="preserve">). </w:t>
      </w:r>
    </w:p>
    <w:p w14:paraId="205F3DF0" w14:textId="3BEA9BF9" w:rsidR="18D1E473" w:rsidRPr="006E635E" w:rsidRDefault="3BFF174A" w:rsidP="00B26F15">
      <w:pPr>
        <w:pStyle w:val="ListParagraph"/>
        <w:numPr>
          <w:ilvl w:val="0"/>
          <w:numId w:val="27"/>
        </w:numPr>
        <w:spacing w:after="0"/>
        <w:jc w:val="both"/>
        <w:rPr>
          <w:rFonts w:ascii="Times New Roman" w:eastAsia="Times New Roman" w:hAnsi="Times New Roman" w:cs="Times New Roman"/>
          <w:noProof/>
        </w:rPr>
      </w:pPr>
      <w:r>
        <w:rPr>
          <w:rFonts w:ascii="Times New Roman" w:hAnsi="Times New Roman"/>
          <w:noProof/>
          <w:sz w:val="24"/>
        </w:rPr>
        <w:t xml:space="preserve">Les États membres, avec le soutien de la Commission, préservent la continuité des soins et de l’assistance par-delà les frontières, depuis les </w:t>
      </w:r>
      <w:r>
        <w:rPr>
          <w:rFonts w:ascii="Times New Roman" w:hAnsi="Times New Roman"/>
          <w:b/>
          <w:noProof/>
          <w:sz w:val="24"/>
        </w:rPr>
        <w:t>évacuations sanitaires</w:t>
      </w:r>
      <w:r>
        <w:rPr>
          <w:rFonts w:ascii="Times New Roman" w:hAnsi="Times New Roman"/>
          <w:noProof/>
          <w:sz w:val="24"/>
        </w:rPr>
        <w:t xml:space="preserve"> jusqu’à la fourniture d’une assistance médicale en nature (y compris des contre-mesures et des équipements médicaux) et la </w:t>
      </w:r>
      <w:r>
        <w:rPr>
          <w:rFonts w:ascii="Times New Roman" w:hAnsi="Times New Roman"/>
          <w:b/>
          <w:noProof/>
          <w:sz w:val="24"/>
        </w:rPr>
        <w:t>recherche des contacts entre les États membres</w:t>
      </w:r>
      <w:r>
        <w:rPr>
          <w:rFonts w:ascii="Times New Roman" w:hAnsi="Times New Roman"/>
          <w:noProof/>
          <w:sz w:val="24"/>
        </w:rPr>
        <w:t>,</w:t>
      </w:r>
      <w:r>
        <w:rPr>
          <w:rFonts w:ascii="Segoe UI" w:hAnsi="Segoe UI"/>
          <w:noProof/>
          <w:sz w:val="18"/>
        </w:rPr>
        <w:t xml:space="preserve"> </w:t>
      </w:r>
      <w:r>
        <w:rPr>
          <w:rFonts w:ascii="Times New Roman" w:hAnsi="Times New Roman"/>
          <w:noProof/>
          <w:sz w:val="24"/>
        </w:rPr>
        <w:t>tout en établissant des liens avec les mécanismes de gestion des crises de l’UE de portée plus générale</w:t>
      </w:r>
      <w:r>
        <w:rPr>
          <w:noProof/>
        </w:rPr>
        <w:t xml:space="preserve"> </w:t>
      </w:r>
      <w:r>
        <w:rPr>
          <w:rFonts w:ascii="Times New Roman" w:hAnsi="Times New Roman"/>
          <w:noProof/>
          <w:sz w:val="24"/>
        </w:rPr>
        <w:t xml:space="preserve">gérés par la Commission, tels que le </w:t>
      </w:r>
      <w:r>
        <w:rPr>
          <w:rFonts w:ascii="Times New Roman" w:hAnsi="Times New Roman"/>
          <w:b/>
          <w:noProof/>
          <w:sz w:val="24"/>
        </w:rPr>
        <w:t>MPCU</w:t>
      </w:r>
      <w:r>
        <w:rPr>
          <w:rFonts w:ascii="Times New Roman" w:hAnsi="Times New Roman"/>
          <w:noProof/>
          <w:sz w:val="24"/>
        </w:rPr>
        <w:t xml:space="preserve"> et la </w:t>
      </w:r>
      <w:r>
        <w:rPr>
          <w:rFonts w:ascii="Times New Roman" w:hAnsi="Times New Roman"/>
          <w:b/>
          <w:noProof/>
          <w:sz w:val="24"/>
        </w:rPr>
        <w:t>capacité d’intervention humanitaire européenne (ReliefEU)</w:t>
      </w:r>
      <w:r>
        <w:rPr>
          <w:rFonts w:ascii="Times New Roman" w:hAnsi="Times New Roman"/>
          <w:noProof/>
          <w:sz w:val="24"/>
        </w:rPr>
        <w:t> (</w:t>
      </w:r>
      <w:r>
        <w:rPr>
          <w:rStyle w:val="FootnoteReference"/>
          <w:rFonts w:ascii="Times New Roman" w:eastAsia="Times New Roman" w:hAnsi="Times New Roman" w:cs="Times New Roman"/>
          <w:noProof/>
          <w:sz w:val="24"/>
          <w:szCs w:val="24"/>
        </w:rPr>
        <w:footnoteReference w:id="35"/>
      </w:r>
      <w:r>
        <w:rPr>
          <w:rFonts w:ascii="Times New Roman" w:hAnsi="Times New Roman"/>
          <w:noProof/>
          <w:sz w:val="24"/>
        </w:rPr>
        <w:t xml:space="preserve">), ainsi que le </w:t>
      </w:r>
      <w:r>
        <w:rPr>
          <w:rFonts w:ascii="Times New Roman" w:hAnsi="Times New Roman"/>
          <w:b/>
          <w:noProof/>
          <w:sz w:val="24"/>
        </w:rPr>
        <w:t>dispositif intégré du Conseil pour une réaction au niveau politique dans les situations de crise</w:t>
      </w:r>
      <w:r>
        <w:rPr>
          <w:rFonts w:ascii="Times New Roman" w:hAnsi="Times New Roman"/>
          <w:noProof/>
          <w:sz w:val="24"/>
        </w:rPr>
        <w:t xml:space="preserve"> (IPCR) (</w:t>
      </w:r>
      <w:r>
        <w:rPr>
          <w:rStyle w:val="FootnoteReference"/>
          <w:rFonts w:ascii="Times New Roman" w:eastAsia="Times New Roman" w:hAnsi="Times New Roman" w:cs="Times New Roman"/>
          <w:noProof/>
          <w:sz w:val="24"/>
          <w:szCs w:val="24"/>
        </w:rPr>
        <w:footnoteReference w:id="36"/>
      </w:r>
      <w:r>
        <w:rPr>
          <w:rFonts w:ascii="Times New Roman" w:hAnsi="Times New Roman"/>
          <w:noProof/>
          <w:sz w:val="24"/>
        </w:rPr>
        <w:t>).</w:t>
      </w:r>
    </w:p>
    <w:p w14:paraId="7E70E4AC" w14:textId="2D95DC9C" w:rsidR="00186C13" w:rsidRPr="00F32C0F" w:rsidRDefault="3587CDC4" w:rsidP="672E3538">
      <w:pPr>
        <w:pStyle w:val="ListParagraph"/>
        <w:numPr>
          <w:ilvl w:val="0"/>
          <w:numId w:val="27"/>
        </w:numPr>
        <w:spacing w:after="360"/>
        <w:jc w:val="both"/>
        <w:rPr>
          <w:rFonts w:ascii="Times New Roman" w:eastAsia="Times New Roman" w:hAnsi="Times New Roman" w:cs="Times New Roman"/>
          <w:noProof/>
          <w:sz w:val="24"/>
          <w:szCs w:val="24"/>
        </w:rPr>
      </w:pPr>
      <w:r>
        <w:rPr>
          <w:rFonts w:ascii="Times New Roman" w:hAnsi="Times New Roman"/>
          <w:noProof/>
          <w:sz w:val="24"/>
        </w:rPr>
        <w:t xml:space="preserve">La Commission peut, si la situation le justifie, introduire des </w:t>
      </w:r>
      <w:r>
        <w:rPr>
          <w:rFonts w:ascii="Times New Roman" w:hAnsi="Times New Roman"/>
          <w:b/>
          <w:noProof/>
          <w:sz w:val="24"/>
        </w:rPr>
        <w:t>restrictions temporaires de déplacements et des contrôles aux frontières intérieures</w:t>
      </w:r>
      <w:r>
        <w:rPr>
          <w:rFonts w:ascii="Times New Roman" w:hAnsi="Times New Roman"/>
          <w:noProof/>
          <w:sz w:val="24"/>
        </w:rPr>
        <w:t xml:space="preserve"> conformément au code frontières Schengen révisé (</w:t>
      </w:r>
      <w:r>
        <w:rPr>
          <w:rStyle w:val="FootnoteReference"/>
          <w:rFonts w:ascii="Times New Roman" w:eastAsia="Times New Roman" w:hAnsi="Times New Roman" w:cs="Times New Roman"/>
          <w:noProof/>
          <w:sz w:val="24"/>
          <w:szCs w:val="24"/>
        </w:rPr>
        <w:footnoteReference w:id="37"/>
      </w:r>
      <w:r>
        <w:rPr>
          <w:rFonts w:ascii="Times New Roman" w:hAnsi="Times New Roman"/>
          <w:noProof/>
          <w:sz w:val="24"/>
        </w:rPr>
        <w:t xml:space="preserve">). Des mesures supplémentaires pourraient inclure des </w:t>
      </w:r>
      <w:r>
        <w:rPr>
          <w:rFonts w:ascii="Times New Roman" w:hAnsi="Times New Roman"/>
          <w:b/>
          <w:noProof/>
          <w:sz w:val="24"/>
        </w:rPr>
        <w:t>mécanismes de contrôle des exportations</w:t>
      </w:r>
      <w:r>
        <w:rPr>
          <w:rFonts w:ascii="Times New Roman" w:hAnsi="Times New Roman"/>
          <w:noProof/>
          <w:sz w:val="24"/>
        </w:rPr>
        <w:t xml:space="preserve"> par lesquels les autorités douanières contribuent à garantir l’approvisionnement en contre-mesures médicales critiques en</w:t>
      </w:r>
      <w:r>
        <w:rPr>
          <w:noProof/>
        </w:rPr>
        <w:t xml:space="preserve"> </w:t>
      </w:r>
      <w:r>
        <w:rPr>
          <w:rFonts w:ascii="Times New Roman" w:hAnsi="Times New Roman"/>
          <w:noProof/>
          <w:sz w:val="24"/>
        </w:rPr>
        <w:t>facilitant leur importation et, si nécessaire, en limitant leur exportation en cas de crise.</w:t>
      </w:r>
    </w:p>
    <w:p w14:paraId="1FC4B925" w14:textId="60766D46" w:rsidR="00F32C0F" w:rsidRPr="00DA38D4" w:rsidRDefault="2D57DCD6" w:rsidP="15B5A4C9">
      <w:pPr>
        <w:pBdr>
          <w:top w:val="single" w:sz="4" w:space="1" w:color="auto"/>
          <w:left w:val="single" w:sz="4" w:space="4" w:color="auto"/>
          <w:bottom w:val="single" w:sz="4" w:space="1" w:color="auto"/>
          <w:right w:val="single" w:sz="4" w:space="4" w:color="auto"/>
        </w:pBdr>
        <w:shd w:val="clear" w:color="auto" w:fill="F2F2F2" w:themeFill="background1" w:themeFillShade="F2"/>
        <w:spacing w:after="120"/>
        <w:rPr>
          <w:rFonts w:ascii="Times New Roman" w:hAnsi="Times New Roman" w:cs="Times New Roman"/>
          <w:b/>
          <w:bCs/>
          <w:noProof/>
        </w:rPr>
      </w:pPr>
      <w:r>
        <w:rPr>
          <w:rFonts w:ascii="Times New Roman" w:hAnsi="Times New Roman"/>
          <w:b/>
          <w:noProof/>
        </w:rPr>
        <w:t>La réaction en pratique: le dispositif intégré pour une réaction au niveau politique dans les situations de crise (IPCR)</w:t>
      </w:r>
    </w:p>
    <w:p w14:paraId="19CF2FB8" w14:textId="575C361E" w:rsidR="006C50A2" w:rsidRPr="00F32C0F" w:rsidRDefault="60EE144E" w:rsidP="134A9F7A">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Pr>
          <w:rFonts w:ascii="Times New Roman" w:hAnsi="Times New Roman"/>
          <w:noProof/>
        </w:rPr>
        <w:t>L’</w:t>
      </w:r>
      <w:r>
        <w:rPr>
          <w:rFonts w:ascii="Times New Roman" w:hAnsi="Times New Roman"/>
          <w:b/>
          <w:noProof/>
        </w:rPr>
        <w:t>IPCR</w:t>
      </w:r>
      <w:r>
        <w:rPr>
          <w:rFonts w:ascii="Times New Roman" w:hAnsi="Times New Roman"/>
          <w:noProof/>
        </w:rPr>
        <w:t xml:space="preserve"> du Conseil de l’Union européenne (ci-après le «Conseil») est le mécanisme central de l’UE pour une prise de décision rapide et coordonnée au niveau politique de l’UE en réaction à des crises majeures ou complexes. Présidé par la présidence du Conseil, l’IPCR est évolutif en fonction de la gravité de la crise. En cas d’urgence sanitaire, le comité de sécurité sanitaire (CSS) et le conseil de gestion des crises sanitaires travaillent en étroite collaboration avec l’IPCR afin de veiller à ce que la coordination politique à l’échelle de l’UE soit soutenue par</w:t>
      </w:r>
      <w:r>
        <w:rPr>
          <w:noProof/>
        </w:rPr>
        <w:t xml:space="preserve"> </w:t>
      </w:r>
      <w:r>
        <w:rPr>
          <w:rFonts w:ascii="Times New Roman" w:hAnsi="Times New Roman"/>
          <w:noProof/>
        </w:rPr>
        <w:t>l’expertise en matière de santé publique et par la contribution opérationnelle des États membres, par exemple en partageant des informations, des avis et des orientations. Par exemple, pendant la pandémie de COVID-19, plus de 100 </w:t>
      </w:r>
      <w:r>
        <w:rPr>
          <w:rFonts w:ascii="Times New Roman" w:hAnsi="Times New Roman"/>
          <w:b/>
          <w:noProof/>
        </w:rPr>
        <w:t>rapports sur la connaissance et l’analyse intégrées de la situation (ISAA)</w:t>
      </w:r>
      <w:r>
        <w:rPr>
          <w:rFonts w:ascii="Times New Roman" w:hAnsi="Times New Roman"/>
          <w:noProof/>
        </w:rPr>
        <w:t xml:space="preserve"> ont été produits par la Commission avec la contribution des États membres, des agences, des représentations et des délégations de l’UE, dans le but de donner aux décideurs une image claire de la situation.</w:t>
      </w:r>
    </w:p>
    <w:p w14:paraId="2EE8B8DC" w14:textId="21354649" w:rsidR="00F32C0F" w:rsidRPr="00DA38D4" w:rsidRDefault="00F32C0F" w:rsidP="00AD3069">
      <w:pPr>
        <w:pBdr>
          <w:top w:val="single" w:sz="4" w:space="1" w:color="auto"/>
          <w:left w:val="single" w:sz="4" w:space="4" w:color="auto"/>
          <w:bottom w:val="single" w:sz="4" w:space="1" w:color="auto"/>
          <w:right w:val="single" w:sz="4" w:space="4" w:color="auto"/>
        </w:pBdr>
        <w:shd w:val="clear" w:color="auto" w:fill="F2F2F2" w:themeFill="background1" w:themeFillShade="F2"/>
        <w:spacing w:after="120"/>
        <w:jc w:val="both"/>
        <w:rPr>
          <w:rFonts w:ascii="Times New Roman" w:hAnsi="Times New Roman" w:cs="Times New Roman"/>
          <w:b/>
          <w:bCs/>
          <w:noProof/>
        </w:rPr>
      </w:pPr>
      <w:r>
        <w:rPr>
          <w:rFonts w:ascii="Times New Roman" w:hAnsi="Times New Roman"/>
          <w:b/>
          <w:noProof/>
        </w:rPr>
        <w:t>Exemple concret: alignement entre l’IPCR et le CSS concernant la réaction à la COVID-19</w:t>
      </w:r>
    </w:p>
    <w:p w14:paraId="0D9A3809" w14:textId="3CEC93C9" w:rsidR="00E65499" w:rsidRPr="00F32C0F" w:rsidRDefault="41BE17C3" w:rsidP="672E3538">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Pr>
          <w:rFonts w:ascii="Times New Roman" w:hAnsi="Times New Roman"/>
          <w:noProof/>
        </w:rPr>
        <w:t>Pendant la pandémie de COVID-19, la Commission présentait régulièrement à l’IPCR un compte rendu des délibérations du CSS. Par exemple, en janvier 2023, l’IPCR a adopté la même position que le CSS en ce qui concerne l’augmentation soudaine des cas de COVID-19 en Chine, comme indiqué dans l’avis du CSS sur une approche commune de l’UE en réaction à la situation liée à la COVID-19 en Chine (</w:t>
      </w:r>
      <w:r>
        <w:rPr>
          <w:rStyle w:val="FootnoteReference"/>
          <w:rFonts w:ascii="Times New Roman" w:hAnsi="Times New Roman" w:cs="Times New Roman"/>
          <w:noProof/>
        </w:rPr>
        <w:footnoteReference w:id="38"/>
      </w:r>
      <w:r>
        <w:rPr>
          <w:rFonts w:ascii="Times New Roman" w:hAnsi="Times New Roman"/>
          <w:noProof/>
        </w:rPr>
        <w:t>).</w:t>
      </w:r>
    </w:p>
    <w:p w14:paraId="69DEDD0B" w14:textId="77777777" w:rsidR="00F32C0F" w:rsidRPr="001E0D0B" w:rsidRDefault="00F32C0F" w:rsidP="006A426A">
      <w:pPr>
        <w:spacing w:after="0"/>
        <w:jc w:val="both"/>
        <w:rPr>
          <w:rFonts w:ascii="Times New Roman" w:hAnsi="Times New Roman" w:cs="Times New Roman"/>
          <w:noProof/>
          <w:sz w:val="2"/>
          <w:szCs w:val="2"/>
        </w:rPr>
      </w:pPr>
    </w:p>
    <w:p w14:paraId="736F4CC8" w14:textId="77777777" w:rsidR="007800AF" w:rsidRDefault="007800AF" w:rsidP="006A426A">
      <w:pPr>
        <w:spacing w:after="0"/>
        <w:jc w:val="both"/>
        <w:rPr>
          <w:rFonts w:ascii="Times New Roman" w:hAnsi="Times New Roman" w:cs="Times New Roman"/>
          <w:noProof/>
          <w:sz w:val="2"/>
          <w:szCs w:val="2"/>
        </w:rPr>
      </w:pPr>
    </w:p>
    <w:p w14:paraId="5A4139CE" w14:textId="13537BD7" w:rsidR="007800AF" w:rsidRDefault="007800AF">
      <w:pPr>
        <w:rPr>
          <w:rFonts w:ascii="Times New Roman" w:hAnsi="Times New Roman" w:cs="Times New Roman"/>
          <w:noProof/>
          <w:sz w:val="2"/>
          <w:szCs w:val="2"/>
        </w:rPr>
      </w:pPr>
      <w:r>
        <w:rPr>
          <w:noProof/>
        </w:rPr>
        <w:br w:type="page"/>
      </w:r>
    </w:p>
    <w:p w14:paraId="1E9357C0" w14:textId="52FDB057" w:rsidR="62D65E89" w:rsidRPr="008B3AAF" w:rsidRDefault="62D65E89" w:rsidP="009C1964">
      <w:pPr>
        <w:keepNext/>
        <w:pBdr>
          <w:top w:val="single" w:sz="4" w:space="1" w:color="auto"/>
          <w:left w:val="single" w:sz="4" w:space="4" w:color="auto"/>
          <w:bottom w:val="single" w:sz="4" w:space="1" w:color="auto"/>
          <w:right w:val="single" w:sz="4" w:space="4" w:color="auto"/>
        </w:pBdr>
        <w:shd w:val="clear" w:color="auto" w:fill="DBE5F1" w:themeFill="accent1" w:themeFillTint="33"/>
        <w:jc w:val="both"/>
        <w:rPr>
          <w:rFonts w:ascii="Times New Roman" w:hAnsi="Times New Roman" w:cs="Times New Roman"/>
          <w:b/>
          <w:bCs/>
          <w:noProof/>
          <w:sz w:val="24"/>
          <w:szCs w:val="24"/>
        </w:rPr>
      </w:pPr>
      <w:r>
        <w:rPr>
          <w:rFonts w:ascii="Times New Roman" w:hAnsi="Times New Roman"/>
          <w:b/>
          <w:noProof/>
          <w:sz w:val="24"/>
        </w:rPr>
        <w:t>Phase 4: se rétablir d’une crise sanitaire</w:t>
      </w:r>
    </w:p>
    <w:p w14:paraId="6D4AA669" w14:textId="79E12C0C" w:rsidR="7A486A92" w:rsidRPr="008B3AAF" w:rsidRDefault="0A10E0DD" w:rsidP="00396873">
      <w:pPr>
        <w:spacing w:before="240" w:after="120"/>
        <w:jc w:val="both"/>
        <w:rPr>
          <w:rFonts w:ascii="Times New Roman" w:eastAsia="Times New Roman" w:hAnsi="Times New Roman" w:cs="Times New Roman"/>
          <w:noProof/>
          <w:sz w:val="24"/>
          <w:szCs w:val="24"/>
        </w:rPr>
      </w:pPr>
      <w:r>
        <w:rPr>
          <w:rFonts w:ascii="Times New Roman" w:hAnsi="Times New Roman"/>
          <w:noProof/>
          <w:sz w:val="24"/>
        </w:rPr>
        <w:t>Il est essentiel de se rétablir des crises sanitaires et d’en tirer des enseignements pour restaurer les communautés et prévenir les futures crises. Il convient pour cela:</w:t>
      </w:r>
    </w:p>
    <w:p w14:paraId="7623054A" w14:textId="159042A7" w:rsidR="7A486A92" w:rsidRPr="008B3AAF" w:rsidRDefault="008B488E" w:rsidP="00B26F15">
      <w:pPr>
        <w:pStyle w:val="ListParagraph"/>
        <w:numPr>
          <w:ilvl w:val="0"/>
          <w:numId w:val="26"/>
        </w:numPr>
        <w:spacing w:after="0"/>
        <w:jc w:val="both"/>
        <w:rPr>
          <w:rFonts w:ascii="Times New Roman" w:eastAsia="Times New Roman" w:hAnsi="Times New Roman" w:cs="Times New Roman"/>
          <w:noProof/>
        </w:rPr>
      </w:pPr>
      <w:r>
        <w:rPr>
          <w:rFonts w:ascii="Times New Roman" w:hAnsi="Times New Roman"/>
          <w:noProof/>
          <w:sz w:val="24"/>
        </w:rPr>
        <w:t xml:space="preserve">de réaliser des </w:t>
      </w:r>
      <w:r>
        <w:rPr>
          <w:rFonts w:ascii="Times New Roman" w:hAnsi="Times New Roman"/>
          <w:b/>
          <w:noProof/>
          <w:sz w:val="24"/>
        </w:rPr>
        <w:t>analyses pendant l’action et après l’action</w:t>
      </w:r>
      <w:r>
        <w:rPr>
          <w:rFonts w:ascii="Times New Roman" w:hAnsi="Times New Roman"/>
          <w:noProof/>
          <w:sz w:val="24"/>
        </w:rPr>
        <w:t xml:space="preserve"> afin de tirer les enseignements de chaque crise sanitaire;</w:t>
      </w:r>
    </w:p>
    <w:p w14:paraId="1CF0972E" w14:textId="359D5767" w:rsidR="7A486A92" w:rsidRPr="008B3AAF" w:rsidRDefault="1DE268EF" w:rsidP="00B26F15">
      <w:pPr>
        <w:pStyle w:val="ListParagraph"/>
        <w:numPr>
          <w:ilvl w:val="0"/>
          <w:numId w:val="26"/>
        </w:numPr>
        <w:spacing w:after="0"/>
        <w:jc w:val="both"/>
        <w:rPr>
          <w:rFonts w:ascii="Times New Roman" w:eastAsia="Times New Roman" w:hAnsi="Times New Roman" w:cs="Times New Roman"/>
          <w:noProof/>
        </w:rPr>
      </w:pPr>
      <w:r>
        <w:rPr>
          <w:rFonts w:ascii="Times New Roman" w:hAnsi="Times New Roman"/>
          <w:noProof/>
          <w:sz w:val="24"/>
        </w:rPr>
        <w:t xml:space="preserve">de transformer les enseignements tirés en </w:t>
      </w:r>
      <w:r>
        <w:rPr>
          <w:rFonts w:ascii="Times New Roman" w:hAnsi="Times New Roman"/>
          <w:b/>
          <w:noProof/>
          <w:sz w:val="24"/>
        </w:rPr>
        <w:t>réformes politiques</w:t>
      </w:r>
      <w:r>
        <w:rPr>
          <w:rFonts w:ascii="Times New Roman" w:hAnsi="Times New Roman"/>
          <w:noProof/>
          <w:sz w:val="24"/>
        </w:rPr>
        <w:t xml:space="preserve">, en </w:t>
      </w:r>
      <w:r>
        <w:rPr>
          <w:rFonts w:ascii="Times New Roman" w:hAnsi="Times New Roman"/>
          <w:b/>
          <w:noProof/>
          <w:sz w:val="24"/>
        </w:rPr>
        <w:t>cadres juridiques actualisés</w:t>
      </w:r>
      <w:r>
        <w:rPr>
          <w:rFonts w:ascii="Times New Roman" w:hAnsi="Times New Roman"/>
          <w:noProof/>
          <w:sz w:val="24"/>
        </w:rPr>
        <w:t xml:space="preserve"> et en </w:t>
      </w:r>
      <w:r>
        <w:rPr>
          <w:rFonts w:ascii="Times New Roman" w:hAnsi="Times New Roman"/>
          <w:b/>
          <w:noProof/>
          <w:sz w:val="24"/>
        </w:rPr>
        <w:t>plans de préparation améliorés</w:t>
      </w:r>
      <w:r>
        <w:rPr>
          <w:rFonts w:ascii="Times New Roman" w:hAnsi="Times New Roman"/>
          <w:noProof/>
          <w:sz w:val="24"/>
        </w:rPr>
        <w:t>, y compris des systèmes de santé plus résilients;</w:t>
      </w:r>
    </w:p>
    <w:p w14:paraId="585BF22E" w14:textId="681A8FCF" w:rsidR="7A486A92" w:rsidRPr="008B3AAF" w:rsidRDefault="00190FAF" w:rsidP="00B26F15">
      <w:pPr>
        <w:pStyle w:val="ListParagraph"/>
        <w:numPr>
          <w:ilvl w:val="0"/>
          <w:numId w:val="26"/>
        </w:num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d’évaluer l’efficacité et l’incidence des politiques de réaction aux crises et de reprise après celles-ci avec l’aide d’experts indépendants tels que ceux du </w:t>
      </w:r>
      <w:r>
        <w:rPr>
          <w:rFonts w:ascii="Times New Roman" w:hAnsi="Times New Roman"/>
          <w:b/>
          <w:noProof/>
          <w:sz w:val="24"/>
        </w:rPr>
        <w:t>mécanisme de consultation scientifique (SAM)</w:t>
      </w:r>
      <w:r>
        <w:rPr>
          <w:rFonts w:ascii="Times New Roman" w:hAnsi="Times New Roman"/>
          <w:noProof/>
          <w:sz w:val="24"/>
        </w:rPr>
        <w:t xml:space="preserve"> et des audits de la </w:t>
      </w:r>
      <w:r>
        <w:rPr>
          <w:rFonts w:ascii="Times New Roman" w:hAnsi="Times New Roman"/>
          <w:b/>
          <w:noProof/>
          <w:sz w:val="24"/>
        </w:rPr>
        <w:t>Cour des comptes européenne</w:t>
      </w:r>
      <w:r>
        <w:rPr>
          <w:rFonts w:ascii="Times New Roman" w:hAnsi="Times New Roman"/>
          <w:noProof/>
          <w:sz w:val="24"/>
        </w:rPr>
        <w:t>;</w:t>
      </w:r>
    </w:p>
    <w:p w14:paraId="7CDA32A9" w14:textId="19FD31F0" w:rsidR="00095798" w:rsidRDefault="00F313AB" w:rsidP="00476272">
      <w:pPr>
        <w:pStyle w:val="ListParagraph"/>
        <w:numPr>
          <w:ilvl w:val="0"/>
          <w:numId w:val="26"/>
        </w:numPr>
        <w:spacing w:after="360"/>
        <w:jc w:val="both"/>
        <w:rPr>
          <w:rFonts w:ascii="Times New Roman" w:eastAsia="Times New Roman" w:hAnsi="Times New Roman" w:cs="Times New Roman"/>
          <w:noProof/>
          <w:sz w:val="24"/>
          <w:szCs w:val="24"/>
        </w:rPr>
      </w:pPr>
      <w:r>
        <w:rPr>
          <w:rFonts w:ascii="Times New Roman" w:hAnsi="Times New Roman"/>
          <w:noProof/>
          <w:sz w:val="24"/>
        </w:rPr>
        <w:t xml:space="preserve">de favoriser la transparence et la confiance en </w:t>
      </w:r>
      <w:r>
        <w:rPr>
          <w:rFonts w:ascii="Times New Roman" w:hAnsi="Times New Roman"/>
          <w:b/>
          <w:noProof/>
          <w:sz w:val="24"/>
        </w:rPr>
        <w:t>communiquant</w:t>
      </w:r>
      <w:r>
        <w:rPr>
          <w:rFonts w:ascii="Times New Roman" w:hAnsi="Times New Roman"/>
          <w:noProof/>
          <w:sz w:val="24"/>
        </w:rPr>
        <w:t xml:space="preserve"> clairement sur ce qui a fonctionné, ce qui peut être amélioré et ce qui doit changer;</w:t>
      </w:r>
    </w:p>
    <w:p w14:paraId="6156B992" w14:textId="1D9B824C" w:rsidR="003205EB" w:rsidRDefault="064057D3" w:rsidP="00476272">
      <w:pPr>
        <w:pStyle w:val="ListParagraph"/>
        <w:numPr>
          <w:ilvl w:val="0"/>
          <w:numId w:val="26"/>
        </w:numPr>
        <w:spacing w:after="360"/>
        <w:jc w:val="both"/>
        <w:rPr>
          <w:rFonts w:ascii="Times New Roman" w:eastAsia="Times New Roman" w:hAnsi="Times New Roman" w:cs="Times New Roman"/>
          <w:noProof/>
          <w:sz w:val="24"/>
          <w:szCs w:val="24"/>
        </w:rPr>
      </w:pPr>
      <w:r>
        <w:rPr>
          <w:rFonts w:ascii="Times New Roman" w:hAnsi="Times New Roman"/>
          <w:noProof/>
          <w:sz w:val="24"/>
        </w:rPr>
        <w:t>de prendre en considération les répercussions sociales et économiques sur les groupes touchés de manière disproportionnée par les crises sanitaires et de définir des moyens de renforcer l’équité et une approche inclusive.</w:t>
      </w:r>
    </w:p>
    <w:p w14:paraId="5CFADEFA" w14:textId="0B5BB3D5" w:rsidR="008C29DD" w:rsidRPr="008C29DD" w:rsidRDefault="18A0E3D2" w:rsidP="672E3538">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Pr>
          <w:rFonts w:ascii="Times New Roman" w:hAnsi="Times New Roman"/>
          <w:b/>
          <w:noProof/>
        </w:rPr>
        <w:t>Le rétablissement en pratique: le renforcement de la sécurité sanitaire de l’UE sur la base des enseignements tirés de la pandémie de COVID-19</w:t>
      </w:r>
    </w:p>
    <w:p w14:paraId="50533EBA" w14:textId="5F27905B" w:rsidR="008C29DD" w:rsidRPr="008C29DD" w:rsidRDefault="144AB972" w:rsidP="672E3538">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eastAsia="Times New Roman" w:hAnsi="Times New Roman" w:cs="Times New Roman"/>
          <w:noProof/>
        </w:rPr>
      </w:pPr>
      <w:r>
        <w:rPr>
          <w:rFonts w:ascii="Times New Roman" w:hAnsi="Times New Roman"/>
          <w:noProof/>
        </w:rPr>
        <w:t xml:space="preserve">En s’appuyant sur les enseignements tirés de la pandémie de COVID-19, la Commission a mis à jour la législation relative aux </w:t>
      </w:r>
      <w:r>
        <w:rPr>
          <w:rFonts w:ascii="Times New Roman" w:hAnsi="Times New Roman"/>
          <w:b/>
          <w:noProof/>
        </w:rPr>
        <w:t>menaces transfrontières graves pour la santé</w:t>
      </w:r>
      <w:r>
        <w:rPr>
          <w:rFonts w:ascii="Times New Roman" w:hAnsi="Times New Roman"/>
          <w:noProof/>
        </w:rPr>
        <w:t>. Cette législation met en place un système plus solide de prévention, de surveillance, d’alerte précoce et de réaction, tant à l’échelle de l’UE qu’au niveau national, et garantit une coordination plus rapide, un meilleur partage des informations et une action commune en période d’urgence. L’</w:t>
      </w:r>
      <w:r>
        <w:rPr>
          <w:rFonts w:ascii="Times New Roman" w:hAnsi="Times New Roman"/>
          <w:b/>
          <w:noProof/>
        </w:rPr>
        <w:t>HERA</w:t>
      </w:r>
      <w:r>
        <w:rPr>
          <w:rFonts w:ascii="Times New Roman" w:hAnsi="Times New Roman"/>
          <w:noProof/>
        </w:rPr>
        <w:t xml:space="preserve"> a été créée en tant que service de la Commission afin de renforcer la capacité de l’UE à prévenir et à détecter les urgences sanitaires transfrontières, ainsi qu’à y réagir rapidement en garantissant le développement, la fabrication, l’acquisition et la répartition équitable des contre-mesures médicales essentielles. Les mandats des principales agences de l’UE ont également été renforcés: i) l’</w:t>
      </w:r>
      <w:r>
        <w:rPr>
          <w:rFonts w:ascii="Times New Roman" w:hAnsi="Times New Roman"/>
          <w:b/>
          <w:noProof/>
        </w:rPr>
        <w:t>ECDC</w:t>
      </w:r>
      <w:r>
        <w:rPr>
          <w:rFonts w:ascii="Times New Roman" w:hAnsi="Times New Roman"/>
          <w:noProof/>
        </w:rPr>
        <w:t xml:space="preserve"> dispose désormais de pouvoirs accrus en matière de surveillance, d’évaluation des risques et de création d’un réseau de laboratoires de référence de l’UE pour la santé publique, ce qui favorise une meilleure planification de la préparation et de la réaction dans l’ensemble des États membres; et ii) l’</w:t>
      </w:r>
      <w:r>
        <w:rPr>
          <w:rFonts w:ascii="Times New Roman" w:hAnsi="Times New Roman"/>
          <w:b/>
          <w:noProof/>
        </w:rPr>
        <w:t>EMA</w:t>
      </w:r>
      <w:r>
        <w:rPr>
          <w:rFonts w:ascii="Times New Roman" w:hAnsi="Times New Roman"/>
          <w:noProof/>
        </w:rPr>
        <w:t xml:space="preserve"> joue un rôle central dans la prévention et la gestion des pénuries de médicaments et de dispositifs médicaux essentiels. En outre, un cadre de mesures visant à garantir la fourniture des contre-mesures médicales nécessaires en cas de crise dans l’éventualité d’une urgence de santé publique au niveau de l’Union a été établi. Par ailleurs, le cadre juridique renforcé du </w:t>
      </w:r>
      <w:r>
        <w:rPr>
          <w:rFonts w:ascii="Times New Roman" w:hAnsi="Times New Roman"/>
          <w:b/>
          <w:noProof/>
        </w:rPr>
        <w:t>MPCU</w:t>
      </w:r>
      <w:r>
        <w:rPr>
          <w:rFonts w:ascii="Times New Roman" w:hAnsi="Times New Roman"/>
          <w:noProof/>
        </w:rPr>
        <w:t xml:space="preserve"> a permis à la Commission d’élargir les réserves rescEU. Cela comprend la création de plus de 20 stocks stratégiques rescEU situés dans 16 États membres, contenant des articles essentiels tels que des contre-mesures médicales, des équipements médicaux de soins intensifs, du matériel d’intervention pour les incidents chimiques, biologiques, radiologiques et nucléaires (CBRN) et des équipements de protection individuelle.</w:t>
      </w:r>
    </w:p>
    <w:p w14:paraId="76857F20" w14:textId="1685580A" w:rsidR="00B701FC" w:rsidRDefault="0DA342B0" w:rsidP="134A9F7A">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Pr>
          <w:rFonts w:ascii="Times New Roman" w:hAnsi="Times New Roman"/>
          <w:noProof/>
        </w:rPr>
        <w:t xml:space="preserve">À la suite de ces réformes législatives, l’UE a continué d’affiner son cadre de sécurité sanitaire sur la base des évaluations réalisées après la pandémie. Le </w:t>
      </w:r>
      <w:r>
        <w:rPr>
          <w:rFonts w:ascii="Times New Roman" w:hAnsi="Times New Roman"/>
          <w:b/>
          <w:noProof/>
        </w:rPr>
        <w:t>mécanisme de consultation scientifique (SAM)</w:t>
      </w:r>
      <w:r>
        <w:rPr>
          <w:rFonts w:ascii="Times New Roman" w:hAnsi="Times New Roman"/>
          <w:noProof/>
        </w:rPr>
        <w:t xml:space="preserve"> a fourni des orientations indépendantes et fondées sur des données probantes concernant la préparation aux pandémies, les stratégies vaccinales et la confiance du public dans la science. En outre, la </w:t>
      </w:r>
      <w:r>
        <w:rPr>
          <w:rFonts w:ascii="Times New Roman" w:hAnsi="Times New Roman"/>
          <w:b/>
          <w:noProof/>
        </w:rPr>
        <w:t>Cour des comptes européenne</w:t>
      </w:r>
      <w:r>
        <w:rPr>
          <w:rFonts w:ascii="Times New Roman" w:hAnsi="Times New Roman"/>
          <w:noProof/>
        </w:rPr>
        <w:t xml:space="preserve"> a procédé à une série d’analyses et d’audits concernant la réaction de l’UE face à la pandémie de COVID-19 (</w:t>
      </w:r>
      <w:r>
        <w:rPr>
          <w:rStyle w:val="FootnoteReference"/>
          <w:rFonts w:ascii="Times New Roman" w:hAnsi="Times New Roman" w:cs="Times New Roman"/>
          <w:noProof/>
        </w:rPr>
        <w:footnoteReference w:id="39"/>
      </w:r>
      <w:r>
        <w:rPr>
          <w:rFonts w:ascii="Times New Roman" w:hAnsi="Times New Roman"/>
          <w:noProof/>
        </w:rPr>
        <w:t>). En particulier, elle a évalué la préparation et la réaction de l’ECDC et de l’EMA à la pandémie de COVID-19, en vérifiant les performances des deux agences en période de crise sanitaire (</w:t>
      </w:r>
      <w:r>
        <w:rPr>
          <w:rStyle w:val="FootnoteReference"/>
          <w:rFonts w:ascii="Times New Roman" w:hAnsi="Times New Roman" w:cs="Times New Roman"/>
          <w:noProof/>
        </w:rPr>
        <w:footnoteReference w:id="40"/>
      </w:r>
      <w:r>
        <w:rPr>
          <w:rFonts w:ascii="Times New Roman" w:hAnsi="Times New Roman"/>
          <w:noProof/>
        </w:rPr>
        <w:t>). D’une manière générale, il a été conclu dans l’audit que, dans les limites de leurs compétences et capacités respectives, les deux agences avaient généralement bien réagi à la crise de la COVID-19. Plus récemment, les activités du service de la Commission HERA ont été évaluées (</w:t>
      </w:r>
      <w:r>
        <w:rPr>
          <w:rStyle w:val="FootnoteReference"/>
          <w:rFonts w:ascii="Times New Roman" w:hAnsi="Times New Roman" w:cs="Times New Roman"/>
          <w:noProof/>
        </w:rPr>
        <w:footnoteReference w:id="41"/>
      </w:r>
      <w:r>
        <w:rPr>
          <w:rFonts w:ascii="Times New Roman" w:hAnsi="Times New Roman"/>
          <w:noProof/>
        </w:rPr>
        <w:t>), mettant en exergue les réalisations de l’HERA en matière de renforcement des capacités de préparation et de réaction à l’échelle de l’UE. Toutefois, ces rapports ont également recensé des lacunes dans des domaines spécifiques et mis en lumière des domaines exigeant plus de travaux. De plus, il a été recommandé dans une évaluation du MPCU, adoptée en 2024, de renforcer les capacités du mécanisme en matière de réponse opérationnelle afin d’atténuer plus efficacement les risques transfrontières de grande ampleur (</w:t>
      </w:r>
      <w:r>
        <w:rPr>
          <w:rStyle w:val="FootnoteReference"/>
          <w:rFonts w:ascii="Times New Roman" w:hAnsi="Times New Roman" w:cs="Times New Roman"/>
          <w:noProof/>
        </w:rPr>
        <w:footnoteReference w:id="42"/>
      </w:r>
      <w:r>
        <w:rPr>
          <w:rFonts w:ascii="Times New Roman" w:hAnsi="Times New Roman"/>
          <w:noProof/>
        </w:rPr>
        <w:t>).</w:t>
      </w:r>
    </w:p>
    <w:p w14:paraId="5FF8CC54" w14:textId="3C6EE57E" w:rsidR="00790604" w:rsidRDefault="73EF65F1" w:rsidP="672E3538">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eastAsia="Times New Roman" w:hAnsi="Times New Roman" w:cs="Times New Roman"/>
          <w:noProof/>
          <w:sz w:val="24"/>
          <w:szCs w:val="24"/>
        </w:rPr>
      </w:pPr>
      <w:r>
        <w:rPr>
          <w:rFonts w:ascii="Times New Roman" w:hAnsi="Times New Roman"/>
          <w:noProof/>
        </w:rPr>
        <w:t>Les informations issues de ces audits et évaluations contribuent à renforcer les capacités de l’UE en matière de prévention des crises sanitaires ainsi que de préparation et de réaction à celles-ci. Ensemble, ces mesures montrent comment l’UE a su traduire les enseignements tirés de la pandémie en améliorations durables de la sécurité sanitaire, construisant ainsi une Europe plus saine, plus sûre et plus résiliente pour l’avenir.</w:t>
      </w:r>
    </w:p>
    <w:p w14:paraId="523D3594" w14:textId="4EDF3B0D" w:rsidR="1EB16524" w:rsidRDefault="1EB16524" w:rsidP="001E0D0B">
      <w:pPr>
        <w:pStyle w:val="NoSpacing"/>
        <w:rPr>
          <w:noProof/>
        </w:rPr>
      </w:pPr>
    </w:p>
    <w:p w14:paraId="15637D8D" w14:textId="7CA4F931" w:rsidR="003930C2" w:rsidRPr="008B3AAF" w:rsidRDefault="009C1964" w:rsidP="001E0D0B">
      <w:pPr>
        <w:pStyle w:val="ManualHeading1"/>
        <w:numPr>
          <w:ilvl w:val="0"/>
          <w:numId w:val="29"/>
        </w:numPr>
        <w:spacing w:before="120" w:after="360"/>
        <w:ind w:hanging="720"/>
        <w:rPr>
          <w:noProof/>
        </w:rPr>
      </w:pPr>
      <w:r>
        <w:rPr>
          <w:noProof/>
        </w:rPr>
        <w:t>RENFORCER LES PLANS NATIONAUX TOUT EN GARANTISSANT UNE RÉACTION COORDONNÉE À L’ÉCHELLE DE L’UNION: UNE APPROCHE COHÉRENTE DE LA SÉCURITÉ SANITAIRE</w:t>
      </w:r>
    </w:p>
    <w:p w14:paraId="76200885" w14:textId="71E2537B" w:rsidR="008360DA" w:rsidRPr="008B3AAF" w:rsidRDefault="03544F21" w:rsidP="008360DA">
      <w:pPr>
        <w:jc w:val="both"/>
        <w:rPr>
          <w:rFonts w:ascii="Times New Roman" w:eastAsia="Times New Roman" w:hAnsi="Times New Roman" w:cs="Times New Roman"/>
          <w:noProof/>
          <w:sz w:val="24"/>
          <w:szCs w:val="24"/>
        </w:rPr>
      </w:pPr>
      <w:r>
        <w:rPr>
          <w:rFonts w:ascii="Times New Roman" w:hAnsi="Times New Roman"/>
          <w:noProof/>
          <w:sz w:val="24"/>
        </w:rPr>
        <w:t>Le plan de l’Union s’inspire des plans nationaux de prévention, de préparation et de réaction que les États membres élaborent et mettent à jour depuis l’adoption du règlement concernant les menaces transfrontières graves pour la santé en 2022 (</w:t>
      </w:r>
      <w:r>
        <w:rPr>
          <w:rStyle w:val="FootnoteReference"/>
          <w:rFonts w:ascii="Times New Roman" w:eastAsia="Times New Roman" w:hAnsi="Times New Roman" w:cs="Times New Roman"/>
          <w:noProof/>
          <w:sz w:val="24"/>
          <w:szCs w:val="24"/>
        </w:rPr>
        <w:footnoteReference w:id="43"/>
      </w:r>
      <w:r>
        <w:rPr>
          <w:rFonts w:ascii="Times New Roman" w:hAnsi="Times New Roman"/>
          <w:noProof/>
          <w:sz w:val="24"/>
        </w:rPr>
        <w:t xml:space="preserve">). Pour leur part, les États membres devraient aligner leurs plans nationaux sur le plan de l’Union dans toute la mesure du possible, en favorisant une approche cohérente de la sécurité sanitaire. En intégrant les plans nationaux et de l’UE, il est possible de mettre en place un cadre de sécurité sanitaire solide et inclusif dans l’ensemble de l’UE. Par conséquent, le plan de l’Union </w:t>
      </w:r>
      <w:r>
        <w:rPr>
          <w:rFonts w:ascii="Times New Roman" w:hAnsi="Times New Roman"/>
          <w:b/>
          <w:noProof/>
          <w:sz w:val="24"/>
        </w:rPr>
        <w:t>constitue à la fois un document d’orientation et un vecteur d’unité</w:t>
      </w:r>
      <w:r>
        <w:rPr>
          <w:rFonts w:ascii="Times New Roman" w:hAnsi="Times New Roman"/>
          <w:noProof/>
          <w:sz w:val="24"/>
        </w:rPr>
        <w:t xml:space="preserve">: </w:t>
      </w:r>
      <w:bookmarkStart w:id="2" w:name="_Hlk212718522"/>
      <w:r>
        <w:rPr>
          <w:rFonts w:ascii="Times New Roman" w:hAnsi="Times New Roman"/>
          <w:noProof/>
          <w:sz w:val="24"/>
        </w:rPr>
        <w:t>il donne aux autorités nationales les moyens de renforcer leurs propres plans nationaux tout en garantissant une réaction coordonnée à l’échelle de l’UE</w:t>
      </w:r>
      <w:bookmarkEnd w:id="2"/>
      <w:r>
        <w:rPr>
          <w:noProof/>
        </w:rPr>
        <w:t xml:space="preserve"> </w:t>
      </w:r>
      <w:r>
        <w:rPr>
          <w:rFonts w:ascii="Times New Roman" w:hAnsi="Times New Roman"/>
          <w:noProof/>
          <w:sz w:val="24"/>
        </w:rPr>
        <w:t>face aux crises sanitaires.</w:t>
      </w:r>
    </w:p>
    <w:p w14:paraId="1756FA73" w14:textId="24717C5A" w:rsidR="006C0577" w:rsidRPr="008B3AAF" w:rsidRDefault="7149C876" w:rsidP="00A03E85">
      <w:pPr>
        <w:jc w:val="both"/>
        <w:rPr>
          <w:rFonts w:ascii="Times New Roman" w:hAnsi="Times New Roman" w:cs="Times New Roman"/>
          <w:noProof/>
          <w:sz w:val="24"/>
          <w:szCs w:val="24"/>
        </w:rPr>
      </w:pPr>
      <w:r>
        <w:rPr>
          <w:rFonts w:ascii="Times New Roman" w:hAnsi="Times New Roman"/>
          <w:noProof/>
          <w:sz w:val="24"/>
        </w:rPr>
        <w:t xml:space="preserve">Tous les trois ans, les États membres présentent à la Commission un </w:t>
      </w:r>
      <w:r>
        <w:rPr>
          <w:rFonts w:ascii="Times New Roman" w:hAnsi="Times New Roman"/>
          <w:b/>
          <w:noProof/>
          <w:sz w:val="24"/>
        </w:rPr>
        <w:t>rapport</w:t>
      </w:r>
      <w:r>
        <w:rPr>
          <w:rFonts w:ascii="Times New Roman" w:hAnsi="Times New Roman"/>
          <w:noProof/>
          <w:sz w:val="24"/>
        </w:rPr>
        <w:t xml:space="preserve"> sur leurs activités de planification et de mise en œuvre en matière de prévention, de préparation et de réaction au niveau national, en fournissant une vue d’ensemble de leurs ressources, capacités et structures de gouvernance nationales en place pour garantir leur état de préparation et leur réaction aux crises sanitaires transfrontières. Le </w:t>
      </w:r>
      <w:r>
        <w:rPr>
          <w:rFonts w:ascii="Times New Roman" w:hAnsi="Times New Roman"/>
          <w:b/>
          <w:noProof/>
          <w:sz w:val="24"/>
        </w:rPr>
        <w:t>comité de sécurité sanitaire</w:t>
      </w:r>
      <w:r>
        <w:rPr>
          <w:rFonts w:ascii="Times New Roman" w:hAnsi="Times New Roman"/>
          <w:noProof/>
          <w:sz w:val="24"/>
        </w:rPr>
        <w:t xml:space="preserve"> (CSS) (</w:t>
      </w:r>
      <w:r>
        <w:rPr>
          <w:rStyle w:val="FootnoteReference"/>
          <w:rFonts w:ascii="Times New Roman" w:eastAsia="Times New Roman" w:hAnsi="Times New Roman" w:cs="Times New Roman"/>
          <w:noProof/>
          <w:sz w:val="24"/>
          <w:szCs w:val="24"/>
        </w:rPr>
        <w:footnoteReference w:id="44"/>
      </w:r>
      <w:r>
        <w:rPr>
          <w:rFonts w:ascii="Times New Roman" w:hAnsi="Times New Roman"/>
          <w:noProof/>
          <w:sz w:val="24"/>
        </w:rPr>
        <w:t>) joue un rôle important dans cet exercice d’autodéclaration et dans les discussions portant sur l’état général de préparation de l’UE. Il réunit les États membres, la Commission et les agences et organes compétents de l’UE afin d’examiner et de partager les bonnes pratiques, de promouvoir l’alignement entre les plans nationaux et le plan de l’Union et de favoriser une culture de collaboration (</w:t>
      </w:r>
      <w:r>
        <w:rPr>
          <w:rStyle w:val="FootnoteReference"/>
          <w:rFonts w:ascii="Times New Roman" w:hAnsi="Times New Roman" w:cs="Times New Roman"/>
          <w:noProof/>
          <w:sz w:val="24"/>
          <w:szCs w:val="24"/>
        </w:rPr>
        <w:footnoteReference w:id="45"/>
      </w:r>
      <w:r>
        <w:rPr>
          <w:rFonts w:ascii="Times New Roman" w:hAnsi="Times New Roman"/>
          <w:noProof/>
          <w:sz w:val="24"/>
        </w:rPr>
        <w:t xml:space="preserve">). </w:t>
      </w:r>
    </w:p>
    <w:p w14:paraId="1429D28F" w14:textId="2E94FEC5" w:rsidR="00796A26" w:rsidRDefault="125590A3" w:rsidP="001443F1">
      <w:pPr>
        <w:jc w:val="both"/>
        <w:rPr>
          <w:rFonts w:ascii="Times New Roman" w:eastAsia="Times New Roman" w:hAnsi="Times New Roman" w:cs="Times New Roman"/>
          <w:noProof/>
          <w:sz w:val="24"/>
          <w:szCs w:val="24"/>
        </w:rPr>
      </w:pPr>
      <w:r>
        <w:rPr>
          <w:rFonts w:ascii="Times New Roman" w:hAnsi="Times New Roman"/>
          <w:noProof/>
          <w:sz w:val="24"/>
        </w:rPr>
        <w:t xml:space="preserve">Parallèlement, dans le cadre d’un cycle de trois ans également, les capacités de prévention, de préparation et de réaction des États membres sont évaluées par l’ECDC. À la suite de ces </w:t>
      </w:r>
      <w:r>
        <w:rPr>
          <w:rFonts w:ascii="Times New Roman" w:hAnsi="Times New Roman"/>
          <w:b/>
          <w:noProof/>
          <w:sz w:val="24"/>
        </w:rPr>
        <w:t>évaluations de la préparation aux situations d’urgence de santé publique</w:t>
      </w:r>
      <w:r>
        <w:rPr>
          <w:rFonts w:ascii="Times New Roman" w:hAnsi="Times New Roman"/>
          <w:noProof/>
          <w:sz w:val="24"/>
        </w:rPr>
        <w:t> (</w:t>
      </w:r>
      <w:r>
        <w:rPr>
          <w:rStyle w:val="FootnoteReference"/>
          <w:rFonts w:ascii="Times New Roman" w:eastAsia="Times New Roman" w:hAnsi="Times New Roman" w:cs="Times New Roman"/>
          <w:noProof/>
          <w:sz w:val="24"/>
          <w:szCs w:val="24"/>
        </w:rPr>
        <w:footnoteReference w:id="46"/>
      </w:r>
      <w:r>
        <w:rPr>
          <w:rFonts w:ascii="Times New Roman" w:hAnsi="Times New Roman"/>
          <w:noProof/>
          <w:sz w:val="24"/>
        </w:rPr>
        <w:t xml:space="preserve">) </w:t>
      </w:r>
      <w:r>
        <w:rPr>
          <w:rFonts w:ascii="Times New Roman" w:hAnsi="Times New Roman"/>
          <w:b/>
          <w:noProof/>
          <w:sz w:val="24"/>
        </w:rPr>
        <w:t>(PHEPA)</w:t>
      </w:r>
      <w:r>
        <w:rPr>
          <w:rFonts w:ascii="Times New Roman" w:hAnsi="Times New Roman"/>
          <w:noProof/>
          <w:sz w:val="24"/>
        </w:rPr>
        <w:t>, l’ECDC adresse aux États membres des recommandations sur mesure, en décrivant les domaines à améliorer et en suggérant des moyens d’optimiser leurs plans nationaux et de renforcer leurs capacités (</w:t>
      </w:r>
      <w:r>
        <w:rPr>
          <w:rStyle w:val="FootnoteReference"/>
          <w:rFonts w:ascii="Times New Roman" w:eastAsia="Times New Roman" w:hAnsi="Times New Roman" w:cs="Times New Roman"/>
          <w:noProof/>
          <w:sz w:val="24"/>
          <w:szCs w:val="24"/>
        </w:rPr>
        <w:footnoteReference w:id="47"/>
      </w:r>
      <w:r>
        <w:rPr>
          <w:rFonts w:ascii="Times New Roman" w:hAnsi="Times New Roman"/>
          <w:noProof/>
          <w:sz w:val="24"/>
        </w:rPr>
        <w:t>).</w:t>
      </w:r>
    </w:p>
    <w:p w14:paraId="484F151C" w14:textId="12A98687" w:rsidR="00240227" w:rsidRDefault="00240227" w:rsidP="006E1EA6">
      <w:pPr>
        <w:spacing w:after="0"/>
        <w:jc w:val="both"/>
        <w:rPr>
          <w:rFonts w:ascii="Times New Roman" w:eastAsia="Times New Roman" w:hAnsi="Times New Roman" w:cs="Times New Roman"/>
          <w:noProof/>
          <w:sz w:val="24"/>
          <w:szCs w:val="24"/>
        </w:rPr>
      </w:pPr>
      <w:r>
        <w:rPr>
          <w:rStyle w:val="Strong"/>
          <w:rFonts w:ascii="Times New Roman" w:hAnsi="Times New Roman"/>
          <w:b w:val="0"/>
          <w:noProof/>
          <w:sz w:val="24"/>
        </w:rPr>
        <w:t>La figure suivante</w:t>
      </w:r>
      <w:r>
        <w:rPr>
          <w:rFonts w:ascii="Times New Roman" w:hAnsi="Times New Roman"/>
          <w:noProof/>
          <w:sz w:val="24"/>
        </w:rPr>
        <w:t xml:space="preserve"> illustre les </w:t>
      </w:r>
      <w:r>
        <w:rPr>
          <w:rFonts w:ascii="Times New Roman" w:hAnsi="Times New Roman"/>
          <w:b/>
          <w:noProof/>
          <w:sz w:val="24"/>
        </w:rPr>
        <w:t>c</w:t>
      </w:r>
      <w:r>
        <w:rPr>
          <w:rStyle w:val="Strong"/>
          <w:rFonts w:ascii="Times New Roman" w:hAnsi="Times New Roman"/>
          <w:noProof/>
          <w:sz w:val="24"/>
        </w:rPr>
        <w:t>ycles interdépendants d’établissement de rapports et d’évaluation</w:t>
      </w:r>
      <w:r>
        <w:rPr>
          <w:rFonts w:ascii="Times New Roman" w:hAnsi="Times New Roman"/>
          <w:noProof/>
          <w:sz w:val="24"/>
        </w:rPr>
        <w:t xml:space="preserve"> de la planification de la prévention, de la préparation et de la réaction (PPR) des États membres (EM). La </w:t>
      </w:r>
      <w:r>
        <w:rPr>
          <w:rStyle w:val="Strong"/>
          <w:rFonts w:ascii="Times New Roman" w:hAnsi="Times New Roman"/>
          <w:noProof/>
          <w:sz w:val="24"/>
        </w:rPr>
        <w:t>partie gauche</w:t>
      </w:r>
      <w:r>
        <w:rPr>
          <w:rFonts w:ascii="Times New Roman" w:hAnsi="Times New Roman"/>
          <w:noProof/>
          <w:sz w:val="24"/>
        </w:rPr>
        <w:t xml:space="preserve"> représente le cycle d’établissement de rapports, au cours duquel les États membres présentent un compte rendu de leurs plans nationaux en matière de PPR, qui sont ensuite examinés au CSS et résumés par la Commission (COM) dans un rapport de synthèse. La </w:t>
      </w:r>
      <w:r>
        <w:rPr>
          <w:rFonts w:ascii="Times New Roman" w:hAnsi="Times New Roman"/>
          <w:b/>
          <w:noProof/>
          <w:sz w:val="24"/>
        </w:rPr>
        <w:t>partie droite</w:t>
      </w:r>
      <w:r>
        <w:rPr>
          <w:rFonts w:ascii="Times New Roman" w:hAnsi="Times New Roman"/>
          <w:noProof/>
          <w:sz w:val="24"/>
        </w:rPr>
        <w:t xml:space="preserve"> représente le cycle d’évaluation, qui commence par les évaluations de la préparation aux situations d’urgence de santé publique (PHEPA), suivies des recommandations de l’ECDC, et se termine par la réalisation de plans d’action par les États membres pour y donner suite. Les retours d’information obtenus au cours des deux cycles viennent alimenter la vue d’ensemble intégrée de la Commission sur la préparation de l’UE, qui sera présentée au Parlement européen et au Conseil, soutenant ainsi l’amélioration continue de la sécurité sanitaire de l’UE.</w:t>
      </w:r>
    </w:p>
    <w:p w14:paraId="037DC1AB" w14:textId="439BFB56" w:rsidR="005F17FD" w:rsidRDefault="00FB558F" w:rsidP="001443F1">
      <w:pPr>
        <w:jc w:val="both"/>
        <w:rPr>
          <w:rFonts w:ascii="Times New Roman" w:eastAsia="Times New Roman" w:hAnsi="Times New Roman" w:cs="Times New Roman"/>
          <w:noProof/>
          <w:sz w:val="24"/>
          <w:szCs w:val="24"/>
        </w:rPr>
      </w:pPr>
      <w:r w:rsidRPr="00FB558F">
        <w:rPr>
          <w:rFonts w:ascii="Times New Roman" w:eastAsia="Times New Roman" w:hAnsi="Times New Roman" w:cs="Times New Roman"/>
          <w:noProof/>
          <w:sz w:val="24"/>
          <w:szCs w:val="24"/>
          <w:lang w:val="en-GB" w:eastAsia="en-GB"/>
        </w:rPr>
        <w:drawing>
          <wp:inline distT="0" distB="0" distL="0" distR="0" wp14:anchorId="5205F1A0" wp14:editId="5F0C4785">
            <wp:extent cx="5760720" cy="3152140"/>
            <wp:effectExtent l="0" t="0" r="0" b="0"/>
            <wp:docPr id="1540342417"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342417" name="Picture 1" descr="A diagram of a diagram&#10;&#10;AI-generated content may be incorrect."/>
                    <pic:cNvPicPr/>
                  </pic:nvPicPr>
                  <pic:blipFill>
                    <a:blip r:embed="rId18"/>
                    <a:stretch>
                      <a:fillRect/>
                    </a:stretch>
                  </pic:blipFill>
                  <pic:spPr>
                    <a:xfrm>
                      <a:off x="0" y="0"/>
                      <a:ext cx="5760720" cy="3152140"/>
                    </a:xfrm>
                    <a:prstGeom prst="rect">
                      <a:avLst/>
                    </a:prstGeom>
                  </pic:spPr>
                </pic:pic>
              </a:graphicData>
            </a:graphic>
          </wp:inline>
        </w:drawing>
      </w:r>
    </w:p>
    <w:p w14:paraId="2C4779C0" w14:textId="0C9AB1CD" w:rsidR="00404117" w:rsidRPr="00B425EA" w:rsidRDefault="7561729B" w:rsidP="00B425EA">
      <w:pPr>
        <w:pStyle w:val="Figurecaptions"/>
        <w:spacing w:after="240"/>
        <w:rPr>
          <w:rStyle w:val="FigurecaptionsChar"/>
          <w:noProof/>
          <w:sz w:val="20"/>
          <w:szCs w:val="20"/>
        </w:rPr>
      </w:pPr>
      <w:r>
        <w:rPr>
          <w:rStyle w:val="FigurecaptionsChar"/>
          <w:noProof/>
          <w:sz w:val="20"/>
        </w:rPr>
        <w:t>Figure 1. Les cycles interdépendants d’établissement de rapports et d’évaluation de la planification de la prévention, de la préparation et de la réaction des États membres.</w:t>
      </w:r>
    </w:p>
    <w:p w14:paraId="60867B67" w14:textId="20C95788" w:rsidR="009D6F2F" w:rsidRPr="008B3AAF" w:rsidRDefault="6BC5CBDE" w:rsidP="009D6F2F">
      <w:pPr>
        <w:jc w:val="both"/>
        <w:rPr>
          <w:rFonts w:ascii="Times New Roman" w:eastAsia="Times New Roman" w:hAnsi="Times New Roman" w:cs="Times New Roman"/>
          <w:noProof/>
        </w:rPr>
      </w:pPr>
      <w:r>
        <w:rPr>
          <w:rFonts w:ascii="Times New Roman" w:hAnsi="Times New Roman"/>
          <w:noProof/>
          <w:sz w:val="24"/>
        </w:rPr>
        <w:t>À ce jour, les 30 pays de l’UE/EEE ont tous mis en place des plans nationaux de prévention, de préparation et de réaction et ont fait état de leurs capacités lors du premier exercice d’autodéclaration en 2023 (</w:t>
      </w:r>
      <w:r>
        <w:rPr>
          <w:rStyle w:val="FootnoteReference"/>
          <w:rFonts w:ascii="Times New Roman" w:hAnsi="Times New Roman" w:cs="Times New Roman"/>
          <w:noProof/>
          <w:sz w:val="24"/>
          <w:szCs w:val="24"/>
        </w:rPr>
        <w:footnoteReference w:id="48"/>
      </w:r>
      <w:r>
        <w:rPr>
          <w:rFonts w:ascii="Times New Roman" w:hAnsi="Times New Roman"/>
          <w:noProof/>
          <w:sz w:val="24"/>
        </w:rPr>
        <w:t>). En 2024 et 2025, 19 pays de l’UE/EEE ont participé à l’évaluation de la préparation aux situations d’urgence de santé publique gérée par l’ECDC.</w:t>
      </w:r>
    </w:p>
    <w:p w14:paraId="254667D2" w14:textId="1CE07D98" w:rsidR="002A7550" w:rsidRPr="00662A66" w:rsidRDefault="4E12E9F9" w:rsidP="00EC79D8">
      <w:pPr>
        <w:spacing w:after="0"/>
        <w:jc w:val="both"/>
        <w:rPr>
          <w:rFonts w:ascii="Times New Roman" w:hAnsi="Times New Roman" w:cs="Times New Roman"/>
          <w:noProof/>
          <w:sz w:val="24"/>
          <w:szCs w:val="24"/>
        </w:rPr>
      </w:pPr>
      <w:r>
        <w:rPr>
          <w:rFonts w:ascii="Times New Roman" w:hAnsi="Times New Roman"/>
          <w:noProof/>
          <w:sz w:val="24"/>
        </w:rPr>
        <w:t xml:space="preserve">Sur la base des informations recueillies grâce à l’exercice national d’autodéclaration et des résultats de l’évaluation de la préparation aux situations d’urgence de santé publique, la Commission, en coopération avec l’ECDC, établit </w:t>
      </w:r>
      <w:r>
        <w:rPr>
          <w:rFonts w:ascii="Times New Roman" w:hAnsi="Times New Roman"/>
          <w:b/>
          <w:noProof/>
          <w:sz w:val="24"/>
        </w:rPr>
        <w:t>un rapport de synthèse</w:t>
      </w:r>
      <w:r>
        <w:rPr>
          <w:rFonts w:ascii="Times New Roman" w:hAnsi="Times New Roman"/>
          <w:noProof/>
          <w:sz w:val="24"/>
        </w:rPr>
        <w:t xml:space="preserve"> </w:t>
      </w:r>
      <w:r>
        <w:rPr>
          <w:rFonts w:ascii="Times New Roman" w:hAnsi="Times New Roman"/>
          <w:b/>
          <w:noProof/>
          <w:sz w:val="24"/>
        </w:rPr>
        <w:t>sur l’état de préparation dans l’UE</w:t>
      </w:r>
      <w:r>
        <w:rPr>
          <w:rFonts w:ascii="Times New Roman" w:hAnsi="Times New Roman"/>
          <w:noProof/>
          <w:sz w:val="24"/>
        </w:rPr>
        <w:t> (</w:t>
      </w:r>
      <w:r>
        <w:rPr>
          <w:rStyle w:val="FootnoteReference"/>
          <w:rFonts w:ascii="Times New Roman" w:eastAsia="Times New Roman" w:hAnsi="Times New Roman" w:cs="Times New Roman"/>
          <w:noProof/>
          <w:sz w:val="24"/>
          <w:szCs w:val="24"/>
        </w:rPr>
        <w:footnoteReference w:id="49"/>
      </w:r>
      <w:r>
        <w:rPr>
          <w:rFonts w:ascii="Times New Roman" w:hAnsi="Times New Roman"/>
          <w:noProof/>
          <w:sz w:val="24"/>
        </w:rPr>
        <w:t>), qui fait ressortir les lacunes et les domaines à améliorer.</w:t>
      </w:r>
    </w:p>
    <w:p w14:paraId="3F87F74A" w14:textId="1F1B9F68" w:rsidR="00DF7BCE" w:rsidRPr="008B3AAF" w:rsidRDefault="007759E8" w:rsidP="00DA38D4">
      <w:pPr>
        <w:pBdr>
          <w:top w:val="single" w:sz="4" w:space="1" w:color="000000"/>
          <w:left w:val="single" w:sz="4" w:space="4" w:color="000000"/>
          <w:bottom w:val="single" w:sz="4" w:space="1" w:color="000000"/>
          <w:right w:val="single" w:sz="4" w:space="4" w:color="000000"/>
        </w:pBdr>
        <w:shd w:val="clear" w:color="auto" w:fill="F2F2F2" w:themeFill="background1" w:themeFillShade="F2"/>
        <w:rPr>
          <w:rFonts w:ascii="Times New Roman" w:eastAsia="Times New Roman" w:hAnsi="Times New Roman" w:cs="Times New Roman"/>
          <w:b/>
          <w:bCs/>
          <w:noProof/>
        </w:rPr>
      </w:pPr>
      <w:bookmarkStart w:id="4" w:name="_Hlk212806764"/>
      <w:r>
        <w:rPr>
          <w:rFonts w:ascii="Times New Roman" w:hAnsi="Times New Roman"/>
          <w:b/>
          <w:noProof/>
        </w:rPr>
        <w:t>Informations sur les capacités de préparation des pays de l’UE/EEE obtenues lors de l’exercice d’autodéclaration de 2023</w:t>
      </w:r>
    </w:p>
    <w:bookmarkEnd w:id="4"/>
    <w:p w14:paraId="5E26B131" w14:textId="25A3C743" w:rsidR="00DF7BCE" w:rsidRPr="008B3AAF" w:rsidRDefault="642D431C" w:rsidP="672E3538">
      <w:pPr>
        <w:pBdr>
          <w:top w:val="single" w:sz="4" w:space="1" w:color="000000"/>
          <w:left w:val="single" w:sz="4" w:space="4" w:color="000000"/>
          <w:bottom w:val="single" w:sz="4" w:space="1" w:color="000000"/>
          <w:right w:val="single" w:sz="4" w:space="4" w:color="000000"/>
        </w:pBdr>
        <w:shd w:val="clear" w:color="auto" w:fill="F2F2F2" w:themeFill="background1" w:themeFillShade="F2"/>
        <w:jc w:val="both"/>
        <w:rPr>
          <w:rFonts w:ascii="Times New Roman" w:eastAsia="Times New Roman" w:hAnsi="Times New Roman" w:cs="Times New Roman"/>
          <w:noProof/>
        </w:rPr>
      </w:pPr>
      <w:r>
        <w:rPr>
          <w:rFonts w:ascii="Times New Roman" w:hAnsi="Times New Roman"/>
          <w:noProof/>
        </w:rPr>
        <w:t>Tous les pays de l’UE/EEE disposent de cadres législatifs pour la gestion des crises sanitaires, mais des lacunes subsistent dans leur mise en œuvre. Pour lutter efficacement contre les menaces transfrontières graves pour la santé, les États membres doivent adopter une approche globale qui privilégie la collaboration, l’égalité des chances, la résilience financière et une coordination solide à tous les niveaux.</w:t>
      </w:r>
    </w:p>
    <w:p w14:paraId="0D688071" w14:textId="7841434D" w:rsidR="00DF7BCE" w:rsidRPr="008B3AAF" w:rsidRDefault="00777C3E" w:rsidP="672E3538">
      <w:pPr>
        <w:pBdr>
          <w:top w:val="single" w:sz="4" w:space="1" w:color="000000"/>
          <w:left w:val="single" w:sz="4" w:space="4" w:color="000000"/>
          <w:bottom w:val="single" w:sz="4" w:space="1" w:color="000000"/>
          <w:right w:val="single" w:sz="4" w:space="4" w:color="000000"/>
        </w:pBdr>
        <w:shd w:val="clear" w:color="auto" w:fill="F2F2F2" w:themeFill="background1" w:themeFillShade="F2"/>
        <w:jc w:val="both"/>
        <w:rPr>
          <w:rFonts w:ascii="Times New Roman" w:eastAsia="Times New Roman" w:hAnsi="Times New Roman" w:cs="Times New Roman"/>
          <w:noProof/>
        </w:rPr>
      </w:pPr>
      <w:r>
        <w:rPr>
          <w:rFonts w:ascii="Times New Roman" w:hAnsi="Times New Roman"/>
          <w:noProof/>
        </w:rPr>
        <w:t>En ce qui concerne l’approche «Une seule santé», la plupart des pays de l’UE/EEE sont dotés de systèmes de gestion des incidents qui relient la santé publique à d’autres secteurs. Toutefois, les mécanismes de coordination entre les différents secteurs et niveaux de gouvernance sont rarement testés et révisés. Afin de mieux définir les risques à un stade précoce, les États membres devraient évaluer régulièrement tous les types de menaces et les inclure dans des plans globaux en matière de crises sanitaires fondés sur les approches «Une seule santé» et «tous risques» et couvrant tous les secteurs concernés de la société. Ces plans devraient également intégrer des contre-mesures médicales, afin que les stocks et les capacités de fabrication soient immédiatement disponibles pour faciliter une réaction rapide et efficace en cas de crise sanitaire.</w:t>
      </w:r>
    </w:p>
    <w:p w14:paraId="7D142825" w14:textId="075BDE70" w:rsidR="00DF7BCE" w:rsidRPr="008B3AAF" w:rsidRDefault="642D431C" w:rsidP="672E3538">
      <w:pPr>
        <w:pBdr>
          <w:top w:val="single" w:sz="4" w:space="1" w:color="000000"/>
          <w:left w:val="single" w:sz="4" w:space="4" w:color="000000"/>
          <w:bottom w:val="single" w:sz="4" w:space="1" w:color="000000"/>
          <w:right w:val="single" w:sz="4" w:space="4" w:color="000000"/>
        </w:pBdr>
        <w:shd w:val="clear" w:color="auto" w:fill="F2F2F2" w:themeFill="background1" w:themeFillShade="F2"/>
        <w:jc w:val="both"/>
        <w:rPr>
          <w:rFonts w:eastAsia="Times New Roman"/>
          <w:noProof/>
        </w:rPr>
      </w:pPr>
      <w:r>
        <w:rPr>
          <w:rFonts w:ascii="Times New Roman" w:hAnsi="Times New Roman"/>
          <w:noProof/>
        </w:rPr>
        <w:t>La plupart des pays de l’UE/EEE ont mis en place des plans pour garantir la disponibilité de leur personnel de santé pendant les crises sanitaires, mais rares sont ceux qui les réexaminent régulièrement, et beaucoup ont du mal à prévoir correctement les besoins en ressources humaines. Les systèmes permettant de déployer du personnel médical par-delà les frontières en cas d’urgence ne sont pas encore bien établis. Afin de gérer les fortes hausses de la demande en cas d’urgence, les États membres devraient mettre en place des plans visant à mobiliser du personnel supplémentaire, y compris des étudiants et des professionnels retraités. Ils devraient également définir des procédures claires pour le redéploiement des professionnels de la santé dans toutes les régions et entre les pays de l’UE/EEE en situation de forte demande, y compris dans les scénarios de conflit potentiel. D’une manière générale, la mise en œuvre des dispositifs d’assistance mutuelle et de coopération est nécessaire pour faciliter la circulation du personnel, des équipements médicaux, des contre-mesures médicales et des patients par-delà les frontières dans les situations d’urgence et pour renforcer le soutien fourni par le pays hôte.</w:t>
      </w:r>
    </w:p>
    <w:p w14:paraId="72176537" w14:textId="17201B40" w:rsidR="00C46BE5" w:rsidRPr="008B3AAF" w:rsidRDefault="35ADDE24" w:rsidP="6655B6FB">
      <w:pPr>
        <w:spacing w:after="0"/>
        <w:jc w:val="both"/>
        <w:rPr>
          <w:rFonts w:ascii="Times New Roman" w:hAnsi="Times New Roman" w:cs="Times New Roman"/>
          <w:noProof/>
          <w:sz w:val="24"/>
          <w:szCs w:val="24"/>
        </w:rPr>
      </w:pPr>
      <w:r>
        <w:rPr>
          <w:rFonts w:ascii="Times New Roman" w:hAnsi="Times New Roman"/>
          <w:noProof/>
          <w:sz w:val="24"/>
        </w:rPr>
        <w:t>L’élaboration et la mise en œuvre des plans nationaux, ainsi que la planification des capacités requises au sein des États membres en matière de prévention, de préparation et de réaction aux crises sanitaires, constituent donc un processus dynamique qui est également influencé par les priorités politiques des États membres, les ressources disponibles et l’évolution constante du panorama des menaces et des risques. La Commission et les agences de l’UE accompagnent les États membres en fournissant des orientations techniques, en organisant des formations (</w:t>
      </w:r>
      <w:r>
        <w:rPr>
          <w:rFonts w:ascii="Times New Roman" w:hAnsi="Times New Roman"/>
          <w:noProof/>
          <w:sz w:val="24"/>
          <w:vertAlign w:val="superscript"/>
        </w:rPr>
        <w:t>37</w:t>
      </w:r>
      <w:r>
        <w:rPr>
          <w:rFonts w:ascii="Times New Roman" w:hAnsi="Times New Roman"/>
          <w:noProof/>
          <w:sz w:val="24"/>
        </w:rPr>
        <w:t>) et des exercices de simulation et en apportant une expertise (</w:t>
      </w:r>
      <w:r>
        <w:rPr>
          <w:rFonts w:ascii="Times New Roman" w:hAnsi="Times New Roman"/>
          <w:noProof/>
          <w:sz w:val="24"/>
          <w:vertAlign w:val="superscript"/>
        </w:rPr>
        <w:t>38</w:t>
      </w:r>
      <w:r>
        <w:rPr>
          <w:rFonts w:ascii="Times New Roman" w:hAnsi="Times New Roman"/>
          <w:noProof/>
          <w:sz w:val="24"/>
        </w:rPr>
        <w:t>). La poursuite du dialogue au sein du comité de sécurité sanitaire est essentielle à cet égard.</w:t>
      </w:r>
    </w:p>
    <w:p w14:paraId="371C5006" w14:textId="77777777" w:rsidR="001273DA" w:rsidRPr="008B3AAF" w:rsidRDefault="001273DA" w:rsidP="6655B6FB">
      <w:pPr>
        <w:spacing w:after="0"/>
        <w:jc w:val="both"/>
        <w:rPr>
          <w:rFonts w:ascii="Times New Roman" w:hAnsi="Times New Roman" w:cs="Times New Roman"/>
          <w:noProof/>
          <w:sz w:val="24"/>
          <w:szCs w:val="24"/>
        </w:rPr>
      </w:pPr>
    </w:p>
    <w:p w14:paraId="73C4CD70" w14:textId="7E040CFB" w:rsidR="003930C2" w:rsidRPr="008B3AAF" w:rsidRDefault="0591F634" w:rsidP="001273DA">
      <w:pPr>
        <w:pStyle w:val="ManualHeading1"/>
        <w:spacing w:before="120" w:after="360"/>
        <w:rPr>
          <w:noProof/>
        </w:rPr>
      </w:pPr>
      <w:r>
        <w:rPr>
          <w:noProof/>
        </w:rPr>
        <w:t>4.</w:t>
      </w:r>
      <w:r>
        <w:rPr>
          <w:noProof/>
        </w:rPr>
        <w:tab/>
        <w:t>MISE EN ŒUVRE ET AMÉLIORATION DU PLAN DE L’UNION</w:t>
      </w:r>
    </w:p>
    <w:p w14:paraId="779565AE" w14:textId="000CC8CE" w:rsidR="009D6F2F" w:rsidRDefault="67F09AE6">
      <w:pPr>
        <w:jc w:val="both"/>
        <w:rPr>
          <w:rFonts w:ascii="Times New Roman" w:hAnsi="Times New Roman" w:cs="Times New Roman"/>
          <w:noProof/>
          <w:sz w:val="24"/>
          <w:szCs w:val="24"/>
        </w:rPr>
      </w:pPr>
      <w:r>
        <w:rPr>
          <w:rFonts w:ascii="Times New Roman" w:hAnsi="Times New Roman"/>
          <w:noProof/>
          <w:sz w:val="24"/>
        </w:rPr>
        <w:t>Étroitement lié aux plans nationaux et s’appuyant sur ceux-ci, le plan de l’Union évoluera inévitablement. À l’instar des plans nationaux, les versions ultérieures du plan doivent refléter les évolutions politiques, les épidémies, les modifications de la législation de l’UE et l’adoption ou la mise en œuvre d’initiatives pertinentes de l’UE. Par conséquent, lors de la mise à jour du plan de l’Union, il sera essentiel de tenir compte des retours d’information issus des exercices de simulation, des enseignements tirés de crises sanitaires réelles, des évaluations de la législation et des initiatives de l’UE, de l’expérience en matière de mise en œuvre et des ressources financières disponibles.</w:t>
      </w:r>
    </w:p>
    <w:p w14:paraId="61B697A5" w14:textId="076A555B" w:rsidR="009D6F2F" w:rsidRDefault="0DB192E9">
      <w:pPr>
        <w:jc w:val="both"/>
        <w:rPr>
          <w:rFonts w:ascii="Times New Roman" w:hAnsi="Times New Roman" w:cs="Times New Roman"/>
          <w:noProof/>
          <w:sz w:val="24"/>
          <w:szCs w:val="24"/>
        </w:rPr>
      </w:pPr>
      <w:r>
        <w:rPr>
          <w:rFonts w:ascii="Times New Roman" w:hAnsi="Times New Roman"/>
          <w:noProof/>
          <w:sz w:val="24"/>
        </w:rPr>
        <w:t>Afin de garantir que le plan de l’Union continue d’atteindre ses buts et objectifs, il sera régulièrement testé au moyen d’</w:t>
      </w:r>
      <w:r>
        <w:rPr>
          <w:rFonts w:ascii="Times New Roman" w:hAnsi="Times New Roman"/>
          <w:b/>
          <w:noProof/>
          <w:sz w:val="24"/>
        </w:rPr>
        <w:t>exercices de simulation</w:t>
      </w:r>
      <w:r>
        <w:rPr>
          <w:rFonts w:ascii="Times New Roman" w:hAnsi="Times New Roman"/>
          <w:noProof/>
          <w:sz w:val="24"/>
        </w:rPr>
        <w:t>, dont le premier est prévu pour 2026. Ces exercices permettront de tester le contenu du plan de l’Union face à différents types de menaces émergentes. En outre, d’autres exercices de simulation, des sessions de formation et des ateliers sont prévus, lesquels se concentreront sur des aspects spécifiques de la prévention, de la préparation et de la réaction aux crises sanitaires (</w:t>
      </w:r>
      <w:r>
        <w:rPr>
          <w:rStyle w:val="FootnoteReference"/>
          <w:rFonts w:ascii="Times New Roman" w:hAnsi="Times New Roman" w:cs="Times New Roman"/>
          <w:noProof/>
          <w:sz w:val="24"/>
          <w:szCs w:val="24"/>
        </w:rPr>
        <w:footnoteReference w:id="50"/>
      </w:r>
      <w:r>
        <w:rPr>
          <w:rFonts w:ascii="Times New Roman" w:hAnsi="Times New Roman"/>
          <w:noProof/>
          <w:sz w:val="24"/>
        </w:rPr>
        <w:t xml:space="preserve">). </w:t>
      </w:r>
    </w:p>
    <w:p w14:paraId="3DA59106" w14:textId="1179EC1A" w:rsidR="009D6F2F" w:rsidRDefault="1A4BCA98" w:rsidP="009D6F2F">
      <w:pPr>
        <w:jc w:val="both"/>
        <w:rPr>
          <w:rFonts w:ascii="Times New Roman" w:hAnsi="Times New Roman" w:cs="Times New Roman"/>
          <w:noProof/>
          <w:sz w:val="24"/>
          <w:szCs w:val="24"/>
        </w:rPr>
      </w:pPr>
      <w:r>
        <w:rPr>
          <w:rFonts w:ascii="Times New Roman" w:hAnsi="Times New Roman"/>
          <w:noProof/>
          <w:sz w:val="24"/>
        </w:rPr>
        <w:t>En cas de crise sanitaire, la Commission procédera à des analyses pendant l’action et après l’action avec les États membres. Il sera essentiel de recueillir les informations issues de ces analyses et de les intégrer dans le plan de l’Union. Cela contribuera à s’assurer que le plan reste adéquat et qu’il est la boîte à outils la plus efficace possible à toutes les phases du cycle de prévention, de préparation et de réaction.</w:t>
      </w:r>
    </w:p>
    <w:p w14:paraId="1591941F" w14:textId="538B73BD" w:rsidR="009D6F2F" w:rsidRDefault="00DB0AA9" w:rsidP="009D6F2F">
      <w:pPr>
        <w:jc w:val="both"/>
        <w:rPr>
          <w:rFonts w:ascii="Times New Roman" w:hAnsi="Times New Roman" w:cs="Times New Roman"/>
          <w:b/>
          <w:bCs/>
          <w:noProof/>
          <w:sz w:val="24"/>
          <w:szCs w:val="24"/>
        </w:rPr>
      </w:pPr>
      <w:r>
        <w:rPr>
          <w:rFonts w:ascii="Times New Roman" w:hAnsi="Times New Roman"/>
          <w:noProof/>
          <w:sz w:val="24"/>
        </w:rPr>
        <w:t>Les résultats des évaluations en cours de deux blocs constitutifs fondamentaux de l’</w:t>
      </w:r>
      <w:r>
        <w:rPr>
          <w:rFonts w:ascii="Times New Roman" w:hAnsi="Times New Roman"/>
          <w:b/>
          <w:noProof/>
          <w:sz w:val="24"/>
        </w:rPr>
        <w:t>union européenne de la santé</w:t>
      </w:r>
      <w:r>
        <w:rPr>
          <w:rFonts w:ascii="Times New Roman" w:hAnsi="Times New Roman"/>
          <w:noProof/>
          <w:sz w:val="24"/>
        </w:rPr>
        <w:t xml:space="preserve"> doivent également être pris en considération: i) </w:t>
      </w:r>
      <w:r>
        <w:rPr>
          <w:rFonts w:ascii="Times New Roman" w:hAnsi="Times New Roman"/>
          <w:b/>
          <w:noProof/>
          <w:sz w:val="24"/>
        </w:rPr>
        <w:t>la mise en œuvre du règlement concernant les menaces transfrontières graves pour la santé</w:t>
      </w:r>
      <w:r>
        <w:rPr>
          <w:rFonts w:ascii="Times New Roman" w:hAnsi="Times New Roman"/>
          <w:noProof/>
          <w:sz w:val="24"/>
        </w:rPr>
        <w:t>; et ii) l’</w:t>
      </w:r>
      <w:r>
        <w:rPr>
          <w:rFonts w:ascii="Times New Roman" w:hAnsi="Times New Roman"/>
          <w:b/>
          <w:noProof/>
          <w:sz w:val="24"/>
        </w:rPr>
        <w:t>ECDC</w:t>
      </w:r>
      <w:r>
        <w:rPr>
          <w:rFonts w:ascii="Times New Roman" w:hAnsi="Times New Roman"/>
          <w:noProof/>
          <w:sz w:val="24"/>
        </w:rPr>
        <w:t xml:space="preserve"> compte tenu de son mandat révisé.</w:t>
      </w:r>
      <w:r>
        <w:rPr>
          <w:rFonts w:ascii="Times New Roman" w:hAnsi="Times New Roman"/>
          <w:b/>
          <w:noProof/>
          <w:sz w:val="24"/>
        </w:rPr>
        <w:t xml:space="preserve"> </w:t>
      </w:r>
      <w:r>
        <w:rPr>
          <w:rFonts w:ascii="Times New Roman" w:hAnsi="Times New Roman"/>
          <w:noProof/>
          <w:sz w:val="24"/>
        </w:rPr>
        <w:t>Les résultats de ces évaluations devraient être publiés respectivement au premier trimestre 2026 et au deuxième trimestre 2026.</w:t>
      </w:r>
    </w:p>
    <w:p w14:paraId="215F5B91" w14:textId="45C22BC9" w:rsidR="009D6F2F" w:rsidRDefault="08F05ADE" w:rsidP="009D6F2F">
      <w:pPr>
        <w:jc w:val="both"/>
        <w:rPr>
          <w:rFonts w:ascii="Times New Roman" w:hAnsi="Times New Roman" w:cs="Times New Roman"/>
          <w:b/>
          <w:bCs/>
          <w:noProof/>
          <w:sz w:val="24"/>
          <w:szCs w:val="24"/>
        </w:rPr>
      </w:pPr>
      <w:r>
        <w:rPr>
          <w:rFonts w:ascii="Times New Roman" w:hAnsi="Times New Roman"/>
          <w:noProof/>
          <w:sz w:val="24"/>
        </w:rPr>
        <w:t xml:space="preserve">Le déploiement de différentes actions clés énumérées dans le plan d’action annexé à la stratégie pour une union de la préparation devrait être pris en compte dans les futures révisions du plan. Ces actions incluent: i) l’élaboration d’une </w:t>
      </w:r>
      <w:r>
        <w:rPr>
          <w:rFonts w:ascii="Times New Roman" w:hAnsi="Times New Roman"/>
          <w:b/>
          <w:noProof/>
          <w:sz w:val="24"/>
        </w:rPr>
        <w:t>plateforme de coordination de crise de l’UE</w:t>
      </w:r>
      <w:r>
        <w:rPr>
          <w:rFonts w:ascii="Times New Roman" w:hAnsi="Times New Roman"/>
          <w:noProof/>
          <w:sz w:val="24"/>
        </w:rPr>
        <w:t>, prévue pour 2027; ii) la mise au point d’une</w:t>
      </w:r>
      <w:r>
        <w:rPr>
          <w:rFonts w:ascii="Times New Roman" w:hAnsi="Times New Roman"/>
          <w:b/>
          <w:noProof/>
          <w:sz w:val="24"/>
        </w:rPr>
        <w:t xml:space="preserve"> évaluation globale des risques et des menaces à l’échelle de l’UE</w:t>
      </w:r>
      <w:r>
        <w:rPr>
          <w:rFonts w:ascii="Times New Roman" w:hAnsi="Times New Roman"/>
          <w:noProof/>
          <w:sz w:val="24"/>
        </w:rPr>
        <w:t xml:space="preserve"> (2026); iii) l’adoption d’</w:t>
      </w:r>
      <w:r>
        <w:rPr>
          <w:rFonts w:ascii="Times New Roman" w:hAnsi="Times New Roman"/>
          <w:b/>
          <w:noProof/>
          <w:sz w:val="24"/>
        </w:rPr>
        <w:t>exigences minimales en matière de préparation</w:t>
      </w:r>
      <w:r>
        <w:rPr>
          <w:rFonts w:ascii="Times New Roman" w:hAnsi="Times New Roman"/>
          <w:noProof/>
          <w:sz w:val="24"/>
        </w:rPr>
        <w:t xml:space="preserve"> (2026); et iv) la mise en place de </w:t>
      </w:r>
      <w:r>
        <w:rPr>
          <w:rFonts w:ascii="Times New Roman" w:hAnsi="Times New Roman"/>
          <w:b/>
          <w:noProof/>
          <w:sz w:val="24"/>
        </w:rPr>
        <w:t>dispositifs complets de préparation civilo-militaire</w:t>
      </w:r>
      <w:r>
        <w:rPr>
          <w:rFonts w:ascii="Times New Roman" w:hAnsi="Times New Roman"/>
          <w:noProof/>
          <w:sz w:val="24"/>
        </w:rPr>
        <w:t xml:space="preserve"> (2027).</w:t>
      </w:r>
    </w:p>
    <w:p w14:paraId="7CD5B625" w14:textId="3E517003" w:rsidR="000D4560" w:rsidRPr="00577401" w:rsidRDefault="4AB5FA92" w:rsidP="672E3538">
      <w:pPr>
        <w:jc w:val="both"/>
        <w:rPr>
          <w:rFonts w:ascii="Times New Roman" w:hAnsi="Times New Roman" w:cs="Times New Roman"/>
          <w:i/>
          <w:iCs/>
          <w:noProof/>
          <w:sz w:val="24"/>
          <w:szCs w:val="24"/>
        </w:rPr>
      </w:pPr>
      <w:r>
        <w:rPr>
          <w:rFonts w:ascii="Times New Roman" w:hAnsi="Times New Roman"/>
          <w:noProof/>
          <w:sz w:val="24"/>
        </w:rPr>
        <w:t xml:space="preserve">Le plan d’action annexé à la stratégie pour une union de la préparation comprend également deux stratégies qui ont été adoptées en 2025. La </w:t>
      </w:r>
      <w:r>
        <w:rPr>
          <w:rFonts w:ascii="Times New Roman" w:hAnsi="Times New Roman"/>
          <w:b/>
          <w:noProof/>
          <w:sz w:val="24"/>
        </w:rPr>
        <w:t>stratégie en matière de contre-mesures médicales</w:t>
      </w:r>
      <w:r>
        <w:rPr>
          <w:rFonts w:ascii="Times New Roman" w:hAnsi="Times New Roman"/>
          <w:noProof/>
          <w:sz w:val="24"/>
        </w:rPr>
        <w:t> (</w:t>
      </w:r>
      <w:r>
        <w:rPr>
          <w:rStyle w:val="FootnoteReference"/>
          <w:rFonts w:ascii="Times New Roman" w:hAnsi="Times New Roman" w:cs="Times New Roman"/>
          <w:noProof/>
          <w:sz w:val="24"/>
          <w:szCs w:val="24"/>
        </w:rPr>
        <w:footnoteReference w:id="51"/>
      </w:r>
      <w:r>
        <w:rPr>
          <w:rFonts w:ascii="Times New Roman" w:hAnsi="Times New Roman"/>
          <w:noProof/>
          <w:sz w:val="24"/>
        </w:rPr>
        <w:t xml:space="preserve">) vise à renforcer les capacités de préparation et de réaction de l’Union à la prochaine urgence sanitaire, quelle que soit son origine, en garantissant l’accès à des contre-mesures médicales telles que les vaccins, les médicaments, les diagnostics et d’autres outils médicaux et leur disponibilité à tout moment. La </w:t>
      </w:r>
      <w:r>
        <w:rPr>
          <w:rFonts w:ascii="Times New Roman" w:hAnsi="Times New Roman"/>
          <w:b/>
          <w:noProof/>
          <w:sz w:val="24"/>
        </w:rPr>
        <w:t>stratégie de constitution de stocks</w:t>
      </w:r>
      <w:r>
        <w:rPr>
          <w:rFonts w:ascii="Times New Roman" w:hAnsi="Times New Roman"/>
          <w:noProof/>
          <w:sz w:val="24"/>
        </w:rPr>
        <w:t> (</w:t>
      </w:r>
      <w:r>
        <w:rPr>
          <w:rStyle w:val="FootnoteReference"/>
          <w:rFonts w:ascii="Times New Roman" w:hAnsi="Times New Roman" w:cs="Times New Roman"/>
          <w:noProof/>
          <w:sz w:val="24"/>
          <w:szCs w:val="24"/>
        </w:rPr>
        <w:footnoteReference w:id="52"/>
      </w:r>
      <w:r>
        <w:rPr>
          <w:rFonts w:ascii="Times New Roman" w:hAnsi="Times New Roman"/>
          <w:noProof/>
          <w:sz w:val="24"/>
        </w:rPr>
        <w:t>) vise à constituer et à maintenir des réserves stratégiques de fournitures médicales essentielles en vue d’une mobilisation rapide. L’application de ces deux stratégies sera axée sur des mesures spécifiques pertinentes pour le plan de l’Union.</w:t>
      </w:r>
    </w:p>
    <w:p w14:paraId="7965DA13" w14:textId="428DC09E" w:rsidR="009D6F2F" w:rsidRDefault="00A36E06" w:rsidP="1EB16524">
      <w:pPr>
        <w:jc w:val="both"/>
        <w:rPr>
          <w:rFonts w:ascii="Times New Roman" w:hAnsi="Times New Roman" w:cs="Times New Roman"/>
          <w:i/>
          <w:iCs/>
          <w:noProof/>
          <w:sz w:val="24"/>
          <w:szCs w:val="24"/>
        </w:rPr>
      </w:pPr>
      <w:r>
        <w:rPr>
          <w:rFonts w:ascii="Times New Roman" w:hAnsi="Times New Roman"/>
          <w:noProof/>
          <w:sz w:val="24"/>
        </w:rPr>
        <w:t xml:space="preserve">Les propositions au titre du prochain cadre financier pluriannuel, actuellement examinées par les colégislateurs, auront également des incidences importantes sur le contenu du plan de l’Union. En particulier, la proposition de la Commission relative à un </w:t>
      </w:r>
      <w:r>
        <w:rPr>
          <w:rFonts w:ascii="Times New Roman" w:hAnsi="Times New Roman"/>
          <w:b/>
          <w:noProof/>
          <w:sz w:val="24"/>
        </w:rPr>
        <w:t>Fonds européen pour la compétitivité</w:t>
      </w:r>
      <w:r>
        <w:rPr>
          <w:rFonts w:ascii="Times New Roman" w:hAnsi="Times New Roman"/>
          <w:noProof/>
          <w:sz w:val="24"/>
        </w:rPr>
        <w:t> (</w:t>
      </w:r>
      <w:r>
        <w:rPr>
          <w:rStyle w:val="FootnoteReference"/>
          <w:rFonts w:ascii="Times New Roman" w:hAnsi="Times New Roman" w:cs="Times New Roman"/>
          <w:noProof/>
          <w:sz w:val="24"/>
          <w:szCs w:val="24"/>
        </w:rPr>
        <w:footnoteReference w:id="53"/>
      </w:r>
      <w:r>
        <w:rPr>
          <w:rFonts w:ascii="Times New Roman" w:hAnsi="Times New Roman"/>
          <w:noProof/>
          <w:sz w:val="24"/>
        </w:rPr>
        <w:t>) met l’accent sur la promotion de l’innovation et de la compétitivité dans le secteur de la santé, tout en garantissant la sécurité de l’approvisionnement et en accroissant les compétences et capacités industrielles pour faire face aux futures menaces transfrontières graves pour la santé, conformément à l’approche «Une seule santé».</w:t>
      </w:r>
    </w:p>
    <w:p w14:paraId="7FB424A7" w14:textId="0C48C191" w:rsidR="00963102" w:rsidRPr="009D6F2F" w:rsidRDefault="66757C4F" w:rsidP="672E3538">
      <w:pPr>
        <w:jc w:val="both"/>
        <w:rPr>
          <w:rFonts w:ascii="Times New Roman" w:hAnsi="Times New Roman" w:cs="Times New Roman"/>
          <w:i/>
          <w:iCs/>
          <w:noProof/>
          <w:sz w:val="24"/>
          <w:szCs w:val="24"/>
        </w:rPr>
      </w:pPr>
      <w:r>
        <w:rPr>
          <w:rFonts w:ascii="Times New Roman" w:hAnsi="Times New Roman"/>
          <w:noProof/>
          <w:sz w:val="24"/>
        </w:rPr>
        <w:t xml:space="preserve">En outre, la proposition de la Commission relative au </w:t>
      </w:r>
      <w:r>
        <w:rPr>
          <w:rFonts w:ascii="Times New Roman" w:hAnsi="Times New Roman"/>
          <w:b/>
          <w:noProof/>
          <w:sz w:val="24"/>
        </w:rPr>
        <w:t>mécanisme de protection civile de l’Union et au soutien de l’Union en matière de préparation et de réaction aux situations d’urgence sanitaire</w:t>
      </w:r>
      <w:r>
        <w:rPr>
          <w:rFonts w:ascii="Times New Roman" w:hAnsi="Times New Roman"/>
          <w:noProof/>
          <w:sz w:val="24"/>
        </w:rPr>
        <w:t> (</w:t>
      </w:r>
      <w:r>
        <w:rPr>
          <w:noProof/>
          <w:vertAlign w:val="superscript"/>
        </w:rPr>
        <w:footnoteReference w:id="54"/>
      </w:r>
      <w:r>
        <w:rPr>
          <w:rFonts w:ascii="Times New Roman" w:hAnsi="Times New Roman"/>
          <w:noProof/>
          <w:sz w:val="24"/>
        </w:rPr>
        <w:t>)</w:t>
      </w:r>
      <w:r>
        <w:rPr>
          <w:rFonts w:ascii="Times New Roman" w:hAnsi="Times New Roman"/>
          <w:noProof/>
          <w:sz w:val="18"/>
        </w:rPr>
        <w:t xml:space="preserve"> </w:t>
      </w:r>
      <w:r>
        <w:rPr>
          <w:rFonts w:ascii="Times New Roman" w:hAnsi="Times New Roman"/>
          <w:noProof/>
          <w:sz w:val="24"/>
        </w:rPr>
        <w:t>vise à renforcer la prévention des crises ainsi que la préparation et la réaction à celles-ci à l’échelle de l’UE.</w:t>
      </w:r>
    </w:p>
    <w:p w14:paraId="3A7BC879" w14:textId="6384916E" w:rsidR="5049005B" w:rsidRDefault="0CDE1B6D" w:rsidP="000E2A02">
      <w:pPr>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De plus, </w:t>
      </w:r>
      <w:r>
        <w:rPr>
          <w:rFonts w:ascii="Times New Roman" w:hAnsi="Times New Roman"/>
          <w:b/>
          <w:noProof/>
          <w:color w:val="000000" w:themeColor="text1"/>
          <w:sz w:val="24"/>
        </w:rPr>
        <w:t>le partenariat européen sur la préparation aux pandémies (BE READY)</w:t>
      </w:r>
      <w:r>
        <w:rPr>
          <w:rFonts w:ascii="Times New Roman" w:hAnsi="Times New Roman"/>
          <w:noProof/>
          <w:sz w:val="24"/>
        </w:rPr>
        <w:t>, un partenariat de recherche financé au titre d’Horizon Europe (</w:t>
      </w:r>
      <w:r>
        <w:rPr>
          <w:rStyle w:val="FootnoteReference"/>
          <w:rFonts w:ascii="Times New Roman" w:eastAsia="Times New Roman" w:hAnsi="Times New Roman" w:cs="Times New Roman"/>
          <w:noProof/>
          <w:sz w:val="24"/>
          <w:szCs w:val="24"/>
        </w:rPr>
        <w:footnoteReference w:id="55"/>
      </w:r>
      <w:r>
        <w:rPr>
          <w:rFonts w:ascii="Times New Roman" w:hAnsi="Times New Roman"/>
          <w:noProof/>
          <w:sz w:val="24"/>
        </w:rPr>
        <w:t>), devrait être lancé en janvier 2026 et réunira un réseau de recherche paneuropéen durable capable de réagir rapidement et efficacement aux futures crises sanitaires (</w:t>
      </w:r>
      <w:r>
        <w:rPr>
          <w:rStyle w:val="FootnoteReference"/>
          <w:rFonts w:ascii="Times New Roman" w:eastAsia="Times New Roman" w:hAnsi="Times New Roman" w:cs="Times New Roman"/>
          <w:noProof/>
          <w:sz w:val="24"/>
          <w:szCs w:val="24"/>
        </w:rPr>
        <w:footnoteReference w:id="56"/>
      </w:r>
      <w:r>
        <w:rPr>
          <w:rFonts w:ascii="Times New Roman" w:hAnsi="Times New Roman"/>
          <w:noProof/>
          <w:sz w:val="24"/>
        </w:rPr>
        <w:t xml:space="preserve">). </w:t>
      </w:r>
    </w:p>
    <w:p w14:paraId="07120993" w14:textId="53263489" w:rsidR="00476272" w:rsidRDefault="6273E464" w:rsidP="0F6BD95C">
      <w:pPr>
        <w:jc w:val="both"/>
        <w:rPr>
          <w:rFonts w:ascii="Times New Roman" w:hAnsi="Times New Roman" w:cs="Times New Roman"/>
          <w:noProof/>
          <w:sz w:val="24"/>
          <w:szCs w:val="24"/>
        </w:rPr>
      </w:pPr>
      <w:r>
        <w:rPr>
          <w:rFonts w:ascii="Times New Roman" w:hAnsi="Times New Roman"/>
          <w:b/>
          <w:noProof/>
          <w:sz w:val="24"/>
        </w:rPr>
        <w:t>La réussite de la mise en œuvre et des futures mises à jour</w:t>
      </w:r>
      <w:r>
        <w:rPr>
          <w:rFonts w:ascii="Times New Roman" w:hAnsi="Times New Roman"/>
          <w:noProof/>
          <w:sz w:val="24"/>
        </w:rPr>
        <w:t xml:space="preserve"> du plan de l’Union reposera sur des efforts de collaboration entre la Commission, les autres institutions, agences et organes de l’UE et les États membres. Le comité de sécurité sanitaire continuera d’être une plateforme pour une coordination régulière de la mise en œuvre du plan de l’Union. Dans le même temps, la Commission partagera activement les connaissances et les bonnes pratiques avec toutes les parties prenantes, y compris les autorités compétentes des États membres, par l’intermédiaire d’une série de canaux de communication, y compris des événements clés. Ensemble, nous œuvrerons en faveur d’une Union européenne plus forte, plus inclusive et plus résiliente, dans laquelle personne n’est laissé pour compte, en promouvant une culture de coopération et d’action collective afin de protéger la santé et le bien-être des citoyens.</w:t>
      </w:r>
    </w:p>
    <w:sectPr w:rsidR="00476272" w:rsidSect="00F102B9">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CFAD15" w14:textId="77777777" w:rsidR="007B068D" w:rsidRPr="003A3B30" w:rsidRDefault="007B068D">
      <w:pPr>
        <w:spacing w:after="0" w:line="240" w:lineRule="auto"/>
      </w:pPr>
      <w:r>
        <w:separator/>
      </w:r>
    </w:p>
  </w:endnote>
  <w:endnote w:type="continuationSeparator" w:id="0">
    <w:p w14:paraId="60C66047" w14:textId="77777777" w:rsidR="007B068D" w:rsidRPr="003A3B30" w:rsidRDefault="007B068D">
      <w:pPr>
        <w:spacing w:after="0" w:line="240" w:lineRule="auto"/>
      </w:pPr>
      <w:r>
        <w:continuationSeparator/>
      </w:r>
    </w:p>
  </w:endnote>
  <w:endnote w:type="continuationNotice" w:id="1">
    <w:p w14:paraId="0163E6F1" w14:textId="77777777" w:rsidR="007B068D" w:rsidRPr="003A3B30" w:rsidRDefault="007B06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5FCF9" w14:textId="287B4F33" w:rsidR="00490803" w:rsidRPr="00490803" w:rsidRDefault="00490803" w:rsidP="00490803">
    <w:pPr>
      <w:pStyle w:val="FooterCoverPage"/>
      <w:rPr>
        <w:rFonts w:ascii="Arial" w:hAnsi="Arial" w:cs="Arial"/>
        <w:b/>
        <w:sz w:val="48"/>
      </w:rPr>
    </w:pPr>
    <w:r w:rsidRPr="00490803">
      <w:rPr>
        <w:rFonts w:ascii="Arial" w:hAnsi="Arial" w:cs="Arial"/>
        <w:b/>
        <w:sz w:val="48"/>
      </w:rPr>
      <w:t>FR</w:t>
    </w:r>
    <w:r w:rsidRPr="00490803">
      <w:rPr>
        <w:rFonts w:ascii="Arial" w:hAnsi="Arial" w:cs="Arial"/>
        <w:b/>
        <w:sz w:val="48"/>
      </w:rPr>
      <w:tab/>
    </w:r>
    <w:r w:rsidRPr="00490803">
      <w:rPr>
        <w:rFonts w:ascii="Arial" w:hAnsi="Arial" w:cs="Arial"/>
        <w:b/>
        <w:sz w:val="48"/>
      </w:rPr>
      <w:tab/>
    </w:r>
    <w:r w:rsidRPr="00490803">
      <w:tab/>
    </w:r>
    <w:r w:rsidRPr="0049080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ACD98" w14:textId="70D2A130" w:rsidR="00490803" w:rsidRPr="00490803" w:rsidRDefault="00490803" w:rsidP="00490803">
    <w:pPr>
      <w:pStyle w:val="FooterCoverPage"/>
      <w:rPr>
        <w:rFonts w:ascii="Arial" w:hAnsi="Arial" w:cs="Arial"/>
        <w:b/>
        <w:sz w:val="48"/>
      </w:rPr>
    </w:pPr>
    <w:r w:rsidRPr="00490803">
      <w:rPr>
        <w:rFonts w:ascii="Arial" w:hAnsi="Arial" w:cs="Arial"/>
        <w:b/>
        <w:sz w:val="48"/>
      </w:rPr>
      <w:t>FR</w:t>
    </w:r>
    <w:r w:rsidRPr="00490803">
      <w:rPr>
        <w:rFonts w:ascii="Arial" w:hAnsi="Arial" w:cs="Arial"/>
        <w:b/>
        <w:sz w:val="48"/>
      </w:rPr>
      <w:tab/>
    </w:r>
    <w:r w:rsidRPr="00490803">
      <w:rPr>
        <w:rFonts w:ascii="Arial" w:hAnsi="Arial" w:cs="Arial"/>
        <w:b/>
        <w:sz w:val="48"/>
      </w:rPr>
      <w:tab/>
    </w:r>
    <w:r w:rsidRPr="00490803">
      <w:tab/>
    </w:r>
    <w:r w:rsidRPr="0049080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E0952" w14:textId="77777777" w:rsidR="00490803" w:rsidRPr="00490803" w:rsidRDefault="00490803" w:rsidP="0049080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646EE" w14:textId="77777777" w:rsidR="000F47B8" w:rsidRDefault="000F47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74DB4" w14:textId="54541ABA" w:rsidR="00CC21E9" w:rsidRPr="003A3B30" w:rsidRDefault="00CC21E9">
    <w:pPr>
      <w:pStyle w:val="Footer"/>
      <w:jc w:val="center"/>
      <w:rPr>
        <w:rFonts w:ascii="Times New Roman" w:hAnsi="Times New Roman" w:cs="Times New Roman"/>
        <w:caps/>
        <w:color w:val="4F81BD" w:themeColor="accent1"/>
      </w:rPr>
    </w:pPr>
    <w:r>
      <w:rPr>
        <w:rFonts w:ascii="Times New Roman" w:hAnsi="Times New Roman" w:cs="Times New Roman"/>
        <w:caps/>
        <w:color w:val="4F81BD" w:themeColor="accent1"/>
      </w:rPr>
      <w:fldChar w:fldCharType="begin"/>
    </w:r>
    <w:r>
      <w:rPr>
        <w:rFonts w:ascii="Times New Roman" w:hAnsi="Times New Roman" w:cs="Times New Roman"/>
        <w:caps/>
        <w:color w:val="4F81BD" w:themeColor="accent1"/>
      </w:rPr>
      <w:instrText xml:space="preserve"> PAGE   \* MERGEFORMAT </w:instrText>
    </w:r>
    <w:r>
      <w:rPr>
        <w:rFonts w:ascii="Times New Roman" w:hAnsi="Times New Roman" w:cs="Times New Roman"/>
        <w:caps/>
        <w:color w:val="4F81BD" w:themeColor="accent1"/>
      </w:rPr>
      <w:fldChar w:fldCharType="separate"/>
    </w:r>
    <w:r w:rsidR="00490803">
      <w:rPr>
        <w:rFonts w:ascii="Times New Roman" w:hAnsi="Times New Roman" w:cs="Times New Roman"/>
        <w:caps/>
        <w:noProof/>
        <w:color w:val="4F81BD" w:themeColor="accent1"/>
      </w:rPr>
      <w:t>3</w:t>
    </w:r>
    <w:r>
      <w:rPr>
        <w:rFonts w:ascii="Times New Roman" w:hAnsi="Times New Roman" w:cs="Times New Roman"/>
        <w:caps/>
        <w:color w:val="4F81BD" w:themeColor="accent1"/>
      </w:rPr>
      <w:fldChar w:fldCharType="end"/>
    </w:r>
  </w:p>
  <w:p w14:paraId="5B3CCFAD" w14:textId="77777777" w:rsidR="00AA43C7" w:rsidRDefault="00AA43C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9BCFA" w14:textId="77777777" w:rsidR="000F47B8" w:rsidRDefault="000F47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3BD54F" w14:textId="77777777" w:rsidR="007B068D" w:rsidRPr="003A3B30" w:rsidRDefault="007B068D">
      <w:pPr>
        <w:spacing w:after="0" w:line="240" w:lineRule="auto"/>
      </w:pPr>
      <w:r>
        <w:separator/>
      </w:r>
    </w:p>
  </w:footnote>
  <w:footnote w:type="continuationSeparator" w:id="0">
    <w:p w14:paraId="7E8E1E49" w14:textId="77777777" w:rsidR="007B068D" w:rsidRPr="003A3B30" w:rsidRDefault="007B068D">
      <w:pPr>
        <w:spacing w:after="0" w:line="240" w:lineRule="auto"/>
      </w:pPr>
      <w:r>
        <w:continuationSeparator/>
      </w:r>
    </w:p>
  </w:footnote>
  <w:footnote w:type="continuationNotice" w:id="1">
    <w:p w14:paraId="2AE03845" w14:textId="77777777" w:rsidR="007B068D" w:rsidRPr="003A3B30" w:rsidRDefault="007B068D">
      <w:pPr>
        <w:spacing w:after="0" w:line="240" w:lineRule="auto"/>
      </w:pPr>
    </w:p>
  </w:footnote>
  <w:footnote w:id="2">
    <w:p w14:paraId="136ABB57" w14:textId="5E368D19" w:rsidR="00102EAB" w:rsidRPr="00F53B6E" w:rsidRDefault="00102EAB" w:rsidP="00C13BC7">
      <w:pPr>
        <w:pStyle w:val="FootnoteText"/>
        <w:ind w:left="720" w:hanging="72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Une étude récente montre que la prévention des pandémies virales ne coûte qu’une fraction des pertes subies lorsqu’elles surviennent:</w:t>
      </w:r>
      <w:r>
        <w:t>.</w:t>
      </w:r>
      <w:r>
        <w:rPr>
          <w:rFonts w:ascii="Times New Roman" w:hAnsi="Times New Roman"/>
        </w:rPr>
        <w:t>moins de 5 % de la valeur des pertes en vies humaines et 10 % des dommages économiques causés par ces types de flambées épidémiques..A.S. Bernstein et coll., Science Advances, 4 février 2022:.https://www.science.org/doi/10.1126/sciadv.abl4183.</w:t>
      </w:r>
    </w:p>
  </w:footnote>
  <w:footnote w:id="3">
    <w:p w14:paraId="7AC60D4F" w14:textId="6DCFE57A" w:rsidR="001730AC" w:rsidRPr="00811ACE" w:rsidRDefault="001730AC">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Règlement (UE) 2022/2371, JO L 314 du 6.12.2022, p. 26.</w:t>
      </w:r>
    </w:p>
  </w:footnote>
  <w:footnote w:id="4">
    <w:p w14:paraId="50E05E9A" w14:textId="5BA35AA7" w:rsidR="00391518" w:rsidRPr="002D153A" w:rsidRDefault="00391518">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Règlement (UE) 2022/2370, JO L 314 du 6.12.2022, p. 1.</w:t>
      </w:r>
    </w:p>
  </w:footnote>
  <w:footnote w:id="5">
    <w:p w14:paraId="18099349" w14:textId="51F9A6F2" w:rsidR="005E3B8E" w:rsidRPr="002D153A" w:rsidRDefault="005E3B8E">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Règlement (UE) 2022/123, JO L 20 du 31.1.2022, p. 1.</w:t>
      </w:r>
    </w:p>
  </w:footnote>
  <w:footnote w:id="6">
    <w:p w14:paraId="02A5F1E7" w14:textId="24D990B6" w:rsidR="006275CA" w:rsidRPr="00F53B6E" w:rsidRDefault="006275CA" w:rsidP="006275CA">
      <w:pPr>
        <w:pStyle w:val="FootnoteText"/>
        <w:ind w:left="720" w:hanging="720"/>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C(2021) 6712 final.</w:t>
      </w:r>
    </w:p>
  </w:footnote>
  <w:footnote w:id="7">
    <w:p w14:paraId="0829604C" w14:textId="17866866" w:rsidR="00173706" w:rsidRPr="00173706" w:rsidRDefault="0017370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Règlement (UE) 2022/2372 du Conseil, JO L 314 du 6.12.2022, p. 64.</w:t>
      </w:r>
    </w:p>
  </w:footnote>
  <w:footnote w:id="8">
    <w:p w14:paraId="6002ABC3" w14:textId="0836F983" w:rsidR="009D6C6E" w:rsidRPr="00F53B6E" w:rsidRDefault="009D6C6E" w:rsidP="009D6C6E">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https://commission.europa.eu/topics/preparedness_fr.</w:t>
      </w:r>
    </w:p>
  </w:footnote>
  <w:footnote w:id="9">
    <w:p w14:paraId="76CB0E93" w14:textId="599FE0DD" w:rsidR="0090169F" w:rsidRPr="00F53B6E" w:rsidRDefault="0090169F">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La stratégie repose sur une approche qui prépare à un large éventail de menaces.</w:t>
      </w:r>
    </w:p>
  </w:footnote>
  <w:footnote w:id="10">
    <w:p w14:paraId="5DA0B909" w14:textId="41BCABEF" w:rsidR="002B42C0" w:rsidRPr="00F53B6E" w:rsidRDefault="002B42C0" w:rsidP="002B42C0">
      <w:pPr>
        <w:pStyle w:val="FootnoteText"/>
        <w:ind w:left="709" w:hanging="709"/>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La stratégie inclut l’adoption d’une approche plus proactive et pangouvernementale de la gestion des crises tant dans le secteur civil que dans le secteur militaire.</w:t>
      </w:r>
    </w:p>
  </w:footnote>
  <w:footnote w:id="11">
    <w:p w14:paraId="7B3B1AA6" w14:textId="658259B2" w:rsidR="002B42C0" w:rsidRPr="00F53B6E" w:rsidRDefault="002B42C0" w:rsidP="00826B9E">
      <w:pPr>
        <w:pStyle w:val="FootnoteText"/>
        <w:ind w:left="709" w:hanging="709"/>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L’approche de la stratégie englobant l’ensemble de la société signifie que les communautés locales, les organisations de la société civile, les entreprises et les partenaires sociaux, les universitaires et d’autres acteurs essentiels jouent un rôle dans la promotion d’une culture de la préparation dans l’ensemble de l’UE.</w:t>
      </w:r>
    </w:p>
  </w:footnote>
  <w:footnote w:id="12">
    <w:p w14:paraId="729717FA" w14:textId="1464A917" w:rsidR="004127E2" w:rsidRPr="00F53B6E" w:rsidRDefault="004127E2">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Annexe de la stratégie pour une union de la préparation: </w:t>
      </w:r>
      <w:r>
        <w:rPr>
          <w:rFonts w:ascii="Times New Roman" w:hAnsi="Times New Roman"/>
        </w:rPr>
        <w:tab/>
        <w:t>https://commission.europa.eu/topics/preparedness_fr.</w:t>
      </w:r>
    </w:p>
  </w:footnote>
  <w:footnote w:id="13">
    <w:p w14:paraId="7B440A52" w14:textId="74B78DFA" w:rsidR="001742D3" w:rsidRPr="00F53B6E" w:rsidRDefault="001742D3" w:rsidP="001742D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Article 5 du règlement (UE) 2022/2371.</w:t>
      </w:r>
    </w:p>
  </w:footnote>
  <w:footnote w:id="14">
    <w:p w14:paraId="588EC401" w14:textId="40CE999F" w:rsidR="00662A66" w:rsidRPr="00F53B6E" w:rsidRDefault="00662A66" w:rsidP="002B42C0">
      <w:pPr>
        <w:pStyle w:val="FootnoteText"/>
        <w:tabs>
          <w:tab w:val="left" w:pos="709"/>
        </w:tabs>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Considérant 38 du règlement (UE) 2022/2371.</w:t>
      </w:r>
    </w:p>
  </w:footnote>
  <w:footnote w:id="15">
    <w:p w14:paraId="78024788" w14:textId="50E82E85" w:rsidR="00662A66" w:rsidRPr="00F53B6E" w:rsidRDefault="00662A66" w:rsidP="00662A66">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https://health.ec.europa.eu/system/files/2023-10/international_ghs-report-2022_en.pdf.</w:t>
      </w:r>
    </w:p>
  </w:footnote>
  <w:footnote w:id="16">
    <w:p w14:paraId="0A7F1F33" w14:textId="764D8246" w:rsidR="00662A66" w:rsidRPr="00F53B6E" w:rsidRDefault="00662A66" w:rsidP="00662A66">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https://commission.europa.eu/topics/international-partnerships/global-gateway_fr.</w:t>
      </w:r>
    </w:p>
  </w:footnote>
  <w:footnote w:id="17">
    <w:p w14:paraId="49DCA57E" w14:textId="2030B38F" w:rsidR="00662A66" w:rsidRPr="00F53B6E" w:rsidRDefault="00662A66" w:rsidP="00662A66">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https://commission.europa.eu/strategy-and-policy/state-union/state-union-2025_fr.</w:t>
      </w:r>
    </w:p>
  </w:footnote>
  <w:footnote w:id="18">
    <w:p w14:paraId="1F5D2359" w14:textId="49915A01" w:rsidR="0002656A" w:rsidRPr="00F53B6E" w:rsidRDefault="0002656A" w:rsidP="0002656A">
      <w:pPr>
        <w:pStyle w:val="FootnoteText"/>
        <w:ind w:left="720" w:hanging="720"/>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Une consultation publique (un appel à contributions) a été ouverte du 1</w:t>
      </w:r>
      <w:r>
        <w:rPr>
          <w:rFonts w:ascii="Times New Roman" w:hAnsi="Times New Roman"/>
          <w:vertAlign w:val="superscript"/>
        </w:rPr>
        <w:t>er</w:t>
      </w:r>
      <w:r>
        <w:rPr>
          <w:rFonts w:ascii="Times New Roman" w:hAnsi="Times New Roman"/>
        </w:rPr>
        <w:t xml:space="preserve"> au 29 octobre 2025 et a reçu 57 réponses, provenant principalement d’organisations non gouvernementales et d’associations professionnelles.</w:t>
      </w:r>
    </w:p>
  </w:footnote>
  <w:footnote w:id="19">
    <w:p w14:paraId="6435089E" w14:textId="716E3260" w:rsidR="008C0A3C" w:rsidRPr="00F53B6E" w:rsidRDefault="008C0A3C" w:rsidP="00D61EA4">
      <w:pPr>
        <w:pStyle w:val="FootnoteText"/>
        <w:ind w:left="720" w:hanging="72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Par exemple https://commission.europa.eu/topics/defence/safer-together-path-towards-fully-prepared-union_en?prefLang=fr, https://home-affairs.ec.europa.eu/policies/internal-security_en?prefLang=fr et https://health.ec.europa.eu/latest-updates/hera-review-taking-stock-reinforce-health-security-eu-2025-03-26_en?prefLang=fr.</w:t>
      </w:r>
    </w:p>
  </w:footnote>
  <w:footnote w:id="20">
    <w:p w14:paraId="3CF3B17A" w14:textId="2B8F8EE1" w:rsidR="00060691" w:rsidRPr="00F53B6E" w:rsidRDefault="00060691" w:rsidP="00060691">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Article 2, paragraphe 1, du règlement (UE) 2022/2371.</w:t>
      </w:r>
    </w:p>
  </w:footnote>
  <w:footnote w:id="21">
    <w:p w14:paraId="6BEC705B" w14:textId="6836A191" w:rsidR="00060691" w:rsidRPr="00F53B6E" w:rsidRDefault="00060691" w:rsidP="00060691">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Article 2, paragraphe 4, du règlement (UE) 2022/2371.</w:t>
      </w:r>
    </w:p>
  </w:footnote>
  <w:footnote w:id="22">
    <w:p w14:paraId="28DDA24A" w14:textId="77777777" w:rsidR="00D80D80" w:rsidRPr="00483211" w:rsidRDefault="00D80D80" w:rsidP="00483211">
      <w:pPr>
        <w:pStyle w:val="FootnoteText"/>
        <w:ind w:left="720" w:hanging="72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L’approche «Une seule santé» est une approche qui reconnaît l’interconnexion entre la santé humaine, la santé animale et l’environnement et promeut la collaboration entre les disciplines afin de prévenir et de détecter les menaces pour la santé et d’y réagir.</w:t>
      </w:r>
    </w:p>
  </w:footnote>
  <w:footnote w:id="23">
    <w:p w14:paraId="5554E683" w14:textId="0B470A17" w:rsidR="000E5285" w:rsidRPr="00483211" w:rsidRDefault="000E528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Article 7, paragraphe 1, du règlement (UE) 2022/2371.</w:t>
      </w:r>
    </w:p>
  </w:footnote>
  <w:footnote w:id="24">
    <w:p w14:paraId="492262B3" w14:textId="77777777" w:rsidR="00D5701D" w:rsidRPr="00F53B6E" w:rsidRDefault="00D5701D" w:rsidP="00D5701D">
      <w:pPr>
        <w:pStyle w:val="FootnoteText"/>
        <w:ind w:left="720" w:hanging="720"/>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rPr>
        <w:t>https://health.ec.europa.eu/health-security-and-infectious-diseases/crisis-management_fr#health-security-committee.</w:t>
      </w:r>
    </w:p>
  </w:footnote>
  <w:footnote w:id="25">
    <w:p w14:paraId="5147C587" w14:textId="77777777" w:rsidR="007F248D" w:rsidRPr="00F53B6E" w:rsidRDefault="007F248D" w:rsidP="007F248D">
      <w:pPr>
        <w:pStyle w:val="FootnoteText"/>
        <w:ind w:left="720" w:hanging="72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https://www.ecdc.europa.eu/en/about-ecdc/what-we-do/public-health-emergency-preparedness-assessments.</w:t>
      </w:r>
    </w:p>
  </w:footnote>
  <w:footnote w:id="26">
    <w:p w14:paraId="59E745B4" w14:textId="7C87A95A" w:rsidR="00993893" w:rsidRDefault="00993893" w:rsidP="0099389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https://health.ec.europa.eu/publications/recommendations-common-eu-approach-regarding-vaccination-policies-monkeypox-outbreak-response_en?prefLang=fr.</w:t>
      </w:r>
    </w:p>
  </w:footnote>
  <w:footnote w:id="27">
    <w:p w14:paraId="7B4AE001" w14:textId="0D3145B6" w:rsidR="002E1B51" w:rsidRDefault="002E1B51" w:rsidP="002E1B5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https://ec.europa.eu/commission/presscorner/detail/fr/ip_22_6766.</w:t>
      </w:r>
    </w:p>
  </w:footnote>
  <w:footnote w:id="28">
    <w:p w14:paraId="04E0D054" w14:textId="5CC0E7C4" w:rsidR="007703A8" w:rsidRPr="00F53B6E" w:rsidRDefault="007703A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Autorité européenne de sécurité des aliments.</w:t>
      </w:r>
    </w:p>
  </w:footnote>
  <w:footnote w:id="29">
    <w:p w14:paraId="59FF6D08" w14:textId="6F88405D" w:rsidR="007703A8" w:rsidRPr="00F53B6E" w:rsidRDefault="007703A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Agence européenne des produits chimiques.</w:t>
      </w:r>
    </w:p>
  </w:footnote>
  <w:footnote w:id="30">
    <w:p w14:paraId="450301FE" w14:textId="591A1AC8" w:rsidR="007703A8" w:rsidRPr="00F53B6E" w:rsidRDefault="007703A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Agence européenne pour l’environnement.</w:t>
      </w:r>
    </w:p>
  </w:footnote>
  <w:footnote w:id="31">
    <w:p w14:paraId="6A695E23" w14:textId="5982532E" w:rsidR="007703A8" w:rsidRPr="00F53B6E" w:rsidRDefault="007703A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Agence de l’Union européenne sur les drogues.</w:t>
      </w:r>
    </w:p>
  </w:footnote>
  <w:footnote w:id="32">
    <w:p w14:paraId="6C157C6B" w14:textId="0361707F" w:rsidR="004555B6" w:rsidRPr="00F53B6E" w:rsidRDefault="004555B6" w:rsidP="00701CD7">
      <w:pPr>
        <w:pStyle w:val="FootnoteText"/>
        <w:ind w:left="720" w:hanging="72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https://www.ecdc.europa.eu/sites/default/files/documents/ROA_%20S_%20Strathcona-ST2559_multi-country.pdf.</w:t>
      </w:r>
    </w:p>
  </w:footnote>
  <w:footnote w:id="33">
    <w:p w14:paraId="14F4329D" w14:textId="101444C4" w:rsidR="00BE5809" w:rsidRPr="00A227AB" w:rsidRDefault="00BE580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Conformément à la décision de la Commission du 16 septembre 2021 instituant l’Autorité de préparation et de réaction en cas d’urgence sanitaire (HERA), C(2021) 6712.</w:t>
      </w:r>
    </w:p>
  </w:footnote>
  <w:footnote w:id="34">
    <w:p w14:paraId="48B0CA01" w14:textId="2ADD8A45" w:rsidR="0045283E" w:rsidRPr="0045283E" w:rsidRDefault="0045283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Règlement (UE) 2022/2372 du Conseil, JO L 314 du 6.12.2022, p. 64.</w:t>
      </w:r>
    </w:p>
  </w:footnote>
  <w:footnote w:id="35">
    <w:p w14:paraId="57C75C61" w14:textId="0C270EFD" w:rsidR="009421BB" w:rsidRPr="009421BB" w:rsidRDefault="009421B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https://civil-protection-humanitarian-aid.ec.europa.eu/what/humanitarian-aid/reliefeu_en?prefLang=fr.</w:t>
      </w:r>
    </w:p>
  </w:footnote>
  <w:footnote w:id="36">
    <w:p w14:paraId="7562FD44" w14:textId="77777777" w:rsidR="007A39AA" w:rsidRPr="00F53B6E" w:rsidRDefault="007A39AA" w:rsidP="007A39A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Décision d’exécution (UE) 2018/1993 du Conseil, JO L 320 du 17.12.2018, p. 28.</w:t>
      </w:r>
    </w:p>
  </w:footnote>
  <w:footnote w:id="37">
    <w:p w14:paraId="53C5B126" w14:textId="02205DA6" w:rsidR="00186C13" w:rsidRPr="007800AF" w:rsidRDefault="00186C13" w:rsidP="00186C13">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Articles 21 </w:t>
      </w:r>
      <w:r>
        <w:rPr>
          <w:rFonts w:ascii="Times New Roman" w:hAnsi="Times New Roman"/>
          <w:i/>
          <w:iCs/>
        </w:rPr>
        <w:t>bis</w:t>
      </w:r>
      <w:r>
        <w:rPr>
          <w:rFonts w:ascii="Times New Roman" w:hAnsi="Times New Roman"/>
        </w:rPr>
        <w:t xml:space="preserve"> et 28 du code frontières Schengen révisé [règlement (UE) 2016/399, tel que modifié par le règlement (UE) 2024/1717].</w:t>
      </w:r>
    </w:p>
  </w:footnote>
  <w:footnote w:id="38">
    <w:p w14:paraId="0C84CAE6" w14:textId="4A5631E6" w:rsidR="00D3572E" w:rsidRPr="00F53B6E" w:rsidRDefault="00D3572E" w:rsidP="002146F5">
      <w:pPr>
        <w:pStyle w:val="FootnoteText"/>
        <w:ind w:left="720" w:hanging="720"/>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https://health.ec.europa.eu/latest-updates/opinion-health-security-committee-common-eu-approach-response-covid-19-situation-china-2023-01-05_en?prefLang=fr.</w:t>
      </w:r>
    </w:p>
  </w:footnote>
  <w:footnote w:id="39">
    <w:p w14:paraId="67D19020" w14:textId="67C51793" w:rsidR="00654091" w:rsidRPr="00F53B6E" w:rsidRDefault="00654091">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https://www.eca.europa.eu/fr/covid19.</w:t>
      </w:r>
    </w:p>
  </w:footnote>
  <w:footnote w:id="40">
    <w:p w14:paraId="40AEF188" w14:textId="0F264623" w:rsidR="001C16BE" w:rsidRPr="00F53B6E" w:rsidRDefault="001C16BE">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https://www.eca.europa.eu/ECAPublications/SR-2024-12/SR-2024-12_FR.pdf.</w:t>
      </w:r>
    </w:p>
  </w:footnote>
  <w:footnote w:id="41">
    <w:p w14:paraId="217FB9E2" w14:textId="77777777" w:rsidR="002A4378" w:rsidRPr="00F53B6E" w:rsidRDefault="002A4378" w:rsidP="002A4378">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COM(2025) 147 final</w:t>
      </w:r>
      <w:r>
        <w:t>.</w:t>
      </w:r>
    </w:p>
  </w:footnote>
  <w:footnote w:id="42">
    <w:p w14:paraId="3C0AE7FF" w14:textId="77777777" w:rsidR="002A4378" w:rsidRPr="00F53B6E" w:rsidRDefault="002A4378" w:rsidP="002A4378">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COM(2024) 212 final</w:t>
      </w:r>
      <w:r>
        <w:t>.</w:t>
      </w:r>
    </w:p>
  </w:footnote>
  <w:footnote w:id="43">
    <w:p w14:paraId="713B61F1" w14:textId="12E12347" w:rsidR="00CA756F" w:rsidRPr="00F53B6E" w:rsidRDefault="00CA756F" w:rsidP="009C1964">
      <w:pPr>
        <w:pStyle w:val="FootnoteText"/>
        <w:ind w:left="720" w:hanging="720"/>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Dans le cadre de la mise en œuvre du règlement (UE) 2022/2371, voir les articles 6 à 8.</w:t>
      </w:r>
    </w:p>
  </w:footnote>
  <w:footnote w:id="44">
    <w:p w14:paraId="0025AFF5" w14:textId="66635CCF" w:rsidR="003B750C" w:rsidRPr="00F53B6E" w:rsidRDefault="003B750C" w:rsidP="00016F5C">
      <w:pPr>
        <w:pStyle w:val="FootnoteText"/>
        <w:ind w:left="720" w:hanging="720"/>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rPr>
        <w:t>https://health.ec.europa.eu/health-security-and-infectious-diseases/crisis-management_fr#health-security-committee.</w:t>
      </w:r>
    </w:p>
  </w:footnote>
  <w:footnote w:id="45">
    <w:p w14:paraId="079941CC" w14:textId="0CEC6006" w:rsidR="006C0577" w:rsidRPr="00F53B6E" w:rsidRDefault="006C0577" w:rsidP="006C057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Article 10 du règlement (UE) 2022/2371.</w:t>
      </w:r>
    </w:p>
  </w:footnote>
  <w:footnote w:id="46">
    <w:p w14:paraId="5A770142" w14:textId="632C6C17" w:rsidR="003B750C" w:rsidRPr="00F53B6E" w:rsidRDefault="003B750C" w:rsidP="00016F5C">
      <w:pPr>
        <w:pStyle w:val="FootnoteText"/>
        <w:ind w:left="720" w:hanging="72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https://www.ecdc.europa.eu/en/about-ecdc/what-we-do/public-health-emergency-preparedness-assessments.</w:t>
      </w:r>
    </w:p>
  </w:footnote>
  <w:footnote w:id="47">
    <w:p w14:paraId="07C5B025" w14:textId="3A3BAB1D" w:rsidR="00796A26" w:rsidRPr="00F53B6E" w:rsidRDefault="00796A26" w:rsidP="00796A26">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Article 8</w:t>
      </w:r>
      <w:r>
        <w:t xml:space="preserve"> </w:t>
      </w:r>
      <w:bookmarkStart w:id="3" w:name="_Hlk211805225"/>
      <w:r>
        <w:rPr>
          <w:rFonts w:ascii="Times New Roman" w:hAnsi="Times New Roman"/>
        </w:rPr>
        <w:t>du règlement (UE) 2022/2371</w:t>
      </w:r>
      <w:bookmarkEnd w:id="3"/>
      <w:r>
        <w:rPr>
          <w:rFonts w:ascii="Times New Roman" w:hAnsi="Times New Roman"/>
        </w:rPr>
        <w:t>.</w:t>
      </w:r>
    </w:p>
  </w:footnote>
  <w:footnote w:id="48">
    <w:p w14:paraId="448BDEE9" w14:textId="621307F9" w:rsidR="009C1964" w:rsidRPr="00F53B6E" w:rsidRDefault="009C1964" w:rsidP="009C1964">
      <w:pPr>
        <w:pStyle w:val="FootnoteText"/>
        <w:ind w:left="720" w:hanging="72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L’établissement de rapports est basé sur un questionnaire (voir: https://eur-lex.europa.eu/legal-content/FR/TXT/?uri=CELEX:32023R1808) et sera répété en 2026 et tous les trois ans par la suite.</w:t>
      </w:r>
    </w:p>
  </w:footnote>
  <w:footnote w:id="49">
    <w:p w14:paraId="13C63665" w14:textId="6E34537F" w:rsidR="00FC5551" w:rsidRPr="00F53B6E" w:rsidRDefault="00FC5551" w:rsidP="00FC5551">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Article 7, paragraphe 2, du règlement (UE) 2022/2371.</w:t>
      </w:r>
    </w:p>
  </w:footnote>
  <w:footnote w:id="50">
    <w:p w14:paraId="29E81096" w14:textId="0F25C99B" w:rsidR="00E32CC8" w:rsidRPr="00F53B6E" w:rsidRDefault="00E32CC8" w:rsidP="006174E1">
      <w:pPr>
        <w:pStyle w:val="FootnoteText"/>
        <w:ind w:left="720" w:hanging="72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Par exemple, des exercices consacrés à la gestion des contre-mesures médicales ou à la coopération civilo-militaire.</w:t>
      </w:r>
    </w:p>
  </w:footnote>
  <w:footnote w:id="51">
    <w:p w14:paraId="7DD5335D" w14:textId="37B3F33C" w:rsidR="00E830D7" w:rsidRPr="00F53B6E" w:rsidRDefault="00E830D7">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COM(2025) 529 final du 9 juillet 2025.</w:t>
      </w:r>
    </w:p>
  </w:footnote>
  <w:footnote w:id="52">
    <w:p w14:paraId="77207EB4" w14:textId="0D8719EB" w:rsidR="003C37D2" w:rsidRPr="00F53B6E" w:rsidRDefault="003C37D2">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COM(2025) 528 final du 9 juillet 2025.</w:t>
      </w:r>
    </w:p>
  </w:footnote>
  <w:footnote w:id="53">
    <w:p w14:paraId="6B284AB3" w14:textId="58E1EF42" w:rsidR="00B04444" w:rsidRPr="00F53B6E" w:rsidRDefault="00B04444">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COM(2025) 555 final du 16 juillet 2025.</w:t>
      </w:r>
    </w:p>
  </w:footnote>
  <w:footnote w:id="54">
    <w:p w14:paraId="6DA207DD" w14:textId="3D628DAD" w:rsidR="00963102" w:rsidRPr="00F53B6E" w:rsidRDefault="00963102" w:rsidP="006E7509">
      <w:pPr>
        <w:spacing w:after="0"/>
        <w:rPr>
          <w:rFonts w:ascii="Times New Roman" w:hAnsi="Times New Roman" w:cs="Times New Roman"/>
          <w:sz w:val="20"/>
          <w:szCs w:val="20"/>
        </w:rPr>
      </w:pPr>
      <w:r>
        <w:rPr>
          <w:rFonts w:ascii="Times New Roman" w:hAnsi="Times New Roman" w:cs="Times New Roman"/>
          <w:sz w:val="20"/>
          <w:szCs w:val="20"/>
          <w:vertAlign w:val="superscript"/>
        </w:rPr>
        <w:footnoteRef/>
      </w:r>
      <w:r>
        <w:tab/>
      </w:r>
      <w:r>
        <w:rPr>
          <w:rFonts w:ascii="Times New Roman" w:hAnsi="Times New Roman"/>
          <w:sz w:val="20"/>
        </w:rPr>
        <w:t>COM(2025) 548 final du 16 juillet 2025.</w:t>
      </w:r>
    </w:p>
  </w:footnote>
  <w:footnote w:id="55">
    <w:p w14:paraId="6FCC1CB9" w14:textId="294D3128" w:rsidR="00AD45A9" w:rsidRPr="00AD45A9" w:rsidRDefault="00AD45A9" w:rsidP="00AD3231">
      <w:pPr>
        <w:pStyle w:val="FootnoteText"/>
        <w:ind w:left="720" w:hanging="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ec.europa.eu/info/funding-tenders/opportunities/portal/screen/opportunities/topic-details/horizon-hlth-2024-disease-17-01?order=DESC&amp;pageNumber=1&amp;pageSize=50&amp;sortBy=startDate&amp;isExactMatch=true&amp;status=31094501,31094502&amp;programmePeriod=2021%20-%202027&amp;frameworkProgramme=43108390&amp;callIdentifier=HORIZON-HLTH-2024-DISEASE-17.</w:t>
      </w:r>
    </w:p>
  </w:footnote>
  <w:footnote w:id="56">
    <w:p w14:paraId="7F8E4435" w14:textId="02928ECE" w:rsidR="006E7509" w:rsidRPr="00F53B6E" w:rsidRDefault="006E7509">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https://beready4pandemics.eu/.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C7D36" w14:textId="77777777" w:rsidR="00490803" w:rsidRPr="00490803" w:rsidRDefault="00490803" w:rsidP="0049080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1FEB9" w14:textId="77777777" w:rsidR="00490803" w:rsidRPr="00490803" w:rsidRDefault="00490803" w:rsidP="0049080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BF401" w14:textId="77777777" w:rsidR="00490803" w:rsidRPr="00490803" w:rsidRDefault="00490803" w:rsidP="0049080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42064" w14:textId="77777777" w:rsidR="000F47B8" w:rsidRDefault="000F47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6EA06" w14:textId="77777777" w:rsidR="0073751E" w:rsidRPr="003A3B30" w:rsidRDefault="0073751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65B78" w14:textId="77777777" w:rsidR="000F47B8" w:rsidRDefault="000F47B8">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D2C9A"/>
    <w:multiLevelType w:val="hybridMultilevel"/>
    <w:tmpl w:val="71FE85A0"/>
    <w:lvl w:ilvl="0" w:tplc="DC24D612">
      <w:start w:val="1"/>
      <w:numFmt w:val="bullet"/>
      <w:lvlText w:val=""/>
      <w:lvlJc w:val="left"/>
      <w:pPr>
        <w:ind w:left="1440" w:hanging="360"/>
      </w:pPr>
      <w:rPr>
        <w:rFonts w:ascii="Symbol" w:hAnsi="Symbol"/>
      </w:rPr>
    </w:lvl>
    <w:lvl w:ilvl="1" w:tplc="0ACECAD0">
      <w:start w:val="1"/>
      <w:numFmt w:val="bullet"/>
      <w:lvlText w:val=""/>
      <w:lvlJc w:val="left"/>
      <w:pPr>
        <w:ind w:left="1440" w:hanging="360"/>
      </w:pPr>
      <w:rPr>
        <w:rFonts w:ascii="Symbol" w:hAnsi="Symbol"/>
      </w:rPr>
    </w:lvl>
    <w:lvl w:ilvl="2" w:tplc="448C20EA">
      <w:start w:val="1"/>
      <w:numFmt w:val="bullet"/>
      <w:lvlText w:val=""/>
      <w:lvlJc w:val="left"/>
      <w:pPr>
        <w:ind w:left="1440" w:hanging="360"/>
      </w:pPr>
      <w:rPr>
        <w:rFonts w:ascii="Symbol" w:hAnsi="Symbol"/>
      </w:rPr>
    </w:lvl>
    <w:lvl w:ilvl="3" w:tplc="F22E90DE">
      <w:start w:val="1"/>
      <w:numFmt w:val="bullet"/>
      <w:lvlText w:val=""/>
      <w:lvlJc w:val="left"/>
      <w:pPr>
        <w:ind w:left="1440" w:hanging="360"/>
      </w:pPr>
      <w:rPr>
        <w:rFonts w:ascii="Symbol" w:hAnsi="Symbol"/>
      </w:rPr>
    </w:lvl>
    <w:lvl w:ilvl="4" w:tplc="1F4859C6">
      <w:start w:val="1"/>
      <w:numFmt w:val="bullet"/>
      <w:lvlText w:val=""/>
      <w:lvlJc w:val="left"/>
      <w:pPr>
        <w:ind w:left="1440" w:hanging="360"/>
      </w:pPr>
      <w:rPr>
        <w:rFonts w:ascii="Symbol" w:hAnsi="Symbol"/>
      </w:rPr>
    </w:lvl>
    <w:lvl w:ilvl="5" w:tplc="773EE00C">
      <w:start w:val="1"/>
      <w:numFmt w:val="bullet"/>
      <w:lvlText w:val=""/>
      <w:lvlJc w:val="left"/>
      <w:pPr>
        <w:ind w:left="1440" w:hanging="360"/>
      </w:pPr>
      <w:rPr>
        <w:rFonts w:ascii="Symbol" w:hAnsi="Symbol"/>
      </w:rPr>
    </w:lvl>
    <w:lvl w:ilvl="6" w:tplc="DC461EAE">
      <w:start w:val="1"/>
      <w:numFmt w:val="bullet"/>
      <w:lvlText w:val=""/>
      <w:lvlJc w:val="left"/>
      <w:pPr>
        <w:ind w:left="1440" w:hanging="360"/>
      </w:pPr>
      <w:rPr>
        <w:rFonts w:ascii="Symbol" w:hAnsi="Symbol"/>
      </w:rPr>
    </w:lvl>
    <w:lvl w:ilvl="7" w:tplc="5844B492">
      <w:start w:val="1"/>
      <w:numFmt w:val="bullet"/>
      <w:lvlText w:val=""/>
      <w:lvlJc w:val="left"/>
      <w:pPr>
        <w:ind w:left="1440" w:hanging="360"/>
      </w:pPr>
      <w:rPr>
        <w:rFonts w:ascii="Symbol" w:hAnsi="Symbol"/>
      </w:rPr>
    </w:lvl>
    <w:lvl w:ilvl="8" w:tplc="EF7029A2">
      <w:start w:val="1"/>
      <w:numFmt w:val="bullet"/>
      <w:lvlText w:val=""/>
      <w:lvlJc w:val="left"/>
      <w:pPr>
        <w:ind w:left="1440" w:hanging="360"/>
      </w:pPr>
      <w:rPr>
        <w:rFonts w:ascii="Symbol" w:hAnsi="Symbol"/>
      </w:rPr>
    </w:lvl>
  </w:abstractNum>
  <w:abstractNum w:abstractNumId="1" w15:restartNumberingAfterBreak="0">
    <w:nsid w:val="03B8E807"/>
    <w:multiLevelType w:val="hybridMultilevel"/>
    <w:tmpl w:val="FFFFFFFF"/>
    <w:lvl w:ilvl="0" w:tplc="6228F3F4">
      <w:start w:val="1"/>
      <w:numFmt w:val="bullet"/>
      <w:lvlText w:val="·"/>
      <w:lvlJc w:val="left"/>
      <w:pPr>
        <w:ind w:left="720" w:hanging="360"/>
      </w:pPr>
      <w:rPr>
        <w:rFonts w:ascii="Symbol" w:hAnsi="Symbol" w:hint="default"/>
      </w:rPr>
    </w:lvl>
    <w:lvl w:ilvl="1" w:tplc="7ABC10F2">
      <w:start w:val="1"/>
      <w:numFmt w:val="bullet"/>
      <w:lvlText w:val="o"/>
      <w:lvlJc w:val="left"/>
      <w:pPr>
        <w:ind w:left="1440" w:hanging="360"/>
      </w:pPr>
      <w:rPr>
        <w:rFonts w:ascii="Courier New" w:hAnsi="Courier New" w:hint="default"/>
      </w:rPr>
    </w:lvl>
    <w:lvl w:ilvl="2" w:tplc="6A48A858">
      <w:start w:val="1"/>
      <w:numFmt w:val="bullet"/>
      <w:lvlText w:val=""/>
      <w:lvlJc w:val="left"/>
      <w:pPr>
        <w:ind w:left="2160" w:hanging="360"/>
      </w:pPr>
      <w:rPr>
        <w:rFonts w:ascii="Wingdings" w:hAnsi="Wingdings" w:hint="default"/>
      </w:rPr>
    </w:lvl>
    <w:lvl w:ilvl="3" w:tplc="A92A5DC0">
      <w:start w:val="1"/>
      <w:numFmt w:val="bullet"/>
      <w:lvlText w:val=""/>
      <w:lvlJc w:val="left"/>
      <w:pPr>
        <w:ind w:left="2880" w:hanging="360"/>
      </w:pPr>
      <w:rPr>
        <w:rFonts w:ascii="Symbol" w:hAnsi="Symbol" w:hint="default"/>
      </w:rPr>
    </w:lvl>
    <w:lvl w:ilvl="4" w:tplc="F4AE43BA">
      <w:start w:val="1"/>
      <w:numFmt w:val="bullet"/>
      <w:lvlText w:val="o"/>
      <w:lvlJc w:val="left"/>
      <w:pPr>
        <w:ind w:left="3600" w:hanging="360"/>
      </w:pPr>
      <w:rPr>
        <w:rFonts w:ascii="Courier New" w:hAnsi="Courier New" w:hint="default"/>
      </w:rPr>
    </w:lvl>
    <w:lvl w:ilvl="5" w:tplc="B96C1918">
      <w:start w:val="1"/>
      <w:numFmt w:val="bullet"/>
      <w:lvlText w:val=""/>
      <w:lvlJc w:val="left"/>
      <w:pPr>
        <w:ind w:left="4320" w:hanging="360"/>
      </w:pPr>
      <w:rPr>
        <w:rFonts w:ascii="Wingdings" w:hAnsi="Wingdings" w:hint="default"/>
      </w:rPr>
    </w:lvl>
    <w:lvl w:ilvl="6" w:tplc="36EEAC26">
      <w:start w:val="1"/>
      <w:numFmt w:val="bullet"/>
      <w:lvlText w:val=""/>
      <w:lvlJc w:val="left"/>
      <w:pPr>
        <w:ind w:left="5040" w:hanging="360"/>
      </w:pPr>
      <w:rPr>
        <w:rFonts w:ascii="Symbol" w:hAnsi="Symbol" w:hint="default"/>
      </w:rPr>
    </w:lvl>
    <w:lvl w:ilvl="7" w:tplc="998ACD82">
      <w:start w:val="1"/>
      <w:numFmt w:val="bullet"/>
      <w:lvlText w:val="o"/>
      <w:lvlJc w:val="left"/>
      <w:pPr>
        <w:ind w:left="5760" w:hanging="360"/>
      </w:pPr>
      <w:rPr>
        <w:rFonts w:ascii="Courier New" w:hAnsi="Courier New" w:hint="default"/>
      </w:rPr>
    </w:lvl>
    <w:lvl w:ilvl="8" w:tplc="B1489192">
      <w:start w:val="1"/>
      <w:numFmt w:val="bullet"/>
      <w:lvlText w:val=""/>
      <w:lvlJc w:val="left"/>
      <w:pPr>
        <w:ind w:left="6480" w:hanging="360"/>
      </w:pPr>
      <w:rPr>
        <w:rFonts w:ascii="Wingdings" w:hAnsi="Wingdings" w:hint="default"/>
      </w:rPr>
    </w:lvl>
  </w:abstractNum>
  <w:abstractNum w:abstractNumId="2" w15:restartNumberingAfterBreak="0">
    <w:nsid w:val="095ADA73"/>
    <w:multiLevelType w:val="hybridMultilevel"/>
    <w:tmpl w:val="FFFFFFFF"/>
    <w:lvl w:ilvl="0" w:tplc="93F23690">
      <w:start w:val="1"/>
      <w:numFmt w:val="bullet"/>
      <w:lvlText w:val="·"/>
      <w:lvlJc w:val="left"/>
      <w:pPr>
        <w:ind w:left="720" w:hanging="360"/>
      </w:pPr>
      <w:rPr>
        <w:rFonts w:ascii="Symbol" w:hAnsi="Symbol" w:hint="default"/>
      </w:rPr>
    </w:lvl>
    <w:lvl w:ilvl="1" w:tplc="A6742508">
      <w:start w:val="1"/>
      <w:numFmt w:val="bullet"/>
      <w:lvlText w:val="o"/>
      <w:lvlJc w:val="left"/>
      <w:pPr>
        <w:ind w:left="1440" w:hanging="360"/>
      </w:pPr>
      <w:rPr>
        <w:rFonts w:ascii="Courier New" w:hAnsi="Courier New" w:hint="default"/>
      </w:rPr>
    </w:lvl>
    <w:lvl w:ilvl="2" w:tplc="22A0961C">
      <w:start w:val="1"/>
      <w:numFmt w:val="bullet"/>
      <w:lvlText w:val=""/>
      <w:lvlJc w:val="left"/>
      <w:pPr>
        <w:ind w:left="2160" w:hanging="360"/>
      </w:pPr>
      <w:rPr>
        <w:rFonts w:ascii="Wingdings" w:hAnsi="Wingdings" w:hint="default"/>
      </w:rPr>
    </w:lvl>
    <w:lvl w:ilvl="3" w:tplc="27067A7A">
      <w:start w:val="1"/>
      <w:numFmt w:val="bullet"/>
      <w:lvlText w:val=""/>
      <w:lvlJc w:val="left"/>
      <w:pPr>
        <w:ind w:left="2880" w:hanging="360"/>
      </w:pPr>
      <w:rPr>
        <w:rFonts w:ascii="Symbol" w:hAnsi="Symbol" w:hint="default"/>
      </w:rPr>
    </w:lvl>
    <w:lvl w:ilvl="4" w:tplc="0CCC3BCA">
      <w:start w:val="1"/>
      <w:numFmt w:val="bullet"/>
      <w:lvlText w:val="o"/>
      <w:lvlJc w:val="left"/>
      <w:pPr>
        <w:ind w:left="3600" w:hanging="360"/>
      </w:pPr>
      <w:rPr>
        <w:rFonts w:ascii="Courier New" w:hAnsi="Courier New" w:hint="default"/>
      </w:rPr>
    </w:lvl>
    <w:lvl w:ilvl="5" w:tplc="21620EBC">
      <w:start w:val="1"/>
      <w:numFmt w:val="bullet"/>
      <w:lvlText w:val=""/>
      <w:lvlJc w:val="left"/>
      <w:pPr>
        <w:ind w:left="4320" w:hanging="360"/>
      </w:pPr>
      <w:rPr>
        <w:rFonts w:ascii="Wingdings" w:hAnsi="Wingdings" w:hint="default"/>
      </w:rPr>
    </w:lvl>
    <w:lvl w:ilvl="6" w:tplc="BF9A10E4">
      <w:start w:val="1"/>
      <w:numFmt w:val="bullet"/>
      <w:lvlText w:val=""/>
      <w:lvlJc w:val="left"/>
      <w:pPr>
        <w:ind w:left="5040" w:hanging="360"/>
      </w:pPr>
      <w:rPr>
        <w:rFonts w:ascii="Symbol" w:hAnsi="Symbol" w:hint="default"/>
      </w:rPr>
    </w:lvl>
    <w:lvl w:ilvl="7" w:tplc="45AE8E2A">
      <w:start w:val="1"/>
      <w:numFmt w:val="bullet"/>
      <w:lvlText w:val="o"/>
      <w:lvlJc w:val="left"/>
      <w:pPr>
        <w:ind w:left="5760" w:hanging="360"/>
      </w:pPr>
      <w:rPr>
        <w:rFonts w:ascii="Courier New" w:hAnsi="Courier New" w:hint="default"/>
      </w:rPr>
    </w:lvl>
    <w:lvl w:ilvl="8" w:tplc="43B02192">
      <w:start w:val="1"/>
      <w:numFmt w:val="bullet"/>
      <w:lvlText w:val=""/>
      <w:lvlJc w:val="left"/>
      <w:pPr>
        <w:ind w:left="6480" w:hanging="360"/>
      </w:pPr>
      <w:rPr>
        <w:rFonts w:ascii="Wingdings" w:hAnsi="Wingdings" w:hint="default"/>
      </w:rPr>
    </w:lvl>
  </w:abstractNum>
  <w:abstractNum w:abstractNumId="3" w15:restartNumberingAfterBreak="0">
    <w:nsid w:val="0C887F9E"/>
    <w:multiLevelType w:val="hybridMultilevel"/>
    <w:tmpl w:val="67B2A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CB02D8"/>
    <w:multiLevelType w:val="hybridMultilevel"/>
    <w:tmpl w:val="9694533C"/>
    <w:lvl w:ilvl="0" w:tplc="A8147A9E">
      <w:start w:val="1"/>
      <w:numFmt w:val="bullet"/>
      <w:lvlText w:val="•"/>
      <w:lvlJc w:val="left"/>
      <w:pPr>
        <w:tabs>
          <w:tab w:val="num" w:pos="720"/>
        </w:tabs>
        <w:ind w:left="720" w:hanging="360"/>
      </w:pPr>
      <w:rPr>
        <w:rFonts w:ascii="Arial" w:hAnsi="Arial" w:hint="default"/>
      </w:rPr>
    </w:lvl>
    <w:lvl w:ilvl="1" w:tplc="8BF85174" w:tentative="1">
      <w:start w:val="1"/>
      <w:numFmt w:val="bullet"/>
      <w:lvlText w:val="•"/>
      <w:lvlJc w:val="left"/>
      <w:pPr>
        <w:tabs>
          <w:tab w:val="num" w:pos="1440"/>
        </w:tabs>
        <w:ind w:left="1440" w:hanging="360"/>
      </w:pPr>
      <w:rPr>
        <w:rFonts w:ascii="Arial" w:hAnsi="Arial" w:hint="default"/>
      </w:rPr>
    </w:lvl>
    <w:lvl w:ilvl="2" w:tplc="29CA85A0" w:tentative="1">
      <w:start w:val="1"/>
      <w:numFmt w:val="bullet"/>
      <w:lvlText w:val="•"/>
      <w:lvlJc w:val="left"/>
      <w:pPr>
        <w:tabs>
          <w:tab w:val="num" w:pos="2160"/>
        </w:tabs>
        <w:ind w:left="2160" w:hanging="360"/>
      </w:pPr>
      <w:rPr>
        <w:rFonts w:ascii="Arial" w:hAnsi="Arial" w:hint="default"/>
      </w:rPr>
    </w:lvl>
    <w:lvl w:ilvl="3" w:tplc="D36699CE" w:tentative="1">
      <w:start w:val="1"/>
      <w:numFmt w:val="bullet"/>
      <w:lvlText w:val="•"/>
      <w:lvlJc w:val="left"/>
      <w:pPr>
        <w:tabs>
          <w:tab w:val="num" w:pos="2880"/>
        </w:tabs>
        <w:ind w:left="2880" w:hanging="360"/>
      </w:pPr>
      <w:rPr>
        <w:rFonts w:ascii="Arial" w:hAnsi="Arial" w:hint="default"/>
      </w:rPr>
    </w:lvl>
    <w:lvl w:ilvl="4" w:tplc="09428070" w:tentative="1">
      <w:start w:val="1"/>
      <w:numFmt w:val="bullet"/>
      <w:lvlText w:val="•"/>
      <w:lvlJc w:val="left"/>
      <w:pPr>
        <w:tabs>
          <w:tab w:val="num" w:pos="3600"/>
        </w:tabs>
        <w:ind w:left="3600" w:hanging="360"/>
      </w:pPr>
      <w:rPr>
        <w:rFonts w:ascii="Arial" w:hAnsi="Arial" w:hint="default"/>
      </w:rPr>
    </w:lvl>
    <w:lvl w:ilvl="5" w:tplc="CB0069F8" w:tentative="1">
      <w:start w:val="1"/>
      <w:numFmt w:val="bullet"/>
      <w:lvlText w:val="•"/>
      <w:lvlJc w:val="left"/>
      <w:pPr>
        <w:tabs>
          <w:tab w:val="num" w:pos="4320"/>
        </w:tabs>
        <w:ind w:left="4320" w:hanging="360"/>
      </w:pPr>
      <w:rPr>
        <w:rFonts w:ascii="Arial" w:hAnsi="Arial" w:hint="default"/>
      </w:rPr>
    </w:lvl>
    <w:lvl w:ilvl="6" w:tplc="B704CD34" w:tentative="1">
      <w:start w:val="1"/>
      <w:numFmt w:val="bullet"/>
      <w:lvlText w:val="•"/>
      <w:lvlJc w:val="left"/>
      <w:pPr>
        <w:tabs>
          <w:tab w:val="num" w:pos="5040"/>
        </w:tabs>
        <w:ind w:left="5040" w:hanging="360"/>
      </w:pPr>
      <w:rPr>
        <w:rFonts w:ascii="Arial" w:hAnsi="Arial" w:hint="default"/>
      </w:rPr>
    </w:lvl>
    <w:lvl w:ilvl="7" w:tplc="ED30E650" w:tentative="1">
      <w:start w:val="1"/>
      <w:numFmt w:val="bullet"/>
      <w:lvlText w:val="•"/>
      <w:lvlJc w:val="left"/>
      <w:pPr>
        <w:tabs>
          <w:tab w:val="num" w:pos="5760"/>
        </w:tabs>
        <w:ind w:left="5760" w:hanging="360"/>
      </w:pPr>
      <w:rPr>
        <w:rFonts w:ascii="Arial" w:hAnsi="Arial" w:hint="default"/>
      </w:rPr>
    </w:lvl>
    <w:lvl w:ilvl="8" w:tplc="4922179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0B07144"/>
    <w:multiLevelType w:val="hybridMultilevel"/>
    <w:tmpl w:val="144C28B8"/>
    <w:lvl w:ilvl="0" w:tplc="8EDC0200">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25A06A9"/>
    <w:multiLevelType w:val="hybridMultilevel"/>
    <w:tmpl w:val="FFFFFFFF"/>
    <w:lvl w:ilvl="0" w:tplc="56243788">
      <w:start w:val="1"/>
      <w:numFmt w:val="bullet"/>
      <w:lvlText w:val=""/>
      <w:lvlJc w:val="left"/>
      <w:pPr>
        <w:ind w:left="720" w:hanging="360"/>
      </w:pPr>
      <w:rPr>
        <w:rFonts w:ascii="Symbol" w:hAnsi="Symbol" w:hint="default"/>
      </w:rPr>
    </w:lvl>
    <w:lvl w:ilvl="1" w:tplc="D88054E0">
      <w:start w:val="1"/>
      <w:numFmt w:val="bullet"/>
      <w:lvlText w:val="o"/>
      <w:lvlJc w:val="left"/>
      <w:pPr>
        <w:ind w:left="1440" w:hanging="360"/>
      </w:pPr>
      <w:rPr>
        <w:rFonts w:ascii="Courier New" w:hAnsi="Courier New" w:hint="default"/>
      </w:rPr>
    </w:lvl>
    <w:lvl w:ilvl="2" w:tplc="A8B23326">
      <w:start w:val="1"/>
      <w:numFmt w:val="bullet"/>
      <w:lvlText w:val=""/>
      <w:lvlJc w:val="left"/>
      <w:pPr>
        <w:ind w:left="2160" w:hanging="360"/>
      </w:pPr>
      <w:rPr>
        <w:rFonts w:ascii="Wingdings" w:hAnsi="Wingdings" w:hint="default"/>
      </w:rPr>
    </w:lvl>
    <w:lvl w:ilvl="3" w:tplc="8E3C24EA">
      <w:start w:val="1"/>
      <w:numFmt w:val="bullet"/>
      <w:lvlText w:val=""/>
      <w:lvlJc w:val="left"/>
      <w:pPr>
        <w:ind w:left="2880" w:hanging="360"/>
      </w:pPr>
      <w:rPr>
        <w:rFonts w:ascii="Symbol" w:hAnsi="Symbol" w:hint="default"/>
      </w:rPr>
    </w:lvl>
    <w:lvl w:ilvl="4" w:tplc="AD82ED30">
      <w:start w:val="1"/>
      <w:numFmt w:val="bullet"/>
      <w:lvlText w:val="o"/>
      <w:lvlJc w:val="left"/>
      <w:pPr>
        <w:ind w:left="3600" w:hanging="360"/>
      </w:pPr>
      <w:rPr>
        <w:rFonts w:ascii="Courier New" w:hAnsi="Courier New" w:hint="default"/>
      </w:rPr>
    </w:lvl>
    <w:lvl w:ilvl="5" w:tplc="0BE0085A">
      <w:start w:val="1"/>
      <w:numFmt w:val="bullet"/>
      <w:lvlText w:val=""/>
      <w:lvlJc w:val="left"/>
      <w:pPr>
        <w:ind w:left="4320" w:hanging="360"/>
      </w:pPr>
      <w:rPr>
        <w:rFonts w:ascii="Wingdings" w:hAnsi="Wingdings" w:hint="default"/>
      </w:rPr>
    </w:lvl>
    <w:lvl w:ilvl="6" w:tplc="AE56B56E">
      <w:start w:val="1"/>
      <w:numFmt w:val="bullet"/>
      <w:lvlText w:val=""/>
      <w:lvlJc w:val="left"/>
      <w:pPr>
        <w:ind w:left="5040" w:hanging="360"/>
      </w:pPr>
      <w:rPr>
        <w:rFonts w:ascii="Symbol" w:hAnsi="Symbol" w:hint="default"/>
      </w:rPr>
    </w:lvl>
    <w:lvl w:ilvl="7" w:tplc="BE041672">
      <w:start w:val="1"/>
      <w:numFmt w:val="bullet"/>
      <w:lvlText w:val="o"/>
      <w:lvlJc w:val="left"/>
      <w:pPr>
        <w:ind w:left="5760" w:hanging="360"/>
      </w:pPr>
      <w:rPr>
        <w:rFonts w:ascii="Courier New" w:hAnsi="Courier New" w:hint="default"/>
      </w:rPr>
    </w:lvl>
    <w:lvl w:ilvl="8" w:tplc="9C4A3CC6">
      <w:start w:val="1"/>
      <w:numFmt w:val="bullet"/>
      <w:lvlText w:val=""/>
      <w:lvlJc w:val="left"/>
      <w:pPr>
        <w:ind w:left="6480" w:hanging="360"/>
      </w:pPr>
      <w:rPr>
        <w:rFonts w:ascii="Wingdings" w:hAnsi="Wingdings" w:hint="default"/>
      </w:rPr>
    </w:lvl>
  </w:abstractNum>
  <w:abstractNum w:abstractNumId="7" w15:restartNumberingAfterBreak="0">
    <w:nsid w:val="146D5486"/>
    <w:multiLevelType w:val="hybridMultilevel"/>
    <w:tmpl w:val="A56EF73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63BE1D9"/>
    <w:multiLevelType w:val="hybridMultilevel"/>
    <w:tmpl w:val="FFFFFFFF"/>
    <w:lvl w:ilvl="0" w:tplc="D4403972">
      <w:start w:val="1"/>
      <w:numFmt w:val="bullet"/>
      <w:lvlText w:val=""/>
      <w:lvlJc w:val="left"/>
      <w:pPr>
        <w:ind w:left="720" w:hanging="360"/>
      </w:pPr>
      <w:rPr>
        <w:rFonts w:ascii="Symbol" w:hAnsi="Symbol" w:hint="default"/>
      </w:rPr>
    </w:lvl>
    <w:lvl w:ilvl="1" w:tplc="44026B38">
      <w:start w:val="1"/>
      <w:numFmt w:val="bullet"/>
      <w:lvlText w:val="o"/>
      <w:lvlJc w:val="left"/>
      <w:pPr>
        <w:ind w:left="1440" w:hanging="360"/>
      </w:pPr>
      <w:rPr>
        <w:rFonts w:ascii="Courier New" w:hAnsi="Courier New" w:hint="default"/>
      </w:rPr>
    </w:lvl>
    <w:lvl w:ilvl="2" w:tplc="C13A4EDA">
      <w:start w:val="1"/>
      <w:numFmt w:val="bullet"/>
      <w:lvlText w:val=""/>
      <w:lvlJc w:val="left"/>
      <w:pPr>
        <w:ind w:left="2160" w:hanging="360"/>
      </w:pPr>
      <w:rPr>
        <w:rFonts w:ascii="Wingdings" w:hAnsi="Wingdings" w:hint="default"/>
      </w:rPr>
    </w:lvl>
    <w:lvl w:ilvl="3" w:tplc="66508F1A">
      <w:start w:val="1"/>
      <w:numFmt w:val="bullet"/>
      <w:lvlText w:val=""/>
      <w:lvlJc w:val="left"/>
      <w:pPr>
        <w:ind w:left="2880" w:hanging="360"/>
      </w:pPr>
      <w:rPr>
        <w:rFonts w:ascii="Symbol" w:hAnsi="Symbol" w:hint="default"/>
      </w:rPr>
    </w:lvl>
    <w:lvl w:ilvl="4" w:tplc="43D82F6E">
      <w:start w:val="1"/>
      <w:numFmt w:val="bullet"/>
      <w:lvlText w:val="o"/>
      <w:lvlJc w:val="left"/>
      <w:pPr>
        <w:ind w:left="3600" w:hanging="360"/>
      </w:pPr>
      <w:rPr>
        <w:rFonts w:ascii="Courier New" w:hAnsi="Courier New" w:hint="default"/>
      </w:rPr>
    </w:lvl>
    <w:lvl w:ilvl="5" w:tplc="0F92BF2E">
      <w:start w:val="1"/>
      <w:numFmt w:val="bullet"/>
      <w:lvlText w:val=""/>
      <w:lvlJc w:val="left"/>
      <w:pPr>
        <w:ind w:left="4320" w:hanging="360"/>
      </w:pPr>
      <w:rPr>
        <w:rFonts w:ascii="Wingdings" w:hAnsi="Wingdings" w:hint="default"/>
      </w:rPr>
    </w:lvl>
    <w:lvl w:ilvl="6" w:tplc="C8C854E2">
      <w:start w:val="1"/>
      <w:numFmt w:val="bullet"/>
      <w:lvlText w:val=""/>
      <w:lvlJc w:val="left"/>
      <w:pPr>
        <w:ind w:left="5040" w:hanging="360"/>
      </w:pPr>
      <w:rPr>
        <w:rFonts w:ascii="Symbol" w:hAnsi="Symbol" w:hint="default"/>
      </w:rPr>
    </w:lvl>
    <w:lvl w:ilvl="7" w:tplc="F80EC62C">
      <w:start w:val="1"/>
      <w:numFmt w:val="bullet"/>
      <w:lvlText w:val="o"/>
      <w:lvlJc w:val="left"/>
      <w:pPr>
        <w:ind w:left="5760" w:hanging="360"/>
      </w:pPr>
      <w:rPr>
        <w:rFonts w:ascii="Courier New" w:hAnsi="Courier New" w:hint="default"/>
      </w:rPr>
    </w:lvl>
    <w:lvl w:ilvl="8" w:tplc="11962D46">
      <w:start w:val="1"/>
      <w:numFmt w:val="bullet"/>
      <w:lvlText w:val=""/>
      <w:lvlJc w:val="left"/>
      <w:pPr>
        <w:ind w:left="6480" w:hanging="360"/>
      </w:pPr>
      <w:rPr>
        <w:rFonts w:ascii="Wingdings" w:hAnsi="Wingdings" w:hint="default"/>
      </w:rPr>
    </w:lvl>
  </w:abstractNum>
  <w:abstractNum w:abstractNumId="9" w15:restartNumberingAfterBreak="0">
    <w:nsid w:val="167E0838"/>
    <w:multiLevelType w:val="hybridMultilevel"/>
    <w:tmpl w:val="5D1EACC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6EC1ED7"/>
    <w:multiLevelType w:val="hybridMultilevel"/>
    <w:tmpl w:val="2FAC539C"/>
    <w:lvl w:ilvl="0" w:tplc="0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7B23297"/>
    <w:multiLevelType w:val="hybridMultilevel"/>
    <w:tmpl w:val="CF941160"/>
    <w:lvl w:ilvl="0" w:tplc="4E104D16">
      <w:start w:val="1"/>
      <w:numFmt w:val="bullet"/>
      <w:lvlText w:val=""/>
      <w:lvlJc w:val="left"/>
      <w:pPr>
        <w:ind w:left="720" w:hanging="360"/>
      </w:pPr>
      <w:rPr>
        <w:rFonts w:ascii="Symbol" w:eastAsiaTheme="minorHAnsi"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CC57667"/>
    <w:multiLevelType w:val="hybridMultilevel"/>
    <w:tmpl w:val="810AFBEC"/>
    <w:lvl w:ilvl="0" w:tplc="C340DFF6">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1F8661A2"/>
    <w:multiLevelType w:val="hybridMultilevel"/>
    <w:tmpl w:val="0712BB78"/>
    <w:lvl w:ilvl="0" w:tplc="7194C694">
      <w:start w:val="1"/>
      <w:numFmt w:val="bullet"/>
      <w:lvlText w:val=""/>
      <w:lvlJc w:val="left"/>
      <w:pPr>
        <w:ind w:left="720" w:hanging="360"/>
      </w:pPr>
      <w:rPr>
        <w:rFonts w:ascii="Symbol" w:hAnsi="Symbol" w:hint="default"/>
      </w:rPr>
    </w:lvl>
    <w:lvl w:ilvl="1" w:tplc="D4AC7F36">
      <w:start w:val="1"/>
      <w:numFmt w:val="bullet"/>
      <w:lvlText w:val="o"/>
      <w:lvlJc w:val="left"/>
      <w:pPr>
        <w:ind w:left="1440" w:hanging="360"/>
      </w:pPr>
      <w:rPr>
        <w:rFonts w:ascii="Courier New" w:hAnsi="Courier New" w:hint="default"/>
      </w:rPr>
    </w:lvl>
    <w:lvl w:ilvl="2" w:tplc="DE02B688">
      <w:start w:val="1"/>
      <w:numFmt w:val="bullet"/>
      <w:lvlText w:val=""/>
      <w:lvlJc w:val="left"/>
      <w:pPr>
        <w:ind w:left="2160" w:hanging="360"/>
      </w:pPr>
      <w:rPr>
        <w:rFonts w:ascii="Wingdings" w:hAnsi="Wingdings" w:hint="default"/>
      </w:rPr>
    </w:lvl>
    <w:lvl w:ilvl="3" w:tplc="139CB8AE">
      <w:start w:val="1"/>
      <w:numFmt w:val="bullet"/>
      <w:lvlText w:val=""/>
      <w:lvlJc w:val="left"/>
      <w:pPr>
        <w:ind w:left="2880" w:hanging="360"/>
      </w:pPr>
      <w:rPr>
        <w:rFonts w:ascii="Symbol" w:hAnsi="Symbol" w:hint="default"/>
      </w:rPr>
    </w:lvl>
    <w:lvl w:ilvl="4" w:tplc="7B62CAEE">
      <w:start w:val="1"/>
      <w:numFmt w:val="bullet"/>
      <w:lvlText w:val="o"/>
      <w:lvlJc w:val="left"/>
      <w:pPr>
        <w:ind w:left="3600" w:hanging="360"/>
      </w:pPr>
      <w:rPr>
        <w:rFonts w:ascii="Courier New" w:hAnsi="Courier New" w:hint="default"/>
      </w:rPr>
    </w:lvl>
    <w:lvl w:ilvl="5" w:tplc="C09831DE">
      <w:start w:val="1"/>
      <w:numFmt w:val="bullet"/>
      <w:lvlText w:val=""/>
      <w:lvlJc w:val="left"/>
      <w:pPr>
        <w:ind w:left="4320" w:hanging="360"/>
      </w:pPr>
      <w:rPr>
        <w:rFonts w:ascii="Wingdings" w:hAnsi="Wingdings" w:hint="default"/>
      </w:rPr>
    </w:lvl>
    <w:lvl w:ilvl="6" w:tplc="59C07234">
      <w:start w:val="1"/>
      <w:numFmt w:val="bullet"/>
      <w:lvlText w:val=""/>
      <w:lvlJc w:val="left"/>
      <w:pPr>
        <w:ind w:left="5040" w:hanging="360"/>
      </w:pPr>
      <w:rPr>
        <w:rFonts w:ascii="Symbol" w:hAnsi="Symbol" w:hint="default"/>
      </w:rPr>
    </w:lvl>
    <w:lvl w:ilvl="7" w:tplc="B184A188">
      <w:start w:val="1"/>
      <w:numFmt w:val="bullet"/>
      <w:lvlText w:val="o"/>
      <w:lvlJc w:val="left"/>
      <w:pPr>
        <w:ind w:left="5760" w:hanging="360"/>
      </w:pPr>
      <w:rPr>
        <w:rFonts w:ascii="Courier New" w:hAnsi="Courier New" w:hint="default"/>
      </w:rPr>
    </w:lvl>
    <w:lvl w:ilvl="8" w:tplc="8FD8CE3C">
      <w:start w:val="1"/>
      <w:numFmt w:val="bullet"/>
      <w:lvlText w:val=""/>
      <w:lvlJc w:val="left"/>
      <w:pPr>
        <w:ind w:left="6480" w:hanging="360"/>
      </w:pPr>
      <w:rPr>
        <w:rFonts w:ascii="Wingdings" w:hAnsi="Wingdings" w:hint="default"/>
      </w:rPr>
    </w:lvl>
  </w:abstractNum>
  <w:abstractNum w:abstractNumId="14" w15:restartNumberingAfterBreak="0">
    <w:nsid w:val="241F609A"/>
    <w:multiLevelType w:val="hybridMultilevel"/>
    <w:tmpl w:val="87041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81428B"/>
    <w:multiLevelType w:val="hybridMultilevel"/>
    <w:tmpl w:val="D1180660"/>
    <w:lvl w:ilvl="0" w:tplc="0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3AD833CE"/>
    <w:multiLevelType w:val="hybridMultilevel"/>
    <w:tmpl w:val="6CDE17B8"/>
    <w:lvl w:ilvl="0" w:tplc="3FC4BFE2">
      <w:start w:val="1"/>
      <w:numFmt w:val="bullet"/>
      <w:lvlText w:val="•"/>
      <w:lvlJc w:val="left"/>
      <w:pPr>
        <w:tabs>
          <w:tab w:val="num" w:pos="720"/>
        </w:tabs>
        <w:ind w:left="720" w:hanging="360"/>
      </w:pPr>
      <w:rPr>
        <w:rFonts w:ascii="Arial" w:hAnsi="Arial" w:hint="default"/>
      </w:rPr>
    </w:lvl>
    <w:lvl w:ilvl="1" w:tplc="DF66F15E">
      <w:numFmt w:val="bullet"/>
      <w:lvlText w:val="•"/>
      <w:lvlJc w:val="left"/>
      <w:pPr>
        <w:tabs>
          <w:tab w:val="num" w:pos="1440"/>
        </w:tabs>
        <w:ind w:left="1440" w:hanging="360"/>
      </w:pPr>
      <w:rPr>
        <w:rFonts w:ascii="Arial" w:hAnsi="Arial" w:hint="default"/>
      </w:rPr>
    </w:lvl>
    <w:lvl w:ilvl="2" w:tplc="69F8EA04" w:tentative="1">
      <w:start w:val="1"/>
      <w:numFmt w:val="bullet"/>
      <w:lvlText w:val="•"/>
      <w:lvlJc w:val="left"/>
      <w:pPr>
        <w:tabs>
          <w:tab w:val="num" w:pos="2160"/>
        </w:tabs>
        <w:ind w:left="2160" w:hanging="360"/>
      </w:pPr>
      <w:rPr>
        <w:rFonts w:ascii="Arial" w:hAnsi="Arial" w:hint="default"/>
      </w:rPr>
    </w:lvl>
    <w:lvl w:ilvl="3" w:tplc="1EE0CC76" w:tentative="1">
      <w:start w:val="1"/>
      <w:numFmt w:val="bullet"/>
      <w:lvlText w:val="•"/>
      <w:lvlJc w:val="left"/>
      <w:pPr>
        <w:tabs>
          <w:tab w:val="num" w:pos="2880"/>
        </w:tabs>
        <w:ind w:left="2880" w:hanging="360"/>
      </w:pPr>
      <w:rPr>
        <w:rFonts w:ascii="Arial" w:hAnsi="Arial" w:hint="default"/>
      </w:rPr>
    </w:lvl>
    <w:lvl w:ilvl="4" w:tplc="43627BB6" w:tentative="1">
      <w:start w:val="1"/>
      <w:numFmt w:val="bullet"/>
      <w:lvlText w:val="•"/>
      <w:lvlJc w:val="left"/>
      <w:pPr>
        <w:tabs>
          <w:tab w:val="num" w:pos="3600"/>
        </w:tabs>
        <w:ind w:left="3600" w:hanging="360"/>
      </w:pPr>
      <w:rPr>
        <w:rFonts w:ascii="Arial" w:hAnsi="Arial" w:hint="default"/>
      </w:rPr>
    </w:lvl>
    <w:lvl w:ilvl="5" w:tplc="823A8150" w:tentative="1">
      <w:start w:val="1"/>
      <w:numFmt w:val="bullet"/>
      <w:lvlText w:val="•"/>
      <w:lvlJc w:val="left"/>
      <w:pPr>
        <w:tabs>
          <w:tab w:val="num" w:pos="4320"/>
        </w:tabs>
        <w:ind w:left="4320" w:hanging="360"/>
      </w:pPr>
      <w:rPr>
        <w:rFonts w:ascii="Arial" w:hAnsi="Arial" w:hint="default"/>
      </w:rPr>
    </w:lvl>
    <w:lvl w:ilvl="6" w:tplc="7CBC9A48" w:tentative="1">
      <w:start w:val="1"/>
      <w:numFmt w:val="bullet"/>
      <w:lvlText w:val="•"/>
      <w:lvlJc w:val="left"/>
      <w:pPr>
        <w:tabs>
          <w:tab w:val="num" w:pos="5040"/>
        </w:tabs>
        <w:ind w:left="5040" w:hanging="360"/>
      </w:pPr>
      <w:rPr>
        <w:rFonts w:ascii="Arial" w:hAnsi="Arial" w:hint="default"/>
      </w:rPr>
    </w:lvl>
    <w:lvl w:ilvl="7" w:tplc="6C8495DE" w:tentative="1">
      <w:start w:val="1"/>
      <w:numFmt w:val="bullet"/>
      <w:lvlText w:val="•"/>
      <w:lvlJc w:val="left"/>
      <w:pPr>
        <w:tabs>
          <w:tab w:val="num" w:pos="5760"/>
        </w:tabs>
        <w:ind w:left="5760" w:hanging="360"/>
      </w:pPr>
      <w:rPr>
        <w:rFonts w:ascii="Arial" w:hAnsi="Arial" w:hint="default"/>
      </w:rPr>
    </w:lvl>
    <w:lvl w:ilvl="8" w:tplc="0126664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389340B"/>
    <w:multiLevelType w:val="hybridMultilevel"/>
    <w:tmpl w:val="A51EDE0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54F743D4"/>
    <w:multiLevelType w:val="hybridMultilevel"/>
    <w:tmpl w:val="CFB87D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9A85D50"/>
    <w:multiLevelType w:val="hybridMultilevel"/>
    <w:tmpl w:val="495CE00E"/>
    <w:lvl w:ilvl="0" w:tplc="799241E4">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5B2F5609"/>
    <w:multiLevelType w:val="hybridMultilevel"/>
    <w:tmpl w:val="3E4C5DCA"/>
    <w:lvl w:ilvl="0" w:tplc="EC786C24">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5CFC0319"/>
    <w:multiLevelType w:val="hybridMultilevel"/>
    <w:tmpl w:val="1A1E51F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DD09084"/>
    <w:multiLevelType w:val="hybridMultilevel"/>
    <w:tmpl w:val="FFFFFFFF"/>
    <w:lvl w:ilvl="0" w:tplc="D1BA88D6">
      <w:start w:val="1"/>
      <w:numFmt w:val="bullet"/>
      <w:lvlText w:val=""/>
      <w:lvlJc w:val="left"/>
      <w:pPr>
        <w:ind w:left="720" w:hanging="360"/>
      </w:pPr>
      <w:rPr>
        <w:rFonts w:ascii="Symbol" w:hAnsi="Symbol" w:hint="default"/>
      </w:rPr>
    </w:lvl>
    <w:lvl w:ilvl="1" w:tplc="1752F8FE">
      <w:start w:val="1"/>
      <w:numFmt w:val="bullet"/>
      <w:lvlText w:val="o"/>
      <w:lvlJc w:val="left"/>
      <w:pPr>
        <w:ind w:left="1440" w:hanging="360"/>
      </w:pPr>
      <w:rPr>
        <w:rFonts w:ascii="Courier New" w:hAnsi="Courier New" w:hint="default"/>
      </w:rPr>
    </w:lvl>
    <w:lvl w:ilvl="2" w:tplc="EE6A00BC">
      <w:start w:val="1"/>
      <w:numFmt w:val="bullet"/>
      <w:lvlText w:val=""/>
      <w:lvlJc w:val="left"/>
      <w:pPr>
        <w:ind w:left="2160" w:hanging="360"/>
      </w:pPr>
      <w:rPr>
        <w:rFonts w:ascii="Wingdings" w:hAnsi="Wingdings" w:hint="default"/>
      </w:rPr>
    </w:lvl>
    <w:lvl w:ilvl="3" w:tplc="7ECCBEE6">
      <w:start w:val="1"/>
      <w:numFmt w:val="bullet"/>
      <w:lvlText w:val=""/>
      <w:lvlJc w:val="left"/>
      <w:pPr>
        <w:ind w:left="2880" w:hanging="360"/>
      </w:pPr>
      <w:rPr>
        <w:rFonts w:ascii="Symbol" w:hAnsi="Symbol" w:hint="default"/>
      </w:rPr>
    </w:lvl>
    <w:lvl w:ilvl="4" w:tplc="024203E0">
      <w:start w:val="1"/>
      <w:numFmt w:val="bullet"/>
      <w:lvlText w:val="o"/>
      <w:lvlJc w:val="left"/>
      <w:pPr>
        <w:ind w:left="3600" w:hanging="360"/>
      </w:pPr>
      <w:rPr>
        <w:rFonts w:ascii="Courier New" w:hAnsi="Courier New" w:hint="default"/>
      </w:rPr>
    </w:lvl>
    <w:lvl w:ilvl="5" w:tplc="0892444E">
      <w:start w:val="1"/>
      <w:numFmt w:val="bullet"/>
      <w:lvlText w:val=""/>
      <w:lvlJc w:val="left"/>
      <w:pPr>
        <w:ind w:left="4320" w:hanging="360"/>
      </w:pPr>
      <w:rPr>
        <w:rFonts w:ascii="Wingdings" w:hAnsi="Wingdings" w:hint="default"/>
      </w:rPr>
    </w:lvl>
    <w:lvl w:ilvl="6" w:tplc="BC1E717C">
      <w:start w:val="1"/>
      <w:numFmt w:val="bullet"/>
      <w:lvlText w:val=""/>
      <w:lvlJc w:val="left"/>
      <w:pPr>
        <w:ind w:left="5040" w:hanging="360"/>
      </w:pPr>
      <w:rPr>
        <w:rFonts w:ascii="Symbol" w:hAnsi="Symbol" w:hint="default"/>
      </w:rPr>
    </w:lvl>
    <w:lvl w:ilvl="7" w:tplc="1A64C096">
      <w:start w:val="1"/>
      <w:numFmt w:val="bullet"/>
      <w:lvlText w:val="o"/>
      <w:lvlJc w:val="left"/>
      <w:pPr>
        <w:ind w:left="5760" w:hanging="360"/>
      </w:pPr>
      <w:rPr>
        <w:rFonts w:ascii="Courier New" w:hAnsi="Courier New" w:hint="default"/>
      </w:rPr>
    </w:lvl>
    <w:lvl w:ilvl="8" w:tplc="E4D2ECB8">
      <w:start w:val="1"/>
      <w:numFmt w:val="bullet"/>
      <w:lvlText w:val=""/>
      <w:lvlJc w:val="left"/>
      <w:pPr>
        <w:ind w:left="6480" w:hanging="360"/>
      </w:pPr>
      <w:rPr>
        <w:rFonts w:ascii="Wingdings" w:hAnsi="Wingdings" w:hint="default"/>
      </w:rPr>
    </w:lvl>
  </w:abstractNum>
  <w:abstractNum w:abstractNumId="23" w15:restartNumberingAfterBreak="0">
    <w:nsid w:val="5E8D1DD4"/>
    <w:multiLevelType w:val="hybridMultilevel"/>
    <w:tmpl w:val="621E8AD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5FD7645"/>
    <w:multiLevelType w:val="hybridMultilevel"/>
    <w:tmpl w:val="5A2CD80C"/>
    <w:lvl w:ilvl="0" w:tplc="0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66673F22"/>
    <w:multiLevelType w:val="hybridMultilevel"/>
    <w:tmpl w:val="54664B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7C81F9C"/>
    <w:multiLevelType w:val="hybridMultilevel"/>
    <w:tmpl w:val="AFC6C67A"/>
    <w:lvl w:ilvl="0" w:tplc="080C000F">
      <w:start w:val="3"/>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7148169D"/>
    <w:multiLevelType w:val="hybridMultilevel"/>
    <w:tmpl w:val="94528C4A"/>
    <w:lvl w:ilvl="0" w:tplc="8BD62418">
      <w:start w:val="1"/>
      <w:numFmt w:val="bullet"/>
      <w:lvlText w:val="•"/>
      <w:lvlJc w:val="left"/>
      <w:pPr>
        <w:tabs>
          <w:tab w:val="num" w:pos="720"/>
        </w:tabs>
        <w:ind w:left="720" w:hanging="360"/>
      </w:pPr>
      <w:rPr>
        <w:rFonts w:ascii="Arial" w:hAnsi="Arial" w:hint="default"/>
      </w:rPr>
    </w:lvl>
    <w:lvl w:ilvl="1" w:tplc="F5B81CFE" w:tentative="1">
      <w:start w:val="1"/>
      <w:numFmt w:val="bullet"/>
      <w:lvlText w:val="•"/>
      <w:lvlJc w:val="left"/>
      <w:pPr>
        <w:tabs>
          <w:tab w:val="num" w:pos="1440"/>
        </w:tabs>
        <w:ind w:left="1440" w:hanging="360"/>
      </w:pPr>
      <w:rPr>
        <w:rFonts w:ascii="Arial" w:hAnsi="Arial" w:hint="default"/>
      </w:rPr>
    </w:lvl>
    <w:lvl w:ilvl="2" w:tplc="C3D697B8" w:tentative="1">
      <w:start w:val="1"/>
      <w:numFmt w:val="bullet"/>
      <w:lvlText w:val="•"/>
      <w:lvlJc w:val="left"/>
      <w:pPr>
        <w:tabs>
          <w:tab w:val="num" w:pos="2160"/>
        </w:tabs>
        <w:ind w:left="2160" w:hanging="360"/>
      </w:pPr>
      <w:rPr>
        <w:rFonts w:ascii="Arial" w:hAnsi="Arial" w:hint="default"/>
      </w:rPr>
    </w:lvl>
    <w:lvl w:ilvl="3" w:tplc="EC18D8B4" w:tentative="1">
      <w:start w:val="1"/>
      <w:numFmt w:val="bullet"/>
      <w:lvlText w:val="•"/>
      <w:lvlJc w:val="left"/>
      <w:pPr>
        <w:tabs>
          <w:tab w:val="num" w:pos="2880"/>
        </w:tabs>
        <w:ind w:left="2880" w:hanging="360"/>
      </w:pPr>
      <w:rPr>
        <w:rFonts w:ascii="Arial" w:hAnsi="Arial" w:hint="default"/>
      </w:rPr>
    </w:lvl>
    <w:lvl w:ilvl="4" w:tplc="F794A444" w:tentative="1">
      <w:start w:val="1"/>
      <w:numFmt w:val="bullet"/>
      <w:lvlText w:val="•"/>
      <w:lvlJc w:val="left"/>
      <w:pPr>
        <w:tabs>
          <w:tab w:val="num" w:pos="3600"/>
        </w:tabs>
        <w:ind w:left="3600" w:hanging="360"/>
      </w:pPr>
      <w:rPr>
        <w:rFonts w:ascii="Arial" w:hAnsi="Arial" w:hint="default"/>
      </w:rPr>
    </w:lvl>
    <w:lvl w:ilvl="5" w:tplc="427AA8D0" w:tentative="1">
      <w:start w:val="1"/>
      <w:numFmt w:val="bullet"/>
      <w:lvlText w:val="•"/>
      <w:lvlJc w:val="left"/>
      <w:pPr>
        <w:tabs>
          <w:tab w:val="num" w:pos="4320"/>
        </w:tabs>
        <w:ind w:left="4320" w:hanging="360"/>
      </w:pPr>
      <w:rPr>
        <w:rFonts w:ascii="Arial" w:hAnsi="Arial" w:hint="default"/>
      </w:rPr>
    </w:lvl>
    <w:lvl w:ilvl="6" w:tplc="A2AE546E" w:tentative="1">
      <w:start w:val="1"/>
      <w:numFmt w:val="bullet"/>
      <w:lvlText w:val="•"/>
      <w:lvlJc w:val="left"/>
      <w:pPr>
        <w:tabs>
          <w:tab w:val="num" w:pos="5040"/>
        </w:tabs>
        <w:ind w:left="5040" w:hanging="360"/>
      </w:pPr>
      <w:rPr>
        <w:rFonts w:ascii="Arial" w:hAnsi="Arial" w:hint="default"/>
      </w:rPr>
    </w:lvl>
    <w:lvl w:ilvl="7" w:tplc="58226448" w:tentative="1">
      <w:start w:val="1"/>
      <w:numFmt w:val="bullet"/>
      <w:lvlText w:val="•"/>
      <w:lvlJc w:val="left"/>
      <w:pPr>
        <w:tabs>
          <w:tab w:val="num" w:pos="5760"/>
        </w:tabs>
        <w:ind w:left="5760" w:hanging="360"/>
      </w:pPr>
      <w:rPr>
        <w:rFonts w:ascii="Arial" w:hAnsi="Arial" w:hint="default"/>
      </w:rPr>
    </w:lvl>
    <w:lvl w:ilvl="8" w:tplc="977A9C9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5B03D12"/>
    <w:multiLevelType w:val="hybridMultilevel"/>
    <w:tmpl w:val="C53E6D9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76043E6C"/>
    <w:multiLevelType w:val="hybridMultilevel"/>
    <w:tmpl w:val="12EEAD8E"/>
    <w:lvl w:ilvl="0" w:tplc="C9066E74">
      <w:start w:val="1"/>
      <w:numFmt w:val="bullet"/>
      <w:lvlText w:val=""/>
      <w:lvlJc w:val="left"/>
      <w:pPr>
        <w:ind w:left="720" w:hanging="360"/>
      </w:pPr>
      <w:rPr>
        <w:rFonts w:ascii="Symbol" w:hAnsi="Symbol" w:hint="default"/>
      </w:rPr>
    </w:lvl>
    <w:lvl w:ilvl="1" w:tplc="AFA28B12">
      <w:start w:val="1"/>
      <w:numFmt w:val="bullet"/>
      <w:lvlText w:val="o"/>
      <w:lvlJc w:val="left"/>
      <w:pPr>
        <w:ind w:left="1440" w:hanging="360"/>
      </w:pPr>
      <w:rPr>
        <w:rFonts w:ascii="Courier New" w:hAnsi="Courier New" w:hint="default"/>
      </w:rPr>
    </w:lvl>
    <w:lvl w:ilvl="2" w:tplc="C2DE65F0">
      <w:start w:val="1"/>
      <w:numFmt w:val="bullet"/>
      <w:lvlText w:val=""/>
      <w:lvlJc w:val="left"/>
      <w:pPr>
        <w:ind w:left="2160" w:hanging="360"/>
      </w:pPr>
      <w:rPr>
        <w:rFonts w:ascii="Wingdings" w:hAnsi="Wingdings" w:hint="default"/>
      </w:rPr>
    </w:lvl>
    <w:lvl w:ilvl="3" w:tplc="0DCCCA02">
      <w:start w:val="1"/>
      <w:numFmt w:val="bullet"/>
      <w:lvlText w:val=""/>
      <w:lvlJc w:val="left"/>
      <w:pPr>
        <w:ind w:left="2880" w:hanging="360"/>
      </w:pPr>
      <w:rPr>
        <w:rFonts w:ascii="Symbol" w:hAnsi="Symbol" w:hint="default"/>
      </w:rPr>
    </w:lvl>
    <w:lvl w:ilvl="4" w:tplc="2D881902">
      <w:start w:val="1"/>
      <w:numFmt w:val="bullet"/>
      <w:lvlText w:val="o"/>
      <w:lvlJc w:val="left"/>
      <w:pPr>
        <w:ind w:left="3600" w:hanging="360"/>
      </w:pPr>
      <w:rPr>
        <w:rFonts w:ascii="Courier New" w:hAnsi="Courier New" w:hint="default"/>
      </w:rPr>
    </w:lvl>
    <w:lvl w:ilvl="5" w:tplc="EB64F506">
      <w:start w:val="1"/>
      <w:numFmt w:val="bullet"/>
      <w:lvlText w:val=""/>
      <w:lvlJc w:val="left"/>
      <w:pPr>
        <w:ind w:left="4320" w:hanging="360"/>
      </w:pPr>
      <w:rPr>
        <w:rFonts w:ascii="Wingdings" w:hAnsi="Wingdings" w:hint="default"/>
      </w:rPr>
    </w:lvl>
    <w:lvl w:ilvl="6" w:tplc="86E0CBB6">
      <w:start w:val="1"/>
      <w:numFmt w:val="bullet"/>
      <w:lvlText w:val=""/>
      <w:lvlJc w:val="left"/>
      <w:pPr>
        <w:ind w:left="5040" w:hanging="360"/>
      </w:pPr>
      <w:rPr>
        <w:rFonts w:ascii="Symbol" w:hAnsi="Symbol" w:hint="default"/>
      </w:rPr>
    </w:lvl>
    <w:lvl w:ilvl="7" w:tplc="912EF91E">
      <w:start w:val="1"/>
      <w:numFmt w:val="bullet"/>
      <w:lvlText w:val="o"/>
      <w:lvlJc w:val="left"/>
      <w:pPr>
        <w:ind w:left="5760" w:hanging="360"/>
      </w:pPr>
      <w:rPr>
        <w:rFonts w:ascii="Courier New" w:hAnsi="Courier New" w:hint="default"/>
      </w:rPr>
    </w:lvl>
    <w:lvl w:ilvl="8" w:tplc="9D3CB10C">
      <w:start w:val="1"/>
      <w:numFmt w:val="bullet"/>
      <w:lvlText w:val=""/>
      <w:lvlJc w:val="left"/>
      <w:pPr>
        <w:ind w:left="6480" w:hanging="360"/>
      </w:pPr>
      <w:rPr>
        <w:rFonts w:ascii="Wingdings" w:hAnsi="Wingdings" w:hint="default"/>
      </w:rPr>
    </w:lvl>
  </w:abstractNum>
  <w:abstractNum w:abstractNumId="30" w15:restartNumberingAfterBreak="0">
    <w:nsid w:val="7A985952"/>
    <w:multiLevelType w:val="hybridMultilevel"/>
    <w:tmpl w:val="ADF633AE"/>
    <w:lvl w:ilvl="0" w:tplc="8F30CA7C">
      <w:start w:val="3"/>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B07FD2"/>
    <w:multiLevelType w:val="hybridMultilevel"/>
    <w:tmpl w:val="D6C84A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FB6CFF8"/>
    <w:multiLevelType w:val="hybridMultilevel"/>
    <w:tmpl w:val="FFFFFFFF"/>
    <w:lvl w:ilvl="0" w:tplc="FFFFFFFF">
      <w:start w:val="1"/>
      <w:numFmt w:val="bullet"/>
      <w:lvlText w:val=""/>
      <w:lvlJc w:val="left"/>
      <w:pPr>
        <w:ind w:left="720" w:hanging="360"/>
      </w:pPr>
      <w:rPr>
        <w:rFonts w:ascii="Symbol" w:hAnsi="Symbol" w:hint="default"/>
      </w:rPr>
    </w:lvl>
    <w:lvl w:ilvl="1" w:tplc="1AC8A8FE">
      <w:start w:val="1"/>
      <w:numFmt w:val="lowerLetter"/>
      <w:lvlText w:val="%2."/>
      <w:lvlJc w:val="left"/>
      <w:pPr>
        <w:ind w:left="1440" w:hanging="360"/>
      </w:pPr>
    </w:lvl>
    <w:lvl w:ilvl="2" w:tplc="A3A8E67C">
      <w:start w:val="1"/>
      <w:numFmt w:val="lowerRoman"/>
      <w:lvlText w:val="%3."/>
      <w:lvlJc w:val="right"/>
      <w:pPr>
        <w:ind w:left="2160" w:hanging="180"/>
      </w:pPr>
    </w:lvl>
    <w:lvl w:ilvl="3" w:tplc="AA1C6E80">
      <w:start w:val="1"/>
      <w:numFmt w:val="decimal"/>
      <w:lvlText w:val="%4."/>
      <w:lvlJc w:val="left"/>
      <w:pPr>
        <w:ind w:left="2880" w:hanging="360"/>
      </w:pPr>
    </w:lvl>
    <w:lvl w:ilvl="4" w:tplc="7E2A7CBA">
      <w:start w:val="1"/>
      <w:numFmt w:val="lowerLetter"/>
      <w:lvlText w:val="%5."/>
      <w:lvlJc w:val="left"/>
      <w:pPr>
        <w:ind w:left="3600" w:hanging="360"/>
      </w:pPr>
    </w:lvl>
    <w:lvl w:ilvl="5" w:tplc="85E88B5C">
      <w:start w:val="1"/>
      <w:numFmt w:val="lowerRoman"/>
      <w:lvlText w:val="%6."/>
      <w:lvlJc w:val="right"/>
      <w:pPr>
        <w:ind w:left="4320" w:hanging="180"/>
      </w:pPr>
    </w:lvl>
    <w:lvl w:ilvl="6" w:tplc="CD70D0EC">
      <w:start w:val="1"/>
      <w:numFmt w:val="decimal"/>
      <w:lvlText w:val="%7."/>
      <w:lvlJc w:val="left"/>
      <w:pPr>
        <w:ind w:left="5040" w:hanging="360"/>
      </w:pPr>
    </w:lvl>
    <w:lvl w:ilvl="7" w:tplc="936070FC">
      <w:start w:val="1"/>
      <w:numFmt w:val="lowerLetter"/>
      <w:lvlText w:val="%8."/>
      <w:lvlJc w:val="left"/>
      <w:pPr>
        <w:ind w:left="5760" w:hanging="360"/>
      </w:pPr>
    </w:lvl>
    <w:lvl w:ilvl="8" w:tplc="EF7E5F6E">
      <w:start w:val="1"/>
      <w:numFmt w:val="lowerRoman"/>
      <w:lvlText w:val="%9."/>
      <w:lvlJc w:val="right"/>
      <w:pPr>
        <w:ind w:left="6480" w:hanging="180"/>
      </w:pPr>
    </w:lvl>
  </w:abstractNum>
  <w:num w:numId="1">
    <w:abstractNumId w:val="13"/>
  </w:num>
  <w:num w:numId="2">
    <w:abstractNumId w:val="29"/>
  </w:num>
  <w:num w:numId="3">
    <w:abstractNumId w:val="10"/>
  </w:num>
  <w:num w:numId="4">
    <w:abstractNumId w:val="15"/>
  </w:num>
  <w:num w:numId="5">
    <w:abstractNumId w:val="24"/>
  </w:num>
  <w:num w:numId="6">
    <w:abstractNumId w:val="30"/>
  </w:num>
  <w:num w:numId="7">
    <w:abstractNumId w:val="14"/>
  </w:num>
  <w:num w:numId="8">
    <w:abstractNumId w:val="3"/>
  </w:num>
  <w:num w:numId="9">
    <w:abstractNumId w:val="25"/>
  </w:num>
  <w:num w:numId="10">
    <w:abstractNumId w:val="9"/>
  </w:num>
  <w:num w:numId="11">
    <w:abstractNumId w:val="4"/>
  </w:num>
  <w:num w:numId="12">
    <w:abstractNumId w:val="27"/>
  </w:num>
  <w:num w:numId="13">
    <w:abstractNumId w:val="16"/>
  </w:num>
  <w:num w:numId="14">
    <w:abstractNumId w:val="7"/>
  </w:num>
  <w:num w:numId="15">
    <w:abstractNumId w:val="5"/>
  </w:num>
  <w:num w:numId="16">
    <w:abstractNumId w:val="12"/>
  </w:num>
  <w:num w:numId="17">
    <w:abstractNumId w:val="23"/>
  </w:num>
  <w:num w:numId="18">
    <w:abstractNumId w:val="31"/>
  </w:num>
  <w:num w:numId="19">
    <w:abstractNumId w:val="21"/>
  </w:num>
  <w:num w:numId="20">
    <w:abstractNumId w:val="18"/>
  </w:num>
  <w:num w:numId="21">
    <w:abstractNumId w:val="1"/>
  </w:num>
  <w:num w:numId="22">
    <w:abstractNumId w:val="32"/>
  </w:num>
  <w:num w:numId="23">
    <w:abstractNumId w:val="2"/>
  </w:num>
  <w:num w:numId="24">
    <w:abstractNumId w:val="28"/>
  </w:num>
  <w:num w:numId="25">
    <w:abstractNumId w:val="11"/>
  </w:num>
  <w:num w:numId="26">
    <w:abstractNumId w:val="6"/>
  </w:num>
  <w:num w:numId="27">
    <w:abstractNumId w:val="8"/>
  </w:num>
  <w:num w:numId="28">
    <w:abstractNumId w:val="22"/>
  </w:num>
  <w:num w:numId="29">
    <w:abstractNumId w:val="26"/>
  </w:num>
  <w:num w:numId="30">
    <w:abstractNumId w:val="19"/>
  </w:num>
  <w:num w:numId="31">
    <w:abstractNumId w:val="20"/>
  </w:num>
  <w:num w:numId="32">
    <w:abstractNumId w:val="0"/>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DFF63A7F-21A7-4F5B-9B8B-324E661E2A34"/>
    <w:docVar w:name="LW_COVERPAGE_TYPE" w:val="1"/>
    <w:docVar w:name="LW_CROSSREFERENCE" w:val="{SWD(2025) 393 final}"/>
    <w:docVar w:name="LW_DocType" w:val="NORMAL"/>
    <w:docVar w:name="LW_EMISSION" w:val="28.11.2025"/>
    <w:docVar w:name="LW_EMISSION_ISODATE" w:val="2025-11-28"/>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7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ésentation du plan de prévention, de préparation et de réaction de l\u8217?Union contre les crises sanitaires_x000d__x000b_"/>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73751E"/>
    <w:rsid w:val="000002F6"/>
    <w:rsid w:val="00000C1A"/>
    <w:rsid w:val="00000F3C"/>
    <w:rsid w:val="00001046"/>
    <w:rsid w:val="00001128"/>
    <w:rsid w:val="0000140B"/>
    <w:rsid w:val="00001433"/>
    <w:rsid w:val="00001519"/>
    <w:rsid w:val="000015FD"/>
    <w:rsid w:val="000018DF"/>
    <w:rsid w:val="00002269"/>
    <w:rsid w:val="000025BA"/>
    <w:rsid w:val="0000281E"/>
    <w:rsid w:val="0000282F"/>
    <w:rsid w:val="000029E9"/>
    <w:rsid w:val="00002B4D"/>
    <w:rsid w:val="00003568"/>
    <w:rsid w:val="000035C2"/>
    <w:rsid w:val="00003EA9"/>
    <w:rsid w:val="00004068"/>
    <w:rsid w:val="0000407D"/>
    <w:rsid w:val="000048F7"/>
    <w:rsid w:val="00004D23"/>
    <w:rsid w:val="0000542B"/>
    <w:rsid w:val="000055D0"/>
    <w:rsid w:val="00005904"/>
    <w:rsid w:val="00005ACF"/>
    <w:rsid w:val="0000626E"/>
    <w:rsid w:val="000062F0"/>
    <w:rsid w:val="000066FB"/>
    <w:rsid w:val="000066FF"/>
    <w:rsid w:val="00006838"/>
    <w:rsid w:val="00006C2A"/>
    <w:rsid w:val="00006E6F"/>
    <w:rsid w:val="0000734F"/>
    <w:rsid w:val="00007665"/>
    <w:rsid w:val="00007724"/>
    <w:rsid w:val="00007C78"/>
    <w:rsid w:val="00007CB4"/>
    <w:rsid w:val="000100BB"/>
    <w:rsid w:val="00010280"/>
    <w:rsid w:val="000107B7"/>
    <w:rsid w:val="00010F6D"/>
    <w:rsid w:val="00011121"/>
    <w:rsid w:val="00011134"/>
    <w:rsid w:val="0001144A"/>
    <w:rsid w:val="00011836"/>
    <w:rsid w:val="00011CC0"/>
    <w:rsid w:val="00011EF3"/>
    <w:rsid w:val="00011F2A"/>
    <w:rsid w:val="00012153"/>
    <w:rsid w:val="000123C6"/>
    <w:rsid w:val="00012419"/>
    <w:rsid w:val="00012443"/>
    <w:rsid w:val="00012727"/>
    <w:rsid w:val="00012793"/>
    <w:rsid w:val="0001324A"/>
    <w:rsid w:val="000136AF"/>
    <w:rsid w:val="000136EC"/>
    <w:rsid w:val="000138E0"/>
    <w:rsid w:val="00013A4D"/>
    <w:rsid w:val="000144ED"/>
    <w:rsid w:val="000144F2"/>
    <w:rsid w:val="00014B73"/>
    <w:rsid w:val="00014C28"/>
    <w:rsid w:val="00014DA9"/>
    <w:rsid w:val="0001570E"/>
    <w:rsid w:val="0001630E"/>
    <w:rsid w:val="00016399"/>
    <w:rsid w:val="000163CB"/>
    <w:rsid w:val="00016BF9"/>
    <w:rsid w:val="00016E8A"/>
    <w:rsid w:val="00016F5C"/>
    <w:rsid w:val="00017AA9"/>
    <w:rsid w:val="00017C69"/>
    <w:rsid w:val="000201F1"/>
    <w:rsid w:val="00020914"/>
    <w:rsid w:val="00020AB7"/>
    <w:rsid w:val="00020B43"/>
    <w:rsid w:val="00020FFF"/>
    <w:rsid w:val="000210B8"/>
    <w:rsid w:val="000214BD"/>
    <w:rsid w:val="00021B28"/>
    <w:rsid w:val="0002245B"/>
    <w:rsid w:val="000226B4"/>
    <w:rsid w:val="000228A4"/>
    <w:rsid w:val="000228E8"/>
    <w:rsid w:val="000229A9"/>
    <w:rsid w:val="00022A8C"/>
    <w:rsid w:val="00022BB2"/>
    <w:rsid w:val="00022C23"/>
    <w:rsid w:val="0002338B"/>
    <w:rsid w:val="000236A7"/>
    <w:rsid w:val="0002375E"/>
    <w:rsid w:val="00023816"/>
    <w:rsid w:val="000239B3"/>
    <w:rsid w:val="00023C43"/>
    <w:rsid w:val="00023E8C"/>
    <w:rsid w:val="00024259"/>
    <w:rsid w:val="000242D8"/>
    <w:rsid w:val="00024A15"/>
    <w:rsid w:val="00024AC6"/>
    <w:rsid w:val="00024BCD"/>
    <w:rsid w:val="00024C88"/>
    <w:rsid w:val="00024E1D"/>
    <w:rsid w:val="000254CE"/>
    <w:rsid w:val="000258EC"/>
    <w:rsid w:val="00025953"/>
    <w:rsid w:val="00025DA4"/>
    <w:rsid w:val="00025E7C"/>
    <w:rsid w:val="000260ED"/>
    <w:rsid w:val="0002645E"/>
    <w:rsid w:val="0002656A"/>
    <w:rsid w:val="00026590"/>
    <w:rsid w:val="00026B05"/>
    <w:rsid w:val="00026EE2"/>
    <w:rsid w:val="00027311"/>
    <w:rsid w:val="00027706"/>
    <w:rsid w:val="000277C3"/>
    <w:rsid w:val="00027949"/>
    <w:rsid w:val="00030139"/>
    <w:rsid w:val="000305DD"/>
    <w:rsid w:val="00030831"/>
    <w:rsid w:val="00030944"/>
    <w:rsid w:val="00030F8C"/>
    <w:rsid w:val="00031297"/>
    <w:rsid w:val="00031467"/>
    <w:rsid w:val="000316FF"/>
    <w:rsid w:val="00031960"/>
    <w:rsid w:val="00031DBE"/>
    <w:rsid w:val="00031FFA"/>
    <w:rsid w:val="00032220"/>
    <w:rsid w:val="000324F9"/>
    <w:rsid w:val="00032783"/>
    <w:rsid w:val="000327A6"/>
    <w:rsid w:val="00032D30"/>
    <w:rsid w:val="00032F30"/>
    <w:rsid w:val="00033456"/>
    <w:rsid w:val="00033779"/>
    <w:rsid w:val="00033888"/>
    <w:rsid w:val="000338AB"/>
    <w:rsid w:val="00033915"/>
    <w:rsid w:val="00033CC6"/>
    <w:rsid w:val="00033E10"/>
    <w:rsid w:val="00033FC3"/>
    <w:rsid w:val="0003401A"/>
    <w:rsid w:val="0003450B"/>
    <w:rsid w:val="0003466B"/>
    <w:rsid w:val="000350FF"/>
    <w:rsid w:val="00035244"/>
    <w:rsid w:val="000353B2"/>
    <w:rsid w:val="00035A6A"/>
    <w:rsid w:val="00036313"/>
    <w:rsid w:val="0003677F"/>
    <w:rsid w:val="000370BF"/>
    <w:rsid w:val="00037498"/>
    <w:rsid w:val="00037EBF"/>
    <w:rsid w:val="00040024"/>
    <w:rsid w:val="00040456"/>
    <w:rsid w:val="00040797"/>
    <w:rsid w:val="000407A5"/>
    <w:rsid w:val="00040CB9"/>
    <w:rsid w:val="00040CBB"/>
    <w:rsid w:val="00040EC2"/>
    <w:rsid w:val="0004138F"/>
    <w:rsid w:val="00041E8E"/>
    <w:rsid w:val="00042077"/>
    <w:rsid w:val="000424DF"/>
    <w:rsid w:val="000425CB"/>
    <w:rsid w:val="0004275E"/>
    <w:rsid w:val="00042BAC"/>
    <w:rsid w:val="00043360"/>
    <w:rsid w:val="000433B7"/>
    <w:rsid w:val="000433D7"/>
    <w:rsid w:val="00043454"/>
    <w:rsid w:val="000438D5"/>
    <w:rsid w:val="00044032"/>
    <w:rsid w:val="00044E16"/>
    <w:rsid w:val="0004522E"/>
    <w:rsid w:val="0004531C"/>
    <w:rsid w:val="00045D31"/>
    <w:rsid w:val="00045D5C"/>
    <w:rsid w:val="00045D87"/>
    <w:rsid w:val="00045E56"/>
    <w:rsid w:val="00046401"/>
    <w:rsid w:val="000464E5"/>
    <w:rsid w:val="00046775"/>
    <w:rsid w:val="00046C09"/>
    <w:rsid w:val="00046C2E"/>
    <w:rsid w:val="00047787"/>
    <w:rsid w:val="00047DCA"/>
    <w:rsid w:val="00050005"/>
    <w:rsid w:val="00050131"/>
    <w:rsid w:val="00050587"/>
    <w:rsid w:val="00050714"/>
    <w:rsid w:val="00050DF7"/>
    <w:rsid w:val="00050E74"/>
    <w:rsid w:val="00050F57"/>
    <w:rsid w:val="0005132E"/>
    <w:rsid w:val="000513C4"/>
    <w:rsid w:val="000515FF"/>
    <w:rsid w:val="000516AF"/>
    <w:rsid w:val="000517BE"/>
    <w:rsid w:val="0005195C"/>
    <w:rsid w:val="00051EBB"/>
    <w:rsid w:val="0005259B"/>
    <w:rsid w:val="00052911"/>
    <w:rsid w:val="00052A22"/>
    <w:rsid w:val="00052C7C"/>
    <w:rsid w:val="00052EC7"/>
    <w:rsid w:val="00052FF7"/>
    <w:rsid w:val="000531EF"/>
    <w:rsid w:val="00053608"/>
    <w:rsid w:val="00053702"/>
    <w:rsid w:val="0005373F"/>
    <w:rsid w:val="00054340"/>
    <w:rsid w:val="000546EC"/>
    <w:rsid w:val="00054787"/>
    <w:rsid w:val="00054A87"/>
    <w:rsid w:val="00054AF7"/>
    <w:rsid w:val="00054C66"/>
    <w:rsid w:val="00054CA6"/>
    <w:rsid w:val="000550AE"/>
    <w:rsid w:val="00055188"/>
    <w:rsid w:val="00055831"/>
    <w:rsid w:val="00055AB8"/>
    <w:rsid w:val="00055B7D"/>
    <w:rsid w:val="0005619B"/>
    <w:rsid w:val="00056542"/>
    <w:rsid w:val="000565F4"/>
    <w:rsid w:val="000566AC"/>
    <w:rsid w:val="00056C34"/>
    <w:rsid w:val="00057352"/>
    <w:rsid w:val="00057A1A"/>
    <w:rsid w:val="00057ACC"/>
    <w:rsid w:val="000602C5"/>
    <w:rsid w:val="000604AC"/>
    <w:rsid w:val="00060691"/>
    <w:rsid w:val="00060800"/>
    <w:rsid w:val="00060951"/>
    <w:rsid w:val="00060B57"/>
    <w:rsid w:val="00060EC3"/>
    <w:rsid w:val="000614C7"/>
    <w:rsid w:val="00061513"/>
    <w:rsid w:val="000616B3"/>
    <w:rsid w:val="00061D40"/>
    <w:rsid w:val="00061DF8"/>
    <w:rsid w:val="0006212B"/>
    <w:rsid w:val="000622F5"/>
    <w:rsid w:val="000622FF"/>
    <w:rsid w:val="000623D0"/>
    <w:rsid w:val="00062EA4"/>
    <w:rsid w:val="00062F9A"/>
    <w:rsid w:val="00063040"/>
    <w:rsid w:val="000630A7"/>
    <w:rsid w:val="00063308"/>
    <w:rsid w:val="00063D9C"/>
    <w:rsid w:val="00063F54"/>
    <w:rsid w:val="00064511"/>
    <w:rsid w:val="0006480B"/>
    <w:rsid w:val="0006483E"/>
    <w:rsid w:val="000648B7"/>
    <w:rsid w:val="00064BA7"/>
    <w:rsid w:val="000650D3"/>
    <w:rsid w:val="0006512A"/>
    <w:rsid w:val="000653B9"/>
    <w:rsid w:val="0006583B"/>
    <w:rsid w:val="0006585F"/>
    <w:rsid w:val="00065B16"/>
    <w:rsid w:val="000661A7"/>
    <w:rsid w:val="000663D5"/>
    <w:rsid w:val="00066B27"/>
    <w:rsid w:val="000676E8"/>
    <w:rsid w:val="00067B60"/>
    <w:rsid w:val="00067BDA"/>
    <w:rsid w:val="00067C91"/>
    <w:rsid w:val="00070260"/>
    <w:rsid w:val="00070436"/>
    <w:rsid w:val="000712FB"/>
    <w:rsid w:val="00071696"/>
    <w:rsid w:val="00072701"/>
    <w:rsid w:val="000739B0"/>
    <w:rsid w:val="0007414C"/>
    <w:rsid w:val="00074750"/>
    <w:rsid w:val="00074B06"/>
    <w:rsid w:val="00074C66"/>
    <w:rsid w:val="00074C6F"/>
    <w:rsid w:val="00074D78"/>
    <w:rsid w:val="00074E45"/>
    <w:rsid w:val="000752A8"/>
    <w:rsid w:val="00075758"/>
    <w:rsid w:val="00075B09"/>
    <w:rsid w:val="00075D7A"/>
    <w:rsid w:val="00076536"/>
    <w:rsid w:val="00076872"/>
    <w:rsid w:val="000769EB"/>
    <w:rsid w:val="00077554"/>
    <w:rsid w:val="00077586"/>
    <w:rsid w:val="00077668"/>
    <w:rsid w:val="0007796C"/>
    <w:rsid w:val="00077A13"/>
    <w:rsid w:val="00077A95"/>
    <w:rsid w:val="00077D63"/>
    <w:rsid w:val="0008024B"/>
    <w:rsid w:val="0008052D"/>
    <w:rsid w:val="00080639"/>
    <w:rsid w:val="00080702"/>
    <w:rsid w:val="00080B83"/>
    <w:rsid w:val="0008171D"/>
    <w:rsid w:val="00081933"/>
    <w:rsid w:val="00081C66"/>
    <w:rsid w:val="00082250"/>
    <w:rsid w:val="0008225C"/>
    <w:rsid w:val="0008248F"/>
    <w:rsid w:val="00082851"/>
    <w:rsid w:val="00082B53"/>
    <w:rsid w:val="00082E97"/>
    <w:rsid w:val="00083182"/>
    <w:rsid w:val="000834E5"/>
    <w:rsid w:val="0008361E"/>
    <w:rsid w:val="000836C2"/>
    <w:rsid w:val="0008387B"/>
    <w:rsid w:val="00083EBB"/>
    <w:rsid w:val="00084046"/>
    <w:rsid w:val="0008442C"/>
    <w:rsid w:val="00084599"/>
    <w:rsid w:val="00084802"/>
    <w:rsid w:val="00084DB7"/>
    <w:rsid w:val="000854BF"/>
    <w:rsid w:val="00085519"/>
    <w:rsid w:val="00085C05"/>
    <w:rsid w:val="000865FE"/>
    <w:rsid w:val="00086645"/>
    <w:rsid w:val="0008679A"/>
    <w:rsid w:val="00086AD8"/>
    <w:rsid w:val="00086D33"/>
    <w:rsid w:val="00086F6B"/>
    <w:rsid w:val="000870CE"/>
    <w:rsid w:val="000877B2"/>
    <w:rsid w:val="000877F0"/>
    <w:rsid w:val="00087D1A"/>
    <w:rsid w:val="0008B68C"/>
    <w:rsid w:val="00090829"/>
    <w:rsid w:val="00091CFD"/>
    <w:rsid w:val="000924C9"/>
    <w:rsid w:val="000926FF"/>
    <w:rsid w:val="000929EA"/>
    <w:rsid w:val="00093162"/>
    <w:rsid w:val="000932BB"/>
    <w:rsid w:val="00093397"/>
    <w:rsid w:val="00093B6C"/>
    <w:rsid w:val="00093D12"/>
    <w:rsid w:val="000943CA"/>
    <w:rsid w:val="00094904"/>
    <w:rsid w:val="00094FA8"/>
    <w:rsid w:val="00094FC1"/>
    <w:rsid w:val="0009509E"/>
    <w:rsid w:val="000951D5"/>
    <w:rsid w:val="00095323"/>
    <w:rsid w:val="000953BE"/>
    <w:rsid w:val="0009559F"/>
    <w:rsid w:val="0009560E"/>
    <w:rsid w:val="00095647"/>
    <w:rsid w:val="000956A9"/>
    <w:rsid w:val="00095798"/>
    <w:rsid w:val="000957C0"/>
    <w:rsid w:val="00095B7F"/>
    <w:rsid w:val="00095ECF"/>
    <w:rsid w:val="00096129"/>
    <w:rsid w:val="000963FC"/>
    <w:rsid w:val="0009640E"/>
    <w:rsid w:val="00096526"/>
    <w:rsid w:val="00096A9B"/>
    <w:rsid w:val="00096C3D"/>
    <w:rsid w:val="00097698"/>
    <w:rsid w:val="000977BF"/>
    <w:rsid w:val="00097967"/>
    <w:rsid w:val="00097BD6"/>
    <w:rsid w:val="0009FC64"/>
    <w:rsid w:val="000A06C6"/>
    <w:rsid w:val="000A09A5"/>
    <w:rsid w:val="000A1023"/>
    <w:rsid w:val="000A10EC"/>
    <w:rsid w:val="000A142A"/>
    <w:rsid w:val="000A1AC2"/>
    <w:rsid w:val="000A1DF6"/>
    <w:rsid w:val="000A2491"/>
    <w:rsid w:val="000A2810"/>
    <w:rsid w:val="000A3165"/>
    <w:rsid w:val="000A3326"/>
    <w:rsid w:val="000A3AD4"/>
    <w:rsid w:val="000A3D77"/>
    <w:rsid w:val="000A3DD5"/>
    <w:rsid w:val="000A3E89"/>
    <w:rsid w:val="000A3F7F"/>
    <w:rsid w:val="000A4098"/>
    <w:rsid w:val="000A42A9"/>
    <w:rsid w:val="000A42BD"/>
    <w:rsid w:val="000A43B7"/>
    <w:rsid w:val="000A4539"/>
    <w:rsid w:val="000A45D1"/>
    <w:rsid w:val="000A45F2"/>
    <w:rsid w:val="000A496A"/>
    <w:rsid w:val="000A5205"/>
    <w:rsid w:val="000A52CB"/>
    <w:rsid w:val="000A5516"/>
    <w:rsid w:val="000A5C66"/>
    <w:rsid w:val="000A606A"/>
    <w:rsid w:val="000A61B4"/>
    <w:rsid w:val="000A6224"/>
    <w:rsid w:val="000A64B7"/>
    <w:rsid w:val="000A657D"/>
    <w:rsid w:val="000A6CF9"/>
    <w:rsid w:val="000A6DAD"/>
    <w:rsid w:val="000A6DEF"/>
    <w:rsid w:val="000A74B1"/>
    <w:rsid w:val="000A757C"/>
    <w:rsid w:val="000A77A0"/>
    <w:rsid w:val="000A7998"/>
    <w:rsid w:val="000A7A90"/>
    <w:rsid w:val="000B0DBE"/>
    <w:rsid w:val="000B130C"/>
    <w:rsid w:val="000B1FE6"/>
    <w:rsid w:val="000B21C8"/>
    <w:rsid w:val="000B246D"/>
    <w:rsid w:val="000B26FD"/>
    <w:rsid w:val="000B2829"/>
    <w:rsid w:val="000B2C5B"/>
    <w:rsid w:val="000B2D7E"/>
    <w:rsid w:val="000B2E12"/>
    <w:rsid w:val="000B2E24"/>
    <w:rsid w:val="000B2E76"/>
    <w:rsid w:val="000B309E"/>
    <w:rsid w:val="000B30EF"/>
    <w:rsid w:val="000B3294"/>
    <w:rsid w:val="000B38A1"/>
    <w:rsid w:val="000B3D87"/>
    <w:rsid w:val="000B4114"/>
    <w:rsid w:val="000B431F"/>
    <w:rsid w:val="000B4555"/>
    <w:rsid w:val="000B4904"/>
    <w:rsid w:val="000B4C6B"/>
    <w:rsid w:val="000B4E06"/>
    <w:rsid w:val="000B59F4"/>
    <w:rsid w:val="000B5A80"/>
    <w:rsid w:val="000B5AA5"/>
    <w:rsid w:val="000B5D35"/>
    <w:rsid w:val="000B5E0F"/>
    <w:rsid w:val="000B68BA"/>
    <w:rsid w:val="000B6A2D"/>
    <w:rsid w:val="000B6A2E"/>
    <w:rsid w:val="000B6B61"/>
    <w:rsid w:val="000B6D69"/>
    <w:rsid w:val="000B6EB5"/>
    <w:rsid w:val="000B74B6"/>
    <w:rsid w:val="000C01C2"/>
    <w:rsid w:val="000C0CD5"/>
    <w:rsid w:val="000C0F41"/>
    <w:rsid w:val="000C11DB"/>
    <w:rsid w:val="000C1B2E"/>
    <w:rsid w:val="000C1BFF"/>
    <w:rsid w:val="000C1CEE"/>
    <w:rsid w:val="000C1E16"/>
    <w:rsid w:val="000C2822"/>
    <w:rsid w:val="000C2877"/>
    <w:rsid w:val="000C2D98"/>
    <w:rsid w:val="000C3194"/>
    <w:rsid w:val="000C33D6"/>
    <w:rsid w:val="000C377D"/>
    <w:rsid w:val="000C3879"/>
    <w:rsid w:val="000C43CB"/>
    <w:rsid w:val="000C45AC"/>
    <w:rsid w:val="000C49F2"/>
    <w:rsid w:val="000C54DF"/>
    <w:rsid w:val="000C5898"/>
    <w:rsid w:val="000C5A66"/>
    <w:rsid w:val="000C5D95"/>
    <w:rsid w:val="000C603B"/>
    <w:rsid w:val="000C62C8"/>
    <w:rsid w:val="000C6900"/>
    <w:rsid w:val="000C6975"/>
    <w:rsid w:val="000C6DC1"/>
    <w:rsid w:val="000C6E32"/>
    <w:rsid w:val="000C6EDE"/>
    <w:rsid w:val="000C7047"/>
    <w:rsid w:val="000C70A5"/>
    <w:rsid w:val="000C74BF"/>
    <w:rsid w:val="000C7505"/>
    <w:rsid w:val="000C7954"/>
    <w:rsid w:val="000C7BFF"/>
    <w:rsid w:val="000D0BED"/>
    <w:rsid w:val="000D0E9E"/>
    <w:rsid w:val="000D115E"/>
    <w:rsid w:val="000D199C"/>
    <w:rsid w:val="000D1C45"/>
    <w:rsid w:val="000D213E"/>
    <w:rsid w:val="000D2284"/>
    <w:rsid w:val="000D2CF0"/>
    <w:rsid w:val="000D3280"/>
    <w:rsid w:val="000D3422"/>
    <w:rsid w:val="000D3619"/>
    <w:rsid w:val="000D362A"/>
    <w:rsid w:val="000D3923"/>
    <w:rsid w:val="000D3CFA"/>
    <w:rsid w:val="000D4455"/>
    <w:rsid w:val="000D4560"/>
    <w:rsid w:val="000D46E2"/>
    <w:rsid w:val="000D5042"/>
    <w:rsid w:val="000D5328"/>
    <w:rsid w:val="000D569F"/>
    <w:rsid w:val="000D5836"/>
    <w:rsid w:val="000D5DAC"/>
    <w:rsid w:val="000D5E76"/>
    <w:rsid w:val="000D5F8B"/>
    <w:rsid w:val="000D6020"/>
    <w:rsid w:val="000D619E"/>
    <w:rsid w:val="000D622E"/>
    <w:rsid w:val="000D651F"/>
    <w:rsid w:val="000D664C"/>
    <w:rsid w:val="000D669C"/>
    <w:rsid w:val="000D66CC"/>
    <w:rsid w:val="000D67BB"/>
    <w:rsid w:val="000D6A26"/>
    <w:rsid w:val="000D6D8F"/>
    <w:rsid w:val="000D6DF1"/>
    <w:rsid w:val="000D7282"/>
    <w:rsid w:val="000D7E92"/>
    <w:rsid w:val="000D7F45"/>
    <w:rsid w:val="000E001B"/>
    <w:rsid w:val="000E073C"/>
    <w:rsid w:val="000E0C98"/>
    <w:rsid w:val="000E0E71"/>
    <w:rsid w:val="000E125D"/>
    <w:rsid w:val="000E1263"/>
    <w:rsid w:val="000E1902"/>
    <w:rsid w:val="000E19A3"/>
    <w:rsid w:val="000E1F1C"/>
    <w:rsid w:val="000E2050"/>
    <w:rsid w:val="000E2121"/>
    <w:rsid w:val="000E26F2"/>
    <w:rsid w:val="000E2A02"/>
    <w:rsid w:val="000E2FB4"/>
    <w:rsid w:val="000E3193"/>
    <w:rsid w:val="000E363E"/>
    <w:rsid w:val="000E36CD"/>
    <w:rsid w:val="000E37E4"/>
    <w:rsid w:val="000E3D75"/>
    <w:rsid w:val="000E4445"/>
    <w:rsid w:val="000E4605"/>
    <w:rsid w:val="000E490C"/>
    <w:rsid w:val="000E49BB"/>
    <w:rsid w:val="000E4A09"/>
    <w:rsid w:val="000E4C3E"/>
    <w:rsid w:val="000E504A"/>
    <w:rsid w:val="000E5285"/>
    <w:rsid w:val="000E5565"/>
    <w:rsid w:val="000E57B3"/>
    <w:rsid w:val="000E59FB"/>
    <w:rsid w:val="000E6205"/>
    <w:rsid w:val="000E63DD"/>
    <w:rsid w:val="000E6CC2"/>
    <w:rsid w:val="000E729D"/>
    <w:rsid w:val="000E7305"/>
    <w:rsid w:val="000E7513"/>
    <w:rsid w:val="000E7A4C"/>
    <w:rsid w:val="000E7E0B"/>
    <w:rsid w:val="000F0433"/>
    <w:rsid w:val="000F0F32"/>
    <w:rsid w:val="000F122F"/>
    <w:rsid w:val="000F1691"/>
    <w:rsid w:val="000F1716"/>
    <w:rsid w:val="000F1BF1"/>
    <w:rsid w:val="000F1C26"/>
    <w:rsid w:val="000F1D67"/>
    <w:rsid w:val="000F1D7F"/>
    <w:rsid w:val="000F1DAB"/>
    <w:rsid w:val="000F1E30"/>
    <w:rsid w:val="000F2048"/>
    <w:rsid w:val="000F24DD"/>
    <w:rsid w:val="000F2CF9"/>
    <w:rsid w:val="000F2F3F"/>
    <w:rsid w:val="000F40D3"/>
    <w:rsid w:val="000F40EC"/>
    <w:rsid w:val="000F462B"/>
    <w:rsid w:val="000F47B8"/>
    <w:rsid w:val="000F4D0E"/>
    <w:rsid w:val="000F5091"/>
    <w:rsid w:val="000F5651"/>
    <w:rsid w:val="000F5F26"/>
    <w:rsid w:val="000F60C7"/>
    <w:rsid w:val="000F6161"/>
    <w:rsid w:val="000F6C69"/>
    <w:rsid w:val="000F7FE5"/>
    <w:rsid w:val="0010020F"/>
    <w:rsid w:val="00100247"/>
    <w:rsid w:val="0010094D"/>
    <w:rsid w:val="00100C94"/>
    <w:rsid w:val="00100D03"/>
    <w:rsid w:val="00100E0F"/>
    <w:rsid w:val="00101350"/>
    <w:rsid w:val="0010153A"/>
    <w:rsid w:val="00101EEF"/>
    <w:rsid w:val="00101F35"/>
    <w:rsid w:val="00102302"/>
    <w:rsid w:val="001026C6"/>
    <w:rsid w:val="00102B6E"/>
    <w:rsid w:val="00102DB3"/>
    <w:rsid w:val="00102EAB"/>
    <w:rsid w:val="00102FA3"/>
    <w:rsid w:val="0010380A"/>
    <w:rsid w:val="001039FE"/>
    <w:rsid w:val="00103F11"/>
    <w:rsid w:val="00104511"/>
    <w:rsid w:val="0010454C"/>
    <w:rsid w:val="00104697"/>
    <w:rsid w:val="001046FA"/>
    <w:rsid w:val="00105042"/>
    <w:rsid w:val="00105102"/>
    <w:rsid w:val="001052AA"/>
    <w:rsid w:val="00105905"/>
    <w:rsid w:val="00105A12"/>
    <w:rsid w:val="00105D6C"/>
    <w:rsid w:val="00105EF7"/>
    <w:rsid w:val="00106175"/>
    <w:rsid w:val="001061E1"/>
    <w:rsid w:val="00106536"/>
    <w:rsid w:val="001068E4"/>
    <w:rsid w:val="0010690B"/>
    <w:rsid w:val="00106BD9"/>
    <w:rsid w:val="00107116"/>
    <w:rsid w:val="001076F1"/>
    <w:rsid w:val="001103F7"/>
    <w:rsid w:val="00110D61"/>
    <w:rsid w:val="00110DB2"/>
    <w:rsid w:val="00111E02"/>
    <w:rsid w:val="00112BF0"/>
    <w:rsid w:val="00112F00"/>
    <w:rsid w:val="00112F5D"/>
    <w:rsid w:val="001131AF"/>
    <w:rsid w:val="00113316"/>
    <w:rsid w:val="001134B1"/>
    <w:rsid w:val="00113FAB"/>
    <w:rsid w:val="001147C0"/>
    <w:rsid w:val="00114C32"/>
    <w:rsid w:val="00114E77"/>
    <w:rsid w:val="00114EC0"/>
    <w:rsid w:val="00115490"/>
    <w:rsid w:val="001154F7"/>
    <w:rsid w:val="00115C6F"/>
    <w:rsid w:val="00115EDC"/>
    <w:rsid w:val="001160D5"/>
    <w:rsid w:val="00116832"/>
    <w:rsid w:val="001168DA"/>
    <w:rsid w:val="00116C6E"/>
    <w:rsid w:val="00116DD8"/>
    <w:rsid w:val="001170A3"/>
    <w:rsid w:val="001171CE"/>
    <w:rsid w:val="001175E9"/>
    <w:rsid w:val="00117A0C"/>
    <w:rsid w:val="00121178"/>
    <w:rsid w:val="00121676"/>
    <w:rsid w:val="00121949"/>
    <w:rsid w:val="00121C1F"/>
    <w:rsid w:val="0012210D"/>
    <w:rsid w:val="001222B4"/>
    <w:rsid w:val="00122919"/>
    <w:rsid w:val="00122DA6"/>
    <w:rsid w:val="00122E71"/>
    <w:rsid w:val="00122E8E"/>
    <w:rsid w:val="001232EA"/>
    <w:rsid w:val="00123517"/>
    <w:rsid w:val="00123727"/>
    <w:rsid w:val="00123CFE"/>
    <w:rsid w:val="00123E9E"/>
    <w:rsid w:val="0012439E"/>
    <w:rsid w:val="00124922"/>
    <w:rsid w:val="00124A2D"/>
    <w:rsid w:val="00124A72"/>
    <w:rsid w:val="00124B0A"/>
    <w:rsid w:val="00124BCE"/>
    <w:rsid w:val="00125079"/>
    <w:rsid w:val="001250C1"/>
    <w:rsid w:val="00125230"/>
    <w:rsid w:val="0012557C"/>
    <w:rsid w:val="00125F63"/>
    <w:rsid w:val="00125FA6"/>
    <w:rsid w:val="00126709"/>
    <w:rsid w:val="00126761"/>
    <w:rsid w:val="00126772"/>
    <w:rsid w:val="00127033"/>
    <w:rsid w:val="001273DA"/>
    <w:rsid w:val="001276F6"/>
    <w:rsid w:val="00127AB7"/>
    <w:rsid w:val="00130296"/>
    <w:rsid w:val="001308EF"/>
    <w:rsid w:val="00130D77"/>
    <w:rsid w:val="00130EBC"/>
    <w:rsid w:val="00131085"/>
    <w:rsid w:val="001313A4"/>
    <w:rsid w:val="001313D0"/>
    <w:rsid w:val="00131739"/>
    <w:rsid w:val="001317B9"/>
    <w:rsid w:val="00131A09"/>
    <w:rsid w:val="00132117"/>
    <w:rsid w:val="001321A7"/>
    <w:rsid w:val="0013279B"/>
    <w:rsid w:val="001329B3"/>
    <w:rsid w:val="00132E9E"/>
    <w:rsid w:val="00132FF6"/>
    <w:rsid w:val="00133471"/>
    <w:rsid w:val="00133914"/>
    <w:rsid w:val="00133A74"/>
    <w:rsid w:val="001342AA"/>
    <w:rsid w:val="00134391"/>
    <w:rsid w:val="001343C7"/>
    <w:rsid w:val="0013460A"/>
    <w:rsid w:val="00134B00"/>
    <w:rsid w:val="0013541C"/>
    <w:rsid w:val="00135DCB"/>
    <w:rsid w:val="00135DE1"/>
    <w:rsid w:val="0013666B"/>
    <w:rsid w:val="00136BA3"/>
    <w:rsid w:val="00136BAA"/>
    <w:rsid w:val="0013710C"/>
    <w:rsid w:val="001372E8"/>
    <w:rsid w:val="00137417"/>
    <w:rsid w:val="00137739"/>
    <w:rsid w:val="0013773F"/>
    <w:rsid w:val="00137A00"/>
    <w:rsid w:val="00137BA4"/>
    <w:rsid w:val="00137D04"/>
    <w:rsid w:val="00140371"/>
    <w:rsid w:val="001403C1"/>
    <w:rsid w:val="00140F8D"/>
    <w:rsid w:val="00140FBC"/>
    <w:rsid w:val="001410A3"/>
    <w:rsid w:val="00141858"/>
    <w:rsid w:val="001425BB"/>
    <w:rsid w:val="001425F4"/>
    <w:rsid w:val="001427F2"/>
    <w:rsid w:val="00142CC2"/>
    <w:rsid w:val="00143584"/>
    <w:rsid w:val="00143601"/>
    <w:rsid w:val="001436A0"/>
    <w:rsid w:val="001437AD"/>
    <w:rsid w:val="00143885"/>
    <w:rsid w:val="00143B75"/>
    <w:rsid w:val="00143E79"/>
    <w:rsid w:val="00143F1C"/>
    <w:rsid w:val="001443F1"/>
    <w:rsid w:val="00144736"/>
    <w:rsid w:val="001448B7"/>
    <w:rsid w:val="00144978"/>
    <w:rsid w:val="00144987"/>
    <w:rsid w:val="00144D74"/>
    <w:rsid w:val="00144EAE"/>
    <w:rsid w:val="0014514A"/>
    <w:rsid w:val="00145347"/>
    <w:rsid w:val="0014542E"/>
    <w:rsid w:val="00145488"/>
    <w:rsid w:val="001454FB"/>
    <w:rsid w:val="001460F7"/>
    <w:rsid w:val="001462CE"/>
    <w:rsid w:val="001466D2"/>
    <w:rsid w:val="00146724"/>
    <w:rsid w:val="00146776"/>
    <w:rsid w:val="00146A88"/>
    <w:rsid w:val="00146B34"/>
    <w:rsid w:val="00146E8E"/>
    <w:rsid w:val="00146EFF"/>
    <w:rsid w:val="0014720D"/>
    <w:rsid w:val="001475D9"/>
    <w:rsid w:val="00147663"/>
    <w:rsid w:val="0014773C"/>
    <w:rsid w:val="00147B01"/>
    <w:rsid w:val="00147D0D"/>
    <w:rsid w:val="00150077"/>
    <w:rsid w:val="0015054F"/>
    <w:rsid w:val="00150C6F"/>
    <w:rsid w:val="00150F4E"/>
    <w:rsid w:val="00151503"/>
    <w:rsid w:val="001523BB"/>
    <w:rsid w:val="00152613"/>
    <w:rsid w:val="001526EA"/>
    <w:rsid w:val="0015270E"/>
    <w:rsid w:val="00152738"/>
    <w:rsid w:val="001527F0"/>
    <w:rsid w:val="001530C0"/>
    <w:rsid w:val="0015311B"/>
    <w:rsid w:val="001536CB"/>
    <w:rsid w:val="0015398F"/>
    <w:rsid w:val="00153E22"/>
    <w:rsid w:val="00154883"/>
    <w:rsid w:val="00154B55"/>
    <w:rsid w:val="00154C86"/>
    <w:rsid w:val="001550B6"/>
    <w:rsid w:val="0015555F"/>
    <w:rsid w:val="00155651"/>
    <w:rsid w:val="001556C3"/>
    <w:rsid w:val="001558E8"/>
    <w:rsid w:val="00156369"/>
    <w:rsid w:val="001563CF"/>
    <w:rsid w:val="001568D3"/>
    <w:rsid w:val="00156A6F"/>
    <w:rsid w:val="00156CFA"/>
    <w:rsid w:val="00156DD1"/>
    <w:rsid w:val="00156E03"/>
    <w:rsid w:val="001570FF"/>
    <w:rsid w:val="0015723A"/>
    <w:rsid w:val="001573EE"/>
    <w:rsid w:val="001575FE"/>
    <w:rsid w:val="00157A5E"/>
    <w:rsid w:val="00157B12"/>
    <w:rsid w:val="00157CEA"/>
    <w:rsid w:val="00160197"/>
    <w:rsid w:val="001601C7"/>
    <w:rsid w:val="0016048D"/>
    <w:rsid w:val="00160636"/>
    <w:rsid w:val="0016063A"/>
    <w:rsid w:val="0016082A"/>
    <w:rsid w:val="001609D5"/>
    <w:rsid w:val="00161762"/>
    <w:rsid w:val="00161EC1"/>
    <w:rsid w:val="0016257B"/>
    <w:rsid w:val="001625FC"/>
    <w:rsid w:val="00162765"/>
    <w:rsid w:val="0016283D"/>
    <w:rsid w:val="00162DA4"/>
    <w:rsid w:val="00162FA2"/>
    <w:rsid w:val="0016303B"/>
    <w:rsid w:val="001636B2"/>
    <w:rsid w:val="001637B9"/>
    <w:rsid w:val="00163D1C"/>
    <w:rsid w:val="00163EE1"/>
    <w:rsid w:val="0016411B"/>
    <w:rsid w:val="00164379"/>
    <w:rsid w:val="00164517"/>
    <w:rsid w:val="001645A1"/>
    <w:rsid w:val="001645E8"/>
    <w:rsid w:val="00164612"/>
    <w:rsid w:val="00164905"/>
    <w:rsid w:val="00164D82"/>
    <w:rsid w:val="00165277"/>
    <w:rsid w:val="001657B4"/>
    <w:rsid w:val="00165FE5"/>
    <w:rsid w:val="001662F1"/>
    <w:rsid w:val="00166428"/>
    <w:rsid w:val="0016647C"/>
    <w:rsid w:val="0016688B"/>
    <w:rsid w:val="00166AE9"/>
    <w:rsid w:val="001671B0"/>
    <w:rsid w:val="0016780B"/>
    <w:rsid w:val="00167975"/>
    <w:rsid w:val="001679BC"/>
    <w:rsid w:val="00167BC0"/>
    <w:rsid w:val="00170326"/>
    <w:rsid w:val="001705EC"/>
    <w:rsid w:val="001711D6"/>
    <w:rsid w:val="001716AC"/>
    <w:rsid w:val="00171923"/>
    <w:rsid w:val="00171B29"/>
    <w:rsid w:val="00171B4E"/>
    <w:rsid w:val="00171F11"/>
    <w:rsid w:val="00172429"/>
    <w:rsid w:val="001725F1"/>
    <w:rsid w:val="001726AB"/>
    <w:rsid w:val="00172D6F"/>
    <w:rsid w:val="00172FBA"/>
    <w:rsid w:val="001730AC"/>
    <w:rsid w:val="001730DC"/>
    <w:rsid w:val="001731D8"/>
    <w:rsid w:val="00173216"/>
    <w:rsid w:val="0017332F"/>
    <w:rsid w:val="001735DD"/>
    <w:rsid w:val="00173706"/>
    <w:rsid w:val="00173784"/>
    <w:rsid w:val="00173D48"/>
    <w:rsid w:val="00173DDF"/>
    <w:rsid w:val="00173FAD"/>
    <w:rsid w:val="00174082"/>
    <w:rsid w:val="001742D3"/>
    <w:rsid w:val="0017471C"/>
    <w:rsid w:val="001748AB"/>
    <w:rsid w:val="0017550F"/>
    <w:rsid w:val="001755BE"/>
    <w:rsid w:val="001756CF"/>
    <w:rsid w:val="001756D4"/>
    <w:rsid w:val="001758EF"/>
    <w:rsid w:val="001759E0"/>
    <w:rsid w:val="001759E8"/>
    <w:rsid w:val="00175B17"/>
    <w:rsid w:val="00175B4B"/>
    <w:rsid w:val="00175E72"/>
    <w:rsid w:val="001761C3"/>
    <w:rsid w:val="0017657A"/>
    <w:rsid w:val="00176591"/>
    <w:rsid w:val="0017716C"/>
    <w:rsid w:val="001771CF"/>
    <w:rsid w:val="001774BE"/>
    <w:rsid w:val="0017752D"/>
    <w:rsid w:val="00177D28"/>
    <w:rsid w:val="00180A28"/>
    <w:rsid w:val="00180B00"/>
    <w:rsid w:val="00180B56"/>
    <w:rsid w:val="00180F55"/>
    <w:rsid w:val="00181227"/>
    <w:rsid w:val="001812B8"/>
    <w:rsid w:val="0018131F"/>
    <w:rsid w:val="00181379"/>
    <w:rsid w:val="001817C6"/>
    <w:rsid w:val="00181C7C"/>
    <w:rsid w:val="00181FF6"/>
    <w:rsid w:val="00182C2C"/>
    <w:rsid w:val="001830EF"/>
    <w:rsid w:val="001831E2"/>
    <w:rsid w:val="001832CD"/>
    <w:rsid w:val="00183475"/>
    <w:rsid w:val="001834CF"/>
    <w:rsid w:val="0018366A"/>
    <w:rsid w:val="00183822"/>
    <w:rsid w:val="00183A76"/>
    <w:rsid w:val="00183AB5"/>
    <w:rsid w:val="00183C1E"/>
    <w:rsid w:val="001840B0"/>
    <w:rsid w:val="00184127"/>
    <w:rsid w:val="00184363"/>
    <w:rsid w:val="00184A80"/>
    <w:rsid w:val="00184CBE"/>
    <w:rsid w:val="00184DB2"/>
    <w:rsid w:val="00185C32"/>
    <w:rsid w:val="00185D41"/>
    <w:rsid w:val="00185DF6"/>
    <w:rsid w:val="00186036"/>
    <w:rsid w:val="00186152"/>
    <w:rsid w:val="0018645F"/>
    <w:rsid w:val="00186547"/>
    <w:rsid w:val="00186886"/>
    <w:rsid w:val="001868A8"/>
    <w:rsid w:val="00186AB3"/>
    <w:rsid w:val="00186C13"/>
    <w:rsid w:val="00186F58"/>
    <w:rsid w:val="00187022"/>
    <w:rsid w:val="00187270"/>
    <w:rsid w:val="00187A46"/>
    <w:rsid w:val="00190455"/>
    <w:rsid w:val="00190AB0"/>
    <w:rsid w:val="00190C34"/>
    <w:rsid w:val="00190DBE"/>
    <w:rsid w:val="00190E36"/>
    <w:rsid w:val="00190F06"/>
    <w:rsid w:val="00190FAF"/>
    <w:rsid w:val="00191507"/>
    <w:rsid w:val="001916A9"/>
    <w:rsid w:val="00191AD6"/>
    <w:rsid w:val="00191B3A"/>
    <w:rsid w:val="00192C72"/>
    <w:rsid w:val="00192F1B"/>
    <w:rsid w:val="001930D8"/>
    <w:rsid w:val="001931F6"/>
    <w:rsid w:val="00193F92"/>
    <w:rsid w:val="00194227"/>
    <w:rsid w:val="00194293"/>
    <w:rsid w:val="001943BF"/>
    <w:rsid w:val="001944F3"/>
    <w:rsid w:val="00194858"/>
    <w:rsid w:val="00194A14"/>
    <w:rsid w:val="00194BB7"/>
    <w:rsid w:val="00194EFF"/>
    <w:rsid w:val="00194FE5"/>
    <w:rsid w:val="001953A3"/>
    <w:rsid w:val="0019638F"/>
    <w:rsid w:val="001965A0"/>
    <w:rsid w:val="00197137"/>
    <w:rsid w:val="00197242"/>
    <w:rsid w:val="001972CB"/>
    <w:rsid w:val="0019751E"/>
    <w:rsid w:val="001977BE"/>
    <w:rsid w:val="00197A29"/>
    <w:rsid w:val="001A00C3"/>
    <w:rsid w:val="001A0171"/>
    <w:rsid w:val="001A03E0"/>
    <w:rsid w:val="001A1226"/>
    <w:rsid w:val="001A140B"/>
    <w:rsid w:val="001A1709"/>
    <w:rsid w:val="001A1913"/>
    <w:rsid w:val="001A1D52"/>
    <w:rsid w:val="001A20BF"/>
    <w:rsid w:val="001A212A"/>
    <w:rsid w:val="001A2543"/>
    <w:rsid w:val="001A2833"/>
    <w:rsid w:val="001A29EA"/>
    <w:rsid w:val="001A2B7C"/>
    <w:rsid w:val="001A301B"/>
    <w:rsid w:val="001A30C5"/>
    <w:rsid w:val="001A34AE"/>
    <w:rsid w:val="001A36B6"/>
    <w:rsid w:val="001A3D16"/>
    <w:rsid w:val="001A3E41"/>
    <w:rsid w:val="001A3EE7"/>
    <w:rsid w:val="001A40DA"/>
    <w:rsid w:val="001A41E5"/>
    <w:rsid w:val="001A451D"/>
    <w:rsid w:val="001A4528"/>
    <w:rsid w:val="001A4DB8"/>
    <w:rsid w:val="001A4E14"/>
    <w:rsid w:val="001A580E"/>
    <w:rsid w:val="001A6160"/>
    <w:rsid w:val="001A6468"/>
    <w:rsid w:val="001A6496"/>
    <w:rsid w:val="001A77DC"/>
    <w:rsid w:val="001A7B65"/>
    <w:rsid w:val="001A7D08"/>
    <w:rsid w:val="001A7F43"/>
    <w:rsid w:val="001B05D1"/>
    <w:rsid w:val="001B06F8"/>
    <w:rsid w:val="001B0708"/>
    <w:rsid w:val="001B0894"/>
    <w:rsid w:val="001B0BA3"/>
    <w:rsid w:val="001B1261"/>
    <w:rsid w:val="001B12F4"/>
    <w:rsid w:val="001B1539"/>
    <w:rsid w:val="001B1ABF"/>
    <w:rsid w:val="001B1EC0"/>
    <w:rsid w:val="001B1F67"/>
    <w:rsid w:val="001B1FE9"/>
    <w:rsid w:val="001B2432"/>
    <w:rsid w:val="001B25D7"/>
    <w:rsid w:val="001B30CE"/>
    <w:rsid w:val="001B362F"/>
    <w:rsid w:val="001B376B"/>
    <w:rsid w:val="001B414D"/>
    <w:rsid w:val="001B48A1"/>
    <w:rsid w:val="001B4A7F"/>
    <w:rsid w:val="001B4B29"/>
    <w:rsid w:val="001B578C"/>
    <w:rsid w:val="001B5A73"/>
    <w:rsid w:val="001B60CD"/>
    <w:rsid w:val="001B6369"/>
    <w:rsid w:val="001B68A9"/>
    <w:rsid w:val="001B68BB"/>
    <w:rsid w:val="001B6CDE"/>
    <w:rsid w:val="001B700C"/>
    <w:rsid w:val="001B70C1"/>
    <w:rsid w:val="001B76C7"/>
    <w:rsid w:val="001B79D4"/>
    <w:rsid w:val="001B7D01"/>
    <w:rsid w:val="001B9072"/>
    <w:rsid w:val="001C0265"/>
    <w:rsid w:val="001C05E0"/>
    <w:rsid w:val="001C0AF3"/>
    <w:rsid w:val="001C1043"/>
    <w:rsid w:val="001C13F1"/>
    <w:rsid w:val="001C1451"/>
    <w:rsid w:val="001C1527"/>
    <w:rsid w:val="001C16BE"/>
    <w:rsid w:val="001C1B72"/>
    <w:rsid w:val="001C2236"/>
    <w:rsid w:val="001C239F"/>
    <w:rsid w:val="001C250C"/>
    <w:rsid w:val="001C2864"/>
    <w:rsid w:val="001C29BD"/>
    <w:rsid w:val="001C323C"/>
    <w:rsid w:val="001C365C"/>
    <w:rsid w:val="001C3FD6"/>
    <w:rsid w:val="001C467F"/>
    <w:rsid w:val="001C47AB"/>
    <w:rsid w:val="001C488E"/>
    <w:rsid w:val="001C534D"/>
    <w:rsid w:val="001C55CA"/>
    <w:rsid w:val="001C5875"/>
    <w:rsid w:val="001C5CB8"/>
    <w:rsid w:val="001C657C"/>
    <w:rsid w:val="001C6BFC"/>
    <w:rsid w:val="001C6CD6"/>
    <w:rsid w:val="001C70CE"/>
    <w:rsid w:val="001C71C8"/>
    <w:rsid w:val="001C77AA"/>
    <w:rsid w:val="001C7AC4"/>
    <w:rsid w:val="001C7B28"/>
    <w:rsid w:val="001D05D2"/>
    <w:rsid w:val="001D05E7"/>
    <w:rsid w:val="001D089C"/>
    <w:rsid w:val="001D1128"/>
    <w:rsid w:val="001D1667"/>
    <w:rsid w:val="001D18A8"/>
    <w:rsid w:val="001D1CA1"/>
    <w:rsid w:val="001D2650"/>
    <w:rsid w:val="001D2663"/>
    <w:rsid w:val="001D27A9"/>
    <w:rsid w:val="001D291F"/>
    <w:rsid w:val="001D2D8C"/>
    <w:rsid w:val="001D31C4"/>
    <w:rsid w:val="001D3B33"/>
    <w:rsid w:val="001D4152"/>
    <w:rsid w:val="001D4188"/>
    <w:rsid w:val="001D41E6"/>
    <w:rsid w:val="001D44E5"/>
    <w:rsid w:val="001D4A79"/>
    <w:rsid w:val="001D4B17"/>
    <w:rsid w:val="001D521C"/>
    <w:rsid w:val="001D5B91"/>
    <w:rsid w:val="001D6026"/>
    <w:rsid w:val="001D60CC"/>
    <w:rsid w:val="001D612B"/>
    <w:rsid w:val="001D6193"/>
    <w:rsid w:val="001D63E9"/>
    <w:rsid w:val="001D676C"/>
    <w:rsid w:val="001D6EAA"/>
    <w:rsid w:val="001D70B0"/>
    <w:rsid w:val="001D70C9"/>
    <w:rsid w:val="001E0193"/>
    <w:rsid w:val="001E06AF"/>
    <w:rsid w:val="001E0898"/>
    <w:rsid w:val="001E0CF5"/>
    <w:rsid w:val="001E0D0B"/>
    <w:rsid w:val="001E1212"/>
    <w:rsid w:val="001E1395"/>
    <w:rsid w:val="001E1553"/>
    <w:rsid w:val="001E16FA"/>
    <w:rsid w:val="001E194D"/>
    <w:rsid w:val="001E1ABB"/>
    <w:rsid w:val="001E1B43"/>
    <w:rsid w:val="001E1C72"/>
    <w:rsid w:val="001E209E"/>
    <w:rsid w:val="001E2724"/>
    <w:rsid w:val="001E27CD"/>
    <w:rsid w:val="001E2924"/>
    <w:rsid w:val="001E2B3D"/>
    <w:rsid w:val="001E3113"/>
    <w:rsid w:val="001E325F"/>
    <w:rsid w:val="001E40FA"/>
    <w:rsid w:val="001E414C"/>
    <w:rsid w:val="001E41CF"/>
    <w:rsid w:val="001E4518"/>
    <w:rsid w:val="001E4B5E"/>
    <w:rsid w:val="001E4E4A"/>
    <w:rsid w:val="001E4EC9"/>
    <w:rsid w:val="001E53F1"/>
    <w:rsid w:val="001E5816"/>
    <w:rsid w:val="001E5A49"/>
    <w:rsid w:val="001E5AD5"/>
    <w:rsid w:val="001E5BE2"/>
    <w:rsid w:val="001E6118"/>
    <w:rsid w:val="001E7451"/>
    <w:rsid w:val="001E745E"/>
    <w:rsid w:val="001F055B"/>
    <w:rsid w:val="001F0986"/>
    <w:rsid w:val="001F15B1"/>
    <w:rsid w:val="001F17B3"/>
    <w:rsid w:val="001F1852"/>
    <w:rsid w:val="001F1AB8"/>
    <w:rsid w:val="001F1C53"/>
    <w:rsid w:val="001F1C63"/>
    <w:rsid w:val="001F2075"/>
    <w:rsid w:val="001F2814"/>
    <w:rsid w:val="001F2B60"/>
    <w:rsid w:val="001F33B2"/>
    <w:rsid w:val="001F359D"/>
    <w:rsid w:val="001F3789"/>
    <w:rsid w:val="001F3845"/>
    <w:rsid w:val="001F3B7D"/>
    <w:rsid w:val="001F4233"/>
    <w:rsid w:val="001F4318"/>
    <w:rsid w:val="001F461A"/>
    <w:rsid w:val="001F463B"/>
    <w:rsid w:val="001F4656"/>
    <w:rsid w:val="001F47C7"/>
    <w:rsid w:val="001F48B1"/>
    <w:rsid w:val="001F4CB9"/>
    <w:rsid w:val="001F4DB8"/>
    <w:rsid w:val="001F4DCF"/>
    <w:rsid w:val="001F55E3"/>
    <w:rsid w:val="001F57B8"/>
    <w:rsid w:val="001F5B03"/>
    <w:rsid w:val="001F5BC2"/>
    <w:rsid w:val="001F5D80"/>
    <w:rsid w:val="001F5D9B"/>
    <w:rsid w:val="001F6241"/>
    <w:rsid w:val="001F6470"/>
    <w:rsid w:val="001F694B"/>
    <w:rsid w:val="001F73B7"/>
    <w:rsid w:val="001F74BD"/>
    <w:rsid w:val="001F7518"/>
    <w:rsid w:val="001F7845"/>
    <w:rsid w:val="0020029C"/>
    <w:rsid w:val="002003F4"/>
    <w:rsid w:val="0020043E"/>
    <w:rsid w:val="002008B8"/>
    <w:rsid w:val="00200CA7"/>
    <w:rsid w:val="002010A5"/>
    <w:rsid w:val="002017C5"/>
    <w:rsid w:val="002019DE"/>
    <w:rsid w:val="00201A0A"/>
    <w:rsid w:val="0020231F"/>
    <w:rsid w:val="0020270A"/>
    <w:rsid w:val="00202737"/>
    <w:rsid w:val="002030FE"/>
    <w:rsid w:val="002037DF"/>
    <w:rsid w:val="00203873"/>
    <w:rsid w:val="00203AC9"/>
    <w:rsid w:val="00203F70"/>
    <w:rsid w:val="00204C55"/>
    <w:rsid w:val="00204EB1"/>
    <w:rsid w:val="002058FD"/>
    <w:rsid w:val="002066D2"/>
    <w:rsid w:val="00206A03"/>
    <w:rsid w:val="00206EFA"/>
    <w:rsid w:val="00206F31"/>
    <w:rsid w:val="0020759E"/>
    <w:rsid w:val="002079E0"/>
    <w:rsid w:val="002079EA"/>
    <w:rsid w:val="00207B66"/>
    <w:rsid w:val="00207C3B"/>
    <w:rsid w:val="00207F24"/>
    <w:rsid w:val="0021014F"/>
    <w:rsid w:val="0021024C"/>
    <w:rsid w:val="00210293"/>
    <w:rsid w:val="002108FD"/>
    <w:rsid w:val="00210F39"/>
    <w:rsid w:val="002115DB"/>
    <w:rsid w:val="00211808"/>
    <w:rsid w:val="0021189E"/>
    <w:rsid w:val="00212497"/>
    <w:rsid w:val="0021257D"/>
    <w:rsid w:val="002129F2"/>
    <w:rsid w:val="00212BFD"/>
    <w:rsid w:val="00212CFE"/>
    <w:rsid w:val="0021360A"/>
    <w:rsid w:val="00213CE2"/>
    <w:rsid w:val="00213E79"/>
    <w:rsid w:val="002142E5"/>
    <w:rsid w:val="00214458"/>
    <w:rsid w:val="002146F5"/>
    <w:rsid w:val="0021478F"/>
    <w:rsid w:val="00214C08"/>
    <w:rsid w:val="00214CB1"/>
    <w:rsid w:val="00214F85"/>
    <w:rsid w:val="00214F94"/>
    <w:rsid w:val="0021514E"/>
    <w:rsid w:val="0021521E"/>
    <w:rsid w:val="002153E5"/>
    <w:rsid w:val="002153EF"/>
    <w:rsid w:val="0021553A"/>
    <w:rsid w:val="002158BF"/>
    <w:rsid w:val="002158EA"/>
    <w:rsid w:val="00215E23"/>
    <w:rsid w:val="002163FA"/>
    <w:rsid w:val="00216517"/>
    <w:rsid w:val="00216855"/>
    <w:rsid w:val="00217023"/>
    <w:rsid w:val="0021703F"/>
    <w:rsid w:val="002170C0"/>
    <w:rsid w:val="002171E7"/>
    <w:rsid w:val="0021720C"/>
    <w:rsid w:val="00217811"/>
    <w:rsid w:val="00217AD7"/>
    <w:rsid w:val="00217B1A"/>
    <w:rsid w:val="00220314"/>
    <w:rsid w:val="00220778"/>
    <w:rsid w:val="00220823"/>
    <w:rsid w:val="00220CD3"/>
    <w:rsid w:val="002210AE"/>
    <w:rsid w:val="0022198F"/>
    <w:rsid w:val="00221FBF"/>
    <w:rsid w:val="002222E9"/>
    <w:rsid w:val="00222B28"/>
    <w:rsid w:val="00222DDE"/>
    <w:rsid w:val="00223033"/>
    <w:rsid w:val="0022312D"/>
    <w:rsid w:val="002235E5"/>
    <w:rsid w:val="00223796"/>
    <w:rsid w:val="00223864"/>
    <w:rsid w:val="00223B10"/>
    <w:rsid w:val="00223E26"/>
    <w:rsid w:val="00224007"/>
    <w:rsid w:val="0022415D"/>
    <w:rsid w:val="00224247"/>
    <w:rsid w:val="002243E4"/>
    <w:rsid w:val="0022490F"/>
    <w:rsid w:val="00224AD3"/>
    <w:rsid w:val="00224EA1"/>
    <w:rsid w:val="00224EFF"/>
    <w:rsid w:val="00224F1E"/>
    <w:rsid w:val="00224F87"/>
    <w:rsid w:val="002253C7"/>
    <w:rsid w:val="0022547D"/>
    <w:rsid w:val="00226227"/>
    <w:rsid w:val="00226342"/>
    <w:rsid w:val="002266B5"/>
    <w:rsid w:val="00226759"/>
    <w:rsid w:val="00226A71"/>
    <w:rsid w:val="00226ABD"/>
    <w:rsid w:val="002270D0"/>
    <w:rsid w:val="002273C5"/>
    <w:rsid w:val="002273FF"/>
    <w:rsid w:val="00227A9E"/>
    <w:rsid w:val="00227B13"/>
    <w:rsid w:val="0023042F"/>
    <w:rsid w:val="0023056C"/>
    <w:rsid w:val="00230571"/>
    <w:rsid w:val="0023066D"/>
    <w:rsid w:val="00230834"/>
    <w:rsid w:val="00230BDC"/>
    <w:rsid w:val="002315B6"/>
    <w:rsid w:val="00232028"/>
    <w:rsid w:val="00232A38"/>
    <w:rsid w:val="00232E41"/>
    <w:rsid w:val="00232FFD"/>
    <w:rsid w:val="002330CB"/>
    <w:rsid w:val="00233897"/>
    <w:rsid w:val="00233C34"/>
    <w:rsid w:val="00233EF9"/>
    <w:rsid w:val="002345E3"/>
    <w:rsid w:val="00234754"/>
    <w:rsid w:val="002349D7"/>
    <w:rsid w:val="00234BD4"/>
    <w:rsid w:val="00234D32"/>
    <w:rsid w:val="0023557D"/>
    <w:rsid w:val="00235706"/>
    <w:rsid w:val="00235967"/>
    <w:rsid w:val="00235A85"/>
    <w:rsid w:val="00235D48"/>
    <w:rsid w:val="00236705"/>
    <w:rsid w:val="00236779"/>
    <w:rsid w:val="0023699B"/>
    <w:rsid w:val="0023704B"/>
    <w:rsid w:val="00237155"/>
    <w:rsid w:val="00240227"/>
    <w:rsid w:val="0024098E"/>
    <w:rsid w:val="00240992"/>
    <w:rsid w:val="00240CB5"/>
    <w:rsid w:val="00240D7C"/>
    <w:rsid w:val="00240DB8"/>
    <w:rsid w:val="00240E6F"/>
    <w:rsid w:val="00241207"/>
    <w:rsid w:val="00241AB5"/>
    <w:rsid w:val="00241DC8"/>
    <w:rsid w:val="00241F3F"/>
    <w:rsid w:val="002420E9"/>
    <w:rsid w:val="0024255B"/>
    <w:rsid w:val="00242681"/>
    <w:rsid w:val="002429D8"/>
    <w:rsid w:val="00242DDF"/>
    <w:rsid w:val="00242E1A"/>
    <w:rsid w:val="00243BBD"/>
    <w:rsid w:val="00243C26"/>
    <w:rsid w:val="002440A4"/>
    <w:rsid w:val="002441EF"/>
    <w:rsid w:val="002446BD"/>
    <w:rsid w:val="0024484B"/>
    <w:rsid w:val="00244A6A"/>
    <w:rsid w:val="00244D6F"/>
    <w:rsid w:val="00245504"/>
    <w:rsid w:val="00245D01"/>
    <w:rsid w:val="00245DC8"/>
    <w:rsid w:val="0024633F"/>
    <w:rsid w:val="00246679"/>
    <w:rsid w:val="00246F12"/>
    <w:rsid w:val="0024706C"/>
    <w:rsid w:val="00247653"/>
    <w:rsid w:val="002476A8"/>
    <w:rsid w:val="002477A4"/>
    <w:rsid w:val="002477B1"/>
    <w:rsid w:val="0024787F"/>
    <w:rsid w:val="00247935"/>
    <w:rsid w:val="0024796A"/>
    <w:rsid w:val="00247E7E"/>
    <w:rsid w:val="00247F27"/>
    <w:rsid w:val="00250053"/>
    <w:rsid w:val="0025031B"/>
    <w:rsid w:val="00250A56"/>
    <w:rsid w:val="00250AB8"/>
    <w:rsid w:val="00250F43"/>
    <w:rsid w:val="00251187"/>
    <w:rsid w:val="0025133B"/>
    <w:rsid w:val="00251D7A"/>
    <w:rsid w:val="00251EA8"/>
    <w:rsid w:val="0025212D"/>
    <w:rsid w:val="00252326"/>
    <w:rsid w:val="00252442"/>
    <w:rsid w:val="002525DE"/>
    <w:rsid w:val="00252693"/>
    <w:rsid w:val="00252799"/>
    <w:rsid w:val="00252EB2"/>
    <w:rsid w:val="0025348A"/>
    <w:rsid w:val="002535BD"/>
    <w:rsid w:val="002538EF"/>
    <w:rsid w:val="00253D2D"/>
    <w:rsid w:val="00254146"/>
    <w:rsid w:val="0025521F"/>
    <w:rsid w:val="00255247"/>
    <w:rsid w:val="0025526E"/>
    <w:rsid w:val="00255457"/>
    <w:rsid w:val="00255AD1"/>
    <w:rsid w:val="00255F33"/>
    <w:rsid w:val="002560F8"/>
    <w:rsid w:val="0025635F"/>
    <w:rsid w:val="002566F8"/>
    <w:rsid w:val="00256DF1"/>
    <w:rsid w:val="00256FCB"/>
    <w:rsid w:val="0025713A"/>
    <w:rsid w:val="002572D4"/>
    <w:rsid w:val="002573BE"/>
    <w:rsid w:val="0025763E"/>
    <w:rsid w:val="00257671"/>
    <w:rsid w:val="00257D80"/>
    <w:rsid w:val="002601A2"/>
    <w:rsid w:val="00260F94"/>
    <w:rsid w:val="00261144"/>
    <w:rsid w:val="00261147"/>
    <w:rsid w:val="002616BF"/>
    <w:rsid w:val="002618F8"/>
    <w:rsid w:val="0026206C"/>
    <w:rsid w:val="002623C6"/>
    <w:rsid w:val="00262888"/>
    <w:rsid w:val="002628F4"/>
    <w:rsid w:val="00262D06"/>
    <w:rsid w:val="00262E51"/>
    <w:rsid w:val="002630A9"/>
    <w:rsid w:val="0026359D"/>
    <w:rsid w:val="00263D14"/>
    <w:rsid w:val="002656EA"/>
    <w:rsid w:val="00265D7E"/>
    <w:rsid w:val="00265E10"/>
    <w:rsid w:val="00265E19"/>
    <w:rsid w:val="00265FD4"/>
    <w:rsid w:val="00266167"/>
    <w:rsid w:val="00266621"/>
    <w:rsid w:val="002666DD"/>
    <w:rsid w:val="002669F5"/>
    <w:rsid w:val="0026743D"/>
    <w:rsid w:val="00267FEA"/>
    <w:rsid w:val="0027057A"/>
    <w:rsid w:val="002706A8"/>
    <w:rsid w:val="002707DC"/>
    <w:rsid w:val="00270D33"/>
    <w:rsid w:val="002713A6"/>
    <w:rsid w:val="002713A9"/>
    <w:rsid w:val="002717F1"/>
    <w:rsid w:val="00271B0E"/>
    <w:rsid w:val="0027245D"/>
    <w:rsid w:val="002724FC"/>
    <w:rsid w:val="002725AA"/>
    <w:rsid w:val="0027286B"/>
    <w:rsid w:val="00272872"/>
    <w:rsid w:val="00272A7B"/>
    <w:rsid w:val="00272BF4"/>
    <w:rsid w:val="00272D11"/>
    <w:rsid w:val="00272F39"/>
    <w:rsid w:val="002731E7"/>
    <w:rsid w:val="00273E3E"/>
    <w:rsid w:val="002742F5"/>
    <w:rsid w:val="0027457B"/>
    <w:rsid w:val="00274624"/>
    <w:rsid w:val="002748BC"/>
    <w:rsid w:val="00274A51"/>
    <w:rsid w:val="00274E59"/>
    <w:rsid w:val="00274E7D"/>
    <w:rsid w:val="0027504D"/>
    <w:rsid w:val="002751EB"/>
    <w:rsid w:val="002753BF"/>
    <w:rsid w:val="00275540"/>
    <w:rsid w:val="00275783"/>
    <w:rsid w:val="00275847"/>
    <w:rsid w:val="0027596E"/>
    <w:rsid w:val="002759F0"/>
    <w:rsid w:val="00275ACF"/>
    <w:rsid w:val="00275CF0"/>
    <w:rsid w:val="00275D3F"/>
    <w:rsid w:val="002761DB"/>
    <w:rsid w:val="00276249"/>
    <w:rsid w:val="00276387"/>
    <w:rsid w:val="00276416"/>
    <w:rsid w:val="0027671E"/>
    <w:rsid w:val="0027687C"/>
    <w:rsid w:val="002770D5"/>
    <w:rsid w:val="002770E5"/>
    <w:rsid w:val="00277411"/>
    <w:rsid w:val="00277490"/>
    <w:rsid w:val="0027763A"/>
    <w:rsid w:val="00277640"/>
    <w:rsid w:val="0027785B"/>
    <w:rsid w:val="0027786E"/>
    <w:rsid w:val="00277C34"/>
    <w:rsid w:val="00277CCE"/>
    <w:rsid w:val="00277D14"/>
    <w:rsid w:val="00277D41"/>
    <w:rsid w:val="00280218"/>
    <w:rsid w:val="0028052C"/>
    <w:rsid w:val="00280996"/>
    <w:rsid w:val="002809B1"/>
    <w:rsid w:val="00280A56"/>
    <w:rsid w:val="00281250"/>
    <w:rsid w:val="002819F9"/>
    <w:rsid w:val="00281AAC"/>
    <w:rsid w:val="00281CED"/>
    <w:rsid w:val="002822FB"/>
    <w:rsid w:val="00282348"/>
    <w:rsid w:val="00282619"/>
    <w:rsid w:val="0028262C"/>
    <w:rsid w:val="00282871"/>
    <w:rsid w:val="0028320F"/>
    <w:rsid w:val="00283B2B"/>
    <w:rsid w:val="00283C47"/>
    <w:rsid w:val="00283DC5"/>
    <w:rsid w:val="002843FE"/>
    <w:rsid w:val="00284BA3"/>
    <w:rsid w:val="00284BFF"/>
    <w:rsid w:val="00285307"/>
    <w:rsid w:val="002853D1"/>
    <w:rsid w:val="00285555"/>
    <w:rsid w:val="002861CA"/>
    <w:rsid w:val="00286667"/>
    <w:rsid w:val="0028673E"/>
    <w:rsid w:val="00286AB9"/>
    <w:rsid w:val="00286BA7"/>
    <w:rsid w:val="00286C71"/>
    <w:rsid w:val="00286EC0"/>
    <w:rsid w:val="0028718F"/>
    <w:rsid w:val="00287348"/>
    <w:rsid w:val="002901CA"/>
    <w:rsid w:val="00290AE5"/>
    <w:rsid w:val="00290BDC"/>
    <w:rsid w:val="002913AB"/>
    <w:rsid w:val="002913E5"/>
    <w:rsid w:val="0029164A"/>
    <w:rsid w:val="0029164C"/>
    <w:rsid w:val="0029199A"/>
    <w:rsid w:val="00291E18"/>
    <w:rsid w:val="002928E3"/>
    <w:rsid w:val="00292A4A"/>
    <w:rsid w:val="00292D48"/>
    <w:rsid w:val="002933CD"/>
    <w:rsid w:val="00293B08"/>
    <w:rsid w:val="00293C25"/>
    <w:rsid w:val="00293CDA"/>
    <w:rsid w:val="00294BF5"/>
    <w:rsid w:val="00294FED"/>
    <w:rsid w:val="0029576E"/>
    <w:rsid w:val="00295961"/>
    <w:rsid w:val="0029612B"/>
    <w:rsid w:val="0029632E"/>
    <w:rsid w:val="00296467"/>
    <w:rsid w:val="00296A4E"/>
    <w:rsid w:val="00296D39"/>
    <w:rsid w:val="00296DC0"/>
    <w:rsid w:val="0029731E"/>
    <w:rsid w:val="002975C6"/>
    <w:rsid w:val="002A0068"/>
    <w:rsid w:val="002A07AF"/>
    <w:rsid w:val="002A0BF2"/>
    <w:rsid w:val="002A0F87"/>
    <w:rsid w:val="002A10A3"/>
    <w:rsid w:val="002A1792"/>
    <w:rsid w:val="002A19A2"/>
    <w:rsid w:val="002A1A9E"/>
    <w:rsid w:val="002A2116"/>
    <w:rsid w:val="002A2C67"/>
    <w:rsid w:val="002A2CA6"/>
    <w:rsid w:val="002A2D79"/>
    <w:rsid w:val="002A2F43"/>
    <w:rsid w:val="002A3017"/>
    <w:rsid w:val="002A306B"/>
    <w:rsid w:val="002A31C2"/>
    <w:rsid w:val="002A32BD"/>
    <w:rsid w:val="002A3302"/>
    <w:rsid w:val="002A338D"/>
    <w:rsid w:val="002A3710"/>
    <w:rsid w:val="002A3EF2"/>
    <w:rsid w:val="002A4378"/>
    <w:rsid w:val="002A475C"/>
    <w:rsid w:val="002A477F"/>
    <w:rsid w:val="002A484B"/>
    <w:rsid w:val="002A4850"/>
    <w:rsid w:val="002A5127"/>
    <w:rsid w:val="002A53D5"/>
    <w:rsid w:val="002A54F8"/>
    <w:rsid w:val="002A552D"/>
    <w:rsid w:val="002A5C96"/>
    <w:rsid w:val="002A5C97"/>
    <w:rsid w:val="002A5E2A"/>
    <w:rsid w:val="002A6478"/>
    <w:rsid w:val="002A69CF"/>
    <w:rsid w:val="002A6CA9"/>
    <w:rsid w:val="002A6E24"/>
    <w:rsid w:val="002A6E66"/>
    <w:rsid w:val="002A7550"/>
    <w:rsid w:val="002A76BE"/>
    <w:rsid w:val="002B03AE"/>
    <w:rsid w:val="002B0CC1"/>
    <w:rsid w:val="002B1098"/>
    <w:rsid w:val="002B1333"/>
    <w:rsid w:val="002B1478"/>
    <w:rsid w:val="002B1988"/>
    <w:rsid w:val="002B232E"/>
    <w:rsid w:val="002B2379"/>
    <w:rsid w:val="002B2555"/>
    <w:rsid w:val="002B2849"/>
    <w:rsid w:val="002B28A0"/>
    <w:rsid w:val="002B2BC5"/>
    <w:rsid w:val="002B2CCF"/>
    <w:rsid w:val="002B379E"/>
    <w:rsid w:val="002B3CA1"/>
    <w:rsid w:val="002B3EFF"/>
    <w:rsid w:val="002B4129"/>
    <w:rsid w:val="002B422A"/>
    <w:rsid w:val="002B42C0"/>
    <w:rsid w:val="002B44C6"/>
    <w:rsid w:val="002B55EC"/>
    <w:rsid w:val="002B58BC"/>
    <w:rsid w:val="002B5ADF"/>
    <w:rsid w:val="002B677D"/>
    <w:rsid w:val="002B6972"/>
    <w:rsid w:val="002B6F30"/>
    <w:rsid w:val="002B6FBC"/>
    <w:rsid w:val="002B7331"/>
    <w:rsid w:val="002B7581"/>
    <w:rsid w:val="002B7619"/>
    <w:rsid w:val="002B7699"/>
    <w:rsid w:val="002B76E0"/>
    <w:rsid w:val="002B784D"/>
    <w:rsid w:val="002B7AF7"/>
    <w:rsid w:val="002B7B1B"/>
    <w:rsid w:val="002B7BAA"/>
    <w:rsid w:val="002B7BDB"/>
    <w:rsid w:val="002B7BF9"/>
    <w:rsid w:val="002C025C"/>
    <w:rsid w:val="002C0595"/>
    <w:rsid w:val="002C091E"/>
    <w:rsid w:val="002C0B28"/>
    <w:rsid w:val="002C0EE6"/>
    <w:rsid w:val="002C1093"/>
    <w:rsid w:val="002C174A"/>
    <w:rsid w:val="002C180E"/>
    <w:rsid w:val="002C1DF6"/>
    <w:rsid w:val="002C1E96"/>
    <w:rsid w:val="002C1EC1"/>
    <w:rsid w:val="002C2162"/>
    <w:rsid w:val="002C2453"/>
    <w:rsid w:val="002C2ED8"/>
    <w:rsid w:val="002C4379"/>
    <w:rsid w:val="002C447B"/>
    <w:rsid w:val="002C45D9"/>
    <w:rsid w:val="002C4768"/>
    <w:rsid w:val="002C536F"/>
    <w:rsid w:val="002C59D3"/>
    <w:rsid w:val="002C5D26"/>
    <w:rsid w:val="002C5DDA"/>
    <w:rsid w:val="002C667C"/>
    <w:rsid w:val="002C686F"/>
    <w:rsid w:val="002C6AB8"/>
    <w:rsid w:val="002C752F"/>
    <w:rsid w:val="002C7569"/>
    <w:rsid w:val="002C7A1E"/>
    <w:rsid w:val="002D00FE"/>
    <w:rsid w:val="002D03FF"/>
    <w:rsid w:val="002D0610"/>
    <w:rsid w:val="002D0A30"/>
    <w:rsid w:val="002D1060"/>
    <w:rsid w:val="002D153A"/>
    <w:rsid w:val="002D18E5"/>
    <w:rsid w:val="002D1A68"/>
    <w:rsid w:val="002D1D29"/>
    <w:rsid w:val="002D20DC"/>
    <w:rsid w:val="002D233D"/>
    <w:rsid w:val="002D247E"/>
    <w:rsid w:val="002D25F2"/>
    <w:rsid w:val="002D2710"/>
    <w:rsid w:val="002D30AA"/>
    <w:rsid w:val="002D3769"/>
    <w:rsid w:val="002D3893"/>
    <w:rsid w:val="002D3E56"/>
    <w:rsid w:val="002D3E70"/>
    <w:rsid w:val="002D429F"/>
    <w:rsid w:val="002D436C"/>
    <w:rsid w:val="002D5054"/>
    <w:rsid w:val="002D56A6"/>
    <w:rsid w:val="002D5A4D"/>
    <w:rsid w:val="002D61AB"/>
    <w:rsid w:val="002D64A7"/>
    <w:rsid w:val="002D659D"/>
    <w:rsid w:val="002D6DA5"/>
    <w:rsid w:val="002D71F4"/>
    <w:rsid w:val="002D74BB"/>
    <w:rsid w:val="002D78EC"/>
    <w:rsid w:val="002D7AF9"/>
    <w:rsid w:val="002D7B7B"/>
    <w:rsid w:val="002D7D20"/>
    <w:rsid w:val="002E026D"/>
    <w:rsid w:val="002E0434"/>
    <w:rsid w:val="002E0E68"/>
    <w:rsid w:val="002E10C4"/>
    <w:rsid w:val="002E1506"/>
    <w:rsid w:val="002E174E"/>
    <w:rsid w:val="002E19B1"/>
    <w:rsid w:val="002E1B51"/>
    <w:rsid w:val="002E1FF7"/>
    <w:rsid w:val="002E23B8"/>
    <w:rsid w:val="002E23E1"/>
    <w:rsid w:val="002E2740"/>
    <w:rsid w:val="002E2A13"/>
    <w:rsid w:val="002E2BF7"/>
    <w:rsid w:val="002E3041"/>
    <w:rsid w:val="002E3174"/>
    <w:rsid w:val="002E3582"/>
    <w:rsid w:val="002E3B85"/>
    <w:rsid w:val="002E4D6B"/>
    <w:rsid w:val="002E4EA2"/>
    <w:rsid w:val="002E4FA3"/>
    <w:rsid w:val="002E4FE8"/>
    <w:rsid w:val="002E55E6"/>
    <w:rsid w:val="002E56C5"/>
    <w:rsid w:val="002E5709"/>
    <w:rsid w:val="002E57E6"/>
    <w:rsid w:val="002E597E"/>
    <w:rsid w:val="002E6414"/>
    <w:rsid w:val="002E66F4"/>
    <w:rsid w:val="002E6793"/>
    <w:rsid w:val="002E7009"/>
    <w:rsid w:val="002E74F6"/>
    <w:rsid w:val="002E7773"/>
    <w:rsid w:val="002E7814"/>
    <w:rsid w:val="002E7823"/>
    <w:rsid w:val="002E782B"/>
    <w:rsid w:val="002E7989"/>
    <w:rsid w:val="002E7EAF"/>
    <w:rsid w:val="002E7ECD"/>
    <w:rsid w:val="002F094B"/>
    <w:rsid w:val="002F0AD7"/>
    <w:rsid w:val="002F0EB3"/>
    <w:rsid w:val="002F0ECF"/>
    <w:rsid w:val="002F1159"/>
    <w:rsid w:val="002F1582"/>
    <w:rsid w:val="002F171F"/>
    <w:rsid w:val="002F1D5C"/>
    <w:rsid w:val="002F2052"/>
    <w:rsid w:val="002F27B2"/>
    <w:rsid w:val="002F3362"/>
    <w:rsid w:val="002F35D9"/>
    <w:rsid w:val="002F3A9A"/>
    <w:rsid w:val="002F3C12"/>
    <w:rsid w:val="002F4032"/>
    <w:rsid w:val="002F4046"/>
    <w:rsid w:val="002F4395"/>
    <w:rsid w:val="002F44AC"/>
    <w:rsid w:val="002F469A"/>
    <w:rsid w:val="002F48EF"/>
    <w:rsid w:val="002F4DD2"/>
    <w:rsid w:val="002F5482"/>
    <w:rsid w:val="002F57C7"/>
    <w:rsid w:val="002F5BC8"/>
    <w:rsid w:val="002F65CF"/>
    <w:rsid w:val="002F70DE"/>
    <w:rsid w:val="002F7298"/>
    <w:rsid w:val="002F7B1E"/>
    <w:rsid w:val="002F7CBF"/>
    <w:rsid w:val="002F7EB1"/>
    <w:rsid w:val="00300272"/>
    <w:rsid w:val="00300352"/>
    <w:rsid w:val="00300979"/>
    <w:rsid w:val="003011C5"/>
    <w:rsid w:val="003013DF"/>
    <w:rsid w:val="00301890"/>
    <w:rsid w:val="003019DD"/>
    <w:rsid w:val="00301A91"/>
    <w:rsid w:val="00302245"/>
    <w:rsid w:val="00302484"/>
    <w:rsid w:val="00302A7E"/>
    <w:rsid w:val="0030349F"/>
    <w:rsid w:val="00303573"/>
    <w:rsid w:val="003039AA"/>
    <w:rsid w:val="00303A98"/>
    <w:rsid w:val="003040E6"/>
    <w:rsid w:val="0030432A"/>
    <w:rsid w:val="003043F9"/>
    <w:rsid w:val="00304452"/>
    <w:rsid w:val="003049FC"/>
    <w:rsid w:val="00305033"/>
    <w:rsid w:val="00305044"/>
    <w:rsid w:val="003053C1"/>
    <w:rsid w:val="00305E62"/>
    <w:rsid w:val="00305FB2"/>
    <w:rsid w:val="003061CF"/>
    <w:rsid w:val="0030677E"/>
    <w:rsid w:val="003073FD"/>
    <w:rsid w:val="00307556"/>
    <w:rsid w:val="00307827"/>
    <w:rsid w:val="00307856"/>
    <w:rsid w:val="00307DF4"/>
    <w:rsid w:val="00307E5F"/>
    <w:rsid w:val="00307ECC"/>
    <w:rsid w:val="0031004D"/>
    <w:rsid w:val="003100D3"/>
    <w:rsid w:val="0031053D"/>
    <w:rsid w:val="0031058D"/>
    <w:rsid w:val="00310D5C"/>
    <w:rsid w:val="00310FC4"/>
    <w:rsid w:val="0031110D"/>
    <w:rsid w:val="0031112F"/>
    <w:rsid w:val="003115F5"/>
    <w:rsid w:val="0031191D"/>
    <w:rsid w:val="00311B3D"/>
    <w:rsid w:val="00311CB5"/>
    <w:rsid w:val="00311E2E"/>
    <w:rsid w:val="00312F28"/>
    <w:rsid w:val="00313406"/>
    <w:rsid w:val="00313540"/>
    <w:rsid w:val="00314386"/>
    <w:rsid w:val="0031508B"/>
    <w:rsid w:val="00316034"/>
    <w:rsid w:val="00316102"/>
    <w:rsid w:val="0031613F"/>
    <w:rsid w:val="00316170"/>
    <w:rsid w:val="003162EF"/>
    <w:rsid w:val="003167F1"/>
    <w:rsid w:val="00316891"/>
    <w:rsid w:val="003176B4"/>
    <w:rsid w:val="003200BA"/>
    <w:rsid w:val="0032037E"/>
    <w:rsid w:val="003205D8"/>
    <w:rsid w:val="003205EB"/>
    <w:rsid w:val="003209AB"/>
    <w:rsid w:val="00320D69"/>
    <w:rsid w:val="003214C4"/>
    <w:rsid w:val="003215B9"/>
    <w:rsid w:val="00321758"/>
    <w:rsid w:val="00321CD0"/>
    <w:rsid w:val="00322269"/>
    <w:rsid w:val="003224DE"/>
    <w:rsid w:val="00322B46"/>
    <w:rsid w:val="00322CDD"/>
    <w:rsid w:val="00322E8F"/>
    <w:rsid w:val="00322F09"/>
    <w:rsid w:val="00322FC6"/>
    <w:rsid w:val="003232A1"/>
    <w:rsid w:val="003233FB"/>
    <w:rsid w:val="00323543"/>
    <w:rsid w:val="00323AD0"/>
    <w:rsid w:val="00323B46"/>
    <w:rsid w:val="00323D69"/>
    <w:rsid w:val="00323FA6"/>
    <w:rsid w:val="003243FA"/>
    <w:rsid w:val="0032447D"/>
    <w:rsid w:val="003249C8"/>
    <w:rsid w:val="00324C4F"/>
    <w:rsid w:val="00324D2A"/>
    <w:rsid w:val="00324DC7"/>
    <w:rsid w:val="00325191"/>
    <w:rsid w:val="003251AD"/>
    <w:rsid w:val="0032547C"/>
    <w:rsid w:val="0032572B"/>
    <w:rsid w:val="00325AA4"/>
    <w:rsid w:val="00325AAF"/>
    <w:rsid w:val="00325F1E"/>
    <w:rsid w:val="00326143"/>
    <w:rsid w:val="00326340"/>
    <w:rsid w:val="00326484"/>
    <w:rsid w:val="003266AE"/>
    <w:rsid w:val="0032672A"/>
    <w:rsid w:val="003267F3"/>
    <w:rsid w:val="00326CBE"/>
    <w:rsid w:val="0033004F"/>
    <w:rsid w:val="00330616"/>
    <w:rsid w:val="00330694"/>
    <w:rsid w:val="00330B61"/>
    <w:rsid w:val="00330D11"/>
    <w:rsid w:val="00330F14"/>
    <w:rsid w:val="00331957"/>
    <w:rsid w:val="00332633"/>
    <w:rsid w:val="003329DA"/>
    <w:rsid w:val="00332F1A"/>
    <w:rsid w:val="003334BD"/>
    <w:rsid w:val="003335D8"/>
    <w:rsid w:val="003337CB"/>
    <w:rsid w:val="00333954"/>
    <w:rsid w:val="0033404C"/>
    <w:rsid w:val="003341BF"/>
    <w:rsid w:val="003345CB"/>
    <w:rsid w:val="00334648"/>
    <w:rsid w:val="003347B7"/>
    <w:rsid w:val="003347CD"/>
    <w:rsid w:val="003348D5"/>
    <w:rsid w:val="00334952"/>
    <w:rsid w:val="00334D59"/>
    <w:rsid w:val="00334E5A"/>
    <w:rsid w:val="00334EBA"/>
    <w:rsid w:val="00335746"/>
    <w:rsid w:val="00335B9A"/>
    <w:rsid w:val="00335CC0"/>
    <w:rsid w:val="00336494"/>
    <w:rsid w:val="00336AD0"/>
    <w:rsid w:val="00337025"/>
    <w:rsid w:val="00337231"/>
    <w:rsid w:val="003376B9"/>
    <w:rsid w:val="00337801"/>
    <w:rsid w:val="003378B1"/>
    <w:rsid w:val="003401C8"/>
    <w:rsid w:val="00340325"/>
    <w:rsid w:val="003406F1"/>
    <w:rsid w:val="00340E7F"/>
    <w:rsid w:val="00341B3C"/>
    <w:rsid w:val="00341D70"/>
    <w:rsid w:val="00341DA8"/>
    <w:rsid w:val="003421A9"/>
    <w:rsid w:val="003422F1"/>
    <w:rsid w:val="00343130"/>
    <w:rsid w:val="00343224"/>
    <w:rsid w:val="00343465"/>
    <w:rsid w:val="0034348F"/>
    <w:rsid w:val="003435C9"/>
    <w:rsid w:val="00343EBA"/>
    <w:rsid w:val="00344234"/>
    <w:rsid w:val="003442E1"/>
    <w:rsid w:val="00344834"/>
    <w:rsid w:val="003449F7"/>
    <w:rsid w:val="00344FBD"/>
    <w:rsid w:val="003451AF"/>
    <w:rsid w:val="003451F3"/>
    <w:rsid w:val="0034522C"/>
    <w:rsid w:val="003454E9"/>
    <w:rsid w:val="0034584A"/>
    <w:rsid w:val="00345C5F"/>
    <w:rsid w:val="00345DA2"/>
    <w:rsid w:val="003460EB"/>
    <w:rsid w:val="0034646E"/>
    <w:rsid w:val="003466AA"/>
    <w:rsid w:val="003467B7"/>
    <w:rsid w:val="003467CA"/>
    <w:rsid w:val="00346850"/>
    <w:rsid w:val="0034688B"/>
    <w:rsid w:val="00346A73"/>
    <w:rsid w:val="00346F9C"/>
    <w:rsid w:val="003472C6"/>
    <w:rsid w:val="003476AB"/>
    <w:rsid w:val="003477C8"/>
    <w:rsid w:val="003479A1"/>
    <w:rsid w:val="00350193"/>
    <w:rsid w:val="00350354"/>
    <w:rsid w:val="00350BB9"/>
    <w:rsid w:val="00350CD4"/>
    <w:rsid w:val="003510F5"/>
    <w:rsid w:val="00351609"/>
    <w:rsid w:val="003517C8"/>
    <w:rsid w:val="00351968"/>
    <w:rsid w:val="00351CC8"/>
    <w:rsid w:val="00351D3F"/>
    <w:rsid w:val="0035211F"/>
    <w:rsid w:val="0035223D"/>
    <w:rsid w:val="003524B9"/>
    <w:rsid w:val="00352751"/>
    <w:rsid w:val="0035282A"/>
    <w:rsid w:val="00352C2D"/>
    <w:rsid w:val="00352E30"/>
    <w:rsid w:val="00352E82"/>
    <w:rsid w:val="00352ED4"/>
    <w:rsid w:val="00352F93"/>
    <w:rsid w:val="0035332C"/>
    <w:rsid w:val="003537F5"/>
    <w:rsid w:val="00353A12"/>
    <w:rsid w:val="00353ACA"/>
    <w:rsid w:val="00353DD8"/>
    <w:rsid w:val="00353E4B"/>
    <w:rsid w:val="00353E7C"/>
    <w:rsid w:val="00354197"/>
    <w:rsid w:val="003542F0"/>
    <w:rsid w:val="00354336"/>
    <w:rsid w:val="0035449B"/>
    <w:rsid w:val="003546F9"/>
    <w:rsid w:val="00354742"/>
    <w:rsid w:val="00354A45"/>
    <w:rsid w:val="00354BAF"/>
    <w:rsid w:val="003554F9"/>
    <w:rsid w:val="00355C43"/>
    <w:rsid w:val="00355D63"/>
    <w:rsid w:val="00355FDF"/>
    <w:rsid w:val="003560B9"/>
    <w:rsid w:val="003561D8"/>
    <w:rsid w:val="003564DE"/>
    <w:rsid w:val="003566A9"/>
    <w:rsid w:val="0035678B"/>
    <w:rsid w:val="00356C3C"/>
    <w:rsid w:val="003573D8"/>
    <w:rsid w:val="00357467"/>
    <w:rsid w:val="00357718"/>
    <w:rsid w:val="003577AE"/>
    <w:rsid w:val="003577FB"/>
    <w:rsid w:val="00357B6F"/>
    <w:rsid w:val="00357E64"/>
    <w:rsid w:val="0036008F"/>
    <w:rsid w:val="003606A4"/>
    <w:rsid w:val="00360944"/>
    <w:rsid w:val="00360AA0"/>
    <w:rsid w:val="0036102F"/>
    <w:rsid w:val="003624BC"/>
    <w:rsid w:val="00363429"/>
    <w:rsid w:val="0036371B"/>
    <w:rsid w:val="00364416"/>
    <w:rsid w:val="003646A1"/>
    <w:rsid w:val="003648B1"/>
    <w:rsid w:val="00364C95"/>
    <w:rsid w:val="00364D3B"/>
    <w:rsid w:val="00364FE0"/>
    <w:rsid w:val="00365583"/>
    <w:rsid w:val="00365A7B"/>
    <w:rsid w:val="0036617C"/>
    <w:rsid w:val="00366469"/>
    <w:rsid w:val="003664CF"/>
    <w:rsid w:val="00366D75"/>
    <w:rsid w:val="00366E77"/>
    <w:rsid w:val="00366FFE"/>
    <w:rsid w:val="003672A5"/>
    <w:rsid w:val="00367816"/>
    <w:rsid w:val="00367889"/>
    <w:rsid w:val="00367983"/>
    <w:rsid w:val="003679AC"/>
    <w:rsid w:val="00367A55"/>
    <w:rsid w:val="00367C50"/>
    <w:rsid w:val="00367E33"/>
    <w:rsid w:val="003700C2"/>
    <w:rsid w:val="003701F8"/>
    <w:rsid w:val="00370D6A"/>
    <w:rsid w:val="0037133E"/>
    <w:rsid w:val="0037175C"/>
    <w:rsid w:val="003717A4"/>
    <w:rsid w:val="00371B13"/>
    <w:rsid w:val="00371BF6"/>
    <w:rsid w:val="00371C0E"/>
    <w:rsid w:val="00371CC0"/>
    <w:rsid w:val="003720A8"/>
    <w:rsid w:val="003721B4"/>
    <w:rsid w:val="003721E5"/>
    <w:rsid w:val="00372984"/>
    <w:rsid w:val="00373281"/>
    <w:rsid w:val="00373310"/>
    <w:rsid w:val="00373314"/>
    <w:rsid w:val="0037379B"/>
    <w:rsid w:val="003739AD"/>
    <w:rsid w:val="00373A52"/>
    <w:rsid w:val="00373EC2"/>
    <w:rsid w:val="00373F95"/>
    <w:rsid w:val="00374027"/>
    <w:rsid w:val="0037411A"/>
    <w:rsid w:val="0037514F"/>
    <w:rsid w:val="0037585F"/>
    <w:rsid w:val="00375B26"/>
    <w:rsid w:val="00375DB1"/>
    <w:rsid w:val="00375DE7"/>
    <w:rsid w:val="00375E79"/>
    <w:rsid w:val="00376715"/>
    <w:rsid w:val="0037673C"/>
    <w:rsid w:val="003767CC"/>
    <w:rsid w:val="00376A9C"/>
    <w:rsid w:val="00376DD1"/>
    <w:rsid w:val="00376F9F"/>
    <w:rsid w:val="0037710A"/>
    <w:rsid w:val="003771A7"/>
    <w:rsid w:val="00377788"/>
    <w:rsid w:val="00377B90"/>
    <w:rsid w:val="00377CAD"/>
    <w:rsid w:val="00377E29"/>
    <w:rsid w:val="0038006B"/>
    <w:rsid w:val="00380270"/>
    <w:rsid w:val="00380474"/>
    <w:rsid w:val="00380BDD"/>
    <w:rsid w:val="00381280"/>
    <w:rsid w:val="003819F2"/>
    <w:rsid w:val="00381AF0"/>
    <w:rsid w:val="00381B59"/>
    <w:rsid w:val="00381C80"/>
    <w:rsid w:val="0038308D"/>
    <w:rsid w:val="0038311F"/>
    <w:rsid w:val="00383381"/>
    <w:rsid w:val="00383462"/>
    <w:rsid w:val="003836CC"/>
    <w:rsid w:val="00383E60"/>
    <w:rsid w:val="00384277"/>
    <w:rsid w:val="00384700"/>
    <w:rsid w:val="003849B2"/>
    <w:rsid w:val="003850E5"/>
    <w:rsid w:val="003858A3"/>
    <w:rsid w:val="00385A7F"/>
    <w:rsid w:val="00385E1A"/>
    <w:rsid w:val="003865AA"/>
    <w:rsid w:val="00386608"/>
    <w:rsid w:val="00386769"/>
    <w:rsid w:val="003869BE"/>
    <w:rsid w:val="00387493"/>
    <w:rsid w:val="00387992"/>
    <w:rsid w:val="00387FCA"/>
    <w:rsid w:val="003900BC"/>
    <w:rsid w:val="0039066E"/>
    <w:rsid w:val="003908AB"/>
    <w:rsid w:val="00390DE4"/>
    <w:rsid w:val="00391518"/>
    <w:rsid w:val="0039183D"/>
    <w:rsid w:val="00391A08"/>
    <w:rsid w:val="00391CC6"/>
    <w:rsid w:val="00392059"/>
    <w:rsid w:val="003921AC"/>
    <w:rsid w:val="0039228A"/>
    <w:rsid w:val="00392FFA"/>
    <w:rsid w:val="003930C2"/>
    <w:rsid w:val="00393251"/>
    <w:rsid w:val="00393603"/>
    <w:rsid w:val="003936F8"/>
    <w:rsid w:val="00393A4A"/>
    <w:rsid w:val="00393E28"/>
    <w:rsid w:val="00393F23"/>
    <w:rsid w:val="00394027"/>
    <w:rsid w:val="003943C7"/>
    <w:rsid w:val="00394511"/>
    <w:rsid w:val="003945B7"/>
    <w:rsid w:val="00394701"/>
    <w:rsid w:val="00394E39"/>
    <w:rsid w:val="00394EE6"/>
    <w:rsid w:val="00394F06"/>
    <w:rsid w:val="00395364"/>
    <w:rsid w:val="00395731"/>
    <w:rsid w:val="003957BC"/>
    <w:rsid w:val="00395E53"/>
    <w:rsid w:val="00395FEA"/>
    <w:rsid w:val="0039617C"/>
    <w:rsid w:val="0039632D"/>
    <w:rsid w:val="003965BA"/>
    <w:rsid w:val="00396668"/>
    <w:rsid w:val="00396817"/>
    <w:rsid w:val="00396873"/>
    <w:rsid w:val="003968CE"/>
    <w:rsid w:val="0039709D"/>
    <w:rsid w:val="003971AF"/>
    <w:rsid w:val="003973F8"/>
    <w:rsid w:val="0039770C"/>
    <w:rsid w:val="00397C13"/>
    <w:rsid w:val="00397EB1"/>
    <w:rsid w:val="003A02D9"/>
    <w:rsid w:val="003A0447"/>
    <w:rsid w:val="003A053E"/>
    <w:rsid w:val="003A084C"/>
    <w:rsid w:val="003A1014"/>
    <w:rsid w:val="003A16FA"/>
    <w:rsid w:val="003A1B56"/>
    <w:rsid w:val="003A1C8B"/>
    <w:rsid w:val="003A2ED5"/>
    <w:rsid w:val="003A3818"/>
    <w:rsid w:val="003A3A01"/>
    <w:rsid w:val="003A3B21"/>
    <w:rsid w:val="003A3B30"/>
    <w:rsid w:val="003A40FB"/>
    <w:rsid w:val="003A427B"/>
    <w:rsid w:val="003A430D"/>
    <w:rsid w:val="003A4780"/>
    <w:rsid w:val="003A4DD2"/>
    <w:rsid w:val="003A4FD6"/>
    <w:rsid w:val="003A5107"/>
    <w:rsid w:val="003A5E6A"/>
    <w:rsid w:val="003A61BE"/>
    <w:rsid w:val="003A655A"/>
    <w:rsid w:val="003A6610"/>
    <w:rsid w:val="003A6C9D"/>
    <w:rsid w:val="003A70CE"/>
    <w:rsid w:val="003A74B6"/>
    <w:rsid w:val="003A7A89"/>
    <w:rsid w:val="003A7CE0"/>
    <w:rsid w:val="003B09C2"/>
    <w:rsid w:val="003B1306"/>
    <w:rsid w:val="003B13D2"/>
    <w:rsid w:val="003B1507"/>
    <w:rsid w:val="003B171C"/>
    <w:rsid w:val="003B1C07"/>
    <w:rsid w:val="003B240B"/>
    <w:rsid w:val="003B2491"/>
    <w:rsid w:val="003B27C6"/>
    <w:rsid w:val="003B300B"/>
    <w:rsid w:val="003B32BC"/>
    <w:rsid w:val="003B34A7"/>
    <w:rsid w:val="003B38D8"/>
    <w:rsid w:val="003B3D0C"/>
    <w:rsid w:val="003B44F5"/>
    <w:rsid w:val="003B4793"/>
    <w:rsid w:val="003B491E"/>
    <w:rsid w:val="003B4A06"/>
    <w:rsid w:val="003B4AC5"/>
    <w:rsid w:val="003B4B5D"/>
    <w:rsid w:val="003B4F1F"/>
    <w:rsid w:val="003B504F"/>
    <w:rsid w:val="003B5429"/>
    <w:rsid w:val="003B5F40"/>
    <w:rsid w:val="003B6107"/>
    <w:rsid w:val="003B6127"/>
    <w:rsid w:val="003B6528"/>
    <w:rsid w:val="003B673A"/>
    <w:rsid w:val="003B68CB"/>
    <w:rsid w:val="003B6E83"/>
    <w:rsid w:val="003B6E85"/>
    <w:rsid w:val="003B7443"/>
    <w:rsid w:val="003B750C"/>
    <w:rsid w:val="003B7622"/>
    <w:rsid w:val="003B7760"/>
    <w:rsid w:val="003B78E1"/>
    <w:rsid w:val="003B7B5A"/>
    <w:rsid w:val="003B7D9B"/>
    <w:rsid w:val="003B7F65"/>
    <w:rsid w:val="003C05AB"/>
    <w:rsid w:val="003C086B"/>
    <w:rsid w:val="003C099C"/>
    <w:rsid w:val="003C0A07"/>
    <w:rsid w:val="003C0A1E"/>
    <w:rsid w:val="003C0CB3"/>
    <w:rsid w:val="003C1057"/>
    <w:rsid w:val="003C10F9"/>
    <w:rsid w:val="003C13A0"/>
    <w:rsid w:val="003C1F77"/>
    <w:rsid w:val="003C2B18"/>
    <w:rsid w:val="003C2D8A"/>
    <w:rsid w:val="003C3203"/>
    <w:rsid w:val="003C37D2"/>
    <w:rsid w:val="003C3A11"/>
    <w:rsid w:val="003C3AA9"/>
    <w:rsid w:val="003C3AFD"/>
    <w:rsid w:val="003C3B29"/>
    <w:rsid w:val="003C3B30"/>
    <w:rsid w:val="003C3E2A"/>
    <w:rsid w:val="003C4723"/>
    <w:rsid w:val="003C4C1F"/>
    <w:rsid w:val="003C5509"/>
    <w:rsid w:val="003C5809"/>
    <w:rsid w:val="003C590F"/>
    <w:rsid w:val="003C5F6C"/>
    <w:rsid w:val="003C6257"/>
    <w:rsid w:val="003C69B6"/>
    <w:rsid w:val="003C6A78"/>
    <w:rsid w:val="003C6B5E"/>
    <w:rsid w:val="003C6C2C"/>
    <w:rsid w:val="003C6CF7"/>
    <w:rsid w:val="003C6E04"/>
    <w:rsid w:val="003C7286"/>
    <w:rsid w:val="003C745C"/>
    <w:rsid w:val="003C7513"/>
    <w:rsid w:val="003C76BC"/>
    <w:rsid w:val="003C7C85"/>
    <w:rsid w:val="003C7E25"/>
    <w:rsid w:val="003D0078"/>
    <w:rsid w:val="003D0363"/>
    <w:rsid w:val="003D03AE"/>
    <w:rsid w:val="003D0608"/>
    <w:rsid w:val="003D0713"/>
    <w:rsid w:val="003D0AE4"/>
    <w:rsid w:val="003D0BAC"/>
    <w:rsid w:val="003D16BD"/>
    <w:rsid w:val="003D19BB"/>
    <w:rsid w:val="003D1DAA"/>
    <w:rsid w:val="003D20AA"/>
    <w:rsid w:val="003D2F5A"/>
    <w:rsid w:val="003D2FC2"/>
    <w:rsid w:val="003D3268"/>
    <w:rsid w:val="003D33C7"/>
    <w:rsid w:val="003D3506"/>
    <w:rsid w:val="003D3512"/>
    <w:rsid w:val="003D3530"/>
    <w:rsid w:val="003D38AC"/>
    <w:rsid w:val="003D3BA6"/>
    <w:rsid w:val="003D3F03"/>
    <w:rsid w:val="003D40DA"/>
    <w:rsid w:val="003D43FE"/>
    <w:rsid w:val="003D49F5"/>
    <w:rsid w:val="003D4C92"/>
    <w:rsid w:val="003D5037"/>
    <w:rsid w:val="003D5896"/>
    <w:rsid w:val="003D5984"/>
    <w:rsid w:val="003D5C06"/>
    <w:rsid w:val="003D5EF5"/>
    <w:rsid w:val="003D61C2"/>
    <w:rsid w:val="003D6771"/>
    <w:rsid w:val="003D6BE0"/>
    <w:rsid w:val="003D7041"/>
    <w:rsid w:val="003D72B4"/>
    <w:rsid w:val="003D7336"/>
    <w:rsid w:val="003D7D84"/>
    <w:rsid w:val="003E002D"/>
    <w:rsid w:val="003E0149"/>
    <w:rsid w:val="003E0688"/>
    <w:rsid w:val="003E06F1"/>
    <w:rsid w:val="003E082E"/>
    <w:rsid w:val="003E0D4E"/>
    <w:rsid w:val="003E1803"/>
    <w:rsid w:val="003E19CE"/>
    <w:rsid w:val="003E1A05"/>
    <w:rsid w:val="003E1EE4"/>
    <w:rsid w:val="003E1F30"/>
    <w:rsid w:val="003E2588"/>
    <w:rsid w:val="003E2880"/>
    <w:rsid w:val="003E290B"/>
    <w:rsid w:val="003E2D73"/>
    <w:rsid w:val="003E2F30"/>
    <w:rsid w:val="003E2F9E"/>
    <w:rsid w:val="003E360C"/>
    <w:rsid w:val="003E3631"/>
    <w:rsid w:val="003E39E2"/>
    <w:rsid w:val="003E3A76"/>
    <w:rsid w:val="003E3B59"/>
    <w:rsid w:val="003E3CC5"/>
    <w:rsid w:val="003E49C9"/>
    <w:rsid w:val="003E4B1C"/>
    <w:rsid w:val="003E4CC6"/>
    <w:rsid w:val="003E52AD"/>
    <w:rsid w:val="003E6F25"/>
    <w:rsid w:val="003E71C0"/>
    <w:rsid w:val="003E766B"/>
    <w:rsid w:val="003E7889"/>
    <w:rsid w:val="003E7EC1"/>
    <w:rsid w:val="003F0A98"/>
    <w:rsid w:val="003F130C"/>
    <w:rsid w:val="003F1631"/>
    <w:rsid w:val="003F1765"/>
    <w:rsid w:val="003F1AB7"/>
    <w:rsid w:val="003F1DE3"/>
    <w:rsid w:val="003F20A1"/>
    <w:rsid w:val="003F21D7"/>
    <w:rsid w:val="003F2935"/>
    <w:rsid w:val="003F2D46"/>
    <w:rsid w:val="003F2EC6"/>
    <w:rsid w:val="003F32B9"/>
    <w:rsid w:val="003F3357"/>
    <w:rsid w:val="003F3749"/>
    <w:rsid w:val="003F3CF0"/>
    <w:rsid w:val="003F40CD"/>
    <w:rsid w:val="003F48B9"/>
    <w:rsid w:val="003F490D"/>
    <w:rsid w:val="003F4C70"/>
    <w:rsid w:val="003F5523"/>
    <w:rsid w:val="003F5819"/>
    <w:rsid w:val="003F5BD5"/>
    <w:rsid w:val="003F5C81"/>
    <w:rsid w:val="003F5CD4"/>
    <w:rsid w:val="003F65D0"/>
    <w:rsid w:val="003F6661"/>
    <w:rsid w:val="003F6FDC"/>
    <w:rsid w:val="003F716C"/>
    <w:rsid w:val="003F775D"/>
    <w:rsid w:val="003F78B4"/>
    <w:rsid w:val="003F7A5E"/>
    <w:rsid w:val="003F7C21"/>
    <w:rsid w:val="003F7D7A"/>
    <w:rsid w:val="003F7F2D"/>
    <w:rsid w:val="004001B3"/>
    <w:rsid w:val="0040090A"/>
    <w:rsid w:val="00401383"/>
    <w:rsid w:val="0040141C"/>
    <w:rsid w:val="00401500"/>
    <w:rsid w:val="004017E6"/>
    <w:rsid w:val="00401B22"/>
    <w:rsid w:val="00401BAB"/>
    <w:rsid w:val="00402E60"/>
    <w:rsid w:val="00403237"/>
    <w:rsid w:val="004035EA"/>
    <w:rsid w:val="00403A27"/>
    <w:rsid w:val="00403B35"/>
    <w:rsid w:val="00403C0B"/>
    <w:rsid w:val="00404117"/>
    <w:rsid w:val="004041FF"/>
    <w:rsid w:val="004049EC"/>
    <w:rsid w:val="00404C06"/>
    <w:rsid w:val="00404CF4"/>
    <w:rsid w:val="00404DF3"/>
    <w:rsid w:val="00405153"/>
    <w:rsid w:val="0040524F"/>
    <w:rsid w:val="00405BD0"/>
    <w:rsid w:val="00405DF9"/>
    <w:rsid w:val="00405E6F"/>
    <w:rsid w:val="00405FC0"/>
    <w:rsid w:val="00406954"/>
    <w:rsid w:val="00406B77"/>
    <w:rsid w:val="00406C45"/>
    <w:rsid w:val="00406D26"/>
    <w:rsid w:val="004070F4"/>
    <w:rsid w:val="004072FC"/>
    <w:rsid w:val="004078E2"/>
    <w:rsid w:val="00407AAB"/>
    <w:rsid w:val="00407DFD"/>
    <w:rsid w:val="00407E8E"/>
    <w:rsid w:val="00407F04"/>
    <w:rsid w:val="00407FC2"/>
    <w:rsid w:val="004100EE"/>
    <w:rsid w:val="004101B9"/>
    <w:rsid w:val="00410CE9"/>
    <w:rsid w:val="00410E11"/>
    <w:rsid w:val="00411176"/>
    <w:rsid w:val="00411771"/>
    <w:rsid w:val="004127E2"/>
    <w:rsid w:val="00412A45"/>
    <w:rsid w:val="00412E0A"/>
    <w:rsid w:val="00412E29"/>
    <w:rsid w:val="00412F03"/>
    <w:rsid w:val="004132E0"/>
    <w:rsid w:val="00413513"/>
    <w:rsid w:val="00413565"/>
    <w:rsid w:val="00413730"/>
    <w:rsid w:val="00413B42"/>
    <w:rsid w:val="00413BE0"/>
    <w:rsid w:val="00414133"/>
    <w:rsid w:val="00414328"/>
    <w:rsid w:val="00414389"/>
    <w:rsid w:val="0041474A"/>
    <w:rsid w:val="004147A1"/>
    <w:rsid w:val="00414E6F"/>
    <w:rsid w:val="00414E86"/>
    <w:rsid w:val="00415094"/>
    <w:rsid w:val="0041543B"/>
    <w:rsid w:val="0041552D"/>
    <w:rsid w:val="0041558D"/>
    <w:rsid w:val="00415A27"/>
    <w:rsid w:val="00415D76"/>
    <w:rsid w:val="00415D8D"/>
    <w:rsid w:val="00415DC6"/>
    <w:rsid w:val="00415F7F"/>
    <w:rsid w:val="0041657F"/>
    <w:rsid w:val="00416794"/>
    <w:rsid w:val="004167E2"/>
    <w:rsid w:val="00416F46"/>
    <w:rsid w:val="00417017"/>
    <w:rsid w:val="00417144"/>
    <w:rsid w:val="004173C1"/>
    <w:rsid w:val="0041740B"/>
    <w:rsid w:val="004177C0"/>
    <w:rsid w:val="004179CC"/>
    <w:rsid w:val="00417CCD"/>
    <w:rsid w:val="0042011D"/>
    <w:rsid w:val="004201C4"/>
    <w:rsid w:val="004201EB"/>
    <w:rsid w:val="0042043C"/>
    <w:rsid w:val="00420FE3"/>
    <w:rsid w:val="004210D2"/>
    <w:rsid w:val="00421558"/>
    <w:rsid w:val="00421795"/>
    <w:rsid w:val="0042189D"/>
    <w:rsid w:val="00421DBF"/>
    <w:rsid w:val="0042232C"/>
    <w:rsid w:val="004224FE"/>
    <w:rsid w:val="0042262B"/>
    <w:rsid w:val="004227F7"/>
    <w:rsid w:val="00422861"/>
    <w:rsid w:val="00422C2E"/>
    <w:rsid w:val="00422EE8"/>
    <w:rsid w:val="00423218"/>
    <w:rsid w:val="004237AA"/>
    <w:rsid w:val="0042398B"/>
    <w:rsid w:val="004239F8"/>
    <w:rsid w:val="00423BA5"/>
    <w:rsid w:val="00424D10"/>
    <w:rsid w:val="00424F7E"/>
    <w:rsid w:val="0042502F"/>
    <w:rsid w:val="0042527E"/>
    <w:rsid w:val="004252A4"/>
    <w:rsid w:val="00425322"/>
    <w:rsid w:val="0042539F"/>
    <w:rsid w:val="0042554A"/>
    <w:rsid w:val="00425591"/>
    <w:rsid w:val="004258A7"/>
    <w:rsid w:val="004261B5"/>
    <w:rsid w:val="00426498"/>
    <w:rsid w:val="00426AF5"/>
    <w:rsid w:val="00426D78"/>
    <w:rsid w:val="004274CE"/>
    <w:rsid w:val="004276EB"/>
    <w:rsid w:val="00427BB5"/>
    <w:rsid w:val="00427D40"/>
    <w:rsid w:val="00427E77"/>
    <w:rsid w:val="004305F0"/>
    <w:rsid w:val="00430783"/>
    <w:rsid w:val="00430880"/>
    <w:rsid w:val="004308D1"/>
    <w:rsid w:val="00430CF8"/>
    <w:rsid w:val="00430CFC"/>
    <w:rsid w:val="00430ED8"/>
    <w:rsid w:val="0043148A"/>
    <w:rsid w:val="0043192F"/>
    <w:rsid w:val="00431A02"/>
    <w:rsid w:val="00431D00"/>
    <w:rsid w:val="00432526"/>
    <w:rsid w:val="0043254C"/>
    <w:rsid w:val="004327F2"/>
    <w:rsid w:val="0043283B"/>
    <w:rsid w:val="00433711"/>
    <w:rsid w:val="0043389B"/>
    <w:rsid w:val="00433DCC"/>
    <w:rsid w:val="004342BD"/>
    <w:rsid w:val="004344C2"/>
    <w:rsid w:val="0043451F"/>
    <w:rsid w:val="00434574"/>
    <w:rsid w:val="004347DD"/>
    <w:rsid w:val="004347DF"/>
    <w:rsid w:val="0043492D"/>
    <w:rsid w:val="00434950"/>
    <w:rsid w:val="00434AF2"/>
    <w:rsid w:val="004356EE"/>
    <w:rsid w:val="00435891"/>
    <w:rsid w:val="004359A3"/>
    <w:rsid w:val="00435BAE"/>
    <w:rsid w:val="00435D1E"/>
    <w:rsid w:val="00436142"/>
    <w:rsid w:val="0043618E"/>
    <w:rsid w:val="00437267"/>
    <w:rsid w:val="004373CC"/>
    <w:rsid w:val="004375C9"/>
    <w:rsid w:val="00437837"/>
    <w:rsid w:val="0043791D"/>
    <w:rsid w:val="00437930"/>
    <w:rsid w:val="00437CE8"/>
    <w:rsid w:val="00440997"/>
    <w:rsid w:val="00440FC8"/>
    <w:rsid w:val="00441190"/>
    <w:rsid w:val="00441289"/>
    <w:rsid w:val="004413CB"/>
    <w:rsid w:val="00441B63"/>
    <w:rsid w:val="00441D35"/>
    <w:rsid w:val="004420B1"/>
    <w:rsid w:val="0044221D"/>
    <w:rsid w:val="0044258D"/>
    <w:rsid w:val="00442D10"/>
    <w:rsid w:val="00443074"/>
    <w:rsid w:val="00443284"/>
    <w:rsid w:val="004433DA"/>
    <w:rsid w:val="004434F6"/>
    <w:rsid w:val="004435A4"/>
    <w:rsid w:val="004435D3"/>
    <w:rsid w:val="0044394C"/>
    <w:rsid w:val="004439A6"/>
    <w:rsid w:val="00443B8B"/>
    <w:rsid w:val="00443BF4"/>
    <w:rsid w:val="00443DDC"/>
    <w:rsid w:val="00443FEF"/>
    <w:rsid w:val="004441CE"/>
    <w:rsid w:val="0044453C"/>
    <w:rsid w:val="004448ED"/>
    <w:rsid w:val="00444DEC"/>
    <w:rsid w:val="00444FDD"/>
    <w:rsid w:val="0044587C"/>
    <w:rsid w:val="004459D6"/>
    <w:rsid w:val="00445D37"/>
    <w:rsid w:val="0044682B"/>
    <w:rsid w:val="00446DBA"/>
    <w:rsid w:val="0044744A"/>
    <w:rsid w:val="00447630"/>
    <w:rsid w:val="004479AE"/>
    <w:rsid w:val="00447B49"/>
    <w:rsid w:val="00447D23"/>
    <w:rsid w:val="00450234"/>
    <w:rsid w:val="00450290"/>
    <w:rsid w:val="00450AEB"/>
    <w:rsid w:val="00450B7A"/>
    <w:rsid w:val="0045106F"/>
    <w:rsid w:val="00451A88"/>
    <w:rsid w:val="00451D55"/>
    <w:rsid w:val="00452359"/>
    <w:rsid w:val="004524B1"/>
    <w:rsid w:val="0045279D"/>
    <w:rsid w:val="0045283E"/>
    <w:rsid w:val="00453026"/>
    <w:rsid w:val="00453623"/>
    <w:rsid w:val="0045399E"/>
    <w:rsid w:val="00453AAA"/>
    <w:rsid w:val="00453F81"/>
    <w:rsid w:val="00454271"/>
    <w:rsid w:val="004545EB"/>
    <w:rsid w:val="004547EE"/>
    <w:rsid w:val="00454C98"/>
    <w:rsid w:val="004555B6"/>
    <w:rsid w:val="004558CB"/>
    <w:rsid w:val="004559B9"/>
    <w:rsid w:val="00455A8C"/>
    <w:rsid w:val="004560E0"/>
    <w:rsid w:val="004560FE"/>
    <w:rsid w:val="00456502"/>
    <w:rsid w:val="00456797"/>
    <w:rsid w:val="004569BA"/>
    <w:rsid w:val="0045714C"/>
    <w:rsid w:val="00457547"/>
    <w:rsid w:val="0045786F"/>
    <w:rsid w:val="00457A3E"/>
    <w:rsid w:val="004601A0"/>
    <w:rsid w:val="00460314"/>
    <w:rsid w:val="00460870"/>
    <w:rsid w:val="00461AB5"/>
    <w:rsid w:val="00461F97"/>
    <w:rsid w:val="00462139"/>
    <w:rsid w:val="00462240"/>
    <w:rsid w:val="004623F7"/>
    <w:rsid w:val="00462BAF"/>
    <w:rsid w:val="00462D6C"/>
    <w:rsid w:val="00462FA3"/>
    <w:rsid w:val="0046305F"/>
    <w:rsid w:val="0046355E"/>
    <w:rsid w:val="004635E9"/>
    <w:rsid w:val="0046361D"/>
    <w:rsid w:val="004638A5"/>
    <w:rsid w:val="00463B22"/>
    <w:rsid w:val="00463DEC"/>
    <w:rsid w:val="00463FFE"/>
    <w:rsid w:val="004641E2"/>
    <w:rsid w:val="004645B9"/>
    <w:rsid w:val="00464632"/>
    <w:rsid w:val="00464727"/>
    <w:rsid w:val="00464AC7"/>
    <w:rsid w:val="00464F3B"/>
    <w:rsid w:val="00465288"/>
    <w:rsid w:val="00465554"/>
    <w:rsid w:val="00465B45"/>
    <w:rsid w:val="00465C02"/>
    <w:rsid w:val="00465D50"/>
    <w:rsid w:val="00466210"/>
    <w:rsid w:val="004663C3"/>
    <w:rsid w:val="004664AC"/>
    <w:rsid w:val="00466600"/>
    <w:rsid w:val="004667F6"/>
    <w:rsid w:val="00466B71"/>
    <w:rsid w:val="00466D5B"/>
    <w:rsid w:val="00467BBB"/>
    <w:rsid w:val="00470076"/>
    <w:rsid w:val="00470756"/>
    <w:rsid w:val="00470A40"/>
    <w:rsid w:val="00470F1E"/>
    <w:rsid w:val="00470FDD"/>
    <w:rsid w:val="00471ACB"/>
    <w:rsid w:val="004722F7"/>
    <w:rsid w:val="0047250A"/>
    <w:rsid w:val="004726DF"/>
    <w:rsid w:val="00472C63"/>
    <w:rsid w:val="00472CA0"/>
    <w:rsid w:val="00472E6F"/>
    <w:rsid w:val="00472EB2"/>
    <w:rsid w:val="00473493"/>
    <w:rsid w:val="004736DA"/>
    <w:rsid w:val="00473DD6"/>
    <w:rsid w:val="00473F95"/>
    <w:rsid w:val="00473FD1"/>
    <w:rsid w:val="0047462D"/>
    <w:rsid w:val="004746FE"/>
    <w:rsid w:val="00474B5F"/>
    <w:rsid w:val="004750A8"/>
    <w:rsid w:val="00475E4C"/>
    <w:rsid w:val="00475EC4"/>
    <w:rsid w:val="00476258"/>
    <w:rsid w:val="00476272"/>
    <w:rsid w:val="00476414"/>
    <w:rsid w:val="004764FD"/>
    <w:rsid w:val="00476588"/>
    <w:rsid w:val="0047690B"/>
    <w:rsid w:val="00476EF1"/>
    <w:rsid w:val="00476F21"/>
    <w:rsid w:val="0047706D"/>
    <w:rsid w:val="004772B8"/>
    <w:rsid w:val="004772FC"/>
    <w:rsid w:val="004773F2"/>
    <w:rsid w:val="004777F1"/>
    <w:rsid w:val="0047787E"/>
    <w:rsid w:val="00477A90"/>
    <w:rsid w:val="00477B4E"/>
    <w:rsid w:val="00477FD7"/>
    <w:rsid w:val="00479C26"/>
    <w:rsid w:val="0048007D"/>
    <w:rsid w:val="00480484"/>
    <w:rsid w:val="004809EA"/>
    <w:rsid w:val="004809EF"/>
    <w:rsid w:val="00480E44"/>
    <w:rsid w:val="00480E7A"/>
    <w:rsid w:val="00481090"/>
    <w:rsid w:val="004810B6"/>
    <w:rsid w:val="004810FB"/>
    <w:rsid w:val="004812A0"/>
    <w:rsid w:val="00481C67"/>
    <w:rsid w:val="00482248"/>
    <w:rsid w:val="004822CF"/>
    <w:rsid w:val="0048256C"/>
    <w:rsid w:val="0048292E"/>
    <w:rsid w:val="00482F79"/>
    <w:rsid w:val="00483211"/>
    <w:rsid w:val="0048322C"/>
    <w:rsid w:val="00483349"/>
    <w:rsid w:val="0048352A"/>
    <w:rsid w:val="004837B4"/>
    <w:rsid w:val="00483846"/>
    <w:rsid w:val="00483FE9"/>
    <w:rsid w:val="0048414D"/>
    <w:rsid w:val="00484633"/>
    <w:rsid w:val="004847E6"/>
    <w:rsid w:val="0048499B"/>
    <w:rsid w:val="00484CE8"/>
    <w:rsid w:val="00484E71"/>
    <w:rsid w:val="00485296"/>
    <w:rsid w:val="004852EA"/>
    <w:rsid w:val="00485796"/>
    <w:rsid w:val="004857BF"/>
    <w:rsid w:val="00485897"/>
    <w:rsid w:val="00485A16"/>
    <w:rsid w:val="00485A2E"/>
    <w:rsid w:val="00485F6A"/>
    <w:rsid w:val="0048603D"/>
    <w:rsid w:val="0048608F"/>
    <w:rsid w:val="004861FE"/>
    <w:rsid w:val="004863F9"/>
    <w:rsid w:val="0048642F"/>
    <w:rsid w:val="0048772D"/>
    <w:rsid w:val="00487C04"/>
    <w:rsid w:val="00490803"/>
    <w:rsid w:val="00490951"/>
    <w:rsid w:val="00490A90"/>
    <w:rsid w:val="00490ABA"/>
    <w:rsid w:val="00490B64"/>
    <w:rsid w:val="00490D14"/>
    <w:rsid w:val="00491748"/>
    <w:rsid w:val="00492C8C"/>
    <w:rsid w:val="0049308D"/>
    <w:rsid w:val="00493E99"/>
    <w:rsid w:val="00493EC5"/>
    <w:rsid w:val="004944A6"/>
    <w:rsid w:val="00494D55"/>
    <w:rsid w:val="00494E17"/>
    <w:rsid w:val="00494EB8"/>
    <w:rsid w:val="00494EB9"/>
    <w:rsid w:val="0049514D"/>
    <w:rsid w:val="004951FA"/>
    <w:rsid w:val="004956FD"/>
    <w:rsid w:val="00495AF5"/>
    <w:rsid w:val="00495C74"/>
    <w:rsid w:val="00495CA0"/>
    <w:rsid w:val="00495E72"/>
    <w:rsid w:val="004966A7"/>
    <w:rsid w:val="004967B9"/>
    <w:rsid w:val="0049693D"/>
    <w:rsid w:val="00496C64"/>
    <w:rsid w:val="00496C83"/>
    <w:rsid w:val="00496E20"/>
    <w:rsid w:val="00496F25"/>
    <w:rsid w:val="0049706D"/>
    <w:rsid w:val="0049752F"/>
    <w:rsid w:val="00497780"/>
    <w:rsid w:val="00497E1B"/>
    <w:rsid w:val="00499769"/>
    <w:rsid w:val="004A0206"/>
    <w:rsid w:val="004A0217"/>
    <w:rsid w:val="004A035D"/>
    <w:rsid w:val="004A04C4"/>
    <w:rsid w:val="004A0692"/>
    <w:rsid w:val="004A06F4"/>
    <w:rsid w:val="004A0D00"/>
    <w:rsid w:val="004A119E"/>
    <w:rsid w:val="004A1556"/>
    <w:rsid w:val="004A223D"/>
    <w:rsid w:val="004A23C5"/>
    <w:rsid w:val="004A2ABA"/>
    <w:rsid w:val="004A2C00"/>
    <w:rsid w:val="004A2EC1"/>
    <w:rsid w:val="004A35EB"/>
    <w:rsid w:val="004A3830"/>
    <w:rsid w:val="004A38E0"/>
    <w:rsid w:val="004A395E"/>
    <w:rsid w:val="004A39AA"/>
    <w:rsid w:val="004A3B61"/>
    <w:rsid w:val="004A3CCC"/>
    <w:rsid w:val="004A3D5B"/>
    <w:rsid w:val="004A3E60"/>
    <w:rsid w:val="004A452E"/>
    <w:rsid w:val="004A4797"/>
    <w:rsid w:val="004A4856"/>
    <w:rsid w:val="004A4E3B"/>
    <w:rsid w:val="004A4F69"/>
    <w:rsid w:val="004A51D4"/>
    <w:rsid w:val="004A5253"/>
    <w:rsid w:val="004A5D28"/>
    <w:rsid w:val="004A5EC3"/>
    <w:rsid w:val="004A65FD"/>
    <w:rsid w:val="004A68C4"/>
    <w:rsid w:val="004A6E86"/>
    <w:rsid w:val="004A6F5B"/>
    <w:rsid w:val="004A720D"/>
    <w:rsid w:val="004A738A"/>
    <w:rsid w:val="004A750D"/>
    <w:rsid w:val="004A7C20"/>
    <w:rsid w:val="004A7D87"/>
    <w:rsid w:val="004B0E60"/>
    <w:rsid w:val="004B0F54"/>
    <w:rsid w:val="004B110E"/>
    <w:rsid w:val="004B1124"/>
    <w:rsid w:val="004B1347"/>
    <w:rsid w:val="004B15A9"/>
    <w:rsid w:val="004B1813"/>
    <w:rsid w:val="004B1B1B"/>
    <w:rsid w:val="004B2404"/>
    <w:rsid w:val="004B253B"/>
    <w:rsid w:val="004B263A"/>
    <w:rsid w:val="004B2687"/>
    <w:rsid w:val="004B29FC"/>
    <w:rsid w:val="004B2A10"/>
    <w:rsid w:val="004B3405"/>
    <w:rsid w:val="004B34E1"/>
    <w:rsid w:val="004B374A"/>
    <w:rsid w:val="004B3D25"/>
    <w:rsid w:val="004B3D5E"/>
    <w:rsid w:val="004B3FD6"/>
    <w:rsid w:val="004B448A"/>
    <w:rsid w:val="004B44ED"/>
    <w:rsid w:val="004B44FD"/>
    <w:rsid w:val="004B45E6"/>
    <w:rsid w:val="004B4631"/>
    <w:rsid w:val="004B4C9C"/>
    <w:rsid w:val="004B5139"/>
    <w:rsid w:val="004B582A"/>
    <w:rsid w:val="004B5B81"/>
    <w:rsid w:val="004B5C2C"/>
    <w:rsid w:val="004B5C9B"/>
    <w:rsid w:val="004B608C"/>
    <w:rsid w:val="004B6370"/>
    <w:rsid w:val="004B6AF2"/>
    <w:rsid w:val="004B6D19"/>
    <w:rsid w:val="004B6F9A"/>
    <w:rsid w:val="004B7859"/>
    <w:rsid w:val="004B7BBB"/>
    <w:rsid w:val="004B7D70"/>
    <w:rsid w:val="004C0143"/>
    <w:rsid w:val="004C075B"/>
    <w:rsid w:val="004C07FA"/>
    <w:rsid w:val="004C0B48"/>
    <w:rsid w:val="004C11A4"/>
    <w:rsid w:val="004C1315"/>
    <w:rsid w:val="004C133B"/>
    <w:rsid w:val="004C1357"/>
    <w:rsid w:val="004C15B5"/>
    <w:rsid w:val="004C1BCC"/>
    <w:rsid w:val="004C1C0F"/>
    <w:rsid w:val="004C1DE3"/>
    <w:rsid w:val="004C2046"/>
    <w:rsid w:val="004C2307"/>
    <w:rsid w:val="004C24DA"/>
    <w:rsid w:val="004C2567"/>
    <w:rsid w:val="004C288D"/>
    <w:rsid w:val="004C374F"/>
    <w:rsid w:val="004C3B93"/>
    <w:rsid w:val="004C404B"/>
    <w:rsid w:val="004C422A"/>
    <w:rsid w:val="004C458E"/>
    <w:rsid w:val="004C4B4A"/>
    <w:rsid w:val="004C5322"/>
    <w:rsid w:val="004C5F2E"/>
    <w:rsid w:val="004C5FD0"/>
    <w:rsid w:val="004C6137"/>
    <w:rsid w:val="004C61E8"/>
    <w:rsid w:val="004C63FF"/>
    <w:rsid w:val="004C64DB"/>
    <w:rsid w:val="004C65F6"/>
    <w:rsid w:val="004C676B"/>
    <w:rsid w:val="004C6810"/>
    <w:rsid w:val="004C681E"/>
    <w:rsid w:val="004C6B08"/>
    <w:rsid w:val="004C6F3A"/>
    <w:rsid w:val="004C6F6A"/>
    <w:rsid w:val="004C7276"/>
    <w:rsid w:val="004C72EF"/>
    <w:rsid w:val="004C78EA"/>
    <w:rsid w:val="004C7CAA"/>
    <w:rsid w:val="004D012F"/>
    <w:rsid w:val="004D0439"/>
    <w:rsid w:val="004D0457"/>
    <w:rsid w:val="004D0783"/>
    <w:rsid w:val="004D0C39"/>
    <w:rsid w:val="004D0D74"/>
    <w:rsid w:val="004D10D8"/>
    <w:rsid w:val="004D1463"/>
    <w:rsid w:val="004D1957"/>
    <w:rsid w:val="004D1990"/>
    <w:rsid w:val="004D1B28"/>
    <w:rsid w:val="004D1FEC"/>
    <w:rsid w:val="004D21DE"/>
    <w:rsid w:val="004D25F5"/>
    <w:rsid w:val="004D29B2"/>
    <w:rsid w:val="004D2CC2"/>
    <w:rsid w:val="004D2DC1"/>
    <w:rsid w:val="004D2F6E"/>
    <w:rsid w:val="004D31DF"/>
    <w:rsid w:val="004D339B"/>
    <w:rsid w:val="004D33BD"/>
    <w:rsid w:val="004D35EC"/>
    <w:rsid w:val="004D3664"/>
    <w:rsid w:val="004D3978"/>
    <w:rsid w:val="004D4681"/>
    <w:rsid w:val="004D4A85"/>
    <w:rsid w:val="004D4B27"/>
    <w:rsid w:val="004D5119"/>
    <w:rsid w:val="004D5D85"/>
    <w:rsid w:val="004D5EE8"/>
    <w:rsid w:val="004D6078"/>
    <w:rsid w:val="004D62AD"/>
    <w:rsid w:val="004D6533"/>
    <w:rsid w:val="004D66BB"/>
    <w:rsid w:val="004D689E"/>
    <w:rsid w:val="004D7315"/>
    <w:rsid w:val="004D7931"/>
    <w:rsid w:val="004D7F91"/>
    <w:rsid w:val="004E04C1"/>
    <w:rsid w:val="004E090D"/>
    <w:rsid w:val="004E0933"/>
    <w:rsid w:val="004E0E34"/>
    <w:rsid w:val="004E1172"/>
    <w:rsid w:val="004E1228"/>
    <w:rsid w:val="004E1602"/>
    <w:rsid w:val="004E1740"/>
    <w:rsid w:val="004E1859"/>
    <w:rsid w:val="004E18FF"/>
    <w:rsid w:val="004E1D5F"/>
    <w:rsid w:val="004E1E08"/>
    <w:rsid w:val="004E27E5"/>
    <w:rsid w:val="004E2BDF"/>
    <w:rsid w:val="004E2D0D"/>
    <w:rsid w:val="004E2D9D"/>
    <w:rsid w:val="004E3167"/>
    <w:rsid w:val="004E34C0"/>
    <w:rsid w:val="004E365B"/>
    <w:rsid w:val="004E4042"/>
    <w:rsid w:val="004E4397"/>
    <w:rsid w:val="004E5125"/>
    <w:rsid w:val="004E517C"/>
    <w:rsid w:val="004E5214"/>
    <w:rsid w:val="004E5342"/>
    <w:rsid w:val="004E570D"/>
    <w:rsid w:val="004E582E"/>
    <w:rsid w:val="004E586B"/>
    <w:rsid w:val="004E5BE4"/>
    <w:rsid w:val="004E6086"/>
    <w:rsid w:val="004E60B5"/>
    <w:rsid w:val="004E6C8C"/>
    <w:rsid w:val="004E6E05"/>
    <w:rsid w:val="004E6E24"/>
    <w:rsid w:val="004E717F"/>
    <w:rsid w:val="004E7403"/>
    <w:rsid w:val="004E7506"/>
    <w:rsid w:val="004E7639"/>
    <w:rsid w:val="004E7723"/>
    <w:rsid w:val="004E7796"/>
    <w:rsid w:val="004E7CA6"/>
    <w:rsid w:val="004E7EF6"/>
    <w:rsid w:val="004F0069"/>
    <w:rsid w:val="004F0173"/>
    <w:rsid w:val="004F03DF"/>
    <w:rsid w:val="004F0AD5"/>
    <w:rsid w:val="004F0BA7"/>
    <w:rsid w:val="004F0FD0"/>
    <w:rsid w:val="004F1096"/>
    <w:rsid w:val="004F1598"/>
    <w:rsid w:val="004F17B0"/>
    <w:rsid w:val="004F1846"/>
    <w:rsid w:val="004F2195"/>
    <w:rsid w:val="004F2D13"/>
    <w:rsid w:val="004F2FF8"/>
    <w:rsid w:val="004F3163"/>
    <w:rsid w:val="004F3398"/>
    <w:rsid w:val="004F34E1"/>
    <w:rsid w:val="004F3ABA"/>
    <w:rsid w:val="004F3CDF"/>
    <w:rsid w:val="004F3DD5"/>
    <w:rsid w:val="004F3F24"/>
    <w:rsid w:val="004F42DB"/>
    <w:rsid w:val="004F441B"/>
    <w:rsid w:val="004F4AF7"/>
    <w:rsid w:val="004F4B6B"/>
    <w:rsid w:val="004F4C8B"/>
    <w:rsid w:val="004F5024"/>
    <w:rsid w:val="004F5266"/>
    <w:rsid w:val="004F54C6"/>
    <w:rsid w:val="004F54F5"/>
    <w:rsid w:val="004F56A8"/>
    <w:rsid w:val="004F5719"/>
    <w:rsid w:val="004F594D"/>
    <w:rsid w:val="004F59BE"/>
    <w:rsid w:val="004F5ECE"/>
    <w:rsid w:val="004F5FE7"/>
    <w:rsid w:val="004F6032"/>
    <w:rsid w:val="004F633B"/>
    <w:rsid w:val="004F68E3"/>
    <w:rsid w:val="004F693F"/>
    <w:rsid w:val="004F7054"/>
    <w:rsid w:val="004F7560"/>
    <w:rsid w:val="004F7B40"/>
    <w:rsid w:val="0050016E"/>
    <w:rsid w:val="0050062C"/>
    <w:rsid w:val="0050094B"/>
    <w:rsid w:val="0050126E"/>
    <w:rsid w:val="0050127F"/>
    <w:rsid w:val="00501A12"/>
    <w:rsid w:val="00501D32"/>
    <w:rsid w:val="005022E2"/>
    <w:rsid w:val="00502317"/>
    <w:rsid w:val="0050273E"/>
    <w:rsid w:val="005031AD"/>
    <w:rsid w:val="0050354D"/>
    <w:rsid w:val="005036C6"/>
    <w:rsid w:val="00503899"/>
    <w:rsid w:val="00504686"/>
    <w:rsid w:val="00504815"/>
    <w:rsid w:val="00504A4D"/>
    <w:rsid w:val="00504CBC"/>
    <w:rsid w:val="00504F1A"/>
    <w:rsid w:val="00504F1D"/>
    <w:rsid w:val="00504F3A"/>
    <w:rsid w:val="00504F59"/>
    <w:rsid w:val="00504FA9"/>
    <w:rsid w:val="00505038"/>
    <w:rsid w:val="00505885"/>
    <w:rsid w:val="005059A1"/>
    <w:rsid w:val="005059D9"/>
    <w:rsid w:val="00505C14"/>
    <w:rsid w:val="00505C98"/>
    <w:rsid w:val="00506533"/>
    <w:rsid w:val="0050654B"/>
    <w:rsid w:val="005067C6"/>
    <w:rsid w:val="00506F7E"/>
    <w:rsid w:val="00507019"/>
    <w:rsid w:val="00507166"/>
    <w:rsid w:val="0050717C"/>
    <w:rsid w:val="00507B47"/>
    <w:rsid w:val="00507DF8"/>
    <w:rsid w:val="00510295"/>
    <w:rsid w:val="00510549"/>
    <w:rsid w:val="00510917"/>
    <w:rsid w:val="00510ACE"/>
    <w:rsid w:val="00510FF0"/>
    <w:rsid w:val="00511839"/>
    <w:rsid w:val="00511A36"/>
    <w:rsid w:val="00511D48"/>
    <w:rsid w:val="00511E9B"/>
    <w:rsid w:val="00511EED"/>
    <w:rsid w:val="00512352"/>
    <w:rsid w:val="0051245B"/>
    <w:rsid w:val="00512AB6"/>
    <w:rsid w:val="00512AE1"/>
    <w:rsid w:val="00512B34"/>
    <w:rsid w:val="00513713"/>
    <w:rsid w:val="00513904"/>
    <w:rsid w:val="00513A7C"/>
    <w:rsid w:val="00513B9D"/>
    <w:rsid w:val="00513FB0"/>
    <w:rsid w:val="005147C1"/>
    <w:rsid w:val="00514AF2"/>
    <w:rsid w:val="005153C7"/>
    <w:rsid w:val="0051541C"/>
    <w:rsid w:val="00515421"/>
    <w:rsid w:val="00515BD7"/>
    <w:rsid w:val="00515C6D"/>
    <w:rsid w:val="0051609B"/>
    <w:rsid w:val="00516291"/>
    <w:rsid w:val="005162E1"/>
    <w:rsid w:val="0051649E"/>
    <w:rsid w:val="005165BF"/>
    <w:rsid w:val="005166D9"/>
    <w:rsid w:val="005167A8"/>
    <w:rsid w:val="005168D6"/>
    <w:rsid w:val="00516A5A"/>
    <w:rsid w:val="005172FC"/>
    <w:rsid w:val="005178E7"/>
    <w:rsid w:val="00517D35"/>
    <w:rsid w:val="00517DE6"/>
    <w:rsid w:val="00517E05"/>
    <w:rsid w:val="00517FCF"/>
    <w:rsid w:val="0052055C"/>
    <w:rsid w:val="005208CB"/>
    <w:rsid w:val="005209A8"/>
    <w:rsid w:val="00520FA5"/>
    <w:rsid w:val="00521217"/>
    <w:rsid w:val="005212A6"/>
    <w:rsid w:val="005212E1"/>
    <w:rsid w:val="005215BB"/>
    <w:rsid w:val="00521F90"/>
    <w:rsid w:val="00522110"/>
    <w:rsid w:val="00522135"/>
    <w:rsid w:val="00522586"/>
    <w:rsid w:val="00523325"/>
    <w:rsid w:val="00523477"/>
    <w:rsid w:val="005234B0"/>
    <w:rsid w:val="0052374C"/>
    <w:rsid w:val="00523906"/>
    <w:rsid w:val="00523A6B"/>
    <w:rsid w:val="00523BCB"/>
    <w:rsid w:val="005249B4"/>
    <w:rsid w:val="00524ADE"/>
    <w:rsid w:val="00525100"/>
    <w:rsid w:val="005253E2"/>
    <w:rsid w:val="005253F7"/>
    <w:rsid w:val="00525705"/>
    <w:rsid w:val="00525AA0"/>
    <w:rsid w:val="00525D6F"/>
    <w:rsid w:val="005260BD"/>
    <w:rsid w:val="00526D16"/>
    <w:rsid w:val="005272C2"/>
    <w:rsid w:val="00527323"/>
    <w:rsid w:val="0052741A"/>
    <w:rsid w:val="005275C6"/>
    <w:rsid w:val="00527720"/>
    <w:rsid w:val="0052773D"/>
    <w:rsid w:val="005278D5"/>
    <w:rsid w:val="00527C04"/>
    <w:rsid w:val="00527C9A"/>
    <w:rsid w:val="00527E7F"/>
    <w:rsid w:val="00530077"/>
    <w:rsid w:val="00530522"/>
    <w:rsid w:val="00531433"/>
    <w:rsid w:val="005316FD"/>
    <w:rsid w:val="005318D1"/>
    <w:rsid w:val="00532174"/>
    <w:rsid w:val="00532333"/>
    <w:rsid w:val="00532385"/>
    <w:rsid w:val="00532508"/>
    <w:rsid w:val="00532688"/>
    <w:rsid w:val="005326B6"/>
    <w:rsid w:val="0053288F"/>
    <w:rsid w:val="00532A1B"/>
    <w:rsid w:val="00532CF6"/>
    <w:rsid w:val="00532D84"/>
    <w:rsid w:val="00532F4D"/>
    <w:rsid w:val="00532F81"/>
    <w:rsid w:val="00533006"/>
    <w:rsid w:val="00533472"/>
    <w:rsid w:val="0053348E"/>
    <w:rsid w:val="005339B7"/>
    <w:rsid w:val="00533A1D"/>
    <w:rsid w:val="00533A85"/>
    <w:rsid w:val="00533CA1"/>
    <w:rsid w:val="00533E5E"/>
    <w:rsid w:val="00534855"/>
    <w:rsid w:val="005349AE"/>
    <w:rsid w:val="005349D5"/>
    <w:rsid w:val="005349FA"/>
    <w:rsid w:val="0053509C"/>
    <w:rsid w:val="005356F3"/>
    <w:rsid w:val="00535AB8"/>
    <w:rsid w:val="00535DE6"/>
    <w:rsid w:val="00535E40"/>
    <w:rsid w:val="00535F62"/>
    <w:rsid w:val="00536429"/>
    <w:rsid w:val="005364DD"/>
    <w:rsid w:val="00536B5E"/>
    <w:rsid w:val="00537538"/>
    <w:rsid w:val="0053768D"/>
    <w:rsid w:val="005377FE"/>
    <w:rsid w:val="00537B72"/>
    <w:rsid w:val="00537FB2"/>
    <w:rsid w:val="00540096"/>
    <w:rsid w:val="00540413"/>
    <w:rsid w:val="00540623"/>
    <w:rsid w:val="005407E8"/>
    <w:rsid w:val="0054127B"/>
    <w:rsid w:val="005413D8"/>
    <w:rsid w:val="005414F3"/>
    <w:rsid w:val="005416DC"/>
    <w:rsid w:val="00541AE6"/>
    <w:rsid w:val="00541B25"/>
    <w:rsid w:val="00542024"/>
    <w:rsid w:val="0054213A"/>
    <w:rsid w:val="005421DB"/>
    <w:rsid w:val="0054240B"/>
    <w:rsid w:val="005427FA"/>
    <w:rsid w:val="00542BFE"/>
    <w:rsid w:val="00542D58"/>
    <w:rsid w:val="0054326F"/>
    <w:rsid w:val="00543670"/>
    <w:rsid w:val="00543D11"/>
    <w:rsid w:val="00543F49"/>
    <w:rsid w:val="005442DF"/>
    <w:rsid w:val="0054462A"/>
    <w:rsid w:val="00544789"/>
    <w:rsid w:val="00544804"/>
    <w:rsid w:val="0054489C"/>
    <w:rsid w:val="005449F4"/>
    <w:rsid w:val="00544D06"/>
    <w:rsid w:val="00545781"/>
    <w:rsid w:val="0054591A"/>
    <w:rsid w:val="005459A8"/>
    <w:rsid w:val="00545C93"/>
    <w:rsid w:val="00546207"/>
    <w:rsid w:val="005463E7"/>
    <w:rsid w:val="0054642B"/>
    <w:rsid w:val="00546A2A"/>
    <w:rsid w:val="00546D56"/>
    <w:rsid w:val="00546FAB"/>
    <w:rsid w:val="00547873"/>
    <w:rsid w:val="005501EB"/>
    <w:rsid w:val="00550506"/>
    <w:rsid w:val="0055112B"/>
    <w:rsid w:val="00551147"/>
    <w:rsid w:val="005517BC"/>
    <w:rsid w:val="005517C4"/>
    <w:rsid w:val="00551838"/>
    <w:rsid w:val="00551BF2"/>
    <w:rsid w:val="005520CA"/>
    <w:rsid w:val="00552114"/>
    <w:rsid w:val="005521C0"/>
    <w:rsid w:val="005521D6"/>
    <w:rsid w:val="0055226F"/>
    <w:rsid w:val="005525AD"/>
    <w:rsid w:val="0055283B"/>
    <w:rsid w:val="00552E82"/>
    <w:rsid w:val="00553247"/>
    <w:rsid w:val="00553B2A"/>
    <w:rsid w:val="00553BC4"/>
    <w:rsid w:val="00553E72"/>
    <w:rsid w:val="00553F7A"/>
    <w:rsid w:val="0055431C"/>
    <w:rsid w:val="00554ABB"/>
    <w:rsid w:val="005559EF"/>
    <w:rsid w:val="00555CCB"/>
    <w:rsid w:val="00555D70"/>
    <w:rsid w:val="00556094"/>
    <w:rsid w:val="00556146"/>
    <w:rsid w:val="0055618D"/>
    <w:rsid w:val="00556273"/>
    <w:rsid w:val="0055649F"/>
    <w:rsid w:val="0055660C"/>
    <w:rsid w:val="0055694A"/>
    <w:rsid w:val="00556B7F"/>
    <w:rsid w:val="00556D41"/>
    <w:rsid w:val="00557620"/>
    <w:rsid w:val="00557C65"/>
    <w:rsid w:val="00557F12"/>
    <w:rsid w:val="00560C6D"/>
    <w:rsid w:val="00561519"/>
    <w:rsid w:val="0056163A"/>
    <w:rsid w:val="005617A0"/>
    <w:rsid w:val="00561A7A"/>
    <w:rsid w:val="00561B20"/>
    <w:rsid w:val="00561B8C"/>
    <w:rsid w:val="005621D9"/>
    <w:rsid w:val="00562315"/>
    <w:rsid w:val="00562855"/>
    <w:rsid w:val="00562A41"/>
    <w:rsid w:val="00562A4B"/>
    <w:rsid w:val="00562C70"/>
    <w:rsid w:val="00562DA1"/>
    <w:rsid w:val="00562FF8"/>
    <w:rsid w:val="00563642"/>
    <w:rsid w:val="00563DF9"/>
    <w:rsid w:val="00564349"/>
    <w:rsid w:val="00564432"/>
    <w:rsid w:val="0056457A"/>
    <w:rsid w:val="00564991"/>
    <w:rsid w:val="00564CE6"/>
    <w:rsid w:val="00564FBB"/>
    <w:rsid w:val="0056555D"/>
    <w:rsid w:val="005656E7"/>
    <w:rsid w:val="00565C75"/>
    <w:rsid w:val="00565CD3"/>
    <w:rsid w:val="00565E3D"/>
    <w:rsid w:val="005661EC"/>
    <w:rsid w:val="00566922"/>
    <w:rsid w:val="00567631"/>
    <w:rsid w:val="00567A76"/>
    <w:rsid w:val="0057004A"/>
    <w:rsid w:val="005700B8"/>
    <w:rsid w:val="005707E4"/>
    <w:rsid w:val="00570AC8"/>
    <w:rsid w:val="00571412"/>
    <w:rsid w:val="005714B4"/>
    <w:rsid w:val="00571552"/>
    <w:rsid w:val="0057173B"/>
    <w:rsid w:val="00571A3A"/>
    <w:rsid w:val="00571BA2"/>
    <w:rsid w:val="00571FF0"/>
    <w:rsid w:val="0057286C"/>
    <w:rsid w:val="00572B2D"/>
    <w:rsid w:val="00572FEC"/>
    <w:rsid w:val="00573289"/>
    <w:rsid w:val="005732C6"/>
    <w:rsid w:val="005735D6"/>
    <w:rsid w:val="0057382B"/>
    <w:rsid w:val="00573AEC"/>
    <w:rsid w:val="00573B97"/>
    <w:rsid w:val="00573BF6"/>
    <w:rsid w:val="00573C09"/>
    <w:rsid w:val="00573CBB"/>
    <w:rsid w:val="00573EF6"/>
    <w:rsid w:val="00573F81"/>
    <w:rsid w:val="005743F5"/>
    <w:rsid w:val="00574C89"/>
    <w:rsid w:val="0057526E"/>
    <w:rsid w:val="005752A8"/>
    <w:rsid w:val="00575BED"/>
    <w:rsid w:val="00576306"/>
    <w:rsid w:val="00576CCC"/>
    <w:rsid w:val="00576CF3"/>
    <w:rsid w:val="00576D0C"/>
    <w:rsid w:val="00576DE8"/>
    <w:rsid w:val="00576FD1"/>
    <w:rsid w:val="00577141"/>
    <w:rsid w:val="00577401"/>
    <w:rsid w:val="00577607"/>
    <w:rsid w:val="0057772B"/>
    <w:rsid w:val="00577A0B"/>
    <w:rsid w:val="00577FBB"/>
    <w:rsid w:val="00577FF6"/>
    <w:rsid w:val="0057F3FE"/>
    <w:rsid w:val="00580502"/>
    <w:rsid w:val="005805F5"/>
    <w:rsid w:val="005807B7"/>
    <w:rsid w:val="00580861"/>
    <w:rsid w:val="00580C64"/>
    <w:rsid w:val="00580D4F"/>
    <w:rsid w:val="00580EF7"/>
    <w:rsid w:val="0058152D"/>
    <w:rsid w:val="00581547"/>
    <w:rsid w:val="00581632"/>
    <w:rsid w:val="00581882"/>
    <w:rsid w:val="00581B12"/>
    <w:rsid w:val="00581B2F"/>
    <w:rsid w:val="00581C99"/>
    <w:rsid w:val="00581CD3"/>
    <w:rsid w:val="00581D31"/>
    <w:rsid w:val="00582230"/>
    <w:rsid w:val="00582B7F"/>
    <w:rsid w:val="00582CC1"/>
    <w:rsid w:val="00582F59"/>
    <w:rsid w:val="00582FC2"/>
    <w:rsid w:val="0058334F"/>
    <w:rsid w:val="00583551"/>
    <w:rsid w:val="00583732"/>
    <w:rsid w:val="00583768"/>
    <w:rsid w:val="00583BC7"/>
    <w:rsid w:val="00583CA1"/>
    <w:rsid w:val="00583DD2"/>
    <w:rsid w:val="00584296"/>
    <w:rsid w:val="005844EE"/>
    <w:rsid w:val="005846DF"/>
    <w:rsid w:val="005849AB"/>
    <w:rsid w:val="00584BBC"/>
    <w:rsid w:val="00585134"/>
    <w:rsid w:val="0058564A"/>
    <w:rsid w:val="00585668"/>
    <w:rsid w:val="00585801"/>
    <w:rsid w:val="005859AC"/>
    <w:rsid w:val="00585CD9"/>
    <w:rsid w:val="00585DB0"/>
    <w:rsid w:val="005862D1"/>
    <w:rsid w:val="0058638E"/>
    <w:rsid w:val="0058686C"/>
    <w:rsid w:val="00586B5A"/>
    <w:rsid w:val="00586CAB"/>
    <w:rsid w:val="00586D0A"/>
    <w:rsid w:val="00586E64"/>
    <w:rsid w:val="00586F11"/>
    <w:rsid w:val="005870A2"/>
    <w:rsid w:val="00587D7D"/>
    <w:rsid w:val="0059012C"/>
    <w:rsid w:val="00590889"/>
    <w:rsid w:val="005908A3"/>
    <w:rsid w:val="005909F3"/>
    <w:rsid w:val="005909FC"/>
    <w:rsid w:val="00590AE4"/>
    <w:rsid w:val="00590DDC"/>
    <w:rsid w:val="00590E57"/>
    <w:rsid w:val="005910FC"/>
    <w:rsid w:val="005914B1"/>
    <w:rsid w:val="00591512"/>
    <w:rsid w:val="00591B03"/>
    <w:rsid w:val="00591B1E"/>
    <w:rsid w:val="00591B8D"/>
    <w:rsid w:val="00591FD4"/>
    <w:rsid w:val="0059243F"/>
    <w:rsid w:val="005925C7"/>
    <w:rsid w:val="00592699"/>
    <w:rsid w:val="00592AC1"/>
    <w:rsid w:val="00592B8D"/>
    <w:rsid w:val="00592BA0"/>
    <w:rsid w:val="00592E6E"/>
    <w:rsid w:val="00593479"/>
    <w:rsid w:val="00593C0B"/>
    <w:rsid w:val="005942E2"/>
    <w:rsid w:val="005944C0"/>
    <w:rsid w:val="00594604"/>
    <w:rsid w:val="00594714"/>
    <w:rsid w:val="00594926"/>
    <w:rsid w:val="00594C8D"/>
    <w:rsid w:val="00594EFA"/>
    <w:rsid w:val="00595439"/>
    <w:rsid w:val="00595773"/>
    <w:rsid w:val="00595DEA"/>
    <w:rsid w:val="00596110"/>
    <w:rsid w:val="005968AE"/>
    <w:rsid w:val="00596A34"/>
    <w:rsid w:val="00596AA6"/>
    <w:rsid w:val="005972D3"/>
    <w:rsid w:val="005974BF"/>
    <w:rsid w:val="00597751"/>
    <w:rsid w:val="00597B4E"/>
    <w:rsid w:val="00597B65"/>
    <w:rsid w:val="005A0564"/>
    <w:rsid w:val="005A0568"/>
    <w:rsid w:val="005A0647"/>
    <w:rsid w:val="005A0EBD"/>
    <w:rsid w:val="005A0EE8"/>
    <w:rsid w:val="005A145A"/>
    <w:rsid w:val="005A167B"/>
    <w:rsid w:val="005A183E"/>
    <w:rsid w:val="005A1899"/>
    <w:rsid w:val="005A19F8"/>
    <w:rsid w:val="005A19FF"/>
    <w:rsid w:val="005A2360"/>
    <w:rsid w:val="005A24BF"/>
    <w:rsid w:val="005A26B2"/>
    <w:rsid w:val="005A29AF"/>
    <w:rsid w:val="005A2A55"/>
    <w:rsid w:val="005A2D82"/>
    <w:rsid w:val="005A34D5"/>
    <w:rsid w:val="005A3A9C"/>
    <w:rsid w:val="005A3D48"/>
    <w:rsid w:val="005A45F0"/>
    <w:rsid w:val="005A541B"/>
    <w:rsid w:val="005A5533"/>
    <w:rsid w:val="005A57F1"/>
    <w:rsid w:val="005A63E9"/>
    <w:rsid w:val="005A6433"/>
    <w:rsid w:val="005A6727"/>
    <w:rsid w:val="005A6932"/>
    <w:rsid w:val="005A69B8"/>
    <w:rsid w:val="005A6F07"/>
    <w:rsid w:val="005A7271"/>
    <w:rsid w:val="005A73A8"/>
    <w:rsid w:val="005A73F4"/>
    <w:rsid w:val="005A76A2"/>
    <w:rsid w:val="005A770D"/>
    <w:rsid w:val="005A79F1"/>
    <w:rsid w:val="005A7C6C"/>
    <w:rsid w:val="005B001F"/>
    <w:rsid w:val="005B0409"/>
    <w:rsid w:val="005B053C"/>
    <w:rsid w:val="005B079E"/>
    <w:rsid w:val="005B08A3"/>
    <w:rsid w:val="005B08A7"/>
    <w:rsid w:val="005B0943"/>
    <w:rsid w:val="005B0CFF"/>
    <w:rsid w:val="005B0D64"/>
    <w:rsid w:val="005B0DD2"/>
    <w:rsid w:val="005B1279"/>
    <w:rsid w:val="005B154C"/>
    <w:rsid w:val="005B1726"/>
    <w:rsid w:val="005B1851"/>
    <w:rsid w:val="005B20F0"/>
    <w:rsid w:val="005B223B"/>
    <w:rsid w:val="005B25B4"/>
    <w:rsid w:val="005B2AC7"/>
    <w:rsid w:val="005B2C10"/>
    <w:rsid w:val="005B31C5"/>
    <w:rsid w:val="005B3718"/>
    <w:rsid w:val="005B374E"/>
    <w:rsid w:val="005B3989"/>
    <w:rsid w:val="005B3B04"/>
    <w:rsid w:val="005B3C88"/>
    <w:rsid w:val="005B3DFD"/>
    <w:rsid w:val="005B43A5"/>
    <w:rsid w:val="005B43DF"/>
    <w:rsid w:val="005B453B"/>
    <w:rsid w:val="005B4836"/>
    <w:rsid w:val="005B4C5E"/>
    <w:rsid w:val="005B538B"/>
    <w:rsid w:val="005B5396"/>
    <w:rsid w:val="005B6253"/>
    <w:rsid w:val="005B63B2"/>
    <w:rsid w:val="005B6403"/>
    <w:rsid w:val="005B6640"/>
    <w:rsid w:val="005B6828"/>
    <w:rsid w:val="005B6B3E"/>
    <w:rsid w:val="005B6D8A"/>
    <w:rsid w:val="005B6E53"/>
    <w:rsid w:val="005B7138"/>
    <w:rsid w:val="005B75B2"/>
    <w:rsid w:val="005B793B"/>
    <w:rsid w:val="005B7CB4"/>
    <w:rsid w:val="005B7DE9"/>
    <w:rsid w:val="005C0142"/>
    <w:rsid w:val="005C05A0"/>
    <w:rsid w:val="005C0AF3"/>
    <w:rsid w:val="005C0CAB"/>
    <w:rsid w:val="005C0CC7"/>
    <w:rsid w:val="005C2512"/>
    <w:rsid w:val="005C25D7"/>
    <w:rsid w:val="005C2701"/>
    <w:rsid w:val="005C2798"/>
    <w:rsid w:val="005C280B"/>
    <w:rsid w:val="005C301A"/>
    <w:rsid w:val="005C32B1"/>
    <w:rsid w:val="005C4755"/>
    <w:rsid w:val="005C4A18"/>
    <w:rsid w:val="005C4E72"/>
    <w:rsid w:val="005C548A"/>
    <w:rsid w:val="005C5509"/>
    <w:rsid w:val="005C5537"/>
    <w:rsid w:val="005C56A2"/>
    <w:rsid w:val="005C5ACE"/>
    <w:rsid w:val="005C5D5C"/>
    <w:rsid w:val="005C6AF5"/>
    <w:rsid w:val="005C6C7A"/>
    <w:rsid w:val="005C748D"/>
    <w:rsid w:val="005C7BBE"/>
    <w:rsid w:val="005C7DF3"/>
    <w:rsid w:val="005D0126"/>
    <w:rsid w:val="005D037C"/>
    <w:rsid w:val="005D03A1"/>
    <w:rsid w:val="005D0A2A"/>
    <w:rsid w:val="005D12D7"/>
    <w:rsid w:val="005D1B55"/>
    <w:rsid w:val="005D1D2D"/>
    <w:rsid w:val="005D2605"/>
    <w:rsid w:val="005D2739"/>
    <w:rsid w:val="005D2764"/>
    <w:rsid w:val="005D289A"/>
    <w:rsid w:val="005D30B7"/>
    <w:rsid w:val="005D3112"/>
    <w:rsid w:val="005D3147"/>
    <w:rsid w:val="005D3289"/>
    <w:rsid w:val="005D32A1"/>
    <w:rsid w:val="005D3441"/>
    <w:rsid w:val="005D346F"/>
    <w:rsid w:val="005D3BF0"/>
    <w:rsid w:val="005D3DCB"/>
    <w:rsid w:val="005D3DDE"/>
    <w:rsid w:val="005D3E88"/>
    <w:rsid w:val="005D4743"/>
    <w:rsid w:val="005D4DE4"/>
    <w:rsid w:val="005D5710"/>
    <w:rsid w:val="005D5BF7"/>
    <w:rsid w:val="005D5E27"/>
    <w:rsid w:val="005D612D"/>
    <w:rsid w:val="005D6145"/>
    <w:rsid w:val="005D620C"/>
    <w:rsid w:val="005D65BA"/>
    <w:rsid w:val="005D6714"/>
    <w:rsid w:val="005D6C71"/>
    <w:rsid w:val="005D6DF9"/>
    <w:rsid w:val="005D7654"/>
    <w:rsid w:val="005D779B"/>
    <w:rsid w:val="005D77DC"/>
    <w:rsid w:val="005D79BD"/>
    <w:rsid w:val="005E0025"/>
    <w:rsid w:val="005E0D30"/>
    <w:rsid w:val="005E0EAE"/>
    <w:rsid w:val="005E163B"/>
    <w:rsid w:val="005E1880"/>
    <w:rsid w:val="005E1BC6"/>
    <w:rsid w:val="005E1D4E"/>
    <w:rsid w:val="005E1E7E"/>
    <w:rsid w:val="005E1FB1"/>
    <w:rsid w:val="005E2155"/>
    <w:rsid w:val="005E2572"/>
    <w:rsid w:val="005E2BA1"/>
    <w:rsid w:val="005E345C"/>
    <w:rsid w:val="005E351A"/>
    <w:rsid w:val="005E39FD"/>
    <w:rsid w:val="005E3B8E"/>
    <w:rsid w:val="005E44BD"/>
    <w:rsid w:val="005E4C22"/>
    <w:rsid w:val="005E4EE7"/>
    <w:rsid w:val="005E4F0C"/>
    <w:rsid w:val="005E520C"/>
    <w:rsid w:val="005E53E0"/>
    <w:rsid w:val="005E5C8F"/>
    <w:rsid w:val="005E5DD6"/>
    <w:rsid w:val="005E5FCE"/>
    <w:rsid w:val="005E60DC"/>
    <w:rsid w:val="005E6281"/>
    <w:rsid w:val="005E6817"/>
    <w:rsid w:val="005E68C0"/>
    <w:rsid w:val="005E6925"/>
    <w:rsid w:val="005E6B13"/>
    <w:rsid w:val="005E6DF0"/>
    <w:rsid w:val="005E73D2"/>
    <w:rsid w:val="005E7FCC"/>
    <w:rsid w:val="005F015B"/>
    <w:rsid w:val="005F0342"/>
    <w:rsid w:val="005F09B0"/>
    <w:rsid w:val="005F0AA1"/>
    <w:rsid w:val="005F0ADA"/>
    <w:rsid w:val="005F0D8B"/>
    <w:rsid w:val="005F0F28"/>
    <w:rsid w:val="005F178B"/>
    <w:rsid w:val="005F17FD"/>
    <w:rsid w:val="005F1979"/>
    <w:rsid w:val="005F21CA"/>
    <w:rsid w:val="005F2588"/>
    <w:rsid w:val="005F2732"/>
    <w:rsid w:val="005F2BA8"/>
    <w:rsid w:val="005F2C0E"/>
    <w:rsid w:val="005F341D"/>
    <w:rsid w:val="005F3CC0"/>
    <w:rsid w:val="005F45E4"/>
    <w:rsid w:val="005F4AAD"/>
    <w:rsid w:val="005F4D49"/>
    <w:rsid w:val="005F5159"/>
    <w:rsid w:val="005F559D"/>
    <w:rsid w:val="005F55CA"/>
    <w:rsid w:val="005F5625"/>
    <w:rsid w:val="005F574A"/>
    <w:rsid w:val="005F58DD"/>
    <w:rsid w:val="005F5FB9"/>
    <w:rsid w:val="005F61A5"/>
    <w:rsid w:val="005F64B1"/>
    <w:rsid w:val="005F6B42"/>
    <w:rsid w:val="005F6FE3"/>
    <w:rsid w:val="005F7487"/>
    <w:rsid w:val="005F7535"/>
    <w:rsid w:val="005F77D9"/>
    <w:rsid w:val="005F7C43"/>
    <w:rsid w:val="005F7C48"/>
    <w:rsid w:val="005F7D5A"/>
    <w:rsid w:val="005F7D94"/>
    <w:rsid w:val="00600543"/>
    <w:rsid w:val="006006B7"/>
    <w:rsid w:val="006006EF"/>
    <w:rsid w:val="0060088C"/>
    <w:rsid w:val="00600AA0"/>
    <w:rsid w:val="00600E67"/>
    <w:rsid w:val="00601071"/>
    <w:rsid w:val="0060167C"/>
    <w:rsid w:val="006016E2"/>
    <w:rsid w:val="00601BC9"/>
    <w:rsid w:val="00601CA6"/>
    <w:rsid w:val="006020AD"/>
    <w:rsid w:val="006021AE"/>
    <w:rsid w:val="006022D8"/>
    <w:rsid w:val="006023A4"/>
    <w:rsid w:val="00602A44"/>
    <w:rsid w:val="00602F37"/>
    <w:rsid w:val="0060307A"/>
    <w:rsid w:val="006037A1"/>
    <w:rsid w:val="00604153"/>
    <w:rsid w:val="00604247"/>
    <w:rsid w:val="0060461C"/>
    <w:rsid w:val="00604A16"/>
    <w:rsid w:val="00605119"/>
    <w:rsid w:val="006052E8"/>
    <w:rsid w:val="00605427"/>
    <w:rsid w:val="006054E0"/>
    <w:rsid w:val="006058EC"/>
    <w:rsid w:val="00605C2C"/>
    <w:rsid w:val="00605FA5"/>
    <w:rsid w:val="0060665F"/>
    <w:rsid w:val="00606DD6"/>
    <w:rsid w:val="006072E5"/>
    <w:rsid w:val="00607C4E"/>
    <w:rsid w:val="006100CB"/>
    <w:rsid w:val="0061015F"/>
    <w:rsid w:val="006101E8"/>
    <w:rsid w:val="00610CF7"/>
    <w:rsid w:val="00610DF5"/>
    <w:rsid w:val="00611416"/>
    <w:rsid w:val="00611549"/>
    <w:rsid w:val="00611D36"/>
    <w:rsid w:val="0061228A"/>
    <w:rsid w:val="006122CE"/>
    <w:rsid w:val="00612A76"/>
    <w:rsid w:val="00613154"/>
    <w:rsid w:val="0061324F"/>
    <w:rsid w:val="006134FC"/>
    <w:rsid w:val="0061355B"/>
    <w:rsid w:val="006143BD"/>
    <w:rsid w:val="0061467C"/>
    <w:rsid w:val="00614D8B"/>
    <w:rsid w:val="00615014"/>
    <w:rsid w:val="00615769"/>
    <w:rsid w:val="0061592E"/>
    <w:rsid w:val="006160C0"/>
    <w:rsid w:val="0061623D"/>
    <w:rsid w:val="0061638C"/>
    <w:rsid w:val="00616459"/>
    <w:rsid w:val="0061670D"/>
    <w:rsid w:val="00616E83"/>
    <w:rsid w:val="00617445"/>
    <w:rsid w:val="006174E1"/>
    <w:rsid w:val="00617750"/>
    <w:rsid w:val="00617984"/>
    <w:rsid w:val="00617AE3"/>
    <w:rsid w:val="00617BD4"/>
    <w:rsid w:val="00620165"/>
    <w:rsid w:val="00621361"/>
    <w:rsid w:val="0062197D"/>
    <w:rsid w:val="00621F85"/>
    <w:rsid w:val="006220F1"/>
    <w:rsid w:val="0062225E"/>
    <w:rsid w:val="0062230B"/>
    <w:rsid w:val="00622A51"/>
    <w:rsid w:val="00622B30"/>
    <w:rsid w:val="00622CB6"/>
    <w:rsid w:val="00622F13"/>
    <w:rsid w:val="00623A03"/>
    <w:rsid w:val="00623ABC"/>
    <w:rsid w:val="00623CE8"/>
    <w:rsid w:val="0062466D"/>
    <w:rsid w:val="00624708"/>
    <w:rsid w:val="00624B0D"/>
    <w:rsid w:val="00624B55"/>
    <w:rsid w:val="00624BB6"/>
    <w:rsid w:val="00624D22"/>
    <w:rsid w:val="00624FA3"/>
    <w:rsid w:val="006257DC"/>
    <w:rsid w:val="00625D5F"/>
    <w:rsid w:val="00626118"/>
    <w:rsid w:val="006261B9"/>
    <w:rsid w:val="0062659C"/>
    <w:rsid w:val="006267F6"/>
    <w:rsid w:val="00626D34"/>
    <w:rsid w:val="0062709A"/>
    <w:rsid w:val="00627123"/>
    <w:rsid w:val="00627189"/>
    <w:rsid w:val="0062727D"/>
    <w:rsid w:val="00627578"/>
    <w:rsid w:val="006275A2"/>
    <w:rsid w:val="006275CA"/>
    <w:rsid w:val="00627782"/>
    <w:rsid w:val="0063048A"/>
    <w:rsid w:val="0063057A"/>
    <w:rsid w:val="0063082D"/>
    <w:rsid w:val="006309B0"/>
    <w:rsid w:val="00630AFA"/>
    <w:rsid w:val="00630DBE"/>
    <w:rsid w:val="006316B2"/>
    <w:rsid w:val="006317CD"/>
    <w:rsid w:val="006319D4"/>
    <w:rsid w:val="006321A4"/>
    <w:rsid w:val="00632888"/>
    <w:rsid w:val="006329B0"/>
    <w:rsid w:val="006330ED"/>
    <w:rsid w:val="006332EE"/>
    <w:rsid w:val="006333A6"/>
    <w:rsid w:val="00633472"/>
    <w:rsid w:val="0063364F"/>
    <w:rsid w:val="006342C9"/>
    <w:rsid w:val="006347C1"/>
    <w:rsid w:val="006347CA"/>
    <w:rsid w:val="00634AF1"/>
    <w:rsid w:val="00634C1D"/>
    <w:rsid w:val="006350BC"/>
    <w:rsid w:val="00635DAA"/>
    <w:rsid w:val="0063612D"/>
    <w:rsid w:val="00636278"/>
    <w:rsid w:val="006362EF"/>
    <w:rsid w:val="00636473"/>
    <w:rsid w:val="00636718"/>
    <w:rsid w:val="00636F31"/>
    <w:rsid w:val="00637460"/>
    <w:rsid w:val="0063764F"/>
    <w:rsid w:val="0063772E"/>
    <w:rsid w:val="00637962"/>
    <w:rsid w:val="00637D94"/>
    <w:rsid w:val="00637E02"/>
    <w:rsid w:val="006404A4"/>
    <w:rsid w:val="0064082B"/>
    <w:rsid w:val="00640CEB"/>
    <w:rsid w:val="00640DD0"/>
    <w:rsid w:val="00640F55"/>
    <w:rsid w:val="00640F6F"/>
    <w:rsid w:val="00640FDD"/>
    <w:rsid w:val="00641702"/>
    <w:rsid w:val="00641A68"/>
    <w:rsid w:val="00641D91"/>
    <w:rsid w:val="00641E8B"/>
    <w:rsid w:val="0064218B"/>
    <w:rsid w:val="00642201"/>
    <w:rsid w:val="0064244D"/>
    <w:rsid w:val="006425CD"/>
    <w:rsid w:val="006425D3"/>
    <w:rsid w:val="0064285B"/>
    <w:rsid w:val="0064295D"/>
    <w:rsid w:val="00642BDD"/>
    <w:rsid w:val="00642C32"/>
    <w:rsid w:val="006430DE"/>
    <w:rsid w:val="00643481"/>
    <w:rsid w:val="006436A2"/>
    <w:rsid w:val="00643FE5"/>
    <w:rsid w:val="00644052"/>
    <w:rsid w:val="00644324"/>
    <w:rsid w:val="00644B57"/>
    <w:rsid w:val="00644BA3"/>
    <w:rsid w:val="0064509E"/>
    <w:rsid w:val="00645211"/>
    <w:rsid w:val="006457BB"/>
    <w:rsid w:val="00645E3C"/>
    <w:rsid w:val="00645E90"/>
    <w:rsid w:val="0064611A"/>
    <w:rsid w:val="006461DA"/>
    <w:rsid w:val="0064627E"/>
    <w:rsid w:val="0064654C"/>
    <w:rsid w:val="00646AC9"/>
    <w:rsid w:val="00646CD2"/>
    <w:rsid w:val="00646ECC"/>
    <w:rsid w:val="00647081"/>
    <w:rsid w:val="0064751B"/>
    <w:rsid w:val="00647B2A"/>
    <w:rsid w:val="00647EA4"/>
    <w:rsid w:val="0065028D"/>
    <w:rsid w:val="00650526"/>
    <w:rsid w:val="0065053A"/>
    <w:rsid w:val="00650E01"/>
    <w:rsid w:val="00650F3A"/>
    <w:rsid w:val="006510AB"/>
    <w:rsid w:val="0065116A"/>
    <w:rsid w:val="0065136E"/>
    <w:rsid w:val="00651959"/>
    <w:rsid w:val="00651DA0"/>
    <w:rsid w:val="0065208C"/>
    <w:rsid w:val="00652614"/>
    <w:rsid w:val="0065274F"/>
    <w:rsid w:val="00652943"/>
    <w:rsid w:val="00652A40"/>
    <w:rsid w:val="00652FEF"/>
    <w:rsid w:val="00653070"/>
    <w:rsid w:val="00653421"/>
    <w:rsid w:val="0065342D"/>
    <w:rsid w:val="00653451"/>
    <w:rsid w:val="006536A9"/>
    <w:rsid w:val="006538DA"/>
    <w:rsid w:val="00653D84"/>
    <w:rsid w:val="00653E7C"/>
    <w:rsid w:val="00653FF4"/>
    <w:rsid w:val="00654091"/>
    <w:rsid w:val="006540C5"/>
    <w:rsid w:val="006541D5"/>
    <w:rsid w:val="00654AED"/>
    <w:rsid w:val="00654B6B"/>
    <w:rsid w:val="00655016"/>
    <w:rsid w:val="00655592"/>
    <w:rsid w:val="00655ADD"/>
    <w:rsid w:val="00655B44"/>
    <w:rsid w:val="0065612B"/>
    <w:rsid w:val="0065682A"/>
    <w:rsid w:val="0065724B"/>
    <w:rsid w:val="0065774B"/>
    <w:rsid w:val="006609C7"/>
    <w:rsid w:val="00660B59"/>
    <w:rsid w:val="00660D01"/>
    <w:rsid w:val="00660FBC"/>
    <w:rsid w:val="00661167"/>
    <w:rsid w:val="006611BD"/>
    <w:rsid w:val="00661605"/>
    <w:rsid w:val="00661758"/>
    <w:rsid w:val="00662A66"/>
    <w:rsid w:val="00662D84"/>
    <w:rsid w:val="006637F6"/>
    <w:rsid w:val="0066396E"/>
    <w:rsid w:val="00663A8C"/>
    <w:rsid w:val="00663C27"/>
    <w:rsid w:val="00664956"/>
    <w:rsid w:val="00664A93"/>
    <w:rsid w:val="00664C66"/>
    <w:rsid w:val="00664EFC"/>
    <w:rsid w:val="00665190"/>
    <w:rsid w:val="006654EE"/>
    <w:rsid w:val="00665DB1"/>
    <w:rsid w:val="00665DFE"/>
    <w:rsid w:val="00665E38"/>
    <w:rsid w:val="00666174"/>
    <w:rsid w:val="006661B7"/>
    <w:rsid w:val="00666612"/>
    <w:rsid w:val="00666689"/>
    <w:rsid w:val="0066679D"/>
    <w:rsid w:val="00666954"/>
    <w:rsid w:val="00666EC7"/>
    <w:rsid w:val="00666EF4"/>
    <w:rsid w:val="00666F94"/>
    <w:rsid w:val="00667679"/>
    <w:rsid w:val="006677C7"/>
    <w:rsid w:val="00667DAF"/>
    <w:rsid w:val="00667EAE"/>
    <w:rsid w:val="0067023F"/>
    <w:rsid w:val="006705DF"/>
    <w:rsid w:val="00670673"/>
    <w:rsid w:val="00670776"/>
    <w:rsid w:val="00670BF6"/>
    <w:rsid w:val="00671122"/>
    <w:rsid w:val="006714F8"/>
    <w:rsid w:val="006716E5"/>
    <w:rsid w:val="00671963"/>
    <w:rsid w:val="00671D01"/>
    <w:rsid w:val="00671D6F"/>
    <w:rsid w:val="00671EEC"/>
    <w:rsid w:val="00672067"/>
    <w:rsid w:val="00672208"/>
    <w:rsid w:val="0067229E"/>
    <w:rsid w:val="00672452"/>
    <w:rsid w:val="00672728"/>
    <w:rsid w:val="00672BCF"/>
    <w:rsid w:val="00672CE9"/>
    <w:rsid w:val="00672CF8"/>
    <w:rsid w:val="0067319C"/>
    <w:rsid w:val="0067321D"/>
    <w:rsid w:val="006732E7"/>
    <w:rsid w:val="00673350"/>
    <w:rsid w:val="006735C0"/>
    <w:rsid w:val="006738C6"/>
    <w:rsid w:val="00673938"/>
    <w:rsid w:val="00673EA8"/>
    <w:rsid w:val="00673FF6"/>
    <w:rsid w:val="006744F2"/>
    <w:rsid w:val="006747E7"/>
    <w:rsid w:val="006748BC"/>
    <w:rsid w:val="00674C79"/>
    <w:rsid w:val="00674D05"/>
    <w:rsid w:val="00674F2E"/>
    <w:rsid w:val="006755BC"/>
    <w:rsid w:val="00675848"/>
    <w:rsid w:val="00675878"/>
    <w:rsid w:val="00675D29"/>
    <w:rsid w:val="00675F3B"/>
    <w:rsid w:val="00676216"/>
    <w:rsid w:val="006765EC"/>
    <w:rsid w:val="00676700"/>
    <w:rsid w:val="0067680C"/>
    <w:rsid w:val="006769D4"/>
    <w:rsid w:val="00676AE7"/>
    <w:rsid w:val="00676D32"/>
    <w:rsid w:val="0067706A"/>
    <w:rsid w:val="00677209"/>
    <w:rsid w:val="0067746E"/>
    <w:rsid w:val="00680310"/>
    <w:rsid w:val="006807E6"/>
    <w:rsid w:val="00680BF3"/>
    <w:rsid w:val="00680D5A"/>
    <w:rsid w:val="00680DD1"/>
    <w:rsid w:val="00680ED5"/>
    <w:rsid w:val="00681631"/>
    <w:rsid w:val="006817BC"/>
    <w:rsid w:val="00681E70"/>
    <w:rsid w:val="00681E9A"/>
    <w:rsid w:val="006820FF"/>
    <w:rsid w:val="00682159"/>
    <w:rsid w:val="00682214"/>
    <w:rsid w:val="00682338"/>
    <w:rsid w:val="006830CB"/>
    <w:rsid w:val="006832AE"/>
    <w:rsid w:val="006838D4"/>
    <w:rsid w:val="00683AAC"/>
    <w:rsid w:val="00683FE2"/>
    <w:rsid w:val="00684297"/>
    <w:rsid w:val="006842D2"/>
    <w:rsid w:val="006843A8"/>
    <w:rsid w:val="006850E6"/>
    <w:rsid w:val="00685675"/>
    <w:rsid w:val="00685B28"/>
    <w:rsid w:val="00685E5F"/>
    <w:rsid w:val="00685F8F"/>
    <w:rsid w:val="00686041"/>
    <w:rsid w:val="0068635E"/>
    <w:rsid w:val="0068677F"/>
    <w:rsid w:val="00686D23"/>
    <w:rsid w:val="00687392"/>
    <w:rsid w:val="006873F2"/>
    <w:rsid w:val="00687575"/>
    <w:rsid w:val="006876E0"/>
    <w:rsid w:val="006877A1"/>
    <w:rsid w:val="006878A3"/>
    <w:rsid w:val="00687BF9"/>
    <w:rsid w:val="00687D12"/>
    <w:rsid w:val="00687D49"/>
    <w:rsid w:val="00689BF4"/>
    <w:rsid w:val="00689E1B"/>
    <w:rsid w:val="0068BB90"/>
    <w:rsid w:val="006900DF"/>
    <w:rsid w:val="006903E5"/>
    <w:rsid w:val="006906C5"/>
    <w:rsid w:val="00690D35"/>
    <w:rsid w:val="0069105E"/>
    <w:rsid w:val="00691103"/>
    <w:rsid w:val="00692199"/>
    <w:rsid w:val="0069232D"/>
    <w:rsid w:val="00692974"/>
    <w:rsid w:val="006932AB"/>
    <w:rsid w:val="006933D2"/>
    <w:rsid w:val="0069342E"/>
    <w:rsid w:val="00693499"/>
    <w:rsid w:val="00694994"/>
    <w:rsid w:val="00694A2F"/>
    <w:rsid w:val="00694A81"/>
    <w:rsid w:val="00694ED2"/>
    <w:rsid w:val="006957F4"/>
    <w:rsid w:val="00695823"/>
    <w:rsid w:val="006961E1"/>
    <w:rsid w:val="00696202"/>
    <w:rsid w:val="0069621F"/>
    <w:rsid w:val="006962BA"/>
    <w:rsid w:val="006967DA"/>
    <w:rsid w:val="00696F3A"/>
    <w:rsid w:val="006975AD"/>
    <w:rsid w:val="00697754"/>
    <w:rsid w:val="006A0236"/>
    <w:rsid w:val="006A02F9"/>
    <w:rsid w:val="006A0577"/>
    <w:rsid w:val="006A066F"/>
    <w:rsid w:val="006A099D"/>
    <w:rsid w:val="006A0D84"/>
    <w:rsid w:val="006A109D"/>
    <w:rsid w:val="006A10AC"/>
    <w:rsid w:val="006A11B8"/>
    <w:rsid w:val="006A1219"/>
    <w:rsid w:val="006A121A"/>
    <w:rsid w:val="006A12B2"/>
    <w:rsid w:val="006A1816"/>
    <w:rsid w:val="006A1972"/>
    <w:rsid w:val="006A2386"/>
    <w:rsid w:val="006A28A4"/>
    <w:rsid w:val="006A2E25"/>
    <w:rsid w:val="006A30DC"/>
    <w:rsid w:val="006A3B5C"/>
    <w:rsid w:val="006A426A"/>
    <w:rsid w:val="006A42D0"/>
    <w:rsid w:val="006A4337"/>
    <w:rsid w:val="006A438E"/>
    <w:rsid w:val="006A43A2"/>
    <w:rsid w:val="006A43AE"/>
    <w:rsid w:val="006A4968"/>
    <w:rsid w:val="006A4EA1"/>
    <w:rsid w:val="006A5110"/>
    <w:rsid w:val="006A5151"/>
    <w:rsid w:val="006A52DC"/>
    <w:rsid w:val="006A55CA"/>
    <w:rsid w:val="006A593C"/>
    <w:rsid w:val="006A5972"/>
    <w:rsid w:val="006A5B8D"/>
    <w:rsid w:val="006A6026"/>
    <w:rsid w:val="006A6DD5"/>
    <w:rsid w:val="006A727C"/>
    <w:rsid w:val="006A7408"/>
    <w:rsid w:val="006A74DB"/>
    <w:rsid w:val="006A78D2"/>
    <w:rsid w:val="006A7A23"/>
    <w:rsid w:val="006A7B29"/>
    <w:rsid w:val="006A7B62"/>
    <w:rsid w:val="006A7DD7"/>
    <w:rsid w:val="006A7E1F"/>
    <w:rsid w:val="006B0086"/>
    <w:rsid w:val="006B0443"/>
    <w:rsid w:val="006B1152"/>
    <w:rsid w:val="006B13CC"/>
    <w:rsid w:val="006B1625"/>
    <w:rsid w:val="006B19C3"/>
    <w:rsid w:val="006B1ACA"/>
    <w:rsid w:val="006B28BD"/>
    <w:rsid w:val="006B2D29"/>
    <w:rsid w:val="006B3118"/>
    <w:rsid w:val="006B3516"/>
    <w:rsid w:val="006B3532"/>
    <w:rsid w:val="006B3565"/>
    <w:rsid w:val="006B3949"/>
    <w:rsid w:val="006B3B87"/>
    <w:rsid w:val="006B4154"/>
    <w:rsid w:val="006B43F5"/>
    <w:rsid w:val="006B447C"/>
    <w:rsid w:val="006B4A6D"/>
    <w:rsid w:val="006B4EF8"/>
    <w:rsid w:val="006B5501"/>
    <w:rsid w:val="006B585A"/>
    <w:rsid w:val="006B6DA0"/>
    <w:rsid w:val="006B70BE"/>
    <w:rsid w:val="006B7B21"/>
    <w:rsid w:val="006B7B9F"/>
    <w:rsid w:val="006B7C0C"/>
    <w:rsid w:val="006C02E3"/>
    <w:rsid w:val="006C0317"/>
    <w:rsid w:val="006C0577"/>
    <w:rsid w:val="006C0606"/>
    <w:rsid w:val="006C09F2"/>
    <w:rsid w:val="006C0D9D"/>
    <w:rsid w:val="006C0EAA"/>
    <w:rsid w:val="006C148D"/>
    <w:rsid w:val="006C196A"/>
    <w:rsid w:val="006C1C9D"/>
    <w:rsid w:val="006C2B27"/>
    <w:rsid w:val="006C2C95"/>
    <w:rsid w:val="006C32CB"/>
    <w:rsid w:val="006C355D"/>
    <w:rsid w:val="006C365A"/>
    <w:rsid w:val="006C3802"/>
    <w:rsid w:val="006C3829"/>
    <w:rsid w:val="006C39B5"/>
    <w:rsid w:val="006C3E01"/>
    <w:rsid w:val="006C3E1F"/>
    <w:rsid w:val="006C4993"/>
    <w:rsid w:val="006C50A2"/>
    <w:rsid w:val="006C50E4"/>
    <w:rsid w:val="006C516D"/>
    <w:rsid w:val="006C5B3F"/>
    <w:rsid w:val="006C5CAF"/>
    <w:rsid w:val="006C5F24"/>
    <w:rsid w:val="006C5F4E"/>
    <w:rsid w:val="006C633B"/>
    <w:rsid w:val="006C6E56"/>
    <w:rsid w:val="006C6F64"/>
    <w:rsid w:val="006C7038"/>
    <w:rsid w:val="006C71BD"/>
    <w:rsid w:val="006C7778"/>
    <w:rsid w:val="006C7A05"/>
    <w:rsid w:val="006C7DBD"/>
    <w:rsid w:val="006D00CA"/>
    <w:rsid w:val="006D0A90"/>
    <w:rsid w:val="006D0FD3"/>
    <w:rsid w:val="006D11A3"/>
    <w:rsid w:val="006D12E2"/>
    <w:rsid w:val="006D17AE"/>
    <w:rsid w:val="006D18FD"/>
    <w:rsid w:val="006D1A46"/>
    <w:rsid w:val="006D1AE2"/>
    <w:rsid w:val="006D1B06"/>
    <w:rsid w:val="006D2181"/>
    <w:rsid w:val="006D2CF3"/>
    <w:rsid w:val="006D2F4F"/>
    <w:rsid w:val="006D319F"/>
    <w:rsid w:val="006D32C5"/>
    <w:rsid w:val="006D36E5"/>
    <w:rsid w:val="006D36F4"/>
    <w:rsid w:val="006D3B0B"/>
    <w:rsid w:val="006D3B58"/>
    <w:rsid w:val="006D4249"/>
    <w:rsid w:val="006D42FF"/>
    <w:rsid w:val="006D44EF"/>
    <w:rsid w:val="006D45A9"/>
    <w:rsid w:val="006D4668"/>
    <w:rsid w:val="006D495D"/>
    <w:rsid w:val="006D4EE6"/>
    <w:rsid w:val="006D50D1"/>
    <w:rsid w:val="006D5946"/>
    <w:rsid w:val="006D5A02"/>
    <w:rsid w:val="006D5E51"/>
    <w:rsid w:val="006D638A"/>
    <w:rsid w:val="006D63F9"/>
    <w:rsid w:val="006D6E29"/>
    <w:rsid w:val="006D6EDC"/>
    <w:rsid w:val="006D7352"/>
    <w:rsid w:val="006D75E7"/>
    <w:rsid w:val="006D774C"/>
    <w:rsid w:val="006D7BB2"/>
    <w:rsid w:val="006D7CDF"/>
    <w:rsid w:val="006E045E"/>
    <w:rsid w:val="006E04E2"/>
    <w:rsid w:val="006E0A71"/>
    <w:rsid w:val="006E134C"/>
    <w:rsid w:val="006E169F"/>
    <w:rsid w:val="006E17BB"/>
    <w:rsid w:val="006E18B1"/>
    <w:rsid w:val="006E1A43"/>
    <w:rsid w:val="006E1D7E"/>
    <w:rsid w:val="006E1EA6"/>
    <w:rsid w:val="006E204B"/>
    <w:rsid w:val="006E2103"/>
    <w:rsid w:val="006E23D9"/>
    <w:rsid w:val="006E241B"/>
    <w:rsid w:val="006E2622"/>
    <w:rsid w:val="006E2FA8"/>
    <w:rsid w:val="006E2FAC"/>
    <w:rsid w:val="006E34B4"/>
    <w:rsid w:val="006E3514"/>
    <w:rsid w:val="006E36BC"/>
    <w:rsid w:val="006E383A"/>
    <w:rsid w:val="006E3DA6"/>
    <w:rsid w:val="006E468F"/>
    <w:rsid w:val="006E4816"/>
    <w:rsid w:val="006E4C4C"/>
    <w:rsid w:val="006E4C93"/>
    <w:rsid w:val="006E4E98"/>
    <w:rsid w:val="006E50EB"/>
    <w:rsid w:val="006E51C6"/>
    <w:rsid w:val="006E5E6C"/>
    <w:rsid w:val="006E5E87"/>
    <w:rsid w:val="006E5F13"/>
    <w:rsid w:val="006E6059"/>
    <w:rsid w:val="006E635E"/>
    <w:rsid w:val="006E651B"/>
    <w:rsid w:val="006E683F"/>
    <w:rsid w:val="006E6CFF"/>
    <w:rsid w:val="006E706B"/>
    <w:rsid w:val="006E73BC"/>
    <w:rsid w:val="006E7509"/>
    <w:rsid w:val="006E760A"/>
    <w:rsid w:val="006E7982"/>
    <w:rsid w:val="006E7CEC"/>
    <w:rsid w:val="006E7E4E"/>
    <w:rsid w:val="006F0323"/>
    <w:rsid w:val="006F04C7"/>
    <w:rsid w:val="006F0A79"/>
    <w:rsid w:val="006F114E"/>
    <w:rsid w:val="006F174C"/>
    <w:rsid w:val="006F186A"/>
    <w:rsid w:val="006F1907"/>
    <w:rsid w:val="006F1CF1"/>
    <w:rsid w:val="006F1D04"/>
    <w:rsid w:val="006F20B1"/>
    <w:rsid w:val="006F2711"/>
    <w:rsid w:val="006F2A0C"/>
    <w:rsid w:val="006F2E64"/>
    <w:rsid w:val="006F3CA1"/>
    <w:rsid w:val="006F3D26"/>
    <w:rsid w:val="006F3EB8"/>
    <w:rsid w:val="006F4215"/>
    <w:rsid w:val="006F424B"/>
    <w:rsid w:val="006F4F8E"/>
    <w:rsid w:val="006F5D73"/>
    <w:rsid w:val="006F65E9"/>
    <w:rsid w:val="006F6D70"/>
    <w:rsid w:val="006F6E84"/>
    <w:rsid w:val="006F6FDF"/>
    <w:rsid w:val="006F789E"/>
    <w:rsid w:val="006F79EB"/>
    <w:rsid w:val="006F7CAF"/>
    <w:rsid w:val="0070001B"/>
    <w:rsid w:val="00700553"/>
    <w:rsid w:val="007005C7"/>
    <w:rsid w:val="00700C1B"/>
    <w:rsid w:val="00700D60"/>
    <w:rsid w:val="00701384"/>
    <w:rsid w:val="00701431"/>
    <w:rsid w:val="0070146B"/>
    <w:rsid w:val="007018AC"/>
    <w:rsid w:val="00701CD7"/>
    <w:rsid w:val="00701F63"/>
    <w:rsid w:val="0070220B"/>
    <w:rsid w:val="007023C4"/>
    <w:rsid w:val="00702609"/>
    <w:rsid w:val="007027FE"/>
    <w:rsid w:val="00702808"/>
    <w:rsid w:val="0070313C"/>
    <w:rsid w:val="0070315A"/>
    <w:rsid w:val="00703219"/>
    <w:rsid w:val="00703487"/>
    <w:rsid w:val="00703C34"/>
    <w:rsid w:val="00703C48"/>
    <w:rsid w:val="00703F99"/>
    <w:rsid w:val="007040F2"/>
    <w:rsid w:val="0070431A"/>
    <w:rsid w:val="00704722"/>
    <w:rsid w:val="00705506"/>
    <w:rsid w:val="00705665"/>
    <w:rsid w:val="0070571C"/>
    <w:rsid w:val="00705800"/>
    <w:rsid w:val="00707187"/>
    <w:rsid w:val="007073AD"/>
    <w:rsid w:val="00707989"/>
    <w:rsid w:val="00707B74"/>
    <w:rsid w:val="00707CFD"/>
    <w:rsid w:val="00707D84"/>
    <w:rsid w:val="00707E5B"/>
    <w:rsid w:val="00707EEB"/>
    <w:rsid w:val="00710282"/>
    <w:rsid w:val="00710717"/>
    <w:rsid w:val="00710D7B"/>
    <w:rsid w:val="00710DF3"/>
    <w:rsid w:val="0071141A"/>
    <w:rsid w:val="00711B38"/>
    <w:rsid w:val="00711B81"/>
    <w:rsid w:val="00711F43"/>
    <w:rsid w:val="007124D8"/>
    <w:rsid w:val="007126A8"/>
    <w:rsid w:val="00712B46"/>
    <w:rsid w:val="00713184"/>
    <w:rsid w:val="00713196"/>
    <w:rsid w:val="00713210"/>
    <w:rsid w:val="007132CF"/>
    <w:rsid w:val="00713357"/>
    <w:rsid w:val="0071384D"/>
    <w:rsid w:val="00713FA3"/>
    <w:rsid w:val="007146D6"/>
    <w:rsid w:val="00714A82"/>
    <w:rsid w:val="00714B60"/>
    <w:rsid w:val="00714E9F"/>
    <w:rsid w:val="0071505A"/>
    <w:rsid w:val="00715ACD"/>
    <w:rsid w:val="00715C93"/>
    <w:rsid w:val="00715D14"/>
    <w:rsid w:val="00715DC8"/>
    <w:rsid w:val="00715DE8"/>
    <w:rsid w:val="007167FC"/>
    <w:rsid w:val="00716B65"/>
    <w:rsid w:val="00717501"/>
    <w:rsid w:val="00717924"/>
    <w:rsid w:val="00717BC1"/>
    <w:rsid w:val="00717C4A"/>
    <w:rsid w:val="0071AC8D"/>
    <w:rsid w:val="0072021F"/>
    <w:rsid w:val="00720346"/>
    <w:rsid w:val="007203E8"/>
    <w:rsid w:val="0072046F"/>
    <w:rsid w:val="00720529"/>
    <w:rsid w:val="00720535"/>
    <w:rsid w:val="007206D0"/>
    <w:rsid w:val="007211EE"/>
    <w:rsid w:val="00721667"/>
    <w:rsid w:val="007216A0"/>
    <w:rsid w:val="007217B5"/>
    <w:rsid w:val="00721B61"/>
    <w:rsid w:val="00721D38"/>
    <w:rsid w:val="00721FB5"/>
    <w:rsid w:val="00721FC1"/>
    <w:rsid w:val="00722073"/>
    <w:rsid w:val="007220F1"/>
    <w:rsid w:val="007223AF"/>
    <w:rsid w:val="007225A3"/>
    <w:rsid w:val="007227E3"/>
    <w:rsid w:val="00723A56"/>
    <w:rsid w:val="00723CFA"/>
    <w:rsid w:val="00723FF4"/>
    <w:rsid w:val="00724001"/>
    <w:rsid w:val="0072496E"/>
    <w:rsid w:val="00725272"/>
    <w:rsid w:val="00725C26"/>
    <w:rsid w:val="00725C9F"/>
    <w:rsid w:val="00725CAD"/>
    <w:rsid w:val="00725EC2"/>
    <w:rsid w:val="00725FCF"/>
    <w:rsid w:val="00726383"/>
    <w:rsid w:val="00726A22"/>
    <w:rsid w:val="00727247"/>
    <w:rsid w:val="00727488"/>
    <w:rsid w:val="00727491"/>
    <w:rsid w:val="00727878"/>
    <w:rsid w:val="00727B31"/>
    <w:rsid w:val="0073001C"/>
    <w:rsid w:val="00730182"/>
    <w:rsid w:val="00730475"/>
    <w:rsid w:val="00730655"/>
    <w:rsid w:val="007306F0"/>
    <w:rsid w:val="00730B63"/>
    <w:rsid w:val="00731256"/>
    <w:rsid w:val="0073174E"/>
    <w:rsid w:val="007317AC"/>
    <w:rsid w:val="00731C3B"/>
    <w:rsid w:val="00732992"/>
    <w:rsid w:val="00732A5C"/>
    <w:rsid w:val="00732FD6"/>
    <w:rsid w:val="007332F8"/>
    <w:rsid w:val="00733312"/>
    <w:rsid w:val="00733C9B"/>
    <w:rsid w:val="00733CAF"/>
    <w:rsid w:val="00733E7A"/>
    <w:rsid w:val="0073458A"/>
    <w:rsid w:val="007345BF"/>
    <w:rsid w:val="00734612"/>
    <w:rsid w:val="00734886"/>
    <w:rsid w:val="00734957"/>
    <w:rsid w:val="00734FA6"/>
    <w:rsid w:val="00735975"/>
    <w:rsid w:val="00736812"/>
    <w:rsid w:val="0073751E"/>
    <w:rsid w:val="00737AEC"/>
    <w:rsid w:val="00737B16"/>
    <w:rsid w:val="00737D9E"/>
    <w:rsid w:val="0074071C"/>
    <w:rsid w:val="00740A1A"/>
    <w:rsid w:val="00740A5C"/>
    <w:rsid w:val="00741065"/>
    <w:rsid w:val="00741600"/>
    <w:rsid w:val="00741A63"/>
    <w:rsid w:val="00741C19"/>
    <w:rsid w:val="00742106"/>
    <w:rsid w:val="0074259F"/>
    <w:rsid w:val="0074290D"/>
    <w:rsid w:val="00742953"/>
    <w:rsid w:val="0074295B"/>
    <w:rsid w:val="00742DA3"/>
    <w:rsid w:val="00743137"/>
    <w:rsid w:val="0074327F"/>
    <w:rsid w:val="0074361B"/>
    <w:rsid w:val="007438FA"/>
    <w:rsid w:val="007442A5"/>
    <w:rsid w:val="007449B1"/>
    <w:rsid w:val="00744A55"/>
    <w:rsid w:val="00744B33"/>
    <w:rsid w:val="00745479"/>
    <w:rsid w:val="00745B10"/>
    <w:rsid w:val="00745B42"/>
    <w:rsid w:val="00745B6A"/>
    <w:rsid w:val="007461DE"/>
    <w:rsid w:val="00746A1D"/>
    <w:rsid w:val="00746C7A"/>
    <w:rsid w:val="00747319"/>
    <w:rsid w:val="00747563"/>
    <w:rsid w:val="007475A3"/>
    <w:rsid w:val="00747A4A"/>
    <w:rsid w:val="00747E2E"/>
    <w:rsid w:val="00747E5E"/>
    <w:rsid w:val="00747EE2"/>
    <w:rsid w:val="007502AB"/>
    <w:rsid w:val="00750A3F"/>
    <w:rsid w:val="00750BD7"/>
    <w:rsid w:val="00750BE5"/>
    <w:rsid w:val="0075108E"/>
    <w:rsid w:val="00751365"/>
    <w:rsid w:val="00751597"/>
    <w:rsid w:val="00751A47"/>
    <w:rsid w:val="00751DB9"/>
    <w:rsid w:val="00751E04"/>
    <w:rsid w:val="0075202F"/>
    <w:rsid w:val="00752151"/>
    <w:rsid w:val="00752153"/>
    <w:rsid w:val="00752298"/>
    <w:rsid w:val="00752365"/>
    <w:rsid w:val="00752425"/>
    <w:rsid w:val="0075297D"/>
    <w:rsid w:val="00753186"/>
    <w:rsid w:val="00753422"/>
    <w:rsid w:val="007537EE"/>
    <w:rsid w:val="007538F7"/>
    <w:rsid w:val="00753A80"/>
    <w:rsid w:val="00753B6C"/>
    <w:rsid w:val="00753D62"/>
    <w:rsid w:val="00753EEA"/>
    <w:rsid w:val="0075401B"/>
    <w:rsid w:val="007544B5"/>
    <w:rsid w:val="0075452A"/>
    <w:rsid w:val="00754B7C"/>
    <w:rsid w:val="00754DB0"/>
    <w:rsid w:val="00755336"/>
    <w:rsid w:val="00755C1F"/>
    <w:rsid w:val="007560F6"/>
    <w:rsid w:val="007561E2"/>
    <w:rsid w:val="00756221"/>
    <w:rsid w:val="007562D1"/>
    <w:rsid w:val="00756368"/>
    <w:rsid w:val="00756428"/>
    <w:rsid w:val="00756738"/>
    <w:rsid w:val="0075685A"/>
    <w:rsid w:val="007572CA"/>
    <w:rsid w:val="00757436"/>
    <w:rsid w:val="00757630"/>
    <w:rsid w:val="00757646"/>
    <w:rsid w:val="00757731"/>
    <w:rsid w:val="0075779F"/>
    <w:rsid w:val="007577E0"/>
    <w:rsid w:val="007579B9"/>
    <w:rsid w:val="007579EB"/>
    <w:rsid w:val="00757F28"/>
    <w:rsid w:val="00760528"/>
    <w:rsid w:val="007605E8"/>
    <w:rsid w:val="0076107F"/>
    <w:rsid w:val="007612AE"/>
    <w:rsid w:val="0076133A"/>
    <w:rsid w:val="0076157C"/>
    <w:rsid w:val="007615BA"/>
    <w:rsid w:val="00761AB1"/>
    <w:rsid w:val="0076208E"/>
    <w:rsid w:val="00762476"/>
    <w:rsid w:val="00762BFE"/>
    <w:rsid w:val="00762C64"/>
    <w:rsid w:val="00762D95"/>
    <w:rsid w:val="00762FCE"/>
    <w:rsid w:val="0076334A"/>
    <w:rsid w:val="007634FE"/>
    <w:rsid w:val="007635D1"/>
    <w:rsid w:val="0076375C"/>
    <w:rsid w:val="007639B4"/>
    <w:rsid w:val="00763AFC"/>
    <w:rsid w:val="00763B29"/>
    <w:rsid w:val="00763CD1"/>
    <w:rsid w:val="00763D25"/>
    <w:rsid w:val="00763DED"/>
    <w:rsid w:val="007644BB"/>
    <w:rsid w:val="007645BE"/>
    <w:rsid w:val="00764602"/>
    <w:rsid w:val="007649A6"/>
    <w:rsid w:val="00764A7D"/>
    <w:rsid w:val="00764B05"/>
    <w:rsid w:val="00764E6B"/>
    <w:rsid w:val="00765468"/>
    <w:rsid w:val="0076589B"/>
    <w:rsid w:val="00765C33"/>
    <w:rsid w:val="00766BE6"/>
    <w:rsid w:val="00766D5E"/>
    <w:rsid w:val="00766F93"/>
    <w:rsid w:val="00767265"/>
    <w:rsid w:val="00767365"/>
    <w:rsid w:val="0076787A"/>
    <w:rsid w:val="00767D77"/>
    <w:rsid w:val="0077031F"/>
    <w:rsid w:val="007703A8"/>
    <w:rsid w:val="00770745"/>
    <w:rsid w:val="007708F8"/>
    <w:rsid w:val="0077119E"/>
    <w:rsid w:val="007711C9"/>
    <w:rsid w:val="0077157E"/>
    <w:rsid w:val="007716EE"/>
    <w:rsid w:val="007726B8"/>
    <w:rsid w:val="00772822"/>
    <w:rsid w:val="007728CB"/>
    <w:rsid w:val="00772B03"/>
    <w:rsid w:val="00772DA2"/>
    <w:rsid w:val="00772E1D"/>
    <w:rsid w:val="0077331D"/>
    <w:rsid w:val="00773F32"/>
    <w:rsid w:val="0077453A"/>
    <w:rsid w:val="00774A97"/>
    <w:rsid w:val="00774EB1"/>
    <w:rsid w:val="00774F83"/>
    <w:rsid w:val="0077510D"/>
    <w:rsid w:val="007752C8"/>
    <w:rsid w:val="007759E8"/>
    <w:rsid w:val="00775F91"/>
    <w:rsid w:val="0077640F"/>
    <w:rsid w:val="00776622"/>
    <w:rsid w:val="00776919"/>
    <w:rsid w:val="00776CAA"/>
    <w:rsid w:val="00777202"/>
    <w:rsid w:val="00777338"/>
    <w:rsid w:val="007775CB"/>
    <w:rsid w:val="00777C3E"/>
    <w:rsid w:val="00777D95"/>
    <w:rsid w:val="00777DA8"/>
    <w:rsid w:val="007800AF"/>
    <w:rsid w:val="00780A2F"/>
    <w:rsid w:val="00780A69"/>
    <w:rsid w:val="00780D2F"/>
    <w:rsid w:val="00780D50"/>
    <w:rsid w:val="00780DC6"/>
    <w:rsid w:val="00781346"/>
    <w:rsid w:val="0078141E"/>
    <w:rsid w:val="007816A1"/>
    <w:rsid w:val="00781A37"/>
    <w:rsid w:val="00781AEE"/>
    <w:rsid w:val="00781D44"/>
    <w:rsid w:val="007822E2"/>
    <w:rsid w:val="00782431"/>
    <w:rsid w:val="007827A3"/>
    <w:rsid w:val="0078280B"/>
    <w:rsid w:val="007832B1"/>
    <w:rsid w:val="00783738"/>
    <w:rsid w:val="007839CB"/>
    <w:rsid w:val="007839CE"/>
    <w:rsid w:val="00783C80"/>
    <w:rsid w:val="00784256"/>
    <w:rsid w:val="00784932"/>
    <w:rsid w:val="00784E5E"/>
    <w:rsid w:val="00784F70"/>
    <w:rsid w:val="007853B7"/>
    <w:rsid w:val="00785E38"/>
    <w:rsid w:val="00785F6D"/>
    <w:rsid w:val="0078602B"/>
    <w:rsid w:val="00786213"/>
    <w:rsid w:val="0078656F"/>
    <w:rsid w:val="007866CC"/>
    <w:rsid w:val="00786F95"/>
    <w:rsid w:val="00787521"/>
    <w:rsid w:val="0078771A"/>
    <w:rsid w:val="0078784E"/>
    <w:rsid w:val="0078786A"/>
    <w:rsid w:val="00787B8D"/>
    <w:rsid w:val="00787FB0"/>
    <w:rsid w:val="0079007A"/>
    <w:rsid w:val="007900F4"/>
    <w:rsid w:val="007902F8"/>
    <w:rsid w:val="007903CD"/>
    <w:rsid w:val="00790604"/>
    <w:rsid w:val="007907FF"/>
    <w:rsid w:val="00790A0D"/>
    <w:rsid w:val="00790C52"/>
    <w:rsid w:val="00790D0C"/>
    <w:rsid w:val="00791459"/>
    <w:rsid w:val="0079172C"/>
    <w:rsid w:val="00791DAE"/>
    <w:rsid w:val="00791E3F"/>
    <w:rsid w:val="00791FD3"/>
    <w:rsid w:val="007924D3"/>
    <w:rsid w:val="007925AE"/>
    <w:rsid w:val="00792D25"/>
    <w:rsid w:val="00792DAC"/>
    <w:rsid w:val="00792F35"/>
    <w:rsid w:val="00793533"/>
    <w:rsid w:val="00793E6F"/>
    <w:rsid w:val="00793EE8"/>
    <w:rsid w:val="00793F03"/>
    <w:rsid w:val="00793FCC"/>
    <w:rsid w:val="007941D5"/>
    <w:rsid w:val="007943E5"/>
    <w:rsid w:val="00794710"/>
    <w:rsid w:val="00794B29"/>
    <w:rsid w:val="00794F21"/>
    <w:rsid w:val="00795076"/>
    <w:rsid w:val="0079511A"/>
    <w:rsid w:val="007951C4"/>
    <w:rsid w:val="007953AC"/>
    <w:rsid w:val="007956CB"/>
    <w:rsid w:val="007956FA"/>
    <w:rsid w:val="00795C68"/>
    <w:rsid w:val="00795EEA"/>
    <w:rsid w:val="00795F34"/>
    <w:rsid w:val="00796538"/>
    <w:rsid w:val="007965CD"/>
    <w:rsid w:val="00796A26"/>
    <w:rsid w:val="00796F42"/>
    <w:rsid w:val="00796F55"/>
    <w:rsid w:val="00797094"/>
    <w:rsid w:val="007970D7"/>
    <w:rsid w:val="00797188"/>
    <w:rsid w:val="007975AE"/>
    <w:rsid w:val="00797CCF"/>
    <w:rsid w:val="007A0031"/>
    <w:rsid w:val="007A008F"/>
    <w:rsid w:val="007A01E8"/>
    <w:rsid w:val="007A026A"/>
    <w:rsid w:val="007A027E"/>
    <w:rsid w:val="007A174A"/>
    <w:rsid w:val="007A1776"/>
    <w:rsid w:val="007A1872"/>
    <w:rsid w:val="007A1A8C"/>
    <w:rsid w:val="007A2164"/>
    <w:rsid w:val="007A26B7"/>
    <w:rsid w:val="007A2BA9"/>
    <w:rsid w:val="007A2C64"/>
    <w:rsid w:val="007A2DB5"/>
    <w:rsid w:val="007A3171"/>
    <w:rsid w:val="007A39AA"/>
    <w:rsid w:val="007A3C9E"/>
    <w:rsid w:val="007A4261"/>
    <w:rsid w:val="007A4395"/>
    <w:rsid w:val="007A44FE"/>
    <w:rsid w:val="007A4666"/>
    <w:rsid w:val="007A46E7"/>
    <w:rsid w:val="007A4E90"/>
    <w:rsid w:val="007A56BF"/>
    <w:rsid w:val="007A58CC"/>
    <w:rsid w:val="007A5B52"/>
    <w:rsid w:val="007A5C01"/>
    <w:rsid w:val="007A6154"/>
    <w:rsid w:val="007A63E8"/>
    <w:rsid w:val="007A6760"/>
    <w:rsid w:val="007A68DD"/>
    <w:rsid w:val="007A68FE"/>
    <w:rsid w:val="007A6916"/>
    <w:rsid w:val="007A6ABD"/>
    <w:rsid w:val="007A6BA1"/>
    <w:rsid w:val="007A74DF"/>
    <w:rsid w:val="007A750C"/>
    <w:rsid w:val="007A7913"/>
    <w:rsid w:val="007A7CFB"/>
    <w:rsid w:val="007A7D99"/>
    <w:rsid w:val="007A8DE0"/>
    <w:rsid w:val="007B0008"/>
    <w:rsid w:val="007B008C"/>
    <w:rsid w:val="007B030A"/>
    <w:rsid w:val="007B068D"/>
    <w:rsid w:val="007B076B"/>
    <w:rsid w:val="007B09F7"/>
    <w:rsid w:val="007B0F83"/>
    <w:rsid w:val="007B112B"/>
    <w:rsid w:val="007B1284"/>
    <w:rsid w:val="007B12AF"/>
    <w:rsid w:val="007B1538"/>
    <w:rsid w:val="007B1990"/>
    <w:rsid w:val="007B20AD"/>
    <w:rsid w:val="007B2299"/>
    <w:rsid w:val="007B2388"/>
    <w:rsid w:val="007B2434"/>
    <w:rsid w:val="007B2764"/>
    <w:rsid w:val="007B31C8"/>
    <w:rsid w:val="007B3241"/>
    <w:rsid w:val="007B33FB"/>
    <w:rsid w:val="007B34AC"/>
    <w:rsid w:val="007B3576"/>
    <w:rsid w:val="007B3692"/>
    <w:rsid w:val="007B384F"/>
    <w:rsid w:val="007B3B10"/>
    <w:rsid w:val="007B3F37"/>
    <w:rsid w:val="007B4256"/>
    <w:rsid w:val="007B430F"/>
    <w:rsid w:val="007B4638"/>
    <w:rsid w:val="007B4795"/>
    <w:rsid w:val="007B47F3"/>
    <w:rsid w:val="007B48E0"/>
    <w:rsid w:val="007B4F8B"/>
    <w:rsid w:val="007B5008"/>
    <w:rsid w:val="007B552E"/>
    <w:rsid w:val="007B55BB"/>
    <w:rsid w:val="007B5710"/>
    <w:rsid w:val="007B5792"/>
    <w:rsid w:val="007B5DD1"/>
    <w:rsid w:val="007B5EF0"/>
    <w:rsid w:val="007B60B9"/>
    <w:rsid w:val="007B6A82"/>
    <w:rsid w:val="007B7155"/>
    <w:rsid w:val="007B743D"/>
    <w:rsid w:val="007B7ADC"/>
    <w:rsid w:val="007B7FCF"/>
    <w:rsid w:val="007B7FFD"/>
    <w:rsid w:val="007C0252"/>
    <w:rsid w:val="007C0444"/>
    <w:rsid w:val="007C063A"/>
    <w:rsid w:val="007C0EDE"/>
    <w:rsid w:val="007C0F4A"/>
    <w:rsid w:val="007C1029"/>
    <w:rsid w:val="007C11D0"/>
    <w:rsid w:val="007C14A5"/>
    <w:rsid w:val="007C1755"/>
    <w:rsid w:val="007C1982"/>
    <w:rsid w:val="007C1ABE"/>
    <w:rsid w:val="007C1B88"/>
    <w:rsid w:val="007C25B6"/>
    <w:rsid w:val="007C25DE"/>
    <w:rsid w:val="007C2603"/>
    <w:rsid w:val="007C27AB"/>
    <w:rsid w:val="007C290A"/>
    <w:rsid w:val="007C2FEB"/>
    <w:rsid w:val="007C32DD"/>
    <w:rsid w:val="007C332A"/>
    <w:rsid w:val="007C37D0"/>
    <w:rsid w:val="007C39DF"/>
    <w:rsid w:val="007C43E4"/>
    <w:rsid w:val="007C43EE"/>
    <w:rsid w:val="007C49DC"/>
    <w:rsid w:val="007C4A2B"/>
    <w:rsid w:val="007C5084"/>
    <w:rsid w:val="007C51DE"/>
    <w:rsid w:val="007C5447"/>
    <w:rsid w:val="007C57D4"/>
    <w:rsid w:val="007C5DA7"/>
    <w:rsid w:val="007C5F83"/>
    <w:rsid w:val="007C663B"/>
    <w:rsid w:val="007C6936"/>
    <w:rsid w:val="007C6F19"/>
    <w:rsid w:val="007C6F22"/>
    <w:rsid w:val="007C7834"/>
    <w:rsid w:val="007C783C"/>
    <w:rsid w:val="007C7A05"/>
    <w:rsid w:val="007C7EDA"/>
    <w:rsid w:val="007D00DB"/>
    <w:rsid w:val="007D04EF"/>
    <w:rsid w:val="007D0651"/>
    <w:rsid w:val="007D0A14"/>
    <w:rsid w:val="007D0C03"/>
    <w:rsid w:val="007D0E25"/>
    <w:rsid w:val="007D14B4"/>
    <w:rsid w:val="007D1A79"/>
    <w:rsid w:val="007D1C1E"/>
    <w:rsid w:val="007D1FCA"/>
    <w:rsid w:val="007D20F6"/>
    <w:rsid w:val="007D2C2E"/>
    <w:rsid w:val="007D2E82"/>
    <w:rsid w:val="007D31E7"/>
    <w:rsid w:val="007D323E"/>
    <w:rsid w:val="007D3A99"/>
    <w:rsid w:val="007D45EF"/>
    <w:rsid w:val="007D52AF"/>
    <w:rsid w:val="007D542B"/>
    <w:rsid w:val="007D58DE"/>
    <w:rsid w:val="007D6CA2"/>
    <w:rsid w:val="007D71BF"/>
    <w:rsid w:val="007D7452"/>
    <w:rsid w:val="007D752B"/>
    <w:rsid w:val="007D77DF"/>
    <w:rsid w:val="007D7BBD"/>
    <w:rsid w:val="007E01D0"/>
    <w:rsid w:val="007E041C"/>
    <w:rsid w:val="007E04EB"/>
    <w:rsid w:val="007E08D2"/>
    <w:rsid w:val="007E0918"/>
    <w:rsid w:val="007E1303"/>
    <w:rsid w:val="007E14B6"/>
    <w:rsid w:val="007E1730"/>
    <w:rsid w:val="007E18E8"/>
    <w:rsid w:val="007E1D70"/>
    <w:rsid w:val="007E22C4"/>
    <w:rsid w:val="007E292A"/>
    <w:rsid w:val="007E2E50"/>
    <w:rsid w:val="007E3107"/>
    <w:rsid w:val="007E32CA"/>
    <w:rsid w:val="007E3527"/>
    <w:rsid w:val="007E369D"/>
    <w:rsid w:val="007E414D"/>
    <w:rsid w:val="007E42BC"/>
    <w:rsid w:val="007E42D5"/>
    <w:rsid w:val="007E43C6"/>
    <w:rsid w:val="007E446D"/>
    <w:rsid w:val="007E4758"/>
    <w:rsid w:val="007E4F66"/>
    <w:rsid w:val="007E5211"/>
    <w:rsid w:val="007E5E61"/>
    <w:rsid w:val="007E5F6C"/>
    <w:rsid w:val="007E602A"/>
    <w:rsid w:val="007E6301"/>
    <w:rsid w:val="007E6303"/>
    <w:rsid w:val="007E641E"/>
    <w:rsid w:val="007E64E3"/>
    <w:rsid w:val="007E7197"/>
    <w:rsid w:val="007E7327"/>
    <w:rsid w:val="007E732E"/>
    <w:rsid w:val="007E745E"/>
    <w:rsid w:val="007E74FE"/>
    <w:rsid w:val="007E7612"/>
    <w:rsid w:val="007E79FB"/>
    <w:rsid w:val="007E7BC2"/>
    <w:rsid w:val="007F0696"/>
    <w:rsid w:val="007F07F4"/>
    <w:rsid w:val="007F08A9"/>
    <w:rsid w:val="007F08C0"/>
    <w:rsid w:val="007F0AC4"/>
    <w:rsid w:val="007F10F1"/>
    <w:rsid w:val="007F10FE"/>
    <w:rsid w:val="007F13DD"/>
    <w:rsid w:val="007F1892"/>
    <w:rsid w:val="007F1947"/>
    <w:rsid w:val="007F1C3E"/>
    <w:rsid w:val="007F248D"/>
    <w:rsid w:val="007F265D"/>
    <w:rsid w:val="007F26A1"/>
    <w:rsid w:val="007F2797"/>
    <w:rsid w:val="007F2B8F"/>
    <w:rsid w:val="007F32C5"/>
    <w:rsid w:val="007F3398"/>
    <w:rsid w:val="007F366F"/>
    <w:rsid w:val="007F373A"/>
    <w:rsid w:val="007F3DF8"/>
    <w:rsid w:val="007F4308"/>
    <w:rsid w:val="007F4700"/>
    <w:rsid w:val="007F4B89"/>
    <w:rsid w:val="007F56E4"/>
    <w:rsid w:val="007F586A"/>
    <w:rsid w:val="007F5B0A"/>
    <w:rsid w:val="007F5E98"/>
    <w:rsid w:val="007F5EFA"/>
    <w:rsid w:val="007F6438"/>
    <w:rsid w:val="007F66A6"/>
    <w:rsid w:val="007F6848"/>
    <w:rsid w:val="007F6A07"/>
    <w:rsid w:val="007F6A95"/>
    <w:rsid w:val="007F712A"/>
    <w:rsid w:val="007F7228"/>
    <w:rsid w:val="007F7771"/>
    <w:rsid w:val="007F7D23"/>
    <w:rsid w:val="007F7FAE"/>
    <w:rsid w:val="0080040E"/>
    <w:rsid w:val="0080050A"/>
    <w:rsid w:val="008005BB"/>
    <w:rsid w:val="00800823"/>
    <w:rsid w:val="00801357"/>
    <w:rsid w:val="008014AA"/>
    <w:rsid w:val="0080169E"/>
    <w:rsid w:val="00801A37"/>
    <w:rsid w:val="00801AD2"/>
    <w:rsid w:val="00801FDF"/>
    <w:rsid w:val="00802251"/>
    <w:rsid w:val="00802494"/>
    <w:rsid w:val="008025BC"/>
    <w:rsid w:val="00802778"/>
    <w:rsid w:val="00802936"/>
    <w:rsid w:val="00802C9D"/>
    <w:rsid w:val="00802DAC"/>
    <w:rsid w:val="00802F21"/>
    <w:rsid w:val="008037A4"/>
    <w:rsid w:val="00804212"/>
    <w:rsid w:val="008043C9"/>
    <w:rsid w:val="008045CB"/>
    <w:rsid w:val="00804F38"/>
    <w:rsid w:val="008050E0"/>
    <w:rsid w:val="00805523"/>
    <w:rsid w:val="008055B4"/>
    <w:rsid w:val="008055EE"/>
    <w:rsid w:val="008057E0"/>
    <w:rsid w:val="00805869"/>
    <w:rsid w:val="0080613E"/>
    <w:rsid w:val="008064B1"/>
    <w:rsid w:val="00806539"/>
    <w:rsid w:val="00806627"/>
    <w:rsid w:val="00806CCC"/>
    <w:rsid w:val="00806DAD"/>
    <w:rsid w:val="00806F2E"/>
    <w:rsid w:val="008073C9"/>
    <w:rsid w:val="00807B09"/>
    <w:rsid w:val="00807D44"/>
    <w:rsid w:val="0081005F"/>
    <w:rsid w:val="00810207"/>
    <w:rsid w:val="00810415"/>
    <w:rsid w:val="00810D80"/>
    <w:rsid w:val="00810ECF"/>
    <w:rsid w:val="008111D0"/>
    <w:rsid w:val="0081139C"/>
    <w:rsid w:val="008117F9"/>
    <w:rsid w:val="00811800"/>
    <w:rsid w:val="00811ACE"/>
    <w:rsid w:val="0081227D"/>
    <w:rsid w:val="00812303"/>
    <w:rsid w:val="008128C4"/>
    <w:rsid w:val="00812D9A"/>
    <w:rsid w:val="00812F71"/>
    <w:rsid w:val="00812FEC"/>
    <w:rsid w:val="0081318D"/>
    <w:rsid w:val="00813311"/>
    <w:rsid w:val="0081332C"/>
    <w:rsid w:val="00813995"/>
    <w:rsid w:val="0081417A"/>
    <w:rsid w:val="00814332"/>
    <w:rsid w:val="0081442A"/>
    <w:rsid w:val="00814444"/>
    <w:rsid w:val="008144EC"/>
    <w:rsid w:val="008146ED"/>
    <w:rsid w:val="00814810"/>
    <w:rsid w:val="00814C8C"/>
    <w:rsid w:val="00814D4F"/>
    <w:rsid w:val="00814F91"/>
    <w:rsid w:val="00815441"/>
    <w:rsid w:val="00815798"/>
    <w:rsid w:val="008157E8"/>
    <w:rsid w:val="008160C5"/>
    <w:rsid w:val="0081624D"/>
    <w:rsid w:val="00816349"/>
    <w:rsid w:val="008163C6"/>
    <w:rsid w:val="00816864"/>
    <w:rsid w:val="00817152"/>
    <w:rsid w:val="0081723A"/>
    <w:rsid w:val="00817366"/>
    <w:rsid w:val="0081740A"/>
    <w:rsid w:val="0081784B"/>
    <w:rsid w:val="00817CEB"/>
    <w:rsid w:val="00817E35"/>
    <w:rsid w:val="00820082"/>
    <w:rsid w:val="008201CA"/>
    <w:rsid w:val="008205CC"/>
    <w:rsid w:val="0082067B"/>
    <w:rsid w:val="008206B1"/>
    <w:rsid w:val="00820933"/>
    <w:rsid w:val="00820B8E"/>
    <w:rsid w:val="0082130B"/>
    <w:rsid w:val="00821737"/>
    <w:rsid w:val="00821814"/>
    <w:rsid w:val="00821D70"/>
    <w:rsid w:val="00822678"/>
    <w:rsid w:val="0082275F"/>
    <w:rsid w:val="00822A58"/>
    <w:rsid w:val="00822B37"/>
    <w:rsid w:val="00822E40"/>
    <w:rsid w:val="00822F2D"/>
    <w:rsid w:val="0082322F"/>
    <w:rsid w:val="00823337"/>
    <w:rsid w:val="00823E1A"/>
    <w:rsid w:val="00824D60"/>
    <w:rsid w:val="00824EA2"/>
    <w:rsid w:val="00824FF1"/>
    <w:rsid w:val="00825200"/>
    <w:rsid w:val="008254D2"/>
    <w:rsid w:val="0082552E"/>
    <w:rsid w:val="00825915"/>
    <w:rsid w:val="00825C32"/>
    <w:rsid w:val="00825DAE"/>
    <w:rsid w:val="008260D9"/>
    <w:rsid w:val="00826AC2"/>
    <w:rsid w:val="00826B9E"/>
    <w:rsid w:val="00826DA6"/>
    <w:rsid w:val="00827073"/>
    <w:rsid w:val="00827236"/>
    <w:rsid w:val="0082797B"/>
    <w:rsid w:val="0082CA67"/>
    <w:rsid w:val="0082F04E"/>
    <w:rsid w:val="0083079B"/>
    <w:rsid w:val="008307BB"/>
    <w:rsid w:val="00830D5B"/>
    <w:rsid w:val="00830F0F"/>
    <w:rsid w:val="0083105D"/>
    <w:rsid w:val="00831087"/>
    <w:rsid w:val="008312C1"/>
    <w:rsid w:val="00831315"/>
    <w:rsid w:val="0083132D"/>
    <w:rsid w:val="00831416"/>
    <w:rsid w:val="008317C4"/>
    <w:rsid w:val="00831BE0"/>
    <w:rsid w:val="00831D76"/>
    <w:rsid w:val="0083210C"/>
    <w:rsid w:val="0083214E"/>
    <w:rsid w:val="008321F9"/>
    <w:rsid w:val="00833586"/>
    <w:rsid w:val="00833CE6"/>
    <w:rsid w:val="00834727"/>
    <w:rsid w:val="008352F9"/>
    <w:rsid w:val="00835BB1"/>
    <w:rsid w:val="00835D4E"/>
    <w:rsid w:val="00835EF5"/>
    <w:rsid w:val="0083601A"/>
    <w:rsid w:val="0083602A"/>
    <w:rsid w:val="008360DA"/>
    <w:rsid w:val="008365BB"/>
    <w:rsid w:val="00836701"/>
    <w:rsid w:val="00836CA5"/>
    <w:rsid w:val="0083737F"/>
    <w:rsid w:val="00837827"/>
    <w:rsid w:val="00837882"/>
    <w:rsid w:val="00837981"/>
    <w:rsid w:val="00837CD4"/>
    <w:rsid w:val="008404E6"/>
    <w:rsid w:val="00841099"/>
    <w:rsid w:val="008416B7"/>
    <w:rsid w:val="008416D8"/>
    <w:rsid w:val="008416E1"/>
    <w:rsid w:val="00841828"/>
    <w:rsid w:val="00841A4D"/>
    <w:rsid w:val="00841D05"/>
    <w:rsid w:val="008423FE"/>
    <w:rsid w:val="008427BB"/>
    <w:rsid w:val="00842CCD"/>
    <w:rsid w:val="00842DAF"/>
    <w:rsid w:val="00842E52"/>
    <w:rsid w:val="00842E9F"/>
    <w:rsid w:val="00843264"/>
    <w:rsid w:val="008440DA"/>
    <w:rsid w:val="00844639"/>
    <w:rsid w:val="00844814"/>
    <w:rsid w:val="00844BF5"/>
    <w:rsid w:val="00844D28"/>
    <w:rsid w:val="00844DE2"/>
    <w:rsid w:val="00844E52"/>
    <w:rsid w:val="008455CE"/>
    <w:rsid w:val="00845977"/>
    <w:rsid w:val="008459CA"/>
    <w:rsid w:val="00845A9B"/>
    <w:rsid w:val="00846A95"/>
    <w:rsid w:val="00846CE5"/>
    <w:rsid w:val="00846E01"/>
    <w:rsid w:val="00847224"/>
    <w:rsid w:val="008472BD"/>
    <w:rsid w:val="0084747A"/>
    <w:rsid w:val="008477D2"/>
    <w:rsid w:val="00847891"/>
    <w:rsid w:val="00847A3F"/>
    <w:rsid w:val="008489C5"/>
    <w:rsid w:val="008501F3"/>
    <w:rsid w:val="008502AA"/>
    <w:rsid w:val="008502B2"/>
    <w:rsid w:val="008502E4"/>
    <w:rsid w:val="0085049B"/>
    <w:rsid w:val="00850F75"/>
    <w:rsid w:val="0085108C"/>
    <w:rsid w:val="0085149D"/>
    <w:rsid w:val="00851AE0"/>
    <w:rsid w:val="00851F42"/>
    <w:rsid w:val="0085248E"/>
    <w:rsid w:val="008526F9"/>
    <w:rsid w:val="0085279F"/>
    <w:rsid w:val="00852AFE"/>
    <w:rsid w:val="00852C4F"/>
    <w:rsid w:val="008539B2"/>
    <w:rsid w:val="00853A6B"/>
    <w:rsid w:val="00854D14"/>
    <w:rsid w:val="00854D17"/>
    <w:rsid w:val="00854E7D"/>
    <w:rsid w:val="0085552A"/>
    <w:rsid w:val="00855959"/>
    <w:rsid w:val="00855B41"/>
    <w:rsid w:val="00855D19"/>
    <w:rsid w:val="00855ECC"/>
    <w:rsid w:val="008561CD"/>
    <w:rsid w:val="008562C7"/>
    <w:rsid w:val="0085659D"/>
    <w:rsid w:val="0085681B"/>
    <w:rsid w:val="00857352"/>
    <w:rsid w:val="008576A7"/>
    <w:rsid w:val="00857DE0"/>
    <w:rsid w:val="0086004F"/>
    <w:rsid w:val="00860263"/>
    <w:rsid w:val="00860366"/>
    <w:rsid w:val="00860DC4"/>
    <w:rsid w:val="008610A0"/>
    <w:rsid w:val="008611DA"/>
    <w:rsid w:val="008612CB"/>
    <w:rsid w:val="008617FF"/>
    <w:rsid w:val="008619C7"/>
    <w:rsid w:val="008621E0"/>
    <w:rsid w:val="00862429"/>
    <w:rsid w:val="008629A4"/>
    <w:rsid w:val="00862C0B"/>
    <w:rsid w:val="00862CCF"/>
    <w:rsid w:val="00862EEC"/>
    <w:rsid w:val="00863517"/>
    <w:rsid w:val="00863678"/>
    <w:rsid w:val="008636A8"/>
    <w:rsid w:val="00863C70"/>
    <w:rsid w:val="008645E5"/>
    <w:rsid w:val="00865232"/>
    <w:rsid w:val="00865408"/>
    <w:rsid w:val="0086551C"/>
    <w:rsid w:val="00866102"/>
    <w:rsid w:val="008664B3"/>
    <w:rsid w:val="00866DC0"/>
    <w:rsid w:val="00866EEC"/>
    <w:rsid w:val="00866F7F"/>
    <w:rsid w:val="008671E7"/>
    <w:rsid w:val="00867516"/>
    <w:rsid w:val="0086787C"/>
    <w:rsid w:val="00867A0F"/>
    <w:rsid w:val="00867A6B"/>
    <w:rsid w:val="00867BF4"/>
    <w:rsid w:val="00870453"/>
    <w:rsid w:val="008706F1"/>
    <w:rsid w:val="00870977"/>
    <w:rsid w:val="00870ABD"/>
    <w:rsid w:val="00871389"/>
    <w:rsid w:val="00872194"/>
    <w:rsid w:val="008721B8"/>
    <w:rsid w:val="008724B4"/>
    <w:rsid w:val="00872BCF"/>
    <w:rsid w:val="00872CFB"/>
    <w:rsid w:val="00872E89"/>
    <w:rsid w:val="0087310F"/>
    <w:rsid w:val="008737E0"/>
    <w:rsid w:val="00873C7D"/>
    <w:rsid w:val="00873D24"/>
    <w:rsid w:val="00873DBC"/>
    <w:rsid w:val="00874107"/>
    <w:rsid w:val="0087412F"/>
    <w:rsid w:val="00874439"/>
    <w:rsid w:val="0087474A"/>
    <w:rsid w:val="00874873"/>
    <w:rsid w:val="00874CC4"/>
    <w:rsid w:val="0087505A"/>
    <w:rsid w:val="0087550E"/>
    <w:rsid w:val="00875929"/>
    <w:rsid w:val="00875A77"/>
    <w:rsid w:val="00875AC5"/>
    <w:rsid w:val="00875CEC"/>
    <w:rsid w:val="0087653D"/>
    <w:rsid w:val="00876973"/>
    <w:rsid w:val="00876BBC"/>
    <w:rsid w:val="00876D66"/>
    <w:rsid w:val="008771DC"/>
    <w:rsid w:val="00877521"/>
    <w:rsid w:val="008775F7"/>
    <w:rsid w:val="00880222"/>
    <w:rsid w:val="00880708"/>
    <w:rsid w:val="00880ABC"/>
    <w:rsid w:val="00880DD9"/>
    <w:rsid w:val="00881027"/>
    <w:rsid w:val="008817C5"/>
    <w:rsid w:val="008818E8"/>
    <w:rsid w:val="00881908"/>
    <w:rsid w:val="00882506"/>
    <w:rsid w:val="008825C9"/>
    <w:rsid w:val="00882B3D"/>
    <w:rsid w:val="00883985"/>
    <w:rsid w:val="00883CBD"/>
    <w:rsid w:val="00883D9F"/>
    <w:rsid w:val="00884DA3"/>
    <w:rsid w:val="0088502F"/>
    <w:rsid w:val="008850A1"/>
    <w:rsid w:val="0088510C"/>
    <w:rsid w:val="008852D6"/>
    <w:rsid w:val="008854E1"/>
    <w:rsid w:val="00886463"/>
    <w:rsid w:val="008866E3"/>
    <w:rsid w:val="0088688A"/>
    <w:rsid w:val="00886E00"/>
    <w:rsid w:val="008870F3"/>
    <w:rsid w:val="00887165"/>
    <w:rsid w:val="008874C1"/>
    <w:rsid w:val="008874F4"/>
    <w:rsid w:val="008876F3"/>
    <w:rsid w:val="008877AC"/>
    <w:rsid w:val="00887B62"/>
    <w:rsid w:val="00887BCB"/>
    <w:rsid w:val="00887F18"/>
    <w:rsid w:val="00887FD8"/>
    <w:rsid w:val="00890A2E"/>
    <w:rsid w:val="00890ABC"/>
    <w:rsid w:val="00890C60"/>
    <w:rsid w:val="00890DCF"/>
    <w:rsid w:val="00891000"/>
    <w:rsid w:val="008911EE"/>
    <w:rsid w:val="0089122B"/>
    <w:rsid w:val="00891368"/>
    <w:rsid w:val="0089199A"/>
    <w:rsid w:val="00891B94"/>
    <w:rsid w:val="008921D7"/>
    <w:rsid w:val="008922A2"/>
    <w:rsid w:val="00892EBB"/>
    <w:rsid w:val="008933FE"/>
    <w:rsid w:val="008936C1"/>
    <w:rsid w:val="0089372A"/>
    <w:rsid w:val="00893C0D"/>
    <w:rsid w:val="00893C10"/>
    <w:rsid w:val="00893D92"/>
    <w:rsid w:val="008947FE"/>
    <w:rsid w:val="00894CCF"/>
    <w:rsid w:val="00895000"/>
    <w:rsid w:val="00895196"/>
    <w:rsid w:val="008952CE"/>
    <w:rsid w:val="0089547D"/>
    <w:rsid w:val="00895EE6"/>
    <w:rsid w:val="00896142"/>
    <w:rsid w:val="008964BE"/>
    <w:rsid w:val="00896BF3"/>
    <w:rsid w:val="008973A2"/>
    <w:rsid w:val="00897875"/>
    <w:rsid w:val="008A0024"/>
    <w:rsid w:val="008A02C0"/>
    <w:rsid w:val="008A0A6F"/>
    <w:rsid w:val="008A0EFD"/>
    <w:rsid w:val="008A1271"/>
    <w:rsid w:val="008A149D"/>
    <w:rsid w:val="008A15B6"/>
    <w:rsid w:val="008A176A"/>
    <w:rsid w:val="008A1DBC"/>
    <w:rsid w:val="008A1DE5"/>
    <w:rsid w:val="008A1FC5"/>
    <w:rsid w:val="008A218F"/>
    <w:rsid w:val="008A226A"/>
    <w:rsid w:val="008A27FF"/>
    <w:rsid w:val="008A2E86"/>
    <w:rsid w:val="008A2EF7"/>
    <w:rsid w:val="008A2F38"/>
    <w:rsid w:val="008A306B"/>
    <w:rsid w:val="008A3161"/>
    <w:rsid w:val="008A374D"/>
    <w:rsid w:val="008A3B62"/>
    <w:rsid w:val="008A3B71"/>
    <w:rsid w:val="008A42BD"/>
    <w:rsid w:val="008A441A"/>
    <w:rsid w:val="008A453E"/>
    <w:rsid w:val="008A45E8"/>
    <w:rsid w:val="008A486E"/>
    <w:rsid w:val="008A5385"/>
    <w:rsid w:val="008A5400"/>
    <w:rsid w:val="008A57B2"/>
    <w:rsid w:val="008A5A97"/>
    <w:rsid w:val="008A614A"/>
    <w:rsid w:val="008A62E9"/>
    <w:rsid w:val="008A64E3"/>
    <w:rsid w:val="008A6A09"/>
    <w:rsid w:val="008A79BC"/>
    <w:rsid w:val="008A7D7E"/>
    <w:rsid w:val="008B01ED"/>
    <w:rsid w:val="008B0642"/>
    <w:rsid w:val="008B0FA7"/>
    <w:rsid w:val="008B11BA"/>
    <w:rsid w:val="008B127E"/>
    <w:rsid w:val="008B12E4"/>
    <w:rsid w:val="008B15D3"/>
    <w:rsid w:val="008B1CC5"/>
    <w:rsid w:val="008B1E81"/>
    <w:rsid w:val="008B287F"/>
    <w:rsid w:val="008B2AF7"/>
    <w:rsid w:val="008B3437"/>
    <w:rsid w:val="008B3AAF"/>
    <w:rsid w:val="008B3BAD"/>
    <w:rsid w:val="008B3FDF"/>
    <w:rsid w:val="008B4142"/>
    <w:rsid w:val="008B419B"/>
    <w:rsid w:val="008B4608"/>
    <w:rsid w:val="008B4642"/>
    <w:rsid w:val="008B488E"/>
    <w:rsid w:val="008B492A"/>
    <w:rsid w:val="008B4FD4"/>
    <w:rsid w:val="008B5620"/>
    <w:rsid w:val="008B5AF0"/>
    <w:rsid w:val="008B5D9E"/>
    <w:rsid w:val="008B6078"/>
    <w:rsid w:val="008B6281"/>
    <w:rsid w:val="008B6596"/>
    <w:rsid w:val="008B678B"/>
    <w:rsid w:val="008B6817"/>
    <w:rsid w:val="008B6882"/>
    <w:rsid w:val="008B6A4A"/>
    <w:rsid w:val="008B705B"/>
    <w:rsid w:val="008B710A"/>
    <w:rsid w:val="008B7148"/>
    <w:rsid w:val="008B720F"/>
    <w:rsid w:val="008B745B"/>
    <w:rsid w:val="008B7748"/>
    <w:rsid w:val="008B7A7E"/>
    <w:rsid w:val="008B7C12"/>
    <w:rsid w:val="008B7EF2"/>
    <w:rsid w:val="008C0609"/>
    <w:rsid w:val="008C0A3C"/>
    <w:rsid w:val="008C0F72"/>
    <w:rsid w:val="008C11A5"/>
    <w:rsid w:val="008C1821"/>
    <w:rsid w:val="008C1EF5"/>
    <w:rsid w:val="008C239A"/>
    <w:rsid w:val="008C2463"/>
    <w:rsid w:val="008C25A3"/>
    <w:rsid w:val="008C27EB"/>
    <w:rsid w:val="008C29AF"/>
    <w:rsid w:val="008C29DD"/>
    <w:rsid w:val="008C2B51"/>
    <w:rsid w:val="008C3011"/>
    <w:rsid w:val="008C4518"/>
    <w:rsid w:val="008C45A0"/>
    <w:rsid w:val="008C488D"/>
    <w:rsid w:val="008C4AE0"/>
    <w:rsid w:val="008C4DFD"/>
    <w:rsid w:val="008C5218"/>
    <w:rsid w:val="008C571C"/>
    <w:rsid w:val="008C576C"/>
    <w:rsid w:val="008C5AB3"/>
    <w:rsid w:val="008C6524"/>
    <w:rsid w:val="008C653D"/>
    <w:rsid w:val="008C6631"/>
    <w:rsid w:val="008C687E"/>
    <w:rsid w:val="008C6BD7"/>
    <w:rsid w:val="008C7D09"/>
    <w:rsid w:val="008D002C"/>
    <w:rsid w:val="008D003D"/>
    <w:rsid w:val="008D0526"/>
    <w:rsid w:val="008D052E"/>
    <w:rsid w:val="008D0549"/>
    <w:rsid w:val="008D060E"/>
    <w:rsid w:val="008D0C13"/>
    <w:rsid w:val="008D0D20"/>
    <w:rsid w:val="008D0DEA"/>
    <w:rsid w:val="008D1381"/>
    <w:rsid w:val="008D1743"/>
    <w:rsid w:val="008D1762"/>
    <w:rsid w:val="008D1831"/>
    <w:rsid w:val="008D1883"/>
    <w:rsid w:val="008D2176"/>
    <w:rsid w:val="008D2B18"/>
    <w:rsid w:val="008D2CD9"/>
    <w:rsid w:val="008D3282"/>
    <w:rsid w:val="008D35E0"/>
    <w:rsid w:val="008D3687"/>
    <w:rsid w:val="008D3D75"/>
    <w:rsid w:val="008D4061"/>
    <w:rsid w:val="008D4A24"/>
    <w:rsid w:val="008D4CCE"/>
    <w:rsid w:val="008D4D37"/>
    <w:rsid w:val="008D4EBA"/>
    <w:rsid w:val="008D4F0C"/>
    <w:rsid w:val="008D53A6"/>
    <w:rsid w:val="008D53DF"/>
    <w:rsid w:val="008D545E"/>
    <w:rsid w:val="008D5698"/>
    <w:rsid w:val="008D57BB"/>
    <w:rsid w:val="008D5856"/>
    <w:rsid w:val="008D5BF4"/>
    <w:rsid w:val="008D5BFC"/>
    <w:rsid w:val="008D5DFD"/>
    <w:rsid w:val="008D5F38"/>
    <w:rsid w:val="008D6046"/>
    <w:rsid w:val="008D6291"/>
    <w:rsid w:val="008D630D"/>
    <w:rsid w:val="008D6454"/>
    <w:rsid w:val="008D6C1A"/>
    <w:rsid w:val="008D72F6"/>
    <w:rsid w:val="008D7F8F"/>
    <w:rsid w:val="008E03EB"/>
    <w:rsid w:val="008E0F0E"/>
    <w:rsid w:val="008E101D"/>
    <w:rsid w:val="008E1845"/>
    <w:rsid w:val="008E1ABD"/>
    <w:rsid w:val="008E1E9E"/>
    <w:rsid w:val="008E23EA"/>
    <w:rsid w:val="008E255B"/>
    <w:rsid w:val="008E2667"/>
    <w:rsid w:val="008E287C"/>
    <w:rsid w:val="008E2DAD"/>
    <w:rsid w:val="008E36EB"/>
    <w:rsid w:val="008E3BB0"/>
    <w:rsid w:val="008E3BBA"/>
    <w:rsid w:val="008E3C11"/>
    <w:rsid w:val="008E3D38"/>
    <w:rsid w:val="008E4153"/>
    <w:rsid w:val="008E43DC"/>
    <w:rsid w:val="008E4708"/>
    <w:rsid w:val="008E470B"/>
    <w:rsid w:val="008E5385"/>
    <w:rsid w:val="008E562F"/>
    <w:rsid w:val="008E5B9D"/>
    <w:rsid w:val="008E5E7C"/>
    <w:rsid w:val="008E5FE1"/>
    <w:rsid w:val="008E6AEF"/>
    <w:rsid w:val="008E7153"/>
    <w:rsid w:val="008E7362"/>
    <w:rsid w:val="008E749F"/>
    <w:rsid w:val="008E7A30"/>
    <w:rsid w:val="008E7AE4"/>
    <w:rsid w:val="008F0362"/>
    <w:rsid w:val="008F041C"/>
    <w:rsid w:val="008F07DD"/>
    <w:rsid w:val="008F0F49"/>
    <w:rsid w:val="008F1552"/>
    <w:rsid w:val="008F1673"/>
    <w:rsid w:val="008F1682"/>
    <w:rsid w:val="008F18E1"/>
    <w:rsid w:val="008F1FB7"/>
    <w:rsid w:val="008F2061"/>
    <w:rsid w:val="008F2261"/>
    <w:rsid w:val="008F29B9"/>
    <w:rsid w:val="008F2CF1"/>
    <w:rsid w:val="008F3144"/>
    <w:rsid w:val="008F322D"/>
    <w:rsid w:val="008F336E"/>
    <w:rsid w:val="008F349F"/>
    <w:rsid w:val="008F37F9"/>
    <w:rsid w:val="008F4475"/>
    <w:rsid w:val="008F4BFB"/>
    <w:rsid w:val="008F4DF3"/>
    <w:rsid w:val="008F5070"/>
    <w:rsid w:val="008F50A4"/>
    <w:rsid w:val="008F5704"/>
    <w:rsid w:val="008F59B1"/>
    <w:rsid w:val="008F5B48"/>
    <w:rsid w:val="008F5B9D"/>
    <w:rsid w:val="008F604C"/>
    <w:rsid w:val="008F63BF"/>
    <w:rsid w:val="008F685B"/>
    <w:rsid w:val="008F6ED7"/>
    <w:rsid w:val="008F7658"/>
    <w:rsid w:val="008F7711"/>
    <w:rsid w:val="008F7926"/>
    <w:rsid w:val="008F7C8D"/>
    <w:rsid w:val="008F7DB3"/>
    <w:rsid w:val="0090004B"/>
    <w:rsid w:val="009005BA"/>
    <w:rsid w:val="0090064D"/>
    <w:rsid w:val="00900898"/>
    <w:rsid w:val="00900F75"/>
    <w:rsid w:val="00900FB0"/>
    <w:rsid w:val="0090115D"/>
    <w:rsid w:val="0090169F"/>
    <w:rsid w:val="0090185B"/>
    <w:rsid w:val="009018E5"/>
    <w:rsid w:val="00901AD3"/>
    <w:rsid w:val="00901B39"/>
    <w:rsid w:val="00902463"/>
    <w:rsid w:val="00902ED4"/>
    <w:rsid w:val="009030F3"/>
    <w:rsid w:val="0090324C"/>
    <w:rsid w:val="0090337E"/>
    <w:rsid w:val="00903D73"/>
    <w:rsid w:val="00903E5B"/>
    <w:rsid w:val="00903F1E"/>
    <w:rsid w:val="009044FE"/>
    <w:rsid w:val="00904704"/>
    <w:rsid w:val="00904994"/>
    <w:rsid w:val="00904B4F"/>
    <w:rsid w:val="00904D33"/>
    <w:rsid w:val="00904D86"/>
    <w:rsid w:val="00905CD2"/>
    <w:rsid w:val="00905D15"/>
    <w:rsid w:val="009060B7"/>
    <w:rsid w:val="0090675B"/>
    <w:rsid w:val="00906D05"/>
    <w:rsid w:val="009072B3"/>
    <w:rsid w:val="0090732E"/>
    <w:rsid w:val="00907334"/>
    <w:rsid w:val="0090749F"/>
    <w:rsid w:val="0090754D"/>
    <w:rsid w:val="00907580"/>
    <w:rsid w:val="00907688"/>
    <w:rsid w:val="00907A7A"/>
    <w:rsid w:val="00910D52"/>
    <w:rsid w:val="0091120C"/>
    <w:rsid w:val="0091124A"/>
    <w:rsid w:val="00911751"/>
    <w:rsid w:val="00911793"/>
    <w:rsid w:val="009121B7"/>
    <w:rsid w:val="0091238D"/>
    <w:rsid w:val="00912742"/>
    <w:rsid w:val="00912831"/>
    <w:rsid w:val="00912C2A"/>
    <w:rsid w:val="00912D5D"/>
    <w:rsid w:val="00912DEE"/>
    <w:rsid w:val="00912DF9"/>
    <w:rsid w:val="00912F42"/>
    <w:rsid w:val="00913083"/>
    <w:rsid w:val="0091321A"/>
    <w:rsid w:val="00913260"/>
    <w:rsid w:val="009132B3"/>
    <w:rsid w:val="00913D69"/>
    <w:rsid w:val="00914083"/>
    <w:rsid w:val="00914495"/>
    <w:rsid w:val="009145AE"/>
    <w:rsid w:val="00914CA2"/>
    <w:rsid w:val="00914D45"/>
    <w:rsid w:val="00914E8A"/>
    <w:rsid w:val="0091508D"/>
    <w:rsid w:val="009150E7"/>
    <w:rsid w:val="009150F5"/>
    <w:rsid w:val="009153DD"/>
    <w:rsid w:val="0091549F"/>
    <w:rsid w:val="0091554F"/>
    <w:rsid w:val="0091586C"/>
    <w:rsid w:val="00915D65"/>
    <w:rsid w:val="00915D96"/>
    <w:rsid w:val="0091642A"/>
    <w:rsid w:val="009167A4"/>
    <w:rsid w:val="00916976"/>
    <w:rsid w:val="009169A7"/>
    <w:rsid w:val="00916C23"/>
    <w:rsid w:val="00916F74"/>
    <w:rsid w:val="009170CC"/>
    <w:rsid w:val="00917263"/>
    <w:rsid w:val="0091740E"/>
    <w:rsid w:val="009177B4"/>
    <w:rsid w:val="0091796B"/>
    <w:rsid w:val="00917DC5"/>
    <w:rsid w:val="009201C0"/>
    <w:rsid w:val="009204EC"/>
    <w:rsid w:val="00920B7D"/>
    <w:rsid w:val="00920D24"/>
    <w:rsid w:val="00920D2D"/>
    <w:rsid w:val="00920DCF"/>
    <w:rsid w:val="00920FAF"/>
    <w:rsid w:val="0092144E"/>
    <w:rsid w:val="0092204F"/>
    <w:rsid w:val="0092213E"/>
    <w:rsid w:val="0092218C"/>
    <w:rsid w:val="00922368"/>
    <w:rsid w:val="00922A5E"/>
    <w:rsid w:val="00922B53"/>
    <w:rsid w:val="00922C74"/>
    <w:rsid w:val="00923209"/>
    <w:rsid w:val="00923211"/>
    <w:rsid w:val="00923935"/>
    <w:rsid w:val="00923CA9"/>
    <w:rsid w:val="00924071"/>
    <w:rsid w:val="009240E9"/>
    <w:rsid w:val="00924C8A"/>
    <w:rsid w:val="00924CA9"/>
    <w:rsid w:val="0092539C"/>
    <w:rsid w:val="00925C19"/>
    <w:rsid w:val="0092645C"/>
    <w:rsid w:val="009268B6"/>
    <w:rsid w:val="00926B6D"/>
    <w:rsid w:val="00926DEF"/>
    <w:rsid w:val="00927211"/>
    <w:rsid w:val="00927344"/>
    <w:rsid w:val="0092763E"/>
    <w:rsid w:val="009276CF"/>
    <w:rsid w:val="00927716"/>
    <w:rsid w:val="009279F7"/>
    <w:rsid w:val="00927C58"/>
    <w:rsid w:val="00927E5C"/>
    <w:rsid w:val="00930344"/>
    <w:rsid w:val="009307E3"/>
    <w:rsid w:val="00930B58"/>
    <w:rsid w:val="00931291"/>
    <w:rsid w:val="00931329"/>
    <w:rsid w:val="009316AF"/>
    <w:rsid w:val="00931AF7"/>
    <w:rsid w:val="009325E6"/>
    <w:rsid w:val="00932662"/>
    <w:rsid w:val="00932C98"/>
    <w:rsid w:val="00932D3A"/>
    <w:rsid w:val="00932F6B"/>
    <w:rsid w:val="00933955"/>
    <w:rsid w:val="00933A1A"/>
    <w:rsid w:val="00933C3E"/>
    <w:rsid w:val="00933D1F"/>
    <w:rsid w:val="00933D9E"/>
    <w:rsid w:val="00933F4F"/>
    <w:rsid w:val="00933F51"/>
    <w:rsid w:val="00933FCA"/>
    <w:rsid w:val="009345D8"/>
    <w:rsid w:val="0093490D"/>
    <w:rsid w:val="009349C1"/>
    <w:rsid w:val="00934C12"/>
    <w:rsid w:val="009350E6"/>
    <w:rsid w:val="0093568C"/>
    <w:rsid w:val="00935D15"/>
    <w:rsid w:val="0093637C"/>
    <w:rsid w:val="00936CD3"/>
    <w:rsid w:val="00936F6F"/>
    <w:rsid w:val="00936FF6"/>
    <w:rsid w:val="009372D6"/>
    <w:rsid w:val="0093791E"/>
    <w:rsid w:val="00937930"/>
    <w:rsid w:val="00940315"/>
    <w:rsid w:val="009403BE"/>
    <w:rsid w:val="00940497"/>
    <w:rsid w:val="0094069E"/>
    <w:rsid w:val="009414A3"/>
    <w:rsid w:val="00941731"/>
    <w:rsid w:val="009417E6"/>
    <w:rsid w:val="009417EE"/>
    <w:rsid w:val="00941E1F"/>
    <w:rsid w:val="00941FF0"/>
    <w:rsid w:val="00942150"/>
    <w:rsid w:val="009421BB"/>
    <w:rsid w:val="0094220E"/>
    <w:rsid w:val="009425BD"/>
    <w:rsid w:val="00942A21"/>
    <w:rsid w:val="00942AA8"/>
    <w:rsid w:val="00942CAE"/>
    <w:rsid w:val="009431D6"/>
    <w:rsid w:val="009434C5"/>
    <w:rsid w:val="00943D6F"/>
    <w:rsid w:val="00943DC2"/>
    <w:rsid w:val="00944373"/>
    <w:rsid w:val="00944671"/>
    <w:rsid w:val="009450F0"/>
    <w:rsid w:val="009451D1"/>
    <w:rsid w:val="0094542F"/>
    <w:rsid w:val="009456D4"/>
    <w:rsid w:val="00945D93"/>
    <w:rsid w:val="00945DF8"/>
    <w:rsid w:val="009465C2"/>
    <w:rsid w:val="009466D1"/>
    <w:rsid w:val="00946BE3"/>
    <w:rsid w:val="00946BF2"/>
    <w:rsid w:val="00947191"/>
    <w:rsid w:val="00947345"/>
    <w:rsid w:val="00947403"/>
    <w:rsid w:val="00947454"/>
    <w:rsid w:val="0094787A"/>
    <w:rsid w:val="00947B33"/>
    <w:rsid w:val="00947DD1"/>
    <w:rsid w:val="00950003"/>
    <w:rsid w:val="00950228"/>
    <w:rsid w:val="0095024C"/>
    <w:rsid w:val="00950294"/>
    <w:rsid w:val="00950432"/>
    <w:rsid w:val="009504DB"/>
    <w:rsid w:val="00950829"/>
    <w:rsid w:val="00950FB0"/>
    <w:rsid w:val="00950FD1"/>
    <w:rsid w:val="0095133E"/>
    <w:rsid w:val="0095137C"/>
    <w:rsid w:val="0095143F"/>
    <w:rsid w:val="009515DC"/>
    <w:rsid w:val="0095181B"/>
    <w:rsid w:val="00951F0A"/>
    <w:rsid w:val="00952328"/>
    <w:rsid w:val="009524C7"/>
    <w:rsid w:val="009525BC"/>
    <w:rsid w:val="009529D4"/>
    <w:rsid w:val="00952BA7"/>
    <w:rsid w:val="00952D51"/>
    <w:rsid w:val="00952EA6"/>
    <w:rsid w:val="00952EEB"/>
    <w:rsid w:val="00953328"/>
    <w:rsid w:val="00953533"/>
    <w:rsid w:val="00953631"/>
    <w:rsid w:val="00953890"/>
    <w:rsid w:val="009541E8"/>
    <w:rsid w:val="00954217"/>
    <w:rsid w:val="009542EC"/>
    <w:rsid w:val="00954761"/>
    <w:rsid w:val="009548DA"/>
    <w:rsid w:val="009549A6"/>
    <w:rsid w:val="009549F9"/>
    <w:rsid w:val="00954E70"/>
    <w:rsid w:val="00954EB6"/>
    <w:rsid w:val="00955C08"/>
    <w:rsid w:val="00956207"/>
    <w:rsid w:val="00956443"/>
    <w:rsid w:val="00956F7D"/>
    <w:rsid w:val="0095739B"/>
    <w:rsid w:val="00957574"/>
    <w:rsid w:val="00957B03"/>
    <w:rsid w:val="00957BB2"/>
    <w:rsid w:val="00957C8B"/>
    <w:rsid w:val="0096031D"/>
    <w:rsid w:val="00960FBB"/>
    <w:rsid w:val="0096120B"/>
    <w:rsid w:val="00961280"/>
    <w:rsid w:val="0096144D"/>
    <w:rsid w:val="009616AB"/>
    <w:rsid w:val="00961BC2"/>
    <w:rsid w:val="00961BC8"/>
    <w:rsid w:val="00961C53"/>
    <w:rsid w:val="00961CA7"/>
    <w:rsid w:val="00961CB3"/>
    <w:rsid w:val="00961D38"/>
    <w:rsid w:val="00961D96"/>
    <w:rsid w:val="00961EC0"/>
    <w:rsid w:val="00962108"/>
    <w:rsid w:val="00962B41"/>
    <w:rsid w:val="00962B56"/>
    <w:rsid w:val="00962EC9"/>
    <w:rsid w:val="00963101"/>
    <w:rsid w:val="00963102"/>
    <w:rsid w:val="0096313A"/>
    <w:rsid w:val="0096327E"/>
    <w:rsid w:val="009632AB"/>
    <w:rsid w:val="009633AC"/>
    <w:rsid w:val="009634FF"/>
    <w:rsid w:val="009638B3"/>
    <w:rsid w:val="009638F0"/>
    <w:rsid w:val="00963971"/>
    <w:rsid w:val="009639AA"/>
    <w:rsid w:val="00963D14"/>
    <w:rsid w:val="00963DFB"/>
    <w:rsid w:val="00964278"/>
    <w:rsid w:val="00964475"/>
    <w:rsid w:val="00964489"/>
    <w:rsid w:val="009646BA"/>
    <w:rsid w:val="009646FB"/>
    <w:rsid w:val="00964A7B"/>
    <w:rsid w:val="00964DE4"/>
    <w:rsid w:val="00965084"/>
    <w:rsid w:val="00965527"/>
    <w:rsid w:val="00965622"/>
    <w:rsid w:val="009656A3"/>
    <w:rsid w:val="00965740"/>
    <w:rsid w:val="00965A27"/>
    <w:rsid w:val="00965EF3"/>
    <w:rsid w:val="00966095"/>
    <w:rsid w:val="0096617A"/>
    <w:rsid w:val="0096627F"/>
    <w:rsid w:val="009665DD"/>
    <w:rsid w:val="0096665E"/>
    <w:rsid w:val="0096695D"/>
    <w:rsid w:val="00966B75"/>
    <w:rsid w:val="00966D63"/>
    <w:rsid w:val="00966F3F"/>
    <w:rsid w:val="009673F6"/>
    <w:rsid w:val="00967EBC"/>
    <w:rsid w:val="009703BC"/>
    <w:rsid w:val="0097077D"/>
    <w:rsid w:val="00970C34"/>
    <w:rsid w:val="00970D81"/>
    <w:rsid w:val="0097159B"/>
    <w:rsid w:val="00971A2F"/>
    <w:rsid w:val="00971AF7"/>
    <w:rsid w:val="009723C3"/>
    <w:rsid w:val="00972427"/>
    <w:rsid w:val="009725E5"/>
    <w:rsid w:val="00972696"/>
    <w:rsid w:val="00972BBA"/>
    <w:rsid w:val="00972FBB"/>
    <w:rsid w:val="009730C4"/>
    <w:rsid w:val="00973A21"/>
    <w:rsid w:val="00973D62"/>
    <w:rsid w:val="00973DEF"/>
    <w:rsid w:val="00974231"/>
    <w:rsid w:val="00974D3E"/>
    <w:rsid w:val="009753BC"/>
    <w:rsid w:val="009757FE"/>
    <w:rsid w:val="009763AF"/>
    <w:rsid w:val="009764ED"/>
    <w:rsid w:val="00976511"/>
    <w:rsid w:val="00976D7A"/>
    <w:rsid w:val="00976DCE"/>
    <w:rsid w:val="00976EDE"/>
    <w:rsid w:val="00976F42"/>
    <w:rsid w:val="0097748F"/>
    <w:rsid w:val="00977B25"/>
    <w:rsid w:val="00977FA7"/>
    <w:rsid w:val="00977FB0"/>
    <w:rsid w:val="00980471"/>
    <w:rsid w:val="009807D3"/>
    <w:rsid w:val="00980853"/>
    <w:rsid w:val="00980B3B"/>
    <w:rsid w:val="0098103A"/>
    <w:rsid w:val="00981660"/>
    <w:rsid w:val="009817FB"/>
    <w:rsid w:val="009818E6"/>
    <w:rsid w:val="00981A2B"/>
    <w:rsid w:val="00981BBC"/>
    <w:rsid w:val="009827B6"/>
    <w:rsid w:val="00982957"/>
    <w:rsid w:val="009830BC"/>
    <w:rsid w:val="0098332C"/>
    <w:rsid w:val="00983485"/>
    <w:rsid w:val="009834A7"/>
    <w:rsid w:val="009838B6"/>
    <w:rsid w:val="00983B08"/>
    <w:rsid w:val="0098406B"/>
    <w:rsid w:val="00984373"/>
    <w:rsid w:val="009843BA"/>
    <w:rsid w:val="00984448"/>
    <w:rsid w:val="0098467B"/>
    <w:rsid w:val="00984680"/>
    <w:rsid w:val="009847F5"/>
    <w:rsid w:val="00984BED"/>
    <w:rsid w:val="00984C9C"/>
    <w:rsid w:val="00984D67"/>
    <w:rsid w:val="00984D8B"/>
    <w:rsid w:val="00985106"/>
    <w:rsid w:val="00985186"/>
    <w:rsid w:val="009854C7"/>
    <w:rsid w:val="009855DE"/>
    <w:rsid w:val="00985795"/>
    <w:rsid w:val="009858DE"/>
    <w:rsid w:val="00985A52"/>
    <w:rsid w:val="0098629D"/>
    <w:rsid w:val="00986999"/>
    <w:rsid w:val="009869EE"/>
    <w:rsid w:val="00986E04"/>
    <w:rsid w:val="00986FAC"/>
    <w:rsid w:val="009873FE"/>
    <w:rsid w:val="009876A6"/>
    <w:rsid w:val="00987DCF"/>
    <w:rsid w:val="0098E90F"/>
    <w:rsid w:val="009901E4"/>
    <w:rsid w:val="00990D23"/>
    <w:rsid w:val="00990F03"/>
    <w:rsid w:val="00991131"/>
    <w:rsid w:val="00991A52"/>
    <w:rsid w:val="00992042"/>
    <w:rsid w:val="00992416"/>
    <w:rsid w:val="0099276F"/>
    <w:rsid w:val="00992D14"/>
    <w:rsid w:val="0099303D"/>
    <w:rsid w:val="0099311E"/>
    <w:rsid w:val="00993426"/>
    <w:rsid w:val="00993822"/>
    <w:rsid w:val="00993893"/>
    <w:rsid w:val="00994039"/>
    <w:rsid w:val="00994879"/>
    <w:rsid w:val="00994955"/>
    <w:rsid w:val="00994A16"/>
    <w:rsid w:val="00994D5D"/>
    <w:rsid w:val="00994F64"/>
    <w:rsid w:val="00995152"/>
    <w:rsid w:val="0099529E"/>
    <w:rsid w:val="009956E6"/>
    <w:rsid w:val="00995A5E"/>
    <w:rsid w:val="0099629F"/>
    <w:rsid w:val="00997572"/>
    <w:rsid w:val="0099782B"/>
    <w:rsid w:val="00997B0B"/>
    <w:rsid w:val="009A0272"/>
    <w:rsid w:val="009A0F2F"/>
    <w:rsid w:val="009A144D"/>
    <w:rsid w:val="009A1621"/>
    <w:rsid w:val="009A16B1"/>
    <w:rsid w:val="009A1B89"/>
    <w:rsid w:val="009A1E61"/>
    <w:rsid w:val="009A24DB"/>
    <w:rsid w:val="009A2601"/>
    <w:rsid w:val="009A2613"/>
    <w:rsid w:val="009A26C4"/>
    <w:rsid w:val="009A2B64"/>
    <w:rsid w:val="009A2F0D"/>
    <w:rsid w:val="009A3363"/>
    <w:rsid w:val="009A3B0C"/>
    <w:rsid w:val="009A469D"/>
    <w:rsid w:val="009A4724"/>
    <w:rsid w:val="009A4974"/>
    <w:rsid w:val="009A5134"/>
    <w:rsid w:val="009A5948"/>
    <w:rsid w:val="009A5A86"/>
    <w:rsid w:val="009A5B0C"/>
    <w:rsid w:val="009A6152"/>
    <w:rsid w:val="009A6199"/>
    <w:rsid w:val="009A6303"/>
    <w:rsid w:val="009A6346"/>
    <w:rsid w:val="009A6763"/>
    <w:rsid w:val="009A6EC3"/>
    <w:rsid w:val="009A7999"/>
    <w:rsid w:val="009B0043"/>
    <w:rsid w:val="009B0345"/>
    <w:rsid w:val="009B0CB2"/>
    <w:rsid w:val="009B1444"/>
    <w:rsid w:val="009B18D7"/>
    <w:rsid w:val="009B1D13"/>
    <w:rsid w:val="009B1E2D"/>
    <w:rsid w:val="009B21B3"/>
    <w:rsid w:val="009B2276"/>
    <w:rsid w:val="009B294F"/>
    <w:rsid w:val="009B2C87"/>
    <w:rsid w:val="009B3221"/>
    <w:rsid w:val="009B330A"/>
    <w:rsid w:val="009B3362"/>
    <w:rsid w:val="009B36F0"/>
    <w:rsid w:val="009B3875"/>
    <w:rsid w:val="009B3E39"/>
    <w:rsid w:val="009B3F13"/>
    <w:rsid w:val="009B4228"/>
    <w:rsid w:val="009B45A6"/>
    <w:rsid w:val="009B4C2E"/>
    <w:rsid w:val="009B5655"/>
    <w:rsid w:val="009B5FFA"/>
    <w:rsid w:val="009B6410"/>
    <w:rsid w:val="009B6551"/>
    <w:rsid w:val="009B6583"/>
    <w:rsid w:val="009B66CE"/>
    <w:rsid w:val="009B6EAB"/>
    <w:rsid w:val="009B6EEE"/>
    <w:rsid w:val="009B7112"/>
    <w:rsid w:val="009B7126"/>
    <w:rsid w:val="009B7AD6"/>
    <w:rsid w:val="009B7DD7"/>
    <w:rsid w:val="009C014D"/>
    <w:rsid w:val="009C0A97"/>
    <w:rsid w:val="009C0E3C"/>
    <w:rsid w:val="009C1654"/>
    <w:rsid w:val="009C1964"/>
    <w:rsid w:val="009C1A79"/>
    <w:rsid w:val="009C1C09"/>
    <w:rsid w:val="009C1DED"/>
    <w:rsid w:val="009C2304"/>
    <w:rsid w:val="009C2502"/>
    <w:rsid w:val="009C26EC"/>
    <w:rsid w:val="009C2743"/>
    <w:rsid w:val="009C2D9E"/>
    <w:rsid w:val="009C3033"/>
    <w:rsid w:val="009C3120"/>
    <w:rsid w:val="009C3152"/>
    <w:rsid w:val="009C339E"/>
    <w:rsid w:val="009C3982"/>
    <w:rsid w:val="009C3ADA"/>
    <w:rsid w:val="009C3D3E"/>
    <w:rsid w:val="009C3ED0"/>
    <w:rsid w:val="009C3EDB"/>
    <w:rsid w:val="009C467C"/>
    <w:rsid w:val="009C54CC"/>
    <w:rsid w:val="009C5517"/>
    <w:rsid w:val="009C5868"/>
    <w:rsid w:val="009C699F"/>
    <w:rsid w:val="009C6C89"/>
    <w:rsid w:val="009C6D23"/>
    <w:rsid w:val="009C6D6F"/>
    <w:rsid w:val="009C75A7"/>
    <w:rsid w:val="009C78C3"/>
    <w:rsid w:val="009C7E94"/>
    <w:rsid w:val="009C7FC5"/>
    <w:rsid w:val="009C7FD7"/>
    <w:rsid w:val="009D0235"/>
    <w:rsid w:val="009D0303"/>
    <w:rsid w:val="009D1A4F"/>
    <w:rsid w:val="009D1AA7"/>
    <w:rsid w:val="009D1C3E"/>
    <w:rsid w:val="009D1CA6"/>
    <w:rsid w:val="009D1F20"/>
    <w:rsid w:val="009D2023"/>
    <w:rsid w:val="009D20DC"/>
    <w:rsid w:val="009D2314"/>
    <w:rsid w:val="009D231A"/>
    <w:rsid w:val="009D25B3"/>
    <w:rsid w:val="009D295F"/>
    <w:rsid w:val="009D2AE1"/>
    <w:rsid w:val="009D2C08"/>
    <w:rsid w:val="009D2E6E"/>
    <w:rsid w:val="009D2F8F"/>
    <w:rsid w:val="009D3235"/>
    <w:rsid w:val="009D334D"/>
    <w:rsid w:val="009D335F"/>
    <w:rsid w:val="009D33E4"/>
    <w:rsid w:val="009D366A"/>
    <w:rsid w:val="009D376F"/>
    <w:rsid w:val="009D39DB"/>
    <w:rsid w:val="009D3D10"/>
    <w:rsid w:val="009D3E24"/>
    <w:rsid w:val="009D4127"/>
    <w:rsid w:val="009D41BB"/>
    <w:rsid w:val="009D48BE"/>
    <w:rsid w:val="009D4A32"/>
    <w:rsid w:val="009D4C82"/>
    <w:rsid w:val="009D53BE"/>
    <w:rsid w:val="009D59DB"/>
    <w:rsid w:val="009D5EE2"/>
    <w:rsid w:val="009D5F46"/>
    <w:rsid w:val="009D6826"/>
    <w:rsid w:val="009D6A33"/>
    <w:rsid w:val="009D6C6E"/>
    <w:rsid w:val="009D6F2F"/>
    <w:rsid w:val="009D71AC"/>
    <w:rsid w:val="009D736B"/>
    <w:rsid w:val="009D75B7"/>
    <w:rsid w:val="009D75BD"/>
    <w:rsid w:val="009D75F7"/>
    <w:rsid w:val="009D760B"/>
    <w:rsid w:val="009D7A0B"/>
    <w:rsid w:val="009D7BC9"/>
    <w:rsid w:val="009D7D84"/>
    <w:rsid w:val="009D9EFA"/>
    <w:rsid w:val="009E0294"/>
    <w:rsid w:val="009E0334"/>
    <w:rsid w:val="009E06F2"/>
    <w:rsid w:val="009E0C7C"/>
    <w:rsid w:val="009E109C"/>
    <w:rsid w:val="009E10D0"/>
    <w:rsid w:val="009E1606"/>
    <w:rsid w:val="009E16D3"/>
    <w:rsid w:val="009E174B"/>
    <w:rsid w:val="009E1D64"/>
    <w:rsid w:val="009E1EB8"/>
    <w:rsid w:val="009E2224"/>
    <w:rsid w:val="009E2594"/>
    <w:rsid w:val="009E2B29"/>
    <w:rsid w:val="009E2E3B"/>
    <w:rsid w:val="009E30B0"/>
    <w:rsid w:val="009E3178"/>
    <w:rsid w:val="009E32F9"/>
    <w:rsid w:val="009E388E"/>
    <w:rsid w:val="009E3FF9"/>
    <w:rsid w:val="009E412F"/>
    <w:rsid w:val="009E491C"/>
    <w:rsid w:val="009E4AAA"/>
    <w:rsid w:val="009E4E87"/>
    <w:rsid w:val="009E503F"/>
    <w:rsid w:val="009E5040"/>
    <w:rsid w:val="009E5209"/>
    <w:rsid w:val="009E558F"/>
    <w:rsid w:val="009E5797"/>
    <w:rsid w:val="009E5F5F"/>
    <w:rsid w:val="009E644C"/>
    <w:rsid w:val="009E78FE"/>
    <w:rsid w:val="009E7BB8"/>
    <w:rsid w:val="009F01DA"/>
    <w:rsid w:val="009F06A0"/>
    <w:rsid w:val="009F06DE"/>
    <w:rsid w:val="009F09A1"/>
    <w:rsid w:val="009F0C79"/>
    <w:rsid w:val="009F0CFD"/>
    <w:rsid w:val="009F1390"/>
    <w:rsid w:val="009F156A"/>
    <w:rsid w:val="009F19E5"/>
    <w:rsid w:val="009F1B90"/>
    <w:rsid w:val="009F2012"/>
    <w:rsid w:val="009F2999"/>
    <w:rsid w:val="009F2CFA"/>
    <w:rsid w:val="009F2DE8"/>
    <w:rsid w:val="009F2DF5"/>
    <w:rsid w:val="009F30A1"/>
    <w:rsid w:val="009F310E"/>
    <w:rsid w:val="009F3B12"/>
    <w:rsid w:val="009F3D23"/>
    <w:rsid w:val="009F422A"/>
    <w:rsid w:val="009F468B"/>
    <w:rsid w:val="009F4B8F"/>
    <w:rsid w:val="009F5248"/>
    <w:rsid w:val="009F5328"/>
    <w:rsid w:val="009F534E"/>
    <w:rsid w:val="009F53AD"/>
    <w:rsid w:val="009F5649"/>
    <w:rsid w:val="009F56D3"/>
    <w:rsid w:val="009F5701"/>
    <w:rsid w:val="009F5794"/>
    <w:rsid w:val="009F57B7"/>
    <w:rsid w:val="009F5AEA"/>
    <w:rsid w:val="009F61CD"/>
    <w:rsid w:val="009F6717"/>
    <w:rsid w:val="009F67F1"/>
    <w:rsid w:val="009F762E"/>
    <w:rsid w:val="009F77E6"/>
    <w:rsid w:val="009F78C8"/>
    <w:rsid w:val="009F7E3F"/>
    <w:rsid w:val="00A006AF"/>
    <w:rsid w:val="00A008CF"/>
    <w:rsid w:val="00A00B1D"/>
    <w:rsid w:val="00A00BB0"/>
    <w:rsid w:val="00A00D54"/>
    <w:rsid w:val="00A00D8B"/>
    <w:rsid w:val="00A00E60"/>
    <w:rsid w:val="00A011BC"/>
    <w:rsid w:val="00A01780"/>
    <w:rsid w:val="00A018CC"/>
    <w:rsid w:val="00A0253C"/>
    <w:rsid w:val="00A02649"/>
    <w:rsid w:val="00A02839"/>
    <w:rsid w:val="00A02ACA"/>
    <w:rsid w:val="00A02C63"/>
    <w:rsid w:val="00A02DB8"/>
    <w:rsid w:val="00A02ECF"/>
    <w:rsid w:val="00A02ED1"/>
    <w:rsid w:val="00A02ED4"/>
    <w:rsid w:val="00A02EFA"/>
    <w:rsid w:val="00A03172"/>
    <w:rsid w:val="00A036D5"/>
    <w:rsid w:val="00A03A03"/>
    <w:rsid w:val="00A03C3F"/>
    <w:rsid w:val="00A03D53"/>
    <w:rsid w:val="00A03D69"/>
    <w:rsid w:val="00A03E85"/>
    <w:rsid w:val="00A040D4"/>
    <w:rsid w:val="00A04560"/>
    <w:rsid w:val="00A049EF"/>
    <w:rsid w:val="00A04D6D"/>
    <w:rsid w:val="00A04EC3"/>
    <w:rsid w:val="00A050A1"/>
    <w:rsid w:val="00A05892"/>
    <w:rsid w:val="00A059C7"/>
    <w:rsid w:val="00A05D23"/>
    <w:rsid w:val="00A06283"/>
    <w:rsid w:val="00A06458"/>
    <w:rsid w:val="00A06D8F"/>
    <w:rsid w:val="00A06F41"/>
    <w:rsid w:val="00A07018"/>
    <w:rsid w:val="00A072BC"/>
    <w:rsid w:val="00A0730F"/>
    <w:rsid w:val="00A07545"/>
    <w:rsid w:val="00A07650"/>
    <w:rsid w:val="00A07D0F"/>
    <w:rsid w:val="00A1052A"/>
    <w:rsid w:val="00A107A0"/>
    <w:rsid w:val="00A107E4"/>
    <w:rsid w:val="00A10D72"/>
    <w:rsid w:val="00A10D8A"/>
    <w:rsid w:val="00A10D94"/>
    <w:rsid w:val="00A113E9"/>
    <w:rsid w:val="00A115C7"/>
    <w:rsid w:val="00A115FA"/>
    <w:rsid w:val="00A1180F"/>
    <w:rsid w:val="00A11966"/>
    <w:rsid w:val="00A11B65"/>
    <w:rsid w:val="00A11C23"/>
    <w:rsid w:val="00A11C26"/>
    <w:rsid w:val="00A11C4B"/>
    <w:rsid w:val="00A11DD1"/>
    <w:rsid w:val="00A11E08"/>
    <w:rsid w:val="00A11EFC"/>
    <w:rsid w:val="00A12641"/>
    <w:rsid w:val="00A12971"/>
    <w:rsid w:val="00A12A87"/>
    <w:rsid w:val="00A12D9D"/>
    <w:rsid w:val="00A130D4"/>
    <w:rsid w:val="00A13466"/>
    <w:rsid w:val="00A13E1B"/>
    <w:rsid w:val="00A14BE0"/>
    <w:rsid w:val="00A15112"/>
    <w:rsid w:val="00A1515D"/>
    <w:rsid w:val="00A1560D"/>
    <w:rsid w:val="00A15CAD"/>
    <w:rsid w:val="00A1640F"/>
    <w:rsid w:val="00A16523"/>
    <w:rsid w:val="00A16A60"/>
    <w:rsid w:val="00A16BA3"/>
    <w:rsid w:val="00A16BBC"/>
    <w:rsid w:val="00A16EBA"/>
    <w:rsid w:val="00A17518"/>
    <w:rsid w:val="00A17686"/>
    <w:rsid w:val="00A176A8"/>
    <w:rsid w:val="00A17AB3"/>
    <w:rsid w:val="00A201E0"/>
    <w:rsid w:val="00A203F1"/>
    <w:rsid w:val="00A204A5"/>
    <w:rsid w:val="00A2063A"/>
    <w:rsid w:val="00A2144F"/>
    <w:rsid w:val="00A2155B"/>
    <w:rsid w:val="00A2156A"/>
    <w:rsid w:val="00A21D17"/>
    <w:rsid w:val="00A22008"/>
    <w:rsid w:val="00A2242C"/>
    <w:rsid w:val="00A22678"/>
    <w:rsid w:val="00A227AB"/>
    <w:rsid w:val="00A228B2"/>
    <w:rsid w:val="00A22B52"/>
    <w:rsid w:val="00A22D47"/>
    <w:rsid w:val="00A236F8"/>
    <w:rsid w:val="00A23B35"/>
    <w:rsid w:val="00A24117"/>
    <w:rsid w:val="00A243AA"/>
    <w:rsid w:val="00A2489E"/>
    <w:rsid w:val="00A249EF"/>
    <w:rsid w:val="00A24E55"/>
    <w:rsid w:val="00A25F52"/>
    <w:rsid w:val="00A25F5F"/>
    <w:rsid w:val="00A264BB"/>
    <w:rsid w:val="00A26E37"/>
    <w:rsid w:val="00A26FD6"/>
    <w:rsid w:val="00A27099"/>
    <w:rsid w:val="00A273A8"/>
    <w:rsid w:val="00A2750B"/>
    <w:rsid w:val="00A27599"/>
    <w:rsid w:val="00A27B42"/>
    <w:rsid w:val="00A27BDE"/>
    <w:rsid w:val="00A27D42"/>
    <w:rsid w:val="00A27EA6"/>
    <w:rsid w:val="00A3005B"/>
    <w:rsid w:val="00A30292"/>
    <w:rsid w:val="00A3070D"/>
    <w:rsid w:val="00A30CF7"/>
    <w:rsid w:val="00A30E98"/>
    <w:rsid w:val="00A31370"/>
    <w:rsid w:val="00A31A86"/>
    <w:rsid w:val="00A31AF3"/>
    <w:rsid w:val="00A31C68"/>
    <w:rsid w:val="00A31C7C"/>
    <w:rsid w:val="00A31D32"/>
    <w:rsid w:val="00A31E8D"/>
    <w:rsid w:val="00A325FB"/>
    <w:rsid w:val="00A32810"/>
    <w:rsid w:val="00A328E2"/>
    <w:rsid w:val="00A3294B"/>
    <w:rsid w:val="00A32FFC"/>
    <w:rsid w:val="00A3314E"/>
    <w:rsid w:val="00A331A7"/>
    <w:rsid w:val="00A33535"/>
    <w:rsid w:val="00A339FD"/>
    <w:rsid w:val="00A34372"/>
    <w:rsid w:val="00A343D0"/>
    <w:rsid w:val="00A34E0E"/>
    <w:rsid w:val="00A34F0A"/>
    <w:rsid w:val="00A34FCD"/>
    <w:rsid w:val="00A34FDA"/>
    <w:rsid w:val="00A350D3"/>
    <w:rsid w:val="00A35B09"/>
    <w:rsid w:val="00A3630C"/>
    <w:rsid w:val="00A36327"/>
    <w:rsid w:val="00A3646E"/>
    <w:rsid w:val="00A3647D"/>
    <w:rsid w:val="00A365DA"/>
    <w:rsid w:val="00A367D4"/>
    <w:rsid w:val="00A36AE6"/>
    <w:rsid w:val="00A36D4C"/>
    <w:rsid w:val="00A36E06"/>
    <w:rsid w:val="00A37124"/>
    <w:rsid w:val="00A37B10"/>
    <w:rsid w:val="00A37BD8"/>
    <w:rsid w:val="00A403A0"/>
    <w:rsid w:val="00A40599"/>
    <w:rsid w:val="00A407C5"/>
    <w:rsid w:val="00A40A6C"/>
    <w:rsid w:val="00A41B1C"/>
    <w:rsid w:val="00A41CF7"/>
    <w:rsid w:val="00A428EF"/>
    <w:rsid w:val="00A42BC2"/>
    <w:rsid w:val="00A43011"/>
    <w:rsid w:val="00A43297"/>
    <w:rsid w:val="00A4338D"/>
    <w:rsid w:val="00A434ED"/>
    <w:rsid w:val="00A4376D"/>
    <w:rsid w:val="00A43F27"/>
    <w:rsid w:val="00A44037"/>
    <w:rsid w:val="00A44095"/>
    <w:rsid w:val="00A442AD"/>
    <w:rsid w:val="00A44399"/>
    <w:rsid w:val="00A446A8"/>
    <w:rsid w:val="00A446CE"/>
    <w:rsid w:val="00A44773"/>
    <w:rsid w:val="00A44B4D"/>
    <w:rsid w:val="00A44BAC"/>
    <w:rsid w:val="00A44DDA"/>
    <w:rsid w:val="00A4503D"/>
    <w:rsid w:val="00A451D9"/>
    <w:rsid w:val="00A45C25"/>
    <w:rsid w:val="00A4619B"/>
    <w:rsid w:val="00A465D1"/>
    <w:rsid w:val="00A46FCB"/>
    <w:rsid w:val="00A47074"/>
    <w:rsid w:val="00A47190"/>
    <w:rsid w:val="00A471E7"/>
    <w:rsid w:val="00A47847"/>
    <w:rsid w:val="00A478FE"/>
    <w:rsid w:val="00A4798C"/>
    <w:rsid w:val="00A47A19"/>
    <w:rsid w:val="00A47F5F"/>
    <w:rsid w:val="00A50498"/>
    <w:rsid w:val="00A50575"/>
    <w:rsid w:val="00A50681"/>
    <w:rsid w:val="00A50982"/>
    <w:rsid w:val="00A50B5A"/>
    <w:rsid w:val="00A5111A"/>
    <w:rsid w:val="00A51388"/>
    <w:rsid w:val="00A516DE"/>
    <w:rsid w:val="00A517FA"/>
    <w:rsid w:val="00A51CC3"/>
    <w:rsid w:val="00A521B7"/>
    <w:rsid w:val="00A5233E"/>
    <w:rsid w:val="00A52850"/>
    <w:rsid w:val="00A52D20"/>
    <w:rsid w:val="00A52FD8"/>
    <w:rsid w:val="00A5312F"/>
    <w:rsid w:val="00A5325B"/>
    <w:rsid w:val="00A53311"/>
    <w:rsid w:val="00A53648"/>
    <w:rsid w:val="00A53728"/>
    <w:rsid w:val="00A53B1B"/>
    <w:rsid w:val="00A53B3B"/>
    <w:rsid w:val="00A53D63"/>
    <w:rsid w:val="00A53EB2"/>
    <w:rsid w:val="00A53F92"/>
    <w:rsid w:val="00A54D4F"/>
    <w:rsid w:val="00A5510A"/>
    <w:rsid w:val="00A552AB"/>
    <w:rsid w:val="00A552CE"/>
    <w:rsid w:val="00A555EC"/>
    <w:rsid w:val="00A55749"/>
    <w:rsid w:val="00A557A1"/>
    <w:rsid w:val="00A5635C"/>
    <w:rsid w:val="00A563F3"/>
    <w:rsid w:val="00A5642E"/>
    <w:rsid w:val="00A56A75"/>
    <w:rsid w:val="00A56DA4"/>
    <w:rsid w:val="00A572D4"/>
    <w:rsid w:val="00A57711"/>
    <w:rsid w:val="00A57972"/>
    <w:rsid w:val="00A57B50"/>
    <w:rsid w:val="00A602A5"/>
    <w:rsid w:val="00A6065B"/>
    <w:rsid w:val="00A60A22"/>
    <w:rsid w:val="00A60AEA"/>
    <w:rsid w:val="00A60E2E"/>
    <w:rsid w:val="00A6116F"/>
    <w:rsid w:val="00A61D21"/>
    <w:rsid w:val="00A620B8"/>
    <w:rsid w:val="00A62277"/>
    <w:rsid w:val="00A62357"/>
    <w:rsid w:val="00A6268E"/>
    <w:rsid w:val="00A6286F"/>
    <w:rsid w:val="00A62945"/>
    <w:rsid w:val="00A62B93"/>
    <w:rsid w:val="00A62FDC"/>
    <w:rsid w:val="00A63032"/>
    <w:rsid w:val="00A634FB"/>
    <w:rsid w:val="00A6442F"/>
    <w:rsid w:val="00A644DB"/>
    <w:rsid w:val="00A64651"/>
    <w:rsid w:val="00A647A7"/>
    <w:rsid w:val="00A6549F"/>
    <w:rsid w:val="00A654DA"/>
    <w:rsid w:val="00A65AE7"/>
    <w:rsid w:val="00A65DD4"/>
    <w:rsid w:val="00A6627E"/>
    <w:rsid w:val="00A662E8"/>
    <w:rsid w:val="00A66E2B"/>
    <w:rsid w:val="00A66EF5"/>
    <w:rsid w:val="00A672D9"/>
    <w:rsid w:val="00A6739A"/>
    <w:rsid w:val="00A67E4E"/>
    <w:rsid w:val="00A67EC1"/>
    <w:rsid w:val="00A70138"/>
    <w:rsid w:val="00A70220"/>
    <w:rsid w:val="00A7030B"/>
    <w:rsid w:val="00A70803"/>
    <w:rsid w:val="00A7091F"/>
    <w:rsid w:val="00A709DA"/>
    <w:rsid w:val="00A70D63"/>
    <w:rsid w:val="00A70FC6"/>
    <w:rsid w:val="00A7119B"/>
    <w:rsid w:val="00A714AD"/>
    <w:rsid w:val="00A714E0"/>
    <w:rsid w:val="00A716B8"/>
    <w:rsid w:val="00A71C3A"/>
    <w:rsid w:val="00A7220F"/>
    <w:rsid w:val="00A72C1A"/>
    <w:rsid w:val="00A737E5"/>
    <w:rsid w:val="00A7392D"/>
    <w:rsid w:val="00A73B93"/>
    <w:rsid w:val="00A73CE3"/>
    <w:rsid w:val="00A7445A"/>
    <w:rsid w:val="00A74548"/>
    <w:rsid w:val="00A74609"/>
    <w:rsid w:val="00A75035"/>
    <w:rsid w:val="00A753CD"/>
    <w:rsid w:val="00A75801"/>
    <w:rsid w:val="00A759EE"/>
    <w:rsid w:val="00A75E50"/>
    <w:rsid w:val="00A76151"/>
    <w:rsid w:val="00A766A0"/>
    <w:rsid w:val="00A767A3"/>
    <w:rsid w:val="00A76913"/>
    <w:rsid w:val="00A76B92"/>
    <w:rsid w:val="00A76C8F"/>
    <w:rsid w:val="00A76D0D"/>
    <w:rsid w:val="00A77207"/>
    <w:rsid w:val="00A77A5C"/>
    <w:rsid w:val="00A77B4B"/>
    <w:rsid w:val="00A77C58"/>
    <w:rsid w:val="00A77D0F"/>
    <w:rsid w:val="00A8003C"/>
    <w:rsid w:val="00A80044"/>
    <w:rsid w:val="00A800FA"/>
    <w:rsid w:val="00A80316"/>
    <w:rsid w:val="00A804CE"/>
    <w:rsid w:val="00A805A7"/>
    <w:rsid w:val="00A807F4"/>
    <w:rsid w:val="00A80F1B"/>
    <w:rsid w:val="00A80F9F"/>
    <w:rsid w:val="00A81082"/>
    <w:rsid w:val="00A810D3"/>
    <w:rsid w:val="00A817F4"/>
    <w:rsid w:val="00A817FB"/>
    <w:rsid w:val="00A818A1"/>
    <w:rsid w:val="00A81EDF"/>
    <w:rsid w:val="00A82AC7"/>
    <w:rsid w:val="00A82B40"/>
    <w:rsid w:val="00A83016"/>
    <w:rsid w:val="00A830AA"/>
    <w:rsid w:val="00A836CA"/>
    <w:rsid w:val="00A83762"/>
    <w:rsid w:val="00A838AC"/>
    <w:rsid w:val="00A83C7D"/>
    <w:rsid w:val="00A83EF9"/>
    <w:rsid w:val="00A84015"/>
    <w:rsid w:val="00A84085"/>
    <w:rsid w:val="00A8424E"/>
    <w:rsid w:val="00A84882"/>
    <w:rsid w:val="00A84979"/>
    <w:rsid w:val="00A84D39"/>
    <w:rsid w:val="00A84FC5"/>
    <w:rsid w:val="00A850BD"/>
    <w:rsid w:val="00A854C5"/>
    <w:rsid w:val="00A85E59"/>
    <w:rsid w:val="00A862EA"/>
    <w:rsid w:val="00A86628"/>
    <w:rsid w:val="00A867DF"/>
    <w:rsid w:val="00A86A2D"/>
    <w:rsid w:val="00A86B6C"/>
    <w:rsid w:val="00A86CE0"/>
    <w:rsid w:val="00A874E0"/>
    <w:rsid w:val="00A87BA9"/>
    <w:rsid w:val="00A87F41"/>
    <w:rsid w:val="00A90270"/>
    <w:rsid w:val="00A903C6"/>
    <w:rsid w:val="00A909D1"/>
    <w:rsid w:val="00A90C64"/>
    <w:rsid w:val="00A90E50"/>
    <w:rsid w:val="00A910C8"/>
    <w:rsid w:val="00A9148B"/>
    <w:rsid w:val="00A9173B"/>
    <w:rsid w:val="00A91AC0"/>
    <w:rsid w:val="00A92014"/>
    <w:rsid w:val="00A92395"/>
    <w:rsid w:val="00A92603"/>
    <w:rsid w:val="00A92BB1"/>
    <w:rsid w:val="00A92DB7"/>
    <w:rsid w:val="00A92FD1"/>
    <w:rsid w:val="00A930B9"/>
    <w:rsid w:val="00A93411"/>
    <w:rsid w:val="00A93614"/>
    <w:rsid w:val="00A936A0"/>
    <w:rsid w:val="00A936CC"/>
    <w:rsid w:val="00A93DBB"/>
    <w:rsid w:val="00A93E4D"/>
    <w:rsid w:val="00A93F37"/>
    <w:rsid w:val="00A94100"/>
    <w:rsid w:val="00A94266"/>
    <w:rsid w:val="00A944FF"/>
    <w:rsid w:val="00A94596"/>
    <w:rsid w:val="00A9460C"/>
    <w:rsid w:val="00A9466D"/>
    <w:rsid w:val="00A948C4"/>
    <w:rsid w:val="00A94A2D"/>
    <w:rsid w:val="00A95377"/>
    <w:rsid w:val="00A95931"/>
    <w:rsid w:val="00A95EAA"/>
    <w:rsid w:val="00A95F46"/>
    <w:rsid w:val="00A96199"/>
    <w:rsid w:val="00A964DA"/>
    <w:rsid w:val="00A967D8"/>
    <w:rsid w:val="00A969BC"/>
    <w:rsid w:val="00A96C49"/>
    <w:rsid w:val="00A96D18"/>
    <w:rsid w:val="00A96E76"/>
    <w:rsid w:val="00A96FBA"/>
    <w:rsid w:val="00A97452"/>
    <w:rsid w:val="00A976A9"/>
    <w:rsid w:val="00A976BC"/>
    <w:rsid w:val="00A97BF8"/>
    <w:rsid w:val="00A97D51"/>
    <w:rsid w:val="00A97D77"/>
    <w:rsid w:val="00A97ECB"/>
    <w:rsid w:val="00A97F16"/>
    <w:rsid w:val="00AA00A6"/>
    <w:rsid w:val="00AA00DF"/>
    <w:rsid w:val="00AA01C2"/>
    <w:rsid w:val="00AA05FC"/>
    <w:rsid w:val="00AA0702"/>
    <w:rsid w:val="00AA07EE"/>
    <w:rsid w:val="00AA0918"/>
    <w:rsid w:val="00AA0A43"/>
    <w:rsid w:val="00AA0ADE"/>
    <w:rsid w:val="00AA0BC9"/>
    <w:rsid w:val="00AA0C2C"/>
    <w:rsid w:val="00AA1054"/>
    <w:rsid w:val="00AA11B3"/>
    <w:rsid w:val="00AA1319"/>
    <w:rsid w:val="00AA17A0"/>
    <w:rsid w:val="00AA1810"/>
    <w:rsid w:val="00AA1CB0"/>
    <w:rsid w:val="00AA20AD"/>
    <w:rsid w:val="00AA20FD"/>
    <w:rsid w:val="00AA22EF"/>
    <w:rsid w:val="00AA2383"/>
    <w:rsid w:val="00AA24BA"/>
    <w:rsid w:val="00AA2BD7"/>
    <w:rsid w:val="00AA2C52"/>
    <w:rsid w:val="00AA2EED"/>
    <w:rsid w:val="00AA34BB"/>
    <w:rsid w:val="00AA355C"/>
    <w:rsid w:val="00AA35EC"/>
    <w:rsid w:val="00AA3690"/>
    <w:rsid w:val="00AA3705"/>
    <w:rsid w:val="00AA37B3"/>
    <w:rsid w:val="00AA40DA"/>
    <w:rsid w:val="00AA43C7"/>
    <w:rsid w:val="00AA462E"/>
    <w:rsid w:val="00AA4706"/>
    <w:rsid w:val="00AA49EB"/>
    <w:rsid w:val="00AA4A87"/>
    <w:rsid w:val="00AA4B75"/>
    <w:rsid w:val="00AA4F1E"/>
    <w:rsid w:val="00AA5502"/>
    <w:rsid w:val="00AA5707"/>
    <w:rsid w:val="00AA63CF"/>
    <w:rsid w:val="00AA64D4"/>
    <w:rsid w:val="00AA6506"/>
    <w:rsid w:val="00AA6812"/>
    <w:rsid w:val="00AA68B0"/>
    <w:rsid w:val="00AA6D67"/>
    <w:rsid w:val="00AA6E67"/>
    <w:rsid w:val="00AA7FED"/>
    <w:rsid w:val="00AB010A"/>
    <w:rsid w:val="00AB0331"/>
    <w:rsid w:val="00AB04E3"/>
    <w:rsid w:val="00AB0526"/>
    <w:rsid w:val="00AB0F26"/>
    <w:rsid w:val="00AB1063"/>
    <w:rsid w:val="00AB139D"/>
    <w:rsid w:val="00AB198A"/>
    <w:rsid w:val="00AB199F"/>
    <w:rsid w:val="00AB1A89"/>
    <w:rsid w:val="00AB27C5"/>
    <w:rsid w:val="00AB2B5A"/>
    <w:rsid w:val="00AB2E3A"/>
    <w:rsid w:val="00AB3357"/>
    <w:rsid w:val="00AB3C03"/>
    <w:rsid w:val="00AB3E3A"/>
    <w:rsid w:val="00AB4239"/>
    <w:rsid w:val="00AB4247"/>
    <w:rsid w:val="00AB47BB"/>
    <w:rsid w:val="00AB484F"/>
    <w:rsid w:val="00AB4A12"/>
    <w:rsid w:val="00AB5165"/>
    <w:rsid w:val="00AB516D"/>
    <w:rsid w:val="00AB53BE"/>
    <w:rsid w:val="00AB54D1"/>
    <w:rsid w:val="00AB56FF"/>
    <w:rsid w:val="00AB59C2"/>
    <w:rsid w:val="00AB5A75"/>
    <w:rsid w:val="00AB5C83"/>
    <w:rsid w:val="00AB5EDC"/>
    <w:rsid w:val="00AB5FAB"/>
    <w:rsid w:val="00AB6981"/>
    <w:rsid w:val="00AB6A2F"/>
    <w:rsid w:val="00AB6AE9"/>
    <w:rsid w:val="00AB6EE1"/>
    <w:rsid w:val="00AB7102"/>
    <w:rsid w:val="00AB7518"/>
    <w:rsid w:val="00AB7BB7"/>
    <w:rsid w:val="00AC0B10"/>
    <w:rsid w:val="00AC0D1E"/>
    <w:rsid w:val="00AC0E84"/>
    <w:rsid w:val="00AC0FC2"/>
    <w:rsid w:val="00AC10D5"/>
    <w:rsid w:val="00AC13BF"/>
    <w:rsid w:val="00AC1400"/>
    <w:rsid w:val="00AC19F8"/>
    <w:rsid w:val="00AC1DDD"/>
    <w:rsid w:val="00AC1F59"/>
    <w:rsid w:val="00AC2023"/>
    <w:rsid w:val="00AC24A0"/>
    <w:rsid w:val="00AC2EAB"/>
    <w:rsid w:val="00AC305A"/>
    <w:rsid w:val="00AC3BA1"/>
    <w:rsid w:val="00AC47D6"/>
    <w:rsid w:val="00AC4D69"/>
    <w:rsid w:val="00AC5049"/>
    <w:rsid w:val="00AC50B0"/>
    <w:rsid w:val="00AC57E8"/>
    <w:rsid w:val="00AC5BDD"/>
    <w:rsid w:val="00AC5EF5"/>
    <w:rsid w:val="00AC6040"/>
    <w:rsid w:val="00AC6CB8"/>
    <w:rsid w:val="00AC6CFE"/>
    <w:rsid w:val="00AC7152"/>
    <w:rsid w:val="00AC76CB"/>
    <w:rsid w:val="00AC78B4"/>
    <w:rsid w:val="00AC7B0A"/>
    <w:rsid w:val="00AC7C67"/>
    <w:rsid w:val="00AD027F"/>
    <w:rsid w:val="00AD04C7"/>
    <w:rsid w:val="00AD061F"/>
    <w:rsid w:val="00AD0639"/>
    <w:rsid w:val="00AD0C3A"/>
    <w:rsid w:val="00AD0E42"/>
    <w:rsid w:val="00AD0FB3"/>
    <w:rsid w:val="00AD1584"/>
    <w:rsid w:val="00AD17F6"/>
    <w:rsid w:val="00AD192B"/>
    <w:rsid w:val="00AD1983"/>
    <w:rsid w:val="00AD1B21"/>
    <w:rsid w:val="00AD23AB"/>
    <w:rsid w:val="00AD3069"/>
    <w:rsid w:val="00AD3231"/>
    <w:rsid w:val="00AD3232"/>
    <w:rsid w:val="00AD328C"/>
    <w:rsid w:val="00AD3321"/>
    <w:rsid w:val="00AD3801"/>
    <w:rsid w:val="00AD3868"/>
    <w:rsid w:val="00AD38B5"/>
    <w:rsid w:val="00AD39B5"/>
    <w:rsid w:val="00AD3AFE"/>
    <w:rsid w:val="00AD3B95"/>
    <w:rsid w:val="00AD3DEB"/>
    <w:rsid w:val="00AD3FB4"/>
    <w:rsid w:val="00AD438C"/>
    <w:rsid w:val="00AD4469"/>
    <w:rsid w:val="00AD45A9"/>
    <w:rsid w:val="00AD46CB"/>
    <w:rsid w:val="00AD4B73"/>
    <w:rsid w:val="00AD55D1"/>
    <w:rsid w:val="00AD57BD"/>
    <w:rsid w:val="00AD5C9D"/>
    <w:rsid w:val="00AD5D4E"/>
    <w:rsid w:val="00AD5D53"/>
    <w:rsid w:val="00AD6346"/>
    <w:rsid w:val="00AD64B3"/>
    <w:rsid w:val="00AD6701"/>
    <w:rsid w:val="00AD689E"/>
    <w:rsid w:val="00AD6997"/>
    <w:rsid w:val="00AD6AA4"/>
    <w:rsid w:val="00AD6B48"/>
    <w:rsid w:val="00AD7059"/>
    <w:rsid w:val="00AD728A"/>
    <w:rsid w:val="00AD7387"/>
    <w:rsid w:val="00AD75A9"/>
    <w:rsid w:val="00AD76B4"/>
    <w:rsid w:val="00AD7725"/>
    <w:rsid w:val="00AD79B6"/>
    <w:rsid w:val="00AD7AB6"/>
    <w:rsid w:val="00AD7EB4"/>
    <w:rsid w:val="00AE015A"/>
    <w:rsid w:val="00AE02F4"/>
    <w:rsid w:val="00AE0380"/>
    <w:rsid w:val="00AE050D"/>
    <w:rsid w:val="00AE0793"/>
    <w:rsid w:val="00AE095A"/>
    <w:rsid w:val="00AE09A3"/>
    <w:rsid w:val="00AE0B81"/>
    <w:rsid w:val="00AE0BE7"/>
    <w:rsid w:val="00AE0E8B"/>
    <w:rsid w:val="00AE14E7"/>
    <w:rsid w:val="00AE158B"/>
    <w:rsid w:val="00AE1B24"/>
    <w:rsid w:val="00AE2067"/>
    <w:rsid w:val="00AE2415"/>
    <w:rsid w:val="00AE25B5"/>
    <w:rsid w:val="00AE2A63"/>
    <w:rsid w:val="00AE3389"/>
    <w:rsid w:val="00AE3487"/>
    <w:rsid w:val="00AE38A0"/>
    <w:rsid w:val="00AE39D4"/>
    <w:rsid w:val="00AE3AAB"/>
    <w:rsid w:val="00AE3F8B"/>
    <w:rsid w:val="00AE44B1"/>
    <w:rsid w:val="00AE47F9"/>
    <w:rsid w:val="00AE4ABD"/>
    <w:rsid w:val="00AE4B2F"/>
    <w:rsid w:val="00AE4B5A"/>
    <w:rsid w:val="00AE4D0A"/>
    <w:rsid w:val="00AE52BC"/>
    <w:rsid w:val="00AE56A1"/>
    <w:rsid w:val="00AE670C"/>
    <w:rsid w:val="00AE6F94"/>
    <w:rsid w:val="00AE7234"/>
    <w:rsid w:val="00AE7651"/>
    <w:rsid w:val="00AE7FC0"/>
    <w:rsid w:val="00AF0262"/>
    <w:rsid w:val="00AF04B8"/>
    <w:rsid w:val="00AF04DE"/>
    <w:rsid w:val="00AF090E"/>
    <w:rsid w:val="00AF0961"/>
    <w:rsid w:val="00AF09A5"/>
    <w:rsid w:val="00AF0BCB"/>
    <w:rsid w:val="00AF12DE"/>
    <w:rsid w:val="00AF1302"/>
    <w:rsid w:val="00AF137F"/>
    <w:rsid w:val="00AF1409"/>
    <w:rsid w:val="00AF168A"/>
    <w:rsid w:val="00AF1994"/>
    <w:rsid w:val="00AF1B8E"/>
    <w:rsid w:val="00AF27CA"/>
    <w:rsid w:val="00AF2A73"/>
    <w:rsid w:val="00AF2D9A"/>
    <w:rsid w:val="00AF32AB"/>
    <w:rsid w:val="00AF3642"/>
    <w:rsid w:val="00AF36C6"/>
    <w:rsid w:val="00AF38F3"/>
    <w:rsid w:val="00AF3C63"/>
    <w:rsid w:val="00AF3DCF"/>
    <w:rsid w:val="00AF4168"/>
    <w:rsid w:val="00AF44F6"/>
    <w:rsid w:val="00AF47FE"/>
    <w:rsid w:val="00AF488F"/>
    <w:rsid w:val="00AF4D56"/>
    <w:rsid w:val="00AF5E8F"/>
    <w:rsid w:val="00AF64CE"/>
    <w:rsid w:val="00AF66C0"/>
    <w:rsid w:val="00AF74F6"/>
    <w:rsid w:val="00AF7704"/>
    <w:rsid w:val="00AF7C80"/>
    <w:rsid w:val="00AF7D00"/>
    <w:rsid w:val="00B00256"/>
    <w:rsid w:val="00B00766"/>
    <w:rsid w:val="00B007EF"/>
    <w:rsid w:val="00B00D6E"/>
    <w:rsid w:val="00B01307"/>
    <w:rsid w:val="00B01AC1"/>
    <w:rsid w:val="00B01AE9"/>
    <w:rsid w:val="00B01B46"/>
    <w:rsid w:val="00B01E7F"/>
    <w:rsid w:val="00B01EFB"/>
    <w:rsid w:val="00B02903"/>
    <w:rsid w:val="00B02AE7"/>
    <w:rsid w:val="00B02C42"/>
    <w:rsid w:val="00B034FE"/>
    <w:rsid w:val="00B03777"/>
    <w:rsid w:val="00B03E28"/>
    <w:rsid w:val="00B040CA"/>
    <w:rsid w:val="00B04103"/>
    <w:rsid w:val="00B0412B"/>
    <w:rsid w:val="00B04159"/>
    <w:rsid w:val="00B043DB"/>
    <w:rsid w:val="00B04444"/>
    <w:rsid w:val="00B0492A"/>
    <w:rsid w:val="00B054E6"/>
    <w:rsid w:val="00B05BF0"/>
    <w:rsid w:val="00B05DFF"/>
    <w:rsid w:val="00B0641E"/>
    <w:rsid w:val="00B07422"/>
    <w:rsid w:val="00B07607"/>
    <w:rsid w:val="00B0783B"/>
    <w:rsid w:val="00B07A9B"/>
    <w:rsid w:val="00B07D30"/>
    <w:rsid w:val="00B07F06"/>
    <w:rsid w:val="00B07F70"/>
    <w:rsid w:val="00B10371"/>
    <w:rsid w:val="00B1062A"/>
    <w:rsid w:val="00B106CE"/>
    <w:rsid w:val="00B10805"/>
    <w:rsid w:val="00B10B36"/>
    <w:rsid w:val="00B10B3B"/>
    <w:rsid w:val="00B1103B"/>
    <w:rsid w:val="00B1147C"/>
    <w:rsid w:val="00B11A6A"/>
    <w:rsid w:val="00B11D8B"/>
    <w:rsid w:val="00B11DAE"/>
    <w:rsid w:val="00B11E18"/>
    <w:rsid w:val="00B11ED2"/>
    <w:rsid w:val="00B1219E"/>
    <w:rsid w:val="00B12266"/>
    <w:rsid w:val="00B1243C"/>
    <w:rsid w:val="00B124F6"/>
    <w:rsid w:val="00B127C1"/>
    <w:rsid w:val="00B12D3D"/>
    <w:rsid w:val="00B12D5F"/>
    <w:rsid w:val="00B13220"/>
    <w:rsid w:val="00B13C0D"/>
    <w:rsid w:val="00B13C3A"/>
    <w:rsid w:val="00B141ED"/>
    <w:rsid w:val="00B1435C"/>
    <w:rsid w:val="00B14431"/>
    <w:rsid w:val="00B145A6"/>
    <w:rsid w:val="00B14BB8"/>
    <w:rsid w:val="00B14E20"/>
    <w:rsid w:val="00B14FF2"/>
    <w:rsid w:val="00B151C3"/>
    <w:rsid w:val="00B15259"/>
    <w:rsid w:val="00B1597C"/>
    <w:rsid w:val="00B159C6"/>
    <w:rsid w:val="00B15C5F"/>
    <w:rsid w:val="00B1600F"/>
    <w:rsid w:val="00B16399"/>
    <w:rsid w:val="00B166F3"/>
    <w:rsid w:val="00B16C2B"/>
    <w:rsid w:val="00B1EBCC"/>
    <w:rsid w:val="00B2002C"/>
    <w:rsid w:val="00B201C4"/>
    <w:rsid w:val="00B2033E"/>
    <w:rsid w:val="00B20604"/>
    <w:rsid w:val="00B2093E"/>
    <w:rsid w:val="00B20CBD"/>
    <w:rsid w:val="00B210E9"/>
    <w:rsid w:val="00B2207B"/>
    <w:rsid w:val="00B223CA"/>
    <w:rsid w:val="00B22705"/>
    <w:rsid w:val="00B22A69"/>
    <w:rsid w:val="00B22FCC"/>
    <w:rsid w:val="00B231C1"/>
    <w:rsid w:val="00B2374E"/>
    <w:rsid w:val="00B237F5"/>
    <w:rsid w:val="00B2383F"/>
    <w:rsid w:val="00B23B7A"/>
    <w:rsid w:val="00B23F3D"/>
    <w:rsid w:val="00B240F6"/>
    <w:rsid w:val="00B2414C"/>
    <w:rsid w:val="00B24189"/>
    <w:rsid w:val="00B245D2"/>
    <w:rsid w:val="00B24706"/>
    <w:rsid w:val="00B24787"/>
    <w:rsid w:val="00B24969"/>
    <w:rsid w:val="00B25063"/>
    <w:rsid w:val="00B250A0"/>
    <w:rsid w:val="00B256B7"/>
    <w:rsid w:val="00B25792"/>
    <w:rsid w:val="00B25A58"/>
    <w:rsid w:val="00B25C07"/>
    <w:rsid w:val="00B25D0C"/>
    <w:rsid w:val="00B25E2C"/>
    <w:rsid w:val="00B262E0"/>
    <w:rsid w:val="00B26364"/>
    <w:rsid w:val="00B26492"/>
    <w:rsid w:val="00B26884"/>
    <w:rsid w:val="00B26C82"/>
    <w:rsid w:val="00B26F15"/>
    <w:rsid w:val="00B278A9"/>
    <w:rsid w:val="00B30195"/>
    <w:rsid w:val="00B30406"/>
    <w:rsid w:val="00B305A5"/>
    <w:rsid w:val="00B308BB"/>
    <w:rsid w:val="00B30EDE"/>
    <w:rsid w:val="00B311CD"/>
    <w:rsid w:val="00B3122C"/>
    <w:rsid w:val="00B319BC"/>
    <w:rsid w:val="00B319D7"/>
    <w:rsid w:val="00B319F8"/>
    <w:rsid w:val="00B31D2D"/>
    <w:rsid w:val="00B31DD8"/>
    <w:rsid w:val="00B31F02"/>
    <w:rsid w:val="00B325EA"/>
    <w:rsid w:val="00B327EF"/>
    <w:rsid w:val="00B32F68"/>
    <w:rsid w:val="00B33036"/>
    <w:rsid w:val="00B3304B"/>
    <w:rsid w:val="00B330CB"/>
    <w:rsid w:val="00B330F4"/>
    <w:rsid w:val="00B330FD"/>
    <w:rsid w:val="00B3316A"/>
    <w:rsid w:val="00B33B59"/>
    <w:rsid w:val="00B33DDF"/>
    <w:rsid w:val="00B33E57"/>
    <w:rsid w:val="00B33F28"/>
    <w:rsid w:val="00B33F53"/>
    <w:rsid w:val="00B34294"/>
    <w:rsid w:val="00B346D6"/>
    <w:rsid w:val="00B348EC"/>
    <w:rsid w:val="00B34A73"/>
    <w:rsid w:val="00B34BD9"/>
    <w:rsid w:val="00B35097"/>
    <w:rsid w:val="00B360D6"/>
    <w:rsid w:val="00B360DA"/>
    <w:rsid w:val="00B3675F"/>
    <w:rsid w:val="00B36760"/>
    <w:rsid w:val="00B36E73"/>
    <w:rsid w:val="00B37802"/>
    <w:rsid w:val="00B3782E"/>
    <w:rsid w:val="00B3790B"/>
    <w:rsid w:val="00B37952"/>
    <w:rsid w:val="00B379FC"/>
    <w:rsid w:val="00B37AA5"/>
    <w:rsid w:val="00B37EC0"/>
    <w:rsid w:val="00B37F57"/>
    <w:rsid w:val="00B37F97"/>
    <w:rsid w:val="00B4017D"/>
    <w:rsid w:val="00B405FE"/>
    <w:rsid w:val="00B40A51"/>
    <w:rsid w:val="00B40B13"/>
    <w:rsid w:val="00B40D10"/>
    <w:rsid w:val="00B40EF0"/>
    <w:rsid w:val="00B4125E"/>
    <w:rsid w:val="00B416E6"/>
    <w:rsid w:val="00B41DBF"/>
    <w:rsid w:val="00B41DD7"/>
    <w:rsid w:val="00B41F99"/>
    <w:rsid w:val="00B42316"/>
    <w:rsid w:val="00B425EA"/>
    <w:rsid w:val="00B4260B"/>
    <w:rsid w:val="00B427A5"/>
    <w:rsid w:val="00B42F6E"/>
    <w:rsid w:val="00B43221"/>
    <w:rsid w:val="00B43541"/>
    <w:rsid w:val="00B435DF"/>
    <w:rsid w:val="00B43BB7"/>
    <w:rsid w:val="00B43DF7"/>
    <w:rsid w:val="00B43DFE"/>
    <w:rsid w:val="00B4404B"/>
    <w:rsid w:val="00B444CB"/>
    <w:rsid w:val="00B44A80"/>
    <w:rsid w:val="00B44B29"/>
    <w:rsid w:val="00B45012"/>
    <w:rsid w:val="00B450B7"/>
    <w:rsid w:val="00B45118"/>
    <w:rsid w:val="00B453BE"/>
    <w:rsid w:val="00B4552D"/>
    <w:rsid w:val="00B4591D"/>
    <w:rsid w:val="00B45AAB"/>
    <w:rsid w:val="00B4635B"/>
    <w:rsid w:val="00B47338"/>
    <w:rsid w:val="00B4793D"/>
    <w:rsid w:val="00B479C1"/>
    <w:rsid w:val="00B47A27"/>
    <w:rsid w:val="00B4FD5A"/>
    <w:rsid w:val="00B50261"/>
    <w:rsid w:val="00B505E4"/>
    <w:rsid w:val="00B50EA1"/>
    <w:rsid w:val="00B512EA"/>
    <w:rsid w:val="00B513B3"/>
    <w:rsid w:val="00B515F2"/>
    <w:rsid w:val="00B51728"/>
    <w:rsid w:val="00B51B3D"/>
    <w:rsid w:val="00B51BB2"/>
    <w:rsid w:val="00B51BDC"/>
    <w:rsid w:val="00B51CC5"/>
    <w:rsid w:val="00B51D9F"/>
    <w:rsid w:val="00B51EC8"/>
    <w:rsid w:val="00B523CC"/>
    <w:rsid w:val="00B527A7"/>
    <w:rsid w:val="00B52FF1"/>
    <w:rsid w:val="00B53661"/>
    <w:rsid w:val="00B53A1C"/>
    <w:rsid w:val="00B54386"/>
    <w:rsid w:val="00B543EE"/>
    <w:rsid w:val="00B54A4D"/>
    <w:rsid w:val="00B54B9D"/>
    <w:rsid w:val="00B54CF4"/>
    <w:rsid w:val="00B54EB5"/>
    <w:rsid w:val="00B55173"/>
    <w:rsid w:val="00B5519D"/>
    <w:rsid w:val="00B55393"/>
    <w:rsid w:val="00B554FB"/>
    <w:rsid w:val="00B5554C"/>
    <w:rsid w:val="00B55963"/>
    <w:rsid w:val="00B55A85"/>
    <w:rsid w:val="00B55DB0"/>
    <w:rsid w:val="00B55EBF"/>
    <w:rsid w:val="00B55F7B"/>
    <w:rsid w:val="00B5617E"/>
    <w:rsid w:val="00B5708D"/>
    <w:rsid w:val="00B5771A"/>
    <w:rsid w:val="00B57CDA"/>
    <w:rsid w:val="00B57D50"/>
    <w:rsid w:val="00B57FBF"/>
    <w:rsid w:val="00B60334"/>
    <w:rsid w:val="00B60581"/>
    <w:rsid w:val="00B609CD"/>
    <w:rsid w:val="00B60A4B"/>
    <w:rsid w:val="00B61581"/>
    <w:rsid w:val="00B61778"/>
    <w:rsid w:val="00B61C66"/>
    <w:rsid w:val="00B61D7B"/>
    <w:rsid w:val="00B61E95"/>
    <w:rsid w:val="00B61F28"/>
    <w:rsid w:val="00B62054"/>
    <w:rsid w:val="00B62169"/>
    <w:rsid w:val="00B6220E"/>
    <w:rsid w:val="00B626CB"/>
    <w:rsid w:val="00B62879"/>
    <w:rsid w:val="00B62CB6"/>
    <w:rsid w:val="00B63136"/>
    <w:rsid w:val="00B632FD"/>
    <w:rsid w:val="00B636D1"/>
    <w:rsid w:val="00B63E61"/>
    <w:rsid w:val="00B64400"/>
    <w:rsid w:val="00B64A1A"/>
    <w:rsid w:val="00B64E22"/>
    <w:rsid w:val="00B650CC"/>
    <w:rsid w:val="00B65298"/>
    <w:rsid w:val="00B653BF"/>
    <w:rsid w:val="00B653E0"/>
    <w:rsid w:val="00B6563A"/>
    <w:rsid w:val="00B65661"/>
    <w:rsid w:val="00B6567B"/>
    <w:rsid w:val="00B65A1B"/>
    <w:rsid w:val="00B65C69"/>
    <w:rsid w:val="00B65DF8"/>
    <w:rsid w:val="00B6632E"/>
    <w:rsid w:val="00B66B27"/>
    <w:rsid w:val="00B66B5B"/>
    <w:rsid w:val="00B66DDD"/>
    <w:rsid w:val="00B67119"/>
    <w:rsid w:val="00B67367"/>
    <w:rsid w:val="00B67B8C"/>
    <w:rsid w:val="00B67BDD"/>
    <w:rsid w:val="00B67E11"/>
    <w:rsid w:val="00B67F06"/>
    <w:rsid w:val="00B700AF"/>
    <w:rsid w:val="00B701FC"/>
    <w:rsid w:val="00B70259"/>
    <w:rsid w:val="00B7035C"/>
    <w:rsid w:val="00B70440"/>
    <w:rsid w:val="00B7060F"/>
    <w:rsid w:val="00B706A7"/>
    <w:rsid w:val="00B71C53"/>
    <w:rsid w:val="00B71E6F"/>
    <w:rsid w:val="00B729B0"/>
    <w:rsid w:val="00B72BFB"/>
    <w:rsid w:val="00B72E61"/>
    <w:rsid w:val="00B7318D"/>
    <w:rsid w:val="00B731D2"/>
    <w:rsid w:val="00B73885"/>
    <w:rsid w:val="00B742BA"/>
    <w:rsid w:val="00B746CC"/>
    <w:rsid w:val="00B746F0"/>
    <w:rsid w:val="00B74BE7"/>
    <w:rsid w:val="00B75260"/>
    <w:rsid w:val="00B757AF"/>
    <w:rsid w:val="00B758CC"/>
    <w:rsid w:val="00B75C24"/>
    <w:rsid w:val="00B75E20"/>
    <w:rsid w:val="00B76407"/>
    <w:rsid w:val="00B767FC"/>
    <w:rsid w:val="00B769DA"/>
    <w:rsid w:val="00B771B8"/>
    <w:rsid w:val="00B77201"/>
    <w:rsid w:val="00B77329"/>
    <w:rsid w:val="00B7760E"/>
    <w:rsid w:val="00B7786D"/>
    <w:rsid w:val="00B77C2D"/>
    <w:rsid w:val="00B77FB3"/>
    <w:rsid w:val="00B80212"/>
    <w:rsid w:val="00B80378"/>
    <w:rsid w:val="00B8049D"/>
    <w:rsid w:val="00B80B77"/>
    <w:rsid w:val="00B80DB9"/>
    <w:rsid w:val="00B80E0C"/>
    <w:rsid w:val="00B8125A"/>
    <w:rsid w:val="00B813DD"/>
    <w:rsid w:val="00B81651"/>
    <w:rsid w:val="00B81B29"/>
    <w:rsid w:val="00B81DB9"/>
    <w:rsid w:val="00B82078"/>
    <w:rsid w:val="00B8229E"/>
    <w:rsid w:val="00B82673"/>
    <w:rsid w:val="00B8279E"/>
    <w:rsid w:val="00B8351C"/>
    <w:rsid w:val="00B83791"/>
    <w:rsid w:val="00B837B7"/>
    <w:rsid w:val="00B838FF"/>
    <w:rsid w:val="00B83EF1"/>
    <w:rsid w:val="00B84154"/>
    <w:rsid w:val="00B841C6"/>
    <w:rsid w:val="00B841F2"/>
    <w:rsid w:val="00B8454E"/>
    <w:rsid w:val="00B846F6"/>
    <w:rsid w:val="00B8471C"/>
    <w:rsid w:val="00B84759"/>
    <w:rsid w:val="00B8481F"/>
    <w:rsid w:val="00B84D72"/>
    <w:rsid w:val="00B84E54"/>
    <w:rsid w:val="00B850B5"/>
    <w:rsid w:val="00B853A9"/>
    <w:rsid w:val="00B861C5"/>
    <w:rsid w:val="00B86583"/>
    <w:rsid w:val="00B865F6"/>
    <w:rsid w:val="00B86774"/>
    <w:rsid w:val="00B878FC"/>
    <w:rsid w:val="00B87B24"/>
    <w:rsid w:val="00B87F2F"/>
    <w:rsid w:val="00B903F3"/>
    <w:rsid w:val="00B90497"/>
    <w:rsid w:val="00B90673"/>
    <w:rsid w:val="00B9073C"/>
    <w:rsid w:val="00B907A3"/>
    <w:rsid w:val="00B908DF"/>
    <w:rsid w:val="00B910EC"/>
    <w:rsid w:val="00B912C7"/>
    <w:rsid w:val="00B91332"/>
    <w:rsid w:val="00B917EB"/>
    <w:rsid w:val="00B91B36"/>
    <w:rsid w:val="00B91E52"/>
    <w:rsid w:val="00B923AA"/>
    <w:rsid w:val="00B925B3"/>
    <w:rsid w:val="00B925ED"/>
    <w:rsid w:val="00B92639"/>
    <w:rsid w:val="00B92B38"/>
    <w:rsid w:val="00B92ED7"/>
    <w:rsid w:val="00B93155"/>
    <w:rsid w:val="00B933E8"/>
    <w:rsid w:val="00B9375A"/>
    <w:rsid w:val="00B938AD"/>
    <w:rsid w:val="00B93A5E"/>
    <w:rsid w:val="00B93BCB"/>
    <w:rsid w:val="00B93D01"/>
    <w:rsid w:val="00B93D7D"/>
    <w:rsid w:val="00B93E8B"/>
    <w:rsid w:val="00B949A9"/>
    <w:rsid w:val="00B94C1D"/>
    <w:rsid w:val="00B94D76"/>
    <w:rsid w:val="00B94F52"/>
    <w:rsid w:val="00B94FB7"/>
    <w:rsid w:val="00B94FF7"/>
    <w:rsid w:val="00B95362"/>
    <w:rsid w:val="00B95424"/>
    <w:rsid w:val="00B9590B"/>
    <w:rsid w:val="00B9615A"/>
    <w:rsid w:val="00B96752"/>
    <w:rsid w:val="00B96DC5"/>
    <w:rsid w:val="00B96FE9"/>
    <w:rsid w:val="00B974CD"/>
    <w:rsid w:val="00B9785C"/>
    <w:rsid w:val="00B97D48"/>
    <w:rsid w:val="00B97FBE"/>
    <w:rsid w:val="00BA0084"/>
    <w:rsid w:val="00BA048E"/>
    <w:rsid w:val="00BA0B1F"/>
    <w:rsid w:val="00BA0C3C"/>
    <w:rsid w:val="00BA1266"/>
    <w:rsid w:val="00BA1386"/>
    <w:rsid w:val="00BA245E"/>
    <w:rsid w:val="00BA2586"/>
    <w:rsid w:val="00BA2892"/>
    <w:rsid w:val="00BA2B96"/>
    <w:rsid w:val="00BA2C14"/>
    <w:rsid w:val="00BA2CF3"/>
    <w:rsid w:val="00BA3253"/>
    <w:rsid w:val="00BA339E"/>
    <w:rsid w:val="00BA36EA"/>
    <w:rsid w:val="00BA3814"/>
    <w:rsid w:val="00BA4725"/>
    <w:rsid w:val="00BA4B61"/>
    <w:rsid w:val="00BA5000"/>
    <w:rsid w:val="00BA596E"/>
    <w:rsid w:val="00BA628C"/>
    <w:rsid w:val="00BA63B0"/>
    <w:rsid w:val="00BA6BAF"/>
    <w:rsid w:val="00BA6F33"/>
    <w:rsid w:val="00BA6F41"/>
    <w:rsid w:val="00BA7891"/>
    <w:rsid w:val="00BA7A57"/>
    <w:rsid w:val="00BA7D4A"/>
    <w:rsid w:val="00BA7D81"/>
    <w:rsid w:val="00BA7FE6"/>
    <w:rsid w:val="00BB0325"/>
    <w:rsid w:val="00BB05D7"/>
    <w:rsid w:val="00BB0679"/>
    <w:rsid w:val="00BB06B3"/>
    <w:rsid w:val="00BB1047"/>
    <w:rsid w:val="00BB1242"/>
    <w:rsid w:val="00BB17E3"/>
    <w:rsid w:val="00BB19ED"/>
    <w:rsid w:val="00BB20EC"/>
    <w:rsid w:val="00BB24D0"/>
    <w:rsid w:val="00BB2940"/>
    <w:rsid w:val="00BB2AC7"/>
    <w:rsid w:val="00BB31C9"/>
    <w:rsid w:val="00BB350F"/>
    <w:rsid w:val="00BB35A6"/>
    <w:rsid w:val="00BB3B75"/>
    <w:rsid w:val="00BB3FA1"/>
    <w:rsid w:val="00BB478B"/>
    <w:rsid w:val="00BB49C8"/>
    <w:rsid w:val="00BB4A07"/>
    <w:rsid w:val="00BB4D46"/>
    <w:rsid w:val="00BB5607"/>
    <w:rsid w:val="00BB5672"/>
    <w:rsid w:val="00BB5993"/>
    <w:rsid w:val="00BB5AAB"/>
    <w:rsid w:val="00BB5AF9"/>
    <w:rsid w:val="00BB5BBF"/>
    <w:rsid w:val="00BB5CF1"/>
    <w:rsid w:val="00BB5E7F"/>
    <w:rsid w:val="00BB641D"/>
    <w:rsid w:val="00BB6B22"/>
    <w:rsid w:val="00BB6CA5"/>
    <w:rsid w:val="00BB759E"/>
    <w:rsid w:val="00BB781A"/>
    <w:rsid w:val="00BB78FD"/>
    <w:rsid w:val="00BB7F6D"/>
    <w:rsid w:val="00BC07FC"/>
    <w:rsid w:val="00BC08D6"/>
    <w:rsid w:val="00BC0C22"/>
    <w:rsid w:val="00BC1600"/>
    <w:rsid w:val="00BC1637"/>
    <w:rsid w:val="00BC16CC"/>
    <w:rsid w:val="00BC1ACF"/>
    <w:rsid w:val="00BC1DF5"/>
    <w:rsid w:val="00BC205A"/>
    <w:rsid w:val="00BC2222"/>
    <w:rsid w:val="00BC2569"/>
    <w:rsid w:val="00BC2580"/>
    <w:rsid w:val="00BC2705"/>
    <w:rsid w:val="00BC2908"/>
    <w:rsid w:val="00BC2A45"/>
    <w:rsid w:val="00BC2AA0"/>
    <w:rsid w:val="00BC35E9"/>
    <w:rsid w:val="00BC3AAD"/>
    <w:rsid w:val="00BC3D98"/>
    <w:rsid w:val="00BC429B"/>
    <w:rsid w:val="00BC44F9"/>
    <w:rsid w:val="00BC450A"/>
    <w:rsid w:val="00BC4D63"/>
    <w:rsid w:val="00BC4DAC"/>
    <w:rsid w:val="00BC5282"/>
    <w:rsid w:val="00BC549B"/>
    <w:rsid w:val="00BC5B5B"/>
    <w:rsid w:val="00BC5CE5"/>
    <w:rsid w:val="00BC5F0A"/>
    <w:rsid w:val="00BC5FCC"/>
    <w:rsid w:val="00BC6065"/>
    <w:rsid w:val="00BC60A4"/>
    <w:rsid w:val="00BC7529"/>
    <w:rsid w:val="00BC77C7"/>
    <w:rsid w:val="00BC7BEA"/>
    <w:rsid w:val="00BD064B"/>
    <w:rsid w:val="00BD08A6"/>
    <w:rsid w:val="00BD094C"/>
    <w:rsid w:val="00BD0971"/>
    <w:rsid w:val="00BD0CDA"/>
    <w:rsid w:val="00BD0FBF"/>
    <w:rsid w:val="00BD1EC4"/>
    <w:rsid w:val="00BD213A"/>
    <w:rsid w:val="00BD251E"/>
    <w:rsid w:val="00BD287C"/>
    <w:rsid w:val="00BD2A57"/>
    <w:rsid w:val="00BD2D66"/>
    <w:rsid w:val="00BD324F"/>
    <w:rsid w:val="00BD38AB"/>
    <w:rsid w:val="00BD3B40"/>
    <w:rsid w:val="00BD3C3E"/>
    <w:rsid w:val="00BD4135"/>
    <w:rsid w:val="00BD4A5C"/>
    <w:rsid w:val="00BD4E2E"/>
    <w:rsid w:val="00BD57FE"/>
    <w:rsid w:val="00BD6A9E"/>
    <w:rsid w:val="00BD6B09"/>
    <w:rsid w:val="00BD6BAE"/>
    <w:rsid w:val="00BD6DE1"/>
    <w:rsid w:val="00BD7582"/>
    <w:rsid w:val="00BD759D"/>
    <w:rsid w:val="00BD77A2"/>
    <w:rsid w:val="00BD7D61"/>
    <w:rsid w:val="00BE046B"/>
    <w:rsid w:val="00BE09BF"/>
    <w:rsid w:val="00BE0A54"/>
    <w:rsid w:val="00BE0D66"/>
    <w:rsid w:val="00BE1415"/>
    <w:rsid w:val="00BE1541"/>
    <w:rsid w:val="00BE159F"/>
    <w:rsid w:val="00BE15CC"/>
    <w:rsid w:val="00BE1790"/>
    <w:rsid w:val="00BE1C0C"/>
    <w:rsid w:val="00BE1C84"/>
    <w:rsid w:val="00BE1FEA"/>
    <w:rsid w:val="00BE22BB"/>
    <w:rsid w:val="00BE26BA"/>
    <w:rsid w:val="00BE2B25"/>
    <w:rsid w:val="00BE2B8A"/>
    <w:rsid w:val="00BE347D"/>
    <w:rsid w:val="00BE35A4"/>
    <w:rsid w:val="00BE36CC"/>
    <w:rsid w:val="00BE3B31"/>
    <w:rsid w:val="00BE3C40"/>
    <w:rsid w:val="00BE3E18"/>
    <w:rsid w:val="00BE3E70"/>
    <w:rsid w:val="00BE421E"/>
    <w:rsid w:val="00BE4C2A"/>
    <w:rsid w:val="00BE55AE"/>
    <w:rsid w:val="00BE5809"/>
    <w:rsid w:val="00BE582F"/>
    <w:rsid w:val="00BE5E83"/>
    <w:rsid w:val="00BE6261"/>
    <w:rsid w:val="00BE62A9"/>
    <w:rsid w:val="00BE65E6"/>
    <w:rsid w:val="00BE66A7"/>
    <w:rsid w:val="00BE68FB"/>
    <w:rsid w:val="00BE6A71"/>
    <w:rsid w:val="00BE73E9"/>
    <w:rsid w:val="00BE7BF4"/>
    <w:rsid w:val="00BF10C9"/>
    <w:rsid w:val="00BF1A53"/>
    <w:rsid w:val="00BF2471"/>
    <w:rsid w:val="00BF2876"/>
    <w:rsid w:val="00BF341E"/>
    <w:rsid w:val="00BF379D"/>
    <w:rsid w:val="00BF3A2C"/>
    <w:rsid w:val="00BF3DA1"/>
    <w:rsid w:val="00BF3E72"/>
    <w:rsid w:val="00BF40AF"/>
    <w:rsid w:val="00BF457A"/>
    <w:rsid w:val="00BF48CC"/>
    <w:rsid w:val="00BF508B"/>
    <w:rsid w:val="00BF539F"/>
    <w:rsid w:val="00BF5984"/>
    <w:rsid w:val="00BF5C16"/>
    <w:rsid w:val="00BF5D1D"/>
    <w:rsid w:val="00BF64C5"/>
    <w:rsid w:val="00BF668E"/>
    <w:rsid w:val="00BF6BE4"/>
    <w:rsid w:val="00BF6C4C"/>
    <w:rsid w:val="00BF6EC0"/>
    <w:rsid w:val="00BF7009"/>
    <w:rsid w:val="00BF781A"/>
    <w:rsid w:val="00BF7977"/>
    <w:rsid w:val="00BF7FC5"/>
    <w:rsid w:val="00C00341"/>
    <w:rsid w:val="00C0082E"/>
    <w:rsid w:val="00C010E3"/>
    <w:rsid w:val="00C0154B"/>
    <w:rsid w:val="00C0169E"/>
    <w:rsid w:val="00C017F7"/>
    <w:rsid w:val="00C01895"/>
    <w:rsid w:val="00C01965"/>
    <w:rsid w:val="00C01B28"/>
    <w:rsid w:val="00C01B8A"/>
    <w:rsid w:val="00C01F0D"/>
    <w:rsid w:val="00C02404"/>
    <w:rsid w:val="00C02490"/>
    <w:rsid w:val="00C026AA"/>
    <w:rsid w:val="00C02723"/>
    <w:rsid w:val="00C027AE"/>
    <w:rsid w:val="00C02CCD"/>
    <w:rsid w:val="00C02E94"/>
    <w:rsid w:val="00C041AD"/>
    <w:rsid w:val="00C044DF"/>
    <w:rsid w:val="00C0465B"/>
    <w:rsid w:val="00C046D8"/>
    <w:rsid w:val="00C04E83"/>
    <w:rsid w:val="00C04FED"/>
    <w:rsid w:val="00C050E8"/>
    <w:rsid w:val="00C051AB"/>
    <w:rsid w:val="00C05284"/>
    <w:rsid w:val="00C060FF"/>
    <w:rsid w:val="00C063A1"/>
    <w:rsid w:val="00C067AE"/>
    <w:rsid w:val="00C06862"/>
    <w:rsid w:val="00C06B51"/>
    <w:rsid w:val="00C06D6F"/>
    <w:rsid w:val="00C06EAD"/>
    <w:rsid w:val="00C07963"/>
    <w:rsid w:val="00C07BCF"/>
    <w:rsid w:val="00C07FAB"/>
    <w:rsid w:val="00C104FC"/>
    <w:rsid w:val="00C106E1"/>
    <w:rsid w:val="00C107B7"/>
    <w:rsid w:val="00C109E0"/>
    <w:rsid w:val="00C10A34"/>
    <w:rsid w:val="00C111A3"/>
    <w:rsid w:val="00C119B8"/>
    <w:rsid w:val="00C11D53"/>
    <w:rsid w:val="00C122C1"/>
    <w:rsid w:val="00C12334"/>
    <w:rsid w:val="00C1292C"/>
    <w:rsid w:val="00C12A97"/>
    <w:rsid w:val="00C12AB2"/>
    <w:rsid w:val="00C12BEF"/>
    <w:rsid w:val="00C13025"/>
    <w:rsid w:val="00C1329D"/>
    <w:rsid w:val="00C13566"/>
    <w:rsid w:val="00C1381D"/>
    <w:rsid w:val="00C13A72"/>
    <w:rsid w:val="00C13B75"/>
    <w:rsid w:val="00C13BC7"/>
    <w:rsid w:val="00C13C5C"/>
    <w:rsid w:val="00C14A10"/>
    <w:rsid w:val="00C14AE8"/>
    <w:rsid w:val="00C14ECB"/>
    <w:rsid w:val="00C15462"/>
    <w:rsid w:val="00C154C6"/>
    <w:rsid w:val="00C157B7"/>
    <w:rsid w:val="00C15D69"/>
    <w:rsid w:val="00C15DAC"/>
    <w:rsid w:val="00C1610F"/>
    <w:rsid w:val="00C1614E"/>
    <w:rsid w:val="00C16379"/>
    <w:rsid w:val="00C163CE"/>
    <w:rsid w:val="00C1647F"/>
    <w:rsid w:val="00C1651D"/>
    <w:rsid w:val="00C167AC"/>
    <w:rsid w:val="00C169F3"/>
    <w:rsid w:val="00C16C04"/>
    <w:rsid w:val="00C16CA5"/>
    <w:rsid w:val="00C16CC1"/>
    <w:rsid w:val="00C17008"/>
    <w:rsid w:val="00C174CE"/>
    <w:rsid w:val="00C17826"/>
    <w:rsid w:val="00C17BC6"/>
    <w:rsid w:val="00C2022E"/>
    <w:rsid w:val="00C203E1"/>
    <w:rsid w:val="00C2092D"/>
    <w:rsid w:val="00C20A4F"/>
    <w:rsid w:val="00C20B84"/>
    <w:rsid w:val="00C20C46"/>
    <w:rsid w:val="00C20EBD"/>
    <w:rsid w:val="00C210DB"/>
    <w:rsid w:val="00C2227B"/>
    <w:rsid w:val="00C222E0"/>
    <w:rsid w:val="00C22950"/>
    <w:rsid w:val="00C22ABF"/>
    <w:rsid w:val="00C22D54"/>
    <w:rsid w:val="00C2341F"/>
    <w:rsid w:val="00C2355D"/>
    <w:rsid w:val="00C23622"/>
    <w:rsid w:val="00C236AD"/>
    <w:rsid w:val="00C2384A"/>
    <w:rsid w:val="00C23D41"/>
    <w:rsid w:val="00C244C1"/>
    <w:rsid w:val="00C245B5"/>
    <w:rsid w:val="00C254CB"/>
    <w:rsid w:val="00C256A9"/>
    <w:rsid w:val="00C25851"/>
    <w:rsid w:val="00C259E6"/>
    <w:rsid w:val="00C25ACF"/>
    <w:rsid w:val="00C26B1C"/>
    <w:rsid w:val="00C26DEC"/>
    <w:rsid w:val="00C26E88"/>
    <w:rsid w:val="00C26ED5"/>
    <w:rsid w:val="00C26F40"/>
    <w:rsid w:val="00C277F8"/>
    <w:rsid w:val="00C278D3"/>
    <w:rsid w:val="00C2794F"/>
    <w:rsid w:val="00C27A63"/>
    <w:rsid w:val="00C27D3B"/>
    <w:rsid w:val="00C30221"/>
    <w:rsid w:val="00C302C5"/>
    <w:rsid w:val="00C30876"/>
    <w:rsid w:val="00C30DEC"/>
    <w:rsid w:val="00C30E5C"/>
    <w:rsid w:val="00C30EB3"/>
    <w:rsid w:val="00C311DF"/>
    <w:rsid w:val="00C313D0"/>
    <w:rsid w:val="00C31816"/>
    <w:rsid w:val="00C31E80"/>
    <w:rsid w:val="00C32056"/>
    <w:rsid w:val="00C3251E"/>
    <w:rsid w:val="00C32AA3"/>
    <w:rsid w:val="00C32C90"/>
    <w:rsid w:val="00C32E9B"/>
    <w:rsid w:val="00C33510"/>
    <w:rsid w:val="00C336A5"/>
    <w:rsid w:val="00C33A8F"/>
    <w:rsid w:val="00C33EC8"/>
    <w:rsid w:val="00C33FD3"/>
    <w:rsid w:val="00C33FE0"/>
    <w:rsid w:val="00C33FFA"/>
    <w:rsid w:val="00C340B8"/>
    <w:rsid w:val="00C3411B"/>
    <w:rsid w:val="00C342A4"/>
    <w:rsid w:val="00C34436"/>
    <w:rsid w:val="00C34545"/>
    <w:rsid w:val="00C346A2"/>
    <w:rsid w:val="00C35299"/>
    <w:rsid w:val="00C35D49"/>
    <w:rsid w:val="00C3609D"/>
    <w:rsid w:val="00C3659D"/>
    <w:rsid w:val="00C365CB"/>
    <w:rsid w:val="00C369E4"/>
    <w:rsid w:val="00C36B63"/>
    <w:rsid w:val="00C36B90"/>
    <w:rsid w:val="00C36DEB"/>
    <w:rsid w:val="00C36F18"/>
    <w:rsid w:val="00C373FF"/>
    <w:rsid w:val="00C37564"/>
    <w:rsid w:val="00C37A22"/>
    <w:rsid w:val="00C37A3E"/>
    <w:rsid w:val="00C37D74"/>
    <w:rsid w:val="00C37E41"/>
    <w:rsid w:val="00C37ECF"/>
    <w:rsid w:val="00C37FF7"/>
    <w:rsid w:val="00C40028"/>
    <w:rsid w:val="00C40511"/>
    <w:rsid w:val="00C40B6F"/>
    <w:rsid w:val="00C4164B"/>
    <w:rsid w:val="00C416B4"/>
    <w:rsid w:val="00C417E0"/>
    <w:rsid w:val="00C41E03"/>
    <w:rsid w:val="00C4253D"/>
    <w:rsid w:val="00C4280D"/>
    <w:rsid w:val="00C42D65"/>
    <w:rsid w:val="00C42EB8"/>
    <w:rsid w:val="00C43967"/>
    <w:rsid w:val="00C43F36"/>
    <w:rsid w:val="00C442A1"/>
    <w:rsid w:val="00C44392"/>
    <w:rsid w:val="00C4447E"/>
    <w:rsid w:val="00C446A6"/>
    <w:rsid w:val="00C44A44"/>
    <w:rsid w:val="00C45880"/>
    <w:rsid w:val="00C4599E"/>
    <w:rsid w:val="00C459D4"/>
    <w:rsid w:val="00C45DA6"/>
    <w:rsid w:val="00C4625F"/>
    <w:rsid w:val="00C4669E"/>
    <w:rsid w:val="00C466D0"/>
    <w:rsid w:val="00C466EC"/>
    <w:rsid w:val="00C46B13"/>
    <w:rsid w:val="00C46BE5"/>
    <w:rsid w:val="00C46F42"/>
    <w:rsid w:val="00C4703C"/>
    <w:rsid w:val="00C4714F"/>
    <w:rsid w:val="00C471D2"/>
    <w:rsid w:val="00C47335"/>
    <w:rsid w:val="00C476A1"/>
    <w:rsid w:val="00C476CE"/>
    <w:rsid w:val="00C47DBF"/>
    <w:rsid w:val="00C5039F"/>
    <w:rsid w:val="00C5051A"/>
    <w:rsid w:val="00C507B9"/>
    <w:rsid w:val="00C5099D"/>
    <w:rsid w:val="00C50B6B"/>
    <w:rsid w:val="00C50D94"/>
    <w:rsid w:val="00C50E49"/>
    <w:rsid w:val="00C50F11"/>
    <w:rsid w:val="00C514D9"/>
    <w:rsid w:val="00C51572"/>
    <w:rsid w:val="00C51956"/>
    <w:rsid w:val="00C51E94"/>
    <w:rsid w:val="00C52525"/>
    <w:rsid w:val="00C5256F"/>
    <w:rsid w:val="00C52619"/>
    <w:rsid w:val="00C52664"/>
    <w:rsid w:val="00C5393B"/>
    <w:rsid w:val="00C53E1F"/>
    <w:rsid w:val="00C53E20"/>
    <w:rsid w:val="00C54169"/>
    <w:rsid w:val="00C54302"/>
    <w:rsid w:val="00C54494"/>
    <w:rsid w:val="00C544BB"/>
    <w:rsid w:val="00C544BC"/>
    <w:rsid w:val="00C54984"/>
    <w:rsid w:val="00C54BD0"/>
    <w:rsid w:val="00C54BEC"/>
    <w:rsid w:val="00C54D91"/>
    <w:rsid w:val="00C55545"/>
    <w:rsid w:val="00C558C2"/>
    <w:rsid w:val="00C55ABD"/>
    <w:rsid w:val="00C55D59"/>
    <w:rsid w:val="00C55DBB"/>
    <w:rsid w:val="00C55DE1"/>
    <w:rsid w:val="00C55FCA"/>
    <w:rsid w:val="00C5614A"/>
    <w:rsid w:val="00C56223"/>
    <w:rsid w:val="00C562EC"/>
    <w:rsid w:val="00C563C3"/>
    <w:rsid w:val="00C564EF"/>
    <w:rsid w:val="00C565BD"/>
    <w:rsid w:val="00C56620"/>
    <w:rsid w:val="00C566B0"/>
    <w:rsid w:val="00C56D05"/>
    <w:rsid w:val="00C56F5A"/>
    <w:rsid w:val="00C57172"/>
    <w:rsid w:val="00C57D82"/>
    <w:rsid w:val="00C57F12"/>
    <w:rsid w:val="00C60314"/>
    <w:rsid w:val="00C603AE"/>
    <w:rsid w:val="00C604A9"/>
    <w:rsid w:val="00C60DF1"/>
    <w:rsid w:val="00C61242"/>
    <w:rsid w:val="00C6159A"/>
    <w:rsid w:val="00C61788"/>
    <w:rsid w:val="00C61C37"/>
    <w:rsid w:val="00C61C8F"/>
    <w:rsid w:val="00C61DCA"/>
    <w:rsid w:val="00C61DDA"/>
    <w:rsid w:val="00C622C9"/>
    <w:rsid w:val="00C62930"/>
    <w:rsid w:val="00C62CFE"/>
    <w:rsid w:val="00C62F5C"/>
    <w:rsid w:val="00C631B2"/>
    <w:rsid w:val="00C63413"/>
    <w:rsid w:val="00C63493"/>
    <w:rsid w:val="00C63905"/>
    <w:rsid w:val="00C639B1"/>
    <w:rsid w:val="00C63D72"/>
    <w:rsid w:val="00C64E38"/>
    <w:rsid w:val="00C64EF2"/>
    <w:rsid w:val="00C65089"/>
    <w:rsid w:val="00C651DD"/>
    <w:rsid w:val="00C652B2"/>
    <w:rsid w:val="00C65367"/>
    <w:rsid w:val="00C65AC9"/>
    <w:rsid w:val="00C65EC4"/>
    <w:rsid w:val="00C65F0A"/>
    <w:rsid w:val="00C65FEF"/>
    <w:rsid w:val="00C66BAD"/>
    <w:rsid w:val="00C66EBD"/>
    <w:rsid w:val="00C674D1"/>
    <w:rsid w:val="00C67510"/>
    <w:rsid w:val="00C67524"/>
    <w:rsid w:val="00C6780F"/>
    <w:rsid w:val="00C67DE3"/>
    <w:rsid w:val="00C70132"/>
    <w:rsid w:val="00C708DC"/>
    <w:rsid w:val="00C70BF8"/>
    <w:rsid w:val="00C71334"/>
    <w:rsid w:val="00C71538"/>
    <w:rsid w:val="00C71549"/>
    <w:rsid w:val="00C71722"/>
    <w:rsid w:val="00C71AF1"/>
    <w:rsid w:val="00C71BF9"/>
    <w:rsid w:val="00C71C02"/>
    <w:rsid w:val="00C7208F"/>
    <w:rsid w:val="00C72CC5"/>
    <w:rsid w:val="00C7302E"/>
    <w:rsid w:val="00C730AE"/>
    <w:rsid w:val="00C7370B"/>
    <w:rsid w:val="00C738BC"/>
    <w:rsid w:val="00C74389"/>
    <w:rsid w:val="00C74477"/>
    <w:rsid w:val="00C747E5"/>
    <w:rsid w:val="00C7480A"/>
    <w:rsid w:val="00C74898"/>
    <w:rsid w:val="00C749FD"/>
    <w:rsid w:val="00C74AAE"/>
    <w:rsid w:val="00C74AB4"/>
    <w:rsid w:val="00C74FE1"/>
    <w:rsid w:val="00C75184"/>
    <w:rsid w:val="00C7529E"/>
    <w:rsid w:val="00C753A2"/>
    <w:rsid w:val="00C754C6"/>
    <w:rsid w:val="00C7581F"/>
    <w:rsid w:val="00C759EA"/>
    <w:rsid w:val="00C75A1A"/>
    <w:rsid w:val="00C75F7B"/>
    <w:rsid w:val="00C764FA"/>
    <w:rsid w:val="00C7682F"/>
    <w:rsid w:val="00C76C09"/>
    <w:rsid w:val="00C77792"/>
    <w:rsid w:val="00C77C2B"/>
    <w:rsid w:val="00C77C55"/>
    <w:rsid w:val="00C77D3C"/>
    <w:rsid w:val="00C77D56"/>
    <w:rsid w:val="00C77E28"/>
    <w:rsid w:val="00C77E3F"/>
    <w:rsid w:val="00C77FF3"/>
    <w:rsid w:val="00C80530"/>
    <w:rsid w:val="00C806EF"/>
    <w:rsid w:val="00C807B0"/>
    <w:rsid w:val="00C80DEA"/>
    <w:rsid w:val="00C80F3D"/>
    <w:rsid w:val="00C8134D"/>
    <w:rsid w:val="00C81852"/>
    <w:rsid w:val="00C8189E"/>
    <w:rsid w:val="00C81934"/>
    <w:rsid w:val="00C81A62"/>
    <w:rsid w:val="00C82737"/>
    <w:rsid w:val="00C82D7A"/>
    <w:rsid w:val="00C82FF8"/>
    <w:rsid w:val="00C83FB5"/>
    <w:rsid w:val="00C84747"/>
    <w:rsid w:val="00C84CE0"/>
    <w:rsid w:val="00C84F6A"/>
    <w:rsid w:val="00C85193"/>
    <w:rsid w:val="00C855E9"/>
    <w:rsid w:val="00C85CBE"/>
    <w:rsid w:val="00C85FB9"/>
    <w:rsid w:val="00C86678"/>
    <w:rsid w:val="00C8685A"/>
    <w:rsid w:val="00C86ABE"/>
    <w:rsid w:val="00C87008"/>
    <w:rsid w:val="00C87412"/>
    <w:rsid w:val="00C8765F"/>
    <w:rsid w:val="00C87D9E"/>
    <w:rsid w:val="00C87FC1"/>
    <w:rsid w:val="00C87FE7"/>
    <w:rsid w:val="00C90241"/>
    <w:rsid w:val="00C906B9"/>
    <w:rsid w:val="00C90786"/>
    <w:rsid w:val="00C90B78"/>
    <w:rsid w:val="00C90ED5"/>
    <w:rsid w:val="00C9156A"/>
    <w:rsid w:val="00C9160B"/>
    <w:rsid w:val="00C917D6"/>
    <w:rsid w:val="00C91C94"/>
    <w:rsid w:val="00C91D76"/>
    <w:rsid w:val="00C91EB4"/>
    <w:rsid w:val="00C92310"/>
    <w:rsid w:val="00C928FE"/>
    <w:rsid w:val="00C92FD7"/>
    <w:rsid w:val="00C9303C"/>
    <w:rsid w:val="00C9323C"/>
    <w:rsid w:val="00C93B90"/>
    <w:rsid w:val="00C93C39"/>
    <w:rsid w:val="00C94196"/>
    <w:rsid w:val="00C945E6"/>
    <w:rsid w:val="00C94C1A"/>
    <w:rsid w:val="00C94D81"/>
    <w:rsid w:val="00C94ED8"/>
    <w:rsid w:val="00C95026"/>
    <w:rsid w:val="00C951C4"/>
    <w:rsid w:val="00C95876"/>
    <w:rsid w:val="00C95909"/>
    <w:rsid w:val="00C95A0A"/>
    <w:rsid w:val="00C95AFE"/>
    <w:rsid w:val="00C95D17"/>
    <w:rsid w:val="00C95D37"/>
    <w:rsid w:val="00C95F96"/>
    <w:rsid w:val="00C963E3"/>
    <w:rsid w:val="00C96880"/>
    <w:rsid w:val="00C969B4"/>
    <w:rsid w:val="00C96B4C"/>
    <w:rsid w:val="00C96D36"/>
    <w:rsid w:val="00C96E28"/>
    <w:rsid w:val="00C972F2"/>
    <w:rsid w:val="00C97499"/>
    <w:rsid w:val="00C97718"/>
    <w:rsid w:val="00C97747"/>
    <w:rsid w:val="00C97A39"/>
    <w:rsid w:val="00C97A86"/>
    <w:rsid w:val="00C97FCF"/>
    <w:rsid w:val="00CA0803"/>
    <w:rsid w:val="00CA0B6B"/>
    <w:rsid w:val="00CA0F2D"/>
    <w:rsid w:val="00CA1A43"/>
    <w:rsid w:val="00CA207E"/>
    <w:rsid w:val="00CA20C5"/>
    <w:rsid w:val="00CA2243"/>
    <w:rsid w:val="00CA22B9"/>
    <w:rsid w:val="00CA22FC"/>
    <w:rsid w:val="00CA2408"/>
    <w:rsid w:val="00CA2904"/>
    <w:rsid w:val="00CA29A9"/>
    <w:rsid w:val="00CA2F4F"/>
    <w:rsid w:val="00CA3174"/>
    <w:rsid w:val="00CA36BF"/>
    <w:rsid w:val="00CA3723"/>
    <w:rsid w:val="00CA3804"/>
    <w:rsid w:val="00CA3AAE"/>
    <w:rsid w:val="00CA3C0F"/>
    <w:rsid w:val="00CA482C"/>
    <w:rsid w:val="00CA4926"/>
    <w:rsid w:val="00CA4963"/>
    <w:rsid w:val="00CA4A84"/>
    <w:rsid w:val="00CA4BF8"/>
    <w:rsid w:val="00CA4D41"/>
    <w:rsid w:val="00CA4E48"/>
    <w:rsid w:val="00CA4F38"/>
    <w:rsid w:val="00CA5046"/>
    <w:rsid w:val="00CA5147"/>
    <w:rsid w:val="00CA54FA"/>
    <w:rsid w:val="00CA5837"/>
    <w:rsid w:val="00CA58B7"/>
    <w:rsid w:val="00CA5ECB"/>
    <w:rsid w:val="00CA5F75"/>
    <w:rsid w:val="00CA6239"/>
    <w:rsid w:val="00CA6247"/>
    <w:rsid w:val="00CA6280"/>
    <w:rsid w:val="00CA652A"/>
    <w:rsid w:val="00CA65A6"/>
    <w:rsid w:val="00CA665A"/>
    <w:rsid w:val="00CA744A"/>
    <w:rsid w:val="00CA756F"/>
    <w:rsid w:val="00CA7B42"/>
    <w:rsid w:val="00CA7D1C"/>
    <w:rsid w:val="00CB0030"/>
    <w:rsid w:val="00CB01B9"/>
    <w:rsid w:val="00CB0209"/>
    <w:rsid w:val="00CB0876"/>
    <w:rsid w:val="00CB08AE"/>
    <w:rsid w:val="00CB0C48"/>
    <w:rsid w:val="00CB13C5"/>
    <w:rsid w:val="00CB1810"/>
    <w:rsid w:val="00CB1865"/>
    <w:rsid w:val="00CB1A10"/>
    <w:rsid w:val="00CB1A17"/>
    <w:rsid w:val="00CB1B89"/>
    <w:rsid w:val="00CB1F78"/>
    <w:rsid w:val="00CB21C6"/>
    <w:rsid w:val="00CB2314"/>
    <w:rsid w:val="00CB274A"/>
    <w:rsid w:val="00CB28B2"/>
    <w:rsid w:val="00CB32D2"/>
    <w:rsid w:val="00CB3458"/>
    <w:rsid w:val="00CB3945"/>
    <w:rsid w:val="00CB399D"/>
    <w:rsid w:val="00CB3A6C"/>
    <w:rsid w:val="00CB3AC5"/>
    <w:rsid w:val="00CB4187"/>
    <w:rsid w:val="00CB43EB"/>
    <w:rsid w:val="00CB4518"/>
    <w:rsid w:val="00CB480A"/>
    <w:rsid w:val="00CB4E45"/>
    <w:rsid w:val="00CB4EE4"/>
    <w:rsid w:val="00CB50FD"/>
    <w:rsid w:val="00CB52BD"/>
    <w:rsid w:val="00CB54B2"/>
    <w:rsid w:val="00CB559C"/>
    <w:rsid w:val="00CB56A5"/>
    <w:rsid w:val="00CB57FA"/>
    <w:rsid w:val="00CB5EA2"/>
    <w:rsid w:val="00CB5EF8"/>
    <w:rsid w:val="00CB5FE8"/>
    <w:rsid w:val="00CB6646"/>
    <w:rsid w:val="00CB7083"/>
    <w:rsid w:val="00CB7172"/>
    <w:rsid w:val="00CB71B3"/>
    <w:rsid w:val="00CB742C"/>
    <w:rsid w:val="00CB78B0"/>
    <w:rsid w:val="00CB79CA"/>
    <w:rsid w:val="00CB7B3C"/>
    <w:rsid w:val="00CB7E92"/>
    <w:rsid w:val="00CB7EAF"/>
    <w:rsid w:val="00CC0147"/>
    <w:rsid w:val="00CC022E"/>
    <w:rsid w:val="00CC03D8"/>
    <w:rsid w:val="00CC0463"/>
    <w:rsid w:val="00CC0472"/>
    <w:rsid w:val="00CC08A5"/>
    <w:rsid w:val="00CC0996"/>
    <w:rsid w:val="00CC0A43"/>
    <w:rsid w:val="00CC158A"/>
    <w:rsid w:val="00CC18F6"/>
    <w:rsid w:val="00CC1A5B"/>
    <w:rsid w:val="00CC1BB9"/>
    <w:rsid w:val="00CC1DB7"/>
    <w:rsid w:val="00CC20F3"/>
    <w:rsid w:val="00CC21B3"/>
    <w:rsid w:val="00CC21DC"/>
    <w:rsid w:val="00CC21E9"/>
    <w:rsid w:val="00CC223E"/>
    <w:rsid w:val="00CC23D2"/>
    <w:rsid w:val="00CC28ED"/>
    <w:rsid w:val="00CC2B73"/>
    <w:rsid w:val="00CC2D2F"/>
    <w:rsid w:val="00CC2F88"/>
    <w:rsid w:val="00CC33EE"/>
    <w:rsid w:val="00CC3608"/>
    <w:rsid w:val="00CC3651"/>
    <w:rsid w:val="00CC37B4"/>
    <w:rsid w:val="00CC4609"/>
    <w:rsid w:val="00CC47BC"/>
    <w:rsid w:val="00CC47CC"/>
    <w:rsid w:val="00CC4E7A"/>
    <w:rsid w:val="00CC4FCB"/>
    <w:rsid w:val="00CC56BF"/>
    <w:rsid w:val="00CC5AC5"/>
    <w:rsid w:val="00CC613B"/>
    <w:rsid w:val="00CC6241"/>
    <w:rsid w:val="00CC6C1D"/>
    <w:rsid w:val="00CC6D2A"/>
    <w:rsid w:val="00CC72B6"/>
    <w:rsid w:val="00CC786B"/>
    <w:rsid w:val="00CC7BD8"/>
    <w:rsid w:val="00CC7C1E"/>
    <w:rsid w:val="00CC7EE7"/>
    <w:rsid w:val="00CD044B"/>
    <w:rsid w:val="00CD08F6"/>
    <w:rsid w:val="00CD18BF"/>
    <w:rsid w:val="00CD1CC2"/>
    <w:rsid w:val="00CD1F9D"/>
    <w:rsid w:val="00CD22E5"/>
    <w:rsid w:val="00CD26B3"/>
    <w:rsid w:val="00CD271F"/>
    <w:rsid w:val="00CD2AB9"/>
    <w:rsid w:val="00CD2EE6"/>
    <w:rsid w:val="00CD351A"/>
    <w:rsid w:val="00CD358C"/>
    <w:rsid w:val="00CD3F1B"/>
    <w:rsid w:val="00CD40FA"/>
    <w:rsid w:val="00CD485A"/>
    <w:rsid w:val="00CD4A3F"/>
    <w:rsid w:val="00CD4F84"/>
    <w:rsid w:val="00CD53CC"/>
    <w:rsid w:val="00CD54A6"/>
    <w:rsid w:val="00CD5BDF"/>
    <w:rsid w:val="00CD5D0E"/>
    <w:rsid w:val="00CD6D15"/>
    <w:rsid w:val="00CD781C"/>
    <w:rsid w:val="00CD79BE"/>
    <w:rsid w:val="00CD7B8C"/>
    <w:rsid w:val="00CD7C0C"/>
    <w:rsid w:val="00CD7F15"/>
    <w:rsid w:val="00CE0308"/>
    <w:rsid w:val="00CE0836"/>
    <w:rsid w:val="00CE0C58"/>
    <w:rsid w:val="00CE1093"/>
    <w:rsid w:val="00CE1226"/>
    <w:rsid w:val="00CE128A"/>
    <w:rsid w:val="00CE12BF"/>
    <w:rsid w:val="00CE17AA"/>
    <w:rsid w:val="00CE1847"/>
    <w:rsid w:val="00CE1CB8"/>
    <w:rsid w:val="00CE2084"/>
    <w:rsid w:val="00CE256D"/>
    <w:rsid w:val="00CE280F"/>
    <w:rsid w:val="00CE2C44"/>
    <w:rsid w:val="00CE2D23"/>
    <w:rsid w:val="00CE3248"/>
    <w:rsid w:val="00CE3287"/>
    <w:rsid w:val="00CE3839"/>
    <w:rsid w:val="00CE3A1C"/>
    <w:rsid w:val="00CE3D5C"/>
    <w:rsid w:val="00CE3E03"/>
    <w:rsid w:val="00CE3E8F"/>
    <w:rsid w:val="00CE412B"/>
    <w:rsid w:val="00CE4232"/>
    <w:rsid w:val="00CE478C"/>
    <w:rsid w:val="00CE4D04"/>
    <w:rsid w:val="00CE569F"/>
    <w:rsid w:val="00CE584F"/>
    <w:rsid w:val="00CE5C30"/>
    <w:rsid w:val="00CE5CE5"/>
    <w:rsid w:val="00CE5FF5"/>
    <w:rsid w:val="00CE61DC"/>
    <w:rsid w:val="00CE6397"/>
    <w:rsid w:val="00CE64C5"/>
    <w:rsid w:val="00CE64CF"/>
    <w:rsid w:val="00CE6EF0"/>
    <w:rsid w:val="00CE6F57"/>
    <w:rsid w:val="00CE701D"/>
    <w:rsid w:val="00CE710A"/>
    <w:rsid w:val="00CE72F9"/>
    <w:rsid w:val="00CE7492"/>
    <w:rsid w:val="00CE7574"/>
    <w:rsid w:val="00CE7C17"/>
    <w:rsid w:val="00CE7D8A"/>
    <w:rsid w:val="00CF007B"/>
    <w:rsid w:val="00CF008B"/>
    <w:rsid w:val="00CF00FB"/>
    <w:rsid w:val="00CF08F4"/>
    <w:rsid w:val="00CF0ED4"/>
    <w:rsid w:val="00CF1045"/>
    <w:rsid w:val="00CF14DF"/>
    <w:rsid w:val="00CF1580"/>
    <w:rsid w:val="00CF193E"/>
    <w:rsid w:val="00CF1BF9"/>
    <w:rsid w:val="00CF222B"/>
    <w:rsid w:val="00CF245A"/>
    <w:rsid w:val="00CF2AE6"/>
    <w:rsid w:val="00CF2B6C"/>
    <w:rsid w:val="00CF2CBB"/>
    <w:rsid w:val="00CF2E4D"/>
    <w:rsid w:val="00CF2E93"/>
    <w:rsid w:val="00CF2F71"/>
    <w:rsid w:val="00CF2FE1"/>
    <w:rsid w:val="00CF3C3F"/>
    <w:rsid w:val="00CF439A"/>
    <w:rsid w:val="00CF44D4"/>
    <w:rsid w:val="00CF453F"/>
    <w:rsid w:val="00CF4562"/>
    <w:rsid w:val="00CF5083"/>
    <w:rsid w:val="00CF5170"/>
    <w:rsid w:val="00CF5463"/>
    <w:rsid w:val="00CF57E6"/>
    <w:rsid w:val="00CF5B05"/>
    <w:rsid w:val="00CF5B0F"/>
    <w:rsid w:val="00CF649E"/>
    <w:rsid w:val="00CF672C"/>
    <w:rsid w:val="00CF68EE"/>
    <w:rsid w:val="00CF68F9"/>
    <w:rsid w:val="00CF6907"/>
    <w:rsid w:val="00CF6B88"/>
    <w:rsid w:val="00CF6EFD"/>
    <w:rsid w:val="00CF6F5C"/>
    <w:rsid w:val="00CF6FEA"/>
    <w:rsid w:val="00D00374"/>
    <w:rsid w:val="00D003C9"/>
    <w:rsid w:val="00D00428"/>
    <w:rsid w:val="00D005AA"/>
    <w:rsid w:val="00D00D56"/>
    <w:rsid w:val="00D01A50"/>
    <w:rsid w:val="00D02396"/>
    <w:rsid w:val="00D0239C"/>
    <w:rsid w:val="00D023C2"/>
    <w:rsid w:val="00D02567"/>
    <w:rsid w:val="00D027AC"/>
    <w:rsid w:val="00D02C0E"/>
    <w:rsid w:val="00D0307A"/>
    <w:rsid w:val="00D030BC"/>
    <w:rsid w:val="00D03232"/>
    <w:rsid w:val="00D03469"/>
    <w:rsid w:val="00D03C48"/>
    <w:rsid w:val="00D03C89"/>
    <w:rsid w:val="00D03E97"/>
    <w:rsid w:val="00D04190"/>
    <w:rsid w:val="00D04771"/>
    <w:rsid w:val="00D049D6"/>
    <w:rsid w:val="00D04A1D"/>
    <w:rsid w:val="00D04CD4"/>
    <w:rsid w:val="00D04CFA"/>
    <w:rsid w:val="00D05012"/>
    <w:rsid w:val="00D053AE"/>
    <w:rsid w:val="00D05541"/>
    <w:rsid w:val="00D0575C"/>
    <w:rsid w:val="00D05968"/>
    <w:rsid w:val="00D05D76"/>
    <w:rsid w:val="00D05EC4"/>
    <w:rsid w:val="00D05EEA"/>
    <w:rsid w:val="00D0630B"/>
    <w:rsid w:val="00D06DAA"/>
    <w:rsid w:val="00D075DD"/>
    <w:rsid w:val="00D07992"/>
    <w:rsid w:val="00D079F8"/>
    <w:rsid w:val="00D101A3"/>
    <w:rsid w:val="00D105C3"/>
    <w:rsid w:val="00D105FC"/>
    <w:rsid w:val="00D10E48"/>
    <w:rsid w:val="00D11458"/>
    <w:rsid w:val="00D11569"/>
    <w:rsid w:val="00D12482"/>
    <w:rsid w:val="00D12AC9"/>
    <w:rsid w:val="00D12CE5"/>
    <w:rsid w:val="00D12E74"/>
    <w:rsid w:val="00D1355E"/>
    <w:rsid w:val="00D13A26"/>
    <w:rsid w:val="00D13ADD"/>
    <w:rsid w:val="00D13D2D"/>
    <w:rsid w:val="00D13FD5"/>
    <w:rsid w:val="00D1478F"/>
    <w:rsid w:val="00D15088"/>
    <w:rsid w:val="00D15543"/>
    <w:rsid w:val="00D157B3"/>
    <w:rsid w:val="00D15BF8"/>
    <w:rsid w:val="00D15BFF"/>
    <w:rsid w:val="00D15CF0"/>
    <w:rsid w:val="00D1634E"/>
    <w:rsid w:val="00D16711"/>
    <w:rsid w:val="00D168CF"/>
    <w:rsid w:val="00D169E3"/>
    <w:rsid w:val="00D16B4B"/>
    <w:rsid w:val="00D16CE0"/>
    <w:rsid w:val="00D16FA5"/>
    <w:rsid w:val="00D174E3"/>
    <w:rsid w:val="00D20236"/>
    <w:rsid w:val="00D20309"/>
    <w:rsid w:val="00D20C2B"/>
    <w:rsid w:val="00D20EDA"/>
    <w:rsid w:val="00D2109B"/>
    <w:rsid w:val="00D214FA"/>
    <w:rsid w:val="00D215A0"/>
    <w:rsid w:val="00D21608"/>
    <w:rsid w:val="00D216A4"/>
    <w:rsid w:val="00D21AD4"/>
    <w:rsid w:val="00D21C69"/>
    <w:rsid w:val="00D21DC7"/>
    <w:rsid w:val="00D22629"/>
    <w:rsid w:val="00D22757"/>
    <w:rsid w:val="00D229B5"/>
    <w:rsid w:val="00D2305E"/>
    <w:rsid w:val="00D23069"/>
    <w:rsid w:val="00D23127"/>
    <w:rsid w:val="00D231C6"/>
    <w:rsid w:val="00D23310"/>
    <w:rsid w:val="00D23777"/>
    <w:rsid w:val="00D237BD"/>
    <w:rsid w:val="00D238FA"/>
    <w:rsid w:val="00D2405C"/>
    <w:rsid w:val="00D24408"/>
    <w:rsid w:val="00D24473"/>
    <w:rsid w:val="00D2450C"/>
    <w:rsid w:val="00D24574"/>
    <w:rsid w:val="00D2480F"/>
    <w:rsid w:val="00D24870"/>
    <w:rsid w:val="00D24983"/>
    <w:rsid w:val="00D249DF"/>
    <w:rsid w:val="00D24C52"/>
    <w:rsid w:val="00D24EB7"/>
    <w:rsid w:val="00D24FE0"/>
    <w:rsid w:val="00D2550F"/>
    <w:rsid w:val="00D25724"/>
    <w:rsid w:val="00D257DF"/>
    <w:rsid w:val="00D25A3C"/>
    <w:rsid w:val="00D2643A"/>
    <w:rsid w:val="00D26A85"/>
    <w:rsid w:val="00D26D15"/>
    <w:rsid w:val="00D27041"/>
    <w:rsid w:val="00D27095"/>
    <w:rsid w:val="00D27166"/>
    <w:rsid w:val="00D2720B"/>
    <w:rsid w:val="00D2722C"/>
    <w:rsid w:val="00D3007A"/>
    <w:rsid w:val="00D30207"/>
    <w:rsid w:val="00D30D07"/>
    <w:rsid w:val="00D30D18"/>
    <w:rsid w:val="00D3189D"/>
    <w:rsid w:val="00D31924"/>
    <w:rsid w:val="00D319C7"/>
    <w:rsid w:val="00D31E1D"/>
    <w:rsid w:val="00D324BD"/>
    <w:rsid w:val="00D3264E"/>
    <w:rsid w:val="00D3266E"/>
    <w:rsid w:val="00D32B01"/>
    <w:rsid w:val="00D32D19"/>
    <w:rsid w:val="00D32D58"/>
    <w:rsid w:val="00D32E40"/>
    <w:rsid w:val="00D32FC5"/>
    <w:rsid w:val="00D330B4"/>
    <w:rsid w:val="00D33319"/>
    <w:rsid w:val="00D335D6"/>
    <w:rsid w:val="00D33711"/>
    <w:rsid w:val="00D33936"/>
    <w:rsid w:val="00D33CB0"/>
    <w:rsid w:val="00D342A1"/>
    <w:rsid w:val="00D34447"/>
    <w:rsid w:val="00D34449"/>
    <w:rsid w:val="00D34820"/>
    <w:rsid w:val="00D34C4B"/>
    <w:rsid w:val="00D35068"/>
    <w:rsid w:val="00D35121"/>
    <w:rsid w:val="00D35136"/>
    <w:rsid w:val="00D3572E"/>
    <w:rsid w:val="00D35AFD"/>
    <w:rsid w:val="00D362C6"/>
    <w:rsid w:val="00D36344"/>
    <w:rsid w:val="00D36463"/>
    <w:rsid w:val="00D36562"/>
    <w:rsid w:val="00D3675F"/>
    <w:rsid w:val="00D368E8"/>
    <w:rsid w:val="00D36905"/>
    <w:rsid w:val="00D36BB4"/>
    <w:rsid w:val="00D36E1E"/>
    <w:rsid w:val="00D36E46"/>
    <w:rsid w:val="00D37148"/>
    <w:rsid w:val="00D379F8"/>
    <w:rsid w:val="00D40154"/>
    <w:rsid w:val="00D40A08"/>
    <w:rsid w:val="00D40E2B"/>
    <w:rsid w:val="00D40EC0"/>
    <w:rsid w:val="00D4103B"/>
    <w:rsid w:val="00D414EA"/>
    <w:rsid w:val="00D416EB"/>
    <w:rsid w:val="00D41E6C"/>
    <w:rsid w:val="00D420D2"/>
    <w:rsid w:val="00D4228A"/>
    <w:rsid w:val="00D423D3"/>
    <w:rsid w:val="00D42441"/>
    <w:rsid w:val="00D42469"/>
    <w:rsid w:val="00D4247C"/>
    <w:rsid w:val="00D42679"/>
    <w:rsid w:val="00D42790"/>
    <w:rsid w:val="00D42904"/>
    <w:rsid w:val="00D42C7D"/>
    <w:rsid w:val="00D42D92"/>
    <w:rsid w:val="00D42FB4"/>
    <w:rsid w:val="00D43058"/>
    <w:rsid w:val="00D43072"/>
    <w:rsid w:val="00D43098"/>
    <w:rsid w:val="00D431E3"/>
    <w:rsid w:val="00D436AF"/>
    <w:rsid w:val="00D436C1"/>
    <w:rsid w:val="00D43C36"/>
    <w:rsid w:val="00D43D72"/>
    <w:rsid w:val="00D43F0A"/>
    <w:rsid w:val="00D4438E"/>
    <w:rsid w:val="00D44412"/>
    <w:rsid w:val="00D4487C"/>
    <w:rsid w:val="00D44A68"/>
    <w:rsid w:val="00D44B31"/>
    <w:rsid w:val="00D44C92"/>
    <w:rsid w:val="00D45197"/>
    <w:rsid w:val="00D452B9"/>
    <w:rsid w:val="00D45332"/>
    <w:rsid w:val="00D4558A"/>
    <w:rsid w:val="00D458B8"/>
    <w:rsid w:val="00D45D99"/>
    <w:rsid w:val="00D462FB"/>
    <w:rsid w:val="00D46420"/>
    <w:rsid w:val="00D46665"/>
    <w:rsid w:val="00D46802"/>
    <w:rsid w:val="00D46925"/>
    <w:rsid w:val="00D46C0B"/>
    <w:rsid w:val="00D47229"/>
    <w:rsid w:val="00D476AD"/>
    <w:rsid w:val="00D50136"/>
    <w:rsid w:val="00D5025A"/>
    <w:rsid w:val="00D50430"/>
    <w:rsid w:val="00D50483"/>
    <w:rsid w:val="00D50528"/>
    <w:rsid w:val="00D50721"/>
    <w:rsid w:val="00D507FF"/>
    <w:rsid w:val="00D50AEC"/>
    <w:rsid w:val="00D50FC2"/>
    <w:rsid w:val="00D51159"/>
    <w:rsid w:val="00D51276"/>
    <w:rsid w:val="00D51A39"/>
    <w:rsid w:val="00D51A50"/>
    <w:rsid w:val="00D51D7C"/>
    <w:rsid w:val="00D51FB1"/>
    <w:rsid w:val="00D5200D"/>
    <w:rsid w:val="00D520C5"/>
    <w:rsid w:val="00D5264A"/>
    <w:rsid w:val="00D5273C"/>
    <w:rsid w:val="00D5293B"/>
    <w:rsid w:val="00D52A52"/>
    <w:rsid w:val="00D52BA2"/>
    <w:rsid w:val="00D531BE"/>
    <w:rsid w:val="00D532B6"/>
    <w:rsid w:val="00D533DD"/>
    <w:rsid w:val="00D535E6"/>
    <w:rsid w:val="00D53A74"/>
    <w:rsid w:val="00D540FB"/>
    <w:rsid w:val="00D5426A"/>
    <w:rsid w:val="00D54BCD"/>
    <w:rsid w:val="00D54C5E"/>
    <w:rsid w:val="00D54CF4"/>
    <w:rsid w:val="00D552EA"/>
    <w:rsid w:val="00D5557C"/>
    <w:rsid w:val="00D55A32"/>
    <w:rsid w:val="00D562BC"/>
    <w:rsid w:val="00D56685"/>
    <w:rsid w:val="00D567F0"/>
    <w:rsid w:val="00D56A41"/>
    <w:rsid w:val="00D56CC7"/>
    <w:rsid w:val="00D56E15"/>
    <w:rsid w:val="00D5701D"/>
    <w:rsid w:val="00D572C1"/>
    <w:rsid w:val="00D57394"/>
    <w:rsid w:val="00D57644"/>
    <w:rsid w:val="00D57CF2"/>
    <w:rsid w:val="00D57CF4"/>
    <w:rsid w:val="00D60429"/>
    <w:rsid w:val="00D6069E"/>
    <w:rsid w:val="00D6077B"/>
    <w:rsid w:val="00D60A50"/>
    <w:rsid w:val="00D60BE2"/>
    <w:rsid w:val="00D60D77"/>
    <w:rsid w:val="00D60DCB"/>
    <w:rsid w:val="00D61062"/>
    <w:rsid w:val="00D610B0"/>
    <w:rsid w:val="00D612DA"/>
    <w:rsid w:val="00D6133A"/>
    <w:rsid w:val="00D6155B"/>
    <w:rsid w:val="00D61C8D"/>
    <w:rsid w:val="00D61D16"/>
    <w:rsid w:val="00D61D68"/>
    <w:rsid w:val="00D61EA4"/>
    <w:rsid w:val="00D620DC"/>
    <w:rsid w:val="00D62235"/>
    <w:rsid w:val="00D62383"/>
    <w:rsid w:val="00D623F8"/>
    <w:rsid w:val="00D62A31"/>
    <w:rsid w:val="00D63273"/>
    <w:rsid w:val="00D635F5"/>
    <w:rsid w:val="00D639D5"/>
    <w:rsid w:val="00D65380"/>
    <w:rsid w:val="00D65A23"/>
    <w:rsid w:val="00D65CC2"/>
    <w:rsid w:val="00D65E65"/>
    <w:rsid w:val="00D66140"/>
    <w:rsid w:val="00D66197"/>
    <w:rsid w:val="00D6649A"/>
    <w:rsid w:val="00D66799"/>
    <w:rsid w:val="00D66ADB"/>
    <w:rsid w:val="00D66D21"/>
    <w:rsid w:val="00D66EBF"/>
    <w:rsid w:val="00D67106"/>
    <w:rsid w:val="00D6768F"/>
    <w:rsid w:val="00D67E6B"/>
    <w:rsid w:val="00D67EC9"/>
    <w:rsid w:val="00D70FFC"/>
    <w:rsid w:val="00D7109B"/>
    <w:rsid w:val="00D712CD"/>
    <w:rsid w:val="00D71E71"/>
    <w:rsid w:val="00D71EAA"/>
    <w:rsid w:val="00D72595"/>
    <w:rsid w:val="00D72ADA"/>
    <w:rsid w:val="00D72CB5"/>
    <w:rsid w:val="00D73512"/>
    <w:rsid w:val="00D737B2"/>
    <w:rsid w:val="00D73819"/>
    <w:rsid w:val="00D73C6C"/>
    <w:rsid w:val="00D73E6A"/>
    <w:rsid w:val="00D73FCA"/>
    <w:rsid w:val="00D7410C"/>
    <w:rsid w:val="00D74FFF"/>
    <w:rsid w:val="00D75336"/>
    <w:rsid w:val="00D75444"/>
    <w:rsid w:val="00D75490"/>
    <w:rsid w:val="00D75B6B"/>
    <w:rsid w:val="00D75CDD"/>
    <w:rsid w:val="00D75E90"/>
    <w:rsid w:val="00D762E7"/>
    <w:rsid w:val="00D7643C"/>
    <w:rsid w:val="00D774E8"/>
    <w:rsid w:val="00D775A4"/>
    <w:rsid w:val="00D77860"/>
    <w:rsid w:val="00D778B7"/>
    <w:rsid w:val="00D77989"/>
    <w:rsid w:val="00D779EB"/>
    <w:rsid w:val="00D77C12"/>
    <w:rsid w:val="00D804F9"/>
    <w:rsid w:val="00D80515"/>
    <w:rsid w:val="00D8078D"/>
    <w:rsid w:val="00D80983"/>
    <w:rsid w:val="00D80A3C"/>
    <w:rsid w:val="00D80D80"/>
    <w:rsid w:val="00D8129C"/>
    <w:rsid w:val="00D81829"/>
    <w:rsid w:val="00D820EA"/>
    <w:rsid w:val="00D821AD"/>
    <w:rsid w:val="00D8278B"/>
    <w:rsid w:val="00D82D08"/>
    <w:rsid w:val="00D82D82"/>
    <w:rsid w:val="00D8339E"/>
    <w:rsid w:val="00D83920"/>
    <w:rsid w:val="00D83E4D"/>
    <w:rsid w:val="00D84382"/>
    <w:rsid w:val="00D8442D"/>
    <w:rsid w:val="00D84590"/>
    <w:rsid w:val="00D84671"/>
    <w:rsid w:val="00D8484D"/>
    <w:rsid w:val="00D849B7"/>
    <w:rsid w:val="00D84A16"/>
    <w:rsid w:val="00D84F96"/>
    <w:rsid w:val="00D8525E"/>
    <w:rsid w:val="00D85B09"/>
    <w:rsid w:val="00D85D8A"/>
    <w:rsid w:val="00D86141"/>
    <w:rsid w:val="00D8623D"/>
    <w:rsid w:val="00D86616"/>
    <w:rsid w:val="00D86643"/>
    <w:rsid w:val="00D868A8"/>
    <w:rsid w:val="00D86F14"/>
    <w:rsid w:val="00D86FE2"/>
    <w:rsid w:val="00D8703B"/>
    <w:rsid w:val="00D8741E"/>
    <w:rsid w:val="00D874F9"/>
    <w:rsid w:val="00D903EB"/>
    <w:rsid w:val="00D9048E"/>
    <w:rsid w:val="00D90634"/>
    <w:rsid w:val="00D90683"/>
    <w:rsid w:val="00D906EA"/>
    <w:rsid w:val="00D90745"/>
    <w:rsid w:val="00D90D02"/>
    <w:rsid w:val="00D90D9E"/>
    <w:rsid w:val="00D914BA"/>
    <w:rsid w:val="00D917CC"/>
    <w:rsid w:val="00D91B36"/>
    <w:rsid w:val="00D91BC3"/>
    <w:rsid w:val="00D91C08"/>
    <w:rsid w:val="00D92084"/>
    <w:rsid w:val="00D92887"/>
    <w:rsid w:val="00D930E2"/>
    <w:rsid w:val="00D93137"/>
    <w:rsid w:val="00D9352C"/>
    <w:rsid w:val="00D9362B"/>
    <w:rsid w:val="00D93A7E"/>
    <w:rsid w:val="00D94604"/>
    <w:rsid w:val="00D9473A"/>
    <w:rsid w:val="00D94954"/>
    <w:rsid w:val="00D9501A"/>
    <w:rsid w:val="00D951CB"/>
    <w:rsid w:val="00D953CE"/>
    <w:rsid w:val="00D955A1"/>
    <w:rsid w:val="00D95DA9"/>
    <w:rsid w:val="00D96396"/>
    <w:rsid w:val="00D96773"/>
    <w:rsid w:val="00D96BA1"/>
    <w:rsid w:val="00D96DE6"/>
    <w:rsid w:val="00D971FB"/>
    <w:rsid w:val="00D973B5"/>
    <w:rsid w:val="00D973DD"/>
    <w:rsid w:val="00D97559"/>
    <w:rsid w:val="00D97792"/>
    <w:rsid w:val="00D97C8B"/>
    <w:rsid w:val="00DA01EE"/>
    <w:rsid w:val="00DA07AC"/>
    <w:rsid w:val="00DA0EB2"/>
    <w:rsid w:val="00DA0FD2"/>
    <w:rsid w:val="00DA12A1"/>
    <w:rsid w:val="00DA145F"/>
    <w:rsid w:val="00DA1CA3"/>
    <w:rsid w:val="00DA2140"/>
    <w:rsid w:val="00DA2AC7"/>
    <w:rsid w:val="00DA3167"/>
    <w:rsid w:val="00DA38C3"/>
    <w:rsid w:val="00DA38D4"/>
    <w:rsid w:val="00DA3A7A"/>
    <w:rsid w:val="00DA3C19"/>
    <w:rsid w:val="00DA4055"/>
    <w:rsid w:val="00DA46C3"/>
    <w:rsid w:val="00DA47E4"/>
    <w:rsid w:val="00DA4B31"/>
    <w:rsid w:val="00DA5106"/>
    <w:rsid w:val="00DA5344"/>
    <w:rsid w:val="00DA6197"/>
    <w:rsid w:val="00DA65C4"/>
    <w:rsid w:val="00DA6A6F"/>
    <w:rsid w:val="00DA6AFB"/>
    <w:rsid w:val="00DA7574"/>
    <w:rsid w:val="00DB0257"/>
    <w:rsid w:val="00DB057A"/>
    <w:rsid w:val="00DB0AA9"/>
    <w:rsid w:val="00DB0B4F"/>
    <w:rsid w:val="00DB0EF5"/>
    <w:rsid w:val="00DB1169"/>
    <w:rsid w:val="00DB119B"/>
    <w:rsid w:val="00DB1719"/>
    <w:rsid w:val="00DB1E22"/>
    <w:rsid w:val="00DB1E76"/>
    <w:rsid w:val="00DB2092"/>
    <w:rsid w:val="00DB29DD"/>
    <w:rsid w:val="00DB2F07"/>
    <w:rsid w:val="00DB36E4"/>
    <w:rsid w:val="00DB383C"/>
    <w:rsid w:val="00DB395A"/>
    <w:rsid w:val="00DB3F42"/>
    <w:rsid w:val="00DB4F08"/>
    <w:rsid w:val="00DB519C"/>
    <w:rsid w:val="00DB5A9C"/>
    <w:rsid w:val="00DB5BA1"/>
    <w:rsid w:val="00DB5C61"/>
    <w:rsid w:val="00DB6261"/>
    <w:rsid w:val="00DB63F1"/>
    <w:rsid w:val="00DB68F0"/>
    <w:rsid w:val="00DB6A65"/>
    <w:rsid w:val="00DB6BC1"/>
    <w:rsid w:val="00DB6FD2"/>
    <w:rsid w:val="00DB734D"/>
    <w:rsid w:val="00DB7516"/>
    <w:rsid w:val="00DC02F0"/>
    <w:rsid w:val="00DC0D68"/>
    <w:rsid w:val="00DC0D85"/>
    <w:rsid w:val="00DC0DD6"/>
    <w:rsid w:val="00DC0EC4"/>
    <w:rsid w:val="00DC13F4"/>
    <w:rsid w:val="00DC194A"/>
    <w:rsid w:val="00DC19BB"/>
    <w:rsid w:val="00DC1D37"/>
    <w:rsid w:val="00DC2145"/>
    <w:rsid w:val="00DC25A0"/>
    <w:rsid w:val="00DC271C"/>
    <w:rsid w:val="00DC315F"/>
    <w:rsid w:val="00DC3313"/>
    <w:rsid w:val="00DC36D5"/>
    <w:rsid w:val="00DC378C"/>
    <w:rsid w:val="00DC3B73"/>
    <w:rsid w:val="00DC414A"/>
    <w:rsid w:val="00DC41E9"/>
    <w:rsid w:val="00DC4901"/>
    <w:rsid w:val="00DC4C10"/>
    <w:rsid w:val="00DC4D77"/>
    <w:rsid w:val="00DC55FF"/>
    <w:rsid w:val="00DC5CF9"/>
    <w:rsid w:val="00DC5F14"/>
    <w:rsid w:val="00DC5FAA"/>
    <w:rsid w:val="00DC5FFD"/>
    <w:rsid w:val="00DC622E"/>
    <w:rsid w:val="00DC6614"/>
    <w:rsid w:val="00DC695C"/>
    <w:rsid w:val="00DC6B6E"/>
    <w:rsid w:val="00DC6E53"/>
    <w:rsid w:val="00DC7107"/>
    <w:rsid w:val="00DC7165"/>
    <w:rsid w:val="00DC753A"/>
    <w:rsid w:val="00DC7587"/>
    <w:rsid w:val="00DC7733"/>
    <w:rsid w:val="00DC7CCC"/>
    <w:rsid w:val="00DD05D4"/>
    <w:rsid w:val="00DD09FB"/>
    <w:rsid w:val="00DD0BD3"/>
    <w:rsid w:val="00DD12CA"/>
    <w:rsid w:val="00DD1779"/>
    <w:rsid w:val="00DD18BF"/>
    <w:rsid w:val="00DD1E19"/>
    <w:rsid w:val="00DD243E"/>
    <w:rsid w:val="00DD2890"/>
    <w:rsid w:val="00DD2C0B"/>
    <w:rsid w:val="00DD2EAD"/>
    <w:rsid w:val="00DD3AC6"/>
    <w:rsid w:val="00DD3B6D"/>
    <w:rsid w:val="00DD42F1"/>
    <w:rsid w:val="00DD4CD5"/>
    <w:rsid w:val="00DD58BA"/>
    <w:rsid w:val="00DD5943"/>
    <w:rsid w:val="00DD5B3C"/>
    <w:rsid w:val="00DD5EEF"/>
    <w:rsid w:val="00DD5FF8"/>
    <w:rsid w:val="00DD60CD"/>
    <w:rsid w:val="00DD6214"/>
    <w:rsid w:val="00DD6F2C"/>
    <w:rsid w:val="00DD756B"/>
    <w:rsid w:val="00DD7B19"/>
    <w:rsid w:val="00DD7B29"/>
    <w:rsid w:val="00DD7DD4"/>
    <w:rsid w:val="00DD7E5B"/>
    <w:rsid w:val="00DE0760"/>
    <w:rsid w:val="00DE0ADD"/>
    <w:rsid w:val="00DE0C68"/>
    <w:rsid w:val="00DE0E8B"/>
    <w:rsid w:val="00DE0ED9"/>
    <w:rsid w:val="00DE153D"/>
    <w:rsid w:val="00DE18D3"/>
    <w:rsid w:val="00DE2BEB"/>
    <w:rsid w:val="00DE2DA2"/>
    <w:rsid w:val="00DE2F27"/>
    <w:rsid w:val="00DE31D3"/>
    <w:rsid w:val="00DE3919"/>
    <w:rsid w:val="00DE3F33"/>
    <w:rsid w:val="00DE41C0"/>
    <w:rsid w:val="00DE438E"/>
    <w:rsid w:val="00DE4530"/>
    <w:rsid w:val="00DE4A24"/>
    <w:rsid w:val="00DE4AC9"/>
    <w:rsid w:val="00DE4BD0"/>
    <w:rsid w:val="00DE4DF3"/>
    <w:rsid w:val="00DE4E41"/>
    <w:rsid w:val="00DE50CB"/>
    <w:rsid w:val="00DE561D"/>
    <w:rsid w:val="00DE57EE"/>
    <w:rsid w:val="00DE5CF1"/>
    <w:rsid w:val="00DE6741"/>
    <w:rsid w:val="00DE6B1C"/>
    <w:rsid w:val="00DE6F51"/>
    <w:rsid w:val="00DE76A4"/>
    <w:rsid w:val="00DE76B3"/>
    <w:rsid w:val="00DE78E6"/>
    <w:rsid w:val="00DE7BC8"/>
    <w:rsid w:val="00DE7C3A"/>
    <w:rsid w:val="00DE7C3F"/>
    <w:rsid w:val="00DE7C60"/>
    <w:rsid w:val="00DE7D03"/>
    <w:rsid w:val="00DE7D58"/>
    <w:rsid w:val="00DE7F49"/>
    <w:rsid w:val="00DF0675"/>
    <w:rsid w:val="00DF0A56"/>
    <w:rsid w:val="00DF131D"/>
    <w:rsid w:val="00DF156F"/>
    <w:rsid w:val="00DF1A9C"/>
    <w:rsid w:val="00DF1C95"/>
    <w:rsid w:val="00DF22BA"/>
    <w:rsid w:val="00DF2303"/>
    <w:rsid w:val="00DF2813"/>
    <w:rsid w:val="00DF2834"/>
    <w:rsid w:val="00DF2916"/>
    <w:rsid w:val="00DF2DEA"/>
    <w:rsid w:val="00DF2E7F"/>
    <w:rsid w:val="00DF2F2F"/>
    <w:rsid w:val="00DF35AA"/>
    <w:rsid w:val="00DF3D61"/>
    <w:rsid w:val="00DF3D96"/>
    <w:rsid w:val="00DF41E6"/>
    <w:rsid w:val="00DF44A7"/>
    <w:rsid w:val="00DF4547"/>
    <w:rsid w:val="00DF4C93"/>
    <w:rsid w:val="00DF4E2E"/>
    <w:rsid w:val="00DF526E"/>
    <w:rsid w:val="00DF568A"/>
    <w:rsid w:val="00DF5710"/>
    <w:rsid w:val="00DF57C3"/>
    <w:rsid w:val="00DF59FD"/>
    <w:rsid w:val="00DF5A00"/>
    <w:rsid w:val="00DF6056"/>
    <w:rsid w:val="00DF67FF"/>
    <w:rsid w:val="00DF692B"/>
    <w:rsid w:val="00DF6A7F"/>
    <w:rsid w:val="00DF7165"/>
    <w:rsid w:val="00DF730A"/>
    <w:rsid w:val="00DF785C"/>
    <w:rsid w:val="00DF78E5"/>
    <w:rsid w:val="00DF7A12"/>
    <w:rsid w:val="00DF7BCE"/>
    <w:rsid w:val="00DF7D0E"/>
    <w:rsid w:val="00E00039"/>
    <w:rsid w:val="00E0057C"/>
    <w:rsid w:val="00E00933"/>
    <w:rsid w:val="00E00C96"/>
    <w:rsid w:val="00E00D50"/>
    <w:rsid w:val="00E015BF"/>
    <w:rsid w:val="00E01CDF"/>
    <w:rsid w:val="00E02016"/>
    <w:rsid w:val="00E034AF"/>
    <w:rsid w:val="00E0371B"/>
    <w:rsid w:val="00E03736"/>
    <w:rsid w:val="00E03798"/>
    <w:rsid w:val="00E039DE"/>
    <w:rsid w:val="00E03B66"/>
    <w:rsid w:val="00E03C3F"/>
    <w:rsid w:val="00E0408E"/>
    <w:rsid w:val="00E041D3"/>
    <w:rsid w:val="00E043BA"/>
    <w:rsid w:val="00E0440A"/>
    <w:rsid w:val="00E049A5"/>
    <w:rsid w:val="00E05432"/>
    <w:rsid w:val="00E0561F"/>
    <w:rsid w:val="00E05695"/>
    <w:rsid w:val="00E06165"/>
    <w:rsid w:val="00E06324"/>
    <w:rsid w:val="00E06508"/>
    <w:rsid w:val="00E06BEA"/>
    <w:rsid w:val="00E06FAA"/>
    <w:rsid w:val="00E07081"/>
    <w:rsid w:val="00E07215"/>
    <w:rsid w:val="00E072BD"/>
    <w:rsid w:val="00E072F2"/>
    <w:rsid w:val="00E07896"/>
    <w:rsid w:val="00E07DFD"/>
    <w:rsid w:val="00E106E7"/>
    <w:rsid w:val="00E10AB9"/>
    <w:rsid w:val="00E10B89"/>
    <w:rsid w:val="00E1102A"/>
    <w:rsid w:val="00E113D3"/>
    <w:rsid w:val="00E1184B"/>
    <w:rsid w:val="00E11CEF"/>
    <w:rsid w:val="00E11E51"/>
    <w:rsid w:val="00E12359"/>
    <w:rsid w:val="00E12409"/>
    <w:rsid w:val="00E1257C"/>
    <w:rsid w:val="00E12B83"/>
    <w:rsid w:val="00E12BE8"/>
    <w:rsid w:val="00E1309C"/>
    <w:rsid w:val="00E13247"/>
    <w:rsid w:val="00E1355A"/>
    <w:rsid w:val="00E13660"/>
    <w:rsid w:val="00E137F9"/>
    <w:rsid w:val="00E138AC"/>
    <w:rsid w:val="00E141CA"/>
    <w:rsid w:val="00E1425C"/>
    <w:rsid w:val="00E144E8"/>
    <w:rsid w:val="00E14B17"/>
    <w:rsid w:val="00E15268"/>
    <w:rsid w:val="00E15CD0"/>
    <w:rsid w:val="00E16370"/>
    <w:rsid w:val="00E16375"/>
    <w:rsid w:val="00E1649C"/>
    <w:rsid w:val="00E169AC"/>
    <w:rsid w:val="00E16A2B"/>
    <w:rsid w:val="00E16C48"/>
    <w:rsid w:val="00E16F32"/>
    <w:rsid w:val="00E20038"/>
    <w:rsid w:val="00E2009E"/>
    <w:rsid w:val="00E204F1"/>
    <w:rsid w:val="00E20963"/>
    <w:rsid w:val="00E2110E"/>
    <w:rsid w:val="00E21352"/>
    <w:rsid w:val="00E2136D"/>
    <w:rsid w:val="00E21508"/>
    <w:rsid w:val="00E21533"/>
    <w:rsid w:val="00E21A5E"/>
    <w:rsid w:val="00E21C01"/>
    <w:rsid w:val="00E222D3"/>
    <w:rsid w:val="00E2237C"/>
    <w:rsid w:val="00E22579"/>
    <w:rsid w:val="00E225D3"/>
    <w:rsid w:val="00E22A19"/>
    <w:rsid w:val="00E22A9D"/>
    <w:rsid w:val="00E22B4D"/>
    <w:rsid w:val="00E23798"/>
    <w:rsid w:val="00E238F7"/>
    <w:rsid w:val="00E23EDC"/>
    <w:rsid w:val="00E23F75"/>
    <w:rsid w:val="00E23F89"/>
    <w:rsid w:val="00E24354"/>
    <w:rsid w:val="00E243C4"/>
    <w:rsid w:val="00E24DB6"/>
    <w:rsid w:val="00E253DE"/>
    <w:rsid w:val="00E254AC"/>
    <w:rsid w:val="00E25660"/>
    <w:rsid w:val="00E258E3"/>
    <w:rsid w:val="00E25FEE"/>
    <w:rsid w:val="00E26339"/>
    <w:rsid w:val="00E26E03"/>
    <w:rsid w:val="00E273E6"/>
    <w:rsid w:val="00E276D8"/>
    <w:rsid w:val="00E278A3"/>
    <w:rsid w:val="00E278A7"/>
    <w:rsid w:val="00E27D5B"/>
    <w:rsid w:val="00E3098D"/>
    <w:rsid w:val="00E30C0B"/>
    <w:rsid w:val="00E310AD"/>
    <w:rsid w:val="00E3166F"/>
    <w:rsid w:val="00E31D79"/>
    <w:rsid w:val="00E31EB2"/>
    <w:rsid w:val="00E3226B"/>
    <w:rsid w:val="00E32AA4"/>
    <w:rsid w:val="00E32CC8"/>
    <w:rsid w:val="00E330ED"/>
    <w:rsid w:val="00E33802"/>
    <w:rsid w:val="00E33B66"/>
    <w:rsid w:val="00E340EE"/>
    <w:rsid w:val="00E34197"/>
    <w:rsid w:val="00E341BB"/>
    <w:rsid w:val="00E34249"/>
    <w:rsid w:val="00E34611"/>
    <w:rsid w:val="00E347F1"/>
    <w:rsid w:val="00E34840"/>
    <w:rsid w:val="00E34C65"/>
    <w:rsid w:val="00E35300"/>
    <w:rsid w:val="00E35432"/>
    <w:rsid w:val="00E3548D"/>
    <w:rsid w:val="00E35A74"/>
    <w:rsid w:val="00E35BE2"/>
    <w:rsid w:val="00E35C0D"/>
    <w:rsid w:val="00E36817"/>
    <w:rsid w:val="00E36A5E"/>
    <w:rsid w:val="00E36BE6"/>
    <w:rsid w:val="00E36C01"/>
    <w:rsid w:val="00E36ED4"/>
    <w:rsid w:val="00E3713F"/>
    <w:rsid w:val="00E371D9"/>
    <w:rsid w:val="00E3731B"/>
    <w:rsid w:val="00E376AA"/>
    <w:rsid w:val="00E37879"/>
    <w:rsid w:val="00E37BA7"/>
    <w:rsid w:val="00E37DF1"/>
    <w:rsid w:val="00E37F68"/>
    <w:rsid w:val="00E37F91"/>
    <w:rsid w:val="00E3EDE9"/>
    <w:rsid w:val="00E40259"/>
    <w:rsid w:val="00E40D91"/>
    <w:rsid w:val="00E41143"/>
    <w:rsid w:val="00E418FB"/>
    <w:rsid w:val="00E41990"/>
    <w:rsid w:val="00E41E73"/>
    <w:rsid w:val="00E421F9"/>
    <w:rsid w:val="00E42243"/>
    <w:rsid w:val="00E423EB"/>
    <w:rsid w:val="00E42490"/>
    <w:rsid w:val="00E42679"/>
    <w:rsid w:val="00E427FE"/>
    <w:rsid w:val="00E42A6D"/>
    <w:rsid w:val="00E42A71"/>
    <w:rsid w:val="00E42AA1"/>
    <w:rsid w:val="00E42C06"/>
    <w:rsid w:val="00E42E7A"/>
    <w:rsid w:val="00E434B9"/>
    <w:rsid w:val="00E439F7"/>
    <w:rsid w:val="00E43B3C"/>
    <w:rsid w:val="00E43C1B"/>
    <w:rsid w:val="00E43F35"/>
    <w:rsid w:val="00E44101"/>
    <w:rsid w:val="00E443CD"/>
    <w:rsid w:val="00E446D9"/>
    <w:rsid w:val="00E44A25"/>
    <w:rsid w:val="00E44C1E"/>
    <w:rsid w:val="00E45065"/>
    <w:rsid w:val="00E4510C"/>
    <w:rsid w:val="00E4519B"/>
    <w:rsid w:val="00E453AC"/>
    <w:rsid w:val="00E4588A"/>
    <w:rsid w:val="00E4645C"/>
    <w:rsid w:val="00E46490"/>
    <w:rsid w:val="00E46CBF"/>
    <w:rsid w:val="00E472E9"/>
    <w:rsid w:val="00E4758F"/>
    <w:rsid w:val="00E4766B"/>
    <w:rsid w:val="00E47CDE"/>
    <w:rsid w:val="00E4DD6A"/>
    <w:rsid w:val="00E5024C"/>
    <w:rsid w:val="00E50427"/>
    <w:rsid w:val="00E50CA1"/>
    <w:rsid w:val="00E50CB5"/>
    <w:rsid w:val="00E50D1D"/>
    <w:rsid w:val="00E50F3C"/>
    <w:rsid w:val="00E5102C"/>
    <w:rsid w:val="00E51060"/>
    <w:rsid w:val="00E513BF"/>
    <w:rsid w:val="00E514D2"/>
    <w:rsid w:val="00E51EC0"/>
    <w:rsid w:val="00E5200F"/>
    <w:rsid w:val="00E527CC"/>
    <w:rsid w:val="00E529B2"/>
    <w:rsid w:val="00E52BE5"/>
    <w:rsid w:val="00E53146"/>
    <w:rsid w:val="00E53185"/>
    <w:rsid w:val="00E5334D"/>
    <w:rsid w:val="00E53C07"/>
    <w:rsid w:val="00E53FEF"/>
    <w:rsid w:val="00E54299"/>
    <w:rsid w:val="00E5440F"/>
    <w:rsid w:val="00E5448D"/>
    <w:rsid w:val="00E54630"/>
    <w:rsid w:val="00E5466B"/>
    <w:rsid w:val="00E54D3F"/>
    <w:rsid w:val="00E55428"/>
    <w:rsid w:val="00E554AB"/>
    <w:rsid w:val="00E5602D"/>
    <w:rsid w:val="00E5658D"/>
    <w:rsid w:val="00E5684B"/>
    <w:rsid w:val="00E56ABA"/>
    <w:rsid w:val="00E5796F"/>
    <w:rsid w:val="00E57E26"/>
    <w:rsid w:val="00E57F8C"/>
    <w:rsid w:val="00E57FDA"/>
    <w:rsid w:val="00E6018D"/>
    <w:rsid w:val="00E60193"/>
    <w:rsid w:val="00E6096C"/>
    <w:rsid w:val="00E60BAF"/>
    <w:rsid w:val="00E60C62"/>
    <w:rsid w:val="00E60CDB"/>
    <w:rsid w:val="00E60D0F"/>
    <w:rsid w:val="00E6128E"/>
    <w:rsid w:val="00E61699"/>
    <w:rsid w:val="00E62279"/>
    <w:rsid w:val="00E62584"/>
    <w:rsid w:val="00E62A65"/>
    <w:rsid w:val="00E62AC3"/>
    <w:rsid w:val="00E62E51"/>
    <w:rsid w:val="00E62E83"/>
    <w:rsid w:val="00E63246"/>
    <w:rsid w:val="00E63351"/>
    <w:rsid w:val="00E633F0"/>
    <w:rsid w:val="00E63473"/>
    <w:rsid w:val="00E63A4E"/>
    <w:rsid w:val="00E63B73"/>
    <w:rsid w:val="00E63BC5"/>
    <w:rsid w:val="00E63D66"/>
    <w:rsid w:val="00E6444A"/>
    <w:rsid w:val="00E645C3"/>
    <w:rsid w:val="00E64647"/>
    <w:rsid w:val="00E64735"/>
    <w:rsid w:val="00E6480E"/>
    <w:rsid w:val="00E64AD0"/>
    <w:rsid w:val="00E64DD2"/>
    <w:rsid w:val="00E64E55"/>
    <w:rsid w:val="00E64FB7"/>
    <w:rsid w:val="00E65499"/>
    <w:rsid w:val="00E655AF"/>
    <w:rsid w:val="00E65771"/>
    <w:rsid w:val="00E65B95"/>
    <w:rsid w:val="00E65BC7"/>
    <w:rsid w:val="00E66BFF"/>
    <w:rsid w:val="00E66D99"/>
    <w:rsid w:val="00E6705A"/>
    <w:rsid w:val="00E674A8"/>
    <w:rsid w:val="00E675F8"/>
    <w:rsid w:val="00E67939"/>
    <w:rsid w:val="00E67CA5"/>
    <w:rsid w:val="00E6C410"/>
    <w:rsid w:val="00E6ED8D"/>
    <w:rsid w:val="00E704B2"/>
    <w:rsid w:val="00E70E25"/>
    <w:rsid w:val="00E7124A"/>
    <w:rsid w:val="00E715FA"/>
    <w:rsid w:val="00E718C8"/>
    <w:rsid w:val="00E71B5D"/>
    <w:rsid w:val="00E72154"/>
    <w:rsid w:val="00E72C84"/>
    <w:rsid w:val="00E732A4"/>
    <w:rsid w:val="00E732E7"/>
    <w:rsid w:val="00E73540"/>
    <w:rsid w:val="00E7357F"/>
    <w:rsid w:val="00E73748"/>
    <w:rsid w:val="00E739CA"/>
    <w:rsid w:val="00E73AE7"/>
    <w:rsid w:val="00E74291"/>
    <w:rsid w:val="00E74A9F"/>
    <w:rsid w:val="00E74DDD"/>
    <w:rsid w:val="00E751B2"/>
    <w:rsid w:val="00E75313"/>
    <w:rsid w:val="00E75427"/>
    <w:rsid w:val="00E75673"/>
    <w:rsid w:val="00E75A3A"/>
    <w:rsid w:val="00E75E31"/>
    <w:rsid w:val="00E75E9A"/>
    <w:rsid w:val="00E75FDA"/>
    <w:rsid w:val="00E7604D"/>
    <w:rsid w:val="00E76228"/>
    <w:rsid w:val="00E76F19"/>
    <w:rsid w:val="00E773B3"/>
    <w:rsid w:val="00E77599"/>
    <w:rsid w:val="00E775C3"/>
    <w:rsid w:val="00E7769F"/>
    <w:rsid w:val="00E802C8"/>
    <w:rsid w:val="00E80377"/>
    <w:rsid w:val="00E80484"/>
    <w:rsid w:val="00E807E7"/>
    <w:rsid w:val="00E80D0E"/>
    <w:rsid w:val="00E810EB"/>
    <w:rsid w:val="00E819A5"/>
    <w:rsid w:val="00E825EF"/>
    <w:rsid w:val="00E827BD"/>
    <w:rsid w:val="00E82884"/>
    <w:rsid w:val="00E82BF6"/>
    <w:rsid w:val="00E82D91"/>
    <w:rsid w:val="00E82E84"/>
    <w:rsid w:val="00E830BC"/>
    <w:rsid w:val="00E830D7"/>
    <w:rsid w:val="00E830E8"/>
    <w:rsid w:val="00E83192"/>
    <w:rsid w:val="00E83469"/>
    <w:rsid w:val="00E8366D"/>
    <w:rsid w:val="00E836EA"/>
    <w:rsid w:val="00E83B5A"/>
    <w:rsid w:val="00E83C73"/>
    <w:rsid w:val="00E83EC6"/>
    <w:rsid w:val="00E8427B"/>
    <w:rsid w:val="00E843A8"/>
    <w:rsid w:val="00E845DE"/>
    <w:rsid w:val="00E84C80"/>
    <w:rsid w:val="00E84DD9"/>
    <w:rsid w:val="00E8514E"/>
    <w:rsid w:val="00E856AA"/>
    <w:rsid w:val="00E857FF"/>
    <w:rsid w:val="00E85947"/>
    <w:rsid w:val="00E86088"/>
    <w:rsid w:val="00E86167"/>
    <w:rsid w:val="00E86671"/>
    <w:rsid w:val="00E867AB"/>
    <w:rsid w:val="00E86A23"/>
    <w:rsid w:val="00E86B8B"/>
    <w:rsid w:val="00E86EFB"/>
    <w:rsid w:val="00E8746F"/>
    <w:rsid w:val="00E874ED"/>
    <w:rsid w:val="00E875E9"/>
    <w:rsid w:val="00E87765"/>
    <w:rsid w:val="00E8776A"/>
    <w:rsid w:val="00E87965"/>
    <w:rsid w:val="00E87A0B"/>
    <w:rsid w:val="00E87D13"/>
    <w:rsid w:val="00E87DFB"/>
    <w:rsid w:val="00E904A4"/>
    <w:rsid w:val="00E90A4F"/>
    <w:rsid w:val="00E90AAD"/>
    <w:rsid w:val="00E90F87"/>
    <w:rsid w:val="00E91010"/>
    <w:rsid w:val="00E911AC"/>
    <w:rsid w:val="00E919E4"/>
    <w:rsid w:val="00E91A29"/>
    <w:rsid w:val="00E91C68"/>
    <w:rsid w:val="00E91D63"/>
    <w:rsid w:val="00E91E2B"/>
    <w:rsid w:val="00E9213A"/>
    <w:rsid w:val="00E92153"/>
    <w:rsid w:val="00E922FE"/>
    <w:rsid w:val="00E92358"/>
    <w:rsid w:val="00E925E5"/>
    <w:rsid w:val="00E92A3A"/>
    <w:rsid w:val="00E92A76"/>
    <w:rsid w:val="00E92E32"/>
    <w:rsid w:val="00E92F09"/>
    <w:rsid w:val="00E92F2F"/>
    <w:rsid w:val="00E92FCC"/>
    <w:rsid w:val="00E9389A"/>
    <w:rsid w:val="00E938DF"/>
    <w:rsid w:val="00E93D79"/>
    <w:rsid w:val="00E942EF"/>
    <w:rsid w:val="00E94366"/>
    <w:rsid w:val="00E943B9"/>
    <w:rsid w:val="00E94E57"/>
    <w:rsid w:val="00E961F3"/>
    <w:rsid w:val="00E971CC"/>
    <w:rsid w:val="00E973BF"/>
    <w:rsid w:val="00E97543"/>
    <w:rsid w:val="00E97E14"/>
    <w:rsid w:val="00E97E3E"/>
    <w:rsid w:val="00E97FD1"/>
    <w:rsid w:val="00EA0710"/>
    <w:rsid w:val="00EA0D73"/>
    <w:rsid w:val="00EA1089"/>
    <w:rsid w:val="00EA1140"/>
    <w:rsid w:val="00EA1900"/>
    <w:rsid w:val="00EA1ED9"/>
    <w:rsid w:val="00EA212A"/>
    <w:rsid w:val="00EA2614"/>
    <w:rsid w:val="00EA2652"/>
    <w:rsid w:val="00EA26EC"/>
    <w:rsid w:val="00EA27BD"/>
    <w:rsid w:val="00EA2B0E"/>
    <w:rsid w:val="00EA2B4B"/>
    <w:rsid w:val="00EA2CDF"/>
    <w:rsid w:val="00EA2F03"/>
    <w:rsid w:val="00EA2F5A"/>
    <w:rsid w:val="00EA3222"/>
    <w:rsid w:val="00EA34C6"/>
    <w:rsid w:val="00EA3AF9"/>
    <w:rsid w:val="00EA3BEF"/>
    <w:rsid w:val="00EA3C21"/>
    <w:rsid w:val="00EA41A8"/>
    <w:rsid w:val="00EA4214"/>
    <w:rsid w:val="00EA4448"/>
    <w:rsid w:val="00EA4917"/>
    <w:rsid w:val="00EA4C29"/>
    <w:rsid w:val="00EA4D99"/>
    <w:rsid w:val="00EA4DFE"/>
    <w:rsid w:val="00EA512D"/>
    <w:rsid w:val="00EA555F"/>
    <w:rsid w:val="00EA5609"/>
    <w:rsid w:val="00EA6208"/>
    <w:rsid w:val="00EA6C67"/>
    <w:rsid w:val="00EA6D67"/>
    <w:rsid w:val="00EA6E76"/>
    <w:rsid w:val="00EA6EA4"/>
    <w:rsid w:val="00EA6EBE"/>
    <w:rsid w:val="00EA6EE8"/>
    <w:rsid w:val="00EA6F72"/>
    <w:rsid w:val="00EA7565"/>
    <w:rsid w:val="00EA75C7"/>
    <w:rsid w:val="00EA7873"/>
    <w:rsid w:val="00EA78F8"/>
    <w:rsid w:val="00EB0130"/>
    <w:rsid w:val="00EB05AB"/>
    <w:rsid w:val="00EB079A"/>
    <w:rsid w:val="00EB0E1E"/>
    <w:rsid w:val="00EB109C"/>
    <w:rsid w:val="00EB141E"/>
    <w:rsid w:val="00EB1644"/>
    <w:rsid w:val="00EB187B"/>
    <w:rsid w:val="00EB19B3"/>
    <w:rsid w:val="00EB1A03"/>
    <w:rsid w:val="00EB1A5D"/>
    <w:rsid w:val="00EB1A6E"/>
    <w:rsid w:val="00EB1B1F"/>
    <w:rsid w:val="00EB1D3D"/>
    <w:rsid w:val="00EB1F7E"/>
    <w:rsid w:val="00EB2EC6"/>
    <w:rsid w:val="00EB2F45"/>
    <w:rsid w:val="00EB3322"/>
    <w:rsid w:val="00EB3341"/>
    <w:rsid w:val="00EB39DA"/>
    <w:rsid w:val="00EB3A05"/>
    <w:rsid w:val="00EB3D48"/>
    <w:rsid w:val="00EB3EF1"/>
    <w:rsid w:val="00EB3FC8"/>
    <w:rsid w:val="00EB4111"/>
    <w:rsid w:val="00EB454A"/>
    <w:rsid w:val="00EB48A3"/>
    <w:rsid w:val="00EB4E59"/>
    <w:rsid w:val="00EB4F22"/>
    <w:rsid w:val="00EB509D"/>
    <w:rsid w:val="00EB5635"/>
    <w:rsid w:val="00EB567A"/>
    <w:rsid w:val="00EB5989"/>
    <w:rsid w:val="00EB5B2E"/>
    <w:rsid w:val="00EB5F54"/>
    <w:rsid w:val="00EB6114"/>
    <w:rsid w:val="00EB613E"/>
    <w:rsid w:val="00EB62A8"/>
    <w:rsid w:val="00EB62E7"/>
    <w:rsid w:val="00EB659C"/>
    <w:rsid w:val="00EB65FC"/>
    <w:rsid w:val="00EB670E"/>
    <w:rsid w:val="00EB6C2F"/>
    <w:rsid w:val="00EB7066"/>
    <w:rsid w:val="00EB751D"/>
    <w:rsid w:val="00EB755D"/>
    <w:rsid w:val="00EB7757"/>
    <w:rsid w:val="00EB7849"/>
    <w:rsid w:val="00EB7A86"/>
    <w:rsid w:val="00EB7D45"/>
    <w:rsid w:val="00EC0228"/>
    <w:rsid w:val="00EC0C57"/>
    <w:rsid w:val="00EC0FE4"/>
    <w:rsid w:val="00EC108C"/>
    <w:rsid w:val="00EC19D6"/>
    <w:rsid w:val="00EC1A25"/>
    <w:rsid w:val="00EC1E49"/>
    <w:rsid w:val="00EC227F"/>
    <w:rsid w:val="00EC25AD"/>
    <w:rsid w:val="00EC26F6"/>
    <w:rsid w:val="00EC281E"/>
    <w:rsid w:val="00EC2A78"/>
    <w:rsid w:val="00EC3375"/>
    <w:rsid w:val="00EC3693"/>
    <w:rsid w:val="00EC3749"/>
    <w:rsid w:val="00EC4203"/>
    <w:rsid w:val="00EC44F0"/>
    <w:rsid w:val="00EC451A"/>
    <w:rsid w:val="00EC47CF"/>
    <w:rsid w:val="00EC4ED4"/>
    <w:rsid w:val="00EC567F"/>
    <w:rsid w:val="00EC56A6"/>
    <w:rsid w:val="00EC5779"/>
    <w:rsid w:val="00EC5821"/>
    <w:rsid w:val="00EC5A1E"/>
    <w:rsid w:val="00EC5DFB"/>
    <w:rsid w:val="00EC6F6B"/>
    <w:rsid w:val="00EC70F9"/>
    <w:rsid w:val="00EC7768"/>
    <w:rsid w:val="00EC79D8"/>
    <w:rsid w:val="00EC7B4B"/>
    <w:rsid w:val="00EC7DB0"/>
    <w:rsid w:val="00ED0514"/>
    <w:rsid w:val="00ED0983"/>
    <w:rsid w:val="00ED0E9C"/>
    <w:rsid w:val="00ED0F7B"/>
    <w:rsid w:val="00ED1153"/>
    <w:rsid w:val="00ED1421"/>
    <w:rsid w:val="00ED159F"/>
    <w:rsid w:val="00ED18C5"/>
    <w:rsid w:val="00ED1D7D"/>
    <w:rsid w:val="00ED21AB"/>
    <w:rsid w:val="00ED22E4"/>
    <w:rsid w:val="00ED267A"/>
    <w:rsid w:val="00ED28CE"/>
    <w:rsid w:val="00ED2D20"/>
    <w:rsid w:val="00ED2FBE"/>
    <w:rsid w:val="00ED301E"/>
    <w:rsid w:val="00ED3B57"/>
    <w:rsid w:val="00ED3DD7"/>
    <w:rsid w:val="00ED3E4B"/>
    <w:rsid w:val="00ED4150"/>
    <w:rsid w:val="00ED435A"/>
    <w:rsid w:val="00ED4ADB"/>
    <w:rsid w:val="00ED4B38"/>
    <w:rsid w:val="00ED4CD8"/>
    <w:rsid w:val="00ED4F1A"/>
    <w:rsid w:val="00ED5B71"/>
    <w:rsid w:val="00ED5C29"/>
    <w:rsid w:val="00ED5CE5"/>
    <w:rsid w:val="00ED6003"/>
    <w:rsid w:val="00ED61EB"/>
    <w:rsid w:val="00ED6AFD"/>
    <w:rsid w:val="00ED72F6"/>
    <w:rsid w:val="00ED75FA"/>
    <w:rsid w:val="00ED77F9"/>
    <w:rsid w:val="00ED7D79"/>
    <w:rsid w:val="00ED7DF6"/>
    <w:rsid w:val="00EE0131"/>
    <w:rsid w:val="00EE0884"/>
    <w:rsid w:val="00EE0DD9"/>
    <w:rsid w:val="00EE0ED2"/>
    <w:rsid w:val="00EE1455"/>
    <w:rsid w:val="00EE1FB3"/>
    <w:rsid w:val="00EE2091"/>
    <w:rsid w:val="00EE212B"/>
    <w:rsid w:val="00EE2593"/>
    <w:rsid w:val="00EE2C15"/>
    <w:rsid w:val="00EE2CCC"/>
    <w:rsid w:val="00EE2D7C"/>
    <w:rsid w:val="00EE313A"/>
    <w:rsid w:val="00EE343A"/>
    <w:rsid w:val="00EE3631"/>
    <w:rsid w:val="00EE36FF"/>
    <w:rsid w:val="00EE37BB"/>
    <w:rsid w:val="00EE3E83"/>
    <w:rsid w:val="00EE3F44"/>
    <w:rsid w:val="00EE498D"/>
    <w:rsid w:val="00EE4EF7"/>
    <w:rsid w:val="00EE536F"/>
    <w:rsid w:val="00EE5376"/>
    <w:rsid w:val="00EE5387"/>
    <w:rsid w:val="00EE5D32"/>
    <w:rsid w:val="00EE5F71"/>
    <w:rsid w:val="00EE6536"/>
    <w:rsid w:val="00EE667D"/>
    <w:rsid w:val="00EE67B6"/>
    <w:rsid w:val="00EE6F6F"/>
    <w:rsid w:val="00EE71BB"/>
    <w:rsid w:val="00EE75EC"/>
    <w:rsid w:val="00EE7641"/>
    <w:rsid w:val="00EE784C"/>
    <w:rsid w:val="00EE785C"/>
    <w:rsid w:val="00EE7A29"/>
    <w:rsid w:val="00EE7B46"/>
    <w:rsid w:val="00EE7D0E"/>
    <w:rsid w:val="00EE7D59"/>
    <w:rsid w:val="00EF05A4"/>
    <w:rsid w:val="00EF09DE"/>
    <w:rsid w:val="00EF0A35"/>
    <w:rsid w:val="00EF0C3C"/>
    <w:rsid w:val="00EF0C68"/>
    <w:rsid w:val="00EF0D62"/>
    <w:rsid w:val="00EF1652"/>
    <w:rsid w:val="00EF1CE0"/>
    <w:rsid w:val="00EF1EA9"/>
    <w:rsid w:val="00EF358F"/>
    <w:rsid w:val="00EF3671"/>
    <w:rsid w:val="00EF3F4C"/>
    <w:rsid w:val="00EF45B3"/>
    <w:rsid w:val="00EF46D8"/>
    <w:rsid w:val="00EF47DC"/>
    <w:rsid w:val="00EF4AAC"/>
    <w:rsid w:val="00EF4B1E"/>
    <w:rsid w:val="00EF4B3D"/>
    <w:rsid w:val="00EF4FBC"/>
    <w:rsid w:val="00EF5391"/>
    <w:rsid w:val="00EF568C"/>
    <w:rsid w:val="00EF5B7A"/>
    <w:rsid w:val="00EF5FEB"/>
    <w:rsid w:val="00EF6253"/>
    <w:rsid w:val="00EF63FE"/>
    <w:rsid w:val="00EF6F4B"/>
    <w:rsid w:val="00EF706E"/>
    <w:rsid w:val="00EF70C8"/>
    <w:rsid w:val="00F00781"/>
    <w:rsid w:val="00F007E7"/>
    <w:rsid w:val="00F007F3"/>
    <w:rsid w:val="00F00811"/>
    <w:rsid w:val="00F00864"/>
    <w:rsid w:val="00F00B6D"/>
    <w:rsid w:val="00F00E9B"/>
    <w:rsid w:val="00F01207"/>
    <w:rsid w:val="00F0154D"/>
    <w:rsid w:val="00F015D2"/>
    <w:rsid w:val="00F02146"/>
    <w:rsid w:val="00F022C8"/>
    <w:rsid w:val="00F02998"/>
    <w:rsid w:val="00F02DC1"/>
    <w:rsid w:val="00F02FD2"/>
    <w:rsid w:val="00F0330A"/>
    <w:rsid w:val="00F0360C"/>
    <w:rsid w:val="00F0369A"/>
    <w:rsid w:val="00F036A6"/>
    <w:rsid w:val="00F03CEB"/>
    <w:rsid w:val="00F0407F"/>
    <w:rsid w:val="00F041BE"/>
    <w:rsid w:val="00F04568"/>
    <w:rsid w:val="00F04E8A"/>
    <w:rsid w:val="00F04F65"/>
    <w:rsid w:val="00F05358"/>
    <w:rsid w:val="00F054DF"/>
    <w:rsid w:val="00F05759"/>
    <w:rsid w:val="00F05B7B"/>
    <w:rsid w:val="00F05F44"/>
    <w:rsid w:val="00F06893"/>
    <w:rsid w:val="00F06A70"/>
    <w:rsid w:val="00F076B9"/>
    <w:rsid w:val="00F07870"/>
    <w:rsid w:val="00F078F5"/>
    <w:rsid w:val="00F07E36"/>
    <w:rsid w:val="00F07EA8"/>
    <w:rsid w:val="00F102B9"/>
    <w:rsid w:val="00F10886"/>
    <w:rsid w:val="00F1127A"/>
    <w:rsid w:val="00F11A75"/>
    <w:rsid w:val="00F11A8A"/>
    <w:rsid w:val="00F1204F"/>
    <w:rsid w:val="00F124B6"/>
    <w:rsid w:val="00F128C9"/>
    <w:rsid w:val="00F12B68"/>
    <w:rsid w:val="00F12B97"/>
    <w:rsid w:val="00F12BC3"/>
    <w:rsid w:val="00F12CCA"/>
    <w:rsid w:val="00F1311D"/>
    <w:rsid w:val="00F13380"/>
    <w:rsid w:val="00F133E5"/>
    <w:rsid w:val="00F1374D"/>
    <w:rsid w:val="00F138C0"/>
    <w:rsid w:val="00F13ABF"/>
    <w:rsid w:val="00F13CF9"/>
    <w:rsid w:val="00F13F63"/>
    <w:rsid w:val="00F1439E"/>
    <w:rsid w:val="00F143C7"/>
    <w:rsid w:val="00F14465"/>
    <w:rsid w:val="00F1490D"/>
    <w:rsid w:val="00F14E8C"/>
    <w:rsid w:val="00F14F0B"/>
    <w:rsid w:val="00F150FE"/>
    <w:rsid w:val="00F15145"/>
    <w:rsid w:val="00F158A9"/>
    <w:rsid w:val="00F1599B"/>
    <w:rsid w:val="00F15D01"/>
    <w:rsid w:val="00F16151"/>
    <w:rsid w:val="00F1683C"/>
    <w:rsid w:val="00F16AE6"/>
    <w:rsid w:val="00F16D1B"/>
    <w:rsid w:val="00F16FB4"/>
    <w:rsid w:val="00F17414"/>
    <w:rsid w:val="00F17473"/>
    <w:rsid w:val="00F1749F"/>
    <w:rsid w:val="00F178F1"/>
    <w:rsid w:val="00F17D32"/>
    <w:rsid w:val="00F20728"/>
    <w:rsid w:val="00F20740"/>
    <w:rsid w:val="00F2078B"/>
    <w:rsid w:val="00F21072"/>
    <w:rsid w:val="00F212E0"/>
    <w:rsid w:val="00F217E6"/>
    <w:rsid w:val="00F21866"/>
    <w:rsid w:val="00F21CF2"/>
    <w:rsid w:val="00F21E58"/>
    <w:rsid w:val="00F21FFA"/>
    <w:rsid w:val="00F22166"/>
    <w:rsid w:val="00F228FE"/>
    <w:rsid w:val="00F22A91"/>
    <w:rsid w:val="00F22BAB"/>
    <w:rsid w:val="00F22C35"/>
    <w:rsid w:val="00F22E4E"/>
    <w:rsid w:val="00F23005"/>
    <w:rsid w:val="00F2321E"/>
    <w:rsid w:val="00F233BE"/>
    <w:rsid w:val="00F2402E"/>
    <w:rsid w:val="00F240FD"/>
    <w:rsid w:val="00F24D0E"/>
    <w:rsid w:val="00F25AC6"/>
    <w:rsid w:val="00F25ACF"/>
    <w:rsid w:val="00F25D55"/>
    <w:rsid w:val="00F25DED"/>
    <w:rsid w:val="00F260F9"/>
    <w:rsid w:val="00F265AD"/>
    <w:rsid w:val="00F26627"/>
    <w:rsid w:val="00F266DF"/>
    <w:rsid w:val="00F267D2"/>
    <w:rsid w:val="00F26C1F"/>
    <w:rsid w:val="00F272AE"/>
    <w:rsid w:val="00F279FA"/>
    <w:rsid w:val="00F27A4F"/>
    <w:rsid w:val="00F27C87"/>
    <w:rsid w:val="00F30262"/>
    <w:rsid w:val="00F30B8D"/>
    <w:rsid w:val="00F30C72"/>
    <w:rsid w:val="00F30CA3"/>
    <w:rsid w:val="00F30D7F"/>
    <w:rsid w:val="00F312A4"/>
    <w:rsid w:val="00F312DF"/>
    <w:rsid w:val="00F313AB"/>
    <w:rsid w:val="00F31B67"/>
    <w:rsid w:val="00F32C0F"/>
    <w:rsid w:val="00F33790"/>
    <w:rsid w:val="00F33885"/>
    <w:rsid w:val="00F33912"/>
    <w:rsid w:val="00F33F7F"/>
    <w:rsid w:val="00F34ECD"/>
    <w:rsid w:val="00F3537E"/>
    <w:rsid w:val="00F35756"/>
    <w:rsid w:val="00F3620B"/>
    <w:rsid w:val="00F36410"/>
    <w:rsid w:val="00F36460"/>
    <w:rsid w:val="00F3685F"/>
    <w:rsid w:val="00F36BC5"/>
    <w:rsid w:val="00F36CD4"/>
    <w:rsid w:val="00F36D5F"/>
    <w:rsid w:val="00F36D93"/>
    <w:rsid w:val="00F373D2"/>
    <w:rsid w:val="00F375A8"/>
    <w:rsid w:val="00F37B8E"/>
    <w:rsid w:val="00F37BEF"/>
    <w:rsid w:val="00F37C37"/>
    <w:rsid w:val="00F37D05"/>
    <w:rsid w:val="00F4053B"/>
    <w:rsid w:val="00F4090E"/>
    <w:rsid w:val="00F409E0"/>
    <w:rsid w:val="00F40D31"/>
    <w:rsid w:val="00F410EF"/>
    <w:rsid w:val="00F418C4"/>
    <w:rsid w:val="00F419D8"/>
    <w:rsid w:val="00F41F0D"/>
    <w:rsid w:val="00F41F40"/>
    <w:rsid w:val="00F41FC8"/>
    <w:rsid w:val="00F422EB"/>
    <w:rsid w:val="00F424D5"/>
    <w:rsid w:val="00F42F2F"/>
    <w:rsid w:val="00F437B5"/>
    <w:rsid w:val="00F43CD1"/>
    <w:rsid w:val="00F45866"/>
    <w:rsid w:val="00F45A20"/>
    <w:rsid w:val="00F45E10"/>
    <w:rsid w:val="00F45F0E"/>
    <w:rsid w:val="00F460FB"/>
    <w:rsid w:val="00F469F0"/>
    <w:rsid w:val="00F46A7A"/>
    <w:rsid w:val="00F46BF7"/>
    <w:rsid w:val="00F46C64"/>
    <w:rsid w:val="00F472D1"/>
    <w:rsid w:val="00F475A1"/>
    <w:rsid w:val="00F47758"/>
    <w:rsid w:val="00F47946"/>
    <w:rsid w:val="00F500EB"/>
    <w:rsid w:val="00F5030B"/>
    <w:rsid w:val="00F50352"/>
    <w:rsid w:val="00F5040D"/>
    <w:rsid w:val="00F5083D"/>
    <w:rsid w:val="00F50ACD"/>
    <w:rsid w:val="00F50EEB"/>
    <w:rsid w:val="00F513A9"/>
    <w:rsid w:val="00F513B5"/>
    <w:rsid w:val="00F5162B"/>
    <w:rsid w:val="00F516C3"/>
    <w:rsid w:val="00F51766"/>
    <w:rsid w:val="00F51805"/>
    <w:rsid w:val="00F51D7A"/>
    <w:rsid w:val="00F5260A"/>
    <w:rsid w:val="00F5261E"/>
    <w:rsid w:val="00F5275C"/>
    <w:rsid w:val="00F52C78"/>
    <w:rsid w:val="00F52DD2"/>
    <w:rsid w:val="00F53386"/>
    <w:rsid w:val="00F53B6E"/>
    <w:rsid w:val="00F53C51"/>
    <w:rsid w:val="00F53EA3"/>
    <w:rsid w:val="00F53EE8"/>
    <w:rsid w:val="00F53F69"/>
    <w:rsid w:val="00F54888"/>
    <w:rsid w:val="00F54AAF"/>
    <w:rsid w:val="00F54C15"/>
    <w:rsid w:val="00F54C7E"/>
    <w:rsid w:val="00F54E5C"/>
    <w:rsid w:val="00F5517F"/>
    <w:rsid w:val="00F552EA"/>
    <w:rsid w:val="00F552FE"/>
    <w:rsid w:val="00F5536D"/>
    <w:rsid w:val="00F55897"/>
    <w:rsid w:val="00F564BC"/>
    <w:rsid w:val="00F56822"/>
    <w:rsid w:val="00F569D4"/>
    <w:rsid w:val="00F56B71"/>
    <w:rsid w:val="00F56CBB"/>
    <w:rsid w:val="00F56D7A"/>
    <w:rsid w:val="00F57129"/>
    <w:rsid w:val="00F5788E"/>
    <w:rsid w:val="00F57C81"/>
    <w:rsid w:val="00F57EEE"/>
    <w:rsid w:val="00F6005A"/>
    <w:rsid w:val="00F600C4"/>
    <w:rsid w:val="00F60977"/>
    <w:rsid w:val="00F60E6C"/>
    <w:rsid w:val="00F6150D"/>
    <w:rsid w:val="00F61878"/>
    <w:rsid w:val="00F61A57"/>
    <w:rsid w:val="00F61DE8"/>
    <w:rsid w:val="00F62E28"/>
    <w:rsid w:val="00F630E4"/>
    <w:rsid w:val="00F63606"/>
    <w:rsid w:val="00F639A2"/>
    <w:rsid w:val="00F63A3E"/>
    <w:rsid w:val="00F63E34"/>
    <w:rsid w:val="00F64204"/>
    <w:rsid w:val="00F645B2"/>
    <w:rsid w:val="00F645E2"/>
    <w:rsid w:val="00F64B69"/>
    <w:rsid w:val="00F64CA7"/>
    <w:rsid w:val="00F65C3F"/>
    <w:rsid w:val="00F66077"/>
    <w:rsid w:val="00F66941"/>
    <w:rsid w:val="00F673F4"/>
    <w:rsid w:val="00F67AFC"/>
    <w:rsid w:val="00F67D00"/>
    <w:rsid w:val="00F6A2D6"/>
    <w:rsid w:val="00F70B92"/>
    <w:rsid w:val="00F70D0E"/>
    <w:rsid w:val="00F70E20"/>
    <w:rsid w:val="00F71811"/>
    <w:rsid w:val="00F7183E"/>
    <w:rsid w:val="00F71C2E"/>
    <w:rsid w:val="00F71E35"/>
    <w:rsid w:val="00F722FC"/>
    <w:rsid w:val="00F72729"/>
    <w:rsid w:val="00F7295E"/>
    <w:rsid w:val="00F7346C"/>
    <w:rsid w:val="00F738B0"/>
    <w:rsid w:val="00F73E47"/>
    <w:rsid w:val="00F74236"/>
    <w:rsid w:val="00F746C4"/>
    <w:rsid w:val="00F748DC"/>
    <w:rsid w:val="00F74B6C"/>
    <w:rsid w:val="00F74D64"/>
    <w:rsid w:val="00F74FA5"/>
    <w:rsid w:val="00F74FF4"/>
    <w:rsid w:val="00F7506A"/>
    <w:rsid w:val="00F7529E"/>
    <w:rsid w:val="00F758F3"/>
    <w:rsid w:val="00F75F5D"/>
    <w:rsid w:val="00F763D5"/>
    <w:rsid w:val="00F76D85"/>
    <w:rsid w:val="00F776A6"/>
    <w:rsid w:val="00F77782"/>
    <w:rsid w:val="00F7799F"/>
    <w:rsid w:val="00F77D26"/>
    <w:rsid w:val="00F80A1F"/>
    <w:rsid w:val="00F81321"/>
    <w:rsid w:val="00F814B2"/>
    <w:rsid w:val="00F8165C"/>
    <w:rsid w:val="00F827B7"/>
    <w:rsid w:val="00F829D6"/>
    <w:rsid w:val="00F82FD3"/>
    <w:rsid w:val="00F83009"/>
    <w:rsid w:val="00F83716"/>
    <w:rsid w:val="00F83A2D"/>
    <w:rsid w:val="00F83D38"/>
    <w:rsid w:val="00F8434F"/>
    <w:rsid w:val="00F8447E"/>
    <w:rsid w:val="00F84C21"/>
    <w:rsid w:val="00F850DF"/>
    <w:rsid w:val="00F85DE7"/>
    <w:rsid w:val="00F8627A"/>
    <w:rsid w:val="00F862F0"/>
    <w:rsid w:val="00F869D0"/>
    <w:rsid w:val="00F8720E"/>
    <w:rsid w:val="00F8773C"/>
    <w:rsid w:val="00F878A5"/>
    <w:rsid w:val="00F87B84"/>
    <w:rsid w:val="00F87C5E"/>
    <w:rsid w:val="00F87DF5"/>
    <w:rsid w:val="00F87EF3"/>
    <w:rsid w:val="00F87FC1"/>
    <w:rsid w:val="00F90111"/>
    <w:rsid w:val="00F90135"/>
    <w:rsid w:val="00F9070F"/>
    <w:rsid w:val="00F90C6F"/>
    <w:rsid w:val="00F90C86"/>
    <w:rsid w:val="00F912D6"/>
    <w:rsid w:val="00F918F9"/>
    <w:rsid w:val="00F91BB0"/>
    <w:rsid w:val="00F921D7"/>
    <w:rsid w:val="00F923D1"/>
    <w:rsid w:val="00F92784"/>
    <w:rsid w:val="00F92A22"/>
    <w:rsid w:val="00F934EF"/>
    <w:rsid w:val="00F935B6"/>
    <w:rsid w:val="00F93622"/>
    <w:rsid w:val="00F9363D"/>
    <w:rsid w:val="00F93B62"/>
    <w:rsid w:val="00F93B89"/>
    <w:rsid w:val="00F93BC2"/>
    <w:rsid w:val="00F93C72"/>
    <w:rsid w:val="00F93D60"/>
    <w:rsid w:val="00F94542"/>
    <w:rsid w:val="00F94730"/>
    <w:rsid w:val="00F94754"/>
    <w:rsid w:val="00F94829"/>
    <w:rsid w:val="00F949A4"/>
    <w:rsid w:val="00F94C8E"/>
    <w:rsid w:val="00F94D7D"/>
    <w:rsid w:val="00F94F6E"/>
    <w:rsid w:val="00F95033"/>
    <w:rsid w:val="00F95A70"/>
    <w:rsid w:val="00F95CC5"/>
    <w:rsid w:val="00F95F0F"/>
    <w:rsid w:val="00F96657"/>
    <w:rsid w:val="00F96852"/>
    <w:rsid w:val="00F96CBB"/>
    <w:rsid w:val="00F96E83"/>
    <w:rsid w:val="00F970F5"/>
    <w:rsid w:val="00F971DD"/>
    <w:rsid w:val="00F97625"/>
    <w:rsid w:val="00F97B09"/>
    <w:rsid w:val="00F97CE6"/>
    <w:rsid w:val="00FA010E"/>
    <w:rsid w:val="00FA026F"/>
    <w:rsid w:val="00FA0292"/>
    <w:rsid w:val="00FA05FE"/>
    <w:rsid w:val="00FA0808"/>
    <w:rsid w:val="00FA118D"/>
    <w:rsid w:val="00FA12E0"/>
    <w:rsid w:val="00FA1608"/>
    <w:rsid w:val="00FA1FAB"/>
    <w:rsid w:val="00FA232A"/>
    <w:rsid w:val="00FA28A3"/>
    <w:rsid w:val="00FA3DD6"/>
    <w:rsid w:val="00FA4659"/>
    <w:rsid w:val="00FA4B36"/>
    <w:rsid w:val="00FA4C95"/>
    <w:rsid w:val="00FA4EAC"/>
    <w:rsid w:val="00FA53AB"/>
    <w:rsid w:val="00FA53EC"/>
    <w:rsid w:val="00FA53EF"/>
    <w:rsid w:val="00FA5733"/>
    <w:rsid w:val="00FA59F7"/>
    <w:rsid w:val="00FA5D0A"/>
    <w:rsid w:val="00FA6129"/>
    <w:rsid w:val="00FA6269"/>
    <w:rsid w:val="00FA639D"/>
    <w:rsid w:val="00FA64CB"/>
    <w:rsid w:val="00FA6DFB"/>
    <w:rsid w:val="00FA6E19"/>
    <w:rsid w:val="00FA709C"/>
    <w:rsid w:val="00FA72B8"/>
    <w:rsid w:val="00FA77F4"/>
    <w:rsid w:val="00FA7962"/>
    <w:rsid w:val="00FA7D3B"/>
    <w:rsid w:val="00FA7DA1"/>
    <w:rsid w:val="00FB098E"/>
    <w:rsid w:val="00FB0D73"/>
    <w:rsid w:val="00FB0DFF"/>
    <w:rsid w:val="00FB0FAD"/>
    <w:rsid w:val="00FB1431"/>
    <w:rsid w:val="00FB1927"/>
    <w:rsid w:val="00FB1929"/>
    <w:rsid w:val="00FB197C"/>
    <w:rsid w:val="00FB1A8E"/>
    <w:rsid w:val="00FB1DB1"/>
    <w:rsid w:val="00FB2A64"/>
    <w:rsid w:val="00FB2AA9"/>
    <w:rsid w:val="00FB2BC6"/>
    <w:rsid w:val="00FB2C13"/>
    <w:rsid w:val="00FB2E35"/>
    <w:rsid w:val="00FB2F29"/>
    <w:rsid w:val="00FB3027"/>
    <w:rsid w:val="00FB30E5"/>
    <w:rsid w:val="00FB349A"/>
    <w:rsid w:val="00FB39B4"/>
    <w:rsid w:val="00FB3A58"/>
    <w:rsid w:val="00FB3B88"/>
    <w:rsid w:val="00FB431E"/>
    <w:rsid w:val="00FB4932"/>
    <w:rsid w:val="00FB4B9D"/>
    <w:rsid w:val="00FB52F6"/>
    <w:rsid w:val="00FB5363"/>
    <w:rsid w:val="00FB5459"/>
    <w:rsid w:val="00FB558F"/>
    <w:rsid w:val="00FB5B27"/>
    <w:rsid w:val="00FB5E22"/>
    <w:rsid w:val="00FB5E68"/>
    <w:rsid w:val="00FB6678"/>
    <w:rsid w:val="00FB676C"/>
    <w:rsid w:val="00FB691D"/>
    <w:rsid w:val="00FB6955"/>
    <w:rsid w:val="00FB6BCF"/>
    <w:rsid w:val="00FB6D73"/>
    <w:rsid w:val="00FB6EDE"/>
    <w:rsid w:val="00FB7136"/>
    <w:rsid w:val="00FB791A"/>
    <w:rsid w:val="00FB7E3E"/>
    <w:rsid w:val="00FB7FC5"/>
    <w:rsid w:val="00FC0001"/>
    <w:rsid w:val="00FC017F"/>
    <w:rsid w:val="00FC038C"/>
    <w:rsid w:val="00FC05E0"/>
    <w:rsid w:val="00FC06F3"/>
    <w:rsid w:val="00FC07D4"/>
    <w:rsid w:val="00FC1244"/>
    <w:rsid w:val="00FC128F"/>
    <w:rsid w:val="00FC138B"/>
    <w:rsid w:val="00FC168D"/>
    <w:rsid w:val="00FC19EC"/>
    <w:rsid w:val="00FC1A32"/>
    <w:rsid w:val="00FC1D57"/>
    <w:rsid w:val="00FC1E20"/>
    <w:rsid w:val="00FC21C0"/>
    <w:rsid w:val="00FC227B"/>
    <w:rsid w:val="00FC22CD"/>
    <w:rsid w:val="00FC232C"/>
    <w:rsid w:val="00FC23E2"/>
    <w:rsid w:val="00FC3505"/>
    <w:rsid w:val="00FC3711"/>
    <w:rsid w:val="00FC37B0"/>
    <w:rsid w:val="00FC3BF2"/>
    <w:rsid w:val="00FC4042"/>
    <w:rsid w:val="00FC41EC"/>
    <w:rsid w:val="00FC4231"/>
    <w:rsid w:val="00FC428C"/>
    <w:rsid w:val="00FC43E7"/>
    <w:rsid w:val="00FC44C2"/>
    <w:rsid w:val="00FC465D"/>
    <w:rsid w:val="00FC4E38"/>
    <w:rsid w:val="00FC5551"/>
    <w:rsid w:val="00FC5627"/>
    <w:rsid w:val="00FC5704"/>
    <w:rsid w:val="00FC5C6C"/>
    <w:rsid w:val="00FC637A"/>
    <w:rsid w:val="00FC656F"/>
    <w:rsid w:val="00FC6D10"/>
    <w:rsid w:val="00FC7306"/>
    <w:rsid w:val="00FC77C6"/>
    <w:rsid w:val="00FC7817"/>
    <w:rsid w:val="00FC7BDC"/>
    <w:rsid w:val="00FD02C6"/>
    <w:rsid w:val="00FD03BA"/>
    <w:rsid w:val="00FD04F5"/>
    <w:rsid w:val="00FD0A73"/>
    <w:rsid w:val="00FD0DC0"/>
    <w:rsid w:val="00FD129E"/>
    <w:rsid w:val="00FD1D5B"/>
    <w:rsid w:val="00FD1EA8"/>
    <w:rsid w:val="00FD236E"/>
    <w:rsid w:val="00FD2735"/>
    <w:rsid w:val="00FD2CBF"/>
    <w:rsid w:val="00FD3035"/>
    <w:rsid w:val="00FD3237"/>
    <w:rsid w:val="00FD34B6"/>
    <w:rsid w:val="00FD3576"/>
    <w:rsid w:val="00FD39B2"/>
    <w:rsid w:val="00FD39E5"/>
    <w:rsid w:val="00FD3C33"/>
    <w:rsid w:val="00FD3E3D"/>
    <w:rsid w:val="00FD404B"/>
    <w:rsid w:val="00FD4548"/>
    <w:rsid w:val="00FD46A1"/>
    <w:rsid w:val="00FD4A65"/>
    <w:rsid w:val="00FD4B93"/>
    <w:rsid w:val="00FD4C71"/>
    <w:rsid w:val="00FD4F3F"/>
    <w:rsid w:val="00FD4FF4"/>
    <w:rsid w:val="00FD5315"/>
    <w:rsid w:val="00FD5328"/>
    <w:rsid w:val="00FD542F"/>
    <w:rsid w:val="00FD5571"/>
    <w:rsid w:val="00FD5AAA"/>
    <w:rsid w:val="00FD6081"/>
    <w:rsid w:val="00FD6239"/>
    <w:rsid w:val="00FD6AF1"/>
    <w:rsid w:val="00FD6D9A"/>
    <w:rsid w:val="00FD704B"/>
    <w:rsid w:val="00FD7ADC"/>
    <w:rsid w:val="00FD7B06"/>
    <w:rsid w:val="00FD7DCB"/>
    <w:rsid w:val="00FE03D0"/>
    <w:rsid w:val="00FE0728"/>
    <w:rsid w:val="00FE095F"/>
    <w:rsid w:val="00FE0CB0"/>
    <w:rsid w:val="00FE0DD4"/>
    <w:rsid w:val="00FE154F"/>
    <w:rsid w:val="00FE15C0"/>
    <w:rsid w:val="00FE1F45"/>
    <w:rsid w:val="00FE20CE"/>
    <w:rsid w:val="00FE2A5E"/>
    <w:rsid w:val="00FE2F2C"/>
    <w:rsid w:val="00FE2FAC"/>
    <w:rsid w:val="00FE3398"/>
    <w:rsid w:val="00FE3427"/>
    <w:rsid w:val="00FE37AC"/>
    <w:rsid w:val="00FE3A7C"/>
    <w:rsid w:val="00FE3C99"/>
    <w:rsid w:val="00FE4D87"/>
    <w:rsid w:val="00FE4FFF"/>
    <w:rsid w:val="00FE50EA"/>
    <w:rsid w:val="00FE5187"/>
    <w:rsid w:val="00FE54AC"/>
    <w:rsid w:val="00FE5819"/>
    <w:rsid w:val="00FE5DFF"/>
    <w:rsid w:val="00FE5FC7"/>
    <w:rsid w:val="00FE6001"/>
    <w:rsid w:val="00FE6622"/>
    <w:rsid w:val="00FE73EA"/>
    <w:rsid w:val="00FE7449"/>
    <w:rsid w:val="00FE7559"/>
    <w:rsid w:val="00FE78E9"/>
    <w:rsid w:val="00FE7DA3"/>
    <w:rsid w:val="00FF00CE"/>
    <w:rsid w:val="00FF0133"/>
    <w:rsid w:val="00FF02AD"/>
    <w:rsid w:val="00FF0781"/>
    <w:rsid w:val="00FF07CA"/>
    <w:rsid w:val="00FF0A85"/>
    <w:rsid w:val="00FF0AC9"/>
    <w:rsid w:val="00FF0CA9"/>
    <w:rsid w:val="00FF0D2E"/>
    <w:rsid w:val="00FF0E1E"/>
    <w:rsid w:val="00FF11B9"/>
    <w:rsid w:val="00FF14B5"/>
    <w:rsid w:val="00FF1834"/>
    <w:rsid w:val="00FF1836"/>
    <w:rsid w:val="00FF183C"/>
    <w:rsid w:val="00FF19EE"/>
    <w:rsid w:val="00FF1D00"/>
    <w:rsid w:val="00FF20DD"/>
    <w:rsid w:val="00FF219E"/>
    <w:rsid w:val="00FF2651"/>
    <w:rsid w:val="00FF2869"/>
    <w:rsid w:val="00FF3587"/>
    <w:rsid w:val="00FF3937"/>
    <w:rsid w:val="00FF3A2D"/>
    <w:rsid w:val="00FF3D0F"/>
    <w:rsid w:val="00FF4000"/>
    <w:rsid w:val="00FF44E2"/>
    <w:rsid w:val="00FF4808"/>
    <w:rsid w:val="00FF4DB5"/>
    <w:rsid w:val="00FF5653"/>
    <w:rsid w:val="00FF59A1"/>
    <w:rsid w:val="00FF5FB2"/>
    <w:rsid w:val="00FF62F5"/>
    <w:rsid w:val="00FF67D6"/>
    <w:rsid w:val="00FF6A45"/>
    <w:rsid w:val="00FF6A55"/>
    <w:rsid w:val="00FF6A95"/>
    <w:rsid w:val="00FF6EDD"/>
    <w:rsid w:val="00FF731A"/>
    <w:rsid w:val="00FF785E"/>
    <w:rsid w:val="00FF799E"/>
    <w:rsid w:val="00FF7CDA"/>
    <w:rsid w:val="010124A2"/>
    <w:rsid w:val="0102CA01"/>
    <w:rsid w:val="010524D8"/>
    <w:rsid w:val="011188E0"/>
    <w:rsid w:val="0125A77B"/>
    <w:rsid w:val="013756FD"/>
    <w:rsid w:val="013F6D1B"/>
    <w:rsid w:val="01406F98"/>
    <w:rsid w:val="0152C9E1"/>
    <w:rsid w:val="01545CC2"/>
    <w:rsid w:val="016608EB"/>
    <w:rsid w:val="0179C7FD"/>
    <w:rsid w:val="01807AB9"/>
    <w:rsid w:val="0185D147"/>
    <w:rsid w:val="0186070C"/>
    <w:rsid w:val="018B35D3"/>
    <w:rsid w:val="019811BE"/>
    <w:rsid w:val="01A52AE5"/>
    <w:rsid w:val="01B3DD2F"/>
    <w:rsid w:val="01B4A4F0"/>
    <w:rsid w:val="01C7F16A"/>
    <w:rsid w:val="01CB3642"/>
    <w:rsid w:val="01CDEE5E"/>
    <w:rsid w:val="01CE51FC"/>
    <w:rsid w:val="01CF87CA"/>
    <w:rsid w:val="01D16D43"/>
    <w:rsid w:val="01DD6EF0"/>
    <w:rsid w:val="01E45F3F"/>
    <w:rsid w:val="01E89067"/>
    <w:rsid w:val="01EF8CEE"/>
    <w:rsid w:val="01F50ADD"/>
    <w:rsid w:val="01F93C87"/>
    <w:rsid w:val="01FABFD0"/>
    <w:rsid w:val="0201FAC5"/>
    <w:rsid w:val="0223F881"/>
    <w:rsid w:val="023B8BC5"/>
    <w:rsid w:val="023CA80C"/>
    <w:rsid w:val="02452E1A"/>
    <w:rsid w:val="024ED746"/>
    <w:rsid w:val="0250F79C"/>
    <w:rsid w:val="025214F1"/>
    <w:rsid w:val="025A97A4"/>
    <w:rsid w:val="025BEBF1"/>
    <w:rsid w:val="025D6AB1"/>
    <w:rsid w:val="0273CF9A"/>
    <w:rsid w:val="02741F20"/>
    <w:rsid w:val="0279A1F2"/>
    <w:rsid w:val="027B25DF"/>
    <w:rsid w:val="02814BD4"/>
    <w:rsid w:val="02875DC0"/>
    <w:rsid w:val="029296B1"/>
    <w:rsid w:val="02942A96"/>
    <w:rsid w:val="02952BF3"/>
    <w:rsid w:val="02956BC4"/>
    <w:rsid w:val="029AD50C"/>
    <w:rsid w:val="02A44CD8"/>
    <w:rsid w:val="02AE6D07"/>
    <w:rsid w:val="02B1495F"/>
    <w:rsid w:val="02BA4015"/>
    <w:rsid w:val="02C15036"/>
    <w:rsid w:val="02C3C3D9"/>
    <w:rsid w:val="02CE8390"/>
    <w:rsid w:val="02D0D6AD"/>
    <w:rsid w:val="02D603DD"/>
    <w:rsid w:val="02D7F613"/>
    <w:rsid w:val="02E95020"/>
    <w:rsid w:val="02E97A12"/>
    <w:rsid w:val="0305940C"/>
    <w:rsid w:val="0308F36A"/>
    <w:rsid w:val="03325996"/>
    <w:rsid w:val="033741EB"/>
    <w:rsid w:val="0337487E"/>
    <w:rsid w:val="033AF7F4"/>
    <w:rsid w:val="0346D77F"/>
    <w:rsid w:val="034831AB"/>
    <w:rsid w:val="03507808"/>
    <w:rsid w:val="0352393B"/>
    <w:rsid w:val="035261C7"/>
    <w:rsid w:val="03544F21"/>
    <w:rsid w:val="0364F1CA"/>
    <w:rsid w:val="036BA047"/>
    <w:rsid w:val="0373E9FA"/>
    <w:rsid w:val="03897358"/>
    <w:rsid w:val="0392D8FB"/>
    <w:rsid w:val="039B8296"/>
    <w:rsid w:val="039E6498"/>
    <w:rsid w:val="03A1E2B9"/>
    <w:rsid w:val="03A7084D"/>
    <w:rsid w:val="03A71950"/>
    <w:rsid w:val="03A7541A"/>
    <w:rsid w:val="03AC6D5B"/>
    <w:rsid w:val="03ADCE9C"/>
    <w:rsid w:val="03AF4A7A"/>
    <w:rsid w:val="03B5F855"/>
    <w:rsid w:val="03C5EA88"/>
    <w:rsid w:val="03C9CD37"/>
    <w:rsid w:val="03CCCF73"/>
    <w:rsid w:val="03CFF33C"/>
    <w:rsid w:val="03D3F82F"/>
    <w:rsid w:val="03D53427"/>
    <w:rsid w:val="03D799B4"/>
    <w:rsid w:val="03DA629C"/>
    <w:rsid w:val="03EFF073"/>
    <w:rsid w:val="03F080EE"/>
    <w:rsid w:val="03F25038"/>
    <w:rsid w:val="03F4A895"/>
    <w:rsid w:val="03F7BAD3"/>
    <w:rsid w:val="04054650"/>
    <w:rsid w:val="040CEBAD"/>
    <w:rsid w:val="041788D4"/>
    <w:rsid w:val="041C693A"/>
    <w:rsid w:val="04421748"/>
    <w:rsid w:val="04445528"/>
    <w:rsid w:val="044E0A25"/>
    <w:rsid w:val="044F4E58"/>
    <w:rsid w:val="0457CEBF"/>
    <w:rsid w:val="0458810F"/>
    <w:rsid w:val="045A98F4"/>
    <w:rsid w:val="045DDE29"/>
    <w:rsid w:val="045FE772"/>
    <w:rsid w:val="04647649"/>
    <w:rsid w:val="0464DFF5"/>
    <w:rsid w:val="046E9828"/>
    <w:rsid w:val="0473821B"/>
    <w:rsid w:val="0475FC13"/>
    <w:rsid w:val="048AC26A"/>
    <w:rsid w:val="0495A17B"/>
    <w:rsid w:val="0498F9CA"/>
    <w:rsid w:val="049BDBCB"/>
    <w:rsid w:val="04B676C1"/>
    <w:rsid w:val="04B77C4F"/>
    <w:rsid w:val="04C6295A"/>
    <w:rsid w:val="04CC0F34"/>
    <w:rsid w:val="04CCEF95"/>
    <w:rsid w:val="04CD46C7"/>
    <w:rsid w:val="04CEFE94"/>
    <w:rsid w:val="04D4916E"/>
    <w:rsid w:val="04D76BAF"/>
    <w:rsid w:val="04EA0121"/>
    <w:rsid w:val="04FB5AD2"/>
    <w:rsid w:val="04FBC4F9"/>
    <w:rsid w:val="0514D7F1"/>
    <w:rsid w:val="051DFA50"/>
    <w:rsid w:val="05265DCB"/>
    <w:rsid w:val="05286667"/>
    <w:rsid w:val="052EDEDB"/>
    <w:rsid w:val="0531EDAC"/>
    <w:rsid w:val="054E49E1"/>
    <w:rsid w:val="054E8F5B"/>
    <w:rsid w:val="0550F125"/>
    <w:rsid w:val="056CDED1"/>
    <w:rsid w:val="056F2F01"/>
    <w:rsid w:val="05705FA6"/>
    <w:rsid w:val="0571A2B6"/>
    <w:rsid w:val="057984CE"/>
    <w:rsid w:val="0588A9D2"/>
    <w:rsid w:val="058B3A93"/>
    <w:rsid w:val="0591F634"/>
    <w:rsid w:val="0594A107"/>
    <w:rsid w:val="05B54CBC"/>
    <w:rsid w:val="05BF29E8"/>
    <w:rsid w:val="05C4B107"/>
    <w:rsid w:val="05C7ED63"/>
    <w:rsid w:val="05CF21DF"/>
    <w:rsid w:val="05D802A4"/>
    <w:rsid w:val="05EDDF85"/>
    <w:rsid w:val="05F955A1"/>
    <w:rsid w:val="05F96C59"/>
    <w:rsid w:val="05FABC01"/>
    <w:rsid w:val="0601D0E5"/>
    <w:rsid w:val="0613399F"/>
    <w:rsid w:val="06288BA8"/>
    <w:rsid w:val="062D27AA"/>
    <w:rsid w:val="062FBAD0"/>
    <w:rsid w:val="06405788"/>
    <w:rsid w:val="064057D3"/>
    <w:rsid w:val="0640F991"/>
    <w:rsid w:val="0644ABE4"/>
    <w:rsid w:val="064645F0"/>
    <w:rsid w:val="06473C19"/>
    <w:rsid w:val="065240A1"/>
    <w:rsid w:val="0653E82A"/>
    <w:rsid w:val="065E83BB"/>
    <w:rsid w:val="06659B7B"/>
    <w:rsid w:val="0668B64C"/>
    <w:rsid w:val="06691110"/>
    <w:rsid w:val="066DD3EC"/>
    <w:rsid w:val="067A6B20"/>
    <w:rsid w:val="067C88C9"/>
    <w:rsid w:val="067F7334"/>
    <w:rsid w:val="068402A0"/>
    <w:rsid w:val="0684BAF4"/>
    <w:rsid w:val="06866478"/>
    <w:rsid w:val="06887A5F"/>
    <w:rsid w:val="06ACCC7C"/>
    <w:rsid w:val="06ADEC7D"/>
    <w:rsid w:val="06BFE4E3"/>
    <w:rsid w:val="06C18ADD"/>
    <w:rsid w:val="06C48D31"/>
    <w:rsid w:val="06C87227"/>
    <w:rsid w:val="06CBF408"/>
    <w:rsid w:val="06CC44B4"/>
    <w:rsid w:val="06D09594"/>
    <w:rsid w:val="06DBDD75"/>
    <w:rsid w:val="06E1DAD8"/>
    <w:rsid w:val="06E20B06"/>
    <w:rsid w:val="06E3230C"/>
    <w:rsid w:val="06F6F6B1"/>
    <w:rsid w:val="06F796FD"/>
    <w:rsid w:val="06F7C578"/>
    <w:rsid w:val="06FB77C3"/>
    <w:rsid w:val="06FBC866"/>
    <w:rsid w:val="07001FEE"/>
    <w:rsid w:val="0704EE99"/>
    <w:rsid w:val="070C95B5"/>
    <w:rsid w:val="07147708"/>
    <w:rsid w:val="0717FB7F"/>
    <w:rsid w:val="07193444"/>
    <w:rsid w:val="071998E1"/>
    <w:rsid w:val="0719C578"/>
    <w:rsid w:val="071B530A"/>
    <w:rsid w:val="0724B36E"/>
    <w:rsid w:val="07259B0F"/>
    <w:rsid w:val="072849C0"/>
    <w:rsid w:val="072CA192"/>
    <w:rsid w:val="074A82B6"/>
    <w:rsid w:val="074C9463"/>
    <w:rsid w:val="07521925"/>
    <w:rsid w:val="075AC4EB"/>
    <w:rsid w:val="0767F368"/>
    <w:rsid w:val="076825D2"/>
    <w:rsid w:val="076EE9D9"/>
    <w:rsid w:val="0775B4E3"/>
    <w:rsid w:val="0775BFB4"/>
    <w:rsid w:val="078808B9"/>
    <w:rsid w:val="078B6AC0"/>
    <w:rsid w:val="07900EFF"/>
    <w:rsid w:val="0791E35B"/>
    <w:rsid w:val="0794AF0D"/>
    <w:rsid w:val="0798A528"/>
    <w:rsid w:val="07A8B34F"/>
    <w:rsid w:val="07A8DB06"/>
    <w:rsid w:val="07AEBF3A"/>
    <w:rsid w:val="07C94090"/>
    <w:rsid w:val="07CDA1EE"/>
    <w:rsid w:val="07CDBAE8"/>
    <w:rsid w:val="07DD58C8"/>
    <w:rsid w:val="07DFB7E8"/>
    <w:rsid w:val="07E77FB9"/>
    <w:rsid w:val="07EDACF9"/>
    <w:rsid w:val="07EF6CC5"/>
    <w:rsid w:val="07F7238A"/>
    <w:rsid w:val="07F8A579"/>
    <w:rsid w:val="080704AA"/>
    <w:rsid w:val="08095763"/>
    <w:rsid w:val="080C6F35"/>
    <w:rsid w:val="080D14B5"/>
    <w:rsid w:val="080DF72B"/>
    <w:rsid w:val="0813B594"/>
    <w:rsid w:val="08187BE4"/>
    <w:rsid w:val="081B7BD6"/>
    <w:rsid w:val="081E4D2A"/>
    <w:rsid w:val="08273E1A"/>
    <w:rsid w:val="082A2F98"/>
    <w:rsid w:val="08303DAC"/>
    <w:rsid w:val="0830AAE0"/>
    <w:rsid w:val="0831D9C7"/>
    <w:rsid w:val="08327A86"/>
    <w:rsid w:val="083B8C21"/>
    <w:rsid w:val="083BCB81"/>
    <w:rsid w:val="084084F2"/>
    <w:rsid w:val="08484CDF"/>
    <w:rsid w:val="08489E25"/>
    <w:rsid w:val="084D4BF1"/>
    <w:rsid w:val="08535E57"/>
    <w:rsid w:val="086E72AD"/>
    <w:rsid w:val="086F4718"/>
    <w:rsid w:val="087172BC"/>
    <w:rsid w:val="0873457D"/>
    <w:rsid w:val="08756E98"/>
    <w:rsid w:val="087BA672"/>
    <w:rsid w:val="08821370"/>
    <w:rsid w:val="0883FEE1"/>
    <w:rsid w:val="0884EBBE"/>
    <w:rsid w:val="08880F16"/>
    <w:rsid w:val="088D7EAC"/>
    <w:rsid w:val="089A30C2"/>
    <w:rsid w:val="089E8E38"/>
    <w:rsid w:val="08A05BF7"/>
    <w:rsid w:val="08AE02B1"/>
    <w:rsid w:val="08B9B6D3"/>
    <w:rsid w:val="08BB1829"/>
    <w:rsid w:val="08BBF7A6"/>
    <w:rsid w:val="08CF79C5"/>
    <w:rsid w:val="08DD0C1F"/>
    <w:rsid w:val="08DE1C0E"/>
    <w:rsid w:val="08E4E606"/>
    <w:rsid w:val="08E7B9A5"/>
    <w:rsid w:val="08ECE61C"/>
    <w:rsid w:val="08F05ADE"/>
    <w:rsid w:val="08F80AB3"/>
    <w:rsid w:val="08FCD617"/>
    <w:rsid w:val="0907E2A2"/>
    <w:rsid w:val="090E1680"/>
    <w:rsid w:val="091023F3"/>
    <w:rsid w:val="091991FD"/>
    <w:rsid w:val="0924C079"/>
    <w:rsid w:val="092ADB4C"/>
    <w:rsid w:val="092CC707"/>
    <w:rsid w:val="093DFA90"/>
    <w:rsid w:val="09445439"/>
    <w:rsid w:val="0957E5D7"/>
    <w:rsid w:val="095D9B4C"/>
    <w:rsid w:val="095ECA79"/>
    <w:rsid w:val="096D9A21"/>
    <w:rsid w:val="096F26EB"/>
    <w:rsid w:val="0975A34B"/>
    <w:rsid w:val="098B9BDE"/>
    <w:rsid w:val="09922492"/>
    <w:rsid w:val="0992DC26"/>
    <w:rsid w:val="0996FC84"/>
    <w:rsid w:val="099B34C8"/>
    <w:rsid w:val="09A60292"/>
    <w:rsid w:val="09ABD329"/>
    <w:rsid w:val="09AF7208"/>
    <w:rsid w:val="09B7159A"/>
    <w:rsid w:val="09B86EAD"/>
    <w:rsid w:val="09BD4E12"/>
    <w:rsid w:val="09C0BD3B"/>
    <w:rsid w:val="09CF3C77"/>
    <w:rsid w:val="09D6EEDD"/>
    <w:rsid w:val="09D7F6B2"/>
    <w:rsid w:val="09DA65B4"/>
    <w:rsid w:val="09E021B0"/>
    <w:rsid w:val="09E49213"/>
    <w:rsid w:val="09E7DFEF"/>
    <w:rsid w:val="09EEDC71"/>
    <w:rsid w:val="09F9179E"/>
    <w:rsid w:val="09FC666E"/>
    <w:rsid w:val="0A08F25A"/>
    <w:rsid w:val="0A0D8632"/>
    <w:rsid w:val="0A10E0DD"/>
    <w:rsid w:val="0A111988"/>
    <w:rsid w:val="0A18C4B9"/>
    <w:rsid w:val="0A1E5933"/>
    <w:rsid w:val="0A2100F5"/>
    <w:rsid w:val="0A421700"/>
    <w:rsid w:val="0A4B2D5B"/>
    <w:rsid w:val="0A4E9E10"/>
    <w:rsid w:val="0A5312DB"/>
    <w:rsid w:val="0A550E0F"/>
    <w:rsid w:val="0A6420F4"/>
    <w:rsid w:val="0A67A264"/>
    <w:rsid w:val="0A6D09CD"/>
    <w:rsid w:val="0A6D7CEF"/>
    <w:rsid w:val="0A6ED7A6"/>
    <w:rsid w:val="0A6F89EB"/>
    <w:rsid w:val="0A9408FD"/>
    <w:rsid w:val="0AC9DCA8"/>
    <w:rsid w:val="0AD24BC2"/>
    <w:rsid w:val="0AD39DA3"/>
    <w:rsid w:val="0AD41DC1"/>
    <w:rsid w:val="0AD52EB2"/>
    <w:rsid w:val="0AE14A3D"/>
    <w:rsid w:val="0AE35065"/>
    <w:rsid w:val="0AE3CB1A"/>
    <w:rsid w:val="0AF2D71A"/>
    <w:rsid w:val="0AF417A2"/>
    <w:rsid w:val="0B05705E"/>
    <w:rsid w:val="0B0B0E08"/>
    <w:rsid w:val="0B0FA16C"/>
    <w:rsid w:val="0B14E6C6"/>
    <w:rsid w:val="0B14EB85"/>
    <w:rsid w:val="0B158390"/>
    <w:rsid w:val="0B181E53"/>
    <w:rsid w:val="0B1EBE46"/>
    <w:rsid w:val="0B27589E"/>
    <w:rsid w:val="0B3B4101"/>
    <w:rsid w:val="0B411A3D"/>
    <w:rsid w:val="0B41DBA3"/>
    <w:rsid w:val="0B45F7A1"/>
    <w:rsid w:val="0B49798E"/>
    <w:rsid w:val="0B4AD29F"/>
    <w:rsid w:val="0B4FD87C"/>
    <w:rsid w:val="0B50A9A9"/>
    <w:rsid w:val="0B50C3AE"/>
    <w:rsid w:val="0B510481"/>
    <w:rsid w:val="0B556ACC"/>
    <w:rsid w:val="0B55EDA3"/>
    <w:rsid w:val="0B57E740"/>
    <w:rsid w:val="0B5A70C2"/>
    <w:rsid w:val="0B5D4A5E"/>
    <w:rsid w:val="0B720332"/>
    <w:rsid w:val="0B83170D"/>
    <w:rsid w:val="0B87E156"/>
    <w:rsid w:val="0B8D2734"/>
    <w:rsid w:val="0B9E6EF0"/>
    <w:rsid w:val="0BAAC0DD"/>
    <w:rsid w:val="0BB0A4BF"/>
    <w:rsid w:val="0BB83C6F"/>
    <w:rsid w:val="0BB92F10"/>
    <w:rsid w:val="0BBA95F6"/>
    <w:rsid w:val="0BC61D6D"/>
    <w:rsid w:val="0BC78DE3"/>
    <w:rsid w:val="0BCA314C"/>
    <w:rsid w:val="0BCF23BD"/>
    <w:rsid w:val="0BD21B10"/>
    <w:rsid w:val="0BD9A565"/>
    <w:rsid w:val="0BE7D880"/>
    <w:rsid w:val="0BF02786"/>
    <w:rsid w:val="0BF64025"/>
    <w:rsid w:val="0BF8CC08"/>
    <w:rsid w:val="0C05E5EB"/>
    <w:rsid w:val="0C073BA5"/>
    <w:rsid w:val="0C094736"/>
    <w:rsid w:val="0C129F8F"/>
    <w:rsid w:val="0C1620E2"/>
    <w:rsid w:val="0C216459"/>
    <w:rsid w:val="0C280D31"/>
    <w:rsid w:val="0C3F7837"/>
    <w:rsid w:val="0C5F934C"/>
    <w:rsid w:val="0C621B42"/>
    <w:rsid w:val="0C649D57"/>
    <w:rsid w:val="0C67ABB7"/>
    <w:rsid w:val="0C74A743"/>
    <w:rsid w:val="0C74C011"/>
    <w:rsid w:val="0C767F2A"/>
    <w:rsid w:val="0C7D60AD"/>
    <w:rsid w:val="0C7E5F0F"/>
    <w:rsid w:val="0C8A336A"/>
    <w:rsid w:val="0C8BEA94"/>
    <w:rsid w:val="0C98196E"/>
    <w:rsid w:val="0C9CD494"/>
    <w:rsid w:val="0C9DDEA9"/>
    <w:rsid w:val="0CAA10E2"/>
    <w:rsid w:val="0CAD7326"/>
    <w:rsid w:val="0CB2F442"/>
    <w:rsid w:val="0CB375E3"/>
    <w:rsid w:val="0CB5597C"/>
    <w:rsid w:val="0CBA196F"/>
    <w:rsid w:val="0CCEDDE1"/>
    <w:rsid w:val="0CD00BAE"/>
    <w:rsid w:val="0CD27C6D"/>
    <w:rsid w:val="0CD2C89A"/>
    <w:rsid w:val="0CDE1B6D"/>
    <w:rsid w:val="0CE54FC2"/>
    <w:rsid w:val="0CE96122"/>
    <w:rsid w:val="0CFD30DE"/>
    <w:rsid w:val="0CFDB114"/>
    <w:rsid w:val="0D209DDE"/>
    <w:rsid w:val="0D2E5304"/>
    <w:rsid w:val="0D32A303"/>
    <w:rsid w:val="0D3304C7"/>
    <w:rsid w:val="0D388AF5"/>
    <w:rsid w:val="0D38995F"/>
    <w:rsid w:val="0D46909A"/>
    <w:rsid w:val="0D4DF37C"/>
    <w:rsid w:val="0D500E7F"/>
    <w:rsid w:val="0D57339B"/>
    <w:rsid w:val="0D577620"/>
    <w:rsid w:val="0D58907B"/>
    <w:rsid w:val="0D647AA5"/>
    <w:rsid w:val="0D6544AB"/>
    <w:rsid w:val="0D656426"/>
    <w:rsid w:val="0D65ABDF"/>
    <w:rsid w:val="0D67770B"/>
    <w:rsid w:val="0D6E1502"/>
    <w:rsid w:val="0D82A886"/>
    <w:rsid w:val="0D841D9B"/>
    <w:rsid w:val="0D86B862"/>
    <w:rsid w:val="0D91AA4F"/>
    <w:rsid w:val="0D92C330"/>
    <w:rsid w:val="0D934CB7"/>
    <w:rsid w:val="0D982EE0"/>
    <w:rsid w:val="0DA342B0"/>
    <w:rsid w:val="0DA6E218"/>
    <w:rsid w:val="0DA71A55"/>
    <w:rsid w:val="0DAD8DFB"/>
    <w:rsid w:val="0DAE48D0"/>
    <w:rsid w:val="0DB192E9"/>
    <w:rsid w:val="0DB8CFBA"/>
    <w:rsid w:val="0DC71194"/>
    <w:rsid w:val="0DCD5F93"/>
    <w:rsid w:val="0DE20AC4"/>
    <w:rsid w:val="0DE3B242"/>
    <w:rsid w:val="0DE42A66"/>
    <w:rsid w:val="0DE666D1"/>
    <w:rsid w:val="0DE96FE5"/>
    <w:rsid w:val="0DEFC555"/>
    <w:rsid w:val="0DF05E05"/>
    <w:rsid w:val="0E01B9F7"/>
    <w:rsid w:val="0E04817A"/>
    <w:rsid w:val="0E05FC9D"/>
    <w:rsid w:val="0E07BCD5"/>
    <w:rsid w:val="0E096461"/>
    <w:rsid w:val="0E11C51C"/>
    <w:rsid w:val="0E1C320D"/>
    <w:rsid w:val="0E1CC73C"/>
    <w:rsid w:val="0E3D6913"/>
    <w:rsid w:val="0E3F5BFA"/>
    <w:rsid w:val="0E43F7EB"/>
    <w:rsid w:val="0E525D41"/>
    <w:rsid w:val="0E531C47"/>
    <w:rsid w:val="0E626E3E"/>
    <w:rsid w:val="0E67DFDA"/>
    <w:rsid w:val="0E6DBC77"/>
    <w:rsid w:val="0E70E1AC"/>
    <w:rsid w:val="0E736FD5"/>
    <w:rsid w:val="0E7899A5"/>
    <w:rsid w:val="0E7EEF02"/>
    <w:rsid w:val="0E81ED75"/>
    <w:rsid w:val="0E8660F3"/>
    <w:rsid w:val="0E888E8D"/>
    <w:rsid w:val="0E9BF582"/>
    <w:rsid w:val="0E9D60DA"/>
    <w:rsid w:val="0EA6745B"/>
    <w:rsid w:val="0EA7FC55"/>
    <w:rsid w:val="0EAFCD32"/>
    <w:rsid w:val="0EB2D6AD"/>
    <w:rsid w:val="0EBF15E0"/>
    <w:rsid w:val="0EC00B3F"/>
    <w:rsid w:val="0EC07FDB"/>
    <w:rsid w:val="0EC6041E"/>
    <w:rsid w:val="0ED45375"/>
    <w:rsid w:val="0EE33F09"/>
    <w:rsid w:val="0EE61AB4"/>
    <w:rsid w:val="0EE7C3D0"/>
    <w:rsid w:val="0EF1BA03"/>
    <w:rsid w:val="0EF43457"/>
    <w:rsid w:val="0EF4D633"/>
    <w:rsid w:val="0F05795A"/>
    <w:rsid w:val="0F0685D9"/>
    <w:rsid w:val="0F15D965"/>
    <w:rsid w:val="0F259E45"/>
    <w:rsid w:val="0F28DDEA"/>
    <w:rsid w:val="0F2A12A2"/>
    <w:rsid w:val="0F2CFBB7"/>
    <w:rsid w:val="0F2E74EA"/>
    <w:rsid w:val="0F3890C2"/>
    <w:rsid w:val="0F41D8E3"/>
    <w:rsid w:val="0F53EE5B"/>
    <w:rsid w:val="0F5902E8"/>
    <w:rsid w:val="0F5A0455"/>
    <w:rsid w:val="0F604EA7"/>
    <w:rsid w:val="0F66F580"/>
    <w:rsid w:val="0F6BD95C"/>
    <w:rsid w:val="0F6C55B6"/>
    <w:rsid w:val="0F6C832E"/>
    <w:rsid w:val="0F7DA760"/>
    <w:rsid w:val="0F91A718"/>
    <w:rsid w:val="0F94004C"/>
    <w:rsid w:val="0F994074"/>
    <w:rsid w:val="0F9CEC80"/>
    <w:rsid w:val="0F9EF7CE"/>
    <w:rsid w:val="0FA3F456"/>
    <w:rsid w:val="0FA7C003"/>
    <w:rsid w:val="0FA924EC"/>
    <w:rsid w:val="0FBD03F2"/>
    <w:rsid w:val="0FC91869"/>
    <w:rsid w:val="0FDB1213"/>
    <w:rsid w:val="0FDB4F07"/>
    <w:rsid w:val="0FDF8DB4"/>
    <w:rsid w:val="0FDF9BF4"/>
    <w:rsid w:val="0FE17585"/>
    <w:rsid w:val="0FE275DC"/>
    <w:rsid w:val="0FF84245"/>
    <w:rsid w:val="0FFACC6B"/>
    <w:rsid w:val="1002050C"/>
    <w:rsid w:val="1025CDA7"/>
    <w:rsid w:val="10296258"/>
    <w:rsid w:val="10326E54"/>
    <w:rsid w:val="1038F487"/>
    <w:rsid w:val="103FBD59"/>
    <w:rsid w:val="10418FE8"/>
    <w:rsid w:val="1046F5B8"/>
    <w:rsid w:val="105A994E"/>
    <w:rsid w:val="105E54FF"/>
    <w:rsid w:val="10666F2F"/>
    <w:rsid w:val="107B10AF"/>
    <w:rsid w:val="1084F704"/>
    <w:rsid w:val="1088CC4B"/>
    <w:rsid w:val="108B94F7"/>
    <w:rsid w:val="108DC437"/>
    <w:rsid w:val="1090B1FF"/>
    <w:rsid w:val="10933C48"/>
    <w:rsid w:val="109CEFF8"/>
    <w:rsid w:val="109D8369"/>
    <w:rsid w:val="10B476C6"/>
    <w:rsid w:val="10B4AC6F"/>
    <w:rsid w:val="10C297B4"/>
    <w:rsid w:val="10C7811F"/>
    <w:rsid w:val="10CDF73D"/>
    <w:rsid w:val="10D42F66"/>
    <w:rsid w:val="10D530A2"/>
    <w:rsid w:val="10D60433"/>
    <w:rsid w:val="10D75041"/>
    <w:rsid w:val="10D976A2"/>
    <w:rsid w:val="10D9FBEB"/>
    <w:rsid w:val="10E184C5"/>
    <w:rsid w:val="10E4E1E9"/>
    <w:rsid w:val="10E83672"/>
    <w:rsid w:val="10E96672"/>
    <w:rsid w:val="10EC610C"/>
    <w:rsid w:val="10FAE5F5"/>
    <w:rsid w:val="110D3389"/>
    <w:rsid w:val="11112D1E"/>
    <w:rsid w:val="1111E6AC"/>
    <w:rsid w:val="11141089"/>
    <w:rsid w:val="1116A829"/>
    <w:rsid w:val="111E21F0"/>
    <w:rsid w:val="112715CF"/>
    <w:rsid w:val="112A75B1"/>
    <w:rsid w:val="11321825"/>
    <w:rsid w:val="11366C3E"/>
    <w:rsid w:val="1138A666"/>
    <w:rsid w:val="114051F6"/>
    <w:rsid w:val="114CB18F"/>
    <w:rsid w:val="11657EC8"/>
    <w:rsid w:val="11685499"/>
    <w:rsid w:val="116937B6"/>
    <w:rsid w:val="116BFE38"/>
    <w:rsid w:val="116FB249"/>
    <w:rsid w:val="1173AF58"/>
    <w:rsid w:val="1177BF34"/>
    <w:rsid w:val="1185E24D"/>
    <w:rsid w:val="118829D3"/>
    <w:rsid w:val="1189278B"/>
    <w:rsid w:val="118B4B7D"/>
    <w:rsid w:val="118DC5A9"/>
    <w:rsid w:val="118F0EBB"/>
    <w:rsid w:val="119045E4"/>
    <w:rsid w:val="119AFFCC"/>
    <w:rsid w:val="119EDBED"/>
    <w:rsid w:val="11A364EA"/>
    <w:rsid w:val="11A6D876"/>
    <w:rsid w:val="11B87ADD"/>
    <w:rsid w:val="11BD9688"/>
    <w:rsid w:val="11BDFEF1"/>
    <w:rsid w:val="11BF3334"/>
    <w:rsid w:val="11C1817F"/>
    <w:rsid w:val="11C74600"/>
    <w:rsid w:val="11C97E2E"/>
    <w:rsid w:val="11CE2A46"/>
    <w:rsid w:val="11D5042D"/>
    <w:rsid w:val="11DAAB90"/>
    <w:rsid w:val="11DF2916"/>
    <w:rsid w:val="11E36EBF"/>
    <w:rsid w:val="11E89604"/>
    <w:rsid w:val="11E9914E"/>
    <w:rsid w:val="11F475AF"/>
    <w:rsid w:val="11FDA7FF"/>
    <w:rsid w:val="11FE477B"/>
    <w:rsid w:val="1212646A"/>
    <w:rsid w:val="1219793D"/>
    <w:rsid w:val="1221C573"/>
    <w:rsid w:val="1233C2C2"/>
    <w:rsid w:val="12394064"/>
    <w:rsid w:val="123F820B"/>
    <w:rsid w:val="1245633D"/>
    <w:rsid w:val="124E41C8"/>
    <w:rsid w:val="124F61EF"/>
    <w:rsid w:val="125590A3"/>
    <w:rsid w:val="12559E1E"/>
    <w:rsid w:val="125A3166"/>
    <w:rsid w:val="126042FA"/>
    <w:rsid w:val="1266C98D"/>
    <w:rsid w:val="126C029C"/>
    <w:rsid w:val="1276C7DE"/>
    <w:rsid w:val="1279A872"/>
    <w:rsid w:val="127A125C"/>
    <w:rsid w:val="127A4BDE"/>
    <w:rsid w:val="127D05E7"/>
    <w:rsid w:val="1284F45C"/>
    <w:rsid w:val="12951DB5"/>
    <w:rsid w:val="12984E9E"/>
    <w:rsid w:val="1298FDD6"/>
    <w:rsid w:val="129B7F1D"/>
    <w:rsid w:val="129C4491"/>
    <w:rsid w:val="129EB7B2"/>
    <w:rsid w:val="12A235F7"/>
    <w:rsid w:val="12A5F8C0"/>
    <w:rsid w:val="12A8E667"/>
    <w:rsid w:val="12AEADE0"/>
    <w:rsid w:val="12B17E65"/>
    <w:rsid w:val="12B469DE"/>
    <w:rsid w:val="12B91FA2"/>
    <w:rsid w:val="12C045DD"/>
    <w:rsid w:val="12C921D8"/>
    <w:rsid w:val="12C98D67"/>
    <w:rsid w:val="12CE0C60"/>
    <w:rsid w:val="12D719C8"/>
    <w:rsid w:val="12D7985E"/>
    <w:rsid w:val="1303F4DE"/>
    <w:rsid w:val="1305A287"/>
    <w:rsid w:val="1313FD67"/>
    <w:rsid w:val="13149A3F"/>
    <w:rsid w:val="1315BF2C"/>
    <w:rsid w:val="131B9DCD"/>
    <w:rsid w:val="1332815E"/>
    <w:rsid w:val="13374C7F"/>
    <w:rsid w:val="133B15A7"/>
    <w:rsid w:val="133B6F63"/>
    <w:rsid w:val="1349358E"/>
    <w:rsid w:val="134A9F7A"/>
    <w:rsid w:val="134DE585"/>
    <w:rsid w:val="135BA121"/>
    <w:rsid w:val="135C838C"/>
    <w:rsid w:val="1367E6EE"/>
    <w:rsid w:val="137746CD"/>
    <w:rsid w:val="138B23CF"/>
    <w:rsid w:val="1390BDAE"/>
    <w:rsid w:val="139617ED"/>
    <w:rsid w:val="13A9C283"/>
    <w:rsid w:val="13BC4E22"/>
    <w:rsid w:val="13BCF877"/>
    <w:rsid w:val="13C312AE"/>
    <w:rsid w:val="13C7DAA5"/>
    <w:rsid w:val="13CBCB68"/>
    <w:rsid w:val="13D24D2D"/>
    <w:rsid w:val="13D5AC92"/>
    <w:rsid w:val="13D7E567"/>
    <w:rsid w:val="13E5479C"/>
    <w:rsid w:val="13E56A60"/>
    <w:rsid w:val="13E5D115"/>
    <w:rsid w:val="13E5D23B"/>
    <w:rsid w:val="13E7C3ED"/>
    <w:rsid w:val="1406A6B7"/>
    <w:rsid w:val="1407353C"/>
    <w:rsid w:val="140B3DFA"/>
    <w:rsid w:val="14111974"/>
    <w:rsid w:val="1411D207"/>
    <w:rsid w:val="1419B5E0"/>
    <w:rsid w:val="1419D194"/>
    <w:rsid w:val="141A9F50"/>
    <w:rsid w:val="142C058D"/>
    <w:rsid w:val="1431852E"/>
    <w:rsid w:val="143C5E0B"/>
    <w:rsid w:val="143FC753"/>
    <w:rsid w:val="14431F89"/>
    <w:rsid w:val="144AB972"/>
    <w:rsid w:val="145152E3"/>
    <w:rsid w:val="14577A1A"/>
    <w:rsid w:val="145954ED"/>
    <w:rsid w:val="1475DD40"/>
    <w:rsid w:val="14787BC5"/>
    <w:rsid w:val="147AC76E"/>
    <w:rsid w:val="147CF8EC"/>
    <w:rsid w:val="14872EE7"/>
    <w:rsid w:val="148AB63B"/>
    <w:rsid w:val="148FC1CA"/>
    <w:rsid w:val="14AC4D03"/>
    <w:rsid w:val="14B02CBB"/>
    <w:rsid w:val="14B65231"/>
    <w:rsid w:val="14BDBB39"/>
    <w:rsid w:val="14C474FC"/>
    <w:rsid w:val="14C7F934"/>
    <w:rsid w:val="14CD45A0"/>
    <w:rsid w:val="14D146EF"/>
    <w:rsid w:val="14D34BA2"/>
    <w:rsid w:val="14D7992E"/>
    <w:rsid w:val="14D7BBB3"/>
    <w:rsid w:val="14E0EB52"/>
    <w:rsid w:val="14E2D998"/>
    <w:rsid w:val="14E66F6C"/>
    <w:rsid w:val="14EEB936"/>
    <w:rsid w:val="14F2D6CF"/>
    <w:rsid w:val="14FC2DE3"/>
    <w:rsid w:val="15031705"/>
    <w:rsid w:val="1504B071"/>
    <w:rsid w:val="15066166"/>
    <w:rsid w:val="151009A4"/>
    <w:rsid w:val="1511B212"/>
    <w:rsid w:val="15163D41"/>
    <w:rsid w:val="151A6930"/>
    <w:rsid w:val="151B5E0C"/>
    <w:rsid w:val="152C4D1E"/>
    <w:rsid w:val="15398B8F"/>
    <w:rsid w:val="153D39EB"/>
    <w:rsid w:val="153EDD91"/>
    <w:rsid w:val="1542CACF"/>
    <w:rsid w:val="1548A8CC"/>
    <w:rsid w:val="154EF567"/>
    <w:rsid w:val="154EFEAE"/>
    <w:rsid w:val="155BBC59"/>
    <w:rsid w:val="155E3807"/>
    <w:rsid w:val="1565DC53"/>
    <w:rsid w:val="157A5690"/>
    <w:rsid w:val="15879CDD"/>
    <w:rsid w:val="158937BB"/>
    <w:rsid w:val="159AF635"/>
    <w:rsid w:val="15A14CA0"/>
    <w:rsid w:val="15AB51BA"/>
    <w:rsid w:val="15B329C0"/>
    <w:rsid w:val="15B5A4C9"/>
    <w:rsid w:val="15B6A5D5"/>
    <w:rsid w:val="15BCEB5E"/>
    <w:rsid w:val="15C8106B"/>
    <w:rsid w:val="15C8DB43"/>
    <w:rsid w:val="15C922F7"/>
    <w:rsid w:val="15CACC02"/>
    <w:rsid w:val="15CD3413"/>
    <w:rsid w:val="15CDDA8B"/>
    <w:rsid w:val="15D10A14"/>
    <w:rsid w:val="15DC1DA5"/>
    <w:rsid w:val="15E0CFBE"/>
    <w:rsid w:val="15E50DDA"/>
    <w:rsid w:val="15EFF73A"/>
    <w:rsid w:val="15F72DA8"/>
    <w:rsid w:val="160C8293"/>
    <w:rsid w:val="160CC6AB"/>
    <w:rsid w:val="16117062"/>
    <w:rsid w:val="161704BA"/>
    <w:rsid w:val="1619E48D"/>
    <w:rsid w:val="162759F0"/>
    <w:rsid w:val="163FF114"/>
    <w:rsid w:val="1644C3D2"/>
    <w:rsid w:val="165211AB"/>
    <w:rsid w:val="166712B4"/>
    <w:rsid w:val="166EC4AD"/>
    <w:rsid w:val="16730E84"/>
    <w:rsid w:val="16823FB0"/>
    <w:rsid w:val="1696C8C1"/>
    <w:rsid w:val="169AC6DA"/>
    <w:rsid w:val="16A39E3B"/>
    <w:rsid w:val="16A544B9"/>
    <w:rsid w:val="16A6F334"/>
    <w:rsid w:val="16A7739C"/>
    <w:rsid w:val="16ACD682"/>
    <w:rsid w:val="16AFC8F0"/>
    <w:rsid w:val="16B18E45"/>
    <w:rsid w:val="16BC9F2D"/>
    <w:rsid w:val="16C488EA"/>
    <w:rsid w:val="16C4AADB"/>
    <w:rsid w:val="16CF4204"/>
    <w:rsid w:val="16D2A438"/>
    <w:rsid w:val="16D76024"/>
    <w:rsid w:val="16D937B0"/>
    <w:rsid w:val="16DB417F"/>
    <w:rsid w:val="16DCA058"/>
    <w:rsid w:val="16E834FF"/>
    <w:rsid w:val="16EA69BB"/>
    <w:rsid w:val="16ED906D"/>
    <w:rsid w:val="16EF56AE"/>
    <w:rsid w:val="16F3E7A4"/>
    <w:rsid w:val="17011F41"/>
    <w:rsid w:val="170F7E3D"/>
    <w:rsid w:val="1710458E"/>
    <w:rsid w:val="1716A73D"/>
    <w:rsid w:val="171AC011"/>
    <w:rsid w:val="171C9C0F"/>
    <w:rsid w:val="171F0E0B"/>
    <w:rsid w:val="17228FA0"/>
    <w:rsid w:val="1725D23F"/>
    <w:rsid w:val="1730D4CE"/>
    <w:rsid w:val="173885F9"/>
    <w:rsid w:val="173FCB2D"/>
    <w:rsid w:val="17454D56"/>
    <w:rsid w:val="17481871"/>
    <w:rsid w:val="1749C439"/>
    <w:rsid w:val="175B2D4F"/>
    <w:rsid w:val="175D91B2"/>
    <w:rsid w:val="17646683"/>
    <w:rsid w:val="17731D3A"/>
    <w:rsid w:val="178AA097"/>
    <w:rsid w:val="178B8917"/>
    <w:rsid w:val="178BB62E"/>
    <w:rsid w:val="178D8E5E"/>
    <w:rsid w:val="17963303"/>
    <w:rsid w:val="1799CC9B"/>
    <w:rsid w:val="17A187C7"/>
    <w:rsid w:val="17A43EC1"/>
    <w:rsid w:val="17A74047"/>
    <w:rsid w:val="17A7C159"/>
    <w:rsid w:val="17B6199D"/>
    <w:rsid w:val="17BB4F65"/>
    <w:rsid w:val="17BC1E22"/>
    <w:rsid w:val="17BF74F7"/>
    <w:rsid w:val="17CB1DD8"/>
    <w:rsid w:val="17CC5517"/>
    <w:rsid w:val="17D04844"/>
    <w:rsid w:val="17D6C60F"/>
    <w:rsid w:val="17DABBF5"/>
    <w:rsid w:val="17EB64C6"/>
    <w:rsid w:val="17F9B247"/>
    <w:rsid w:val="1805F877"/>
    <w:rsid w:val="18066E60"/>
    <w:rsid w:val="180BB6FD"/>
    <w:rsid w:val="180E20AB"/>
    <w:rsid w:val="1810E85F"/>
    <w:rsid w:val="1813DDD1"/>
    <w:rsid w:val="18188B3C"/>
    <w:rsid w:val="182EB6A4"/>
    <w:rsid w:val="18337526"/>
    <w:rsid w:val="183F93BB"/>
    <w:rsid w:val="1840E2A2"/>
    <w:rsid w:val="184153DD"/>
    <w:rsid w:val="1845B938"/>
    <w:rsid w:val="1850907B"/>
    <w:rsid w:val="18517035"/>
    <w:rsid w:val="1857D60A"/>
    <w:rsid w:val="1862E18B"/>
    <w:rsid w:val="18662614"/>
    <w:rsid w:val="18662A99"/>
    <w:rsid w:val="18691526"/>
    <w:rsid w:val="186A9034"/>
    <w:rsid w:val="18715826"/>
    <w:rsid w:val="18760C71"/>
    <w:rsid w:val="189D41C4"/>
    <w:rsid w:val="189E98C6"/>
    <w:rsid w:val="18A0E3D2"/>
    <w:rsid w:val="18A35857"/>
    <w:rsid w:val="18BDFB97"/>
    <w:rsid w:val="18BEDC5F"/>
    <w:rsid w:val="18C263D6"/>
    <w:rsid w:val="18C3D92B"/>
    <w:rsid w:val="18C48698"/>
    <w:rsid w:val="18C4AAA3"/>
    <w:rsid w:val="18C5DA40"/>
    <w:rsid w:val="18D1E473"/>
    <w:rsid w:val="18DA855A"/>
    <w:rsid w:val="18DC7EBF"/>
    <w:rsid w:val="18DFA243"/>
    <w:rsid w:val="18E13B33"/>
    <w:rsid w:val="18EC17FC"/>
    <w:rsid w:val="18EF25EC"/>
    <w:rsid w:val="18F413EB"/>
    <w:rsid w:val="191D817E"/>
    <w:rsid w:val="192CEC57"/>
    <w:rsid w:val="1931B7A3"/>
    <w:rsid w:val="1938F6BD"/>
    <w:rsid w:val="193A70A5"/>
    <w:rsid w:val="1943888C"/>
    <w:rsid w:val="19495C25"/>
    <w:rsid w:val="19531466"/>
    <w:rsid w:val="195DC28E"/>
    <w:rsid w:val="195E561D"/>
    <w:rsid w:val="1963FD26"/>
    <w:rsid w:val="19673481"/>
    <w:rsid w:val="1969FBD8"/>
    <w:rsid w:val="1971FB44"/>
    <w:rsid w:val="197B0611"/>
    <w:rsid w:val="197DFE12"/>
    <w:rsid w:val="19952679"/>
    <w:rsid w:val="199B9A37"/>
    <w:rsid w:val="19A46C32"/>
    <w:rsid w:val="19AC1959"/>
    <w:rsid w:val="19BE8CE5"/>
    <w:rsid w:val="19BEE933"/>
    <w:rsid w:val="19BF1EC3"/>
    <w:rsid w:val="19C66CC6"/>
    <w:rsid w:val="19CCDD9F"/>
    <w:rsid w:val="19CF3DF5"/>
    <w:rsid w:val="19D4689A"/>
    <w:rsid w:val="19D8BBAE"/>
    <w:rsid w:val="19D8E370"/>
    <w:rsid w:val="19DB05F2"/>
    <w:rsid w:val="19DFB224"/>
    <w:rsid w:val="19EEF4FA"/>
    <w:rsid w:val="19FD0B9A"/>
    <w:rsid w:val="1A140C61"/>
    <w:rsid w:val="1A1486BA"/>
    <w:rsid w:val="1A1548FE"/>
    <w:rsid w:val="1A1F3526"/>
    <w:rsid w:val="1A1F52B9"/>
    <w:rsid w:val="1A23FBE5"/>
    <w:rsid w:val="1A2EA0E1"/>
    <w:rsid w:val="1A2F9110"/>
    <w:rsid w:val="1A40C03E"/>
    <w:rsid w:val="1A4504AD"/>
    <w:rsid w:val="1A4BCA98"/>
    <w:rsid w:val="1A54E006"/>
    <w:rsid w:val="1A6969BE"/>
    <w:rsid w:val="1A707BD2"/>
    <w:rsid w:val="1A720086"/>
    <w:rsid w:val="1A729331"/>
    <w:rsid w:val="1A80A7CB"/>
    <w:rsid w:val="1A9AF7DB"/>
    <w:rsid w:val="1A9FC35D"/>
    <w:rsid w:val="1AA21AF3"/>
    <w:rsid w:val="1AA2ABB8"/>
    <w:rsid w:val="1AA5CECD"/>
    <w:rsid w:val="1AA8DF84"/>
    <w:rsid w:val="1AAB9D81"/>
    <w:rsid w:val="1AAFAFFF"/>
    <w:rsid w:val="1ABBD085"/>
    <w:rsid w:val="1AC76C50"/>
    <w:rsid w:val="1AD26622"/>
    <w:rsid w:val="1ADBD855"/>
    <w:rsid w:val="1AE10F7C"/>
    <w:rsid w:val="1AE7171D"/>
    <w:rsid w:val="1AECC398"/>
    <w:rsid w:val="1AF6E3F2"/>
    <w:rsid w:val="1AF8B53B"/>
    <w:rsid w:val="1AFAAA4E"/>
    <w:rsid w:val="1B028ED2"/>
    <w:rsid w:val="1B04F9D5"/>
    <w:rsid w:val="1B0BC76D"/>
    <w:rsid w:val="1B1603A1"/>
    <w:rsid w:val="1B1D027B"/>
    <w:rsid w:val="1B1E11F6"/>
    <w:rsid w:val="1B2B0580"/>
    <w:rsid w:val="1B2DE3D3"/>
    <w:rsid w:val="1B36E940"/>
    <w:rsid w:val="1B404DED"/>
    <w:rsid w:val="1B4573F6"/>
    <w:rsid w:val="1B46075F"/>
    <w:rsid w:val="1B4AC8D1"/>
    <w:rsid w:val="1B544891"/>
    <w:rsid w:val="1B5AD90E"/>
    <w:rsid w:val="1B5C242B"/>
    <w:rsid w:val="1B5CD64B"/>
    <w:rsid w:val="1B5CE031"/>
    <w:rsid w:val="1B5D797F"/>
    <w:rsid w:val="1B66FAD8"/>
    <w:rsid w:val="1B6BA4DE"/>
    <w:rsid w:val="1B6D0810"/>
    <w:rsid w:val="1B7528FE"/>
    <w:rsid w:val="1B840C6D"/>
    <w:rsid w:val="1B87057F"/>
    <w:rsid w:val="1B8800A3"/>
    <w:rsid w:val="1B93D7FD"/>
    <w:rsid w:val="1BB538D4"/>
    <w:rsid w:val="1BBC9564"/>
    <w:rsid w:val="1BCE838C"/>
    <w:rsid w:val="1BDE9913"/>
    <w:rsid w:val="1BDFBD6A"/>
    <w:rsid w:val="1BE52072"/>
    <w:rsid w:val="1BEC64D5"/>
    <w:rsid w:val="1BEF8666"/>
    <w:rsid w:val="1BF1E57D"/>
    <w:rsid w:val="1BF2A0CA"/>
    <w:rsid w:val="1BF96BE2"/>
    <w:rsid w:val="1C03DB4B"/>
    <w:rsid w:val="1C03EEB4"/>
    <w:rsid w:val="1C1278C1"/>
    <w:rsid w:val="1C1E1FAF"/>
    <w:rsid w:val="1C1FC8A6"/>
    <w:rsid w:val="1C4AE02F"/>
    <w:rsid w:val="1C4D6A01"/>
    <w:rsid w:val="1C4DA83B"/>
    <w:rsid w:val="1C50DE0B"/>
    <w:rsid w:val="1C510690"/>
    <w:rsid w:val="1C5876A3"/>
    <w:rsid w:val="1C5F0B5E"/>
    <w:rsid w:val="1C63A7BC"/>
    <w:rsid w:val="1C6903C5"/>
    <w:rsid w:val="1C775291"/>
    <w:rsid w:val="1C782045"/>
    <w:rsid w:val="1C7A5DE0"/>
    <w:rsid w:val="1C7F1CE4"/>
    <w:rsid w:val="1C8210AF"/>
    <w:rsid w:val="1C860F80"/>
    <w:rsid w:val="1C8632EC"/>
    <w:rsid w:val="1C8B063D"/>
    <w:rsid w:val="1C8B61BF"/>
    <w:rsid w:val="1C90A0AD"/>
    <w:rsid w:val="1C90DDCD"/>
    <w:rsid w:val="1C95E468"/>
    <w:rsid w:val="1C98F05C"/>
    <w:rsid w:val="1C9979A0"/>
    <w:rsid w:val="1CA37C64"/>
    <w:rsid w:val="1CA4A83E"/>
    <w:rsid w:val="1CAA44B8"/>
    <w:rsid w:val="1CAE6CEF"/>
    <w:rsid w:val="1CBE6C38"/>
    <w:rsid w:val="1CC26C06"/>
    <w:rsid w:val="1CC53368"/>
    <w:rsid w:val="1CC83902"/>
    <w:rsid w:val="1CC9F532"/>
    <w:rsid w:val="1CCA834E"/>
    <w:rsid w:val="1CCF3C27"/>
    <w:rsid w:val="1CD22C86"/>
    <w:rsid w:val="1CD3B2D0"/>
    <w:rsid w:val="1CF4290B"/>
    <w:rsid w:val="1D023645"/>
    <w:rsid w:val="1D05F68E"/>
    <w:rsid w:val="1D0B9F17"/>
    <w:rsid w:val="1D0F22AD"/>
    <w:rsid w:val="1D110B59"/>
    <w:rsid w:val="1D117440"/>
    <w:rsid w:val="1D157FC3"/>
    <w:rsid w:val="1D1BAC31"/>
    <w:rsid w:val="1D25EFB4"/>
    <w:rsid w:val="1D2C26C8"/>
    <w:rsid w:val="1D46E831"/>
    <w:rsid w:val="1D4B61C8"/>
    <w:rsid w:val="1D4DD4CF"/>
    <w:rsid w:val="1D5403E6"/>
    <w:rsid w:val="1D65D180"/>
    <w:rsid w:val="1D67D316"/>
    <w:rsid w:val="1D7730EC"/>
    <w:rsid w:val="1D7C1991"/>
    <w:rsid w:val="1D7EE44A"/>
    <w:rsid w:val="1D7FABF3"/>
    <w:rsid w:val="1D8D3124"/>
    <w:rsid w:val="1D8DEA43"/>
    <w:rsid w:val="1D9878A5"/>
    <w:rsid w:val="1D9C16A2"/>
    <w:rsid w:val="1D9E63CD"/>
    <w:rsid w:val="1DA252A1"/>
    <w:rsid w:val="1DA7E095"/>
    <w:rsid w:val="1DAD6B01"/>
    <w:rsid w:val="1DAF7E78"/>
    <w:rsid w:val="1DB1D1A6"/>
    <w:rsid w:val="1DBA6F0B"/>
    <w:rsid w:val="1DBDF847"/>
    <w:rsid w:val="1DC36477"/>
    <w:rsid w:val="1DC8264D"/>
    <w:rsid w:val="1DD6FC5E"/>
    <w:rsid w:val="1DE18D77"/>
    <w:rsid w:val="1DE268EF"/>
    <w:rsid w:val="1DE56AD7"/>
    <w:rsid w:val="1DE796A2"/>
    <w:rsid w:val="1DEF9CFF"/>
    <w:rsid w:val="1DFFDCC7"/>
    <w:rsid w:val="1E00A868"/>
    <w:rsid w:val="1E0FD69E"/>
    <w:rsid w:val="1E137BB2"/>
    <w:rsid w:val="1E15A651"/>
    <w:rsid w:val="1E16EB21"/>
    <w:rsid w:val="1E17BD5D"/>
    <w:rsid w:val="1E1910BB"/>
    <w:rsid w:val="1E1A408F"/>
    <w:rsid w:val="1E1ABAFC"/>
    <w:rsid w:val="1E1FF0A8"/>
    <w:rsid w:val="1E2700DD"/>
    <w:rsid w:val="1E2B891F"/>
    <w:rsid w:val="1E300E59"/>
    <w:rsid w:val="1E45A712"/>
    <w:rsid w:val="1E4A7122"/>
    <w:rsid w:val="1E4E125C"/>
    <w:rsid w:val="1E4E6B7A"/>
    <w:rsid w:val="1E50394F"/>
    <w:rsid w:val="1E513F96"/>
    <w:rsid w:val="1E550999"/>
    <w:rsid w:val="1E572EB4"/>
    <w:rsid w:val="1E5D6065"/>
    <w:rsid w:val="1E5FE2E9"/>
    <w:rsid w:val="1E5FF43C"/>
    <w:rsid w:val="1E6E6F0B"/>
    <w:rsid w:val="1E73C884"/>
    <w:rsid w:val="1E7A67E5"/>
    <w:rsid w:val="1E7DE52C"/>
    <w:rsid w:val="1E82DF6F"/>
    <w:rsid w:val="1E987A5E"/>
    <w:rsid w:val="1E998DB0"/>
    <w:rsid w:val="1E999B89"/>
    <w:rsid w:val="1E9D2B3C"/>
    <w:rsid w:val="1EA6A3A5"/>
    <w:rsid w:val="1EADA49A"/>
    <w:rsid w:val="1EB16524"/>
    <w:rsid w:val="1EBB6A1C"/>
    <w:rsid w:val="1ECBB8EB"/>
    <w:rsid w:val="1ECCBCA9"/>
    <w:rsid w:val="1EF070C8"/>
    <w:rsid w:val="1EF57ED5"/>
    <w:rsid w:val="1EFA8EB9"/>
    <w:rsid w:val="1EFC9BB5"/>
    <w:rsid w:val="1F04D4F6"/>
    <w:rsid w:val="1F07FB0F"/>
    <w:rsid w:val="1F084ADE"/>
    <w:rsid w:val="1F08EF0F"/>
    <w:rsid w:val="1F09EC1C"/>
    <w:rsid w:val="1F0EE908"/>
    <w:rsid w:val="1F14647A"/>
    <w:rsid w:val="1F18E484"/>
    <w:rsid w:val="1F28DA50"/>
    <w:rsid w:val="1F3EE9FB"/>
    <w:rsid w:val="1F4269CB"/>
    <w:rsid w:val="1F50CD1F"/>
    <w:rsid w:val="1F5D1929"/>
    <w:rsid w:val="1F6549BF"/>
    <w:rsid w:val="1F6AD9F8"/>
    <w:rsid w:val="1F6FDBB7"/>
    <w:rsid w:val="1F6FEFA4"/>
    <w:rsid w:val="1F713A78"/>
    <w:rsid w:val="1F7320F8"/>
    <w:rsid w:val="1F90D93D"/>
    <w:rsid w:val="1F97122C"/>
    <w:rsid w:val="1F98399A"/>
    <w:rsid w:val="1FA58F35"/>
    <w:rsid w:val="1FA9CC5B"/>
    <w:rsid w:val="1FAD7096"/>
    <w:rsid w:val="1FB05F6E"/>
    <w:rsid w:val="1FB23D30"/>
    <w:rsid w:val="1FB24C18"/>
    <w:rsid w:val="1FC78C64"/>
    <w:rsid w:val="1FD64E57"/>
    <w:rsid w:val="1FD81F70"/>
    <w:rsid w:val="1FDD13E3"/>
    <w:rsid w:val="1FF1279B"/>
    <w:rsid w:val="1FF5FFFE"/>
    <w:rsid w:val="1FF6803B"/>
    <w:rsid w:val="1FFB3812"/>
    <w:rsid w:val="1FFD1E95"/>
    <w:rsid w:val="20008486"/>
    <w:rsid w:val="200C0CE2"/>
    <w:rsid w:val="200F0459"/>
    <w:rsid w:val="201361C1"/>
    <w:rsid w:val="2014BC2B"/>
    <w:rsid w:val="201B472D"/>
    <w:rsid w:val="201DC83C"/>
    <w:rsid w:val="2027879F"/>
    <w:rsid w:val="20302D3F"/>
    <w:rsid w:val="20402FBF"/>
    <w:rsid w:val="204232A9"/>
    <w:rsid w:val="204A057F"/>
    <w:rsid w:val="20571D16"/>
    <w:rsid w:val="2060F590"/>
    <w:rsid w:val="20783CFF"/>
    <w:rsid w:val="207A8094"/>
    <w:rsid w:val="207F02D0"/>
    <w:rsid w:val="20856CE0"/>
    <w:rsid w:val="20983C0F"/>
    <w:rsid w:val="20A117E1"/>
    <w:rsid w:val="20AE5A6B"/>
    <w:rsid w:val="20AF9DB1"/>
    <w:rsid w:val="20BB124E"/>
    <w:rsid w:val="20C01472"/>
    <w:rsid w:val="20C6D286"/>
    <w:rsid w:val="20C9356C"/>
    <w:rsid w:val="20D3FD1B"/>
    <w:rsid w:val="20DA80CE"/>
    <w:rsid w:val="20E197D6"/>
    <w:rsid w:val="20EE4F13"/>
    <w:rsid w:val="20F3C222"/>
    <w:rsid w:val="20F90005"/>
    <w:rsid w:val="20FA0F7F"/>
    <w:rsid w:val="210D1701"/>
    <w:rsid w:val="2110D81F"/>
    <w:rsid w:val="21132604"/>
    <w:rsid w:val="211491D3"/>
    <w:rsid w:val="211B4339"/>
    <w:rsid w:val="212555B3"/>
    <w:rsid w:val="21375376"/>
    <w:rsid w:val="213CC101"/>
    <w:rsid w:val="213CE2CE"/>
    <w:rsid w:val="213E80BC"/>
    <w:rsid w:val="2145C186"/>
    <w:rsid w:val="214A1062"/>
    <w:rsid w:val="215C57D8"/>
    <w:rsid w:val="21620B21"/>
    <w:rsid w:val="216480FE"/>
    <w:rsid w:val="2168E991"/>
    <w:rsid w:val="2173CCC6"/>
    <w:rsid w:val="2178A12D"/>
    <w:rsid w:val="2178DF1D"/>
    <w:rsid w:val="217EFB30"/>
    <w:rsid w:val="2184F12C"/>
    <w:rsid w:val="218D2FDB"/>
    <w:rsid w:val="21A612EA"/>
    <w:rsid w:val="21A62016"/>
    <w:rsid w:val="21B46422"/>
    <w:rsid w:val="21BF06DD"/>
    <w:rsid w:val="21C7340F"/>
    <w:rsid w:val="21D0B088"/>
    <w:rsid w:val="21D9791C"/>
    <w:rsid w:val="21DEE3D2"/>
    <w:rsid w:val="21E3F8CF"/>
    <w:rsid w:val="21F881C7"/>
    <w:rsid w:val="21FC0D57"/>
    <w:rsid w:val="221613C0"/>
    <w:rsid w:val="2225D667"/>
    <w:rsid w:val="2226FE8A"/>
    <w:rsid w:val="22283C01"/>
    <w:rsid w:val="222C34BD"/>
    <w:rsid w:val="22339B05"/>
    <w:rsid w:val="22369052"/>
    <w:rsid w:val="2238FFCE"/>
    <w:rsid w:val="22449A90"/>
    <w:rsid w:val="22461C7A"/>
    <w:rsid w:val="22484F45"/>
    <w:rsid w:val="224CF7C1"/>
    <w:rsid w:val="224E2A42"/>
    <w:rsid w:val="2257B18B"/>
    <w:rsid w:val="2258F443"/>
    <w:rsid w:val="227201FE"/>
    <w:rsid w:val="22795F4E"/>
    <w:rsid w:val="2283BC5B"/>
    <w:rsid w:val="2290BF6F"/>
    <w:rsid w:val="22913898"/>
    <w:rsid w:val="22915295"/>
    <w:rsid w:val="2295E678"/>
    <w:rsid w:val="2296E626"/>
    <w:rsid w:val="22990806"/>
    <w:rsid w:val="22A1C9DE"/>
    <w:rsid w:val="22A981B8"/>
    <w:rsid w:val="22AC34C4"/>
    <w:rsid w:val="22BBF7AC"/>
    <w:rsid w:val="22BE5391"/>
    <w:rsid w:val="22BF27F9"/>
    <w:rsid w:val="22C89A82"/>
    <w:rsid w:val="22CA0396"/>
    <w:rsid w:val="22D0E7A7"/>
    <w:rsid w:val="22E77CA1"/>
    <w:rsid w:val="22EBC9B6"/>
    <w:rsid w:val="22F3B325"/>
    <w:rsid w:val="22F3D9C0"/>
    <w:rsid w:val="22F80069"/>
    <w:rsid w:val="22FEF1E5"/>
    <w:rsid w:val="23003B19"/>
    <w:rsid w:val="2301EFEA"/>
    <w:rsid w:val="230BF342"/>
    <w:rsid w:val="230C465F"/>
    <w:rsid w:val="230DD3EA"/>
    <w:rsid w:val="231C3239"/>
    <w:rsid w:val="23252FBD"/>
    <w:rsid w:val="232A1ED5"/>
    <w:rsid w:val="232B1884"/>
    <w:rsid w:val="232EBEBF"/>
    <w:rsid w:val="232FC8D6"/>
    <w:rsid w:val="23313BD4"/>
    <w:rsid w:val="233284EE"/>
    <w:rsid w:val="233592FD"/>
    <w:rsid w:val="235CC63B"/>
    <w:rsid w:val="23671790"/>
    <w:rsid w:val="236FBBB0"/>
    <w:rsid w:val="2374F161"/>
    <w:rsid w:val="237DFD67"/>
    <w:rsid w:val="2380CE85"/>
    <w:rsid w:val="23823B1E"/>
    <w:rsid w:val="23941A9B"/>
    <w:rsid w:val="23970C2C"/>
    <w:rsid w:val="23991FFF"/>
    <w:rsid w:val="23AB7317"/>
    <w:rsid w:val="23B06F10"/>
    <w:rsid w:val="23B09257"/>
    <w:rsid w:val="23B7AA21"/>
    <w:rsid w:val="23C98E15"/>
    <w:rsid w:val="23CF885D"/>
    <w:rsid w:val="23D712D9"/>
    <w:rsid w:val="23E56605"/>
    <w:rsid w:val="23E733C7"/>
    <w:rsid w:val="23E9F142"/>
    <w:rsid w:val="23F79AEF"/>
    <w:rsid w:val="240C22C9"/>
    <w:rsid w:val="2413817F"/>
    <w:rsid w:val="241676CF"/>
    <w:rsid w:val="241CBE89"/>
    <w:rsid w:val="2428295D"/>
    <w:rsid w:val="2429E0CA"/>
    <w:rsid w:val="24313325"/>
    <w:rsid w:val="24361FB3"/>
    <w:rsid w:val="2443071E"/>
    <w:rsid w:val="2443911F"/>
    <w:rsid w:val="244D21E9"/>
    <w:rsid w:val="244FD90A"/>
    <w:rsid w:val="245B5CE1"/>
    <w:rsid w:val="245CE2E0"/>
    <w:rsid w:val="245D80D4"/>
    <w:rsid w:val="246948EE"/>
    <w:rsid w:val="24775A1A"/>
    <w:rsid w:val="249169AD"/>
    <w:rsid w:val="249FDF99"/>
    <w:rsid w:val="24B60F5D"/>
    <w:rsid w:val="24B735F2"/>
    <w:rsid w:val="24B7C98B"/>
    <w:rsid w:val="24BB51E8"/>
    <w:rsid w:val="24BB83B9"/>
    <w:rsid w:val="24C2AB45"/>
    <w:rsid w:val="24C3DE9C"/>
    <w:rsid w:val="24CA9B50"/>
    <w:rsid w:val="24CB68BE"/>
    <w:rsid w:val="24D2B940"/>
    <w:rsid w:val="24D2D4EB"/>
    <w:rsid w:val="24DA582F"/>
    <w:rsid w:val="24DDEB78"/>
    <w:rsid w:val="24DEE7F8"/>
    <w:rsid w:val="24DF3845"/>
    <w:rsid w:val="24E43F95"/>
    <w:rsid w:val="24F10A3C"/>
    <w:rsid w:val="24F37E68"/>
    <w:rsid w:val="24F3D5ED"/>
    <w:rsid w:val="24FA0517"/>
    <w:rsid w:val="25155013"/>
    <w:rsid w:val="25197F97"/>
    <w:rsid w:val="251B6E86"/>
    <w:rsid w:val="2525152A"/>
    <w:rsid w:val="252B4FF9"/>
    <w:rsid w:val="25368C20"/>
    <w:rsid w:val="25442D7D"/>
    <w:rsid w:val="254CB9B0"/>
    <w:rsid w:val="255724AA"/>
    <w:rsid w:val="2559357A"/>
    <w:rsid w:val="255EFEB2"/>
    <w:rsid w:val="255F9C87"/>
    <w:rsid w:val="256B8733"/>
    <w:rsid w:val="256C73BF"/>
    <w:rsid w:val="256C7DA6"/>
    <w:rsid w:val="2571A8F5"/>
    <w:rsid w:val="2572F4ED"/>
    <w:rsid w:val="25794711"/>
    <w:rsid w:val="257F5DA6"/>
    <w:rsid w:val="2592E5A2"/>
    <w:rsid w:val="25981167"/>
    <w:rsid w:val="25A28946"/>
    <w:rsid w:val="25AC88DE"/>
    <w:rsid w:val="25ADE591"/>
    <w:rsid w:val="25BBBDFC"/>
    <w:rsid w:val="25C40EEB"/>
    <w:rsid w:val="25C859A7"/>
    <w:rsid w:val="25D4C065"/>
    <w:rsid w:val="25D88A8E"/>
    <w:rsid w:val="25DFE3BD"/>
    <w:rsid w:val="25E69BD7"/>
    <w:rsid w:val="25EE2615"/>
    <w:rsid w:val="25EEB943"/>
    <w:rsid w:val="25FBFEA9"/>
    <w:rsid w:val="2604DC04"/>
    <w:rsid w:val="2607E4BA"/>
    <w:rsid w:val="260C09C2"/>
    <w:rsid w:val="260D9C90"/>
    <w:rsid w:val="261EB1D0"/>
    <w:rsid w:val="2629C6C3"/>
    <w:rsid w:val="262B7DFB"/>
    <w:rsid w:val="262BAC9F"/>
    <w:rsid w:val="262DC3AE"/>
    <w:rsid w:val="2630C0CF"/>
    <w:rsid w:val="2634B5D7"/>
    <w:rsid w:val="2635E015"/>
    <w:rsid w:val="2639492B"/>
    <w:rsid w:val="263CD322"/>
    <w:rsid w:val="263F5396"/>
    <w:rsid w:val="264182E6"/>
    <w:rsid w:val="26484D9F"/>
    <w:rsid w:val="2648847E"/>
    <w:rsid w:val="264C6E5C"/>
    <w:rsid w:val="264F5043"/>
    <w:rsid w:val="266C2A73"/>
    <w:rsid w:val="26741CC7"/>
    <w:rsid w:val="26917503"/>
    <w:rsid w:val="2692FC27"/>
    <w:rsid w:val="26931B89"/>
    <w:rsid w:val="26975146"/>
    <w:rsid w:val="26982CD2"/>
    <w:rsid w:val="269D37BC"/>
    <w:rsid w:val="26A29515"/>
    <w:rsid w:val="26A86037"/>
    <w:rsid w:val="26AB1C8A"/>
    <w:rsid w:val="26AE75CC"/>
    <w:rsid w:val="26B1F9F2"/>
    <w:rsid w:val="26B41A86"/>
    <w:rsid w:val="26C8E400"/>
    <w:rsid w:val="26CE7C9E"/>
    <w:rsid w:val="26CF57BC"/>
    <w:rsid w:val="26D60CE8"/>
    <w:rsid w:val="26D75122"/>
    <w:rsid w:val="26E7443E"/>
    <w:rsid w:val="26E7B0F9"/>
    <w:rsid w:val="26EA7A9C"/>
    <w:rsid w:val="26F1CF60"/>
    <w:rsid w:val="2700EC2E"/>
    <w:rsid w:val="27022B24"/>
    <w:rsid w:val="27043C95"/>
    <w:rsid w:val="2709DDA1"/>
    <w:rsid w:val="271381BE"/>
    <w:rsid w:val="271CD6D4"/>
    <w:rsid w:val="27203C2B"/>
    <w:rsid w:val="2735F928"/>
    <w:rsid w:val="27564B34"/>
    <w:rsid w:val="2758EAC8"/>
    <w:rsid w:val="2760A63F"/>
    <w:rsid w:val="2764C1F2"/>
    <w:rsid w:val="276852A2"/>
    <w:rsid w:val="276E5F0D"/>
    <w:rsid w:val="277181FC"/>
    <w:rsid w:val="277470F7"/>
    <w:rsid w:val="2774E45B"/>
    <w:rsid w:val="277961A1"/>
    <w:rsid w:val="2783C36B"/>
    <w:rsid w:val="27874650"/>
    <w:rsid w:val="278D3A9A"/>
    <w:rsid w:val="2791DEC2"/>
    <w:rsid w:val="2793E6F8"/>
    <w:rsid w:val="279B3398"/>
    <w:rsid w:val="27A09FB5"/>
    <w:rsid w:val="27ACB436"/>
    <w:rsid w:val="27B01B45"/>
    <w:rsid w:val="27BB125F"/>
    <w:rsid w:val="27C0E5FE"/>
    <w:rsid w:val="27C585AC"/>
    <w:rsid w:val="27C67ABD"/>
    <w:rsid w:val="27C6ED12"/>
    <w:rsid w:val="27CF01F9"/>
    <w:rsid w:val="27D360C8"/>
    <w:rsid w:val="27DAF542"/>
    <w:rsid w:val="27E54C51"/>
    <w:rsid w:val="27EE8D86"/>
    <w:rsid w:val="27EF69B5"/>
    <w:rsid w:val="27F1E9A0"/>
    <w:rsid w:val="2801D818"/>
    <w:rsid w:val="28073A97"/>
    <w:rsid w:val="28145CDC"/>
    <w:rsid w:val="2818B939"/>
    <w:rsid w:val="281B54DA"/>
    <w:rsid w:val="282088C1"/>
    <w:rsid w:val="2822BB73"/>
    <w:rsid w:val="282C96C6"/>
    <w:rsid w:val="282E6EA9"/>
    <w:rsid w:val="2838B98C"/>
    <w:rsid w:val="28393747"/>
    <w:rsid w:val="2844BB50"/>
    <w:rsid w:val="2855BF22"/>
    <w:rsid w:val="2856EA76"/>
    <w:rsid w:val="28570B1A"/>
    <w:rsid w:val="285CC687"/>
    <w:rsid w:val="2862A07A"/>
    <w:rsid w:val="286751BC"/>
    <w:rsid w:val="28678ECC"/>
    <w:rsid w:val="2869EC35"/>
    <w:rsid w:val="286A78F5"/>
    <w:rsid w:val="286B9693"/>
    <w:rsid w:val="2874377A"/>
    <w:rsid w:val="2874E9BB"/>
    <w:rsid w:val="2879DEEA"/>
    <w:rsid w:val="287D2FA5"/>
    <w:rsid w:val="288CF365"/>
    <w:rsid w:val="289F6F05"/>
    <w:rsid w:val="28A5D136"/>
    <w:rsid w:val="28AB6349"/>
    <w:rsid w:val="28AFA548"/>
    <w:rsid w:val="28B206F6"/>
    <w:rsid w:val="28BDC7DC"/>
    <w:rsid w:val="28C2DEED"/>
    <w:rsid w:val="28DF61D8"/>
    <w:rsid w:val="28DF9FA4"/>
    <w:rsid w:val="28ECD89C"/>
    <w:rsid w:val="28F498DD"/>
    <w:rsid w:val="28F9136C"/>
    <w:rsid w:val="2918419C"/>
    <w:rsid w:val="29375BD5"/>
    <w:rsid w:val="2939B769"/>
    <w:rsid w:val="29400867"/>
    <w:rsid w:val="2945207C"/>
    <w:rsid w:val="2948F167"/>
    <w:rsid w:val="294E93B5"/>
    <w:rsid w:val="2952792F"/>
    <w:rsid w:val="2953B7FB"/>
    <w:rsid w:val="29559393"/>
    <w:rsid w:val="296E41EB"/>
    <w:rsid w:val="297AD590"/>
    <w:rsid w:val="2983E230"/>
    <w:rsid w:val="299626DD"/>
    <w:rsid w:val="299E4EB1"/>
    <w:rsid w:val="29AB564F"/>
    <w:rsid w:val="29B06B5A"/>
    <w:rsid w:val="29C0881F"/>
    <w:rsid w:val="29C16A3F"/>
    <w:rsid w:val="29C61506"/>
    <w:rsid w:val="29CB8CFF"/>
    <w:rsid w:val="29CD476D"/>
    <w:rsid w:val="29CDE83E"/>
    <w:rsid w:val="29D1180B"/>
    <w:rsid w:val="29D4AA1D"/>
    <w:rsid w:val="29DD865D"/>
    <w:rsid w:val="29DDA529"/>
    <w:rsid w:val="29E499D1"/>
    <w:rsid w:val="29E8004B"/>
    <w:rsid w:val="29E92604"/>
    <w:rsid w:val="29FB27AA"/>
    <w:rsid w:val="2A032700"/>
    <w:rsid w:val="2A0AEB3F"/>
    <w:rsid w:val="2A0D02C7"/>
    <w:rsid w:val="2A0FEC86"/>
    <w:rsid w:val="2A1BE5BA"/>
    <w:rsid w:val="2A210644"/>
    <w:rsid w:val="2A26AEA8"/>
    <w:rsid w:val="2A2E23B1"/>
    <w:rsid w:val="2A341126"/>
    <w:rsid w:val="2A34AA29"/>
    <w:rsid w:val="2A388F87"/>
    <w:rsid w:val="2A4263CE"/>
    <w:rsid w:val="2A44E41E"/>
    <w:rsid w:val="2A463BE0"/>
    <w:rsid w:val="2A4BF25F"/>
    <w:rsid w:val="2A4C306E"/>
    <w:rsid w:val="2A5E4BCD"/>
    <w:rsid w:val="2A680C4E"/>
    <w:rsid w:val="2A7CE00D"/>
    <w:rsid w:val="2A8368DF"/>
    <w:rsid w:val="2A86C2C6"/>
    <w:rsid w:val="2A8AD032"/>
    <w:rsid w:val="2A96A5F6"/>
    <w:rsid w:val="2A9BE23F"/>
    <w:rsid w:val="2AA555CE"/>
    <w:rsid w:val="2AA856F8"/>
    <w:rsid w:val="2AABE8D8"/>
    <w:rsid w:val="2AAD0A1B"/>
    <w:rsid w:val="2AB069AE"/>
    <w:rsid w:val="2AB30F13"/>
    <w:rsid w:val="2AB696AB"/>
    <w:rsid w:val="2AB76A3D"/>
    <w:rsid w:val="2AC1FDCE"/>
    <w:rsid w:val="2AD29D62"/>
    <w:rsid w:val="2ADA189B"/>
    <w:rsid w:val="2AEF6B5C"/>
    <w:rsid w:val="2AF70871"/>
    <w:rsid w:val="2B0A35FB"/>
    <w:rsid w:val="2B0CFAA5"/>
    <w:rsid w:val="2B191F7F"/>
    <w:rsid w:val="2B2060FD"/>
    <w:rsid w:val="2B2AEF0E"/>
    <w:rsid w:val="2B2B5F3F"/>
    <w:rsid w:val="2B2B6F65"/>
    <w:rsid w:val="2B33314A"/>
    <w:rsid w:val="2B33F539"/>
    <w:rsid w:val="2B35C7DF"/>
    <w:rsid w:val="2B6463CD"/>
    <w:rsid w:val="2B69C7BD"/>
    <w:rsid w:val="2B7E7D00"/>
    <w:rsid w:val="2B80460A"/>
    <w:rsid w:val="2B925B50"/>
    <w:rsid w:val="2B9EC2DB"/>
    <w:rsid w:val="2BB6351B"/>
    <w:rsid w:val="2BB7571B"/>
    <w:rsid w:val="2BBD0D75"/>
    <w:rsid w:val="2BC17B34"/>
    <w:rsid w:val="2BD6435B"/>
    <w:rsid w:val="2BD64D0F"/>
    <w:rsid w:val="2BD8B825"/>
    <w:rsid w:val="2BD9AA84"/>
    <w:rsid w:val="2BE65669"/>
    <w:rsid w:val="2BE930A2"/>
    <w:rsid w:val="2BF60FAA"/>
    <w:rsid w:val="2BF7A598"/>
    <w:rsid w:val="2BFD5532"/>
    <w:rsid w:val="2C01F7CC"/>
    <w:rsid w:val="2C03F896"/>
    <w:rsid w:val="2C0A53E1"/>
    <w:rsid w:val="2C0F88DF"/>
    <w:rsid w:val="2C1B4099"/>
    <w:rsid w:val="2C288F00"/>
    <w:rsid w:val="2C2C1742"/>
    <w:rsid w:val="2C2D15A0"/>
    <w:rsid w:val="2C37890A"/>
    <w:rsid w:val="2C380988"/>
    <w:rsid w:val="2C3C72E4"/>
    <w:rsid w:val="2C4208AF"/>
    <w:rsid w:val="2C580372"/>
    <w:rsid w:val="2C686277"/>
    <w:rsid w:val="2C6896A0"/>
    <w:rsid w:val="2C70F364"/>
    <w:rsid w:val="2C71B8B3"/>
    <w:rsid w:val="2C76274D"/>
    <w:rsid w:val="2C793804"/>
    <w:rsid w:val="2C7A57DB"/>
    <w:rsid w:val="2C841E84"/>
    <w:rsid w:val="2C87B333"/>
    <w:rsid w:val="2C8C2D65"/>
    <w:rsid w:val="2C90DC63"/>
    <w:rsid w:val="2C92ECA4"/>
    <w:rsid w:val="2C9986C9"/>
    <w:rsid w:val="2C9CE9C5"/>
    <w:rsid w:val="2CA28D5E"/>
    <w:rsid w:val="2CAC6595"/>
    <w:rsid w:val="2CB17986"/>
    <w:rsid w:val="2CB3FD5E"/>
    <w:rsid w:val="2CBBA1A4"/>
    <w:rsid w:val="2CBD3D20"/>
    <w:rsid w:val="2CCABB10"/>
    <w:rsid w:val="2CCCBD5B"/>
    <w:rsid w:val="2CD5D286"/>
    <w:rsid w:val="2CD7FCD2"/>
    <w:rsid w:val="2CE5E42D"/>
    <w:rsid w:val="2CF9E689"/>
    <w:rsid w:val="2D1B72F2"/>
    <w:rsid w:val="2D2264C3"/>
    <w:rsid w:val="2D2F31C3"/>
    <w:rsid w:val="2D375E47"/>
    <w:rsid w:val="2D426903"/>
    <w:rsid w:val="2D43436D"/>
    <w:rsid w:val="2D57DCD6"/>
    <w:rsid w:val="2D64388C"/>
    <w:rsid w:val="2D645653"/>
    <w:rsid w:val="2D68D00F"/>
    <w:rsid w:val="2D6F58D8"/>
    <w:rsid w:val="2D8C25CD"/>
    <w:rsid w:val="2D905CC9"/>
    <w:rsid w:val="2D9AB7DD"/>
    <w:rsid w:val="2D9B0E47"/>
    <w:rsid w:val="2DA18F9B"/>
    <w:rsid w:val="2DA7CFDA"/>
    <w:rsid w:val="2DA8F14C"/>
    <w:rsid w:val="2DABA56A"/>
    <w:rsid w:val="2DB98B60"/>
    <w:rsid w:val="2DB9901B"/>
    <w:rsid w:val="2DBDABAF"/>
    <w:rsid w:val="2DC7AC2F"/>
    <w:rsid w:val="2DCE9546"/>
    <w:rsid w:val="2DD13CEB"/>
    <w:rsid w:val="2DD27464"/>
    <w:rsid w:val="2DD36379"/>
    <w:rsid w:val="2DD4CFCC"/>
    <w:rsid w:val="2DD8B12C"/>
    <w:rsid w:val="2DE25E44"/>
    <w:rsid w:val="2DEB7105"/>
    <w:rsid w:val="2DF9ABF4"/>
    <w:rsid w:val="2E028B23"/>
    <w:rsid w:val="2E02F284"/>
    <w:rsid w:val="2E1E3475"/>
    <w:rsid w:val="2E1EABF1"/>
    <w:rsid w:val="2E2AA846"/>
    <w:rsid w:val="2E358094"/>
    <w:rsid w:val="2E3FCF0B"/>
    <w:rsid w:val="2E42B07B"/>
    <w:rsid w:val="2E48E28A"/>
    <w:rsid w:val="2E5BC8E3"/>
    <w:rsid w:val="2E5D5EA5"/>
    <w:rsid w:val="2E5DF9D1"/>
    <w:rsid w:val="2E707478"/>
    <w:rsid w:val="2E759CD8"/>
    <w:rsid w:val="2E89D395"/>
    <w:rsid w:val="2E8A5911"/>
    <w:rsid w:val="2E8E5187"/>
    <w:rsid w:val="2E8ED789"/>
    <w:rsid w:val="2E917362"/>
    <w:rsid w:val="2E93BA01"/>
    <w:rsid w:val="2E94E42F"/>
    <w:rsid w:val="2E96073C"/>
    <w:rsid w:val="2E988F9D"/>
    <w:rsid w:val="2EA1F8FA"/>
    <w:rsid w:val="2EA30AC2"/>
    <w:rsid w:val="2EADBCC1"/>
    <w:rsid w:val="2EB9BCD3"/>
    <w:rsid w:val="2EBCC980"/>
    <w:rsid w:val="2EC13D67"/>
    <w:rsid w:val="2ED22869"/>
    <w:rsid w:val="2ED7F47A"/>
    <w:rsid w:val="2ED95371"/>
    <w:rsid w:val="2ED9890C"/>
    <w:rsid w:val="2EDBF6C9"/>
    <w:rsid w:val="2EDC018F"/>
    <w:rsid w:val="2EE92745"/>
    <w:rsid w:val="2EF14E93"/>
    <w:rsid w:val="2EF4D40A"/>
    <w:rsid w:val="2EF59B89"/>
    <w:rsid w:val="2EF68142"/>
    <w:rsid w:val="2EFD0525"/>
    <w:rsid w:val="2EFD5585"/>
    <w:rsid w:val="2F0369B0"/>
    <w:rsid w:val="2F077270"/>
    <w:rsid w:val="2F1305DD"/>
    <w:rsid w:val="2F14AA3F"/>
    <w:rsid w:val="2F1B9008"/>
    <w:rsid w:val="2F268E77"/>
    <w:rsid w:val="2F31B9FC"/>
    <w:rsid w:val="2F3CA20A"/>
    <w:rsid w:val="2F466894"/>
    <w:rsid w:val="2F50142D"/>
    <w:rsid w:val="2F5559A5"/>
    <w:rsid w:val="2F57CC2B"/>
    <w:rsid w:val="2F5887FA"/>
    <w:rsid w:val="2F62EC9A"/>
    <w:rsid w:val="2F63B763"/>
    <w:rsid w:val="2F674197"/>
    <w:rsid w:val="2F693E63"/>
    <w:rsid w:val="2F6C5C9C"/>
    <w:rsid w:val="2F77E1A1"/>
    <w:rsid w:val="2F7A3FEB"/>
    <w:rsid w:val="2F86CA62"/>
    <w:rsid w:val="2F918B73"/>
    <w:rsid w:val="2F9D5A58"/>
    <w:rsid w:val="2FA699F3"/>
    <w:rsid w:val="2FAC1883"/>
    <w:rsid w:val="2FB79C94"/>
    <w:rsid w:val="2FBA0470"/>
    <w:rsid w:val="2FBBA825"/>
    <w:rsid w:val="2FC36894"/>
    <w:rsid w:val="2FC9A8EB"/>
    <w:rsid w:val="2FCF5647"/>
    <w:rsid w:val="2FD033C9"/>
    <w:rsid w:val="2FD181D0"/>
    <w:rsid w:val="2FD620DC"/>
    <w:rsid w:val="2FD8276D"/>
    <w:rsid w:val="2FDD1DBF"/>
    <w:rsid w:val="2FDDEC45"/>
    <w:rsid w:val="2FDF3A86"/>
    <w:rsid w:val="2FED160E"/>
    <w:rsid w:val="2FED9C0A"/>
    <w:rsid w:val="2FF108A0"/>
    <w:rsid w:val="30001E46"/>
    <w:rsid w:val="3004D60C"/>
    <w:rsid w:val="30105556"/>
    <w:rsid w:val="3021D9A2"/>
    <w:rsid w:val="30242F1E"/>
    <w:rsid w:val="3027FE6D"/>
    <w:rsid w:val="3028F9CE"/>
    <w:rsid w:val="30301683"/>
    <w:rsid w:val="30518D8C"/>
    <w:rsid w:val="30525331"/>
    <w:rsid w:val="3060CD16"/>
    <w:rsid w:val="306A7EDC"/>
    <w:rsid w:val="306A882B"/>
    <w:rsid w:val="306BA194"/>
    <w:rsid w:val="306CD0E7"/>
    <w:rsid w:val="3081365A"/>
    <w:rsid w:val="308268EF"/>
    <w:rsid w:val="308C4694"/>
    <w:rsid w:val="30941CF9"/>
    <w:rsid w:val="309589EA"/>
    <w:rsid w:val="309BA6B7"/>
    <w:rsid w:val="309E6BCC"/>
    <w:rsid w:val="30A58F39"/>
    <w:rsid w:val="30B05D7B"/>
    <w:rsid w:val="30B1C12D"/>
    <w:rsid w:val="30B29E2B"/>
    <w:rsid w:val="30B4DFBD"/>
    <w:rsid w:val="30C18EAC"/>
    <w:rsid w:val="30CA072A"/>
    <w:rsid w:val="30D5025A"/>
    <w:rsid w:val="30D939FE"/>
    <w:rsid w:val="30DD3DE1"/>
    <w:rsid w:val="30DDD3C9"/>
    <w:rsid w:val="30EAA1E7"/>
    <w:rsid w:val="30EAE876"/>
    <w:rsid w:val="30EB56CF"/>
    <w:rsid w:val="3101E51B"/>
    <w:rsid w:val="3105B516"/>
    <w:rsid w:val="31064BDA"/>
    <w:rsid w:val="310787A3"/>
    <w:rsid w:val="31093368"/>
    <w:rsid w:val="310AC329"/>
    <w:rsid w:val="31124EF3"/>
    <w:rsid w:val="31136F92"/>
    <w:rsid w:val="311C72DC"/>
    <w:rsid w:val="31238674"/>
    <w:rsid w:val="31257F3E"/>
    <w:rsid w:val="312858A7"/>
    <w:rsid w:val="31287217"/>
    <w:rsid w:val="3130DD68"/>
    <w:rsid w:val="3135B588"/>
    <w:rsid w:val="313695C8"/>
    <w:rsid w:val="3145395D"/>
    <w:rsid w:val="31498A04"/>
    <w:rsid w:val="31562DCE"/>
    <w:rsid w:val="31590D8E"/>
    <w:rsid w:val="315BAC01"/>
    <w:rsid w:val="315E6DCA"/>
    <w:rsid w:val="3162BF8F"/>
    <w:rsid w:val="316598F5"/>
    <w:rsid w:val="31743190"/>
    <w:rsid w:val="317A90FD"/>
    <w:rsid w:val="317EF22D"/>
    <w:rsid w:val="3187E902"/>
    <w:rsid w:val="318D5196"/>
    <w:rsid w:val="3195626D"/>
    <w:rsid w:val="3196A0D8"/>
    <w:rsid w:val="319C2456"/>
    <w:rsid w:val="31A25578"/>
    <w:rsid w:val="31A76200"/>
    <w:rsid w:val="31B319FD"/>
    <w:rsid w:val="31B38939"/>
    <w:rsid w:val="31C150F7"/>
    <w:rsid w:val="31E455E9"/>
    <w:rsid w:val="31F8B35C"/>
    <w:rsid w:val="3203A91D"/>
    <w:rsid w:val="32051416"/>
    <w:rsid w:val="3208AC34"/>
    <w:rsid w:val="321A0AE5"/>
    <w:rsid w:val="321CB84F"/>
    <w:rsid w:val="322D48E6"/>
    <w:rsid w:val="322F3302"/>
    <w:rsid w:val="3237A3A3"/>
    <w:rsid w:val="32391854"/>
    <w:rsid w:val="3242CD31"/>
    <w:rsid w:val="324EE947"/>
    <w:rsid w:val="3252D4A7"/>
    <w:rsid w:val="32533039"/>
    <w:rsid w:val="32554917"/>
    <w:rsid w:val="32606199"/>
    <w:rsid w:val="3268C3A4"/>
    <w:rsid w:val="327281D0"/>
    <w:rsid w:val="3276CF39"/>
    <w:rsid w:val="327C0A20"/>
    <w:rsid w:val="32817C78"/>
    <w:rsid w:val="32856B9A"/>
    <w:rsid w:val="328A2F38"/>
    <w:rsid w:val="328AC915"/>
    <w:rsid w:val="328EE998"/>
    <w:rsid w:val="329AD8C6"/>
    <w:rsid w:val="32A83A0D"/>
    <w:rsid w:val="32A91CDC"/>
    <w:rsid w:val="32B01C36"/>
    <w:rsid w:val="32B3A654"/>
    <w:rsid w:val="32C4CFA5"/>
    <w:rsid w:val="32DA7081"/>
    <w:rsid w:val="32E1B1D9"/>
    <w:rsid w:val="32E5839B"/>
    <w:rsid w:val="32E93070"/>
    <w:rsid w:val="32E9AB70"/>
    <w:rsid w:val="32ECC7F7"/>
    <w:rsid w:val="32F16B49"/>
    <w:rsid w:val="32FF40B9"/>
    <w:rsid w:val="33086D68"/>
    <w:rsid w:val="3309F3FE"/>
    <w:rsid w:val="330C20A3"/>
    <w:rsid w:val="331A6895"/>
    <w:rsid w:val="33301C90"/>
    <w:rsid w:val="333AA2D5"/>
    <w:rsid w:val="333E97A8"/>
    <w:rsid w:val="33455B27"/>
    <w:rsid w:val="3356321B"/>
    <w:rsid w:val="33575734"/>
    <w:rsid w:val="336DF4C9"/>
    <w:rsid w:val="337FD8A1"/>
    <w:rsid w:val="33881440"/>
    <w:rsid w:val="3399E5D1"/>
    <w:rsid w:val="339E4DE6"/>
    <w:rsid w:val="339F488F"/>
    <w:rsid w:val="33A2200E"/>
    <w:rsid w:val="33B9C3D5"/>
    <w:rsid w:val="33C247FB"/>
    <w:rsid w:val="33C378C5"/>
    <w:rsid w:val="33C7B825"/>
    <w:rsid w:val="33CB57AE"/>
    <w:rsid w:val="33D5FA72"/>
    <w:rsid w:val="33DA144D"/>
    <w:rsid w:val="33F846E5"/>
    <w:rsid w:val="33FDEA98"/>
    <w:rsid w:val="34056CF1"/>
    <w:rsid w:val="341E2EBC"/>
    <w:rsid w:val="3420CF73"/>
    <w:rsid w:val="342FB514"/>
    <w:rsid w:val="3438D23E"/>
    <w:rsid w:val="343D3403"/>
    <w:rsid w:val="343D909D"/>
    <w:rsid w:val="343F2B2E"/>
    <w:rsid w:val="34437034"/>
    <w:rsid w:val="344F0A8B"/>
    <w:rsid w:val="3456D67A"/>
    <w:rsid w:val="3468AEB0"/>
    <w:rsid w:val="3472E4DA"/>
    <w:rsid w:val="347979C1"/>
    <w:rsid w:val="3480D4FC"/>
    <w:rsid w:val="3484F496"/>
    <w:rsid w:val="348B439D"/>
    <w:rsid w:val="348CDAF3"/>
    <w:rsid w:val="34988AE2"/>
    <w:rsid w:val="349912FE"/>
    <w:rsid w:val="34A43CFC"/>
    <w:rsid w:val="34B31ECA"/>
    <w:rsid w:val="34B70C86"/>
    <w:rsid w:val="34C1748E"/>
    <w:rsid w:val="34C2CE4B"/>
    <w:rsid w:val="34D1598B"/>
    <w:rsid w:val="34D4DC60"/>
    <w:rsid w:val="34D8B844"/>
    <w:rsid w:val="34D9924B"/>
    <w:rsid w:val="34DBED7A"/>
    <w:rsid w:val="34F4F621"/>
    <w:rsid w:val="34F6D6E9"/>
    <w:rsid w:val="34FD0B8E"/>
    <w:rsid w:val="3501A3DD"/>
    <w:rsid w:val="35125285"/>
    <w:rsid w:val="3524117F"/>
    <w:rsid w:val="353247E9"/>
    <w:rsid w:val="3542A3AF"/>
    <w:rsid w:val="354E5681"/>
    <w:rsid w:val="3551A2AE"/>
    <w:rsid w:val="355A3627"/>
    <w:rsid w:val="35683832"/>
    <w:rsid w:val="356A2314"/>
    <w:rsid w:val="356A5878"/>
    <w:rsid w:val="357A3902"/>
    <w:rsid w:val="357B3FCA"/>
    <w:rsid w:val="35805612"/>
    <w:rsid w:val="3587CDC4"/>
    <w:rsid w:val="358F5739"/>
    <w:rsid w:val="358F7A33"/>
    <w:rsid w:val="35A067AF"/>
    <w:rsid w:val="35A51677"/>
    <w:rsid w:val="35AB8C88"/>
    <w:rsid w:val="35ADDE24"/>
    <w:rsid w:val="35AE6D34"/>
    <w:rsid w:val="35B11633"/>
    <w:rsid w:val="35B184C4"/>
    <w:rsid w:val="35B616DC"/>
    <w:rsid w:val="35B698AD"/>
    <w:rsid w:val="35C2445A"/>
    <w:rsid w:val="35C46C7F"/>
    <w:rsid w:val="35C6C8EB"/>
    <w:rsid w:val="35CB2898"/>
    <w:rsid w:val="35CFF40D"/>
    <w:rsid w:val="35D316F9"/>
    <w:rsid w:val="35D3601A"/>
    <w:rsid w:val="35D44D50"/>
    <w:rsid w:val="35E06453"/>
    <w:rsid w:val="35E1624F"/>
    <w:rsid w:val="35E73889"/>
    <w:rsid w:val="35E8149C"/>
    <w:rsid w:val="35EC656B"/>
    <w:rsid w:val="35F83DD3"/>
    <w:rsid w:val="35FE4F10"/>
    <w:rsid w:val="360A1B5A"/>
    <w:rsid w:val="360EAB27"/>
    <w:rsid w:val="36118027"/>
    <w:rsid w:val="361A066D"/>
    <w:rsid w:val="3628E7DB"/>
    <w:rsid w:val="362ABC5E"/>
    <w:rsid w:val="362B1363"/>
    <w:rsid w:val="363150C3"/>
    <w:rsid w:val="3641FC78"/>
    <w:rsid w:val="36483DC1"/>
    <w:rsid w:val="3648A8EE"/>
    <w:rsid w:val="3664FF54"/>
    <w:rsid w:val="3669C2B2"/>
    <w:rsid w:val="3671678B"/>
    <w:rsid w:val="36751946"/>
    <w:rsid w:val="367B3137"/>
    <w:rsid w:val="36814839"/>
    <w:rsid w:val="3684BF19"/>
    <w:rsid w:val="368C5325"/>
    <w:rsid w:val="3692487A"/>
    <w:rsid w:val="36A122C9"/>
    <w:rsid w:val="36A2A0DA"/>
    <w:rsid w:val="36A3DAFE"/>
    <w:rsid w:val="36A4EA03"/>
    <w:rsid w:val="36A716FF"/>
    <w:rsid w:val="36A7C420"/>
    <w:rsid w:val="36ADC4D3"/>
    <w:rsid w:val="36B22288"/>
    <w:rsid w:val="36DD3CB6"/>
    <w:rsid w:val="36E2264E"/>
    <w:rsid w:val="36E36928"/>
    <w:rsid w:val="36E9D655"/>
    <w:rsid w:val="36EB9E0D"/>
    <w:rsid w:val="36FCDF03"/>
    <w:rsid w:val="37017CDF"/>
    <w:rsid w:val="3706994C"/>
    <w:rsid w:val="37096A93"/>
    <w:rsid w:val="370A2A65"/>
    <w:rsid w:val="370A567A"/>
    <w:rsid w:val="370E3585"/>
    <w:rsid w:val="3723D711"/>
    <w:rsid w:val="3724E3C0"/>
    <w:rsid w:val="3725AEC2"/>
    <w:rsid w:val="372AD00F"/>
    <w:rsid w:val="372E5B64"/>
    <w:rsid w:val="3732B115"/>
    <w:rsid w:val="37354A81"/>
    <w:rsid w:val="373C9E7D"/>
    <w:rsid w:val="37456786"/>
    <w:rsid w:val="3745B6EC"/>
    <w:rsid w:val="374DB0F4"/>
    <w:rsid w:val="37534A7C"/>
    <w:rsid w:val="375920F6"/>
    <w:rsid w:val="375E06B5"/>
    <w:rsid w:val="3761D2B7"/>
    <w:rsid w:val="3766C685"/>
    <w:rsid w:val="376D4469"/>
    <w:rsid w:val="3772CA64"/>
    <w:rsid w:val="377843D4"/>
    <w:rsid w:val="3779541C"/>
    <w:rsid w:val="37801C24"/>
    <w:rsid w:val="3781EEA4"/>
    <w:rsid w:val="378A4858"/>
    <w:rsid w:val="3792D179"/>
    <w:rsid w:val="37933F72"/>
    <w:rsid w:val="379B468D"/>
    <w:rsid w:val="379C0F53"/>
    <w:rsid w:val="37A04102"/>
    <w:rsid w:val="37A64A62"/>
    <w:rsid w:val="37A7F895"/>
    <w:rsid w:val="37A9C2B7"/>
    <w:rsid w:val="37B447C2"/>
    <w:rsid w:val="37C1259D"/>
    <w:rsid w:val="37C60C83"/>
    <w:rsid w:val="37C691A7"/>
    <w:rsid w:val="37C7FA9A"/>
    <w:rsid w:val="37C98A40"/>
    <w:rsid w:val="37CB71B7"/>
    <w:rsid w:val="37D87F53"/>
    <w:rsid w:val="37DBF114"/>
    <w:rsid w:val="37DEBC44"/>
    <w:rsid w:val="37DF1517"/>
    <w:rsid w:val="37E58B1A"/>
    <w:rsid w:val="37EB71FB"/>
    <w:rsid w:val="37EDC5A3"/>
    <w:rsid w:val="37EE17FD"/>
    <w:rsid w:val="37FF3D8C"/>
    <w:rsid w:val="3800F3F6"/>
    <w:rsid w:val="3806D1C7"/>
    <w:rsid w:val="3809F3A7"/>
    <w:rsid w:val="38128ADF"/>
    <w:rsid w:val="3814CBA5"/>
    <w:rsid w:val="3819D1D5"/>
    <w:rsid w:val="381BB95E"/>
    <w:rsid w:val="381E8049"/>
    <w:rsid w:val="382C3C80"/>
    <w:rsid w:val="383057A9"/>
    <w:rsid w:val="38336F1B"/>
    <w:rsid w:val="3833C169"/>
    <w:rsid w:val="383DA965"/>
    <w:rsid w:val="3844A512"/>
    <w:rsid w:val="384633E0"/>
    <w:rsid w:val="38516700"/>
    <w:rsid w:val="3851BAC8"/>
    <w:rsid w:val="386CA15C"/>
    <w:rsid w:val="386E3705"/>
    <w:rsid w:val="38706F4D"/>
    <w:rsid w:val="38740946"/>
    <w:rsid w:val="387920F7"/>
    <w:rsid w:val="387B5F8B"/>
    <w:rsid w:val="387C711F"/>
    <w:rsid w:val="387F49B8"/>
    <w:rsid w:val="3881F18C"/>
    <w:rsid w:val="388B3F87"/>
    <w:rsid w:val="3892739E"/>
    <w:rsid w:val="38932718"/>
    <w:rsid w:val="38933A18"/>
    <w:rsid w:val="389599EA"/>
    <w:rsid w:val="3896CC52"/>
    <w:rsid w:val="38A770F8"/>
    <w:rsid w:val="38A7ED4C"/>
    <w:rsid w:val="38AA5040"/>
    <w:rsid w:val="38B344F0"/>
    <w:rsid w:val="38B77FEF"/>
    <w:rsid w:val="38CA1251"/>
    <w:rsid w:val="38CBD637"/>
    <w:rsid w:val="38CC55E8"/>
    <w:rsid w:val="38D7F70F"/>
    <w:rsid w:val="38DABD17"/>
    <w:rsid w:val="38E154EA"/>
    <w:rsid w:val="38E165C3"/>
    <w:rsid w:val="38EB8071"/>
    <w:rsid w:val="38F28AD8"/>
    <w:rsid w:val="38F58EFC"/>
    <w:rsid w:val="38F8248A"/>
    <w:rsid w:val="38FC41D7"/>
    <w:rsid w:val="38FE69E6"/>
    <w:rsid w:val="38FEC88B"/>
    <w:rsid w:val="390B0A0B"/>
    <w:rsid w:val="3910E0F1"/>
    <w:rsid w:val="39120D4E"/>
    <w:rsid w:val="391CB101"/>
    <w:rsid w:val="3928B219"/>
    <w:rsid w:val="393546D2"/>
    <w:rsid w:val="3945E40B"/>
    <w:rsid w:val="394BD7C1"/>
    <w:rsid w:val="394F4C4A"/>
    <w:rsid w:val="395449AB"/>
    <w:rsid w:val="39767F3D"/>
    <w:rsid w:val="39793C6B"/>
    <w:rsid w:val="39858216"/>
    <w:rsid w:val="398656CE"/>
    <w:rsid w:val="398708D6"/>
    <w:rsid w:val="3987A95E"/>
    <w:rsid w:val="39891FE1"/>
    <w:rsid w:val="398D209F"/>
    <w:rsid w:val="398E21D2"/>
    <w:rsid w:val="3990FD3E"/>
    <w:rsid w:val="399A3A7A"/>
    <w:rsid w:val="399C11B4"/>
    <w:rsid w:val="39A42C28"/>
    <w:rsid w:val="39B232FC"/>
    <w:rsid w:val="39C1F4AE"/>
    <w:rsid w:val="39C1F98F"/>
    <w:rsid w:val="39CA1B11"/>
    <w:rsid w:val="39CF9016"/>
    <w:rsid w:val="39D59BD2"/>
    <w:rsid w:val="39D5E656"/>
    <w:rsid w:val="39DA9E84"/>
    <w:rsid w:val="39E0A45B"/>
    <w:rsid w:val="39E723E5"/>
    <w:rsid w:val="39EF17A6"/>
    <w:rsid w:val="39F53A3E"/>
    <w:rsid w:val="39FC6534"/>
    <w:rsid w:val="39FE3F65"/>
    <w:rsid w:val="3A02E98C"/>
    <w:rsid w:val="3A05518F"/>
    <w:rsid w:val="3A0DAA0E"/>
    <w:rsid w:val="3A24B9A3"/>
    <w:rsid w:val="3A3CB19C"/>
    <w:rsid w:val="3A451E35"/>
    <w:rsid w:val="3A474B0F"/>
    <w:rsid w:val="3A52C1C4"/>
    <w:rsid w:val="3A54358B"/>
    <w:rsid w:val="3A5726A6"/>
    <w:rsid w:val="3A5787DC"/>
    <w:rsid w:val="3A65A7F8"/>
    <w:rsid w:val="3A65D164"/>
    <w:rsid w:val="3A72748A"/>
    <w:rsid w:val="3A759052"/>
    <w:rsid w:val="3A86CE05"/>
    <w:rsid w:val="3A8BB50D"/>
    <w:rsid w:val="3A8CE98B"/>
    <w:rsid w:val="3A8DD79A"/>
    <w:rsid w:val="3A901E56"/>
    <w:rsid w:val="3A91D3F9"/>
    <w:rsid w:val="3AA33BE0"/>
    <w:rsid w:val="3AB597E8"/>
    <w:rsid w:val="3ACDDD2A"/>
    <w:rsid w:val="3ACF93A7"/>
    <w:rsid w:val="3AD352E3"/>
    <w:rsid w:val="3AD41228"/>
    <w:rsid w:val="3ADB8218"/>
    <w:rsid w:val="3AEA5193"/>
    <w:rsid w:val="3AF31A5E"/>
    <w:rsid w:val="3B02BDD9"/>
    <w:rsid w:val="3B070291"/>
    <w:rsid w:val="3B09525E"/>
    <w:rsid w:val="3B0A8D7A"/>
    <w:rsid w:val="3B1ABCC4"/>
    <w:rsid w:val="3B285FC3"/>
    <w:rsid w:val="3B414BE3"/>
    <w:rsid w:val="3B4788DC"/>
    <w:rsid w:val="3B485BE0"/>
    <w:rsid w:val="3B4D7BAB"/>
    <w:rsid w:val="3B4E0164"/>
    <w:rsid w:val="3B536B09"/>
    <w:rsid w:val="3B55EEB0"/>
    <w:rsid w:val="3B564676"/>
    <w:rsid w:val="3B56DB77"/>
    <w:rsid w:val="3B610AFB"/>
    <w:rsid w:val="3B6C4538"/>
    <w:rsid w:val="3B6D616D"/>
    <w:rsid w:val="3B7BC16F"/>
    <w:rsid w:val="3B8F0BB6"/>
    <w:rsid w:val="3B90E85D"/>
    <w:rsid w:val="3BA7228F"/>
    <w:rsid w:val="3BB65DCE"/>
    <w:rsid w:val="3BBD5A7E"/>
    <w:rsid w:val="3BBE1842"/>
    <w:rsid w:val="3BC1288E"/>
    <w:rsid w:val="3BC62067"/>
    <w:rsid w:val="3BC96F72"/>
    <w:rsid w:val="3BCB4E34"/>
    <w:rsid w:val="3BCCD008"/>
    <w:rsid w:val="3BD003C0"/>
    <w:rsid w:val="3BD9F5C4"/>
    <w:rsid w:val="3BDAA421"/>
    <w:rsid w:val="3BDBDBD3"/>
    <w:rsid w:val="3BDDC582"/>
    <w:rsid w:val="3BDE0A16"/>
    <w:rsid w:val="3BE14E8F"/>
    <w:rsid w:val="3BE5EF15"/>
    <w:rsid w:val="3BF0DBAC"/>
    <w:rsid w:val="3BF1233F"/>
    <w:rsid w:val="3BFE81A5"/>
    <w:rsid w:val="3BFF174A"/>
    <w:rsid w:val="3BFFA091"/>
    <w:rsid w:val="3C01802A"/>
    <w:rsid w:val="3C1CD8D8"/>
    <w:rsid w:val="3C28299F"/>
    <w:rsid w:val="3C2A1330"/>
    <w:rsid w:val="3C31BA87"/>
    <w:rsid w:val="3C32CA8E"/>
    <w:rsid w:val="3C347E87"/>
    <w:rsid w:val="3C3A406B"/>
    <w:rsid w:val="3C4E37A8"/>
    <w:rsid w:val="3C546531"/>
    <w:rsid w:val="3C5BE34C"/>
    <w:rsid w:val="3C62392B"/>
    <w:rsid w:val="3C62A904"/>
    <w:rsid w:val="3C762A5B"/>
    <w:rsid w:val="3C77C3D0"/>
    <w:rsid w:val="3C7BADBF"/>
    <w:rsid w:val="3C7C69D4"/>
    <w:rsid w:val="3C86D8A9"/>
    <w:rsid w:val="3C88F9D7"/>
    <w:rsid w:val="3C9AECF8"/>
    <w:rsid w:val="3C9C97FD"/>
    <w:rsid w:val="3CA6E6E5"/>
    <w:rsid w:val="3CA9398C"/>
    <w:rsid w:val="3CB6C840"/>
    <w:rsid w:val="3CBB1DE8"/>
    <w:rsid w:val="3CBCBE25"/>
    <w:rsid w:val="3CC5C997"/>
    <w:rsid w:val="3CCA96F1"/>
    <w:rsid w:val="3CCF3493"/>
    <w:rsid w:val="3CD0C192"/>
    <w:rsid w:val="3CD0D219"/>
    <w:rsid w:val="3CD5E71E"/>
    <w:rsid w:val="3CDAF046"/>
    <w:rsid w:val="3CDD7414"/>
    <w:rsid w:val="3CE3FE55"/>
    <w:rsid w:val="3CE5ECC7"/>
    <w:rsid w:val="3CE682C3"/>
    <w:rsid w:val="3CECC911"/>
    <w:rsid w:val="3CF290C8"/>
    <w:rsid w:val="3CF35E48"/>
    <w:rsid w:val="3CFEC661"/>
    <w:rsid w:val="3D0256FD"/>
    <w:rsid w:val="3D071719"/>
    <w:rsid w:val="3D1BBE14"/>
    <w:rsid w:val="3D1E04D0"/>
    <w:rsid w:val="3D29162E"/>
    <w:rsid w:val="3D2980BE"/>
    <w:rsid w:val="3D2B4CAC"/>
    <w:rsid w:val="3D2C16A2"/>
    <w:rsid w:val="3D348A86"/>
    <w:rsid w:val="3D378CF3"/>
    <w:rsid w:val="3D3AF599"/>
    <w:rsid w:val="3D3B502E"/>
    <w:rsid w:val="3D3EE612"/>
    <w:rsid w:val="3D416775"/>
    <w:rsid w:val="3D433AA9"/>
    <w:rsid w:val="3D4DC476"/>
    <w:rsid w:val="3D4F683F"/>
    <w:rsid w:val="3D50C665"/>
    <w:rsid w:val="3D523392"/>
    <w:rsid w:val="3D54A49B"/>
    <w:rsid w:val="3D5B14D3"/>
    <w:rsid w:val="3D65CF51"/>
    <w:rsid w:val="3D6B0C12"/>
    <w:rsid w:val="3D73D542"/>
    <w:rsid w:val="3D7C2DFB"/>
    <w:rsid w:val="3D7CBE8C"/>
    <w:rsid w:val="3D805D0A"/>
    <w:rsid w:val="3D848C00"/>
    <w:rsid w:val="3D9BA6A4"/>
    <w:rsid w:val="3DA31793"/>
    <w:rsid w:val="3DB160A3"/>
    <w:rsid w:val="3DBBA065"/>
    <w:rsid w:val="3DBF492B"/>
    <w:rsid w:val="3DC19B1C"/>
    <w:rsid w:val="3DC19C40"/>
    <w:rsid w:val="3DCDB0BD"/>
    <w:rsid w:val="3DCECE3E"/>
    <w:rsid w:val="3DD77A9A"/>
    <w:rsid w:val="3DE5E015"/>
    <w:rsid w:val="3DEA659C"/>
    <w:rsid w:val="3DEFC21A"/>
    <w:rsid w:val="3DF8F24E"/>
    <w:rsid w:val="3E0B8495"/>
    <w:rsid w:val="3E0DDC00"/>
    <w:rsid w:val="3E294447"/>
    <w:rsid w:val="3E49951E"/>
    <w:rsid w:val="3E5B7D67"/>
    <w:rsid w:val="3E5C6AD1"/>
    <w:rsid w:val="3E65C0D9"/>
    <w:rsid w:val="3E668DF8"/>
    <w:rsid w:val="3E6A65D2"/>
    <w:rsid w:val="3E6EBA3E"/>
    <w:rsid w:val="3E80A39E"/>
    <w:rsid w:val="3E828ACD"/>
    <w:rsid w:val="3E858C27"/>
    <w:rsid w:val="3E8BC4B6"/>
    <w:rsid w:val="3EADA12F"/>
    <w:rsid w:val="3EBD129A"/>
    <w:rsid w:val="3EC009A2"/>
    <w:rsid w:val="3EDA2117"/>
    <w:rsid w:val="3EDE36A0"/>
    <w:rsid w:val="3EE35036"/>
    <w:rsid w:val="3EECB497"/>
    <w:rsid w:val="3EED7799"/>
    <w:rsid w:val="3EF38266"/>
    <w:rsid w:val="3EF7F359"/>
    <w:rsid w:val="3EF9A1CB"/>
    <w:rsid w:val="3F092D2B"/>
    <w:rsid w:val="3F14618E"/>
    <w:rsid w:val="3F273FB7"/>
    <w:rsid w:val="3F4990AD"/>
    <w:rsid w:val="3F588E2B"/>
    <w:rsid w:val="3F58D0E4"/>
    <w:rsid w:val="3F5FDFBE"/>
    <w:rsid w:val="3F60587B"/>
    <w:rsid w:val="3F6127BB"/>
    <w:rsid w:val="3F67D875"/>
    <w:rsid w:val="3F6817E9"/>
    <w:rsid w:val="3F6A81FF"/>
    <w:rsid w:val="3F6E964D"/>
    <w:rsid w:val="3F7FC910"/>
    <w:rsid w:val="3F8A0D8C"/>
    <w:rsid w:val="3F8EEEEC"/>
    <w:rsid w:val="3F932F44"/>
    <w:rsid w:val="3F9D1595"/>
    <w:rsid w:val="3FA711D7"/>
    <w:rsid w:val="3FA76BD6"/>
    <w:rsid w:val="3FAB2539"/>
    <w:rsid w:val="3FABB42F"/>
    <w:rsid w:val="3FB67BA6"/>
    <w:rsid w:val="3FC52D45"/>
    <w:rsid w:val="3FC81759"/>
    <w:rsid w:val="3FD569D5"/>
    <w:rsid w:val="3FE09FB7"/>
    <w:rsid w:val="3FE13E03"/>
    <w:rsid w:val="3FE2BC44"/>
    <w:rsid w:val="3FE751B0"/>
    <w:rsid w:val="3FE8C378"/>
    <w:rsid w:val="3FF2A3BC"/>
    <w:rsid w:val="3FF4A03B"/>
    <w:rsid w:val="40029091"/>
    <w:rsid w:val="4004C559"/>
    <w:rsid w:val="4006E77E"/>
    <w:rsid w:val="400B5DC7"/>
    <w:rsid w:val="400E621D"/>
    <w:rsid w:val="401A0F16"/>
    <w:rsid w:val="401CDE7D"/>
    <w:rsid w:val="402CFA0A"/>
    <w:rsid w:val="403C1DB3"/>
    <w:rsid w:val="403E4DA3"/>
    <w:rsid w:val="4049433F"/>
    <w:rsid w:val="40577CBF"/>
    <w:rsid w:val="4057AEBD"/>
    <w:rsid w:val="405BA937"/>
    <w:rsid w:val="40614469"/>
    <w:rsid w:val="40636674"/>
    <w:rsid w:val="406BF8D6"/>
    <w:rsid w:val="40796776"/>
    <w:rsid w:val="408AFA8F"/>
    <w:rsid w:val="408E0B4C"/>
    <w:rsid w:val="409C25DE"/>
    <w:rsid w:val="40A5F76A"/>
    <w:rsid w:val="40A6A3A2"/>
    <w:rsid w:val="40A9EC93"/>
    <w:rsid w:val="40B755DC"/>
    <w:rsid w:val="40BBC544"/>
    <w:rsid w:val="40BD7398"/>
    <w:rsid w:val="40BDEFDB"/>
    <w:rsid w:val="40BF0A3D"/>
    <w:rsid w:val="40CA3468"/>
    <w:rsid w:val="40CB9B74"/>
    <w:rsid w:val="40CD293A"/>
    <w:rsid w:val="40CDE311"/>
    <w:rsid w:val="40D1C7C6"/>
    <w:rsid w:val="40E37EDE"/>
    <w:rsid w:val="40EF01EF"/>
    <w:rsid w:val="40FB2AC2"/>
    <w:rsid w:val="4104CDDD"/>
    <w:rsid w:val="41059556"/>
    <w:rsid w:val="410BA496"/>
    <w:rsid w:val="410CCFA9"/>
    <w:rsid w:val="41141F68"/>
    <w:rsid w:val="4114A940"/>
    <w:rsid w:val="4120E753"/>
    <w:rsid w:val="4129889F"/>
    <w:rsid w:val="412C1EEF"/>
    <w:rsid w:val="412D0CC7"/>
    <w:rsid w:val="414637DD"/>
    <w:rsid w:val="41479C0B"/>
    <w:rsid w:val="41492729"/>
    <w:rsid w:val="414AC6DD"/>
    <w:rsid w:val="414CD2B0"/>
    <w:rsid w:val="415049A0"/>
    <w:rsid w:val="4157F2B1"/>
    <w:rsid w:val="415B101A"/>
    <w:rsid w:val="416E9C8E"/>
    <w:rsid w:val="41756FD2"/>
    <w:rsid w:val="417B008C"/>
    <w:rsid w:val="4187D7A8"/>
    <w:rsid w:val="419CBD3D"/>
    <w:rsid w:val="41A25916"/>
    <w:rsid w:val="41A2DFA3"/>
    <w:rsid w:val="41A5F297"/>
    <w:rsid w:val="41A763FF"/>
    <w:rsid w:val="41A7E4EC"/>
    <w:rsid w:val="41BE17C3"/>
    <w:rsid w:val="41D17B5A"/>
    <w:rsid w:val="41DB74B6"/>
    <w:rsid w:val="41E0BBA1"/>
    <w:rsid w:val="41F1E26F"/>
    <w:rsid w:val="41F7AA9A"/>
    <w:rsid w:val="4201DD0C"/>
    <w:rsid w:val="42075042"/>
    <w:rsid w:val="420D7398"/>
    <w:rsid w:val="4217B103"/>
    <w:rsid w:val="421AB52F"/>
    <w:rsid w:val="421CD8A4"/>
    <w:rsid w:val="421FBDDA"/>
    <w:rsid w:val="4227B282"/>
    <w:rsid w:val="422A572D"/>
    <w:rsid w:val="422D792D"/>
    <w:rsid w:val="4233296C"/>
    <w:rsid w:val="4234616F"/>
    <w:rsid w:val="4234D633"/>
    <w:rsid w:val="42354A0C"/>
    <w:rsid w:val="423D1035"/>
    <w:rsid w:val="424A7C8F"/>
    <w:rsid w:val="424DB829"/>
    <w:rsid w:val="42529782"/>
    <w:rsid w:val="4252AB8C"/>
    <w:rsid w:val="4259F186"/>
    <w:rsid w:val="426268B9"/>
    <w:rsid w:val="42731025"/>
    <w:rsid w:val="4277E9B0"/>
    <w:rsid w:val="42941336"/>
    <w:rsid w:val="429581CB"/>
    <w:rsid w:val="429DB79D"/>
    <w:rsid w:val="42A951B6"/>
    <w:rsid w:val="42AE8E65"/>
    <w:rsid w:val="42B0274E"/>
    <w:rsid w:val="42DB6B0A"/>
    <w:rsid w:val="42DFC88E"/>
    <w:rsid w:val="42E19EB7"/>
    <w:rsid w:val="42E3B16A"/>
    <w:rsid w:val="42E9E2EA"/>
    <w:rsid w:val="4307C015"/>
    <w:rsid w:val="431051D3"/>
    <w:rsid w:val="431BEBC5"/>
    <w:rsid w:val="431D84CB"/>
    <w:rsid w:val="43286E8A"/>
    <w:rsid w:val="43389B5C"/>
    <w:rsid w:val="43413514"/>
    <w:rsid w:val="43443963"/>
    <w:rsid w:val="434C6E59"/>
    <w:rsid w:val="43540B29"/>
    <w:rsid w:val="4359BADD"/>
    <w:rsid w:val="435D67F6"/>
    <w:rsid w:val="436158A9"/>
    <w:rsid w:val="4362DF31"/>
    <w:rsid w:val="4367D2F6"/>
    <w:rsid w:val="436902C9"/>
    <w:rsid w:val="436E08D0"/>
    <w:rsid w:val="437375E0"/>
    <w:rsid w:val="437399EA"/>
    <w:rsid w:val="4373AA69"/>
    <w:rsid w:val="4377C5C5"/>
    <w:rsid w:val="4379BA0F"/>
    <w:rsid w:val="43849641"/>
    <w:rsid w:val="438CA1AC"/>
    <w:rsid w:val="439106F2"/>
    <w:rsid w:val="439BE6AF"/>
    <w:rsid w:val="43A0AD9A"/>
    <w:rsid w:val="43ACACC2"/>
    <w:rsid w:val="43B40974"/>
    <w:rsid w:val="43D62EEE"/>
    <w:rsid w:val="43DAEF99"/>
    <w:rsid w:val="43DB3944"/>
    <w:rsid w:val="43DC5A89"/>
    <w:rsid w:val="43E11E55"/>
    <w:rsid w:val="43EBAFA8"/>
    <w:rsid w:val="43FD9832"/>
    <w:rsid w:val="43FE5532"/>
    <w:rsid w:val="44044C83"/>
    <w:rsid w:val="4405C0D5"/>
    <w:rsid w:val="44071C34"/>
    <w:rsid w:val="44084210"/>
    <w:rsid w:val="440E02BA"/>
    <w:rsid w:val="440FD31E"/>
    <w:rsid w:val="44177C76"/>
    <w:rsid w:val="4418C888"/>
    <w:rsid w:val="441F36DA"/>
    <w:rsid w:val="443BA8A1"/>
    <w:rsid w:val="443DCF35"/>
    <w:rsid w:val="443F4791"/>
    <w:rsid w:val="443F7E9D"/>
    <w:rsid w:val="44426315"/>
    <w:rsid w:val="44429182"/>
    <w:rsid w:val="4445E836"/>
    <w:rsid w:val="444CF5FE"/>
    <w:rsid w:val="444CFCE1"/>
    <w:rsid w:val="4468A5C1"/>
    <w:rsid w:val="446FBC5E"/>
    <w:rsid w:val="44730D2B"/>
    <w:rsid w:val="4475EFC0"/>
    <w:rsid w:val="4479A655"/>
    <w:rsid w:val="4481ECB5"/>
    <w:rsid w:val="449D3B55"/>
    <w:rsid w:val="44A0C8D0"/>
    <w:rsid w:val="44A6AD06"/>
    <w:rsid w:val="44AAC50D"/>
    <w:rsid w:val="44AC0CC7"/>
    <w:rsid w:val="44AC2AC9"/>
    <w:rsid w:val="44AC6FD7"/>
    <w:rsid w:val="44B572BD"/>
    <w:rsid w:val="44B9C9F7"/>
    <w:rsid w:val="44C9C76E"/>
    <w:rsid w:val="44CCC7F6"/>
    <w:rsid w:val="44CF9E98"/>
    <w:rsid w:val="44D3E5EE"/>
    <w:rsid w:val="44D640A3"/>
    <w:rsid w:val="44DE0007"/>
    <w:rsid w:val="44DE62EC"/>
    <w:rsid w:val="44E61DC1"/>
    <w:rsid w:val="44EBD18F"/>
    <w:rsid w:val="44EC376D"/>
    <w:rsid w:val="44F1D97D"/>
    <w:rsid w:val="44F7144D"/>
    <w:rsid w:val="451185DB"/>
    <w:rsid w:val="4518DACE"/>
    <w:rsid w:val="451A01ED"/>
    <w:rsid w:val="451B51F8"/>
    <w:rsid w:val="4521CD8F"/>
    <w:rsid w:val="4523FC9B"/>
    <w:rsid w:val="452CB272"/>
    <w:rsid w:val="45360E7E"/>
    <w:rsid w:val="454867C9"/>
    <w:rsid w:val="454DCA18"/>
    <w:rsid w:val="45561A07"/>
    <w:rsid w:val="4557190C"/>
    <w:rsid w:val="455A15EF"/>
    <w:rsid w:val="458A7F81"/>
    <w:rsid w:val="458A8A2A"/>
    <w:rsid w:val="458F3123"/>
    <w:rsid w:val="459E0778"/>
    <w:rsid w:val="45A1FF5B"/>
    <w:rsid w:val="45A8DE45"/>
    <w:rsid w:val="45ACA956"/>
    <w:rsid w:val="45B0EC9E"/>
    <w:rsid w:val="45B7B578"/>
    <w:rsid w:val="45B9499A"/>
    <w:rsid w:val="45C7ACEC"/>
    <w:rsid w:val="45CAE150"/>
    <w:rsid w:val="45D276FF"/>
    <w:rsid w:val="45D828FE"/>
    <w:rsid w:val="45E49159"/>
    <w:rsid w:val="45E6FAD2"/>
    <w:rsid w:val="45EB692E"/>
    <w:rsid w:val="46013105"/>
    <w:rsid w:val="4605777E"/>
    <w:rsid w:val="460DED7C"/>
    <w:rsid w:val="4617D749"/>
    <w:rsid w:val="461FF588"/>
    <w:rsid w:val="4626EF71"/>
    <w:rsid w:val="46294A1B"/>
    <w:rsid w:val="462BBB23"/>
    <w:rsid w:val="462BD816"/>
    <w:rsid w:val="463299EA"/>
    <w:rsid w:val="4636F989"/>
    <w:rsid w:val="46421338"/>
    <w:rsid w:val="46454DEF"/>
    <w:rsid w:val="464F85F4"/>
    <w:rsid w:val="46533E55"/>
    <w:rsid w:val="4659F15E"/>
    <w:rsid w:val="465BAD6F"/>
    <w:rsid w:val="466289CB"/>
    <w:rsid w:val="4675BC8C"/>
    <w:rsid w:val="4677C034"/>
    <w:rsid w:val="4682B886"/>
    <w:rsid w:val="46836F5A"/>
    <w:rsid w:val="468E1EB2"/>
    <w:rsid w:val="468E7886"/>
    <w:rsid w:val="4691A121"/>
    <w:rsid w:val="4691BCE4"/>
    <w:rsid w:val="46971944"/>
    <w:rsid w:val="46A85261"/>
    <w:rsid w:val="46AC2846"/>
    <w:rsid w:val="46C3B89B"/>
    <w:rsid w:val="46CA555D"/>
    <w:rsid w:val="46D15FEE"/>
    <w:rsid w:val="46E29CCE"/>
    <w:rsid w:val="46E860CE"/>
    <w:rsid w:val="46F2C0AA"/>
    <w:rsid w:val="46F4DA6D"/>
    <w:rsid w:val="46F59708"/>
    <w:rsid w:val="46FF48CB"/>
    <w:rsid w:val="47111AC0"/>
    <w:rsid w:val="4718D23E"/>
    <w:rsid w:val="47191D3C"/>
    <w:rsid w:val="471AF292"/>
    <w:rsid w:val="47270248"/>
    <w:rsid w:val="4739025C"/>
    <w:rsid w:val="47482E13"/>
    <w:rsid w:val="474A53C5"/>
    <w:rsid w:val="47504833"/>
    <w:rsid w:val="47554B3C"/>
    <w:rsid w:val="477BBD6E"/>
    <w:rsid w:val="477FCBC9"/>
    <w:rsid w:val="4783C1F3"/>
    <w:rsid w:val="47943054"/>
    <w:rsid w:val="479D8427"/>
    <w:rsid w:val="47A43AC6"/>
    <w:rsid w:val="47A6EF1C"/>
    <w:rsid w:val="47A88E4E"/>
    <w:rsid w:val="47AC5965"/>
    <w:rsid w:val="47AC778A"/>
    <w:rsid w:val="47B2D636"/>
    <w:rsid w:val="47B3816B"/>
    <w:rsid w:val="47B9A7DE"/>
    <w:rsid w:val="47BD50DF"/>
    <w:rsid w:val="47C8C768"/>
    <w:rsid w:val="47CED745"/>
    <w:rsid w:val="47D3D39B"/>
    <w:rsid w:val="47DB53FF"/>
    <w:rsid w:val="47DD3CFA"/>
    <w:rsid w:val="47E3CB83"/>
    <w:rsid w:val="47E9EE4B"/>
    <w:rsid w:val="47F33C79"/>
    <w:rsid w:val="47F41C12"/>
    <w:rsid w:val="47F4672D"/>
    <w:rsid w:val="47F9B804"/>
    <w:rsid w:val="47FB5BAB"/>
    <w:rsid w:val="47FD4BE3"/>
    <w:rsid w:val="48049309"/>
    <w:rsid w:val="4804EEFA"/>
    <w:rsid w:val="4805F8AA"/>
    <w:rsid w:val="48131740"/>
    <w:rsid w:val="48145FC9"/>
    <w:rsid w:val="4823A098"/>
    <w:rsid w:val="482BD81E"/>
    <w:rsid w:val="48308EBC"/>
    <w:rsid w:val="4831E008"/>
    <w:rsid w:val="48334156"/>
    <w:rsid w:val="483733CE"/>
    <w:rsid w:val="483A4A7F"/>
    <w:rsid w:val="483BFF8F"/>
    <w:rsid w:val="48474F9F"/>
    <w:rsid w:val="4847C36C"/>
    <w:rsid w:val="48496E99"/>
    <w:rsid w:val="4851E9BF"/>
    <w:rsid w:val="4859C46C"/>
    <w:rsid w:val="48602CBC"/>
    <w:rsid w:val="4860A7AD"/>
    <w:rsid w:val="48626EB6"/>
    <w:rsid w:val="4867697E"/>
    <w:rsid w:val="488497A8"/>
    <w:rsid w:val="488524B7"/>
    <w:rsid w:val="488ED14F"/>
    <w:rsid w:val="4894A618"/>
    <w:rsid w:val="48968601"/>
    <w:rsid w:val="4899D4FD"/>
    <w:rsid w:val="489BC106"/>
    <w:rsid w:val="489D3C8D"/>
    <w:rsid w:val="48A4C4A1"/>
    <w:rsid w:val="48AE1E58"/>
    <w:rsid w:val="48B45CC7"/>
    <w:rsid w:val="48C781CA"/>
    <w:rsid w:val="48CB76FE"/>
    <w:rsid w:val="48D4C470"/>
    <w:rsid w:val="48D7B574"/>
    <w:rsid w:val="48D7F0E2"/>
    <w:rsid w:val="48DAD0A6"/>
    <w:rsid w:val="48DC2BC2"/>
    <w:rsid w:val="48ECB51B"/>
    <w:rsid w:val="48F6CD7D"/>
    <w:rsid w:val="48F877A9"/>
    <w:rsid w:val="48FB161E"/>
    <w:rsid w:val="48FD6077"/>
    <w:rsid w:val="48FFE5BF"/>
    <w:rsid w:val="49009F61"/>
    <w:rsid w:val="490B0586"/>
    <w:rsid w:val="490D99AB"/>
    <w:rsid w:val="490F133B"/>
    <w:rsid w:val="490FDC0F"/>
    <w:rsid w:val="491B071C"/>
    <w:rsid w:val="4920CB80"/>
    <w:rsid w:val="492FC454"/>
    <w:rsid w:val="4936F867"/>
    <w:rsid w:val="494095F0"/>
    <w:rsid w:val="4947C3FB"/>
    <w:rsid w:val="49587B0F"/>
    <w:rsid w:val="495FB72B"/>
    <w:rsid w:val="4960ABC2"/>
    <w:rsid w:val="496902F8"/>
    <w:rsid w:val="496CCCEE"/>
    <w:rsid w:val="4978462A"/>
    <w:rsid w:val="497CA406"/>
    <w:rsid w:val="498A229A"/>
    <w:rsid w:val="498B3D6E"/>
    <w:rsid w:val="499758B1"/>
    <w:rsid w:val="49A081E1"/>
    <w:rsid w:val="49A0882F"/>
    <w:rsid w:val="49A14DD6"/>
    <w:rsid w:val="49AD5533"/>
    <w:rsid w:val="49AEAFA2"/>
    <w:rsid w:val="49B5B0D7"/>
    <w:rsid w:val="49C45DAE"/>
    <w:rsid w:val="49C59CD6"/>
    <w:rsid w:val="49C9FB81"/>
    <w:rsid w:val="49D644B3"/>
    <w:rsid w:val="49E07FEE"/>
    <w:rsid w:val="49E402AB"/>
    <w:rsid w:val="49EE871A"/>
    <w:rsid w:val="49F811A5"/>
    <w:rsid w:val="49FDEC42"/>
    <w:rsid w:val="49FFC679"/>
    <w:rsid w:val="4A0865E4"/>
    <w:rsid w:val="4A130E66"/>
    <w:rsid w:val="4A13DB7A"/>
    <w:rsid w:val="4A15FC84"/>
    <w:rsid w:val="4A239730"/>
    <w:rsid w:val="4A342A1C"/>
    <w:rsid w:val="4A34465E"/>
    <w:rsid w:val="4A464658"/>
    <w:rsid w:val="4A49BC7B"/>
    <w:rsid w:val="4A4E29DA"/>
    <w:rsid w:val="4A4F596B"/>
    <w:rsid w:val="4A56055D"/>
    <w:rsid w:val="4A623AD2"/>
    <w:rsid w:val="4A77119A"/>
    <w:rsid w:val="4A79DCEB"/>
    <w:rsid w:val="4A7A8C57"/>
    <w:rsid w:val="4A7EE27A"/>
    <w:rsid w:val="4A828492"/>
    <w:rsid w:val="4A841FFD"/>
    <w:rsid w:val="4A868585"/>
    <w:rsid w:val="4A998E39"/>
    <w:rsid w:val="4AAB2901"/>
    <w:rsid w:val="4AAEC979"/>
    <w:rsid w:val="4AB5FA92"/>
    <w:rsid w:val="4AB7F3CA"/>
    <w:rsid w:val="4AE1CE7B"/>
    <w:rsid w:val="4AE550EC"/>
    <w:rsid w:val="4AED098B"/>
    <w:rsid w:val="4AFB3761"/>
    <w:rsid w:val="4AFFBA22"/>
    <w:rsid w:val="4B020D7B"/>
    <w:rsid w:val="4B04D0CD"/>
    <w:rsid w:val="4B058148"/>
    <w:rsid w:val="4B0B00D3"/>
    <w:rsid w:val="4B17A75C"/>
    <w:rsid w:val="4B1B696C"/>
    <w:rsid w:val="4B1CAA67"/>
    <w:rsid w:val="4B3856F5"/>
    <w:rsid w:val="4B3C14E4"/>
    <w:rsid w:val="4B42BE95"/>
    <w:rsid w:val="4B46D67C"/>
    <w:rsid w:val="4B4E36A0"/>
    <w:rsid w:val="4B518558"/>
    <w:rsid w:val="4B5C04D1"/>
    <w:rsid w:val="4B78A20D"/>
    <w:rsid w:val="4B797A40"/>
    <w:rsid w:val="4B7A3156"/>
    <w:rsid w:val="4B7CD509"/>
    <w:rsid w:val="4B915866"/>
    <w:rsid w:val="4B95B063"/>
    <w:rsid w:val="4B991DDD"/>
    <w:rsid w:val="4BABF770"/>
    <w:rsid w:val="4BAC540F"/>
    <w:rsid w:val="4BAD338D"/>
    <w:rsid w:val="4BAD95C9"/>
    <w:rsid w:val="4BB567C8"/>
    <w:rsid w:val="4BBA2B46"/>
    <w:rsid w:val="4BBC2204"/>
    <w:rsid w:val="4BC001B7"/>
    <w:rsid w:val="4BCB1DE2"/>
    <w:rsid w:val="4BCD5D2B"/>
    <w:rsid w:val="4BDA08A6"/>
    <w:rsid w:val="4BF36F4E"/>
    <w:rsid w:val="4BF39691"/>
    <w:rsid w:val="4BF8F9A4"/>
    <w:rsid w:val="4BFFC9DA"/>
    <w:rsid w:val="4C00263A"/>
    <w:rsid w:val="4C01E2FE"/>
    <w:rsid w:val="4C03B014"/>
    <w:rsid w:val="4C0831C5"/>
    <w:rsid w:val="4C0FA047"/>
    <w:rsid w:val="4C265045"/>
    <w:rsid w:val="4C2ACCC0"/>
    <w:rsid w:val="4C2DCE8B"/>
    <w:rsid w:val="4C3A3BCA"/>
    <w:rsid w:val="4C46680D"/>
    <w:rsid w:val="4C4C9A68"/>
    <w:rsid w:val="4C4F2910"/>
    <w:rsid w:val="4C51E808"/>
    <w:rsid w:val="4C5748DB"/>
    <w:rsid w:val="4C585CF3"/>
    <w:rsid w:val="4C83874E"/>
    <w:rsid w:val="4C967B90"/>
    <w:rsid w:val="4C97AEB3"/>
    <w:rsid w:val="4C983792"/>
    <w:rsid w:val="4C9E52FD"/>
    <w:rsid w:val="4CAD87D4"/>
    <w:rsid w:val="4CB5E833"/>
    <w:rsid w:val="4CB722FF"/>
    <w:rsid w:val="4CB90E6F"/>
    <w:rsid w:val="4CBE47F2"/>
    <w:rsid w:val="4CBFDB40"/>
    <w:rsid w:val="4CC16B27"/>
    <w:rsid w:val="4CC5F600"/>
    <w:rsid w:val="4CDBAA0A"/>
    <w:rsid w:val="4CE7FF01"/>
    <w:rsid w:val="4CEF678C"/>
    <w:rsid w:val="4CF3D80C"/>
    <w:rsid w:val="4CF9C2B4"/>
    <w:rsid w:val="4CFC0053"/>
    <w:rsid w:val="4D0B5DF3"/>
    <w:rsid w:val="4D40E591"/>
    <w:rsid w:val="4D4762C7"/>
    <w:rsid w:val="4D4EE087"/>
    <w:rsid w:val="4D505137"/>
    <w:rsid w:val="4D539E90"/>
    <w:rsid w:val="4D5BA2A6"/>
    <w:rsid w:val="4D708B99"/>
    <w:rsid w:val="4D7C077F"/>
    <w:rsid w:val="4D7C9A76"/>
    <w:rsid w:val="4D83BE13"/>
    <w:rsid w:val="4D859A49"/>
    <w:rsid w:val="4D8C9FFC"/>
    <w:rsid w:val="4D905D50"/>
    <w:rsid w:val="4D94821C"/>
    <w:rsid w:val="4D9D43CA"/>
    <w:rsid w:val="4DB01906"/>
    <w:rsid w:val="4DB69EB0"/>
    <w:rsid w:val="4DC06C40"/>
    <w:rsid w:val="4DC4B7B2"/>
    <w:rsid w:val="4DC67841"/>
    <w:rsid w:val="4DCD6F86"/>
    <w:rsid w:val="4DD99072"/>
    <w:rsid w:val="4DE08663"/>
    <w:rsid w:val="4DE48B8F"/>
    <w:rsid w:val="4DEB7226"/>
    <w:rsid w:val="4DF159EE"/>
    <w:rsid w:val="4DF37B78"/>
    <w:rsid w:val="4E05D55B"/>
    <w:rsid w:val="4E12E9F9"/>
    <w:rsid w:val="4E1B14DB"/>
    <w:rsid w:val="4E1B8CF8"/>
    <w:rsid w:val="4E28A0D0"/>
    <w:rsid w:val="4E3FD324"/>
    <w:rsid w:val="4E42D1C9"/>
    <w:rsid w:val="4E4D9301"/>
    <w:rsid w:val="4E4FF487"/>
    <w:rsid w:val="4E534A51"/>
    <w:rsid w:val="4E55E087"/>
    <w:rsid w:val="4E596722"/>
    <w:rsid w:val="4E60573E"/>
    <w:rsid w:val="4E65329D"/>
    <w:rsid w:val="4E6650D7"/>
    <w:rsid w:val="4E676FDA"/>
    <w:rsid w:val="4E68B5A8"/>
    <w:rsid w:val="4E7362C2"/>
    <w:rsid w:val="4E8675F6"/>
    <w:rsid w:val="4E914B48"/>
    <w:rsid w:val="4E95393B"/>
    <w:rsid w:val="4EB1EBFC"/>
    <w:rsid w:val="4EBB3AB5"/>
    <w:rsid w:val="4EC95A7B"/>
    <w:rsid w:val="4ED02854"/>
    <w:rsid w:val="4ED5139A"/>
    <w:rsid w:val="4ED86410"/>
    <w:rsid w:val="4EDBB431"/>
    <w:rsid w:val="4EE96355"/>
    <w:rsid w:val="4EF6C891"/>
    <w:rsid w:val="4F079149"/>
    <w:rsid w:val="4F0D77C2"/>
    <w:rsid w:val="4F1139B0"/>
    <w:rsid w:val="4F146C5B"/>
    <w:rsid w:val="4F15C54F"/>
    <w:rsid w:val="4F22D8AB"/>
    <w:rsid w:val="4F2D0A5B"/>
    <w:rsid w:val="4F2F74F1"/>
    <w:rsid w:val="4F36DDAB"/>
    <w:rsid w:val="4F41BD63"/>
    <w:rsid w:val="4F4371C5"/>
    <w:rsid w:val="4F4AC1D9"/>
    <w:rsid w:val="4F4CFB5B"/>
    <w:rsid w:val="4F4E55B5"/>
    <w:rsid w:val="4F53E791"/>
    <w:rsid w:val="4F58A9BE"/>
    <w:rsid w:val="4F5DAFF4"/>
    <w:rsid w:val="4F629C86"/>
    <w:rsid w:val="4F6A3C90"/>
    <w:rsid w:val="4F6EFDB1"/>
    <w:rsid w:val="4F74C92D"/>
    <w:rsid w:val="4F7DA867"/>
    <w:rsid w:val="4F7FAD96"/>
    <w:rsid w:val="4F85477E"/>
    <w:rsid w:val="4F944AAA"/>
    <w:rsid w:val="4F9EF3D8"/>
    <w:rsid w:val="4FAF5EDF"/>
    <w:rsid w:val="4FB4B7FC"/>
    <w:rsid w:val="4FB70434"/>
    <w:rsid w:val="4FC8EE2C"/>
    <w:rsid w:val="4FD6B5B4"/>
    <w:rsid w:val="4FDC9DFD"/>
    <w:rsid w:val="4FDD102A"/>
    <w:rsid w:val="4FED251C"/>
    <w:rsid w:val="4FF250C7"/>
    <w:rsid w:val="4FF2C1A3"/>
    <w:rsid w:val="4FFDAB3E"/>
    <w:rsid w:val="50091BA3"/>
    <w:rsid w:val="500A5C7B"/>
    <w:rsid w:val="500E72E2"/>
    <w:rsid w:val="501C4C9E"/>
    <w:rsid w:val="501F7A32"/>
    <w:rsid w:val="50224E09"/>
    <w:rsid w:val="50239D89"/>
    <w:rsid w:val="5031D4D6"/>
    <w:rsid w:val="50331D4C"/>
    <w:rsid w:val="5040A14B"/>
    <w:rsid w:val="50455EBF"/>
    <w:rsid w:val="5049005B"/>
    <w:rsid w:val="50574DC0"/>
    <w:rsid w:val="505D7FC7"/>
    <w:rsid w:val="505E4D2B"/>
    <w:rsid w:val="50621B9C"/>
    <w:rsid w:val="5071758D"/>
    <w:rsid w:val="5072F830"/>
    <w:rsid w:val="507C34DE"/>
    <w:rsid w:val="5093E1B2"/>
    <w:rsid w:val="5093FF3F"/>
    <w:rsid w:val="50A80045"/>
    <w:rsid w:val="50A80962"/>
    <w:rsid w:val="50A9276D"/>
    <w:rsid w:val="50AC604E"/>
    <w:rsid w:val="50B2593A"/>
    <w:rsid w:val="50B788B5"/>
    <w:rsid w:val="50BEF265"/>
    <w:rsid w:val="50C0A49A"/>
    <w:rsid w:val="50C30770"/>
    <w:rsid w:val="50C62301"/>
    <w:rsid w:val="50CF5682"/>
    <w:rsid w:val="50D3B369"/>
    <w:rsid w:val="50EEE99C"/>
    <w:rsid w:val="50F11920"/>
    <w:rsid w:val="50F3E4B4"/>
    <w:rsid w:val="50FBD48F"/>
    <w:rsid w:val="51005DA8"/>
    <w:rsid w:val="5104A533"/>
    <w:rsid w:val="5108DDDE"/>
    <w:rsid w:val="510E91D7"/>
    <w:rsid w:val="51156948"/>
    <w:rsid w:val="511AA15B"/>
    <w:rsid w:val="5128850F"/>
    <w:rsid w:val="512E7BB3"/>
    <w:rsid w:val="512F805D"/>
    <w:rsid w:val="5138E5AC"/>
    <w:rsid w:val="51456020"/>
    <w:rsid w:val="5148807B"/>
    <w:rsid w:val="515443C5"/>
    <w:rsid w:val="5154D676"/>
    <w:rsid w:val="51552F09"/>
    <w:rsid w:val="5156B700"/>
    <w:rsid w:val="51595830"/>
    <w:rsid w:val="5161F620"/>
    <w:rsid w:val="51694E95"/>
    <w:rsid w:val="516F3EE2"/>
    <w:rsid w:val="517DF7EB"/>
    <w:rsid w:val="5183D3A4"/>
    <w:rsid w:val="51970D60"/>
    <w:rsid w:val="519990F5"/>
    <w:rsid w:val="519A20D5"/>
    <w:rsid w:val="519A4FA5"/>
    <w:rsid w:val="519AEF47"/>
    <w:rsid w:val="519CE04B"/>
    <w:rsid w:val="51A098F8"/>
    <w:rsid w:val="51B1A855"/>
    <w:rsid w:val="51B87ADA"/>
    <w:rsid w:val="51BD773E"/>
    <w:rsid w:val="51C0A801"/>
    <w:rsid w:val="51C9D3C7"/>
    <w:rsid w:val="51CDAFCD"/>
    <w:rsid w:val="51CEEF7A"/>
    <w:rsid w:val="51D2F7A9"/>
    <w:rsid w:val="51D50B9A"/>
    <w:rsid w:val="51D62609"/>
    <w:rsid w:val="51D8CBBB"/>
    <w:rsid w:val="51E6B8B7"/>
    <w:rsid w:val="51ECAA82"/>
    <w:rsid w:val="51F1F826"/>
    <w:rsid w:val="51F24993"/>
    <w:rsid w:val="51F8D945"/>
    <w:rsid w:val="52140626"/>
    <w:rsid w:val="522FDFF2"/>
    <w:rsid w:val="5232730B"/>
    <w:rsid w:val="52361624"/>
    <w:rsid w:val="52498254"/>
    <w:rsid w:val="524B438C"/>
    <w:rsid w:val="524C95EA"/>
    <w:rsid w:val="5256B89F"/>
    <w:rsid w:val="5264D297"/>
    <w:rsid w:val="5279AECE"/>
    <w:rsid w:val="52849794"/>
    <w:rsid w:val="528BBAAF"/>
    <w:rsid w:val="528E4739"/>
    <w:rsid w:val="52929960"/>
    <w:rsid w:val="5299CE27"/>
    <w:rsid w:val="529B919E"/>
    <w:rsid w:val="52A8359C"/>
    <w:rsid w:val="52AEAEDA"/>
    <w:rsid w:val="52D089D2"/>
    <w:rsid w:val="52D38FC3"/>
    <w:rsid w:val="52D3CF9A"/>
    <w:rsid w:val="52D49639"/>
    <w:rsid w:val="52E08BF0"/>
    <w:rsid w:val="52E31CFD"/>
    <w:rsid w:val="52F05C07"/>
    <w:rsid w:val="52F94591"/>
    <w:rsid w:val="52FB2E47"/>
    <w:rsid w:val="52FC8D83"/>
    <w:rsid w:val="5305634A"/>
    <w:rsid w:val="5309167C"/>
    <w:rsid w:val="5314C95A"/>
    <w:rsid w:val="531894A1"/>
    <w:rsid w:val="531A379F"/>
    <w:rsid w:val="531CDB8C"/>
    <w:rsid w:val="5326C7AF"/>
    <w:rsid w:val="5332D6B2"/>
    <w:rsid w:val="533489CC"/>
    <w:rsid w:val="533AF282"/>
    <w:rsid w:val="5346A504"/>
    <w:rsid w:val="5349E79C"/>
    <w:rsid w:val="53550DF8"/>
    <w:rsid w:val="536444D5"/>
    <w:rsid w:val="536BC994"/>
    <w:rsid w:val="5374B27A"/>
    <w:rsid w:val="537A4121"/>
    <w:rsid w:val="5385D6CF"/>
    <w:rsid w:val="5388B971"/>
    <w:rsid w:val="538D25BE"/>
    <w:rsid w:val="538F914F"/>
    <w:rsid w:val="539A6038"/>
    <w:rsid w:val="53A736B9"/>
    <w:rsid w:val="53ABCDB6"/>
    <w:rsid w:val="53B3EFF3"/>
    <w:rsid w:val="53B58D97"/>
    <w:rsid w:val="53B7EE62"/>
    <w:rsid w:val="53BAF7DC"/>
    <w:rsid w:val="53C244F8"/>
    <w:rsid w:val="53D29904"/>
    <w:rsid w:val="53D357A4"/>
    <w:rsid w:val="53E91214"/>
    <w:rsid w:val="53E9956F"/>
    <w:rsid w:val="53EF2A6F"/>
    <w:rsid w:val="53F819C3"/>
    <w:rsid w:val="53FADC80"/>
    <w:rsid w:val="5400CFC4"/>
    <w:rsid w:val="540EA6C5"/>
    <w:rsid w:val="541A82D7"/>
    <w:rsid w:val="544120F4"/>
    <w:rsid w:val="544451C6"/>
    <w:rsid w:val="544A2217"/>
    <w:rsid w:val="544FE668"/>
    <w:rsid w:val="54524685"/>
    <w:rsid w:val="5461E9DE"/>
    <w:rsid w:val="54690E38"/>
    <w:rsid w:val="54796463"/>
    <w:rsid w:val="547DFDBE"/>
    <w:rsid w:val="54864FDA"/>
    <w:rsid w:val="548AA964"/>
    <w:rsid w:val="5492859C"/>
    <w:rsid w:val="5497469D"/>
    <w:rsid w:val="549829FB"/>
    <w:rsid w:val="549A08FC"/>
    <w:rsid w:val="549E1AF7"/>
    <w:rsid w:val="54A83167"/>
    <w:rsid w:val="54ADFE14"/>
    <w:rsid w:val="54AED70D"/>
    <w:rsid w:val="54C40510"/>
    <w:rsid w:val="54CDA4AA"/>
    <w:rsid w:val="54D91B3F"/>
    <w:rsid w:val="54E08A6F"/>
    <w:rsid w:val="54E278D9"/>
    <w:rsid w:val="54E8F5A2"/>
    <w:rsid w:val="54EBBDF8"/>
    <w:rsid w:val="54FE0FF7"/>
    <w:rsid w:val="5515CBDF"/>
    <w:rsid w:val="551B92EA"/>
    <w:rsid w:val="551BFAFF"/>
    <w:rsid w:val="5532D2DF"/>
    <w:rsid w:val="553D6AB7"/>
    <w:rsid w:val="5552E0D4"/>
    <w:rsid w:val="5553608F"/>
    <w:rsid w:val="5553753A"/>
    <w:rsid w:val="5560E1D7"/>
    <w:rsid w:val="55762D65"/>
    <w:rsid w:val="55805EB6"/>
    <w:rsid w:val="55833F89"/>
    <w:rsid w:val="5586951D"/>
    <w:rsid w:val="55910AC8"/>
    <w:rsid w:val="5597B2A8"/>
    <w:rsid w:val="55A1D248"/>
    <w:rsid w:val="55ABDE09"/>
    <w:rsid w:val="55B0E7DD"/>
    <w:rsid w:val="55B547A4"/>
    <w:rsid w:val="55BA4F92"/>
    <w:rsid w:val="55E538EA"/>
    <w:rsid w:val="55F037BF"/>
    <w:rsid w:val="55F4FF7F"/>
    <w:rsid w:val="56045E1C"/>
    <w:rsid w:val="560DE7FD"/>
    <w:rsid w:val="561A92BC"/>
    <w:rsid w:val="561FB50A"/>
    <w:rsid w:val="56205508"/>
    <w:rsid w:val="56233A2A"/>
    <w:rsid w:val="5625E3D8"/>
    <w:rsid w:val="562A0DC3"/>
    <w:rsid w:val="5636A0DC"/>
    <w:rsid w:val="5643CC86"/>
    <w:rsid w:val="564A8BF4"/>
    <w:rsid w:val="565470BA"/>
    <w:rsid w:val="565E6E3F"/>
    <w:rsid w:val="56688D6A"/>
    <w:rsid w:val="566E57AF"/>
    <w:rsid w:val="567EF39D"/>
    <w:rsid w:val="56849380"/>
    <w:rsid w:val="56862B88"/>
    <w:rsid w:val="56910F71"/>
    <w:rsid w:val="5693C127"/>
    <w:rsid w:val="5693D13A"/>
    <w:rsid w:val="56967DC4"/>
    <w:rsid w:val="569E724B"/>
    <w:rsid w:val="56AB203D"/>
    <w:rsid w:val="56C8BC49"/>
    <w:rsid w:val="56CCA869"/>
    <w:rsid w:val="56CFCFBE"/>
    <w:rsid w:val="56D52ABC"/>
    <w:rsid w:val="56E5D8C0"/>
    <w:rsid w:val="56F4C5F9"/>
    <w:rsid w:val="56F92B5D"/>
    <w:rsid w:val="56FE3667"/>
    <w:rsid w:val="57051659"/>
    <w:rsid w:val="570D0F20"/>
    <w:rsid w:val="570DD634"/>
    <w:rsid w:val="57123586"/>
    <w:rsid w:val="572291B9"/>
    <w:rsid w:val="5725F53F"/>
    <w:rsid w:val="572C7B78"/>
    <w:rsid w:val="573B1C82"/>
    <w:rsid w:val="573DA57B"/>
    <w:rsid w:val="57576918"/>
    <w:rsid w:val="575A7D98"/>
    <w:rsid w:val="575EBF39"/>
    <w:rsid w:val="57677339"/>
    <w:rsid w:val="5768F34E"/>
    <w:rsid w:val="5778CD5A"/>
    <w:rsid w:val="5785F608"/>
    <w:rsid w:val="578641B2"/>
    <w:rsid w:val="57892E54"/>
    <w:rsid w:val="578A85DC"/>
    <w:rsid w:val="5797C368"/>
    <w:rsid w:val="57A50864"/>
    <w:rsid w:val="57A5A70E"/>
    <w:rsid w:val="57ABC825"/>
    <w:rsid w:val="57B156A8"/>
    <w:rsid w:val="57B2023B"/>
    <w:rsid w:val="57B247E3"/>
    <w:rsid w:val="57B3CF29"/>
    <w:rsid w:val="57C04FF9"/>
    <w:rsid w:val="57C65C73"/>
    <w:rsid w:val="57DB09BC"/>
    <w:rsid w:val="57DCC071"/>
    <w:rsid w:val="57E599EF"/>
    <w:rsid w:val="57E5A68C"/>
    <w:rsid w:val="57E67741"/>
    <w:rsid w:val="57F008E4"/>
    <w:rsid w:val="57FDB44B"/>
    <w:rsid w:val="580BD646"/>
    <w:rsid w:val="580BEB0B"/>
    <w:rsid w:val="581AD5D8"/>
    <w:rsid w:val="581ED327"/>
    <w:rsid w:val="5822075B"/>
    <w:rsid w:val="582209AC"/>
    <w:rsid w:val="5832DA95"/>
    <w:rsid w:val="5835B7C7"/>
    <w:rsid w:val="58394810"/>
    <w:rsid w:val="583F9B0D"/>
    <w:rsid w:val="58402BAF"/>
    <w:rsid w:val="5840DABD"/>
    <w:rsid w:val="584E04F1"/>
    <w:rsid w:val="5850F0A4"/>
    <w:rsid w:val="58538C72"/>
    <w:rsid w:val="58560468"/>
    <w:rsid w:val="5875A897"/>
    <w:rsid w:val="588309A5"/>
    <w:rsid w:val="588649E6"/>
    <w:rsid w:val="588758D8"/>
    <w:rsid w:val="588BA0C5"/>
    <w:rsid w:val="588C475C"/>
    <w:rsid w:val="588F86B4"/>
    <w:rsid w:val="58939350"/>
    <w:rsid w:val="58946A53"/>
    <w:rsid w:val="589BDE6B"/>
    <w:rsid w:val="589F6877"/>
    <w:rsid w:val="58A201C8"/>
    <w:rsid w:val="58B2638C"/>
    <w:rsid w:val="58BDB633"/>
    <w:rsid w:val="58C20AA6"/>
    <w:rsid w:val="58C2FA9F"/>
    <w:rsid w:val="58C3F5D4"/>
    <w:rsid w:val="58C7AF25"/>
    <w:rsid w:val="58D1C630"/>
    <w:rsid w:val="58D8B78F"/>
    <w:rsid w:val="58E8E8C9"/>
    <w:rsid w:val="58EC373D"/>
    <w:rsid w:val="58ED8241"/>
    <w:rsid w:val="58F88485"/>
    <w:rsid w:val="58FF1C5E"/>
    <w:rsid w:val="590588A3"/>
    <w:rsid w:val="590B1750"/>
    <w:rsid w:val="59141403"/>
    <w:rsid w:val="5914B263"/>
    <w:rsid w:val="591874A2"/>
    <w:rsid w:val="591E813D"/>
    <w:rsid w:val="59216E0A"/>
    <w:rsid w:val="592E716C"/>
    <w:rsid w:val="59359762"/>
    <w:rsid w:val="594AACE4"/>
    <w:rsid w:val="59503F07"/>
    <w:rsid w:val="5963C6A6"/>
    <w:rsid w:val="596E075D"/>
    <w:rsid w:val="59752968"/>
    <w:rsid w:val="59843761"/>
    <w:rsid w:val="59846F61"/>
    <w:rsid w:val="5984AB9B"/>
    <w:rsid w:val="598CFF93"/>
    <w:rsid w:val="599158F8"/>
    <w:rsid w:val="5996FEAB"/>
    <w:rsid w:val="599B748A"/>
    <w:rsid w:val="599BB2C4"/>
    <w:rsid w:val="59A1EAB8"/>
    <w:rsid w:val="59A5AC63"/>
    <w:rsid w:val="59A959D4"/>
    <w:rsid w:val="59BEF536"/>
    <w:rsid w:val="59BF9724"/>
    <w:rsid w:val="59C3C818"/>
    <w:rsid w:val="59C5F766"/>
    <w:rsid w:val="59CF79E7"/>
    <w:rsid w:val="59CFA479"/>
    <w:rsid w:val="59D89634"/>
    <w:rsid w:val="59EAC2B7"/>
    <w:rsid w:val="59EB115D"/>
    <w:rsid w:val="59F02E93"/>
    <w:rsid w:val="59F2FD49"/>
    <w:rsid w:val="59F38DEE"/>
    <w:rsid w:val="59F9A946"/>
    <w:rsid w:val="5A0267DB"/>
    <w:rsid w:val="5A10156F"/>
    <w:rsid w:val="5A177121"/>
    <w:rsid w:val="5A1D5570"/>
    <w:rsid w:val="5A24B1D5"/>
    <w:rsid w:val="5A297FEE"/>
    <w:rsid w:val="5A33F3B3"/>
    <w:rsid w:val="5A496E0B"/>
    <w:rsid w:val="5A49832C"/>
    <w:rsid w:val="5A4AA418"/>
    <w:rsid w:val="5A4FC0E9"/>
    <w:rsid w:val="5A581978"/>
    <w:rsid w:val="5A5833DD"/>
    <w:rsid w:val="5A62E9D3"/>
    <w:rsid w:val="5A6BD70B"/>
    <w:rsid w:val="5A719F0F"/>
    <w:rsid w:val="5A73D4B5"/>
    <w:rsid w:val="5A78CC74"/>
    <w:rsid w:val="5A79D175"/>
    <w:rsid w:val="5A7AD007"/>
    <w:rsid w:val="5A7D301E"/>
    <w:rsid w:val="5A7F4700"/>
    <w:rsid w:val="5A893C40"/>
    <w:rsid w:val="5A955DAF"/>
    <w:rsid w:val="5A97971F"/>
    <w:rsid w:val="5A99E8F4"/>
    <w:rsid w:val="5AA68C16"/>
    <w:rsid w:val="5ABDA6DB"/>
    <w:rsid w:val="5ABEE240"/>
    <w:rsid w:val="5AC1BF4E"/>
    <w:rsid w:val="5AC58A95"/>
    <w:rsid w:val="5AC87647"/>
    <w:rsid w:val="5AC91152"/>
    <w:rsid w:val="5ACD40C7"/>
    <w:rsid w:val="5ADC6F11"/>
    <w:rsid w:val="5ADCE77B"/>
    <w:rsid w:val="5AE9395F"/>
    <w:rsid w:val="5AEEB2E9"/>
    <w:rsid w:val="5AF133D5"/>
    <w:rsid w:val="5AF325B9"/>
    <w:rsid w:val="5AF46443"/>
    <w:rsid w:val="5AFFC061"/>
    <w:rsid w:val="5B02839D"/>
    <w:rsid w:val="5B2425D3"/>
    <w:rsid w:val="5B27D4C3"/>
    <w:rsid w:val="5B283D09"/>
    <w:rsid w:val="5B297854"/>
    <w:rsid w:val="5B2E311E"/>
    <w:rsid w:val="5B30A21E"/>
    <w:rsid w:val="5B32B575"/>
    <w:rsid w:val="5B36E496"/>
    <w:rsid w:val="5B41CDE4"/>
    <w:rsid w:val="5B475867"/>
    <w:rsid w:val="5B58C383"/>
    <w:rsid w:val="5B65E3B4"/>
    <w:rsid w:val="5B71ECFD"/>
    <w:rsid w:val="5B79B926"/>
    <w:rsid w:val="5B7BC80D"/>
    <w:rsid w:val="5B7DB4F0"/>
    <w:rsid w:val="5B7F3F26"/>
    <w:rsid w:val="5B9239E9"/>
    <w:rsid w:val="5BAA5D2B"/>
    <w:rsid w:val="5BAD74C3"/>
    <w:rsid w:val="5BC75591"/>
    <w:rsid w:val="5BC8A63B"/>
    <w:rsid w:val="5BC9CCAA"/>
    <w:rsid w:val="5BD2915F"/>
    <w:rsid w:val="5BD8A704"/>
    <w:rsid w:val="5BDF723C"/>
    <w:rsid w:val="5BE2D41D"/>
    <w:rsid w:val="5BE5175F"/>
    <w:rsid w:val="5BE7B59C"/>
    <w:rsid w:val="5BE83436"/>
    <w:rsid w:val="5BF03CCC"/>
    <w:rsid w:val="5BF1BB2B"/>
    <w:rsid w:val="5BF20C86"/>
    <w:rsid w:val="5BFAA24C"/>
    <w:rsid w:val="5BFD062D"/>
    <w:rsid w:val="5C07FBE5"/>
    <w:rsid w:val="5C0DBD93"/>
    <w:rsid w:val="5C23E5D0"/>
    <w:rsid w:val="5C28E985"/>
    <w:rsid w:val="5C28EFB3"/>
    <w:rsid w:val="5C2D1575"/>
    <w:rsid w:val="5C33673D"/>
    <w:rsid w:val="5C4E1295"/>
    <w:rsid w:val="5C547FB4"/>
    <w:rsid w:val="5C571072"/>
    <w:rsid w:val="5C6A91A5"/>
    <w:rsid w:val="5C6FD581"/>
    <w:rsid w:val="5C766CC8"/>
    <w:rsid w:val="5C773E35"/>
    <w:rsid w:val="5C8FFEF5"/>
    <w:rsid w:val="5C9079DD"/>
    <w:rsid w:val="5C910B17"/>
    <w:rsid w:val="5CB31C24"/>
    <w:rsid w:val="5CB907D5"/>
    <w:rsid w:val="5CB983DB"/>
    <w:rsid w:val="5CC8B71D"/>
    <w:rsid w:val="5CCE8DA7"/>
    <w:rsid w:val="5CD1FBE2"/>
    <w:rsid w:val="5CD3DEF2"/>
    <w:rsid w:val="5CE0EA82"/>
    <w:rsid w:val="5CE276A7"/>
    <w:rsid w:val="5CE5458F"/>
    <w:rsid w:val="5CE79D34"/>
    <w:rsid w:val="5CE7F67C"/>
    <w:rsid w:val="5CEA68A2"/>
    <w:rsid w:val="5CF0CA45"/>
    <w:rsid w:val="5D016790"/>
    <w:rsid w:val="5D04CB91"/>
    <w:rsid w:val="5D196656"/>
    <w:rsid w:val="5D1B12FA"/>
    <w:rsid w:val="5D2476E6"/>
    <w:rsid w:val="5D26BA8C"/>
    <w:rsid w:val="5D2ACE6C"/>
    <w:rsid w:val="5D300851"/>
    <w:rsid w:val="5D35A039"/>
    <w:rsid w:val="5D3A2F10"/>
    <w:rsid w:val="5D42E562"/>
    <w:rsid w:val="5D4DFE1E"/>
    <w:rsid w:val="5D4EDF6B"/>
    <w:rsid w:val="5D5FFD3E"/>
    <w:rsid w:val="5D638846"/>
    <w:rsid w:val="5D640FA6"/>
    <w:rsid w:val="5D7230B7"/>
    <w:rsid w:val="5D777A07"/>
    <w:rsid w:val="5D8D1D31"/>
    <w:rsid w:val="5D970D3D"/>
    <w:rsid w:val="5DAB468E"/>
    <w:rsid w:val="5DB64FC8"/>
    <w:rsid w:val="5DB8B96A"/>
    <w:rsid w:val="5DC0233C"/>
    <w:rsid w:val="5DD61D56"/>
    <w:rsid w:val="5DD7CA77"/>
    <w:rsid w:val="5DE6A322"/>
    <w:rsid w:val="5DF4703F"/>
    <w:rsid w:val="5DF58E44"/>
    <w:rsid w:val="5DF83094"/>
    <w:rsid w:val="5DF96C80"/>
    <w:rsid w:val="5E0A8523"/>
    <w:rsid w:val="5E0D2D2D"/>
    <w:rsid w:val="5E1CB2D7"/>
    <w:rsid w:val="5E261FBD"/>
    <w:rsid w:val="5E27D9FA"/>
    <w:rsid w:val="5E3646F1"/>
    <w:rsid w:val="5E367D09"/>
    <w:rsid w:val="5E36FE32"/>
    <w:rsid w:val="5E399BCA"/>
    <w:rsid w:val="5E4A3426"/>
    <w:rsid w:val="5E4A35D6"/>
    <w:rsid w:val="5E4CC8A4"/>
    <w:rsid w:val="5E5AFFB3"/>
    <w:rsid w:val="5E6B11DF"/>
    <w:rsid w:val="5E6D5157"/>
    <w:rsid w:val="5E6E12B0"/>
    <w:rsid w:val="5E6E5374"/>
    <w:rsid w:val="5E6EBB38"/>
    <w:rsid w:val="5E74F31E"/>
    <w:rsid w:val="5E7BD6B3"/>
    <w:rsid w:val="5E809696"/>
    <w:rsid w:val="5E822AF9"/>
    <w:rsid w:val="5E8CEA4B"/>
    <w:rsid w:val="5E963EC2"/>
    <w:rsid w:val="5E9AD6A7"/>
    <w:rsid w:val="5E9B0CD8"/>
    <w:rsid w:val="5E9D90F3"/>
    <w:rsid w:val="5EA25D3C"/>
    <w:rsid w:val="5EAAEF51"/>
    <w:rsid w:val="5EB8FE5F"/>
    <w:rsid w:val="5ED6ACA1"/>
    <w:rsid w:val="5EDB9DA5"/>
    <w:rsid w:val="5EE79199"/>
    <w:rsid w:val="5EF8D9CF"/>
    <w:rsid w:val="5F04D159"/>
    <w:rsid w:val="5F0503AC"/>
    <w:rsid w:val="5F05DEA6"/>
    <w:rsid w:val="5F086804"/>
    <w:rsid w:val="5F1E5E62"/>
    <w:rsid w:val="5F2C0FDB"/>
    <w:rsid w:val="5F360644"/>
    <w:rsid w:val="5F3ACFDD"/>
    <w:rsid w:val="5F44CE9D"/>
    <w:rsid w:val="5F4D8FAF"/>
    <w:rsid w:val="5F610191"/>
    <w:rsid w:val="5F61E012"/>
    <w:rsid w:val="5F630E33"/>
    <w:rsid w:val="5F89B6F8"/>
    <w:rsid w:val="5F962BBF"/>
    <w:rsid w:val="5FA26A94"/>
    <w:rsid w:val="5FA27432"/>
    <w:rsid w:val="5FA9B283"/>
    <w:rsid w:val="5FB5D615"/>
    <w:rsid w:val="5FB9AE8A"/>
    <w:rsid w:val="5FB9B1C2"/>
    <w:rsid w:val="5FBA2BB5"/>
    <w:rsid w:val="5FC9A80B"/>
    <w:rsid w:val="5FC9DD0A"/>
    <w:rsid w:val="5FCD9385"/>
    <w:rsid w:val="5FCF502C"/>
    <w:rsid w:val="5FD2B3FE"/>
    <w:rsid w:val="5FD8AA42"/>
    <w:rsid w:val="5FE14B7B"/>
    <w:rsid w:val="5FEA0C2C"/>
    <w:rsid w:val="5FF07407"/>
    <w:rsid w:val="5FF7A710"/>
    <w:rsid w:val="5FF803EF"/>
    <w:rsid w:val="5FFDCFDA"/>
    <w:rsid w:val="60048C60"/>
    <w:rsid w:val="600D318A"/>
    <w:rsid w:val="600EFEC6"/>
    <w:rsid w:val="600F9319"/>
    <w:rsid w:val="601E6A51"/>
    <w:rsid w:val="60225C3F"/>
    <w:rsid w:val="602A0645"/>
    <w:rsid w:val="602FC489"/>
    <w:rsid w:val="603288F7"/>
    <w:rsid w:val="604C19D7"/>
    <w:rsid w:val="604EBB7A"/>
    <w:rsid w:val="60530F82"/>
    <w:rsid w:val="6055803A"/>
    <w:rsid w:val="6055D0CE"/>
    <w:rsid w:val="605FA87A"/>
    <w:rsid w:val="607C613B"/>
    <w:rsid w:val="6086433F"/>
    <w:rsid w:val="609222AE"/>
    <w:rsid w:val="6095B77C"/>
    <w:rsid w:val="609A03E8"/>
    <w:rsid w:val="60A63796"/>
    <w:rsid w:val="60B326E4"/>
    <w:rsid w:val="60B3F533"/>
    <w:rsid w:val="60B425E8"/>
    <w:rsid w:val="60B8304B"/>
    <w:rsid w:val="60B9CC8D"/>
    <w:rsid w:val="60BA7D8F"/>
    <w:rsid w:val="60C30607"/>
    <w:rsid w:val="60C915D5"/>
    <w:rsid w:val="60CD546F"/>
    <w:rsid w:val="60CE4E28"/>
    <w:rsid w:val="60D2CB8D"/>
    <w:rsid w:val="60E12F40"/>
    <w:rsid w:val="60EE144E"/>
    <w:rsid w:val="60F4D4AD"/>
    <w:rsid w:val="60FA4FE4"/>
    <w:rsid w:val="6108CA43"/>
    <w:rsid w:val="610C6DD1"/>
    <w:rsid w:val="6119FC82"/>
    <w:rsid w:val="611A5664"/>
    <w:rsid w:val="6126A729"/>
    <w:rsid w:val="612853E6"/>
    <w:rsid w:val="6130A868"/>
    <w:rsid w:val="61402EF1"/>
    <w:rsid w:val="61468F28"/>
    <w:rsid w:val="61483A11"/>
    <w:rsid w:val="6148C50F"/>
    <w:rsid w:val="61587A97"/>
    <w:rsid w:val="615E2085"/>
    <w:rsid w:val="615ECA87"/>
    <w:rsid w:val="616050E3"/>
    <w:rsid w:val="6160D0DE"/>
    <w:rsid w:val="61628602"/>
    <w:rsid w:val="616B6D87"/>
    <w:rsid w:val="61718D7C"/>
    <w:rsid w:val="6172F565"/>
    <w:rsid w:val="61833C68"/>
    <w:rsid w:val="6185A838"/>
    <w:rsid w:val="6185D461"/>
    <w:rsid w:val="6187A207"/>
    <w:rsid w:val="61895623"/>
    <w:rsid w:val="61905C1B"/>
    <w:rsid w:val="6191A366"/>
    <w:rsid w:val="61947656"/>
    <w:rsid w:val="619FF431"/>
    <w:rsid w:val="61A2476C"/>
    <w:rsid w:val="61ABDDC8"/>
    <w:rsid w:val="61ADFC4D"/>
    <w:rsid w:val="61B22083"/>
    <w:rsid w:val="61B22C3C"/>
    <w:rsid w:val="61B2BCAD"/>
    <w:rsid w:val="61B38864"/>
    <w:rsid w:val="61B87B3C"/>
    <w:rsid w:val="61C2D3D8"/>
    <w:rsid w:val="61C5D02B"/>
    <w:rsid w:val="61C9BBB5"/>
    <w:rsid w:val="61D03239"/>
    <w:rsid w:val="61D7CD61"/>
    <w:rsid w:val="61DF13D8"/>
    <w:rsid w:val="61DFE578"/>
    <w:rsid w:val="61E06735"/>
    <w:rsid w:val="61E3653C"/>
    <w:rsid w:val="61E5C677"/>
    <w:rsid w:val="61E6AFE9"/>
    <w:rsid w:val="61F30BBF"/>
    <w:rsid w:val="620B5DD3"/>
    <w:rsid w:val="62176105"/>
    <w:rsid w:val="6217D328"/>
    <w:rsid w:val="621940A9"/>
    <w:rsid w:val="6222AF17"/>
    <w:rsid w:val="62254159"/>
    <w:rsid w:val="622AB1B4"/>
    <w:rsid w:val="62326514"/>
    <w:rsid w:val="6235DE81"/>
    <w:rsid w:val="6236FDFF"/>
    <w:rsid w:val="623B0197"/>
    <w:rsid w:val="62416630"/>
    <w:rsid w:val="62435D25"/>
    <w:rsid w:val="62443006"/>
    <w:rsid w:val="6244EE3C"/>
    <w:rsid w:val="62463755"/>
    <w:rsid w:val="6246BCE3"/>
    <w:rsid w:val="62582106"/>
    <w:rsid w:val="626004D8"/>
    <w:rsid w:val="62603586"/>
    <w:rsid w:val="6271FCBC"/>
    <w:rsid w:val="6273E464"/>
    <w:rsid w:val="6277EB3A"/>
    <w:rsid w:val="6282D771"/>
    <w:rsid w:val="62869AC7"/>
    <w:rsid w:val="62878532"/>
    <w:rsid w:val="628C25D1"/>
    <w:rsid w:val="628EB063"/>
    <w:rsid w:val="62932CEA"/>
    <w:rsid w:val="62948466"/>
    <w:rsid w:val="629B92CE"/>
    <w:rsid w:val="62A9FC7D"/>
    <w:rsid w:val="62BBD34F"/>
    <w:rsid w:val="62BE4862"/>
    <w:rsid w:val="62C233CA"/>
    <w:rsid w:val="62C3C4C8"/>
    <w:rsid w:val="62C3FEC9"/>
    <w:rsid w:val="62C73D15"/>
    <w:rsid w:val="62C755D4"/>
    <w:rsid w:val="62CD7DC9"/>
    <w:rsid w:val="62D011BF"/>
    <w:rsid w:val="62D65E89"/>
    <w:rsid w:val="62DCBE22"/>
    <w:rsid w:val="62EEA98D"/>
    <w:rsid w:val="62F4EEAA"/>
    <w:rsid w:val="62FF6464"/>
    <w:rsid w:val="62FFFA16"/>
    <w:rsid w:val="630C280D"/>
    <w:rsid w:val="630C4BD3"/>
    <w:rsid w:val="630FA3FB"/>
    <w:rsid w:val="6329C59A"/>
    <w:rsid w:val="632FF5EF"/>
    <w:rsid w:val="633800DE"/>
    <w:rsid w:val="63487A19"/>
    <w:rsid w:val="634D8AA5"/>
    <w:rsid w:val="635134F0"/>
    <w:rsid w:val="6353BEDA"/>
    <w:rsid w:val="6355F24A"/>
    <w:rsid w:val="635939A4"/>
    <w:rsid w:val="63597EA2"/>
    <w:rsid w:val="635B395B"/>
    <w:rsid w:val="6360E8CD"/>
    <w:rsid w:val="63654781"/>
    <w:rsid w:val="637FB253"/>
    <w:rsid w:val="6386BFBB"/>
    <w:rsid w:val="63919B09"/>
    <w:rsid w:val="639A571E"/>
    <w:rsid w:val="63A02D02"/>
    <w:rsid w:val="63B62665"/>
    <w:rsid w:val="63B68B32"/>
    <w:rsid w:val="63C562EE"/>
    <w:rsid w:val="63CE6FB6"/>
    <w:rsid w:val="63D0EBD2"/>
    <w:rsid w:val="63D5F22F"/>
    <w:rsid w:val="63DC2ECD"/>
    <w:rsid w:val="63E227AA"/>
    <w:rsid w:val="63EE4FDD"/>
    <w:rsid w:val="63F11205"/>
    <w:rsid w:val="63F85631"/>
    <w:rsid w:val="63FBA499"/>
    <w:rsid w:val="63FBB27E"/>
    <w:rsid w:val="63FBCCBC"/>
    <w:rsid w:val="640E9F18"/>
    <w:rsid w:val="64181069"/>
    <w:rsid w:val="64202123"/>
    <w:rsid w:val="64234194"/>
    <w:rsid w:val="64243D8F"/>
    <w:rsid w:val="64254F1B"/>
    <w:rsid w:val="642D431C"/>
    <w:rsid w:val="643A0005"/>
    <w:rsid w:val="64431142"/>
    <w:rsid w:val="6448232F"/>
    <w:rsid w:val="644B882D"/>
    <w:rsid w:val="644F0A5C"/>
    <w:rsid w:val="645209FD"/>
    <w:rsid w:val="645A259E"/>
    <w:rsid w:val="645C3992"/>
    <w:rsid w:val="645DA4CF"/>
    <w:rsid w:val="646F3660"/>
    <w:rsid w:val="6470D67F"/>
    <w:rsid w:val="6470E68B"/>
    <w:rsid w:val="647578FE"/>
    <w:rsid w:val="647E3902"/>
    <w:rsid w:val="6484474A"/>
    <w:rsid w:val="6484E918"/>
    <w:rsid w:val="648FC2DB"/>
    <w:rsid w:val="64AC77B1"/>
    <w:rsid w:val="64C4D3D4"/>
    <w:rsid w:val="64C88FFE"/>
    <w:rsid w:val="64D0AE4A"/>
    <w:rsid w:val="64D1313E"/>
    <w:rsid w:val="64D786E4"/>
    <w:rsid w:val="64E24F0E"/>
    <w:rsid w:val="64E7B226"/>
    <w:rsid w:val="64F0103D"/>
    <w:rsid w:val="64F92668"/>
    <w:rsid w:val="65012907"/>
    <w:rsid w:val="650E7018"/>
    <w:rsid w:val="65161D20"/>
    <w:rsid w:val="652012D4"/>
    <w:rsid w:val="6523E6F7"/>
    <w:rsid w:val="65252B7C"/>
    <w:rsid w:val="6530CF8F"/>
    <w:rsid w:val="65359B89"/>
    <w:rsid w:val="653F1BC0"/>
    <w:rsid w:val="6541FDD6"/>
    <w:rsid w:val="65429848"/>
    <w:rsid w:val="654BA307"/>
    <w:rsid w:val="654C4842"/>
    <w:rsid w:val="65500737"/>
    <w:rsid w:val="6557F39A"/>
    <w:rsid w:val="655985ED"/>
    <w:rsid w:val="65703023"/>
    <w:rsid w:val="65775C63"/>
    <w:rsid w:val="657AEF0C"/>
    <w:rsid w:val="65888ECD"/>
    <w:rsid w:val="658A30B4"/>
    <w:rsid w:val="6599275B"/>
    <w:rsid w:val="659969B9"/>
    <w:rsid w:val="65A98E86"/>
    <w:rsid w:val="65AD5BE6"/>
    <w:rsid w:val="65AE1976"/>
    <w:rsid w:val="65B4A9BB"/>
    <w:rsid w:val="65C19E6B"/>
    <w:rsid w:val="65C81700"/>
    <w:rsid w:val="65DD4E31"/>
    <w:rsid w:val="65E22D4D"/>
    <w:rsid w:val="65E436AD"/>
    <w:rsid w:val="65EF50C5"/>
    <w:rsid w:val="65FA0A25"/>
    <w:rsid w:val="660044D0"/>
    <w:rsid w:val="6604AB53"/>
    <w:rsid w:val="6607D0AF"/>
    <w:rsid w:val="66170A56"/>
    <w:rsid w:val="6625C627"/>
    <w:rsid w:val="662A14A5"/>
    <w:rsid w:val="662CA541"/>
    <w:rsid w:val="663CB449"/>
    <w:rsid w:val="663F0D71"/>
    <w:rsid w:val="6642A6D2"/>
    <w:rsid w:val="6643894E"/>
    <w:rsid w:val="6643FA9A"/>
    <w:rsid w:val="6655B6FB"/>
    <w:rsid w:val="666687F9"/>
    <w:rsid w:val="6673D5AD"/>
    <w:rsid w:val="66757C4F"/>
    <w:rsid w:val="66779D28"/>
    <w:rsid w:val="6684997D"/>
    <w:rsid w:val="668B0BEB"/>
    <w:rsid w:val="668C0EAD"/>
    <w:rsid w:val="66A775A9"/>
    <w:rsid w:val="66AA4564"/>
    <w:rsid w:val="66BACA30"/>
    <w:rsid w:val="66BC9CAE"/>
    <w:rsid w:val="66BE679B"/>
    <w:rsid w:val="66C03A84"/>
    <w:rsid w:val="66C3241C"/>
    <w:rsid w:val="66C42A9D"/>
    <w:rsid w:val="66C4A7CF"/>
    <w:rsid w:val="66C54995"/>
    <w:rsid w:val="66D75B94"/>
    <w:rsid w:val="66DF65CC"/>
    <w:rsid w:val="66E509E9"/>
    <w:rsid w:val="66EA72D2"/>
    <w:rsid w:val="66ECF162"/>
    <w:rsid w:val="66F4DE84"/>
    <w:rsid w:val="66F8D445"/>
    <w:rsid w:val="6706E23B"/>
    <w:rsid w:val="670B3409"/>
    <w:rsid w:val="670ECAB5"/>
    <w:rsid w:val="6714E3D8"/>
    <w:rsid w:val="6722494C"/>
    <w:rsid w:val="67237A6D"/>
    <w:rsid w:val="672E3538"/>
    <w:rsid w:val="672EC5DC"/>
    <w:rsid w:val="673514A4"/>
    <w:rsid w:val="673912D2"/>
    <w:rsid w:val="673A9919"/>
    <w:rsid w:val="6749CBC5"/>
    <w:rsid w:val="67521DF0"/>
    <w:rsid w:val="675861BE"/>
    <w:rsid w:val="6762445A"/>
    <w:rsid w:val="6766E3A9"/>
    <w:rsid w:val="6771E3E4"/>
    <w:rsid w:val="677DA697"/>
    <w:rsid w:val="67850F9C"/>
    <w:rsid w:val="678D6392"/>
    <w:rsid w:val="6792B138"/>
    <w:rsid w:val="67941A02"/>
    <w:rsid w:val="679EEDEF"/>
    <w:rsid w:val="67A81311"/>
    <w:rsid w:val="67B69558"/>
    <w:rsid w:val="67B864A8"/>
    <w:rsid w:val="67BE71E6"/>
    <w:rsid w:val="67BF809E"/>
    <w:rsid w:val="67C53A57"/>
    <w:rsid w:val="67E3013F"/>
    <w:rsid w:val="67ED98C4"/>
    <w:rsid w:val="67F09AE6"/>
    <w:rsid w:val="67F14030"/>
    <w:rsid w:val="67F1E0AD"/>
    <w:rsid w:val="67FAC610"/>
    <w:rsid w:val="6804CE96"/>
    <w:rsid w:val="6807168D"/>
    <w:rsid w:val="681421D1"/>
    <w:rsid w:val="6815C178"/>
    <w:rsid w:val="68184D4A"/>
    <w:rsid w:val="6818A01F"/>
    <w:rsid w:val="6820695E"/>
    <w:rsid w:val="68225655"/>
    <w:rsid w:val="6824DEE5"/>
    <w:rsid w:val="68349A14"/>
    <w:rsid w:val="683D8190"/>
    <w:rsid w:val="684E7F1B"/>
    <w:rsid w:val="684F34AE"/>
    <w:rsid w:val="6855199C"/>
    <w:rsid w:val="6855899C"/>
    <w:rsid w:val="6859F6E3"/>
    <w:rsid w:val="685A67BE"/>
    <w:rsid w:val="68623411"/>
    <w:rsid w:val="6866B240"/>
    <w:rsid w:val="68678ACA"/>
    <w:rsid w:val="6877CCAE"/>
    <w:rsid w:val="687F91A7"/>
    <w:rsid w:val="68803174"/>
    <w:rsid w:val="6883674A"/>
    <w:rsid w:val="688567F9"/>
    <w:rsid w:val="68882003"/>
    <w:rsid w:val="689FA2F4"/>
    <w:rsid w:val="689FC7B1"/>
    <w:rsid w:val="68BB00E0"/>
    <w:rsid w:val="68C2C0E7"/>
    <w:rsid w:val="68C9A757"/>
    <w:rsid w:val="68D1B633"/>
    <w:rsid w:val="68D8AB0E"/>
    <w:rsid w:val="68D8FF78"/>
    <w:rsid w:val="68E4D6B1"/>
    <w:rsid w:val="68F32577"/>
    <w:rsid w:val="68F354B9"/>
    <w:rsid w:val="69079C53"/>
    <w:rsid w:val="690A4662"/>
    <w:rsid w:val="6913608D"/>
    <w:rsid w:val="6916E403"/>
    <w:rsid w:val="691C9142"/>
    <w:rsid w:val="691CC239"/>
    <w:rsid w:val="6923541C"/>
    <w:rsid w:val="6925661D"/>
    <w:rsid w:val="692681FF"/>
    <w:rsid w:val="69299469"/>
    <w:rsid w:val="69311838"/>
    <w:rsid w:val="6938383B"/>
    <w:rsid w:val="694915DE"/>
    <w:rsid w:val="694FCEE4"/>
    <w:rsid w:val="69530A49"/>
    <w:rsid w:val="69539D3E"/>
    <w:rsid w:val="69552F68"/>
    <w:rsid w:val="6957AE81"/>
    <w:rsid w:val="69811B5E"/>
    <w:rsid w:val="6996481E"/>
    <w:rsid w:val="69A4A410"/>
    <w:rsid w:val="69A6BBFB"/>
    <w:rsid w:val="69ABB27D"/>
    <w:rsid w:val="69AC3AE4"/>
    <w:rsid w:val="69B2AC47"/>
    <w:rsid w:val="69B2DF15"/>
    <w:rsid w:val="69BD152D"/>
    <w:rsid w:val="69C6BF7D"/>
    <w:rsid w:val="69D613D6"/>
    <w:rsid w:val="69D72CDB"/>
    <w:rsid w:val="69D8B87F"/>
    <w:rsid w:val="69DA5E5D"/>
    <w:rsid w:val="69E38D54"/>
    <w:rsid w:val="69F0B592"/>
    <w:rsid w:val="69F5DD61"/>
    <w:rsid w:val="69FBCF21"/>
    <w:rsid w:val="6A0108F8"/>
    <w:rsid w:val="6A0869D1"/>
    <w:rsid w:val="6A0DEE0A"/>
    <w:rsid w:val="6A10C8CC"/>
    <w:rsid w:val="6A26C4FC"/>
    <w:rsid w:val="6A3464F2"/>
    <w:rsid w:val="6A4A103E"/>
    <w:rsid w:val="6A511408"/>
    <w:rsid w:val="6A521F08"/>
    <w:rsid w:val="6A52B080"/>
    <w:rsid w:val="6A534167"/>
    <w:rsid w:val="6A6373AA"/>
    <w:rsid w:val="6A64E696"/>
    <w:rsid w:val="6A6890E9"/>
    <w:rsid w:val="6A6DFDEF"/>
    <w:rsid w:val="6A72F167"/>
    <w:rsid w:val="6A74CA82"/>
    <w:rsid w:val="6A8EBC45"/>
    <w:rsid w:val="6A9612E1"/>
    <w:rsid w:val="6A9CAD77"/>
    <w:rsid w:val="6AA5E1F9"/>
    <w:rsid w:val="6AAB7676"/>
    <w:rsid w:val="6AB1CAD0"/>
    <w:rsid w:val="6AB6D2E4"/>
    <w:rsid w:val="6ACA6D26"/>
    <w:rsid w:val="6ACEE359"/>
    <w:rsid w:val="6AE75EA5"/>
    <w:rsid w:val="6AEA4540"/>
    <w:rsid w:val="6AEEC94F"/>
    <w:rsid w:val="6AFDE7EB"/>
    <w:rsid w:val="6B021C67"/>
    <w:rsid w:val="6B180F78"/>
    <w:rsid w:val="6B186987"/>
    <w:rsid w:val="6B1A3968"/>
    <w:rsid w:val="6B341067"/>
    <w:rsid w:val="6B387C06"/>
    <w:rsid w:val="6B3DFF14"/>
    <w:rsid w:val="6B41890C"/>
    <w:rsid w:val="6B47C4E4"/>
    <w:rsid w:val="6B536423"/>
    <w:rsid w:val="6B5E615A"/>
    <w:rsid w:val="6B704170"/>
    <w:rsid w:val="6B804C77"/>
    <w:rsid w:val="6B809ECB"/>
    <w:rsid w:val="6B81673C"/>
    <w:rsid w:val="6B81D1B3"/>
    <w:rsid w:val="6B88D9D6"/>
    <w:rsid w:val="6B8A9A0D"/>
    <w:rsid w:val="6B9E5CD2"/>
    <w:rsid w:val="6BA3AEA2"/>
    <w:rsid w:val="6BA89E15"/>
    <w:rsid w:val="6BB31D91"/>
    <w:rsid w:val="6BB4C5FC"/>
    <w:rsid w:val="6BBDB9F6"/>
    <w:rsid w:val="6BC5CBDE"/>
    <w:rsid w:val="6BD13019"/>
    <w:rsid w:val="6BD363F0"/>
    <w:rsid w:val="6BD98098"/>
    <w:rsid w:val="6BE0DE8E"/>
    <w:rsid w:val="6BEA79E9"/>
    <w:rsid w:val="6BF470E0"/>
    <w:rsid w:val="6BFB4E75"/>
    <w:rsid w:val="6BFBF279"/>
    <w:rsid w:val="6BFC585C"/>
    <w:rsid w:val="6C017914"/>
    <w:rsid w:val="6C142C8C"/>
    <w:rsid w:val="6C1C057C"/>
    <w:rsid w:val="6C2532F4"/>
    <w:rsid w:val="6C27C336"/>
    <w:rsid w:val="6C2EFC3E"/>
    <w:rsid w:val="6C349606"/>
    <w:rsid w:val="6C39A65F"/>
    <w:rsid w:val="6C426239"/>
    <w:rsid w:val="6C47FF3E"/>
    <w:rsid w:val="6C4DAF1C"/>
    <w:rsid w:val="6C5474DB"/>
    <w:rsid w:val="6C5D45C3"/>
    <w:rsid w:val="6C619519"/>
    <w:rsid w:val="6C68D98F"/>
    <w:rsid w:val="6C6A3217"/>
    <w:rsid w:val="6C6BC4C3"/>
    <w:rsid w:val="6C7E4499"/>
    <w:rsid w:val="6C8FEC8B"/>
    <w:rsid w:val="6C91000D"/>
    <w:rsid w:val="6C966292"/>
    <w:rsid w:val="6C9D7F40"/>
    <w:rsid w:val="6CB53F44"/>
    <w:rsid w:val="6CC83EA6"/>
    <w:rsid w:val="6CCA5D53"/>
    <w:rsid w:val="6CD09E45"/>
    <w:rsid w:val="6CD40F87"/>
    <w:rsid w:val="6CDF3567"/>
    <w:rsid w:val="6CED77D9"/>
    <w:rsid w:val="6CF6A6CC"/>
    <w:rsid w:val="6CF7BAA3"/>
    <w:rsid w:val="6CFE73E5"/>
    <w:rsid w:val="6CFFFB5D"/>
    <w:rsid w:val="6D06D9C1"/>
    <w:rsid w:val="6D078EA4"/>
    <w:rsid w:val="6D080E3C"/>
    <w:rsid w:val="6D0E0B98"/>
    <w:rsid w:val="6D381771"/>
    <w:rsid w:val="6D534710"/>
    <w:rsid w:val="6D55D493"/>
    <w:rsid w:val="6D598E0D"/>
    <w:rsid w:val="6D5E884D"/>
    <w:rsid w:val="6D65E224"/>
    <w:rsid w:val="6D662A85"/>
    <w:rsid w:val="6D6E5702"/>
    <w:rsid w:val="6D6EC1BE"/>
    <w:rsid w:val="6D771A00"/>
    <w:rsid w:val="6D780242"/>
    <w:rsid w:val="6D78EE5F"/>
    <w:rsid w:val="6D80339F"/>
    <w:rsid w:val="6D834199"/>
    <w:rsid w:val="6D8A908D"/>
    <w:rsid w:val="6D950D05"/>
    <w:rsid w:val="6D9796AE"/>
    <w:rsid w:val="6D9915B9"/>
    <w:rsid w:val="6DB09EA4"/>
    <w:rsid w:val="6DB351C0"/>
    <w:rsid w:val="6DB3DB45"/>
    <w:rsid w:val="6DCA10A6"/>
    <w:rsid w:val="6DCD5CB2"/>
    <w:rsid w:val="6DD2D617"/>
    <w:rsid w:val="6DD85DA5"/>
    <w:rsid w:val="6DDB90B7"/>
    <w:rsid w:val="6DDF33CE"/>
    <w:rsid w:val="6DF1CDB8"/>
    <w:rsid w:val="6DF2C33C"/>
    <w:rsid w:val="6DFBA381"/>
    <w:rsid w:val="6DFD9628"/>
    <w:rsid w:val="6E060C1F"/>
    <w:rsid w:val="6E0BBD64"/>
    <w:rsid w:val="6E0D0D55"/>
    <w:rsid w:val="6E1B7ACB"/>
    <w:rsid w:val="6E1BB95A"/>
    <w:rsid w:val="6E1C7CF3"/>
    <w:rsid w:val="6E379FE9"/>
    <w:rsid w:val="6E38D070"/>
    <w:rsid w:val="6E3F089F"/>
    <w:rsid w:val="6E459436"/>
    <w:rsid w:val="6E477B52"/>
    <w:rsid w:val="6E498249"/>
    <w:rsid w:val="6E4FC261"/>
    <w:rsid w:val="6E52C30A"/>
    <w:rsid w:val="6E5779D0"/>
    <w:rsid w:val="6E62725C"/>
    <w:rsid w:val="6E68B5F5"/>
    <w:rsid w:val="6E709445"/>
    <w:rsid w:val="6E735ECC"/>
    <w:rsid w:val="6E76BBF2"/>
    <w:rsid w:val="6E814A40"/>
    <w:rsid w:val="6E82B367"/>
    <w:rsid w:val="6E848C87"/>
    <w:rsid w:val="6E8854AD"/>
    <w:rsid w:val="6E89DE46"/>
    <w:rsid w:val="6E968ED0"/>
    <w:rsid w:val="6E9A144B"/>
    <w:rsid w:val="6EA33953"/>
    <w:rsid w:val="6EB0F4C4"/>
    <w:rsid w:val="6EBB84C8"/>
    <w:rsid w:val="6EBBDF1D"/>
    <w:rsid w:val="6ECC5782"/>
    <w:rsid w:val="6ED31595"/>
    <w:rsid w:val="6EDB1A02"/>
    <w:rsid w:val="6EDFEF77"/>
    <w:rsid w:val="6EE25F2E"/>
    <w:rsid w:val="6EF278B3"/>
    <w:rsid w:val="6EF301E2"/>
    <w:rsid w:val="6EF4B161"/>
    <w:rsid w:val="6EFB2771"/>
    <w:rsid w:val="6EFDF3F3"/>
    <w:rsid w:val="6EFF9AB2"/>
    <w:rsid w:val="6F038BF2"/>
    <w:rsid w:val="6F093CC3"/>
    <w:rsid w:val="6F0A4BDA"/>
    <w:rsid w:val="6F1E4952"/>
    <w:rsid w:val="6F25EC0E"/>
    <w:rsid w:val="6F27FB0D"/>
    <w:rsid w:val="6F2BD1AE"/>
    <w:rsid w:val="6F3129EF"/>
    <w:rsid w:val="6F39ED0E"/>
    <w:rsid w:val="6F3CA2EC"/>
    <w:rsid w:val="6F3F4CEE"/>
    <w:rsid w:val="6F4149A0"/>
    <w:rsid w:val="6F524D3F"/>
    <w:rsid w:val="6F54C28C"/>
    <w:rsid w:val="6F6624ED"/>
    <w:rsid w:val="6F726694"/>
    <w:rsid w:val="6F7A0368"/>
    <w:rsid w:val="6F82B4F5"/>
    <w:rsid w:val="6F8E1C5C"/>
    <w:rsid w:val="6F8F6CD9"/>
    <w:rsid w:val="6F9696AF"/>
    <w:rsid w:val="6FAC66F3"/>
    <w:rsid w:val="6FACCC23"/>
    <w:rsid w:val="6FAF0F6F"/>
    <w:rsid w:val="6FBD8380"/>
    <w:rsid w:val="6FC0D347"/>
    <w:rsid w:val="6FC9BCEB"/>
    <w:rsid w:val="6FD63BE4"/>
    <w:rsid w:val="6FD6A187"/>
    <w:rsid w:val="6FE15CEA"/>
    <w:rsid w:val="6FE25E26"/>
    <w:rsid w:val="6FE2F4EE"/>
    <w:rsid w:val="6FE57846"/>
    <w:rsid w:val="6FE5FCEF"/>
    <w:rsid w:val="6FE747CA"/>
    <w:rsid w:val="6FECA5BD"/>
    <w:rsid w:val="6FEE49E5"/>
    <w:rsid w:val="6FF1C4D5"/>
    <w:rsid w:val="6FFBF3C1"/>
    <w:rsid w:val="70002D6B"/>
    <w:rsid w:val="700F75EA"/>
    <w:rsid w:val="7012D25A"/>
    <w:rsid w:val="701A36E1"/>
    <w:rsid w:val="7020F1DC"/>
    <w:rsid w:val="7024CF7E"/>
    <w:rsid w:val="70282B19"/>
    <w:rsid w:val="7031362E"/>
    <w:rsid w:val="703295B4"/>
    <w:rsid w:val="7038FE8C"/>
    <w:rsid w:val="7042DEFF"/>
    <w:rsid w:val="7059E7A6"/>
    <w:rsid w:val="705E865B"/>
    <w:rsid w:val="7064329B"/>
    <w:rsid w:val="706D88AE"/>
    <w:rsid w:val="70760268"/>
    <w:rsid w:val="70787228"/>
    <w:rsid w:val="70791194"/>
    <w:rsid w:val="707C3852"/>
    <w:rsid w:val="707D3A13"/>
    <w:rsid w:val="70806B48"/>
    <w:rsid w:val="70866121"/>
    <w:rsid w:val="70876AB3"/>
    <w:rsid w:val="708CA526"/>
    <w:rsid w:val="709EBBB5"/>
    <w:rsid w:val="70A0B5AF"/>
    <w:rsid w:val="70A151C2"/>
    <w:rsid w:val="70A5F900"/>
    <w:rsid w:val="70AE376F"/>
    <w:rsid w:val="70B4C57E"/>
    <w:rsid w:val="70B4E365"/>
    <w:rsid w:val="70B66DA9"/>
    <w:rsid w:val="70BD1B39"/>
    <w:rsid w:val="70BF41D8"/>
    <w:rsid w:val="70BF9309"/>
    <w:rsid w:val="70C06FA3"/>
    <w:rsid w:val="70C6EBA0"/>
    <w:rsid w:val="70C8C5D3"/>
    <w:rsid w:val="70C94263"/>
    <w:rsid w:val="70CD5A25"/>
    <w:rsid w:val="70D0BC50"/>
    <w:rsid w:val="70D4B379"/>
    <w:rsid w:val="70DB3036"/>
    <w:rsid w:val="70E60312"/>
    <w:rsid w:val="70EC9304"/>
    <w:rsid w:val="71103322"/>
    <w:rsid w:val="711B0459"/>
    <w:rsid w:val="711BB974"/>
    <w:rsid w:val="7123D193"/>
    <w:rsid w:val="71242FF8"/>
    <w:rsid w:val="7124FDC7"/>
    <w:rsid w:val="712753AC"/>
    <w:rsid w:val="712BDCBD"/>
    <w:rsid w:val="712CFE92"/>
    <w:rsid w:val="713A9D07"/>
    <w:rsid w:val="713DC343"/>
    <w:rsid w:val="713EC701"/>
    <w:rsid w:val="7149C876"/>
    <w:rsid w:val="71627F70"/>
    <w:rsid w:val="716D7C12"/>
    <w:rsid w:val="71705D88"/>
    <w:rsid w:val="717E2060"/>
    <w:rsid w:val="717F3F68"/>
    <w:rsid w:val="718246AD"/>
    <w:rsid w:val="718870FC"/>
    <w:rsid w:val="718BABAC"/>
    <w:rsid w:val="71907A59"/>
    <w:rsid w:val="71C65C12"/>
    <w:rsid w:val="71C6B371"/>
    <w:rsid w:val="71C83548"/>
    <w:rsid w:val="71CB3F8F"/>
    <w:rsid w:val="71CD4F56"/>
    <w:rsid w:val="71DDB7A7"/>
    <w:rsid w:val="71DFE6DB"/>
    <w:rsid w:val="71E60BAC"/>
    <w:rsid w:val="7204177C"/>
    <w:rsid w:val="720559D1"/>
    <w:rsid w:val="72154726"/>
    <w:rsid w:val="721DFA74"/>
    <w:rsid w:val="72255E9A"/>
    <w:rsid w:val="722564F8"/>
    <w:rsid w:val="722AA312"/>
    <w:rsid w:val="7231319A"/>
    <w:rsid w:val="723562C4"/>
    <w:rsid w:val="7236082A"/>
    <w:rsid w:val="723C6D92"/>
    <w:rsid w:val="72401457"/>
    <w:rsid w:val="7247B470"/>
    <w:rsid w:val="724C67C5"/>
    <w:rsid w:val="724E14CC"/>
    <w:rsid w:val="724ED231"/>
    <w:rsid w:val="724FF0C5"/>
    <w:rsid w:val="72597D5C"/>
    <w:rsid w:val="725D4E0E"/>
    <w:rsid w:val="72607989"/>
    <w:rsid w:val="72612F1C"/>
    <w:rsid w:val="7273985C"/>
    <w:rsid w:val="72792560"/>
    <w:rsid w:val="727E92CB"/>
    <w:rsid w:val="727F7DF3"/>
    <w:rsid w:val="72822EAB"/>
    <w:rsid w:val="7286E292"/>
    <w:rsid w:val="7289F4EA"/>
    <w:rsid w:val="728C3D26"/>
    <w:rsid w:val="7293A09E"/>
    <w:rsid w:val="7297CBC0"/>
    <w:rsid w:val="72A7E549"/>
    <w:rsid w:val="72A879EB"/>
    <w:rsid w:val="72AE4A8C"/>
    <w:rsid w:val="72C06D34"/>
    <w:rsid w:val="72C151F8"/>
    <w:rsid w:val="72C2EB98"/>
    <w:rsid w:val="72C6CA26"/>
    <w:rsid w:val="72CB7468"/>
    <w:rsid w:val="72D1AB5D"/>
    <w:rsid w:val="72D3DA15"/>
    <w:rsid w:val="72D4BE52"/>
    <w:rsid w:val="72D52DF2"/>
    <w:rsid w:val="72D59C29"/>
    <w:rsid w:val="72D754FF"/>
    <w:rsid w:val="72DB11F2"/>
    <w:rsid w:val="72EC0EDE"/>
    <w:rsid w:val="730F567A"/>
    <w:rsid w:val="731EE819"/>
    <w:rsid w:val="7320D763"/>
    <w:rsid w:val="732CA2E4"/>
    <w:rsid w:val="7336130E"/>
    <w:rsid w:val="73366D38"/>
    <w:rsid w:val="733F9CCD"/>
    <w:rsid w:val="734361FA"/>
    <w:rsid w:val="734CD6B5"/>
    <w:rsid w:val="7357BDFE"/>
    <w:rsid w:val="735DB241"/>
    <w:rsid w:val="735EEB71"/>
    <w:rsid w:val="736B2BDA"/>
    <w:rsid w:val="7374EF1E"/>
    <w:rsid w:val="7379A4BB"/>
    <w:rsid w:val="738887FE"/>
    <w:rsid w:val="73A39990"/>
    <w:rsid w:val="73AEBB6A"/>
    <w:rsid w:val="73B4F588"/>
    <w:rsid w:val="73C0B237"/>
    <w:rsid w:val="73C2FE65"/>
    <w:rsid w:val="73C30B9E"/>
    <w:rsid w:val="73C7220F"/>
    <w:rsid w:val="73CD64E6"/>
    <w:rsid w:val="73CFCF6B"/>
    <w:rsid w:val="73DB4036"/>
    <w:rsid w:val="73E690F7"/>
    <w:rsid w:val="73EF65F1"/>
    <w:rsid w:val="73F1A6AA"/>
    <w:rsid w:val="73FAD9EC"/>
    <w:rsid w:val="74042222"/>
    <w:rsid w:val="741BC723"/>
    <w:rsid w:val="74243DB2"/>
    <w:rsid w:val="742446C2"/>
    <w:rsid w:val="7428912F"/>
    <w:rsid w:val="74318A0E"/>
    <w:rsid w:val="743649DC"/>
    <w:rsid w:val="743C828F"/>
    <w:rsid w:val="744860E2"/>
    <w:rsid w:val="7449C8FD"/>
    <w:rsid w:val="744A5AFB"/>
    <w:rsid w:val="745311B8"/>
    <w:rsid w:val="74603AD5"/>
    <w:rsid w:val="746040A9"/>
    <w:rsid w:val="7460CE47"/>
    <w:rsid w:val="747C479E"/>
    <w:rsid w:val="7481756B"/>
    <w:rsid w:val="74821BE6"/>
    <w:rsid w:val="7483E427"/>
    <w:rsid w:val="748A39AA"/>
    <w:rsid w:val="748C6B6E"/>
    <w:rsid w:val="7496F9F3"/>
    <w:rsid w:val="749EDF42"/>
    <w:rsid w:val="749F6CB0"/>
    <w:rsid w:val="74A8D0D3"/>
    <w:rsid w:val="74AB591D"/>
    <w:rsid w:val="74ADE642"/>
    <w:rsid w:val="74B12F8D"/>
    <w:rsid w:val="74B460A6"/>
    <w:rsid w:val="74B50590"/>
    <w:rsid w:val="74B567D0"/>
    <w:rsid w:val="74BACF62"/>
    <w:rsid w:val="74BEC117"/>
    <w:rsid w:val="74C65A51"/>
    <w:rsid w:val="74C7BBD9"/>
    <w:rsid w:val="74DBDB98"/>
    <w:rsid w:val="74DE81F3"/>
    <w:rsid w:val="74DF5EF4"/>
    <w:rsid w:val="74E6C809"/>
    <w:rsid w:val="74F95955"/>
    <w:rsid w:val="74FA084F"/>
    <w:rsid w:val="74FD98F3"/>
    <w:rsid w:val="74FEF383"/>
    <w:rsid w:val="75059087"/>
    <w:rsid w:val="75080883"/>
    <w:rsid w:val="75109C52"/>
    <w:rsid w:val="7511E85E"/>
    <w:rsid w:val="75126D3C"/>
    <w:rsid w:val="751781F1"/>
    <w:rsid w:val="7517E2C4"/>
    <w:rsid w:val="75187EAF"/>
    <w:rsid w:val="7518C6F7"/>
    <w:rsid w:val="752177A1"/>
    <w:rsid w:val="75230329"/>
    <w:rsid w:val="7528ED1A"/>
    <w:rsid w:val="752AA81E"/>
    <w:rsid w:val="752B7175"/>
    <w:rsid w:val="753F1C8A"/>
    <w:rsid w:val="7548ABA1"/>
    <w:rsid w:val="7551CAD9"/>
    <w:rsid w:val="7561729B"/>
    <w:rsid w:val="756B6A7B"/>
    <w:rsid w:val="7572EA15"/>
    <w:rsid w:val="7582C3C7"/>
    <w:rsid w:val="75904533"/>
    <w:rsid w:val="7593D85F"/>
    <w:rsid w:val="75961554"/>
    <w:rsid w:val="759FA9A5"/>
    <w:rsid w:val="75A16D02"/>
    <w:rsid w:val="75A55D9B"/>
    <w:rsid w:val="75A5A493"/>
    <w:rsid w:val="75BD73B7"/>
    <w:rsid w:val="75CB6E5D"/>
    <w:rsid w:val="75D3C30E"/>
    <w:rsid w:val="75D771B2"/>
    <w:rsid w:val="75D8BB9B"/>
    <w:rsid w:val="75D9D533"/>
    <w:rsid w:val="75E28B71"/>
    <w:rsid w:val="75EF066E"/>
    <w:rsid w:val="75EF509C"/>
    <w:rsid w:val="75EFE7A9"/>
    <w:rsid w:val="75F16B92"/>
    <w:rsid w:val="75F196F4"/>
    <w:rsid w:val="7607FE19"/>
    <w:rsid w:val="760D2D73"/>
    <w:rsid w:val="760D7C29"/>
    <w:rsid w:val="762F6AED"/>
    <w:rsid w:val="7644ADAE"/>
    <w:rsid w:val="764B30B3"/>
    <w:rsid w:val="76573514"/>
    <w:rsid w:val="765C4BB6"/>
    <w:rsid w:val="7671603E"/>
    <w:rsid w:val="7672701D"/>
    <w:rsid w:val="7676838B"/>
    <w:rsid w:val="76878585"/>
    <w:rsid w:val="768ACD8A"/>
    <w:rsid w:val="768E4D92"/>
    <w:rsid w:val="7695CDB2"/>
    <w:rsid w:val="7696A392"/>
    <w:rsid w:val="7697B1A4"/>
    <w:rsid w:val="769AAEAA"/>
    <w:rsid w:val="769DC997"/>
    <w:rsid w:val="769E9DED"/>
    <w:rsid w:val="76AF6830"/>
    <w:rsid w:val="76B8D81C"/>
    <w:rsid w:val="76BBAE2D"/>
    <w:rsid w:val="76BDA087"/>
    <w:rsid w:val="76C7E5D6"/>
    <w:rsid w:val="76C92B3E"/>
    <w:rsid w:val="76CB8A82"/>
    <w:rsid w:val="76E0D7C0"/>
    <w:rsid w:val="76E88F84"/>
    <w:rsid w:val="76ECA015"/>
    <w:rsid w:val="76F2E0B2"/>
    <w:rsid w:val="76F6E632"/>
    <w:rsid w:val="76F9319F"/>
    <w:rsid w:val="76FA0EAD"/>
    <w:rsid w:val="7709BD84"/>
    <w:rsid w:val="771A5320"/>
    <w:rsid w:val="772F5AEF"/>
    <w:rsid w:val="7748AB80"/>
    <w:rsid w:val="774B839D"/>
    <w:rsid w:val="774D871D"/>
    <w:rsid w:val="7751046B"/>
    <w:rsid w:val="77583A6B"/>
    <w:rsid w:val="7758693A"/>
    <w:rsid w:val="77596317"/>
    <w:rsid w:val="775AC59F"/>
    <w:rsid w:val="775C70C8"/>
    <w:rsid w:val="776216A3"/>
    <w:rsid w:val="7767986E"/>
    <w:rsid w:val="776CE141"/>
    <w:rsid w:val="776DC189"/>
    <w:rsid w:val="777093C0"/>
    <w:rsid w:val="77749702"/>
    <w:rsid w:val="777B9150"/>
    <w:rsid w:val="778BF8A6"/>
    <w:rsid w:val="779A2CB5"/>
    <w:rsid w:val="779B273B"/>
    <w:rsid w:val="779F38D4"/>
    <w:rsid w:val="77B11162"/>
    <w:rsid w:val="77B41F47"/>
    <w:rsid w:val="77CD600A"/>
    <w:rsid w:val="77CF0B1E"/>
    <w:rsid w:val="77CF4658"/>
    <w:rsid w:val="77D50B0D"/>
    <w:rsid w:val="77DF2210"/>
    <w:rsid w:val="77E01E9D"/>
    <w:rsid w:val="77E81595"/>
    <w:rsid w:val="77EBB6E0"/>
    <w:rsid w:val="77F559C7"/>
    <w:rsid w:val="7815BABD"/>
    <w:rsid w:val="7819B888"/>
    <w:rsid w:val="7820902C"/>
    <w:rsid w:val="782ACF7D"/>
    <w:rsid w:val="782EBCC5"/>
    <w:rsid w:val="783457BD"/>
    <w:rsid w:val="783BC605"/>
    <w:rsid w:val="78506711"/>
    <w:rsid w:val="7851A371"/>
    <w:rsid w:val="78542CCE"/>
    <w:rsid w:val="785A0745"/>
    <w:rsid w:val="7863BD8A"/>
    <w:rsid w:val="786FB156"/>
    <w:rsid w:val="7876A942"/>
    <w:rsid w:val="787708C6"/>
    <w:rsid w:val="7877E994"/>
    <w:rsid w:val="78787CD4"/>
    <w:rsid w:val="787B8E8F"/>
    <w:rsid w:val="787FCDB1"/>
    <w:rsid w:val="78816B07"/>
    <w:rsid w:val="789C4CCF"/>
    <w:rsid w:val="789C9E10"/>
    <w:rsid w:val="789CE536"/>
    <w:rsid w:val="78B46322"/>
    <w:rsid w:val="78BEA71E"/>
    <w:rsid w:val="78CA3C1E"/>
    <w:rsid w:val="78CBFDB1"/>
    <w:rsid w:val="78E71B85"/>
    <w:rsid w:val="78EC8FA5"/>
    <w:rsid w:val="78EE36EA"/>
    <w:rsid w:val="78F6A393"/>
    <w:rsid w:val="78FBAD46"/>
    <w:rsid w:val="78FDC15E"/>
    <w:rsid w:val="79071980"/>
    <w:rsid w:val="790B51FA"/>
    <w:rsid w:val="79174057"/>
    <w:rsid w:val="791D6352"/>
    <w:rsid w:val="791E153B"/>
    <w:rsid w:val="7925A4F0"/>
    <w:rsid w:val="79280D66"/>
    <w:rsid w:val="7929F776"/>
    <w:rsid w:val="792B2A66"/>
    <w:rsid w:val="793051C8"/>
    <w:rsid w:val="79389812"/>
    <w:rsid w:val="7944AA63"/>
    <w:rsid w:val="7944EF1C"/>
    <w:rsid w:val="7946A4A8"/>
    <w:rsid w:val="794A5841"/>
    <w:rsid w:val="794D6F15"/>
    <w:rsid w:val="795278EE"/>
    <w:rsid w:val="79538A42"/>
    <w:rsid w:val="795AA12C"/>
    <w:rsid w:val="795DD621"/>
    <w:rsid w:val="7964E2A2"/>
    <w:rsid w:val="79666EF3"/>
    <w:rsid w:val="79672E6B"/>
    <w:rsid w:val="7975E380"/>
    <w:rsid w:val="79836096"/>
    <w:rsid w:val="79976A96"/>
    <w:rsid w:val="79984BE2"/>
    <w:rsid w:val="799B48D4"/>
    <w:rsid w:val="799F78DA"/>
    <w:rsid w:val="79ABA664"/>
    <w:rsid w:val="79B09831"/>
    <w:rsid w:val="79BBE312"/>
    <w:rsid w:val="79C09921"/>
    <w:rsid w:val="79C0C0E3"/>
    <w:rsid w:val="79CB3532"/>
    <w:rsid w:val="79D60838"/>
    <w:rsid w:val="79D88BA0"/>
    <w:rsid w:val="79E3C71B"/>
    <w:rsid w:val="79E87BDB"/>
    <w:rsid w:val="79EC96A5"/>
    <w:rsid w:val="79F5159F"/>
    <w:rsid w:val="79FEFB74"/>
    <w:rsid w:val="7A00ECA1"/>
    <w:rsid w:val="7A037E9E"/>
    <w:rsid w:val="7A03D9FE"/>
    <w:rsid w:val="7A070E54"/>
    <w:rsid w:val="7A0D2018"/>
    <w:rsid w:val="7A0E128C"/>
    <w:rsid w:val="7A0EE743"/>
    <w:rsid w:val="7A1302F1"/>
    <w:rsid w:val="7A153B28"/>
    <w:rsid w:val="7A15B252"/>
    <w:rsid w:val="7A224CD6"/>
    <w:rsid w:val="7A28CA63"/>
    <w:rsid w:val="7A2C0DD5"/>
    <w:rsid w:val="7A2F2B59"/>
    <w:rsid w:val="7A35EC25"/>
    <w:rsid w:val="7A38CA4C"/>
    <w:rsid w:val="7A3CEC61"/>
    <w:rsid w:val="7A3D5982"/>
    <w:rsid w:val="7A4402BF"/>
    <w:rsid w:val="7A4472D6"/>
    <w:rsid w:val="7A45739F"/>
    <w:rsid w:val="7A486A92"/>
    <w:rsid w:val="7A48AD4A"/>
    <w:rsid w:val="7A4E1F61"/>
    <w:rsid w:val="7A4F8609"/>
    <w:rsid w:val="7A53EAED"/>
    <w:rsid w:val="7A600E63"/>
    <w:rsid w:val="7A6E998E"/>
    <w:rsid w:val="7A70371A"/>
    <w:rsid w:val="7A8B6FB8"/>
    <w:rsid w:val="7A8D4E39"/>
    <w:rsid w:val="7A8F2827"/>
    <w:rsid w:val="7A8F30B7"/>
    <w:rsid w:val="7A93DF68"/>
    <w:rsid w:val="7A97E47F"/>
    <w:rsid w:val="7A9CCB1D"/>
    <w:rsid w:val="7A9D55DC"/>
    <w:rsid w:val="7AA154A7"/>
    <w:rsid w:val="7AB02DDC"/>
    <w:rsid w:val="7AB17BE0"/>
    <w:rsid w:val="7AB1E312"/>
    <w:rsid w:val="7AB81ECA"/>
    <w:rsid w:val="7AB896C8"/>
    <w:rsid w:val="7AB8DD43"/>
    <w:rsid w:val="7AC1C46B"/>
    <w:rsid w:val="7AC7DAE6"/>
    <w:rsid w:val="7ADDADAA"/>
    <w:rsid w:val="7AE1E661"/>
    <w:rsid w:val="7AE8F652"/>
    <w:rsid w:val="7AEBF048"/>
    <w:rsid w:val="7AEFB1AD"/>
    <w:rsid w:val="7AF27D3F"/>
    <w:rsid w:val="7AF3F04B"/>
    <w:rsid w:val="7AF8491C"/>
    <w:rsid w:val="7AFBCE64"/>
    <w:rsid w:val="7B0333F9"/>
    <w:rsid w:val="7B0848DA"/>
    <w:rsid w:val="7B0D2968"/>
    <w:rsid w:val="7B1B0548"/>
    <w:rsid w:val="7B1BD0D0"/>
    <w:rsid w:val="7B21D77B"/>
    <w:rsid w:val="7B2C5F76"/>
    <w:rsid w:val="7B2F79F6"/>
    <w:rsid w:val="7B32DEBB"/>
    <w:rsid w:val="7B3C9D1E"/>
    <w:rsid w:val="7B3DCC9C"/>
    <w:rsid w:val="7B49F114"/>
    <w:rsid w:val="7B4D47B2"/>
    <w:rsid w:val="7B51D327"/>
    <w:rsid w:val="7B71E351"/>
    <w:rsid w:val="7B805400"/>
    <w:rsid w:val="7B8436B7"/>
    <w:rsid w:val="7B890AB5"/>
    <w:rsid w:val="7B91D937"/>
    <w:rsid w:val="7BA1CF50"/>
    <w:rsid w:val="7BA26CBC"/>
    <w:rsid w:val="7BA7051A"/>
    <w:rsid w:val="7BAA44D6"/>
    <w:rsid w:val="7BB878E4"/>
    <w:rsid w:val="7BC7BA65"/>
    <w:rsid w:val="7BC8B0EE"/>
    <w:rsid w:val="7BCB81A0"/>
    <w:rsid w:val="7BCBFC96"/>
    <w:rsid w:val="7BD264D4"/>
    <w:rsid w:val="7BD490B2"/>
    <w:rsid w:val="7BD5FD61"/>
    <w:rsid w:val="7BE2E937"/>
    <w:rsid w:val="7BE3357E"/>
    <w:rsid w:val="7BE78A27"/>
    <w:rsid w:val="7BFA56E7"/>
    <w:rsid w:val="7C0654F4"/>
    <w:rsid w:val="7C068C3B"/>
    <w:rsid w:val="7C08D505"/>
    <w:rsid w:val="7C31B250"/>
    <w:rsid w:val="7C329ED2"/>
    <w:rsid w:val="7C335859"/>
    <w:rsid w:val="7C37392E"/>
    <w:rsid w:val="7C3B27CF"/>
    <w:rsid w:val="7C4377D5"/>
    <w:rsid w:val="7C4D54B9"/>
    <w:rsid w:val="7C4FDEF5"/>
    <w:rsid w:val="7C53E3FB"/>
    <w:rsid w:val="7C5C26FA"/>
    <w:rsid w:val="7C63B46C"/>
    <w:rsid w:val="7C706A67"/>
    <w:rsid w:val="7C71A6CD"/>
    <w:rsid w:val="7C8490A5"/>
    <w:rsid w:val="7C918078"/>
    <w:rsid w:val="7CA541D5"/>
    <w:rsid w:val="7CB2321C"/>
    <w:rsid w:val="7CBA0404"/>
    <w:rsid w:val="7CBEE285"/>
    <w:rsid w:val="7CC38533"/>
    <w:rsid w:val="7CC4A874"/>
    <w:rsid w:val="7CC6C225"/>
    <w:rsid w:val="7CF01FC5"/>
    <w:rsid w:val="7CF7F600"/>
    <w:rsid w:val="7CF9EE01"/>
    <w:rsid w:val="7CFCFD11"/>
    <w:rsid w:val="7D06E451"/>
    <w:rsid w:val="7D268828"/>
    <w:rsid w:val="7D2CC10F"/>
    <w:rsid w:val="7D2F4A85"/>
    <w:rsid w:val="7D3143DB"/>
    <w:rsid w:val="7D35A01E"/>
    <w:rsid w:val="7D4373E6"/>
    <w:rsid w:val="7D45A948"/>
    <w:rsid w:val="7D512820"/>
    <w:rsid w:val="7D5486F4"/>
    <w:rsid w:val="7D66CD8A"/>
    <w:rsid w:val="7D7090AC"/>
    <w:rsid w:val="7D728D48"/>
    <w:rsid w:val="7D73D21D"/>
    <w:rsid w:val="7D8224A0"/>
    <w:rsid w:val="7D90D79F"/>
    <w:rsid w:val="7D9486BA"/>
    <w:rsid w:val="7D958D05"/>
    <w:rsid w:val="7DAA527E"/>
    <w:rsid w:val="7DAB06C8"/>
    <w:rsid w:val="7DB0F2AF"/>
    <w:rsid w:val="7DB1D9F2"/>
    <w:rsid w:val="7DB5E5FC"/>
    <w:rsid w:val="7DC03CF0"/>
    <w:rsid w:val="7DD24B16"/>
    <w:rsid w:val="7DD864F1"/>
    <w:rsid w:val="7DE475C5"/>
    <w:rsid w:val="7DE83AA3"/>
    <w:rsid w:val="7DF3A463"/>
    <w:rsid w:val="7DF99EFE"/>
    <w:rsid w:val="7DFA609A"/>
    <w:rsid w:val="7DFC746A"/>
    <w:rsid w:val="7E03BE19"/>
    <w:rsid w:val="7E10215C"/>
    <w:rsid w:val="7E13553B"/>
    <w:rsid w:val="7E13E911"/>
    <w:rsid w:val="7E13F49B"/>
    <w:rsid w:val="7E160005"/>
    <w:rsid w:val="7E1756FF"/>
    <w:rsid w:val="7E30247B"/>
    <w:rsid w:val="7E3442EE"/>
    <w:rsid w:val="7E37CCCC"/>
    <w:rsid w:val="7E49DA13"/>
    <w:rsid w:val="7E559A59"/>
    <w:rsid w:val="7E57E5FF"/>
    <w:rsid w:val="7E6B6BE6"/>
    <w:rsid w:val="7E7843F7"/>
    <w:rsid w:val="7E80939B"/>
    <w:rsid w:val="7E839ECF"/>
    <w:rsid w:val="7E87F2D2"/>
    <w:rsid w:val="7E8F4476"/>
    <w:rsid w:val="7E99176C"/>
    <w:rsid w:val="7EA9C2B5"/>
    <w:rsid w:val="7EB7108D"/>
    <w:rsid w:val="7EBDAE9C"/>
    <w:rsid w:val="7EC180AF"/>
    <w:rsid w:val="7EC2B1BF"/>
    <w:rsid w:val="7ED4ACB9"/>
    <w:rsid w:val="7EE625F0"/>
    <w:rsid w:val="7EF71F35"/>
    <w:rsid w:val="7EFF03F9"/>
    <w:rsid w:val="7F03678F"/>
    <w:rsid w:val="7F05C1E1"/>
    <w:rsid w:val="7F0F68CF"/>
    <w:rsid w:val="7F10197D"/>
    <w:rsid w:val="7F16880C"/>
    <w:rsid w:val="7F2DA822"/>
    <w:rsid w:val="7F3F0528"/>
    <w:rsid w:val="7F46F081"/>
    <w:rsid w:val="7F47538A"/>
    <w:rsid w:val="7F4CF648"/>
    <w:rsid w:val="7F505E20"/>
    <w:rsid w:val="7F602AE9"/>
    <w:rsid w:val="7F6C8D93"/>
    <w:rsid w:val="7F6F15E3"/>
    <w:rsid w:val="7F73CAB0"/>
    <w:rsid w:val="7F748735"/>
    <w:rsid w:val="7F778989"/>
    <w:rsid w:val="7F7BD413"/>
    <w:rsid w:val="7F7E9302"/>
    <w:rsid w:val="7F86003C"/>
    <w:rsid w:val="7F86778B"/>
    <w:rsid w:val="7F9131F1"/>
    <w:rsid w:val="7FAC9202"/>
    <w:rsid w:val="7FB07D70"/>
    <w:rsid w:val="7FBAEB32"/>
    <w:rsid w:val="7FBE717D"/>
    <w:rsid w:val="7FD0000B"/>
    <w:rsid w:val="7FD1025F"/>
    <w:rsid w:val="7FD5161D"/>
    <w:rsid w:val="7FD9010C"/>
    <w:rsid w:val="7FE13923"/>
    <w:rsid w:val="7FE176F9"/>
    <w:rsid w:val="7FEC61A2"/>
    <w:rsid w:val="7FEC9D17"/>
    <w:rsid w:val="7FEF23F8"/>
    <w:rsid w:val="7FF8FF79"/>
    <w:rsid w:val="7FFC5007"/>
    <w:rsid w:val="7FFF61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0DA8B2C"/>
  <w15:docId w15:val="{F971DBD8-F059-45B8-8729-18D6F46D0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1685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C7286"/>
    <w:pPr>
      <w:keepNext/>
      <w:keepLines/>
      <w:spacing w:before="40" w:after="12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3E1F3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ManualHeading1">
    <w:name w:val="Manual Heading 1"/>
    <w:basedOn w:val="Normal"/>
    <w:next w:val="Normal"/>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styleId="FootnoteText">
    <w:name w:val="footnote text"/>
    <w:aliases w:val="Note de bas de page Car Car,Car,Testo nota a piè di pagina_Rientro,stile 1,Footnote1,Footnote2,Footnote3,Footnote4,Footnote5,Footnote6,Footnote7,Footnote8,Footnote9,Footnote10,Footnote11,Footnote21,Footnote31,Footnote41,ft,fn,Fußnotentextf"/>
    <w:basedOn w:val="Normal"/>
    <w:link w:val="FootnoteTextChar"/>
    <w:unhideWhenUsed/>
    <w:qFormat/>
    <w:pPr>
      <w:spacing w:after="0" w:line="240" w:lineRule="auto"/>
    </w:pPr>
    <w:rPr>
      <w:sz w:val="20"/>
      <w:szCs w:val="20"/>
    </w:rPr>
  </w:style>
  <w:style w:type="character" w:customStyle="1" w:styleId="FootnoteTextChar">
    <w:name w:val="Footnote Text Char"/>
    <w:aliases w:val="Note de bas de page Car Car Char,Car Char,Testo nota a piè di pagina_Rientro Char,stile 1 Char,Footnote1 Char,Footnote2 Char,Footnote3 Char,Footnote4 Char,Footnote5 Char,Footnote6 Char,Footnote7 Char,Footnote8 Char,Footnote9 Char"/>
    <w:basedOn w:val="DefaultParagraphFont"/>
    <w:link w:val="FootnoteText"/>
    <w:qFormat/>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ListParagraph">
    <w:name w:val="List Paragraph"/>
    <w:aliases w:val="Task Body,Viñetas (Inicio Parrafo),3 Txt tabla,Zerrenda-paragrafoa,Lista multicolor - Énfasis 11,Normal bullet 2,Bullet list,List Paragraph1,Numbered List,1st level - Bullet List Paragraph,Lettre d'introduction,Paragrafo elenco,L,CV text"/>
    <w:basedOn w:val="Normal"/>
    <w:link w:val="ListParagraphChar"/>
    <w:uiPriority w:val="34"/>
    <w:qFormat/>
    <w:pPr>
      <w:spacing w:after="160" w:line="259" w:lineRule="auto"/>
      <w:ind w:left="720"/>
      <w:contextualSpacing/>
    </w:pPr>
  </w:style>
  <w:style w:type="character" w:customStyle="1" w:styleId="ListParagraphChar">
    <w:name w:val="List Paragraph Char"/>
    <w:aliases w:val="Task Body Char,Viñetas (Inicio Parrafo) Char,3 Txt tabla Char,Zerrenda-paragrafoa Char,Lista multicolor - Énfasis 11 Char,Normal bullet 2 Char,Bullet list Char,List Paragraph1 Char,Numbered List Char,Lettre d'introduction Char,L Char"/>
    <w:link w:val="ListParagraph"/>
    <w:uiPriority w:val="34"/>
    <w:qFormat/>
    <w:locked/>
  </w:style>
  <w:style w:type="paragraph" w:styleId="NoSpacing">
    <w:name w:val="No Spacing"/>
    <w:uiPriority w:val="1"/>
    <w:qFormat/>
    <w:pPr>
      <w:spacing w:after="0" w:line="240" w:lineRule="auto"/>
    </w:pPr>
  </w:style>
  <w:style w:type="table" w:styleId="TableGrid">
    <w:name w:val="Table Grid"/>
    <w:basedOn w:val="TableNormal"/>
    <w:uiPriority w:val="59"/>
    <w:pPr>
      <w:spacing w:after="0" w:line="240" w:lineRule="auto"/>
    </w:pPr>
    <w:tblPr/>
  </w:style>
  <w:style w:type="table" w:customStyle="1" w:styleId="GridTable4-Accent51">
    <w:name w:val="Grid Table 4 - Accent 51"/>
    <w:basedOn w:val="TableNormal"/>
    <w:uiPriority w:val="49"/>
    <w:pPr>
      <w:spacing w:after="0" w:line="240" w:lineRule="auto"/>
    </w:pPr>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customStyle="1" w:styleId="GridTable4-Accent510">
    <w:name w:val="Grid Table 4 - Accent 510"/>
    <w:basedOn w:val="TableNormal"/>
    <w:next w:val="GridTable4-Accent51"/>
    <w:uiPriority w:val="49"/>
    <w:pPr>
      <w:spacing w:after="0" w:line="240" w:lineRule="auto"/>
    </w:pPr>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None">
    <w:name w:val="None"/>
  </w:style>
  <w:style w:type="character" w:customStyle="1" w:styleId="Heading2Char">
    <w:name w:val="Heading 2 Char"/>
    <w:basedOn w:val="DefaultParagraphFont"/>
    <w:link w:val="Heading2"/>
    <w:uiPriority w:val="9"/>
    <w:rsid w:val="003C7286"/>
    <w:rPr>
      <w:rFonts w:ascii="Times New Roman" w:eastAsiaTheme="majorEastAsia" w:hAnsi="Times New Roman" w:cstheme="majorBidi"/>
      <w:b/>
      <w:sz w:val="24"/>
      <w:szCs w:val="26"/>
    </w:rPr>
  </w:style>
  <w:style w:type="paragraph" w:styleId="Revision">
    <w:name w:val="Revision"/>
    <w:hidden/>
    <w:uiPriority w:val="99"/>
    <w:semiHidden/>
    <w:rsid w:val="00C52619"/>
    <w:pPr>
      <w:spacing w:after="0" w:line="240" w:lineRule="auto"/>
    </w:pPr>
  </w:style>
  <w:style w:type="paragraph" w:customStyle="1" w:styleId="CharCharChar">
    <w:name w:val="Char Char Char"/>
    <w:basedOn w:val="Normal"/>
    <w:link w:val="FootnoteReference"/>
    <w:rsid w:val="00F60977"/>
    <w:pPr>
      <w:spacing w:after="120" w:line="240" w:lineRule="exact"/>
      <w:jc w:val="both"/>
    </w:pPr>
    <w:rPr>
      <w:vertAlign w:val="superscript"/>
    </w:rPr>
  </w:style>
  <w:style w:type="character" w:customStyle="1" w:styleId="Heading1Char">
    <w:name w:val="Heading 1 Char"/>
    <w:basedOn w:val="DefaultParagraphFont"/>
    <w:link w:val="Heading1"/>
    <w:uiPriority w:val="9"/>
    <w:rsid w:val="00216855"/>
    <w:rPr>
      <w:rFonts w:asciiTheme="majorHAnsi" w:eastAsiaTheme="majorEastAsia" w:hAnsiTheme="majorHAnsi" w:cstheme="majorBidi"/>
      <w:color w:val="365F91" w:themeColor="accent1" w:themeShade="BF"/>
      <w:sz w:val="32"/>
      <w:szCs w:val="32"/>
    </w:rPr>
  </w:style>
  <w:style w:type="paragraph" w:styleId="EndnoteText">
    <w:name w:val="endnote text"/>
    <w:basedOn w:val="Normal"/>
    <w:uiPriority w:val="99"/>
    <w:semiHidden/>
    <w:unhideWhenUsed/>
    <w:rsid w:val="6655B6FB"/>
    <w:pPr>
      <w:spacing w:after="0" w:line="240" w:lineRule="auto"/>
    </w:pPr>
    <w:rPr>
      <w:sz w:val="20"/>
      <w:szCs w:val="20"/>
    </w:rPr>
  </w:style>
  <w:style w:type="character" w:customStyle="1" w:styleId="UnresolvedMention">
    <w:name w:val="Unresolved Mention"/>
    <w:basedOn w:val="DefaultParagraphFont"/>
    <w:uiPriority w:val="99"/>
    <w:semiHidden/>
    <w:unhideWhenUsed/>
    <w:rsid w:val="00C017F7"/>
    <w:rPr>
      <w:color w:val="605E5C"/>
      <w:shd w:val="clear" w:color="auto" w:fill="E1DFDD"/>
    </w:rPr>
  </w:style>
  <w:style w:type="table" w:customStyle="1" w:styleId="BodyTable">
    <w:name w:val="Body Table"/>
    <w:basedOn w:val="TableGrid"/>
    <w:uiPriority w:val="10"/>
    <w:rsid w:val="00B16399"/>
    <w:pPr>
      <w:spacing w:before="40" w:after="40"/>
    </w:pPr>
    <w:rPr>
      <w:rFonts w:ascii="Arial" w:eastAsia="Times New Roman" w:hAnsi="Arial" w:cs="Times New Roman"/>
      <w:sz w:val="18"/>
      <w:szCs w:val="20"/>
      <w:lang w:eastAsia="ja-JP"/>
    </w:rPr>
    <w:tblPr>
      <w:tblCellSpacing w:w="14" w:type="dxa"/>
      <w:tblBorders>
        <w:top w:val="single" w:sz="2" w:space="0" w:color="FFFFFF"/>
        <w:left w:val="single" w:sz="2" w:space="0" w:color="FFFFFF"/>
        <w:bottom w:val="single" w:sz="2" w:space="0" w:color="FFFFFF"/>
        <w:right w:val="single" w:sz="2" w:space="0" w:color="FFFFFF"/>
        <w:insideH w:val="single" w:sz="4" w:space="0" w:color="FFFFFF"/>
        <w:insideV w:val="single" w:sz="4" w:space="0" w:color="FFFFFF"/>
      </w:tblBorders>
      <w:tblCellMar>
        <w:left w:w="113" w:type="dxa"/>
        <w:right w:w="113" w:type="dxa"/>
      </w:tblCellMar>
    </w:tblPr>
    <w:trPr>
      <w:cantSplit/>
      <w:tblCellSpacing w:w="14" w:type="dxa"/>
    </w:trPr>
    <w:tcPr>
      <w:shd w:val="clear" w:color="auto" w:fill="F2F2F2"/>
      <w:vAlign w:val="center"/>
    </w:tcPr>
    <w:tblStylePr w:type="firstRow">
      <w:pPr>
        <w:keepLines/>
        <w:spacing w:before="120" w:after="120" w:line="240" w:lineRule="auto"/>
        <w:jc w:val="center"/>
      </w:pPr>
      <w:rPr>
        <w:rFonts w:ascii="Arial" w:hAnsi="Arial"/>
        <w:b w:val="0"/>
        <w:color w:val="FFFFFF"/>
        <w:sz w:val="20"/>
      </w:rPr>
      <w:tblPr/>
      <w:trPr>
        <w:cantSplit/>
        <w:tblHeader/>
      </w:trPr>
      <w:tcPr>
        <w:tcBorders>
          <w:bottom w:val="single" w:sz="4" w:space="0" w:color="FFFFFF"/>
          <w:insideH w:val="single" w:sz="2" w:space="0" w:color="FFFFFF"/>
          <w:insideV w:val="single" w:sz="2" w:space="0" w:color="FFFFFF"/>
        </w:tcBorders>
        <w:shd w:val="clear" w:color="auto" w:fill="1F497D" w:themeFill="text2"/>
        <w:vAlign w:val="center"/>
      </w:tcPr>
    </w:tblStyle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qFormat/>
    <w:rsid w:val="00B16399"/>
    <w:pPr>
      <w:spacing w:before="60" w:after="160" w:line="240" w:lineRule="exact"/>
      <w:jc w:val="both"/>
    </w:pPr>
    <w:rPr>
      <w:rFonts w:ascii="Arial" w:eastAsia="Times New Roman" w:hAnsi="Arial" w:cs="Times New Roman"/>
      <w:sz w:val="24"/>
      <w:szCs w:val="20"/>
      <w:vertAlign w:val="superscript"/>
      <w:lang w:eastAsia="en-IE"/>
    </w:rPr>
  </w:style>
  <w:style w:type="character" w:styleId="FollowedHyperlink">
    <w:name w:val="FollowedHyperlink"/>
    <w:basedOn w:val="DefaultParagraphFont"/>
    <w:uiPriority w:val="99"/>
    <w:semiHidden/>
    <w:unhideWhenUsed/>
    <w:rsid w:val="008B3BAD"/>
    <w:rPr>
      <w:color w:val="800080" w:themeColor="followedHyperlink"/>
      <w:u w:val="single"/>
    </w:rPr>
  </w:style>
  <w:style w:type="paragraph" w:styleId="NormalWeb">
    <w:name w:val="Normal (Web)"/>
    <w:basedOn w:val="Normal"/>
    <w:uiPriority w:val="99"/>
    <w:semiHidden/>
    <w:unhideWhenUsed/>
    <w:rsid w:val="000229A9"/>
    <w:rPr>
      <w:rFonts w:ascii="Times New Roman" w:hAnsi="Times New Roman" w:cs="Times New Roman"/>
      <w:sz w:val="24"/>
      <w:szCs w:val="24"/>
    </w:rPr>
  </w:style>
  <w:style w:type="character" w:customStyle="1" w:styleId="Mention">
    <w:name w:val="Mention"/>
    <w:basedOn w:val="DefaultParagraphFont"/>
    <w:uiPriority w:val="99"/>
    <w:unhideWhenUsed/>
    <w:rsid w:val="00725CAD"/>
    <w:rPr>
      <w:color w:val="2B579A"/>
      <w:shd w:val="clear" w:color="auto" w:fill="E1DFDD"/>
    </w:rPr>
  </w:style>
  <w:style w:type="paragraph" w:customStyle="1" w:styleId="Languesfaisantfoi">
    <w:name w:val="Langues faisant foi"/>
    <w:basedOn w:val="Normal"/>
    <w:next w:val="Normal"/>
    <w:rsid w:val="00AF7C80"/>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F7C80"/>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F7C80"/>
    <w:pPr>
      <w:spacing w:after="0"/>
    </w:pPr>
  </w:style>
  <w:style w:type="paragraph" w:customStyle="1" w:styleId="IntrtEEEPagedecouverture">
    <w:name w:val="Intérêt EEE (Page de couverture)"/>
    <w:basedOn w:val="IntrtEEE"/>
    <w:next w:val="Normal"/>
    <w:rsid w:val="00AF7C80"/>
  </w:style>
  <w:style w:type="paragraph" w:customStyle="1" w:styleId="pf0">
    <w:name w:val="pf0"/>
    <w:basedOn w:val="Normal"/>
    <w:rsid w:val="000F47B8"/>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cf01">
    <w:name w:val="cf01"/>
    <w:basedOn w:val="DefaultParagraphFont"/>
    <w:rsid w:val="000F47B8"/>
    <w:rPr>
      <w:rFonts w:ascii="Segoe UI" w:hAnsi="Segoe UI" w:cs="Segoe UI" w:hint="default"/>
      <w:sz w:val="18"/>
      <w:szCs w:val="18"/>
    </w:rPr>
  </w:style>
  <w:style w:type="character" w:styleId="Emphasis">
    <w:name w:val="Emphasis"/>
    <w:basedOn w:val="DefaultParagraphFont"/>
    <w:uiPriority w:val="20"/>
    <w:qFormat/>
    <w:rsid w:val="003E1F30"/>
    <w:rPr>
      <w:i/>
      <w:iCs/>
    </w:rPr>
  </w:style>
  <w:style w:type="character" w:customStyle="1" w:styleId="Heading3Char">
    <w:name w:val="Heading 3 Char"/>
    <w:basedOn w:val="DefaultParagraphFont"/>
    <w:link w:val="Heading3"/>
    <w:uiPriority w:val="9"/>
    <w:rsid w:val="003E1F30"/>
    <w:rPr>
      <w:rFonts w:asciiTheme="majorHAnsi" w:eastAsiaTheme="majorEastAsia" w:hAnsiTheme="majorHAnsi" w:cstheme="majorBidi"/>
      <w:color w:val="243F60" w:themeColor="accent1" w:themeShade="7F"/>
      <w:sz w:val="24"/>
      <w:szCs w:val="24"/>
    </w:rPr>
  </w:style>
  <w:style w:type="character" w:styleId="IntenseEmphasis">
    <w:name w:val="Intense Emphasis"/>
    <w:basedOn w:val="DefaultParagraphFont"/>
    <w:uiPriority w:val="21"/>
    <w:qFormat/>
    <w:rsid w:val="003E1F30"/>
    <w:rPr>
      <w:i/>
      <w:iCs/>
      <w:color w:val="4F81BD" w:themeColor="accent1"/>
    </w:rPr>
  </w:style>
  <w:style w:type="paragraph" w:customStyle="1" w:styleId="Figurecaptions">
    <w:name w:val="Figure captions"/>
    <w:basedOn w:val="Normal"/>
    <w:link w:val="FigurecaptionsChar"/>
    <w:uiPriority w:val="1"/>
    <w:qFormat/>
    <w:rsid w:val="00404117"/>
    <w:pPr>
      <w:spacing w:before="120" w:after="120" w:line="264" w:lineRule="auto"/>
      <w:jc w:val="both"/>
    </w:pPr>
    <w:rPr>
      <w:rFonts w:ascii="Arial" w:eastAsia="Times New Roman" w:hAnsi="Arial" w:cs="Times New Roman"/>
      <w:color w:val="1F497D" w:themeColor="text2"/>
      <w:sz w:val="24"/>
      <w:szCs w:val="24"/>
      <w:lang w:eastAsia="en-IE"/>
    </w:rPr>
  </w:style>
  <w:style w:type="character" w:customStyle="1" w:styleId="FigurecaptionsChar">
    <w:name w:val="Figure captions Char"/>
    <w:basedOn w:val="DefaultParagraphFont"/>
    <w:link w:val="Figurecaptions"/>
    <w:uiPriority w:val="1"/>
    <w:rsid w:val="00404117"/>
    <w:rPr>
      <w:rFonts w:ascii="Arial" w:eastAsia="Times New Roman" w:hAnsi="Arial" w:cs="Times New Roman"/>
      <w:color w:val="1F497D" w:themeColor="text2"/>
      <w:sz w:val="24"/>
      <w:szCs w:val="24"/>
      <w:lang w:eastAsia="en-IE"/>
    </w:rPr>
  </w:style>
  <w:style w:type="character" w:styleId="Strong">
    <w:name w:val="Strong"/>
    <w:basedOn w:val="DefaultParagraphFont"/>
    <w:uiPriority w:val="22"/>
    <w:qFormat/>
    <w:rsid w:val="00E657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7909">
      <w:bodyDiv w:val="1"/>
      <w:marLeft w:val="0"/>
      <w:marRight w:val="0"/>
      <w:marTop w:val="0"/>
      <w:marBottom w:val="0"/>
      <w:divBdr>
        <w:top w:val="none" w:sz="0" w:space="0" w:color="auto"/>
        <w:left w:val="none" w:sz="0" w:space="0" w:color="auto"/>
        <w:bottom w:val="none" w:sz="0" w:space="0" w:color="auto"/>
        <w:right w:val="none" w:sz="0" w:space="0" w:color="auto"/>
      </w:divBdr>
    </w:div>
    <w:div w:id="18243221">
      <w:bodyDiv w:val="1"/>
      <w:marLeft w:val="0"/>
      <w:marRight w:val="0"/>
      <w:marTop w:val="0"/>
      <w:marBottom w:val="0"/>
      <w:divBdr>
        <w:top w:val="none" w:sz="0" w:space="0" w:color="auto"/>
        <w:left w:val="none" w:sz="0" w:space="0" w:color="auto"/>
        <w:bottom w:val="none" w:sz="0" w:space="0" w:color="auto"/>
        <w:right w:val="none" w:sz="0" w:space="0" w:color="auto"/>
      </w:divBdr>
    </w:div>
    <w:div w:id="43720775">
      <w:bodyDiv w:val="1"/>
      <w:marLeft w:val="0"/>
      <w:marRight w:val="0"/>
      <w:marTop w:val="0"/>
      <w:marBottom w:val="0"/>
      <w:divBdr>
        <w:top w:val="none" w:sz="0" w:space="0" w:color="auto"/>
        <w:left w:val="none" w:sz="0" w:space="0" w:color="auto"/>
        <w:bottom w:val="none" w:sz="0" w:space="0" w:color="auto"/>
        <w:right w:val="none" w:sz="0" w:space="0" w:color="auto"/>
      </w:divBdr>
    </w:div>
    <w:div w:id="85883610">
      <w:bodyDiv w:val="1"/>
      <w:marLeft w:val="0"/>
      <w:marRight w:val="0"/>
      <w:marTop w:val="0"/>
      <w:marBottom w:val="0"/>
      <w:divBdr>
        <w:top w:val="none" w:sz="0" w:space="0" w:color="auto"/>
        <w:left w:val="none" w:sz="0" w:space="0" w:color="auto"/>
        <w:bottom w:val="none" w:sz="0" w:space="0" w:color="auto"/>
        <w:right w:val="none" w:sz="0" w:space="0" w:color="auto"/>
      </w:divBdr>
    </w:div>
    <w:div w:id="87578610">
      <w:bodyDiv w:val="1"/>
      <w:marLeft w:val="0"/>
      <w:marRight w:val="0"/>
      <w:marTop w:val="0"/>
      <w:marBottom w:val="0"/>
      <w:divBdr>
        <w:top w:val="none" w:sz="0" w:space="0" w:color="auto"/>
        <w:left w:val="none" w:sz="0" w:space="0" w:color="auto"/>
        <w:bottom w:val="none" w:sz="0" w:space="0" w:color="auto"/>
        <w:right w:val="none" w:sz="0" w:space="0" w:color="auto"/>
      </w:divBdr>
    </w:div>
    <w:div w:id="108670415">
      <w:bodyDiv w:val="1"/>
      <w:marLeft w:val="0"/>
      <w:marRight w:val="0"/>
      <w:marTop w:val="0"/>
      <w:marBottom w:val="0"/>
      <w:divBdr>
        <w:top w:val="none" w:sz="0" w:space="0" w:color="auto"/>
        <w:left w:val="none" w:sz="0" w:space="0" w:color="auto"/>
        <w:bottom w:val="none" w:sz="0" w:space="0" w:color="auto"/>
        <w:right w:val="none" w:sz="0" w:space="0" w:color="auto"/>
      </w:divBdr>
    </w:div>
    <w:div w:id="126893364">
      <w:bodyDiv w:val="1"/>
      <w:marLeft w:val="0"/>
      <w:marRight w:val="0"/>
      <w:marTop w:val="0"/>
      <w:marBottom w:val="0"/>
      <w:divBdr>
        <w:top w:val="none" w:sz="0" w:space="0" w:color="auto"/>
        <w:left w:val="none" w:sz="0" w:space="0" w:color="auto"/>
        <w:bottom w:val="none" w:sz="0" w:space="0" w:color="auto"/>
        <w:right w:val="none" w:sz="0" w:space="0" w:color="auto"/>
      </w:divBdr>
      <w:divsChild>
        <w:div w:id="14817846">
          <w:marLeft w:val="0"/>
          <w:marRight w:val="0"/>
          <w:marTop w:val="0"/>
          <w:marBottom w:val="0"/>
          <w:divBdr>
            <w:top w:val="none" w:sz="0" w:space="0" w:color="auto"/>
            <w:left w:val="none" w:sz="0" w:space="0" w:color="auto"/>
            <w:bottom w:val="none" w:sz="0" w:space="0" w:color="auto"/>
            <w:right w:val="none" w:sz="0" w:space="0" w:color="auto"/>
          </w:divBdr>
        </w:div>
        <w:div w:id="617175640">
          <w:marLeft w:val="0"/>
          <w:marRight w:val="0"/>
          <w:marTop w:val="0"/>
          <w:marBottom w:val="0"/>
          <w:divBdr>
            <w:top w:val="none" w:sz="0" w:space="0" w:color="auto"/>
            <w:left w:val="none" w:sz="0" w:space="0" w:color="auto"/>
            <w:bottom w:val="none" w:sz="0" w:space="0" w:color="auto"/>
            <w:right w:val="none" w:sz="0" w:space="0" w:color="auto"/>
          </w:divBdr>
        </w:div>
      </w:divsChild>
    </w:div>
    <w:div w:id="217476208">
      <w:bodyDiv w:val="1"/>
      <w:marLeft w:val="0"/>
      <w:marRight w:val="0"/>
      <w:marTop w:val="0"/>
      <w:marBottom w:val="0"/>
      <w:divBdr>
        <w:top w:val="none" w:sz="0" w:space="0" w:color="auto"/>
        <w:left w:val="none" w:sz="0" w:space="0" w:color="auto"/>
        <w:bottom w:val="none" w:sz="0" w:space="0" w:color="auto"/>
        <w:right w:val="none" w:sz="0" w:space="0" w:color="auto"/>
      </w:divBdr>
    </w:div>
    <w:div w:id="227495367">
      <w:bodyDiv w:val="1"/>
      <w:marLeft w:val="0"/>
      <w:marRight w:val="0"/>
      <w:marTop w:val="0"/>
      <w:marBottom w:val="0"/>
      <w:divBdr>
        <w:top w:val="none" w:sz="0" w:space="0" w:color="auto"/>
        <w:left w:val="none" w:sz="0" w:space="0" w:color="auto"/>
        <w:bottom w:val="none" w:sz="0" w:space="0" w:color="auto"/>
        <w:right w:val="none" w:sz="0" w:space="0" w:color="auto"/>
      </w:divBdr>
    </w:div>
    <w:div w:id="230194418">
      <w:bodyDiv w:val="1"/>
      <w:marLeft w:val="0"/>
      <w:marRight w:val="0"/>
      <w:marTop w:val="0"/>
      <w:marBottom w:val="0"/>
      <w:divBdr>
        <w:top w:val="none" w:sz="0" w:space="0" w:color="auto"/>
        <w:left w:val="none" w:sz="0" w:space="0" w:color="auto"/>
        <w:bottom w:val="none" w:sz="0" w:space="0" w:color="auto"/>
        <w:right w:val="none" w:sz="0" w:space="0" w:color="auto"/>
      </w:divBdr>
      <w:divsChild>
        <w:div w:id="861092401">
          <w:marLeft w:val="0"/>
          <w:marRight w:val="0"/>
          <w:marTop w:val="0"/>
          <w:marBottom w:val="0"/>
          <w:divBdr>
            <w:top w:val="none" w:sz="0" w:space="0" w:color="auto"/>
            <w:left w:val="none" w:sz="0" w:space="0" w:color="auto"/>
            <w:bottom w:val="none" w:sz="0" w:space="0" w:color="auto"/>
            <w:right w:val="none" w:sz="0" w:space="0" w:color="auto"/>
          </w:divBdr>
        </w:div>
        <w:div w:id="1068116482">
          <w:marLeft w:val="0"/>
          <w:marRight w:val="0"/>
          <w:marTop w:val="0"/>
          <w:marBottom w:val="0"/>
          <w:divBdr>
            <w:top w:val="none" w:sz="0" w:space="0" w:color="auto"/>
            <w:left w:val="none" w:sz="0" w:space="0" w:color="auto"/>
            <w:bottom w:val="none" w:sz="0" w:space="0" w:color="auto"/>
            <w:right w:val="none" w:sz="0" w:space="0" w:color="auto"/>
          </w:divBdr>
        </w:div>
      </w:divsChild>
    </w:div>
    <w:div w:id="297684101">
      <w:bodyDiv w:val="1"/>
      <w:marLeft w:val="0"/>
      <w:marRight w:val="0"/>
      <w:marTop w:val="0"/>
      <w:marBottom w:val="0"/>
      <w:divBdr>
        <w:top w:val="none" w:sz="0" w:space="0" w:color="auto"/>
        <w:left w:val="none" w:sz="0" w:space="0" w:color="auto"/>
        <w:bottom w:val="none" w:sz="0" w:space="0" w:color="auto"/>
        <w:right w:val="none" w:sz="0" w:space="0" w:color="auto"/>
      </w:divBdr>
    </w:div>
    <w:div w:id="304049819">
      <w:bodyDiv w:val="1"/>
      <w:marLeft w:val="0"/>
      <w:marRight w:val="0"/>
      <w:marTop w:val="0"/>
      <w:marBottom w:val="0"/>
      <w:divBdr>
        <w:top w:val="none" w:sz="0" w:space="0" w:color="auto"/>
        <w:left w:val="none" w:sz="0" w:space="0" w:color="auto"/>
        <w:bottom w:val="none" w:sz="0" w:space="0" w:color="auto"/>
        <w:right w:val="none" w:sz="0" w:space="0" w:color="auto"/>
      </w:divBdr>
    </w:div>
    <w:div w:id="349726393">
      <w:bodyDiv w:val="1"/>
      <w:marLeft w:val="0"/>
      <w:marRight w:val="0"/>
      <w:marTop w:val="0"/>
      <w:marBottom w:val="0"/>
      <w:divBdr>
        <w:top w:val="none" w:sz="0" w:space="0" w:color="auto"/>
        <w:left w:val="none" w:sz="0" w:space="0" w:color="auto"/>
        <w:bottom w:val="none" w:sz="0" w:space="0" w:color="auto"/>
        <w:right w:val="none" w:sz="0" w:space="0" w:color="auto"/>
      </w:divBdr>
    </w:div>
    <w:div w:id="420103526">
      <w:bodyDiv w:val="1"/>
      <w:marLeft w:val="0"/>
      <w:marRight w:val="0"/>
      <w:marTop w:val="0"/>
      <w:marBottom w:val="0"/>
      <w:divBdr>
        <w:top w:val="none" w:sz="0" w:space="0" w:color="auto"/>
        <w:left w:val="none" w:sz="0" w:space="0" w:color="auto"/>
        <w:bottom w:val="none" w:sz="0" w:space="0" w:color="auto"/>
        <w:right w:val="none" w:sz="0" w:space="0" w:color="auto"/>
      </w:divBdr>
      <w:divsChild>
        <w:div w:id="161553644">
          <w:marLeft w:val="547"/>
          <w:marRight w:val="0"/>
          <w:marTop w:val="0"/>
          <w:marBottom w:val="120"/>
          <w:divBdr>
            <w:top w:val="none" w:sz="0" w:space="0" w:color="auto"/>
            <w:left w:val="none" w:sz="0" w:space="0" w:color="auto"/>
            <w:bottom w:val="none" w:sz="0" w:space="0" w:color="auto"/>
            <w:right w:val="none" w:sz="0" w:space="0" w:color="auto"/>
          </w:divBdr>
        </w:div>
        <w:div w:id="284116487">
          <w:marLeft w:val="547"/>
          <w:marRight w:val="0"/>
          <w:marTop w:val="0"/>
          <w:marBottom w:val="120"/>
          <w:divBdr>
            <w:top w:val="none" w:sz="0" w:space="0" w:color="auto"/>
            <w:left w:val="none" w:sz="0" w:space="0" w:color="auto"/>
            <w:bottom w:val="none" w:sz="0" w:space="0" w:color="auto"/>
            <w:right w:val="none" w:sz="0" w:space="0" w:color="auto"/>
          </w:divBdr>
        </w:div>
        <w:div w:id="476190507">
          <w:marLeft w:val="547"/>
          <w:marRight w:val="0"/>
          <w:marTop w:val="0"/>
          <w:marBottom w:val="120"/>
          <w:divBdr>
            <w:top w:val="none" w:sz="0" w:space="0" w:color="auto"/>
            <w:left w:val="none" w:sz="0" w:space="0" w:color="auto"/>
            <w:bottom w:val="none" w:sz="0" w:space="0" w:color="auto"/>
            <w:right w:val="none" w:sz="0" w:space="0" w:color="auto"/>
          </w:divBdr>
        </w:div>
        <w:div w:id="562641015">
          <w:marLeft w:val="547"/>
          <w:marRight w:val="0"/>
          <w:marTop w:val="0"/>
          <w:marBottom w:val="120"/>
          <w:divBdr>
            <w:top w:val="none" w:sz="0" w:space="0" w:color="auto"/>
            <w:left w:val="none" w:sz="0" w:space="0" w:color="auto"/>
            <w:bottom w:val="none" w:sz="0" w:space="0" w:color="auto"/>
            <w:right w:val="none" w:sz="0" w:space="0" w:color="auto"/>
          </w:divBdr>
        </w:div>
        <w:div w:id="669064736">
          <w:marLeft w:val="547"/>
          <w:marRight w:val="0"/>
          <w:marTop w:val="0"/>
          <w:marBottom w:val="120"/>
          <w:divBdr>
            <w:top w:val="none" w:sz="0" w:space="0" w:color="auto"/>
            <w:left w:val="none" w:sz="0" w:space="0" w:color="auto"/>
            <w:bottom w:val="none" w:sz="0" w:space="0" w:color="auto"/>
            <w:right w:val="none" w:sz="0" w:space="0" w:color="auto"/>
          </w:divBdr>
        </w:div>
        <w:div w:id="868831648">
          <w:marLeft w:val="547"/>
          <w:marRight w:val="0"/>
          <w:marTop w:val="0"/>
          <w:marBottom w:val="120"/>
          <w:divBdr>
            <w:top w:val="none" w:sz="0" w:space="0" w:color="auto"/>
            <w:left w:val="none" w:sz="0" w:space="0" w:color="auto"/>
            <w:bottom w:val="none" w:sz="0" w:space="0" w:color="auto"/>
            <w:right w:val="none" w:sz="0" w:space="0" w:color="auto"/>
          </w:divBdr>
        </w:div>
        <w:div w:id="1227378920">
          <w:marLeft w:val="547"/>
          <w:marRight w:val="0"/>
          <w:marTop w:val="0"/>
          <w:marBottom w:val="120"/>
          <w:divBdr>
            <w:top w:val="none" w:sz="0" w:space="0" w:color="auto"/>
            <w:left w:val="none" w:sz="0" w:space="0" w:color="auto"/>
            <w:bottom w:val="none" w:sz="0" w:space="0" w:color="auto"/>
            <w:right w:val="none" w:sz="0" w:space="0" w:color="auto"/>
          </w:divBdr>
        </w:div>
        <w:div w:id="1413892574">
          <w:marLeft w:val="547"/>
          <w:marRight w:val="0"/>
          <w:marTop w:val="0"/>
          <w:marBottom w:val="120"/>
          <w:divBdr>
            <w:top w:val="none" w:sz="0" w:space="0" w:color="auto"/>
            <w:left w:val="none" w:sz="0" w:space="0" w:color="auto"/>
            <w:bottom w:val="none" w:sz="0" w:space="0" w:color="auto"/>
            <w:right w:val="none" w:sz="0" w:space="0" w:color="auto"/>
          </w:divBdr>
        </w:div>
        <w:div w:id="1586184245">
          <w:marLeft w:val="547"/>
          <w:marRight w:val="0"/>
          <w:marTop w:val="0"/>
          <w:marBottom w:val="120"/>
          <w:divBdr>
            <w:top w:val="none" w:sz="0" w:space="0" w:color="auto"/>
            <w:left w:val="none" w:sz="0" w:space="0" w:color="auto"/>
            <w:bottom w:val="none" w:sz="0" w:space="0" w:color="auto"/>
            <w:right w:val="none" w:sz="0" w:space="0" w:color="auto"/>
          </w:divBdr>
        </w:div>
        <w:div w:id="1790665583">
          <w:marLeft w:val="547"/>
          <w:marRight w:val="0"/>
          <w:marTop w:val="0"/>
          <w:marBottom w:val="120"/>
          <w:divBdr>
            <w:top w:val="none" w:sz="0" w:space="0" w:color="auto"/>
            <w:left w:val="none" w:sz="0" w:space="0" w:color="auto"/>
            <w:bottom w:val="none" w:sz="0" w:space="0" w:color="auto"/>
            <w:right w:val="none" w:sz="0" w:space="0" w:color="auto"/>
          </w:divBdr>
        </w:div>
      </w:divsChild>
    </w:div>
    <w:div w:id="441220236">
      <w:bodyDiv w:val="1"/>
      <w:marLeft w:val="0"/>
      <w:marRight w:val="0"/>
      <w:marTop w:val="0"/>
      <w:marBottom w:val="0"/>
      <w:divBdr>
        <w:top w:val="none" w:sz="0" w:space="0" w:color="auto"/>
        <w:left w:val="none" w:sz="0" w:space="0" w:color="auto"/>
        <w:bottom w:val="none" w:sz="0" w:space="0" w:color="auto"/>
        <w:right w:val="none" w:sz="0" w:space="0" w:color="auto"/>
      </w:divBdr>
    </w:div>
    <w:div w:id="462313498">
      <w:bodyDiv w:val="1"/>
      <w:marLeft w:val="0"/>
      <w:marRight w:val="0"/>
      <w:marTop w:val="0"/>
      <w:marBottom w:val="0"/>
      <w:divBdr>
        <w:top w:val="none" w:sz="0" w:space="0" w:color="auto"/>
        <w:left w:val="none" w:sz="0" w:space="0" w:color="auto"/>
        <w:bottom w:val="none" w:sz="0" w:space="0" w:color="auto"/>
        <w:right w:val="none" w:sz="0" w:space="0" w:color="auto"/>
      </w:divBdr>
    </w:div>
    <w:div w:id="502357550">
      <w:bodyDiv w:val="1"/>
      <w:marLeft w:val="0"/>
      <w:marRight w:val="0"/>
      <w:marTop w:val="0"/>
      <w:marBottom w:val="0"/>
      <w:divBdr>
        <w:top w:val="none" w:sz="0" w:space="0" w:color="auto"/>
        <w:left w:val="none" w:sz="0" w:space="0" w:color="auto"/>
        <w:bottom w:val="none" w:sz="0" w:space="0" w:color="auto"/>
        <w:right w:val="none" w:sz="0" w:space="0" w:color="auto"/>
      </w:divBdr>
    </w:div>
    <w:div w:id="524103564">
      <w:bodyDiv w:val="1"/>
      <w:marLeft w:val="0"/>
      <w:marRight w:val="0"/>
      <w:marTop w:val="0"/>
      <w:marBottom w:val="0"/>
      <w:divBdr>
        <w:top w:val="none" w:sz="0" w:space="0" w:color="auto"/>
        <w:left w:val="none" w:sz="0" w:space="0" w:color="auto"/>
        <w:bottom w:val="none" w:sz="0" w:space="0" w:color="auto"/>
        <w:right w:val="none" w:sz="0" w:space="0" w:color="auto"/>
      </w:divBdr>
    </w:div>
    <w:div w:id="544753349">
      <w:bodyDiv w:val="1"/>
      <w:marLeft w:val="0"/>
      <w:marRight w:val="0"/>
      <w:marTop w:val="0"/>
      <w:marBottom w:val="0"/>
      <w:divBdr>
        <w:top w:val="none" w:sz="0" w:space="0" w:color="auto"/>
        <w:left w:val="none" w:sz="0" w:space="0" w:color="auto"/>
        <w:bottom w:val="none" w:sz="0" w:space="0" w:color="auto"/>
        <w:right w:val="none" w:sz="0" w:space="0" w:color="auto"/>
      </w:divBdr>
    </w:div>
    <w:div w:id="560143197">
      <w:bodyDiv w:val="1"/>
      <w:marLeft w:val="0"/>
      <w:marRight w:val="0"/>
      <w:marTop w:val="0"/>
      <w:marBottom w:val="0"/>
      <w:divBdr>
        <w:top w:val="none" w:sz="0" w:space="0" w:color="auto"/>
        <w:left w:val="none" w:sz="0" w:space="0" w:color="auto"/>
        <w:bottom w:val="none" w:sz="0" w:space="0" w:color="auto"/>
        <w:right w:val="none" w:sz="0" w:space="0" w:color="auto"/>
      </w:divBdr>
      <w:divsChild>
        <w:div w:id="212617664">
          <w:marLeft w:val="0"/>
          <w:marRight w:val="0"/>
          <w:marTop w:val="0"/>
          <w:marBottom w:val="0"/>
          <w:divBdr>
            <w:top w:val="none" w:sz="0" w:space="0" w:color="auto"/>
            <w:left w:val="none" w:sz="0" w:space="0" w:color="auto"/>
            <w:bottom w:val="none" w:sz="0" w:space="0" w:color="auto"/>
            <w:right w:val="none" w:sz="0" w:space="0" w:color="auto"/>
          </w:divBdr>
        </w:div>
        <w:div w:id="1775779798">
          <w:marLeft w:val="0"/>
          <w:marRight w:val="0"/>
          <w:marTop w:val="0"/>
          <w:marBottom w:val="0"/>
          <w:divBdr>
            <w:top w:val="none" w:sz="0" w:space="0" w:color="auto"/>
            <w:left w:val="none" w:sz="0" w:space="0" w:color="auto"/>
            <w:bottom w:val="none" w:sz="0" w:space="0" w:color="auto"/>
            <w:right w:val="none" w:sz="0" w:space="0" w:color="auto"/>
          </w:divBdr>
        </w:div>
      </w:divsChild>
    </w:div>
    <w:div w:id="589388491">
      <w:bodyDiv w:val="1"/>
      <w:marLeft w:val="0"/>
      <w:marRight w:val="0"/>
      <w:marTop w:val="0"/>
      <w:marBottom w:val="0"/>
      <w:divBdr>
        <w:top w:val="none" w:sz="0" w:space="0" w:color="auto"/>
        <w:left w:val="none" w:sz="0" w:space="0" w:color="auto"/>
        <w:bottom w:val="none" w:sz="0" w:space="0" w:color="auto"/>
        <w:right w:val="none" w:sz="0" w:space="0" w:color="auto"/>
      </w:divBdr>
    </w:div>
    <w:div w:id="589705723">
      <w:bodyDiv w:val="1"/>
      <w:marLeft w:val="0"/>
      <w:marRight w:val="0"/>
      <w:marTop w:val="0"/>
      <w:marBottom w:val="0"/>
      <w:divBdr>
        <w:top w:val="none" w:sz="0" w:space="0" w:color="auto"/>
        <w:left w:val="none" w:sz="0" w:space="0" w:color="auto"/>
        <w:bottom w:val="none" w:sz="0" w:space="0" w:color="auto"/>
        <w:right w:val="none" w:sz="0" w:space="0" w:color="auto"/>
      </w:divBdr>
    </w:div>
    <w:div w:id="620302714">
      <w:bodyDiv w:val="1"/>
      <w:marLeft w:val="0"/>
      <w:marRight w:val="0"/>
      <w:marTop w:val="0"/>
      <w:marBottom w:val="0"/>
      <w:divBdr>
        <w:top w:val="none" w:sz="0" w:space="0" w:color="auto"/>
        <w:left w:val="none" w:sz="0" w:space="0" w:color="auto"/>
        <w:bottom w:val="none" w:sz="0" w:space="0" w:color="auto"/>
        <w:right w:val="none" w:sz="0" w:space="0" w:color="auto"/>
      </w:divBdr>
    </w:div>
    <w:div w:id="630671356">
      <w:bodyDiv w:val="1"/>
      <w:marLeft w:val="0"/>
      <w:marRight w:val="0"/>
      <w:marTop w:val="0"/>
      <w:marBottom w:val="0"/>
      <w:divBdr>
        <w:top w:val="none" w:sz="0" w:space="0" w:color="auto"/>
        <w:left w:val="none" w:sz="0" w:space="0" w:color="auto"/>
        <w:bottom w:val="none" w:sz="0" w:space="0" w:color="auto"/>
        <w:right w:val="none" w:sz="0" w:space="0" w:color="auto"/>
      </w:divBdr>
      <w:divsChild>
        <w:div w:id="37364104">
          <w:marLeft w:val="1714"/>
          <w:marRight w:val="0"/>
          <w:marTop w:val="0"/>
          <w:marBottom w:val="120"/>
          <w:divBdr>
            <w:top w:val="none" w:sz="0" w:space="0" w:color="auto"/>
            <w:left w:val="none" w:sz="0" w:space="0" w:color="auto"/>
            <w:bottom w:val="none" w:sz="0" w:space="0" w:color="auto"/>
            <w:right w:val="none" w:sz="0" w:space="0" w:color="auto"/>
          </w:divBdr>
        </w:div>
        <w:div w:id="363409478">
          <w:marLeft w:val="547"/>
          <w:marRight w:val="0"/>
          <w:marTop w:val="0"/>
          <w:marBottom w:val="240"/>
          <w:divBdr>
            <w:top w:val="none" w:sz="0" w:space="0" w:color="auto"/>
            <w:left w:val="none" w:sz="0" w:space="0" w:color="auto"/>
            <w:bottom w:val="none" w:sz="0" w:space="0" w:color="auto"/>
            <w:right w:val="none" w:sz="0" w:space="0" w:color="auto"/>
          </w:divBdr>
        </w:div>
        <w:div w:id="419453961">
          <w:marLeft w:val="1714"/>
          <w:marRight w:val="0"/>
          <w:marTop w:val="0"/>
          <w:marBottom w:val="120"/>
          <w:divBdr>
            <w:top w:val="none" w:sz="0" w:space="0" w:color="auto"/>
            <w:left w:val="none" w:sz="0" w:space="0" w:color="auto"/>
            <w:bottom w:val="none" w:sz="0" w:space="0" w:color="auto"/>
            <w:right w:val="none" w:sz="0" w:space="0" w:color="auto"/>
          </w:divBdr>
        </w:div>
        <w:div w:id="1546065821">
          <w:marLeft w:val="547"/>
          <w:marRight w:val="0"/>
          <w:marTop w:val="0"/>
          <w:marBottom w:val="240"/>
          <w:divBdr>
            <w:top w:val="none" w:sz="0" w:space="0" w:color="auto"/>
            <w:left w:val="none" w:sz="0" w:space="0" w:color="auto"/>
            <w:bottom w:val="none" w:sz="0" w:space="0" w:color="auto"/>
            <w:right w:val="none" w:sz="0" w:space="0" w:color="auto"/>
          </w:divBdr>
        </w:div>
        <w:div w:id="1660571314">
          <w:marLeft w:val="547"/>
          <w:marRight w:val="0"/>
          <w:marTop w:val="0"/>
          <w:marBottom w:val="240"/>
          <w:divBdr>
            <w:top w:val="none" w:sz="0" w:space="0" w:color="auto"/>
            <w:left w:val="none" w:sz="0" w:space="0" w:color="auto"/>
            <w:bottom w:val="none" w:sz="0" w:space="0" w:color="auto"/>
            <w:right w:val="none" w:sz="0" w:space="0" w:color="auto"/>
          </w:divBdr>
        </w:div>
        <w:div w:id="2011984154">
          <w:marLeft w:val="1714"/>
          <w:marRight w:val="0"/>
          <w:marTop w:val="0"/>
          <w:marBottom w:val="120"/>
          <w:divBdr>
            <w:top w:val="none" w:sz="0" w:space="0" w:color="auto"/>
            <w:left w:val="none" w:sz="0" w:space="0" w:color="auto"/>
            <w:bottom w:val="none" w:sz="0" w:space="0" w:color="auto"/>
            <w:right w:val="none" w:sz="0" w:space="0" w:color="auto"/>
          </w:divBdr>
        </w:div>
        <w:div w:id="2068527166">
          <w:marLeft w:val="547"/>
          <w:marRight w:val="0"/>
          <w:marTop w:val="0"/>
          <w:marBottom w:val="240"/>
          <w:divBdr>
            <w:top w:val="none" w:sz="0" w:space="0" w:color="auto"/>
            <w:left w:val="none" w:sz="0" w:space="0" w:color="auto"/>
            <w:bottom w:val="none" w:sz="0" w:space="0" w:color="auto"/>
            <w:right w:val="none" w:sz="0" w:space="0" w:color="auto"/>
          </w:divBdr>
        </w:div>
      </w:divsChild>
    </w:div>
    <w:div w:id="640812937">
      <w:bodyDiv w:val="1"/>
      <w:marLeft w:val="0"/>
      <w:marRight w:val="0"/>
      <w:marTop w:val="0"/>
      <w:marBottom w:val="0"/>
      <w:divBdr>
        <w:top w:val="none" w:sz="0" w:space="0" w:color="auto"/>
        <w:left w:val="none" w:sz="0" w:space="0" w:color="auto"/>
        <w:bottom w:val="none" w:sz="0" w:space="0" w:color="auto"/>
        <w:right w:val="none" w:sz="0" w:space="0" w:color="auto"/>
      </w:divBdr>
    </w:div>
    <w:div w:id="686105471">
      <w:bodyDiv w:val="1"/>
      <w:marLeft w:val="0"/>
      <w:marRight w:val="0"/>
      <w:marTop w:val="0"/>
      <w:marBottom w:val="0"/>
      <w:divBdr>
        <w:top w:val="none" w:sz="0" w:space="0" w:color="auto"/>
        <w:left w:val="none" w:sz="0" w:space="0" w:color="auto"/>
        <w:bottom w:val="none" w:sz="0" w:space="0" w:color="auto"/>
        <w:right w:val="none" w:sz="0" w:space="0" w:color="auto"/>
      </w:divBdr>
    </w:div>
    <w:div w:id="696271818">
      <w:bodyDiv w:val="1"/>
      <w:marLeft w:val="0"/>
      <w:marRight w:val="0"/>
      <w:marTop w:val="0"/>
      <w:marBottom w:val="0"/>
      <w:divBdr>
        <w:top w:val="none" w:sz="0" w:space="0" w:color="auto"/>
        <w:left w:val="none" w:sz="0" w:space="0" w:color="auto"/>
        <w:bottom w:val="none" w:sz="0" w:space="0" w:color="auto"/>
        <w:right w:val="none" w:sz="0" w:space="0" w:color="auto"/>
      </w:divBdr>
    </w:div>
    <w:div w:id="704527809">
      <w:bodyDiv w:val="1"/>
      <w:marLeft w:val="0"/>
      <w:marRight w:val="0"/>
      <w:marTop w:val="0"/>
      <w:marBottom w:val="0"/>
      <w:divBdr>
        <w:top w:val="none" w:sz="0" w:space="0" w:color="auto"/>
        <w:left w:val="none" w:sz="0" w:space="0" w:color="auto"/>
        <w:bottom w:val="none" w:sz="0" w:space="0" w:color="auto"/>
        <w:right w:val="none" w:sz="0" w:space="0" w:color="auto"/>
      </w:divBdr>
    </w:div>
    <w:div w:id="768046011">
      <w:bodyDiv w:val="1"/>
      <w:marLeft w:val="0"/>
      <w:marRight w:val="0"/>
      <w:marTop w:val="0"/>
      <w:marBottom w:val="0"/>
      <w:divBdr>
        <w:top w:val="none" w:sz="0" w:space="0" w:color="auto"/>
        <w:left w:val="none" w:sz="0" w:space="0" w:color="auto"/>
        <w:bottom w:val="none" w:sz="0" w:space="0" w:color="auto"/>
        <w:right w:val="none" w:sz="0" w:space="0" w:color="auto"/>
      </w:divBdr>
      <w:divsChild>
        <w:div w:id="744493135">
          <w:marLeft w:val="0"/>
          <w:marRight w:val="0"/>
          <w:marTop w:val="0"/>
          <w:marBottom w:val="0"/>
          <w:divBdr>
            <w:top w:val="none" w:sz="0" w:space="0" w:color="auto"/>
            <w:left w:val="none" w:sz="0" w:space="0" w:color="auto"/>
            <w:bottom w:val="none" w:sz="0" w:space="0" w:color="auto"/>
            <w:right w:val="none" w:sz="0" w:space="0" w:color="auto"/>
          </w:divBdr>
        </w:div>
        <w:div w:id="1815676429">
          <w:marLeft w:val="0"/>
          <w:marRight w:val="0"/>
          <w:marTop w:val="0"/>
          <w:marBottom w:val="0"/>
          <w:divBdr>
            <w:top w:val="none" w:sz="0" w:space="0" w:color="auto"/>
            <w:left w:val="none" w:sz="0" w:space="0" w:color="auto"/>
            <w:bottom w:val="none" w:sz="0" w:space="0" w:color="auto"/>
            <w:right w:val="none" w:sz="0" w:space="0" w:color="auto"/>
          </w:divBdr>
        </w:div>
      </w:divsChild>
    </w:div>
    <w:div w:id="773013084">
      <w:bodyDiv w:val="1"/>
      <w:marLeft w:val="0"/>
      <w:marRight w:val="0"/>
      <w:marTop w:val="0"/>
      <w:marBottom w:val="0"/>
      <w:divBdr>
        <w:top w:val="none" w:sz="0" w:space="0" w:color="auto"/>
        <w:left w:val="none" w:sz="0" w:space="0" w:color="auto"/>
        <w:bottom w:val="none" w:sz="0" w:space="0" w:color="auto"/>
        <w:right w:val="none" w:sz="0" w:space="0" w:color="auto"/>
      </w:divBdr>
    </w:div>
    <w:div w:id="785121540">
      <w:bodyDiv w:val="1"/>
      <w:marLeft w:val="0"/>
      <w:marRight w:val="0"/>
      <w:marTop w:val="0"/>
      <w:marBottom w:val="0"/>
      <w:divBdr>
        <w:top w:val="none" w:sz="0" w:space="0" w:color="auto"/>
        <w:left w:val="none" w:sz="0" w:space="0" w:color="auto"/>
        <w:bottom w:val="none" w:sz="0" w:space="0" w:color="auto"/>
        <w:right w:val="none" w:sz="0" w:space="0" w:color="auto"/>
      </w:divBdr>
    </w:div>
    <w:div w:id="798231695">
      <w:bodyDiv w:val="1"/>
      <w:marLeft w:val="0"/>
      <w:marRight w:val="0"/>
      <w:marTop w:val="0"/>
      <w:marBottom w:val="0"/>
      <w:divBdr>
        <w:top w:val="none" w:sz="0" w:space="0" w:color="auto"/>
        <w:left w:val="none" w:sz="0" w:space="0" w:color="auto"/>
        <w:bottom w:val="none" w:sz="0" w:space="0" w:color="auto"/>
        <w:right w:val="none" w:sz="0" w:space="0" w:color="auto"/>
      </w:divBdr>
    </w:div>
    <w:div w:id="803500589">
      <w:bodyDiv w:val="1"/>
      <w:marLeft w:val="0"/>
      <w:marRight w:val="0"/>
      <w:marTop w:val="0"/>
      <w:marBottom w:val="0"/>
      <w:divBdr>
        <w:top w:val="none" w:sz="0" w:space="0" w:color="auto"/>
        <w:left w:val="none" w:sz="0" w:space="0" w:color="auto"/>
        <w:bottom w:val="none" w:sz="0" w:space="0" w:color="auto"/>
        <w:right w:val="none" w:sz="0" w:space="0" w:color="auto"/>
      </w:divBdr>
    </w:div>
    <w:div w:id="815489249">
      <w:bodyDiv w:val="1"/>
      <w:marLeft w:val="0"/>
      <w:marRight w:val="0"/>
      <w:marTop w:val="0"/>
      <w:marBottom w:val="0"/>
      <w:divBdr>
        <w:top w:val="none" w:sz="0" w:space="0" w:color="auto"/>
        <w:left w:val="none" w:sz="0" w:space="0" w:color="auto"/>
        <w:bottom w:val="none" w:sz="0" w:space="0" w:color="auto"/>
        <w:right w:val="none" w:sz="0" w:space="0" w:color="auto"/>
      </w:divBdr>
    </w:div>
    <w:div w:id="896166300">
      <w:bodyDiv w:val="1"/>
      <w:marLeft w:val="0"/>
      <w:marRight w:val="0"/>
      <w:marTop w:val="0"/>
      <w:marBottom w:val="0"/>
      <w:divBdr>
        <w:top w:val="none" w:sz="0" w:space="0" w:color="auto"/>
        <w:left w:val="none" w:sz="0" w:space="0" w:color="auto"/>
        <w:bottom w:val="none" w:sz="0" w:space="0" w:color="auto"/>
        <w:right w:val="none" w:sz="0" w:space="0" w:color="auto"/>
      </w:divBdr>
    </w:div>
    <w:div w:id="912084430">
      <w:bodyDiv w:val="1"/>
      <w:marLeft w:val="0"/>
      <w:marRight w:val="0"/>
      <w:marTop w:val="0"/>
      <w:marBottom w:val="0"/>
      <w:divBdr>
        <w:top w:val="none" w:sz="0" w:space="0" w:color="auto"/>
        <w:left w:val="none" w:sz="0" w:space="0" w:color="auto"/>
        <w:bottom w:val="none" w:sz="0" w:space="0" w:color="auto"/>
        <w:right w:val="none" w:sz="0" w:space="0" w:color="auto"/>
      </w:divBdr>
    </w:div>
    <w:div w:id="931743459">
      <w:bodyDiv w:val="1"/>
      <w:marLeft w:val="0"/>
      <w:marRight w:val="0"/>
      <w:marTop w:val="0"/>
      <w:marBottom w:val="0"/>
      <w:divBdr>
        <w:top w:val="none" w:sz="0" w:space="0" w:color="auto"/>
        <w:left w:val="none" w:sz="0" w:space="0" w:color="auto"/>
        <w:bottom w:val="none" w:sz="0" w:space="0" w:color="auto"/>
        <w:right w:val="none" w:sz="0" w:space="0" w:color="auto"/>
      </w:divBdr>
    </w:div>
    <w:div w:id="933898945">
      <w:bodyDiv w:val="1"/>
      <w:marLeft w:val="0"/>
      <w:marRight w:val="0"/>
      <w:marTop w:val="0"/>
      <w:marBottom w:val="0"/>
      <w:divBdr>
        <w:top w:val="none" w:sz="0" w:space="0" w:color="auto"/>
        <w:left w:val="none" w:sz="0" w:space="0" w:color="auto"/>
        <w:bottom w:val="none" w:sz="0" w:space="0" w:color="auto"/>
        <w:right w:val="none" w:sz="0" w:space="0" w:color="auto"/>
      </w:divBdr>
    </w:div>
    <w:div w:id="949504890">
      <w:bodyDiv w:val="1"/>
      <w:marLeft w:val="0"/>
      <w:marRight w:val="0"/>
      <w:marTop w:val="0"/>
      <w:marBottom w:val="0"/>
      <w:divBdr>
        <w:top w:val="none" w:sz="0" w:space="0" w:color="auto"/>
        <w:left w:val="none" w:sz="0" w:space="0" w:color="auto"/>
        <w:bottom w:val="none" w:sz="0" w:space="0" w:color="auto"/>
        <w:right w:val="none" w:sz="0" w:space="0" w:color="auto"/>
      </w:divBdr>
    </w:div>
    <w:div w:id="958992397">
      <w:bodyDiv w:val="1"/>
      <w:marLeft w:val="0"/>
      <w:marRight w:val="0"/>
      <w:marTop w:val="0"/>
      <w:marBottom w:val="0"/>
      <w:divBdr>
        <w:top w:val="none" w:sz="0" w:space="0" w:color="auto"/>
        <w:left w:val="none" w:sz="0" w:space="0" w:color="auto"/>
        <w:bottom w:val="none" w:sz="0" w:space="0" w:color="auto"/>
        <w:right w:val="none" w:sz="0" w:space="0" w:color="auto"/>
      </w:divBdr>
    </w:div>
    <w:div w:id="965698662">
      <w:bodyDiv w:val="1"/>
      <w:marLeft w:val="0"/>
      <w:marRight w:val="0"/>
      <w:marTop w:val="0"/>
      <w:marBottom w:val="0"/>
      <w:divBdr>
        <w:top w:val="none" w:sz="0" w:space="0" w:color="auto"/>
        <w:left w:val="none" w:sz="0" w:space="0" w:color="auto"/>
        <w:bottom w:val="none" w:sz="0" w:space="0" w:color="auto"/>
        <w:right w:val="none" w:sz="0" w:space="0" w:color="auto"/>
      </w:divBdr>
      <w:divsChild>
        <w:div w:id="372925707">
          <w:marLeft w:val="0"/>
          <w:marRight w:val="0"/>
          <w:marTop w:val="0"/>
          <w:marBottom w:val="0"/>
          <w:divBdr>
            <w:top w:val="none" w:sz="0" w:space="0" w:color="auto"/>
            <w:left w:val="none" w:sz="0" w:space="0" w:color="auto"/>
            <w:bottom w:val="none" w:sz="0" w:space="0" w:color="auto"/>
            <w:right w:val="none" w:sz="0" w:space="0" w:color="auto"/>
          </w:divBdr>
        </w:div>
        <w:div w:id="465317528">
          <w:marLeft w:val="0"/>
          <w:marRight w:val="0"/>
          <w:marTop w:val="0"/>
          <w:marBottom w:val="0"/>
          <w:divBdr>
            <w:top w:val="none" w:sz="0" w:space="0" w:color="auto"/>
            <w:left w:val="none" w:sz="0" w:space="0" w:color="auto"/>
            <w:bottom w:val="none" w:sz="0" w:space="0" w:color="auto"/>
            <w:right w:val="none" w:sz="0" w:space="0" w:color="auto"/>
          </w:divBdr>
        </w:div>
        <w:div w:id="1895459869">
          <w:marLeft w:val="0"/>
          <w:marRight w:val="0"/>
          <w:marTop w:val="0"/>
          <w:marBottom w:val="0"/>
          <w:divBdr>
            <w:top w:val="none" w:sz="0" w:space="0" w:color="auto"/>
            <w:left w:val="none" w:sz="0" w:space="0" w:color="auto"/>
            <w:bottom w:val="none" w:sz="0" w:space="0" w:color="auto"/>
            <w:right w:val="none" w:sz="0" w:space="0" w:color="auto"/>
          </w:divBdr>
        </w:div>
      </w:divsChild>
    </w:div>
    <w:div w:id="1037126834">
      <w:bodyDiv w:val="1"/>
      <w:marLeft w:val="0"/>
      <w:marRight w:val="0"/>
      <w:marTop w:val="0"/>
      <w:marBottom w:val="0"/>
      <w:divBdr>
        <w:top w:val="none" w:sz="0" w:space="0" w:color="auto"/>
        <w:left w:val="none" w:sz="0" w:space="0" w:color="auto"/>
        <w:bottom w:val="none" w:sz="0" w:space="0" w:color="auto"/>
        <w:right w:val="none" w:sz="0" w:space="0" w:color="auto"/>
      </w:divBdr>
    </w:div>
    <w:div w:id="1062559329">
      <w:bodyDiv w:val="1"/>
      <w:marLeft w:val="0"/>
      <w:marRight w:val="0"/>
      <w:marTop w:val="0"/>
      <w:marBottom w:val="0"/>
      <w:divBdr>
        <w:top w:val="none" w:sz="0" w:space="0" w:color="auto"/>
        <w:left w:val="none" w:sz="0" w:space="0" w:color="auto"/>
        <w:bottom w:val="none" w:sz="0" w:space="0" w:color="auto"/>
        <w:right w:val="none" w:sz="0" w:space="0" w:color="auto"/>
      </w:divBdr>
    </w:div>
    <w:div w:id="1063216428">
      <w:bodyDiv w:val="1"/>
      <w:marLeft w:val="0"/>
      <w:marRight w:val="0"/>
      <w:marTop w:val="0"/>
      <w:marBottom w:val="0"/>
      <w:divBdr>
        <w:top w:val="none" w:sz="0" w:space="0" w:color="auto"/>
        <w:left w:val="none" w:sz="0" w:space="0" w:color="auto"/>
        <w:bottom w:val="none" w:sz="0" w:space="0" w:color="auto"/>
        <w:right w:val="none" w:sz="0" w:space="0" w:color="auto"/>
      </w:divBdr>
    </w:div>
    <w:div w:id="1146048152">
      <w:bodyDiv w:val="1"/>
      <w:marLeft w:val="0"/>
      <w:marRight w:val="0"/>
      <w:marTop w:val="0"/>
      <w:marBottom w:val="0"/>
      <w:divBdr>
        <w:top w:val="none" w:sz="0" w:space="0" w:color="auto"/>
        <w:left w:val="none" w:sz="0" w:space="0" w:color="auto"/>
        <w:bottom w:val="none" w:sz="0" w:space="0" w:color="auto"/>
        <w:right w:val="none" w:sz="0" w:space="0" w:color="auto"/>
      </w:divBdr>
    </w:div>
    <w:div w:id="1176460269">
      <w:bodyDiv w:val="1"/>
      <w:marLeft w:val="0"/>
      <w:marRight w:val="0"/>
      <w:marTop w:val="0"/>
      <w:marBottom w:val="0"/>
      <w:divBdr>
        <w:top w:val="none" w:sz="0" w:space="0" w:color="auto"/>
        <w:left w:val="none" w:sz="0" w:space="0" w:color="auto"/>
        <w:bottom w:val="none" w:sz="0" w:space="0" w:color="auto"/>
        <w:right w:val="none" w:sz="0" w:space="0" w:color="auto"/>
      </w:divBdr>
    </w:div>
    <w:div w:id="1195576299">
      <w:bodyDiv w:val="1"/>
      <w:marLeft w:val="0"/>
      <w:marRight w:val="0"/>
      <w:marTop w:val="0"/>
      <w:marBottom w:val="0"/>
      <w:divBdr>
        <w:top w:val="none" w:sz="0" w:space="0" w:color="auto"/>
        <w:left w:val="none" w:sz="0" w:space="0" w:color="auto"/>
        <w:bottom w:val="none" w:sz="0" w:space="0" w:color="auto"/>
        <w:right w:val="none" w:sz="0" w:space="0" w:color="auto"/>
      </w:divBdr>
    </w:div>
    <w:div w:id="1207840573">
      <w:bodyDiv w:val="1"/>
      <w:marLeft w:val="0"/>
      <w:marRight w:val="0"/>
      <w:marTop w:val="0"/>
      <w:marBottom w:val="0"/>
      <w:divBdr>
        <w:top w:val="none" w:sz="0" w:space="0" w:color="auto"/>
        <w:left w:val="none" w:sz="0" w:space="0" w:color="auto"/>
        <w:bottom w:val="none" w:sz="0" w:space="0" w:color="auto"/>
        <w:right w:val="none" w:sz="0" w:space="0" w:color="auto"/>
      </w:divBdr>
    </w:div>
    <w:div w:id="1216238565">
      <w:bodyDiv w:val="1"/>
      <w:marLeft w:val="0"/>
      <w:marRight w:val="0"/>
      <w:marTop w:val="0"/>
      <w:marBottom w:val="0"/>
      <w:divBdr>
        <w:top w:val="none" w:sz="0" w:space="0" w:color="auto"/>
        <w:left w:val="none" w:sz="0" w:space="0" w:color="auto"/>
        <w:bottom w:val="none" w:sz="0" w:space="0" w:color="auto"/>
        <w:right w:val="none" w:sz="0" w:space="0" w:color="auto"/>
      </w:divBdr>
      <w:divsChild>
        <w:div w:id="592124526">
          <w:marLeft w:val="0"/>
          <w:marRight w:val="0"/>
          <w:marTop w:val="0"/>
          <w:marBottom w:val="0"/>
          <w:divBdr>
            <w:top w:val="none" w:sz="0" w:space="0" w:color="auto"/>
            <w:left w:val="none" w:sz="0" w:space="0" w:color="auto"/>
            <w:bottom w:val="none" w:sz="0" w:space="0" w:color="auto"/>
            <w:right w:val="none" w:sz="0" w:space="0" w:color="auto"/>
          </w:divBdr>
        </w:div>
        <w:div w:id="1940217507">
          <w:marLeft w:val="0"/>
          <w:marRight w:val="0"/>
          <w:marTop w:val="0"/>
          <w:marBottom w:val="0"/>
          <w:divBdr>
            <w:top w:val="none" w:sz="0" w:space="0" w:color="auto"/>
            <w:left w:val="none" w:sz="0" w:space="0" w:color="auto"/>
            <w:bottom w:val="none" w:sz="0" w:space="0" w:color="auto"/>
            <w:right w:val="none" w:sz="0" w:space="0" w:color="auto"/>
          </w:divBdr>
        </w:div>
      </w:divsChild>
    </w:div>
    <w:div w:id="1229877961">
      <w:bodyDiv w:val="1"/>
      <w:marLeft w:val="0"/>
      <w:marRight w:val="0"/>
      <w:marTop w:val="0"/>
      <w:marBottom w:val="0"/>
      <w:divBdr>
        <w:top w:val="none" w:sz="0" w:space="0" w:color="auto"/>
        <w:left w:val="none" w:sz="0" w:space="0" w:color="auto"/>
        <w:bottom w:val="none" w:sz="0" w:space="0" w:color="auto"/>
        <w:right w:val="none" w:sz="0" w:space="0" w:color="auto"/>
      </w:divBdr>
    </w:div>
    <w:div w:id="1266697187">
      <w:bodyDiv w:val="1"/>
      <w:marLeft w:val="0"/>
      <w:marRight w:val="0"/>
      <w:marTop w:val="0"/>
      <w:marBottom w:val="0"/>
      <w:divBdr>
        <w:top w:val="none" w:sz="0" w:space="0" w:color="auto"/>
        <w:left w:val="none" w:sz="0" w:space="0" w:color="auto"/>
        <w:bottom w:val="none" w:sz="0" w:space="0" w:color="auto"/>
        <w:right w:val="none" w:sz="0" w:space="0" w:color="auto"/>
      </w:divBdr>
    </w:div>
    <w:div w:id="1272709737">
      <w:bodyDiv w:val="1"/>
      <w:marLeft w:val="0"/>
      <w:marRight w:val="0"/>
      <w:marTop w:val="0"/>
      <w:marBottom w:val="0"/>
      <w:divBdr>
        <w:top w:val="none" w:sz="0" w:space="0" w:color="auto"/>
        <w:left w:val="none" w:sz="0" w:space="0" w:color="auto"/>
        <w:bottom w:val="none" w:sz="0" w:space="0" w:color="auto"/>
        <w:right w:val="none" w:sz="0" w:space="0" w:color="auto"/>
      </w:divBdr>
    </w:div>
    <w:div w:id="1285885117">
      <w:bodyDiv w:val="1"/>
      <w:marLeft w:val="0"/>
      <w:marRight w:val="0"/>
      <w:marTop w:val="0"/>
      <w:marBottom w:val="0"/>
      <w:divBdr>
        <w:top w:val="none" w:sz="0" w:space="0" w:color="auto"/>
        <w:left w:val="none" w:sz="0" w:space="0" w:color="auto"/>
        <w:bottom w:val="none" w:sz="0" w:space="0" w:color="auto"/>
        <w:right w:val="none" w:sz="0" w:space="0" w:color="auto"/>
      </w:divBdr>
    </w:div>
    <w:div w:id="1299410165">
      <w:bodyDiv w:val="1"/>
      <w:marLeft w:val="0"/>
      <w:marRight w:val="0"/>
      <w:marTop w:val="0"/>
      <w:marBottom w:val="0"/>
      <w:divBdr>
        <w:top w:val="none" w:sz="0" w:space="0" w:color="auto"/>
        <w:left w:val="none" w:sz="0" w:space="0" w:color="auto"/>
        <w:bottom w:val="none" w:sz="0" w:space="0" w:color="auto"/>
        <w:right w:val="none" w:sz="0" w:space="0" w:color="auto"/>
      </w:divBdr>
    </w:div>
    <w:div w:id="1328481933">
      <w:bodyDiv w:val="1"/>
      <w:marLeft w:val="0"/>
      <w:marRight w:val="0"/>
      <w:marTop w:val="0"/>
      <w:marBottom w:val="0"/>
      <w:divBdr>
        <w:top w:val="none" w:sz="0" w:space="0" w:color="auto"/>
        <w:left w:val="none" w:sz="0" w:space="0" w:color="auto"/>
        <w:bottom w:val="none" w:sz="0" w:space="0" w:color="auto"/>
        <w:right w:val="none" w:sz="0" w:space="0" w:color="auto"/>
      </w:divBdr>
      <w:divsChild>
        <w:div w:id="561404093">
          <w:marLeft w:val="0"/>
          <w:marRight w:val="0"/>
          <w:marTop w:val="0"/>
          <w:marBottom w:val="0"/>
          <w:divBdr>
            <w:top w:val="none" w:sz="0" w:space="0" w:color="auto"/>
            <w:left w:val="none" w:sz="0" w:space="0" w:color="auto"/>
            <w:bottom w:val="none" w:sz="0" w:space="0" w:color="auto"/>
            <w:right w:val="none" w:sz="0" w:space="0" w:color="auto"/>
          </w:divBdr>
        </w:div>
        <w:div w:id="1641375433">
          <w:marLeft w:val="0"/>
          <w:marRight w:val="0"/>
          <w:marTop w:val="0"/>
          <w:marBottom w:val="0"/>
          <w:divBdr>
            <w:top w:val="none" w:sz="0" w:space="0" w:color="auto"/>
            <w:left w:val="none" w:sz="0" w:space="0" w:color="auto"/>
            <w:bottom w:val="none" w:sz="0" w:space="0" w:color="auto"/>
            <w:right w:val="none" w:sz="0" w:space="0" w:color="auto"/>
          </w:divBdr>
        </w:div>
      </w:divsChild>
    </w:div>
    <w:div w:id="1346982223">
      <w:bodyDiv w:val="1"/>
      <w:marLeft w:val="0"/>
      <w:marRight w:val="0"/>
      <w:marTop w:val="0"/>
      <w:marBottom w:val="0"/>
      <w:divBdr>
        <w:top w:val="none" w:sz="0" w:space="0" w:color="auto"/>
        <w:left w:val="none" w:sz="0" w:space="0" w:color="auto"/>
        <w:bottom w:val="none" w:sz="0" w:space="0" w:color="auto"/>
        <w:right w:val="none" w:sz="0" w:space="0" w:color="auto"/>
      </w:divBdr>
    </w:div>
    <w:div w:id="1404335443">
      <w:bodyDiv w:val="1"/>
      <w:marLeft w:val="0"/>
      <w:marRight w:val="0"/>
      <w:marTop w:val="0"/>
      <w:marBottom w:val="0"/>
      <w:divBdr>
        <w:top w:val="none" w:sz="0" w:space="0" w:color="auto"/>
        <w:left w:val="none" w:sz="0" w:space="0" w:color="auto"/>
        <w:bottom w:val="none" w:sz="0" w:space="0" w:color="auto"/>
        <w:right w:val="none" w:sz="0" w:space="0" w:color="auto"/>
      </w:divBdr>
    </w:div>
    <w:div w:id="1408191170">
      <w:bodyDiv w:val="1"/>
      <w:marLeft w:val="0"/>
      <w:marRight w:val="0"/>
      <w:marTop w:val="0"/>
      <w:marBottom w:val="0"/>
      <w:divBdr>
        <w:top w:val="none" w:sz="0" w:space="0" w:color="auto"/>
        <w:left w:val="none" w:sz="0" w:space="0" w:color="auto"/>
        <w:bottom w:val="none" w:sz="0" w:space="0" w:color="auto"/>
        <w:right w:val="none" w:sz="0" w:space="0" w:color="auto"/>
      </w:divBdr>
    </w:div>
    <w:div w:id="1411728681">
      <w:bodyDiv w:val="1"/>
      <w:marLeft w:val="0"/>
      <w:marRight w:val="0"/>
      <w:marTop w:val="0"/>
      <w:marBottom w:val="0"/>
      <w:divBdr>
        <w:top w:val="none" w:sz="0" w:space="0" w:color="auto"/>
        <w:left w:val="none" w:sz="0" w:space="0" w:color="auto"/>
        <w:bottom w:val="none" w:sz="0" w:space="0" w:color="auto"/>
        <w:right w:val="none" w:sz="0" w:space="0" w:color="auto"/>
      </w:divBdr>
      <w:divsChild>
        <w:div w:id="453528401">
          <w:marLeft w:val="547"/>
          <w:marRight w:val="0"/>
          <w:marTop w:val="0"/>
          <w:marBottom w:val="120"/>
          <w:divBdr>
            <w:top w:val="none" w:sz="0" w:space="0" w:color="auto"/>
            <w:left w:val="none" w:sz="0" w:space="0" w:color="auto"/>
            <w:bottom w:val="none" w:sz="0" w:space="0" w:color="auto"/>
            <w:right w:val="none" w:sz="0" w:space="0" w:color="auto"/>
          </w:divBdr>
        </w:div>
        <w:div w:id="1820154168">
          <w:marLeft w:val="547"/>
          <w:marRight w:val="0"/>
          <w:marTop w:val="0"/>
          <w:marBottom w:val="120"/>
          <w:divBdr>
            <w:top w:val="none" w:sz="0" w:space="0" w:color="auto"/>
            <w:left w:val="none" w:sz="0" w:space="0" w:color="auto"/>
            <w:bottom w:val="none" w:sz="0" w:space="0" w:color="auto"/>
            <w:right w:val="none" w:sz="0" w:space="0" w:color="auto"/>
          </w:divBdr>
        </w:div>
      </w:divsChild>
    </w:div>
    <w:div w:id="1413509864">
      <w:bodyDiv w:val="1"/>
      <w:marLeft w:val="0"/>
      <w:marRight w:val="0"/>
      <w:marTop w:val="0"/>
      <w:marBottom w:val="0"/>
      <w:divBdr>
        <w:top w:val="none" w:sz="0" w:space="0" w:color="auto"/>
        <w:left w:val="none" w:sz="0" w:space="0" w:color="auto"/>
        <w:bottom w:val="none" w:sz="0" w:space="0" w:color="auto"/>
        <w:right w:val="none" w:sz="0" w:space="0" w:color="auto"/>
      </w:divBdr>
    </w:div>
    <w:div w:id="1416438639">
      <w:bodyDiv w:val="1"/>
      <w:marLeft w:val="0"/>
      <w:marRight w:val="0"/>
      <w:marTop w:val="0"/>
      <w:marBottom w:val="0"/>
      <w:divBdr>
        <w:top w:val="none" w:sz="0" w:space="0" w:color="auto"/>
        <w:left w:val="none" w:sz="0" w:space="0" w:color="auto"/>
        <w:bottom w:val="none" w:sz="0" w:space="0" w:color="auto"/>
        <w:right w:val="none" w:sz="0" w:space="0" w:color="auto"/>
      </w:divBdr>
    </w:div>
    <w:div w:id="1429546048">
      <w:bodyDiv w:val="1"/>
      <w:marLeft w:val="0"/>
      <w:marRight w:val="0"/>
      <w:marTop w:val="0"/>
      <w:marBottom w:val="0"/>
      <w:divBdr>
        <w:top w:val="none" w:sz="0" w:space="0" w:color="auto"/>
        <w:left w:val="none" w:sz="0" w:space="0" w:color="auto"/>
        <w:bottom w:val="none" w:sz="0" w:space="0" w:color="auto"/>
        <w:right w:val="none" w:sz="0" w:space="0" w:color="auto"/>
      </w:divBdr>
    </w:div>
    <w:div w:id="1442920468">
      <w:bodyDiv w:val="1"/>
      <w:marLeft w:val="0"/>
      <w:marRight w:val="0"/>
      <w:marTop w:val="0"/>
      <w:marBottom w:val="0"/>
      <w:divBdr>
        <w:top w:val="none" w:sz="0" w:space="0" w:color="auto"/>
        <w:left w:val="none" w:sz="0" w:space="0" w:color="auto"/>
        <w:bottom w:val="none" w:sz="0" w:space="0" w:color="auto"/>
        <w:right w:val="none" w:sz="0" w:space="0" w:color="auto"/>
      </w:divBdr>
      <w:divsChild>
        <w:div w:id="1234506476">
          <w:marLeft w:val="0"/>
          <w:marRight w:val="0"/>
          <w:marTop w:val="0"/>
          <w:marBottom w:val="0"/>
          <w:divBdr>
            <w:top w:val="none" w:sz="0" w:space="0" w:color="auto"/>
            <w:left w:val="none" w:sz="0" w:space="0" w:color="auto"/>
            <w:bottom w:val="none" w:sz="0" w:space="0" w:color="auto"/>
            <w:right w:val="none" w:sz="0" w:space="0" w:color="auto"/>
          </w:divBdr>
          <w:divsChild>
            <w:div w:id="158887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072523">
      <w:bodyDiv w:val="1"/>
      <w:marLeft w:val="0"/>
      <w:marRight w:val="0"/>
      <w:marTop w:val="0"/>
      <w:marBottom w:val="0"/>
      <w:divBdr>
        <w:top w:val="none" w:sz="0" w:space="0" w:color="auto"/>
        <w:left w:val="none" w:sz="0" w:space="0" w:color="auto"/>
        <w:bottom w:val="none" w:sz="0" w:space="0" w:color="auto"/>
        <w:right w:val="none" w:sz="0" w:space="0" w:color="auto"/>
      </w:divBdr>
      <w:divsChild>
        <w:div w:id="798761408">
          <w:marLeft w:val="0"/>
          <w:marRight w:val="0"/>
          <w:marTop w:val="0"/>
          <w:marBottom w:val="0"/>
          <w:divBdr>
            <w:top w:val="none" w:sz="0" w:space="0" w:color="auto"/>
            <w:left w:val="none" w:sz="0" w:space="0" w:color="auto"/>
            <w:bottom w:val="none" w:sz="0" w:space="0" w:color="auto"/>
            <w:right w:val="none" w:sz="0" w:space="0" w:color="auto"/>
          </w:divBdr>
        </w:div>
        <w:div w:id="2089769031">
          <w:marLeft w:val="0"/>
          <w:marRight w:val="0"/>
          <w:marTop w:val="0"/>
          <w:marBottom w:val="0"/>
          <w:divBdr>
            <w:top w:val="none" w:sz="0" w:space="0" w:color="auto"/>
            <w:left w:val="none" w:sz="0" w:space="0" w:color="auto"/>
            <w:bottom w:val="none" w:sz="0" w:space="0" w:color="auto"/>
            <w:right w:val="none" w:sz="0" w:space="0" w:color="auto"/>
          </w:divBdr>
        </w:div>
      </w:divsChild>
    </w:div>
    <w:div w:id="1511095535">
      <w:bodyDiv w:val="1"/>
      <w:marLeft w:val="0"/>
      <w:marRight w:val="0"/>
      <w:marTop w:val="0"/>
      <w:marBottom w:val="0"/>
      <w:divBdr>
        <w:top w:val="none" w:sz="0" w:space="0" w:color="auto"/>
        <w:left w:val="none" w:sz="0" w:space="0" w:color="auto"/>
        <w:bottom w:val="none" w:sz="0" w:space="0" w:color="auto"/>
        <w:right w:val="none" w:sz="0" w:space="0" w:color="auto"/>
      </w:divBdr>
      <w:divsChild>
        <w:div w:id="1759255716">
          <w:marLeft w:val="0"/>
          <w:marRight w:val="0"/>
          <w:marTop w:val="0"/>
          <w:marBottom w:val="0"/>
          <w:divBdr>
            <w:top w:val="none" w:sz="0" w:space="0" w:color="auto"/>
            <w:left w:val="none" w:sz="0" w:space="0" w:color="auto"/>
            <w:bottom w:val="none" w:sz="0" w:space="0" w:color="auto"/>
            <w:right w:val="none" w:sz="0" w:space="0" w:color="auto"/>
          </w:divBdr>
          <w:divsChild>
            <w:div w:id="1182822240">
              <w:marLeft w:val="0"/>
              <w:marRight w:val="0"/>
              <w:marTop w:val="0"/>
              <w:marBottom w:val="0"/>
              <w:divBdr>
                <w:top w:val="none" w:sz="0" w:space="0" w:color="auto"/>
                <w:left w:val="none" w:sz="0" w:space="0" w:color="auto"/>
                <w:bottom w:val="none" w:sz="0" w:space="0" w:color="auto"/>
                <w:right w:val="none" w:sz="0" w:space="0" w:color="auto"/>
              </w:divBdr>
              <w:divsChild>
                <w:div w:id="1850103199">
                  <w:marLeft w:val="0"/>
                  <w:marRight w:val="0"/>
                  <w:marTop w:val="0"/>
                  <w:marBottom w:val="0"/>
                  <w:divBdr>
                    <w:top w:val="none" w:sz="0" w:space="0" w:color="auto"/>
                    <w:left w:val="none" w:sz="0" w:space="0" w:color="auto"/>
                    <w:bottom w:val="none" w:sz="0" w:space="0" w:color="auto"/>
                    <w:right w:val="none" w:sz="0" w:space="0" w:color="auto"/>
                  </w:divBdr>
                  <w:divsChild>
                    <w:div w:id="893278167">
                      <w:marLeft w:val="0"/>
                      <w:marRight w:val="0"/>
                      <w:marTop w:val="0"/>
                      <w:marBottom w:val="0"/>
                      <w:divBdr>
                        <w:top w:val="none" w:sz="0" w:space="0" w:color="auto"/>
                        <w:left w:val="none" w:sz="0" w:space="0" w:color="auto"/>
                        <w:bottom w:val="none" w:sz="0" w:space="0" w:color="auto"/>
                        <w:right w:val="none" w:sz="0" w:space="0" w:color="auto"/>
                      </w:divBdr>
                      <w:divsChild>
                        <w:div w:id="1086655443">
                          <w:marLeft w:val="0"/>
                          <w:marRight w:val="0"/>
                          <w:marTop w:val="0"/>
                          <w:marBottom w:val="0"/>
                          <w:divBdr>
                            <w:top w:val="none" w:sz="0" w:space="0" w:color="auto"/>
                            <w:left w:val="none" w:sz="0" w:space="0" w:color="auto"/>
                            <w:bottom w:val="none" w:sz="0" w:space="0" w:color="auto"/>
                            <w:right w:val="none" w:sz="0" w:space="0" w:color="auto"/>
                          </w:divBdr>
                          <w:divsChild>
                            <w:div w:id="22854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744314">
      <w:bodyDiv w:val="1"/>
      <w:marLeft w:val="0"/>
      <w:marRight w:val="0"/>
      <w:marTop w:val="0"/>
      <w:marBottom w:val="0"/>
      <w:divBdr>
        <w:top w:val="none" w:sz="0" w:space="0" w:color="auto"/>
        <w:left w:val="none" w:sz="0" w:space="0" w:color="auto"/>
        <w:bottom w:val="none" w:sz="0" w:space="0" w:color="auto"/>
        <w:right w:val="none" w:sz="0" w:space="0" w:color="auto"/>
      </w:divBdr>
    </w:div>
    <w:div w:id="1528837059">
      <w:bodyDiv w:val="1"/>
      <w:marLeft w:val="0"/>
      <w:marRight w:val="0"/>
      <w:marTop w:val="0"/>
      <w:marBottom w:val="0"/>
      <w:divBdr>
        <w:top w:val="none" w:sz="0" w:space="0" w:color="auto"/>
        <w:left w:val="none" w:sz="0" w:space="0" w:color="auto"/>
        <w:bottom w:val="none" w:sz="0" w:space="0" w:color="auto"/>
        <w:right w:val="none" w:sz="0" w:space="0" w:color="auto"/>
      </w:divBdr>
    </w:div>
    <w:div w:id="1550612292">
      <w:bodyDiv w:val="1"/>
      <w:marLeft w:val="0"/>
      <w:marRight w:val="0"/>
      <w:marTop w:val="0"/>
      <w:marBottom w:val="0"/>
      <w:divBdr>
        <w:top w:val="none" w:sz="0" w:space="0" w:color="auto"/>
        <w:left w:val="none" w:sz="0" w:space="0" w:color="auto"/>
        <w:bottom w:val="none" w:sz="0" w:space="0" w:color="auto"/>
        <w:right w:val="none" w:sz="0" w:space="0" w:color="auto"/>
      </w:divBdr>
      <w:divsChild>
        <w:div w:id="1678533879">
          <w:marLeft w:val="0"/>
          <w:marRight w:val="0"/>
          <w:marTop w:val="0"/>
          <w:marBottom w:val="0"/>
          <w:divBdr>
            <w:top w:val="none" w:sz="0" w:space="0" w:color="auto"/>
            <w:left w:val="none" w:sz="0" w:space="0" w:color="auto"/>
            <w:bottom w:val="none" w:sz="0" w:space="0" w:color="auto"/>
            <w:right w:val="none" w:sz="0" w:space="0" w:color="auto"/>
          </w:divBdr>
          <w:divsChild>
            <w:div w:id="134913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08402">
      <w:bodyDiv w:val="1"/>
      <w:marLeft w:val="0"/>
      <w:marRight w:val="0"/>
      <w:marTop w:val="0"/>
      <w:marBottom w:val="0"/>
      <w:divBdr>
        <w:top w:val="none" w:sz="0" w:space="0" w:color="auto"/>
        <w:left w:val="none" w:sz="0" w:space="0" w:color="auto"/>
        <w:bottom w:val="none" w:sz="0" w:space="0" w:color="auto"/>
        <w:right w:val="none" w:sz="0" w:space="0" w:color="auto"/>
      </w:divBdr>
    </w:div>
    <w:div w:id="1673219761">
      <w:bodyDiv w:val="1"/>
      <w:marLeft w:val="0"/>
      <w:marRight w:val="0"/>
      <w:marTop w:val="0"/>
      <w:marBottom w:val="0"/>
      <w:divBdr>
        <w:top w:val="none" w:sz="0" w:space="0" w:color="auto"/>
        <w:left w:val="none" w:sz="0" w:space="0" w:color="auto"/>
        <w:bottom w:val="none" w:sz="0" w:space="0" w:color="auto"/>
        <w:right w:val="none" w:sz="0" w:space="0" w:color="auto"/>
      </w:divBdr>
    </w:div>
    <w:div w:id="1678114875">
      <w:bodyDiv w:val="1"/>
      <w:marLeft w:val="0"/>
      <w:marRight w:val="0"/>
      <w:marTop w:val="0"/>
      <w:marBottom w:val="0"/>
      <w:divBdr>
        <w:top w:val="none" w:sz="0" w:space="0" w:color="auto"/>
        <w:left w:val="none" w:sz="0" w:space="0" w:color="auto"/>
        <w:bottom w:val="none" w:sz="0" w:space="0" w:color="auto"/>
        <w:right w:val="none" w:sz="0" w:space="0" w:color="auto"/>
      </w:divBdr>
    </w:div>
    <w:div w:id="1711611488">
      <w:bodyDiv w:val="1"/>
      <w:marLeft w:val="0"/>
      <w:marRight w:val="0"/>
      <w:marTop w:val="0"/>
      <w:marBottom w:val="0"/>
      <w:divBdr>
        <w:top w:val="none" w:sz="0" w:space="0" w:color="auto"/>
        <w:left w:val="none" w:sz="0" w:space="0" w:color="auto"/>
        <w:bottom w:val="none" w:sz="0" w:space="0" w:color="auto"/>
        <w:right w:val="none" w:sz="0" w:space="0" w:color="auto"/>
      </w:divBdr>
    </w:div>
    <w:div w:id="1712849163">
      <w:bodyDiv w:val="1"/>
      <w:marLeft w:val="0"/>
      <w:marRight w:val="0"/>
      <w:marTop w:val="0"/>
      <w:marBottom w:val="0"/>
      <w:divBdr>
        <w:top w:val="none" w:sz="0" w:space="0" w:color="auto"/>
        <w:left w:val="none" w:sz="0" w:space="0" w:color="auto"/>
        <w:bottom w:val="none" w:sz="0" w:space="0" w:color="auto"/>
        <w:right w:val="none" w:sz="0" w:space="0" w:color="auto"/>
      </w:divBdr>
    </w:div>
    <w:div w:id="1733310213">
      <w:bodyDiv w:val="1"/>
      <w:marLeft w:val="0"/>
      <w:marRight w:val="0"/>
      <w:marTop w:val="0"/>
      <w:marBottom w:val="0"/>
      <w:divBdr>
        <w:top w:val="none" w:sz="0" w:space="0" w:color="auto"/>
        <w:left w:val="none" w:sz="0" w:space="0" w:color="auto"/>
        <w:bottom w:val="none" w:sz="0" w:space="0" w:color="auto"/>
        <w:right w:val="none" w:sz="0" w:space="0" w:color="auto"/>
      </w:divBdr>
    </w:div>
    <w:div w:id="1753889079">
      <w:bodyDiv w:val="1"/>
      <w:marLeft w:val="0"/>
      <w:marRight w:val="0"/>
      <w:marTop w:val="0"/>
      <w:marBottom w:val="0"/>
      <w:divBdr>
        <w:top w:val="none" w:sz="0" w:space="0" w:color="auto"/>
        <w:left w:val="none" w:sz="0" w:space="0" w:color="auto"/>
        <w:bottom w:val="none" w:sz="0" w:space="0" w:color="auto"/>
        <w:right w:val="none" w:sz="0" w:space="0" w:color="auto"/>
      </w:divBdr>
      <w:divsChild>
        <w:div w:id="363555294">
          <w:marLeft w:val="0"/>
          <w:marRight w:val="0"/>
          <w:marTop w:val="0"/>
          <w:marBottom w:val="0"/>
          <w:divBdr>
            <w:top w:val="none" w:sz="0" w:space="0" w:color="auto"/>
            <w:left w:val="none" w:sz="0" w:space="0" w:color="auto"/>
            <w:bottom w:val="none" w:sz="0" w:space="0" w:color="auto"/>
            <w:right w:val="none" w:sz="0" w:space="0" w:color="auto"/>
          </w:divBdr>
        </w:div>
        <w:div w:id="484856120">
          <w:marLeft w:val="0"/>
          <w:marRight w:val="0"/>
          <w:marTop w:val="0"/>
          <w:marBottom w:val="0"/>
          <w:divBdr>
            <w:top w:val="none" w:sz="0" w:space="0" w:color="auto"/>
            <w:left w:val="none" w:sz="0" w:space="0" w:color="auto"/>
            <w:bottom w:val="none" w:sz="0" w:space="0" w:color="auto"/>
            <w:right w:val="none" w:sz="0" w:space="0" w:color="auto"/>
          </w:divBdr>
        </w:div>
        <w:div w:id="485896239">
          <w:marLeft w:val="0"/>
          <w:marRight w:val="0"/>
          <w:marTop w:val="0"/>
          <w:marBottom w:val="0"/>
          <w:divBdr>
            <w:top w:val="none" w:sz="0" w:space="0" w:color="auto"/>
            <w:left w:val="none" w:sz="0" w:space="0" w:color="auto"/>
            <w:bottom w:val="none" w:sz="0" w:space="0" w:color="auto"/>
            <w:right w:val="none" w:sz="0" w:space="0" w:color="auto"/>
          </w:divBdr>
        </w:div>
      </w:divsChild>
    </w:div>
    <w:div w:id="1802919376">
      <w:bodyDiv w:val="1"/>
      <w:marLeft w:val="0"/>
      <w:marRight w:val="0"/>
      <w:marTop w:val="0"/>
      <w:marBottom w:val="0"/>
      <w:divBdr>
        <w:top w:val="none" w:sz="0" w:space="0" w:color="auto"/>
        <w:left w:val="none" w:sz="0" w:space="0" w:color="auto"/>
        <w:bottom w:val="none" w:sz="0" w:space="0" w:color="auto"/>
        <w:right w:val="none" w:sz="0" w:space="0" w:color="auto"/>
      </w:divBdr>
      <w:divsChild>
        <w:div w:id="993139970">
          <w:marLeft w:val="0"/>
          <w:marRight w:val="0"/>
          <w:marTop w:val="0"/>
          <w:marBottom w:val="0"/>
          <w:divBdr>
            <w:top w:val="none" w:sz="0" w:space="0" w:color="auto"/>
            <w:left w:val="none" w:sz="0" w:space="0" w:color="auto"/>
            <w:bottom w:val="none" w:sz="0" w:space="0" w:color="auto"/>
            <w:right w:val="none" w:sz="0" w:space="0" w:color="auto"/>
          </w:divBdr>
        </w:div>
        <w:div w:id="1471511319">
          <w:marLeft w:val="0"/>
          <w:marRight w:val="0"/>
          <w:marTop w:val="0"/>
          <w:marBottom w:val="0"/>
          <w:divBdr>
            <w:top w:val="none" w:sz="0" w:space="0" w:color="auto"/>
            <w:left w:val="none" w:sz="0" w:space="0" w:color="auto"/>
            <w:bottom w:val="none" w:sz="0" w:space="0" w:color="auto"/>
            <w:right w:val="none" w:sz="0" w:space="0" w:color="auto"/>
          </w:divBdr>
        </w:div>
      </w:divsChild>
    </w:div>
    <w:div w:id="1840728263">
      <w:bodyDiv w:val="1"/>
      <w:marLeft w:val="0"/>
      <w:marRight w:val="0"/>
      <w:marTop w:val="0"/>
      <w:marBottom w:val="0"/>
      <w:divBdr>
        <w:top w:val="none" w:sz="0" w:space="0" w:color="auto"/>
        <w:left w:val="none" w:sz="0" w:space="0" w:color="auto"/>
        <w:bottom w:val="none" w:sz="0" w:space="0" w:color="auto"/>
        <w:right w:val="none" w:sz="0" w:space="0" w:color="auto"/>
      </w:divBdr>
    </w:div>
    <w:div w:id="1843232216">
      <w:bodyDiv w:val="1"/>
      <w:marLeft w:val="0"/>
      <w:marRight w:val="0"/>
      <w:marTop w:val="0"/>
      <w:marBottom w:val="0"/>
      <w:divBdr>
        <w:top w:val="none" w:sz="0" w:space="0" w:color="auto"/>
        <w:left w:val="none" w:sz="0" w:space="0" w:color="auto"/>
        <w:bottom w:val="none" w:sz="0" w:space="0" w:color="auto"/>
        <w:right w:val="none" w:sz="0" w:space="0" w:color="auto"/>
      </w:divBdr>
    </w:div>
    <w:div w:id="1882740528">
      <w:bodyDiv w:val="1"/>
      <w:marLeft w:val="0"/>
      <w:marRight w:val="0"/>
      <w:marTop w:val="0"/>
      <w:marBottom w:val="0"/>
      <w:divBdr>
        <w:top w:val="none" w:sz="0" w:space="0" w:color="auto"/>
        <w:left w:val="none" w:sz="0" w:space="0" w:color="auto"/>
        <w:bottom w:val="none" w:sz="0" w:space="0" w:color="auto"/>
        <w:right w:val="none" w:sz="0" w:space="0" w:color="auto"/>
      </w:divBdr>
    </w:div>
    <w:div w:id="1934244753">
      <w:bodyDiv w:val="1"/>
      <w:marLeft w:val="0"/>
      <w:marRight w:val="0"/>
      <w:marTop w:val="0"/>
      <w:marBottom w:val="0"/>
      <w:divBdr>
        <w:top w:val="none" w:sz="0" w:space="0" w:color="auto"/>
        <w:left w:val="none" w:sz="0" w:space="0" w:color="auto"/>
        <w:bottom w:val="none" w:sz="0" w:space="0" w:color="auto"/>
        <w:right w:val="none" w:sz="0" w:space="0" w:color="auto"/>
      </w:divBdr>
    </w:div>
    <w:div w:id="1936744802">
      <w:bodyDiv w:val="1"/>
      <w:marLeft w:val="0"/>
      <w:marRight w:val="0"/>
      <w:marTop w:val="0"/>
      <w:marBottom w:val="0"/>
      <w:divBdr>
        <w:top w:val="none" w:sz="0" w:space="0" w:color="auto"/>
        <w:left w:val="none" w:sz="0" w:space="0" w:color="auto"/>
        <w:bottom w:val="none" w:sz="0" w:space="0" w:color="auto"/>
        <w:right w:val="none" w:sz="0" w:space="0" w:color="auto"/>
      </w:divBdr>
    </w:div>
    <w:div w:id="1950619035">
      <w:bodyDiv w:val="1"/>
      <w:marLeft w:val="0"/>
      <w:marRight w:val="0"/>
      <w:marTop w:val="0"/>
      <w:marBottom w:val="0"/>
      <w:divBdr>
        <w:top w:val="none" w:sz="0" w:space="0" w:color="auto"/>
        <w:left w:val="none" w:sz="0" w:space="0" w:color="auto"/>
        <w:bottom w:val="none" w:sz="0" w:space="0" w:color="auto"/>
        <w:right w:val="none" w:sz="0" w:space="0" w:color="auto"/>
      </w:divBdr>
    </w:div>
    <w:div w:id="1984308756">
      <w:bodyDiv w:val="1"/>
      <w:marLeft w:val="0"/>
      <w:marRight w:val="0"/>
      <w:marTop w:val="0"/>
      <w:marBottom w:val="0"/>
      <w:divBdr>
        <w:top w:val="none" w:sz="0" w:space="0" w:color="auto"/>
        <w:left w:val="none" w:sz="0" w:space="0" w:color="auto"/>
        <w:bottom w:val="none" w:sz="0" w:space="0" w:color="auto"/>
        <w:right w:val="none" w:sz="0" w:space="0" w:color="auto"/>
      </w:divBdr>
    </w:div>
    <w:div w:id="1995377394">
      <w:bodyDiv w:val="1"/>
      <w:marLeft w:val="0"/>
      <w:marRight w:val="0"/>
      <w:marTop w:val="0"/>
      <w:marBottom w:val="0"/>
      <w:divBdr>
        <w:top w:val="none" w:sz="0" w:space="0" w:color="auto"/>
        <w:left w:val="none" w:sz="0" w:space="0" w:color="auto"/>
        <w:bottom w:val="none" w:sz="0" w:space="0" w:color="auto"/>
        <w:right w:val="none" w:sz="0" w:space="0" w:color="auto"/>
      </w:divBdr>
    </w:div>
    <w:div w:id="2012247906">
      <w:bodyDiv w:val="1"/>
      <w:marLeft w:val="0"/>
      <w:marRight w:val="0"/>
      <w:marTop w:val="0"/>
      <w:marBottom w:val="0"/>
      <w:divBdr>
        <w:top w:val="none" w:sz="0" w:space="0" w:color="auto"/>
        <w:left w:val="none" w:sz="0" w:space="0" w:color="auto"/>
        <w:bottom w:val="none" w:sz="0" w:space="0" w:color="auto"/>
        <w:right w:val="none" w:sz="0" w:space="0" w:color="auto"/>
      </w:divBdr>
    </w:div>
    <w:div w:id="2040154420">
      <w:bodyDiv w:val="1"/>
      <w:marLeft w:val="0"/>
      <w:marRight w:val="0"/>
      <w:marTop w:val="0"/>
      <w:marBottom w:val="0"/>
      <w:divBdr>
        <w:top w:val="none" w:sz="0" w:space="0" w:color="auto"/>
        <w:left w:val="none" w:sz="0" w:space="0" w:color="auto"/>
        <w:bottom w:val="none" w:sz="0" w:space="0" w:color="auto"/>
        <w:right w:val="none" w:sz="0" w:space="0" w:color="auto"/>
      </w:divBdr>
    </w:div>
    <w:div w:id="2061586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6a9b4c6-0c29-47a2-af34-ec9724382a1c">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4020994-e754-48c1-817e-f760c4acc32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1086966748074091B44B156AB49619" ma:contentTypeVersion="11" ma:contentTypeDescription="Create a new document." ma:contentTypeScope="" ma:versionID="48a82a9396a470c9c4aa880e4796fb29">
  <xsd:schema xmlns:xsd="http://www.w3.org/2001/XMLSchema" xmlns:xs="http://www.w3.org/2001/XMLSchema" xmlns:p="http://schemas.microsoft.com/office/2006/metadata/properties" xmlns:ns2="d6a9b4c6-0c29-47a2-af34-ec9724382a1c" xmlns:ns3="f4020994-e754-48c1-817e-f760c4acc320" targetNamespace="http://schemas.microsoft.com/office/2006/metadata/properties" ma:root="true" ma:fieldsID="b9bc2d1571b22cfd2c69797628af2a41" ns2:_="" ns3:_="">
    <xsd:import namespace="d6a9b4c6-0c29-47a2-af34-ec9724382a1c"/>
    <xsd:import namespace="f4020994-e754-48c1-817e-f760c4acc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a9b4c6-0c29-47a2-af34-ec9724382a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020994-e754-48c1-817e-f760c4acc32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3902b9-3479-4571-a458-c3756a186ff4}" ma:internalName="TaxCatchAll" ma:showField="CatchAllData" ma:web="f4020994-e754-48c1-817e-f760c4acc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AB88F18-9DA3-472F-A4C4-257E7FB23937}">
  <ds:schemaRefs>
    <ds:schemaRef ds:uri="http://schemas.microsoft.com/sharepoint/v3/contenttype/forms"/>
  </ds:schemaRefs>
</ds:datastoreItem>
</file>

<file path=customXml/itemProps2.xml><?xml version="1.0" encoding="utf-8"?>
<ds:datastoreItem xmlns:ds="http://schemas.openxmlformats.org/officeDocument/2006/customXml" ds:itemID="{C795C543-6B4D-43CE-8979-C7DF9D5E5C32}">
  <ds:schemaRefs>
    <ds:schemaRef ds:uri="http://schemas.microsoft.com/office/2006/metadata/properties"/>
    <ds:schemaRef ds:uri="http://schemas.microsoft.com/office/infopath/2007/PartnerControls"/>
    <ds:schemaRef ds:uri="d6a9b4c6-0c29-47a2-af34-ec9724382a1c"/>
    <ds:schemaRef ds:uri="f4020994-e754-48c1-817e-f760c4acc320"/>
  </ds:schemaRefs>
</ds:datastoreItem>
</file>

<file path=customXml/itemProps3.xml><?xml version="1.0" encoding="utf-8"?>
<ds:datastoreItem xmlns:ds="http://schemas.openxmlformats.org/officeDocument/2006/customXml" ds:itemID="{34F73EDA-393B-49BC-8B68-589E697214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a9b4c6-0c29-47a2-af34-ec9724382a1c"/>
    <ds:schemaRef ds:uri="f4020994-e754-48c1-817e-f760c4acc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6BF8AC-FC24-460B-AEF5-43096E528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17</Pages>
  <Words>6278</Words>
  <Characters>35788</Characters>
  <Application>Microsoft Office Word</Application>
  <DocSecurity>0</DocSecurity>
  <Lines>298</Lines>
  <Paragraphs>83</Paragraphs>
  <ScaleCrop>false</ScaleCrop>
  <Manager/>
  <Company/>
  <LinksUpToDate>false</LinksUpToDate>
  <CharactersWithSpaces>41983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cp:lastPrinted>2020-10-15T22:42:00Z</cp:lastPrinted>
  <dcterms:created xsi:type="dcterms:W3CDTF">2025-11-25T19:48:00Z</dcterms:created>
  <dcterms:modified xsi:type="dcterms:W3CDTF">2026-01-08T08:46:00Z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Created using">
    <vt:lpwstr>LW 7.0, Build 20190717</vt:lpwstr>
  </property>
  <property fmtid="{D5CDD505-2E9C-101B-9397-08002B2CF9AE}" pid="8" name="MSIP_Label_6bd9ddd1-4d20-43f6-abfa-fc3c07406f94_Enabled">
    <vt:lpwstr>true</vt:lpwstr>
  </property>
  <property fmtid="{D5CDD505-2E9C-101B-9397-08002B2CF9AE}" pid="9" name="MSIP_Label_6bd9ddd1-4d20-43f6-abfa-fc3c07406f94_SetDate">
    <vt:lpwstr>2025-03-12T15:04:36Z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b9917dc3-a74c-4ad6-bb9e-99c1db8347c4</vt:lpwstr>
  </property>
  <property fmtid="{D5CDD505-2E9C-101B-9397-08002B2CF9AE}" pid="14" name="MSIP_Label_6bd9ddd1-4d20-43f6-abfa-fc3c07406f94_ContentBits">
    <vt:lpwstr>0</vt:lpwstr>
  </property>
  <property fmtid="{D5CDD505-2E9C-101B-9397-08002B2CF9AE}" pid="15" name="ContentTypeId">
    <vt:lpwstr>0x010100C81086966748074091B44B156AB49619</vt:lpwstr>
  </property>
  <property fmtid="{D5CDD505-2E9C-101B-9397-08002B2CF9AE}" pid="16" name="MediaServiceImageTags">
    <vt:lpwstr/>
  </property>
  <property fmtid="{D5CDD505-2E9C-101B-9397-08002B2CF9AE}" pid="17" name="Last edited using">
    <vt:lpwstr>LW 9.2, Build 20250828</vt:lpwstr>
  </property>
  <property fmtid="{D5CDD505-2E9C-101B-9397-08002B2CF9AE}" pid="18" name="Order">
    <vt:r8>16700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ies>
</file>