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CB979" w14:textId="407C8580" w:rsidR="00B43BB7" w:rsidRPr="003D40C7" w:rsidRDefault="0098573B" w:rsidP="0098573B">
      <w:pPr>
        <w:pStyle w:val="Pagedecouverture"/>
        <w:rPr>
          <w:noProof/>
        </w:rPr>
      </w:pPr>
      <w:bookmarkStart w:id="0" w:name="LW_BM_COVERPAGE"/>
      <w:r>
        <w:rPr>
          <w:noProof/>
        </w:rPr>
        <w:pict w14:anchorId="66209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9E3C0E-3531-4BDD-8B7F-45DFAE6B00E6" style="width:455.25pt;height:327.75pt">
            <v:imagedata r:id="rId11" o:title=""/>
          </v:shape>
        </w:pict>
      </w:r>
    </w:p>
    <w:bookmarkEnd w:id="0"/>
    <w:p w14:paraId="19A0645B" w14:textId="77777777" w:rsidR="007C0EDE" w:rsidRPr="003D40C7" w:rsidRDefault="007C0EDE" w:rsidP="00D50528">
      <w:pPr>
        <w:rPr>
          <w:noProof/>
        </w:rPr>
        <w:sectPr w:rsidR="007C0EDE" w:rsidRPr="003D40C7" w:rsidSect="0098573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BBB4BEB" w14:textId="16D6DD12" w:rsidR="005B0409" w:rsidRPr="003D40C7" w:rsidRDefault="619FF431" w:rsidP="00380474">
      <w:pPr>
        <w:pStyle w:val="ManualHeading1"/>
        <w:numPr>
          <w:ilvl w:val="0"/>
          <w:numId w:val="24"/>
        </w:numPr>
        <w:spacing w:before="0" w:after="360"/>
        <w:ind w:hanging="720"/>
        <w:rPr>
          <w:noProof/>
        </w:rPr>
      </w:pPr>
      <w:bookmarkStart w:id="1" w:name="_GoBack"/>
      <w:bookmarkEnd w:id="1"/>
      <w:r w:rsidRPr="003D40C7">
        <w:rPr>
          <w:noProof/>
        </w:rPr>
        <w:lastRenderedPageBreak/>
        <w:t>CONSOLIDAREA PREGĂTIRII ȘI REZILIENȚEI UNIUNII EUROPENE ÎN FAȚA AMENINȚĂRILOR TRANSFRONTALIERE EMERGENTE LA ADRESA SĂNĂTĂȚII</w:t>
      </w:r>
    </w:p>
    <w:p w14:paraId="1501B90D" w14:textId="6F107D0C" w:rsidR="00F54888" w:rsidRPr="003D40C7" w:rsidRDefault="6E3F089F" w:rsidP="60C30607">
      <w:pPr>
        <w:jc w:val="both"/>
        <w:rPr>
          <w:rFonts w:ascii="Times New Roman" w:hAnsi="Times New Roman" w:cs="Times New Roman"/>
          <w:noProof/>
          <w:sz w:val="24"/>
          <w:szCs w:val="24"/>
        </w:rPr>
      </w:pPr>
      <w:r w:rsidRPr="003D40C7">
        <w:rPr>
          <w:rFonts w:ascii="Times New Roman" w:hAnsi="Times New Roman"/>
          <w:noProof/>
          <w:sz w:val="24"/>
        </w:rPr>
        <w:t xml:space="preserve">Uniunea Europeană funcționează într-o perioadă caracterizată de incertitudini tot mai mari și de amenințări și riscuri multidimensionale. Aceasta se confruntă cu un </w:t>
      </w:r>
      <w:r w:rsidRPr="003D40C7">
        <w:rPr>
          <w:rFonts w:ascii="Times New Roman" w:hAnsi="Times New Roman"/>
          <w:b/>
          <w:noProof/>
          <w:sz w:val="24"/>
        </w:rPr>
        <w:t>peisaj complex și tot mai amenințător</w:t>
      </w:r>
      <w:r w:rsidRPr="003D40C7">
        <w:rPr>
          <w:rFonts w:ascii="Times New Roman" w:hAnsi="Times New Roman"/>
          <w:noProof/>
          <w:sz w:val="24"/>
        </w:rPr>
        <w:t xml:space="preserve"> – de la pandemii și atacuri cibernetice la dezinformare, dezastre legate de climă și instabilitate geopolitică. Aceste provocări nu mai sunt izolate; ele sunt interconectate, se amplifică reciproc și testează reziliența societăților, a economiilor și a democrațiilor. Securitatea, prosperitatea și unitatea UE depind de capacitatea sa de a se pregăti, de a anticipa și de a reacționa – nu numai atunci când apar crize, ci și cu mult timp înainte.</w:t>
      </w:r>
    </w:p>
    <w:p w14:paraId="30710300" w14:textId="554782FB" w:rsidR="00D2722C" w:rsidRPr="003D40C7" w:rsidRDefault="024ED746" w:rsidP="4BF39691">
      <w:pPr>
        <w:spacing w:before="240" w:after="240"/>
        <w:jc w:val="both"/>
        <w:rPr>
          <w:rFonts w:ascii="Times New Roman" w:hAnsi="Times New Roman" w:cs="Times New Roman"/>
          <w:noProof/>
          <w:sz w:val="24"/>
          <w:szCs w:val="24"/>
        </w:rPr>
      </w:pPr>
      <w:r w:rsidRPr="003D40C7">
        <w:rPr>
          <w:rFonts w:ascii="Times New Roman" w:hAnsi="Times New Roman"/>
          <w:noProof/>
          <w:sz w:val="24"/>
        </w:rPr>
        <w:t xml:space="preserve">Multe dintre aceste amenințări interconectate au potențialul de a conduce la o </w:t>
      </w:r>
      <w:r w:rsidRPr="003D40C7">
        <w:rPr>
          <w:rFonts w:ascii="Times New Roman" w:hAnsi="Times New Roman"/>
          <w:b/>
          <w:noProof/>
          <w:sz w:val="24"/>
        </w:rPr>
        <w:t>criză sanitară</w:t>
      </w:r>
      <w:r w:rsidRPr="003D40C7">
        <w:rPr>
          <w:rFonts w:ascii="Times New Roman" w:hAnsi="Times New Roman"/>
          <w:noProof/>
          <w:sz w:val="24"/>
        </w:rPr>
        <w:t xml:space="preserve"> </w:t>
      </w:r>
      <w:r w:rsidRPr="003D40C7">
        <w:rPr>
          <w:rFonts w:ascii="Times New Roman" w:hAnsi="Times New Roman"/>
          <w:b/>
          <w:noProof/>
          <w:sz w:val="24"/>
        </w:rPr>
        <w:t>transfrontalieră</w:t>
      </w:r>
      <w:r w:rsidRPr="003D40C7">
        <w:rPr>
          <w:rFonts w:ascii="Times New Roman" w:hAnsi="Times New Roman"/>
          <w:noProof/>
          <w:sz w:val="24"/>
        </w:rPr>
        <w:t>. În peisajul volatil actual, o criză sanitară la scară largă ar putea avea efecte devastatoare, afectând nu numai bunăstarea individuală, ci și funcționarea generală a societăților și a economiilor. Amploarea pandemiei de COVID-19 a fost o dovadă în acest sens și ne-a învățat multe lecții dureroase, dar neprețuite, pe care trebuie să continuăm să le aplicăm în eforturile noastre de a aborda viitoarele crize sanitare. Sistemele de sănătate care sunt nepregătite, fragmentate și lipsite de reziliență pot fi copleșite în timpul unei crize sanitare, ceea ce duce la perturbarea serviciilor esențiale și la scăderea încrederii publicului în instituții. Cu toate acestea, crizele sanitare depășesc cu mult limitele spitalelor și pot perturba economiile, pot exacerba inegalitățile sociale, pot opri schimburile comerciale și pot zdruncina încrederea publică. Întrucât crizele sanitare afectează în mod disproporționat diferite grupuri din societate, asigurarea faptului că măsurile de prevenire, pregătire și răspuns sunt concepute și puse în aplicare într-un mod favorabil incluziunii și accesibil tuturor este esențială pentru consolidarea încrederii, a echității și a rezilienței sistemelor de sănătate publică ale Uniunii. Mai mult, într-o Europă interconectată, crizele sanitare pot avea efecte transfrontaliere, punând la încercare solidaritatea și resursele comune. Aceste efecte transfrontaliere și transsectoriale demonstrează în mod clar importanța unei coordonări solide între statele membre și necesitatea unui set solid de măsuri atât la nivel național, cât și la nivelul UE.</w:t>
      </w:r>
    </w:p>
    <w:p w14:paraId="6E1F5429" w14:textId="267B773E" w:rsidR="00014DA9" w:rsidRPr="003D40C7" w:rsidRDefault="629B92CE" w:rsidP="00014DA9">
      <w:pPr>
        <w:jc w:val="both"/>
        <w:rPr>
          <w:rFonts w:ascii="Times New Roman" w:hAnsi="Times New Roman" w:cs="Times New Roman"/>
          <w:noProof/>
          <w:sz w:val="24"/>
          <w:szCs w:val="24"/>
        </w:rPr>
      </w:pPr>
      <w:r w:rsidRPr="003D40C7">
        <w:rPr>
          <w:rFonts w:ascii="Times New Roman" w:hAnsi="Times New Roman"/>
          <w:b/>
          <w:noProof/>
          <w:sz w:val="24"/>
        </w:rPr>
        <w:t>Costul inacțiunii</w:t>
      </w:r>
      <w:r w:rsidRPr="003D40C7">
        <w:rPr>
          <w:rFonts w:ascii="Times New Roman" w:hAnsi="Times New Roman"/>
          <w:noProof/>
          <w:sz w:val="24"/>
        </w:rPr>
        <w:t xml:space="preserve"> în fața amenințărilor previzibile este imens, măsurat nu numai în pierderi economice, ci, în primul rând, în suferința umană și în diminuarea rezilienței. În schimb, prevenirea și pregătirea oferă beneficii semnificative și sunt mult mai eficiente din punctul de vedere al costurilor decât simplul răspuns la o criză (</w:t>
      </w:r>
      <w:r w:rsidRPr="003D40C7">
        <w:rPr>
          <w:rStyle w:val="FootnoteReference"/>
          <w:rFonts w:ascii="Times New Roman" w:hAnsi="Times New Roman" w:cs="Times New Roman"/>
          <w:noProof/>
          <w:sz w:val="24"/>
          <w:szCs w:val="24"/>
        </w:rPr>
        <w:footnoteReference w:id="2"/>
      </w:r>
      <w:r w:rsidRPr="003D40C7">
        <w:rPr>
          <w:rFonts w:ascii="Times New Roman" w:hAnsi="Times New Roman"/>
          <w:noProof/>
          <w:sz w:val="24"/>
        </w:rPr>
        <w:t>). Societățile care sunt bine pregătite se redresează mai rapid, pot proteja mai bine mijloacele de subzistență și pot menține o stabilitate mai mare.</w:t>
      </w:r>
    </w:p>
    <w:p w14:paraId="65E4CD09" w14:textId="18A1B657" w:rsidR="005B3B04" w:rsidRPr="003D40C7" w:rsidRDefault="0996FC84" w:rsidP="078808B9">
      <w:pPr>
        <w:jc w:val="both"/>
        <w:rPr>
          <w:rFonts w:ascii="Times New Roman" w:hAnsi="Times New Roman" w:cs="Times New Roman"/>
          <w:noProof/>
          <w:sz w:val="24"/>
          <w:szCs w:val="24"/>
        </w:rPr>
      </w:pPr>
      <w:r w:rsidRPr="003D40C7">
        <w:rPr>
          <w:rFonts w:ascii="Times New Roman" w:hAnsi="Times New Roman"/>
          <w:noProof/>
          <w:sz w:val="24"/>
        </w:rPr>
        <w:t xml:space="preserve">Lecțiile din ultimii ani sunt clare: pregătirea pentru crizele sanitare transfrontaliere nu este o chestiune de alegere, ci o necesitate. Prin urmare, Comisia, statele membre și agențiile și organele UE au luat măsuri decisive în direcția unei </w:t>
      </w:r>
      <w:r w:rsidRPr="003D40C7">
        <w:rPr>
          <w:rFonts w:ascii="Times New Roman" w:hAnsi="Times New Roman"/>
          <w:b/>
          <w:noProof/>
          <w:sz w:val="24"/>
        </w:rPr>
        <w:t>uniuni europene a sănătății</w:t>
      </w:r>
      <w:r w:rsidRPr="003D40C7">
        <w:rPr>
          <w:rFonts w:ascii="Times New Roman" w:hAnsi="Times New Roman"/>
          <w:noProof/>
          <w:sz w:val="24"/>
        </w:rPr>
        <w:t xml:space="preserve"> mai puternice și mai reziliente, cu scopul de a consolida capacitatea UE de a se pregăti pentru crizele sanitare și de a răspunde la acestea. Printre elementele constitutive esențiale se numără adoptarea </w:t>
      </w:r>
      <w:r w:rsidRPr="003D40C7">
        <w:rPr>
          <w:rFonts w:ascii="Times New Roman" w:hAnsi="Times New Roman"/>
          <w:b/>
          <w:noProof/>
          <w:sz w:val="24"/>
        </w:rPr>
        <w:t>Regulamentului UE privind amenințările transfrontaliere grave pentru sănătate</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3"/>
      </w:r>
      <w:r w:rsidRPr="003D40C7">
        <w:rPr>
          <w:rFonts w:ascii="Times New Roman" w:hAnsi="Times New Roman"/>
          <w:noProof/>
          <w:sz w:val="24"/>
        </w:rPr>
        <w:t>), mandatele consolidate ale Centrului European de Prevenire și Control al Bolilor (</w:t>
      </w:r>
      <w:r w:rsidRPr="003D40C7">
        <w:rPr>
          <w:rFonts w:ascii="Times New Roman" w:hAnsi="Times New Roman"/>
          <w:b/>
          <w:noProof/>
          <w:sz w:val="24"/>
        </w:rPr>
        <w:t>ECDC</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4"/>
      </w:r>
      <w:r w:rsidRPr="003D40C7">
        <w:rPr>
          <w:rFonts w:ascii="Times New Roman" w:hAnsi="Times New Roman"/>
          <w:noProof/>
          <w:sz w:val="24"/>
        </w:rPr>
        <w:t>) și ale Agenției Europene pentru Medicamente (</w:t>
      </w:r>
      <w:r w:rsidRPr="003D40C7">
        <w:rPr>
          <w:rFonts w:ascii="Times New Roman" w:hAnsi="Times New Roman"/>
          <w:b/>
          <w:noProof/>
          <w:sz w:val="24"/>
        </w:rPr>
        <w:t>EMA</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5"/>
      </w:r>
      <w:r w:rsidRPr="003D40C7">
        <w:rPr>
          <w:rFonts w:ascii="Times New Roman" w:hAnsi="Times New Roman"/>
          <w:noProof/>
          <w:sz w:val="24"/>
        </w:rPr>
        <w:t>), precum și crearea Autorității pentru Pregătire și Răspuns în caz de Urgență Sanitară (</w:t>
      </w:r>
      <w:r w:rsidRPr="003D40C7">
        <w:rPr>
          <w:rFonts w:ascii="Times New Roman" w:hAnsi="Times New Roman"/>
          <w:b/>
          <w:noProof/>
          <w:sz w:val="24"/>
        </w:rPr>
        <w:t>HERA</w:t>
      </w:r>
      <w:r w:rsidRPr="003D40C7">
        <w:rPr>
          <w:rFonts w:ascii="Times New Roman" w:hAnsi="Times New Roman"/>
          <w:noProof/>
          <w:sz w:val="24"/>
        </w:rPr>
        <w:t>) a Comisiei pentru a îmbunătăți pregătirea și răspunsul la amenințările transfrontaliere grave în domeniul contramăsurilor medicale (</w:t>
      </w:r>
      <w:r w:rsidRPr="003D40C7">
        <w:rPr>
          <w:rStyle w:val="FootnoteReference"/>
          <w:rFonts w:ascii="Times New Roman" w:hAnsi="Times New Roman" w:cs="Times New Roman"/>
          <w:noProof/>
          <w:sz w:val="24"/>
          <w:szCs w:val="24"/>
        </w:rPr>
        <w:footnoteReference w:id="6"/>
      </w:r>
      <w:r w:rsidRPr="003D40C7">
        <w:rPr>
          <w:rFonts w:ascii="Times New Roman" w:hAnsi="Times New Roman"/>
          <w:noProof/>
          <w:sz w:val="24"/>
        </w:rPr>
        <w:t xml:space="preserve">). În plus, a fost adoptat </w:t>
      </w:r>
      <w:r w:rsidRPr="003D40C7">
        <w:rPr>
          <w:rFonts w:ascii="Times New Roman" w:hAnsi="Times New Roman"/>
          <w:b/>
          <w:noProof/>
          <w:sz w:val="24"/>
        </w:rPr>
        <w:t xml:space="preserve">Regulamentul Consiliului </w:t>
      </w:r>
      <w:r w:rsidRPr="003D40C7">
        <w:rPr>
          <w:rFonts w:ascii="Times New Roman" w:hAnsi="Times New Roman"/>
          <w:noProof/>
          <w:sz w:val="24"/>
        </w:rPr>
        <w:t>privind un cadru de măsuri pentru asigurarea furnizării contramăsurilor medicale necesare în situații de criză în cazul unei urgențe de sănătate publică la nivelul Uniunii (</w:t>
      </w:r>
      <w:r w:rsidRPr="003D40C7">
        <w:rPr>
          <w:rStyle w:val="FootnoteReference"/>
          <w:rFonts w:ascii="Times New Roman" w:hAnsi="Times New Roman" w:cs="Times New Roman"/>
          <w:noProof/>
          <w:sz w:val="24"/>
          <w:szCs w:val="24"/>
        </w:rPr>
        <w:footnoteReference w:id="7"/>
      </w:r>
      <w:r w:rsidRPr="003D40C7">
        <w:rPr>
          <w:rFonts w:ascii="Times New Roman" w:hAnsi="Times New Roman"/>
          <w:noProof/>
          <w:sz w:val="24"/>
        </w:rPr>
        <w:t>).</w:t>
      </w:r>
    </w:p>
    <w:p w14:paraId="26A3A6F0" w14:textId="7DB87369" w:rsidR="00D33319" w:rsidRPr="003D40C7" w:rsidRDefault="3C7BADBF" w:rsidP="00450290">
      <w:pPr>
        <w:jc w:val="both"/>
        <w:rPr>
          <w:rFonts w:ascii="Times New Roman" w:hAnsi="Times New Roman" w:cs="Times New Roman"/>
          <w:noProof/>
          <w:sz w:val="24"/>
          <w:szCs w:val="24"/>
        </w:rPr>
      </w:pPr>
      <w:r w:rsidRPr="003D40C7">
        <w:rPr>
          <w:rFonts w:ascii="Times New Roman" w:hAnsi="Times New Roman"/>
          <w:noProof/>
          <w:sz w:val="24"/>
        </w:rPr>
        <w:t xml:space="preserve">De atunci, au fost adoptate multe alte inițiative strategice ale UE, menite să consolideze reziliența și capacitatea UE de a anticipa crizele, de a le preveni, de a se pregăti pentru ele, de a răspunde la acestea și de a se redresa în urma lor. În special, </w:t>
      </w:r>
      <w:r w:rsidRPr="003D40C7">
        <w:rPr>
          <w:rFonts w:ascii="Times New Roman" w:hAnsi="Times New Roman"/>
          <w:b/>
          <w:noProof/>
          <w:sz w:val="24"/>
        </w:rPr>
        <w:t>Strategia europeană privind o Uniune a pregătirii</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8"/>
      </w:r>
      <w:r w:rsidRPr="003D40C7">
        <w:rPr>
          <w:rFonts w:ascii="Times New Roman" w:hAnsi="Times New Roman"/>
          <w:noProof/>
          <w:sz w:val="24"/>
        </w:rPr>
        <w:t>) este o inițiativă majoră a UE menită să abordeze mediul interconectat de amenințări prin consolidarea rezilienței la toate nivelurile și în toate sectoarele. Această inițiativă adoptă o abordare proactivă a gestionării crizelor, bazată pe trei principii care se consolidează reciproc: (i) toate tipurile de pericole (</w:t>
      </w:r>
      <w:r w:rsidRPr="003D40C7">
        <w:rPr>
          <w:rStyle w:val="FootnoteReference"/>
          <w:rFonts w:ascii="Times New Roman" w:hAnsi="Times New Roman" w:cs="Times New Roman"/>
          <w:noProof/>
          <w:sz w:val="24"/>
          <w:szCs w:val="24"/>
        </w:rPr>
        <w:footnoteReference w:id="9"/>
      </w:r>
      <w:r w:rsidRPr="003D40C7">
        <w:rPr>
          <w:rFonts w:ascii="Times New Roman" w:hAnsi="Times New Roman"/>
          <w:noProof/>
          <w:sz w:val="24"/>
        </w:rPr>
        <w:t>) (ii) la nivelul întregii administrații (</w:t>
      </w:r>
      <w:r w:rsidRPr="003D40C7">
        <w:rPr>
          <w:rStyle w:val="FootnoteReference"/>
          <w:rFonts w:ascii="Times New Roman" w:hAnsi="Times New Roman" w:cs="Times New Roman"/>
          <w:noProof/>
          <w:sz w:val="24"/>
          <w:szCs w:val="24"/>
        </w:rPr>
        <w:footnoteReference w:id="10"/>
      </w:r>
      <w:r w:rsidRPr="003D40C7">
        <w:rPr>
          <w:rFonts w:ascii="Times New Roman" w:hAnsi="Times New Roman"/>
          <w:noProof/>
          <w:sz w:val="24"/>
        </w:rPr>
        <w:t>) și (iii) la nivelul întregii societăți (</w:t>
      </w:r>
      <w:r w:rsidRPr="003D40C7">
        <w:rPr>
          <w:rStyle w:val="FootnoteReference"/>
          <w:rFonts w:ascii="Times New Roman" w:hAnsi="Times New Roman" w:cs="Times New Roman"/>
          <w:noProof/>
          <w:sz w:val="24"/>
          <w:szCs w:val="24"/>
        </w:rPr>
        <w:footnoteReference w:id="11"/>
      </w:r>
      <w:r w:rsidRPr="003D40C7">
        <w:rPr>
          <w:rFonts w:ascii="Times New Roman" w:hAnsi="Times New Roman"/>
          <w:noProof/>
          <w:sz w:val="24"/>
        </w:rPr>
        <w:t>). În plus, ea prevede că aspectele legate de pregătire și securitate trebuie să fie integrate în legislația, politicile și programele UE. Strategia europeană privind o Uniune a pregătirii urmărește să consolideze capacități durabile care să asigure faptul că UE este puternică pe toate fronturile și la toate nivelurile societății.</w:t>
      </w:r>
    </w:p>
    <w:p w14:paraId="3DDEB70E" w14:textId="44CBECE7" w:rsidR="00EA1140" w:rsidRPr="003D40C7" w:rsidRDefault="356A2314" w:rsidP="00450290">
      <w:pPr>
        <w:jc w:val="both"/>
        <w:rPr>
          <w:noProof/>
        </w:rPr>
      </w:pPr>
      <w:r w:rsidRPr="003D40C7">
        <w:rPr>
          <w:rFonts w:ascii="Times New Roman" w:hAnsi="Times New Roman"/>
          <w:noProof/>
          <w:sz w:val="24"/>
        </w:rPr>
        <w:t xml:space="preserve">Strategia este însoțită de un </w:t>
      </w:r>
      <w:r w:rsidRPr="003D40C7">
        <w:rPr>
          <w:rFonts w:ascii="Times New Roman" w:hAnsi="Times New Roman"/>
          <w:b/>
          <w:noProof/>
          <w:sz w:val="24"/>
        </w:rPr>
        <w:t>plan de acțiune</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12"/>
      </w:r>
      <w:r w:rsidRPr="003D40C7">
        <w:rPr>
          <w:rFonts w:ascii="Times New Roman" w:hAnsi="Times New Roman"/>
          <w:noProof/>
          <w:sz w:val="24"/>
        </w:rPr>
        <w:t xml:space="preserve">), care prezintă 30 de acțiuni-cheie care urmează să fie puse în aplicare de Comisie și de statele membre în cele șapte domenii tematice ale strategiei. Este necesară o abordare coerentă și coordonată la nivelul UE între diferiții actori și diferitele instrumente din arhitectura consolidată a securității sanitare a UE. Prin urmare, planul de acțiune include, printre acțiunile concrete, realizarea, până la sfârșitul anului 2025, a </w:t>
      </w:r>
      <w:r w:rsidRPr="003D40C7">
        <w:rPr>
          <w:rFonts w:ascii="Times New Roman" w:hAnsi="Times New Roman"/>
          <w:b/>
          <w:noProof/>
          <w:sz w:val="24"/>
        </w:rPr>
        <w:t>planului de prevenire, pregătire și răspuns al Uniunii la crizele sanitare (denumit în continuare „planul Uniunii”)</w:t>
      </w:r>
      <w:r w:rsidRPr="003D40C7">
        <w:rPr>
          <w:rFonts w:ascii="Times New Roman" w:hAnsi="Times New Roman"/>
          <w:noProof/>
          <w:sz w:val="24"/>
        </w:rPr>
        <w:t>, deja o cerință legală prevăzută în Regulamentul privind amenințările transfrontaliere grave pentru sănătate (</w:t>
      </w:r>
      <w:r w:rsidRPr="003D40C7">
        <w:rPr>
          <w:rStyle w:val="FootnoteReference"/>
          <w:rFonts w:ascii="Times New Roman" w:hAnsi="Times New Roman" w:cs="Times New Roman"/>
          <w:noProof/>
          <w:sz w:val="24"/>
          <w:szCs w:val="24"/>
        </w:rPr>
        <w:footnoteReference w:id="13"/>
      </w:r>
      <w:r w:rsidRPr="003D40C7">
        <w:rPr>
          <w:rFonts w:ascii="Times New Roman" w:hAnsi="Times New Roman"/>
          <w:noProof/>
          <w:sz w:val="24"/>
        </w:rPr>
        <w:t>).</w:t>
      </w:r>
    </w:p>
    <w:p w14:paraId="5A85C2CB" w14:textId="005B32BF" w:rsidR="00662A66" w:rsidRPr="003D40C7" w:rsidRDefault="00662A66" w:rsidP="00662A66">
      <w:pPr>
        <w:jc w:val="both"/>
        <w:rPr>
          <w:rFonts w:ascii="Times New Roman" w:hAnsi="Times New Roman" w:cs="Times New Roman"/>
          <w:noProof/>
          <w:sz w:val="24"/>
          <w:szCs w:val="24"/>
        </w:rPr>
      </w:pPr>
      <w:r w:rsidRPr="003D40C7">
        <w:rPr>
          <w:rFonts w:ascii="Times New Roman" w:hAnsi="Times New Roman"/>
          <w:noProof/>
          <w:sz w:val="24"/>
        </w:rPr>
        <w:t xml:space="preserve">Deși planul Uniunii nu acoperă răspunsul la crizele sanitare din afara UE, acesta este aliniat la </w:t>
      </w:r>
      <w:r w:rsidRPr="003D40C7">
        <w:rPr>
          <w:rFonts w:ascii="Times New Roman" w:hAnsi="Times New Roman"/>
          <w:b/>
          <w:noProof/>
          <w:sz w:val="24"/>
        </w:rPr>
        <w:t>prioritățile și inițiativele UE în materie de sănătate la nivel mondial</w:t>
      </w:r>
      <w:r w:rsidRPr="003D40C7">
        <w:rPr>
          <w:rFonts w:ascii="Times New Roman" w:hAnsi="Times New Roman"/>
          <w:noProof/>
          <w:sz w:val="24"/>
        </w:rPr>
        <w:t>. Încurajarea cooperării cu țările din afara UE și cu organizațiile internaționale în domeniul sănătății publice este esențială pentru reziliența și securitatea în materie de sănătate la nivelul UE și la nivel mondial, astfel cum se recunoaște în Regulamentul privind amenințările transfrontaliere grave pentru sănătate (</w:t>
      </w:r>
      <w:r w:rsidRPr="003D40C7">
        <w:rPr>
          <w:rStyle w:val="FootnoteReference"/>
          <w:rFonts w:ascii="Times New Roman" w:hAnsi="Times New Roman" w:cs="Times New Roman"/>
          <w:noProof/>
          <w:sz w:val="24"/>
          <w:szCs w:val="24"/>
        </w:rPr>
        <w:footnoteReference w:id="14"/>
      </w:r>
      <w:r w:rsidRPr="003D40C7">
        <w:rPr>
          <w:rFonts w:ascii="Times New Roman" w:hAnsi="Times New Roman"/>
          <w:noProof/>
          <w:sz w:val="24"/>
        </w:rPr>
        <w:t xml:space="preserve">) și în Strategia europeană privind o Uniune a pregătirii. Angajamentul UE în acest domeniu este ghidat de principiile și acțiunile stabilite în </w:t>
      </w:r>
      <w:r w:rsidRPr="003D40C7">
        <w:rPr>
          <w:rFonts w:ascii="Times New Roman" w:hAnsi="Times New Roman"/>
          <w:b/>
          <w:noProof/>
          <w:sz w:val="24"/>
        </w:rPr>
        <w:t>Strategia UE în domeniul sănătății la nivel mondial</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15"/>
      </w:r>
      <w:r w:rsidRPr="003D40C7">
        <w:rPr>
          <w:rFonts w:ascii="Times New Roman" w:hAnsi="Times New Roman"/>
          <w:noProof/>
          <w:sz w:val="24"/>
        </w:rPr>
        <w:t xml:space="preserve">) și în </w:t>
      </w:r>
      <w:r w:rsidRPr="003D40C7">
        <w:rPr>
          <w:rFonts w:ascii="Times New Roman" w:hAnsi="Times New Roman"/>
          <w:b/>
          <w:noProof/>
          <w:sz w:val="24"/>
        </w:rPr>
        <w:t>Global Gateway</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16"/>
      </w:r>
      <w:r w:rsidRPr="003D40C7">
        <w:rPr>
          <w:rFonts w:ascii="Times New Roman" w:hAnsi="Times New Roman"/>
          <w:noProof/>
          <w:sz w:val="24"/>
        </w:rPr>
        <w:t xml:space="preserve">). Anunțul recent privind </w:t>
      </w:r>
      <w:r w:rsidRPr="003D40C7">
        <w:rPr>
          <w:rFonts w:ascii="Times New Roman" w:hAnsi="Times New Roman"/>
          <w:b/>
          <w:noProof/>
          <w:sz w:val="24"/>
        </w:rPr>
        <w:t>inițiativa pentru reziliența în domeniul sănătății la nivel global</w:t>
      </w:r>
      <w:r w:rsidRPr="003D40C7">
        <w:rPr>
          <w:rFonts w:ascii="Times New Roman" w:hAnsi="Times New Roman"/>
          <w:noProof/>
          <w:sz w:val="24"/>
        </w:rPr>
        <w:t xml:space="preserve"> din discursul președintei Ursula von der Leyen privind starea Uniunii (</w:t>
      </w:r>
      <w:r w:rsidRPr="003D40C7">
        <w:rPr>
          <w:rStyle w:val="FootnoteReference"/>
          <w:rFonts w:ascii="Times New Roman" w:hAnsi="Times New Roman" w:cs="Times New Roman"/>
          <w:noProof/>
          <w:sz w:val="24"/>
          <w:szCs w:val="24"/>
        </w:rPr>
        <w:footnoteReference w:id="17"/>
      </w:r>
      <w:r w:rsidRPr="003D40C7">
        <w:rPr>
          <w:rFonts w:ascii="Times New Roman" w:hAnsi="Times New Roman"/>
          <w:noProof/>
          <w:sz w:val="24"/>
        </w:rPr>
        <w:t>) din septembrie 2025 reiterează acest angajament.</w:t>
      </w:r>
    </w:p>
    <w:p w14:paraId="0E8AB0C3" w14:textId="049BFF11" w:rsidR="4E534A51" w:rsidRPr="003D40C7" w:rsidRDefault="00824D60" w:rsidP="005752A8">
      <w:pPr>
        <w:pStyle w:val="ManualHeading1"/>
        <w:spacing w:after="360"/>
        <w:rPr>
          <w:noProof/>
        </w:rPr>
      </w:pPr>
      <w:r w:rsidRPr="003D40C7">
        <w:rPr>
          <w:noProof/>
        </w:rPr>
        <w:t>2.</w:t>
      </w:r>
      <w:r w:rsidRPr="003D40C7">
        <w:rPr>
          <w:noProof/>
        </w:rPr>
        <w:tab/>
        <w:t>PLANUL DE PREVENIRE, PREGĂTIRE ȘI RĂSPUNS AL UNIUNII LA CRIZELE SANITARE</w:t>
      </w:r>
    </w:p>
    <w:p w14:paraId="2209F424" w14:textId="6F94E067" w:rsidR="007C063A" w:rsidRPr="003D40C7" w:rsidRDefault="00060691" w:rsidP="003E1F30">
      <w:pPr>
        <w:pStyle w:val="Heading2"/>
        <w:rPr>
          <w:rStyle w:val="Emphasis"/>
          <w:noProof/>
        </w:rPr>
      </w:pPr>
      <w:r w:rsidRPr="003D40C7">
        <w:rPr>
          <w:rStyle w:val="Emphasis"/>
          <w:noProof/>
        </w:rPr>
        <w:t xml:space="preserve">Planul Uniunii: un set de instrumente pentru managerii de criză </w:t>
      </w:r>
    </w:p>
    <w:p w14:paraId="68188CC9" w14:textId="308D8F1A" w:rsidR="008D2B18" w:rsidRPr="003D40C7" w:rsidRDefault="1CC26C06" w:rsidP="44CCC7F6">
      <w:pPr>
        <w:jc w:val="both"/>
        <w:rPr>
          <w:rFonts w:ascii="Times New Roman" w:hAnsi="Times New Roman" w:cs="Times New Roman"/>
          <w:noProof/>
          <w:sz w:val="24"/>
          <w:szCs w:val="24"/>
        </w:rPr>
      </w:pPr>
      <w:r w:rsidRPr="003D40C7">
        <w:rPr>
          <w:rFonts w:ascii="Times New Roman" w:hAnsi="Times New Roman"/>
          <w:noProof/>
          <w:sz w:val="24"/>
        </w:rPr>
        <w:t>Planul Uniunii, care însoțește prezenta comunicare a Comisiei, este planul de acțiune al UE privind amenințările transfrontaliere grave pentru sănătate, care acoperă prevenirea, pregătirea și răspunsul. El este un set cuprinzător de instrumente care le permite managerilor de criză să prevină situațiile de urgență, să se pregătească pentru acestea și să răspundă rapid și eficace la acestea. El completează eforturile naționale prin descrierea modului în care UE coordonează prevenirea și pregătirea, a capacităților și resurselor comune care pot fi mobilizate și a modului în care solidaritatea conduce la acțiune atunci când este cel mai important. Planul Uniunii stabilește, de asemenea, procesul de recunoaștere a unei urgențe de sănătate publică la nivelul Uniunii și prezintă măsurile și procedurile suplimentare care pot fi activate, asigurând faptul că UE poate acționa rapid și cu scop. La fel de important, planul promovează o cultură a învățării și a îmbunătățirii continue, ajutând statele membre să își analizeze, să își revizuiască și să își consolideze propriile sisteme. Acest lucru permite UE să se redreseze rapid și să iasă mai puternică după fiecare criză.</w:t>
      </w:r>
    </w:p>
    <w:p w14:paraId="26628D76" w14:textId="32F8530C" w:rsidR="00B319D7" w:rsidRPr="003D40C7" w:rsidRDefault="03F25038" w:rsidP="00B319D7">
      <w:pPr>
        <w:jc w:val="both"/>
        <w:rPr>
          <w:rFonts w:ascii="Times New Roman" w:hAnsi="Times New Roman" w:cs="Times New Roman"/>
          <w:noProof/>
          <w:sz w:val="24"/>
          <w:szCs w:val="24"/>
        </w:rPr>
      </w:pPr>
      <w:r w:rsidRPr="003D40C7">
        <w:rPr>
          <w:rFonts w:ascii="Times New Roman" w:hAnsi="Times New Roman"/>
          <w:noProof/>
          <w:sz w:val="24"/>
        </w:rPr>
        <w:t>Planul Uniunii este conceput în primul rând pentru statele membre, în special pentru autoritățile responsabile cu gestionarea crizelor și cu punerea în aplicare a politicilor în materie de planificare a prevenirii, a pregătirii și a răspunsului. Cu toate acestea, valoarea sa se extinde mult mai departe, aducând beneficii agențiilor și organelor UE, partenerilor internaționali, cum ar fi Organizația Mondială a Sănătății (OMS), și actorilor-cheie din societatea civilă, mediul academic, sectorul privat, partenerii sociali și mass-media.</w:t>
      </w:r>
    </w:p>
    <w:p w14:paraId="2C2A581B" w14:textId="025F1DEC" w:rsidR="007C063A" w:rsidRPr="003D40C7" w:rsidRDefault="3FD569D5" w:rsidP="007C063A">
      <w:pPr>
        <w:jc w:val="both"/>
        <w:rPr>
          <w:rFonts w:ascii="Times New Roman" w:hAnsi="Times New Roman" w:cs="Times New Roman"/>
          <w:noProof/>
          <w:sz w:val="24"/>
          <w:szCs w:val="24"/>
        </w:rPr>
      </w:pPr>
      <w:r w:rsidRPr="003D40C7">
        <w:rPr>
          <w:rFonts w:ascii="Times New Roman" w:hAnsi="Times New Roman"/>
          <w:noProof/>
          <w:sz w:val="24"/>
        </w:rPr>
        <w:t>Planul Uniunii a fost elaborat prin colaborare transsectorială și în consultare cu statele membre și cu alte părți interesate (</w:t>
      </w:r>
      <w:r w:rsidRPr="003D40C7">
        <w:rPr>
          <w:rStyle w:val="FootnoteReference"/>
          <w:rFonts w:ascii="Times New Roman" w:hAnsi="Times New Roman" w:cs="Times New Roman"/>
          <w:noProof/>
          <w:sz w:val="24"/>
          <w:szCs w:val="24"/>
        </w:rPr>
        <w:footnoteReference w:id="18"/>
      </w:r>
      <w:r w:rsidRPr="003D40C7">
        <w:rPr>
          <w:rFonts w:ascii="Times New Roman" w:hAnsi="Times New Roman"/>
          <w:noProof/>
          <w:sz w:val="24"/>
        </w:rPr>
        <w:t>). El se bazează pe cadrul consolidat de securitate sanitară al UE și pe documentele de politică publicate recent și integrează acest cadru (</w:t>
      </w:r>
      <w:r w:rsidRPr="003D40C7">
        <w:rPr>
          <w:rStyle w:val="FootnoteReference"/>
          <w:rFonts w:ascii="Times New Roman" w:hAnsi="Times New Roman" w:cs="Times New Roman"/>
          <w:noProof/>
          <w:sz w:val="24"/>
          <w:szCs w:val="24"/>
        </w:rPr>
        <w:footnoteReference w:id="19"/>
      </w:r>
      <w:r w:rsidRPr="003D40C7">
        <w:rPr>
          <w:rFonts w:ascii="Times New Roman" w:hAnsi="Times New Roman"/>
          <w:noProof/>
          <w:sz w:val="24"/>
        </w:rPr>
        <w:t>).</w:t>
      </w:r>
    </w:p>
    <w:p w14:paraId="250A8914" w14:textId="02A4B666" w:rsidR="007C063A" w:rsidRPr="003D40C7" w:rsidRDefault="01545CC2" w:rsidP="672E3538">
      <w:pPr>
        <w:pStyle w:val="Heading2"/>
        <w:rPr>
          <w:rFonts w:cs="Times New Roman"/>
          <w:i/>
          <w:iCs/>
          <w:noProof/>
        </w:rPr>
      </w:pPr>
      <w:r w:rsidRPr="003D40C7">
        <w:rPr>
          <w:i/>
          <w:noProof/>
        </w:rPr>
        <w:t>Prevenirea, pregătirea, răspunsul și redresarea în urma unei crize sanitare</w:t>
      </w:r>
    </w:p>
    <w:p w14:paraId="44D1BAAF" w14:textId="78550751" w:rsidR="00060691" w:rsidRPr="003D40C7" w:rsidRDefault="01545CC2" w:rsidP="00060691">
      <w:pPr>
        <w:jc w:val="both"/>
        <w:rPr>
          <w:rFonts w:ascii="Times New Roman" w:hAnsi="Times New Roman" w:cs="Times New Roman"/>
          <w:noProof/>
          <w:sz w:val="24"/>
          <w:szCs w:val="24"/>
        </w:rPr>
      </w:pPr>
      <w:r w:rsidRPr="003D40C7">
        <w:rPr>
          <w:rFonts w:ascii="Times New Roman" w:hAnsi="Times New Roman"/>
          <w:noProof/>
          <w:sz w:val="24"/>
        </w:rPr>
        <w:t>Planul Uniunii acoperă o gamă largă de crize, naturale, accidentale sau intenționate, inclusiv cele de origine biologică, chimică, necunoscută și care provin din mediul înconjurător (</w:t>
      </w:r>
      <w:r w:rsidRPr="003D40C7">
        <w:rPr>
          <w:rStyle w:val="FootnoteReference"/>
          <w:rFonts w:ascii="Times New Roman" w:hAnsi="Times New Roman" w:cs="Times New Roman"/>
          <w:noProof/>
          <w:sz w:val="24"/>
          <w:szCs w:val="24"/>
        </w:rPr>
        <w:footnoteReference w:id="20"/>
      </w:r>
      <w:r w:rsidRPr="003D40C7">
        <w:rPr>
          <w:rFonts w:ascii="Times New Roman" w:hAnsi="Times New Roman"/>
          <w:noProof/>
          <w:sz w:val="24"/>
        </w:rPr>
        <w:t>). El se aplică, de asemenea, „situațiilor de urgență excepționale” care necesită un răspuns coordonat la nivelul UE (</w:t>
      </w:r>
      <w:r w:rsidRPr="003D40C7">
        <w:rPr>
          <w:rFonts w:ascii="Times New Roman" w:hAnsi="Times New Roman" w:cs="Times New Roman"/>
          <w:noProof/>
          <w:sz w:val="24"/>
          <w:szCs w:val="24"/>
          <w:vertAlign w:val="superscript"/>
        </w:rPr>
        <w:footnoteReference w:id="21"/>
      </w:r>
      <w:r w:rsidRPr="003D40C7">
        <w:rPr>
          <w:rFonts w:ascii="Times New Roman" w:hAnsi="Times New Roman"/>
          <w:noProof/>
          <w:sz w:val="24"/>
        </w:rPr>
        <w:t>), cum ar fi conflictele armate sau situațiile în care măsurile existente s-au dovedit insuficiente pentru a proteja sănătatea oamenilor. Planul Uniunii adoptă o abordare care ia în considerare toate tipurile de pericole, toate sectoarele și întreaga societate, bazată pe principiile abordării „O singură sănătate” (</w:t>
      </w:r>
      <w:r w:rsidRPr="003D40C7">
        <w:rPr>
          <w:rStyle w:val="FootnoteReference"/>
          <w:rFonts w:ascii="Times New Roman" w:hAnsi="Times New Roman" w:cs="Times New Roman"/>
          <w:noProof/>
          <w:sz w:val="24"/>
          <w:szCs w:val="24"/>
        </w:rPr>
        <w:footnoteReference w:id="22"/>
      </w:r>
      <w:r w:rsidRPr="003D40C7">
        <w:rPr>
          <w:rFonts w:ascii="Times New Roman" w:hAnsi="Times New Roman"/>
          <w:noProof/>
          <w:sz w:val="24"/>
        </w:rPr>
        <w:t>), pe cooperarea la nivelul întregii administrații și pe cooperarea la nivelul întregii societăți. Această abordare este esențială, deoarece amenințările și riscurile complexe necesită un răspuns cuprinzător pentru a le gestiona în mod eficace.</w:t>
      </w:r>
    </w:p>
    <w:p w14:paraId="4A24C525" w14:textId="0A63B8FD" w:rsidR="00551838" w:rsidRPr="003D40C7" w:rsidRDefault="7751046B" w:rsidP="00B26F15">
      <w:pPr>
        <w:jc w:val="both"/>
        <w:rPr>
          <w:rFonts w:ascii="Times New Roman" w:hAnsi="Times New Roman" w:cs="Times New Roman"/>
          <w:noProof/>
          <w:sz w:val="24"/>
          <w:szCs w:val="24"/>
        </w:rPr>
      </w:pPr>
      <w:r w:rsidRPr="003D40C7">
        <w:rPr>
          <w:rFonts w:ascii="Times New Roman" w:hAnsi="Times New Roman"/>
          <w:noProof/>
          <w:sz w:val="24"/>
        </w:rPr>
        <w:t>Planul Uniunii acoperă cele patru etape ale ciclului de gestionare a crizelor sanitare: (1) prevenire și pregătire, (2) detectare și evaluare, (3) răspuns și (4) redresare. Planul prezintă arhitectura, capacitățile și resursele UE în materie de guvernanță în situații de criză sanitară, precum și mecanismele de sprijin instituite pentru fiecare etapă.</w:t>
      </w:r>
    </w:p>
    <w:p w14:paraId="48D187F2" w14:textId="3A2FAB69" w:rsidR="004127E2" w:rsidRPr="003D40C7" w:rsidRDefault="004127E2" w:rsidP="00B26F15">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sidRPr="003D40C7">
        <w:rPr>
          <w:rFonts w:ascii="Times New Roman" w:hAnsi="Times New Roman"/>
          <w:b/>
          <w:noProof/>
          <w:sz w:val="24"/>
        </w:rPr>
        <w:t xml:space="preserve">Etapa 1: Prevenirea crizelor sanitare și pregătirea pentru acestea </w:t>
      </w:r>
    </w:p>
    <w:p w14:paraId="0E0C7581" w14:textId="51078B49" w:rsidR="00144D74" w:rsidRPr="003D40C7" w:rsidRDefault="6B3DFF14" w:rsidP="00396873">
      <w:pPr>
        <w:shd w:val="clear" w:color="auto" w:fill="FFFFFF" w:themeFill="background1"/>
        <w:spacing w:after="120"/>
        <w:jc w:val="both"/>
        <w:rPr>
          <w:rFonts w:ascii="Times New Roman" w:hAnsi="Times New Roman" w:cs="Times New Roman"/>
          <w:noProof/>
          <w:sz w:val="24"/>
          <w:szCs w:val="24"/>
        </w:rPr>
      </w:pPr>
      <w:r w:rsidRPr="003D40C7">
        <w:rPr>
          <w:rFonts w:ascii="Times New Roman" w:hAnsi="Times New Roman"/>
          <w:noProof/>
          <w:sz w:val="24"/>
        </w:rPr>
        <w:t xml:space="preserve">UE trebuie să asigure o prevenire și o pregătire solide pentru potențialele amenințări transfrontaliere grave pentru sănătate, pentru a putea proteja publicul și securitatea sănătății publice. Următoarele activități contribuie la realizarea acestui obiectiv: </w:t>
      </w:r>
    </w:p>
    <w:p w14:paraId="502424C0" w14:textId="69BFAEA1" w:rsidR="003B750C" w:rsidRPr="003D40C7" w:rsidRDefault="5D5FFD3E"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sidRPr="003D40C7">
        <w:rPr>
          <w:rFonts w:ascii="Times New Roman" w:hAnsi="Times New Roman"/>
          <w:noProof/>
          <w:sz w:val="24"/>
        </w:rPr>
        <w:t xml:space="preserve">Statele membre raportează periodic cu privire la planificarea și punerea în aplicare a </w:t>
      </w:r>
      <w:r w:rsidRPr="003D40C7">
        <w:rPr>
          <w:rFonts w:ascii="Times New Roman" w:hAnsi="Times New Roman"/>
          <w:b/>
          <w:noProof/>
          <w:sz w:val="24"/>
        </w:rPr>
        <w:t>planurilor lor naționale de prevenire, pregătire și răspuns</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23"/>
      </w:r>
      <w:r w:rsidRPr="003D40C7">
        <w:rPr>
          <w:rFonts w:ascii="Times New Roman" w:hAnsi="Times New Roman"/>
          <w:noProof/>
          <w:sz w:val="24"/>
        </w:rPr>
        <w:t>).</w:t>
      </w:r>
    </w:p>
    <w:p w14:paraId="15A2ABCD" w14:textId="3D2574B9" w:rsidR="003B750C" w:rsidRPr="003D40C7" w:rsidRDefault="5D5FFD3E"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sidRPr="003D40C7">
        <w:rPr>
          <w:rFonts w:ascii="Times New Roman" w:hAnsi="Times New Roman"/>
          <w:noProof/>
          <w:sz w:val="24"/>
        </w:rPr>
        <w:t>Statele membre se coordonează, împreună cu Comisia, în cadrul</w:t>
      </w:r>
      <w:r w:rsidRPr="003D40C7">
        <w:rPr>
          <w:rFonts w:ascii="Times New Roman" w:hAnsi="Times New Roman"/>
          <w:b/>
          <w:noProof/>
          <w:sz w:val="24"/>
        </w:rPr>
        <w:t xml:space="preserve"> Comitetului pentru securitate sanitară</w:t>
      </w:r>
      <w:r w:rsidRPr="003D40C7">
        <w:rPr>
          <w:rFonts w:ascii="Times New Roman" w:hAnsi="Times New Roman"/>
          <w:noProof/>
          <w:sz w:val="24"/>
        </w:rPr>
        <w:t> (</w:t>
      </w:r>
      <w:r w:rsidRPr="003D40C7">
        <w:rPr>
          <w:rStyle w:val="FootnoteReference"/>
          <w:rFonts w:ascii="Times New Roman" w:eastAsia="Times New Roman" w:hAnsi="Times New Roman" w:cs="Times New Roman"/>
          <w:noProof/>
          <w:sz w:val="24"/>
          <w:szCs w:val="24"/>
        </w:rPr>
        <w:footnoteReference w:id="24"/>
      </w:r>
      <w:r w:rsidRPr="003D40C7">
        <w:rPr>
          <w:rFonts w:ascii="Times New Roman" w:hAnsi="Times New Roman"/>
          <w:noProof/>
          <w:sz w:val="24"/>
        </w:rPr>
        <w:t>) pentru a contribui la pregătirea planurilor lor naționale de prevenire, pregătire și răspuns.</w:t>
      </w:r>
    </w:p>
    <w:p w14:paraId="1CA586FB" w14:textId="6E20BD66" w:rsidR="003B750C" w:rsidRPr="003D40C7" w:rsidRDefault="003B750C" w:rsidP="003B750C">
      <w:pPr>
        <w:pStyle w:val="ListParagraph"/>
        <w:numPr>
          <w:ilvl w:val="0"/>
          <w:numId w:val="25"/>
        </w:numPr>
        <w:shd w:val="clear" w:color="auto" w:fill="FFFFFF" w:themeFill="background1"/>
        <w:jc w:val="both"/>
        <w:rPr>
          <w:rFonts w:ascii="Times New Roman" w:hAnsi="Times New Roman" w:cs="Times New Roman"/>
          <w:noProof/>
          <w:sz w:val="24"/>
          <w:szCs w:val="24"/>
        </w:rPr>
      </w:pPr>
      <w:r w:rsidRPr="003D40C7">
        <w:rPr>
          <w:rFonts w:ascii="Times New Roman" w:hAnsi="Times New Roman"/>
          <w:noProof/>
          <w:sz w:val="24"/>
        </w:rPr>
        <w:t xml:space="preserve">ECDC efectuează </w:t>
      </w:r>
      <w:r w:rsidRPr="003D40C7">
        <w:rPr>
          <w:rFonts w:ascii="Times New Roman" w:hAnsi="Times New Roman"/>
          <w:b/>
          <w:noProof/>
          <w:sz w:val="24"/>
        </w:rPr>
        <w:t>evaluări ale pregătirii în cazul unei urgențe de sănătate publică</w:t>
      </w:r>
      <w:r w:rsidRPr="003D40C7">
        <w:rPr>
          <w:rFonts w:ascii="Times New Roman" w:hAnsi="Times New Roman"/>
          <w:noProof/>
          <w:sz w:val="24"/>
        </w:rPr>
        <w:t xml:space="preserve"> (PHEPA – </w:t>
      </w:r>
      <w:r w:rsidRPr="003D40C7">
        <w:rPr>
          <w:rFonts w:ascii="Times New Roman" w:hAnsi="Times New Roman"/>
          <w:i/>
          <w:noProof/>
          <w:sz w:val="24"/>
        </w:rPr>
        <w:t>Public Health Emergency Preparedness Assessments</w:t>
      </w:r>
      <w:r w:rsidRPr="003D40C7">
        <w:rPr>
          <w:rFonts w:ascii="Times New Roman" w:hAnsi="Times New Roman"/>
          <w:noProof/>
          <w:sz w:val="24"/>
        </w:rPr>
        <w:t>) (</w:t>
      </w:r>
      <w:r w:rsidRPr="003D40C7">
        <w:rPr>
          <w:rStyle w:val="FootnoteReference"/>
          <w:rFonts w:ascii="Times New Roman" w:eastAsia="Times New Roman" w:hAnsi="Times New Roman" w:cs="Times New Roman"/>
          <w:noProof/>
          <w:sz w:val="24"/>
          <w:szCs w:val="24"/>
        </w:rPr>
        <w:footnoteReference w:id="25"/>
      </w:r>
      <w:r w:rsidRPr="003D40C7">
        <w:rPr>
          <w:rFonts w:ascii="Times New Roman" w:hAnsi="Times New Roman"/>
          <w:noProof/>
          <w:sz w:val="24"/>
        </w:rPr>
        <w:t>)</w:t>
      </w:r>
      <w:r w:rsidRPr="003D40C7">
        <w:rPr>
          <w:rFonts w:ascii="Times New Roman" w:hAnsi="Times New Roman"/>
          <w:b/>
          <w:noProof/>
          <w:sz w:val="24"/>
        </w:rPr>
        <w:t xml:space="preserve"> </w:t>
      </w:r>
      <w:r w:rsidRPr="003D40C7">
        <w:rPr>
          <w:rFonts w:ascii="Times New Roman" w:hAnsi="Times New Roman"/>
          <w:noProof/>
          <w:sz w:val="24"/>
        </w:rPr>
        <w:t>pentru a evalua stadiul punerii în aplicare a planurilor naționale și formulează recomandări pentru îmbunătățirea acestora.</w:t>
      </w:r>
    </w:p>
    <w:p w14:paraId="65D106A7" w14:textId="66AB3CC9" w:rsidR="004C5F2E" w:rsidRPr="003D40C7" w:rsidRDefault="00556273"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sidRPr="003D40C7">
        <w:rPr>
          <w:rFonts w:ascii="Times New Roman" w:hAnsi="Times New Roman"/>
          <w:noProof/>
          <w:sz w:val="24"/>
        </w:rPr>
        <w:t xml:space="preserve">Statele membre consolidează </w:t>
      </w:r>
      <w:r w:rsidRPr="003D40C7">
        <w:rPr>
          <w:rFonts w:ascii="Times New Roman" w:hAnsi="Times New Roman"/>
          <w:b/>
          <w:noProof/>
          <w:sz w:val="24"/>
        </w:rPr>
        <w:t>sistemele de sănătate și forța de muncă din domeniul sănătății</w:t>
      </w:r>
      <w:r w:rsidRPr="003D40C7">
        <w:rPr>
          <w:rFonts w:ascii="Times New Roman" w:hAnsi="Times New Roman"/>
          <w:noProof/>
          <w:sz w:val="24"/>
        </w:rPr>
        <w:t xml:space="preserve">, astfel încât acestea să poată fi mai reziliente în situații de presiune; acest lucru include promovarea </w:t>
      </w:r>
      <w:r w:rsidRPr="003D40C7">
        <w:rPr>
          <w:rFonts w:ascii="Times New Roman" w:hAnsi="Times New Roman"/>
          <w:b/>
          <w:noProof/>
          <w:sz w:val="24"/>
        </w:rPr>
        <w:t>vaccinării</w:t>
      </w:r>
      <w:r w:rsidRPr="003D40C7">
        <w:rPr>
          <w:rFonts w:ascii="Times New Roman" w:hAnsi="Times New Roman"/>
          <w:noProof/>
          <w:sz w:val="24"/>
        </w:rPr>
        <w:t xml:space="preserve"> ca unul dintre cele mai puternice și mai rentabile instrumente de sănătate publică pentru prevenirea bolilor.</w:t>
      </w:r>
    </w:p>
    <w:p w14:paraId="10FB6A43" w14:textId="36F2B30E" w:rsidR="00FE37AC" w:rsidRPr="003D40C7" w:rsidRDefault="79F5159F"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sidRPr="003D40C7">
        <w:rPr>
          <w:rFonts w:ascii="Times New Roman" w:hAnsi="Times New Roman"/>
          <w:noProof/>
          <w:sz w:val="24"/>
        </w:rPr>
        <w:t xml:space="preserve">Comisia, cu asistența și consilierea din partea statelor membre prin intermediul </w:t>
      </w:r>
      <w:r w:rsidRPr="003D40C7">
        <w:rPr>
          <w:rFonts w:ascii="Times New Roman" w:hAnsi="Times New Roman"/>
          <w:b/>
          <w:noProof/>
          <w:sz w:val="24"/>
        </w:rPr>
        <w:t>Consiliului HERA</w:t>
      </w:r>
      <w:r w:rsidRPr="003D40C7">
        <w:rPr>
          <w:rFonts w:ascii="Times New Roman" w:hAnsi="Times New Roman"/>
          <w:noProof/>
          <w:sz w:val="24"/>
        </w:rPr>
        <w:t xml:space="preserve">, sprijină dezvoltarea, disponibilitatea și distribuirea de </w:t>
      </w:r>
      <w:r w:rsidRPr="003D40C7">
        <w:rPr>
          <w:rFonts w:ascii="Times New Roman" w:hAnsi="Times New Roman"/>
          <w:b/>
          <w:noProof/>
          <w:sz w:val="24"/>
        </w:rPr>
        <w:t>contramăsuri medicale</w:t>
      </w:r>
      <w:r w:rsidRPr="003D40C7">
        <w:rPr>
          <w:rFonts w:ascii="Times New Roman" w:hAnsi="Times New Roman"/>
          <w:noProof/>
          <w:sz w:val="24"/>
        </w:rPr>
        <w:t>, de la vaccinuri la mijloace terapeutice, mijloace de diagnosticare, dispozitive medicale și echipamente de protecție, inclusiv anticiparea amenințărilor aferente, evaluarea amenințărilor și colectarea de informații.</w:t>
      </w:r>
    </w:p>
    <w:p w14:paraId="7DAAFB4B" w14:textId="79150919" w:rsidR="00F45F0E" w:rsidRPr="003D40C7" w:rsidRDefault="718246AD" w:rsidP="00B26F15">
      <w:pPr>
        <w:pStyle w:val="ListParagraph"/>
        <w:numPr>
          <w:ilvl w:val="0"/>
          <w:numId w:val="25"/>
        </w:numPr>
        <w:shd w:val="clear" w:color="auto" w:fill="FFFFFF" w:themeFill="background1"/>
        <w:jc w:val="both"/>
        <w:rPr>
          <w:rFonts w:ascii="Times New Roman" w:hAnsi="Times New Roman" w:cs="Times New Roman"/>
          <w:noProof/>
          <w:sz w:val="24"/>
          <w:szCs w:val="24"/>
        </w:rPr>
      </w:pPr>
      <w:r w:rsidRPr="003D40C7">
        <w:rPr>
          <w:rFonts w:ascii="Times New Roman" w:hAnsi="Times New Roman"/>
          <w:noProof/>
          <w:sz w:val="24"/>
        </w:rPr>
        <w:t xml:space="preserve">Ca măsură de atenuare a riscurilor în cazul unor viitoare urgențe sanitare, Comisia a rezervat capacitatea de producție de vaccinuri prin intermediul </w:t>
      </w:r>
      <w:r w:rsidRPr="003D40C7">
        <w:rPr>
          <w:rFonts w:ascii="Times New Roman" w:hAnsi="Times New Roman"/>
          <w:b/>
          <w:noProof/>
          <w:sz w:val="24"/>
        </w:rPr>
        <w:t>EU FAB</w:t>
      </w:r>
      <w:r w:rsidRPr="003D40C7">
        <w:rPr>
          <w:rFonts w:ascii="Times New Roman" w:hAnsi="Times New Roman"/>
          <w:noProof/>
          <w:sz w:val="24"/>
        </w:rPr>
        <w:t xml:space="preserve"> pentru a asigura disponibilitatea constantă și aprovizionarea adecvată cu materii prime critice.</w:t>
      </w:r>
      <w:r w:rsidR="003D40C7">
        <w:rPr>
          <w:rFonts w:ascii="Times New Roman" w:hAnsi="Times New Roman"/>
          <w:noProof/>
          <w:sz w:val="24"/>
        </w:rPr>
        <w:t xml:space="preserve"> </w:t>
      </w:r>
    </w:p>
    <w:p w14:paraId="17B488B4" w14:textId="7B971956" w:rsidR="001A40DA" w:rsidRPr="003D40C7" w:rsidDel="009F06A0" w:rsidRDefault="7A15B252" w:rsidP="00351968">
      <w:pPr>
        <w:pStyle w:val="ListParagraph"/>
        <w:numPr>
          <w:ilvl w:val="0"/>
          <w:numId w:val="25"/>
        </w:numPr>
        <w:shd w:val="clear" w:color="auto" w:fill="FFFFFF" w:themeFill="background1"/>
        <w:spacing w:after="360"/>
        <w:jc w:val="both"/>
        <w:rPr>
          <w:rFonts w:ascii="Times New Roman" w:hAnsi="Times New Roman" w:cs="Times New Roman"/>
          <w:noProof/>
          <w:sz w:val="24"/>
          <w:szCs w:val="24"/>
        </w:rPr>
      </w:pPr>
      <w:r w:rsidRPr="003D40C7">
        <w:rPr>
          <w:rFonts w:ascii="Times New Roman" w:hAnsi="Times New Roman"/>
          <w:noProof/>
          <w:sz w:val="24"/>
        </w:rPr>
        <w:t xml:space="preserve">Mecanismele de sprijin ale UE, cum ar fi </w:t>
      </w:r>
      <w:r w:rsidRPr="003D40C7">
        <w:rPr>
          <w:rFonts w:ascii="Times New Roman" w:hAnsi="Times New Roman"/>
          <w:b/>
          <w:noProof/>
          <w:sz w:val="24"/>
        </w:rPr>
        <w:t xml:space="preserve">Grupul operativ al UE în domeniul sănătății </w:t>
      </w:r>
      <w:r w:rsidRPr="003D40C7">
        <w:rPr>
          <w:rFonts w:ascii="Times New Roman" w:hAnsi="Times New Roman"/>
          <w:noProof/>
          <w:sz w:val="24"/>
        </w:rPr>
        <w:t xml:space="preserve">și </w:t>
      </w:r>
      <w:r w:rsidRPr="003D40C7">
        <w:rPr>
          <w:rFonts w:ascii="Times New Roman" w:hAnsi="Times New Roman"/>
          <w:b/>
          <w:noProof/>
          <w:sz w:val="24"/>
        </w:rPr>
        <w:t>mecanismul de protecție civilă al Uniunii</w:t>
      </w:r>
      <w:r w:rsidRPr="003D40C7">
        <w:rPr>
          <w:rFonts w:ascii="Times New Roman" w:hAnsi="Times New Roman"/>
          <w:noProof/>
          <w:sz w:val="24"/>
        </w:rPr>
        <w:t xml:space="preserve">, sprijină statele membre în pregătirea pentru crizele sanitare. </w:t>
      </w:r>
    </w:p>
    <w:p w14:paraId="5C76FFD1" w14:textId="2D8B0348" w:rsidR="00625D5F" w:rsidRPr="003D40C7" w:rsidRDefault="00F102B9" w:rsidP="00625D5F">
      <w:pPr>
        <w:pBdr>
          <w:top w:val="single" w:sz="4" w:space="1" w:color="auto"/>
          <w:left w:val="single" w:sz="4" w:space="4" w:color="auto"/>
          <w:bottom w:val="single" w:sz="4" w:space="0" w:color="auto"/>
          <w:right w:val="single" w:sz="4" w:space="4" w:color="auto"/>
        </w:pBdr>
        <w:shd w:val="clear" w:color="auto" w:fill="F2F2F2" w:themeFill="background1" w:themeFillShade="F2"/>
        <w:spacing w:after="120"/>
        <w:jc w:val="both"/>
        <w:rPr>
          <w:rFonts w:ascii="Times New Roman" w:eastAsia="Times New Roman" w:hAnsi="Times New Roman" w:cs="Times New Roman"/>
          <w:b/>
          <w:bCs/>
          <w:noProof/>
        </w:rPr>
      </w:pPr>
      <w:r w:rsidRPr="003D40C7">
        <w:rPr>
          <w:rFonts w:ascii="Times New Roman" w:hAnsi="Times New Roman"/>
          <w:b/>
          <w:noProof/>
        </w:rPr>
        <w:t>Pregătirea în acțiune:</w:t>
      </w:r>
      <w:r w:rsidRPr="003D40C7">
        <w:rPr>
          <w:rFonts w:ascii="Times New Roman" w:hAnsi="Times New Roman"/>
          <w:noProof/>
        </w:rPr>
        <w:t xml:space="preserve"> </w:t>
      </w:r>
      <w:r w:rsidRPr="003D40C7">
        <w:rPr>
          <w:rFonts w:ascii="Times New Roman" w:hAnsi="Times New Roman"/>
          <w:b/>
          <w:noProof/>
        </w:rPr>
        <w:t>achiziționarea vaccinurilor și vaccinarea</w:t>
      </w:r>
    </w:p>
    <w:p w14:paraId="2E6A2648" w14:textId="2D934C35" w:rsidR="009D20DC" w:rsidRPr="003D40C7" w:rsidRDefault="5D42E562"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rPr>
      </w:pPr>
      <w:r w:rsidRPr="003D40C7">
        <w:rPr>
          <w:rFonts w:ascii="Times New Roman" w:hAnsi="Times New Roman"/>
          <w:noProof/>
        </w:rPr>
        <w:t xml:space="preserve">Izbucnirea epidemiei de variola maimuței în UE/SEE în 2022 a evidențiat importanța pregătirii la nivelul UE pentru amenințările transfrontaliere grave pentru sănătate. Mai întâi, </w:t>
      </w:r>
      <w:r w:rsidRPr="003D40C7">
        <w:rPr>
          <w:rFonts w:ascii="Times New Roman" w:hAnsi="Times New Roman"/>
          <w:b/>
          <w:noProof/>
        </w:rPr>
        <w:t>Comitetul pentru securitate sanitară</w:t>
      </w:r>
      <w:r w:rsidRPr="003D40C7">
        <w:rPr>
          <w:rFonts w:ascii="Times New Roman" w:hAnsi="Times New Roman"/>
          <w:noProof/>
        </w:rPr>
        <w:t xml:space="preserve"> (CSS) a discutat situația epidemiologică. Ulterior, </w:t>
      </w:r>
      <w:r w:rsidRPr="003D40C7">
        <w:rPr>
          <w:rFonts w:ascii="Times New Roman" w:hAnsi="Times New Roman"/>
          <w:b/>
          <w:noProof/>
        </w:rPr>
        <w:t xml:space="preserve">Consiliul HERA </w:t>
      </w:r>
      <w:r w:rsidRPr="003D40C7">
        <w:rPr>
          <w:rFonts w:ascii="Times New Roman" w:hAnsi="Times New Roman"/>
          <w:noProof/>
        </w:rPr>
        <w:t xml:space="preserve">s-a reunit și a ajutat Comisia să asigure peste 109 000 de doze de vaccin în iunie 2022, care au fost donate statelor membre și țărilor asociate EU4Health în termen de o lună de la izbucnirea epidemiei. </w:t>
      </w:r>
    </w:p>
    <w:p w14:paraId="4EE8F40C" w14:textId="474D7B36" w:rsidR="00993893" w:rsidRPr="003D40C7" w:rsidRDefault="5A24B1D5"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rPr>
      </w:pPr>
      <w:r w:rsidRPr="003D40C7">
        <w:rPr>
          <w:rFonts w:ascii="Times New Roman" w:hAnsi="Times New Roman"/>
          <w:b/>
          <w:noProof/>
        </w:rPr>
        <w:t>Comitetul pentru securitate sanitară</w:t>
      </w:r>
      <w:r w:rsidRPr="003D40C7">
        <w:rPr>
          <w:rFonts w:ascii="Times New Roman" w:hAnsi="Times New Roman"/>
          <w:noProof/>
        </w:rPr>
        <w:t xml:space="preserve"> (CSS) a jucat, de asemenea, un rol important prin adoptarea de recomandări pentru o abordare comună la nivelul UE a politicilor de vaccinare împotriva variolei maimuței (</w:t>
      </w:r>
      <w:r w:rsidRPr="003D40C7">
        <w:rPr>
          <w:rStyle w:val="FootnoteReference"/>
          <w:rFonts w:ascii="Times New Roman" w:hAnsi="Times New Roman" w:cs="Times New Roman"/>
          <w:noProof/>
        </w:rPr>
        <w:footnoteReference w:id="26"/>
      </w:r>
      <w:r w:rsidRPr="003D40C7">
        <w:rPr>
          <w:rFonts w:ascii="Times New Roman" w:hAnsi="Times New Roman"/>
          <w:noProof/>
        </w:rPr>
        <w:t>). Avizul CSS a stabilit considerații esențiale pentru strategiile naționale de vaccinare împotriva variolei maimuței ale statelor membre, în conformitate cu orientările emise de ECDC/OMS și ținând seama de circumstanțele epidemiologice și de sănătate publică naționale ale acestora, inclusiv de disponibilitatea vaccinurilor.</w:t>
      </w:r>
    </w:p>
    <w:p w14:paraId="3E431147" w14:textId="0B484F23" w:rsidR="00A47074" w:rsidRPr="003D40C7" w:rsidRDefault="40CD293A" w:rsidP="672E3538">
      <w:pPr>
        <w:pBdr>
          <w:top w:val="single" w:sz="4" w:space="1" w:color="auto"/>
          <w:left w:val="single" w:sz="4" w:space="4" w:color="auto"/>
          <w:bottom w:val="single" w:sz="4" w:space="0" w:color="auto"/>
          <w:right w:val="single" w:sz="4" w:space="4" w:color="auto"/>
        </w:pBdr>
        <w:shd w:val="clear" w:color="auto" w:fill="F2F2F2" w:themeFill="background1" w:themeFillShade="F2"/>
        <w:jc w:val="both"/>
        <w:rPr>
          <w:rFonts w:ascii="Times New Roman" w:hAnsi="Times New Roman" w:cs="Times New Roman"/>
          <w:noProof/>
        </w:rPr>
      </w:pPr>
      <w:r w:rsidRPr="003D40C7">
        <w:rPr>
          <w:rFonts w:ascii="Times New Roman" w:hAnsi="Times New Roman"/>
          <w:noProof/>
        </w:rPr>
        <w:t>Pentru a consolida pregătirea pe termen mediu și lung pentru epidemia de variola maimuței, Comisia a asigurat, de asemenea, până la 2 milioane de doze de vaccin împotriva variolei maimuței în 2023 și 2024 prin intermediul unui cadru comun de achiziții publice (</w:t>
      </w:r>
      <w:r w:rsidRPr="003D40C7">
        <w:rPr>
          <w:rStyle w:val="FootnoteReference"/>
          <w:rFonts w:ascii="Times New Roman" w:hAnsi="Times New Roman" w:cs="Times New Roman"/>
          <w:noProof/>
        </w:rPr>
        <w:footnoteReference w:id="27"/>
      </w:r>
      <w:r w:rsidRPr="003D40C7">
        <w:rPr>
          <w:rFonts w:ascii="Times New Roman" w:hAnsi="Times New Roman"/>
          <w:noProof/>
        </w:rPr>
        <w:t>). Acest lucru a oferit statelor membre participante opțiunea de a constitui stocuri și de a planifica din timp strategii de vaccinare, precum și de a se pregăti pentru măsurile de răspuns luate în 2024, cum ar fi donațiile coordonate de vaccinuri. Aceste eforturi demonstrează modul în care UE a valorificat achizițiile comune și constituirea de stocuri strategice pentru a menține accesul echitabil, a atenua riscul în materie de aprovizionare și a anticipa viitoarele amenințări la adresa sănătății.</w:t>
      </w:r>
    </w:p>
    <w:p w14:paraId="51FFBAB2" w14:textId="05A8F81D" w:rsidR="00F102B9" w:rsidRPr="003D40C7" w:rsidRDefault="5DAB468E" w:rsidP="672E3538">
      <w:pPr>
        <w:pBdr>
          <w:top w:val="single" w:sz="4" w:space="1" w:color="auto"/>
          <w:left w:val="single" w:sz="4" w:space="4" w:color="auto"/>
          <w:bottom w:val="single" w:sz="4" w:space="0" w:color="auto"/>
          <w:right w:val="single" w:sz="4" w:space="4" w:color="auto"/>
        </w:pBdr>
        <w:shd w:val="clear" w:color="auto" w:fill="F2F2F2" w:themeFill="background1" w:themeFillShade="F2"/>
        <w:spacing w:after="480"/>
        <w:jc w:val="both"/>
        <w:rPr>
          <w:rFonts w:ascii="Times New Roman" w:eastAsia="Times New Roman" w:hAnsi="Times New Roman" w:cs="Times New Roman"/>
          <w:b/>
          <w:bCs/>
          <w:noProof/>
        </w:rPr>
      </w:pPr>
      <w:r w:rsidRPr="003D40C7">
        <w:rPr>
          <w:rFonts w:ascii="Times New Roman" w:hAnsi="Times New Roman"/>
          <w:noProof/>
        </w:rPr>
        <w:t>Aceste mecanisme depășesc simpla reacție la o singură izbucnire epidemică – ele ilustrează o abordare structurată și orientată spre viitor a pregătirii, care permite UE să răspundă mai eficace la amenințările emergente la adresa sănătății, consolidând în același timp cooperarea transfrontalieră, planificarea resurselor și procesul decizional bazat pe date concrete pentru viitor.</w:t>
      </w:r>
    </w:p>
    <w:p w14:paraId="79B29A5A" w14:textId="6782A56E" w:rsidR="62D65E89" w:rsidRPr="003D40C7" w:rsidRDefault="62D65E89" w:rsidP="00952EEB">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sidRPr="003D40C7">
        <w:rPr>
          <w:rFonts w:ascii="Times New Roman" w:hAnsi="Times New Roman"/>
          <w:b/>
          <w:noProof/>
          <w:sz w:val="24"/>
        </w:rPr>
        <w:t>Etapa 2: Detectarea și evaluarea amenințărilor la adresa sănătății</w:t>
      </w:r>
    </w:p>
    <w:p w14:paraId="492AA0AA" w14:textId="57932015" w:rsidR="4FB4B7FC" w:rsidRPr="003D40C7" w:rsidRDefault="4FB4B7FC" w:rsidP="00396873">
      <w:pPr>
        <w:shd w:val="clear" w:color="auto" w:fill="FFFFFF" w:themeFill="background1"/>
        <w:spacing w:after="120"/>
        <w:jc w:val="both"/>
        <w:rPr>
          <w:rFonts w:ascii="Times New Roman" w:eastAsia="Times New Roman" w:hAnsi="Times New Roman" w:cs="Times New Roman"/>
          <w:noProof/>
          <w:sz w:val="24"/>
          <w:szCs w:val="24"/>
        </w:rPr>
      </w:pPr>
      <w:r w:rsidRPr="003D40C7">
        <w:rPr>
          <w:rFonts w:ascii="Times New Roman" w:hAnsi="Times New Roman"/>
          <w:noProof/>
          <w:sz w:val="24"/>
        </w:rPr>
        <w:t>Detectarea și evaluarea eficace a amenințărilor la adresa sănătății sunt esențiale pentru a răspunde la crizele sanitare. Următoarele activități contribuie la realizarea acestui obiectiv.</w:t>
      </w:r>
    </w:p>
    <w:p w14:paraId="177530B0" w14:textId="026CA8C0" w:rsidR="4FB4B7FC" w:rsidRPr="003D40C7" w:rsidRDefault="2F50142D" w:rsidP="00914E8A">
      <w:pPr>
        <w:pStyle w:val="ListParagraph"/>
        <w:numPr>
          <w:ilvl w:val="0"/>
          <w:numId w:val="28"/>
        </w:numPr>
        <w:spacing w:after="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Comisia îmbunătățește </w:t>
      </w:r>
      <w:r w:rsidRPr="003D40C7">
        <w:rPr>
          <w:rFonts w:ascii="Times New Roman" w:hAnsi="Times New Roman"/>
          <w:b/>
          <w:noProof/>
          <w:sz w:val="24"/>
        </w:rPr>
        <w:t>sistemele de supraveghere și detectare</w:t>
      </w:r>
      <w:r w:rsidRPr="003D40C7">
        <w:rPr>
          <w:rFonts w:ascii="Times New Roman" w:hAnsi="Times New Roman"/>
          <w:noProof/>
          <w:sz w:val="24"/>
        </w:rPr>
        <w:t xml:space="preserve">, printre altele, prin desemnarea laboratoarelor de referință ale UE pentru sănătatea publică și prin integrarea diferitelor abordări în materie de supraveghere, inclusiv a cadrului „O singură sănătate”, a monitorizării de laborator, a analizei apelor uzate și a supravegherii și controlului vectorilor. </w:t>
      </w:r>
    </w:p>
    <w:p w14:paraId="5B6AA6B1" w14:textId="0F381595" w:rsidR="4FB4B7FC" w:rsidRPr="003D40C7" w:rsidRDefault="004D4A85" w:rsidP="00B26F15">
      <w:pPr>
        <w:pStyle w:val="ListParagraph"/>
        <w:numPr>
          <w:ilvl w:val="0"/>
          <w:numId w:val="28"/>
        </w:numPr>
        <w:spacing w:after="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Comisia promovează </w:t>
      </w:r>
      <w:r w:rsidRPr="003D40C7">
        <w:rPr>
          <w:rFonts w:ascii="Times New Roman" w:hAnsi="Times New Roman"/>
          <w:b/>
          <w:noProof/>
          <w:sz w:val="24"/>
        </w:rPr>
        <w:t>schimbul de informații și interoperabilitatea datelor</w:t>
      </w:r>
      <w:r w:rsidRPr="003D40C7">
        <w:rPr>
          <w:rFonts w:ascii="Times New Roman" w:hAnsi="Times New Roman"/>
          <w:noProof/>
          <w:sz w:val="24"/>
        </w:rPr>
        <w:t xml:space="preserve"> pentru a îmbunătăți pregătirea și răspunsul colectiv la crizele sanitare.</w:t>
      </w:r>
    </w:p>
    <w:p w14:paraId="34055E3E" w14:textId="4EE2280B" w:rsidR="4FB4B7FC" w:rsidRPr="003D40C7" w:rsidRDefault="186A9034" w:rsidP="00B26F15">
      <w:pPr>
        <w:pStyle w:val="ListParagraph"/>
        <w:numPr>
          <w:ilvl w:val="0"/>
          <w:numId w:val="28"/>
        </w:numPr>
        <w:spacing w:after="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Comisia sprijină </w:t>
      </w:r>
      <w:r w:rsidRPr="003D40C7">
        <w:rPr>
          <w:rFonts w:ascii="Times New Roman" w:hAnsi="Times New Roman"/>
          <w:b/>
          <w:noProof/>
          <w:sz w:val="24"/>
        </w:rPr>
        <w:t>evaluarea cuprinzătoare și integrată a amenințărilor, evaluarea riscurilor și alerta timpurie</w:t>
      </w:r>
      <w:r w:rsidRPr="003D40C7">
        <w:rPr>
          <w:rFonts w:ascii="Times New Roman" w:hAnsi="Times New Roman"/>
          <w:noProof/>
          <w:sz w:val="24"/>
        </w:rPr>
        <w:t xml:space="preserve"> la nivel național și la nivelul UE pentru a contribui la măsuri de răspuns rapide și eficace. </w:t>
      </w:r>
    </w:p>
    <w:p w14:paraId="3D54FABE" w14:textId="088F4271" w:rsidR="00351968" w:rsidRPr="003D40C7" w:rsidRDefault="00AA17A0" w:rsidP="00D81829">
      <w:pPr>
        <w:pStyle w:val="ListParagraph"/>
        <w:numPr>
          <w:ilvl w:val="0"/>
          <w:numId w:val="28"/>
        </w:numPr>
        <w:spacing w:after="360"/>
        <w:jc w:val="both"/>
        <w:rPr>
          <w:rFonts w:ascii="Times New Roman" w:eastAsia="Times New Roman" w:hAnsi="Times New Roman" w:cs="Times New Roman"/>
          <w:noProof/>
          <w:sz w:val="24"/>
          <w:szCs w:val="24"/>
        </w:rPr>
      </w:pPr>
      <w:r w:rsidRPr="003D40C7">
        <w:rPr>
          <w:rFonts w:ascii="Times New Roman" w:hAnsi="Times New Roman"/>
          <w:noProof/>
          <w:sz w:val="24"/>
        </w:rPr>
        <w:t>Agențiile UE, cum ar fi ECDC, EMA și EFSA (</w:t>
      </w:r>
      <w:r w:rsidRPr="003D40C7">
        <w:rPr>
          <w:rStyle w:val="FootnoteReference"/>
          <w:rFonts w:ascii="Times New Roman" w:eastAsia="Times New Roman" w:hAnsi="Times New Roman" w:cs="Times New Roman"/>
          <w:noProof/>
          <w:sz w:val="24"/>
          <w:szCs w:val="24"/>
        </w:rPr>
        <w:footnoteReference w:id="28"/>
      </w:r>
      <w:r w:rsidRPr="003D40C7">
        <w:rPr>
          <w:rFonts w:ascii="Times New Roman" w:hAnsi="Times New Roman"/>
          <w:noProof/>
          <w:sz w:val="24"/>
        </w:rPr>
        <w:t xml:space="preserve">), contribuie la efectuarea de </w:t>
      </w:r>
      <w:r w:rsidRPr="003D40C7">
        <w:rPr>
          <w:rFonts w:ascii="Times New Roman" w:hAnsi="Times New Roman"/>
          <w:b/>
          <w:noProof/>
          <w:sz w:val="24"/>
        </w:rPr>
        <w:t>evaluări rapide ale riscurilor pentru sănătatea publică</w:t>
      </w:r>
      <w:r w:rsidRPr="003D40C7">
        <w:rPr>
          <w:rFonts w:ascii="Times New Roman" w:hAnsi="Times New Roman"/>
          <w:noProof/>
          <w:sz w:val="24"/>
        </w:rPr>
        <w:t xml:space="preserve"> pentru a sprijini coordonarea bazată pe date și pe dovezi a eforturilor de răspuns la nivelul UE.</w:t>
      </w:r>
    </w:p>
    <w:p w14:paraId="49FCE754" w14:textId="4A674EC6" w:rsidR="00B11ED2" w:rsidRPr="003D40C7" w:rsidRDefault="43413514" w:rsidP="078808B9">
      <w:pPr>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120"/>
        <w:rPr>
          <w:rFonts w:ascii="Times New Roman" w:hAnsi="Times New Roman" w:cs="Times New Roman"/>
          <w:noProof/>
        </w:rPr>
      </w:pPr>
      <w:r w:rsidRPr="003D40C7">
        <w:rPr>
          <w:rFonts w:ascii="Times New Roman" w:hAnsi="Times New Roman"/>
          <w:b/>
          <w:noProof/>
        </w:rPr>
        <w:t>Evaluarea riscurilor în acțiune: evaluarea rapidă a riscurilor efectuată de UE prin intermediul unui grup unic de agenții ale UE</w:t>
      </w:r>
    </w:p>
    <w:p w14:paraId="06436998" w14:textId="36C93870" w:rsidR="00B11ED2" w:rsidRPr="003D40C7" w:rsidRDefault="7EF71F35"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hAnsi="Times New Roman" w:cs="Times New Roman"/>
          <w:noProof/>
        </w:rPr>
      </w:pPr>
      <w:r w:rsidRPr="003D40C7">
        <w:rPr>
          <w:rFonts w:ascii="Times New Roman" w:hAnsi="Times New Roman"/>
          <w:noProof/>
        </w:rPr>
        <w:t xml:space="preserve">Atunci când un stat membru al UE raportează o amenințare transfrontalieră gravă pentru sănătate, Comisia sau Comitetul pentru securitate sanitară poate solicita uneia sau mai multor agenții și organe ale UE să efectueze o evaluare a riscurilor pentru sănătatea publică. Aceste evaluări urmăresc să sprijine coordonarea bazată pe date, pe dovezi și pe consultanță de specialitate a răspunsului la astfel de amenințări. </w:t>
      </w:r>
    </w:p>
    <w:p w14:paraId="0E25B60A" w14:textId="34C74ACC" w:rsidR="00B11ED2" w:rsidRPr="003D40C7" w:rsidRDefault="12B17E65"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hAnsi="Times New Roman" w:cs="Times New Roman"/>
          <w:noProof/>
        </w:rPr>
      </w:pPr>
      <w:r w:rsidRPr="003D40C7">
        <w:rPr>
          <w:rFonts w:ascii="Times New Roman" w:hAnsi="Times New Roman"/>
          <w:noProof/>
        </w:rPr>
        <w:t>ECDC, EMA, EFSA, ECHA (</w:t>
      </w:r>
      <w:r w:rsidRPr="003D40C7">
        <w:rPr>
          <w:rStyle w:val="FootnoteReference"/>
          <w:rFonts w:ascii="Times New Roman" w:hAnsi="Times New Roman" w:cs="Times New Roman"/>
          <w:noProof/>
        </w:rPr>
        <w:footnoteReference w:id="29"/>
      </w:r>
      <w:r w:rsidRPr="003D40C7">
        <w:rPr>
          <w:rFonts w:ascii="Times New Roman" w:hAnsi="Times New Roman"/>
          <w:noProof/>
        </w:rPr>
        <w:t>), AEM (</w:t>
      </w:r>
      <w:r w:rsidRPr="003D40C7">
        <w:rPr>
          <w:rStyle w:val="FootnoteReference"/>
          <w:rFonts w:ascii="Times New Roman" w:hAnsi="Times New Roman" w:cs="Times New Roman"/>
          <w:noProof/>
        </w:rPr>
        <w:footnoteReference w:id="30"/>
      </w:r>
      <w:r w:rsidRPr="003D40C7">
        <w:rPr>
          <w:rFonts w:ascii="Times New Roman" w:hAnsi="Times New Roman"/>
          <w:noProof/>
        </w:rPr>
        <w:t>), EUDA (</w:t>
      </w:r>
      <w:r w:rsidRPr="003D40C7">
        <w:rPr>
          <w:rStyle w:val="FootnoteReference"/>
          <w:rFonts w:ascii="Times New Roman" w:hAnsi="Times New Roman" w:cs="Times New Roman"/>
          <w:noProof/>
        </w:rPr>
        <w:footnoteReference w:id="31"/>
      </w:r>
      <w:r w:rsidRPr="003D40C7">
        <w:rPr>
          <w:rFonts w:ascii="Times New Roman" w:hAnsi="Times New Roman"/>
          <w:noProof/>
        </w:rPr>
        <w:t>) și Europol contribuie fiecare la aceste evaluări ale riscurilor pentru sănătatea publică pe baza mandatelor și a expertizei lor. Agențiile UE evaluează gravitatea potențială a amenințării pentru sănătatea publică și iau în considerare impactul măsurilor sociale și de sănătate publică. Pentru a sprijini o evaluare cuprinzătoare a riscurilor, Comisia face schimb de informații referitoare la contramăsurile medicale cu agențiile relevante ale UE, inclusiv cu privire la aprovizionare, achiziții publice și implementare.</w:t>
      </w:r>
    </w:p>
    <w:p w14:paraId="584C68B5" w14:textId="5C8D49C0" w:rsidR="00B11ED2" w:rsidRPr="003D40C7" w:rsidRDefault="00B11ED2" w:rsidP="003D40C7">
      <w:pPr>
        <w:keepNext/>
        <w:keepLines/>
        <w:pBdr>
          <w:top w:val="single" w:sz="4" w:space="1" w:color="000000"/>
          <w:left w:val="single" w:sz="4" w:space="4" w:color="000000"/>
          <w:bottom w:val="single" w:sz="4" w:space="1" w:color="000000"/>
          <w:right w:val="single" w:sz="4" w:space="4" w:color="000000"/>
        </w:pBdr>
        <w:shd w:val="clear" w:color="auto" w:fill="F2F2F2" w:themeFill="background1" w:themeFillShade="F2"/>
        <w:spacing w:after="120"/>
        <w:jc w:val="both"/>
        <w:rPr>
          <w:rFonts w:ascii="Times New Roman" w:hAnsi="Times New Roman" w:cs="Times New Roman"/>
          <w:b/>
          <w:bCs/>
          <w:noProof/>
        </w:rPr>
      </w:pPr>
      <w:r w:rsidRPr="003D40C7">
        <w:rPr>
          <w:rFonts w:ascii="Times New Roman" w:hAnsi="Times New Roman"/>
          <w:b/>
          <w:noProof/>
        </w:rPr>
        <w:t xml:space="preserve">Exemplu practic: Răspunsul în cazul izbucnirii epidemiei de </w:t>
      </w:r>
      <w:r w:rsidRPr="003D40C7">
        <w:rPr>
          <w:rFonts w:ascii="Times New Roman" w:hAnsi="Times New Roman"/>
          <w:b/>
          <w:i/>
          <w:noProof/>
        </w:rPr>
        <w:t>Salmonella</w:t>
      </w:r>
      <w:r w:rsidRPr="003D40C7">
        <w:rPr>
          <w:rFonts w:ascii="Times New Roman" w:hAnsi="Times New Roman"/>
          <w:b/>
          <w:noProof/>
        </w:rPr>
        <w:t xml:space="preserve"> </w:t>
      </w:r>
    </w:p>
    <w:p w14:paraId="69B82E1B" w14:textId="42E68890" w:rsidR="008E43DC" w:rsidRPr="003D40C7" w:rsidRDefault="5560E1D7" w:rsidP="00AB54D1">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noProof/>
          <w:sz w:val="10"/>
          <w:szCs w:val="10"/>
        </w:rPr>
      </w:pPr>
      <w:r w:rsidRPr="003D40C7">
        <w:rPr>
          <w:rFonts w:ascii="Times New Roman" w:hAnsi="Times New Roman"/>
          <w:noProof/>
        </w:rPr>
        <w:t xml:space="preserve">În octombrie 2025, ECDC și EFSA au publicat în comun o evaluare rapidă actualizată a epidemiei transfrontaliere prelungite de </w:t>
      </w:r>
      <w:r w:rsidRPr="003D40C7">
        <w:rPr>
          <w:rFonts w:ascii="Times New Roman" w:hAnsi="Times New Roman"/>
          <w:i/>
          <w:noProof/>
        </w:rPr>
        <w:t>Salmonella Strathcona</w:t>
      </w:r>
      <w:r w:rsidRPr="003D40C7">
        <w:rPr>
          <w:rFonts w:ascii="Times New Roman" w:hAnsi="Times New Roman"/>
          <w:noProof/>
        </w:rPr>
        <w:t xml:space="preserve"> ST2559 (</w:t>
      </w:r>
      <w:r w:rsidRPr="003D40C7">
        <w:rPr>
          <w:rStyle w:val="FootnoteReference"/>
          <w:rFonts w:ascii="Times New Roman" w:hAnsi="Times New Roman" w:cs="Times New Roman"/>
          <w:noProof/>
        </w:rPr>
        <w:footnoteReference w:id="32"/>
      </w:r>
      <w:r w:rsidRPr="003D40C7">
        <w:rPr>
          <w:rFonts w:ascii="Times New Roman" w:hAnsi="Times New Roman"/>
          <w:noProof/>
        </w:rPr>
        <w:t xml:space="preserve">), 437 de cazuri fiind detectate între 2023 și 2025 în 15 țări din UE/SEE. În cadrul mai multor investigații desfășurate la nivel național, tomatele au fost identificate ca fiind principalul vector de infecție. Detectarea S. Strathcona în probele de apă pentru irigații prelevate dintr-o unitate de producție a tomatelor a confirmat contribuția mediului la contaminarea tomatelor. Aceste constatări subliniază necesitatea unei strategii multidisciplinare care să integreze evaluări de mediu pentru a atenua riscul de contaminare cu </w:t>
      </w:r>
      <w:r w:rsidRPr="003D40C7">
        <w:rPr>
          <w:rFonts w:ascii="Times New Roman" w:hAnsi="Times New Roman"/>
          <w:i/>
          <w:noProof/>
        </w:rPr>
        <w:t>Salmonella</w:t>
      </w:r>
      <w:r w:rsidRPr="003D40C7">
        <w:rPr>
          <w:rFonts w:ascii="Times New Roman" w:hAnsi="Times New Roman"/>
          <w:noProof/>
        </w:rPr>
        <w:t>.</w:t>
      </w:r>
    </w:p>
    <w:p w14:paraId="22FEE65C" w14:textId="77777777" w:rsidR="00351968" w:rsidRPr="003D40C7" w:rsidRDefault="00351968" w:rsidP="00AB54D1">
      <w:pPr>
        <w:spacing w:after="0"/>
        <w:jc w:val="both"/>
        <w:rPr>
          <w:rFonts w:ascii="Times New Roman" w:eastAsia="Times New Roman" w:hAnsi="Times New Roman" w:cs="Times New Roman"/>
          <w:noProof/>
          <w:sz w:val="24"/>
          <w:szCs w:val="24"/>
        </w:rPr>
      </w:pPr>
    </w:p>
    <w:p w14:paraId="4FA72586" w14:textId="0D45600B" w:rsidR="62D65E89" w:rsidRPr="003D40C7" w:rsidRDefault="62D65E89" w:rsidP="006807E6">
      <w:pPr>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sidRPr="003D40C7">
        <w:rPr>
          <w:rFonts w:ascii="Times New Roman" w:hAnsi="Times New Roman"/>
          <w:b/>
          <w:noProof/>
          <w:sz w:val="24"/>
        </w:rPr>
        <w:t>Etapa 3: Răspunsul la o criză sanitară</w:t>
      </w:r>
    </w:p>
    <w:p w14:paraId="1BF2FE41" w14:textId="41EABD5E" w:rsidR="18D1E473" w:rsidRPr="003D40C7" w:rsidRDefault="4EE96355" w:rsidP="4D905D50">
      <w:pPr>
        <w:spacing w:before="240" w:after="120"/>
        <w:jc w:val="both"/>
        <w:rPr>
          <w:rFonts w:ascii="Times New Roman" w:eastAsia="Times New Roman" w:hAnsi="Times New Roman" w:cs="Times New Roman"/>
          <w:noProof/>
          <w:sz w:val="24"/>
          <w:szCs w:val="24"/>
        </w:rPr>
      </w:pPr>
      <w:r w:rsidRPr="003D40C7">
        <w:rPr>
          <w:rFonts w:ascii="Times New Roman" w:hAnsi="Times New Roman"/>
          <w:noProof/>
          <w:sz w:val="24"/>
        </w:rPr>
        <w:t>Răspunsul coordonat și complementar la o amenințare transfrontalieră gravă pentru sănătate este esențial. Următoarele activități contribuie la realizarea acestui obiectiv:</w:t>
      </w:r>
    </w:p>
    <w:p w14:paraId="119B883B" w14:textId="5A28325B" w:rsidR="00220778" w:rsidRPr="003D40C7" w:rsidRDefault="0FE275DC" w:rsidP="00B26F15">
      <w:pPr>
        <w:pStyle w:val="ListParagraph"/>
        <w:numPr>
          <w:ilvl w:val="0"/>
          <w:numId w:val="27"/>
        </w:numPr>
        <w:spacing w:after="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În cadrul </w:t>
      </w:r>
      <w:r w:rsidRPr="003D40C7">
        <w:rPr>
          <w:rFonts w:ascii="Times New Roman" w:hAnsi="Times New Roman"/>
          <w:b/>
          <w:noProof/>
          <w:sz w:val="24"/>
        </w:rPr>
        <w:t>Comitetului pentru securitate sanitară</w:t>
      </w:r>
      <w:r w:rsidRPr="003D40C7">
        <w:rPr>
          <w:rFonts w:ascii="Times New Roman" w:hAnsi="Times New Roman"/>
          <w:noProof/>
          <w:sz w:val="24"/>
        </w:rPr>
        <w:t xml:space="preserve"> (CSS), prezidat de Comisie, statele membre coordonează eforturile de răspuns împreună cu Comisia și cu agențiile și organele UE, inclusiv gestionarea crizelor și măsurile sociale și de sănătate publică.</w:t>
      </w:r>
    </w:p>
    <w:p w14:paraId="33AAAFDF" w14:textId="1085F49A" w:rsidR="18D1E473" w:rsidRPr="003D40C7" w:rsidRDefault="399A3A7A" w:rsidP="00B26F15">
      <w:pPr>
        <w:pStyle w:val="ListParagraph"/>
        <w:numPr>
          <w:ilvl w:val="0"/>
          <w:numId w:val="27"/>
        </w:numPr>
        <w:spacing w:after="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Comisia, cu sprijinul </w:t>
      </w:r>
      <w:r w:rsidRPr="003D40C7">
        <w:rPr>
          <w:rFonts w:ascii="Times New Roman" w:hAnsi="Times New Roman"/>
          <w:b/>
          <w:noProof/>
          <w:sz w:val="24"/>
        </w:rPr>
        <w:t>Consiliului HERA</w:t>
      </w:r>
      <w:r w:rsidRPr="003D40C7">
        <w:rPr>
          <w:rFonts w:ascii="Times New Roman" w:hAnsi="Times New Roman"/>
          <w:noProof/>
          <w:sz w:val="24"/>
        </w:rPr>
        <w:t> (</w:t>
      </w:r>
      <w:r w:rsidRPr="003D40C7">
        <w:rPr>
          <w:rStyle w:val="FootnoteReference"/>
          <w:rFonts w:ascii="Times New Roman" w:eastAsia="Times New Roman" w:hAnsi="Times New Roman" w:cs="Times New Roman"/>
          <w:noProof/>
          <w:sz w:val="24"/>
          <w:szCs w:val="24"/>
        </w:rPr>
        <w:footnoteReference w:id="33"/>
      </w:r>
      <w:r w:rsidRPr="003D40C7">
        <w:rPr>
          <w:rFonts w:ascii="Times New Roman" w:hAnsi="Times New Roman"/>
          <w:noProof/>
          <w:sz w:val="24"/>
        </w:rPr>
        <w:t>), coordonează eforturile în materie de contramăsuri medicale pentru a asigura disponibilitatea și accesibilitatea acestora ca răspuns la o amenințare transfrontalieră gravă pentru sănătate.</w:t>
      </w:r>
    </w:p>
    <w:p w14:paraId="33394333" w14:textId="77777777" w:rsidR="002E7009" w:rsidRPr="003D40C7" w:rsidRDefault="002E7009" w:rsidP="00707CFD">
      <w:pPr>
        <w:pStyle w:val="ListParagraph"/>
        <w:numPr>
          <w:ilvl w:val="0"/>
          <w:numId w:val="27"/>
        </w:numPr>
        <w:jc w:val="both"/>
        <w:rPr>
          <w:rFonts w:ascii="Times New Roman" w:eastAsia="Times New Roman" w:hAnsi="Times New Roman" w:cs="Times New Roman"/>
          <w:noProof/>
          <w:sz w:val="24"/>
          <w:szCs w:val="24"/>
        </w:rPr>
      </w:pPr>
      <w:r w:rsidRPr="003D40C7">
        <w:rPr>
          <w:rFonts w:ascii="Times New Roman" w:hAnsi="Times New Roman"/>
          <w:noProof/>
          <w:sz w:val="24"/>
        </w:rPr>
        <w:t xml:space="preserve">Statele membre asigură </w:t>
      </w:r>
      <w:r w:rsidRPr="003D40C7">
        <w:rPr>
          <w:rFonts w:ascii="Times New Roman" w:hAnsi="Times New Roman"/>
          <w:b/>
          <w:noProof/>
          <w:sz w:val="24"/>
        </w:rPr>
        <w:t>o mai bună conștientizare a situației, comunicarea în situații de risc și de criză</w:t>
      </w:r>
      <w:r w:rsidRPr="003D40C7">
        <w:rPr>
          <w:rFonts w:ascii="Times New Roman" w:hAnsi="Times New Roman"/>
          <w:noProof/>
          <w:sz w:val="24"/>
        </w:rPr>
        <w:t xml:space="preserve">, precum și </w:t>
      </w:r>
      <w:r w:rsidRPr="003D40C7">
        <w:rPr>
          <w:rFonts w:ascii="Times New Roman" w:hAnsi="Times New Roman"/>
          <w:b/>
          <w:noProof/>
          <w:sz w:val="24"/>
        </w:rPr>
        <w:t>cercetarea și fondurile de urgență</w:t>
      </w:r>
      <w:r w:rsidRPr="003D40C7">
        <w:rPr>
          <w:rFonts w:ascii="Times New Roman" w:hAnsi="Times New Roman"/>
          <w:noProof/>
          <w:sz w:val="24"/>
        </w:rPr>
        <w:t xml:space="preserve"> necesare pentru a sprijini eforturile de răspuns.</w:t>
      </w:r>
    </w:p>
    <w:p w14:paraId="352C84BD" w14:textId="77777777" w:rsidR="00653FF4" w:rsidRPr="003D40C7" w:rsidRDefault="00D2480F" w:rsidP="00653FF4">
      <w:pPr>
        <w:pStyle w:val="ListParagraph"/>
        <w:numPr>
          <w:ilvl w:val="0"/>
          <w:numId w:val="27"/>
        </w:numPr>
        <w:spacing w:after="0"/>
        <w:jc w:val="both"/>
        <w:rPr>
          <w:rFonts w:ascii="Times New Roman" w:eastAsia="Times New Roman" w:hAnsi="Times New Roman" w:cs="Times New Roman"/>
          <w:noProof/>
          <w:sz w:val="24"/>
          <w:szCs w:val="24"/>
        </w:rPr>
      </w:pPr>
      <w:r w:rsidRPr="003D40C7">
        <w:rPr>
          <w:rFonts w:ascii="Times New Roman" w:hAnsi="Times New Roman"/>
          <w:noProof/>
          <w:sz w:val="24"/>
        </w:rPr>
        <w:t>În funcție de gravitatea amenințării și de necesitatea și proporționalitatea unor măsuri suplimentare,</w:t>
      </w:r>
      <w:r w:rsidRPr="003D40C7">
        <w:rPr>
          <w:rFonts w:ascii="Times New Roman" w:hAnsi="Times New Roman"/>
          <w:bCs/>
          <w:noProof/>
          <w:sz w:val="24"/>
        </w:rPr>
        <w:t xml:space="preserve"> </w:t>
      </w:r>
      <w:r w:rsidRPr="003D40C7">
        <w:rPr>
          <w:rFonts w:ascii="Times New Roman" w:hAnsi="Times New Roman"/>
          <w:noProof/>
          <w:sz w:val="24"/>
        </w:rPr>
        <w:t>Comisia poate decide să recunoască</w:t>
      </w:r>
      <w:r w:rsidRPr="003D40C7">
        <w:rPr>
          <w:rFonts w:ascii="Times New Roman" w:hAnsi="Times New Roman"/>
          <w:b/>
          <w:noProof/>
          <w:sz w:val="24"/>
        </w:rPr>
        <w:t xml:space="preserve"> o urgență de sănătate publică la nivelul Uniunii</w:t>
      </w:r>
      <w:r w:rsidRPr="003D40C7">
        <w:rPr>
          <w:rFonts w:ascii="Times New Roman" w:hAnsi="Times New Roman"/>
          <w:noProof/>
          <w:sz w:val="24"/>
        </w:rPr>
        <w:t xml:space="preserve">, care deblochează capacități și resurse suplimentare, inclusiv mandate extinse pentru anumite agenții și organe ale UE. </w:t>
      </w:r>
      <w:r w:rsidRPr="003D40C7">
        <w:rPr>
          <w:rFonts w:ascii="Times New Roman" w:hAnsi="Times New Roman"/>
          <w:b/>
          <w:noProof/>
          <w:sz w:val="24"/>
        </w:rPr>
        <w:t>Comitetul consultativ al UE pentru situații de urgență de sănătate publică</w:t>
      </w:r>
      <w:r w:rsidRPr="003D40C7">
        <w:rPr>
          <w:rFonts w:ascii="Times New Roman" w:hAnsi="Times New Roman"/>
          <w:noProof/>
          <w:sz w:val="24"/>
        </w:rPr>
        <w:t xml:space="preserve"> sprijină Comisia, la cererea acesteia, analizând dacă o amenințare constituie o urgență de sănătate publică la nivelul Uniunii.</w:t>
      </w:r>
    </w:p>
    <w:p w14:paraId="0A526DCF" w14:textId="0388EF8E" w:rsidR="00653FF4" w:rsidRPr="003D40C7" w:rsidRDefault="689FC7B1" w:rsidP="00653FF4">
      <w:pPr>
        <w:pStyle w:val="ListParagraph"/>
        <w:numPr>
          <w:ilvl w:val="0"/>
          <w:numId w:val="27"/>
        </w:numPr>
        <w:spacing w:after="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În cadrul </w:t>
      </w:r>
      <w:r w:rsidRPr="003D40C7">
        <w:rPr>
          <w:rFonts w:ascii="Times New Roman" w:hAnsi="Times New Roman"/>
          <w:b/>
          <w:noProof/>
          <w:sz w:val="24"/>
        </w:rPr>
        <w:t>Consiliului de criză sanitară</w:t>
      </w:r>
      <w:r w:rsidRPr="003D40C7">
        <w:rPr>
          <w:rFonts w:ascii="Times New Roman" w:hAnsi="Times New Roman"/>
          <w:noProof/>
          <w:sz w:val="24"/>
        </w:rPr>
        <w:t xml:space="preserve">, coprezidat de Comisie și de președinția prin rotație a Consiliului, Consiliul, Comisia, organele, oficiile și agențiile relevante ale UE și statele membre își coordonează eforturile pentru a asigura furnizarea </w:t>
      </w:r>
      <w:r w:rsidRPr="003D40C7">
        <w:rPr>
          <w:rFonts w:ascii="Cambria" w:hAnsi="Cambria"/>
          <w:noProof/>
          <w:sz w:val="24"/>
        </w:rPr>
        <w:t xml:space="preserve">contramăsurilor medicale </w:t>
      </w:r>
      <w:r w:rsidRPr="003D40C7">
        <w:rPr>
          <w:rFonts w:ascii="Times New Roman" w:hAnsi="Times New Roman"/>
          <w:noProof/>
          <w:sz w:val="24"/>
        </w:rPr>
        <w:t xml:space="preserve">necesare în situații de criză și accesul la acestea. Consiliul de criză sanitară se instituie în cazul în care este recunoscută o urgență de sănătate publică la nivelul Uniunii și în cazul în care Consiliul </w:t>
      </w:r>
      <w:r w:rsidRPr="003D40C7">
        <w:rPr>
          <w:rFonts w:ascii="Times New Roman" w:hAnsi="Times New Roman"/>
          <w:b/>
          <w:noProof/>
          <w:sz w:val="24"/>
        </w:rPr>
        <w:t>activează cadrul de măsuri de urgență</w:t>
      </w:r>
      <w:r w:rsidRPr="003D40C7">
        <w:rPr>
          <w:rFonts w:ascii="Times New Roman" w:hAnsi="Times New Roman"/>
          <w:noProof/>
          <w:sz w:val="24"/>
        </w:rPr>
        <w:t> (</w:t>
      </w:r>
      <w:r w:rsidRPr="003D40C7">
        <w:rPr>
          <w:rStyle w:val="FootnoteReference"/>
          <w:rFonts w:ascii="Times New Roman" w:eastAsia="Times New Roman" w:hAnsi="Times New Roman" w:cs="Times New Roman"/>
          <w:noProof/>
          <w:sz w:val="24"/>
          <w:szCs w:val="24"/>
        </w:rPr>
        <w:footnoteReference w:id="34"/>
      </w:r>
      <w:r w:rsidRPr="003D40C7">
        <w:rPr>
          <w:rFonts w:ascii="Times New Roman" w:hAnsi="Times New Roman"/>
          <w:noProof/>
          <w:sz w:val="24"/>
        </w:rPr>
        <w:t xml:space="preserve">). </w:t>
      </w:r>
    </w:p>
    <w:p w14:paraId="205F3DF0" w14:textId="3BEA9BF9" w:rsidR="18D1E473" w:rsidRPr="003D40C7" w:rsidRDefault="3BFF174A" w:rsidP="00B26F15">
      <w:pPr>
        <w:pStyle w:val="ListParagraph"/>
        <w:numPr>
          <w:ilvl w:val="0"/>
          <w:numId w:val="27"/>
        </w:numPr>
        <w:spacing w:after="0"/>
        <w:jc w:val="both"/>
        <w:rPr>
          <w:rFonts w:ascii="Times New Roman" w:eastAsia="Times New Roman" w:hAnsi="Times New Roman" w:cs="Times New Roman"/>
          <w:noProof/>
        </w:rPr>
      </w:pPr>
      <w:r w:rsidRPr="003D40C7">
        <w:rPr>
          <w:rFonts w:ascii="Times New Roman" w:hAnsi="Times New Roman"/>
          <w:noProof/>
          <w:sz w:val="24"/>
        </w:rPr>
        <w:t xml:space="preserve">Statele membre, cu sprijinul Comisiei, garantează continuitatea îngrijirii și a asistenței la nivel transfrontalier, de la </w:t>
      </w:r>
      <w:r w:rsidRPr="003D40C7">
        <w:rPr>
          <w:rFonts w:ascii="Times New Roman" w:hAnsi="Times New Roman"/>
          <w:b/>
          <w:noProof/>
          <w:sz w:val="24"/>
        </w:rPr>
        <w:t>evacuări medicale</w:t>
      </w:r>
      <w:r w:rsidRPr="003D40C7">
        <w:rPr>
          <w:rFonts w:ascii="Times New Roman" w:hAnsi="Times New Roman"/>
          <w:noProof/>
          <w:sz w:val="24"/>
        </w:rPr>
        <w:t xml:space="preserve"> la furnizarea de asistență medicală în natură (inclusiv contramăsuri și echipamente medicale) și </w:t>
      </w:r>
      <w:r w:rsidRPr="003D40C7">
        <w:rPr>
          <w:rFonts w:ascii="Times New Roman" w:hAnsi="Times New Roman"/>
          <w:b/>
          <w:noProof/>
          <w:sz w:val="24"/>
        </w:rPr>
        <w:t>urmărirea contacților</w:t>
      </w:r>
      <w:r w:rsidRPr="003D40C7">
        <w:rPr>
          <w:rFonts w:ascii="Segoe UI" w:hAnsi="Segoe UI"/>
          <w:b/>
          <w:noProof/>
          <w:sz w:val="18"/>
        </w:rPr>
        <w:t xml:space="preserve"> </w:t>
      </w:r>
      <w:r w:rsidRPr="003D40C7">
        <w:rPr>
          <w:rFonts w:ascii="Times New Roman" w:hAnsi="Times New Roman"/>
          <w:b/>
          <w:noProof/>
          <w:sz w:val="24"/>
        </w:rPr>
        <w:t xml:space="preserve">între statele membre, </w:t>
      </w:r>
      <w:r w:rsidRPr="003D40C7">
        <w:rPr>
          <w:rFonts w:ascii="Times New Roman" w:hAnsi="Times New Roman"/>
          <w:noProof/>
          <w:sz w:val="24"/>
        </w:rPr>
        <w:t>conectându-se în același timp la mecanismele mai ample ale UE de gestionare a crizelor,</w:t>
      </w:r>
      <w:r w:rsidRPr="003D40C7">
        <w:rPr>
          <w:noProof/>
        </w:rPr>
        <w:t xml:space="preserve"> </w:t>
      </w:r>
      <w:r w:rsidRPr="003D40C7">
        <w:rPr>
          <w:rFonts w:ascii="Times New Roman" w:hAnsi="Times New Roman"/>
          <w:noProof/>
          <w:sz w:val="24"/>
        </w:rPr>
        <w:t xml:space="preserve">gestionate de Comisie, cum ar fi </w:t>
      </w:r>
      <w:r w:rsidRPr="003D40C7">
        <w:rPr>
          <w:rFonts w:ascii="Times New Roman" w:hAnsi="Times New Roman"/>
          <w:b/>
          <w:noProof/>
          <w:sz w:val="24"/>
        </w:rPr>
        <w:t>mecanismul de protecție civilă al Uniunii</w:t>
      </w:r>
      <w:r w:rsidRPr="003D40C7">
        <w:rPr>
          <w:rFonts w:ascii="Times New Roman" w:hAnsi="Times New Roman"/>
          <w:noProof/>
          <w:sz w:val="24"/>
        </w:rPr>
        <w:t xml:space="preserve"> (UCPM) și </w:t>
      </w:r>
      <w:r w:rsidRPr="003D40C7">
        <w:rPr>
          <w:rFonts w:ascii="Times New Roman" w:hAnsi="Times New Roman"/>
          <w:b/>
          <w:noProof/>
          <w:sz w:val="24"/>
        </w:rPr>
        <w:t>ReliefEU</w:t>
      </w:r>
      <w:r w:rsidRPr="003D40C7">
        <w:rPr>
          <w:rFonts w:ascii="Times New Roman" w:hAnsi="Times New Roman"/>
          <w:noProof/>
          <w:sz w:val="24"/>
        </w:rPr>
        <w:t> (</w:t>
      </w:r>
      <w:r w:rsidRPr="003D40C7">
        <w:rPr>
          <w:rStyle w:val="FootnoteReference"/>
          <w:rFonts w:ascii="Times New Roman" w:eastAsia="Times New Roman" w:hAnsi="Times New Roman" w:cs="Times New Roman"/>
          <w:noProof/>
          <w:sz w:val="24"/>
          <w:szCs w:val="24"/>
        </w:rPr>
        <w:footnoteReference w:id="35"/>
      </w:r>
      <w:r w:rsidRPr="003D40C7">
        <w:rPr>
          <w:rFonts w:ascii="Times New Roman" w:hAnsi="Times New Roman"/>
          <w:noProof/>
          <w:sz w:val="24"/>
        </w:rPr>
        <w:t xml:space="preserve">), precum și </w:t>
      </w:r>
      <w:r w:rsidRPr="003D40C7">
        <w:rPr>
          <w:rFonts w:ascii="Times New Roman" w:hAnsi="Times New Roman"/>
          <w:b/>
          <w:noProof/>
          <w:sz w:val="24"/>
        </w:rPr>
        <w:t>mecanismul integrat al Consiliului pentru un răspuns politic la crize</w:t>
      </w:r>
      <w:r w:rsidRPr="003D40C7">
        <w:rPr>
          <w:rFonts w:ascii="Times New Roman" w:hAnsi="Times New Roman"/>
          <w:noProof/>
          <w:sz w:val="24"/>
        </w:rPr>
        <w:t xml:space="preserve"> (IPCR) (</w:t>
      </w:r>
      <w:r w:rsidRPr="003D40C7">
        <w:rPr>
          <w:rStyle w:val="FootnoteReference"/>
          <w:rFonts w:ascii="Times New Roman" w:eastAsia="Times New Roman" w:hAnsi="Times New Roman" w:cs="Times New Roman"/>
          <w:noProof/>
          <w:sz w:val="24"/>
          <w:szCs w:val="24"/>
        </w:rPr>
        <w:footnoteReference w:id="36"/>
      </w:r>
      <w:r w:rsidRPr="003D40C7">
        <w:rPr>
          <w:rFonts w:ascii="Times New Roman" w:hAnsi="Times New Roman"/>
          <w:noProof/>
          <w:sz w:val="24"/>
        </w:rPr>
        <w:t>).</w:t>
      </w:r>
    </w:p>
    <w:p w14:paraId="7E70E4AC" w14:textId="2D95DC9C" w:rsidR="00186C13" w:rsidRPr="003D40C7" w:rsidRDefault="3587CDC4" w:rsidP="672E3538">
      <w:pPr>
        <w:pStyle w:val="ListParagraph"/>
        <w:numPr>
          <w:ilvl w:val="0"/>
          <w:numId w:val="27"/>
        </w:numPr>
        <w:spacing w:after="36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Dacă situația justifică acest lucru, Comisia poate introduce </w:t>
      </w:r>
      <w:r w:rsidRPr="003D40C7">
        <w:rPr>
          <w:rFonts w:ascii="Times New Roman" w:hAnsi="Times New Roman"/>
          <w:b/>
          <w:noProof/>
          <w:sz w:val="24"/>
        </w:rPr>
        <w:t>restricții temporare de călătorie și controale la frontierele interne</w:t>
      </w:r>
      <w:r w:rsidRPr="003D40C7">
        <w:rPr>
          <w:rFonts w:ascii="Times New Roman" w:hAnsi="Times New Roman"/>
          <w:noProof/>
          <w:sz w:val="24"/>
        </w:rPr>
        <w:t>, în conformitate cu Codul frontierelor Schengen revizuit (</w:t>
      </w:r>
      <w:r w:rsidRPr="003D40C7">
        <w:rPr>
          <w:rStyle w:val="FootnoteReference"/>
          <w:rFonts w:ascii="Times New Roman" w:eastAsia="Times New Roman" w:hAnsi="Times New Roman" w:cs="Times New Roman"/>
          <w:noProof/>
          <w:sz w:val="24"/>
          <w:szCs w:val="24"/>
        </w:rPr>
        <w:footnoteReference w:id="37"/>
      </w:r>
      <w:r w:rsidRPr="003D40C7">
        <w:rPr>
          <w:rFonts w:ascii="Times New Roman" w:hAnsi="Times New Roman"/>
          <w:noProof/>
          <w:sz w:val="24"/>
        </w:rPr>
        <w:t xml:space="preserve">). Măsurile suplimentare ar putea include </w:t>
      </w:r>
      <w:r w:rsidRPr="003D40C7">
        <w:rPr>
          <w:rFonts w:ascii="Times New Roman" w:hAnsi="Times New Roman"/>
          <w:b/>
          <w:noProof/>
          <w:sz w:val="24"/>
        </w:rPr>
        <w:t>mecanisme de control al exporturilor</w:t>
      </w:r>
      <w:r w:rsidRPr="003D40C7">
        <w:rPr>
          <w:rFonts w:ascii="Times New Roman" w:hAnsi="Times New Roman"/>
          <w:noProof/>
          <w:sz w:val="24"/>
        </w:rPr>
        <w:t xml:space="preserve"> în cadrul cărora autoritățile vamale să contribuie la asigurarea furnizării de contramăsuri medicale esențiale prin facilitarea importului acestora și, dacă este necesar, prin restricționarea exportului lor în timpul unei crize.</w:t>
      </w:r>
    </w:p>
    <w:p w14:paraId="1FC4B925" w14:textId="60766D46" w:rsidR="00F32C0F" w:rsidRPr="003D40C7" w:rsidRDefault="2D57DCD6" w:rsidP="15B5A4C9">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rPr>
          <w:rFonts w:ascii="Times New Roman" w:hAnsi="Times New Roman" w:cs="Times New Roman"/>
          <w:b/>
          <w:bCs/>
          <w:noProof/>
        </w:rPr>
      </w:pPr>
      <w:r w:rsidRPr="003D40C7">
        <w:rPr>
          <w:rFonts w:ascii="Times New Roman" w:hAnsi="Times New Roman"/>
          <w:b/>
          <w:noProof/>
        </w:rPr>
        <w:t>Răspunsul în acțiune: mecanismul integrat pentru un răspuns politic la crize (IPCR)</w:t>
      </w:r>
    </w:p>
    <w:p w14:paraId="19CF2FB8" w14:textId="575C361E" w:rsidR="006C50A2" w:rsidRPr="003D40C7" w:rsidRDefault="60EE144E" w:rsidP="134A9F7A">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3D40C7">
        <w:rPr>
          <w:rFonts w:ascii="Times New Roman" w:hAnsi="Times New Roman"/>
          <w:b/>
          <w:noProof/>
        </w:rPr>
        <w:t xml:space="preserve">IPCR </w:t>
      </w:r>
      <w:r w:rsidRPr="003D40C7">
        <w:rPr>
          <w:rFonts w:ascii="Times New Roman" w:hAnsi="Times New Roman"/>
          <w:noProof/>
        </w:rPr>
        <w:t xml:space="preserve">al Consiliului Uniunii Europene (Consiliul) este mecanismul central al UE pentru un proces decizional rapid și coordonat la nivelul politic al UE ca răspuns la crize majore sau complexe. Prezidat de președinția Consiliului, IPCR poate fi adaptat în funcție de gravitatea crizei. Într-o situație de urgență sanitară, Comitetul pentru securitate sanitară (CSS) și Consiliul de criză sanitară colaborează îndeaproape cu IPCR pentru a se asigura că coordonarea politică la nivelul UE este sprijinită de expertiza în materie de sănătate publică și de contribuțiile operaționale din partea statelor membre, de exemplu prin schimbul de informații, avize și orientări. De exemplu, în timpul pandemiei de COVID-19, peste 100 de </w:t>
      </w:r>
      <w:r w:rsidRPr="003D40C7">
        <w:rPr>
          <w:rFonts w:ascii="Times New Roman" w:hAnsi="Times New Roman"/>
          <w:b/>
          <w:noProof/>
        </w:rPr>
        <w:t>rapoarte privind analiza și conștientizarea integrată a situației (ISAA)</w:t>
      </w:r>
      <w:r w:rsidRPr="003D40C7">
        <w:rPr>
          <w:rFonts w:ascii="Times New Roman" w:hAnsi="Times New Roman"/>
          <w:noProof/>
        </w:rPr>
        <w:t xml:space="preserve"> au fost elaborate de Comisie cu contribuții din partea statelor membre, a agențiilor UE, a reprezentanțelor și a delegațiilor UE, cu scopul de a oferi factorilor de decizie o imagine clară a situației.</w:t>
      </w:r>
    </w:p>
    <w:p w14:paraId="2EE8B8DC" w14:textId="21354649" w:rsidR="00F32C0F" w:rsidRPr="003D40C7" w:rsidRDefault="00F32C0F" w:rsidP="00AD3069">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jc w:val="both"/>
        <w:rPr>
          <w:rFonts w:ascii="Times New Roman" w:hAnsi="Times New Roman" w:cs="Times New Roman"/>
          <w:b/>
          <w:bCs/>
          <w:noProof/>
        </w:rPr>
      </w:pPr>
      <w:r w:rsidRPr="003D40C7">
        <w:rPr>
          <w:rFonts w:ascii="Times New Roman" w:hAnsi="Times New Roman"/>
          <w:b/>
          <w:noProof/>
        </w:rPr>
        <w:t>Exemplu practic: Alinierea dintre IPCR și CSS în ceea ce privește răspunsul la pandemia de COVID-19</w:t>
      </w:r>
    </w:p>
    <w:p w14:paraId="0D9A3809" w14:textId="3CEC93C9" w:rsidR="00E65499" w:rsidRPr="003D40C7" w:rsidRDefault="41BE17C3"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3D40C7">
        <w:rPr>
          <w:rFonts w:ascii="Times New Roman" w:hAnsi="Times New Roman"/>
          <w:noProof/>
        </w:rPr>
        <w:t xml:space="preserve">În timpul pandemiei de COVID-19, Comisia a transmis către IPCR rapoarte periodice privind deliberările CSS. De exemplu, în ianuarie 2023, IPCR a adoptat aceeași poziție ca CSS în ceea ce privește creșterea bruscă a numărului de cazuri de COVID-19 în China, astfel cum se menționează în </w:t>
      </w:r>
      <w:r w:rsidRPr="003D40C7">
        <w:rPr>
          <w:rFonts w:ascii="Times New Roman" w:hAnsi="Times New Roman"/>
          <w:i/>
          <w:noProof/>
        </w:rPr>
        <w:t>Avizul CSS privind o abordare comună a UE ca răspuns la situația provocată de pandemia de COVID-19 în China</w:t>
      </w:r>
      <w:r w:rsidRPr="003D40C7">
        <w:rPr>
          <w:rFonts w:ascii="Times New Roman" w:hAnsi="Times New Roman"/>
          <w:noProof/>
        </w:rPr>
        <w:t> (</w:t>
      </w:r>
      <w:r w:rsidRPr="003D40C7">
        <w:rPr>
          <w:rStyle w:val="FootnoteReference"/>
          <w:rFonts w:ascii="Times New Roman" w:hAnsi="Times New Roman" w:cs="Times New Roman"/>
          <w:noProof/>
        </w:rPr>
        <w:footnoteReference w:id="38"/>
      </w:r>
      <w:r w:rsidRPr="003D40C7">
        <w:rPr>
          <w:rFonts w:ascii="Times New Roman" w:hAnsi="Times New Roman"/>
          <w:noProof/>
        </w:rPr>
        <w:t>).</w:t>
      </w:r>
    </w:p>
    <w:p w14:paraId="69DEDD0B" w14:textId="77777777" w:rsidR="00F32C0F" w:rsidRPr="003D40C7" w:rsidRDefault="00F32C0F" w:rsidP="006A426A">
      <w:pPr>
        <w:spacing w:after="0"/>
        <w:jc w:val="both"/>
        <w:rPr>
          <w:rFonts w:ascii="Times New Roman" w:hAnsi="Times New Roman" w:cs="Times New Roman"/>
          <w:noProof/>
          <w:sz w:val="2"/>
          <w:szCs w:val="2"/>
        </w:rPr>
      </w:pPr>
    </w:p>
    <w:p w14:paraId="736F4CC8" w14:textId="77777777" w:rsidR="007800AF" w:rsidRPr="003D40C7" w:rsidRDefault="007800AF" w:rsidP="006A426A">
      <w:pPr>
        <w:spacing w:after="0"/>
        <w:jc w:val="both"/>
        <w:rPr>
          <w:rFonts w:ascii="Times New Roman" w:hAnsi="Times New Roman" w:cs="Times New Roman"/>
          <w:noProof/>
          <w:sz w:val="2"/>
          <w:szCs w:val="2"/>
        </w:rPr>
      </w:pPr>
    </w:p>
    <w:p w14:paraId="5A4139CE" w14:textId="13537BD7" w:rsidR="007800AF" w:rsidRPr="003D40C7" w:rsidRDefault="007800AF">
      <w:pPr>
        <w:rPr>
          <w:rFonts w:ascii="Times New Roman" w:hAnsi="Times New Roman" w:cs="Times New Roman"/>
          <w:noProof/>
          <w:sz w:val="2"/>
          <w:szCs w:val="2"/>
        </w:rPr>
      </w:pPr>
      <w:r w:rsidRPr="003D40C7">
        <w:rPr>
          <w:noProof/>
        </w:rPr>
        <w:br w:type="page"/>
      </w:r>
    </w:p>
    <w:p w14:paraId="1E9357C0" w14:textId="52FDB057" w:rsidR="62D65E89" w:rsidRPr="003D40C7" w:rsidRDefault="62D65E89" w:rsidP="009C1964">
      <w:pPr>
        <w:keepNex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imes New Roman" w:hAnsi="Times New Roman" w:cs="Times New Roman"/>
          <w:b/>
          <w:bCs/>
          <w:noProof/>
          <w:sz w:val="24"/>
          <w:szCs w:val="24"/>
        </w:rPr>
      </w:pPr>
      <w:r w:rsidRPr="003D40C7">
        <w:rPr>
          <w:rFonts w:ascii="Times New Roman" w:hAnsi="Times New Roman"/>
          <w:b/>
          <w:noProof/>
          <w:sz w:val="24"/>
        </w:rPr>
        <w:t>Etapa 4: Redresarea în urma unei crize sanitare</w:t>
      </w:r>
    </w:p>
    <w:p w14:paraId="6D4AA669" w14:textId="79E12C0C" w:rsidR="7A486A92" w:rsidRPr="003D40C7" w:rsidRDefault="0A10E0DD" w:rsidP="00396873">
      <w:pPr>
        <w:spacing w:before="240" w:after="120"/>
        <w:jc w:val="both"/>
        <w:rPr>
          <w:rFonts w:ascii="Times New Roman" w:eastAsia="Times New Roman" w:hAnsi="Times New Roman" w:cs="Times New Roman"/>
          <w:noProof/>
          <w:sz w:val="24"/>
          <w:szCs w:val="24"/>
        </w:rPr>
      </w:pPr>
      <w:r w:rsidRPr="003D40C7">
        <w:rPr>
          <w:rFonts w:ascii="Times New Roman" w:hAnsi="Times New Roman"/>
          <w:noProof/>
          <w:sz w:val="24"/>
        </w:rPr>
        <w:t>Redresarea în urma crizelor sanitare și desprinderea de învățăminte sunt esențiale pentru refacerea comunităților și prevenirea crizelor viitoare. Aceasta implică:</w:t>
      </w:r>
    </w:p>
    <w:p w14:paraId="7623054A" w14:textId="159042A7" w:rsidR="7A486A92" w:rsidRPr="003D40C7" w:rsidRDefault="008B488E" w:rsidP="00B26F15">
      <w:pPr>
        <w:pStyle w:val="ListParagraph"/>
        <w:numPr>
          <w:ilvl w:val="0"/>
          <w:numId w:val="26"/>
        </w:numPr>
        <w:spacing w:after="0"/>
        <w:jc w:val="both"/>
        <w:rPr>
          <w:rFonts w:ascii="Times New Roman" w:eastAsia="Times New Roman" w:hAnsi="Times New Roman" w:cs="Times New Roman"/>
          <w:noProof/>
        </w:rPr>
      </w:pPr>
      <w:r w:rsidRPr="003D40C7">
        <w:rPr>
          <w:rFonts w:ascii="Times New Roman" w:hAnsi="Times New Roman"/>
          <w:noProof/>
          <w:sz w:val="24"/>
        </w:rPr>
        <w:t xml:space="preserve">efectuarea de analize </w:t>
      </w:r>
      <w:r w:rsidRPr="003D40C7">
        <w:rPr>
          <w:rFonts w:ascii="Times New Roman" w:hAnsi="Times New Roman"/>
          <w:b/>
          <w:noProof/>
          <w:sz w:val="24"/>
        </w:rPr>
        <w:t>în timpul acțiunilor și după finalizarea acestora</w:t>
      </w:r>
      <w:r w:rsidRPr="003D40C7">
        <w:rPr>
          <w:rFonts w:ascii="Times New Roman" w:hAnsi="Times New Roman"/>
          <w:noProof/>
          <w:sz w:val="24"/>
        </w:rPr>
        <w:t xml:space="preserve"> pentru a învăța din fiecare criză sanitară;</w:t>
      </w:r>
    </w:p>
    <w:p w14:paraId="1CF0972E" w14:textId="359D5767" w:rsidR="7A486A92" w:rsidRPr="003D40C7" w:rsidRDefault="1DE268EF" w:rsidP="00B26F15">
      <w:pPr>
        <w:pStyle w:val="ListParagraph"/>
        <w:numPr>
          <w:ilvl w:val="0"/>
          <w:numId w:val="26"/>
        </w:numPr>
        <w:spacing w:after="0"/>
        <w:jc w:val="both"/>
        <w:rPr>
          <w:rFonts w:ascii="Times New Roman" w:eastAsia="Times New Roman" w:hAnsi="Times New Roman" w:cs="Times New Roman"/>
          <w:noProof/>
        </w:rPr>
      </w:pPr>
      <w:r w:rsidRPr="003D40C7">
        <w:rPr>
          <w:rFonts w:ascii="Times New Roman" w:hAnsi="Times New Roman"/>
          <w:noProof/>
          <w:sz w:val="24"/>
        </w:rPr>
        <w:t xml:space="preserve">transformarea lecțiilor învățate în </w:t>
      </w:r>
      <w:r w:rsidRPr="003D40C7">
        <w:rPr>
          <w:rFonts w:ascii="Times New Roman" w:hAnsi="Times New Roman"/>
          <w:b/>
          <w:noProof/>
          <w:sz w:val="24"/>
        </w:rPr>
        <w:t>reforme strategice</w:t>
      </w:r>
      <w:r w:rsidRPr="003D40C7">
        <w:rPr>
          <w:rFonts w:ascii="Times New Roman" w:hAnsi="Times New Roman"/>
          <w:noProof/>
          <w:sz w:val="24"/>
        </w:rPr>
        <w:t xml:space="preserve">, </w:t>
      </w:r>
      <w:r w:rsidRPr="003D40C7">
        <w:rPr>
          <w:rFonts w:ascii="Times New Roman" w:hAnsi="Times New Roman"/>
          <w:b/>
          <w:noProof/>
          <w:sz w:val="24"/>
        </w:rPr>
        <w:t>cadre juridice actualizate</w:t>
      </w:r>
      <w:r w:rsidRPr="003D40C7">
        <w:rPr>
          <w:rFonts w:ascii="Times New Roman" w:hAnsi="Times New Roman"/>
          <w:noProof/>
          <w:sz w:val="24"/>
        </w:rPr>
        <w:t xml:space="preserve"> și </w:t>
      </w:r>
      <w:r w:rsidRPr="003D40C7">
        <w:rPr>
          <w:rFonts w:ascii="Times New Roman" w:hAnsi="Times New Roman"/>
          <w:b/>
          <w:noProof/>
          <w:sz w:val="24"/>
        </w:rPr>
        <w:t>planuri de pregătire îmbunătățite</w:t>
      </w:r>
      <w:r w:rsidRPr="003D40C7">
        <w:rPr>
          <w:rFonts w:ascii="Times New Roman" w:hAnsi="Times New Roman"/>
          <w:noProof/>
          <w:sz w:val="24"/>
        </w:rPr>
        <w:t>, inclusiv sisteme de sănătate mai reziliente;</w:t>
      </w:r>
    </w:p>
    <w:p w14:paraId="585BF22E" w14:textId="681A8FCF" w:rsidR="7A486A92" w:rsidRPr="003D40C7" w:rsidRDefault="00190FAF" w:rsidP="00B26F15">
      <w:pPr>
        <w:pStyle w:val="ListParagraph"/>
        <w:numPr>
          <w:ilvl w:val="0"/>
          <w:numId w:val="26"/>
        </w:numPr>
        <w:spacing w:after="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evaluarea eficacității și a impactului politicilor de răspuns la crize și de redresare cu ajutorul unor experți independenți, cum ar fi </w:t>
      </w:r>
      <w:r w:rsidRPr="003D40C7">
        <w:rPr>
          <w:rFonts w:ascii="Times New Roman" w:hAnsi="Times New Roman"/>
          <w:b/>
          <w:noProof/>
          <w:sz w:val="24"/>
        </w:rPr>
        <w:t>Mecanismul de consiliere științifică (MCS)</w:t>
      </w:r>
      <w:r w:rsidRPr="003D40C7">
        <w:rPr>
          <w:rFonts w:ascii="Times New Roman" w:hAnsi="Times New Roman"/>
          <w:noProof/>
          <w:sz w:val="24"/>
        </w:rPr>
        <w:t xml:space="preserve"> și auditurile efectuate de </w:t>
      </w:r>
      <w:r w:rsidRPr="003D40C7">
        <w:rPr>
          <w:rFonts w:ascii="Times New Roman" w:hAnsi="Times New Roman"/>
          <w:b/>
          <w:noProof/>
          <w:sz w:val="24"/>
        </w:rPr>
        <w:t>Curtea de Conturi Europeană</w:t>
      </w:r>
      <w:r w:rsidRPr="003D40C7">
        <w:rPr>
          <w:rFonts w:ascii="Times New Roman" w:hAnsi="Times New Roman"/>
          <w:noProof/>
          <w:sz w:val="24"/>
        </w:rPr>
        <w:t>;</w:t>
      </w:r>
    </w:p>
    <w:p w14:paraId="7CDA32A9" w14:textId="19FD31F0" w:rsidR="00095798" w:rsidRPr="003D40C7" w:rsidRDefault="00F313AB" w:rsidP="00476272">
      <w:pPr>
        <w:pStyle w:val="ListParagraph"/>
        <w:numPr>
          <w:ilvl w:val="0"/>
          <w:numId w:val="26"/>
        </w:numPr>
        <w:spacing w:after="36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promovarea transparenței și a încrederii prin </w:t>
      </w:r>
      <w:r w:rsidRPr="003D40C7">
        <w:rPr>
          <w:rFonts w:ascii="Times New Roman" w:hAnsi="Times New Roman"/>
          <w:b/>
          <w:noProof/>
          <w:sz w:val="24"/>
        </w:rPr>
        <w:t>comunicarea</w:t>
      </w:r>
      <w:r w:rsidRPr="003D40C7">
        <w:rPr>
          <w:rFonts w:ascii="Times New Roman" w:hAnsi="Times New Roman"/>
          <w:noProof/>
          <w:sz w:val="24"/>
        </w:rPr>
        <w:t xml:space="preserve"> clară cu privire la ceea ce a funcționat, ceea ce poate fi îmbunătățit și ceea ce trebuie să se schimbe;</w:t>
      </w:r>
    </w:p>
    <w:p w14:paraId="6156B992" w14:textId="3C0FB0E6" w:rsidR="003205EB" w:rsidRPr="003D40C7" w:rsidRDefault="064057D3" w:rsidP="00476272">
      <w:pPr>
        <w:pStyle w:val="ListParagraph"/>
        <w:numPr>
          <w:ilvl w:val="0"/>
          <w:numId w:val="26"/>
        </w:numPr>
        <w:spacing w:after="360"/>
        <w:jc w:val="both"/>
        <w:rPr>
          <w:rFonts w:ascii="Times New Roman" w:eastAsia="Times New Roman" w:hAnsi="Times New Roman" w:cs="Times New Roman"/>
          <w:noProof/>
          <w:sz w:val="24"/>
          <w:szCs w:val="24"/>
        </w:rPr>
      </w:pPr>
      <w:r w:rsidRPr="003D40C7">
        <w:rPr>
          <w:rFonts w:ascii="Times New Roman" w:hAnsi="Times New Roman"/>
          <w:noProof/>
          <w:sz w:val="24"/>
        </w:rPr>
        <w:t xml:space="preserve">luarea în considerare a impactului social și economic asupra grupurilor afectate în mod disproporționat de crizele sanitare și identificarea unor modalități de consolidare a echității și a unei abordări favorabile incluziunii. </w:t>
      </w:r>
    </w:p>
    <w:p w14:paraId="5CFADEFA" w14:textId="0B5BB3D5" w:rsidR="008C29DD" w:rsidRPr="003D40C7" w:rsidRDefault="18A0E3D2"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b/>
          <w:bCs/>
          <w:noProof/>
        </w:rPr>
      </w:pPr>
      <w:r w:rsidRPr="003D40C7">
        <w:rPr>
          <w:rFonts w:ascii="Times New Roman" w:hAnsi="Times New Roman"/>
          <w:b/>
          <w:noProof/>
        </w:rPr>
        <w:t>Redresarea în acțiune: Consolidarea securității sanitare a UE pe baza lecțiilor învățate în urma pandemiei de COVID-19</w:t>
      </w:r>
    </w:p>
    <w:p w14:paraId="50533EBA" w14:textId="5F27905B" w:rsidR="008C29DD" w:rsidRPr="003D40C7" w:rsidRDefault="144AB972"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imes New Roman" w:hAnsi="Times New Roman" w:cs="Times New Roman"/>
          <w:noProof/>
        </w:rPr>
      </w:pPr>
      <w:r w:rsidRPr="003D40C7">
        <w:rPr>
          <w:rFonts w:ascii="Times New Roman" w:hAnsi="Times New Roman"/>
          <w:noProof/>
        </w:rPr>
        <w:t xml:space="preserve">Pe baza lecțiilor învățate în urma pandemiei de COVID-19, Comisia a actualizat legislația privind </w:t>
      </w:r>
      <w:r w:rsidRPr="003D40C7">
        <w:rPr>
          <w:rFonts w:ascii="Times New Roman" w:hAnsi="Times New Roman"/>
          <w:b/>
          <w:noProof/>
        </w:rPr>
        <w:t>amenințările transfrontaliere grave pentru sănătate</w:t>
      </w:r>
      <w:r w:rsidRPr="003D40C7">
        <w:rPr>
          <w:rFonts w:ascii="Times New Roman" w:hAnsi="Times New Roman"/>
          <w:noProof/>
        </w:rPr>
        <w:t xml:space="preserve">. Această actualizare instituie un sistem mai solid de prevenire, supraveghere, alertă timpurie și răspuns atât la nivelul UE, cât și la nivel național și asigură o coordonare mai rapidă, un schimb de informații îmbunătățit și acțiuni comune în situații de urgență. </w:t>
      </w:r>
      <w:r w:rsidRPr="003D40C7">
        <w:rPr>
          <w:rFonts w:ascii="Times New Roman" w:hAnsi="Times New Roman"/>
          <w:b/>
          <w:noProof/>
        </w:rPr>
        <w:t>HERA</w:t>
      </w:r>
      <w:r w:rsidRPr="003D40C7">
        <w:rPr>
          <w:rFonts w:ascii="Times New Roman" w:hAnsi="Times New Roman"/>
          <w:noProof/>
        </w:rPr>
        <w:t xml:space="preserve"> a fost înființată ca serviciu al Comisiei pentru a consolida capacitatea UE de a preveni, a detecta și a răspunde rapid la urgențele sanitare transfrontaliere prin asigurarea dezvoltării, fabricării, achizițiilor publice și distribuirii echitabile de contramăsuri medicale esențiale. Mandatele principalelor agenții ale UE au fost, de asemenea, consolidate: (i) </w:t>
      </w:r>
      <w:r w:rsidRPr="003D40C7">
        <w:rPr>
          <w:rFonts w:ascii="Times New Roman" w:hAnsi="Times New Roman"/>
          <w:b/>
          <w:noProof/>
        </w:rPr>
        <w:t>ECDC</w:t>
      </w:r>
      <w:r w:rsidRPr="003D40C7">
        <w:rPr>
          <w:rFonts w:ascii="Times New Roman" w:hAnsi="Times New Roman"/>
          <w:noProof/>
        </w:rPr>
        <w:t xml:space="preserve"> dispune în prezent de competențe sporite în ceea ce privește supravegherea, evaluarea riscurilor și crearea unei rețele de laboratoare de referință ale UE pentru sănătatea publică, sprijinind o mai bună planificare a pregătirii și a răspunsului în toate statele membre și (ii) </w:t>
      </w:r>
      <w:r w:rsidRPr="003D40C7">
        <w:rPr>
          <w:rFonts w:ascii="Times New Roman" w:hAnsi="Times New Roman"/>
          <w:b/>
          <w:noProof/>
        </w:rPr>
        <w:t>EMA</w:t>
      </w:r>
      <w:r w:rsidRPr="003D40C7">
        <w:rPr>
          <w:rFonts w:ascii="Times New Roman" w:hAnsi="Times New Roman"/>
          <w:noProof/>
        </w:rPr>
        <w:t xml:space="preserve"> joacă un rol central în prevenirea și gestionarea deficitelor de medicamente și dispozitive medicale esențiale. În plus, a fost instituit un cadru de măsuri pentru asigurarea furnizării contramăsurilor medicale necesare în situații de criză în cazul unei urgențe de sănătate publică la nivelul Uniunii. În plus, cadrul juridic consolidat al </w:t>
      </w:r>
      <w:r w:rsidRPr="003D40C7">
        <w:rPr>
          <w:rFonts w:ascii="Times New Roman" w:hAnsi="Times New Roman"/>
          <w:b/>
          <w:noProof/>
        </w:rPr>
        <w:t>mecanismului de protecție civilă al</w:t>
      </w:r>
      <w:r w:rsidRPr="003D40C7">
        <w:rPr>
          <w:rFonts w:ascii="Times New Roman" w:hAnsi="Times New Roman"/>
          <w:noProof/>
        </w:rPr>
        <w:t xml:space="preserve"> </w:t>
      </w:r>
      <w:r w:rsidRPr="003D40C7">
        <w:rPr>
          <w:rFonts w:ascii="Times New Roman" w:hAnsi="Times New Roman"/>
          <w:b/>
          <w:noProof/>
        </w:rPr>
        <w:t>Uniunii (UCPM)</w:t>
      </w:r>
      <w:r w:rsidRPr="003D40C7">
        <w:rPr>
          <w:rFonts w:ascii="Times New Roman" w:hAnsi="Times New Roman"/>
          <w:noProof/>
        </w:rPr>
        <w:t xml:space="preserve"> a permis Comisiei să extindă rezervele rescEU. Această extindere include crearea a peste 20 de stocuri strategice rescEU situate în 16 state membre, care conțin elemente esențiale precum contramăsuri medicale, echipamente medicale de terapie intensivă, echipamente de răspuns chimic, biologic, radiologic și nuclear (CBRN) și echipamente individuale de protecție.</w:t>
      </w:r>
    </w:p>
    <w:p w14:paraId="76857F20" w14:textId="1685580A" w:rsidR="00B701FC" w:rsidRPr="003D40C7" w:rsidRDefault="0DA342B0" w:rsidP="134A9F7A">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rPr>
      </w:pPr>
      <w:r w:rsidRPr="003D40C7">
        <w:rPr>
          <w:rFonts w:ascii="Times New Roman" w:hAnsi="Times New Roman"/>
          <w:noProof/>
        </w:rPr>
        <w:t xml:space="preserve">În urma acestor reforme legislative, UE a continuat să își perfecționeze cadrul de securitate sanitară pe baza evaluărilor post-pandemie. </w:t>
      </w:r>
      <w:r w:rsidRPr="003D40C7">
        <w:rPr>
          <w:rFonts w:ascii="Times New Roman" w:hAnsi="Times New Roman"/>
          <w:b/>
          <w:noProof/>
        </w:rPr>
        <w:t>Mecanismul de consiliere științifică (MCS)</w:t>
      </w:r>
      <w:r w:rsidRPr="003D40C7">
        <w:rPr>
          <w:rFonts w:ascii="Times New Roman" w:hAnsi="Times New Roman"/>
          <w:noProof/>
        </w:rPr>
        <w:t xml:space="preserve"> a oferit orientări independente, bazate pe dovezi, privind pregătirea pentru pandemii, strategiile de vaccinare și încrederea publicului în știință. În plus,</w:t>
      </w:r>
      <w:r w:rsidRPr="003D40C7">
        <w:rPr>
          <w:rFonts w:ascii="Times New Roman" w:hAnsi="Times New Roman"/>
          <w:b/>
          <w:noProof/>
        </w:rPr>
        <w:t xml:space="preserve"> Curtea de Conturi Europeană</w:t>
      </w:r>
      <w:r w:rsidRPr="003D40C7">
        <w:rPr>
          <w:rFonts w:ascii="Times New Roman" w:hAnsi="Times New Roman"/>
          <w:noProof/>
        </w:rPr>
        <w:t xml:space="preserve"> a efectuat o serie de analize și audituri cu privire la răspunsul UE la pandemia de COVID-19 (</w:t>
      </w:r>
      <w:r w:rsidRPr="003D40C7">
        <w:rPr>
          <w:rStyle w:val="FootnoteReference"/>
          <w:rFonts w:ascii="Times New Roman" w:hAnsi="Times New Roman" w:cs="Times New Roman"/>
          <w:noProof/>
        </w:rPr>
        <w:footnoteReference w:id="39"/>
      </w:r>
      <w:r w:rsidRPr="003D40C7">
        <w:rPr>
          <w:rFonts w:ascii="Times New Roman" w:hAnsi="Times New Roman"/>
          <w:noProof/>
        </w:rPr>
        <w:t>). În special, Curtea de Conturi a evaluat pregătirea și răspunsul ECDC și al EMA la pandemia de COVID-19, auditând performanța celor două agenții în perioade de criză sanitară (</w:t>
      </w:r>
      <w:r w:rsidRPr="003D40C7">
        <w:rPr>
          <w:rStyle w:val="FootnoteReference"/>
          <w:rFonts w:ascii="Times New Roman" w:hAnsi="Times New Roman" w:cs="Times New Roman"/>
          <w:noProof/>
        </w:rPr>
        <w:footnoteReference w:id="40"/>
      </w:r>
      <w:r w:rsidRPr="003D40C7">
        <w:rPr>
          <w:rFonts w:ascii="Times New Roman" w:hAnsi="Times New Roman"/>
          <w:noProof/>
        </w:rPr>
        <w:t>). În general, în limitele competențelor și capacităților lor, în urma auditului s-a concluzionat că cele două agenții au răspuns bine la criza provocată de pandemia de COVID-19. Mai recent, au fost analizate operațiunile serviciului HERA al Comisiei (</w:t>
      </w:r>
      <w:r w:rsidRPr="003D40C7">
        <w:rPr>
          <w:rStyle w:val="FootnoteReference"/>
          <w:rFonts w:ascii="Times New Roman" w:hAnsi="Times New Roman" w:cs="Times New Roman"/>
          <w:noProof/>
        </w:rPr>
        <w:footnoteReference w:id="41"/>
      </w:r>
      <w:r w:rsidRPr="003D40C7">
        <w:rPr>
          <w:rFonts w:ascii="Times New Roman" w:hAnsi="Times New Roman"/>
          <w:noProof/>
        </w:rPr>
        <w:t>), evidențiindu-se realizările HERA în ceea ce privește consolidarea capacităților de pregătire și răspuns la nivelul UE. Cu toate acestea, rapoartele respective au identificat și deficiențe în domenii specifice și au precizat domeniile în care sunt necesare eforturi suplimentare. În plus, o evaluare a UCPM, adoptată în 2024, a recomandat consolidarea capacităților sale de răspuns operațional pentru a atenua mai eficace riscurile transfrontaliere la scară largă (</w:t>
      </w:r>
      <w:r w:rsidRPr="003D40C7">
        <w:rPr>
          <w:rStyle w:val="FootnoteReference"/>
          <w:rFonts w:ascii="Times New Roman" w:hAnsi="Times New Roman" w:cs="Times New Roman"/>
          <w:noProof/>
        </w:rPr>
        <w:footnoteReference w:id="42"/>
      </w:r>
      <w:r w:rsidRPr="003D40C7">
        <w:rPr>
          <w:rFonts w:ascii="Times New Roman" w:hAnsi="Times New Roman"/>
          <w:noProof/>
        </w:rPr>
        <w:t>).</w:t>
      </w:r>
    </w:p>
    <w:p w14:paraId="5FF8CC54" w14:textId="3C6EE57E" w:rsidR="00790604" w:rsidRPr="003D40C7" w:rsidRDefault="73EF65F1" w:rsidP="672E3538">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eastAsia="Times New Roman" w:hAnsi="Times New Roman" w:cs="Times New Roman"/>
          <w:noProof/>
          <w:sz w:val="24"/>
          <w:szCs w:val="24"/>
        </w:rPr>
      </w:pPr>
      <w:r w:rsidRPr="003D40C7">
        <w:rPr>
          <w:rFonts w:ascii="Times New Roman" w:hAnsi="Times New Roman"/>
          <w:noProof/>
        </w:rPr>
        <w:t>Informațiile obținute în urma acestor audituri și analize contribuie la consolidarea capacităților UE în materie de prevenire, pregătire și răspuns la crizele sanitare. Împreună, aceste măsuri arată modul în care UE a transformat învățămintele desprinse în urma pandemiei în îmbunătățiri durabile în domeniul securității sanitare, construind o Europă mai sănătoasă, mai sigură și mai rezilientă pentru viitor.</w:t>
      </w:r>
    </w:p>
    <w:p w14:paraId="523D3594" w14:textId="4EDF3B0D" w:rsidR="1EB16524" w:rsidRPr="003D40C7" w:rsidRDefault="1EB16524" w:rsidP="001E0D0B">
      <w:pPr>
        <w:pStyle w:val="NoSpacing"/>
        <w:rPr>
          <w:noProof/>
        </w:rPr>
      </w:pPr>
    </w:p>
    <w:p w14:paraId="15637D8D" w14:textId="7CA4F931" w:rsidR="003930C2" w:rsidRPr="003D40C7" w:rsidRDefault="009C1964" w:rsidP="001E0D0B">
      <w:pPr>
        <w:pStyle w:val="ManualHeading1"/>
        <w:numPr>
          <w:ilvl w:val="0"/>
          <w:numId w:val="29"/>
        </w:numPr>
        <w:spacing w:before="120" w:after="360"/>
        <w:ind w:hanging="720"/>
        <w:rPr>
          <w:noProof/>
        </w:rPr>
      </w:pPr>
      <w:r w:rsidRPr="003D40C7">
        <w:rPr>
          <w:noProof/>
        </w:rPr>
        <w:t>CONSOLIDAREA PLANURILOR NAȚIONALE, ASIGURÂND ÎN ACELAȘI TIMP UN RĂSPUNS COORDONAT LA NIVELUL UE: O ABORDARE COERENTĂ A SECURITĂȚII SANITARE</w:t>
      </w:r>
    </w:p>
    <w:p w14:paraId="76200885" w14:textId="3BFFE1AF" w:rsidR="008360DA" w:rsidRPr="003D40C7" w:rsidRDefault="03544F21" w:rsidP="008360DA">
      <w:pPr>
        <w:jc w:val="both"/>
        <w:rPr>
          <w:rFonts w:ascii="Times New Roman" w:eastAsia="Times New Roman" w:hAnsi="Times New Roman" w:cs="Times New Roman"/>
          <w:noProof/>
          <w:sz w:val="24"/>
          <w:szCs w:val="24"/>
        </w:rPr>
      </w:pPr>
      <w:r w:rsidRPr="003D40C7">
        <w:rPr>
          <w:rFonts w:ascii="Times New Roman" w:hAnsi="Times New Roman"/>
          <w:noProof/>
          <w:sz w:val="24"/>
        </w:rPr>
        <w:t>Planul Uniunii se inspiră din planurile naționale de prevenire, pregătire și răspuns pe care statele membre le-au elaborat și actualizat de la adoptarea Regulamentului privind amenințările transfrontaliere grave pentru sănătate în 2022 (</w:t>
      </w:r>
      <w:r w:rsidRPr="003D40C7">
        <w:rPr>
          <w:rStyle w:val="FootnoteReference"/>
          <w:rFonts w:ascii="Times New Roman" w:eastAsia="Times New Roman" w:hAnsi="Times New Roman" w:cs="Times New Roman"/>
          <w:noProof/>
          <w:sz w:val="24"/>
          <w:szCs w:val="24"/>
        </w:rPr>
        <w:footnoteReference w:id="43"/>
      </w:r>
      <w:r w:rsidRPr="003D40C7">
        <w:rPr>
          <w:rFonts w:ascii="Times New Roman" w:hAnsi="Times New Roman"/>
          <w:noProof/>
          <w:sz w:val="24"/>
        </w:rPr>
        <w:t>). La rândul lor, statele membre ar trebui să își alinieze planurile naționale la planul Uniunii în cea mai mare măsură posibilă, promovând o abordare coerentă a securității sanitare. Prin integrarea planului UE și a planurilor naționale, se poate institui un cadru de securitate sanitară solid și favorabil incluziunii în întreaga UE. Prin urmare, planul Uniunii</w:t>
      </w:r>
      <w:r w:rsidRPr="003D40C7">
        <w:rPr>
          <w:rFonts w:ascii="Times New Roman" w:hAnsi="Times New Roman"/>
          <w:b/>
          <w:noProof/>
          <w:sz w:val="24"/>
        </w:rPr>
        <w:t xml:space="preserve"> servește atât ca document de orientare, cât și ca factor catalizator pentru unitate</w:t>
      </w:r>
      <w:r w:rsidRPr="003D40C7">
        <w:rPr>
          <w:rFonts w:ascii="Times New Roman" w:hAnsi="Times New Roman"/>
          <w:noProof/>
          <w:sz w:val="24"/>
        </w:rPr>
        <w:t xml:space="preserve">: </w:t>
      </w:r>
      <w:bookmarkStart w:id="2" w:name="_Hlk212718522"/>
      <w:r w:rsidRPr="003D40C7">
        <w:rPr>
          <w:rFonts w:ascii="Times New Roman" w:hAnsi="Times New Roman"/>
          <w:noProof/>
          <w:sz w:val="24"/>
        </w:rPr>
        <w:t xml:space="preserve">abilitarea autorităților naționale să își consolideze propriile planuri naționale, asigurând totodată un răspuns coordonat la nivelul UE </w:t>
      </w:r>
      <w:bookmarkEnd w:id="2"/>
      <w:r w:rsidRPr="003D40C7">
        <w:rPr>
          <w:rFonts w:ascii="Times New Roman" w:hAnsi="Times New Roman"/>
          <w:noProof/>
          <w:sz w:val="24"/>
        </w:rPr>
        <w:t xml:space="preserve">la crizele sanitare. </w:t>
      </w:r>
    </w:p>
    <w:p w14:paraId="1756FA73" w14:textId="24717C5A" w:rsidR="006C0577" w:rsidRPr="003D40C7" w:rsidRDefault="7149C876" w:rsidP="00A03E85">
      <w:pPr>
        <w:jc w:val="both"/>
        <w:rPr>
          <w:rFonts w:ascii="Times New Roman" w:hAnsi="Times New Roman" w:cs="Times New Roman"/>
          <w:noProof/>
          <w:sz w:val="24"/>
          <w:szCs w:val="24"/>
        </w:rPr>
      </w:pPr>
      <w:r w:rsidRPr="003D40C7">
        <w:rPr>
          <w:rFonts w:ascii="Times New Roman" w:hAnsi="Times New Roman"/>
          <w:noProof/>
          <w:sz w:val="24"/>
        </w:rPr>
        <w:t xml:space="preserve">O dată la trei ani, statele membre </w:t>
      </w:r>
      <w:r w:rsidRPr="003D40C7">
        <w:rPr>
          <w:rFonts w:ascii="Times New Roman" w:hAnsi="Times New Roman"/>
          <w:b/>
          <w:noProof/>
          <w:sz w:val="24"/>
        </w:rPr>
        <w:t>raportează</w:t>
      </w:r>
      <w:r w:rsidRPr="003D40C7">
        <w:rPr>
          <w:rFonts w:ascii="Times New Roman" w:hAnsi="Times New Roman"/>
          <w:noProof/>
          <w:sz w:val="24"/>
        </w:rPr>
        <w:t xml:space="preserve"> Comisiei cu privire la planificarea și punerea în aplicare a prevenirii, pregătirii și răspunsului la nivel național, oferind o imagine de ansamblu a structurilor lor naționale de guvernanță, a capacităților și a resurselor existente dedicate asigurării gradului de pregătire și răspunsului lor la crizele sanitare transfrontaliere. </w:t>
      </w:r>
      <w:r w:rsidRPr="003D40C7">
        <w:rPr>
          <w:rFonts w:ascii="Times New Roman" w:hAnsi="Times New Roman"/>
          <w:b/>
          <w:noProof/>
          <w:sz w:val="24"/>
        </w:rPr>
        <w:t xml:space="preserve">Comitetul pentru securitate sanitară </w:t>
      </w:r>
      <w:r w:rsidRPr="003D40C7">
        <w:rPr>
          <w:rFonts w:ascii="Times New Roman" w:hAnsi="Times New Roman"/>
          <w:noProof/>
          <w:sz w:val="24"/>
        </w:rPr>
        <w:t>(CSS) (</w:t>
      </w:r>
      <w:r w:rsidRPr="003D40C7">
        <w:rPr>
          <w:rStyle w:val="FootnoteReference"/>
          <w:rFonts w:ascii="Times New Roman" w:eastAsia="Times New Roman" w:hAnsi="Times New Roman" w:cs="Times New Roman"/>
          <w:noProof/>
          <w:sz w:val="24"/>
          <w:szCs w:val="24"/>
        </w:rPr>
        <w:footnoteReference w:id="44"/>
      </w:r>
      <w:r w:rsidRPr="003D40C7">
        <w:rPr>
          <w:rFonts w:ascii="Times New Roman" w:hAnsi="Times New Roman"/>
          <w:noProof/>
          <w:sz w:val="24"/>
        </w:rPr>
        <w:t>) joacă un rol important în acest exercițiu de autoraportare și în discuțiile privind stadiul general de pregătire al UE. CSS reunește statele membre, Comisia și agențiile și organele relevante ale UE pentru a discuta și a face schimb de bune practici, pentru a promova alinierea între planurile naționale și planul Uniunii și pentru a promova o cultură a colaborării (</w:t>
      </w:r>
      <w:r w:rsidRPr="003D40C7">
        <w:rPr>
          <w:rStyle w:val="FootnoteReference"/>
          <w:rFonts w:ascii="Times New Roman" w:hAnsi="Times New Roman" w:cs="Times New Roman"/>
          <w:noProof/>
          <w:sz w:val="24"/>
          <w:szCs w:val="24"/>
        </w:rPr>
        <w:footnoteReference w:id="45"/>
      </w:r>
      <w:r w:rsidRPr="003D40C7">
        <w:rPr>
          <w:rFonts w:ascii="Times New Roman" w:hAnsi="Times New Roman"/>
          <w:noProof/>
          <w:sz w:val="24"/>
        </w:rPr>
        <w:t xml:space="preserve">). </w:t>
      </w:r>
    </w:p>
    <w:p w14:paraId="1429D28F" w14:textId="2E94FEC5" w:rsidR="00796A26" w:rsidRPr="003D40C7" w:rsidRDefault="125590A3" w:rsidP="001443F1">
      <w:pPr>
        <w:jc w:val="both"/>
        <w:rPr>
          <w:rFonts w:ascii="Times New Roman" w:eastAsia="Times New Roman" w:hAnsi="Times New Roman" w:cs="Times New Roman"/>
          <w:noProof/>
          <w:sz w:val="24"/>
          <w:szCs w:val="24"/>
        </w:rPr>
      </w:pPr>
      <w:r w:rsidRPr="003D40C7">
        <w:rPr>
          <w:rFonts w:ascii="Times New Roman" w:hAnsi="Times New Roman"/>
          <w:noProof/>
          <w:sz w:val="24"/>
        </w:rPr>
        <w:t xml:space="preserve">În paralel, tot într-un ciclu de trei ani, capacitățile de prevenire, pregătire și răspuns ale statelor membre sunt evaluate de ECDC. În urma acestor </w:t>
      </w:r>
      <w:r w:rsidRPr="003D40C7">
        <w:rPr>
          <w:rFonts w:ascii="Times New Roman" w:hAnsi="Times New Roman"/>
          <w:b/>
          <w:noProof/>
          <w:sz w:val="24"/>
        </w:rPr>
        <w:t>evaluări ale pregătirii în cazul unei urgențe de sănătate publică</w:t>
      </w:r>
      <w:r w:rsidRPr="003D40C7">
        <w:rPr>
          <w:rFonts w:ascii="Times New Roman" w:hAnsi="Times New Roman"/>
          <w:noProof/>
          <w:sz w:val="24"/>
        </w:rPr>
        <w:t> (</w:t>
      </w:r>
      <w:r w:rsidRPr="003D40C7">
        <w:rPr>
          <w:rStyle w:val="FootnoteReference"/>
          <w:rFonts w:ascii="Times New Roman" w:eastAsia="Times New Roman" w:hAnsi="Times New Roman" w:cs="Times New Roman"/>
          <w:noProof/>
          <w:sz w:val="24"/>
          <w:szCs w:val="24"/>
        </w:rPr>
        <w:footnoteReference w:id="46"/>
      </w:r>
      <w:r w:rsidRPr="003D40C7">
        <w:rPr>
          <w:rFonts w:ascii="Times New Roman" w:hAnsi="Times New Roman"/>
          <w:noProof/>
          <w:sz w:val="24"/>
        </w:rPr>
        <w:t>)</w:t>
      </w:r>
      <w:r w:rsidRPr="003D40C7">
        <w:rPr>
          <w:rFonts w:ascii="Times New Roman" w:hAnsi="Times New Roman"/>
          <w:b/>
          <w:noProof/>
          <w:sz w:val="24"/>
        </w:rPr>
        <w:t xml:space="preserve"> (PHEPA), </w:t>
      </w:r>
      <w:r w:rsidRPr="003D40C7">
        <w:rPr>
          <w:rFonts w:ascii="Times New Roman" w:hAnsi="Times New Roman"/>
          <w:noProof/>
          <w:sz w:val="24"/>
        </w:rPr>
        <w:t>ECDC formulează recomandări adaptate statelor membre, subliniind domeniile în care sunt necesare îmbunătățiri și sugerând modalități de îmbunătățire a planurilor lor naționale și de consolidare a capacităților acestora (</w:t>
      </w:r>
      <w:r w:rsidRPr="003D40C7">
        <w:rPr>
          <w:rStyle w:val="FootnoteReference"/>
          <w:rFonts w:ascii="Times New Roman" w:eastAsia="Times New Roman" w:hAnsi="Times New Roman" w:cs="Times New Roman"/>
          <w:noProof/>
          <w:sz w:val="24"/>
          <w:szCs w:val="24"/>
        </w:rPr>
        <w:footnoteReference w:id="47"/>
      </w:r>
      <w:r w:rsidRPr="003D40C7">
        <w:rPr>
          <w:rFonts w:ascii="Times New Roman" w:hAnsi="Times New Roman"/>
          <w:noProof/>
          <w:sz w:val="24"/>
        </w:rPr>
        <w:t>).</w:t>
      </w:r>
    </w:p>
    <w:p w14:paraId="484F151C" w14:textId="2E84657B" w:rsidR="00240227" w:rsidRPr="003D40C7" w:rsidRDefault="00240227" w:rsidP="006E1EA6">
      <w:pPr>
        <w:spacing w:after="0"/>
        <w:jc w:val="both"/>
        <w:rPr>
          <w:rFonts w:ascii="Times New Roman" w:eastAsia="Times New Roman" w:hAnsi="Times New Roman" w:cs="Times New Roman"/>
          <w:noProof/>
          <w:sz w:val="24"/>
          <w:szCs w:val="24"/>
        </w:rPr>
      </w:pPr>
      <w:r w:rsidRPr="003D40C7">
        <w:rPr>
          <w:rStyle w:val="Strong"/>
          <w:rFonts w:ascii="Times New Roman" w:hAnsi="Times New Roman"/>
          <w:b w:val="0"/>
          <w:noProof/>
          <w:sz w:val="24"/>
        </w:rPr>
        <w:t>Figura următoare</w:t>
      </w:r>
      <w:r w:rsidRPr="003D40C7">
        <w:rPr>
          <w:rFonts w:ascii="Times New Roman" w:hAnsi="Times New Roman"/>
          <w:noProof/>
          <w:sz w:val="24"/>
        </w:rPr>
        <w:t xml:space="preserve"> ilustrează ciclurile interconectate</w:t>
      </w:r>
      <w:r w:rsidRPr="003D40C7">
        <w:rPr>
          <w:rFonts w:ascii="Times New Roman" w:hAnsi="Times New Roman"/>
          <w:b/>
          <w:noProof/>
          <w:sz w:val="24"/>
        </w:rPr>
        <w:t xml:space="preserve"> </w:t>
      </w:r>
      <w:r w:rsidRPr="003D40C7">
        <w:rPr>
          <w:rStyle w:val="Strong"/>
          <w:rFonts w:ascii="Times New Roman" w:hAnsi="Times New Roman"/>
          <w:noProof/>
          <w:sz w:val="24"/>
        </w:rPr>
        <w:t>de raportare și evaluare</w:t>
      </w:r>
      <w:r w:rsidRPr="003D40C7">
        <w:rPr>
          <w:rFonts w:ascii="Times New Roman" w:hAnsi="Times New Roman"/>
          <w:noProof/>
          <w:sz w:val="24"/>
        </w:rPr>
        <w:t xml:space="preserve"> ale planificării de către statele membre a prevenirii, pregătirii și răspunsului (PPR). </w:t>
      </w:r>
      <w:r w:rsidRPr="003D40C7">
        <w:rPr>
          <w:rStyle w:val="Strong"/>
          <w:rFonts w:ascii="Times New Roman" w:hAnsi="Times New Roman"/>
          <w:noProof/>
          <w:sz w:val="24"/>
        </w:rPr>
        <w:t>Partea stângă</w:t>
      </w:r>
      <w:r w:rsidRPr="003D40C7">
        <w:rPr>
          <w:rFonts w:ascii="Times New Roman" w:hAnsi="Times New Roman"/>
          <w:noProof/>
          <w:sz w:val="24"/>
        </w:rPr>
        <w:t xml:space="preserve"> ilustrează ciclul de raportare, în care statele membre raportează cu privire la planurile lor naționale de PPR, care sunt apoi discutate în cadrul Comitetului pentru securitate sanitară și rezumate de Comisie într-un raport general. </w:t>
      </w:r>
      <w:r w:rsidRPr="003D40C7">
        <w:rPr>
          <w:rFonts w:ascii="Times New Roman" w:hAnsi="Times New Roman"/>
          <w:b/>
          <w:noProof/>
          <w:sz w:val="24"/>
        </w:rPr>
        <w:t>Partea dreaptă</w:t>
      </w:r>
      <w:r w:rsidRPr="003D40C7">
        <w:rPr>
          <w:rFonts w:ascii="Times New Roman" w:hAnsi="Times New Roman"/>
          <w:noProof/>
          <w:sz w:val="24"/>
        </w:rPr>
        <w:t xml:space="preserve"> ilustrează ciclul de evaluare, începând cu PHEPA, urmată de recomandările ECDC și încheind cu elaborarea de către statele membre a planurilor de acțiune ca răspuns. Feedbackul din ambele cicluri este inclus în prezentarea generală integrată a Comisiei privind pregătirea UE pentru Parlamentul European și Consiliu, sprijinind îmbunătățirea continuă a securității sanitare a UE. </w:t>
      </w:r>
    </w:p>
    <w:p w14:paraId="037DC1AB" w14:textId="1EE58491" w:rsidR="005F17FD" w:rsidRPr="003D40C7" w:rsidRDefault="00007173" w:rsidP="001443F1">
      <w:pPr>
        <w:jc w:val="both"/>
        <w:rPr>
          <w:rFonts w:ascii="Times New Roman" w:eastAsia="Times New Roman" w:hAnsi="Times New Roman" w:cs="Times New Roman"/>
          <w:noProof/>
          <w:sz w:val="24"/>
          <w:szCs w:val="24"/>
        </w:rPr>
      </w:pPr>
      <w:r w:rsidRPr="003D40C7">
        <w:rPr>
          <w:rFonts w:ascii="Times New Roman" w:eastAsia="Times New Roman" w:hAnsi="Times New Roman" w:cs="Times New Roman"/>
          <w:noProof/>
          <w:sz w:val="24"/>
          <w:szCs w:val="24"/>
          <w:lang w:val="en-GB" w:eastAsia="en-GB"/>
        </w:rPr>
        <w:drawing>
          <wp:inline distT="0" distB="0" distL="0" distR="0" wp14:anchorId="5179AE35" wp14:editId="1C23F276">
            <wp:extent cx="5936615" cy="3245096"/>
            <wp:effectExtent l="0" t="0" r="0" b="0"/>
            <wp:docPr id="1706353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56239" cy="3255823"/>
                    </a:xfrm>
                    <a:prstGeom prst="rect">
                      <a:avLst/>
                    </a:prstGeom>
                    <a:noFill/>
                  </pic:spPr>
                </pic:pic>
              </a:graphicData>
            </a:graphic>
          </wp:inline>
        </w:drawing>
      </w:r>
    </w:p>
    <w:p w14:paraId="2C4779C0" w14:textId="77777777" w:rsidR="00404117" w:rsidRPr="003D40C7" w:rsidRDefault="7561729B" w:rsidP="00B425EA">
      <w:pPr>
        <w:pStyle w:val="Figurecaptions"/>
        <w:spacing w:after="240"/>
        <w:rPr>
          <w:rStyle w:val="FigurecaptionsChar"/>
          <w:noProof/>
          <w:sz w:val="20"/>
          <w:szCs w:val="20"/>
        </w:rPr>
      </w:pPr>
      <w:r w:rsidRPr="003D40C7">
        <w:rPr>
          <w:rStyle w:val="FigurecaptionsChar"/>
          <w:noProof/>
          <w:sz w:val="20"/>
        </w:rPr>
        <w:t xml:space="preserve">Figura 1. Ciclurile interconectate de raportare și evaluare ale planificării de către statele membre a prevenirii, pregătirii și răspunsului (PPR). </w:t>
      </w:r>
    </w:p>
    <w:p w14:paraId="60867B67" w14:textId="20C95788" w:rsidR="009D6F2F" w:rsidRPr="003D40C7" w:rsidRDefault="6BC5CBDE" w:rsidP="009D6F2F">
      <w:pPr>
        <w:jc w:val="both"/>
        <w:rPr>
          <w:rFonts w:ascii="Times New Roman" w:eastAsia="Times New Roman" w:hAnsi="Times New Roman" w:cs="Times New Roman"/>
          <w:noProof/>
        </w:rPr>
      </w:pPr>
      <w:r w:rsidRPr="003D40C7">
        <w:rPr>
          <w:rFonts w:ascii="Times New Roman" w:hAnsi="Times New Roman"/>
          <w:noProof/>
          <w:sz w:val="24"/>
        </w:rPr>
        <w:t>Până în prezent, toate cele 30 de țări din UE/SEE au instituit planuri naționale de prevenire, pregătire și răspuns și au raportat cu privire la capacitățile lor în cadrul primului exercițiu de autoraportare din 2023 (</w:t>
      </w:r>
      <w:r w:rsidRPr="003D40C7">
        <w:rPr>
          <w:rStyle w:val="FootnoteReference"/>
          <w:rFonts w:ascii="Times New Roman" w:hAnsi="Times New Roman" w:cs="Times New Roman"/>
          <w:noProof/>
          <w:sz w:val="24"/>
          <w:szCs w:val="24"/>
        </w:rPr>
        <w:footnoteReference w:id="48"/>
      </w:r>
      <w:r w:rsidRPr="003D40C7">
        <w:rPr>
          <w:rFonts w:ascii="Times New Roman" w:hAnsi="Times New Roman"/>
          <w:noProof/>
          <w:sz w:val="24"/>
        </w:rPr>
        <w:t>). În 2024 și 2025, 19 țări din UE/SEE au participat la PHEPA gestionată de ECDC.</w:t>
      </w:r>
    </w:p>
    <w:p w14:paraId="254667D2" w14:textId="1CE07D98" w:rsidR="002A7550" w:rsidRPr="003D40C7" w:rsidRDefault="4E12E9F9" w:rsidP="00EC79D8">
      <w:pPr>
        <w:spacing w:after="0"/>
        <w:jc w:val="both"/>
        <w:rPr>
          <w:rFonts w:ascii="Times New Roman" w:hAnsi="Times New Roman" w:cs="Times New Roman"/>
          <w:noProof/>
          <w:sz w:val="24"/>
          <w:szCs w:val="24"/>
        </w:rPr>
      </w:pPr>
      <w:r w:rsidRPr="003D40C7">
        <w:rPr>
          <w:rFonts w:ascii="Times New Roman" w:hAnsi="Times New Roman"/>
          <w:noProof/>
          <w:sz w:val="24"/>
        </w:rPr>
        <w:t xml:space="preserve">Utilizând informațiile colectate prin intermediul exercițiului național de autoraportare și rezultatele PHEPA, Comisia, în cooperare cu ECDC, elaborează un </w:t>
      </w:r>
      <w:r w:rsidRPr="003D40C7">
        <w:rPr>
          <w:rFonts w:ascii="Times New Roman" w:hAnsi="Times New Roman"/>
          <w:b/>
          <w:noProof/>
          <w:sz w:val="24"/>
        </w:rPr>
        <w:t>raport general</w:t>
      </w:r>
      <w:r w:rsidRPr="003D40C7">
        <w:rPr>
          <w:rFonts w:ascii="Times New Roman" w:hAnsi="Times New Roman"/>
          <w:noProof/>
          <w:sz w:val="24"/>
        </w:rPr>
        <w:t xml:space="preserve"> </w:t>
      </w:r>
      <w:r w:rsidRPr="003D40C7">
        <w:rPr>
          <w:rFonts w:ascii="Times New Roman" w:hAnsi="Times New Roman"/>
          <w:b/>
          <w:noProof/>
          <w:sz w:val="24"/>
        </w:rPr>
        <w:t>privind stadiul de pregătire în UE</w:t>
      </w:r>
      <w:r w:rsidRPr="003D40C7">
        <w:rPr>
          <w:rFonts w:ascii="Times New Roman" w:hAnsi="Times New Roman"/>
          <w:noProof/>
          <w:sz w:val="24"/>
        </w:rPr>
        <w:t> (</w:t>
      </w:r>
      <w:r w:rsidRPr="003D40C7">
        <w:rPr>
          <w:rStyle w:val="FootnoteReference"/>
          <w:rFonts w:ascii="Times New Roman" w:eastAsia="Times New Roman" w:hAnsi="Times New Roman" w:cs="Times New Roman"/>
          <w:noProof/>
          <w:sz w:val="24"/>
          <w:szCs w:val="24"/>
        </w:rPr>
        <w:footnoteReference w:id="49"/>
      </w:r>
      <w:r w:rsidRPr="003D40C7">
        <w:rPr>
          <w:rFonts w:ascii="Times New Roman" w:hAnsi="Times New Roman"/>
          <w:noProof/>
          <w:sz w:val="24"/>
        </w:rPr>
        <w:t>), evidențiind lacunele și domeniile în care sunt necesare îmbunătățiri.</w:t>
      </w:r>
    </w:p>
    <w:p w14:paraId="3F87F74A" w14:textId="1F1B9F68" w:rsidR="00DF7BCE" w:rsidRPr="003D40C7" w:rsidRDefault="007759E8" w:rsidP="00DA38D4">
      <w:pPr>
        <w:pBdr>
          <w:top w:val="single" w:sz="4" w:space="1" w:color="000000"/>
          <w:left w:val="single" w:sz="4" w:space="4" w:color="000000"/>
          <w:bottom w:val="single" w:sz="4" w:space="1" w:color="000000"/>
          <w:right w:val="single" w:sz="4" w:space="4" w:color="000000"/>
        </w:pBdr>
        <w:shd w:val="clear" w:color="auto" w:fill="F2F2F2" w:themeFill="background1" w:themeFillShade="F2"/>
        <w:rPr>
          <w:rFonts w:ascii="Times New Roman" w:eastAsia="Times New Roman" w:hAnsi="Times New Roman" w:cs="Times New Roman"/>
          <w:b/>
          <w:bCs/>
          <w:noProof/>
        </w:rPr>
      </w:pPr>
      <w:bookmarkStart w:id="4" w:name="_Hlk212806764"/>
      <w:r w:rsidRPr="003D40C7">
        <w:rPr>
          <w:rFonts w:ascii="Times New Roman" w:hAnsi="Times New Roman"/>
          <w:b/>
          <w:noProof/>
        </w:rPr>
        <w:t>Informații cu privire la capacitățile de pregătire ale țărilor din UE/SEE în urma exercițiului de autoraportare din 2023</w:t>
      </w:r>
    </w:p>
    <w:bookmarkEnd w:id="4"/>
    <w:p w14:paraId="5E26B131" w14:textId="592B9CEF" w:rsidR="00DF7BCE" w:rsidRPr="003D40C7" w:rsidRDefault="642D431C"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eastAsia="Times New Roman" w:hAnsi="Times New Roman" w:cs="Times New Roman"/>
          <w:noProof/>
        </w:rPr>
      </w:pPr>
      <w:r w:rsidRPr="003D40C7">
        <w:rPr>
          <w:rFonts w:ascii="Times New Roman" w:hAnsi="Times New Roman"/>
          <w:noProof/>
        </w:rPr>
        <w:t xml:space="preserve">Toate țările din UE/SEE dispun de cadre legislative pentru gestionarea crizelor sanitare, dar persistă lacune în ceea ce privește punerea în aplicare. Pentru a combate în mod eficace amenințările transfrontaliere grave pentru sănătate, statele membre trebuie să adopte o abordare cuprinzătoare care să pună accentul pe colaborare, pe egalitatea de șanse, pe reziliența financiară și pe o coordonare solidă la toate nivelurile. </w:t>
      </w:r>
    </w:p>
    <w:p w14:paraId="0D688071" w14:textId="7841434D" w:rsidR="00DF7BCE" w:rsidRPr="003D40C7" w:rsidRDefault="00777C3E"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ascii="Times New Roman" w:eastAsia="Times New Roman" w:hAnsi="Times New Roman" w:cs="Times New Roman"/>
          <w:noProof/>
        </w:rPr>
      </w:pPr>
      <w:r w:rsidRPr="003D40C7">
        <w:rPr>
          <w:rFonts w:ascii="Times New Roman" w:hAnsi="Times New Roman"/>
          <w:noProof/>
        </w:rPr>
        <w:t>În ceea ce privește abordarea de tip „O singură sănătate”, majoritatea țărilor din UE/SEE dispun de sisteme de gestionare a incidentelor care corelează sănătatea publică cu alte sectoare. Cu toate acestea, mecanismele de coordonare între diferite sectoare și niveluri de guvernanță sunt rareori testate și revizuite. Pentru a identifica mai bine riscurile într-un stadiu incipient, statele membre ar trebui să evalueze periodic toate tipurile de amenințări și să le includă în planuri cuprinzătoare de criză sanitară, bazate pe principiul „O singură sănătate” și care să acopere toate tipurile de pericole, implicând toate sectoarele relevante ale societății. Aceste planuri ar trebui să integreze și contramăsuri medicale, asigurându-se că stocurile și capacitățile de producție sunt pregătite pentru a susține un răspuns rapid și eficace în cazul apariției unor crize sanitare.</w:t>
      </w:r>
    </w:p>
    <w:p w14:paraId="7D142825" w14:textId="075BDE70" w:rsidR="00DF7BCE" w:rsidRPr="003D40C7" w:rsidRDefault="642D431C" w:rsidP="672E3538">
      <w:pPr>
        <w:pBdr>
          <w:top w:val="single" w:sz="4" w:space="1" w:color="000000"/>
          <w:left w:val="single" w:sz="4" w:space="4" w:color="000000"/>
          <w:bottom w:val="single" w:sz="4" w:space="1" w:color="000000"/>
          <w:right w:val="single" w:sz="4" w:space="4" w:color="000000"/>
        </w:pBdr>
        <w:shd w:val="clear" w:color="auto" w:fill="F2F2F2" w:themeFill="background1" w:themeFillShade="F2"/>
        <w:jc w:val="both"/>
        <w:rPr>
          <w:rFonts w:eastAsia="Times New Roman"/>
          <w:noProof/>
        </w:rPr>
      </w:pPr>
      <w:r w:rsidRPr="003D40C7">
        <w:rPr>
          <w:rFonts w:ascii="Times New Roman" w:hAnsi="Times New Roman"/>
          <w:noProof/>
        </w:rPr>
        <w:t>Majoritatea țărilor din UE/SEE au planuri pentru a asigura disponibilitatea forței lor de muncă din domeniul sănătății în timpul crizelor sanitare, dar puține dintre ele revizuiesc aceste planuri în mod regulat, iar multe se confruntă cu dificultăți în anticiparea adecvată a nevoilor de resurse umane. Sistemele de mobilizare transfrontalieră a personalului medical în situații de urgență nu sunt încă bine stabilite. Pentru a gestiona creșterile bruște ale cererii în situații de urgență, statele membre ar trebui să dispună de planuri pentru mobilizarea de personal suplimentar, inclusiv studenți și profesioniști pensionați. Ele ar trebui, de asemenea, să stabilească proceduri clare pentru detașarea lucrătorilor din domeniul sănătății între regiuni și între țările din UE/SEE în situații cu cerere ridicată, inclusiv în scenarii potențiale de conflict. În general, operaționalizarea acordurilor de asistență reciprocă și de cooperare este necesară pentru a facilita circulația transfrontalieră a personalului, a echipamentelor medicale, a contramăsurilor medicale și a pacienților în timpul situațiilor de urgență și pentru a consolida sprijinul națiunii gazdă.</w:t>
      </w:r>
    </w:p>
    <w:p w14:paraId="72176537" w14:textId="120335EE" w:rsidR="00C46BE5" w:rsidRPr="003D40C7" w:rsidRDefault="35ADDE24" w:rsidP="6655B6FB">
      <w:pPr>
        <w:spacing w:after="0"/>
        <w:jc w:val="both"/>
        <w:rPr>
          <w:rFonts w:ascii="Times New Roman" w:hAnsi="Times New Roman" w:cs="Times New Roman"/>
          <w:noProof/>
          <w:sz w:val="24"/>
          <w:szCs w:val="24"/>
        </w:rPr>
      </w:pPr>
      <w:r w:rsidRPr="003D40C7">
        <w:rPr>
          <w:rFonts w:ascii="Times New Roman" w:hAnsi="Times New Roman"/>
          <w:noProof/>
          <w:sz w:val="24"/>
        </w:rPr>
        <w:t>Elaborarea și punerea în aplicare a planurilor naționale, precum și planificarea capacităților necesare în cadrul statelor membre pentru prevenirea, pregătirea și răspunsul la crizele sanitare reprezintă, prin urmare, un proces dinamic care este influențat și de prioritățile politice ale statelor membre, de resursele disponibile și de peisajul în continuă schimbare al amenințărilor și riscurilor. Comisia și agențiile UE sprijină statele membre prin furnizarea de orientări tehnice, organizarea de cursuri de formare (</w:t>
      </w:r>
      <w:r w:rsidRPr="003D40C7">
        <w:rPr>
          <w:rFonts w:ascii="Times New Roman" w:hAnsi="Times New Roman"/>
          <w:noProof/>
          <w:sz w:val="24"/>
          <w:vertAlign w:val="superscript"/>
        </w:rPr>
        <w:t>37</w:t>
      </w:r>
      <w:r w:rsidRPr="003D40C7">
        <w:rPr>
          <w:rFonts w:ascii="Times New Roman" w:hAnsi="Times New Roman"/>
          <w:noProof/>
          <w:sz w:val="24"/>
        </w:rPr>
        <w:t>), exerciții de simulare și furnizarea de expertiză (</w:t>
      </w:r>
      <w:r w:rsidRPr="003D40C7">
        <w:rPr>
          <w:rFonts w:ascii="Times New Roman" w:hAnsi="Times New Roman"/>
          <w:noProof/>
          <w:sz w:val="24"/>
          <w:vertAlign w:val="superscript"/>
        </w:rPr>
        <w:t>38</w:t>
      </w:r>
      <w:r w:rsidRPr="003D40C7">
        <w:rPr>
          <w:rFonts w:ascii="Times New Roman" w:hAnsi="Times New Roman"/>
          <w:noProof/>
          <w:sz w:val="24"/>
        </w:rPr>
        <w:t xml:space="preserve">). Continuarea dialogului în cadrul Comitetului pentru securitate sanitară este esențială în această privință. </w:t>
      </w:r>
    </w:p>
    <w:p w14:paraId="371C5006" w14:textId="77777777" w:rsidR="001273DA" w:rsidRPr="003D40C7" w:rsidRDefault="001273DA" w:rsidP="6655B6FB">
      <w:pPr>
        <w:spacing w:after="0"/>
        <w:jc w:val="both"/>
        <w:rPr>
          <w:rFonts w:ascii="Times New Roman" w:hAnsi="Times New Roman" w:cs="Times New Roman"/>
          <w:noProof/>
          <w:sz w:val="24"/>
          <w:szCs w:val="24"/>
        </w:rPr>
      </w:pPr>
    </w:p>
    <w:p w14:paraId="73C4CD70" w14:textId="7E040CFB" w:rsidR="003930C2" w:rsidRPr="003D40C7" w:rsidRDefault="0591F634" w:rsidP="001273DA">
      <w:pPr>
        <w:pStyle w:val="ManualHeading1"/>
        <w:spacing w:before="120" w:after="360"/>
        <w:rPr>
          <w:noProof/>
        </w:rPr>
      </w:pPr>
      <w:r w:rsidRPr="003D40C7">
        <w:rPr>
          <w:noProof/>
        </w:rPr>
        <w:t>4.</w:t>
      </w:r>
      <w:r w:rsidRPr="003D40C7">
        <w:rPr>
          <w:noProof/>
        </w:rPr>
        <w:tab/>
        <w:t>PUNEREA ÎN APLICARE ȘI DEZVOLTAREA ÎN CONTINUARE A PLANULUI UNIUNII</w:t>
      </w:r>
    </w:p>
    <w:p w14:paraId="779565AE" w14:textId="000CC8CE" w:rsidR="009D6F2F" w:rsidRPr="003D40C7" w:rsidRDefault="67F09AE6">
      <w:pPr>
        <w:jc w:val="both"/>
        <w:rPr>
          <w:rFonts w:ascii="Times New Roman" w:hAnsi="Times New Roman" w:cs="Times New Roman"/>
          <w:noProof/>
          <w:sz w:val="24"/>
          <w:szCs w:val="24"/>
        </w:rPr>
      </w:pPr>
      <w:r w:rsidRPr="003D40C7">
        <w:rPr>
          <w:rFonts w:ascii="Times New Roman" w:hAnsi="Times New Roman"/>
          <w:noProof/>
          <w:sz w:val="24"/>
        </w:rPr>
        <w:t>Planul Uniunii, strâns legat de planurile naționale și bazat pe acestea, va evolua în mod inevitabil. La fel ca în cazul planurilor naționale, evoluțiile politice, izbucnirile epidemice, modificările legislației UE și adoptarea sau punerea în aplicare a inițiativelor relevante ale UE trebuie să se reflecte în versiunile ulterioare ale planului. Prin urmare, atunci când se actualizează planul Uniunii, va fi esențial să se țină seama de feedbackul obținut în urma exercițiilor de simulare, de lecțiile învățate în urma crizelor sanitare reale, de evaluările legislației și inițiativelor UE, de experiența în materie de punere în aplicare și de resursele financiare disponibile.</w:t>
      </w:r>
    </w:p>
    <w:p w14:paraId="61B697A5" w14:textId="076A555B" w:rsidR="009D6F2F" w:rsidRPr="003D40C7" w:rsidRDefault="0DB192E9">
      <w:pPr>
        <w:jc w:val="both"/>
        <w:rPr>
          <w:rFonts w:ascii="Times New Roman" w:hAnsi="Times New Roman" w:cs="Times New Roman"/>
          <w:noProof/>
          <w:sz w:val="24"/>
          <w:szCs w:val="24"/>
        </w:rPr>
      </w:pPr>
      <w:r w:rsidRPr="003D40C7">
        <w:rPr>
          <w:rFonts w:ascii="Times New Roman" w:hAnsi="Times New Roman"/>
          <w:noProof/>
          <w:sz w:val="24"/>
        </w:rPr>
        <w:t xml:space="preserve">Pentru a se asigura că planul Uniunii continuă să își îndeplinească scopurile și obiectivele, acesta va fi testat periodic prin </w:t>
      </w:r>
      <w:r w:rsidRPr="003D40C7">
        <w:rPr>
          <w:rFonts w:ascii="Times New Roman" w:hAnsi="Times New Roman"/>
          <w:b/>
          <w:noProof/>
          <w:sz w:val="24"/>
        </w:rPr>
        <w:t>exerciții de simulare</w:t>
      </w:r>
      <w:r w:rsidRPr="003D40C7">
        <w:rPr>
          <w:rFonts w:ascii="Times New Roman" w:hAnsi="Times New Roman"/>
          <w:noProof/>
          <w:sz w:val="24"/>
        </w:rPr>
        <w:t>, primul dintre acestea fiind programat pentru 2026. Aceste exerciții vor testa conținutul planului Uniunii ca răspuns la diferite tipuri de amenințări emergente. În plus, sunt planificate alte exerciții de simulare, sesiuni de instruire și ateliere care se vor axa pe aspecte specifice ale prevenirii, pregătirii și răspunsului la crizele sanitare</w:t>
      </w:r>
      <w:r w:rsidRPr="003D40C7">
        <w:rPr>
          <w:rStyle w:val="FootnoteReference"/>
          <w:rFonts w:ascii="Times New Roman" w:hAnsi="Times New Roman" w:cs="Times New Roman"/>
          <w:noProof/>
          <w:sz w:val="24"/>
          <w:szCs w:val="24"/>
        </w:rPr>
        <w:footnoteReference w:id="50"/>
      </w:r>
      <w:r w:rsidRPr="003D40C7">
        <w:rPr>
          <w:rFonts w:ascii="Times New Roman" w:hAnsi="Times New Roman"/>
          <w:noProof/>
          <w:sz w:val="24"/>
        </w:rPr>
        <w:t xml:space="preserve">. </w:t>
      </w:r>
    </w:p>
    <w:p w14:paraId="3DA59106" w14:textId="1179EC1A" w:rsidR="009D6F2F" w:rsidRPr="003D40C7" w:rsidRDefault="1A4BCA98" w:rsidP="009D6F2F">
      <w:pPr>
        <w:jc w:val="both"/>
        <w:rPr>
          <w:rFonts w:ascii="Times New Roman" w:hAnsi="Times New Roman" w:cs="Times New Roman"/>
          <w:noProof/>
          <w:sz w:val="24"/>
          <w:szCs w:val="24"/>
        </w:rPr>
      </w:pPr>
      <w:r w:rsidRPr="003D40C7">
        <w:rPr>
          <w:rFonts w:ascii="Times New Roman" w:hAnsi="Times New Roman"/>
          <w:noProof/>
          <w:sz w:val="24"/>
        </w:rPr>
        <w:t>În cazul apariției unei crize sanitare, Comisia va efectua analize în timpul acțiunilor și după finalizarea acestora împreună cu statele membre. Colectarea informațiilor din aceste analize și integrarea lor în planul Uniunii vor fi esențiale. Acest lucru va contribui la menținerea caracterului adecvat al planului și la transformarea acestuia în cel mai eficient instrument posibil în toate etapele ciclului de prevenire, pregătire și răspuns.</w:t>
      </w:r>
    </w:p>
    <w:p w14:paraId="1591941F" w14:textId="538B73BD" w:rsidR="009D6F2F" w:rsidRPr="003D40C7" w:rsidRDefault="00DB0AA9" w:rsidP="009D6F2F">
      <w:pPr>
        <w:jc w:val="both"/>
        <w:rPr>
          <w:rFonts w:ascii="Times New Roman" w:hAnsi="Times New Roman" w:cs="Times New Roman"/>
          <w:b/>
          <w:bCs/>
          <w:noProof/>
          <w:sz w:val="24"/>
          <w:szCs w:val="24"/>
        </w:rPr>
      </w:pPr>
      <w:r w:rsidRPr="003D40C7">
        <w:rPr>
          <w:rFonts w:ascii="Times New Roman" w:hAnsi="Times New Roman"/>
          <w:noProof/>
          <w:sz w:val="24"/>
        </w:rPr>
        <w:t xml:space="preserve">Trebuie luate în considerare și rezultatele evaluărilor în curs a două elemente constitutive esențiale ale </w:t>
      </w:r>
      <w:r w:rsidRPr="003D40C7">
        <w:rPr>
          <w:rFonts w:ascii="Times New Roman" w:hAnsi="Times New Roman"/>
          <w:b/>
          <w:noProof/>
          <w:sz w:val="24"/>
        </w:rPr>
        <w:t>uniunii europene a sănătății</w:t>
      </w:r>
      <w:r w:rsidRPr="003D40C7">
        <w:rPr>
          <w:rFonts w:ascii="Times New Roman" w:hAnsi="Times New Roman"/>
          <w:noProof/>
          <w:sz w:val="24"/>
        </w:rPr>
        <w:t xml:space="preserve">: (i) </w:t>
      </w:r>
      <w:r w:rsidRPr="003D40C7">
        <w:rPr>
          <w:rFonts w:ascii="Times New Roman" w:hAnsi="Times New Roman"/>
          <w:b/>
          <w:noProof/>
          <w:sz w:val="24"/>
        </w:rPr>
        <w:t>punerea în aplicare a Regulamentului privind amenințările transfrontaliere grave pentru sănătate</w:t>
      </w:r>
      <w:r w:rsidRPr="003D40C7">
        <w:rPr>
          <w:rFonts w:ascii="Times New Roman" w:hAnsi="Times New Roman"/>
          <w:noProof/>
          <w:sz w:val="24"/>
        </w:rPr>
        <w:t xml:space="preserve"> și (ii) </w:t>
      </w:r>
      <w:r w:rsidRPr="003D40C7">
        <w:rPr>
          <w:rFonts w:ascii="Times New Roman" w:hAnsi="Times New Roman"/>
          <w:b/>
          <w:noProof/>
          <w:sz w:val="24"/>
        </w:rPr>
        <w:t>ECDC</w:t>
      </w:r>
      <w:r w:rsidRPr="003D40C7">
        <w:rPr>
          <w:rFonts w:ascii="Times New Roman" w:hAnsi="Times New Roman"/>
          <w:noProof/>
          <w:sz w:val="24"/>
        </w:rPr>
        <w:t xml:space="preserve"> în lumina mandatului său revizuit.</w:t>
      </w:r>
      <w:r w:rsidRPr="003D40C7">
        <w:rPr>
          <w:rFonts w:ascii="Times New Roman" w:hAnsi="Times New Roman"/>
          <w:b/>
          <w:noProof/>
          <w:sz w:val="24"/>
        </w:rPr>
        <w:t xml:space="preserve"> </w:t>
      </w:r>
      <w:r w:rsidRPr="003D40C7">
        <w:rPr>
          <w:rFonts w:ascii="Times New Roman" w:hAnsi="Times New Roman"/>
          <w:noProof/>
          <w:sz w:val="24"/>
        </w:rPr>
        <w:t>Se preconizează că rezultatele acestor evaluări vor fi publicate în T1-2026 și, respectiv, T2-2026.</w:t>
      </w:r>
    </w:p>
    <w:p w14:paraId="215F5B91" w14:textId="796B1313" w:rsidR="009D6F2F" w:rsidRPr="003D40C7" w:rsidRDefault="08F05ADE" w:rsidP="009D6F2F">
      <w:pPr>
        <w:jc w:val="both"/>
        <w:rPr>
          <w:rFonts w:ascii="Times New Roman" w:hAnsi="Times New Roman" w:cs="Times New Roman"/>
          <w:b/>
          <w:bCs/>
          <w:noProof/>
          <w:sz w:val="24"/>
          <w:szCs w:val="24"/>
        </w:rPr>
      </w:pPr>
      <w:r w:rsidRPr="003D40C7">
        <w:rPr>
          <w:rFonts w:ascii="Times New Roman" w:hAnsi="Times New Roman"/>
          <w:noProof/>
          <w:sz w:val="24"/>
        </w:rPr>
        <w:t xml:space="preserve">Punerea în aplicare a diferitelor acțiuni-cheie enumerate în planul de acțiune anexat la Strategia europeană privind o uniune a pregătirii ar trebui să fie luată în considerare în viitoarele revizuiri ale planului. Printre acestea se numără: (i) dezvoltarea unui </w:t>
      </w:r>
      <w:r w:rsidRPr="003D40C7">
        <w:rPr>
          <w:rFonts w:ascii="Times New Roman" w:hAnsi="Times New Roman"/>
          <w:b/>
          <w:noProof/>
          <w:sz w:val="24"/>
        </w:rPr>
        <w:t>centru al UE de coordonare în situații de criză</w:t>
      </w:r>
      <w:r w:rsidRPr="003D40C7">
        <w:rPr>
          <w:rFonts w:ascii="Times New Roman" w:hAnsi="Times New Roman"/>
          <w:noProof/>
          <w:sz w:val="24"/>
        </w:rPr>
        <w:t>, planificat pentru 2027; (ii) elaborarea unei</w:t>
      </w:r>
      <w:r w:rsidRPr="003D40C7">
        <w:rPr>
          <w:rFonts w:ascii="Times New Roman" w:hAnsi="Times New Roman"/>
          <w:b/>
          <w:noProof/>
          <w:sz w:val="24"/>
        </w:rPr>
        <w:t xml:space="preserve"> evaluări cuprinzătoare a riscurilor și amenințărilor la nivelul UE</w:t>
      </w:r>
      <w:r w:rsidRPr="003D40C7">
        <w:rPr>
          <w:rFonts w:ascii="Times New Roman" w:hAnsi="Times New Roman"/>
          <w:noProof/>
          <w:sz w:val="24"/>
        </w:rPr>
        <w:t xml:space="preserve"> (2026); (iii) adoptarea unor </w:t>
      </w:r>
      <w:r w:rsidRPr="003D40C7">
        <w:rPr>
          <w:rFonts w:ascii="Times New Roman" w:hAnsi="Times New Roman"/>
          <w:b/>
          <w:noProof/>
          <w:sz w:val="24"/>
        </w:rPr>
        <w:t>cerințe minime de pregătire</w:t>
      </w:r>
      <w:r w:rsidRPr="003D40C7">
        <w:rPr>
          <w:rFonts w:ascii="Times New Roman" w:hAnsi="Times New Roman"/>
          <w:noProof/>
          <w:sz w:val="24"/>
        </w:rPr>
        <w:t xml:space="preserve"> (2026) și (iv) stabilirea unor </w:t>
      </w:r>
      <w:r w:rsidRPr="003D40C7">
        <w:rPr>
          <w:rFonts w:ascii="Times New Roman" w:hAnsi="Times New Roman"/>
          <w:b/>
          <w:noProof/>
          <w:sz w:val="24"/>
        </w:rPr>
        <w:t xml:space="preserve">mecanisme cuprinzătoare de pregătire civil-militară </w:t>
      </w:r>
      <w:r w:rsidRPr="003D40C7">
        <w:rPr>
          <w:rFonts w:ascii="Times New Roman" w:hAnsi="Times New Roman"/>
          <w:noProof/>
          <w:sz w:val="24"/>
        </w:rPr>
        <w:t xml:space="preserve">(2027). </w:t>
      </w:r>
    </w:p>
    <w:p w14:paraId="7CD5B625" w14:textId="3D095255" w:rsidR="000D4560" w:rsidRPr="003D40C7" w:rsidRDefault="4AB5FA92" w:rsidP="672E3538">
      <w:pPr>
        <w:jc w:val="both"/>
        <w:rPr>
          <w:rFonts w:ascii="Times New Roman" w:hAnsi="Times New Roman" w:cs="Times New Roman"/>
          <w:i/>
          <w:iCs/>
          <w:noProof/>
          <w:sz w:val="24"/>
          <w:szCs w:val="24"/>
        </w:rPr>
      </w:pPr>
      <w:r w:rsidRPr="003D40C7">
        <w:rPr>
          <w:rFonts w:ascii="Times New Roman" w:hAnsi="Times New Roman"/>
          <w:noProof/>
          <w:sz w:val="24"/>
        </w:rPr>
        <w:t xml:space="preserve">Planul de acțiune anexat la Strategia europeană privind o Uniune a pregătirii include, de asemenea, două strategii care au fost adoptate în 2025. </w:t>
      </w:r>
      <w:r w:rsidRPr="003D40C7">
        <w:rPr>
          <w:rFonts w:ascii="Times New Roman" w:hAnsi="Times New Roman"/>
          <w:b/>
          <w:noProof/>
          <w:sz w:val="24"/>
        </w:rPr>
        <w:t>Strategia privind contramăsurile medicale</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51"/>
      </w:r>
      <w:r w:rsidRPr="003D40C7">
        <w:rPr>
          <w:rFonts w:ascii="Times New Roman" w:hAnsi="Times New Roman"/>
          <w:noProof/>
          <w:sz w:val="24"/>
        </w:rPr>
        <w:t xml:space="preserve">) urmărește să consolideze capacitățile de pregătire și de răspuns ale Uniunii pentru următoarea urgență sanitară, indiferent de originea sa, prin asigurarea accesului la contramăsuri medicale precum vaccinuri, medicamente, mijloace de diagnosticare și alte instrumente medicale și a disponibilității acestora în orice moment. </w:t>
      </w:r>
      <w:r w:rsidRPr="003D40C7">
        <w:rPr>
          <w:rFonts w:ascii="Times New Roman" w:hAnsi="Times New Roman"/>
          <w:b/>
          <w:noProof/>
          <w:sz w:val="24"/>
        </w:rPr>
        <w:t>Strategia de constituire de stocuri</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52"/>
      </w:r>
      <w:r w:rsidRPr="003D40C7">
        <w:rPr>
          <w:rFonts w:ascii="Times New Roman" w:hAnsi="Times New Roman"/>
          <w:noProof/>
          <w:sz w:val="24"/>
        </w:rPr>
        <w:t>) urmărește să constituie și să mențină rezerve strategice de provizii medicale esențiale pentru o mobilizare rapidă.</w:t>
      </w:r>
      <w:r w:rsidR="003D40C7">
        <w:rPr>
          <w:rFonts w:ascii="Times New Roman" w:hAnsi="Times New Roman"/>
          <w:noProof/>
          <w:sz w:val="24"/>
        </w:rPr>
        <w:t xml:space="preserve"> </w:t>
      </w:r>
      <w:r w:rsidRPr="003D40C7">
        <w:rPr>
          <w:rFonts w:ascii="Times New Roman" w:hAnsi="Times New Roman"/>
          <w:noProof/>
          <w:sz w:val="24"/>
        </w:rPr>
        <w:t xml:space="preserve">Punerea în aplicare a ambelor strategii se va axa pe măsuri specifice relevante pentru planul Uniunii. </w:t>
      </w:r>
    </w:p>
    <w:p w14:paraId="7965DA13" w14:textId="428DC09E" w:rsidR="009D6F2F" w:rsidRPr="003D40C7" w:rsidRDefault="00A36E06" w:rsidP="1EB16524">
      <w:pPr>
        <w:jc w:val="both"/>
        <w:rPr>
          <w:rFonts w:ascii="Times New Roman" w:hAnsi="Times New Roman" w:cs="Times New Roman"/>
          <w:i/>
          <w:iCs/>
          <w:noProof/>
          <w:sz w:val="24"/>
          <w:szCs w:val="24"/>
        </w:rPr>
      </w:pPr>
      <w:r w:rsidRPr="003D40C7">
        <w:rPr>
          <w:rFonts w:ascii="Times New Roman" w:hAnsi="Times New Roman"/>
          <w:noProof/>
          <w:sz w:val="24"/>
        </w:rPr>
        <w:t xml:space="preserve">Propunerile din următorul cadru financiar multianual, care sunt în curs de examinare de către colegiuitori, vor avea, de asemenea, implicații importante pentru conținutul planului Uniunii. În special, propunerea Comisiei privind un </w:t>
      </w:r>
      <w:r w:rsidRPr="003D40C7">
        <w:rPr>
          <w:rFonts w:ascii="Times New Roman" w:hAnsi="Times New Roman"/>
          <w:b/>
          <w:noProof/>
          <w:sz w:val="24"/>
        </w:rPr>
        <w:t>Fond european pentru competitivitate</w:t>
      </w:r>
      <w:r w:rsidRPr="003D40C7">
        <w:rPr>
          <w:rFonts w:ascii="Times New Roman" w:hAnsi="Times New Roman"/>
          <w:noProof/>
          <w:sz w:val="24"/>
        </w:rPr>
        <w:t> (</w:t>
      </w:r>
      <w:r w:rsidRPr="003D40C7">
        <w:rPr>
          <w:rStyle w:val="FootnoteReference"/>
          <w:rFonts w:ascii="Times New Roman" w:hAnsi="Times New Roman" w:cs="Times New Roman"/>
          <w:noProof/>
          <w:sz w:val="24"/>
          <w:szCs w:val="24"/>
        </w:rPr>
        <w:footnoteReference w:id="53"/>
      </w:r>
      <w:r w:rsidRPr="003D40C7">
        <w:rPr>
          <w:rFonts w:ascii="Times New Roman" w:hAnsi="Times New Roman"/>
          <w:noProof/>
          <w:sz w:val="24"/>
        </w:rPr>
        <w:t>) se axează pe promovarea inovării și a competitivității în sectorul sănătății, asigurând în același timp securitatea aprovizionării și stimulând capacitatea și competențele industriale pentru a răspunde viitoarelor amenințări transfrontaliere grave pentru sănătate, în conformitate cu abordarea de tip „O singură sănătate”.</w:t>
      </w:r>
    </w:p>
    <w:p w14:paraId="7FB424A7" w14:textId="3317E17F" w:rsidR="00963102" w:rsidRPr="003D40C7" w:rsidRDefault="66757C4F" w:rsidP="672E3538">
      <w:pPr>
        <w:jc w:val="both"/>
        <w:rPr>
          <w:rFonts w:ascii="Times New Roman" w:hAnsi="Times New Roman" w:cs="Times New Roman"/>
          <w:i/>
          <w:iCs/>
          <w:noProof/>
          <w:sz w:val="24"/>
          <w:szCs w:val="24"/>
        </w:rPr>
      </w:pPr>
      <w:r w:rsidRPr="003D40C7">
        <w:rPr>
          <w:rFonts w:ascii="Times New Roman" w:hAnsi="Times New Roman"/>
          <w:noProof/>
          <w:sz w:val="24"/>
        </w:rPr>
        <w:t xml:space="preserve">În plus, propunerea Comisiei de a consolida </w:t>
      </w:r>
      <w:r w:rsidRPr="003D40C7">
        <w:rPr>
          <w:rFonts w:ascii="Times New Roman" w:hAnsi="Times New Roman"/>
          <w:b/>
          <w:noProof/>
          <w:sz w:val="24"/>
        </w:rPr>
        <w:t>mecanismul de protecție civilă al Uniunii și sprijinul Uniunii pentru pregătirea și răspunsul în caz de urgență sanitară</w:t>
      </w:r>
      <w:r w:rsidRPr="003D40C7">
        <w:rPr>
          <w:rFonts w:ascii="Times New Roman" w:hAnsi="Times New Roman"/>
          <w:noProof/>
          <w:sz w:val="24"/>
        </w:rPr>
        <w:t> (</w:t>
      </w:r>
      <w:r w:rsidRPr="003D40C7">
        <w:rPr>
          <w:noProof/>
          <w:vertAlign w:val="superscript"/>
        </w:rPr>
        <w:footnoteReference w:id="54"/>
      </w:r>
      <w:r w:rsidRPr="003D40C7">
        <w:rPr>
          <w:rFonts w:ascii="Times New Roman" w:hAnsi="Times New Roman"/>
          <w:noProof/>
          <w:sz w:val="24"/>
        </w:rPr>
        <w:t>)</w:t>
      </w:r>
      <w:r w:rsidRPr="003D40C7">
        <w:rPr>
          <w:rFonts w:ascii="Times New Roman" w:hAnsi="Times New Roman"/>
          <w:noProof/>
          <w:sz w:val="18"/>
        </w:rPr>
        <w:t xml:space="preserve"> </w:t>
      </w:r>
      <w:r w:rsidRPr="003D40C7">
        <w:rPr>
          <w:rFonts w:ascii="Times New Roman" w:hAnsi="Times New Roman"/>
          <w:noProof/>
          <w:sz w:val="24"/>
        </w:rPr>
        <w:t xml:space="preserve">urmărește să consolideze prevenirea, pregătirea și răspunsul UE la crize. </w:t>
      </w:r>
    </w:p>
    <w:p w14:paraId="3A7BC879" w14:textId="6384916E" w:rsidR="5049005B" w:rsidRPr="003D40C7" w:rsidRDefault="0CDE1B6D" w:rsidP="000E2A02">
      <w:pPr>
        <w:jc w:val="both"/>
        <w:rPr>
          <w:rFonts w:ascii="Times New Roman" w:eastAsia="Times New Roman" w:hAnsi="Times New Roman" w:cs="Times New Roman"/>
          <w:noProof/>
          <w:sz w:val="24"/>
          <w:szCs w:val="24"/>
        </w:rPr>
      </w:pPr>
      <w:r w:rsidRPr="003D40C7">
        <w:rPr>
          <w:rFonts w:ascii="Times New Roman" w:hAnsi="Times New Roman"/>
          <w:noProof/>
          <w:color w:val="000000" w:themeColor="text1"/>
          <w:sz w:val="24"/>
        </w:rPr>
        <w:t xml:space="preserve">În plus, </w:t>
      </w:r>
      <w:r w:rsidRPr="003D40C7">
        <w:rPr>
          <w:rFonts w:ascii="Times New Roman" w:hAnsi="Times New Roman"/>
          <w:b/>
          <w:noProof/>
          <w:color w:val="000000" w:themeColor="text1"/>
          <w:sz w:val="24"/>
        </w:rPr>
        <w:t xml:space="preserve">parteneriatul european de pregătire pentru pandemii (BE READY), </w:t>
      </w:r>
      <w:r w:rsidRPr="003D40C7">
        <w:rPr>
          <w:rFonts w:ascii="Times New Roman" w:hAnsi="Times New Roman"/>
          <w:noProof/>
          <w:sz w:val="24"/>
        </w:rPr>
        <w:t>un parteneriat de cercetare finanțat în cadrul programului Orizont Europa (</w:t>
      </w:r>
      <w:r w:rsidRPr="003D40C7">
        <w:rPr>
          <w:rStyle w:val="FootnoteReference"/>
          <w:rFonts w:ascii="Times New Roman" w:eastAsia="Times New Roman" w:hAnsi="Times New Roman" w:cs="Times New Roman"/>
          <w:noProof/>
          <w:sz w:val="24"/>
          <w:szCs w:val="24"/>
        </w:rPr>
        <w:footnoteReference w:id="55"/>
      </w:r>
      <w:r w:rsidRPr="003D40C7">
        <w:rPr>
          <w:rFonts w:ascii="Times New Roman" w:hAnsi="Times New Roman"/>
          <w:noProof/>
          <w:sz w:val="24"/>
        </w:rPr>
        <w:t>), urmează să fie lansat în ianuarie 2026 și va reuni o rețea paneuropeană de cercetare durabilă, capabilă să răspundă rapid și eficace la viitoarele crize sanitare (</w:t>
      </w:r>
      <w:r w:rsidRPr="003D40C7">
        <w:rPr>
          <w:rStyle w:val="FootnoteReference"/>
          <w:rFonts w:ascii="Times New Roman" w:eastAsia="Times New Roman" w:hAnsi="Times New Roman" w:cs="Times New Roman"/>
          <w:noProof/>
          <w:sz w:val="24"/>
          <w:szCs w:val="24"/>
        </w:rPr>
        <w:footnoteReference w:id="56"/>
      </w:r>
      <w:r w:rsidRPr="003D40C7">
        <w:rPr>
          <w:rFonts w:ascii="Times New Roman" w:hAnsi="Times New Roman"/>
          <w:noProof/>
          <w:sz w:val="24"/>
        </w:rPr>
        <w:t xml:space="preserve">). </w:t>
      </w:r>
    </w:p>
    <w:p w14:paraId="07120993" w14:textId="53263489" w:rsidR="00476272" w:rsidRPr="003D40C7" w:rsidRDefault="6273E464" w:rsidP="0F6BD95C">
      <w:pPr>
        <w:jc w:val="both"/>
        <w:rPr>
          <w:rFonts w:ascii="Times New Roman" w:hAnsi="Times New Roman" w:cs="Times New Roman"/>
          <w:noProof/>
          <w:sz w:val="24"/>
          <w:szCs w:val="24"/>
        </w:rPr>
      </w:pPr>
      <w:r w:rsidRPr="003D40C7">
        <w:rPr>
          <w:rFonts w:ascii="Times New Roman" w:hAnsi="Times New Roman"/>
          <w:b/>
          <w:noProof/>
          <w:sz w:val="24"/>
        </w:rPr>
        <w:t>Punerea în aplicare cu succes a planului Uniunii și actualizările viitoare ale acestuia</w:t>
      </w:r>
      <w:r w:rsidRPr="003D40C7">
        <w:rPr>
          <w:rFonts w:ascii="Times New Roman" w:hAnsi="Times New Roman"/>
          <w:noProof/>
          <w:sz w:val="24"/>
        </w:rPr>
        <w:t xml:space="preserve"> vor fi realizate printr-un efort de colaborare între Comisie, alte instituții, agenții și organe ale UE și statele membre. Comitetul pentru securitate sanitară va continua să fie platforma pentru coordonarea periodică a punerii în aplicare a planului Uniunii. În același timp, Comisia va face schimb activ de cunoștințe și de bune practici cu toate părțile interesate, inclusiv cu autoritățile competente ale statelor membre, printr-o serie de canale de comunicare, inclusiv prin evenimente-cheie. Împreună, vom depune eforturi pentru a construi o Uniune Europeană mai puternică, mai favorabilă incluziunii și mai rezilientă, în care nimeni nu este lăsat în urmă, și pentru a promova o cultură a cooperării și a acțiunii colective în vederea protejării sănătății și bunăstării populației.</w:t>
      </w:r>
    </w:p>
    <w:sectPr w:rsidR="00476272" w:rsidRPr="003D40C7" w:rsidSect="00F102B9">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CFAD15" w14:textId="77777777" w:rsidR="007B068D" w:rsidRPr="003D40C7" w:rsidRDefault="007B068D">
      <w:pPr>
        <w:spacing w:after="0" w:line="240" w:lineRule="auto"/>
      </w:pPr>
      <w:r w:rsidRPr="003D40C7">
        <w:separator/>
      </w:r>
    </w:p>
  </w:endnote>
  <w:endnote w:type="continuationSeparator" w:id="0">
    <w:p w14:paraId="60C66047" w14:textId="77777777" w:rsidR="007B068D" w:rsidRPr="003D40C7" w:rsidRDefault="007B068D">
      <w:pPr>
        <w:spacing w:after="0" w:line="240" w:lineRule="auto"/>
      </w:pPr>
      <w:r w:rsidRPr="003D40C7">
        <w:continuationSeparator/>
      </w:r>
    </w:p>
  </w:endnote>
  <w:endnote w:type="continuationNotice" w:id="1">
    <w:p w14:paraId="0163E6F1" w14:textId="77777777" w:rsidR="007B068D" w:rsidRPr="003D40C7" w:rsidRDefault="007B06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42D57" w14:textId="5505BE45" w:rsidR="0098573B" w:rsidRPr="0098573B" w:rsidRDefault="0098573B" w:rsidP="0098573B">
    <w:pPr>
      <w:pStyle w:val="FooterCoverPage"/>
      <w:rPr>
        <w:rFonts w:ascii="Arial" w:hAnsi="Arial" w:cs="Arial"/>
        <w:b/>
        <w:sz w:val="48"/>
      </w:rPr>
    </w:pPr>
    <w:r w:rsidRPr="0098573B">
      <w:rPr>
        <w:rFonts w:ascii="Arial" w:hAnsi="Arial" w:cs="Arial"/>
        <w:b/>
        <w:sz w:val="48"/>
      </w:rPr>
      <w:t>RO</w:t>
    </w:r>
    <w:r w:rsidRPr="0098573B">
      <w:rPr>
        <w:rFonts w:ascii="Arial" w:hAnsi="Arial" w:cs="Arial"/>
        <w:b/>
        <w:sz w:val="48"/>
      </w:rPr>
      <w:tab/>
    </w:r>
    <w:r w:rsidRPr="0098573B">
      <w:rPr>
        <w:rFonts w:ascii="Arial" w:hAnsi="Arial" w:cs="Arial"/>
        <w:b/>
        <w:sz w:val="48"/>
      </w:rPr>
      <w:tab/>
    </w:r>
    <w:r w:rsidRPr="0098573B">
      <w:tab/>
    </w:r>
    <w:r w:rsidRPr="0098573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DBF72" w14:textId="1F517391" w:rsidR="0098573B" w:rsidRPr="0098573B" w:rsidRDefault="0098573B" w:rsidP="0098573B">
    <w:pPr>
      <w:pStyle w:val="FooterCoverPage"/>
      <w:rPr>
        <w:rFonts w:ascii="Arial" w:hAnsi="Arial" w:cs="Arial"/>
        <w:b/>
        <w:sz w:val="48"/>
      </w:rPr>
    </w:pPr>
    <w:r w:rsidRPr="0098573B">
      <w:rPr>
        <w:rFonts w:ascii="Arial" w:hAnsi="Arial" w:cs="Arial"/>
        <w:b/>
        <w:sz w:val="48"/>
      </w:rPr>
      <w:t>RO</w:t>
    </w:r>
    <w:r w:rsidRPr="0098573B">
      <w:rPr>
        <w:rFonts w:ascii="Arial" w:hAnsi="Arial" w:cs="Arial"/>
        <w:b/>
        <w:sz w:val="48"/>
      </w:rPr>
      <w:tab/>
    </w:r>
    <w:r w:rsidRPr="0098573B">
      <w:rPr>
        <w:rFonts w:ascii="Arial" w:hAnsi="Arial" w:cs="Arial"/>
        <w:b/>
        <w:sz w:val="48"/>
      </w:rPr>
      <w:tab/>
    </w:r>
    <w:r w:rsidRPr="0098573B">
      <w:tab/>
    </w:r>
    <w:r w:rsidRPr="0098573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BFDA4" w14:textId="77777777" w:rsidR="0098573B" w:rsidRPr="0098573B" w:rsidRDefault="0098573B" w:rsidP="0098573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646EE" w14:textId="77777777" w:rsidR="000F47B8" w:rsidRPr="003D40C7" w:rsidRDefault="000F47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74DB4" w14:textId="71E7A022" w:rsidR="00CC21E9" w:rsidRPr="003D40C7" w:rsidRDefault="00CC21E9">
    <w:pPr>
      <w:pStyle w:val="Footer"/>
      <w:jc w:val="center"/>
      <w:rPr>
        <w:rFonts w:ascii="Times New Roman" w:hAnsi="Times New Roman" w:cs="Times New Roman"/>
        <w:caps/>
        <w:color w:val="4F81BD" w:themeColor="accent1"/>
      </w:rPr>
    </w:pPr>
    <w:r w:rsidRPr="003D40C7">
      <w:rPr>
        <w:rFonts w:ascii="Times New Roman" w:hAnsi="Times New Roman" w:cs="Times New Roman"/>
        <w:caps/>
        <w:color w:val="4F81BD" w:themeColor="accent1"/>
      </w:rPr>
      <w:fldChar w:fldCharType="begin"/>
    </w:r>
    <w:r w:rsidRPr="003D40C7">
      <w:rPr>
        <w:rFonts w:ascii="Times New Roman" w:hAnsi="Times New Roman" w:cs="Times New Roman"/>
        <w:caps/>
        <w:color w:val="4F81BD" w:themeColor="accent1"/>
      </w:rPr>
      <w:instrText xml:space="preserve"> PAGE   \* MERGEFORMAT </w:instrText>
    </w:r>
    <w:r w:rsidRPr="003D40C7">
      <w:rPr>
        <w:rFonts w:ascii="Times New Roman" w:hAnsi="Times New Roman" w:cs="Times New Roman"/>
        <w:caps/>
        <w:color w:val="4F81BD" w:themeColor="accent1"/>
      </w:rPr>
      <w:fldChar w:fldCharType="separate"/>
    </w:r>
    <w:r w:rsidR="0098573B">
      <w:rPr>
        <w:rFonts w:ascii="Times New Roman" w:hAnsi="Times New Roman" w:cs="Times New Roman"/>
        <w:caps/>
        <w:noProof/>
        <w:color w:val="4F81BD" w:themeColor="accent1"/>
      </w:rPr>
      <w:t>1</w:t>
    </w:r>
    <w:r w:rsidRPr="003D40C7">
      <w:rPr>
        <w:rFonts w:ascii="Times New Roman" w:hAnsi="Times New Roman" w:cs="Times New Roman"/>
        <w:caps/>
        <w:color w:val="4F81BD" w:themeColor="accent1"/>
      </w:rPr>
      <w:fldChar w:fldCharType="end"/>
    </w:r>
  </w:p>
  <w:p w14:paraId="5B3CCFAD" w14:textId="77777777" w:rsidR="00AA43C7" w:rsidRPr="003D40C7" w:rsidRDefault="00AA43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9BCFA" w14:textId="77777777" w:rsidR="000F47B8" w:rsidRPr="003D40C7" w:rsidRDefault="000F4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BD54F" w14:textId="77777777" w:rsidR="007B068D" w:rsidRPr="003D40C7" w:rsidRDefault="007B068D">
      <w:pPr>
        <w:spacing w:after="0" w:line="240" w:lineRule="auto"/>
      </w:pPr>
      <w:r w:rsidRPr="003D40C7">
        <w:separator/>
      </w:r>
    </w:p>
  </w:footnote>
  <w:footnote w:type="continuationSeparator" w:id="0">
    <w:p w14:paraId="7E8E1E49" w14:textId="77777777" w:rsidR="007B068D" w:rsidRPr="003D40C7" w:rsidRDefault="007B068D">
      <w:pPr>
        <w:spacing w:after="0" w:line="240" w:lineRule="auto"/>
      </w:pPr>
      <w:r w:rsidRPr="003D40C7">
        <w:continuationSeparator/>
      </w:r>
    </w:p>
  </w:footnote>
  <w:footnote w:type="continuationNotice" w:id="1">
    <w:p w14:paraId="2AE03845" w14:textId="77777777" w:rsidR="007B068D" w:rsidRPr="003D40C7" w:rsidRDefault="007B068D">
      <w:pPr>
        <w:spacing w:after="0" w:line="240" w:lineRule="auto"/>
      </w:pPr>
    </w:p>
  </w:footnote>
  <w:footnote w:id="2">
    <w:p w14:paraId="136ABB57" w14:textId="49584019" w:rsidR="00102EAB" w:rsidRPr="003D40C7" w:rsidRDefault="00102EAB" w:rsidP="00C13BC7">
      <w:pPr>
        <w:pStyle w:val="FootnoteText"/>
        <w:ind w:left="720" w:hanging="720"/>
        <w:jc w:val="both"/>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Un studiu recent arată că prevenirea pandemiilor virale costă doar o mică parte din ceea ce se pierde atunci când acestea se produc: mai puțin de 5 % din valoarea pierderilor de vieți omenești și 10 % din pagubele economice cauzate de aceste tipuri de epidemii. A.S. Bernstein et al., 4 februarie 2022, Science Advances: https://www.science.org/doi/10.1126/sciadv.abl4183. </w:t>
      </w:r>
    </w:p>
  </w:footnote>
  <w:footnote w:id="3">
    <w:p w14:paraId="7AC60D4F" w14:textId="30FFBAF8" w:rsidR="001730AC" w:rsidRPr="003D40C7" w:rsidRDefault="001730AC">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Regulamentul (UE) 2022/2371, JO L 314, 6.12.2022, p. 26. </w:t>
      </w:r>
    </w:p>
  </w:footnote>
  <w:footnote w:id="4">
    <w:p w14:paraId="50E05E9A" w14:textId="70ACE8BD" w:rsidR="00391518" w:rsidRPr="003D40C7" w:rsidRDefault="00391518">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Regulamentul (UE) 2022/2370, JO L 314, 6.12.2022, p. 1. </w:t>
      </w:r>
    </w:p>
  </w:footnote>
  <w:footnote w:id="5">
    <w:p w14:paraId="18099349" w14:textId="51F9A6F2" w:rsidR="005E3B8E" w:rsidRPr="003D40C7" w:rsidRDefault="005E3B8E">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Regulamentul (UE) 2022/123, JO L 20, 31.1.2022, p. 1.</w:t>
      </w:r>
    </w:p>
  </w:footnote>
  <w:footnote w:id="6">
    <w:p w14:paraId="02A5F1E7" w14:textId="6F9EBF15" w:rsidR="006275CA" w:rsidRPr="003D40C7" w:rsidRDefault="006275CA" w:rsidP="006275CA">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C(2021) 6712 final. </w:t>
      </w:r>
    </w:p>
  </w:footnote>
  <w:footnote w:id="7">
    <w:p w14:paraId="0829604C" w14:textId="17866866" w:rsidR="00173706" w:rsidRPr="003D40C7" w:rsidRDefault="00173706">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Pr="003D40C7">
        <w:tab/>
      </w:r>
      <w:r w:rsidRPr="003D40C7">
        <w:rPr>
          <w:rFonts w:ascii="Times New Roman" w:hAnsi="Times New Roman"/>
        </w:rPr>
        <w:t>Regulamentul (UE) 2022/2372 al Consiliului, JO L 314, 6.12.2022, p. 64.</w:t>
      </w:r>
    </w:p>
  </w:footnote>
  <w:footnote w:id="8">
    <w:p w14:paraId="6002ABC3" w14:textId="0836F983" w:rsidR="009D6C6E" w:rsidRPr="003D40C7" w:rsidRDefault="009D6C6E" w:rsidP="009D6C6E">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https://commission.europa.eu/topics/preparedness_en</w:t>
      </w:r>
      <w:r w:rsidRPr="003D40C7">
        <w:t>.</w:t>
      </w:r>
    </w:p>
  </w:footnote>
  <w:footnote w:id="9">
    <w:p w14:paraId="76CB0E93" w14:textId="599FE0DD" w:rsidR="0090169F" w:rsidRPr="003D40C7" w:rsidRDefault="0090169F">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Strategia adoptă o abordare care pregătește pentru o gamă largă de amenințări.</w:t>
      </w:r>
    </w:p>
  </w:footnote>
  <w:footnote w:id="10">
    <w:p w14:paraId="5DA0B909" w14:textId="41BCABEF" w:rsidR="002B42C0" w:rsidRPr="003D40C7" w:rsidRDefault="002B42C0" w:rsidP="002B42C0">
      <w:pPr>
        <w:pStyle w:val="FootnoteText"/>
        <w:ind w:left="709" w:hanging="709"/>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Strategia include adoptarea unei abordări mai proactive, la nivelul întregii administrații, a gestionării crizelor, atât în sectorul civil, cât și în cel militar.</w:t>
      </w:r>
    </w:p>
  </w:footnote>
  <w:footnote w:id="11">
    <w:p w14:paraId="7B3B1AA6" w14:textId="658259B2" w:rsidR="002B42C0" w:rsidRPr="003D40C7" w:rsidRDefault="002B42C0" w:rsidP="003D40C7">
      <w:pPr>
        <w:pStyle w:val="FootnoteText"/>
        <w:ind w:left="709" w:hanging="709"/>
        <w:jc w:val="both"/>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Abordarea strategiei la nivelul întregii societăți înseamnă că comunitățile locale, organizațiile societății civile, partenerii economici și sociali, cadrele universitare și alți actori esențiali joacă un rol în promovarea unei culturi a pregătirii în întreaga UE.</w:t>
      </w:r>
    </w:p>
  </w:footnote>
  <w:footnote w:id="12">
    <w:p w14:paraId="729717FA" w14:textId="1464A917" w:rsidR="004127E2" w:rsidRPr="003D40C7" w:rsidRDefault="004127E2" w:rsidP="003D40C7">
      <w:pPr>
        <w:pStyle w:val="FootnoteText"/>
        <w:ind w:left="709" w:hanging="709"/>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Anexă la Strategia europeană privind o Uniune a pregătirii: https://commission.europa.eu/topics/preparedness_en.</w:t>
      </w:r>
    </w:p>
  </w:footnote>
  <w:footnote w:id="13">
    <w:p w14:paraId="7B440A52" w14:textId="74B78DFA" w:rsidR="001742D3" w:rsidRPr="003D40C7" w:rsidRDefault="001742D3" w:rsidP="001742D3">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Articolul 5 din Regulamentul (UE) 2022/2371.</w:t>
      </w:r>
    </w:p>
  </w:footnote>
  <w:footnote w:id="14">
    <w:p w14:paraId="588EC401" w14:textId="40CE999F" w:rsidR="00662A66" w:rsidRPr="003D40C7" w:rsidRDefault="00662A66" w:rsidP="002B42C0">
      <w:pPr>
        <w:pStyle w:val="FootnoteText"/>
        <w:tabs>
          <w:tab w:val="left" w:pos="709"/>
        </w:tabs>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Considerentul 38 din Regulamentul (UE) 2022/2371.</w:t>
      </w:r>
    </w:p>
  </w:footnote>
  <w:footnote w:id="15">
    <w:p w14:paraId="78024788" w14:textId="50E82E85" w:rsidR="00662A66" w:rsidRPr="003D40C7" w:rsidRDefault="00662A66" w:rsidP="00662A66">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https://health.ec.europa.eu/system/files/2023-10/international_ghs-report-2022_en.pdf</w:t>
      </w:r>
      <w:r w:rsidRPr="003D40C7">
        <w:t>.</w:t>
      </w:r>
    </w:p>
  </w:footnote>
  <w:footnote w:id="16">
    <w:p w14:paraId="0A7F1F33" w14:textId="764D8246" w:rsidR="00662A66" w:rsidRPr="003D40C7" w:rsidRDefault="00662A66" w:rsidP="00662A66">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https://commission.europa.eu/topics/international-partnerships/global-gateway_en</w:t>
      </w:r>
      <w:r w:rsidRPr="003D40C7">
        <w:t>.</w:t>
      </w:r>
    </w:p>
  </w:footnote>
  <w:footnote w:id="17">
    <w:p w14:paraId="49DCA57E" w14:textId="2030B38F" w:rsidR="00662A66" w:rsidRPr="003D40C7" w:rsidRDefault="00662A66" w:rsidP="00662A66">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https://commission.europa.eu/strategy-and-policy/state-union/state-union-2025_ro</w:t>
      </w:r>
      <w:r w:rsidRPr="003D40C7">
        <w:t>.</w:t>
      </w:r>
    </w:p>
  </w:footnote>
  <w:footnote w:id="18">
    <w:p w14:paraId="1F5D2359" w14:textId="0CAD1B9F" w:rsidR="0002656A" w:rsidRPr="003D40C7" w:rsidRDefault="0002656A" w:rsidP="0002656A">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În perioada 1-29 octombrie 2025 a fost deschisă o consultare publică (cerere de contribuții), la care s-au primit 57 de răspunsuri, în principal din partea organizațiilor neguvernamentale și a asociațiilor de întreprinderi. </w:t>
      </w:r>
    </w:p>
  </w:footnote>
  <w:footnote w:id="19">
    <w:p w14:paraId="6435089E" w14:textId="716E3260" w:rsidR="008C0A3C" w:rsidRPr="003D40C7" w:rsidRDefault="008C0A3C" w:rsidP="00D61EA4">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De exemplu, https://commission.europa.eu/topics/defence/safer-together-path-towards-fully-prepared-union_en, https://home-affairs.ec.europa.eu/policies/internal-security_en și https://health.ec.europa.eu/latest-updates/hera-review-taking-stock-reinforce-health-security-eu-2025-03-26_en</w:t>
      </w:r>
      <w:r w:rsidRPr="003D40C7">
        <w:t>.</w:t>
      </w:r>
    </w:p>
  </w:footnote>
  <w:footnote w:id="20">
    <w:p w14:paraId="3CF3B17A" w14:textId="2B8F8EE1" w:rsidR="00060691" w:rsidRPr="003D40C7" w:rsidRDefault="00060691" w:rsidP="00060691">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Articolul 2 alineatul (1) din Regulamentul (UE) 2022/2371.</w:t>
      </w:r>
    </w:p>
  </w:footnote>
  <w:footnote w:id="21">
    <w:p w14:paraId="6BEC705B" w14:textId="6AA0EE39" w:rsidR="00060691" w:rsidRPr="003D40C7" w:rsidRDefault="00060691" w:rsidP="00060691">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Articolul 2 alineatul (4) din Regulamentul (UE) 2022/2371. </w:t>
      </w:r>
    </w:p>
  </w:footnote>
  <w:footnote w:id="22">
    <w:p w14:paraId="28DDA24A" w14:textId="29A8618B" w:rsidR="00D80D80" w:rsidRPr="003D40C7" w:rsidRDefault="00D80D80" w:rsidP="00483211">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„O singură sănătate” este o abordare care recunoaște interconexiunea dintre sănătatea umană, cea animală și cea a mediului, promovând colaborarea interdisciplinară pentru a preveni, a detecta și a răspunde amenințărilor la adresa sănătății.</w:t>
      </w:r>
    </w:p>
  </w:footnote>
  <w:footnote w:id="23">
    <w:p w14:paraId="5554E683" w14:textId="0B470A17" w:rsidR="000E5285" w:rsidRPr="003D40C7" w:rsidRDefault="000E5285">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Pr="003D40C7">
        <w:tab/>
      </w:r>
      <w:r w:rsidRPr="003D40C7">
        <w:rPr>
          <w:rFonts w:ascii="Times New Roman" w:hAnsi="Times New Roman"/>
        </w:rPr>
        <w:t>Articolul 7 alineatul (1) din Regulamentul (UE) 2022/2371.</w:t>
      </w:r>
    </w:p>
  </w:footnote>
  <w:footnote w:id="24">
    <w:p w14:paraId="492262B3" w14:textId="77777777" w:rsidR="00D5701D" w:rsidRPr="003D40C7" w:rsidRDefault="00D5701D" w:rsidP="00D5701D">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rPr>
          <w:rStyle w:val="FootnoteReference"/>
          <w:rFonts w:ascii="Times New Roman" w:hAnsi="Times New Roman"/>
        </w:rPr>
        <w:t xml:space="preserve"> </w:t>
      </w:r>
      <w:r w:rsidRPr="003D40C7">
        <w:tab/>
      </w:r>
      <w:r w:rsidRPr="003D40C7">
        <w:rPr>
          <w:rFonts w:ascii="Times New Roman" w:hAnsi="Times New Roman"/>
        </w:rPr>
        <w:t>https://health.ec.europa.eu/health-security-and-infectious-diseases/crisis-management_ro#health-security-committee.</w:t>
      </w:r>
    </w:p>
  </w:footnote>
  <w:footnote w:id="25">
    <w:p w14:paraId="5147C587" w14:textId="77777777" w:rsidR="007F248D" w:rsidRPr="003D40C7" w:rsidRDefault="007F248D" w:rsidP="007F248D">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https://www.ecdc.europa.eu/en/about-ecdc/what-we-do/public-health-emergency-preparedness-assessments</w:t>
      </w:r>
      <w:r w:rsidRPr="003D40C7">
        <w:t>.</w:t>
      </w:r>
    </w:p>
  </w:footnote>
  <w:footnote w:id="26">
    <w:p w14:paraId="59E745B4" w14:textId="3BB2E318" w:rsidR="00993893" w:rsidRPr="003D40C7" w:rsidRDefault="00993893" w:rsidP="003D40C7">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003D40C7">
        <w:rPr>
          <w:rFonts w:ascii="Times New Roman" w:hAnsi="Times New Roman"/>
        </w:rPr>
        <w:tab/>
      </w:r>
      <w:r w:rsidRPr="003D40C7">
        <w:rPr>
          <w:rFonts w:ascii="Times New Roman" w:hAnsi="Times New Roman"/>
        </w:rPr>
        <w:t>https://health.ec.europa.eu/publications/recommendations-common-eu-approach-regarding-vaccination-policies-monkeypox-outbreak-response_en</w:t>
      </w:r>
      <w:r w:rsidRPr="003D40C7">
        <w:t>.</w:t>
      </w:r>
    </w:p>
  </w:footnote>
  <w:footnote w:id="27">
    <w:p w14:paraId="7B4AE001" w14:textId="1B47B0CD" w:rsidR="002E1B51" w:rsidRPr="003D40C7" w:rsidRDefault="002E1B51" w:rsidP="002E1B51">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003D40C7">
        <w:rPr>
          <w:rFonts w:ascii="Times New Roman" w:hAnsi="Times New Roman"/>
        </w:rPr>
        <w:tab/>
      </w:r>
      <w:r w:rsidRPr="003D40C7">
        <w:rPr>
          <w:rFonts w:ascii="Times New Roman" w:hAnsi="Times New Roman"/>
        </w:rPr>
        <w:t>https://ec.europa.eu/commission/presscorner/detail/ro/ip_22_6766</w:t>
      </w:r>
      <w:r w:rsidRPr="003D40C7">
        <w:t>.</w:t>
      </w:r>
    </w:p>
  </w:footnote>
  <w:footnote w:id="28">
    <w:p w14:paraId="04E0D054" w14:textId="5CC0E7C4" w:rsidR="007703A8" w:rsidRPr="003D40C7" w:rsidRDefault="007703A8">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Autoritatea Europeană pentru Siguranța Alimentară.</w:t>
      </w:r>
    </w:p>
  </w:footnote>
  <w:footnote w:id="29">
    <w:p w14:paraId="59FF6D08" w14:textId="6F88405D" w:rsidR="007703A8" w:rsidRPr="003D40C7" w:rsidRDefault="007703A8">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Agenția Europeană pentru Produse Chimice.</w:t>
      </w:r>
    </w:p>
  </w:footnote>
  <w:footnote w:id="30">
    <w:p w14:paraId="450301FE" w14:textId="591A1AC8" w:rsidR="007703A8" w:rsidRPr="003D40C7" w:rsidRDefault="007703A8">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Agenția Europeană de Mediu.</w:t>
      </w:r>
    </w:p>
  </w:footnote>
  <w:footnote w:id="31">
    <w:p w14:paraId="6A695E23" w14:textId="5982532E" w:rsidR="007703A8" w:rsidRPr="003D40C7" w:rsidRDefault="007703A8">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Agenția Uniunii Europene privind Drogurile.</w:t>
      </w:r>
    </w:p>
  </w:footnote>
  <w:footnote w:id="32">
    <w:p w14:paraId="6C157C6B" w14:textId="0361707F" w:rsidR="004555B6" w:rsidRPr="003D40C7" w:rsidRDefault="004555B6" w:rsidP="00701CD7">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Pr="003D40C7">
        <w:tab/>
      </w:r>
      <w:r w:rsidRPr="003D40C7">
        <w:rPr>
          <w:rFonts w:ascii="Times New Roman" w:hAnsi="Times New Roman"/>
        </w:rPr>
        <w:t>https://www.ecdc.europa.eu/sites/default/files/documents/ROA_%20S_%20Strathcona-ST2559_multi-country.pdf.</w:t>
      </w:r>
    </w:p>
  </w:footnote>
  <w:footnote w:id="33">
    <w:p w14:paraId="14F4329D" w14:textId="28565941" w:rsidR="00BE5809" w:rsidRPr="003D40C7" w:rsidRDefault="00BE5809" w:rsidP="003D40C7">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003D40C7">
        <w:rPr>
          <w:rFonts w:ascii="Times New Roman" w:hAnsi="Times New Roman"/>
        </w:rPr>
        <w:tab/>
      </w:r>
      <w:r w:rsidRPr="003D40C7">
        <w:rPr>
          <w:rFonts w:ascii="Times New Roman" w:hAnsi="Times New Roman"/>
        </w:rPr>
        <w:t>În conformitate cu Decizia Comisiei din 16.9.2021 de înființare a Autorității pentru Pregătire și Răspuns în caz de Urgență Sanitară (HERA), C(2021)6712.</w:t>
      </w:r>
    </w:p>
  </w:footnote>
  <w:footnote w:id="34">
    <w:p w14:paraId="48B0CA01" w14:textId="2ADD8A45" w:rsidR="0045283E" w:rsidRPr="003D40C7" w:rsidRDefault="0045283E">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Pr="003D40C7">
        <w:tab/>
      </w:r>
      <w:r w:rsidRPr="003D40C7">
        <w:rPr>
          <w:rFonts w:ascii="Times New Roman" w:hAnsi="Times New Roman"/>
        </w:rPr>
        <w:t>Regulamentul (UE) 2022/2372 al Consiliului, JO L 314, 6.12.2022, p. 64.</w:t>
      </w:r>
    </w:p>
  </w:footnote>
  <w:footnote w:id="35">
    <w:p w14:paraId="57C75C61" w14:textId="0C270EFD" w:rsidR="009421BB" w:rsidRPr="003D40C7" w:rsidRDefault="009421BB">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Pr="003D40C7">
        <w:tab/>
      </w:r>
      <w:r w:rsidRPr="003D40C7">
        <w:rPr>
          <w:rFonts w:ascii="Times New Roman" w:hAnsi="Times New Roman"/>
        </w:rPr>
        <w:t>https://civil-protection-humanitarian-aid.ec.europa.eu/what/humanitarian-aid/reliefeu_en.</w:t>
      </w:r>
    </w:p>
  </w:footnote>
  <w:footnote w:id="36">
    <w:p w14:paraId="7562FD44" w14:textId="77777777" w:rsidR="007A39AA" w:rsidRPr="003D40C7" w:rsidRDefault="007A39AA" w:rsidP="007A39AA">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Pr="003D40C7">
        <w:tab/>
      </w:r>
      <w:r w:rsidRPr="003D40C7">
        <w:rPr>
          <w:rFonts w:ascii="Times New Roman" w:hAnsi="Times New Roman"/>
        </w:rPr>
        <w:t>Decizia de punere în aplicare (UE) 2018/1993 a Consiliului, JO L 320, 17.12.2018, p. 28.</w:t>
      </w:r>
    </w:p>
  </w:footnote>
  <w:footnote w:id="37">
    <w:p w14:paraId="53C5B126" w14:textId="4F19AFF5" w:rsidR="00186C13" w:rsidRPr="003D40C7" w:rsidRDefault="00186C13" w:rsidP="003D40C7">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003D40C7">
        <w:rPr>
          <w:rFonts w:ascii="Times New Roman" w:hAnsi="Times New Roman"/>
        </w:rPr>
        <w:tab/>
      </w:r>
      <w:r w:rsidRPr="003D40C7">
        <w:rPr>
          <w:rFonts w:ascii="Times New Roman" w:hAnsi="Times New Roman"/>
        </w:rPr>
        <w:t>Articolele 21a și 28 din Codul frontierelor Schengen revizuit [Regulamentul (UE) 2016/399, astfel cum a fost modificat prin Regulamentul (UE) 2024/1717].</w:t>
      </w:r>
    </w:p>
  </w:footnote>
  <w:footnote w:id="38">
    <w:p w14:paraId="0C84CAE6" w14:textId="4A5631E6" w:rsidR="00D3572E" w:rsidRPr="003D40C7" w:rsidRDefault="00D3572E" w:rsidP="002146F5">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https://health.ec.europa.eu/latest-updates/opinion-health-security-committee-common-eu-approach-response-covid-19-situation-china-2023-01-05_en</w:t>
      </w:r>
      <w:r w:rsidRPr="003D40C7">
        <w:t>.</w:t>
      </w:r>
    </w:p>
  </w:footnote>
  <w:footnote w:id="39">
    <w:p w14:paraId="67D19020" w14:textId="67C51793" w:rsidR="00654091" w:rsidRPr="003D40C7" w:rsidRDefault="00654091">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https://www.eca.europa.eu/ro/covid19</w:t>
      </w:r>
      <w:r w:rsidRPr="003D40C7">
        <w:t>.</w:t>
      </w:r>
    </w:p>
  </w:footnote>
  <w:footnote w:id="40">
    <w:p w14:paraId="40AEF188" w14:textId="0F264623" w:rsidR="001C16BE" w:rsidRPr="003D40C7" w:rsidRDefault="001C16BE">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https://www.eca.europa.eu/ro/publications?ref=SR-2024-12</w:t>
      </w:r>
      <w:r w:rsidRPr="003D40C7">
        <w:t>.</w:t>
      </w:r>
    </w:p>
  </w:footnote>
  <w:footnote w:id="41">
    <w:p w14:paraId="217FB9E2" w14:textId="77777777" w:rsidR="002A4378" w:rsidRPr="003D40C7" w:rsidRDefault="002A4378" w:rsidP="002A4378">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COM(2025) 147 final.</w:t>
      </w:r>
    </w:p>
  </w:footnote>
  <w:footnote w:id="42">
    <w:p w14:paraId="3C0AE7FF" w14:textId="77777777" w:rsidR="002A4378" w:rsidRPr="003D40C7" w:rsidRDefault="002A4378" w:rsidP="002A4378">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COM(2024) 212 final.</w:t>
      </w:r>
    </w:p>
  </w:footnote>
  <w:footnote w:id="43">
    <w:p w14:paraId="713B61F1" w14:textId="43703394" w:rsidR="00CA756F" w:rsidRPr="003D40C7" w:rsidRDefault="00CA756F" w:rsidP="009C1964">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Ca parte a punerii în aplicare a Regulamentului (UE) 2022/2371, a se vedea articolele 6-8. </w:t>
      </w:r>
    </w:p>
  </w:footnote>
  <w:footnote w:id="44">
    <w:p w14:paraId="0025AFF5" w14:textId="66635CCF" w:rsidR="003B750C" w:rsidRPr="003D40C7" w:rsidRDefault="003B750C" w:rsidP="00016F5C">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rPr>
          <w:rStyle w:val="FootnoteReference"/>
          <w:rFonts w:ascii="Times New Roman" w:hAnsi="Times New Roman"/>
        </w:rPr>
        <w:t xml:space="preserve"> </w:t>
      </w:r>
      <w:r w:rsidRPr="003D40C7">
        <w:tab/>
      </w:r>
      <w:r w:rsidRPr="003D40C7">
        <w:rPr>
          <w:rFonts w:ascii="Times New Roman" w:hAnsi="Times New Roman"/>
        </w:rPr>
        <w:t>https://health.ec.europa.eu/health-security-and-infectious-diseases/crisis-management_ro#health-security-committee.</w:t>
      </w:r>
    </w:p>
  </w:footnote>
  <w:footnote w:id="45">
    <w:p w14:paraId="079941CC" w14:textId="0CEC6006" w:rsidR="006C0577" w:rsidRPr="003D40C7" w:rsidRDefault="006C0577" w:rsidP="006C0577">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Articolul 10 din Regulamentul (UE) 2022/2371.</w:t>
      </w:r>
    </w:p>
  </w:footnote>
  <w:footnote w:id="46">
    <w:p w14:paraId="5A770142" w14:textId="632C6C17" w:rsidR="003B750C" w:rsidRPr="003D40C7" w:rsidRDefault="003B750C" w:rsidP="00016F5C">
      <w:pPr>
        <w:pStyle w:val="FootnoteText"/>
        <w:ind w:left="720" w:hanging="720"/>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https://www.ecdc.europa.eu/en/about-ecdc/what-we-do/public-health-emergency-preparedness-assessments</w:t>
      </w:r>
      <w:r w:rsidRPr="003D40C7">
        <w:t>.</w:t>
      </w:r>
    </w:p>
  </w:footnote>
  <w:footnote w:id="47">
    <w:p w14:paraId="07C5B025" w14:textId="3A3BAB1D" w:rsidR="00796A26" w:rsidRPr="003D40C7" w:rsidRDefault="00796A26" w:rsidP="00796A26">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Articolul 8 </w:t>
      </w:r>
      <w:bookmarkStart w:id="3" w:name="_Hlk211805225"/>
      <w:r w:rsidRPr="003D40C7">
        <w:rPr>
          <w:rFonts w:ascii="Times New Roman" w:hAnsi="Times New Roman"/>
        </w:rPr>
        <w:t>din Regulamentul (UE) 2022/2371</w:t>
      </w:r>
      <w:bookmarkEnd w:id="3"/>
      <w:r w:rsidRPr="003D40C7">
        <w:rPr>
          <w:rFonts w:ascii="Times New Roman" w:hAnsi="Times New Roman"/>
        </w:rPr>
        <w:t>.</w:t>
      </w:r>
    </w:p>
  </w:footnote>
  <w:footnote w:id="48">
    <w:p w14:paraId="448BDEE9" w14:textId="42E19879" w:rsidR="009C1964" w:rsidRPr="003D40C7" w:rsidRDefault="009C1964" w:rsidP="009C1964">
      <w:pPr>
        <w:pStyle w:val="FootnoteText"/>
        <w:ind w:left="720" w:hanging="720"/>
        <w:jc w:val="both"/>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Raportarea se bazează pe un chestionar (a se vedea: https://eur-lex.europa.eu/legal-content/RO/TXT/?uri=CELEX:32023R1808) și va fi repetată în 2026 și, ulterior, la fiecare trei ani. </w:t>
      </w:r>
    </w:p>
  </w:footnote>
  <w:footnote w:id="49">
    <w:p w14:paraId="13C63665" w14:textId="6E34537F" w:rsidR="00FC5551" w:rsidRPr="003D40C7" w:rsidRDefault="00FC5551" w:rsidP="00FC5551">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Articolul 7 alineatul (2) din Regulamentul (UE) 2022/2371.</w:t>
      </w:r>
    </w:p>
  </w:footnote>
  <w:footnote w:id="50">
    <w:p w14:paraId="29E81096" w14:textId="15DDF312" w:rsidR="00E32CC8" w:rsidRPr="003D40C7" w:rsidRDefault="00E32CC8" w:rsidP="006174E1">
      <w:pPr>
        <w:pStyle w:val="FootnoteText"/>
        <w:ind w:left="720" w:hanging="720"/>
        <w:jc w:val="both"/>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De exemplu, exerciții dedicate gestionării contramăsurilor medicale sau cooperării civil-militare. </w:t>
      </w:r>
    </w:p>
  </w:footnote>
  <w:footnote w:id="51">
    <w:p w14:paraId="7DD5335D" w14:textId="7EC2A777" w:rsidR="00E830D7" w:rsidRPr="003D40C7" w:rsidRDefault="00E830D7">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COM(2025) 529 final din 9 iulie 2025. </w:t>
      </w:r>
    </w:p>
  </w:footnote>
  <w:footnote w:id="52">
    <w:p w14:paraId="77207EB4" w14:textId="3AC2C581" w:rsidR="003C37D2" w:rsidRPr="003D40C7" w:rsidRDefault="003C37D2">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COM(2025) 528 final din 9 iulie 2025. </w:t>
      </w:r>
    </w:p>
  </w:footnote>
  <w:footnote w:id="53">
    <w:p w14:paraId="6B284AB3" w14:textId="58E1EF42" w:rsidR="00B04444" w:rsidRPr="003D40C7" w:rsidRDefault="00B04444">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COM(2025) 555 final din 16 iulie 2025.</w:t>
      </w:r>
    </w:p>
  </w:footnote>
  <w:footnote w:id="54">
    <w:p w14:paraId="6DA207DD" w14:textId="3D628DAD" w:rsidR="00963102" w:rsidRPr="003D40C7" w:rsidRDefault="00963102" w:rsidP="006E7509">
      <w:pPr>
        <w:spacing w:after="0"/>
        <w:rPr>
          <w:rFonts w:ascii="Times New Roman" w:hAnsi="Times New Roman" w:cs="Times New Roman"/>
          <w:sz w:val="20"/>
          <w:szCs w:val="20"/>
        </w:rPr>
      </w:pPr>
      <w:r w:rsidRPr="003D40C7">
        <w:rPr>
          <w:rFonts w:ascii="Times New Roman" w:hAnsi="Times New Roman" w:cs="Times New Roman"/>
          <w:sz w:val="20"/>
          <w:szCs w:val="20"/>
          <w:vertAlign w:val="superscript"/>
        </w:rPr>
        <w:footnoteRef/>
      </w:r>
      <w:r w:rsidRPr="003D40C7">
        <w:tab/>
      </w:r>
      <w:r w:rsidRPr="003D40C7">
        <w:rPr>
          <w:rFonts w:ascii="Times New Roman" w:hAnsi="Times New Roman"/>
          <w:sz w:val="20"/>
        </w:rPr>
        <w:t>COM(2025) 548 final din 16 iulie 2025.</w:t>
      </w:r>
    </w:p>
  </w:footnote>
  <w:footnote w:id="55">
    <w:p w14:paraId="6FCC1CB9" w14:textId="294D3128" w:rsidR="00AD45A9" w:rsidRPr="003D40C7" w:rsidRDefault="00AD45A9" w:rsidP="00AD3231">
      <w:pPr>
        <w:pStyle w:val="FootnoteText"/>
        <w:ind w:left="720" w:hanging="720"/>
        <w:jc w:val="both"/>
        <w:rPr>
          <w:rFonts w:ascii="Times New Roman" w:hAnsi="Times New Roman" w:cs="Times New Roman"/>
        </w:rPr>
      </w:pPr>
      <w:r w:rsidRPr="003D40C7">
        <w:rPr>
          <w:rStyle w:val="FootnoteReference"/>
          <w:rFonts w:ascii="Times New Roman" w:hAnsi="Times New Roman" w:cs="Times New Roman"/>
        </w:rPr>
        <w:footnoteRef/>
      </w:r>
      <w:r w:rsidRPr="003D40C7">
        <w:rPr>
          <w:rFonts w:ascii="Times New Roman" w:hAnsi="Times New Roman"/>
        </w:rPr>
        <w:t xml:space="preserve"> </w:t>
      </w:r>
      <w:r w:rsidRPr="003D40C7">
        <w:tab/>
      </w:r>
      <w:r w:rsidRPr="003D40C7">
        <w:rPr>
          <w:rFonts w:ascii="Times New Roman" w:hAnsi="Times New Roman"/>
        </w:rPr>
        <w:t>https://ec.europa.eu/info/funding-tenders/opportunities/portal/screen/opportunities/topic-details/horizon-hlth-2024-disease-17-01?order=DESC&amp;pageNumber=1&amp;pageSize=50&amp;sortBy=startDate&amp;isExactMatch=true&amp;status=31094501,31094502&amp;programmePeriod=2021%20-%202027&amp;frameworkProgramme=43108390&amp;callIdentifier=HORIZON-HLTH-2024-DISEASE-17.</w:t>
      </w:r>
    </w:p>
  </w:footnote>
  <w:footnote w:id="56">
    <w:p w14:paraId="7F8E4435" w14:textId="07C0EC75" w:rsidR="006E7509" w:rsidRPr="00F53B6E" w:rsidRDefault="006E7509">
      <w:pPr>
        <w:pStyle w:val="FootnoteText"/>
        <w:rPr>
          <w:rFonts w:ascii="Times New Roman" w:hAnsi="Times New Roman" w:cs="Times New Roman"/>
        </w:rPr>
      </w:pPr>
      <w:r w:rsidRPr="003D40C7">
        <w:rPr>
          <w:rStyle w:val="FootnoteReference"/>
          <w:rFonts w:ascii="Times New Roman" w:hAnsi="Times New Roman" w:cs="Times New Roman"/>
        </w:rPr>
        <w:footnoteRef/>
      </w:r>
      <w:r w:rsidRPr="003D40C7">
        <w:tab/>
      </w:r>
      <w:r w:rsidRPr="003D40C7">
        <w:rPr>
          <w:rFonts w:ascii="Times New Roman" w:hAnsi="Times New Roman"/>
        </w:rPr>
        <w:t xml:space="preserve">https://beready4pandemics.eu/.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D8A66" w14:textId="77777777" w:rsidR="0098573B" w:rsidRPr="0098573B" w:rsidRDefault="0098573B" w:rsidP="0098573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AA96B" w14:textId="77777777" w:rsidR="0098573B" w:rsidRPr="0098573B" w:rsidRDefault="0098573B" w:rsidP="0098573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A0447" w14:textId="77777777" w:rsidR="0098573B" w:rsidRPr="0098573B" w:rsidRDefault="0098573B" w:rsidP="0098573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42064" w14:textId="77777777" w:rsidR="000F47B8" w:rsidRPr="003D40C7" w:rsidRDefault="000F47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EA06" w14:textId="77777777" w:rsidR="0073751E" w:rsidRPr="003D40C7" w:rsidRDefault="007375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5B78" w14:textId="77777777" w:rsidR="000F47B8" w:rsidRPr="003D40C7" w:rsidRDefault="000F47B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C9A"/>
    <w:multiLevelType w:val="hybridMultilevel"/>
    <w:tmpl w:val="71FE85A0"/>
    <w:lvl w:ilvl="0" w:tplc="DC24D612">
      <w:start w:val="1"/>
      <w:numFmt w:val="bullet"/>
      <w:lvlText w:val=""/>
      <w:lvlJc w:val="left"/>
      <w:pPr>
        <w:ind w:left="1440" w:hanging="360"/>
      </w:pPr>
      <w:rPr>
        <w:rFonts w:ascii="Symbol" w:hAnsi="Symbol"/>
      </w:rPr>
    </w:lvl>
    <w:lvl w:ilvl="1" w:tplc="0ACECAD0">
      <w:start w:val="1"/>
      <w:numFmt w:val="bullet"/>
      <w:lvlText w:val=""/>
      <w:lvlJc w:val="left"/>
      <w:pPr>
        <w:ind w:left="1440" w:hanging="360"/>
      </w:pPr>
      <w:rPr>
        <w:rFonts w:ascii="Symbol" w:hAnsi="Symbol"/>
      </w:rPr>
    </w:lvl>
    <w:lvl w:ilvl="2" w:tplc="448C20EA">
      <w:start w:val="1"/>
      <w:numFmt w:val="bullet"/>
      <w:lvlText w:val=""/>
      <w:lvlJc w:val="left"/>
      <w:pPr>
        <w:ind w:left="1440" w:hanging="360"/>
      </w:pPr>
      <w:rPr>
        <w:rFonts w:ascii="Symbol" w:hAnsi="Symbol"/>
      </w:rPr>
    </w:lvl>
    <w:lvl w:ilvl="3" w:tplc="F22E90DE">
      <w:start w:val="1"/>
      <w:numFmt w:val="bullet"/>
      <w:lvlText w:val=""/>
      <w:lvlJc w:val="left"/>
      <w:pPr>
        <w:ind w:left="1440" w:hanging="360"/>
      </w:pPr>
      <w:rPr>
        <w:rFonts w:ascii="Symbol" w:hAnsi="Symbol"/>
      </w:rPr>
    </w:lvl>
    <w:lvl w:ilvl="4" w:tplc="1F4859C6">
      <w:start w:val="1"/>
      <w:numFmt w:val="bullet"/>
      <w:lvlText w:val=""/>
      <w:lvlJc w:val="left"/>
      <w:pPr>
        <w:ind w:left="1440" w:hanging="360"/>
      </w:pPr>
      <w:rPr>
        <w:rFonts w:ascii="Symbol" w:hAnsi="Symbol"/>
      </w:rPr>
    </w:lvl>
    <w:lvl w:ilvl="5" w:tplc="773EE00C">
      <w:start w:val="1"/>
      <w:numFmt w:val="bullet"/>
      <w:lvlText w:val=""/>
      <w:lvlJc w:val="left"/>
      <w:pPr>
        <w:ind w:left="1440" w:hanging="360"/>
      </w:pPr>
      <w:rPr>
        <w:rFonts w:ascii="Symbol" w:hAnsi="Symbol"/>
      </w:rPr>
    </w:lvl>
    <w:lvl w:ilvl="6" w:tplc="DC461EAE">
      <w:start w:val="1"/>
      <w:numFmt w:val="bullet"/>
      <w:lvlText w:val=""/>
      <w:lvlJc w:val="left"/>
      <w:pPr>
        <w:ind w:left="1440" w:hanging="360"/>
      </w:pPr>
      <w:rPr>
        <w:rFonts w:ascii="Symbol" w:hAnsi="Symbol"/>
      </w:rPr>
    </w:lvl>
    <w:lvl w:ilvl="7" w:tplc="5844B492">
      <w:start w:val="1"/>
      <w:numFmt w:val="bullet"/>
      <w:lvlText w:val=""/>
      <w:lvlJc w:val="left"/>
      <w:pPr>
        <w:ind w:left="1440" w:hanging="360"/>
      </w:pPr>
      <w:rPr>
        <w:rFonts w:ascii="Symbol" w:hAnsi="Symbol"/>
      </w:rPr>
    </w:lvl>
    <w:lvl w:ilvl="8" w:tplc="EF7029A2">
      <w:start w:val="1"/>
      <w:numFmt w:val="bullet"/>
      <w:lvlText w:val=""/>
      <w:lvlJc w:val="left"/>
      <w:pPr>
        <w:ind w:left="1440" w:hanging="360"/>
      </w:pPr>
      <w:rPr>
        <w:rFonts w:ascii="Symbol" w:hAnsi="Symbol"/>
      </w:rPr>
    </w:lvl>
  </w:abstractNum>
  <w:abstractNum w:abstractNumId="1" w15:restartNumberingAfterBreak="0">
    <w:nsid w:val="03B8E807"/>
    <w:multiLevelType w:val="hybridMultilevel"/>
    <w:tmpl w:val="FFFFFFFF"/>
    <w:lvl w:ilvl="0" w:tplc="6228F3F4">
      <w:start w:val="1"/>
      <w:numFmt w:val="bullet"/>
      <w:lvlText w:val="·"/>
      <w:lvlJc w:val="left"/>
      <w:pPr>
        <w:ind w:left="720" w:hanging="360"/>
      </w:pPr>
      <w:rPr>
        <w:rFonts w:ascii="Symbol" w:hAnsi="Symbol" w:hint="default"/>
      </w:rPr>
    </w:lvl>
    <w:lvl w:ilvl="1" w:tplc="7ABC10F2">
      <w:start w:val="1"/>
      <w:numFmt w:val="bullet"/>
      <w:lvlText w:val="o"/>
      <w:lvlJc w:val="left"/>
      <w:pPr>
        <w:ind w:left="1440" w:hanging="360"/>
      </w:pPr>
      <w:rPr>
        <w:rFonts w:ascii="Courier New" w:hAnsi="Courier New" w:hint="default"/>
      </w:rPr>
    </w:lvl>
    <w:lvl w:ilvl="2" w:tplc="6A48A858">
      <w:start w:val="1"/>
      <w:numFmt w:val="bullet"/>
      <w:lvlText w:val=""/>
      <w:lvlJc w:val="left"/>
      <w:pPr>
        <w:ind w:left="2160" w:hanging="360"/>
      </w:pPr>
      <w:rPr>
        <w:rFonts w:ascii="Wingdings" w:hAnsi="Wingdings" w:hint="default"/>
      </w:rPr>
    </w:lvl>
    <w:lvl w:ilvl="3" w:tplc="A92A5DC0">
      <w:start w:val="1"/>
      <w:numFmt w:val="bullet"/>
      <w:lvlText w:val=""/>
      <w:lvlJc w:val="left"/>
      <w:pPr>
        <w:ind w:left="2880" w:hanging="360"/>
      </w:pPr>
      <w:rPr>
        <w:rFonts w:ascii="Symbol" w:hAnsi="Symbol" w:hint="default"/>
      </w:rPr>
    </w:lvl>
    <w:lvl w:ilvl="4" w:tplc="F4AE43BA">
      <w:start w:val="1"/>
      <w:numFmt w:val="bullet"/>
      <w:lvlText w:val="o"/>
      <w:lvlJc w:val="left"/>
      <w:pPr>
        <w:ind w:left="3600" w:hanging="360"/>
      </w:pPr>
      <w:rPr>
        <w:rFonts w:ascii="Courier New" w:hAnsi="Courier New" w:hint="default"/>
      </w:rPr>
    </w:lvl>
    <w:lvl w:ilvl="5" w:tplc="B96C1918">
      <w:start w:val="1"/>
      <w:numFmt w:val="bullet"/>
      <w:lvlText w:val=""/>
      <w:lvlJc w:val="left"/>
      <w:pPr>
        <w:ind w:left="4320" w:hanging="360"/>
      </w:pPr>
      <w:rPr>
        <w:rFonts w:ascii="Wingdings" w:hAnsi="Wingdings" w:hint="default"/>
      </w:rPr>
    </w:lvl>
    <w:lvl w:ilvl="6" w:tplc="36EEAC26">
      <w:start w:val="1"/>
      <w:numFmt w:val="bullet"/>
      <w:lvlText w:val=""/>
      <w:lvlJc w:val="left"/>
      <w:pPr>
        <w:ind w:left="5040" w:hanging="360"/>
      </w:pPr>
      <w:rPr>
        <w:rFonts w:ascii="Symbol" w:hAnsi="Symbol" w:hint="default"/>
      </w:rPr>
    </w:lvl>
    <w:lvl w:ilvl="7" w:tplc="998ACD82">
      <w:start w:val="1"/>
      <w:numFmt w:val="bullet"/>
      <w:lvlText w:val="o"/>
      <w:lvlJc w:val="left"/>
      <w:pPr>
        <w:ind w:left="5760" w:hanging="360"/>
      </w:pPr>
      <w:rPr>
        <w:rFonts w:ascii="Courier New" w:hAnsi="Courier New" w:hint="default"/>
      </w:rPr>
    </w:lvl>
    <w:lvl w:ilvl="8" w:tplc="B1489192">
      <w:start w:val="1"/>
      <w:numFmt w:val="bullet"/>
      <w:lvlText w:val=""/>
      <w:lvlJc w:val="left"/>
      <w:pPr>
        <w:ind w:left="6480" w:hanging="360"/>
      </w:pPr>
      <w:rPr>
        <w:rFonts w:ascii="Wingdings" w:hAnsi="Wingdings" w:hint="default"/>
      </w:rPr>
    </w:lvl>
  </w:abstractNum>
  <w:abstractNum w:abstractNumId="2" w15:restartNumberingAfterBreak="0">
    <w:nsid w:val="095ADA73"/>
    <w:multiLevelType w:val="hybridMultilevel"/>
    <w:tmpl w:val="FFFFFFFF"/>
    <w:lvl w:ilvl="0" w:tplc="93F23690">
      <w:start w:val="1"/>
      <w:numFmt w:val="bullet"/>
      <w:lvlText w:val="·"/>
      <w:lvlJc w:val="left"/>
      <w:pPr>
        <w:ind w:left="720" w:hanging="360"/>
      </w:pPr>
      <w:rPr>
        <w:rFonts w:ascii="Symbol" w:hAnsi="Symbol" w:hint="default"/>
      </w:rPr>
    </w:lvl>
    <w:lvl w:ilvl="1" w:tplc="A6742508">
      <w:start w:val="1"/>
      <w:numFmt w:val="bullet"/>
      <w:lvlText w:val="o"/>
      <w:lvlJc w:val="left"/>
      <w:pPr>
        <w:ind w:left="1440" w:hanging="360"/>
      </w:pPr>
      <w:rPr>
        <w:rFonts w:ascii="Courier New" w:hAnsi="Courier New" w:hint="default"/>
      </w:rPr>
    </w:lvl>
    <w:lvl w:ilvl="2" w:tplc="22A0961C">
      <w:start w:val="1"/>
      <w:numFmt w:val="bullet"/>
      <w:lvlText w:val=""/>
      <w:lvlJc w:val="left"/>
      <w:pPr>
        <w:ind w:left="2160" w:hanging="360"/>
      </w:pPr>
      <w:rPr>
        <w:rFonts w:ascii="Wingdings" w:hAnsi="Wingdings" w:hint="default"/>
      </w:rPr>
    </w:lvl>
    <w:lvl w:ilvl="3" w:tplc="27067A7A">
      <w:start w:val="1"/>
      <w:numFmt w:val="bullet"/>
      <w:lvlText w:val=""/>
      <w:lvlJc w:val="left"/>
      <w:pPr>
        <w:ind w:left="2880" w:hanging="360"/>
      </w:pPr>
      <w:rPr>
        <w:rFonts w:ascii="Symbol" w:hAnsi="Symbol" w:hint="default"/>
      </w:rPr>
    </w:lvl>
    <w:lvl w:ilvl="4" w:tplc="0CCC3BCA">
      <w:start w:val="1"/>
      <w:numFmt w:val="bullet"/>
      <w:lvlText w:val="o"/>
      <w:lvlJc w:val="left"/>
      <w:pPr>
        <w:ind w:left="3600" w:hanging="360"/>
      </w:pPr>
      <w:rPr>
        <w:rFonts w:ascii="Courier New" w:hAnsi="Courier New" w:hint="default"/>
      </w:rPr>
    </w:lvl>
    <w:lvl w:ilvl="5" w:tplc="21620EBC">
      <w:start w:val="1"/>
      <w:numFmt w:val="bullet"/>
      <w:lvlText w:val=""/>
      <w:lvlJc w:val="left"/>
      <w:pPr>
        <w:ind w:left="4320" w:hanging="360"/>
      </w:pPr>
      <w:rPr>
        <w:rFonts w:ascii="Wingdings" w:hAnsi="Wingdings" w:hint="default"/>
      </w:rPr>
    </w:lvl>
    <w:lvl w:ilvl="6" w:tplc="BF9A10E4">
      <w:start w:val="1"/>
      <w:numFmt w:val="bullet"/>
      <w:lvlText w:val=""/>
      <w:lvlJc w:val="left"/>
      <w:pPr>
        <w:ind w:left="5040" w:hanging="360"/>
      </w:pPr>
      <w:rPr>
        <w:rFonts w:ascii="Symbol" w:hAnsi="Symbol" w:hint="default"/>
      </w:rPr>
    </w:lvl>
    <w:lvl w:ilvl="7" w:tplc="45AE8E2A">
      <w:start w:val="1"/>
      <w:numFmt w:val="bullet"/>
      <w:lvlText w:val="o"/>
      <w:lvlJc w:val="left"/>
      <w:pPr>
        <w:ind w:left="5760" w:hanging="360"/>
      </w:pPr>
      <w:rPr>
        <w:rFonts w:ascii="Courier New" w:hAnsi="Courier New" w:hint="default"/>
      </w:rPr>
    </w:lvl>
    <w:lvl w:ilvl="8" w:tplc="43B02192">
      <w:start w:val="1"/>
      <w:numFmt w:val="bullet"/>
      <w:lvlText w:val=""/>
      <w:lvlJc w:val="left"/>
      <w:pPr>
        <w:ind w:left="6480" w:hanging="360"/>
      </w:pPr>
      <w:rPr>
        <w:rFonts w:ascii="Wingdings" w:hAnsi="Wingdings" w:hint="default"/>
      </w:rPr>
    </w:lvl>
  </w:abstractNum>
  <w:abstractNum w:abstractNumId="3" w15:restartNumberingAfterBreak="0">
    <w:nsid w:val="0C887F9E"/>
    <w:multiLevelType w:val="hybridMultilevel"/>
    <w:tmpl w:val="67B2A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B02D8"/>
    <w:multiLevelType w:val="hybridMultilevel"/>
    <w:tmpl w:val="9694533C"/>
    <w:lvl w:ilvl="0" w:tplc="A8147A9E">
      <w:start w:val="1"/>
      <w:numFmt w:val="bullet"/>
      <w:lvlText w:val="•"/>
      <w:lvlJc w:val="left"/>
      <w:pPr>
        <w:tabs>
          <w:tab w:val="num" w:pos="720"/>
        </w:tabs>
        <w:ind w:left="720" w:hanging="360"/>
      </w:pPr>
      <w:rPr>
        <w:rFonts w:ascii="Arial" w:hAnsi="Arial" w:hint="default"/>
      </w:rPr>
    </w:lvl>
    <w:lvl w:ilvl="1" w:tplc="8BF85174" w:tentative="1">
      <w:start w:val="1"/>
      <w:numFmt w:val="bullet"/>
      <w:lvlText w:val="•"/>
      <w:lvlJc w:val="left"/>
      <w:pPr>
        <w:tabs>
          <w:tab w:val="num" w:pos="1440"/>
        </w:tabs>
        <w:ind w:left="1440" w:hanging="360"/>
      </w:pPr>
      <w:rPr>
        <w:rFonts w:ascii="Arial" w:hAnsi="Arial" w:hint="default"/>
      </w:rPr>
    </w:lvl>
    <w:lvl w:ilvl="2" w:tplc="29CA85A0" w:tentative="1">
      <w:start w:val="1"/>
      <w:numFmt w:val="bullet"/>
      <w:lvlText w:val="•"/>
      <w:lvlJc w:val="left"/>
      <w:pPr>
        <w:tabs>
          <w:tab w:val="num" w:pos="2160"/>
        </w:tabs>
        <w:ind w:left="2160" w:hanging="360"/>
      </w:pPr>
      <w:rPr>
        <w:rFonts w:ascii="Arial" w:hAnsi="Arial" w:hint="default"/>
      </w:rPr>
    </w:lvl>
    <w:lvl w:ilvl="3" w:tplc="D36699CE" w:tentative="1">
      <w:start w:val="1"/>
      <w:numFmt w:val="bullet"/>
      <w:lvlText w:val="•"/>
      <w:lvlJc w:val="left"/>
      <w:pPr>
        <w:tabs>
          <w:tab w:val="num" w:pos="2880"/>
        </w:tabs>
        <w:ind w:left="2880" w:hanging="360"/>
      </w:pPr>
      <w:rPr>
        <w:rFonts w:ascii="Arial" w:hAnsi="Arial" w:hint="default"/>
      </w:rPr>
    </w:lvl>
    <w:lvl w:ilvl="4" w:tplc="09428070" w:tentative="1">
      <w:start w:val="1"/>
      <w:numFmt w:val="bullet"/>
      <w:lvlText w:val="•"/>
      <w:lvlJc w:val="left"/>
      <w:pPr>
        <w:tabs>
          <w:tab w:val="num" w:pos="3600"/>
        </w:tabs>
        <w:ind w:left="3600" w:hanging="360"/>
      </w:pPr>
      <w:rPr>
        <w:rFonts w:ascii="Arial" w:hAnsi="Arial" w:hint="default"/>
      </w:rPr>
    </w:lvl>
    <w:lvl w:ilvl="5" w:tplc="CB0069F8" w:tentative="1">
      <w:start w:val="1"/>
      <w:numFmt w:val="bullet"/>
      <w:lvlText w:val="•"/>
      <w:lvlJc w:val="left"/>
      <w:pPr>
        <w:tabs>
          <w:tab w:val="num" w:pos="4320"/>
        </w:tabs>
        <w:ind w:left="4320" w:hanging="360"/>
      </w:pPr>
      <w:rPr>
        <w:rFonts w:ascii="Arial" w:hAnsi="Arial" w:hint="default"/>
      </w:rPr>
    </w:lvl>
    <w:lvl w:ilvl="6" w:tplc="B704CD34" w:tentative="1">
      <w:start w:val="1"/>
      <w:numFmt w:val="bullet"/>
      <w:lvlText w:val="•"/>
      <w:lvlJc w:val="left"/>
      <w:pPr>
        <w:tabs>
          <w:tab w:val="num" w:pos="5040"/>
        </w:tabs>
        <w:ind w:left="5040" w:hanging="360"/>
      </w:pPr>
      <w:rPr>
        <w:rFonts w:ascii="Arial" w:hAnsi="Arial" w:hint="default"/>
      </w:rPr>
    </w:lvl>
    <w:lvl w:ilvl="7" w:tplc="ED30E650" w:tentative="1">
      <w:start w:val="1"/>
      <w:numFmt w:val="bullet"/>
      <w:lvlText w:val="•"/>
      <w:lvlJc w:val="left"/>
      <w:pPr>
        <w:tabs>
          <w:tab w:val="num" w:pos="5760"/>
        </w:tabs>
        <w:ind w:left="5760" w:hanging="360"/>
      </w:pPr>
      <w:rPr>
        <w:rFonts w:ascii="Arial" w:hAnsi="Arial" w:hint="default"/>
      </w:rPr>
    </w:lvl>
    <w:lvl w:ilvl="8" w:tplc="492217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B07144"/>
    <w:multiLevelType w:val="hybridMultilevel"/>
    <w:tmpl w:val="144C28B8"/>
    <w:lvl w:ilvl="0" w:tplc="8EDC0200">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25A06A9"/>
    <w:multiLevelType w:val="hybridMultilevel"/>
    <w:tmpl w:val="FFFFFFFF"/>
    <w:lvl w:ilvl="0" w:tplc="56243788">
      <w:start w:val="1"/>
      <w:numFmt w:val="bullet"/>
      <w:lvlText w:val=""/>
      <w:lvlJc w:val="left"/>
      <w:pPr>
        <w:ind w:left="720" w:hanging="360"/>
      </w:pPr>
      <w:rPr>
        <w:rFonts w:ascii="Symbol" w:hAnsi="Symbol" w:hint="default"/>
      </w:rPr>
    </w:lvl>
    <w:lvl w:ilvl="1" w:tplc="D88054E0">
      <w:start w:val="1"/>
      <w:numFmt w:val="bullet"/>
      <w:lvlText w:val="o"/>
      <w:lvlJc w:val="left"/>
      <w:pPr>
        <w:ind w:left="1440" w:hanging="360"/>
      </w:pPr>
      <w:rPr>
        <w:rFonts w:ascii="Courier New" w:hAnsi="Courier New" w:hint="default"/>
      </w:rPr>
    </w:lvl>
    <w:lvl w:ilvl="2" w:tplc="A8B23326">
      <w:start w:val="1"/>
      <w:numFmt w:val="bullet"/>
      <w:lvlText w:val=""/>
      <w:lvlJc w:val="left"/>
      <w:pPr>
        <w:ind w:left="2160" w:hanging="360"/>
      </w:pPr>
      <w:rPr>
        <w:rFonts w:ascii="Wingdings" w:hAnsi="Wingdings" w:hint="default"/>
      </w:rPr>
    </w:lvl>
    <w:lvl w:ilvl="3" w:tplc="8E3C24EA">
      <w:start w:val="1"/>
      <w:numFmt w:val="bullet"/>
      <w:lvlText w:val=""/>
      <w:lvlJc w:val="left"/>
      <w:pPr>
        <w:ind w:left="2880" w:hanging="360"/>
      </w:pPr>
      <w:rPr>
        <w:rFonts w:ascii="Symbol" w:hAnsi="Symbol" w:hint="default"/>
      </w:rPr>
    </w:lvl>
    <w:lvl w:ilvl="4" w:tplc="AD82ED30">
      <w:start w:val="1"/>
      <w:numFmt w:val="bullet"/>
      <w:lvlText w:val="o"/>
      <w:lvlJc w:val="left"/>
      <w:pPr>
        <w:ind w:left="3600" w:hanging="360"/>
      </w:pPr>
      <w:rPr>
        <w:rFonts w:ascii="Courier New" w:hAnsi="Courier New" w:hint="default"/>
      </w:rPr>
    </w:lvl>
    <w:lvl w:ilvl="5" w:tplc="0BE0085A">
      <w:start w:val="1"/>
      <w:numFmt w:val="bullet"/>
      <w:lvlText w:val=""/>
      <w:lvlJc w:val="left"/>
      <w:pPr>
        <w:ind w:left="4320" w:hanging="360"/>
      </w:pPr>
      <w:rPr>
        <w:rFonts w:ascii="Wingdings" w:hAnsi="Wingdings" w:hint="default"/>
      </w:rPr>
    </w:lvl>
    <w:lvl w:ilvl="6" w:tplc="AE56B56E">
      <w:start w:val="1"/>
      <w:numFmt w:val="bullet"/>
      <w:lvlText w:val=""/>
      <w:lvlJc w:val="left"/>
      <w:pPr>
        <w:ind w:left="5040" w:hanging="360"/>
      </w:pPr>
      <w:rPr>
        <w:rFonts w:ascii="Symbol" w:hAnsi="Symbol" w:hint="default"/>
      </w:rPr>
    </w:lvl>
    <w:lvl w:ilvl="7" w:tplc="BE041672">
      <w:start w:val="1"/>
      <w:numFmt w:val="bullet"/>
      <w:lvlText w:val="o"/>
      <w:lvlJc w:val="left"/>
      <w:pPr>
        <w:ind w:left="5760" w:hanging="360"/>
      </w:pPr>
      <w:rPr>
        <w:rFonts w:ascii="Courier New" w:hAnsi="Courier New" w:hint="default"/>
      </w:rPr>
    </w:lvl>
    <w:lvl w:ilvl="8" w:tplc="9C4A3CC6">
      <w:start w:val="1"/>
      <w:numFmt w:val="bullet"/>
      <w:lvlText w:val=""/>
      <w:lvlJc w:val="left"/>
      <w:pPr>
        <w:ind w:left="6480" w:hanging="360"/>
      </w:pPr>
      <w:rPr>
        <w:rFonts w:ascii="Wingdings" w:hAnsi="Wingdings" w:hint="default"/>
      </w:rPr>
    </w:lvl>
  </w:abstractNum>
  <w:abstractNum w:abstractNumId="7" w15:restartNumberingAfterBreak="0">
    <w:nsid w:val="146D5486"/>
    <w:multiLevelType w:val="hybridMultilevel"/>
    <w:tmpl w:val="A56EF7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3BE1D9"/>
    <w:multiLevelType w:val="hybridMultilevel"/>
    <w:tmpl w:val="FFFFFFFF"/>
    <w:lvl w:ilvl="0" w:tplc="D4403972">
      <w:start w:val="1"/>
      <w:numFmt w:val="bullet"/>
      <w:lvlText w:val=""/>
      <w:lvlJc w:val="left"/>
      <w:pPr>
        <w:ind w:left="720" w:hanging="360"/>
      </w:pPr>
      <w:rPr>
        <w:rFonts w:ascii="Symbol" w:hAnsi="Symbol" w:hint="default"/>
      </w:rPr>
    </w:lvl>
    <w:lvl w:ilvl="1" w:tplc="44026B38">
      <w:start w:val="1"/>
      <w:numFmt w:val="bullet"/>
      <w:lvlText w:val="o"/>
      <w:lvlJc w:val="left"/>
      <w:pPr>
        <w:ind w:left="1440" w:hanging="360"/>
      </w:pPr>
      <w:rPr>
        <w:rFonts w:ascii="Courier New" w:hAnsi="Courier New" w:hint="default"/>
      </w:rPr>
    </w:lvl>
    <w:lvl w:ilvl="2" w:tplc="C13A4EDA">
      <w:start w:val="1"/>
      <w:numFmt w:val="bullet"/>
      <w:lvlText w:val=""/>
      <w:lvlJc w:val="left"/>
      <w:pPr>
        <w:ind w:left="2160" w:hanging="360"/>
      </w:pPr>
      <w:rPr>
        <w:rFonts w:ascii="Wingdings" w:hAnsi="Wingdings" w:hint="default"/>
      </w:rPr>
    </w:lvl>
    <w:lvl w:ilvl="3" w:tplc="66508F1A">
      <w:start w:val="1"/>
      <w:numFmt w:val="bullet"/>
      <w:lvlText w:val=""/>
      <w:lvlJc w:val="left"/>
      <w:pPr>
        <w:ind w:left="2880" w:hanging="360"/>
      </w:pPr>
      <w:rPr>
        <w:rFonts w:ascii="Symbol" w:hAnsi="Symbol" w:hint="default"/>
      </w:rPr>
    </w:lvl>
    <w:lvl w:ilvl="4" w:tplc="43D82F6E">
      <w:start w:val="1"/>
      <w:numFmt w:val="bullet"/>
      <w:lvlText w:val="o"/>
      <w:lvlJc w:val="left"/>
      <w:pPr>
        <w:ind w:left="3600" w:hanging="360"/>
      </w:pPr>
      <w:rPr>
        <w:rFonts w:ascii="Courier New" w:hAnsi="Courier New" w:hint="default"/>
      </w:rPr>
    </w:lvl>
    <w:lvl w:ilvl="5" w:tplc="0F92BF2E">
      <w:start w:val="1"/>
      <w:numFmt w:val="bullet"/>
      <w:lvlText w:val=""/>
      <w:lvlJc w:val="left"/>
      <w:pPr>
        <w:ind w:left="4320" w:hanging="360"/>
      </w:pPr>
      <w:rPr>
        <w:rFonts w:ascii="Wingdings" w:hAnsi="Wingdings" w:hint="default"/>
      </w:rPr>
    </w:lvl>
    <w:lvl w:ilvl="6" w:tplc="C8C854E2">
      <w:start w:val="1"/>
      <w:numFmt w:val="bullet"/>
      <w:lvlText w:val=""/>
      <w:lvlJc w:val="left"/>
      <w:pPr>
        <w:ind w:left="5040" w:hanging="360"/>
      </w:pPr>
      <w:rPr>
        <w:rFonts w:ascii="Symbol" w:hAnsi="Symbol" w:hint="default"/>
      </w:rPr>
    </w:lvl>
    <w:lvl w:ilvl="7" w:tplc="F80EC62C">
      <w:start w:val="1"/>
      <w:numFmt w:val="bullet"/>
      <w:lvlText w:val="o"/>
      <w:lvlJc w:val="left"/>
      <w:pPr>
        <w:ind w:left="5760" w:hanging="360"/>
      </w:pPr>
      <w:rPr>
        <w:rFonts w:ascii="Courier New" w:hAnsi="Courier New" w:hint="default"/>
      </w:rPr>
    </w:lvl>
    <w:lvl w:ilvl="8" w:tplc="11962D46">
      <w:start w:val="1"/>
      <w:numFmt w:val="bullet"/>
      <w:lvlText w:val=""/>
      <w:lvlJc w:val="left"/>
      <w:pPr>
        <w:ind w:left="6480" w:hanging="360"/>
      </w:pPr>
      <w:rPr>
        <w:rFonts w:ascii="Wingdings" w:hAnsi="Wingdings" w:hint="default"/>
      </w:rPr>
    </w:lvl>
  </w:abstractNum>
  <w:abstractNum w:abstractNumId="9" w15:restartNumberingAfterBreak="0">
    <w:nsid w:val="167E0838"/>
    <w:multiLevelType w:val="hybridMultilevel"/>
    <w:tmpl w:val="5D1EACC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6EC1ED7"/>
    <w:multiLevelType w:val="hybridMultilevel"/>
    <w:tmpl w:val="2FAC539C"/>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B23297"/>
    <w:multiLevelType w:val="hybridMultilevel"/>
    <w:tmpl w:val="CF941160"/>
    <w:lvl w:ilvl="0" w:tplc="4E104D16">
      <w:start w:val="1"/>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CC57667"/>
    <w:multiLevelType w:val="hybridMultilevel"/>
    <w:tmpl w:val="810AFBEC"/>
    <w:lvl w:ilvl="0" w:tplc="C340DFF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F8661A2"/>
    <w:multiLevelType w:val="hybridMultilevel"/>
    <w:tmpl w:val="0712BB78"/>
    <w:lvl w:ilvl="0" w:tplc="7194C694">
      <w:start w:val="1"/>
      <w:numFmt w:val="bullet"/>
      <w:lvlText w:val=""/>
      <w:lvlJc w:val="left"/>
      <w:pPr>
        <w:ind w:left="720" w:hanging="360"/>
      </w:pPr>
      <w:rPr>
        <w:rFonts w:ascii="Symbol" w:hAnsi="Symbol" w:hint="default"/>
      </w:rPr>
    </w:lvl>
    <w:lvl w:ilvl="1" w:tplc="D4AC7F36">
      <w:start w:val="1"/>
      <w:numFmt w:val="bullet"/>
      <w:lvlText w:val="o"/>
      <w:lvlJc w:val="left"/>
      <w:pPr>
        <w:ind w:left="1440" w:hanging="360"/>
      </w:pPr>
      <w:rPr>
        <w:rFonts w:ascii="Courier New" w:hAnsi="Courier New" w:hint="default"/>
      </w:rPr>
    </w:lvl>
    <w:lvl w:ilvl="2" w:tplc="DE02B688">
      <w:start w:val="1"/>
      <w:numFmt w:val="bullet"/>
      <w:lvlText w:val=""/>
      <w:lvlJc w:val="left"/>
      <w:pPr>
        <w:ind w:left="2160" w:hanging="360"/>
      </w:pPr>
      <w:rPr>
        <w:rFonts w:ascii="Wingdings" w:hAnsi="Wingdings" w:hint="default"/>
      </w:rPr>
    </w:lvl>
    <w:lvl w:ilvl="3" w:tplc="139CB8AE">
      <w:start w:val="1"/>
      <w:numFmt w:val="bullet"/>
      <w:lvlText w:val=""/>
      <w:lvlJc w:val="left"/>
      <w:pPr>
        <w:ind w:left="2880" w:hanging="360"/>
      </w:pPr>
      <w:rPr>
        <w:rFonts w:ascii="Symbol" w:hAnsi="Symbol" w:hint="default"/>
      </w:rPr>
    </w:lvl>
    <w:lvl w:ilvl="4" w:tplc="7B62CAEE">
      <w:start w:val="1"/>
      <w:numFmt w:val="bullet"/>
      <w:lvlText w:val="o"/>
      <w:lvlJc w:val="left"/>
      <w:pPr>
        <w:ind w:left="3600" w:hanging="360"/>
      </w:pPr>
      <w:rPr>
        <w:rFonts w:ascii="Courier New" w:hAnsi="Courier New" w:hint="default"/>
      </w:rPr>
    </w:lvl>
    <w:lvl w:ilvl="5" w:tplc="C09831DE">
      <w:start w:val="1"/>
      <w:numFmt w:val="bullet"/>
      <w:lvlText w:val=""/>
      <w:lvlJc w:val="left"/>
      <w:pPr>
        <w:ind w:left="4320" w:hanging="360"/>
      </w:pPr>
      <w:rPr>
        <w:rFonts w:ascii="Wingdings" w:hAnsi="Wingdings" w:hint="default"/>
      </w:rPr>
    </w:lvl>
    <w:lvl w:ilvl="6" w:tplc="59C07234">
      <w:start w:val="1"/>
      <w:numFmt w:val="bullet"/>
      <w:lvlText w:val=""/>
      <w:lvlJc w:val="left"/>
      <w:pPr>
        <w:ind w:left="5040" w:hanging="360"/>
      </w:pPr>
      <w:rPr>
        <w:rFonts w:ascii="Symbol" w:hAnsi="Symbol" w:hint="default"/>
      </w:rPr>
    </w:lvl>
    <w:lvl w:ilvl="7" w:tplc="B184A188">
      <w:start w:val="1"/>
      <w:numFmt w:val="bullet"/>
      <w:lvlText w:val="o"/>
      <w:lvlJc w:val="left"/>
      <w:pPr>
        <w:ind w:left="5760" w:hanging="360"/>
      </w:pPr>
      <w:rPr>
        <w:rFonts w:ascii="Courier New" w:hAnsi="Courier New" w:hint="default"/>
      </w:rPr>
    </w:lvl>
    <w:lvl w:ilvl="8" w:tplc="8FD8CE3C">
      <w:start w:val="1"/>
      <w:numFmt w:val="bullet"/>
      <w:lvlText w:val=""/>
      <w:lvlJc w:val="left"/>
      <w:pPr>
        <w:ind w:left="6480" w:hanging="360"/>
      </w:pPr>
      <w:rPr>
        <w:rFonts w:ascii="Wingdings" w:hAnsi="Wingdings" w:hint="default"/>
      </w:rPr>
    </w:lvl>
  </w:abstractNum>
  <w:abstractNum w:abstractNumId="14" w15:restartNumberingAfterBreak="0">
    <w:nsid w:val="241F609A"/>
    <w:multiLevelType w:val="hybridMultilevel"/>
    <w:tmpl w:val="8704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81428B"/>
    <w:multiLevelType w:val="hybridMultilevel"/>
    <w:tmpl w:val="D1180660"/>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AD833CE"/>
    <w:multiLevelType w:val="hybridMultilevel"/>
    <w:tmpl w:val="6CDE17B8"/>
    <w:lvl w:ilvl="0" w:tplc="3FC4BFE2">
      <w:start w:val="1"/>
      <w:numFmt w:val="bullet"/>
      <w:lvlText w:val="•"/>
      <w:lvlJc w:val="left"/>
      <w:pPr>
        <w:tabs>
          <w:tab w:val="num" w:pos="720"/>
        </w:tabs>
        <w:ind w:left="720" w:hanging="360"/>
      </w:pPr>
      <w:rPr>
        <w:rFonts w:ascii="Arial" w:hAnsi="Arial" w:hint="default"/>
      </w:rPr>
    </w:lvl>
    <w:lvl w:ilvl="1" w:tplc="DF66F15E">
      <w:numFmt w:val="bullet"/>
      <w:lvlText w:val="•"/>
      <w:lvlJc w:val="left"/>
      <w:pPr>
        <w:tabs>
          <w:tab w:val="num" w:pos="1440"/>
        </w:tabs>
        <w:ind w:left="1440" w:hanging="360"/>
      </w:pPr>
      <w:rPr>
        <w:rFonts w:ascii="Arial" w:hAnsi="Arial" w:hint="default"/>
      </w:rPr>
    </w:lvl>
    <w:lvl w:ilvl="2" w:tplc="69F8EA04" w:tentative="1">
      <w:start w:val="1"/>
      <w:numFmt w:val="bullet"/>
      <w:lvlText w:val="•"/>
      <w:lvlJc w:val="left"/>
      <w:pPr>
        <w:tabs>
          <w:tab w:val="num" w:pos="2160"/>
        </w:tabs>
        <w:ind w:left="2160" w:hanging="360"/>
      </w:pPr>
      <w:rPr>
        <w:rFonts w:ascii="Arial" w:hAnsi="Arial" w:hint="default"/>
      </w:rPr>
    </w:lvl>
    <w:lvl w:ilvl="3" w:tplc="1EE0CC76" w:tentative="1">
      <w:start w:val="1"/>
      <w:numFmt w:val="bullet"/>
      <w:lvlText w:val="•"/>
      <w:lvlJc w:val="left"/>
      <w:pPr>
        <w:tabs>
          <w:tab w:val="num" w:pos="2880"/>
        </w:tabs>
        <w:ind w:left="2880" w:hanging="360"/>
      </w:pPr>
      <w:rPr>
        <w:rFonts w:ascii="Arial" w:hAnsi="Arial" w:hint="default"/>
      </w:rPr>
    </w:lvl>
    <w:lvl w:ilvl="4" w:tplc="43627BB6" w:tentative="1">
      <w:start w:val="1"/>
      <w:numFmt w:val="bullet"/>
      <w:lvlText w:val="•"/>
      <w:lvlJc w:val="left"/>
      <w:pPr>
        <w:tabs>
          <w:tab w:val="num" w:pos="3600"/>
        </w:tabs>
        <w:ind w:left="3600" w:hanging="360"/>
      </w:pPr>
      <w:rPr>
        <w:rFonts w:ascii="Arial" w:hAnsi="Arial" w:hint="default"/>
      </w:rPr>
    </w:lvl>
    <w:lvl w:ilvl="5" w:tplc="823A8150" w:tentative="1">
      <w:start w:val="1"/>
      <w:numFmt w:val="bullet"/>
      <w:lvlText w:val="•"/>
      <w:lvlJc w:val="left"/>
      <w:pPr>
        <w:tabs>
          <w:tab w:val="num" w:pos="4320"/>
        </w:tabs>
        <w:ind w:left="4320" w:hanging="360"/>
      </w:pPr>
      <w:rPr>
        <w:rFonts w:ascii="Arial" w:hAnsi="Arial" w:hint="default"/>
      </w:rPr>
    </w:lvl>
    <w:lvl w:ilvl="6" w:tplc="7CBC9A48" w:tentative="1">
      <w:start w:val="1"/>
      <w:numFmt w:val="bullet"/>
      <w:lvlText w:val="•"/>
      <w:lvlJc w:val="left"/>
      <w:pPr>
        <w:tabs>
          <w:tab w:val="num" w:pos="5040"/>
        </w:tabs>
        <w:ind w:left="5040" w:hanging="360"/>
      </w:pPr>
      <w:rPr>
        <w:rFonts w:ascii="Arial" w:hAnsi="Arial" w:hint="default"/>
      </w:rPr>
    </w:lvl>
    <w:lvl w:ilvl="7" w:tplc="6C8495DE" w:tentative="1">
      <w:start w:val="1"/>
      <w:numFmt w:val="bullet"/>
      <w:lvlText w:val="•"/>
      <w:lvlJc w:val="left"/>
      <w:pPr>
        <w:tabs>
          <w:tab w:val="num" w:pos="5760"/>
        </w:tabs>
        <w:ind w:left="5760" w:hanging="360"/>
      </w:pPr>
      <w:rPr>
        <w:rFonts w:ascii="Arial" w:hAnsi="Arial" w:hint="default"/>
      </w:rPr>
    </w:lvl>
    <w:lvl w:ilvl="8" w:tplc="0126664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389340B"/>
    <w:multiLevelType w:val="hybridMultilevel"/>
    <w:tmpl w:val="A51EDE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54F743D4"/>
    <w:multiLevelType w:val="hybridMultilevel"/>
    <w:tmpl w:val="CFB87D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9A85D50"/>
    <w:multiLevelType w:val="hybridMultilevel"/>
    <w:tmpl w:val="495CE00E"/>
    <w:lvl w:ilvl="0" w:tplc="799241E4">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B2F5609"/>
    <w:multiLevelType w:val="hybridMultilevel"/>
    <w:tmpl w:val="3E4C5DCA"/>
    <w:lvl w:ilvl="0" w:tplc="EC786C24">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CFC0319"/>
    <w:multiLevelType w:val="hybridMultilevel"/>
    <w:tmpl w:val="1A1E51F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DD09084"/>
    <w:multiLevelType w:val="hybridMultilevel"/>
    <w:tmpl w:val="FFFFFFFF"/>
    <w:lvl w:ilvl="0" w:tplc="D1BA88D6">
      <w:start w:val="1"/>
      <w:numFmt w:val="bullet"/>
      <w:lvlText w:val=""/>
      <w:lvlJc w:val="left"/>
      <w:pPr>
        <w:ind w:left="720" w:hanging="360"/>
      </w:pPr>
      <w:rPr>
        <w:rFonts w:ascii="Symbol" w:hAnsi="Symbol" w:hint="default"/>
      </w:rPr>
    </w:lvl>
    <w:lvl w:ilvl="1" w:tplc="1752F8FE">
      <w:start w:val="1"/>
      <w:numFmt w:val="bullet"/>
      <w:lvlText w:val="o"/>
      <w:lvlJc w:val="left"/>
      <w:pPr>
        <w:ind w:left="1440" w:hanging="360"/>
      </w:pPr>
      <w:rPr>
        <w:rFonts w:ascii="Courier New" w:hAnsi="Courier New" w:hint="default"/>
      </w:rPr>
    </w:lvl>
    <w:lvl w:ilvl="2" w:tplc="EE6A00BC">
      <w:start w:val="1"/>
      <w:numFmt w:val="bullet"/>
      <w:lvlText w:val=""/>
      <w:lvlJc w:val="left"/>
      <w:pPr>
        <w:ind w:left="2160" w:hanging="360"/>
      </w:pPr>
      <w:rPr>
        <w:rFonts w:ascii="Wingdings" w:hAnsi="Wingdings" w:hint="default"/>
      </w:rPr>
    </w:lvl>
    <w:lvl w:ilvl="3" w:tplc="7ECCBEE6">
      <w:start w:val="1"/>
      <w:numFmt w:val="bullet"/>
      <w:lvlText w:val=""/>
      <w:lvlJc w:val="left"/>
      <w:pPr>
        <w:ind w:left="2880" w:hanging="360"/>
      </w:pPr>
      <w:rPr>
        <w:rFonts w:ascii="Symbol" w:hAnsi="Symbol" w:hint="default"/>
      </w:rPr>
    </w:lvl>
    <w:lvl w:ilvl="4" w:tplc="024203E0">
      <w:start w:val="1"/>
      <w:numFmt w:val="bullet"/>
      <w:lvlText w:val="o"/>
      <w:lvlJc w:val="left"/>
      <w:pPr>
        <w:ind w:left="3600" w:hanging="360"/>
      </w:pPr>
      <w:rPr>
        <w:rFonts w:ascii="Courier New" w:hAnsi="Courier New" w:hint="default"/>
      </w:rPr>
    </w:lvl>
    <w:lvl w:ilvl="5" w:tplc="0892444E">
      <w:start w:val="1"/>
      <w:numFmt w:val="bullet"/>
      <w:lvlText w:val=""/>
      <w:lvlJc w:val="left"/>
      <w:pPr>
        <w:ind w:left="4320" w:hanging="360"/>
      </w:pPr>
      <w:rPr>
        <w:rFonts w:ascii="Wingdings" w:hAnsi="Wingdings" w:hint="default"/>
      </w:rPr>
    </w:lvl>
    <w:lvl w:ilvl="6" w:tplc="BC1E717C">
      <w:start w:val="1"/>
      <w:numFmt w:val="bullet"/>
      <w:lvlText w:val=""/>
      <w:lvlJc w:val="left"/>
      <w:pPr>
        <w:ind w:left="5040" w:hanging="360"/>
      </w:pPr>
      <w:rPr>
        <w:rFonts w:ascii="Symbol" w:hAnsi="Symbol" w:hint="default"/>
      </w:rPr>
    </w:lvl>
    <w:lvl w:ilvl="7" w:tplc="1A64C096">
      <w:start w:val="1"/>
      <w:numFmt w:val="bullet"/>
      <w:lvlText w:val="o"/>
      <w:lvlJc w:val="left"/>
      <w:pPr>
        <w:ind w:left="5760" w:hanging="360"/>
      </w:pPr>
      <w:rPr>
        <w:rFonts w:ascii="Courier New" w:hAnsi="Courier New" w:hint="default"/>
      </w:rPr>
    </w:lvl>
    <w:lvl w:ilvl="8" w:tplc="E4D2ECB8">
      <w:start w:val="1"/>
      <w:numFmt w:val="bullet"/>
      <w:lvlText w:val=""/>
      <w:lvlJc w:val="left"/>
      <w:pPr>
        <w:ind w:left="6480" w:hanging="360"/>
      </w:pPr>
      <w:rPr>
        <w:rFonts w:ascii="Wingdings" w:hAnsi="Wingdings" w:hint="default"/>
      </w:rPr>
    </w:lvl>
  </w:abstractNum>
  <w:abstractNum w:abstractNumId="23" w15:restartNumberingAfterBreak="0">
    <w:nsid w:val="5E8D1DD4"/>
    <w:multiLevelType w:val="hybridMultilevel"/>
    <w:tmpl w:val="621E8A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5FD7645"/>
    <w:multiLevelType w:val="hybridMultilevel"/>
    <w:tmpl w:val="5A2CD80C"/>
    <w:lvl w:ilvl="0" w:tplc="0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6673F22"/>
    <w:multiLevelType w:val="hybridMultilevel"/>
    <w:tmpl w:val="54664B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7C81F9C"/>
    <w:multiLevelType w:val="hybridMultilevel"/>
    <w:tmpl w:val="AFC6C67A"/>
    <w:lvl w:ilvl="0" w:tplc="080C000F">
      <w:start w:val="3"/>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48169D"/>
    <w:multiLevelType w:val="hybridMultilevel"/>
    <w:tmpl w:val="94528C4A"/>
    <w:lvl w:ilvl="0" w:tplc="8BD62418">
      <w:start w:val="1"/>
      <w:numFmt w:val="bullet"/>
      <w:lvlText w:val="•"/>
      <w:lvlJc w:val="left"/>
      <w:pPr>
        <w:tabs>
          <w:tab w:val="num" w:pos="720"/>
        </w:tabs>
        <w:ind w:left="720" w:hanging="360"/>
      </w:pPr>
      <w:rPr>
        <w:rFonts w:ascii="Arial" w:hAnsi="Arial" w:hint="default"/>
      </w:rPr>
    </w:lvl>
    <w:lvl w:ilvl="1" w:tplc="F5B81CFE" w:tentative="1">
      <w:start w:val="1"/>
      <w:numFmt w:val="bullet"/>
      <w:lvlText w:val="•"/>
      <w:lvlJc w:val="left"/>
      <w:pPr>
        <w:tabs>
          <w:tab w:val="num" w:pos="1440"/>
        </w:tabs>
        <w:ind w:left="1440" w:hanging="360"/>
      </w:pPr>
      <w:rPr>
        <w:rFonts w:ascii="Arial" w:hAnsi="Arial" w:hint="default"/>
      </w:rPr>
    </w:lvl>
    <w:lvl w:ilvl="2" w:tplc="C3D697B8" w:tentative="1">
      <w:start w:val="1"/>
      <w:numFmt w:val="bullet"/>
      <w:lvlText w:val="•"/>
      <w:lvlJc w:val="left"/>
      <w:pPr>
        <w:tabs>
          <w:tab w:val="num" w:pos="2160"/>
        </w:tabs>
        <w:ind w:left="2160" w:hanging="360"/>
      </w:pPr>
      <w:rPr>
        <w:rFonts w:ascii="Arial" w:hAnsi="Arial" w:hint="default"/>
      </w:rPr>
    </w:lvl>
    <w:lvl w:ilvl="3" w:tplc="EC18D8B4" w:tentative="1">
      <w:start w:val="1"/>
      <w:numFmt w:val="bullet"/>
      <w:lvlText w:val="•"/>
      <w:lvlJc w:val="left"/>
      <w:pPr>
        <w:tabs>
          <w:tab w:val="num" w:pos="2880"/>
        </w:tabs>
        <w:ind w:left="2880" w:hanging="360"/>
      </w:pPr>
      <w:rPr>
        <w:rFonts w:ascii="Arial" w:hAnsi="Arial" w:hint="default"/>
      </w:rPr>
    </w:lvl>
    <w:lvl w:ilvl="4" w:tplc="F794A444" w:tentative="1">
      <w:start w:val="1"/>
      <w:numFmt w:val="bullet"/>
      <w:lvlText w:val="•"/>
      <w:lvlJc w:val="left"/>
      <w:pPr>
        <w:tabs>
          <w:tab w:val="num" w:pos="3600"/>
        </w:tabs>
        <w:ind w:left="3600" w:hanging="360"/>
      </w:pPr>
      <w:rPr>
        <w:rFonts w:ascii="Arial" w:hAnsi="Arial" w:hint="default"/>
      </w:rPr>
    </w:lvl>
    <w:lvl w:ilvl="5" w:tplc="427AA8D0" w:tentative="1">
      <w:start w:val="1"/>
      <w:numFmt w:val="bullet"/>
      <w:lvlText w:val="•"/>
      <w:lvlJc w:val="left"/>
      <w:pPr>
        <w:tabs>
          <w:tab w:val="num" w:pos="4320"/>
        </w:tabs>
        <w:ind w:left="4320" w:hanging="360"/>
      </w:pPr>
      <w:rPr>
        <w:rFonts w:ascii="Arial" w:hAnsi="Arial" w:hint="default"/>
      </w:rPr>
    </w:lvl>
    <w:lvl w:ilvl="6" w:tplc="A2AE546E" w:tentative="1">
      <w:start w:val="1"/>
      <w:numFmt w:val="bullet"/>
      <w:lvlText w:val="•"/>
      <w:lvlJc w:val="left"/>
      <w:pPr>
        <w:tabs>
          <w:tab w:val="num" w:pos="5040"/>
        </w:tabs>
        <w:ind w:left="5040" w:hanging="360"/>
      </w:pPr>
      <w:rPr>
        <w:rFonts w:ascii="Arial" w:hAnsi="Arial" w:hint="default"/>
      </w:rPr>
    </w:lvl>
    <w:lvl w:ilvl="7" w:tplc="58226448" w:tentative="1">
      <w:start w:val="1"/>
      <w:numFmt w:val="bullet"/>
      <w:lvlText w:val="•"/>
      <w:lvlJc w:val="left"/>
      <w:pPr>
        <w:tabs>
          <w:tab w:val="num" w:pos="5760"/>
        </w:tabs>
        <w:ind w:left="5760" w:hanging="360"/>
      </w:pPr>
      <w:rPr>
        <w:rFonts w:ascii="Arial" w:hAnsi="Arial" w:hint="default"/>
      </w:rPr>
    </w:lvl>
    <w:lvl w:ilvl="8" w:tplc="977A9C9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5B03D12"/>
    <w:multiLevelType w:val="hybridMultilevel"/>
    <w:tmpl w:val="C53E6D9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6043E6C"/>
    <w:multiLevelType w:val="hybridMultilevel"/>
    <w:tmpl w:val="12EEAD8E"/>
    <w:lvl w:ilvl="0" w:tplc="C9066E74">
      <w:start w:val="1"/>
      <w:numFmt w:val="bullet"/>
      <w:lvlText w:val=""/>
      <w:lvlJc w:val="left"/>
      <w:pPr>
        <w:ind w:left="720" w:hanging="360"/>
      </w:pPr>
      <w:rPr>
        <w:rFonts w:ascii="Symbol" w:hAnsi="Symbol" w:hint="default"/>
      </w:rPr>
    </w:lvl>
    <w:lvl w:ilvl="1" w:tplc="AFA28B12">
      <w:start w:val="1"/>
      <w:numFmt w:val="bullet"/>
      <w:lvlText w:val="o"/>
      <w:lvlJc w:val="left"/>
      <w:pPr>
        <w:ind w:left="1440" w:hanging="360"/>
      </w:pPr>
      <w:rPr>
        <w:rFonts w:ascii="Courier New" w:hAnsi="Courier New" w:hint="default"/>
      </w:rPr>
    </w:lvl>
    <w:lvl w:ilvl="2" w:tplc="C2DE65F0">
      <w:start w:val="1"/>
      <w:numFmt w:val="bullet"/>
      <w:lvlText w:val=""/>
      <w:lvlJc w:val="left"/>
      <w:pPr>
        <w:ind w:left="2160" w:hanging="360"/>
      </w:pPr>
      <w:rPr>
        <w:rFonts w:ascii="Wingdings" w:hAnsi="Wingdings" w:hint="default"/>
      </w:rPr>
    </w:lvl>
    <w:lvl w:ilvl="3" w:tplc="0DCCCA02">
      <w:start w:val="1"/>
      <w:numFmt w:val="bullet"/>
      <w:lvlText w:val=""/>
      <w:lvlJc w:val="left"/>
      <w:pPr>
        <w:ind w:left="2880" w:hanging="360"/>
      </w:pPr>
      <w:rPr>
        <w:rFonts w:ascii="Symbol" w:hAnsi="Symbol" w:hint="default"/>
      </w:rPr>
    </w:lvl>
    <w:lvl w:ilvl="4" w:tplc="2D881902">
      <w:start w:val="1"/>
      <w:numFmt w:val="bullet"/>
      <w:lvlText w:val="o"/>
      <w:lvlJc w:val="left"/>
      <w:pPr>
        <w:ind w:left="3600" w:hanging="360"/>
      </w:pPr>
      <w:rPr>
        <w:rFonts w:ascii="Courier New" w:hAnsi="Courier New" w:hint="default"/>
      </w:rPr>
    </w:lvl>
    <w:lvl w:ilvl="5" w:tplc="EB64F506">
      <w:start w:val="1"/>
      <w:numFmt w:val="bullet"/>
      <w:lvlText w:val=""/>
      <w:lvlJc w:val="left"/>
      <w:pPr>
        <w:ind w:left="4320" w:hanging="360"/>
      </w:pPr>
      <w:rPr>
        <w:rFonts w:ascii="Wingdings" w:hAnsi="Wingdings" w:hint="default"/>
      </w:rPr>
    </w:lvl>
    <w:lvl w:ilvl="6" w:tplc="86E0CBB6">
      <w:start w:val="1"/>
      <w:numFmt w:val="bullet"/>
      <w:lvlText w:val=""/>
      <w:lvlJc w:val="left"/>
      <w:pPr>
        <w:ind w:left="5040" w:hanging="360"/>
      </w:pPr>
      <w:rPr>
        <w:rFonts w:ascii="Symbol" w:hAnsi="Symbol" w:hint="default"/>
      </w:rPr>
    </w:lvl>
    <w:lvl w:ilvl="7" w:tplc="912EF91E">
      <w:start w:val="1"/>
      <w:numFmt w:val="bullet"/>
      <w:lvlText w:val="o"/>
      <w:lvlJc w:val="left"/>
      <w:pPr>
        <w:ind w:left="5760" w:hanging="360"/>
      </w:pPr>
      <w:rPr>
        <w:rFonts w:ascii="Courier New" w:hAnsi="Courier New" w:hint="default"/>
      </w:rPr>
    </w:lvl>
    <w:lvl w:ilvl="8" w:tplc="9D3CB10C">
      <w:start w:val="1"/>
      <w:numFmt w:val="bullet"/>
      <w:lvlText w:val=""/>
      <w:lvlJc w:val="left"/>
      <w:pPr>
        <w:ind w:left="6480" w:hanging="360"/>
      </w:pPr>
      <w:rPr>
        <w:rFonts w:ascii="Wingdings" w:hAnsi="Wingdings" w:hint="default"/>
      </w:rPr>
    </w:lvl>
  </w:abstractNum>
  <w:abstractNum w:abstractNumId="30" w15:restartNumberingAfterBreak="0">
    <w:nsid w:val="7A985952"/>
    <w:multiLevelType w:val="hybridMultilevel"/>
    <w:tmpl w:val="ADF633AE"/>
    <w:lvl w:ilvl="0" w:tplc="8F30CA7C">
      <w:start w:val="3"/>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B07FD2"/>
    <w:multiLevelType w:val="hybridMultilevel"/>
    <w:tmpl w:val="D6C84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FB6CFF8"/>
    <w:multiLevelType w:val="hybridMultilevel"/>
    <w:tmpl w:val="FFFFFFFF"/>
    <w:lvl w:ilvl="0" w:tplc="FFFFFFFF">
      <w:start w:val="1"/>
      <w:numFmt w:val="bullet"/>
      <w:lvlText w:val=""/>
      <w:lvlJc w:val="left"/>
      <w:pPr>
        <w:ind w:left="720" w:hanging="360"/>
      </w:pPr>
      <w:rPr>
        <w:rFonts w:ascii="Symbol" w:hAnsi="Symbol" w:hint="default"/>
      </w:rPr>
    </w:lvl>
    <w:lvl w:ilvl="1" w:tplc="1AC8A8FE">
      <w:start w:val="1"/>
      <w:numFmt w:val="lowerLetter"/>
      <w:lvlText w:val="%2."/>
      <w:lvlJc w:val="left"/>
      <w:pPr>
        <w:ind w:left="1440" w:hanging="360"/>
      </w:pPr>
    </w:lvl>
    <w:lvl w:ilvl="2" w:tplc="A3A8E67C">
      <w:start w:val="1"/>
      <w:numFmt w:val="lowerRoman"/>
      <w:lvlText w:val="%3."/>
      <w:lvlJc w:val="right"/>
      <w:pPr>
        <w:ind w:left="2160" w:hanging="180"/>
      </w:pPr>
    </w:lvl>
    <w:lvl w:ilvl="3" w:tplc="AA1C6E80">
      <w:start w:val="1"/>
      <w:numFmt w:val="decimal"/>
      <w:lvlText w:val="%4."/>
      <w:lvlJc w:val="left"/>
      <w:pPr>
        <w:ind w:left="2880" w:hanging="360"/>
      </w:pPr>
    </w:lvl>
    <w:lvl w:ilvl="4" w:tplc="7E2A7CBA">
      <w:start w:val="1"/>
      <w:numFmt w:val="lowerLetter"/>
      <w:lvlText w:val="%5."/>
      <w:lvlJc w:val="left"/>
      <w:pPr>
        <w:ind w:left="3600" w:hanging="360"/>
      </w:pPr>
    </w:lvl>
    <w:lvl w:ilvl="5" w:tplc="85E88B5C">
      <w:start w:val="1"/>
      <w:numFmt w:val="lowerRoman"/>
      <w:lvlText w:val="%6."/>
      <w:lvlJc w:val="right"/>
      <w:pPr>
        <w:ind w:left="4320" w:hanging="180"/>
      </w:pPr>
    </w:lvl>
    <w:lvl w:ilvl="6" w:tplc="CD70D0EC">
      <w:start w:val="1"/>
      <w:numFmt w:val="decimal"/>
      <w:lvlText w:val="%7."/>
      <w:lvlJc w:val="left"/>
      <w:pPr>
        <w:ind w:left="5040" w:hanging="360"/>
      </w:pPr>
    </w:lvl>
    <w:lvl w:ilvl="7" w:tplc="936070FC">
      <w:start w:val="1"/>
      <w:numFmt w:val="lowerLetter"/>
      <w:lvlText w:val="%8."/>
      <w:lvlJc w:val="left"/>
      <w:pPr>
        <w:ind w:left="5760" w:hanging="360"/>
      </w:pPr>
    </w:lvl>
    <w:lvl w:ilvl="8" w:tplc="EF7E5F6E">
      <w:start w:val="1"/>
      <w:numFmt w:val="lowerRoman"/>
      <w:lvlText w:val="%9."/>
      <w:lvlJc w:val="right"/>
      <w:pPr>
        <w:ind w:left="6480" w:hanging="180"/>
      </w:pPr>
    </w:lvl>
  </w:abstractNum>
  <w:num w:numId="1">
    <w:abstractNumId w:val="13"/>
  </w:num>
  <w:num w:numId="2">
    <w:abstractNumId w:val="29"/>
  </w:num>
  <w:num w:numId="3">
    <w:abstractNumId w:val="10"/>
  </w:num>
  <w:num w:numId="4">
    <w:abstractNumId w:val="15"/>
  </w:num>
  <w:num w:numId="5">
    <w:abstractNumId w:val="24"/>
  </w:num>
  <w:num w:numId="6">
    <w:abstractNumId w:val="30"/>
  </w:num>
  <w:num w:numId="7">
    <w:abstractNumId w:val="14"/>
  </w:num>
  <w:num w:numId="8">
    <w:abstractNumId w:val="3"/>
  </w:num>
  <w:num w:numId="9">
    <w:abstractNumId w:val="25"/>
  </w:num>
  <w:num w:numId="10">
    <w:abstractNumId w:val="9"/>
  </w:num>
  <w:num w:numId="11">
    <w:abstractNumId w:val="4"/>
  </w:num>
  <w:num w:numId="12">
    <w:abstractNumId w:val="27"/>
  </w:num>
  <w:num w:numId="13">
    <w:abstractNumId w:val="16"/>
  </w:num>
  <w:num w:numId="14">
    <w:abstractNumId w:val="7"/>
  </w:num>
  <w:num w:numId="15">
    <w:abstractNumId w:val="5"/>
  </w:num>
  <w:num w:numId="16">
    <w:abstractNumId w:val="12"/>
  </w:num>
  <w:num w:numId="17">
    <w:abstractNumId w:val="23"/>
  </w:num>
  <w:num w:numId="18">
    <w:abstractNumId w:val="31"/>
  </w:num>
  <w:num w:numId="19">
    <w:abstractNumId w:val="21"/>
  </w:num>
  <w:num w:numId="20">
    <w:abstractNumId w:val="18"/>
  </w:num>
  <w:num w:numId="21">
    <w:abstractNumId w:val="1"/>
  </w:num>
  <w:num w:numId="22">
    <w:abstractNumId w:val="32"/>
  </w:num>
  <w:num w:numId="23">
    <w:abstractNumId w:val="2"/>
  </w:num>
  <w:num w:numId="24">
    <w:abstractNumId w:val="28"/>
  </w:num>
  <w:num w:numId="25">
    <w:abstractNumId w:val="11"/>
  </w:num>
  <w:num w:numId="26">
    <w:abstractNumId w:val="6"/>
  </w:num>
  <w:num w:numId="27">
    <w:abstractNumId w:val="8"/>
  </w:num>
  <w:num w:numId="28">
    <w:abstractNumId w:val="22"/>
  </w:num>
  <w:num w:numId="29">
    <w:abstractNumId w:val="26"/>
  </w:num>
  <w:num w:numId="30">
    <w:abstractNumId w:val="19"/>
  </w:num>
  <w:num w:numId="31">
    <w:abstractNumId w:val="20"/>
  </w:num>
  <w:num w:numId="32">
    <w:abstractNumId w:val="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09E3C0E-3531-4BDD-8B7F-45DFAE6B00E6"/>
    <w:docVar w:name="LW_COVERPAGE_TYPE" w:val="1"/>
    <w:docVar w:name="LW_CROSSREFERENCE" w:val="{SWD(2025) 393 final}"/>
    <w:docVar w:name="LW_DocType" w:val="NORMAL"/>
    <w:docVar w:name="LW_EMISSION" w:val="28.11.2025"/>
    <w:docVar w:name="LW_EMISSION_ISODATE" w:val="2025-11-2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Introducerea planului de prevenire, preg\u259?tire \u537?i r\u259?spuns al Uniunii la crizele sanitare&lt;/FMT&gt;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73751E"/>
    <w:rsid w:val="000002F6"/>
    <w:rsid w:val="00000C1A"/>
    <w:rsid w:val="00000F3C"/>
    <w:rsid w:val="00001046"/>
    <w:rsid w:val="00001128"/>
    <w:rsid w:val="0000140B"/>
    <w:rsid w:val="00001433"/>
    <w:rsid w:val="00001519"/>
    <w:rsid w:val="000015FD"/>
    <w:rsid w:val="000018DF"/>
    <w:rsid w:val="00002269"/>
    <w:rsid w:val="000025BA"/>
    <w:rsid w:val="0000281E"/>
    <w:rsid w:val="0000282F"/>
    <w:rsid w:val="000029E9"/>
    <w:rsid w:val="00002B4D"/>
    <w:rsid w:val="00003568"/>
    <w:rsid w:val="000035C2"/>
    <w:rsid w:val="00003EA9"/>
    <w:rsid w:val="00004068"/>
    <w:rsid w:val="0000407D"/>
    <w:rsid w:val="000048F7"/>
    <w:rsid w:val="00004D23"/>
    <w:rsid w:val="0000542B"/>
    <w:rsid w:val="000055D0"/>
    <w:rsid w:val="00005904"/>
    <w:rsid w:val="00005ACF"/>
    <w:rsid w:val="0000626E"/>
    <w:rsid w:val="000062F0"/>
    <w:rsid w:val="000066FB"/>
    <w:rsid w:val="000066FF"/>
    <w:rsid w:val="00006838"/>
    <w:rsid w:val="00006C2A"/>
    <w:rsid w:val="00006E6F"/>
    <w:rsid w:val="00007173"/>
    <w:rsid w:val="0000734F"/>
    <w:rsid w:val="00007665"/>
    <w:rsid w:val="00007724"/>
    <w:rsid w:val="00007C78"/>
    <w:rsid w:val="00007CB4"/>
    <w:rsid w:val="000100BB"/>
    <w:rsid w:val="00010280"/>
    <w:rsid w:val="000107B7"/>
    <w:rsid w:val="00010F6D"/>
    <w:rsid w:val="00011121"/>
    <w:rsid w:val="00011134"/>
    <w:rsid w:val="0001144A"/>
    <w:rsid w:val="00011836"/>
    <w:rsid w:val="00011CC0"/>
    <w:rsid w:val="00011EF3"/>
    <w:rsid w:val="00011F2A"/>
    <w:rsid w:val="00012153"/>
    <w:rsid w:val="000123C6"/>
    <w:rsid w:val="00012419"/>
    <w:rsid w:val="00012443"/>
    <w:rsid w:val="00012727"/>
    <w:rsid w:val="00012793"/>
    <w:rsid w:val="0001324A"/>
    <w:rsid w:val="000136AF"/>
    <w:rsid w:val="000136EC"/>
    <w:rsid w:val="000138E0"/>
    <w:rsid w:val="00013A4D"/>
    <w:rsid w:val="000144ED"/>
    <w:rsid w:val="000144F2"/>
    <w:rsid w:val="00014677"/>
    <w:rsid w:val="00014B73"/>
    <w:rsid w:val="00014C28"/>
    <w:rsid w:val="00014DA9"/>
    <w:rsid w:val="0001570E"/>
    <w:rsid w:val="0001630E"/>
    <w:rsid w:val="00016399"/>
    <w:rsid w:val="000163CB"/>
    <w:rsid w:val="00016BF9"/>
    <w:rsid w:val="00016E8A"/>
    <w:rsid w:val="00016F5C"/>
    <w:rsid w:val="00017AA9"/>
    <w:rsid w:val="00017C69"/>
    <w:rsid w:val="000201F1"/>
    <w:rsid w:val="00020914"/>
    <w:rsid w:val="00020AB7"/>
    <w:rsid w:val="00020B43"/>
    <w:rsid w:val="00020FFF"/>
    <w:rsid w:val="000210B8"/>
    <w:rsid w:val="000214BD"/>
    <w:rsid w:val="00021B28"/>
    <w:rsid w:val="0002245B"/>
    <w:rsid w:val="000226B4"/>
    <w:rsid w:val="000228A4"/>
    <w:rsid w:val="000228E8"/>
    <w:rsid w:val="000229A9"/>
    <w:rsid w:val="00022A8C"/>
    <w:rsid w:val="00022BB2"/>
    <w:rsid w:val="00022C23"/>
    <w:rsid w:val="0002338B"/>
    <w:rsid w:val="000236A7"/>
    <w:rsid w:val="0002375E"/>
    <w:rsid w:val="00023816"/>
    <w:rsid w:val="000239B3"/>
    <w:rsid w:val="00023C43"/>
    <w:rsid w:val="00023E8C"/>
    <w:rsid w:val="00024259"/>
    <w:rsid w:val="000242D8"/>
    <w:rsid w:val="00024A15"/>
    <w:rsid w:val="00024AC6"/>
    <w:rsid w:val="00024BCD"/>
    <w:rsid w:val="00024C88"/>
    <w:rsid w:val="00024E1D"/>
    <w:rsid w:val="000254CE"/>
    <w:rsid w:val="000258EC"/>
    <w:rsid w:val="00025953"/>
    <w:rsid w:val="00025DA4"/>
    <w:rsid w:val="00025E7C"/>
    <w:rsid w:val="000260ED"/>
    <w:rsid w:val="0002645E"/>
    <w:rsid w:val="0002656A"/>
    <w:rsid w:val="00026590"/>
    <w:rsid w:val="00026B05"/>
    <w:rsid w:val="00026EE2"/>
    <w:rsid w:val="00027311"/>
    <w:rsid w:val="00027706"/>
    <w:rsid w:val="000277C3"/>
    <w:rsid w:val="00027949"/>
    <w:rsid w:val="00030139"/>
    <w:rsid w:val="000305DD"/>
    <w:rsid w:val="00030831"/>
    <w:rsid w:val="00030944"/>
    <w:rsid w:val="00030F8C"/>
    <w:rsid w:val="00031297"/>
    <w:rsid w:val="00031467"/>
    <w:rsid w:val="000316FF"/>
    <w:rsid w:val="00031960"/>
    <w:rsid w:val="00031DBE"/>
    <w:rsid w:val="00031FFA"/>
    <w:rsid w:val="00032220"/>
    <w:rsid w:val="000324F9"/>
    <w:rsid w:val="00032783"/>
    <w:rsid w:val="000327A6"/>
    <w:rsid w:val="00032D30"/>
    <w:rsid w:val="00032F30"/>
    <w:rsid w:val="00033456"/>
    <w:rsid w:val="00033779"/>
    <w:rsid w:val="00033888"/>
    <w:rsid w:val="000338AB"/>
    <w:rsid w:val="00033915"/>
    <w:rsid w:val="00033CC6"/>
    <w:rsid w:val="00033E10"/>
    <w:rsid w:val="00033FC3"/>
    <w:rsid w:val="0003401A"/>
    <w:rsid w:val="0003450B"/>
    <w:rsid w:val="0003466B"/>
    <w:rsid w:val="000350FF"/>
    <w:rsid w:val="00035244"/>
    <w:rsid w:val="000353B2"/>
    <w:rsid w:val="00035A6A"/>
    <w:rsid w:val="00036313"/>
    <w:rsid w:val="0003677F"/>
    <w:rsid w:val="000370BF"/>
    <w:rsid w:val="00037498"/>
    <w:rsid w:val="00037EBF"/>
    <w:rsid w:val="00040024"/>
    <w:rsid w:val="00040456"/>
    <w:rsid w:val="00040797"/>
    <w:rsid w:val="000407A5"/>
    <w:rsid w:val="00040CB9"/>
    <w:rsid w:val="00040CBB"/>
    <w:rsid w:val="00040EC2"/>
    <w:rsid w:val="0004138F"/>
    <w:rsid w:val="0004177B"/>
    <w:rsid w:val="00041E8E"/>
    <w:rsid w:val="00042077"/>
    <w:rsid w:val="000424DF"/>
    <w:rsid w:val="000425CB"/>
    <w:rsid w:val="0004275E"/>
    <w:rsid w:val="00042BAC"/>
    <w:rsid w:val="00043360"/>
    <w:rsid w:val="000433B7"/>
    <w:rsid w:val="000433D7"/>
    <w:rsid w:val="00043454"/>
    <w:rsid w:val="000438D5"/>
    <w:rsid w:val="00044032"/>
    <w:rsid w:val="00044E16"/>
    <w:rsid w:val="0004522E"/>
    <w:rsid w:val="0004531C"/>
    <w:rsid w:val="00045D31"/>
    <w:rsid w:val="00045D5C"/>
    <w:rsid w:val="00045D87"/>
    <w:rsid w:val="00045E56"/>
    <w:rsid w:val="00046401"/>
    <w:rsid w:val="000464E5"/>
    <w:rsid w:val="00046775"/>
    <w:rsid w:val="00046C09"/>
    <w:rsid w:val="00046C2E"/>
    <w:rsid w:val="00047787"/>
    <w:rsid w:val="00047DCA"/>
    <w:rsid w:val="00050005"/>
    <w:rsid w:val="00050131"/>
    <w:rsid w:val="00050587"/>
    <w:rsid w:val="00050714"/>
    <w:rsid w:val="00050DF7"/>
    <w:rsid w:val="00050E74"/>
    <w:rsid w:val="00050F57"/>
    <w:rsid w:val="0005132E"/>
    <w:rsid w:val="000513C4"/>
    <w:rsid w:val="000515FF"/>
    <w:rsid w:val="000516AF"/>
    <w:rsid w:val="000517BE"/>
    <w:rsid w:val="0005195C"/>
    <w:rsid w:val="00051EBB"/>
    <w:rsid w:val="0005259B"/>
    <w:rsid w:val="00052911"/>
    <w:rsid w:val="00052A22"/>
    <w:rsid w:val="00052C7C"/>
    <w:rsid w:val="00052EC7"/>
    <w:rsid w:val="00052FF7"/>
    <w:rsid w:val="000531EF"/>
    <w:rsid w:val="00053608"/>
    <w:rsid w:val="00053702"/>
    <w:rsid w:val="0005373F"/>
    <w:rsid w:val="00054340"/>
    <w:rsid w:val="000546EC"/>
    <w:rsid w:val="00054787"/>
    <w:rsid w:val="00054A87"/>
    <w:rsid w:val="00054AF7"/>
    <w:rsid w:val="00054C66"/>
    <w:rsid w:val="00054CA6"/>
    <w:rsid w:val="000550AE"/>
    <w:rsid w:val="00055188"/>
    <w:rsid w:val="00055831"/>
    <w:rsid w:val="00055AB8"/>
    <w:rsid w:val="00055B7D"/>
    <w:rsid w:val="0005619B"/>
    <w:rsid w:val="00056542"/>
    <w:rsid w:val="000565F4"/>
    <w:rsid w:val="000566AC"/>
    <w:rsid w:val="00056C34"/>
    <w:rsid w:val="00057352"/>
    <w:rsid w:val="00057A1A"/>
    <w:rsid w:val="00057ACC"/>
    <w:rsid w:val="000602C5"/>
    <w:rsid w:val="000604AC"/>
    <w:rsid w:val="00060691"/>
    <w:rsid w:val="00060800"/>
    <w:rsid w:val="00060951"/>
    <w:rsid w:val="00060B57"/>
    <w:rsid w:val="00060EC3"/>
    <w:rsid w:val="000614C7"/>
    <w:rsid w:val="00061513"/>
    <w:rsid w:val="000616B3"/>
    <w:rsid w:val="00061D40"/>
    <w:rsid w:val="00061DF8"/>
    <w:rsid w:val="0006212B"/>
    <w:rsid w:val="000622F5"/>
    <w:rsid w:val="000622FF"/>
    <w:rsid w:val="000623D0"/>
    <w:rsid w:val="00062EA4"/>
    <w:rsid w:val="00062F9A"/>
    <w:rsid w:val="00063040"/>
    <w:rsid w:val="000630A7"/>
    <w:rsid w:val="00063308"/>
    <w:rsid w:val="00063D9C"/>
    <w:rsid w:val="00063F54"/>
    <w:rsid w:val="00064511"/>
    <w:rsid w:val="0006480B"/>
    <w:rsid w:val="0006483E"/>
    <w:rsid w:val="000648B7"/>
    <w:rsid w:val="00064BA7"/>
    <w:rsid w:val="000650D3"/>
    <w:rsid w:val="0006512A"/>
    <w:rsid w:val="000653B9"/>
    <w:rsid w:val="0006583B"/>
    <w:rsid w:val="0006585F"/>
    <w:rsid w:val="00065B16"/>
    <w:rsid w:val="000661A7"/>
    <w:rsid w:val="000663D5"/>
    <w:rsid w:val="00066B27"/>
    <w:rsid w:val="000676E8"/>
    <w:rsid w:val="00067B60"/>
    <w:rsid w:val="00067BDA"/>
    <w:rsid w:val="00067C91"/>
    <w:rsid w:val="00070260"/>
    <w:rsid w:val="00070436"/>
    <w:rsid w:val="000712FB"/>
    <w:rsid w:val="00071696"/>
    <w:rsid w:val="00072701"/>
    <w:rsid w:val="000739B0"/>
    <w:rsid w:val="0007414C"/>
    <w:rsid w:val="00074750"/>
    <w:rsid w:val="00074B06"/>
    <w:rsid w:val="00074C66"/>
    <w:rsid w:val="00074C6F"/>
    <w:rsid w:val="00074D78"/>
    <w:rsid w:val="00074E45"/>
    <w:rsid w:val="000752A8"/>
    <w:rsid w:val="00075758"/>
    <w:rsid w:val="00075B09"/>
    <w:rsid w:val="00075D7A"/>
    <w:rsid w:val="00076536"/>
    <w:rsid w:val="00076872"/>
    <w:rsid w:val="000769EB"/>
    <w:rsid w:val="00077554"/>
    <w:rsid w:val="00077586"/>
    <w:rsid w:val="00077668"/>
    <w:rsid w:val="0007796C"/>
    <w:rsid w:val="00077A13"/>
    <w:rsid w:val="00077A95"/>
    <w:rsid w:val="00077D63"/>
    <w:rsid w:val="0008024B"/>
    <w:rsid w:val="0008052D"/>
    <w:rsid w:val="00080639"/>
    <w:rsid w:val="00080702"/>
    <w:rsid w:val="00080B83"/>
    <w:rsid w:val="0008171D"/>
    <w:rsid w:val="00081933"/>
    <w:rsid w:val="00081C66"/>
    <w:rsid w:val="00082250"/>
    <w:rsid w:val="0008225C"/>
    <w:rsid w:val="0008248F"/>
    <w:rsid w:val="00082851"/>
    <w:rsid w:val="00082B53"/>
    <w:rsid w:val="00082E97"/>
    <w:rsid w:val="00083182"/>
    <w:rsid w:val="000834E5"/>
    <w:rsid w:val="0008361E"/>
    <w:rsid w:val="000836C2"/>
    <w:rsid w:val="0008387B"/>
    <w:rsid w:val="00083EBB"/>
    <w:rsid w:val="00084046"/>
    <w:rsid w:val="0008442C"/>
    <w:rsid w:val="00084599"/>
    <w:rsid w:val="00084802"/>
    <w:rsid w:val="00084DB7"/>
    <w:rsid w:val="000854BF"/>
    <w:rsid w:val="00085519"/>
    <w:rsid w:val="00085C05"/>
    <w:rsid w:val="000865FE"/>
    <w:rsid w:val="00086645"/>
    <w:rsid w:val="0008679A"/>
    <w:rsid w:val="00086AD8"/>
    <w:rsid w:val="00086D33"/>
    <w:rsid w:val="00086F6B"/>
    <w:rsid w:val="000870CE"/>
    <w:rsid w:val="000877B2"/>
    <w:rsid w:val="000877F0"/>
    <w:rsid w:val="00087D1A"/>
    <w:rsid w:val="0008B68C"/>
    <w:rsid w:val="00090829"/>
    <w:rsid w:val="00091CFD"/>
    <w:rsid w:val="000924C9"/>
    <w:rsid w:val="000926FF"/>
    <w:rsid w:val="000929EA"/>
    <w:rsid w:val="00093162"/>
    <w:rsid w:val="000932BB"/>
    <w:rsid w:val="00093397"/>
    <w:rsid w:val="00093B6C"/>
    <w:rsid w:val="00093D12"/>
    <w:rsid w:val="000943CA"/>
    <w:rsid w:val="00094904"/>
    <w:rsid w:val="00094FA8"/>
    <w:rsid w:val="00094FC1"/>
    <w:rsid w:val="0009509E"/>
    <w:rsid w:val="000951D5"/>
    <w:rsid w:val="00095323"/>
    <w:rsid w:val="000953BE"/>
    <w:rsid w:val="0009559F"/>
    <w:rsid w:val="0009560E"/>
    <w:rsid w:val="00095647"/>
    <w:rsid w:val="000956A9"/>
    <w:rsid w:val="00095798"/>
    <w:rsid w:val="000957C0"/>
    <w:rsid w:val="00095B7F"/>
    <w:rsid w:val="00095ECF"/>
    <w:rsid w:val="00096129"/>
    <w:rsid w:val="000963FC"/>
    <w:rsid w:val="0009640E"/>
    <w:rsid w:val="00096526"/>
    <w:rsid w:val="00096A9B"/>
    <w:rsid w:val="00096C3D"/>
    <w:rsid w:val="00097698"/>
    <w:rsid w:val="000977BF"/>
    <w:rsid w:val="00097967"/>
    <w:rsid w:val="00097BD6"/>
    <w:rsid w:val="0009FC64"/>
    <w:rsid w:val="000A06C6"/>
    <w:rsid w:val="000A09A5"/>
    <w:rsid w:val="000A1023"/>
    <w:rsid w:val="000A10EC"/>
    <w:rsid w:val="000A142A"/>
    <w:rsid w:val="000A1AC2"/>
    <w:rsid w:val="000A1DF6"/>
    <w:rsid w:val="000A2491"/>
    <w:rsid w:val="000A2810"/>
    <w:rsid w:val="000A3165"/>
    <w:rsid w:val="000A3326"/>
    <w:rsid w:val="000A3AD4"/>
    <w:rsid w:val="000A3D77"/>
    <w:rsid w:val="000A3DD5"/>
    <w:rsid w:val="000A3E89"/>
    <w:rsid w:val="000A3F7F"/>
    <w:rsid w:val="000A4098"/>
    <w:rsid w:val="000A42A9"/>
    <w:rsid w:val="000A42BD"/>
    <w:rsid w:val="000A43B7"/>
    <w:rsid w:val="000A4539"/>
    <w:rsid w:val="000A45D1"/>
    <w:rsid w:val="000A45F2"/>
    <w:rsid w:val="000A496A"/>
    <w:rsid w:val="000A5205"/>
    <w:rsid w:val="000A52CB"/>
    <w:rsid w:val="000A5516"/>
    <w:rsid w:val="000A5C66"/>
    <w:rsid w:val="000A606A"/>
    <w:rsid w:val="000A61B4"/>
    <w:rsid w:val="000A6224"/>
    <w:rsid w:val="000A64B7"/>
    <w:rsid w:val="000A657D"/>
    <w:rsid w:val="000A6CF9"/>
    <w:rsid w:val="000A6DAD"/>
    <w:rsid w:val="000A6DEF"/>
    <w:rsid w:val="000A74B1"/>
    <w:rsid w:val="000A757C"/>
    <w:rsid w:val="000A77A0"/>
    <w:rsid w:val="000A7998"/>
    <w:rsid w:val="000A7A90"/>
    <w:rsid w:val="000B0DBE"/>
    <w:rsid w:val="000B130C"/>
    <w:rsid w:val="000B1FE6"/>
    <w:rsid w:val="000B21C8"/>
    <w:rsid w:val="000B246D"/>
    <w:rsid w:val="000B26FD"/>
    <w:rsid w:val="000B2829"/>
    <w:rsid w:val="000B2C5B"/>
    <w:rsid w:val="000B2D7E"/>
    <w:rsid w:val="000B2E12"/>
    <w:rsid w:val="000B2E24"/>
    <w:rsid w:val="000B2E76"/>
    <w:rsid w:val="000B309E"/>
    <w:rsid w:val="000B30EF"/>
    <w:rsid w:val="000B3294"/>
    <w:rsid w:val="000B38A1"/>
    <w:rsid w:val="000B3D87"/>
    <w:rsid w:val="000B4114"/>
    <w:rsid w:val="000B431F"/>
    <w:rsid w:val="000B4555"/>
    <w:rsid w:val="000B4904"/>
    <w:rsid w:val="000B4C6B"/>
    <w:rsid w:val="000B4E06"/>
    <w:rsid w:val="000B59F4"/>
    <w:rsid w:val="000B5A80"/>
    <w:rsid w:val="000B5AA5"/>
    <w:rsid w:val="000B5D35"/>
    <w:rsid w:val="000B5E0F"/>
    <w:rsid w:val="000B68BA"/>
    <w:rsid w:val="000B6A2D"/>
    <w:rsid w:val="000B6A2E"/>
    <w:rsid w:val="000B6B61"/>
    <w:rsid w:val="000B6D69"/>
    <w:rsid w:val="000B6EB5"/>
    <w:rsid w:val="000B74B6"/>
    <w:rsid w:val="000C01C2"/>
    <w:rsid w:val="000C0CD5"/>
    <w:rsid w:val="000C0F41"/>
    <w:rsid w:val="000C11DB"/>
    <w:rsid w:val="000C1B2E"/>
    <w:rsid w:val="000C1BFF"/>
    <w:rsid w:val="000C1CEE"/>
    <w:rsid w:val="000C1E16"/>
    <w:rsid w:val="000C2822"/>
    <w:rsid w:val="000C2877"/>
    <w:rsid w:val="000C2D98"/>
    <w:rsid w:val="000C3194"/>
    <w:rsid w:val="000C33D6"/>
    <w:rsid w:val="000C377D"/>
    <w:rsid w:val="000C3879"/>
    <w:rsid w:val="000C43CB"/>
    <w:rsid w:val="000C45AC"/>
    <w:rsid w:val="000C49F2"/>
    <w:rsid w:val="000C54DF"/>
    <w:rsid w:val="000C5898"/>
    <w:rsid w:val="000C5A66"/>
    <w:rsid w:val="000C5D95"/>
    <w:rsid w:val="000C603B"/>
    <w:rsid w:val="000C62C8"/>
    <w:rsid w:val="000C6900"/>
    <w:rsid w:val="000C6975"/>
    <w:rsid w:val="000C6DC1"/>
    <w:rsid w:val="000C6E32"/>
    <w:rsid w:val="000C6EDE"/>
    <w:rsid w:val="000C7047"/>
    <w:rsid w:val="000C70A5"/>
    <w:rsid w:val="000C74BF"/>
    <w:rsid w:val="000C7505"/>
    <w:rsid w:val="000C7954"/>
    <w:rsid w:val="000C7BFF"/>
    <w:rsid w:val="000D0BED"/>
    <w:rsid w:val="000D0E9E"/>
    <w:rsid w:val="000D115E"/>
    <w:rsid w:val="000D199C"/>
    <w:rsid w:val="000D1C45"/>
    <w:rsid w:val="000D213E"/>
    <w:rsid w:val="000D2284"/>
    <w:rsid w:val="000D2CF0"/>
    <w:rsid w:val="000D3280"/>
    <w:rsid w:val="000D3422"/>
    <w:rsid w:val="000D3619"/>
    <w:rsid w:val="000D362A"/>
    <w:rsid w:val="000D3923"/>
    <w:rsid w:val="000D3CFA"/>
    <w:rsid w:val="000D4455"/>
    <w:rsid w:val="000D4560"/>
    <w:rsid w:val="000D46E2"/>
    <w:rsid w:val="000D5042"/>
    <w:rsid w:val="000D5328"/>
    <w:rsid w:val="000D569F"/>
    <w:rsid w:val="000D5836"/>
    <w:rsid w:val="000D5DAC"/>
    <w:rsid w:val="000D5E76"/>
    <w:rsid w:val="000D5F8B"/>
    <w:rsid w:val="000D6020"/>
    <w:rsid w:val="000D619E"/>
    <w:rsid w:val="000D622E"/>
    <w:rsid w:val="000D651F"/>
    <w:rsid w:val="000D664C"/>
    <w:rsid w:val="000D669C"/>
    <w:rsid w:val="000D66CC"/>
    <w:rsid w:val="000D67BB"/>
    <w:rsid w:val="000D6A26"/>
    <w:rsid w:val="000D6D8F"/>
    <w:rsid w:val="000D6DF1"/>
    <w:rsid w:val="000D7282"/>
    <w:rsid w:val="000D7E92"/>
    <w:rsid w:val="000D7F45"/>
    <w:rsid w:val="000E001B"/>
    <w:rsid w:val="000E073C"/>
    <w:rsid w:val="000E0C98"/>
    <w:rsid w:val="000E0E71"/>
    <w:rsid w:val="000E125D"/>
    <w:rsid w:val="000E1263"/>
    <w:rsid w:val="000E1902"/>
    <w:rsid w:val="000E19A3"/>
    <w:rsid w:val="000E1F1C"/>
    <w:rsid w:val="000E2050"/>
    <w:rsid w:val="000E2121"/>
    <w:rsid w:val="000E26F2"/>
    <w:rsid w:val="000E2A02"/>
    <w:rsid w:val="000E2FB4"/>
    <w:rsid w:val="000E3193"/>
    <w:rsid w:val="000E363E"/>
    <w:rsid w:val="000E36CD"/>
    <w:rsid w:val="000E37E4"/>
    <w:rsid w:val="000E3D75"/>
    <w:rsid w:val="000E4445"/>
    <w:rsid w:val="000E4605"/>
    <w:rsid w:val="000E490C"/>
    <w:rsid w:val="000E49BB"/>
    <w:rsid w:val="000E4A09"/>
    <w:rsid w:val="000E4C3E"/>
    <w:rsid w:val="000E504A"/>
    <w:rsid w:val="000E5285"/>
    <w:rsid w:val="000E5565"/>
    <w:rsid w:val="000E57B3"/>
    <w:rsid w:val="000E59FB"/>
    <w:rsid w:val="000E6205"/>
    <w:rsid w:val="000E63DD"/>
    <w:rsid w:val="000E6CC2"/>
    <w:rsid w:val="000E729D"/>
    <w:rsid w:val="000E7305"/>
    <w:rsid w:val="000E7513"/>
    <w:rsid w:val="000E7A4C"/>
    <w:rsid w:val="000E7E0B"/>
    <w:rsid w:val="000F0433"/>
    <w:rsid w:val="000F0F32"/>
    <w:rsid w:val="000F122F"/>
    <w:rsid w:val="000F1691"/>
    <w:rsid w:val="000F1716"/>
    <w:rsid w:val="000F1BF1"/>
    <w:rsid w:val="000F1C26"/>
    <w:rsid w:val="000F1D67"/>
    <w:rsid w:val="000F1D7F"/>
    <w:rsid w:val="000F1DAB"/>
    <w:rsid w:val="000F1E30"/>
    <w:rsid w:val="000F2048"/>
    <w:rsid w:val="000F24DD"/>
    <w:rsid w:val="000F2CF9"/>
    <w:rsid w:val="000F2F3F"/>
    <w:rsid w:val="000F40D3"/>
    <w:rsid w:val="000F40EC"/>
    <w:rsid w:val="000F462B"/>
    <w:rsid w:val="000F47B8"/>
    <w:rsid w:val="000F4D0E"/>
    <w:rsid w:val="000F5091"/>
    <w:rsid w:val="000F5651"/>
    <w:rsid w:val="000F5F26"/>
    <w:rsid w:val="000F60C7"/>
    <w:rsid w:val="000F6161"/>
    <w:rsid w:val="000F6C69"/>
    <w:rsid w:val="000F7FE5"/>
    <w:rsid w:val="0010020F"/>
    <w:rsid w:val="00100247"/>
    <w:rsid w:val="0010094D"/>
    <w:rsid w:val="00100C94"/>
    <w:rsid w:val="00100D03"/>
    <w:rsid w:val="00100E0F"/>
    <w:rsid w:val="00101350"/>
    <w:rsid w:val="0010153A"/>
    <w:rsid w:val="00101EEF"/>
    <w:rsid w:val="00101F35"/>
    <w:rsid w:val="00102302"/>
    <w:rsid w:val="001026C6"/>
    <w:rsid w:val="00102B6E"/>
    <w:rsid w:val="00102DB3"/>
    <w:rsid w:val="00102EAB"/>
    <w:rsid w:val="00102FA3"/>
    <w:rsid w:val="0010380A"/>
    <w:rsid w:val="001039FE"/>
    <w:rsid w:val="00103F11"/>
    <w:rsid w:val="00104511"/>
    <w:rsid w:val="0010454C"/>
    <w:rsid w:val="00104697"/>
    <w:rsid w:val="001046FA"/>
    <w:rsid w:val="00105042"/>
    <w:rsid w:val="00105102"/>
    <w:rsid w:val="001052AA"/>
    <w:rsid w:val="00105905"/>
    <w:rsid w:val="00105A12"/>
    <w:rsid w:val="00105D6C"/>
    <w:rsid w:val="00105EF7"/>
    <w:rsid w:val="00106175"/>
    <w:rsid w:val="001061E1"/>
    <w:rsid w:val="00106536"/>
    <w:rsid w:val="001068E4"/>
    <w:rsid w:val="0010690B"/>
    <w:rsid w:val="00106BD9"/>
    <w:rsid w:val="00107116"/>
    <w:rsid w:val="001076F1"/>
    <w:rsid w:val="001103F7"/>
    <w:rsid w:val="00110D61"/>
    <w:rsid w:val="00110DB2"/>
    <w:rsid w:val="00111E02"/>
    <w:rsid w:val="00112BF0"/>
    <w:rsid w:val="00112F00"/>
    <w:rsid w:val="00112F5D"/>
    <w:rsid w:val="001131AF"/>
    <w:rsid w:val="00113316"/>
    <w:rsid w:val="001134B1"/>
    <w:rsid w:val="00113FAB"/>
    <w:rsid w:val="001147C0"/>
    <w:rsid w:val="00114C32"/>
    <w:rsid w:val="00114E77"/>
    <w:rsid w:val="00114EC0"/>
    <w:rsid w:val="00115490"/>
    <w:rsid w:val="001154F7"/>
    <w:rsid w:val="00115C6F"/>
    <w:rsid w:val="00115EDC"/>
    <w:rsid w:val="001160D5"/>
    <w:rsid w:val="00116832"/>
    <w:rsid w:val="001168DA"/>
    <w:rsid w:val="00116C6E"/>
    <w:rsid w:val="00116DD8"/>
    <w:rsid w:val="001170A3"/>
    <w:rsid w:val="001171CE"/>
    <w:rsid w:val="001175E9"/>
    <w:rsid w:val="00117A0C"/>
    <w:rsid w:val="00121178"/>
    <w:rsid w:val="00121676"/>
    <w:rsid w:val="00121949"/>
    <w:rsid w:val="00121C1F"/>
    <w:rsid w:val="0012210D"/>
    <w:rsid w:val="001222B4"/>
    <w:rsid w:val="00122919"/>
    <w:rsid w:val="00122DA6"/>
    <w:rsid w:val="00122E71"/>
    <w:rsid w:val="00122E8E"/>
    <w:rsid w:val="001232EA"/>
    <w:rsid w:val="00123517"/>
    <w:rsid w:val="00123727"/>
    <w:rsid w:val="00123CFE"/>
    <w:rsid w:val="00123E9E"/>
    <w:rsid w:val="0012439E"/>
    <w:rsid w:val="00124922"/>
    <w:rsid w:val="00124A2D"/>
    <w:rsid w:val="00124A72"/>
    <w:rsid w:val="00124B0A"/>
    <w:rsid w:val="00124BCE"/>
    <w:rsid w:val="00125079"/>
    <w:rsid w:val="001250C1"/>
    <w:rsid w:val="00125230"/>
    <w:rsid w:val="0012557C"/>
    <w:rsid w:val="00125F63"/>
    <w:rsid w:val="00125FA6"/>
    <w:rsid w:val="00126709"/>
    <w:rsid w:val="00126761"/>
    <w:rsid w:val="00126772"/>
    <w:rsid w:val="00127033"/>
    <w:rsid w:val="001273DA"/>
    <w:rsid w:val="001276F6"/>
    <w:rsid w:val="00127AB7"/>
    <w:rsid w:val="00130296"/>
    <w:rsid w:val="001308EF"/>
    <w:rsid w:val="00130D77"/>
    <w:rsid w:val="00130EBC"/>
    <w:rsid w:val="00131085"/>
    <w:rsid w:val="001313A4"/>
    <w:rsid w:val="001313D0"/>
    <w:rsid w:val="00131739"/>
    <w:rsid w:val="001317B9"/>
    <w:rsid w:val="00131A09"/>
    <w:rsid w:val="00132117"/>
    <w:rsid w:val="001321A7"/>
    <w:rsid w:val="0013279B"/>
    <w:rsid w:val="001329B3"/>
    <w:rsid w:val="00132E9E"/>
    <w:rsid w:val="00132FF6"/>
    <w:rsid w:val="00133471"/>
    <w:rsid w:val="00133914"/>
    <w:rsid w:val="00133A74"/>
    <w:rsid w:val="001342AA"/>
    <w:rsid w:val="00134391"/>
    <w:rsid w:val="001343C7"/>
    <w:rsid w:val="0013460A"/>
    <w:rsid w:val="00134B00"/>
    <w:rsid w:val="0013541C"/>
    <w:rsid w:val="00135DCB"/>
    <w:rsid w:val="00135DE1"/>
    <w:rsid w:val="0013666B"/>
    <w:rsid w:val="00136BA3"/>
    <w:rsid w:val="00136BAA"/>
    <w:rsid w:val="0013710C"/>
    <w:rsid w:val="001372E8"/>
    <w:rsid w:val="00137417"/>
    <w:rsid w:val="00137739"/>
    <w:rsid w:val="0013773F"/>
    <w:rsid w:val="00137A00"/>
    <w:rsid w:val="00137BA4"/>
    <w:rsid w:val="00137D04"/>
    <w:rsid w:val="00140371"/>
    <w:rsid w:val="001403C1"/>
    <w:rsid w:val="00140F8D"/>
    <w:rsid w:val="00140FBC"/>
    <w:rsid w:val="001410A3"/>
    <w:rsid w:val="00141858"/>
    <w:rsid w:val="001425BB"/>
    <w:rsid w:val="001425F4"/>
    <w:rsid w:val="001427F2"/>
    <w:rsid w:val="00142CC2"/>
    <w:rsid w:val="00143584"/>
    <w:rsid w:val="00143601"/>
    <w:rsid w:val="001436A0"/>
    <w:rsid w:val="001437AD"/>
    <w:rsid w:val="00143885"/>
    <w:rsid w:val="00143B75"/>
    <w:rsid w:val="00143E79"/>
    <w:rsid w:val="00143F1C"/>
    <w:rsid w:val="001443F1"/>
    <w:rsid w:val="00144736"/>
    <w:rsid w:val="001448B7"/>
    <w:rsid w:val="00144978"/>
    <w:rsid w:val="00144987"/>
    <w:rsid w:val="00144D74"/>
    <w:rsid w:val="00144EAE"/>
    <w:rsid w:val="0014514A"/>
    <w:rsid w:val="00145347"/>
    <w:rsid w:val="0014542E"/>
    <w:rsid w:val="00145488"/>
    <w:rsid w:val="001454FB"/>
    <w:rsid w:val="001460F7"/>
    <w:rsid w:val="001462CE"/>
    <w:rsid w:val="001466D2"/>
    <w:rsid w:val="00146724"/>
    <w:rsid w:val="00146776"/>
    <w:rsid w:val="00146A88"/>
    <w:rsid w:val="00146B34"/>
    <w:rsid w:val="00146E8E"/>
    <w:rsid w:val="00146EFF"/>
    <w:rsid w:val="0014720D"/>
    <w:rsid w:val="001475D9"/>
    <w:rsid w:val="00147663"/>
    <w:rsid w:val="0014773C"/>
    <w:rsid w:val="00147B01"/>
    <w:rsid w:val="00147D0D"/>
    <w:rsid w:val="00150077"/>
    <w:rsid w:val="0015054F"/>
    <w:rsid w:val="00150C6F"/>
    <w:rsid w:val="00150F4E"/>
    <w:rsid w:val="00151503"/>
    <w:rsid w:val="001523BB"/>
    <w:rsid w:val="00152613"/>
    <w:rsid w:val="001526EA"/>
    <w:rsid w:val="0015270E"/>
    <w:rsid w:val="00152738"/>
    <w:rsid w:val="001527F0"/>
    <w:rsid w:val="001530C0"/>
    <w:rsid w:val="0015311B"/>
    <w:rsid w:val="001536CB"/>
    <w:rsid w:val="0015398F"/>
    <w:rsid w:val="00153E22"/>
    <w:rsid w:val="00154883"/>
    <w:rsid w:val="00154B55"/>
    <w:rsid w:val="00154C86"/>
    <w:rsid w:val="001550B6"/>
    <w:rsid w:val="0015555F"/>
    <w:rsid w:val="00155651"/>
    <w:rsid w:val="001556C3"/>
    <w:rsid w:val="001558E8"/>
    <w:rsid w:val="00156369"/>
    <w:rsid w:val="001563CF"/>
    <w:rsid w:val="001568D3"/>
    <w:rsid w:val="00156A6F"/>
    <w:rsid w:val="00156CFA"/>
    <w:rsid w:val="00156DD1"/>
    <w:rsid w:val="00156E03"/>
    <w:rsid w:val="001570FF"/>
    <w:rsid w:val="0015723A"/>
    <w:rsid w:val="001573EE"/>
    <w:rsid w:val="001575FE"/>
    <w:rsid w:val="00157A5E"/>
    <w:rsid w:val="00157B12"/>
    <w:rsid w:val="00157CEA"/>
    <w:rsid w:val="00160197"/>
    <w:rsid w:val="001601C7"/>
    <w:rsid w:val="0016048D"/>
    <w:rsid w:val="00160636"/>
    <w:rsid w:val="0016063A"/>
    <w:rsid w:val="0016082A"/>
    <w:rsid w:val="001609D5"/>
    <w:rsid w:val="00161762"/>
    <w:rsid w:val="00161EC1"/>
    <w:rsid w:val="0016257B"/>
    <w:rsid w:val="001625FC"/>
    <w:rsid w:val="00162765"/>
    <w:rsid w:val="0016283D"/>
    <w:rsid w:val="00162DA4"/>
    <w:rsid w:val="00162FA2"/>
    <w:rsid w:val="0016303B"/>
    <w:rsid w:val="001636B2"/>
    <w:rsid w:val="001637B9"/>
    <w:rsid w:val="00163D1C"/>
    <w:rsid w:val="00163EE1"/>
    <w:rsid w:val="0016411B"/>
    <w:rsid w:val="00164379"/>
    <w:rsid w:val="00164517"/>
    <w:rsid w:val="001645A1"/>
    <w:rsid w:val="001645E8"/>
    <w:rsid w:val="00164612"/>
    <w:rsid w:val="00164905"/>
    <w:rsid w:val="00164D82"/>
    <w:rsid w:val="00165277"/>
    <w:rsid w:val="001657B4"/>
    <w:rsid w:val="00165FE5"/>
    <w:rsid w:val="001662F1"/>
    <w:rsid w:val="00166428"/>
    <w:rsid w:val="0016647C"/>
    <w:rsid w:val="0016688B"/>
    <w:rsid w:val="00166AE9"/>
    <w:rsid w:val="001671B0"/>
    <w:rsid w:val="0016780B"/>
    <w:rsid w:val="00167975"/>
    <w:rsid w:val="001679BC"/>
    <w:rsid w:val="00167BC0"/>
    <w:rsid w:val="00170326"/>
    <w:rsid w:val="001705EC"/>
    <w:rsid w:val="001711D6"/>
    <w:rsid w:val="001716AC"/>
    <w:rsid w:val="00171923"/>
    <w:rsid w:val="00171B29"/>
    <w:rsid w:val="00171B4E"/>
    <w:rsid w:val="00171F11"/>
    <w:rsid w:val="00172429"/>
    <w:rsid w:val="001725F1"/>
    <w:rsid w:val="001726AB"/>
    <w:rsid w:val="00172D6F"/>
    <w:rsid w:val="00172FBA"/>
    <w:rsid w:val="001730AC"/>
    <w:rsid w:val="001730DC"/>
    <w:rsid w:val="001731D8"/>
    <w:rsid w:val="00173216"/>
    <w:rsid w:val="0017332F"/>
    <w:rsid w:val="001735DD"/>
    <w:rsid w:val="00173706"/>
    <w:rsid w:val="00173784"/>
    <w:rsid w:val="00173D48"/>
    <w:rsid w:val="00173DDF"/>
    <w:rsid w:val="00173FAD"/>
    <w:rsid w:val="00174082"/>
    <w:rsid w:val="001742D3"/>
    <w:rsid w:val="0017471C"/>
    <w:rsid w:val="001748AB"/>
    <w:rsid w:val="0017550F"/>
    <w:rsid w:val="001755BE"/>
    <w:rsid w:val="001756CF"/>
    <w:rsid w:val="001756D4"/>
    <w:rsid w:val="001758EF"/>
    <w:rsid w:val="001759E0"/>
    <w:rsid w:val="001759E8"/>
    <w:rsid w:val="00175B17"/>
    <w:rsid w:val="00175B4B"/>
    <w:rsid w:val="00175E72"/>
    <w:rsid w:val="001761C3"/>
    <w:rsid w:val="0017657A"/>
    <w:rsid w:val="00176591"/>
    <w:rsid w:val="0017716C"/>
    <w:rsid w:val="001771CF"/>
    <w:rsid w:val="001774BE"/>
    <w:rsid w:val="0017752D"/>
    <w:rsid w:val="00177D28"/>
    <w:rsid w:val="00180A28"/>
    <w:rsid w:val="00180B00"/>
    <w:rsid w:val="00180B56"/>
    <w:rsid w:val="00180F55"/>
    <w:rsid w:val="00181227"/>
    <w:rsid w:val="001812B8"/>
    <w:rsid w:val="0018131F"/>
    <w:rsid w:val="00181379"/>
    <w:rsid w:val="001817C6"/>
    <w:rsid w:val="00181C7C"/>
    <w:rsid w:val="00181FF6"/>
    <w:rsid w:val="00182C2C"/>
    <w:rsid w:val="001830EF"/>
    <w:rsid w:val="001831E2"/>
    <w:rsid w:val="001832CD"/>
    <w:rsid w:val="00183475"/>
    <w:rsid w:val="001834CF"/>
    <w:rsid w:val="0018366A"/>
    <w:rsid w:val="00183822"/>
    <w:rsid w:val="00183A76"/>
    <w:rsid w:val="00183AB5"/>
    <w:rsid w:val="00183C1E"/>
    <w:rsid w:val="001840B0"/>
    <w:rsid w:val="00184127"/>
    <w:rsid w:val="00184363"/>
    <w:rsid w:val="00184A80"/>
    <w:rsid w:val="00184CBE"/>
    <w:rsid w:val="00184DB2"/>
    <w:rsid w:val="00185C32"/>
    <w:rsid w:val="00185D41"/>
    <w:rsid w:val="00185DF6"/>
    <w:rsid w:val="00186036"/>
    <w:rsid w:val="00186152"/>
    <w:rsid w:val="0018645F"/>
    <w:rsid w:val="00186547"/>
    <w:rsid w:val="00186886"/>
    <w:rsid w:val="001868A8"/>
    <w:rsid w:val="00186AB3"/>
    <w:rsid w:val="00186C13"/>
    <w:rsid w:val="00186F58"/>
    <w:rsid w:val="00187022"/>
    <w:rsid w:val="00187270"/>
    <w:rsid w:val="00187A46"/>
    <w:rsid w:val="00190455"/>
    <w:rsid w:val="00190AB0"/>
    <w:rsid w:val="00190C34"/>
    <w:rsid w:val="00190DBE"/>
    <w:rsid w:val="00190E36"/>
    <w:rsid w:val="00190F06"/>
    <w:rsid w:val="00190FAF"/>
    <w:rsid w:val="00191507"/>
    <w:rsid w:val="001916A9"/>
    <w:rsid w:val="00191AD6"/>
    <w:rsid w:val="00191B3A"/>
    <w:rsid w:val="00192C72"/>
    <w:rsid w:val="00192F1B"/>
    <w:rsid w:val="001930D8"/>
    <w:rsid w:val="001931F6"/>
    <w:rsid w:val="00193F92"/>
    <w:rsid w:val="00194227"/>
    <w:rsid w:val="00194293"/>
    <w:rsid w:val="001943BF"/>
    <w:rsid w:val="001944F3"/>
    <w:rsid w:val="00194858"/>
    <w:rsid w:val="00194A14"/>
    <w:rsid w:val="00194BB7"/>
    <w:rsid w:val="00194EFF"/>
    <w:rsid w:val="00194FE5"/>
    <w:rsid w:val="001953A3"/>
    <w:rsid w:val="0019638F"/>
    <w:rsid w:val="001965A0"/>
    <w:rsid w:val="00197137"/>
    <w:rsid w:val="00197242"/>
    <w:rsid w:val="001972CB"/>
    <w:rsid w:val="0019751E"/>
    <w:rsid w:val="001977BE"/>
    <w:rsid w:val="00197A29"/>
    <w:rsid w:val="001A00C3"/>
    <w:rsid w:val="001A0171"/>
    <w:rsid w:val="001A03E0"/>
    <w:rsid w:val="001A1226"/>
    <w:rsid w:val="001A140B"/>
    <w:rsid w:val="001A1709"/>
    <w:rsid w:val="001A1913"/>
    <w:rsid w:val="001A1D52"/>
    <w:rsid w:val="001A20BF"/>
    <w:rsid w:val="001A212A"/>
    <w:rsid w:val="001A2543"/>
    <w:rsid w:val="001A2833"/>
    <w:rsid w:val="001A29EA"/>
    <w:rsid w:val="001A2B7C"/>
    <w:rsid w:val="001A301B"/>
    <w:rsid w:val="001A30C5"/>
    <w:rsid w:val="001A34AE"/>
    <w:rsid w:val="001A36B6"/>
    <w:rsid w:val="001A3D16"/>
    <w:rsid w:val="001A3E41"/>
    <w:rsid w:val="001A3EE7"/>
    <w:rsid w:val="001A40DA"/>
    <w:rsid w:val="001A41E5"/>
    <w:rsid w:val="001A451D"/>
    <w:rsid w:val="001A4528"/>
    <w:rsid w:val="001A4DB8"/>
    <w:rsid w:val="001A4E14"/>
    <w:rsid w:val="001A580E"/>
    <w:rsid w:val="001A6160"/>
    <w:rsid w:val="001A6468"/>
    <w:rsid w:val="001A6496"/>
    <w:rsid w:val="001A77DC"/>
    <w:rsid w:val="001A7B65"/>
    <w:rsid w:val="001A7D08"/>
    <w:rsid w:val="001A7F43"/>
    <w:rsid w:val="001B05D1"/>
    <w:rsid w:val="001B06F8"/>
    <w:rsid w:val="001B0708"/>
    <w:rsid w:val="001B0894"/>
    <w:rsid w:val="001B0BA3"/>
    <w:rsid w:val="001B1261"/>
    <w:rsid w:val="001B12F4"/>
    <w:rsid w:val="001B1539"/>
    <w:rsid w:val="001B1ABF"/>
    <w:rsid w:val="001B1EC0"/>
    <w:rsid w:val="001B1F67"/>
    <w:rsid w:val="001B1FE9"/>
    <w:rsid w:val="001B2432"/>
    <w:rsid w:val="001B25D7"/>
    <w:rsid w:val="001B30CE"/>
    <w:rsid w:val="001B362F"/>
    <w:rsid w:val="001B376B"/>
    <w:rsid w:val="001B414D"/>
    <w:rsid w:val="001B48A1"/>
    <w:rsid w:val="001B4A7F"/>
    <w:rsid w:val="001B4B29"/>
    <w:rsid w:val="001B578C"/>
    <w:rsid w:val="001B5A73"/>
    <w:rsid w:val="001B60CD"/>
    <w:rsid w:val="001B6369"/>
    <w:rsid w:val="001B68A9"/>
    <w:rsid w:val="001B68BB"/>
    <w:rsid w:val="001B6CDE"/>
    <w:rsid w:val="001B700C"/>
    <w:rsid w:val="001B70C1"/>
    <w:rsid w:val="001B76C7"/>
    <w:rsid w:val="001B79D4"/>
    <w:rsid w:val="001B7D01"/>
    <w:rsid w:val="001B9072"/>
    <w:rsid w:val="001C0265"/>
    <w:rsid w:val="001C05E0"/>
    <w:rsid w:val="001C0AF3"/>
    <w:rsid w:val="001C1043"/>
    <w:rsid w:val="001C13F1"/>
    <w:rsid w:val="001C1451"/>
    <w:rsid w:val="001C1527"/>
    <w:rsid w:val="001C16BE"/>
    <w:rsid w:val="001C1B72"/>
    <w:rsid w:val="001C2236"/>
    <w:rsid w:val="001C239F"/>
    <w:rsid w:val="001C250C"/>
    <w:rsid w:val="001C2864"/>
    <w:rsid w:val="001C29BD"/>
    <w:rsid w:val="001C323C"/>
    <w:rsid w:val="001C365C"/>
    <w:rsid w:val="001C3FD6"/>
    <w:rsid w:val="001C467F"/>
    <w:rsid w:val="001C47AB"/>
    <w:rsid w:val="001C488E"/>
    <w:rsid w:val="001C534D"/>
    <w:rsid w:val="001C55CA"/>
    <w:rsid w:val="001C5875"/>
    <w:rsid w:val="001C5CB8"/>
    <w:rsid w:val="001C657C"/>
    <w:rsid w:val="001C6BFC"/>
    <w:rsid w:val="001C6CD6"/>
    <w:rsid w:val="001C70CE"/>
    <w:rsid w:val="001C71C8"/>
    <w:rsid w:val="001C77AA"/>
    <w:rsid w:val="001C7AC4"/>
    <w:rsid w:val="001C7B28"/>
    <w:rsid w:val="001D05D2"/>
    <w:rsid w:val="001D05E7"/>
    <w:rsid w:val="001D089C"/>
    <w:rsid w:val="001D1128"/>
    <w:rsid w:val="001D1667"/>
    <w:rsid w:val="001D18A8"/>
    <w:rsid w:val="001D1CA1"/>
    <w:rsid w:val="001D2650"/>
    <w:rsid w:val="001D2663"/>
    <w:rsid w:val="001D27A9"/>
    <w:rsid w:val="001D291F"/>
    <w:rsid w:val="001D2D8C"/>
    <w:rsid w:val="001D31C4"/>
    <w:rsid w:val="001D3B33"/>
    <w:rsid w:val="001D4152"/>
    <w:rsid w:val="001D4188"/>
    <w:rsid w:val="001D41E6"/>
    <w:rsid w:val="001D44E5"/>
    <w:rsid w:val="001D4A79"/>
    <w:rsid w:val="001D4B17"/>
    <w:rsid w:val="001D521C"/>
    <w:rsid w:val="001D5B91"/>
    <w:rsid w:val="001D6026"/>
    <w:rsid w:val="001D60CC"/>
    <w:rsid w:val="001D612B"/>
    <w:rsid w:val="001D6193"/>
    <w:rsid w:val="001D63E9"/>
    <w:rsid w:val="001D676C"/>
    <w:rsid w:val="001D6EAA"/>
    <w:rsid w:val="001D70B0"/>
    <w:rsid w:val="001D70C9"/>
    <w:rsid w:val="001E0193"/>
    <w:rsid w:val="001E06AF"/>
    <w:rsid w:val="001E0898"/>
    <w:rsid w:val="001E0CF5"/>
    <w:rsid w:val="001E0D0B"/>
    <w:rsid w:val="001E1212"/>
    <w:rsid w:val="001E1395"/>
    <w:rsid w:val="001E1553"/>
    <w:rsid w:val="001E16FA"/>
    <w:rsid w:val="001E194D"/>
    <w:rsid w:val="001E1ABB"/>
    <w:rsid w:val="001E1B43"/>
    <w:rsid w:val="001E1C72"/>
    <w:rsid w:val="001E209E"/>
    <w:rsid w:val="001E2724"/>
    <w:rsid w:val="001E27CD"/>
    <w:rsid w:val="001E2924"/>
    <w:rsid w:val="001E2B3D"/>
    <w:rsid w:val="001E3113"/>
    <w:rsid w:val="001E325F"/>
    <w:rsid w:val="001E40FA"/>
    <w:rsid w:val="001E414C"/>
    <w:rsid w:val="001E41CF"/>
    <w:rsid w:val="001E4518"/>
    <w:rsid w:val="001E4B5E"/>
    <w:rsid w:val="001E4E4A"/>
    <w:rsid w:val="001E4EC9"/>
    <w:rsid w:val="001E53F1"/>
    <w:rsid w:val="001E5816"/>
    <w:rsid w:val="001E5A49"/>
    <w:rsid w:val="001E5AD5"/>
    <w:rsid w:val="001E5BE2"/>
    <w:rsid w:val="001E6118"/>
    <w:rsid w:val="001E7451"/>
    <w:rsid w:val="001E745E"/>
    <w:rsid w:val="001F055B"/>
    <w:rsid w:val="001F0986"/>
    <w:rsid w:val="001F15B1"/>
    <w:rsid w:val="001F17B3"/>
    <w:rsid w:val="001F1852"/>
    <w:rsid w:val="001F1AB8"/>
    <w:rsid w:val="001F1C53"/>
    <w:rsid w:val="001F1C63"/>
    <w:rsid w:val="001F2075"/>
    <w:rsid w:val="001F2814"/>
    <w:rsid w:val="001F2B60"/>
    <w:rsid w:val="001F33B2"/>
    <w:rsid w:val="001F359D"/>
    <w:rsid w:val="001F3789"/>
    <w:rsid w:val="001F3845"/>
    <w:rsid w:val="001F3B7D"/>
    <w:rsid w:val="001F4233"/>
    <w:rsid w:val="001F4318"/>
    <w:rsid w:val="001F461A"/>
    <w:rsid w:val="001F463B"/>
    <w:rsid w:val="001F4656"/>
    <w:rsid w:val="001F47C7"/>
    <w:rsid w:val="001F48B1"/>
    <w:rsid w:val="001F4CB9"/>
    <w:rsid w:val="001F4DB8"/>
    <w:rsid w:val="001F4DCF"/>
    <w:rsid w:val="001F55E3"/>
    <w:rsid w:val="001F57B8"/>
    <w:rsid w:val="001F5B03"/>
    <w:rsid w:val="001F5BC2"/>
    <w:rsid w:val="001F5D80"/>
    <w:rsid w:val="001F5D9B"/>
    <w:rsid w:val="001F6241"/>
    <w:rsid w:val="001F6470"/>
    <w:rsid w:val="001F694B"/>
    <w:rsid w:val="001F73B7"/>
    <w:rsid w:val="001F74BD"/>
    <w:rsid w:val="001F7518"/>
    <w:rsid w:val="001F7845"/>
    <w:rsid w:val="0020029C"/>
    <w:rsid w:val="002003F4"/>
    <w:rsid w:val="0020043E"/>
    <w:rsid w:val="002008B8"/>
    <w:rsid w:val="00200CA7"/>
    <w:rsid w:val="002010A5"/>
    <w:rsid w:val="002017C5"/>
    <w:rsid w:val="002019DE"/>
    <w:rsid w:val="00201A0A"/>
    <w:rsid w:val="0020231F"/>
    <w:rsid w:val="0020270A"/>
    <w:rsid w:val="00202737"/>
    <w:rsid w:val="002030FE"/>
    <w:rsid w:val="002037DF"/>
    <w:rsid w:val="00203873"/>
    <w:rsid w:val="00203AC9"/>
    <w:rsid w:val="00203F70"/>
    <w:rsid w:val="00204C55"/>
    <w:rsid w:val="00204EB1"/>
    <w:rsid w:val="002058FD"/>
    <w:rsid w:val="002066D2"/>
    <w:rsid w:val="00206A03"/>
    <w:rsid w:val="00206EFA"/>
    <w:rsid w:val="00206F31"/>
    <w:rsid w:val="0020759E"/>
    <w:rsid w:val="002079E0"/>
    <w:rsid w:val="002079EA"/>
    <w:rsid w:val="00207B66"/>
    <w:rsid w:val="00207C3B"/>
    <w:rsid w:val="00207F24"/>
    <w:rsid w:val="0021014F"/>
    <w:rsid w:val="0021024C"/>
    <w:rsid w:val="00210293"/>
    <w:rsid w:val="002108FD"/>
    <w:rsid w:val="00210F39"/>
    <w:rsid w:val="002115DB"/>
    <w:rsid w:val="00211808"/>
    <w:rsid w:val="0021189E"/>
    <w:rsid w:val="00212497"/>
    <w:rsid w:val="0021257D"/>
    <w:rsid w:val="002129F2"/>
    <w:rsid w:val="00212BFD"/>
    <w:rsid w:val="00212CFE"/>
    <w:rsid w:val="0021360A"/>
    <w:rsid w:val="00213CE2"/>
    <w:rsid w:val="00213E79"/>
    <w:rsid w:val="002142E5"/>
    <w:rsid w:val="00214458"/>
    <w:rsid w:val="002146F5"/>
    <w:rsid w:val="0021478F"/>
    <w:rsid w:val="00214C08"/>
    <w:rsid w:val="00214CB1"/>
    <w:rsid w:val="00214F85"/>
    <w:rsid w:val="00214F94"/>
    <w:rsid w:val="0021514E"/>
    <w:rsid w:val="0021521E"/>
    <w:rsid w:val="002153E5"/>
    <w:rsid w:val="002153EF"/>
    <w:rsid w:val="0021553A"/>
    <w:rsid w:val="002158BF"/>
    <w:rsid w:val="002158EA"/>
    <w:rsid w:val="00215E23"/>
    <w:rsid w:val="002163FA"/>
    <w:rsid w:val="00216517"/>
    <w:rsid w:val="00216855"/>
    <w:rsid w:val="00217023"/>
    <w:rsid w:val="0021703F"/>
    <w:rsid w:val="002170C0"/>
    <w:rsid w:val="002171E7"/>
    <w:rsid w:val="0021720C"/>
    <w:rsid w:val="00217811"/>
    <w:rsid w:val="00217AD7"/>
    <w:rsid w:val="00217B1A"/>
    <w:rsid w:val="00220314"/>
    <w:rsid w:val="00220778"/>
    <w:rsid w:val="00220823"/>
    <w:rsid w:val="00220CD3"/>
    <w:rsid w:val="002210AE"/>
    <w:rsid w:val="0022198F"/>
    <w:rsid w:val="00221FBF"/>
    <w:rsid w:val="002222E9"/>
    <w:rsid w:val="00222B28"/>
    <w:rsid w:val="00222DDE"/>
    <w:rsid w:val="00223033"/>
    <w:rsid w:val="0022312D"/>
    <w:rsid w:val="002235E5"/>
    <w:rsid w:val="00223796"/>
    <w:rsid w:val="00223864"/>
    <w:rsid w:val="00223B10"/>
    <w:rsid w:val="00223E26"/>
    <w:rsid w:val="00224007"/>
    <w:rsid w:val="0022415D"/>
    <w:rsid w:val="00224247"/>
    <w:rsid w:val="002243E4"/>
    <w:rsid w:val="0022490F"/>
    <w:rsid w:val="00224AD3"/>
    <w:rsid w:val="00224EA1"/>
    <w:rsid w:val="00224EFF"/>
    <w:rsid w:val="00224F1E"/>
    <w:rsid w:val="00224F87"/>
    <w:rsid w:val="002253C7"/>
    <w:rsid w:val="0022547D"/>
    <w:rsid w:val="00226227"/>
    <w:rsid w:val="00226342"/>
    <w:rsid w:val="002266B5"/>
    <w:rsid w:val="00226759"/>
    <w:rsid w:val="00226A71"/>
    <w:rsid w:val="00226ABD"/>
    <w:rsid w:val="002270D0"/>
    <w:rsid w:val="002273C5"/>
    <w:rsid w:val="002273FF"/>
    <w:rsid w:val="00227A9E"/>
    <w:rsid w:val="00227B13"/>
    <w:rsid w:val="0023042F"/>
    <w:rsid w:val="0023056C"/>
    <w:rsid w:val="00230571"/>
    <w:rsid w:val="0023066D"/>
    <w:rsid w:val="00230834"/>
    <w:rsid w:val="00230BDC"/>
    <w:rsid w:val="002315B6"/>
    <w:rsid w:val="00232028"/>
    <w:rsid w:val="00232A38"/>
    <w:rsid w:val="00232E41"/>
    <w:rsid w:val="00232FFD"/>
    <w:rsid w:val="002330CB"/>
    <w:rsid w:val="00233897"/>
    <w:rsid w:val="00233C34"/>
    <w:rsid w:val="00233EF9"/>
    <w:rsid w:val="002345E3"/>
    <w:rsid w:val="00234754"/>
    <w:rsid w:val="002349D7"/>
    <w:rsid w:val="00234BD4"/>
    <w:rsid w:val="00234D32"/>
    <w:rsid w:val="0023557D"/>
    <w:rsid w:val="00235706"/>
    <w:rsid w:val="00235967"/>
    <w:rsid w:val="00235A85"/>
    <w:rsid w:val="00235D48"/>
    <w:rsid w:val="00236705"/>
    <w:rsid w:val="00236779"/>
    <w:rsid w:val="0023699B"/>
    <w:rsid w:val="0023704B"/>
    <w:rsid w:val="00237155"/>
    <w:rsid w:val="00240227"/>
    <w:rsid w:val="0024098E"/>
    <w:rsid w:val="00240992"/>
    <w:rsid w:val="00240CB5"/>
    <w:rsid w:val="00240D7C"/>
    <w:rsid w:val="00240DB8"/>
    <w:rsid w:val="00240E6F"/>
    <w:rsid w:val="00241207"/>
    <w:rsid w:val="00241AB5"/>
    <w:rsid w:val="00241DC8"/>
    <w:rsid w:val="00241F3F"/>
    <w:rsid w:val="002420E9"/>
    <w:rsid w:val="0024255B"/>
    <w:rsid w:val="00242681"/>
    <w:rsid w:val="002429D8"/>
    <w:rsid w:val="00242DDF"/>
    <w:rsid w:val="00242E1A"/>
    <w:rsid w:val="00243BBD"/>
    <w:rsid w:val="00243C26"/>
    <w:rsid w:val="002440A4"/>
    <w:rsid w:val="002441EF"/>
    <w:rsid w:val="002446BD"/>
    <w:rsid w:val="0024484B"/>
    <w:rsid w:val="00244A6A"/>
    <w:rsid w:val="00244D6F"/>
    <w:rsid w:val="00245504"/>
    <w:rsid w:val="00245D01"/>
    <w:rsid w:val="00245DC8"/>
    <w:rsid w:val="0024633F"/>
    <w:rsid w:val="00246679"/>
    <w:rsid w:val="00246F12"/>
    <w:rsid w:val="0024706C"/>
    <w:rsid w:val="00247653"/>
    <w:rsid w:val="002476A8"/>
    <w:rsid w:val="002477A4"/>
    <w:rsid w:val="002477B1"/>
    <w:rsid w:val="0024787F"/>
    <w:rsid w:val="00247935"/>
    <w:rsid w:val="0024796A"/>
    <w:rsid w:val="00247E7E"/>
    <w:rsid w:val="00247F27"/>
    <w:rsid w:val="00250053"/>
    <w:rsid w:val="0025031B"/>
    <w:rsid w:val="00250A56"/>
    <w:rsid w:val="00250AB8"/>
    <w:rsid w:val="00250F43"/>
    <w:rsid w:val="00251187"/>
    <w:rsid w:val="0025133B"/>
    <w:rsid w:val="00251D7A"/>
    <w:rsid w:val="00251EA8"/>
    <w:rsid w:val="0025212D"/>
    <w:rsid w:val="00252326"/>
    <w:rsid w:val="00252442"/>
    <w:rsid w:val="002525DE"/>
    <w:rsid w:val="00252693"/>
    <w:rsid w:val="00252799"/>
    <w:rsid w:val="00252EB2"/>
    <w:rsid w:val="0025348A"/>
    <w:rsid w:val="002535BD"/>
    <w:rsid w:val="002538EF"/>
    <w:rsid w:val="00253D2D"/>
    <w:rsid w:val="00254146"/>
    <w:rsid w:val="0025521F"/>
    <w:rsid w:val="00255247"/>
    <w:rsid w:val="0025526E"/>
    <w:rsid w:val="00255457"/>
    <w:rsid w:val="00255AD1"/>
    <w:rsid w:val="00255F33"/>
    <w:rsid w:val="002560F8"/>
    <w:rsid w:val="0025635F"/>
    <w:rsid w:val="002566F8"/>
    <w:rsid w:val="00256DF1"/>
    <w:rsid w:val="00256FCB"/>
    <w:rsid w:val="0025713A"/>
    <w:rsid w:val="002572D4"/>
    <w:rsid w:val="002573BE"/>
    <w:rsid w:val="0025763E"/>
    <w:rsid w:val="00257671"/>
    <w:rsid w:val="00257D80"/>
    <w:rsid w:val="002601A2"/>
    <w:rsid w:val="00260F94"/>
    <w:rsid w:val="00261144"/>
    <w:rsid w:val="00261147"/>
    <w:rsid w:val="002616BF"/>
    <w:rsid w:val="002618F8"/>
    <w:rsid w:val="0026206C"/>
    <w:rsid w:val="002623C6"/>
    <w:rsid w:val="00262888"/>
    <w:rsid w:val="002628F4"/>
    <w:rsid w:val="00262D06"/>
    <w:rsid w:val="00262E51"/>
    <w:rsid w:val="002630A9"/>
    <w:rsid w:val="0026359D"/>
    <w:rsid w:val="00263D14"/>
    <w:rsid w:val="002656EA"/>
    <w:rsid w:val="00265D7E"/>
    <w:rsid w:val="00265E10"/>
    <w:rsid w:val="00265E19"/>
    <w:rsid w:val="00265FD4"/>
    <w:rsid w:val="00266167"/>
    <w:rsid w:val="00266621"/>
    <w:rsid w:val="002666DD"/>
    <w:rsid w:val="002669F5"/>
    <w:rsid w:val="0026743D"/>
    <w:rsid w:val="00267FEA"/>
    <w:rsid w:val="0027057A"/>
    <w:rsid w:val="002706A8"/>
    <w:rsid w:val="002707DC"/>
    <w:rsid w:val="00270D33"/>
    <w:rsid w:val="002713A6"/>
    <w:rsid w:val="002713A9"/>
    <w:rsid w:val="002717F1"/>
    <w:rsid w:val="00271B0E"/>
    <w:rsid w:val="0027245D"/>
    <w:rsid w:val="002724FC"/>
    <w:rsid w:val="002725AA"/>
    <w:rsid w:val="0027286B"/>
    <w:rsid w:val="00272872"/>
    <w:rsid w:val="00272A7B"/>
    <w:rsid w:val="00272BF4"/>
    <w:rsid w:val="00272D11"/>
    <w:rsid w:val="00272F39"/>
    <w:rsid w:val="002731E7"/>
    <w:rsid w:val="00273E3E"/>
    <w:rsid w:val="002742F5"/>
    <w:rsid w:val="0027457B"/>
    <w:rsid w:val="00274624"/>
    <w:rsid w:val="002748BC"/>
    <w:rsid w:val="00274A51"/>
    <w:rsid w:val="00274E59"/>
    <w:rsid w:val="00274E7D"/>
    <w:rsid w:val="0027504D"/>
    <w:rsid w:val="002751EB"/>
    <w:rsid w:val="002753BF"/>
    <w:rsid w:val="00275540"/>
    <w:rsid w:val="00275783"/>
    <w:rsid w:val="00275847"/>
    <w:rsid w:val="0027596E"/>
    <w:rsid w:val="002759F0"/>
    <w:rsid w:val="00275ACF"/>
    <w:rsid w:val="00275CF0"/>
    <w:rsid w:val="00275D3F"/>
    <w:rsid w:val="002761DB"/>
    <w:rsid w:val="00276387"/>
    <w:rsid w:val="00276416"/>
    <w:rsid w:val="0027671E"/>
    <w:rsid w:val="0027687C"/>
    <w:rsid w:val="002770D5"/>
    <w:rsid w:val="002770E5"/>
    <w:rsid w:val="00277411"/>
    <w:rsid w:val="00277490"/>
    <w:rsid w:val="0027763A"/>
    <w:rsid w:val="00277640"/>
    <w:rsid w:val="0027785B"/>
    <w:rsid w:val="0027786E"/>
    <w:rsid w:val="00277C34"/>
    <w:rsid w:val="00277CCE"/>
    <w:rsid w:val="00277D14"/>
    <w:rsid w:val="00277D41"/>
    <w:rsid w:val="00280218"/>
    <w:rsid w:val="0028052C"/>
    <w:rsid w:val="00280996"/>
    <w:rsid w:val="002809B1"/>
    <w:rsid w:val="00280A56"/>
    <w:rsid w:val="00281250"/>
    <w:rsid w:val="002819F9"/>
    <w:rsid w:val="00281AAC"/>
    <w:rsid w:val="00281CED"/>
    <w:rsid w:val="002822FB"/>
    <w:rsid w:val="00282348"/>
    <w:rsid w:val="00282619"/>
    <w:rsid w:val="0028262C"/>
    <w:rsid w:val="00282871"/>
    <w:rsid w:val="0028320F"/>
    <w:rsid w:val="00283B2B"/>
    <w:rsid w:val="00283C47"/>
    <w:rsid w:val="00283DC5"/>
    <w:rsid w:val="002843FE"/>
    <w:rsid w:val="00284BA3"/>
    <w:rsid w:val="00284BFF"/>
    <w:rsid w:val="00285307"/>
    <w:rsid w:val="002853D1"/>
    <w:rsid w:val="00285555"/>
    <w:rsid w:val="002861CA"/>
    <w:rsid w:val="00286667"/>
    <w:rsid w:val="0028673E"/>
    <w:rsid w:val="00286AB9"/>
    <w:rsid w:val="00286BA7"/>
    <w:rsid w:val="00286C71"/>
    <w:rsid w:val="00286EC0"/>
    <w:rsid w:val="0028718F"/>
    <w:rsid w:val="00287348"/>
    <w:rsid w:val="002901CA"/>
    <w:rsid w:val="00290AE5"/>
    <w:rsid w:val="00290BDC"/>
    <w:rsid w:val="002913AB"/>
    <w:rsid w:val="002913E5"/>
    <w:rsid w:val="0029164A"/>
    <w:rsid w:val="0029164C"/>
    <w:rsid w:val="0029199A"/>
    <w:rsid w:val="00291E18"/>
    <w:rsid w:val="002928E3"/>
    <w:rsid w:val="00292A4A"/>
    <w:rsid w:val="00292D48"/>
    <w:rsid w:val="002933CD"/>
    <w:rsid w:val="00293B08"/>
    <w:rsid w:val="00293C25"/>
    <w:rsid w:val="00293CDA"/>
    <w:rsid w:val="00294BF5"/>
    <w:rsid w:val="00294FED"/>
    <w:rsid w:val="0029576E"/>
    <w:rsid w:val="00295961"/>
    <w:rsid w:val="0029612B"/>
    <w:rsid w:val="0029632E"/>
    <w:rsid w:val="00296467"/>
    <w:rsid w:val="00296A4E"/>
    <w:rsid w:val="00296D39"/>
    <w:rsid w:val="00296DC0"/>
    <w:rsid w:val="0029731E"/>
    <w:rsid w:val="002975C6"/>
    <w:rsid w:val="002A0068"/>
    <w:rsid w:val="002A07AF"/>
    <w:rsid w:val="002A0BF2"/>
    <w:rsid w:val="002A0F87"/>
    <w:rsid w:val="002A10A3"/>
    <w:rsid w:val="002A1792"/>
    <w:rsid w:val="002A19A2"/>
    <w:rsid w:val="002A1A9E"/>
    <w:rsid w:val="002A2116"/>
    <w:rsid w:val="002A2C67"/>
    <w:rsid w:val="002A2CA6"/>
    <w:rsid w:val="002A2D79"/>
    <w:rsid w:val="002A2F43"/>
    <w:rsid w:val="002A3017"/>
    <w:rsid w:val="002A306B"/>
    <w:rsid w:val="002A31C2"/>
    <w:rsid w:val="002A32BD"/>
    <w:rsid w:val="002A3302"/>
    <w:rsid w:val="002A338D"/>
    <w:rsid w:val="002A3710"/>
    <w:rsid w:val="002A3EF2"/>
    <w:rsid w:val="002A4378"/>
    <w:rsid w:val="002A475C"/>
    <w:rsid w:val="002A477F"/>
    <w:rsid w:val="002A484B"/>
    <w:rsid w:val="002A4850"/>
    <w:rsid w:val="002A5127"/>
    <w:rsid w:val="002A53D5"/>
    <w:rsid w:val="002A54F8"/>
    <w:rsid w:val="002A552D"/>
    <w:rsid w:val="002A5C96"/>
    <w:rsid w:val="002A5C97"/>
    <w:rsid w:val="002A5E2A"/>
    <w:rsid w:val="002A6478"/>
    <w:rsid w:val="002A69CF"/>
    <w:rsid w:val="002A6CA9"/>
    <w:rsid w:val="002A6E24"/>
    <w:rsid w:val="002A6E66"/>
    <w:rsid w:val="002A7550"/>
    <w:rsid w:val="002A76BE"/>
    <w:rsid w:val="002B03AE"/>
    <w:rsid w:val="002B0CC1"/>
    <w:rsid w:val="002B1098"/>
    <w:rsid w:val="002B1333"/>
    <w:rsid w:val="002B1478"/>
    <w:rsid w:val="002B1988"/>
    <w:rsid w:val="002B232E"/>
    <w:rsid w:val="002B2379"/>
    <w:rsid w:val="002B2555"/>
    <w:rsid w:val="002B2849"/>
    <w:rsid w:val="002B28A0"/>
    <w:rsid w:val="002B2BC5"/>
    <w:rsid w:val="002B2CCF"/>
    <w:rsid w:val="002B379E"/>
    <w:rsid w:val="002B3CA1"/>
    <w:rsid w:val="002B3EFF"/>
    <w:rsid w:val="002B4129"/>
    <w:rsid w:val="002B422A"/>
    <w:rsid w:val="002B42C0"/>
    <w:rsid w:val="002B44C6"/>
    <w:rsid w:val="002B55EC"/>
    <w:rsid w:val="002B58BC"/>
    <w:rsid w:val="002B5ADF"/>
    <w:rsid w:val="002B677D"/>
    <w:rsid w:val="002B6972"/>
    <w:rsid w:val="002B6F30"/>
    <w:rsid w:val="002B6FBC"/>
    <w:rsid w:val="002B7331"/>
    <w:rsid w:val="002B7581"/>
    <w:rsid w:val="002B7619"/>
    <w:rsid w:val="002B7699"/>
    <w:rsid w:val="002B76E0"/>
    <w:rsid w:val="002B784D"/>
    <w:rsid w:val="002B7AF7"/>
    <w:rsid w:val="002B7B1B"/>
    <w:rsid w:val="002B7BAA"/>
    <w:rsid w:val="002B7BDB"/>
    <w:rsid w:val="002B7BF9"/>
    <w:rsid w:val="002C025C"/>
    <w:rsid w:val="002C0595"/>
    <w:rsid w:val="002C091E"/>
    <w:rsid w:val="002C0B28"/>
    <w:rsid w:val="002C0EE6"/>
    <w:rsid w:val="002C1093"/>
    <w:rsid w:val="002C174A"/>
    <w:rsid w:val="002C180E"/>
    <w:rsid w:val="002C1DF6"/>
    <w:rsid w:val="002C1E96"/>
    <w:rsid w:val="002C1EC1"/>
    <w:rsid w:val="002C2162"/>
    <w:rsid w:val="002C2453"/>
    <w:rsid w:val="002C2ED8"/>
    <w:rsid w:val="002C4379"/>
    <w:rsid w:val="002C447B"/>
    <w:rsid w:val="002C45D9"/>
    <w:rsid w:val="002C4768"/>
    <w:rsid w:val="002C536F"/>
    <w:rsid w:val="002C59D3"/>
    <w:rsid w:val="002C5D26"/>
    <w:rsid w:val="002C5DDA"/>
    <w:rsid w:val="002C667C"/>
    <w:rsid w:val="002C686F"/>
    <w:rsid w:val="002C6AB8"/>
    <w:rsid w:val="002C752F"/>
    <w:rsid w:val="002C7569"/>
    <w:rsid w:val="002C7A1E"/>
    <w:rsid w:val="002D00FE"/>
    <w:rsid w:val="002D03FF"/>
    <w:rsid w:val="002D0610"/>
    <w:rsid w:val="002D0A30"/>
    <w:rsid w:val="002D1060"/>
    <w:rsid w:val="002D153A"/>
    <w:rsid w:val="002D18E5"/>
    <w:rsid w:val="002D1A68"/>
    <w:rsid w:val="002D1D29"/>
    <w:rsid w:val="002D20DC"/>
    <w:rsid w:val="002D233D"/>
    <w:rsid w:val="002D247E"/>
    <w:rsid w:val="002D25F2"/>
    <w:rsid w:val="002D2710"/>
    <w:rsid w:val="002D30AA"/>
    <w:rsid w:val="002D3769"/>
    <w:rsid w:val="002D3893"/>
    <w:rsid w:val="002D3E56"/>
    <w:rsid w:val="002D3E70"/>
    <w:rsid w:val="002D429F"/>
    <w:rsid w:val="002D436C"/>
    <w:rsid w:val="002D5054"/>
    <w:rsid w:val="002D56A6"/>
    <w:rsid w:val="002D5A4D"/>
    <w:rsid w:val="002D61AB"/>
    <w:rsid w:val="002D64A7"/>
    <w:rsid w:val="002D659D"/>
    <w:rsid w:val="002D6DA5"/>
    <w:rsid w:val="002D71F4"/>
    <w:rsid w:val="002D74BB"/>
    <w:rsid w:val="002D78EC"/>
    <w:rsid w:val="002D7AF9"/>
    <w:rsid w:val="002D7B7B"/>
    <w:rsid w:val="002D7D20"/>
    <w:rsid w:val="002E026D"/>
    <w:rsid w:val="002E0434"/>
    <w:rsid w:val="002E0E68"/>
    <w:rsid w:val="002E10C4"/>
    <w:rsid w:val="002E1506"/>
    <w:rsid w:val="002E174E"/>
    <w:rsid w:val="002E19B1"/>
    <w:rsid w:val="002E1B51"/>
    <w:rsid w:val="002E1FF7"/>
    <w:rsid w:val="002E23B8"/>
    <w:rsid w:val="002E23E1"/>
    <w:rsid w:val="002E2740"/>
    <w:rsid w:val="002E2A13"/>
    <w:rsid w:val="002E2BF7"/>
    <w:rsid w:val="002E3041"/>
    <w:rsid w:val="002E3174"/>
    <w:rsid w:val="002E3582"/>
    <w:rsid w:val="002E3B85"/>
    <w:rsid w:val="002E4D6B"/>
    <w:rsid w:val="002E4EA2"/>
    <w:rsid w:val="002E4FA3"/>
    <w:rsid w:val="002E4FE8"/>
    <w:rsid w:val="002E55E6"/>
    <w:rsid w:val="002E56C5"/>
    <w:rsid w:val="002E5709"/>
    <w:rsid w:val="002E57E6"/>
    <w:rsid w:val="002E597E"/>
    <w:rsid w:val="002E6414"/>
    <w:rsid w:val="002E66F4"/>
    <w:rsid w:val="002E6793"/>
    <w:rsid w:val="002E7009"/>
    <w:rsid w:val="002E74F6"/>
    <w:rsid w:val="002E7773"/>
    <w:rsid w:val="002E7814"/>
    <w:rsid w:val="002E7823"/>
    <w:rsid w:val="002E782B"/>
    <w:rsid w:val="002E7989"/>
    <w:rsid w:val="002E7EAF"/>
    <w:rsid w:val="002E7ECD"/>
    <w:rsid w:val="002F094B"/>
    <w:rsid w:val="002F0AD7"/>
    <w:rsid w:val="002F0EB3"/>
    <w:rsid w:val="002F0ECF"/>
    <w:rsid w:val="002F1159"/>
    <w:rsid w:val="002F1582"/>
    <w:rsid w:val="002F171F"/>
    <w:rsid w:val="002F1D5C"/>
    <w:rsid w:val="002F2052"/>
    <w:rsid w:val="002F27B2"/>
    <w:rsid w:val="002F3362"/>
    <w:rsid w:val="002F35D9"/>
    <w:rsid w:val="002F3A9A"/>
    <w:rsid w:val="002F3C12"/>
    <w:rsid w:val="002F4032"/>
    <w:rsid w:val="002F4046"/>
    <w:rsid w:val="002F4395"/>
    <w:rsid w:val="002F44AC"/>
    <w:rsid w:val="002F469A"/>
    <w:rsid w:val="002F48EF"/>
    <w:rsid w:val="002F4DD2"/>
    <w:rsid w:val="002F5482"/>
    <w:rsid w:val="002F57C7"/>
    <w:rsid w:val="002F5BC8"/>
    <w:rsid w:val="002F65CF"/>
    <w:rsid w:val="002F70DE"/>
    <w:rsid w:val="002F7298"/>
    <w:rsid w:val="002F7B1E"/>
    <w:rsid w:val="002F7CBF"/>
    <w:rsid w:val="002F7EB1"/>
    <w:rsid w:val="00300272"/>
    <w:rsid w:val="00300352"/>
    <w:rsid w:val="00300979"/>
    <w:rsid w:val="003011C5"/>
    <w:rsid w:val="003013DF"/>
    <w:rsid w:val="00301890"/>
    <w:rsid w:val="003019DD"/>
    <w:rsid w:val="00301A91"/>
    <w:rsid w:val="00302245"/>
    <w:rsid w:val="00302484"/>
    <w:rsid w:val="00302A7E"/>
    <w:rsid w:val="0030349F"/>
    <w:rsid w:val="00303573"/>
    <w:rsid w:val="003039AA"/>
    <w:rsid w:val="00303A98"/>
    <w:rsid w:val="003040E6"/>
    <w:rsid w:val="0030432A"/>
    <w:rsid w:val="003043F9"/>
    <w:rsid w:val="00304452"/>
    <w:rsid w:val="003049FC"/>
    <w:rsid w:val="00305033"/>
    <w:rsid w:val="00305044"/>
    <w:rsid w:val="003053C1"/>
    <w:rsid w:val="00305E62"/>
    <w:rsid w:val="00305FB2"/>
    <w:rsid w:val="003061CF"/>
    <w:rsid w:val="0030677E"/>
    <w:rsid w:val="003073FD"/>
    <w:rsid w:val="00307827"/>
    <w:rsid w:val="00307856"/>
    <w:rsid w:val="00307DF4"/>
    <w:rsid w:val="00307E5F"/>
    <w:rsid w:val="00307ECC"/>
    <w:rsid w:val="0031004D"/>
    <w:rsid w:val="003100D3"/>
    <w:rsid w:val="0031053D"/>
    <w:rsid w:val="0031058D"/>
    <w:rsid w:val="00310D5C"/>
    <w:rsid w:val="00310FC4"/>
    <w:rsid w:val="0031110D"/>
    <w:rsid w:val="0031112F"/>
    <w:rsid w:val="003115F5"/>
    <w:rsid w:val="0031191D"/>
    <w:rsid w:val="00311B3D"/>
    <w:rsid w:val="00311CB5"/>
    <w:rsid w:val="00311E2E"/>
    <w:rsid w:val="00312F28"/>
    <w:rsid w:val="00313406"/>
    <w:rsid w:val="00313540"/>
    <w:rsid w:val="00314386"/>
    <w:rsid w:val="0031508B"/>
    <w:rsid w:val="00316034"/>
    <w:rsid w:val="00316102"/>
    <w:rsid w:val="0031613F"/>
    <w:rsid w:val="00316170"/>
    <w:rsid w:val="003162EF"/>
    <w:rsid w:val="003167F1"/>
    <w:rsid w:val="00316891"/>
    <w:rsid w:val="003176B4"/>
    <w:rsid w:val="003200BA"/>
    <w:rsid w:val="0032037E"/>
    <w:rsid w:val="003205D8"/>
    <w:rsid w:val="003205EB"/>
    <w:rsid w:val="003209AB"/>
    <w:rsid w:val="00320D69"/>
    <w:rsid w:val="003214C4"/>
    <w:rsid w:val="003215B9"/>
    <w:rsid w:val="00321758"/>
    <w:rsid w:val="00321CD0"/>
    <w:rsid w:val="00322269"/>
    <w:rsid w:val="003224DE"/>
    <w:rsid w:val="00322B46"/>
    <w:rsid w:val="00322CDD"/>
    <w:rsid w:val="00322E8F"/>
    <w:rsid w:val="00322F09"/>
    <w:rsid w:val="00322FC6"/>
    <w:rsid w:val="003232A1"/>
    <w:rsid w:val="003233FB"/>
    <w:rsid w:val="00323543"/>
    <w:rsid w:val="00323AD0"/>
    <w:rsid w:val="00323B46"/>
    <w:rsid w:val="00323D69"/>
    <w:rsid w:val="00323FA6"/>
    <w:rsid w:val="003243FA"/>
    <w:rsid w:val="0032447D"/>
    <w:rsid w:val="003249C8"/>
    <w:rsid w:val="00324C4F"/>
    <w:rsid w:val="00324D2A"/>
    <w:rsid w:val="00324DC7"/>
    <w:rsid w:val="00325191"/>
    <w:rsid w:val="003251AD"/>
    <w:rsid w:val="0032547C"/>
    <w:rsid w:val="0032572B"/>
    <w:rsid w:val="00325AA4"/>
    <w:rsid w:val="00325AAF"/>
    <w:rsid w:val="00325F1E"/>
    <w:rsid w:val="00326143"/>
    <w:rsid w:val="00326340"/>
    <w:rsid w:val="00326484"/>
    <w:rsid w:val="003266AE"/>
    <w:rsid w:val="0032672A"/>
    <w:rsid w:val="003267F3"/>
    <w:rsid w:val="00326CBE"/>
    <w:rsid w:val="0033004F"/>
    <w:rsid w:val="00330616"/>
    <w:rsid w:val="00330694"/>
    <w:rsid w:val="00330B61"/>
    <w:rsid w:val="00330D11"/>
    <w:rsid w:val="00330F14"/>
    <w:rsid w:val="00331957"/>
    <w:rsid w:val="00332633"/>
    <w:rsid w:val="003329DA"/>
    <w:rsid w:val="00332F1A"/>
    <w:rsid w:val="003334BD"/>
    <w:rsid w:val="003335D8"/>
    <w:rsid w:val="003337CB"/>
    <w:rsid w:val="00333954"/>
    <w:rsid w:val="0033404C"/>
    <w:rsid w:val="003341BF"/>
    <w:rsid w:val="003345CB"/>
    <w:rsid w:val="00334648"/>
    <w:rsid w:val="003347B7"/>
    <w:rsid w:val="003347CD"/>
    <w:rsid w:val="003348D5"/>
    <w:rsid w:val="00334952"/>
    <w:rsid w:val="00334D59"/>
    <w:rsid w:val="00334E5A"/>
    <w:rsid w:val="00334EBA"/>
    <w:rsid w:val="00335746"/>
    <w:rsid w:val="00335B9A"/>
    <w:rsid w:val="00335CC0"/>
    <w:rsid w:val="00336494"/>
    <w:rsid w:val="00336AD0"/>
    <w:rsid w:val="00337025"/>
    <w:rsid w:val="00337231"/>
    <w:rsid w:val="003376B9"/>
    <w:rsid w:val="00337801"/>
    <w:rsid w:val="003378B1"/>
    <w:rsid w:val="003401C8"/>
    <w:rsid w:val="00340325"/>
    <w:rsid w:val="003406F1"/>
    <w:rsid w:val="00340E7F"/>
    <w:rsid w:val="00341B3C"/>
    <w:rsid w:val="00341D70"/>
    <w:rsid w:val="00341DA8"/>
    <w:rsid w:val="003421A9"/>
    <w:rsid w:val="003422F1"/>
    <w:rsid w:val="00343130"/>
    <w:rsid w:val="00343224"/>
    <w:rsid w:val="00343465"/>
    <w:rsid w:val="0034348F"/>
    <w:rsid w:val="003435C9"/>
    <w:rsid w:val="00343EBA"/>
    <w:rsid w:val="00344234"/>
    <w:rsid w:val="003442E1"/>
    <w:rsid w:val="00344834"/>
    <w:rsid w:val="003449F7"/>
    <w:rsid w:val="00344FBD"/>
    <w:rsid w:val="003451AF"/>
    <w:rsid w:val="003451F3"/>
    <w:rsid w:val="0034522C"/>
    <w:rsid w:val="003454E9"/>
    <w:rsid w:val="0034584A"/>
    <w:rsid w:val="00345C5F"/>
    <w:rsid w:val="00345DA2"/>
    <w:rsid w:val="003460EB"/>
    <w:rsid w:val="0034646E"/>
    <w:rsid w:val="003466AA"/>
    <w:rsid w:val="003467B7"/>
    <w:rsid w:val="003467CA"/>
    <w:rsid w:val="00346850"/>
    <w:rsid w:val="0034688B"/>
    <w:rsid w:val="00346A73"/>
    <w:rsid w:val="00346F9C"/>
    <w:rsid w:val="003472C6"/>
    <w:rsid w:val="003476AB"/>
    <w:rsid w:val="003477C8"/>
    <w:rsid w:val="003479A1"/>
    <w:rsid w:val="00350193"/>
    <w:rsid w:val="00350354"/>
    <w:rsid w:val="00350BB9"/>
    <w:rsid w:val="00350CD4"/>
    <w:rsid w:val="003510F5"/>
    <w:rsid w:val="00351609"/>
    <w:rsid w:val="003517C8"/>
    <w:rsid w:val="00351968"/>
    <w:rsid w:val="00351CC8"/>
    <w:rsid w:val="00351D3F"/>
    <w:rsid w:val="0035211F"/>
    <w:rsid w:val="0035223D"/>
    <w:rsid w:val="003524B9"/>
    <w:rsid w:val="00352751"/>
    <w:rsid w:val="0035282A"/>
    <w:rsid w:val="00352C2D"/>
    <w:rsid w:val="00352E30"/>
    <w:rsid w:val="00352E82"/>
    <w:rsid w:val="00352ED4"/>
    <w:rsid w:val="00352F93"/>
    <w:rsid w:val="0035332C"/>
    <w:rsid w:val="003537F5"/>
    <w:rsid w:val="00353A12"/>
    <w:rsid w:val="00353ACA"/>
    <w:rsid w:val="00353DD8"/>
    <w:rsid w:val="00353E4B"/>
    <w:rsid w:val="00353E7C"/>
    <w:rsid w:val="00354197"/>
    <w:rsid w:val="003542F0"/>
    <w:rsid w:val="00354336"/>
    <w:rsid w:val="0035449B"/>
    <w:rsid w:val="003546F9"/>
    <w:rsid w:val="00354742"/>
    <w:rsid w:val="00354A45"/>
    <w:rsid w:val="00354BAF"/>
    <w:rsid w:val="003554F9"/>
    <w:rsid w:val="00355C43"/>
    <w:rsid w:val="00355D63"/>
    <w:rsid w:val="00355FDF"/>
    <w:rsid w:val="003560B9"/>
    <w:rsid w:val="003561D8"/>
    <w:rsid w:val="003564DE"/>
    <w:rsid w:val="003566A9"/>
    <w:rsid w:val="0035678B"/>
    <w:rsid w:val="00356C3C"/>
    <w:rsid w:val="003573D8"/>
    <w:rsid w:val="00357467"/>
    <w:rsid w:val="00357718"/>
    <w:rsid w:val="003577AE"/>
    <w:rsid w:val="003577FB"/>
    <w:rsid w:val="00357B6F"/>
    <w:rsid w:val="00357E64"/>
    <w:rsid w:val="0036008F"/>
    <w:rsid w:val="003606A4"/>
    <w:rsid w:val="00360944"/>
    <w:rsid w:val="00360AA0"/>
    <w:rsid w:val="0036102F"/>
    <w:rsid w:val="00363429"/>
    <w:rsid w:val="0036371B"/>
    <w:rsid w:val="00364416"/>
    <w:rsid w:val="003646A1"/>
    <w:rsid w:val="003648B1"/>
    <w:rsid w:val="00364C95"/>
    <w:rsid w:val="00364D3B"/>
    <w:rsid w:val="00364FE0"/>
    <w:rsid w:val="00365583"/>
    <w:rsid w:val="00365A7B"/>
    <w:rsid w:val="0036617C"/>
    <w:rsid w:val="00366469"/>
    <w:rsid w:val="003664CF"/>
    <w:rsid w:val="00366D75"/>
    <w:rsid w:val="00366E77"/>
    <w:rsid w:val="00366FFE"/>
    <w:rsid w:val="003672A5"/>
    <w:rsid w:val="00367816"/>
    <w:rsid w:val="00367889"/>
    <w:rsid w:val="00367983"/>
    <w:rsid w:val="003679AC"/>
    <w:rsid w:val="00367A55"/>
    <w:rsid w:val="00367C50"/>
    <w:rsid w:val="00367E33"/>
    <w:rsid w:val="003700C2"/>
    <w:rsid w:val="003701F8"/>
    <w:rsid w:val="00370D6A"/>
    <w:rsid w:val="0037133E"/>
    <w:rsid w:val="0037175C"/>
    <w:rsid w:val="003717A4"/>
    <w:rsid w:val="00371B13"/>
    <w:rsid w:val="00371BF6"/>
    <w:rsid w:val="00371C0E"/>
    <w:rsid w:val="00371CC0"/>
    <w:rsid w:val="003720A8"/>
    <w:rsid w:val="003721B4"/>
    <w:rsid w:val="003721E5"/>
    <w:rsid w:val="00372984"/>
    <w:rsid w:val="00373281"/>
    <w:rsid w:val="00373310"/>
    <w:rsid w:val="00373314"/>
    <w:rsid w:val="0037379B"/>
    <w:rsid w:val="003739AD"/>
    <w:rsid w:val="00373A52"/>
    <w:rsid w:val="00373EC2"/>
    <w:rsid w:val="00373F95"/>
    <w:rsid w:val="00374027"/>
    <w:rsid w:val="0037411A"/>
    <w:rsid w:val="0037514F"/>
    <w:rsid w:val="0037585F"/>
    <w:rsid w:val="00375B26"/>
    <w:rsid w:val="00375DB1"/>
    <w:rsid w:val="00375DE7"/>
    <w:rsid w:val="00375E79"/>
    <w:rsid w:val="00376715"/>
    <w:rsid w:val="0037673C"/>
    <w:rsid w:val="003767CC"/>
    <w:rsid w:val="00376A9C"/>
    <w:rsid w:val="00376DD1"/>
    <w:rsid w:val="00376F9F"/>
    <w:rsid w:val="0037710A"/>
    <w:rsid w:val="003771A7"/>
    <w:rsid w:val="00377788"/>
    <w:rsid w:val="00377B90"/>
    <w:rsid w:val="00377CAD"/>
    <w:rsid w:val="00377E29"/>
    <w:rsid w:val="0038006B"/>
    <w:rsid w:val="00380270"/>
    <w:rsid w:val="00380474"/>
    <w:rsid w:val="00380BDD"/>
    <w:rsid w:val="00381280"/>
    <w:rsid w:val="003819F2"/>
    <w:rsid w:val="00381AF0"/>
    <w:rsid w:val="00381B59"/>
    <w:rsid w:val="00381C80"/>
    <w:rsid w:val="0038308D"/>
    <w:rsid w:val="0038311F"/>
    <w:rsid w:val="00383381"/>
    <w:rsid w:val="00383462"/>
    <w:rsid w:val="003836CC"/>
    <w:rsid w:val="00383E60"/>
    <w:rsid w:val="00384277"/>
    <w:rsid w:val="00384700"/>
    <w:rsid w:val="003849B2"/>
    <w:rsid w:val="003850E5"/>
    <w:rsid w:val="003858A3"/>
    <w:rsid w:val="00385A7F"/>
    <w:rsid w:val="00385E1A"/>
    <w:rsid w:val="003865AA"/>
    <w:rsid w:val="00386608"/>
    <w:rsid w:val="00386769"/>
    <w:rsid w:val="003869BE"/>
    <w:rsid w:val="00387493"/>
    <w:rsid w:val="00387992"/>
    <w:rsid w:val="00387FCA"/>
    <w:rsid w:val="003900BC"/>
    <w:rsid w:val="0039066E"/>
    <w:rsid w:val="003908AB"/>
    <w:rsid w:val="00390DE4"/>
    <w:rsid w:val="00391518"/>
    <w:rsid w:val="0039183D"/>
    <w:rsid w:val="00391A08"/>
    <w:rsid w:val="00391CC6"/>
    <w:rsid w:val="00392059"/>
    <w:rsid w:val="003921AC"/>
    <w:rsid w:val="0039228A"/>
    <w:rsid w:val="00392FFA"/>
    <w:rsid w:val="003930C2"/>
    <w:rsid w:val="00393251"/>
    <w:rsid w:val="00393603"/>
    <w:rsid w:val="003936F8"/>
    <w:rsid w:val="00393A4A"/>
    <w:rsid w:val="00393E28"/>
    <w:rsid w:val="00393F23"/>
    <w:rsid w:val="00394027"/>
    <w:rsid w:val="003943C7"/>
    <w:rsid w:val="00394511"/>
    <w:rsid w:val="003945B7"/>
    <w:rsid w:val="00394701"/>
    <w:rsid w:val="00394E39"/>
    <w:rsid w:val="00394EE6"/>
    <w:rsid w:val="00394F06"/>
    <w:rsid w:val="00395364"/>
    <w:rsid w:val="00395731"/>
    <w:rsid w:val="003957BC"/>
    <w:rsid w:val="00395E53"/>
    <w:rsid w:val="00395FEA"/>
    <w:rsid w:val="0039617C"/>
    <w:rsid w:val="0039632D"/>
    <w:rsid w:val="003965BA"/>
    <w:rsid w:val="00396668"/>
    <w:rsid w:val="00396817"/>
    <w:rsid w:val="00396873"/>
    <w:rsid w:val="003968CE"/>
    <w:rsid w:val="0039709D"/>
    <w:rsid w:val="003971AF"/>
    <w:rsid w:val="003973F8"/>
    <w:rsid w:val="0039770C"/>
    <w:rsid w:val="00397C13"/>
    <w:rsid w:val="00397EB1"/>
    <w:rsid w:val="003A02D9"/>
    <w:rsid w:val="003A0447"/>
    <w:rsid w:val="003A053E"/>
    <w:rsid w:val="003A084C"/>
    <w:rsid w:val="003A1014"/>
    <w:rsid w:val="003A16FA"/>
    <w:rsid w:val="003A1B56"/>
    <w:rsid w:val="003A1C8B"/>
    <w:rsid w:val="003A2ED5"/>
    <w:rsid w:val="003A3818"/>
    <w:rsid w:val="003A3A01"/>
    <w:rsid w:val="003A3B21"/>
    <w:rsid w:val="003A3B30"/>
    <w:rsid w:val="003A40FB"/>
    <w:rsid w:val="003A427B"/>
    <w:rsid w:val="003A430D"/>
    <w:rsid w:val="003A4780"/>
    <w:rsid w:val="003A4DD2"/>
    <w:rsid w:val="003A4FD6"/>
    <w:rsid w:val="003A5107"/>
    <w:rsid w:val="003A5E6A"/>
    <w:rsid w:val="003A61BE"/>
    <w:rsid w:val="003A655A"/>
    <w:rsid w:val="003A6610"/>
    <w:rsid w:val="003A6C9D"/>
    <w:rsid w:val="003A70CE"/>
    <w:rsid w:val="003A74B6"/>
    <w:rsid w:val="003A7A89"/>
    <w:rsid w:val="003A7CE0"/>
    <w:rsid w:val="003B09C2"/>
    <w:rsid w:val="003B1306"/>
    <w:rsid w:val="003B13D2"/>
    <w:rsid w:val="003B1507"/>
    <w:rsid w:val="003B171C"/>
    <w:rsid w:val="003B1C07"/>
    <w:rsid w:val="003B240B"/>
    <w:rsid w:val="003B2491"/>
    <w:rsid w:val="003B27C6"/>
    <w:rsid w:val="003B300B"/>
    <w:rsid w:val="003B32BC"/>
    <w:rsid w:val="003B34A7"/>
    <w:rsid w:val="003B38D8"/>
    <w:rsid w:val="003B3D0C"/>
    <w:rsid w:val="003B44F5"/>
    <w:rsid w:val="003B4793"/>
    <w:rsid w:val="003B491E"/>
    <w:rsid w:val="003B4A06"/>
    <w:rsid w:val="003B4AC5"/>
    <w:rsid w:val="003B4B5D"/>
    <w:rsid w:val="003B4F1F"/>
    <w:rsid w:val="003B504F"/>
    <w:rsid w:val="003B5429"/>
    <w:rsid w:val="003B5F40"/>
    <w:rsid w:val="003B6107"/>
    <w:rsid w:val="003B6127"/>
    <w:rsid w:val="003B6528"/>
    <w:rsid w:val="003B673A"/>
    <w:rsid w:val="003B68CB"/>
    <w:rsid w:val="003B6E83"/>
    <w:rsid w:val="003B6E85"/>
    <w:rsid w:val="003B7443"/>
    <w:rsid w:val="003B750C"/>
    <w:rsid w:val="003B7622"/>
    <w:rsid w:val="003B7760"/>
    <w:rsid w:val="003B78E1"/>
    <w:rsid w:val="003B7B5A"/>
    <w:rsid w:val="003B7D9B"/>
    <w:rsid w:val="003B7F65"/>
    <w:rsid w:val="003C05AB"/>
    <w:rsid w:val="003C086B"/>
    <w:rsid w:val="003C099C"/>
    <w:rsid w:val="003C0A07"/>
    <w:rsid w:val="003C0A1E"/>
    <w:rsid w:val="003C0CB3"/>
    <w:rsid w:val="003C1057"/>
    <w:rsid w:val="003C10F9"/>
    <w:rsid w:val="003C13A0"/>
    <w:rsid w:val="003C1F77"/>
    <w:rsid w:val="003C2B18"/>
    <w:rsid w:val="003C2D8A"/>
    <w:rsid w:val="003C3203"/>
    <w:rsid w:val="003C37D2"/>
    <w:rsid w:val="003C3A11"/>
    <w:rsid w:val="003C3AA9"/>
    <w:rsid w:val="003C3AFD"/>
    <w:rsid w:val="003C3B29"/>
    <w:rsid w:val="003C3B30"/>
    <w:rsid w:val="003C3E2A"/>
    <w:rsid w:val="003C4723"/>
    <w:rsid w:val="003C4C1F"/>
    <w:rsid w:val="003C5509"/>
    <w:rsid w:val="003C5809"/>
    <w:rsid w:val="003C590F"/>
    <w:rsid w:val="003C5F6C"/>
    <w:rsid w:val="003C6257"/>
    <w:rsid w:val="003C69B6"/>
    <w:rsid w:val="003C6A78"/>
    <w:rsid w:val="003C6B5E"/>
    <w:rsid w:val="003C6C2C"/>
    <w:rsid w:val="003C6CF7"/>
    <w:rsid w:val="003C6E04"/>
    <w:rsid w:val="003C7286"/>
    <w:rsid w:val="003C745C"/>
    <w:rsid w:val="003C7513"/>
    <w:rsid w:val="003C76BC"/>
    <w:rsid w:val="003C7C85"/>
    <w:rsid w:val="003C7E25"/>
    <w:rsid w:val="003D0078"/>
    <w:rsid w:val="003D0363"/>
    <w:rsid w:val="003D03AE"/>
    <w:rsid w:val="003D0608"/>
    <w:rsid w:val="003D0713"/>
    <w:rsid w:val="003D0AE4"/>
    <w:rsid w:val="003D0BAC"/>
    <w:rsid w:val="003D16BD"/>
    <w:rsid w:val="003D19BB"/>
    <w:rsid w:val="003D1DAA"/>
    <w:rsid w:val="003D20AA"/>
    <w:rsid w:val="003D2F5A"/>
    <w:rsid w:val="003D2FC2"/>
    <w:rsid w:val="003D3268"/>
    <w:rsid w:val="003D33C7"/>
    <w:rsid w:val="003D3506"/>
    <w:rsid w:val="003D3512"/>
    <w:rsid w:val="003D3530"/>
    <w:rsid w:val="003D38AC"/>
    <w:rsid w:val="003D3BA6"/>
    <w:rsid w:val="003D3F03"/>
    <w:rsid w:val="003D40C7"/>
    <w:rsid w:val="003D40DA"/>
    <w:rsid w:val="003D43FE"/>
    <w:rsid w:val="003D49F5"/>
    <w:rsid w:val="003D4C92"/>
    <w:rsid w:val="003D5037"/>
    <w:rsid w:val="003D5896"/>
    <w:rsid w:val="003D5984"/>
    <w:rsid w:val="003D5C06"/>
    <w:rsid w:val="003D5EF5"/>
    <w:rsid w:val="003D61C2"/>
    <w:rsid w:val="003D6771"/>
    <w:rsid w:val="003D6BE0"/>
    <w:rsid w:val="003D7041"/>
    <w:rsid w:val="003D72B4"/>
    <w:rsid w:val="003D7336"/>
    <w:rsid w:val="003D7D84"/>
    <w:rsid w:val="003E002D"/>
    <w:rsid w:val="003E0149"/>
    <w:rsid w:val="003E0688"/>
    <w:rsid w:val="003E06F1"/>
    <w:rsid w:val="003E082E"/>
    <w:rsid w:val="003E0D4E"/>
    <w:rsid w:val="003E1803"/>
    <w:rsid w:val="003E19CE"/>
    <w:rsid w:val="003E1A05"/>
    <w:rsid w:val="003E1EE4"/>
    <w:rsid w:val="003E1F30"/>
    <w:rsid w:val="003E2588"/>
    <w:rsid w:val="003E2880"/>
    <w:rsid w:val="003E290B"/>
    <w:rsid w:val="003E2D73"/>
    <w:rsid w:val="003E2F30"/>
    <w:rsid w:val="003E2F9E"/>
    <w:rsid w:val="003E360C"/>
    <w:rsid w:val="003E3631"/>
    <w:rsid w:val="003E39E2"/>
    <w:rsid w:val="003E3A76"/>
    <w:rsid w:val="003E3B59"/>
    <w:rsid w:val="003E3CC5"/>
    <w:rsid w:val="003E49C9"/>
    <w:rsid w:val="003E4B1C"/>
    <w:rsid w:val="003E4CC6"/>
    <w:rsid w:val="003E52AD"/>
    <w:rsid w:val="003E6F25"/>
    <w:rsid w:val="003E71C0"/>
    <w:rsid w:val="003E766B"/>
    <w:rsid w:val="003E7889"/>
    <w:rsid w:val="003E7EC1"/>
    <w:rsid w:val="003F0A98"/>
    <w:rsid w:val="003F130C"/>
    <w:rsid w:val="003F1631"/>
    <w:rsid w:val="003F1765"/>
    <w:rsid w:val="003F1AB7"/>
    <w:rsid w:val="003F1DE3"/>
    <w:rsid w:val="003F20A1"/>
    <w:rsid w:val="003F21D7"/>
    <w:rsid w:val="003F2935"/>
    <w:rsid w:val="003F2D46"/>
    <w:rsid w:val="003F2EC6"/>
    <w:rsid w:val="003F32B9"/>
    <w:rsid w:val="003F3357"/>
    <w:rsid w:val="003F3749"/>
    <w:rsid w:val="003F3CF0"/>
    <w:rsid w:val="003F40CD"/>
    <w:rsid w:val="003F48B9"/>
    <w:rsid w:val="003F490D"/>
    <w:rsid w:val="003F4C70"/>
    <w:rsid w:val="003F5523"/>
    <w:rsid w:val="003F5819"/>
    <w:rsid w:val="003F5BD5"/>
    <w:rsid w:val="003F5C81"/>
    <w:rsid w:val="003F5CD4"/>
    <w:rsid w:val="003F65D0"/>
    <w:rsid w:val="003F6661"/>
    <w:rsid w:val="003F6FDC"/>
    <w:rsid w:val="003F716C"/>
    <w:rsid w:val="003F775D"/>
    <w:rsid w:val="003F78B4"/>
    <w:rsid w:val="003F7A5E"/>
    <w:rsid w:val="003F7C21"/>
    <w:rsid w:val="003F7D7A"/>
    <w:rsid w:val="003F7F2D"/>
    <w:rsid w:val="004001B3"/>
    <w:rsid w:val="0040090A"/>
    <w:rsid w:val="00401383"/>
    <w:rsid w:val="0040141C"/>
    <w:rsid w:val="00401500"/>
    <w:rsid w:val="004017E6"/>
    <w:rsid w:val="00401B22"/>
    <w:rsid w:val="00401BAB"/>
    <w:rsid w:val="00402E60"/>
    <w:rsid w:val="00403237"/>
    <w:rsid w:val="004035EA"/>
    <w:rsid w:val="00403A27"/>
    <w:rsid w:val="00403B35"/>
    <w:rsid w:val="00403C0B"/>
    <w:rsid w:val="00404117"/>
    <w:rsid w:val="004041FF"/>
    <w:rsid w:val="004049EC"/>
    <w:rsid w:val="00404C06"/>
    <w:rsid w:val="00404CF4"/>
    <w:rsid w:val="00404DF3"/>
    <w:rsid w:val="00405153"/>
    <w:rsid w:val="0040524F"/>
    <w:rsid w:val="00405BD0"/>
    <w:rsid w:val="00405DF9"/>
    <w:rsid w:val="00405E6F"/>
    <w:rsid w:val="00405FC0"/>
    <w:rsid w:val="00406954"/>
    <w:rsid w:val="00406B77"/>
    <w:rsid w:val="00406C45"/>
    <w:rsid w:val="00406D26"/>
    <w:rsid w:val="004070F4"/>
    <w:rsid w:val="004072FC"/>
    <w:rsid w:val="004078E2"/>
    <w:rsid w:val="00407AAB"/>
    <w:rsid w:val="00407DFD"/>
    <w:rsid w:val="00407E8E"/>
    <w:rsid w:val="00407F04"/>
    <w:rsid w:val="00407FC2"/>
    <w:rsid w:val="004100EE"/>
    <w:rsid w:val="004101B9"/>
    <w:rsid w:val="00410CE9"/>
    <w:rsid w:val="00410E11"/>
    <w:rsid w:val="00411176"/>
    <w:rsid w:val="00411771"/>
    <w:rsid w:val="004127E2"/>
    <w:rsid w:val="00412A45"/>
    <w:rsid w:val="00412E0A"/>
    <w:rsid w:val="00412E29"/>
    <w:rsid w:val="00412F03"/>
    <w:rsid w:val="004132E0"/>
    <w:rsid w:val="00413513"/>
    <w:rsid w:val="00413565"/>
    <w:rsid w:val="00413730"/>
    <w:rsid w:val="00413B42"/>
    <w:rsid w:val="00413BE0"/>
    <w:rsid w:val="00414133"/>
    <w:rsid w:val="00414328"/>
    <w:rsid w:val="00414389"/>
    <w:rsid w:val="0041474A"/>
    <w:rsid w:val="004147A1"/>
    <w:rsid w:val="00414E6F"/>
    <w:rsid w:val="00414E86"/>
    <w:rsid w:val="00415094"/>
    <w:rsid w:val="0041543B"/>
    <w:rsid w:val="0041552D"/>
    <w:rsid w:val="0041558D"/>
    <w:rsid w:val="00415A27"/>
    <w:rsid w:val="00415D76"/>
    <w:rsid w:val="00415D8D"/>
    <w:rsid w:val="00415DC6"/>
    <w:rsid w:val="00415F7F"/>
    <w:rsid w:val="0041657F"/>
    <w:rsid w:val="00416794"/>
    <w:rsid w:val="004167E2"/>
    <w:rsid w:val="00416F46"/>
    <w:rsid w:val="00417017"/>
    <w:rsid w:val="00417144"/>
    <w:rsid w:val="004173C1"/>
    <w:rsid w:val="0041740B"/>
    <w:rsid w:val="004177C0"/>
    <w:rsid w:val="004179CC"/>
    <w:rsid w:val="00417CCD"/>
    <w:rsid w:val="0042011D"/>
    <w:rsid w:val="004201C4"/>
    <w:rsid w:val="004201EB"/>
    <w:rsid w:val="0042043C"/>
    <w:rsid w:val="00420FE3"/>
    <w:rsid w:val="004210D2"/>
    <w:rsid w:val="00421558"/>
    <w:rsid w:val="00421795"/>
    <w:rsid w:val="0042189D"/>
    <w:rsid w:val="00421DBF"/>
    <w:rsid w:val="0042232C"/>
    <w:rsid w:val="004224FE"/>
    <w:rsid w:val="0042262B"/>
    <w:rsid w:val="004227F7"/>
    <w:rsid w:val="00422861"/>
    <w:rsid w:val="00422C2E"/>
    <w:rsid w:val="00422EE8"/>
    <w:rsid w:val="00423218"/>
    <w:rsid w:val="004237AA"/>
    <w:rsid w:val="0042398B"/>
    <w:rsid w:val="004239F8"/>
    <w:rsid w:val="00423BA5"/>
    <w:rsid w:val="00424D10"/>
    <w:rsid w:val="00424F7E"/>
    <w:rsid w:val="0042502F"/>
    <w:rsid w:val="0042527E"/>
    <w:rsid w:val="004252A4"/>
    <w:rsid w:val="00425322"/>
    <w:rsid w:val="0042539F"/>
    <w:rsid w:val="0042554A"/>
    <w:rsid w:val="00425591"/>
    <w:rsid w:val="004258A7"/>
    <w:rsid w:val="004261B5"/>
    <w:rsid w:val="00426498"/>
    <w:rsid w:val="00426AF5"/>
    <w:rsid w:val="00426D78"/>
    <w:rsid w:val="004274CE"/>
    <w:rsid w:val="004276EB"/>
    <w:rsid w:val="00427BB5"/>
    <w:rsid w:val="00427D40"/>
    <w:rsid w:val="00427E77"/>
    <w:rsid w:val="004305F0"/>
    <w:rsid w:val="00430783"/>
    <w:rsid w:val="00430880"/>
    <w:rsid w:val="004308D1"/>
    <w:rsid w:val="00430CF8"/>
    <w:rsid w:val="00430CFC"/>
    <w:rsid w:val="00430ED8"/>
    <w:rsid w:val="0043148A"/>
    <w:rsid w:val="0043192F"/>
    <w:rsid w:val="00431A02"/>
    <w:rsid w:val="00431D00"/>
    <w:rsid w:val="00432526"/>
    <w:rsid w:val="0043254C"/>
    <w:rsid w:val="004327F2"/>
    <w:rsid w:val="0043283B"/>
    <w:rsid w:val="00433711"/>
    <w:rsid w:val="0043389B"/>
    <w:rsid w:val="00433DCC"/>
    <w:rsid w:val="004342BD"/>
    <w:rsid w:val="004344C2"/>
    <w:rsid w:val="0043451F"/>
    <w:rsid w:val="00434574"/>
    <w:rsid w:val="004347DD"/>
    <w:rsid w:val="004347DF"/>
    <w:rsid w:val="0043492D"/>
    <w:rsid w:val="00434950"/>
    <w:rsid w:val="00434AF2"/>
    <w:rsid w:val="004356EE"/>
    <w:rsid w:val="00435891"/>
    <w:rsid w:val="004359A3"/>
    <w:rsid w:val="00435BAE"/>
    <w:rsid w:val="00435D1E"/>
    <w:rsid w:val="00436142"/>
    <w:rsid w:val="0043618E"/>
    <w:rsid w:val="00437267"/>
    <w:rsid w:val="004373CC"/>
    <w:rsid w:val="004375C9"/>
    <w:rsid w:val="00437837"/>
    <w:rsid w:val="0043791D"/>
    <w:rsid w:val="00437930"/>
    <w:rsid w:val="00437CE8"/>
    <w:rsid w:val="00440997"/>
    <w:rsid w:val="00440FC8"/>
    <w:rsid w:val="00441190"/>
    <w:rsid w:val="00441289"/>
    <w:rsid w:val="004413CB"/>
    <w:rsid w:val="00441B63"/>
    <w:rsid w:val="00441D35"/>
    <w:rsid w:val="004420B1"/>
    <w:rsid w:val="0044221D"/>
    <w:rsid w:val="0044258D"/>
    <w:rsid w:val="00442D10"/>
    <w:rsid w:val="00443074"/>
    <w:rsid w:val="00443284"/>
    <w:rsid w:val="004433DA"/>
    <w:rsid w:val="004434F6"/>
    <w:rsid w:val="004435A4"/>
    <w:rsid w:val="004435D3"/>
    <w:rsid w:val="0044394C"/>
    <w:rsid w:val="004439A6"/>
    <w:rsid w:val="00443B8B"/>
    <w:rsid w:val="00443BF4"/>
    <w:rsid w:val="00443DDC"/>
    <w:rsid w:val="00443FEF"/>
    <w:rsid w:val="004441CE"/>
    <w:rsid w:val="0044453C"/>
    <w:rsid w:val="004448ED"/>
    <w:rsid w:val="00444DEC"/>
    <w:rsid w:val="00444FDD"/>
    <w:rsid w:val="0044587C"/>
    <w:rsid w:val="004459D6"/>
    <w:rsid w:val="00445D37"/>
    <w:rsid w:val="0044682B"/>
    <w:rsid w:val="00446DBA"/>
    <w:rsid w:val="0044744A"/>
    <w:rsid w:val="00447630"/>
    <w:rsid w:val="004479AE"/>
    <w:rsid w:val="00447B49"/>
    <w:rsid w:val="00447D23"/>
    <w:rsid w:val="00450234"/>
    <w:rsid w:val="00450290"/>
    <w:rsid w:val="00450AEB"/>
    <w:rsid w:val="00450B7A"/>
    <w:rsid w:val="0045106F"/>
    <w:rsid w:val="00451A88"/>
    <w:rsid w:val="00451D55"/>
    <w:rsid w:val="00452359"/>
    <w:rsid w:val="004524B1"/>
    <w:rsid w:val="0045279D"/>
    <w:rsid w:val="0045283E"/>
    <w:rsid w:val="00453026"/>
    <w:rsid w:val="00453623"/>
    <w:rsid w:val="0045399E"/>
    <w:rsid w:val="00453AAA"/>
    <w:rsid w:val="00453F81"/>
    <w:rsid w:val="00454271"/>
    <w:rsid w:val="004545EB"/>
    <w:rsid w:val="004547EE"/>
    <w:rsid w:val="00454C98"/>
    <w:rsid w:val="004555B6"/>
    <w:rsid w:val="004558CB"/>
    <w:rsid w:val="004559B9"/>
    <w:rsid w:val="00455A8C"/>
    <w:rsid w:val="004560E0"/>
    <w:rsid w:val="004560FE"/>
    <w:rsid w:val="00456502"/>
    <w:rsid w:val="00456797"/>
    <w:rsid w:val="004569BA"/>
    <w:rsid w:val="0045714C"/>
    <w:rsid w:val="00457547"/>
    <w:rsid w:val="0045786F"/>
    <w:rsid w:val="00457A3E"/>
    <w:rsid w:val="004601A0"/>
    <w:rsid w:val="00460314"/>
    <w:rsid w:val="00460870"/>
    <w:rsid w:val="00461AB5"/>
    <w:rsid w:val="00461F97"/>
    <w:rsid w:val="00462139"/>
    <w:rsid w:val="00462240"/>
    <w:rsid w:val="004623F7"/>
    <w:rsid w:val="00462BAF"/>
    <w:rsid w:val="00462D6C"/>
    <w:rsid w:val="00462FA3"/>
    <w:rsid w:val="0046305F"/>
    <w:rsid w:val="0046355E"/>
    <w:rsid w:val="004635E9"/>
    <w:rsid w:val="0046361D"/>
    <w:rsid w:val="004638A5"/>
    <w:rsid w:val="00463B22"/>
    <w:rsid w:val="00463DEC"/>
    <w:rsid w:val="00463FFE"/>
    <w:rsid w:val="004641E2"/>
    <w:rsid w:val="004645B9"/>
    <w:rsid w:val="00464632"/>
    <w:rsid w:val="00464727"/>
    <w:rsid w:val="00464AC7"/>
    <w:rsid w:val="00464F3B"/>
    <w:rsid w:val="00465288"/>
    <w:rsid w:val="00465554"/>
    <w:rsid w:val="00465B45"/>
    <w:rsid w:val="00465C02"/>
    <w:rsid w:val="00465D50"/>
    <w:rsid w:val="00466210"/>
    <w:rsid w:val="004663C3"/>
    <w:rsid w:val="004664AC"/>
    <w:rsid w:val="00466600"/>
    <w:rsid w:val="004667F6"/>
    <w:rsid w:val="00466B71"/>
    <w:rsid w:val="00466D5B"/>
    <w:rsid w:val="00467BBB"/>
    <w:rsid w:val="00470076"/>
    <w:rsid w:val="00470756"/>
    <w:rsid w:val="00470A40"/>
    <w:rsid w:val="00470F1E"/>
    <w:rsid w:val="00470FDD"/>
    <w:rsid w:val="00471ACB"/>
    <w:rsid w:val="004722F7"/>
    <w:rsid w:val="0047250A"/>
    <w:rsid w:val="004726DF"/>
    <w:rsid w:val="00472C63"/>
    <w:rsid w:val="00472CA0"/>
    <w:rsid w:val="00472E6F"/>
    <w:rsid w:val="00472EB2"/>
    <w:rsid w:val="00473493"/>
    <w:rsid w:val="004736DA"/>
    <w:rsid w:val="00473DD6"/>
    <w:rsid w:val="00473F95"/>
    <w:rsid w:val="00473FD1"/>
    <w:rsid w:val="0047462D"/>
    <w:rsid w:val="004746FE"/>
    <w:rsid w:val="00474B5F"/>
    <w:rsid w:val="004750A8"/>
    <w:rsid w:val="00475E4C"/>
    <w:rsid w:val="00475EC4"/>
    <w:rsid w:val="00476258"/>
    <w:rsid w:val="00476272"/>
    <w:rsid w:val="00476414"/>
    <w:rsid w:val="004764FD"/>
    <w:rsid w:val="00476588"/>
    <w:rsid w:val="0047690B"/>
    <w:rsid w:val="00476EF1"/>
    <w:rsid w:val="00476F21"/>
    <w:rsid w:val="0047706D"/>
    <w:rsid w:val="004772B8"/>
    <w:rsid w:val="004772FC"/>
    <w:rsid w:val="004773F2"/>
    <w:rsid w:val="004777F1"/>
    <w:rsid w:val="0047787E"/>
    <w:rsid w:val="00477A90"/>
    <w:rsid w:val="00477B4E"/>
    <w:rsid w:val="00477FD7"/>
    <w:rsid w:val="00479C26"/>
    <w:rsid w:val="0048007D"/>
    <w:rsid w:val="00480484"/>
    <w:rsid w:val="004809EA"/>
    <w:rsid w:val="004809EF"/>
    <w:rsid w:val="00480E44"/>
    <w:rsid w:val="00480E7A"/>
    <w:rsid w:val="00481090"/>
    <w:rsid w:val="004810B6"/>
    <w:rsid w:val="004810FB"/>
    <w:rsid w:val="004812A0"/>
    <w:rsid w:val="00481C67"/>
    <w:rsid w:val="00482248"/>
    <w:rsid w:val="004822CF"/>
    <w:rsid w:val="0048256C"/>
    <w:rsid w:val="0048292E"/>
    <w:rsid w:val="00482F79"/>
    <w:rsid w:val="00483211"/>
    <w:rsid w:val="0048322C"/>
    <w:rsid w:val="00483349"/>
    <w:rsid w:val="0048352A"/>
    <w:rsid w:val="004837B4"/>
    <w:rsid w:val="00483846"/>
    <w:rsid w:val="00483FE9"/>
    <w:rsid w:val="0048414D"/>
    <w:rsid w:val="00484633"/>
    <w:rsid w:val="004847E6"/>
    <w:rsid w:val="0048499B"/>
    <w:rsid w:val="00484CE8"/>
    <w:rsid w:val="00484E71"/>
    <w:rsid w:val="00485296"/>
    <w:rsid w:val="004852EA"/>
    <w:rsid w:val="00485796"/>
    <w:rsid w:val="004857BF"/>
    <w:rsid w:val="00485897"/>
    <w:rsid w:val="00485A16"/>
    <w:rsid w:val="00485A2E"/>
    <w:rsid w:val="00485F6A"/>
    <w:rsid w:val="0048603D"/>
    <w:rsid w:val="0048608F"/>
    <w:rsid w:val="004861FE"/>
    <w:rsid w:val="004863F9"/>
    <w:rsid w:val="0048642F"/>
    <w:rsid w:val="0048772D"/>
    <w:rsid w:val="00487C04"/>
    <w:rsid w:val="00490951"/>
    <w:rsid w:val="00490A90"/>
    <w:rsid w:val="00490ABA"/>
    <w:rsid w:val="00490B64"/>
    <w:rsid w:val="00490D14"/>
    <w:rsid w:val="00491748"/>
    <w:rsid w:val="00492C8C"/>
    <w:rsid w:val="0049308D"/>
    <w:rsid w:val="00493E99"/>
    <w:rsid w:val="00493EC5"/>
    <w:rsid w:val="004944A6"/>
    <w:rsid w:val="00494D55"/>
    <w:rsid w:val="00494E17"/>
    <w:rsid w:val="00494EB8"/>
    <w:rsid w:val="00494EB9"/>
    <w:rsid w:val="0049514D"/>
    <w:rsid w:val="004951FA"/>
    <w:rsid w:val="004956FD"/>
    <w:rsid w:val="00495A04"/>
    <w:rsid w:val="00495AF5"/>
    <w:rsid w:val="00495C74"/>
    <w:rsid w:val="00495CA0"/>
    <w:rsid w:val="00495E72"/>
    <w:rsid w:val="004966A7"/>
    <w:rsid w:val="004967B9"/>
    <w:rsid w:val="0049693D"/>
    <w:rsid w:val="00496C64"/>
    <w:rsid w:val="00496C83"/>
    <w:rsid w:val="00496E20"/>
    <w:rsid w:val="00496F25"/>
    <w:rsid w:val="0049706D"/>
    <w:rsid w:val="0049752F"/>
    <w:rsid w:val="00497780"/>
    <w:rsid w:val="00497E1B"/>
    <w:rsid w:val="00499769"/>
    <w:rsid w:val="004A0206"/>
    <w:rsid w:val="004A0217"/>
    <w:rsid w:val="004A035D"/>
    <w:rsid w:val="004A04C4"/>
    <w:rsid w:val="004A0692"/>
    <w:rsid w:val="004A06F4"/>
    <w:rsid w:val="004A0D00"/>
    <w:rsid w:val="004A119E"/>
    <w:rsid w:val="004A1556"/>
    <w:rsid w:val="004A223D"/>
    <w:rsid w:val="004A23C5"/>
    <w:rsid w:val="004A2ABA"/>
    <w:rsid w:val="004A2C00"/>
    <w:rsid w:val="004A2EC1"/>
    <w:rsid w:val="004A35EB"/>
    <w:rsid w:val="004A3830"/>
    <w:rsid w:val="004A38E0"/>
    <w:rsid w:val="004A395E"/>
    <w:rsid w:val="004A39AA"/>
    <w:rsid w:val="004A3B61"/>
    <w:rsid w:val="004A3CCC"/>
    <w:rsid w:val="004A3D5B"/>
    <w:rsid w:val="004A3E60"/>
    <w:rsid w:val="004A452E"/>
    <w:rsid w:val="004A4797"/>
    <w:rsid w:val="004A4856"/>
    <w:rsid w:val="004A4E3B"/>
    <w:rsid w:val="004A4F69"/>
    <w:rsid w:val="004A51D4"/>
    <w:rsid w:val="004A5253"/>
    <w:rsid w:val="004A5D28"/>
    <w:rsid w:val="004A5EC3"/>
    <w:rsid w:val="004A65FD"/>
    <w:rsid w:val="004A68C4"/>
    <w:rsid w:val="004A6E86"/>
    <w:rsid w:val="004A6F5B"/>
    <w:rsid w:val="004A720D"/>
    <w:rsid w:val="004A738A"/>
    <w:rsid w:val="004A750D"/>
    <w:rsid w:val="004A7C20"/>
    <w:rsid w:val="004A7D87"/>
    <w:rsid w:val="004B0E60"/>
    <w:rsid w:val="004B0F54"/>
    <w:rsid w:val="004B110E"/>
    <w:rsid w:val="004B1124"/>
    <w:rsid w:val="004B1347"/>
    <w:rsid w:val="004B15A9"/>
    <w:rsid w:val="004B1813"/>
    <w:rsid w:val="004B1B1B"/>
    <w:rsid w:val="004B2404"/>
    <w:rsid w:val="004B253B"/>
    <w:rsid w:val="004B263A"/>
    <w:rsid w:val="004B2687"/>
    <w:rsid w:val="004B29FC"/>
    <w:rsid w:val="004B2A10"/>
    <w:rsid w:val="004B3405"/>
    <w:rsid w:val="004B34E1"/>
    <w:rsid w:val="004B374A"/>
    <w:rsid w:val="004B3D25"/>
    <w:rsid w:val="004B3D5E"/>
    <w:rsid w:val="004B3FD6"/>
    <w:rsid w:val="004B448A"/>
    <w:rsid w:val="004B44ED"/>
    <w:rsid w:val="004B44FD"/>
    <w:rsid w:val="004B45E6"/>
    <w:rsid w:val="004B4631"/>
    <w:rsid w:val="004B4C9C"/>
    <w:rsid w:val="004B5139"/>
    <w:rsid w:val="004B582A"/>
    <w:rsid w:val="004B5B81"/>
    <w:rsid w:val="004B5C2C"/>
    <w:rsid w:val="004B5C9B"/>
    <w:rsid w:val="004B608C"/>
    <w:rsid w:val="004B6370"/>
    <w:rsid w:val="004B6AF2"/>
    <w:rsid w:val="004B6D19"/>
    <w:rsid w:val="004B6F9A"/>
    <w:rsid w:val="004B7859"/>
    <w:rsid w:val="004B7BBB"/>
    <w:rsid w:val="004B7D70"/>
    <w:rsid w:val="004C0143"/>
    <w:rsid w:val="004C075B"/>
    <w:rsid w:val="004C07FA"/>
    <w:rsid w:val="004C0B48"/>
    <w:rsid w:val="004C11A4"/>
    <w:rsid w:val="004C1315"/>
    <w:rsid w:val="004C133B"/>
    <w:rsid w:val="004C1357"/>
    <w:rsid w:val="004C15B5"/>
    <w:rsid w:val="004C1BCC"/>
    <w:rsid w:val="004C1C0F"/>
    <w:rsid w:val="004C1DE3"/>
    <w:rsid w:val="004C2046"/>
    <w:rsid w:val="004C2307"/>
    <w:rsid w:val="004C24DA"/>
    <w:rsid w:val="004C2567"/>
    <w:rsid w:val="004C288D"/>
    <w:rsid w:val="004C374F"/>
    <w:rsid w:val="004C3B93"/>
    <w:rsid w:val="004C404B"/>
    <w:rsid w:val="004C422A"/>
    <w:rsid w:val="004C458E"/>
    <w:rsid w:val="004C4B4A"/>
    <w:rsid w:val="004C5322"/>
    <w:rsid w:val="004C5F2E"/>
    <w:rsid w:val="004C5FD0"/>
    <w:rsid w:val="004C6137"/>
    <w:rsid w:val="004C61E8"/>
    <w:rsid w:val="004C63FF"/>
    <w:rsid w:val="004C64DB"/>
    <w:rsid w:val="004C65F6"/>
    <w:rsid w:val="004C676B"/>
    <w:rsid w:val="004C6810"/>
    <w:rsid w:val="004C681E"/>
    <w:rsid w:val="004C6B08"/>
    <w:rsid w:val="004C6F3A"/>
    <w:rsid w:val="004C6F6A"/>
    <w:rsid w:val="004C7276"/>
    <w:rsid w:val="004C72EF"/>
    <w:rsid w:val="004C78EA"/>
    <w:rsid w:val="004C7CAA"/>
    <w:rsid w:val="004D012F"/>
    <w:rsid w:val="004D0439"/>
    <w:rsid w:val="004D0457"/>
    <w:rsid w:val="004D0783"/>
    <w:rsid w:val="004D0C39"/>
    <w:rsid w:val="004D0D74"/>
    <w:rsid w:val="004D10D8"/>
    <w:rsid w:val="004D1463"/>
    <w:rsid w:val="004D1957"/>
    <w:rsid w:val="004D1990"/>
    <w:rsid w:val="004D1B28"/>
    <w:rsid w:val="004D1FEC"/>
    <w:rsid w:val="004D21DE"/>
    <w:rsid w:val="004D25F5"/>
    <w:rsid w:val="004D29B2"/>
    <w:rsid w:val="004D2CC2"/>
    <w:rsid w:val="004D2DC1"/>
    <w:rsid w:val="004D2F6E"/>
    <w:rsid w:val="004D31DF"/>
    <w:rsid w:val="004D339B"/>
    <w:rsid w:val="004D33BD"/>
    <w:rsid w:val="004D35EC"/>
    <w:rsid w:val="004D3664"/>
    <w:rsid w:val="004D3978"/>
    <w:rsid w:val="004D4681"/>
    <w:rsid w:val="004D4A85"/>
    <w:rsid w:val="004D4B27"/>
    <w:rsid w:val="004D5119"/>
    <w:rsid w:val="004D5D85"/>
    <w:rsid w:val="004D5EE8"/>
    <w:rsid w:val="004D6078"/>
    <w:rsid w:val="004D62AD"/>
    <w:rsid w:val="004D6533"/>
    <w:rsid w:val="004D66BB"/>
    <w:rsid w:val="004D689E"/>
    <w:rsid w:val="004D7315"/>
    <w:rsid w:val="004D7931"/>
    <w:rsid w:val="004D7F91"/>
    <w:rsid w:val="004E04C1"/>
    <w:rsid w:val="004E090D"/>
    <w:rsid w:val="004E0933"/>
    <w:rsid w:val="004E0E34"/>
    <w:rsid w:val="004E1172"/>
    <w:rsid w:val="004E1228"/>
    <w:rsid w:val="004E1602"/>
    <w:rsid w:val="004E1740"/>
    <w:rsid w:val="004E1859"/>
    <w:rsid w:val="004E18FF"/>
    <w:rsid w:val="004E1D5F"/>
    <w:rsid w:val="004E1E08"/>
    <w:rsid w:val="004E27E5"/>
    <w:rsid w:val="004E2BDF"/>
    <w:rsid w:val="004E2D0D"/>
    <w:rsid w:val="004E2D9D"/>
    <w:rsid w:val="004E3167"/>
    <w:rsid w:val="004E34C0"/>
    <w:rsid w:val="004E365B"/>
    <w:rsid w:val="004E4042"/>
    <w:rsid w:val="004E4397"/>
    <w:rsid w:val="004E5125"/>
    <w:rsid w:val="004E517C"/>
    <w:rsid w:val="004E5214"/>
    <w:rsid w:val="004E5342"/>
    <w:rsid w:val="004E570D"/>
    <w:rsid w:val="004E582E"/>
    <w:rsid w:val="004E586B"/>
    <w:rsid w:val="004E5BE4"/>
    <w:rsid w:val="004E6086"/>
    <w:rsid w:val="004E60B5"/>
    <w:rsid w:val="004E6C8C"/>
    <w:rsid w:val="004E6E05"/>
    <w:rsid w:val="004E6E24"/>
    <w:rsid w:val="004E717F"/>
    <w:rsid w:val="004E7403"/>
    <w:rsid w:val="004E7506"/>
    <w:rsid w:val="004E7639"/>
    <w:rsid w:val="004E7723"/>
    <w:rsid w:val="004E7796"/>
    <w:rsid w:val="004E7CA6"/>
    <w:rsid w:val="004E7EF6"/>
    <w:rsid w:val="004F0069"/>
    <w:rsid w:val="004F0173"/>
    <w:rsid w:val="004F03DF"/>
    <w:rsid w:val="004F0AD5"/>
    <w:rsid w:val="004F0BA7"/>
    <w:rsid w:val="004F0FD0"/>
    <w:rsid w:val="004F1096"/>
    <w:rsid w:val="004F1598"/>
    <w:rsid w:val="004F17B0"/>
    <w:rsid w:val="004F1846"/>
    <w:rsid w:val="004F2195"/>
    <w:rsid w:val="004F2D13"/>
    <w:rsid w:val="004F2FF8"/>
    <w:rsid w:val="004F3163"/>
    <w:rsid w:val="004F3398"/>
    <w:rsid w:val="004F34E1"/>
    <w:rsid w:val="004F3ABA"/>
    <w:rsid w:val="004F3CDF"/>
    <w:rsid w:val="004F3DD5"/>
    <w:rsid w:val="004F3F24"/>
    <w:rsid w:val="004F42DB"/>
    <w:rsid w:val="004F441B"/>
    <w:rsid w:val="004F4AF7"/>
    <w:rsid w:val="004F4B6B"/>
    <w:rsid w:val="004F4C8B"/>
    <w:rsid w:val="004F5024"/>
    <w:rsid w:val="004F5266"/>
    <w:rsid w:val="004F54C6"/>
    <w:rsid w:val="004F54F5"/>
    <w:rsid w:val="004F56A8"/>
    <w:rsid w:val="004F5719"/>
    <w:rsid w:val="004F594D"/>
    <w:rsid w:val="004F59BE"/>
    <w:rsid w:val="004F5ECE"/>
    <w:rsid w:val="004F5FE7"/>
    <w:rsid w:val="004F6032"/>
    <w:rsid w:val="004F633B"/>
    <w:rsid w:val="004F68E3"/>
    <w:rsid w:val="004F693F"/>
    <w:rsid w:val="004F7054"/>
    <w:rsid w:val="004F7560"/>
    <w:rsid w:val="004F7B40"/>
    <w:rsid w:val="0050016E"/>
    <w:rsid w:val="0050062C"/>
    <w:rsid w:val="0050094B"/>
    <w:rsid w:val="0050126E"/>
    <w:rsid w:val="0050127F"/>
    <w:rsid w:val="00501A12"/>
    <w:rsid w:val="00501D32"/>
    <w:rsid w:val="005022E2"/>
    <w:rsid w:val="00502317"/>
    <w:rsid w:val="0050273E"/>
    <w:rsid w:val="005031AD"/>
    <w:rsid w:val="0050354D"/>
    <w:rsid w:val="005036C6"/>
    <w:rsid w:val="00503899"/>
    <w:rsid w:val="00504686"/>
    <w:rsid w:val="00504815"/>
    <w:rsid w:val="00504A4D"/>
    <w:rsid w:val="00504CBC"/>
    <w:rsid w:val="00504F1A"/>
    <w:rsid w:val="00504F1D"/>
    <w:rsid w:val="00504F3A"/>
    <w:rsid w:val="00504F59"/>
    <w:rsid w:val="00504FA9"/>
    <w:rsid w:val="00505038"/>
    <w:rsid w:val="00505885"/>
    <w:rsid w:val="005059A1"/>
    <w:rsid w:val="005059D9"/>
    <w:rsid w:val="00505C14"/>
    <w:rsid w:val="00505C98"/>
    <w:rsid w:val="00506533"/>
    <w:rsid w:val="0050654B"/>
    <w:rsid w:val="005067C6"/>
    <w:rsid w:val="00506F7E"/>
    <w:rsid w:val="00507019"/>
    <w:rsid w:val="00507166"/>
    <w:rsid w:val="0050717C"/>
    <w:rsid w:val="00507B47"/>
    <w:rsid w:val="00507DF8"/>
    <w:rsid w:val="00510295"/>
    <w:rsid w:val="00510549"/>
    <w:rsid w:val="00510917"/>
    <w:rsid w:val="00510ACE"/>
    <w:rsid w:val="00510FF0"/>
    <w:rsid w:val="00511839"/>
    <w:rsid w:val="00511A36"/>
    <w:rsid w:val="00511D48"/>
    <w:rsid w:val="00511E9B"/>
    <w:rsid w:val="00511EED"/>
    <w:rsid w:val="00512352"/>
    <w:rsid w:val="0051245B"/>
    <w:rsid w:val="00512AB6"/>
    <w:rsid w:val="00512AE1"/>
    <w:rsid w:val="00512B34"/>
    <w:rsid w:val="00513713"/>
    <w:rsid w:val="00513904"/>
    <w:rsid w:val="00513A7C"/>
    <w:rsid w:val="00513B9D"/>
    <w:rsid w:val="00513FB0"/>
    <w:rsid w:val="005147C1"/>
    <w:rsid w:val="00514AF2"/>
    <w:rsid w:val="005153C7"/>
    <w:rsid w:val="0051541C"/>
    <w:rsid w:val="00515421"/>
    <w:rsid w:val="00515BD7"/>
    <w:rsid w:val="00515C6D"/>
    <w:rsid w:val="0051609B"/>
    <w:rsid w:val="00516291"/>
    <w:rsid w:val="005162E1"/>
    <w:rsid w:val="0051649E"/>
    <w:rsid w:val="005165BF"/>
    <w:rsid w:val="005166D9"/>
    <w:rsid w:val="005167A8"/>
    <w:rsid w:val="005168D6"/>
    <w:rsid w:val="00516A5A"/>
    <w:rsid w:val="005172FC"/>
    <w:rsid w:val="005178E7"/>
    <w:rsid w:val="00517D35"/>
    <w:rsid w:val="00517DE6"/>
    <w:rsid w:val="00517E05"/>
    <w:rsid w:val="00517FCF"/>
    <w:rsid w:val="0052055C"/>
    <w:rsid w:val="005208CB"/>
    <w:rsid w:val="005209A8"/>
    <w:rsid w:val="00520FA5"/>
    <w:rsid w:val="00521217"/>
    <w:rsid w:val="005212A6"/>
    <w:rsid w:val="005212E1"/>
    <w:rsid w:val="005215BB"/>
    <w:rsid w:val="00521F90"/>
    <w:rsid w:val="00522110"/>
    <w:rsid w:val="00522135"/>
    <w:rsid w:val="00522586"/>
    <w:rsid w:val="00523325"/>
    <w:rsid w:val="00523477"/>
    <w:rsid w:val="005234B0"/>
    <w:rsid w:val="0052374C"/>
    <w:rsid w:val="00523906"/>
    <w:rsid w:val="00523A6B"/>
    <w:rsid w:val="00523BCB"/>
    <w:rsid w:val="005249B4"/>
    <w:rsid w:val="00524ADE"/>
    <w:rsid w:val="00525100"/>
    <w:rsid w:val="005253E2"/>
    <w:rsid w:val="005253F7"/>
    <w:rsid w:val="00525705"/>
    <w:rsid w:val="00525AA0"/>
    <w:rsid w:val="00525D6F"/>
    <w:rsid w:val="005260BD"/>
    <w:rsid w:val="00526D16"/>
    <w:rsid w:val="005272C2"/>
    <w:rsid w:val="00527323"/>
    <w:rsid w:val="0052741A"/>
    <w:rsid w:val="005275C6"/>
    <w:rsid w:val="00527720"/>
    <w:rsid w:val="0052773D"/>
    <w:rsid w:val="005278D5"/>
    <w:rsid w:val="00527C04"/>
    <w:rsid w:val="00527C9A"/>
    <w:rsid w:val="00527E7F"/>
    <w:rsid w:val="00530077"/>
    <w:rsid w:val="00530522"/>
    <w:rsid w:val="00531433"/>
    <w:rsid w:val="005316FD"/>
    <w:rsid w:val="005318D1"/>
    <w:rsid w:val="00532174"/>
    <w:rsid w:val="00532333"/>
    <w:rsid w:val="00532385"/>
    <w:rsid w:val="00532508"/>
    <w:rsid w:val="00532688"/>
    <w:rsid w:val="005326B6"/>
    <w:rsid w:val="0053288F"/>
    <w:rsid w:val="00532A1B"/>
    <w:rsid w:val="00532CF6"/>
    <w:rsid w:val="00532D84"/>
    <w:rsid w:val="00532F4D"/>
    <w:rsid w:val="00532F81"/>
    <w:rsid w:val="00533006"/>
    <w:rsid w:val="00533472"/>
    <w:rsid w:val="0053348E"/>
    <w:rsid w:val="005339B7"/>
    <w:rsid w:val="00533A1D"/>
    <w:rsid w:val="00533A85"/>
    <w:rsid w:val="00533CA1"/>
    <w:rsid w:val="00533E5E"/>
    <w:rsid w:val="00534855"/>
    <w:rsid w:val="005349AE"/>
    <w:rsid w:val="005349D5"/>
    <w:rsid w:val="005349FA"/>
    <w:rsid w:val="0053509C"/>
    <w:rsid w:val="005356F3"/>
    <w:rsid w:val="00535AB8"/>
    <w:rsid w:val="00535DE6"/>
    <w:rsid w:val="00535E40"/>
    <w:rsid w:val="00535F62"/>
    <w:rsid w:val="00536429"/>
    <w:rsid w:val="005364DD"/>
    <w:rsid w:val="00536B5E"/>
    <w:rsid w:val="00537538"/>
    <w:rsid w:val="0053768D"/>
    <w:rsid w:val="005377FE"/>
    <w:rsid w:val="00537B72"/>
    <w:rsid w:val="00537FB2"/>
    <w:rsid w:val="00540096"/>
    <w:rsid w:val="00540413"/>
    <w:rsid w:val="00540623"/>
    <w:rsid w:val="005407E8"/>
    <w:rsid w:val="0054127B"/>
    <w:rsid w:val="005413D8"/>
    <w:rsid w:val="005414F3"/>
    <w:rsid w:val="005416DC"/>
    <w:rsid w:val="00541AE6"/>
    <w:rsid w:val="00541B25"/>
    <w:rsid w:val="00542024"/>
    <w:rsid w:val="0054213A"/>
    <w:rsid w:val="005421DB"/>
    <w:rsid w:val="0054240B"/>
    <w:rsid w:val="005427FA"/>
    <w:rsid w:val="00542BFE"/>
    <w:rsid w:val="00542D58"/>
    <w:rsid w:val="0054326F"/>
    <w:rsid w:val="00543670"/>
    <w:rsid w:val="00543D11"/>
    <w:rsid w:val="00543F49"/>
    <w:rsid w:val="005442DF"/>
    <w:rsid w:val="0054462A"/>
    <w:rsid w:val="00544789"/>
    <w:rsid w:val="00544804"/>
    <w:rsid w:val="0054489C"/>
    <w:rsid w:val="005449F4"/>
    <w:rsid w:val="00544D06"/>
    <w:rsid w:val="00545781"/>
    <w:rsid w:val="0054591A"/>
    <w:rsid w:val="005459A8"/>
    <w:rsid w:val="00545C93"/>
    <w:rsid w:val="00546207"/>
    <w:rsid w:val="005463E7"/>
    <w:rsid w:val="0054642B"/>
    <w:rsid w:val="00546A2A"/>
    <w:rsid w:val="00546D56"/>
    <w:rsid w:val="00546FAB"/>
    <w:rsid w:val="00547873"/>
    <w:rsid w:val="005501EB"/>
    <w:rsid w:val="00550506"/>
    <w:rsid w:val="0055112B"/>
    <w:rsid w:val="00551147"/>
    <w:rsid w:val="005517BC"/>
    <w:rsid w:val="005517C4"/>
    <w:rsid w:val="00551838"/>
    <w:rsid w:val="00551BF2"/>
    <w:rsid w:val="005520CA"/>
    <w:rsid w:val="00552114"/>
    <w:rsid w:val="005521C0"/>
    <w:rsid w:val="005521D6"/>
    <w:rsid w:val="0055226F"/>
    <w:rsid w:val="005525AD"/>
    <w:rsid w:val="0055283B"/>
    <w:rsid w:val="00552E82"/>
    <w:rsid w:val="00553247"/>
    <w:rsid w:val="00553B2A"/>
    <w:rsid w:val="00553BC4"/>
    <w:rsid w:val="00553E72"/>
    <w:rsid w:val="00553F7A"/>
    <w:rsid w:val="0055431C"/>
    <w:rsid w:val="00554ABB"/>
    <w:rsid w:val="005559EF"/>
    <w:rsid w:val="00555CCB"/>
    <w:rsid w:val="00555D70"/>
    <w:rsid w:val="00556094"/>
    <w:rsid w:val="00556146"/>
    <w:rsid w:val="0055618D"/>
    <w:rsid w:val="00556273"/>
    <w:rsid w:val="0055649F"/>
    <w:rsid w:val="0055660C"/>
    <w:rsid w:val="0055694A"/>
    <w:rsid w:val="00556B7F"/>
    <w:rsid w:val="00556D41"/>
    <w:rsid w:val="00557620"/>
    <w:rsid w:val="00557C65"/>
    <w:rsid w:val="00557F12"/>
    <w:rsid w:val="00560C6D"/>
    <w:rsid w:val="00561519"/>
    <w:rsid w:val="0056163A"/>
    <w:rsid w:val="005617A0"/>
    <w:rsid w:val="00561A7A"/>
    <w:rsid w:val="00561B20"/>
    <w:rsid w:val="00561B8C"/>
    <w:rsid w:val="005621D9"/>
    <w:rsid w:val="00562315"/>
    <w:rsid w:val="00562855"/>
    <w:rsid w:val="00562A41"/>
    <w:rsid w:val="00562A4B"/>
    <w:rsid w:val="00562C70"/>
    <w:rsid w:val="00562DA1"/>
    <w:rsid w:val="00562FF8"/>
    <w:rsid w:val="00563642"/>
    <w:rsid w:val="00563DF9"/>
    <w:rsid w:val="00564349"/>
    <w:rsid w:val="00564432"/>
    <w:rsid w:val="0056457A"/>
    <w:rsid w:val="00564991"/>
    <w:rsid w:val="00564CE6"/>
    <w:rsid w:val="00564FBB"/>
    <w:rsid w:val="0056555D"/>
    <w:rsid w:val="005656E7"/>
    <w:rsid w:val="00565C75"/>
    <w:rsid w:val="00565CD3"/>
    <w:rsid w:val="00565E3D"/>
    <w:rsid w:val="005661EC"/>
    <w:rsid w:val="00566922"/>
    <w:rsid w:val="00567631"/>
    <w:rsid w:val="00567A76"/>
    <w:rsid w:val="0057004A"/>
    <w:rsid w:val="005700B8"/>
    <w:rsid w:val="005707E4"/>
    <w:rsid w:val="00570AC8"/>
    <w:rsid w:val="00571412"/>
    <w:rsid w:val="005714B4"/>
    <w:rsid w:val="00571552"/>
    <w:rsid w:val="0057173B"/>
    <w:rsid w:val="00571A3A"/>
    <w:rsid w:val="00571BA2"/>
    <w:rsid w:val="00571FF0"/>
    <w:rsid w:val="0057286C"/>
    <w:rsid w:val="00572B2D"/>
    <w:rsid w:val="00572FEC"/>
    <w:rsid w:val="00573289"/>
    <w:rsid w:val="005732C6"/>
    <w:rsid w:val="005735D6"/>
    <w:rsid w:val="0057382B"/>
    <w:rsid w:val="00573AEC"/>
    <w:rsid w:val="00573B97"/>
    <w:rsid w:val="00573BF6"/>
    <w:rsid w:val="00573C09"/>
    <w:rsid w:val="00573CBB"/>
    <w:rsid w:val="00573EF6"/>
    <w:rsid w:val="00573F81"/>
    <w:rsid w:val="005743F5"/>
    <w:rsid w:val="00574C89"/>
    <w:rsid w:val="0057526E"/>
    <w:rsid w:val="005752A8"/>
    <w:rsid w:val="00575BED"/>
    <w:rsid w:val="00576306"/>
    <w:rsid w:val="00576CCC"/>
    <w:rsid w:val="00576CF3"/>
    <w:rsid w:val="00576D0C"/>
    <w:rsid w:val="00576DE8"/>
    <w:rsid w:val="00576FD1"/>
    <w:rsid w:val="00577141"/>
    <w:rsid w:val="00577401"/>
    <w:rsid w:val="00577607"/>
    <w:rsid w:val="0057772B"/>
    <w:rsid w:val="00577A0B"/>
    <w:rsid w:val="00577FBB"/>
    <w:rsid w:val="00577FF6"/>
    <w:rsid w:val="0057F3FE"/>
    <w:rsid w:val="00580502"/>
    <w:rsid w:val="005805F5"/>
    <w:rsid w:val="005807B7"/>
    <w:rsid w:val="00580861"/>
    <w:rsid w:val="00580C64"/>
    <w:rsid w:val="00580D4F"/>
    <w:rsid w:val="00580EF7"/>
    <w:rsid w:val="0058152D"/>
    <w:rsid w:val="00581547"/>
    <w:rsid w:val="00581632"/>
    <w:rsid w:val="00581882"/>
    <w:rsid w:val="00581B12"/>
    <w:rsid w:val="00581B2F"/>
    <w:rsid w:val="00581C99"/>
    <w:rsid w:val="00581CD3"/>
    <w:rsid w:val="00581D31"/>
    <w:rsid w:val="00582230"/>
    <w:rsid w:val="00582B7F"/>
    <w:rsid w:val="00582CC1"/>
    <w:rsid w:val="00582F59"/>
    <w:rsid w:val="00582FC2"/>
    <w:rsid w:val="0058334F"/>
    <w:rsid w:val="00583551"/>
    <w:rsid w:val="00583732"/>
    <w:rsid w:val="00583768"/>
    <w:rsid w:val="00583BC7"/>
    <w:rsid w:val="00583CA1"/>
    <w:rsid w:val="00583DD2"/>
    <w:rsid w:val="00584296"/>
    <w:rsid w:val="005844EE"/>
    <w:rsid w:val="005846DF"/>
    <w:rsid w:val="005849AB"/>
    <w:rsid w:val="00584BBC"/>
    <w:rsid w:val="00585134"/>
    <w:rsid w:val="0058564A"/>
    <w:rsid w:val="00585668"/>
    <w:rsid w:val="00585801"/>
    <w:rsid w:val="005859AC"/>
    <w:rsid w:val="00585CD9"/>
    <w:rsid w:val="00585DB0"/>
    <w:rsid w:val="005862D1"/>
    <w:rsid w:val="0058638E"/>
    <w:rsid w:val="0058686C"/>
    <w:rsid w:val="00586B5A"/>
    <w:rsid w:val="00586CAB"/>
    <w:rsid w:val="00586D0A"/>
    <w:rsid w:val="00586E64"/>
    <w:rsid w:val="00586F11"/>
    <w:rsid w:val="005870A2"/>
    <w:rsid w:val="00587D7D"/>
    <w:rsid w:val="0059012C"/>
    <w:rsid w:val="00590889"/>
    <w:rsid w:val="005908A3"/>
    <w:rsid w:val="005909F3"/>
    <w:rsid w:val="005909FC"/>
    <w:rsid w:val="00590AE4"/>
    <w:rsid w:val="00590DDC"/>
    <w:rsid w:val="00590E57"/>
    <w:rsid w:val="005910FC"/>
    <w:rsid w:val="005914B1"/>
    <w:rsid w:val="00591512"/>
    <w:rsid w:val="00591B03"/>
    <w:rsid w:val="00591B1E"/>
    <w:rsid w:val="00591B8D"/>
    <w:rsid w:val="00591FD4"/>
    <w:rsid w:val="0059243F"/>
    <w:rsid w:val="005925C7"/>
    <w:rsid w:val="00592699"/>
    <w:rsid w:val="00592AC1"/>
    <w:rsid w:val="00592B8D"/>
    <w:rsid w:val="00592BA0"/>
    <w:rsid w:val="00592E6E"/>
    <w:rsid w:val="00593479"/>
    <w:rsid w:val="00593C0B"/>
    <w:rsid w:val="005942E2"/>
    <w:rsid w:val="005944C0"/>
    <w:rsid w:val="00594604"/>
    <w:rsid w:val="00594714"/>
    <w:rsid w:val="00594926"/>
    <w:rsid w:val="00594C8D"/>
    <w:rsid w:val="00594EFA"/>
    <w:rsid w:val="00595439"/>
    <w:rsid w:val="00595773"/>
    <w:rsid w:val="00595DEA"/>
    <w:rsid w:val="00596110"/>
    <w:rsid w:val="005968AE"/>
    <w:rsid w:val="00596A34"/>
    <w:rsid w:val="00596AA6"/>
    <w:rsid w:val="005972D3"/>
    <w:rsid w:val="005974BF"/>
    <w:rsid w:val="00597751"/>
    <w:rsid w:val="00597B4E"/>
    <w:rsid w:val="00597B65"/>
    <w:rsid w:val="005A0564"/>
    <w:rsid w:val="005A0568"/>
    <w:rsid w:val="005A0647"/>
    <w:rsid w:val="005A0EBD"/>
    <w:rsid w:val="005A0EE8"/>
    <w:rsid w:val="005A145A"/>
    <w:rsid w:val="005A167B"/>
    <w:rsid w:val="005A183E"/>
    <w:rsid w:val="005A1899"/>
    <w:rsid w:val="005A19F8"/>
    <w:rsid w:val="005A19FF"/>
    <w:rsid w:val="005A2360"/>
    <w:rsid w:val="005A24BF"/>
    <w:rsid w:val="005A26B2"/>
    <w:rsid w:val="005A29AF"/>
    <w:rsid w:val="005A2A55"/>
    <w:rsid w:val="005A2D82"/>
    <w:rsid w:val="005A34D5"/>
    <w:rsid w:val="005A3A9C"/>
    <w:rsid w:val="005A3D48"/>
    <w:rsid w:val="005A45F0"/>
    <w:rsid w:val="005A541B"/>
    <w:rsid w:val="005A5533"/>
    <w:rsid w:val="005A57F1"/>
    <w:rsid w:val="005A63E9"/>
    <w:rsid w:val="005A6433"/>
    <w:rsid w:val="005A6727"/>
    <w:rsid w:val="005A6932"/>
    <w:rsid w:val="005A69B8"/>
    <w:rsid w:val="005A6F07"/>
    <w:rsid w:val="005A7271"/>
    <w:rsid w:val="005A73A8"/>
    <w:rsid w:val="005A73F4"/>
    <w:rsid w:val="005A76A2"/>
    <w:rsid w:val="005A770D"/>
    <w:rsid w:val="005A79F1"/>
    <w:rsid w:val="005A7C6C"/>
    <w:rsid w:val="005B001F"/>
    <w:rsid w:val="005B0409"/>
    <w:rsid w:val="005B053C"/>
    <w:rsid w:val="005B079E"/>
    <w:rsid w:val="005B08A3"/>
    <w:rsid w:val="005B08A7"/>
    <w:rsid w:val="005B0943"/>
    <w:rsid w:val="005B0CFF"/>
    <w:rsid w:val="005B0D64"/>
    <w:rsid w:val="005B0DD2"/>
    <w:rsid w:val="005B1279"/>
    <w:rsid w:val="005B154C"/>
    <w:rsid w:val="005B1726"/>
    <w:rsid w:val="005B1851"/>
    <w:rsid w:val="005B20F0"/>
    <w:rsid w:val="005B223B"/>
    <w:rsid w:val="005B25B4"/>
    <w:rsid w:val="005B2AC7"/>
    <w:rsid w:val="005B2C10"/>
    <w:rsid w:val="005B31C5"/>
    <w:rsid w:val="005B3718"/>
    <w:rsid w:val="005B374E"/>
    <w:rsid w:val="005B3989"/>
    <w:rsid w:val="005B3B04"/>
    <w:rsid w:val="005B3C88"/>
    <w:rsid w:val="005B3DFD"/>
    <w:rsid w:val="005B43A5"/>
    <w:rsid w:val="005B43DF"/>
    <w:rsid w:val="005B453B"/>
    <w:rsid w:val="005B4836"/>
    <w:rsid w:val="005B4C5E"/>
    <w:rsid w:val="005B538B"/>
    <w:rsid w:val="005B5396"/>
    <w:rsid w:val="005B6253"/>
    <w:rsid w:val="005B63B2"/>
    <w:rsid w:val="005B6403"/>
    <w:rsid w:val="005B6640"/>
    <w:rsid w:val="005B6828"/>
    <w:rsid w:val="005B6B3E"/>
    <w:rsid w:val="005B6D8A"/>
    <w:rsid w:val="005B6E53"/>
    <w:rsid w:val="005B7138"/>
    <w:rsid w:val="005B75B2"/>
    <w:rsid w:val="005B793B"/>
    <w:rsid w:val="005B7CB4"/>
    <w:rsid w:val="005B7DE9"/>
    <w:rsid w:val="005C0142"/>
    <w:rsid w:val="005C05A0"/>
    <w:rsid w:val="005C0AF3"/>
    <w:rsid w:val="005C0CAB"/>
    <w:rsid w:val="005C0CC7"/>
    <w:rsid w:val="005C2512"/>
    <w:rsid w:val="005C25D7"/>
    <w:rsid w:val="005C2701"/>
    <w:rsid w:val="005C2798"/>
    <w:rsid w:val="005C280B"/>
    <w:rsid w:val="005C301A"/>
    <w:rsid w:val="005C32B1"/>
    <w:rsid w:val="005C4755"/>
    <w:rsid w:val="005C4A18"/>
    <w:rsid w:val="005C4E72"/>
    <w:rsid w:val="005C548A"/>
    <w:rsid w:val="005C5509"/>
    <w:rsid w:val="005C5537"/>
    <w:rsid w:val="005C56A2"/>
    <w:rsid w:val="005C5ACE"/>
    <w:rsid w:val="005C5D5C"/>
    <w:rsid w:val="005C6AF5"/>
    <w:rsid w:val="005C6C7A"/>
    <w:rsid w:val="005C748D"/>
    <w:rsid w:val="005C7BBE"/>
    <w:rsid w:val="005C7DF3"/>
    <w:rsid w:val="005D0126"/>
    <w:rsid w:val="005D037C"/>
    <w:rsid w:val="005D03A1"/>
    <w:rsid w:val="005D0A2A"/>
    <w:rsid w:val="005D12D7"/>
    <w:rsid w:val="005D1B55"/>
    <w:rsid w:val="005D1D2D"/>
    <w:rsid w:val="005D2605"/>
    <w:rsid w:val="005D2739"/>
    <w:rsid w:val="005D2764"/>
    <w:rsid w:val="005D289A"/>
    <w:rsid w:val="005D30B7"/>
    <w:rsid w:val="005D3112"/>
    <w:rsid w:val="005D3147"/>
    <w:rsid w:val="005D3289"/>
    <w:rsid w:val="005D32A1"/>
    <w:rsid w:val="005D3441"/>
    <w:rsid w:val="005D346F"/>
    <w:rsid w:val="005D3BF0"/>
    <w:rsid w:val="005D3DCB"/>
    <w:rsid w:val="005D3DDE"/>
    <w:rsid w:val="005D3E88"/>
    <w:rsid w:val="005D4743"/>
    <w:rsid w:val="005D4DE4"/>
    <w:rsid w:val="005D5710"/>
    <w:rsid w:val="005D5BF7"/>
    <w:rsid w:val="005D5E27"/>
    <w:rsid w:val="005D612D"/>
    <w:rsid w:val="005D6145"/>
    <w:rsid w:val="005D620C"/>
    <w:rsid w:val="005D65BA"/>
    <w:rsid w:val="005D6714"/>
    <w:rsid w:val="005D6C71"/>
    <w:rsid w:val="005D6DF9"/>
    <w:rsid w:val="005D7654"/>
    <w:rsid w:val="005D779B"/>
    <w:rsid w:val="005D77DC"/>
    <w:rsid w:val="005D79BD"/>
    <w:rsid w:val="005E0025"/>
    <w:rsid w:val="005E0D30"/>
    <w:rsid w:val="005E0EAE"/>
    <w:rsid w:val="005E163B"/>
    <w:rsid w:val="005E1880"/>
    <w:rsid w:val="005E1BC6"/>
    <w:rsid w:val="005E1D4E"/>
    <w:rsid w:val="005E1E7E"/>
    <w:rsid w:val="005E1FB1"/>
    <w:rsid w:val="005E2155"/>
    <w:rsid w:val="005E2572"/>
    <w:rsid w:val="005E2BA1"/>
    <w:rsid w:val="005E345C"/>
    <w:rsid w:val="005E351A"/>
    <w:rsid w:val="005E39FD"/>
    <w:rsid w:val="005E3B8E"/>
    <w:rsid w:val="005E44BD"/>
    <w:rsid w:val="005E4C22"/>
    <w:rsid w:val="005E4EE7"/>
    <w:rsid w:val="005E4F0C"/>
    <w:rsid w:val="005E520C"/>
    <w:rsid w:val="005E53E0"/>
    <w:rsid w:val="005E5C8F"/>
    <w:rsid w:val="005E5DD6"/>
    <w:rsid w:val="005E5FCE"/>
    <w:rsid w:val="005E60DC"/>
    <w:rsid w:val="005E6281"/>
    <w:rsid w:val="005E6817"/>
    <w:rsid w:val="005E68C0"/>
    <w:rsid w:val="005E6925"/>
    <w:rsid w:val="005E6B13"/>
    <w:rsid w:val="005E6DF0"/>
    <w:rsid w:val="005E73D2"/>
    <w:rsid w:val="005E7FCC"/>
    <w:rsid w:val="005F015B"/>
    <w:rsid w:val="005F0342"/>
    <w:rsid w:val="005F09B0"/>
    <w:rsid w:val="005F0AA1"/>
    <w:rsid w:val="005F0ADA"/>
    <w:rsid w:val="005F0D8B"/>
    <w:rsid w:val="005F0F28"/>
    <w:rsid w:val="005F178B"/>
    <w:rsid w:val="005F17FD"/>
    <w:rsid w:val="005F1979"/>
    <w:rsid w:val="005F21CA"/>
    <w:rsid w:val="005F2588"/>
    <w:rsid w:val="005F2732"/>
    <w:rsid w:val="005F2BA8"/>
    <w:rsid w:val="005F2C0E"/>
    <w:rsid w:val="005F341D"/>
    <w:rsid w:val="005F3CC0"/>
    <w:rsid w:val="005F45E4"/>
    <w:rsid w:val="005F4AAD"/>
    <w:rsid w:val="005F4D49"/>
    <w:rsid w:val="005F5159"/>
    <w:rsid w:val="005F559D"/>
    <w:rsid w:val="005F55CA"/>
    <w:rsid w:val="005F5625"/>
    <w:rsid w:val="005F574A"/>
    <w:rsid w:val="005F58DD"/>
    <w:rsid w:val="005F5FB9"/>
    <w:rsid w:val="005F61A5"/>
    <w:rsid w:val="005F64B1"/>
    <w:rsid w:val="005F6B42"/>
    <w:rsid w:val="005F6FE3"/>
    <w:rsid w:val="005F7487"/>
    <w:rsid w:val="005F7535"/>
    <w:rsid w:val="005F77D9"/>
    <w:rsid w:val="005F7C43"/>
    <w:rsid w:val="005F7C48"/>
    <w:rsid w:val="005F7D5A"/>
    <w:rsid w:val="005F7D94"/>
    <w:rsid w:val="00600543"/>
    <w:rsid w:val="006006B7"/>
    <w:rsid w:val="006006EF"/>
    <w:rsid w:val="0060088C"/>
    <w:rsid w:val="00600AA0"/>
    <w:rsid w:val="00600E67"/>
    <w:rsid w:val="00601071"/>
    <w:rsid w:val="0060167C"/>
    <w:rsid w:val="006016E2"/>
    <w:rsid w:val="00601BC9"/>
    <w:rsid w:val="00601CA6"/>
    <w:rsid w:val="006020AD"/>
    <w:rsid w:val="006021AE"/>
    <w:rsid w:val="006022D8"/>
    <w:rsid w:val="006023A4"/>
    <w:rsid w:val="00602A44"/>
    <w:rsid w:val="00602F37"/>
    <w:rsid w:val="0060307A"/>
    <w:rsid w:val="006037A1"/>
    <w:rsid w:val="00604153"/>
    <w:rsid w:val="00604247"/>
    <w:rsid w:val="0060461C"/>
    <w:rsid w:val="00604A16"/>
    <w:rsid w:val="00605119"/>
    <w:rsid w:val="006052E8"/>
    <w:rsid w:val="00605427"/>
    <w:rsid w:val="006054E0"/>
    <w:rsid w:val="006058EC"/>
    <w:rsid w:val="00605C2C"/>
    <w:rsid w:val="00605FA5"/>
    <w:rsid w:val="0060665F"/>
    <w:rsid w:val="00606DD6"/>
    <w:rsid w:val="006072E5"/>
    <w:rsid w:val="00607C4E"/>
    <w:rsid w:val="006100CB"/>
    <w:rsid w:val="0061015F"/>
    <w:rsid w:val="006101E8"/>
    <w:rsid w:val="00610CF7"/>
    <w:rsid w:val="00610DF5"/>
    <w:rsid w:val="00611416"/>
    <w:rsid w:val="00611549"/>
    <w:rsid w:val="00611D36"/>
    <w:rsid w:val="0061228A"/>
    <w:rsid w:val="006122CE"/>
    <w:rsid w:val="00612A76"/>
    <w:rsid w:val="00613154"/>
    <w:rsid w:val="0061324F"/>
    <w:rsid w:val="006134FC"/>
    <w:rsid w:val="0061355B"/>
    <w:rsid w:val="006143BD"/>
    <w:rsid w:val="0061467C"/>
    <w:rsid w:val="00614D8B"/>
    <w:rsid w:val="00615014"/>
    <w:rsid w:val="00615769"/>
    <w:rsid w:val="0061592E"/>
    <w:rsid w:val="006160C0"/>
    <w:rsid w:val="0061623D"/>
    <w:rsid w:val="0061638C"/>
    <w:rsid w:val="00616459"/>
    <w:rsid w:val="0061670D"/>
    <w:rsid w:val="00616E83"/>
    <w:rsid w:val="00617445"/>
    <w:rsid w:val="006174E1"/>
    <w:rsid w:val="00617750"/>
    <w:rsid w:val="00617984"/>
    <w:rsid w:val="00617AE3"/>
    <w:rsid w:val="00617BD4"/>
    <w:rsid w:val="00620165"/>
    <w:rsid w:val="00621361"/>
    <w:rsid w:val="0062197D"/>
    <w:rsid w:val="00621F85"/>
    <w:rsid w:val="006220F1"/>
    <w:rsid w:val="0062225E"/>
    <w:rsid w:val="0062230B"/>
    <w:rsid w:val="00622A51"/>
    <w:rsid w:val="00622B30"/>
    <w:rsid w:val="00622CB6"/>
    <w:rsid w:val="00622F13"/>
    <w:rsid w:val="00623A03"/>
    <w:rsid w:val="00623ABC"/>
    <w:rsid w:val="00623CE8"/>
    <w:rsid w:val="0062466D"/>
    <w:rsid w:val="00624708"/>
    <w:rsid w:val="00624B0D"/>
    <w:rsid w:val="00624B55"/>
    <w:rsid w:val="00624BB6"/>
    <w:rsid w:val="00624D22"/>
    <w:rsid w:val="00624FA3"/>
    <w:rsid w:val="006257DC"/>
    <w:rsid w:val="00625D5F"/>
    <w:rsid w:val="00626118"/>
    <w:rsid w:val="006261B9"/>
    <w:rsid w:val="0062659C"/>
    <w:rsid w:val="006267F6"/>
    <w:rsid w:val="00626D34"/>
    <w:rsid w:val="0062709A"/>
    <w:rsid w:val="00627123"/>
    <w:rsid w:val="00627189"/>
    <w:rsid w:val="0062727D"/>
    <w:rsid w:val="00627578"/>
    <w:rsid w:val="006275A2"/>
    <w:rsid w:val="006275CA"/>
    <w:rsid w:val="00627782"/>
    <w:rsid w:val="0063048A"/>
    <w:rsid w:val="0063057A"/>
    <w:rsid w:val="0063082D"/>
    <w:rsid w:val="006309B0"/>
    <w:rsid w:val="00630AFA"/>
    <w:rsid w:val="00630DBE"/>
    <w:rsid w:val="006316B2"/>
    <w:rsid w:val="006317CD"/>
    <w:rsid w:val="006319D4"/>
    <w:rsid w:val="006321A4"/>
    <w:rsid w:val="00632888"/>
    <w:rsid w:val="006329B0"/>
    <w:rsid w:val="006330ED"/>
    <w:rsid w:val="006332EE"/>
    <w:rsid w:val="006333A6"/>
    <w:rsid w:val="00633472"/>
    <w:rsid w:val="0063364F"/>
    <w:rsid w:val="006342C9"/>
    <w:rsid w:val="006347C1"/>
    <w:rsid w:val="006347CA"/>
    <w:rsid w:val="00634AF1"/>
    <w:rsid w:val="00634C1D"/>
    <w:rsid w:val="006350BC"/>
    <w:rsid w:val="00635DAA"/>
    <w:rsid w:val="0063612D"/>
    <w:rsid w:val="00636278"/>
    <w:rsid w:val="006362EF"/>
    <w:rsid w:val="00636473"/>
    <w:rsid w:val="00636718"/>
    <w:rsid w:val="00636F31"/>
    <w:rsid w:val="00637460"/>
    <w:rsid w:val="0063764F"/>
    <w:rsid w:val="0063772E"/>
    <w:rsid w:val="00637962"/>
    <w:rsid w:val="00637D94"/>
    <w:rsid w:val="00637E02"/>
    <w:rsid w:val="006404A4"/>
    <w:rsid w:val="0064082B"/>
    <w:rsid w:val="00640CEB"/>
    <w:rsid w:val="00640DD0"/>
    <w:rsid w:val="00640F55"/>
    <w:rsid w:val="00640F6F"/>
    <w:rsid w:val="00640FDD"/>
    <w:rsid w:val="00641702"/>
    <w:rsid w:val="00641A68"/>
    <w:rsid w:val="00641D91"/>
    <w:rsid w:val="00641E8B"/>
    <w:rsid w:val="0064218B"/>
    <w:rsid w:val="00642201"/>
    <w:rsid w:val="0064244D"/>
    <w:rsid w:val="006425CD"/>
    <w:rsid w:val="006425D3"/>
    <w:rsid w:val="0064285B"/>
    <w:rsid w:val="0064295D"/>
    <w:rsid w:val="00642BDD"/>
    <w:rsid w:val="00642C32"/>
    <w:rsid w:val="006430DE"/>
    <w:rsid w:val="00643481"/>
    <w:rsid w:val="006436A2"/>
    <w:rsid w:val="00643FE5"/>
    <w:rsid w:val="00644052"/>
    <w:rsid w:val="00644324"/>
    <w:rsid w:val="00644B57"/>
    <w:rsid w:val="00644BA3"/>
    <w:rsid w:val="0064509E"/>
    <w:rsid w:val="00645211"/>
    <w:rsid w:val="006457BB"/>
    <w:rsid w:val="00645E3C"/>
    <w:rsid w:val="00645E90"/>
    <w:rsid w:val="0064611A"/>
    <w:rsid w:val="006461DA"/>
    <w:rsid w:val="0064627E"/>
    <w:rsid w:val="0064654C"/>
    <w:rsid w:val="00646AC9"/>
    <w:rsid w:val="00646CD2"/>
    <w:rsid w:val="00646ECC"/>
    <w:rsid w:val="00647081"/>
    <w:rsid w:val="0064751B"/>
    <w:rsid w:val="00647B2A"/>
    <w:rsid w:val="00647EA4"/>
    <w:rsid w:val="0065028D"/>
    <w:rsid w:val="00650526"/>
    <w:rsid w:val="0065053A"/>
    <w:rsid w:val="00650E01"/>
    <w:rsid w:val="00650F3A"/>
    <w:rsid w:val="006510AB"/>
    <w:rsid w:val="0065116A"/>
    <w:rsid w:val="0065136E"/>
    <w:rsid w:val="00651959"/>
    <w:rsid w:val="00651DA0"/>
    <w:rsid w:val="0065208C"/>
    <w:rsid w:val="00652614"/>
    <w:rsid w:val="0065274F"/>
    <w:rsid w:val="00652943"/>
    <w:rsid w:val="00652A40"/>
    <w:rsid w:val="00652FEF"/>
    <w:rsid w:val="00653070"/>
    <w:rsid w:val="00653421"/>
    <w:rsid w:val="0065342D"/>
    <w:rsid w:val="00653451"/>
    <w:rsid w:val="006536A9"/>
    <w:rsid w:val="006538DA"/>
    <w:rsid w:val="00653D84"/>
    <w:rsid w:val="00653E7C"/>
    <w:rsid w:val="00653FF4"/>
    <w:rsid w:val="00654091"/>
    <w:rsid w:val="006540C5"/>
    <w:rsid w:val="006541D5"/>
    <w:rsid w:val="00654AED"/>
    <w:rsid w:val="00654B6B"/>
    <w:rsid w:val="00655016"/>
    <w:rsid w:val="00655592"/>
    <w:rsid w:val="00655ADD"/>
    <w:rsid w:val="00655B44"/>
    <w:rsid w:val="0065612B"/>
    <w:rsid w:val="0065682A"/>
    <w:rsid w:val="0065724B"/>
    <w:rsid w:val="0065774B"/>
    <w:rsid w:val="006609C7"/>
    <w:rsid w:val="00660B59"/>
    <w:rsid w:val="00660D01"/>
    <w:rsid w:val="00660FBC"/>
    <w:rsid w:val="00661167"/>
    <w:rsid w:val="006611BD"/>
    <w:rsid w:val="00661605"/>
    <w:rsid w:val="00661758"/>
    <w:rsid w:val="00662A66"/>
    <w:rsid w:val="00662D84"/>
    <w:rsid w:val="006637F6"/>
    <w:rsid w:val="0066396E"/>
    <w:rsid w:val="00663A8C"/>
    <w:rsid w:val="00663C27"/>
    <w:rsid w:val="00664956"/>
    <w:rsid w:val="00664A93"/>
    <w:rsid w:val="00664C66"/>
    <w:rsid w:val="00664EFC"/>
    <w:rsid w:val="00665190"/>
    <w:rsid w:val="006654EE"/>
    <w:rsid w:val="00665DB1"/>
    <w:rsid w:val="00665DFE"/>
    <w:rsid w:val="00665E38"/>
    <w:rsid w:val="00666174"/>
    <w:rsid w:val="006661B7"/>
    <w:rsid w:val="00666612"/>
    <w:rsid w:val="00666689"/>
    <w:rsid w:val="0066679D"/>
    <w:rsid w:val="00666954"/>
    <w:rsid w:val="00666EC7"/>
    <w:rsid w:val="00666EF4"/>
    <w:rsid w:val="00666F94"/>
    <w:rsid w:val="00667679"/>
    <w:rsid w:val="006677C7"/>
    <w:rsid w:val="00667DAF"/>
    <w:rsid w:val="00667EAE"/>
    <w:rsid w:val="0067023F"/>
    <w:rsid w:val="006705DF"/>
    <w:rsid w:val="00670673"/>
    <w:rsid w:val="00670776"/>
    <w:rsid w:val="00670BF6"/>
    <w:rsid w:val="00671122"/>
    <w:rsid w:val="006714F8"/>
    <w:rsid w:val="006716E5"/>
    <w:rsid w:val="00671963"/>
    <w:rsid w:val="00671D01"/>
    <w:rsid w:val="00671D6F"/>
    <w:rsid w:val="00671EEC"/>
    <w:rsid w:val="00672067"/>
    <w:rsid w:val="00672208"/>
    <w:rsid w:val="0067229E"/>
    <w:rsid w:val="00672452"/>
    <w:rsid w:val="00672728"/>
    <w:rsid w:val="00672BCF"/>
    <w:rsid w:val="00672CE9"/>
    <w:rsid w:val="00672CF8"/>
    <w:rsid w:val="0067319C"/>
    <w:rsid w:val="0067321D"/>
    <w:rsid w:val="006732E7"/>
    <w:rsid w:val="00673350"/>
    <w:rsid w:val="006735C0"/>
    <w:rsid w:val="006738C6"/>
    <w:rsid w:val="00673938"/>
    <w:rsid w:val="00673EA8"/>
    <w:rsid w:val="00673FF6"/>
    <w:rsid w:val="006744F2"/>
    <w:rsid w:val="006747E7"/>
    <w:rsid w:val="006748BC"/>
    <w:rsid w:val="00674C79"/>
    <w:rsid w:val="00674D05"/>
    <w:rsid w:val="00674F2E"/>
    <w:rsid w:val="006755BC"/>
    <w:rsid w:val="00675848"/>
    <w:rsid w:val="00675878"/>
    <w:rsid w:val="00675D29"/>
    <w:rsid w:val="00675F3B"/>
    <w:rsid w:val="00676216"/>
    <w:rsid w:val="006765EC"/>
    <w:rsid w:val="00676700"/>
    <w:rsid w:val="0067680C"/>
    <w:rsid w:val="006769D4"/>
    <w:rsid w:val="00676AE7"/>
    <w:rsid w:val="00676D32"/>
    <w:rsid w:val="0067706A"/>
    <w:rsid w:val="00677209"/>
    <w:rsid w:val="0067746E"/>
    <w:rsid w:val="00680310"/>
    <w:rsid w:val="006807E6"/>
    <w:rsid w:val="00680BF3"/>
    <w:rsid w:val="00680D5A"/>
    <w:rsid w:val="00680DD1"/>
    <w:rsid w:val="00680ED5"/>
    <w:rsid w:val="00681631"/>
    <w:rsid w:val="006817BC"/>
    <w:rsid w:val="00681E70"/>
    <w:rsid w:val="00681E9A"/>
    <w:rsid w:val="006820FF"/>
    <w:rsid w:val="00682159"/>
    <w:rsid w:val="00682214"/>
    <w:rsid w:val="00682338"/>
    <w:rsid w:val="006830CB"/>
    <w:rsid w:val="006832AE"/>
    <w:rsid w:val="006838D4"/>
    <w:rsid w:val="00683AAC"/>
    <w:rsid w:val="00683FE2"/>
    <w:rsid w:val="00684297"/>
    <w:rsid w:val="006842D2"/>
    <w:rsid w:val="006843A8"/>
    <w:rsid w:val="006850E6"/>
    <w:rsid w:val="00685675"/>
    <w:rsid w:val="00685B28"/>
    <w:rsid w:val="00685E5F"/>
    <w:rsid w:val="00685F8F"/>
    <w:rsid w:val="00686041"/>
    <w:rsid w:val="0068635E"/>
    <w:rsid w:val="0068677F"/>
    <w:rsid w:val="00686D23"/>
    <w:rsid w:val="00687392"/>
    <w:rsid w:val="006873F2"/>
    <w:rsid w:val="00687575"/>
    <w:rsid w:val="006876E0"/>
    <w:rsid w:val="006877A1"/>
    <w:rsid w:val="006878A3"/>
    <w:rsid w:val="00687BF9"/>
    <w:rsid w:val="00687D12"/>
    <w:rsid w:val="00687D49"/>
    <w:rsid w:val="00689BF4"/>
    <w:rsid w:val="00689E1B"/>
    <w:rsid w:val="0068BB90"/>
    <w:rsid w:val="006900DF"/>
    <w:rsid w:val="006903E5"/>
    <w:rsid w:val="006906C5"/>
    <w:rsid w:val="00690D35"/>
    <w:rsid w:val="0069105E"/>
    <w:rsid w:val="00691103"/>
    <w:rsid w:val="00692199"/>
    <w:rsid w:val="0069232D"/>
    <w:rsid w:val="00692974"/>
    <w:rsid w:val="006932AB"/>
    <w:rsid w:val="006933D2"/>
    <w:rsid w:val="0069342E"/>
    <w:rsid w:val="00693499"/>
    <w:rsid w:val="00694994"/>
    <w:rsid w:val="00694A2F"/>
    <w:rsid w:val="00694A81"/>
    <w:rsid w:val="00694ED2"/>
    <w:rsid w:val="006957F4"/>
    <w:rsid w:val="00695823"/>
    <w:rsid w:val="006961E1"/>
    <w:rsid w:val="00696202"/>
    <w:rsid w:val="0069621F"/>
    <w:rsid w:val="006962BA"/>
    <w:rsid w:val="006967DA"/>
    <w:rsid w:val="00696F3A"/>
    <w:rsid w:val="006975AD"/>
    <w:rsid w:val="00697754"/>
    <w:rsid w:val="006A0236"/>
    <w:rsid w:val="006A02F9"/>
    <w:rsid w:val="006A0577"/>
    <w:rsid w:val="006A066F"/>
    <w:rsid w:val="006A099D"/>
    <w:rsid w:val="006A0D84"/>
    <w:rsid w:val="006A109D"/>
    <w:rsid w:val="006A10AC"/>
    <w:rsid w:val="006A11B8"/>
    <w:rsid w:val="006A1219"/>
    <w:rsid w:val="006A121A"/>
    <w:rsid w:val="006A12B2"/>
    <w:rsid w:val="006A1816"/>
    <w:rsid w:val="006A1972"/>
    <w:rsid w:val="006A2386"/>
    <w:rsid w:val="006A28A4"/>
    <w:rsid w:val="006A2E25"/>
    <w:rsid w:val="006A30DC"/>
    <w:rsid w:val="006A3B5C"/>
    <w:rsid w:val="006A426A"/>
    <w:rsid w:val="006A42D0"/>
    <w:rsid w:val="006A4337"/>
    <w:rsid w:val="006A438E"/>
    <w:rsid w:val="006A43A2"/>
    <w:rsid w:val="006A43AE"/>
    <w:rsid w:val="006A4968"/>
    <w:rsid w:val="006A4EA1"/>
    <w:rsid w:val="006A5110"/>
    <w:rsid w:val="006A5151"/>
    <w:rsid w:val="006A52DC"/>
    <w:rsid w:val="006A55CA"/>
    <w:rsid w:val="006A593C"/>
    <w:rsid w:val="006A5972"/>
    <w:rsid w:val="006A5B8D"/>
    <w:rsid w:val="006A6026"/>
    <w:rsid w:val="006A6DD5"/>
    <w:rsid w:val="006A727C"/>
    <w:rsid w:val="006A7408"/>
    <w:rsid w:val="006A74DB"/>
    <w:rsid w:val="006A78D2"/>
    <w:rsid w:val="006A7A23"/>
    <w:rsid w:val="006A7B29"/>
    <w:rsid w:val="006A7B62"/>
    <w:rsid w:val="006A7DD7"/>
    <w:rsid w:val="006A7E1F"/>
    <w:rsid w:val="006B0086"/>
    <w:rsid w:val="006B0443"/>
    <w:rsid w:val="006B1152"/>
    <w:rsid w:val="006B13CC"/>
    <w:rsid w:val="006B1625"/>
    <w:rsid w:val="006B19C3"/>
    <w:rsid w:val="006B1ACA"/>
    <w:rsid w:val="006B28BD"/>
    <w:rsid w:val="006B2D29"/>
    <w:rsid w:val="006B3118"/>
    <w:rsid w:val="006B3516"/>
    <w:rsid w:val="006B3532"/>
    <w:rsid w:val="006B3565"/>
    <w:rsid w:val="006B3949"/>
    <w:rsid w:val="006B3B87"/>
    <w:rsid w:val="006B4154"/>
    <w:rsid w:val="006B43F5"/>
    <w:rsid w:val="006B447C"/>
    <w:rsid w:val="006B4A6D"/>
    <w:rsid w:val="006B4EF8"/>
    <w:rsid w:val="006B5501"/>
    <w:rsid w:val="006B585A"/>
    <w:rsid w:val="006B6DA0"/>
    <w:rsid w:val="006B70BE"/>
    <w:rsid w:val="006B7B21"/>
    <w:rsid w:val="006B7B9F"/>
    <w:rsid w:val="006B7C0C"/>
    <w:rsid w:val="006C02E3"/>
    <w:rsid w:val="006C0317"/>
    <w:rsid w:val="006C0577"/>
    <w:rsid w:val="006C0606"/>
    <w:rsid w:val="006C09F2"/>
    <w:rsid w:val="006C0D9D"/>
    <w:rsid w:val="006C0EAA"/>
    <w:rsid w:val="006C148D"/>
    <w:rsid w:val="006C196A"/>
    <w:rsid w:val="006C1C9D"/>
    <w:rsid w:val="006C2B27"/>
    <w:rsid w:val="006C2C95"/>
    <w:rsid w:val="006C32CB"/>
    <w:rsid w:val="006C355D"/>
    <w:rsid w:val="006C365A"/>
    <w:rsid w:val="006C3802"/>
    <w:rsid w:val="006C3829"/>
    <w:rsid w:val="006C39B5"/>
    <w:rsid w:val="006C3E01"/>
    <w:rsid w:val="006C3E1F"/>
    <w:rsid w:val="006C4993"/>
    <w:rsid w:val="006C50A2"/>
    <w:rsid w:val="006C50E4"/>
    <w:rsid w:val="006C516D"/>
    <w:rsid w:val="006C5B3F"/>
    <w:rsid w:val="006C5CAF"/>
    <w:rsid w:val="006C5F24"/>
    <w:rsid w:val="006C5F4E"/>
    <w:rsid w:val="006C633B"/>
    <w:rsid w:val="006C6E56"/>
    <w:rsid w:val="006C6F64"/>
    <w:rsid w:val="006C7038"/>
    <w:rsid w:val="006C71BD"/>
    <w:rsid w:val="006C7778"/>
    <w:rsid w:val="006C7A05"/>
    <w:rsid w:val="006C7DBD"/>
    <w:rsid w:val="006D00CA"/>
    <w:rsid w:val="006D0A90"/>
    <w:rsid w:val="006D0FD3"/>
    <w:rsid w:val="006D11A3"/>
    <w:rsid w:val="006D12E2"/>
    <w:rsid w:val="006D17AE"/>
    <w:rsid w:val="006D18FD"/>
    <w:rsid w:val="006D1A46"/>
    <w:rsid w:val="006D1AE2"/>
    <w:rsid w:val="006D1B06"/>
    <w:rsid w:val="006D2181"/>
    <w:rsid w:val="006D2CF3"/>
    <w:rsid w:val="006D2F4F"/>
    <w:rsid w:val="006D319F"/>
    <w:rsid w:val="006D32C5"/>
    <w:rsid w:val="006D36E5"/>
    <w:rsid w:val="006D36F4"/>
    <w:rsid w:val="006D3B0B"/>
    <w:rsid w:val="006D3B58"/>
    <w:rsid w:val="006D4249"/>
    <w:rsid w:val="006D42FF"/>
    <w:rsid w:val="006D44EF"/>
    <w:rsid w:val="006D45A9"/>
    <w:rsid w:val="006D4668"/>
    <w:rsid w:val="006D495D"/>
    <w:rsid w:val="006D4EE6"/>
    <w:rsid w:val="006D50D1"/>
    <w:rsid w:val="006D5946"/>
    <w:rsid w:val="006D5A02"/>
    <w:rsid w:val="006D5E51"/>
    <w:rsid w:val="006D638A"/>
    <w:rsid w:val="006D63F9"/>
    <w:rsid w:val="006D6E29"/>
    <w:rsid w:val="006D6EDC"/>
    <w:rsid w:val="006D7352"/>
    <w:rsid w:val="006D75E7"/>
    <w:rsid w:val="006D774C"/>
    <w:rsid w:val="006D7BB2"/>
    <w:rsid w:val="006D7CDF"/>
    <w:rsid w:val="006E045E"/>
    <w:rsid w:val="006E04E2"/>
    <w:rsid w:val="006E0A71"/>
    <w:rsid w:val="006E134C"/>
    <w:rsid w:val="006E169F"/>
    <w:rsid w:val="006E17BB"/>
    <w:rsid w:val="006E18B1"/>
    <w:rsid w:val="006E1A43"/>
    <w:rsid w:val="006E1D7E"/>
    <w:rsid w:val="006E1EA6"/>
    <w:rsid w:val="006E204B"/>
    <w:rsid w:val="006E2103"/>
    <w:rsid w:val="006E23D9"/>
    <w:rsid w:val="006E241B"/>
    <w:rsid w:val="006E2622"/>
    <w:rsid w:val="006E2FA8"/>
    <w:rsid w:val="006E2FAC"/>
    <w:rsid w:val="006E34B4"/>
    <w:rsid w:val="006E3514"/>
    <w:rsid w:val="006E36BC"/>
    <w:rsid w:val="006E383A"/>
    <w:rsid w:val="006E3DA6"/>
    <w:rsid w:val="006E468F"/>
    <w:rsid w:val="006E4816"/>
    <w:rsid w:val="006E4C4C"/>
    <w:rsid w:val="006E4C93"/>
    <w:rsid w:val="006E4E98"/>
    <w:rsid w:val="006E50EB"/>
    <w:rsid w:val="006E51C6"/>
    <w:rsid w:val="006E5E6C"/>
    <w:rsid w:val="006E5E87"/>
    <w:rsid w:val="006E5F13"/>
    <w:rsid w:val="006E6059"/>
    <w:rsid w:val="006E635E"/>
    <w:rsid w:val="006E651B"/>
    <w:rsid w:val="006E683F"/>
    <w:rsid w:val="006E6CFF"/>
    <w:rsid w:val="006E706B"/>
    <w:rsid w:val="006E73BC"/>
    <w:rsid w:val="006E7509"/>
    <w:rsid w:val="006E760A"/>
    <w:rsid w:val="006E7982"/>
    <w:rsid w:val="006E7CEC"/>
    <w:rsid w:val="006E7E4E"/>
    <w:rsid w:val="006F0323"/>
    <w:rsid w:val="006F04C7"/>
    <w:rsid w:val="006F0A79"/>
    <w:rsid w:val="006F114E"/>
    <w:rsid w:val="006F174C"/>
    <w:rsid w:val="006F186A"/>
    <w:rsid w:val="006F1907"/>
    <w:rsid w:val="006F1CF1"/>
    <w:rsid w:val="006F1D04"/>
    <w:rsid w:val="006F20B1"/>
    <w:rsid w:val="006F2711"/>
    <w:rsid w:val="006F2A0C"/>
    <w:rsid w:val="006F2E64"/>
    <w:rsid w:val="006F3CA1"/>
    <w:rsid w:val="006F3D26"/>
    <w:rsid w:val="006F3EB8"/>
    <w:rsid w:val="006F4215"/>
    <w:rsid w:val="006F424B"/>
    <w:rsid w:val="006F4F8E"/>
    <w:rsid w:val="006F5D73"/>
    <w:rsid w:val="006F65E9"/>
    <w:rsid w:val="006F6D70"/>
    <w:rsid w:val="006F6E84"/>
    <w:rsid w:val="006F6FDF"/>
    <w:rsid w:val="006F789E"/>
    <w:rsid w:val="006F79EB"/>
    <w:rsid w:val="006F7CAF"/>
    <w:rsid w:val="0070001B"/>
    <w:rsid w:val="00700553"/>
    <w:rsid w:val="007005C7"/>
    <w:rsid w:val="00700C1B"/>
    <w:rsid w:val="00700D60"/>
    <w:rsid w:val="00701384"/>
    <w:rsid w:val="00701431"/>
    <w:rsid w:val="0070146B"/>
    <w:rsid w:val="007018AC"/>
    <w:rsid w:val="00701CD7"/>
    <w:rsid w:val="00701F63"/>
    <w:rsid w:val="0070220B"/>
    <w:rsid w:val="007023C4"/>
    <w:rsid w:val="00702609"/>
    <w:rsid w:val="007027FE"/>
    <w:rsid w:val="00702808"/>
    <w:rsid w:val="0070313C"/>
    <w:rsid w:val="0070315A"/>
    <w:rsid w:val="00703219"/>
    <w:rsid w:val="00703487"/>
    <w:rsid w:val="00703C34"/>
    <w:rsid w:val="00703C48"/>
    <w:rsid w:val="00703F99"/>
    <w:rsid w:val="007040F2"/>
    <w:rsid w:val="0070431A"/>
    <w:rsid w:val="00704722"/>
    <w:rsid w:val="00705506"/>
    <w:rsid w:val="00705665"/>
    <w:rsid w:val="0070571C"/>
    <w:rsid w:val="00705800"/>
    <w:rsid w:val="00707187"/>
    <w:rsid w:val="007073AD"/>
    <w:rsid w:val="00707989"/>
    <w:rsid w:val="00707B74"/>
    <w:rsid w:val="00707CFD"/>
    <w:rsid w:val="00707D84"/>
    <w:rsid w:val="00707E5B"/>
    <w:rsid w:val="00707EEB"/>
    <w:rsid w:val="00710282"/>
    <w:rsid w:val="00710717"/>
    <w:rsid w:val="00710D7B"/>
    <w:rsid w:val="00710DF3"/>
    <w:rsid w:val="0071141A"/>
    <w:rsid w:val="00711B38"/>
    <w:rsid w:val="00711B81"/>
    <w:rsid w:val="00711F43"/>
    <w:rsid w:val="007124D8"/>
    <w:rsid w:val="007126A8"/>
    <w:rsid w:val="00712B46"/>
    <w:rsid w:val="00713184"/>
    <w:rsid w:val="00713196"/>
    <w:rsid w:val="00713210"/>
    <w:rsid w:val="007132CF"/>
    <w:rsid w:val="00713357"/>
    <w:rsid w:val="0071384D"/>
    <w:rsid w:val="00713FA3"/>
    <w:rsid w:val="007146D6"/>
    <w:rsid w:val="00714A82"/>
    <w:rsid w:val="00714B60"/>
    <w:rsid w:val="00714E9F"/>
    <w:rsid w:val="0071505A"/>
    <w:rsid w:val="00715ACD"/>
    <w:rsid w:val="00715C93"/>
    <w:rsid w:val="00715D14"/>
    <w:rsid w:val="00715DC8"/>
    <w:rsid w:val="00715DE8"/>
    <w:rsid w:val="007167FC"/>
    <w:rsid w:val="00716B65"/>
    <w:rsid w:val="00717501"/>
    <w:rsid w:val="00717924"/>
    <w:rsid w:val="00717BC1"/>
    <w:rsid w:val="00717C4A"/>
    <w:rsid w:val="0071AC8D"/>
    <w:rsid w:val="0072021F"/>
    <w:rsid w:val="00720346"/>
    <w:rsid w:val="007203E8"/>
    <w:rsid w:val="0072046F"/>
    <w:rsid w:val="00720529"/>
    <w:rsid w:val="00720535"/>
    <w:rsid w:val="007206D0"/>
    <w:rsid w:val="007211EE"/>
    <w:rsid w:val="00721667"/>
    <w:rsid w:val="007216A0"/>
    <w:rsid w:val="007217B5"/>
    <w:rsid w:val="00721B61"/>
    <w:rsid w:val="00721D38"/>
    <w:rsid w:val="00721FB5"/>
    <w:rsid w:val="00721FC1"/>
    <w:rsid w:val="00722073"/>
    <w:rsid w:val="007220F1"/>
    <w:rsid w:val="007223AF"/>
    <w:rsid w:val="007225A3"/>
    <w:rsid w:val="007227E3"/>
    <w:rsid w:val="00723A56"/>
    <w:rsid w:val="00723CFA"/>
    <w:rsid w:val="00723FF4"/>
    <w:rsid w:val="00724001"/>
    <w:rsid w:val="0072496E"/>
    <w:rsid w:val="00725272"/>
    <w:rsid w:val="00725C26"/>
    <w:rsid w:val="00725C9F"/>
    <w:rsid w:val="00725CAD"/>
    <w:rsid w:val="00725EC2"/>
    <w:rsid w:val="00725FCF"/>
    <w:rsid w:val="00726383"/>
    <w:rsid w:val="00726A22"/>
    <w:rsid w:val="00727247"/>
    <w:rsid w:val="00727488"/>
    <w:rsid w:val="00727491"/>
    <w:rsid w:val="00727878"/>
    <w:rsid w:val="00727B31"/>
    <w:rsid w:val="0073001C"/>
    <w:rsid w:val="00730182"/>
    <w:rsid w:val="00730475"/>
    <w:rsid w:val="00730655"/>
    <w:rsid w:val="007306F0"/>
    <w:rsid w:val="00730B63"/>
    <w:rsid w:val="00731256"/>
    <w:rsid w:val="0073174E"/>
    <w:rsid w:val="007317AC"/>
    <w:rsid w:val="00731C3B"/>
    <w:rsid w:val="00732992"/>
    <w:rsid w:val="00732A5C"/>
    <w:rsid w:val="00732FD6"/>
    <w:rsid w:val="007332F8"/>
    <w:rsid w:val="00733312"/>
    <w:rsid w:val="00733C9B"/>
    <w:rsid w:val="00733CAF"/>
    <w:rsid w:val="00733E7A"/>
    <w:rsid w:val="0073458A"/>
    <w:rsid w:val="007345BF"/>
    <w:rsid w:val="00734612"/>
    <w:rsid w:val="00734886"/>
    <w:rsid w:val="00734957"/>
    <w:rsid w:val="00734FA6"/>
    <w:rsid w:val="00735975"/>
    <w:rsid w:val="00736812"/>
    <w:rsid w:val="0073751E"/>
    <w:rsid w:val="00737AEC"/>
    <w:rsid w:val="00737B16"/>
    <w:rsid w:val="00737D9E"/>
    <w:rsid w:val="0074071C"/>
    <w:rsid w:val="00740A1A"/>
    <w:rsid w:val="00740A5C"/>
    <w:rsid w:val="00741065"/>
    <w:rsid w:val="00741600"/>
    <w:rsid w:val="00741A63"/>
    <w:rsid w:val="00741C19"/>
    <w:rsid w:val="00742106"/>
    <w:rsid w:val="0074259F"/>
    <w:rsid w:val="0074290D"/>
    <w:rsid w:val="00742953"/>
    <w:rsid w:val="0074295B"/>
    <w:rsid w:val="00742DA3"/>
    <w:rsid w:val="00743137"/>
    <w:rsid w:val="0074327F"/>
    <w:rsid w:val="0074361B"/>
    <w:rsid w:val="007438FA"/>
    <w:rsid w:val="007442A5"/>
    <w:rsid w:val="007449B1"/>
    <w:rsid w:val="00744A55"/>
    <w:rsid w:val="00744B33"/>
    <w:rsid w:val="00745479"/>
    <w:rsid w:val="00745B10"/>
    <w:rsid w:val="00745B42"/>
    <w:rsid w:val="00745B6A"/>
    <w:rsid w:val="007461DE"/>
    <w:rsid w:val="00746A1D"/>
    <w:rsid w:val="00746C7A"/>
    <w:rsid w:val="00747319"/>
    <w:rsid w:val="00747563"/>
    <w:rsid w:val="007475A3"/>
    <w:rsid w:val="00747A4A"/>
    <w:rsid w:val="00747E2E"/>
    <w:rsid w:val="00747E5E"/>
    <w:rsid w:val="00747EE2"/>
    <w:rsid w:val="007502AB"/>
    <w:rsid w:val="00750A3F"/>
    <w:rsid w:val="00750BD7"/>
    <w:rsid w:val="00750BE5"/>
    <w:rsid w:val="0075108E"/>
    <w:rsid w:val="00751365"/>
    <w:rsid w:val="00751597"/>
    <w:rsid w:val="00751A47"/>
    <w:rsid w:val="00751DB9"/>
    <w:rsid w:val="00751E04"/>
    <w:rsid w:val="0075202F"/>
    <w:rsid w:val="00752151"/>
    <w:rsid w:val="00752153"/>
    <w:rsid w:val="00752298"/>
    <w:rsid w:val="00752365"/>
    <w:rsid w:val="00752425"/>
    <w:rsid w:val="0075297D"/>
    <w:rsid w:val="00753186"/>
    <w:rsid w:val="00753422"/>
    <w:rsid w:val="007537EE"/>
    <w:rsid w:val="007538F7"/>
    <w:rsid w:val="00753A80"/>
    <w:rsid w:val="00753B6C"/>
    <w:rsid w:val="00753D62"/>
    <w:rsid w:val="00753EEA"/>
    <w:rsid w:val="0075401B"/>
    <w:rsid w:val="007544B5"/>
    <w:rsid w:val="0075452A"/>
    <w:rsid w:val="00754B7C"/>
    <w:rsid w:val="00754DB0"/>
    <w:rsid w:val="00755336"/>
    <w:rsid w:val="00755C1F"/>
    <w:rsid w:val="007560F6"/>
    <w:rsid w:val="007561E2"/>
    <w:rsid w:val="00756221"/>
    <w:rsid w:val="007562D1"/>
    <w:rsid w:val="00756368"/>
    <w:rsid w:val="00756428"/>
    <w:rsid w:val="00756738"/>
    <w:rsid w:val="0075685A"/>
    <w:rsid w:val="007572CA"/>
    <w:rsid w:val="00757436"/>
    <w:rsid w:val="00757630"/>
    <w:rsid w:val="00757646"/>
    <w:rsid w:val="00757731"/>
    <w:rsid w:val="0075779F"/>
    <w:rsid w:val="007577E0"/>
    <w:rsid w:val="007579B9"/>
    <w:rsid w:val="007579EB"/>
    <w:rsid w:val="00757F28"/>
    <w:rsid w:val="00760528"/>
    <w:rsid w:val="007605E8"/>
    <w:rsid w:val="0076107F"/>
    <w:rsid w:val="007612AE"/>
    <w:rsid w:val="0076133A"/>
    <w:rsid w:val="0076157C"/>
    <w:rsid w:val="007615BA"/>
    <w:rsid w:val="00761AB1"/>
    <w:rsid w:val="0076208E"/>
    <w:rsid w:val="00762476"/>
    <w:rsid w:val="00762BFE"/>
    <w:rsid w:val="00762C64"/>
    <w:rsid w:val="00762FCE"/>
    <w:rsid w:val="0076334A"/>
    <w:rsid w:val="007634FE"/>
    <w:rsid w:val="007635D1"/>
    <w:rsid w:val="0076375C"/>
    <w:rsid w:val="007639B4"/>
    <w:rsid w:val="00763AFC"/>
    <w:rsid w:val="00763B29"/>
    <w:rsid w:val="00763CD1"/>
    <w:rsid w:val="00763D25"/>
    <w:rsid w:val="00763DED"/>
    <w:rsid w:val="007644BB"/>
    <w:rsid w:val="007645BE"/>
    <w:rsid w:val="00764602"/>
    <w:rsid w:val="007649A6"/>
    <w:rsid w:val="00764A7D"/>
    <w:rsid w:val="00764B05"/>
    <w:rsid w:val="00764E6B"/>
    <w:rsid w:val="00765468"/>
    <w:rsid w:val="0076589B"/>
    <w:rsid w:val="00765C33"/>
    <w:rsid w:val="00766BE6"/>
    <w:rsid w:val="00766D5E"/>
    <w:rsid w:val="00766F93"/>
    <w:rsid w:val="00767265"/>
    <w:rsid w:val="00767365"/>
    <w:rsid w:val="0076787A"/>
    <w:rsid w:val="00767D77"/>
    <w:rsid w:val="0077031F"/>
    <w:rsid w:val="007703A8"/>
    <w:rsid w:val="00770745"/>
    <w:rsid w:val="007708F8"/>
    <w:rsid w:val="0077119E"/>
    <w:rsid w:val="007711C9"/>
    <w:rsid w:val="0077157E"/>
    <w:rsid w:val="007716EE"/>
    <w:rsid w:val="007726B8"/>
    <w:rsid w:val="00772822"/>
    <w:rsid w:val="007728CB"/>
    <w:rsid w:val="00772B03"/>
    <w:rsid w:val="00772DA2"/>
    <w:rsid w:val="00772E1D"/>
    <w:rsid w:val="0077331D"/>
    <w:rsid w:val="00773F32"/>
    <w:rsid w:val="0077453A"/>
    <w:rsid w:val="00774A97"/>
    <w:rsid w:val="00774EB1"/>
    <w:rsid w:val="00774F83"/>
    <w:rsid w:val="0077510D"/>
    <w:rsid w:val="007752C8"/>
    <w:rsid w:val="007759E8"/>
    <w:rsid w:val="00775F91"/>
    <w:rsid w:val="0077640F"/>
    <w:rsid w:val="00776622"/>
    <w:rsid w:val="00776919"/>
    <w:rsid w:val="00776CAA"/>
    <w:rsid w:val="00777202"/>
    <w:rsid w:val="00777338"/>
    <w:rsid w:val="007775CB"/>
    <w:rsid w:val="00777C3E"/>
    <w:rsid w:val="00777D95"/>
    <w:rsid w:val="00777DA8"/>
    <w:rsid w:val="007800AF"/>
    <w:rsid w:val="00780A2F"/>
    <w:rsid w:val="00780A69"/>
    <w:rsid w:val="00780D2F"/>
    <w:rsid w:val="00780D50"/>
    <w:rsid w:val="00780DC6"/>
    <w:rsid w:val="00781346"/>
    <w:rsid w:val="0078141E"/>
    <w:rsid w:val="007816A1"/>
    <w:rsid w:val="00781A37"/>
    <w:rsid w:val="00781AEE"/>
    <w:rsid w:val="00781D44"/>
    <w:rsid w:val="007822E2"/>
    <w:rsid w:val="00782431"/>
    <w:rsid w:val="007827A3"/>
    <w:rsid w:val="0078280B"/>
    <w:rsid w:val="007832B1"/>
    <w:rsid w:val="00783738"/>
    <w:rsid w:val="007839CB"/>
    <w:rsid w:val="007839CE"/>
    <w:rsid w:val="00783C80"/>
    <w:rsid w:val="00784256"/>
    <w:rsid w:val="00784932"/>
    <w:rsid w:val="00784E5E"/>
    <w:rsid w:val="00784F70"/>
    <w:rsid w:val="007853B7"/>
    <w:rsid w:val="00785E38"/>
    <w:rsid w:val="00785F6D"/>
    <w:rsid w:val="0078602B"/>
    <w:rsid w:val="00786213"/>
    <w:rsid w:val="0078656F"/>
    <w:rsid w:val="007866CC"/>
    <w:rsid w:val="00786F95"/>
    <w:rsid w:val="00787521"/>
    <w:rsid w:val="0078771A"/>
    <w:rsid w:val="0078784E"/>
    <w:rsid w:val="0078786A"/>
    <w:rsid w:val="00787B8D"/>
    <w:rsid w:val="00787FB0"/>
    <w:rsid w:val="0079007A"/>
    <w:rsid w:val="007900F4"/>
    <w:rsid w:val="007902F8"/>
    <w:rsid w:val="007903CD"/>
    <w:rsid w:val="00790604"/>
    <w:rsid w:val="007907FF"/>
    <w:rsid w:val="00790A0D"/>
    <w:rsid w:val="00790C52"/>
    <w:rsid w:val="00790D0C"/>
    <w:rsid w:val="00791459"/>
    <w:rsid w:val="0079172C"/>
    <w:rsid w:val="00791DAE"/>
    <w:rsid w:val="00791E3F"/>
    <w:rsid w:val="00791FD3"/>
    <w:rsid w:val="007924D3"/>
    <w:rsid w:val="007925AE"/>
    <w:rsid w:val="00792D25"/>
    <w:rsid w:val="00792DAC"/>
    <w:rsid w:val="00792F35"/>
    <w:rsid w:val="00793533"/>
    <w:rsid w:val="00793E6F"/>
    <w:rsid w:val="00793EE8"/>
    <w:rsid w:val="00793F03"/>
    <w:rsid w:val="00793FCC"/>
    <w:rsid w:val="007941D5"/>
    <w:rsid w:val="007943E5"/>
    <w:rsid w:val="00794710"/>
    <w:rsid w:val="00794B29"/>
    <w:rsid w:val="00794F21"/>
    <w:rsid w:val="00795076"/>
    <w:rsid w:val="0079511A"/>
    <w:rsid w:val="007951C4"/>
    <w:rsid w:val="007953AC"/>
    <w:rsid w:val="007956CB"/>
    <w:rsid w:val="007956FA"/>
    <w:rsid w:val="00795C68"/>
    <w:rsid w:val="00795EEA"/>
    <w:rsid w:val="00795F34"/>
    <w:rsid w:val="00796538"/>
    <w:rsid w:val="007965CD"/>
    <w:rsid w:val="00796A26"/>
    <w:rsid w:val="00796F42"/>
    <w:rsid w:val="00796F55"/>
    <w:rsid w:val="00797094"/>
    <w:rsid w:val="007970D7"/>
    <w:rsid w:val="00797188"/>
    <w:rsid w:val="007975AE"/>
    <w:rsid w:val="00797CCF"/>
    <w:rsid w:val="007A0031"/>
    <w:rsid w:val="007A008F"/>
    <w:rsid w:val="007A01E8"/>
    <w:rsid w:val="007A026A"/>
    <w:rsid w:val="007A027E"/>
    <w:rsid w:val="007A174A"/>
    <w:rsid w:val="007A1776"/>
    <w:rsid w:val="007A1872"/>
    <w:rsid w:val="007A1A8C"/>
    <w:rsid w:val="007A2164"/>
    <w:rsid w:val="007A26B7"/>
    <w:rsid w:val="007A2BA9"/>
    <w:rsid w:val="007A2C64"/>
    <w:rsid w:val="007A2DB5"/>
    <w:rsid w:val="007A3171"/>
    <w:rsid w:val="007A39AA"/>
    <w:rsid w:val="007A3C9E"/>
    <w:rsid w:val="007A4261"/>
    <w:rsid w:val="007A4395"/>
    <w:rsid w:val="007A44FE"/>
    <w:rsid w:val="007A4666"/>
    <w:rsid w:val="007A46E7"/>
    <w:rsid w:val="007A4E90"/>
    <w:rsid w:val="007A56BF"/>
    <w:rsid w:val="007A58CC"/>
    <w:rsid w:val="007A5B52"/>
    <w:rsid w:val="007A5C01"/>
    <w:rsid w:val="007A6154"/>
    <w:rsid w:val="007A63E8"/>
    <w:rsid w:val="007A6760"/>
    <w:rsid w:val="007A68DD"/>
    <w:rsid w:val="007A68FE"/>
    <w:rsid w:val="007A6916"/>
    <w:rsid w:val="007A6ABD"/>
    <w:rsid w:val="007A6BA1"/>
    <w:rsid w:val="007A74DF"/>
    <w:rsid w:val="007A750C"/>
    <w:rsid w:val="007A7913"/>
    <w:rsid w:val="007A7CFB"/>
    <w:rsid w:val="007A7D99"/>
    <w:rsid w:val="007A8DE0"/>
    <w:rsid w:val="007B0008"/>
    <w:rsid w:val="007B008C"/>
    <w:rsid w:val="007B030A"/>
    <w:rsid w:val="007B068D"/>
    <w:rsid w:val="007B076B"/>
    <w:rsid w:val="007B09F7"/>
    <w:rsid w:val="007B0F83"/>
    <w:rsid w:val="007B112B"/>
    <w:rsid w:val="007B1284"/>
    <w:rsid w:val="007B12AF"/>
    <w:rsid w:val="007B1538"/>
    <w:rsid w:val="007B1990"/>
    <w:rsid w:val="007B20AD"/>
    <w:rsid w:val="007B2299"/>
    <w:rsid w:val="007B2388"/>
    <w:rsid w:val="007B2434"/>
    <w:rsid w:val="007B2764"/>
    <w:rsid w:val="007B31C8"/>
    <w:rsid w:val="007B3241"/>
    <w:rsid w:val="007B33FB"/>
    <w:rsid w:val="007B34AC"/>
    <w:rsid w:val="007B3576"/>
    <w:rsid w:val="007B3692"/>
    <w:rsid w:val="007B384F"/>
    <w:rsid w:val="007B3B10"/>
    <w:rsid w:val="007B3F37"/>
    <w:rsid w:val="007B4256"/>
    <w:rsid w:val="007B430F"/>
    <w:rsid w:val="007B4638"/>
    <w:rsid w:val="007B4795"/>
    <w:rsid w:val="007B47F3"/>
    <w:rsid w:val="007B48E0"/>
    <w:rsid w:val="007B4F8B"/>
    <w:rsid w:val="007B5008"/>
    <w:rsid w:val="007B552E"/>
    <w:rsid w:val="007B55BB"/>
    <w:rsid w:val="007B5710"/>
    <w:rsid w:val="007B5792"/>
    <w:rsid w:val="007B5DD1"/>
    <w:rsid w:val="007B5EF0"/>
    <w:rsid w:val="007B60B9"/>
    <w:rsid w:val="007B6A82"/>
    <w:rsid w:val="007B7155"/>
    <w:rsid w:val="007B743D"/>
    <w:rsid w:val="007B7ADC"/>
    <w:rsid w:val="007B7FCF"/>
    <w:rsid w:val="007B7FFD"/>
    <w:rsid w:val="007C0252"/>
    <w:rsid w:val="007C0444"/>
    <w:rsid w:val="007C063A"/>
    <w:rsid w:val="007C0EDE"/>
    <w:rsid w:val="007C0F4A"/>
    <w:rsid w:val="007C1029"/>
    <w:rsid w:val="007C11D0"/>
    <w:rsid w:val="007C14A5"/>
    <w:rsid w:val="007C1755"/>
    <w:rsid w:val="007C1982"/>
    <w:rsid w:val="007C1ABE"/>
    <w:rsid w:val="007C1B88"/>
    <w:rsid w:val="007C25B6"/>
    <w:rsid w:val="007C25DE"/>
    <w:rsid w:val="007C2603"/>
    <w:rsid w:val="007C27AB"/>
    <w:rsid w:val="007C290A"/>
    <w:rsid w:val="007C2FEB"/>
    <w:rsid w:val="007C32DD"/>
    <w:rsid w:val="007C332A"/>
    <w:rsid w:val="007C37D0"/>
    <w:rsid w:val="007C39DF"/>
    <w:rsid w:val="007C43E4"/>
    <w:rsid w:val="007C43EE"/>
    <w:rsid w:val="007C49DC"/>
    <w:rsid w:val="007C4A2B"/>
    <w:rsid w:val="007C5084"/>
    <w:rsid w:val="007C51DE"/>
    <w:rsid w:val="007C5447"/>
    <w:rsid w:val="007C57D4"/>
    <w:rsid w:val="007C5DA7"/>
    <w:rsid w:val="007C5F83"/>
    <w:rsid w:val="007C663B"/>
    <w:rsid w:val="007C6936"/>
    <w:rsid w:val="007C6F19"/>
    <w:rsid w:val="007C6F22"/>
    <w:rsid w:val="007C7834"/>
    <w:rsid w:val="007C783C"/>
    <w:rsid w:val="007C7A05"/>
    <w:rsid w:val="007C7EDA"/>
    <w:rsid w:val="007D00DB"/>
    <w:rsid w:val="007D04EF"/>
    <w:rsid w:val="007D0651"/>
    <w:rsid w:val="007D0A14"/>
    <w:rsid w:val="007D0C03"/>
    <w:rsid w:val="007D0E25"/>
    <w:rsid w:val="007D14B4"/>
    <w:rsid w:val="007D1A79"/>
    <w:rsid w:val="007D1C1E"/>
    <w:rsid w:val="007D1FCA"/>
    <w:rsid w:val="007D20F6"/>
    <w:rsid w:val="007D2C2E"/>
    <w:rsid w:val="007D2E82"/>
    <w:rsid w:val="007D31E7"/>
    <w:rsid w:val="007D323E"/>
    <w:rsid w:val="007D3A99"/>
    <w:rsid w:val="007D45EF"/>
    <w:rsid w:val="007D52AF"/>
    <w:rsid w:val="007D542B"/>
    <w:rsid w:val="007D58DE"/>
    <w:rsid w:val="007D6CA2"/>
    <w:rsid w:val="007D71BF"/>
    <w:rsid w:val="007D7452"/>
    <w:rsid w:val="007D752B"/>
    <w:rsid w:val="007D77DF"/>
    <w:rsid w:val="007D7BBD"/>
    <w:rsid w:val="007E01D0"/>
    <w:rsid w:val="007E041C"/>
    <w:rsid w:val="007E04EB"/>
    <w:rsid w:val="007E08D2"/>
    <w:rsid w:val="007E0918"/>
    <w:rsid w:val="007E1303"/>
    <w:rsid w:val="007E14B6"/>
    <w:rsid w:val="007E1730"/>
    <w:rsid w:val="007E18E8"/>
    <w:rsid w:val="007E1D70"/>
    <w:rsid w:val="007E22C4"/>
    <w:rsid w:val="007E292A"/>
    <w:rsid w:val="007E2E50"/>
    <w:rsid w:val="007E3107"/>
    <w:rsid w:val="007E32CA"/>
    <w:rsid w:val="007E3527"/>
    <w:rsid w:val="007E369D"/>
    <w:rsid w:val="007E414D"/>
    <w:rsid w:val="007E42BC"/>
    <w:rsid w:val="007E42D5"/>
    <w:rsid w:val="007E43C6"/>
    <w:rsid w:val="007E446D"/>
    <w:rsid w:val="007E4758"/>
    <w:rsid w:val="007E4F66"/>
    <w:rsid w:val="007E5211"/>
    <w:rsid w:val="007E5E61"/>
    <w:rsid w:val="007E5F6C"/>
    <w:rsid w:val="007E602A"/>
    <w:rsid w:val="007E6301"/>
    <w:rsid w:val="007E6303"/>
    <w:rsid w:val="007E641E"/>
    <w:rsid w:val="007E64E3"/>
    <w:rsid w:val="007E7197"/>
    <w:rsid w:val="007E7327"/>
    <w:rsid w:val="007E732E"/>
    <w:rsid w:val="007E745E"/>
    <w:rsid w:val="007E74FE"/>
    <w:rsid w:val="007E7612"/>
    <w:rsid w:val="007E79FB"/>
    <w:rsid w:val="007E7BC2"/>
    <w:rsid w:val="007F0696"/>
    <w:rsid w:val="007F07F4"/>
    <w:rsid w:val="007F08A9"/>
    <w:rsid w:val="007F08C0"/>
    <w:rsid w:val="007F0AC4"/>
    <w:rsid w:val="007F10F1"/>
    <w:rsid w:val="007F10FE"/>
    <w:rsid w:val="007F13DD"/>
    <w:rsid w:val="007F1892"/>
    <w:rsid w:val="007F1947"/>
    <w:rsid w:val="007F1C3E"/>
    <w:rsid w:val="007F248D"/>
    <w:rsid w:val="007F265D"/>
    <w:rsid w:val="007F26A1"/>
    <w:rsid w:val="007F2797"/>
    <w:rsid w:val="007F2B8F"/>
    <w:rsid w:val="007F32C5"/>
    <w:rsid w:val="007F3398"/>
    <w:rsid w:val="007F366F"/>
    <w:rsid w:val="007F373A"/>
    <w:rsid w:val="007F3DF8"/>
    <w:rsid w:val="007F4308"/>
    <w:rsid w:val="007F4700"/>
    <w:rsid w:val="007F4B89"/>
    <w:rsid w:val="007F56E4"/>
    <w:rsid w:val="007F586A"/>
    <w:rsid w:val="007F5B0A"/>
    <w:rsid w:val="007F5E98"/>
    <w:rsid w:val="007F5EFA"/>
    <w:rsid w:val="007F6438"/>
    <w:rsid w:val="007F66A6"/>
    <w:rsid w:val="007F6848"/>
    <w:rsid w:val="007F6A07"/>
    <w:rsid w:val="007F6A95"/>
    <w:rsid w:val="007F712A"/>
    <w:rsid w:val="007F7228"/>
    <w:rsid w:val="007F7771"/>
    <w:rsid w:val="007F7D23"/>
    <w:rsid w:val="007F7FAE"/>
    <w:rsid w:val="0080040E"/>
    <w:rsid w:val="0080050A"/>
    <w:rsid w:val="008005BB"/>
    <w:rsid w:val="00800823"/>
    <w:rsid w:val="00801357"/>
    <w:rsid w:val="008014AA"/>
    <w:rsid w:val="0080169E"/>
    <w:rsid w:val="00801A37"/>
    <w:rsid w:val="00801AD2"/>
    <w:rsid w:val="00801FDF"/>
    <w:rsid w:val="00802251"/>
    <w:rsid w:val="00802494"/>
    <w:rsid w:val="008025BC"/>
    <w:rsid w:val="00802778"/>
    <w:rsid w:val="00802936"/>
    <w:rsid w:val="00802C9D"/>
    <w:rsid w:val="00802DAC"/>
    <w:rsid w:val="00802F21"/>
    <w:rsid w:val="008037A4"/>
    <w:rsid w:val="00804212"/>
    <w:rsid w:val="008043C9"/>
    <w:rsid w:val="008045CB"/>
    <w:rsid w:val="00804F38"/>
    <w:rsid w:val="008050E0"/>
    <w:rsid w:val="00805523"/>
    <w:rsid w:val="008055B4"/>
    <w:rsid w:val="008055EE"/>
    <w:rsid w:val="008057E0"/>
    <w:rsid w:val="00805869"/>
    <w:rsid w:val="0080613E"/>
    <w:rsid w:val="008064B1"/>
    <w:rsid w:val="00806539"/>
    <w:rsid w:val="00806627"/>
    <w:rsid w:val="00806CCC"/>
    <w:rsid w:val="00806DAD"/>
    <w:rsid w:val="00806F2E"/>
    <w:rsid w:val="008073C9"/>
    <w:rsid w:val="00807B09"/>
    <w:rsid w:val="00807D44"/>
    <w:rsid w:val="0081005F"/>
    <w:rsid w:val="00810207"/>
    <w:rsid w:val="00810415"/>
    <w:rsid w:val="00810D80"/>
    <w:rsid w:val="00810ECF"/>
    <w:rsid w:val="008111D0"/>
    <w:rsid w:val="0081139C"/>
    <w:rsid w:val="008117F9"/>
    <w:rsid w:val="00811800"/>
    <w:rsid w:val="00811ACE"/>
    <w:rsid w:val="0081227D"/>
    <w:rsid w:val="00812303"/>
    <w:rsid w:val="008128C4"/>
    <w:rsid w:val="00812D9A"/>
    <w:rsid w:val="00812F71"/>
    <w:rsid w:val="00812FEC"/>
    <w:rsid w:val="0081318D"/>
    <w:rsid w:val="00813311"/>
    <w:rsid w:val="0081332C"/>
    <w:rsid w:val="00813995"/>
    <w:rsid w:val="0081417A"/>
    <w:rsid w:val="00814332"/>
    <w:rsid w:val="0081442A"/>
    <w:rsid w:val="00814444"/>
    <w:rsid w:val="008144EC"/>
    <w:rsid w:val="008146ED"/>
    <w:rsid w:val="00814810"/>
    <w:rsid w:val="00814C8C"/>
    <w:rsid w:val="00814D4F"/>
    <w:rsid w:val="00814F91"/>
    <w:rsid w:val="00815441"/>
    <w:rsid w:val="00815798"/>
    <w:rsid w:val="008157E8"/>
    <w:rsid w:val="008160C5"/>
    <w:rsid w:val="0081624D"/>
    <w:rsid w:val="00816349"/>
    <w:rsid w:val="008163C6"/>
    <w:rsid w:val="00816864"/>
    <w:rsid w:val="00817152"/>
    <w:rsid w:val="0081723A"/>
    <w:rsid w:val="00817366"/>
    <w:rsid w:val="0081740A"/>
    <w:rsid w:val="0081784B"/>
    <w:rsid w:val="00817CEB"/>
    <w:rsid w:val="00817E35"/>
    <w:rsid w:val="00820082"/>
    <w:rsid w:val="008201CA"/>
    <w:rsid w:val="008205CC"/>
    <w:rsid w:val="0082067B"/>
    <w:rsid w:val="008206B1"/>
    <w:rsid w:val="00820933"/>
    <w:rsid w:val="00820B8E"/>
    <w:rsid w:val="0082130B"/>
    <w:rsid w:val="00821737"/>
    <w:rsid w:val="00821814"/>
    <w:rsid w:val="00821D70"/>
    <w:rsid w:val="00822678"/>
    <w:rsid w:val="0082275F"/>
    <w:rsid w:val="00822A58"/>
    <w:rsid w:val="00822B37"/>
    <w:rsid w:val="00822E40"/>
    <w:rsid w:val="00822F2D"/>
    <w:rsid w:val="0082322F"/>
    <w:rsid w:val="00823337"/>
    <w:rsid w:val="00823E1A"/>
    <w:rsid w:val="00824D60"/>
    <w:rsid w:val="00824EA2"/>
    <w:rsid w:val="00824FF1"/>
    <w:rsid w:val="00825200"/>
    <w:rsid w:val="008254D2"/>
    <w:rsid w:val="0082552E"/>
    <w:rsid w:val="00825915"/>
    <w:rsid w:val="00825C32"/>
    <w:rsid w:val="00825DAE"/>
    <w:rsid w:val="008260D9"/>
    <w:rsid w:val="00826AC2"/>
    <w:rsid w:val="00826B9E"/>
    <w:rsid w:val="00826DA6"/>
    <w:rsid w:val="00827073"/>
    <w:rsid w:val="00827236"/>
    <w:rsid w:val="0082797B"/>
    <w:rsid w:val="0082CA67"/>
    <w:rsid w:val="0082F04E"/>
    <w:rsid w:val="0083079B"/>
    <w:rsid w:val="008307BB"/>
    <w:rsid w:val="00830D5B"/>
    <w:rsid w:val="00830F0F"/>
    <w:rsid w:val="0083105D"/>
    <w:rsid w:val="00831087"/>
    <w:rsid w:val="008312C1"/>
    <w:rsid w:val="00831315"/>
    <w:rsid w:val="0083132D"/>
    <w:rsid w:val="00831416"/>
    <w:rsid w:val="008317C4"/>
    <w:rsid w:val="00831BE0"/>
    <w:rsid w:val="00831D76"/>
    <w:rsid w:val="0083210C"/>
    <w:rsid w:val="0083214E"/>
    <w:rsid w:val="008321F9"/>
    <w:rsid w:val="00833586"/>
    <w:rsid w:val="00833CE6"/>
    <w:rsid w:val="00834727"/>
    <w:rsid w:val="008352F9"/>
    <w:rsid w:val="00835BB1"/>
    <w:rsid w:val="00835D4E"/>
    <w:rsid w:val="00835EF5"/>
    <w:rsid w:val="0083601A"/>
    <w:rsid w:val="0083602A"/>
    <w:rsid w:val="008360DA"/>
    <w:rsid w:val="008365BB"/>
    <w:rsid w:val="00836701"/>
    <w:rsid w:val="00836CA5"/>
    <w:rsid w:val="0083737F"/>
    <w:rsid w:val="00837827"/>
    <w:rsid w:val="00837882"/>
    <w:rsid w:val="00837981"/>
    <w:rsid w:val="00837CD4"/>
    <w:rsid w:val="008404E6"/>
    <w:rsid w:val="00841099"/>
    <w:rsid w:val="008416B7"/>
    <w:rsid w:val="008416D8"/>
    <w:rsid w:val="008416E1"/>
    <w:rsid w:val="00841828"/>
    <w:rsid w:val="00841A4D"/>
    <w:rsid w:val="00841D05"/>
    <w:rsid w:val="008423FE"/>
    <w:rsid w:val="008427BB"/>
    <w:rsid w:val="00842CCD"/>
    <w:rsid w:val="00842DAF"/>
    <w:rsid w:val="00842E52"/>
    <w:rsid w:val="00842E9F"/>
    <w:rsid w:val="00843264"/>
    <w:rsid w:val="008440DA"/>
    <w:rsid w:val="00844639"/>
    <w:rsid w:val="00844814"/>
    <w:rsid w:val="00844BF5"/>
    <w:rsid w:val="00844D28"/>
    <w:rsid w:val="00844DE2"/>
    <w:rsid w:val="00844E52"/>
    <w:rsid w:val="008455CE"/>
    <w:rsid w:val="00845977"/>
    <w:rsid w:val="008459CA"/>
    <w:rsid w:val="00845A9B"/>
    <w:rsid w:val="00846A95"/>
    <w:rsid w:val="00846CE5"/>
    <w:rsid w:val="00846E01"/>
    <w:rsid w:val="00847224"/>
    <w:rsid w:val="008472BD"/>
    <w:rsid w:val="0084747A"/>
    <w:rsid w:val="008477D2"/>
    <w:rsid w:val="00847891"/>
    <w:rsid w:val="00847A3F"/>
    <w:rsid w:val="008489C5"/>
    <w:rsid w:val="008501F3"/>
    <w:rsid w:val="008502AA"/>
    <w:rsid w:val="008502B2"/>
    <w:rsid w:val="008502E4"/>
    <w:rsid w:val="0085049B"/>
    <w:rsid w:val="00850F75"/>
    <w:rsid w:val="0085108C"/>
    <w:rsid w:val="0085149D"/>
    <w:rsid w:val="00851AE0"/>
    <w:rsid w:val="00851F42"/>
    <w:rsid w:val="0085248E"/>
    <w:rsid w:val="008526F9"/>
    <w:rsid w:val="0085279F"/>
    <w:rsid w:val="00852AFE"/>
    <w:rsid w:val="00852C4F"/>
    <w:rsid w:val="008539B2"/>
    <w:rsid w:val="00853A6B"/>
    <w:rsid w:val="00854D14"/>
    <w:rsid w:val="00854D17"/>
    <w:rsid w:val="00854E7D"/>
    <w:rsid w:val="0085552A"/>
    <w:rsid w:val="00855959"/>
    <w:rsid w:val="00855B41"/>
    <w:rsid w:val="00855D19"/>
    <w:rsid w:val="00855ECC"/>
    <w:rsid w:val="008561CD"/>
    <w:rsid w:val="008562C7"/>
    <w:rsid w:val="0085659D"/>
    <w:rsid w:val="0085681B"/>
    <w:rsid w:val="00857352"/>
    <w:rsid w:val="008576A7"/>
    <w:rsid w:val="00857DE0"/>
    <w:rsid w:val="0086004F"/>
    <w:rsid w:val="00860263"/>
    <w:rsid w:val="00860366"/>
    <w:rsid w:val="00860DC4"/>
    <w:rsid w:val="008610A0"/>
    <w:rsid w:val="008611DA"/>
    <w:rsid w:val="008612CB"/>
    <w:rsid w:val="008617FF"/>
    <w:rsid w:val="008619C7"/>
    <w:rsid w:val="008621E0"/>
    <w:rsid w:val="00862429"/>
    <w:rsid w:val="008629A4"/>
    <w:rsid w:val="00862C0B"/>
    <w:rsid w:val="00862CCF"/>
    <w:rsid w:val="00862EEC"/>
    <w:rsid w:val="00863517"/>
    <w:rsid w:val="00863678"/>
    <w:rsid w:val="008636A8"/>
    <w:rsid w:val="00863C70"/>
    <w:rsid w:val="008645E5"/>
    <w:rsid w:val="00865232"/>
    <w:rsid w:val="00865408"/>
    <w:rsid w:val="0086551C"/>
    <w:rsid w:val="00866102"/>
    <w:rsid w:val="008664B3"/>
    <w:rsid w:val="00866DC0"/>
    <w:rsid w:val="00866EEC"/>
    <w:rsid w:val="00866F7F"/>
    <w:rsid w:val="008671E7"/>
    <w:rsid w:val="00867516"/>
    <w:rsid w:val="0086787C"/>
    <w:rsid w:val="00867A0F"/>
    <w:rsid w:val="00867A6B"/>
    <w:rsid w:val="00867BF4"/>
    <w:rsid w:val="00870453"/>
    <w:rsid w:val="008706F1"/>
    <w:rsid w:val="00870977"/>
    <w:rsid w:val="00870ABD"/>
    <w:rsid w:val="00871389"/>
    <w:rsid w:val="00872194"/>
    <w:rsid w:val="008721B8"/>
    <w:rsid w:val="008724B4"/>
    <w:rsid w:val="00872BCF"/>
    <w:rsid w:val="00872CFB"/>
    <w:rsid w:val="00872E89"/>
    <w:rsid w:val="0087310F"/>
    <w:rsid w:val="008737E0"/>
    <w:rsid w:val="00873C7D"/>
    <w:rsid w:val="00873D24"/>
    <w:rsid w:val="00873DBC"/>
    <w:rsid w:val="00874107"/>
    <w:rsid w:val="0087412F"/>
    <w:rsid w:val="00874439"/>
    <w:rsid w:val="0087474A"/>
    <w:rsid w:val="00874873"/>
    <w:rsid w:val="00874CC4"/>
    <w:rsid w:val="0087505A"/>
    <w:rsid w:val="0087550E"/>
    <w:rsid w:val="00875929"/>
    <w:rsid w:val="00875A77"/>
    <w:rsid w:val="00875AC5"/>
    <w:rsid w:val="00875CEC"/>
    <w:rsid w:val="0087653D"/>
    <w:rsid w:val="00876973"/>
    <w:rsid w:val="00876BBC"/>
    <w:rsid w:val="00876D66"/>
    <w:rsid w:val="008771DC"/>
    <w:rsid w:val="00877521"/>
    <w:rsid w:val="008775F7"/>
    <w:rsid w:val="00880222"/>
    <w:rsid w:val="00880708"/>
    <w:rsid w:val="00880ABC"/>
    <w:rsid w:val="00880DD9"/>
    <w:rsid w:val="00881027"/>
    <w:rsid w:val="008817C5"/>
    <w:rsid w:val="008818E8"/>
    <w:rsid w:val="00881908"/>
    <w:rsid w:val="00882506"/>
    <w:rsid w:val="008825C9"/>
    <w:rsid w:val="00882B3D"/>
    <w:rsid w:val="00883985"/>
    <w:rsid w:val="00883CBD"/>
    <w:rsid w:val="00883D9F"/>
    <w:rsid w:val="00884DA3"/>
    <w:rsid w:val="0088502F"/>
    <w:rsid w:val="008850A1"/>
    <w:rsid w:val="0088510C"/>
    <w:rsid w:val="008852D6"/>
    <w:rsid w:val="008854E1"/>
    <w:rsid w:val="00886463"/>
    <w:rsid w:val="008866E3"/>
    <w:rsid w:val="0088688A"/>
    <w:rsid w:val="00886E00"/>
    <w:rsid w:val="008870F3"/>
    <w:rsid w:val="00887165"/>
    <w:rsid w:val="008874C1"/>
    <w:rsid w:val="008874F4"/>
    <w:rsid w:val="008876F3"/>
    <w:rsid w:val="008877AC"/>
    <w:rsid w:val="00887B62"/>
    <w:rsid w:val="00887BCB"/>
    <w:rsid w:val="00887F18"/>
    <w:rsid w:val="00887FD8"/>
    <w:rsid w:val="00890A2E"/>
    <w:rsid w:val="00890ABC"/>
    <w:rsid w:val="00890C60"/>
    <w:rsid w:val="00890DCF"/>
    <w:rsid w:val="00891000"/>
    <w:rsid w:val="008911EE"/>
    <w:rsid w:val="0089122B"/>
    <w:rsid w:val="00891368"/>
    <w:rsid w:val="0089199A"/>
    <w:rsid w:val="00891B94"/>
    <w:rsid w:val="008921D7"/>
    <w:rsid w:val="008922A2"/>
    <w:rsid w:val="00892EBB"/>
    <w:rsid w:val="008933FE"/>
    <w:rsid w:val="008936C1"/>
    <w:rsid w:val="0089372A"/>
    <w:rsid w:val="00893C0D"/>
    <w:rsid w:val="00893C10"/>
    <w:rsid w:val="00893D92"/>
    <w:rsid w:val="008947FE"/>
    <w:rsid w:val="00894CCF"/>
    <w:rsid w:val="00895000"/>
    <w:rsid w:val="00895196"/>
    <w:rsid w:val="008952CE"/>
    <w:rsid w:val="0089547D"/>
    <w:rsid w:val="00895EE6"/>
    <w:rsid w:val="00896142"/>
    <w:rsid w:val="008964BE"/>
    <w:rsid w:val="00896BF3"/>
    <w:rsid w:val="008973A2"/>
    <w:rsid w:val="00897875"/>
    <w:rsid w:val="008A0024"/>
    <w:rsid w:val="008A02C0"/>
    <w:rsid w:val="008A0A6F"/>
    <w:rsid w:val="008A0EFD"/>
    <w:rsid w:val="008A1271"/>
    <w:rsid w:val="008A149D"/>
    <w:rsid w:val="008A15B6"/>
    <w:rsid w:val="008A176A"/>
    <w:rsid w:val="008A1DBC"/>
    <w:rsid w:val="008A1DE5"/>
    <w:rsid w:val="008A1FC5"/>
    <w:rsid w:val="008A218F"/>
    <w:rsid w:val="008A226A"/>
    <w:rsid w:val="008A27FF"/>
    <w:rsid w:val="008A2E86"/>
    <w:rsid w:val="008A2EF7"/>
    <w:rsid w:val="008A2F38"/>
    <w:rsid w:val="008A306B"/>
    <w:rsid w:val="008A3161"/>
    <w:rsid w:val="008A374D"/>
    <w:rsid w:val="008A3B62"/>
    <w:rsid w:val="008A3B71"/>
    <w:rsid w:val="008A42BD"/>
    <w:rsid w:val="008A441A"/>
    <w:rsid w:val="008A453E"/>
    <w:rsid w:val="008A45E8"/>
    <w:rsid w:val="008A486E"/>
    <w:rsid w:val="008A5385"/>
    <w:rsid w:val="008A5400"/>
    <w:rsid w:val="008A57B2"/>
    <w:rsid w:val="008A5A97"/>
    <w:rsid w:val="008A614A"/>
    <w:rsid w:val="008A62E9"/>
    <w:rsid w:val="008A64E3"/>
    <w:rsid w:val="008A6A09"/>
    <w:rsid w:val="008A79BC"/>
    <w:rsid w:val="008A7D7E"/>
    <w:rsid w:val="008B01ED"/>
    <w:rsid w:val="008B0642"/>
    <w:rsid w:val="008B0FA7"/>
    <w:rsid w:val="008B11BA"/>
    <w:rsid w:val="008B127E"/>
    <w:rsid w:val="008B12E4"/>
    <w:rsid w:val="008B15D3"/>
    <w:rsid w:val="008B1CC5"/>
    <w:rsid w:val="008B1E81"/>
    <w:rsid w:val="008B287F"/>
    <w:rsid w:val="008B2AF7"/>
    <w:rsid w:val="008B3437"/>
    <w:rsid w:val="008B3AAF"/>
    <w:rsid w:val="008B3BAD"/>
    <w:rsid w:val="008B3FDF"/>
    <w:rsid w:val="008B4142"/>
    <w:rsid w:val="008B419B"/>
    <w:rsid w:val="008B4608"/>
    <w:rsid w:val="008B4642"/>
    <w:rsid w:val="008B488E"/>
    <w:rsid w:val="008B492A"/>
    <w:rsid w:val="008B4FD4"/>
    <w:rsid w:val="008B5620"/>
    <w:rsid w:val="008B5AF0"/>
    <w:rsid w:val="008B5D9E"/>
    <w:rsid w:val="008B6078"/>
    <w:rsid w:val="008B6281"/>
    <w:rsid w:val="008B6596"/>
    <w:rsid w:val="008B678B"/>
    <w:rsid w:val="008B6817"/>
    <w:rsid w:val="008B6882"/>
    <w:rsid w:val="008B6A4A"/>
    <w:rsid w:val="008B705B"/>
    <w:rsid w:val="008B710A"/>
    <w:rsid w:val="008B7148"/>
    <w:rsid w:val="008B720F"/>
    <w:rsid w:val="008B745B"/>
    <w:rsid w:val="008B7748"/>
    <w:rsid w:val="008B7A7E"/>
    <w:rsid w:val="008B7C12"/>
    <w:rsid w:val="008B7EF2"/>
    <w:rsid w:val="008C0609"/>
    <w:rsid w:val="008C0A3C"/>
    <w:rsid w:val="008C0F72"/>
    <w:rsid w:val="008C11A5"/>
    <w:rsid w:val="008C1821"/>
    <w:rsid w:val="008C1EF5"/>
    <w:rsid w:val="008C239A"/>
    <w:rsid w:val="008C2463"/>
    <w:rsid w:val="008C25A3"/>
    <w:rsid w:val="008C27EB"/>
    <w:rsid w:val="008C29AF"/>
    <w:rsid w:val="008C29DD"/>
    <w:rsid w:val="008C2B51"/>
    <w:rsid w:val="008C3011"/>
    <w:rsid w:val="008C4518"/>
    <w:rsid w:val="008C45A0"/>
    <w:rsid w:val="008C488D"/>
    <w:rsid w:val="008C4AE0"/>
    <w:rsid w:val="008C4DFD"/>
    <w:rsid w:val="008C5218"/>
    <w:rsid w:val="008C571C"/>
    <w:rsid w:val="008C576C"/>
    <w:rsid w:val="008C5AB3"/>
    <w:rsid w:val="008C6524"/>
    <w:rsid w:val="008C653D"/>
    <w:rsid w:val="008C6631"/>
    <w:rsid w:val="008C687E"/>
    <w:rsid w:val="008C6BD7"/>
    <w:rsid w:val="008C7D09"/>
    <w:rsid w:val="008D002C"/>
    <w:rsid w:val="008D003D"/>
    <w:rsid w:val="008D0526"/>
    <w:rsid w:val="008D052E"/>
    <w:rsid w:val="008D0549"/>
    <w:rsid w:val="008D060E"/>
    <w:rsid w:val="008D0C13"/>
    <w:rsid w:val="008D0D20"/>
    <w:rsid w:val="008D0DEA"/>
    <w:rsid w:val="008D1381"/>
    <w:rsid w:val="008D1743"/>
    <w:rsid w:val="008D1762"/>
    <w:rsid w:val="008D1831"/>
    <w:rsid w:val="008D1883"/>
    <w:rsid w:val="008D2176"/>
    <w:rsid w:val="008D2B18"/>
    <w:rsid w:val="008D2CD9"/>
    <w:rsid w:val="008D3282"/>
    <w:rsid w:val="008D35E0"/>
    <w:rsid w:val="008D3687"/>
    <w:rsid w:val="008D3D75"/>
    <w:rsid w:val="008D4061"/>
    <w:rsid w:val="008D4A24"/>
    <w:rsid w:val="008D4CCE"/>
    <w:rsid w:val="008D4D37"/>
    <w:rsid w:val="008D4EBA"/>
    <w:rsid w:val="008D4F0C"/>
    <w:rsid w:val="008D53A6"/>
    <w:rsid w:val="008D53DF"/>
    <w:rsid w:val="008D545E"/>
    <w:rsid w:val="008D5698"/>
    <w:rsid w:val="008D57BB"/>
    <w:rsid w:val="008D5856"/>
    <w:rsid w:val="008D5BF4"/>
    <w:rsid w:val="008D5BFC"/>
    <w:rsid w:val="008D5DFD"/>
    <w:rsid w:val="008D5F38"/>
    <w:rsid w:val="008D6046"/>
    <w:rsid w:val="008D6291"/>
    <w:rsid w:val="008D630D"/>
    <w:rsid w:val="008D6454"/>
    <w:rsid w:val="008D6C1A"/>
    <w:rsid w:val="008D72F6"/>
    <w:rsid w:val="008D7F8F"/>
    <w:rsid w:val="008E03EB"/>
    <w:rsid w:val="008E0F0E"/>
    <w:rsid w:val="008E101D"/>
    <w:rsid w:val="008E1845"/>
    <w:rsid w:val="008E1ABD"/>
    <w:rsid w:val="008E1E9E"/>
    <w:rsid w:val="008E23EA"/>
    <w:rsid w:val="008E255B"/>
    <w:rsid w:val="008E2667"/>
    <w:rsid w:val="008E287C"/>
    <w:rsid w:val="008E2DAD"/>
    <w:rsid w:val="008E36EB"/>
    <w:rsid w:val="008E3BB0"/>
    <w:rsid w:val="008E3BBA"/>
    <w:rsid w:val="008E3C11"/>
    <w:rsid w:val="008E3D38"/>
    <w:rsid w:val="008E4153"/>
    <w:rsid w:val="008E43DC"/>
    <w:rsid w:val="008E4708"/>
    <w:rsid w:val="008E470B"/>
    <w:rsid w:val="008E5385"/>
    <w:rsid w:val="008E562F"/>
    <w:rsid w:val="008E5B9D"/>
    <w:rsid w:val="008E5E7C"/>
    <w:rsid w:val="008E5FE1"/>
    <w:rsid w:val="008E6AEF"/>
    <w:rsid w:val="008E7153"/>
    <w:rsid w:val="008E7362"/>
    <w:rsid w:val="008E749F"/>
    <w:rsid w:val="008E7A30"/>
    <w:rsid w:val="008E7AE4"/>
    <w:rsid w:val="008F0362"/>
    <w:rsid w:val="008F041C"/>
    <w:rsid w:val="008F07DD"/>
    <w:rsid w:val="008F0F49"/>
    <w:rsid w:val="008F1552"/>
    <w:rsid w:val="008F1673"/>
    <w:rsid w:val="008F1682"/>
    <w:rsid w:val="008F18E1"/>
    <w:rsid w:val="008F1FB7"/>
    <w:rsid w:val="008F2061"/>
    <w:rsid w:val="008F2261"/>
    <w:rsid w:val="008F29B9"/>
    <w:rsid w:val="008F2CF1"/>
    <w:rsid w:val="008F3144"/>
    <w:rsid w:val="008F322D"/>
    <w:rsid w:val="008F336E"/>
    <w:rsid w:val="008F349F"/>
    <w:rsid w:val="008F37F9"/>
    <w:rsid w:val="008F4475"/>
    <w:rsid w:val="008F4BFB"/>
    <w:rsid w:val="008F4DF3"/>
    <w:rsid w:val="008F5070"/>
    <w:rsid w:val="008F50A4"/>
    <w:rsid w:val="008F5704"/>
    <w:rsid w:val="008F59B1"/>
    <w:rsid w:val="008F5B48"/>
    <w:rsid w:val="008F5B9D"/>
    <w:rsid w:val="008F604C"/>
    <w:rsid w:val="008F63BF"/>
    <w:rsid w:val="008F685B"/>
    <w:rsid w:val="008F6ED7"/>
    <w:rsid w:val="008F7658"/>
    <w:rsid w:val="008F7711"/>
    <w:rsid w:val="008F7926"/>
    <w:rsid w:val="008F7C8D"/>
    <w:rsid w:val="008F7DB3"/>
    <w:rsid w:val="0090004B"/>
    <w:rsid w:val="009005BA"/>
    <w:rsid w:val="0090064D"/>
    <w:rsid w:val="00900898"/>
    <w:rsid w:val="00900F75"/>
    <w:rsid w:val="00900FB0"/>
    <w:rsid w:val="0090115D"/>
    <w:rsid w:val="0090169F"/>
    <w:rsid w:val="0090185B"/>
    <w:rsid w:val="009018E5"/>
    <w:rsid w:val="00901AD3"/>
    <w:rsid w:val="00901B39"/>
    <w:rsid w:val="00902463"/>
    <w:rsid w:val="00902ED4"/>
    <w:rsid w:val="009030F3"/>
    <w:rsid w:val="0090324C"/>
    <w:rsid w:val="0090337E"/>
    <w:rsid w:val="00903D73"/>
    <w:rsid w:val="00903E5B"/>
    <w:rsid w:val="00903F1E"/>
    <w:rsid w:val="009044FE"/>
    <w:rsid w:val="00904704"/>
    <w:rsid w:val="00904994"/>
    <w:rsid w:val="00904B4F"/>
    <w:rsid w:val="00904D33"/>
    <w:rsid w:val="00904D86"/>
    <w:rsid w:val="00905CD2"/>
    <w:rsid w:val="00905D15"/>
    <w:rsid w:val="009060B7"/>
    <w:rsid w:val="0090675B"/>
    <w:rsid w:val="00906D05"/>
    <w:rsid w:val="009072B3"/>
    <w:rsid w:val="0090732E"/>
    <w:rsid w:val="00907334"/>
    <w:rsid w:val="0090749F"/>
    <w:rsid w:val="0090754D"/>
    <w:rsid w:val="00907580"/>
    <w:rsid w:val="00907688"/>
    <w:rsid w:val="00907A7A"/>
    <w:rsid w:val="00910D52"/>
    <w:rsid w:val="0091120C"/>
    <w:rsid w:val="0091124A"/>
    <w:rsid w:val="00911751"/>
    <w:rsid w:val="00911793"/>
    <w:rsid w:val="009121B7"/>
    <w:rsid w:val="0091238D"/>
    <w:rsid w:val="00912742"/>
    <w:rsid w:val="00912831"/>
    <w:rsid w:val="00912C2A"/>
    <w:rsid w:val="00912D5D"/>
    <w:rsid w:val="00912DEE"/>
    <w:rsid w:val="00912DF9"/>
    <w:rsid w:val="00912F42"/>
    <w:rsid w:val="00913083"/>
    <w:rsid w:val="0091321A"/>
    <w:rsid w:val="00913260"/>
    <w:rsid w:val="009132B3"/>
    <w:rsid w:val="00913D69"/>
    <w:rsid w:val="00914083"/>
    <w:rsid w:val="00914495"/>
    <w:rsid w:val="009145AE"/>
    <w:rsid w:val="00914CA2"/>
    <w:rsid w:val="00914D45"/>
    <w:rsid w:val="00914E8A"/>
    <w:rsid w:val="0091508D"/>
    <w:rsid w:val="009150E7"/>
    <w:rsid w:val="009150F5"/>
    <w:rsid w:val="009153DD"/>
    <w:rsid w:val="0091549F"/>
    <w:rsid w:val="0091554F"/>
    <w:rsid w:val="0091586C"/>
    <w:rsid w:val="00915D65"/>
    <w:rsid w:val="00915D96"/>
    <w:rsid w:val="0091642A"/>
    <w:rsid w:val="009167A4"/>
    <w:rsid w:val="00916976"/>
    <w:rsid w:val="009169A7"/>
    <w:rsid w:val="00916C23"/>
    <w:rsid w:val="00916F74"/>
    <w:rsid w:val="009170CC"/>
    <w:rsid w:val="00917263"/>
    <w:rsid w:val="0091740E"/>
    <w:rsid w:val="009177B4"/>
    <w:rsid w:val="0091796B"/>
    <w:rsid w:val="00917DC5"/>
    <w:rsid w:val="009201C0"/>
    <w:rsid w:val="009204EC"/>
    <w:rsid w:val="00920B7D"/>
    <w:rsid w:val="00920D24"/>
    <w:rsid w:val="00920D2D"/>
    <w:rsid w:val="00920DCF"/>
    <w:rsid w:val="00920FAF"/>
    <w:rsid w:val="0092144E"/>
    <w:rsid w:val="0092204F"/>
    <w:rsid w:val="0092213E"/>
    <w:rsid w:val="0092218C"/>
    <w:rsid w:val="00922368"/>
    <w:rsid w:val="00922A5E"/>
    <w:rsid w:val="00922B53"/>
    <w:rsid w:val="00922C74"/>
    <w:rsid w:val="00923209"/>
    <w:rsid w:val="00923211"/>
    <w:rsid w:val="00923935"/>
    <w:rsid w:val="00923CA9"/>
    <w:rsid w:val="00924071"/>
    <w:rsid w:val="009240E9"/>
    <w:rsid w:val="00924C8A"/>
    <w:rsid w:val="00924CA9"/>
    <w:rsid w:val="0092539C"/>
    <w:rsid w:val="00925C19"/>
    <w:rsid w:val="0092645C"/>
    <w:rsid w:val="009268B6"/>
    <w:rsid w:val="00926B6D"/>
    <w:rsid w:val="00926DEF"/>
    <w:rsid w:val="00927211"/>
    <w:rsid w:val="00927344"/>
    <w:rsid w:val="0092763E"/>
    <w:rsid w:val="009276CF"/>
    <w:rsid w:val="00927716"/>
    <w:rsid w:val="009279F7"/>
    <w:rsid w:val="00927C58"/>
    <w:rsid w:val="00927E5C"/>
    <w:rsid w:val="00930344"/>
    <w:rsid w:val="009307E3"/>
    <w:rsid w:val="00930B58"/>
    <w:rsid w:val="00931291"/>
    <w:rsid w:val="00931329"/>
    <w:rsid w:val="009316AF"/>
    <w:rsid w:val="00931AF7"/>
    <w:rsid w:val="009325E6"/>
    <w:rsid w:val="00932662"/>
    <w:rsid w:val="00932C98"/>
    <w:rsid w:val="00932D3A"/>
    <w:rsid w:val="00932F6B"/>
    <w:rsid w:val="00933955"/>
    <w:rsid w:val="00933A1A"/>
    <w:rsid w:val="00933C3E"/>
    <w:rsid w:val="00933D1F"/>
    <w:rsid w:val="00933D9E"/>
    <w:rsid w:val="00933F4F"/>
    <w:rsid w:val="00933F51"/>
    <w:rsid w:val="00933FCA"/>
    <w:rsid w:val="009345D8"/>
    <w:rsid w:val="0093490D"/>
    <w:rsid w:val="009349C1"/>
    <w:rsid w:val="00934C12"/>
    <w:rsid w:val="009350E6"/>
    <w:rsid w:val="0093568C"/>
    <w:rsid w:val="00935D15"/>
    <w:rsid w:val="0093637C"/>
    <w:rsid w:val="00936CD3"/>
    <w:rsid w:val="00936F6F"/>
    <w:rsid w:val="00936FF6"/>
    <w:rsid w:val="009372D6"/>
    <w:rsid w:val="0093791E"/>
    <w:rsid w:val="00937930"/>
    <w:rsid w:val="00940315"/>
    <w:rsid w:val="009403BE"/>
    <w:rsid w:val="00940497"/>
    <w:rsid w:val="0094069E"/>
    <w:rsid w:val="009414A3"/>
    <w:rsid w:val="00941731"/>
    <w:rsid w:val="009417E6"/>
    <w:rsid w:val="009417EE"/>
    <w:rsid w:val="00941E1F"/>
    <w:rsid w:val="00941FF0"/>
    <w:rsid w:val="00942150"/>
    <w:rsid w:val="009421BB"/>
    <w:rsid w:val="0094220E"/>
    <w:rsid w:val="009425BD"/>
    <w:rsid w:val="00942A21"/>
    <w:rsid w:val="00942AA8"/>
    <w:rsid w:val="00942CAE"/>
    <w:rsid w:val="009431D6"/>
    <w:rsid w:val="009434C5"/>
    <w:rsid w:val="00943D6F"/>
    <w:rsid w:val="00943DC2"/>
    <w:rsid w:val="00944373"/>
    <w:rsid w:val="00944671"/>
    <w:rsid w:val="009450F0"/>
    <w:rsid w:val="009451D1"/>
    <w:rsid w:val="0094542F"/>
    <w:rsid w:val="009456D4"/>
    <w:rsid w:val="00945D93"/>
    <w:rsid w:val="00945DF8"/>
    <w:rsid w:val="009465C2"/>
    <w:rsid w:val="009466D1"/>
    <w:rsid w:val="00946BE3"/>
    <w:rsid w:val="00946BF2"/>
    <w:rsid w:val="00947191"/>
    <w:rsid w:val="00947345"/>
    <w:rsid w:val="00947403"/>
    <w:rsid w:val="00947454"/>
    <w:rsid w:val="0094787A"/>
    <w:rsid w:val="00947B33"/>
    <w:rsid w:val="00947DD1"/>
    <w:rsid w:val="00950003"/>
    <w:rsid w:val="00950228"/>
    <w:rsid w:val="0095024C"/>
    <w:rsid w:val="00950294"/>
    <w:rsid w:val="00950432"/>
    <w:rsid w:val="009504DB"/>
    <w:rsid w:val="00950829"/>
    <w:rsid w:val="00950FB0"/>
    <w:rsid w:val="00950FD1"/>
    <w:rsid w:val="0095133E"/>
    <w:rsid w:val="0095137C"/>
    <w:rsid w:val="0095143F"/>
    <w:rsid w:val="009515DC"/>
    <w:rsid w:val="0095181B"/>
    <w:rsid w:val="00951F0A"/>
    <w:rsid w:val="00952328"/>
    <w:rsid w:val="009524C7"/>
    <w:rsid w:val="009525BC"/>
    <w:rsid w:val="009529D4"/>
    <w:rsid w:val="00952BA7"/>
    <w:rsid w:val="00952D51"/>
    <w:rsid w:val="00952EA6"/>
    <w:rsid w:val="00952EEB"/>
    <w:rsid w:val="00953328"/>
    <w:rsid w:val="00953533"/>
    <w:rsid w:val="00953631"/>
    <w:rsid w:val="00953890"/>
    <w:rsid w:val="009541E8"/>
    <w:rsid w:val="00954217"/>
    <w:rsid w:val="009542EC"/>
    <w:rsid w:val="00954761"/>
    <w:rsid w:val="009548DA"/>
    <w:rsid w:val="009549A6"/>
    <w:rsid w:val="009549F9"/>
    <w:rsid w:val="00954E70"/>
    <w:rsid w:val="00954EB6"/>
    <w:rsid w:val="00955C08"/>
    <w:rsid w:val="00956207"/>
    <w:rsid w:val="00956443"/>
    <w:rsid w:val="00956F7D"/>
    <w:rsid w:val="0095739B"/>
    <w:rsid w:val="00957574"/>
    <w:rsid w:val="00957B03"/>
    <w:rsid w:val="00957BB2"/>
    <w:rsid w:val="00957C8B"/>
    <w:rsid w:val="0096031D"/>
    <w:rsid w:val="00960FBB"/>
    <w:rsid w:val="0096120B"/>
    <w:rsid w:val="00961280"/>
    <w:rsid w:val="0096144D"/>
    <w:rsid w:val="009616AB"/>
    <w:rsid w:val="00961BC2"/>
    <w:rsid w:val="00961BC8"/>
    <w:rsid w:val="00961C53"/>
    <w:rsid w:val="00961CA7"/>
    <w:rsid w:val="00961CB3"/>
    <w:rsid w:val="00961D38"/>
    <w:rsid w:val="00961D96"/>
    <w:rsid w:val="00961EC0"/>
    <w:rsid w:val="00962108"/>
    <w:rsid w:val="00962B41"/>
    <w:rsid w:val="00962B56"/>
    <w:rsid w:val="00962EC9"/>
    <w:rsid w:val="00963101"/>
    <w:rsid w:val="00963102"/>
    <w:rsid w:val="0096313A"/>
    <w:rsid w:val="0096327E"/>
    <w:rsid w:val="009632AB"/>
    <w:rsid w:val="009633AC"/>
    <w:rsid w:val="009634FF"/>
    <w:rsid w:val="009638B3"/>
    <w:rsid w:val="009638F0"/>
    <w:rsid w:val="00963971"/>
    <w:rsid w:val="009639AA"/>
    <w:rsid w:val="00963D14"/>
    <w:rsid w:val="00963DFB"/>
    <w:rsid w:val="00964278"/>
    <w:rsid w:val="00964475"/>
    <w:rsid w:val="00964489"/>
    <w:rsid w:val="009646BA"/>
    <w:rsid w:val="009646FB"/>
    <w:rsid w:val="00964A7B"/>
    <w:rsid w:val="00964DE4"/>
    <w:rsid w:val="00965084"/>
    <w:rsid w:val="00965527"/>
    <w:rsid w:val="00965622"/>
    <w:rsid w:val="009656A3"/>
    <w:rsid w:val="00965740"/>
    <w:rsid w:val="00965A27"/>
    <w:rsid w:val="00965EF3"/>
    <w:rsid w:val="00966095"/>
    <w:rsid w:val="0096617A"/>
    <w:rsid w:val="0096627F"/>
    <w:rsid w:val="009665DD"/>
    <w:rsid w:val="0096665E"/>
    <w:rsid w:val="0096695D"/>
    <w:rsid w:val="00966B75"/>
    <w:rsid w:val="00966D63"/>
    <w:rsid w:val="00966F3F"/>
    <w:rsid w:val="009673F6"/>
    <w:rsid w:val="00967EBC"/>
    <w:rsid w:val="009703BC"/>
    <w:rsid w:val="0097077D"/>
    <w:rsid w:val="00970C34"/>
    <w:rsid w:val="00970D81"/>
    <w:rsid w:val="0097159B"/>
    <w:rsid w:val="00971A2F"/>
    <w:rsid w:val="00971AF7"/>
    <w:rsid w:val="009723C3"/>
    <w:rsid w:val="00972427"/>
    <w:rsid w:val="009725E5"/>
    <w:rsid w:val="00972696"/>
    <w:rsid w:val="00972BBA"/>
    <w:rsid w:val="00972FBB"/>
    <w:rsid w:val="009730C4"/>
    <w:rsid w:val="00973A21"/>
    <w:rsid w:val="00973D62"/>
    <w:rsid w:val="00973DEF"/>
    <w:rsid w:val="00974231"/>
    <w:rsid w:val="00974D3E"/>
    <w:rsid w:val="009753BC"/>
    <w:rsid w:val="009757FE"/>
    <w:rsid w:val="009763AF"/>
    <w:rsid w:val="009764ED"/>
    <w:rsid w:val="00976511"/>
    <w:rsid w:val="00976D7A"/>
    <w:rsid w:val="00976DCE"/>
    <w:rsid w:val="00976EDE"/>
    <w:rsid w:val="00976F42"/>
    <w:rsid w:val="0097748F"/>
    <w:rsid w:val="00977B25"/>
    <w:rsid w:val="00977FA7"/>
    <w:rsid w:val="00977FB0"/>
    <w:rsid w:val="00980471"/>
    <w:rsid w:val="009807D3"/>
    <w:rsid w:val="00980853"/>
    <w:rsid w:val="00980B3B"/>
    <w:rsid w:val="0098103A"/>
    <w:rsid w:val="00981660"/>
    <w:rsid w:val="009817FB"/>
    <w:rsid w:val="009818E6"/>
    <w:rsid w:val="00981A2B"/>
    <w:rsid w:val="00981BBC"/>
    <w:rsid w:val="009827B6"/>
    <w:rsid w:val="00982957"/>
    <w:rsid w:val="009830BC"/>
    <w:rsid w:val="0098332C"/>
    <w:rsid w:val="00983485"/>
    <w:rsid w:val="009834A7"/>
    <w:rsid w:val="009838B6"/>
    <w:rsid w:val="00983B08"/>
    <w:rsid w:val="0098406B"/>
    <w:rsid w:val="00984373"/>
    <w:rsid w:val="009843BA"/>
    <w:rsid w:val="00984448"/>
    <w:rsid w:val="0098467B"/>
    <w:rsid w:val="00984680"/>
    <w:rsid w:val="009847F5"/>
    <w:rsid w:val="00984BED"/>
    <w:rsid w:val="00984C9C"/>
    <w:rsid w:val="00984D67"/>
    <w:rsid w:val="00984D8B"/>
    <w:rsid w:val="00985106"/>
    <w:rsid w:val="00985186"/>
    <w:rsid w:val="009854C7"/>
    <w:rsid w:val="009855DE"/>
    <w:rsid w:val="0098573B"/>
    <w:rsid w:val="00985795"/>
    <w:rsid w:val="009858DE"/>
    <w:rsid w:val="00985A52"/>
    <w:rsid w:val="0098629D"/>
    <w:rsid w:val="00986999"/>
    <w:rsid w:val="009869EE"/>
    <w:rsid w:val="00986E04"/>
    <w:rsid w:val="00986FAC"/>
    <w:rsid w:val="009873FE"/>
    <w:rsid w:val="009876A6"/>
    <w:rsid w:val="00987DCF"/>
    <w:rsid w:val="0098E90F"/>
    <w:rsid w:val="009901E4"/>
    <w:rsid w:val="00990D23"/>
    <w:rsid w:val="00990F03"/>
    <w:rsid w:val="00991131"/>
    <w:rsid w:val="00991A52"/>
    <w:rsid w:val="00992042"/>
    <w:rsid w:val="00992416"/>
    <w:rsid w:val="0099276F"/>
    <w:rsid w:val="00992D14"/>
    <w:rsid w:val="0099303D"/>
    <w:rsid w:val="0099311E"/>
    <w:rsid w:val="00993426"/>
    <w:rsid w:val="00993822"/>
    <w:rsid w:val="00993893"/>
    <w:rsid w:val="00994039"/>
    <w:rsid w:val="00994879"/>
    <w:rsid w:val="00994955"/>
    <w:rsid w:val="00994A16"/>
    <w:rsid w:val="00994D5D"/>
    <w:rsid w:val="00994F64"/>
    <w:rsid w:val="00995152"/>
    <w:rsid w:val="0099529E"/>
    <w:rsid w:val="009956E6"/>
    <w:rsid w:val="00995A5E"/>
    <w:rsid w:val="0099629F"/>
    <w:rsid w:val="00997572"/>
    <w:rsid w:val="0099782B"/>
    <w:rsid w:val="00997B0B"/>
    <w:rsid w:val="009A0272"/>
    <w:rsid w:val="009A0F2F"/>
    <w:rsid w:val="009A144D"/>
    <w:rsid w:val="009A1621"/>
    <w:rsid w:val="009A16B1"/>
    <w:rsid w:val="009A1B89"/>
    <w:rsid w:val="009A1E61"/>
    <w:rsid w:val="009A24DB"/>
    <w:rsid w:val="009A2601"/>
    <w:rsid w:val="009A2613"/>
    <w:rsid w:val="009A26C4"/>
    <w:rsid w:val="009A2B64"/>
    <w:rsid w:val="009A2F0D"/>
    <w:rsid w:val="009A3363"/>
    <w:rsid w:val="009A3B0C"/>
    <w:rsid w:val="009A469D"/>
    <w:rsid w:val="009A4724"/>
    <w:rsid w:val="009A4974"/>
    <w:rsid w:val="009A5134"/>
    <w:rsid w:val="009A5948"/>
    <w:rsid w:val="009A5A86"/>
    <w:rsid w:val="009A5B0C"/>
    <w:rsid w:val="009A6152"/>
    <w:rsid w:val="009A6199"/>
    <w:rsid w:val="009A6303"/>
    <w:rsid w:val="009A6346"/>
    <w:rsid w:val="009A6763"/>
    <w:rsid w:val="009A6EC3"/>
    <w:rsid w:val="009A7999"/>
    <w:rsid w:val="009B0043"/>
    <w:rsid w:val="009B0345"/>
    <w:rsid w:val="009B0CB2"/>
    <w:rsid w:val="009B1444"/>
    <w:rsid w:val="009B18D7"/>
    <w:rsid w:val="009B1D13"/>
    <w:rsid w:val="009B1E2D"/>
    <w:rsid w:val="009B21B3"/>
    <w:rsid w:val="009B2276"/>
    <w:rsid w:val="009B294F"/>
    <w:rsid w:val="009B2C87"/>
    <w:rsid w:val="009B3221"/>
    <w:rsid w:val="009B330A"/>
    <w:rsid w:val="009B3362"/>
    <w:rsid w:val="009B36F0"/>
    <w:rsid w:val="009B3875"/>
    <w:rsid w:val="009B3E39"/>
    <w:rsid w:val="009B3F13"/>
    <w:rsid w:val="009B4228"/>
    <w:rsid w:val="009B45A6"/>
    <w:rsid w:val="009B4C2E"/>
    <w:rsid w:val="009B5655"/>
    <w:rsid w:val="009B5FFA"/>
    <w:rsid w:val="009B6410"/>
    <w:rsid w:val="009B6551"/>
    <w:rsid w:val="009B6583"/>
    <w:rsid w:val="009B66CE"/>
    <w:rsid w:val="009B6EAB"/>
    <w:rsid w:val="009B6EEE"/>
    <w:rsid w:val="009B7112"/>
    <w:rsid w:val="009B7126"/>
    <w:rsid w:val="009B7AD6"/>
    <w:rsid w:val="009B7DD7"/>
    <w:rsid w:val="009C014D"/>
    <w:rsid w:val="009C0A97"/>
    <w:rsid w:val="009C0E3C"/>
    <w:rsid w:val="009C1654"/>
    <w:rsid w:val="009C1964"/>
    <w:rsid w:val="009C1A79"/>
    <w:rsid w:val="009C1C09"/>
    <w:rsid w:val="009C1DED"/>
    <w:rsid w:val="009C2304"/>
    <w:rsid w:val="009C2502"/>
    <w:rsid w:val="009C26EC"/>
    <w:rsid w:val="009C2743"/>
    <w:rsid w:val="009C2D9E"/>
    <w:rsid w:val="009C3033"/>
    <w:rsid w:val="009C3120"/>
    <w:rsid w:val="009C3152"/>
    <w:rsid w:val="009C339E"/>
    <w:rsid w:val="009C3982"/>
    <w:rsid w:val="009C3ADA"/>
    <w:rsid w:val="009C3D3E"/>
    <w:rsid w:val="009C3ED0"/>
    <w:rsid w:val="009C3EDB"/>
    <w:rsid w:val="009C467C"/>
    <w:rsid w:val="009C54CC"/>
    <w:rsid w:val="009C5517"/>
    <w:rsid w:val="009C5868"/>
    <w:rsid w:val="009C699F"/>
    <w:rsid w:val="009C6C89"/>
    <w:rsid w:val="009C6D23"/>
    <w:rsid w:val="009C6D6F"/>
    <w:rsid w:val="009C75A7"/>
    <w:rsid w:val="009C78C3"/>
    <w:rsid w:val="009C7E94"/>
    <w:rsid w:val="009C7FC5"/>
    <w:rsid w:val="009C7FD7"/>
    <w:rsid w:val="009D0235"/>
    <w:rsid w:val="009D0303"/>
    <w:rsid w:val="009D1A4F"/>
    <w:rsid w:val="009D1AA7"/>
    <w:rsid w:val="009D1C3E"/>
    <w:rsid w:val="009D1CA6"/>
    <w:rsid w:val="009D1F20"/>
    <w:rsid w:val="009D2023"/>
    <w:rsid w:val="009D20DC"/>
    <w:rsid w:val="009D2314"/>
    <w:rsid w:val="009D231A"/>
    <w:rsid w:val="009D25B3"/>
    <w:rsid w:val="009D295F"/>
    <w:rsid w:val="009D2AE1"/>
    <w:rsid w:val="009D2C08"/>
    <w:rsid w:val="009D2E6E"/>
    <w:rsid w:val="009D2F8F"/>
    <w:rsid w:val="009D3235"/>
    <w:rsid w:val="009D334D"/>
    <w:rsid w:val="009D335F"/>
    <w:rsid w:val="009D33E4"/>
    <w:rsid w:val="009D366A"/>
    <w:rsid w:val="009D376F"/>
    <w:rsid w:val="009D39DB"/>
    <w:rsid w:val="009D3D10"/>
    <w:rsid w:val="009D3E24"/>
    <w:rsid w:val="009D4127"/>
    <w:rsid w:val="009D41BB"/>
    <w:rsid w:val="009D48BE"/>
    <w:rsid w:val="009D4A32"/>
    <w:rsid w:val="009D4C82"/>
    <w:rsid w:val="009D53BE"/>
    <w:rsid w:val="009D59DB"/>
    <w:rsid w:val="009D5EE2"/>
    <w:rsid w:val="009D5F46"/>
    <w:rsid w:val="009D6826"/>
    <w:rsid w:val="009D6A33"/>
    <w:rsid w:val="009D6C6E"/>
    <w:rsid w:val="009D6F2F"/>
    <w:rsid w:val="009D71AC"/>
    <w:rsid w:val="009D736B"/>
    <w:rsid w:val="009D75B7"/>
    <w:rsid w:val="009D75BD"/>
    <w:rsid w:val="009D75F7"/>
    <w:rsid w:val="009D760B"/>
    <w:rsid w:val="009D7A0B"/>
    <w:rsid w:val="009D7BC9"/>
    <w:rsid w:val="009D7D84"/>
    <w:rsid w:val="009D9EFA"/>
    <w:rsid w:val="009E0294"/>
    <w:rsid w:val="009E0334"/>
    <w:rsid w:val="009E06F2"/>
    <w:rsid w:val="009E0C7C"/>
    <w:rsid w:val="009E109C"/>
    <w:rsid w:val="009E10D0"/>
    <w:rsid w:val="009E1606"/>
    <w:rsid w:val="009E16D3"/>
    <w:rsid w:val="009E174B"/>
    <w:rsid w:val="009E1D64"/>
    <w:rsid w:val="009E1EB8"/>
    <w:rsid w:val="009E2224"/>
    <w:rsid w:val="009E2594"/>
    <w:rsid w:val="009E2B29"/>
    <w:rsid w:val="009E2E3B"/>
    <w:rsid w:val="009E30B0"/>
    <w:rsid w:val="009E3178"/>
    <w:rsid w:val="009E32F9"/>
    <w:rsid w:val="009E388E"/>
    <w:rsid w:val="009E3FF9"/>
    <w:rsid w:val="009E412F"/>
    <w:rsid w:val="009E491C"/>
    <w:rsid w:val="009E4AAA"/>
    <w:rsid w:val="009E4E87"/>
    <w:rsid w:val="009E503F"/>
    <w:rsid w:val="009E5040"/>
    <w:rsid w:val="009E5209"/>
    <w:rsid w:val="009E558F"/>
    <w:rsid w:val="009E5797"/>
    <w:rsid w:val="009E5F5F"/>
    <w:rsid w:val="009E644C"/>
    <w:rsid w:val="009E78FE"/>
    <w:rsid w:val="009E7BB8"/>
    <w:rsid w:val="009F01DA"/>
    <w:rsid w:val="009F06A0"/>
    <w:rsid w:val="009F06DE"/>
    <w:rsid w:val="009F09A1"/>
    <w:rsid w:val="009F0C79"/>
    <w:rsid w:val="009F0CFD"/>
    <w:rsid w:val="009F1390"/>
    <w:rsid w:val="009F156A"/>
    <w:rsid w:val="009F19E5"/>
    <w:rsid w:val="009F1B90"/>
    <w:rsid w:val="009F2012"/>
    <w:rsid w:val="009F2999"/>
    <w:rsid w:val="009F2CFA"/>
    <w:rsid w:val="009F2DE8"/>
    <w:rsid w:val="009F2DF5"/>
    <w:rsid w:val="009F30A1"/>
    <w:rsid w:val="009F310E"/>
    <w:rsid w:val="009F3B12"/>
    <w:rsid w:val="009F3D23"/>
    <w:rsid w:val="009F422A"/>
    <w:rsid w:val="009F468B"/>
    <w:rsid w:val="009F4B8F"/>
    <w:rsid w:val="009F5248"/>
    <w:rsid w:val="009F5328"/>
    <w:rsid w:val="009F534E"/>
    <w:rsid w:val="009F53AD"/>
    <w:rsid w:val="009F5649"/>
    <w:rsid w:val="009F56D3"/>
    <w:rsid w:val="009F5701"/>
    <w:rsid w:val="009F5794"/>
    <w:rsid w:val="009F57B7"/>
    <w:rsid w:val="009F5AEA"/>
    <w:rsid w:val="009F61CD"/>
    <w:rsid w:val="009F6717"/>
    <w:rsid w:val="009F67F1"/>
    <w:rsid w:val="009F762E"/>
    <w:rsid w:val="009F77E6"/>
    <w:rsid w:val="009F78C8"/>
    <w:rsid w:val="009F7E3F"/>
    <w:rsid w:val="00A006AF"/>
    <w:rsid w:val="00A008CF"/>
    <w:rsid w:val="00A00B1D"/>
    <w:rsid w:val="00A00BB0"/>
    <w:rsid w:val="00A00D54"/>
    <w:rsid w:val="00A00D8B"/>
    <w:rsid w:val="00A00E60"/>
    <w:rsid w:val="00A011BC"/>
    <w:rsid w:val="00A01780"/>
    <w:rsid w:val="00A018CC"/>
    <w:rsid w:val="00A0253C"/>
    <w:rsid w:val="00A02649"/>
    <w:rsid w:val="00A02839"/>
    <w:rsid w:val="00A02ACA"/>
    <w:rsid w:val="00A02C63"/>
    <w:rsid w:val="00A02DB8"/>
    <w:rsid w:val="00A02ECF"/>
    <w:rsid w:val="00A02ED1"/>
    <w:rsid w:val="00A02ED4"/>
    <w:rsid w:val="00A02EFA"/>
    <w:rsid w:val="00A03172"/>
    <w:rsid w:val="00A036D5"/>
    <w:rsid w:val="00A03A03"/>
    <w:rsid w:val="00A03C3F"/>
    <w:rsid w:val="00A03D53"/>
    <w:rsid w:val="00A03D69"/>
    <w:rsid w:val="00A03E85"/>
    <w:rsid w:val="00A040D4"/>
    <w:rsid w:val="00A04560"/>
    <w:rsid w:val="00A049EF"/>
    <w:rsid w:val="00A04D6D"/>
    <w:rsid w:val="00A04EC3"/>
    <w:rsid w:val="00A050A1"/>
    <w:rsid w:val="00A05892"/>
    <w:rsid w:val="00A059C7"/>
    <w:rsid w:val="00A05D23"/>
    <w:rsid w:val="00A06283"/>
    <w:rsid w:val="00A06458"/>
    <w:rsid w:val="00A06D8F"/>
    <w:rsid w:val="00A06F41"/>
    <w:rsid w:val="00A07018"/>
    <w:rsid w:val="00A072BC"/>
    <w:rsid w:val="00A0730F"/>
    <w:rsid w:val="00A07545"/>
    <w:rsid w:val="00A07650"/>
    <w:rsid w:val="00A07D0F"/>
    <w:rsid w:val="00A1052A"/>
    <w:rsid w:val="00A107A0"/>
    <w:rsid w:val="00A107E4"/>
    <w:rsid w:val="00A10D72"/>
    <w:rsid w:val="00A10D8A"/>
    <w:rsid w:val="00A10D94"/>
    <w:rsid w:val="00A113E9"/>
    <w:rsid w:val="00A115C7"/>
    <w:rsid w:val="00A115FA"/>
    <w:rsid w:val="00A1180F"/>
    <w:rsid w:val="00A11966"/>
    <w:rsid w:val="00A11B65"/>
    <w:rsid w:val="00A11C23"/>
    <w:rsid w:val="00A11C26"/>
    <w:rsid w:val="00A11C4B"/>
    <w:rsid w:val="00A11DD1"/>
    <w:rsid w:val="00A11E08"/>
    <w:rsid w:val="00A11EFC"/>
    <w:rsid w:val="00A12641"/>
    <w:rsid w:val="00A12971"/>
    <w:rsid w:val="00A12A87"/>
    <w:rsid w:val="00A12D9D"/>
    <w:rsid w:val="00A130D4"/>
    <w:rsid w:val="00A13466"/>
    <w:rsid w:val="00A13E1B"/>
    <w:rsid w:val="00A14BE0"/>
    <w:rsid w:val="00A15112"/>
    <w:rsid w:val="00A1515D"/>
    <w:rsid w:val="00A1560D"/>
    <w:rsid w:val="00A15CAD"/>
    <w:rsid w:val="00A1640F"/>
    <w:rsid w:val="00A16523"/>
    <w:rsid w:val="00A16A60"/>
    <w:rsid w:val="00A16BA3"/>
    <w:rsid w:val="00A16BBC"/>
    <w:rsid w:val="00A16EBA"/>
    <w:rsid w:val="00A17518"/>
    <w:rsid w:val="00A17686"/>
    <w:rsid w:val="00A176A8"/>
    <w:rsid w:val="00A17AB3"/>
    <w:rsid w:val="00A201E0"/>
    <w:rsid w:val="00A203F1"/>
    <w:rsid w:val="00A204A5"/>
    <w:rsid w:val="00A2063A"/>
    <w:rsid w:val="00A2144F"/>
    <w:rsid w:val="00A2155B"/>
    <w:rsid w:val="00A2156A"/>
    <w:rsid w:val="00A21D17"/>
    <w:rsid w:val="00A22008"/>
    <w:rsid w:val="00A2242C"/>
    <w:rsid w:val="00A22678"/>
    <w:rsid w:val="00A227AB"/>
    <w:rsid w:val="00A228B2"/>
    <w:rsid w:val="00A22B52"/>
    <w:rsid w:val="00A22D47"/>
    <w:rsid w:val="00A236F8"/>
    <w:rsid w:val="00A23B35"/>
    <w:rsid w:val="00A24117"/>
    <w:rsid w:val="00A243AA"/>
    <w:rsid w:val="00A2489E"/>
    <w:rsid w:val="00A249EF"/>
    <w:rsid w:val="00A24E55"/>
    <w:rsid w:val="00A25F52"/>
    <w:rsid w:val="00A25F5F"/>
    <w:rsid w:val="00A264BB"/>
    <w:rsid w:val="00A26E37"/>
    <w:rsid w:val="00A26FD6"/>
    <w:rsid w:val="00A27099"/>
    <w:rsid w:val="00A273A8"/>
    <w:rsid w:val="00A2750B"/>
    <w:rsid w:val="00A27599"/>
    <w:rsid w:val="00A27B42"/>
    <w:rsid w:val="00A27BDE"/>
    <w:rsid w:val="00A27D42"/>
    <w:rsid w:val="00A27EA6"/>
    <w:rsid w:val="00A3005B"/>
    <w:rsid w:val="00A30292"/>
    <w:rsid w:val="00A3070D"/>
    <w:rsid w:val="00A30CF7"/>
    <w:rsid w:val="00A30E98"/>
    <w:rsid w:val="00A31370"/>
    <w:rsid w:val="00A31A86"/>
    <w:rsid w:val="00A31AF3"/>
    <w:rsid w:val="00A31C68"/>
    <w:rsid w:val="00A31C7C"/>
    <w:rsid w:val="00A31D32"/>
    <w:rsid w:val="00A31E8D"/>
    <w:rsid w:val="00A325FB"/>
    <w:rsid w:val="00A32810"/>
    <w:rsid w:val="00A328E2"/>
    <w:rsid w:val="00A3294B"/>
    <w:rsid w:val="00A32FFC"/>
    <w:rsid w:val="00A3314E"/>
    <w:rsid w:val="00A331A7"/>
    <w:rsid w:val="00A33535"/>
    <w:rsid w:val="00A339FD"/>
    <w:rsid w:val="00A34372"/>
    <w:rsid w:val="00A343D0"/>
    <w:rsid w:val="00A34E0E"/>
    <w:rsid w:val="00A34F0A"/>
    <w:rsid w:val="00A34FCD"/>
    <w:rsid w:val="00A34FDA"/>
    <w:rsid w:val="00A350D3"/>
    <w:rsid w:val="00A35B09"/>
    <w:rsid w:val="00A3630C"/>
    <w:rsid w:val="00A36327"/>
    <w:rsid w:val="00A3646E"/>
    <w:rsid w:val="00A3647D"/>
    <w:rsid w:val="00A365DA"/>
    <w:rsid w:val="00A367D4"/>
    <w:rsid w:val="00A36AE6"/>
    <w:rsid w:val="00A36D4C"/>
    <w:rsid w:val="00A36E06"/>
    <w:rsid w:val="00A37124"/>
    <w:rsid w:val="00A37B10"/>
    <w:rsid w:val="00A37BD8"/>
    <w:rsid w:val="00A403A0"/>
    <w:rsid w:val="00A40599"/>
    <w:rsid w:val="00A407C5"/>
    <w:rsid w:val="00A40A6C"/>
    <w:rsid w:val="00A41B1C"/>
    <w:rsid w:val="00A41CF7"/>
    <w:rsid w:val="00A428EF"/>
    <w:rsid w:val="00A42BC2"/>
    <w:rsid w:val="00A43011"/>
    <w:rsid w:val="00A43297"/>
    <w:rsid w:val="00A4338D"/>
    <w:rsid w:val="00A434ED"/>
    <w:rsid w:val="00A4376D"/>
    <w:rsid w:val="00A43F27"/>
    <w:rsid w:val="00A44037"/>
    <w:rsid w:val="00A44095"/>
    <w:rsid w:val="00A442AD"/>
    <w:rsid w:val="00A44399"/>
    <w:rsid w:val="00A446A8"/>
    <w:rsid w:val="00A446CE"/>
    <w:rsid w:val="00A44773"/>
    <w:rsid w:val="00A44B4D"/>
    <w:rsid w:val="00A44BAC"/>
    <w:rsid w:val="00A44DDA"/>
    <w:rsid w:val="00A4503D"/>
    <w:rsid w:val="00A451D9"/>
    <w:rsid w:val="00A45C25"/>
    <w:rsid w:val="00A4619B"/>
    <w:rsid w:val="00A465D1"/>
    <w:rsid w:val="00A46FCB"/>
    <w:rsid w:val="00A47074"/>
    <w:rsid w:val="00A47190"/>
    <w:rsid w:val="00A471E7"/>
    <w:rsid w:val="00A47847"/>
    <w:rsid w:val="00A478FE"/>
    <w:rsid w:val="00A4798C"/>
    <w:rsid w:val="00A47A19"/>
    <w:rsid w:val="00A47F5F"/>
    <w:rsid w:val="00A50498"/>
    <w:rsid w:val="00A50575"/>
    <w:rsid w:val="00A50681"/>
    <w:rsid w:val="00A50982"/>
    <w:rsid w:val="00A50B5A"/>
    <w:rsid w:val="00A5111A"/>
    <w:rsid w:val="00A51388"/>
    <w:rsid w:val="00A516DE"/>
    <w:rsid w:val="00A517FA"/>
    <w:rsid w:val="00A51CC3"/>
    <w:rsid w:val="00A521B7"/>
    <w:rsid w:val="00A5233E"/>
    <w:rsid w:val="00A52850"/>
    <w:rsid w:val="00A52D20"/>
    <w:rsid w:val="00A52FD8"/>
    <w:rsid w:val="00A5312F"/>
    <w:rsid w:val="00A5325B"/>
    <w:rsid w:val="00A53311"/>
    <w:rsid w:val="00A53648"/>
    <w:rsid w:val="00A53728"/>
    <w:rsid w:val="00A53B1B"/>
    <w:rsid w:val="00A53B3B"/>
    <w:rsid w:val="00A53D63"/>
    <w:rsid w:val="00A53EB2"/>
    <w:rsid w:val="00A53F92"/>
    <w:rsid w:val="00A54D4F"/>
    <w:rsid w:val="00A5510A"/>
    <w:rsid w:val="00A552AB"/>
    <w:rsid w:val="00A552CE"/>
    <w:rsid w:val="00A555EC"/>
    <w:rsid w:val="00A55749"/>
    <w:rsid w:val="00A557A1"/>
    <w:rsid w:val="00A5635C"/>
    <w:rsid w:val="00A563F3"/>
    <w:rsid w:val="00A5642E"/>
    <w:rsid w:val="00A56A75"/>
    <w:rsid w:val="00A56DA4"/>
    <w:rsid w:val="00A572D4"/>
    <w:rsid w:val="00A57711"/>
    <w:rsid w:val="00A57972"/>
    <w:rsid w:val="00A57B50"/>
    <w:rsid w:val="00A602A5"/>
    <w:rsid w:val="00A6065B"/>
    <w:rsid w:val="00A60A22"/>
    <w:rsid w:val="00A60AEA"/>
    <w:rsid w:val="00A60E2E"/>
    <w:rsid w:val="00A6116F"/>
    <w:rsid w:val="00A61D21"/>
    <w:rsid w:val="00A620B8"/>
    <w:rsid w:val="00A62277"/>
    <w:rsid w:val="00A62357"/>
    <w:rsid w:val="00A6268E"/>
    <w:rsid w:val="00A6286F"/>
    <w:rsid w:val="00A62945"/>
    <w:rsid w:val="00A62B93"/>
    <w:rsid w:val="00A62FDC"/>
    <w:rsid w:val="00A63032"/>
    <w:rsid w:val="00A634FB"/>
    <w:rsid w:val="00A6442F"/>
    <w:rsid w:val="00A644DB"/>
    <w:rsid w:val="00A64651"/>
    <w:rsid w:val="00A647A7"/>
    <w:rsid w:val="00A6549F"/>
    <w:rsid w:val="00A654DA"/>
    <w:rsid w:val="00A65AE7"/>
    <w:rsid w:val="00A65DD4"/>
    <w:rsid w:val="00A6627E"/>
    <w:rsid w:val="00A662E8"/>
    <w:rsid w:val="00A66E2B"/>
    <w:rsid w:val="00A66EF5"/>
    <w:rsid w:val="00A672D9"/>
    <w:rsid w:val="00A6739A"/>
    <w:rsid w:val="00A67E4E"/>
    <w:rsid w:val="00A67EC1"/>
    <w:rsid w:val="00A70138"/>
    <w:rsid w:val="00A70220"/>
    <w:rsid w:val="00A7030B"/>
    <w:rsid w:val="00A70803"/>
    <w:rsid w:val="00A7091F"/>
    <w:rsid w:val="00A709DA"/>
    <w:rsid w:val="00A70D63"/>
    <w:rsid w:val="00A70FC6"/>
    <w:rsid w:val="00A7119B"/>
    <w:rsid w:val="00A714AD"/>
    <w:rsid w:val="00A714E0"/>
    <w:rsid w:val="00A716B8"/>
    <w:rsid w:val="00A71C3A"/>
    <w:rsid w:val="00A7220F"/>
    <w:rsid w:val="00A72C1A"/>
    <w:rsid w:val="00A737E5"/>
    <w:rsid w:val="00A7392D"/>
    <w:rsid w:val="00A73B93"/>
    <w:rsid w:val="00A73CE3"/>
    <w:rsid w:val="00A7445A"/>
    <w:rsid w:val="00A74548"/>
    <w:rsid w:val="00A74609"/>
    <w:rsid w:val="00A75035"/>
    <w:rsid w:val="00A753CD"/>
    <w:rsid w:val="00A75801"/>
    <w:rsid w:val="00A759EE"/>
    <w:rsid w:val="00A75E50"/>
    <w:rsid w:val="00A76151"/>
    <w:rsid w:val="00A766A0"/>
    <w:rsid w:val="00A767A3"/>
    <w:rsid w:val="00A76913"/>
    <w:rsid w:val="00A76B92"/>
    <w:rsid w:val="00A76C8F"/>
    <w:rsid w:val="00A76D0D"/>
    <w:rsid w:val="00A77207"/>
    <w:rsid w:val="00A77A5C"/>
    <w:rsid w:val="00A77B4B"/>
    <w:rsid w:val="00A77C58"/>
    <w:rsid w:val="00A77D0F"/>
    <w:rsid w:val="00A8003C"/>
    <w:rsid w:val="00A80044"/>
    <w:rsid w:val="00A800FA"/>
    <w:rsid w:val="00A80316"/>
    <w:rsid w:val="00A804CE"/>
    <w:rsid w:val="00A805A7"/>
    <w:rsid w:val="00A807F4"/>
    <w:rsid w:val="00A80F1B"/>
    <w:rsid w:val="00A80F9F"/>
    <w:rsid w:val="00A81082"/>
    <w:rsid w:val="00A810D3"/>
    <w:rsid w:val="00A817F4"/>
    <w:rsid w:val="00A817FB"/>
    <w:rsid w:val="00A818A1"/>
    <w:rsid w:val="00A81EDF"/>
    <w:rsid w:val="00A82AC7"/>
    <w:rsid w:val="00A82B40"/>
    <w:rsid w:val="00A83016"/>
    <w:rsid w:val="00A830AA"/>
    <w:rsid w:val="00A836CA"/>
    <w:rsid w:val="00A83762"/>
    <w:rsid w:val="00A838AC"/>
    <w:rsid w:val="00A83C7D"/>
    <w:rsid w:val="00A83EF9"/>
    <w:rsid w:val="00A84015"/>
    <w:rsid w:val="00A84085"/>
    <w:rsid w:val="00A8424E"/>
    <w:rsid w:val="00A84882"/>
    <w:rsid w:val="00A84979"/>
    <w:rsid w:val="00A84D39"/>
    <w:rsid w:val="00A84FC5"/>
    <w:rsid w:val="00A850BD"/>
    <w:rsid w:val="00A854C5"/>
    <w:rsid w:val="00A85E59"/>
    <w:rsid w:val="00A862EA"/>
    <w:rsid w:val="00A86628"/>
    <w:rsid w:val="00A867DF"/>
    <w:rsid w:val="00A86A2D"/>
    <w:rsid w:val="00A86B6C"/>
    <w:rsid w:val="00A86CE0"/>
    <w:rsid w:val="00A874E0"/>
    <w:rsid w:val="00A87BA9"/>
    <w:rsid w:val="00A87F41"/>
    <w:rsid w:val="00A90270"/>
    <w:rsid w:val="00A903C6"/>
    <w:rsid w:val="00A909D1"/>
    <w:rsid w:val="00A90C64"/>
    <w:rsid w:val="00A90E50"/>
    <w:rsid w:val="00A910C8"/>
    <w:rsid w:val="00A9148B"/>
    <w:rsid w:val="00A9173B"/>
    <w:rsid w:val="00A91AC0"/>
    <w:rsid w:val="00A91F15"/>
    <w:rsid w:val="00A92014"/>
    <w:rsid w:val="00A92395"/>
    <w:rsid w:val="00A92603"/>
    <w:rsid w:val="00A92BB1"/>
    <w:rsid w:val="00A92DB7"/>
    <w:rsid w:val="00A92FD1"/>
    <w:rsid w:val="00A930B9"/>
    <w:rsid w:val="00A93411"/>
    <w:rsid w:val="00A93614"/>
    <w:rsid w:val="00A936A0"/>
    <w:rsid w:val="00A936CC"/>
    <w:rsid w:val="00A93DBB"/>
    <w:rsid w:val="00A93E4D"/>
    <w:rsid w:val="00A93F37"/>
    <w:rsid w:val="00A94100"/>
    <w:rsid w:val="00A94266"/>
    <w:rsid w:val="00A944FF"/>
    <w:rsid w:val="00A94596"/>
    <w:rsid w:val="00A9460C"/>
    <w:rsid w:val="00A9466D"/>
    <w:rsid w:val="00A948C4"/>
    <w:rsid w:val="00A94A2D"/>
    <w:rsid w:val="00A95377"/>
    <w:rsid w:val="00A95931"/>
    <w:rsid w:val="00A95EAA"/>
    <w:rsid w:val="00A95F46"/>
    <w:rsid w:val="00A96199"/>
    <w:rsid w:val="00A964DA"/>
    <w:rsid w:val="00A967D8"/>
    <w:rsid w:val="00A969BC"/>
    <w:rsid w:val="00A96C49"/>
    <w:rsid w:val="00A96D18"/>
    <w:rsid w:val="00A96E76"/>
    <w:rsid w:val="00A96FBA"/>
    <w:rsid w:val="00A97452"/>
    <w:rsid w:val="00A976A9"/>
    <w:rsid w:val="00A976BC"/>
    <w:rsid w:val="00A97BF8"/>
    <w:rsid w:val="00A97D51"/>
    <w:rsid w:val="00A97D77"/>
    <w:rsid w:val="00A97ECB"/>
    <w:rsid w:val="00A97F16"/>
    <w:rsid w:val="00AA00A6"/>
    <w:rsid w:val="00AA00DF"/>
    <w:rsid w:val="00AA01C2"/>
    <w:rsid w:val="00AA05FC"/>
    <w:rsid w:val="00AA0702"/>
    <w:rsid w:val="00AA07EE"/>
    <w:rsid w:val="00AA0918"/>
    <w:rsid w:val="00AA0A43"/>
    <w:rsid w:val="00AA0ADE"/>
    <w:rsid w:val="00AA0BC9"/>
    <w:rsid w:val="00AA0C2C"/>
    <w:rsid w:val="00AA1054"/>
    <w:rsid w:val="00AA11B3"/>
    <w:rsid w:val="00AA1319"/>
    <w:rsid w:val="00AA17A0"/>
    <w:rsid w:val="00AA1810"/>
    <w:rsid w:val="00AA1CB0"/>
    <w:rsid w:val="00AA20AD"/>
    <w:rsid w:val="00AA20FD"/>
    <w:rsid w:val="00AA22EF"/>
    <w:rsid w:val="00AA2383"/>
    <w:rsid w:val="00AA24BA"/>
    <w:rsid w:val="00AA2BD7"/>
    <w:rsid w:val="00AA2C52"/>
    <w:rsid w:val="00AA2EED"/>
    <w:rsid w:val="00AA34BB"/>
    <w:rsid w:val="00AA355C"/>
    <w:rsid w:val="00AA35EC"/>
    <w:rsid w:val="00AA3690"/>
    <w:rsid w:val="00AA3705"/>
    <w:rsid w:val="00AA37B3"/>
    <w:rsid w:val="00AA40DA"/>
    <w:rsid w:val="00AA43C7"/>
    <w:rsid w:val="00AA462E"/>
    <w:rsid w:val="00AA4706"/>
    <w:rsid w:val="00AA49EB"/>
    <w:rsid w:val="00AA4A87"/>
    <w:rsid w:val="00AA4B75"/>
    <w:rsid w:val="00AA4F1E"/>
    <w:rsid w:val="00AA5502"/>
    <w:rsid w:val="00AA5707"/>
    <w:rsid w:val="00AA63CF"/>
    <w:rsid w:val="00AA64D4"/>
    <w:rsid w:val="00AA6506"/>
    <w:rsid w:val="00AA6812"/>
    <w:rsid w:val="00AA68B0"/>
    <w:rsid w:val="00AA6D67"/>
    <w:rsid w:val="00AA6E67"/>
    <w:rsid w:val="00AA7FED"/>
    <w:rsid w:val="00AB010A"/>
    <w:rsid w:val="00AB0331"/>
    <w:rsid w:val="00AB04E3"/>
    <w:rsid w:val="00AB0526"/>
    <w:rsid w:val="00AB0F26"/>
    <w:rsid w:val="00AB1063"/>
    <w:rsid w:val="00AB139D"/>
    <w:rsid w:val="00AB198A"/>
    <w:rsid w:val="00AB199F"/>
    <w:rsid w:val="00AB1A89"/>
    <w:rsid w:val="00AB27C5"/>
    <w:rsid w:val="00AB2B5A"/>
    <w:rsid w:val="00AB2E3A"/>
    <w:rsid w:val="00AB3357"/>
    <w:rsid w:val="00AB3C03"/>
    <w:rsid w:val="00AB3E3A"/>
    <w:rsid w:val="00AB4239"/>
    <w:rsid w:val="00AB4247"/>
    <w:rsid w:val="00AB47BB"/>
    <w:rsid w:val="00AB484F"/>
    <w:rsid w:val="00AB4A12"/>
    <w:rsid w:val="00AB5165"/>
    <w:rsid w:val="00AB516D"/>
    <w:rsid w:val="00AB53BE"/>
    <w:rsid w:val="00AB54D1"/>
    <w:rsid w:val="00AB56FF"/>
    <w:rsid w:val="00AB59C2"/>
    <w:rsid w:val="00AB5A75"/>
    <w:rsid w:val="00AB5C83"/>
    <w:rsid w:val="00AB5EDC"/>
    <w:rsid w:val="00AB5FAB"/>
    <w:rsid w:val="00AB6981"/>
    <w:rsid w:val="00AB6A2F"/>
    <w:rsid w:val="00AB6AE9"/>
    <w:rsid w:val="00AB6EE1"/>
    <w:rsid w:val="00AB7102"/>
    <w:rsid w:val="00AB7518"/>
    <w:rsid w:val="00AB7BB7"/>
    <w:rsid w:val="00AC0B10"/>
    <w:rsid w:val="00AC0D1E"/>
    <w:rsid w:val="00AC0E84"/>
    <w:rsid w:val="00AC0FC2"/>
    <w:rsid w:val="00AC10D5"/>
    <w:rsid w:val="00AC13BF"/>
    <w:rsid w:val="00AC1400"/>
    <w:rsid w:val="00AC19F8"/>
    <w:rsid w:val="00AC1DDD"/>
    <w:rsid w:val="00AC1F59"/>
    <w:rsid w:val="00AC2023"/>
    <w:rsid w:val="00AC24A0"/>
    <w:rsid w:val="00AC2EAB"/>
    <w:rsid w:val="00AC305A"/>
    <w:rsid w:val="00AC3BA1"/>
    <w:rsid w:val="00AC47D6"/>
    <w:rsid w:val="00AC4D69"/>
    <w:rsid w:val="00AC5049"/>
    <w:rsid w:val="00AC50B0"/>
    <w:rsid w:val="00AC57E8"/>
    <w:rsid w:val="00AC5BDD"/>
    <w:rsid w:val="00AC5EF5"/>
    <w:rsid w:val="00AC6040"/>
    <w:rsid w:val="00AC6CB8"/>
    <w:rsid w:val="00AC6CFE"/>
    <w:rsid w:val="00AC7152"/>
    <w:rsid w:val="00AC76CB"/>
    <w:rsid w:val="00AC78B4"/>
    <w:rsid w:val="00AC7B0A"/>
    <w:rsid w:val="00AC7C67"/>
    <w:rsid w:val="00AD027F"/>
    <w:rsid w:val="00AD04C7"/>
    <w:rsid w:val="00AD061F"/>
    <w:rsid w:val="00AD0639"/>
    <w:rsid w:val="00AD0C3A"/>
    <w:rsid w:val="00AD0E42"/>
    <w:rsid w:val="00AD0FB3"/>
    <w:rsid w:val="00AD1584"/>
    <w:rsid w:val="00AD17F6"/>
    <w:rsid w:val="00AD192B"/>
    <w:rsid w:val="00AD1983"/>
    <w:rsid w:val="00AD1B21"/>
    <w:rsid w:val="00AD23AB"/>
    <w:rsid w:val="00AD3069"/>
    <w:rsid w:val="00AD3231"/>
    <w:rsid w:val="00AD3232"/>
    <w:rsid w:val="00AD328C"/>
    <w:rsid w:val="00AD3321"/>
    <w:rsid w:val="00AD3801"/>
    <w:rsid w:val="00AD3868"/>
    <w:rsid w:val="00AD38B5"/>
    <w:rsid w:val="00AD39B5"/>
    <w:rsid w:val="00AD3AFE"/>
    <w:rsid w:val="00AD3B95"/>
    <w:rsid w:val="00AD3DEB"/>
    <w:rsid w:val="00AD3FB4"/>
    <w:rsid w:val="00AD438C"/>
    <w:rsid w:val="00AD4469"/>
    <w:rsid w:val="00AD45A9"/>
    <w:rsid w:val="00AD46CB"/>
    <w:rsid w:val="00AD4B73"/>
    <w:rsid w:val="00AD55D1"/>
    <w:rsid w:val="00AD57BD"/>
    <w:rsid w:val="00AD5C9D"/>
    <w:rsid w:val="00AD5D4E"/>
    <w:rsid w:val="00AD5D53"/>
    <w:rsid w:val="00AD6346"/>
    <w:rsid w:val="00AD64B3"/>
    <w:rsid w:val="00AD6701"/>
    <w:rsid w:val="00AD689E"/>
    <w:rsid w:val="00AD6997"/>
    <w:rsid w:val="00AD6AA4"/>
    <w:rsid w:val="00AD6B48"/>
    <w:rsid w:val="00AD7059"/>
    <w:rsid w:val="00AD728A"/>
    <w:rsid w:val="00AD7387"/>
    <w:rsid w:val="00AD75A9"/>
    <w:rsid w:val="00AD76B4"/>
    <w:rsid w:val="00AD7725"/>
    <w:rsid w:val="00AD79B6"/>
    <w:rsid w:val="00AD7AB6"/>
    <w:rsid w:val="00AD7EB4"/>
    <w:rsid w:val="00AE015A"/>
    <w:rsid w:val="00AE02F4"/>
    <w:rsid w:val="00AE0380"/>
    <w:rsid w:val="00AE050D"/>
    <w:rsid w:val="00AE0793"/>
    <w:rsid w:val="00AE095A"/>
    <w:rsid w:val="00AE09A3"/>
    <w:rsid w:val="00AE0B81"/>
    <w:rsid w:val="00AE0BE7"/>
    <w:rsid w:val="00AE0E8B"/>
    <w:rsid w:val="00AE14E7"/>
    <w:rsid w:val="00AE158B"/>
    <w:rsid w:val="00AE1B24"/>
    <w:rsid w:val="00AE2067"/>
    <w:rsid w:val="00AE2415"/>
    <w:rsid w:val="00AE25B5"/>
    <w:rsid w:val="00AE2A63"/>
    <w:rsid w:val="00AE3389"/>
    <w:rsid w:val="00AE3487"/>
    <w:rsid w:val="00AE38A0"/>
    <w:rsid w:val="00AE39D4"/>
    <w:rsid w:val="00AE3AAB"/>
    <w:rsid w:val="00AE3F8B"/>
    <w:rsid w:val="00AE44B1"/>
    <w:rsid w:val="00AE47F9"/>
    <w:rsid w:val="00AE4ABD"/>
    <w:rsid w:val="00AE4B2F"/>
    <w:rsid w:val="00AE4B5A"/>
    <w:rsid w:val="00AE4D0A"/>
    <w:rsid w:val="00AE52BC"/>
    <w:rsid w:val="00AE56A1"/>
    <w:rsid w:val="00AE670C"/>
    <w:rsid w:val="00AE6F94"/>
    <w:rsid w:val="00AE7234"/>
    <w:rsid w:val="00AE7651"/>
    <w:rsid w:val="00AE7FC0"/>
    <w:rsid w:val="00AF0262"/>
    <w:rsid w:val="00AF04B8"/>
    <w:rsid w:val="00AF04DE"/>
    <w:rsid w:val="00AF090E"/>
    <w:rsid w:val="00AF0961"/>
    <w:rsid w:val="00AF09A5"/>
    <w:rsid w:val="00AF0BCB"/>
    <w:rsid w:val="00AF12DE"/>
    <w:rsid w:val="00AF1302"/>
    <w:rsid w:val="00AF137F"/>
    <w:rsid w:val="00AF1409"/>
    <w:rsid w:val="00AF168A"/>
    <w:rsid w:val="00AF1994"/>
    <w:rsid w:val="00AF1B8E"/>
    <w:rsid w:val="00AF27CA"/>
    <w:rsid w:val="00AF2A73"/>
    <w:rsid w:val="00AF2D9A"/>
    <w:rsid w:val="00AF32AB"/>
    <w:rsid w:val="00AF3642"/>
    <w:rsid w:val="00AF36C6"/>
    <w:rsid w:val="00AF38F3"/>
    <w:rsid w:val="00AF3C63"/>
    <w:rsid w:val="00AF3DCF"/>
    <w:rsid w:val="00AF4168"/>
    <w:rsid w:val="00AF44F6"/>
    <w:rsid w:val="00AF47FE"/>
    <w:rsid w:val="00AF488F"/>
    <w:rsid w:val="00AF4D56"/>
    <w:rsid w:val="00AF5E8F"/>
    <w:rsid w:val="00AF64CE"/>
    <w:rsid w:val="00AF66C0"/>
    <w:rsid w:val="00AF74F6"/>
    <w:rsid w:val="00AF7704"/>
    <w:rsid w:val="00AF7C80"/>
    <w:rsid w:val="00AF7D00"/>
    <w:rsid w:val="00B00256"/>
    <w:rsid w:val="00B00766"/>
    <w:rsid w:val="00B007EF"/>
    <w:rsid w:val="00B00D6E"/>
    <w:rsid w:val="00B01307"/>
    <w:rsid w:val="00B01AC1"/>
    <w:rsid w:val="00B01AE9"/>
    <w:rsid w:val="00B01B46"/>
    <w:rsid w:val="00B01E7F"/>
    <w:rsid w:val="00B01EFB"/>
    <w:rsid w:val="00B02903"/>
    <w:rsid w:val="00B02AE7"/>
    <w:rsid w:val="00B02C42"/>
    <w:rsid w:val="00B034FE"/>
    <w:rsid w:val="00B03777"/>
    <w:rsid w:val="00B03E28"/>
    <w:rsid w:val="00B040CA"/>
    <w:rsid w:val="00B04103"/>
    <w:rsid w:val="00B0412B"/>
    <w:rsid w:val="00B04159"/>
    <w:rsid w:val="00B043DB"/>
    <w:rsid w:val="00B04444"/>
    <w:rsid w:val="00B0492A"/>
    <w:rsid w:val="00B054E6"/>
    <w:rsid w:val="00B05BF0"/>
    <w:rsid w:val="00B05DFF"/>
    <w:rsid w:val="00B0641E"/>
    <w:rsid w:val="00B07422"/>
    <w:rsid w:val="00B07607"/>
    <w:rsid w:val="00B0783B"/>
    <w:rsid w:val="00B07A9B"/>
    <w:rsid w:val="00B07D30"/>
    <w:rsid w:val="00B07F06"/>
    <w:rsid w:val="00B07F70"/>
    <w:rsid w:val="00B10371"/>
    <w:rsid w:val="00B1062A"/>
    <w:rsid w:val="00B106CE"/>
    <w:rsid w:val="00B10805"/>
    <w:rsid w:val="00B10B36"/>
    <w:rsid w:val="00B10B3B"/>
    <w:rsid w:val="00B1103B"/>
    <w:rsid w:val="00B1147C"/>
    <w:rsid w:val="00B11A6A"/>
    <w:rsid w:val="00B11D8B"/>
    <w:rsid w:val="00B11DAE"/>
    <w:rsid w:val="00B11E18"/>
    <w:rsid w:val="00B11ED2"/>
    <w:rsid w:val="00B1219E"/>
    <w:rsid w:val="00B12266"/>
    <w:rsid w:val="00B1243C"/>
    <w:rsid w:val="00B124F6"/>
    <w:rsid w:val="00B127C1"/>
    <w:rsid w:val="00B12D3D"/>
    <w:rsid w:val="00B12D5F"/>
    <w:rsid w:val="00B13220"/>
    <w:rsid w:val="00B13C0D"/>
    <w:rsid w:val="00B13C3A"/>
    <w:rsid w:val="00B141ED"/>
    <w:rsid w:val="00B1435C"/>
    <w:rsid w:val="00B14431"/>
    <w:rsid w:val="00B145A6"/>
    <w:rsid w:val="00B14BB8"/>
    <w:rsid w:val="00B14E20"/>
    <w:rsid w:val="00B14FF2"/>
    <w:rsid w:val="00B151C3"/>
    <w:rsid w:val="00B15259"/>
    <w:rsid w:val="00B1597C"/>
    <w:rsid w:val="00B159C6"/>
    <w:rsid w:val="00B15C5F"/>
    <w:rsid w:val="00B1600F"/>
    <w:rsid w:val="00B16399"/>
    <w:rsid w:val="00B166F3"/>
    <w:rsid w:val="00B16C2B"/>
    <w:rsid w:val="00B1EBCC"/>
    <w:rsid w:val="00B2002C"/>
    <w:rsid w:val="00B201C4"/>
    <w:rsid w:val="00B2033E"/>
    <w:rsid w:val="00B20604"/>
    <w:rsid w:val="00B2093E"/>
    <w:rsid w:val="00B20CBD"/>
    <w:rsid w:val="00B210E9"/>
    <w:rsid w:val="00B2207B"/>
    <w:rsid w:val="00B223CA"/>
    <w:rsid w:val="00B22705"/>
    <w:rsid w:val="00B22A69"/>
    <w:rsid w:val="00B22FCC"/>
    <w:rsid w:val="00B231C1"/>
    <w:rsid w:val="00B2374E"/>
    <w:rsid w:val="00B237F5"/>
    <w:rsid w:val="00B2383F"/>
    <w:rsid w:val="00B23B7A"/>
    <w:rsid w:val="00B23F3D"/>
    <w:rsid w:val="00B240F6"/>
    <w:rsid w:val="00B2414C"/>
    <w:rsid w:val="00B24189"/>
    <w:rsid w:val="00B245D2"/>
    <w:rsid w:val="00B24706"/>
    <w:rsid w:val="00B24787"/>
    <w:rsid w:val="00B24969"/>
    <w:rsid w:val="00B25063"/>
    <w:rsid w:val="00B250A0"/>
    <w:rsid w:val="00B256B7"/>
    <w:rsid w:val="00B25792"/>
    <w:rsid w:val="00B25A58"/>
    <w:rsid w:val="00B25C07"/>
    <w:rsid w:val="00B25D0C"/>
    <w:rsid w:val="00B25E2C"/>
    <w:rsid w:val="00B262E0"/>
    <w:rsid w:val="00B26364"/>
    <w:rsid w:val="00B26492"/>
    <w:rsid w:val="00B26884"/>
    <w:rsid w:val="00B26C82"/>
    <w:rsid w:val="00B26F15"/>
    <w:rsid w:val="00B278A9"/>
    <w:rsid w:val="00B30195"/>
    <w:rsid w:val="00B30406"/>
    <w:rsid w:val="00B305A5"/>
    <w:rsid w:val="00B308BB"/>
    <w:rsid w:val="00B30EDE"/>
    <w:rsid w:val="00B311CD"/>
    <w:rsid w:val="00B3122C"/>
    <w:rsid w:val="00B319BC"/>
    <w:rsid w:val="00B319D7"/>
    <w:rsid w:val="00B319F8"/>
    <w:rsid w:val="00B31D2D"/>
    <w:rsid w:val="00B31DD8"/>
    <w:rsid w:val="00B31F02"/>
    <w:rsid w:val="00B325EA"/>
    <w:rsid w:val="00B327EF"/>
    <w:rsid w:val="00B32F68"/>
    <w:rsid w:val="00B33036"/>
    <w:rsid w:val="00B3304B"/>
    <w:rsid w:val="00B330CB"/>
    <w:rsid w:val="00B330F4"/>
    <w:rsid w:val="00B330FD"/>
    <w:rsid w:val="00B3316A"/>
    <w:rsid w:val="00B33B59"/>
    <w:rsid w:val="00B33DDF"/>
    <w:rsid w:val="00B33E57"/>
    <w:rsid w:val="00B33F28"/>
    <w:rsid w:val="00B33F53"/>
    <w:rsid w:val="00B34294"/>
    <w:rsid w:val="00B346D6"/>
    <w:rsid w:val="00B348EC"/>
    <w:rsid w:val="00B34A73"/>
    <w:rsid w:val="00B34BD9"/>
    <w:rsid w:val="00B35097"/>
    <w:rsid w:val="00B360D6"/>
    <w:rsid w:val="00B360DA"/>
    <w:rsid w:val="00B3675F"/>
    <w:rsid w:val="00B36760"/>
    <w:rsid w:val="00B36E73"/>
    <w:rsid w:val="00B37802"/>
    <w:rsid w:val="00B3782E"/>
    <w:rsid w:val="00B3790B"/>
    <w:rsid w:val="00B37952"/>
    <w:rsid w:val="00B379FC"/>
    <w:rsid w:val="00B37AA5"/>
    <w:rsid w:val="00B37EC0"/>
    <w:rsid w:val="00B37F57"/>
    <w:rsid w:val="00B37F97"/>
    <w:rsid w:val="00B4017D"/>
    <w:rsid w:val="00B405FE"/>
    <w:rsid w:val="00B40A51"/>
    <w:rsid w:val="00B40B13"/>
    <w:rsid w:val="00B40D10"/>
    <w:rsid w:val="00B40EF0"/>
    <w:rsid w:val="00B4125E"/>
    <w:rsid w:val="00B416E6"/>
    <w:rsid w:val="00B41DBF"/>
    <w:rsid w:val="00B41DD7"/>
    <w:rsid w:val="00B41F99"/>
    <w:rsid w:val="00B42316"/>
    <w:rsid w:val="00B425EA"/>
    <w:rsid w:val="00B4260B"/>
    <w:rsid w:val="00B427A5"/>
    <w:rsid w:val="00B42F6E"/>
    <w:rsid w:val="00B43221"/>
    <w:rsid w:val="00B43541"/>
    <w:rsid w:val="00B435DF"/>
    <w:rsid w:val="00B43BB7"/>
    <w:rsid w:val="00B43DF7"/>
    <w:rsid w:val="00B43DFE"/>
    <w:rsid w:val="00B4404B"/>
    <w:rsid w:val="00B444CB"/>
    <w:rsid w:val="00B44A80"/>
    <w:rsid w:val="00B44B29"/>
    <w:rsid w:val="00B45012"/>
    <w:rsid w:val="00B450B7"/>
    <w:rsid w:val="00B45118"/>
    <w:rsid w:val="00B453BE"/>
    <w:rsid w:val="00B4552D"/>
    <w:rsid w:val="00B4591D"/>
    <w:rsid w:val="00B45AAB"/>
    <w:rsid w:val="00B4635B"/>
    <w:rsid w:val="00B47338"/>
    <w:rsid w:val="00B4793D"/>
    <w:rsid w:val="00B479C1"/>
    <w:rsid w:val="00B47A27"/>
    <w:rsid w:val="00B4FD5A"/>
    <w:rsid w:val="00B50261"/>
    <w:rsid w:val="00B505E4"/>
    <w:rsid w:val="00B50EA1"/>
    <w:rsid w:val="00B512EA"/>
    <w:rsid w:val="00B513B3"/>
    <w:rsid w:val="00B515F2"/>
    <w:rsid w:val="00B51728"/>
    <w:rsid w:val="00B51B3D"/>
    <w:rsid w:val="00B51BB2"/>
    <w:rsid w:val="00B51BDC"/>
    <w:rsid w:val="00B51CC5"/>
    <w:rsid w:val="00B51D9F"/>
    <w:rsid w:val="00B51EC8"/>
    <w:rsid w:val="00B523CC"/>
    <w:rsid w:val="00B527A7"/>
    <w:rsid w:val="00B52FF1"/>
    <w:rsid w:val="00B53661"/>
    <w:rsid w:val="00B53A1C"/>
    <w:rsid w:val="00B54386"/>
    <w:rsid w:val="00B543EE"/>
    <w:rsid w:val="00B54A4D"/>
    <w:rsid w:val="00B54B9D"/>
    <w:rsid w:val="00B54CF4"/>
    <w:rsid w:val="00B54EB5"/>
    <w:rsid w:val="00B55173"/>
    <w:rsid w:val="00B5519D"/>
    <w:rsid w:val="00B55393"/>
    <w:rsid w:val="00B554FB"/>
    <w:rsid w:val="00B5554C"/>
    <w:rsid w:val="00B55963"/>
    <w:rsid w:val="00B55A85"/>
    <w:rsid w:val="00B55DB0"/>
    <w:rsid w:val="00B55EBF"/>
    <w:rsid w:val="00B55F7B"/>
    <w:rsid w:val="00B5617E"/>
    <w:rsid w:val="00B5708D"/>
    <w:rsid w:val="00B5771A"/>
    <w:rsid w:val="00B57CDA"/>
    <w:rsid w:val="00B57D50"/>
    <w:rsid w:val="00B57FBF"/>
    <w:rsid w:val="00B60334"/>
    <w:rsid w:val="00B60581"/>
    <w:rsid w:val="00B609CD"/>
    <w:rsid w:val="00B60A4B"/>
    <w:rsid w:val="00B61581"/>
    <w:rsid w:val="00B61778"/>
    <w:rsid w:val="00B61C66"/>
    <w:rsid w:val="00B61D7B"/>
    <w:rsid w:val="00B61E95"/>
    <w:rsid w:val="00B61F28"/>
    <w:rsid w:val="00B62054"/>
    <w:rsid w:val="00B62169"/>
    <w:rsid w:val="00B6220E"/>
    <w:rsid w:val="00B626CB"/>
    <w:rsid w:val="00B62879"/>
    <w:rsid w:val="00B62CB6"/>
    <w:rsid w:val="00B63136"/>
    <w:rsid w:val="00B632FD"/>
    <w:rsid w:val="00B636D1"/>
    <w:rsid w:val="00B63E61"/>
    <w:rsid w:val="00B64400"/>
    <w:rsid w:val="00B64A1A"/>
    <w:rsid w:val="00B64E22"/>
    <w:rsid w:val="00B650CC"/>
    <w:rsid w:val="00B65298"/>
    <w:rsid w:val="00B653BF"/>
    <w:rsid w:val="00B653E0"/>
    <w:rsid w:val="00B6563A"/>
    <w:rsid w:val="00B65661"/>
    <w:rsid w:val="00B6567B"/>
    <w:rsid w:val="00B65A1B"/>
    <w:rsid w:val="00B65C69"/>
    <w:rsid w:val="00B65DF8"/>
    <w:rsid w:val="00B6632E"/>
    <w:rsid w:val="00B66B27"/>
    <w:rsid w:val="00B66B5B"/>
    <w:rsid w:val="00B66DDD"/>
    <w:rsid w:val="00B67119"/>
    <w:rsid w:val="00B67367"/>
    <w:rsid w:val="00B67B8C"/>
    <w:rsid w:val="00B67BDD"/>
    <w:rsid w:val="00B67E11"/>
    <w:rsid w:val="00B67F06"/>
    <w:rsid w:val="00B700AF"/>
    <w:rsid w:val="00B701FC"/>
    <w:rsid w:val="00B70259"/>
    <w:rsid w:val="00B7035C"/>
    <w:rsid w:val="00B70440"/>
    <w:rsid w:val="00B7060F"/>
    <w:rsid w:val="00B706A7"/>
    <w:rsid w:val="00B71C53"/>
    <w:rsid w:val="00B71E6F"/>
    <w:rsid w:val="00B729B0"/>
    <w:rsid w:val="00B72BFB"/>
    <w:rsid w:val="00B72E61"/>
    <w:rsid w:val="00B7318D"/>
    <w:rsid w:val="00B731D2"/>
    <w:rsid w:val="00B73885"/>
    <w:rsid w:val="00B742BA"/>
    <w:rsid w:val="00B746CC"/>
    <w:rsid w:val="00B746F0"/>
    <w:rsid w:val="00B74BE7"/>
    <w:rsid w:val="00B75260"/>
    <w:rsid w:val="00B757AF"/>
    <w:rsid w:val="00B758CC"/>
    <w:rsid w:val="00B75C24"/>
    <w:rsid w:val="00B75E20"/>
    <w:rsid w:val="00B76407"/>
    <w:rsid w:val="00B767FC"/>
    <w:rsid w:val="00B769DA"/>
    <w:rsid w:val="00B771B8"/>
    <w:rsid w:val="00B77201"/>
    <w:rsid w:val="00B77329"/>
    <w:rsid w:val="00B7760E"/>
    <w:rsid w:val="00B7786D"/>
    <w:rsid w:val="00B77C2D"/>
    <w:rsid w:val="00B77FB3"/>
    <w:rsid w:val="00B80212"/>
    <w:rsid w:val="00B80378"/>
    <w:rsid w:val="00B8049D"/>
    <w:rsid w:val="00B80B77"/>
    <w:rsid w:val="00B80DB9"/>
    <w:rsid w:val="00B80E0C"/>
    <w:rsid w:val="00B8125A"/>
    <w:rsid w:val="00B813DD"/>
    <w:rsid w:val="00B81651"/>
    <w:rsid w:val="00B81B29"/>
    <w:rsid w:val="00B81DB9"/>
    <w:rsid w:val="00B82078"/>
    <w:rsid w:val="00B8229E"/>
    <w:rsid w:val="00B82673"/>
    <w:rsid w:val="00B8279E"/>
    <w:rsid w:val="00B8351C"/>
    <w:rsid w:val="00B83791"/>
    <w:rsid w:val="00B837B7"/>
    <w:rsid w:val="00B838FF"/>
    <w:rsid w:val="00B83EF1"/>
    <w:rsid w:val="00B84154"/>
    <w:rsid w:val="00B841C6"/>
    <w:rsid w:val="00B841F2"/>
    <w:rsid w:val="00B8454E"/>
    <w:rsid w:val="00B846F6"/>
    <w:rsid w:val="00B8471C"/>
    <w:rsid w:val="00B84759"/>
    <w:rsid w:val="00B8481F"/>
    <w:rsid w:val="00B84D72"/>
    <w:rsid w:val="00B84E54"/>
    <w:rsid w:val="00B850B5"/>
    <w:rsid w:val="00B853A9"/>
    <w:rsid w:val="00B861C5"/>
    <w:rsid w:val="00B86583"/>
    <w:rsid w:val="00B865F6"/>
    <w:rsid w:val="00B86774"/>
    <w:rsid w:val="00B878FC"/>
    <w:rsid w:val="00B87B24"/>
    <w:rsid w:val="00B87F2F"/>
    <w:rsid w:val="00B903F3"/>
    <w:rsid w:val="00B90497"/>
    <w:rsid w:val="00B90673"/>
    <w:rsid w:val="00B9073C"/>
    <w:rsid w:val="00B907A3"/>
    <w:rsid w:val="00B908DF"/>
    <w:rsid w:val="00B910EC"/>
    <w:rsid w:val="00B912C7"/>
    <w:rsid w:val="00B91332"/>
    <w:rsid w:val="00B917EB"/>
    <w:rsid w:val="00B91B36"/>
    <w:rsid w:val="00B91E52"/>
    <w:rsid w:val="00B923AA"/>
    <w:rsid w:val="00B925B3"/>
    <w:rsid w:val="00B925ED"/>
    <w:rsid w:val="00B92639"/>
    <w:rsid w:val="00B92B38"/>
    <w:rsid w:val="00B92ED7"/>
    <w:rsid w:val="00B93155"/>
    <w:rsid w:val="00B933E8"/>
    <w:rsid w:val="00B9375A"/>
    <w:rsid w:val="00B938AD"/>
    <w:rsid w:val="00B93A5E"/>
    <w:rsid w:val="00B93BCB"/>
    <w:rsid w:val="00B93D01"/>
    <w:rsid w:val="00B93D7D"/>
    <w:rsid w:val="00B93E8B"/>
    <w:rsid w:val="00B949A9"/>
    <w:rsid w:val="00B94C1D"/>
    <w:rsid w:val="00B94D76"/>
    <w:rsid w:val="00B94F52"/>
    <w:rsid w:val="00B94FB7"/>
    <w:rsid w:val="00B94FF7"/>
    <w:rsid w:val="00B95362"/>
    <w:rsid w:val="00B95424"/>
    <w:rsid w:val="00B9590B"/>
    <w:rsid w:val="00B9615A"/>
    <w:rsid w:val="00B96752"/>
    <w:rsid w:val="00B96DC5"/>
    <w:rsid w:val="00B96FE9"/>
    <w:rsid w:val="00B974CD"/>
    <w:rsid w:val="00B9785C"/>
    <w:rsid w:val="00B97D48"/>
    <w:rsid w:val="00B97FBE"/>
    <w:rsid w:val="00BA0084"/>
    <w:rsid w:val="00BA048E"/>
    <w:rsid w:val="00BA0B1F"/>
    <w:rsid w:val="00BA0C3C"/>
    <w:rsid w:val="00BA1266"/>
    <w:rsid w:val="00BA1386"/>
    <w:rsid w:val="00BA245E"/>
    <w:rsid w:val="00BA2586"/>
    <w:rsid w:val="00BA2892"/>
    <w:rsid w:val="00BA2B96"/>
    <w:rsid w:val="00BA2C14"/>
    <w:rsid w:val="00BA2CF3"/>
    <w:rsid w:val="00BA3253"/>
    <w:rsid w:val="00BA339E"/>
    <w:rsid w:val="00BA36EA"/>
    <w:rsid w:val="00BA3814"/>
    <w:rsid w:val="00BA4725"/>
    <w:rsid w:val="00BA4B61"/>
    <w:rsid w:val="00BA5000"/>
    <w:rsid w:val="00BA596E"/>
    <w:rsid w:val="00BA628C"/>
    <w:rsid w:val="00BA63B0"/>
    <w:rsid w:val="00BA6BAF"/>
    <w:rsid w:val="00BA6F33"/>
    <w:rsid w:val="00BA6F41"/>
    <w:rsid w:val="00BA7891"/>
    <w:rsid w:val="00BA7A57"/>
    <w:rsid w:val="00BA7D4A"/>
    <w:rsid w:val="00BA7D81"/>
    <w:rsid w:val="00BA7FE6"/>
    <w:rsid w:val="00BB0325"/>
    <w:rsid w:val="00BB05D7"/>
    <w:rsid w:val="00BB0679"/>
    <w:rsid w:val="00BB06B3"/>
    <w:rsid w:val="00BB1047"/>
    <w:rsid w:val="00BB1242"/>
    <w:rsid w:val="00BB17E3"/>
    <w:rsid w:val="00BB19ED"/>
    <w:rsid w:val="00BB20EC"/>
    <w:rsid w:val="00BB24D0"/>
    <w:rsid w:val="00BB2940"/>
    <w:rsid w:val="00BB2AC7"/>
    <w:rsid w:val="00BB31C9"/>
    <w:rsid w:val="00BB350F"/>
    <w:rsid w:val="00BB35A6"/>
    <w:rsid w:val="00BB3B75"/>
    <w:rsid w:val="00BB3FA1"/>
    <w:rsid w:val="00BB478B"/>
    <w:rsid w:val="00BB49C8"/>
    <w:rsid w:val="00BB4A07"/>
    <w:rsid w:val="00BB4D46"/>
    <w:rsid w:val="00BB5607"/>
    <w:rsid w:val="00BB5672"/>
    <w:rsid w:val="00BB5993"/>
    <w:rsid w:val="00BB5AAB"/>
    <w:rsid w:val="00BB5AF9"/>
    <w:rsid w:val="00BB5BBF"/>
    <w:rsid w:val="00BB5CF1"/>
    <w:rsid w:val="00BB5E7F"/>
    <w:rsid w:val="00BB641D"/>
    <w:rsid w:val="00BB6B22"/>
    <w:rsid w:val="00BB6CA5"/>
    <w:rsid w:val="00BB759E"/>
    <w:rsid w:val="00BB781A"/>
    <w:rsid w:val="00BB78FD"/>
    <w:rsid w:val="00BB7F6D"/>
    <w:rsid w:val="00BC07FC"/>
    <w:rsid w:val="00BC08D6"/>
    <w:rsid w:val="00BC0C22"/>
    <w:rsid w:val="00BC1600"/>
    <w:rsid w:val="00BC1637"/>
    <w:rsid w:val="00BC16CC"/>
    <w:rsid w:val="00BC1ACF"/>
    <w:rsid w:val="00BC1DF5"/>
    <w:rsid w:val="00BC205A"/>
    <w:rsid w:val="00BC2222"/>
    <w:rsid w:val="00BC2569"/>
    <w:rsid w:val="00BC2580"/>
    <w:rsid w:val="00BC2705"/>
    <w:rsid w:val="00BC2908"/>
    <w:rsid w:val="00BC2A45"/>
    <w:rsid w:val="00BC2AA0"/>
    <w:rsid w:val="00BC35E9"/>
    <w:rsid w:val="00BC3AAD"/>
    <w:rsid w:val="00BC3D98"/>
    <w:rsid w:val="00BC429B"/>
    <w:rsid w:val="00BC44F9"/>
    <w:rsid w:val="00BC450A"/>
    <w:rsid w:val="00BC4D63"/>
    <w:rsid w:val="00BC4DAC"/>
    <w:rsid w:val="00BC5282"/>
    <w:rsid w:val="00BC549B"/>
    <w:rsid w:val="00BC5B5B"/>
    <w:rsid w:val="00BC5CE5"/>
    <w:rsid w:val="00BC5F0A"/>
    <w:rsid w:val="00BC5FCC"/>
    <w:rsid w:val="00BC6065"/>
    <w:rsid w:val="00BC60A4"/>
    <w:rsid w:val="00BC7529"/>
    <w:rsid w:val="00BC77C7"/>
    <w:rsid w:val="00BC7BEA"/>
    <w:rsid w:val="00BD064B"/>
    <w:rsid w:val="00BD08A6"/>
    <w:rsid w:val="00BD094C"/>
    <w:rsid w:val="00BD0971"/>
    <w:rsid w:val="00BD0CDA"/>
    <w:rsid w:val="00BD0FBF"/>
    <w:rsid w:val="00BD1EC4"/>
    <w:rsid w:val="00BD213A"/>
    <w:rsid w:val="00BD251E"/>
    <w:rsid w:val="00BD287C"/>
    <w:rsid w:val="00BD2A57"/>
    <w:rsid w:val="00BD2D66"/>
    <w:rsid w:val="00BD324F"/>
    <w:rsid w:val="00BD38AB"/>
    <w:rsid w:val="00BD3B40"/>
    <w:rsid w:val="00BD3C3E"/>
    <w:rsid w:val="00BD4135"/>
    <w:rsid w:val="00BD4A5C"/>
    <w:rsid w:val="00BD4E2E"/>
    <w:rsid w:val="00BD57FE"/>
    <w:rsid w:val="00BD6A9E"/>
    <w:rsid w:val="00BD6B09"/>
    <w:rsid w:val="00BD6BAE"/>
    <w:rsid w:val="00BD6DE1"/>
    <w:rsid w:val="00BD7582"/>
    <w:rsid w:val="00BD759D"/>
    <w:rsid w:val="00BD77A2"/>
    <w:rsid w:val="00BD7D61"/>
    <w:rsid w:val="00BE046B"/>
    <w:rsid w:val="00BE09BF"/>
    <w:rsid w:val="00BE0A54"/>
    <w:rsid w:val="00BE0D66"/>
    <w:rsid w:val="00BE1415"/>
    <w:rsid w:val="00BE1541"/>
    <w:rsid w:val="00BE159F"/>
    <w:rsid w:val="00BE15CC"/>
    <w:rsid w:val="00BE1790"/>
    <w:rsid w:val="00BE1C0C"/>
    <w:rsid w:val="00BE1C84"/>
    <w:rsid w:val="00BE1FEA"/>
    <w:rsid w:val="00BE22BB"/>
    <w:rsid w:val="00BE26BA"/>
    <w:rsid w:val="00BE2B25"/>
    <w:rsid w:val="00BE2B8A"/>
    <w:rsid w:val="00BE347D"/>
    <w:rsid w:val="00BE35A4"/>
    <w:rsid w:val="00BE36CC"/>
    <w:rsid w:val="00BE3B31"/>
    <w:rsid w:val="00BE3C40"/>
    <w:rsid w:val="00BE3E18"/>
    <w:rsid w:val="00BE3E70"/>
    <w:rsid w:val="00BE421E"/>
    <w:rsid w:val="00BE4C2A"/>
    <w:rsid w:val="00BE55AE"/>
    <w:rsid w:val="00BE5809"/>
    <w:rsid w:val="00BE582F"/>
    <w:rsid w:val="00BE5E83"/>
    <w:rsid w:val="00BE6261"/>
    <w:rsid w:val="00BE62A9"/>
    <w:rsid w:val="00BE65E6"/>
    <w:rsid w:val="00BE66A7"/>
    <w:rsid w:val="00BE68FB"/>
    <w:rsid w:val="00BE6A71"/>
    <w:rsid w:val="00BE73E9"/>
    <w:rsid w:val="00BE7BF4"/>
    <w:rsid w:val="00BF10C9"/>
    <w:rsid w:val="00BF1A53"/>
    <w:rsid w:val="00BF2471"/>
    <w:rsid w:val="00BF2876"/>
    <w:rsid w:val="00BF341E"/>
    <w:rsid w:val="00BF379D"/>
    <w:rsid w:val="00BF3A2C"/>
    <w:rsid w:val="00BF3DA1"/>
    <w:rsid w:val="00BF3E72"/>
    <w:rsid w:val="00BF40AF"/>
    <w:rsid w:val="00BF457A"/>
    <w:rsid w:val="00BF48CC"/>
    <w:rsid w:val="00BF508B"/>
    <w:rsid w:val="00BF539F"/>
    <w:rsid w:val="00BF5984"/>
    <w:rsid w:val="00BF5C16"/>
    <w:rsid w:val="00BF5D1D"/>
    <w:rsid w:val="00BF64C5"/>
    <w:rsid w:val="00BF668E"/>
    <w:rsid w:val="00BF6BE4"/>
    <w:rsid w:val="00BF6C4C"/>
    <w:rsid w:val="00BF6EC0"/>
    <w:rsid w:val="00BF7009"/>
    <w:rsid w:val="00BF781A"/>
    <w:rsid w:val="00BF7977"/>
    <w:rsid w:val="00BF7FC5"/>
    <w:rsid w:val="00C00341"/>
    <w:rsid w:val="00C0082E"/>
    <w:rsid w:val="00C010E3"/>
    <w:rsid w:val="00C0154B"/>
    <w:rsid w:val="00C0169E"/>
    <w:rsid w:val="00C017F7"/>
    <w:rsid w:val="00C01895"/>
    <w:rsid w:val="00C01965"/>
    <w:rsid w:val="00C01B28"/>
    <w:rsid w:val="00C01B8A"/>
    <w:rsid w:val="00C01F0D"/>
    <w:rsid w:val="00C02404"/>
    <w:rsid w:val="00C02490"/>
    <w:rsid w:val="00C026AA"/>
    <w:rsid w:val="00C02723"/>
    <w:rsid w:val="00C027AE"/>
    <w:rsid w:val="00C02CCD"/>
    <w:rsid w:val="00C02E94"/>
    <w:rsid w:val="00C041AD"/>
    <w:rsid w:val="00C044DF"/>
    <w:rsid w:val="00C0465B"/>
    <w:rsid w:val="00C046D8"/>
    <w:rsid w:val="00C04E83"/>
    <w:rsid w:val="00C04FED"/>
    <w:rsid w:val="00C050E8"/>
    <w:rsid w:val="00C051AB"/>
    <w:rsid w:val="00C05284"/>
    <w:rsid w:val="00C060FF"/>
    <w:rsid w:val="00C063A1"/>
    <w:rsid w:val="00C067AE"/>
    <w:rsid w:val="00C06862"/>
    <w:rsid w:val="00C06B51"/>
    <w:rsid w:val="00C06D6F"/>
    <w:rsid w:val="00C06EAD"/>
    <w:rsid w:val="00C07963"/>
    <w:rsid w:val="00C07BCF"/>
    <w:rsid w:val="00C07FAB"/>
    <w:rsid w:val="00C104FC"/>
    <w:rsid w:val="00C106E1"/>
    <w:rsid w:val="00C107B7"/>
    <w:rsid w:val="00C109E0"/>
    <w:rsid w:val="00C10A34"/>
    <w:rsid w:val="00C111A3"/>
    <w:rsid w:val="00C119B8"/>
    <w:rsid w:val="00C11D53"/>
    <w:rsid w:val="00C122C1"/>
    <w:rsid w:val="00C12334"/>
    <w:rsid w:val="00C1292C"/>
    <w:rsid w:val="00C12A97"/>
    <w:rsid w:val="00C12AB2"/>
    <w:rsid w:val="00C12BEF"/>
    <w:rsid w:val="00C13025"/>
    <w:rsid w:val="00C1329D"/>
    <w:rsid w:val="00C13566"/>
    <w:rsid w:val="00C1381D"/>
    <w:rsid w:val="00C13A72"/>
    <w:rsid w:val="00C13B75"/>
    <w:rsid w:val="00C13BC7"/>
    <w:rsid w:val="00C13C5C"/>
    <w:rsid w:val="00C14A10"/>
    <w:rsid w:val="00C14AE8"/>
    <w:rsid w:val="00C14ECB"/>
    <w:rsid w:val="00C15462"/>
    <w:rsid w:val="00C154C6"/>
    <w:rsid w:val="00C157B7"/>
    <w:rsid w:val="00C15D69"/>
    <w:rsid w:val="00C15DAC"/>
    <w:rsid w:val="00C1610F"/>
    <w:rsid w:val="00C1614E"/>
    <w:rsid w:val="00C16379"/>
    <w:rsid w:val="00C163CE"/>
    <w:rsid w:val="00C1647F"/>
    <w:rsid w:val="00C1651D"/>
    <w:rsid w:val="00C167AC"/>
    <w:rsid w:val="00C169F3"/>
    <w:rsid w:val="00C16C04"/>
    <w:rsid w:val="00C16CA5"/>
    <w:rsid w:val="00C16CC1"/>
    <w:rsid w:val="00C17008"/>
    <w:rsid w:val="00C174CE"/>
    <w:rsid w:val="00C17826"/>
    <w:rsid w:val="00C17BC6"/>
    <w:rsid w:val="00C2022E"/>
    <w:rsid w:val="00C203E1"/>
    <w:rsid w:val="00C2092D"/>
    <w:rsid w:val="00C20A4F"/>
    <w:rsid w:val="00C20B84"/>
    <w:rsid w:val="00C20C46"/>
    <w:rsid w:val="00C20EBD"/>
    <w:rsid w:val="00C210DB"/>
    <w:rsid w:val="00C2227B"/>
    <w:rsid w:val="00C222E0"/>
    <w:rsid w:val="00C22950"/>
    <w:rsid w:val="00C22ABF"/>
    <w:rsid w:val="00C22D54"/>
    <w:rsid w:val="00C2341F"/>
    <w:rsid w:val="00C2355D"/>
    <w:rsid w:val="00C23622"/>
    <w:rsid w:val="00C236AD"/>
    <w:rsid w:val="00C2384A"/>
    <w:rsid w:val="00C23D41"/>
    <w:rsid w:val="00C244C1"/>
    <w:rsid w:val="00C245B5"/>
    <w:rsid w:val="00C254CB"/>
    <w:rsid w:val="00C256A9"/>
    <w:rsid w:val="00C25851"/>
    <w:rsid w:val="00C259E6"/>
    <w:rsid w:val="00C25ACF"/>
    <w:rsid w:val="00C26B1C"/>
    <w:rsid w:val="00C26DEC"/>
    <w:rsid w:val="00C26E88"/>
    <w:rsid w:val="00C26ED5"/>
    <w:rsid w:val="00C26F40"/>
    <w:rsid w:val="00C277F8"/>
    <w:rsid w:val="00C278D3"/>
    <w:rsid w:val="00C2794F"/>
    <w:rsid w:val="00C27A63"/>
    <w:rsid w:val="00C27D3B"/>
    <w:rsid w:val="00C30221"/>
    <w:rsid w:val="00C302C5"/>
    <w:rsid w:val="00C30876"/>
    <w:rsid w:val="00C30DEC"/>
    <w:rsid w:val="00C30E5C"/>
    <w:rsid w:val="00C30EB3"/>
    <w:rsid w:val="00C311DF"/>
    <w:rsid w:val="00C313D0"/>
    <w:rsid w:val="00C31816"/>
    <w:rsid w:val="00C31E80"/>
    <w:rsid w:val="00C32056"/>
    <w:rsid w:val="00C3251E"/>
    <w:rsid w:val="00C32AA3"/>
    <w:rsid w:val="00C32C90"/>
    <w:rsid w:val="00C32E9B"/>
    <w:rsid w:val="00C33510"/>
    <w:rsid w:val="00C336A5"/>
    <w:rsid w:val="00C33A8F"/>
    <w:rsid w:val="00C33EC8"/>
    <w:rsid w:val="00C33FD3"/>
    <w:rsid w:val="00C33FE0"/>
    <w:rsid w:val="00C33FFA"/>
    <w:rsid w:val="00C340B8"/>
    <w:rsid w:val="00C3411B"/>
    <w:rsid w:val="00C342A4"/>
    <w:rsid w:val="00C34436"/>
    <w:rsid w:val="00C34545"/>
    <w:rsid w:val="00C346A2"/>
    <w:rsid w:val="00C35299"/>
    <w:rsid w:val="00C35D49"/>
    <w:rsid w:val="00C3609D"/>
    <w:rsid w:val="00C3659D"/>
    <w:rsid w:val="00C365CB"/>
    <w:rsid w:val="00C369E4"/>
    <w:rsid w:val="00C36B63"/>
    <w:rsid w:val="00C36B90"/>
    <w:rsid w:val="00C36DEB"/>
    <w:rsid w:val="00C36F18"/>
    <w:rsid w:val="00C373FF"/>
    <w:rsid w:val="00C37564"/>
    <w:rsid w:val="00C37A22"/>
    <w:rsid w:val="00C37A3E"/>
    <w:rsid w:val="00C37D74"/>
    <w:rsid w:val="00C37E41"/>
    <w:rsid w:val="00C37ECF"/>
    <w:rsid w:val="00C37FF7"/>
    <w:rsid w:val="00C40028"/>
    <w:rsid w:val="00C40511"/>
    <w:rsid w:val="00C40B6F"/>
    <w:rsid w:val="00C4164B"/>
    <w:rsid w:val="00C416B4"/>
    <w:rsid w:val="00C417E0"/>
    <w:rsid w:val="00C41E03"/>
    <w:rsid w:val="00C4253D"/>
    <w:rsid w:val="00C4280D"/>
    <w:rsid w:val="00C42D65"/>
    <w:rsid w:val="00C42EB8"/>
    <w:rsid w:val="00C43967"/>
    <w:rsid w:val="00C43F36"/>
    <w:rsid w:val="00C442A1"/>
    <w:rsid w:val="00C44392"/>
    <w:rsid w:val="00C4447E"/>
    <w:rsid w:val="00C446A6"/>
    <w:rsid w:val="00C44A44"/>
    <w:rsid w:val="00C45880"/>
    <w:rsid w:val="00C4599E"/>
    <w:rsid w:val="00C459D4"/>
    <w:rsid w:val="00C45DA6"/>
    <w:rsid w:val="00C4625F"/>
    <w:rsid w:val="00C4669E"/>
    <w:rsid w:val="00C466D0"/>
    <w:rsid w:val="00C466EC"/>
    <w:rsid w:val="00C46B13"/>
    <w:rsid w:val="00C46BE5"/>
    <w:rsid w:val="00C46F42"/>
    <w:rsid w:val="00C4703C"/>
    <w:rsid w:val="00C4714F"/>
    <w:rsid w:val="00C471D2"/>
    <w:rsid w:val="00C47335"/>
    <w:rsid w:val="00C476A1"/>
    <w:rsid w:val="00C476CE"/>
    <w:rsid w:val="00C47DBF"/>
    <w:rsid w:val="00C5039F"/>
    <w:rsid w:val="00C5051A"/>
    <w:rsid w:val="00C507B9"/>
    <w:rsid w:val="00C5099D"/>
    <w:rsid w:val="00C50B6B"/>
    <w:rsid w:val="00C50D94"/>
    <w:rsid w:val="00C50E49"/>
    <w:rsid w:val="00C50F11"/>
    <w:rsid w:val="00C514D9"/>
    <w:rsid w:val="00C51572"/>
    <w:rsid w:val="00C51956"/>
    <w:rsid w:val="00C51E94"/>
    <w:rsid w:val="00C52525"/>
    <w:rsid w:val="00C5256F"/>
    <w:rsid w:val="00C52619"/>
    <w:rsid w:val="00C52664"/>
    <w:rsid w:val="00C5393B"/>
    <w:rsid w:val="00C53E1F"/>
    <w:rsid w:val="00C53E20"/>
    <w:rsid w:val="00C54169"/>
    <w:rsid w:val="00C54302"/>
    <w:rsid w:val="00C54494"/>
    <w:rsid w:val="00C544BB"/>
    <w:rsid w:val="00C544BC"/>
    <w:rsid w:val="00C54984"/>
    <w:rsid w:val="00C54BD0"/>
    <w:rsid w:val="00C54BEC"/>
    <w:rsid w:val="00C54D91"/>
    <w:rsid w:val="00C55545"/>
    <w:rsid w:val="00C558C2"/>
    <w:rsid w:val="00C55ABD"/>
    <w:rsid w:val="00C55D59"/>
    <w:rsid w:val="00C55DBB"/>
    <w:rsid w:val="00C55DE1"/>
    <w:rsid w:val="00C55FCA"/>
    <w:rsid w:val="00C5614A"/>
    <w:rsid w:val="00C56223"/>
    <w:rsid w:val="00C562EC"/>
    <w:rsid w:val="00C563C3"/>
    <w:rsid w:val="00C564EF"/>
    <w:rsid w:val="00C565BD"/>
    <w:rsid w:val="00C56620"/>
    <w:rsid w:val="00C566B0"/>
    <w:rsid w:val="00C56D05"/>
    <w:rsid w:val="00C56F5A"/>
    <w:rsid w:val="00C57172"/>
    <w:rsid w:val="00C57D82"/>
    <w:rsid w:val="00C57F12"/>
    <w:rsid w:val="00C60314"/>
    <w:rsid w:val="00C603AE"/>
    <w:rsid w:val="00C604A9"/>
    <w:rsid w:val="00C60DF1"/>
    <w:rsid w:val="00C61242"/>
    <w:rsid w:val="00C6159A"/>
    <w:rsid w:val="00C61788"/>
    <w:rsid w:val="00C61C37"/>
    <w:rsid w:val="00C61C8F"/>
    <w:rsid w:val="00C61DCA"/>
    <w:rsid w:val="00C61DDA"/>
    <w:rsid w:val="00C622C9"/>
    <w:rsid w:val="00C62930"/>
    <w:rsid w:val="00C62CFE"/>
    <w:rsid w:val="00C62F5C"/>
    <w:rsid w:val="00C631B2"/>
    <w:rsid w:val="00C63413"/>
    <w:rsid w:val="00C63493"/>
    <w:rsid w:val="00C63905"/>
    <w:rsid w:val="00C639B1"/>
    <w:rsid w:val="00C63D72"/>
    <w:rsid w:val="00C64E38"/>
    <w:rsid w:val="00C64EF2"/>
    <w:rsid w:val="00C65089"/>
    <w:rsid w:val="00C651DD"/>
    <w:rsid w:val="00C652B2"/>
    <w:rsid w:val="00C65367"/>
    <w:rsid w:val="00C65AC9"/>
    <w:rsid w:val="00C65EC4"/>
    <w:rsid w:val="00C65F0A"/>
    <w:rsid w:val="00C65FEF"/>
    <w:rsid w:val="00C66BAD"/>
    <w:rsid w:val="00C66EBD"/>
    <w:rsid w:val="00C674D1"/>
    <w:rsid w:val="00C67510"/>
    <w:rsid w:val="00C67524"/>
    <w:rsid w:val="00C6780F"/>
    <w:rsid w:val="00C67DE3"/>
    <w:rsid w:val="00C70132"/>
    <w:rsid w:val="00C708DC"/>
    <w:rsid w:val="00C70BF8"/>
    <w:rsid w:val="00C71334"/>
    <w:rsid w:val="00C71538"/>
    <w:rsid w:val="00C71549"/>
    <w:rsid w:val="00C71722"/>
    <w:rsid w:val="00C71AF1"/>
    <w:rsid w:val="00C71BF9"/>
    <w:rsid w:val="00C71C02"/>
    <w:rsid w:val="00C7208F"/>
    <w:rsid w:val="00C72CC5"/>
    <w:rsid w:val="00C7302E"/>
    <w:rsid w:val="00C730AE"/>
    <w:rsid w:val="00C7370B"/>
    <w:rsid w:val="00C738BC"/>
    <w:rsid w:val="00C74389"/>
    <w:rsid w:val="00C74477"/>
    <w:rsid w:val="00C747E5"/>
    <w:rsid w:val="00C7480A"/>
    <w:rsid w:val="00C74898"/>
    <w:rsid w:val="00C749FD"/>
    <w:rsid w:val="00C74AAE"/>
    <w:rsid w:val="00C74AB4"/>
    <w:rsid w:val="00C74FE1"/>
    <w:rsid w:val="00C75184"/>
    <w:rsid w:val="00C7529E"/>
    <w:rsid w:val="00C753A2"/>
    <w:rsid w:val="00C754C6"/>
    <w:rsid w:val="00C7581F"/>
    <w:rsid w:val="00C759EA"/>
    <w:rsid w:val="00C75A1A"/>
    <w:rsid w:val="00C75F7B"/>
    <w:rsid w:val="00C764FA"/>
    <w:rsid w:val="00C7682F"/>
    <w:rsid w:val="00C76C09"/>
    <w:rsid w:val="00C77792"/>
    <w:rsid w:val="00C77C2B"/>
    <w:rsid w:val="00C77C55"/>
    <w:rsid w:val="00C77D3C"/>
    <w:rsid w:val="00C77D56"/>
    <w:rsid w:val="00C77E28"/>
    <w:rsid w:val="00C77E3F"/>
    <w:rsid w:val="00C77FF3"/>
    <w:rsid w:val="00C80530"/>
    <w:rsid w:val="00C806EF"/>
    <w:rsid w:val="00C807B0"/>
    <w:rsid w:val="00C80DEA"/>
    <w:rsid w:val="00C80F3D"/>
    <w:rsid w:val="00C8134D"/>
    <w:rsid w:val="00C81852"/>
    <w:rsid w:val="00C8189E"/>
    <w:rsid w:val="00C81934"/>
    <w:rsid w:val="00C81A62"/>
    <w:rsid w:val="00C82737"/>
    <w:rsid w:val="00C82D7A"/>
    <w:rsid w:val="00C82FF8"/>
    <w:rsid w:val="00C83FB5"/>
    <w:rsid w:val="00C84747"/>
    <w:rsid w:val="00C84CE0"/>
    <w:rsid w:val="00C84F6A"/>
    <w:rsid w:val="00C85193"/>
    <w:rsid w:val="00C855E9"/>
    <w:rsid w:val="00C85CBE"/>
    <w:rsid w:val="00C85FB9"/>
    <w:rsid w:val="00C86678"/>
    <w:rsid w:val="00C8685A"/>
    <w:rsid w:val="00C86ABE"/>
    <w:rsid w:val="00C87008"/>
    <w:rsid w:val="00C87412"/>
    <w:rsid w:val="00C8765F"/>
    <w:rsid w:val="00C87D9E"/>
    <w:rsid w:val="00C87FC1"/>
    <w:rsid w:val="00C87FE7"/>
    <w:rsid w:val="00C90241"/>
    <w:rsid w:val="00C906B9"/>
    <w:rsid w:val="00C90786"/>
    <w:rsid w:val="00C90B78"/>
    <w:rsid w:val="00C90ED5"/>
    <w:rsid w:val="00C9156A"/>
    <w:rsid w:val="00C9160B"/>
    <w:rsid w:val="00C917D6"/>
    <w:rsid w:val="00C91C94"/>
    <w:rsid w:val="00C91D76"/>
    <w:rsid w:val="00C91EB4"/>
    <w:rsid w:val="00C92310"/>
    <w:rsid w:val="00C928FE"/>
    <w:rsid w:val="00C92FD7"/>
    <w:rsid w:val="00C9303C"/>
    <w:rsid w:val="00C9323C"/>
    <w:rsid w:val="00C93B90"/>
    <w:rsid w:val="00C93C39"/>
    <w:rsid w:val="00C94196"/>
    <w:rsid w:val="00C945E6"/>
    <w:rsid w:val="00C94C1A"/>
    <w:rsid w:val="00C94D81"/>
    <w:rsid w:val="00C94ED8"/>
    <w:rsid w:val="00C95026"/>
    <w:rsid w:val="00C951C4"/>
    <w:rsid w:val="00C95876"/>
    <w:rsid w:val="00C95909"/>
    <w:rsid w:val="00C95A0A"/>
    <w:rsid w:val="00C95AFE"/>
    <w:rsid w:val="00C95D17"/>
    <w:rsid w:val="00C95D37"/>
    <w:rsid w:val="00C95F96"/>
    <w:rsid w:val="00C963E3"/>
    <w:rsid w:val="00C96880"/>
    <w:rsid w:val="00C969B4"/>
    <w:rsid w:val="00C96B4C"/>
    <w:rsid w:val="00C96D36"/>
    <w:rsid w:val="00C96E28"/>
    <w:rsid w:val="00C972F2"/>
    <w:rsid w:val="00C97499"/>
    <w:rsid w:val="00C97718"/>
    <w:rsid w:val="00C97747"/>
    <w:rsid w:val="00C97A39"/>
    <w:rsid w:val="00C97A86"/>
    <w:rsid w:val="00C97FCF"/>
    <w:rsid w:val="00CA0803"/>
    <w:rsid w:val="00CA0B6B"/>
    <w:rsid w:val="00CA0F2D"/>
    <w:rsid w:val="00CA1A43"/>
    <w:rsid w:val="00CA207E"/>
    <w:rsid w:val="00CA20C5"/>
    <w:rsid w:val="00CA2243"/>
    <w:rsid w:val="00CA22B9"/>
    <w:rsid w:val="00CA22FC"/>
    <w:rsid w:val="00CA2408"/>
    <w:rsid w:val="00CA2904"/>
    <w:rsid w:val="00CA29A9"/>
    <w:rsid w:val="00CA2F4F"/>
    <w:rsid w:val="00CA3174"/>
    <w:rsid w:val="00CA36BF"/>
    <w:rsid w:val="00CA3723"/>
    <w:rsid w:val="00CA3804"/>
    <w:rsid w:val="00CA3AAE"/>
    <w:rsid w:val="00CA3C0F"/>
    <w:rsid w:val="00CA482C"/>
    <w:rsid w:val="00CA4926"/>
    <w:rsid w:val="00CA4963"/>
    <w:rsid w:val="00CA4A84"/>
    <w:rsid w:val="00CA4BF8"/>
    <w:rsid w:val="00CA4D41"/>
    <w:rsid w:val="00CA4E48"/>
    <w:rsid w:val="00CA4F38"/>
    <w:rsid w:val="00CA5046"/>
    <w:rsid w:val="00CA5147"/>
    <w:rsid w:val="00CA54FA"/>
    <w:rsid w:val="00CA5837"/>
    <w:rsid w:val="00CA58B7"/>
    <w:rsid w:val="00CA5ECB"/>
    <w:rsid w:val="00CA5F75"/>
    <w:rsid w:val="00CA6239"/>
    <w:rsid w:val="00CA6247"/>
    <w:rsid w:val="00CA6280"/>
    <w:rsid w:val="00CA652A"/>
    <w:rsid w:val="00CA65A6"/>
    <w:rsid w:val="00CA665A"/>
    <w:rsid w:val="00CA744A"/>
    <w:rsid w:val="00CA756F"/>
    <w:rsid w:val="00CA7B42"/>
    <w:rsid w:val="00CA7D1C"/>
    <w:rsid w:val="00CB0030"/>
    <w:rsid w:val="00CB01B9"/>
    <w:rsid w:val="00CB0209"/>
    <w:rsid w:val="00CB0876"/>
    <w:rsid w:val="00CB08AE"/>
    <w:rsid w:val="00CB0C48"/>
    <w:rsid w:val="00CB13C5"/>
    <w:rsid w:val="00CB1810"/>
    <w:rsid w:val="00CB1865"/>
    <w:rsid w:val="00CB1A10"/>
    <w:rsid w:val="00CB1A17"/>
    <w:rsid w:val="00CB1B89"/>
    <w:rsid w:val="00CB1F78"/>
    <w:rsid w:val="00CB21C6"/>
    <w:rsid w:val="00CB2314"/>
    <w:rsid w:val="00CB274A"/>
    <w:rsid w:val="00CB28B2"/>
    <w:rsid w:val="00CB32D2"/>
    <w:rsid w:val="00CB3458"/>
    <w:rsid w:val="00CB3945"/>
    <w:rsid w:val="00CB399D"/>
    <w:rsid w:val="00CB3A6C"/>
    <w:rsid w:val="00CB3AC5"/>
    <w:rsid w:val="00CB4187"/>
    <w:rsid w:val="00CB43EB"/>
    <w:rsid w:val="00CB4518"/>
    <w:rsid w:val="00CB480A"/>
    <w:rsid w:val="00CB4E45"/>
    <w:rsid w:val="00CB4EE4"/>
    <w:rsid w:val="00CB50FD"/>
    <w:rsid w:val="00CB52BD"/>
    <w:rsid w:val="00CB54B2"/>
    <w:rsid w:val="00CB559C"/>
    <w:rsid w:val="00CB56A5"/>
    <w:rsid w:val="00CB57FA"/>
    <w:rsid w:val="00CB5EA2"/>
    <w:rsid w:val="00CB5EF8"/>
    <w:rsid w:val="00CB5FE8"/>
    <w:rsid w:val="00CB6646"/>
    <w:rsid w:val="00CB7083"/>
    <w:rsid w:val="00CB7172"/>
    <w:rsid w:val="00CB71B3"/>
    <w:rsid w:val="00CB742C"/>
    <w:rsid w:val="00CB78B0"/>
    <w:rsid w:val="00CB79CA"/>
    <w:rsid w:val="00CB7B3C"/>
    <w:rsid w:val="00CB7E92"/>
    <w:rsid w:val="00CB7EAF"/>
    <w:rsid w:val="00CC0147"/>
    <w:rsid w:val="00CC022E"/>
    <w:rsid w:val="00CC03D8"/>
    <w:rsid w:val="00CC0463"/>
    <w:rsid w:val="00CC0472"/>
    <w:rsid w:val="00CC08A5"/>
    <w:rsid w:val="00CC0996"/>
    <w:rsid w:val="00CC0A43"/>
    <w:rsid w:val="00CC158A"/>
    <w:rsid w:val="00CC18F6"/>
    <w:rsid w:val="00CC1A5B"/>
    <w:rsid w:val="00CC1BB9"/>
    <w:rsid w:val="00CC1DB7"/>
    <w:rsid w:val="00CC20F3"/>
    <w:rsid w:val="00CC21B3"/>
    <w:rsid w:val="00CC21DC"/>
    <w:rsid w:val="00CC21E9"/>
    <w:rsid w:val="00CC223E"/>
    <w:rsid w:val="00CC23D2"/>
    <w:rsid w:val="00CC28ED"/>
    <w:rsid w:val="00CC2B73"/>
    <w:rsid w:val="00CC2D2F"/>
    <w:rsid w:val="00CC2F88"/>
    <w:rsid w:val="00CC33EE"/>
    <w:rsid w:val="00CC3608"/>
    <w:rsid w:val="00CC3651"/>
    <w:rsid w:val="00CC37B4"/>
    <w:rsid w:val="00CC4609"/>
    <w:rsid w:val="00CC47BC"/>
    <w:rsid w:val="00CC47CC"/>
    <w:rsid w:val="00CC4E7A"/>
    <w:rsid w:val="00CC4FCB"/>
    <w:rsid w:val="00CC56BF"/>
    <w:rsid w:val="00CC5AC5"/>
    <w:rsid w:val="00CC613B"/>
    <w:rsid w:val="00CC6241"/>
    <w:rsid w:val="00CC6C1D"/>
    <w:rsid w:val="00CC6D2A"/>
    <w:rsid w:val="00CC72B6"/>
    <w:rsid w:val="00CC786B"/>
    <w:rsid w:val="00CC7BD8"/>
    <w:rsid w:val="00CC7C1E"/>
    <w:rsid w:val="00CC7EE7"/>
    <w:rsid w:val="00CD044B"/>
    <w:rsid w:val="00CD08F6"/>
    <w:rsid w:val="00CD18BF"/>
    <w:rsid w:val="00CD1CC2"/>
    <w:rsid w:val="00CD1F9D"/>
    <w:rsid w:val="00CD22E5"/>
    <w:rsid w:val="00CD26B3"/>
    <w:rsid w:val="00CD271F"/>
    <w:rsid w:val="00CD2AB9"/>
    <w:rsid w:val="00CD2EE6"/>
    <w:rsid w:val="00CD351A"/>
    <w:rsid w:val="00CD358C"/>
    <w:rsid w:val="00CD3F1B"/>
    <w:rsid w:val="00CD40FA"/>
    <w:rsid w:val="00CD485A"/>
    <w:rsid w:val="00CD4A3F"/>
    <w:rsid w:val="00CD4F84"/>
    <w:rsid w:val="00CD53CC"/>
    <w:rsid w:val="00CD54A6"/>
    <w:rsid w:val="00CD5BDF"/>
    <w:rsid w:val="00CD5D0E"/>
    <w:rsid w:val="00CD6D15"/>
    <w:rsid w:val="00CD781C"/>
    <w:rsid w:val="00CD79BE"/>
    <w:rsid w:val="00CD7B8C"/>
    <w:rsid w:val="00CD7C0C"/>
    <w:rsid w:val="00CD7F15"/>
    <w:rsid w:val="00CE0308"/>
    <w:rsid w:val="00CE0836"/>
    <w:rsid w:val="00CE0C58"/>
    <w:rsid w:val="00CE1093"/>
    <w:rsid w:val="00CE1226"/>
    <w:rsid w:val="00CE128A"/>
    <w:rsid w:val="00CE12BF"/>
    <w:rsid w:val="00CE17AA"/>
    <w:rsid w:val="00CE1847"/>
    <w:rsid w:val="00CE1CB8"/>
    <w:rsid w:val="00CE2084"/>
    <w:rsid w:val="00CE256D"/>
    <w:rsid w:val="00CE280F"/>
    <w:rsid w:val="00CE2C44"/>
    <w:rsid w:val="00CE2D23"/>
    <w:rsid w:val="00CE3248"/>
    <w:rsid w:val="00CE3287"/>
    <w:rsid w:val="00CE3839"/>
    <w:rsid w:val="00CE3A1C"/>
    <w:rsid w:val="00CE3D5C"/>
    <w:rsid w:val="00CE3E03"/>
    <w:rsid w:val="00CE3E8F"/>
    <w:rsid w:val="00CE412B"/>
    <w:rsid w:val="00CE4232"/>
    <w:rsid w:val="00CE478C"/>
    <w:rsid w:val="00CE4D04"/>
    <w:rsid w:val="00CE569F"/>
    <w:rsid w:val="00CE584F"/>
    <w:rsid w:val="00CE5C30"/>
    <w:rsid w:val="00CE5CE5"/>
    <w:rsid w:val="00CE5FF5"/>
    <w:rsid w:val="00CE61DC"/>
    <w:rsid w:val="00CE6397"/>
    <w:rsid w:val="00CE64C5"/>
    <w:rsid w:val="00CE64CF"/>
    <w:rsid w:val="00CE6EF0"/>
    <w:rsid w:val="00CE6F57"/>
    <w:rsid w:val="00CE701D"/>
    <w:rsid w:val="00CE710A"/>
    <w:rsid w:val="00CE72F9"/>
    <w:rsid w:val="00CE7492"/>
    <w:rsid w:val="00CE7574"/>
    <w:rsid w:val="00CE7C17"/>
    <w:rsid w:val="00CE7D8A"/>
    <w:rsid w:val="00CF007B"/>
    <w:rsid w:val="00CF008B"/>
    <w:rsid w:val="00CF00FB"/>
    <w:rsid w:val="00CF08F4"/>
    <w:rsid w:val="00CF0ED4"/>
    <w:rsid w:val="00CF1045"/>
    <w:rsid w:val="00CF14DF"/>
    <w:rsid w:val="00CF1580"/>
    <w:rsid w:val="00CF193E"/>
    <w:rsid w:val="00CF1BF9"/>
    <w:rsid w:val="00CF222B"/>
    <w:rsid w:val="00CF245A"/>
    <w:rsid w:val="00CF2AE6"/>
    <w:rsid w:val="00CF2B6C"/>
    <w:rsid w:val="00CF2CBB"/>
    <w:rsid w:val="00CF2E4D"/>
    <w:rsid w:val="00CF2E93"/>
    <w:rsid w:val="00CF2F71"/>
    <w:rsid w:val="00CF2FE1"/>
    <w:rsid w:val="00CF3C3F"/>
    <w:rsid w:val="00CF439A"/>
    <w:rsid w:val="00CF44D4"/>
    <w:rsid w:val="00CF453F"/>
    <w:rsid w:val="00CF4562"/>
    <w:rsid w:val="00CF5083"/>
    <w:rsid w:val="00CF5170"/>
    <w:rsid w:val="00CF5463"/>
    <w:rsid w:val="00CF57E6"/>
    <w:rsid w:val="00CF5B05"/>
    <w:rsid w:val="00CF5B0F"/>
    <w:rsid w:val="00CF649E"/>
    <w:rsid w:val="00CF672C"/>
    <w:rsid w:val="00CF68EE"/>
    <w:rsid w:val="00CF68F9"/>
    <w:rsid w:val="00CF6907"/>
    <w:rsid w:val="00CF6B88"/>
    <w:rsid w:val="00CF6EFD"/>
    <w:rsid w:val="00CF6F5C"/>
    <w:rsid w:val="00CF6FEA"/>
    <w:rsid w:val="00D00374"/>
    <w:rsid w:val="00D003C9"/>
    <w:rsid w:val="00D00428"/>
    <w:rsid w:val="00D005AA"/>
    <w:rsid w:val="00D00D56"/>
    <w:rsid w:val="00D01A50"/>
    <w:rsid w:val="00D02396"/>
    <w:rsid w:val="00D0239C"/>
    <w:rsid w:val="00D023C2"/>
    <w:rsid w:val="00D02567"/>
    <w:rsid w:val="00D027AC"/>
    <w:rsid w:val="00D02C0E"/>
    <w:rsid w:val="00D0307A"/>
    <w:rsid w:val="00D030BC"/>
    <w:rsid w:val="00D03232"/>
    <w:rsid w:val="00D03469"/>
    <w:rsid w:val="00D03C48"/>
    <w:rsid w:val="00D03C89"/>
    <w:rsid w:val="00D03E97"/>
    <w:rsid w:val="00D04190"/>
    <w:rsid w:val="00D04771"/>
    <w:rsid w:val="00D049D6"/>
    <w:rsid w:val="00D04A1D"/>
    <w:rsid w:val="00D04CD4"/>
    <w:rsid w:val="00D04CFA"/>
    <w:rsid w:val="00D05012"/>
    <w:rsid w:val="00D053AE"/>
    <w:rsid w:val="00D05541"/>
    <w:rsid w:val="00D0575C"/>
    <w:rsid w:val="00D05968"/>
    <w:rsid w:val="00D05D76"/>
    <w:rsid w:val="00D05EC4"/>
    <w:rsid w:val="00D05EEA"/>
    <w:rsid w:val="00D0630B"/>
    <w:rsid w:val="00D06DAA"/>
    <w:rsid w:val="00D075DD"/>
    <w:rsid w:val="00D07992"/>
    <w:rsid w:val="00D079F8"/>
    <w:rsid w:val="00D101A3"/>
    <w:rsid w:val="00D105C3"/>
    <w:rsid w:val="00D105FC"/>
    <w:rsid w:val="00D10E48"/>
    <w:rsid w:val="00D11458"/>
    <w:rsid w:val="00D11569"/>
    <w:rsid w:val="00D12482"/>
    <w:rsid w:val="00D12AC9"/>
    <w:rsid w:val="00D12CE5"/>
    <w:rsid w:val="00D12E74"/>
    <w:rsid w:val="00D1355E"/>
    <w:rsid w:val="00D13A26"/>
    <w:rsid w:val="00D13ADD"/>
    <w:rsid w:val="00D13D2D"/>
    <w:rsid w:val="00D13FD5"/>
    <w:rsid w:val="00D1478F"/>
    <w:rsid w:val="00D15088"/>
    <w:rsid w:val="00D15543"/>
    <w:rsid w:val="00D157B3"/>
    <w:rsid w:val="00D15BF8"/>
    <w:rsid w:val="00D15BFF"/>
    <w:rsid w:val="00D15CF0"/>
    <w:rsid w:val="00D1634E"/>
    <w:rsid w:val="00D16711"/>
    <w:rsid w:val="00D168CF"/>
    <w:rsid w:val="00D169E3"/>
    <w:rsid w:val="00D16B4B"/>
    <w:rsid w:val="00D16CE0"/>
    <w:rsid w:val="00D16FA5"/>
    <w:rsid w:val="00D174E3"/>
    <w:rsid w:val="00D20236"/>
    <w:rsid w:val="00D20309"/>
    <w:rsid w:val="00D20C2B"/>
    <w:rsid w:val="00D20EDA"/>
    <w:rsid w:val="00D2109B"/>
    <w:rsid w:val="00D214FA"/>
    <w:rsid w:val="00D215A0"/>
    <w:rsid w:val="00D21608"/>
    <w:rsid w:val="00D216A4"/>
    <w:rsid w:val="00D21AD4"/>
    <w:rsid w:val="00D21C69"/>
    <w:rsid w:val="00D21DC7"/>
    <w:rsid w:val="00D22629"/>
    <w:rsid w:val="00D22757"/>
    <w:rsid w:val="00D229B5"/>
    <w:rsid w:val="00D2305E"/>
    <w:rsid w:val="00D23069"/>
    <w:rsid w:val="00D23127"/>
    <w:rsid w:val="00D231C6"/>
    <w:rsid w:val="00D23310"/>
    <w:rsid w:val="00D23777"/>
    <w:rsid w:val="00D237BD"/>
    <w:rsid w:val="00D238FA"/>
    <w:rsid w:val="00D2405C"/>
    <w:rsid w:val="00D24408"/>
    <w:rsid w:val="00D24473"/>
    <w:rsid w:val="00D2450C"/>
    <w:rsid w:val="00D24574"/>
    <w:rsid w:val="00D2480F"/>
    <w:rsid w:val="00D24870"/>
    <w:rsid w:val="00D24983"/>
    <w:rsid w:val="00D249DF"/>
    <w:rsid w:val="00D24C52"/>
    <w:rsid w:val="00D24EB7"/>
    <w:rsid w:val="00D24FE0"/>
    <w:rsid w:val="00D2550F"/>
    <w:rsid w:val="00D25724"/>
    <w:rsid w:val="00D257DF"/>
    <w:rsid w:val="00D25A3C"/>
    <w:rsid w:val="00D2643A"/>
    <w:rsid w:val="00D26A85"/>
    <w:rsid w:val="00D26D15"/>
    <w:rsid w:val="00D27041"/>
    <w:rsid w:val="00D27095"/>
    <w:rsid w:val="00D27166"/>
    <w:rsid w:val="00D2720B"/>
    <w:rsid w:val="00D2722C"/>
    <w:rsid w:val="00D3007A"/>
    <w:rsid w:val="00D30207"/>
    <w:rsid w:val="00D30D07"/>
    <w:rsid w:val="00D30D18"/>
    <w:rsid w:val="00D3189D"/>
    <w:rsid w:val="00D31924"/>
    <w:rsid w:val="00D319C7"/>
    <w:rsid w:val="00D31E1D"/>
    <w:rsid w:val="00D324BD"/>
    <w:rsid w:val="00D3264E"/>
    <w:rsid w:val="00D3266E"/>
    <w:rsid w:val="00D32B01"/>
    <w:rsid w:val="00D32D19"/>
    <w:rsid w:val="00D32D58"/>
    <w:rsid w:val="00D32E40"/>
    <w:rsid w:val="00D32FC5"/>
    <w:rsid w:val="00D330B4"/>
    <w:rsid w:val="00D33319"/>
    <w:rsid w:val="00D335D6"/>
    <w:rsid w:val="00D33711"/>
    <w:rsid w:val="00D33936"/>
    <w:rsid w:val="00D33CB0"/>
    <w:rsid w:val="00D342A1"/>
    <w:rsid w:val="00D34447"/>
    <w:rsid w:val="00D34449"/>
    <w:rsid w:val="00D34820"/>
    <w:rsid w:val="00D34C4B"/>
    <w:rsid w:val="00D35068"/>
    <w:rsid w:val="00D35121"/>
    <w:rsid w:val="00D35136"/>
    <w:rsid w:val="00D3572E"/>
    <w:rsid w:val="00D35AFD"/>
    <w:rsid w:val="00D362C6"/>
    <w:rsid w:val="00D36344"/>
    <w:rsid w:val="00D36463"/>
    <w:rsid w:val="00D36562"/>
    <w:rsid w:val="00D3675F"/>
    <w:rsid w:val="00D368E8"/>
    <w:rsid w:val="00D36905"/>
    <w:rsid w:val="00D36BB4"/>
    <w:rsid w:val="00D36E1E"/>
    <w:rsid w:val="00D36E46"/>
    <w:rsid w:val="00D37148"/>
    <w:rsid w:val="00D379F8"/>
    <w:rsid w:val="00D40154"/>
    <w:rsid w:val="00D40A08"/>
    <w:rsid w:val="00D40E2B"/>
    <w:rsid w:val="00D40EC0"/>
    <w:rsid w:val="00D4103B"/>
    <w:rsid w:val="00D414EA"/>
    <w:rsid w:val="00D416EB"/>
    <w:rsid w:val="00D41E6C"/>
    <w:rsid w:val="00D420D2"/>
    <w:rsid w:val="00D4228A"/>
    <w:rsid w:val="00D423D3"/>
    <w:rsid w:val="00D42441"/>
    <w:rsid w:val="00D42469"/>
    <w:rsid w:val="00D4247C"/>
    <w:rsid w:val="00D42679"/>
    <w:rsid w:val="00D42790"/>
    <w:rsid w:val="00D42904"/>
    <w:rsid w:val="00D42C7D"/>
    <w:rsid w:val="00D42D92"/>
    <w:rsid w:val="00D42FB4"/>
    <w:rsid w:val="00D43058"/>
    <w:rsid w:val="00D43072"/>
    <w:rsid w:val="00D43098"/>
    <w:rsid w:val="00D431E3"/>
    <w:rsid w:val="00D436AF"/>
    <w:rsid w:val="00D436C1"/>
    <w:rsid w:val="00D43C36"/>
    <w:rsid w:val="00D43D72"/>
    <w:rsid w:val="00D43F0A"/>
    <w:rsid w:val="00D4438E"/>
    <w:rsid w:val="00D44412"/>
    <w:rsid w:val="00D4487C"/>
    <w:rsid w:val="00D44A68"/>
    <w:rsid w:val="00D44B31"/>
    <w:rsid w:val="00D44C92"/>
    <w:rsid w:val="00D45197"/>
    <w:rsid w:val="00D452B9"/>
    <w:rsid w:val="00D45332"/>
    <w:rsid w:val="00D4558A"/>
    <w:rsid w:val="00D458B8"/>
    <w:rsid w:val="00D45D99"/>
    <w:rsid w:val="00D462FB"/>
    <w:rsid w:val="00D46420"/>
    <w:rsid w:val="00D46665"/>
    <w:rsid w:val="00D46802"/>
    <w:rsid w:val="00D46925"/>
    <w:rsid w:val="00D46C0B"/>
    <w:rsid w:val="00D47229"/>
    <w:rsid w:val="00D476AD"/>
    <w:rsid w:val="00D50136"/>
    <w:rsid w:val="00D5025A"/>
    <w:rsid w:val="00D50430"/>
    <w:rsid w:val="00D50483"/>
    <w:rsid w:val="00D50528"/>
    <w:rsid w:val="00D50721"/>
    <w:rsid w:val="00D507FF"/>
    <w:rsid w:val="00D50AEC"/>
    <w:rsid w:val="00D50FC2"/>
    <w:rsid w:val="00D51159"/>
    <w:rsid w:val="00D51276"/>
    <w:rsid w:val="00D51A39"/>
    <w:rsid w:val="00D51A50"/>
    <w:rsid w:val="00D51D7C"/>
    <w:rsid w:val="00D51FB1"/>
    <w:rsid w:val="00D5200D"/>
    <w:rsid w:val="00D520C5"/>
    <w:rsid w:val="00D5264A"/>
    <w:rsid w:val="00D5273C"/>
    <w:rsid w:val="00D5293B"/>
    <w:rsid w:val="00D52A52"/>
    <w:rsid w:val="00D52BA2"/>
    <w:rsid w:val="00D531BE"/>
    <w:rsid w:val="00D532B6"/>
    <w:rsid w:val="00D533DD"/>
    <w:rsid w:val="00D535E6"/>
    <w:rsid w:val="00D53A74"/>
    <w:rsid w:val="00D540FB"/>
    <w:rsid w:val="00D5426A"/>
    <w:rsid w:val="00D54BCD"/>
    <w:rsid w:val="00D54C5E"/>
    <w:rsid w:val="00D54CF4"/>
    <w:rsid w:val="00D552EA"/>
    <w:rsid w:val="00D5557C"/>
    <w:rsid w:val="00D55A32"/>
    <w:rsid w:val="00D562BC"/>
    <w:rsid w:val="00D56685"/>
    <w:rsid w:val="00D567F0"/>
    <w:rsid w:val="00D56A41"/>
    <w:rsid w:val="00D56CC7"/>
    <w:rsid w:val="00D56E15"/>
    <w:rsid w:val="00D5701D"/>
    <w:rsid w:val="00D572C1"/>
    <w:rsid w:val="00D57394"/>
    <w:rsid w:val="00D57644"/>
    <w:rsid w:val="00D57CF2"/>
    <w:rsid w:val="00D57CF4"/>
    <w:rsid w:val="00D60429"/>
    <w:rsid w:val="00D6069E"/>
    <w:rsid w:val="00D6077B"/>
    <w:rsid w:val="00D60A50"/>
    <w:rsid w:val="00D60BE2"/>
    <w:rsid w:val="00D60D77"/>
    <w:rsid w:val="00D60DCB"/>
    <w:rsid w:val="00D61062"/>
    <w:rsid w:val="00D610B0"/>
    <w:rsid w:val="00D612DA"/>
    <w:rsid w:val="00D6133A"/>
    <w:rsid w:val="00D6155B"/>
    <w:rsid w:val="00D61C8D"/>
    <w:rsid w:val="00D61D16"/>
    <w:rsid w:val="00D61D68"/>
    <w:rsid w:val="00D61EA4"/>
    <w:rsid w:val="00D620DC"/>
    <w:rsid w:val="00D62235"/>
    <w:rsid w:val="00D62383"/>
    <w:rsid w:val="00D623F8"/>
    <w:rsid w:val="00D62A31"/>
    <w:rsid w:val="00D63273"/>
    <w:rsid w:val="00D635F5"/>
    <w:rsid w:val="00D639D5"/>
    <w:rsid w:val="00D65380"/>
    <w:rsid w:val="00D65A23"/>
    <w:rsid w:val="00D65CC2"/>
    <w:rsid w:val="00D65E65"/>
    <w:rsid w:val="00D66140"/>
    <w:rsid w:val="00D66197"/>
    <w:rsid w:val="00D6649A"/>
    <w:rsid w:val="00D66799"/>
    <w:rsid w:val="00D66ADB"/>
    <w:rsid w:val="00D66D21"/>
    <w:rsid w:val="00D66EBF"/>
    <w:rsid w:val="00D67106"/>
    <w:rsid w:val="00D6768F"/>
    <w:rsid w:val="00D67E6B"/>
    <w:rsid w:val="00D67EC9"/>
    <w:rsid w:val="00D70FFC"/>
    <w:rsid w:val="00D7109B"/>
    <w:rsid w:val="00D712CD"/>
    <w:rsid w:val="00D71E71"/>
    <w:rsid w:val="00D71EAA"/>
    <w:rsid w:val="00D72595"/>
    <w:rsid w:val="00D72ADA"/>
    <w:rsid w:val="00D72CB5"/>
    <w:rsid w:val="00D73512"/>
    <w:rsid w:val="00D737B2"/>
    <w:rsid w:val="00D73819"/>
    <w:rsid w:val="00D73C6C"/>
    <w:rsid w:val="00D73E6A"/>
    <w:rsid w:val="00D73FCA"/>
    <w:rsid w:val="00D7410C"/>
    <w:rsid w:val="00D74FFF"/>
    <w:rsid w:val="00D75336"/>
    <w:rsid w:val="00D75444"/>
    <w:rsid w:val="00D75490"/>
    <w:rsid w:val="00D75B6B"/>
    <w:rsid w:val="00D75CDD"/>
    <w:rsid w:val="00D75E90"/>
    <w:rsid w:val="00D762E7"/>
    <w:rsid w:val="00D7643C"/>
    <w:rsid w:val="00D774E8"/>
    <w:rsid w:val="00D775A4"/>
    <w:rsid w:val="00D77860"/>
    <w:rsid w:val="00D778B7"/>
    <w:rsid w:val="00D77989"/>
    <w:rsid w:val="00D779EB"/>
    <w:rsid w:val="00D77C12"/>
    <w:rsid w:val="00D804F9"/>
    <w:rsid w:val="00D80515"/>
    <w:rsid w:val="00D8078D"/>
    <w:rsid w:val="00D80983"/>
    <w:rsid w:val="00D80A3C"/>
    <w:rsid w:val="00D80D80"/>
    <w:rsid w:val="00D8129C"/>
    <w:rsid w:val="00D81829"/>
    <w:rsid w:val="00D820EA"/>
    <w:rsid w:val="00D821AD"/>
    <w:rsid w:val="00D8278B"/>
    <w:rsid w:val="00D82D08"/>
    <w:rsid w:val="00D82D82"/>
    <w:rsid w:val="00D8339E"/>
    <w:rsid w:val="00D83920"/>
    <w:rsid w:val="00D83E4D"/>
    <w:rsid w:val="00D84382"/>
    <w:rsid w:val="00D8442D"/>
    <w:rsid w:val="00D84590"/>
    <w:rsid w:val="00D84671"/>
    <w:rsid w:val="00D8484D"/>
    <w:rsid w:val="00D849B7"/>
    <w:rsid w:val="00D84A16"/>
    <w:rsid w:val="00D84F96"/>
    <w:rsid w:val="00D8525E"/>
    <w:rsid w:val="00D85B09"/>
    <w:rsid w:val="00D85D8A"/>
    <w:rsid w:val="00D86141"/>
    <w:rsid w:val="00D8623D"/>
    <w:rsid w:val="00D86616"/>
    <w:rsid w:val="00D86643"/>
    <w:rsid w:val="00D868A8"/>
    <w:rsid w:val="00D86F14"/>
    <w:rsid w:val="00D86FE2"/>
    <w:rsid w:val="00D8703B"/>
    <w:rsid w:val="00D8741E"/>
    <w:rsid w:val="00D874F9"/>
    <w:rsid w:val="00D903EB"/>
    <w:rsid w:val="00D9048E"/>
    <w:rsid w:val="00D90634"/>
    <w:rsid w:val="00D90683"/>
    <w:rsid w:val="00D906EA"/>
    <w:rsid w:val="00D90745"/>
    <w:rsid w:val="00D90D02"/>
    <w:rsid w:val="00D90D9E"/>
    <w:rsid w:val="00D914BA"/>
    <w:rsid w:val="00D917CC"/>
    <w:rsid w:val="00D91B36"/>
    <w:rsid w:val="00D91BC3"/>
    <w:rsid w:val="00D91C08"/>
    <w:rsid w:val="00D92084"/>
    <w:rsid w:val="00D92887"/>
    <w:rsid w:val="00D930E2"/>
    <w:rsid w:val="00D93137"/>
    <w:rsid w:val="00D9352C"/>
    <w:rsid w:val="00D9362B"/>
    <w:rsid w:val="00D93A7E"/>
    <w:rsid w:val="00D94604"/>
    <w:rsid w:val="00D9473A"/>
    <w:rsid w:val="00D94954"/>
    <w:rsid w:val="00D9501A"/>
    <w:rsid w:val="00D951CB"/>
    <w:rsid w:val="00D953CE"/>
    <w:rsid w:val="00D955A1"/>
    <w:rsid w:val="00D95DA9"/>
    <w:rsid w:val="00D96396"/>
    <w:rsid w:val="00D96773"/>
    <w:rsid w:val="00D96BA1"/>
    <w:rsid w:val="00D96DE6"/>
    <w:rsid w:val="00D971FB"/>
    <w:rsid w:val="00D973B5"/>
    <w:rsid w:val="00D973DD"/>
    <w:rsid w:val="00D97559"/>
    <w:rsid w:val="00D97792"/>
    <w:rsid w:val="00D97C8B"/>
    <w:rsid w:val="00DA01EE"/>
    <w:rsid w:val="00DA07AC"/>
    <w:rsid w:val="00DA0EB2"/>
    <w:rsid w:val="00DA0FD2"/>
    <w:rsid w:val="00DA12A1"/>
    <w:rsid w:val="00DA145F"/>
    <w:rsid w:val="00DA1CA3"/>
    <w:rsid w:val="00DA2140"/>
    <w:rsid w:val="00DA2AC7"/>
    <w:rsid w:val="00DA3167"/>
    <w:rsid w:val="00DA38C3"/>
    <w:rsid w:val="00DA38D4"/>
    <w:rsid w:val="00DA3A7A"/>
    <w:rsid w:val="00DA3C19"/>
    <w:rsid w:val="00DA4055"/>
    <w:rsid w:val="00DA46C3"/>
    <w:rsid w:val="00DA47E4"/>
    <w:rsid w:val="00DA4B31"/>
    <w:rsid w:val="00DA5106"/>
    <w:rsid w:val="00DA5344"/>
    <w:rsid w:val="00DA6197"/>
    <w:rsid w:val="00DA65C4"/>
    <w:rsid w:val="00DA6A6F"/>
    <w:rsid w:val="00DA6AFB"/>
    <w:rsid w:val="00DA7574"/>
    <w:rsid w:val="00DB0257"/>
    <w:rsid w:val="00DB057A"/>
    <w:rsid w:val="00DB0AA9"/>
    <w:rsid w:val="00DB0B4F"/>
    <w:rsid w:val="00DB0EF5"/>
    <w:rsid w:val="00DB1169"/>
    <w:rsid w:val="00DB119B"/>
    <w:rsid w:val="00DB1719"/>
    <w:rsid w:val="00DB1E22"/>
    <w:rsid w:val="00DB1E76"/>
    <w:rsid w:val="00DB2092"/>
    <w:rsid w:val="00DB29DD"/>
    <w:rsid w:val="00DB2F07"/>
    <w:rsid w:val="00DB36E4"/>
    <w:rsid w:val="00DB383C"/>
    <w:rsid w:val="00DB395A"/>
    <w:rsid w:val="00DB3F42"/>
    <w:rsid w:val="00DB4F08"/>
    <w:rsid w:val="00DB519C"/>
    <w:rsid w:val="00DB5A9C"/>
    <w:rsid w:val="00DB5BA1"/>
    <w:rsid w:val="00DB5C61"/>
    <w:rsid w:val="00DB6261"/>
    <w:rsid w:val="00DB63F1"/>
    <w:rsid w:val="00DB68F0"/>
    <w:rsid w:val="00DB6A65"/>
    <w:rsid w:val="00DB6BC1"/>
    <w:rsid w:val="00DB6FD2"/>
    <w:rsid w:val="00DB734D"/>
    <w:rsid w:val="00DB7516"/>
    <w:rsid w:val="00DC02F0"/>
    <w:rsid w:val="00DC0D68"/>
    <w:rsid w:val="00DC0D85"/>
    <w:rsid w:val="00DC0DD6"/>
    <w:rsid w:val="00DC0EC4"/>
    <w:rsid w:val="00DC13F4"/>
    <w:rsid w:val="00DC194A"/>
    <w:rsid w:val="00DC19BB"/>
    <w:rsid w:val="00DC1D37"/>
    <w:rsid w:val="00DC2145"/>
    <w:rsid w:val="00DC25A0"/>
    <w:rsid w:val="00DC271C"/>
    <w:rsid w:val="00DC315F"/>
    <w:rsid w:val="00DC3313"/>
    <w:rsid w:val="00DC36D5"/>
    <w:rsid w:val="00DC378C"/>
    <w:rsid w:val="00DC3B73"/>
    <w:rsid w:val="00DC414A"/>
    <w:rsid w:val="00DC41E9"/>
    <w:rsid w:val="00DC4901"/>
    <w:rsid w:val="00DC4C10"/>
    <w:rsid w:val="00DC4D77"/>
    <w:rsid w:val="00DC55FF"/>
    <w:rsid w:val="00DC5CF9"/>
    <w:rsid w:val="00DC5F14"/>
    <w:rsid w:val="00DC5FAA"/>
    <w:rsid w:val="00DC5FFD"/>
    <w:rsid w:val="00DC622E"/>
    <w:rsid w:val="00DC6614"/>
    <w:rsid w:val="00DC695C"/>
    <w:rsid w:val="00DC6B6E"/>
    <w:rsid w:val="00DC6E53"/>
    <w:rsid w:val="00DC7107"/>
    <w:rsid w:val="00DC7165"/>
    <w:rsid w:val="00DC753A"/>
    <w:rsid w:val="00DC7587"/>
    <w:rsid w:val="00DC7733"/>
    <w:rsid w:val="00DC7CCC"/>
    <w:rsid w:val="00DD05D4"/>
    <w:rsid w:val="00DD09FB"/>
    <w:rsid w:val="00DD0BD3"/>
    <w:rsid w:val="00DD12CA"/>
    <w:rsid w:val="00DD1779"/>
    <w:rsid w:val="00DD18BF"/>
    <w:rsid w:val="00DD1E19"/>
    <w:rsid w:val="00DD243E"/>
    <w:rsid w:val="00DD2890"/>
    <w:rsid w:val="00DD2C0B"/>
    <w:rsid w:val="00DD2EAD"/>
    <w:rsid w:val="00DD3AC6"/>
    <w:rsid w:val="00DD3B6D"/>
    <w:rsid w:val="00DD42F1"/>
    <w:rsid w:val="00DD4CD5"/>
    <w:rsid w:val="00DD58BA"/>
    <w:rsid w:val="00DD5943"/>
    <w:rsid w:val="00DD5B3C"/>
    <w:rsid w:val="00DD5EEF"/>
    <w:rsid w:val="00DD5FF8"/>
    <w:rsid w:val="00DD60CD"/>
    <w:rsid w:val="00DD6214"/>
    <w:rsid w:val="00DD6F2C"/>
    <w:rsid w:val="00DD756B"/>
    <w:rsid w:val="00DD7B19"/>
    <w:rsid w:val="00DD7B29"/>
    <w:rsid w:val="00DD7DD4"/>
    <w:rsid w:val="00DD7E5B"/>
    <w:rsid w:val="00DE0760"/>
    <w:rsid w:val="00DE0ADD"/>
    <w:rsid w:val="00DE0C68"/>
    <w:rsid w:val="00DE0E8B"/>
    <w:rsid w:val="00DE0ED9"/>
    <w:rsid w:val="00DE153D"/>
    <w:rsid w:val="00DE18D3"/>
    <w:rsid w:val="00DE2BEB"/>
    <w:rsid w:val="00DE2DA2"/>
    <w:rsid w:val="00DE2F27"/>
    <w:rsid w:val="00DE31D3"/>
    <w:rsid w:val="00DE3919"/>
    <w:rsid w:val="00DE3F33"/>
    <w:rsid w:val="00DE41C0"/>
    <w:rsid w:val="00DE438E"/>
    <w:rsid w:val="00DE4530"/>
    <w:rsid w:val="00DE4A24"/>
    <w:rsid w:val="00DE4AC9"/>
    <w:rsid w:val="00DE4BD0"/>
    <w:rsid w:val="00DE4DF3"/>
    <w:rsid w:val="00DE4E41"/>
    <w:rsid w:val="00DE50CB"/>
    <w:rsid w:val="00DE561D"/>
    <w:rsid w:val="00DE57EE"/>
    <w:rsid w:val="00DE5CF1"/>
    <w:rsid w:val="00DE6741"/>
    <w:rsid w:val="00DE6B1C"/>
    <w:rsid w:val="00DE6F51"/>
    <w:rsid w:val="00DE76A4"/>
    <w:rsid w:val="00DE76B3"/>
    <w:rsid w:val="00DE78E6"/>
    <w:rsid w:val="00DE7BC8"/>
    <w:rsid w:val="00DE7C3A"/>
    <w:rsid w:val="00DE7C3F"/>
    <w:rsid w:val="00DE7C60"/>
    <w:rsid w:val="00DE7D03"/>
    <w:rsid w:val="00DE7D58"/>
    <w:rsid w:val="00DE7F49"/>
    <w:rsid w:val="00DF0675"/>
    <w:rsid w:val="00DF0A56"/>
    <w:rsid w:val="00DF131D"/>
    <w:rsid w:val="00DF156F"/>
    <w:rsid w:val="00DF1A9C"/>
    <w:rsid w:val="00DF1C95"/>
    <w:rsid w:val="00DF22BA"/>
    <w:rsid w:val="00DF2303"/>
    <w:rsid w:val="00DF2813"/>
    <w:rsid w:val="00DF2834"/>
    <w:rsid w:val="00DF2916"/>
    <w:rsid w:val="00DF2DEA"/>
    <w:rsid w:val="00DF2E7F"/>
    <w:rsid w:val="00DF2F2F"/>
    <w:rsid w:val="00DF35AA"/>
    <w:rsid w:val="00DF3D61"/>
    <w:rsid w:val="00DF3D96"/>
    <w:rsid w:val="00DF41E6"/>
    <w:rsid w:val="00DF44A7"/>
    <w:rsid w:val="00DF4547"/>
    <w:rsid w:val="00DF4C93"/>
    <w:rsid w:val="00DF4E2E"/>
    <w:rsid w:val="00DF526E"/>
    <w:rsid w:val="00DF568A"/>
    <w:rsid w:val="00DF5710"/>
    <w:rsid w:val="00DF57C3"/>
    <w:rsid w:val="00DF59FD"/>
    <w:rsid w:val="00DF5A00"/>
    <w:rsid w:val="00DF6056"/>
    <w:rsid w:val="00DF67FF"/>
    <w:rsid w:val="00DF692B"/>
    <w:rsid w:val="00DF6A7F"/>
    <w:rsid w:val="00DF7165"/>
    <w:rsid w:val="00DF730A"/>
    <w:rsid w:val="00DF785C"/>
    <w:rsid w:val="00DF78E5"/>
    <w:rsid w:val="00DF7A12"/>
    <w:rsid w:val="00DF7BCE"/>
    <w:rsid w:val="00DF7D0E"/>
    <w:rsid w:val="00E00039"/>
    <w:rsid w:val="00E0057C"/>
    <w:rsid w:val="00E00933"/>
    <w:rsid w:val="00E00C96"/>
    <w:rsid w:val="00E00D50"/>
    <w:rsid w:val="00E015BF"/>
    <w:rsid w:val="00E01CDF"/>
    <w:rsid w:val="00E02016"/>
    <w:rsid w:val="00E034AF"/>
    <w:rsid w:val="00E0371B"/>
    <w:rsid w:val="00E03736"/>
    <w:rsid w:val="00E03798"/>
    <w:rsid w:val="00E039DE"/>
    <w:rsid w:val="00E03B66"/>
    <w:rsid w:val="00E03C3F"/>
    <w:rsid w:val="00E0408E"/>
    <w:rsid w:val="00E041D3"/>
    <w:rsid w:val="00E043BA"/>
    <w:rsid w:val="00E0440A"/>
    <w:rsid w:val="00E049A5"/>
    <w:rsid w:val="00E05432"/>
    <w:rsid w:val="00E0561F"/>
    <w:rsid w:val="00E05695"/>
    <w:rsid w:val="00E06165"/>
    <w:rsid w:val="00E06324"/>
    <w:rsid w:val="00E06508"/>
    <w:rsid w:val="00E06BEA"/>
    <w:rsid w:val="00E06FAA"/>
    <w:rsid w:val="00E07081"/>
    <w:rsid w:val="00E07215"/>
    <w:rsid w:val="00E072BD"/>
    <w:rsid w:val="00E072F2"/>
    <w:rsid w:val="00E07896"/>
    <w:rsid w:val="00E07DFD"/>
    <w:rsid w:val="00E106E7"/>
    <w:rsid w:val="00E10AB9"/>
    <w:rsid w:val="00E10B89"/>
    <w:rsid w:val="00E1102A"/>
    <w:rsid w:val="00E113D3"/>
    <w:rsid w:val="00E1184B"/>
    <w:rsid w:val="00E11CEF"/>
    <w:rsid w:val="00E11E51"/>
    <w:rsid w:val="00E12359"/>
    <w:rsid w:val="00E12409"/>
    <w:rsid w:val="00E1257C"/>
    <w:rsid w:val="00E12B83"/>
    <w:rsid w:val="00E12BE8"/>
    <w:rsid w:val="00E1309C"/>
    <w:rsid w:val="00E13247"/>
    <w:rsid w:val="00E1355A"/>
    <w:rsid w:val="00E13660"/>
    <w:rsid w:val="00E137F9"/>
    <w:rsid w:val="00E138AC"/>
    <w:rsid w:val="00E141CA"/>
    <w:rsid w:val="00E1425C"/>
    <w:rsid w:val="00E144E8"/>
    <w:rsid w:val="00E14B17"/>
    <w:rsid w:val="00E15268"/>
    <w:rsid w:val="00E15CD0"/>
    <w:rsid w:val="00E16370"/>
    <w:rsid w:val="00E16375"/>
    <w:rsid w:val="00E1649C"/>
    <w:rsid w:val="00E169AC"/>
    <w:rsid w:val="00E16A2B"/>
    <w:rsid w:val="00E16C48"/>
    <w:rsid w:val="00E16F32"/>
    <w:rsid w:val="00E20038"/>
    <w:rsid w:val="00E2009E"/>
    <w:rsid w:val="00E204F1"/>
    <w:rsid w:val="00E20963"/>
    <w:rsid w:val="00E2110E"/>
    <w:rsid w:val="00E21352"/>
    <w:rsid w:val="00E2136D"/>
    <w:rsid w:val="00E21508"/>
    <w:rsid w:val="00E21533"/>
    <w:rsid w:val="00E21A5E"/>
    <w:rsid w:val="00E21C01"/>
    <w:rsid w:val="00E222D3"/>
    <w:rsid w:val="00E2237C"/>
    <w:rsid w:val="00E22579"/>
    <w:rsid w:val="00E225D3"/>
    <w:rsid w:val="00E22A19"/>
    <w:rsid w:val="00E22A9D"/>
    <w:rsid w:val="00E22B4D"/>
    <w:rsid w:val="00E23798"/>
    <w:rsid w:val="00E238F7"/>
    <w:rsid w:val="00E23EDC"/>
    <w:rsid w:val="00E23F75"/>
    <w:rsid w:val="00E23F89"/>
    <w:rsid w:val="00E24354"/>
    <w:rsid w:val="00E243C4"/>
    <w:rsid w:val="00E24DB6"/>
    <w:rsid w:val="00E253DE"/>
    <w:rsid w:val="00E254AC"/>
    <w:rsid w:val="00E25660"/>
    <w:rsid w:val="00E258E3"/>
    <w:rsid w:val="00E25FEE"/>
    <w:rsid w:val="00E26339"/>
    <w:rsid w:val="00E26E03"/>
    <w:rsid w:val="00E273E6"/>
    <w:rsid w:val="00E276D8"/>
    <w:rsid w:val="00E278A3"/>
    <w:rsid w:val="00E278A7"/>
    <w:rsid w:val="00E27D5B"/>
    <w:rsid w:val="00E3098D"/>
    <w:rsid w:val="00E30C0B"/>
    <w:rsid w:val="00E310AD"/>
    <w:rsid w:val="00E3166F"/>
    <w:rsid w:val="00E31D79"/>
    <w:rsid w:val="00E31EB2"/>
    <w:rsid w:val="00E3226B"/>
    <w:rsid w:val="00E32AA4"/>
    <w:rsid w:val="00E32CC8"/>
    <w:rsid w:val="00E330ED"/>
    <w:rsid w:val="00E33802"/>
    <w:rsid w:val="00E33B66"/>
    <w:rsid w:val="00E340EE"/>
    <w:rsid w:val="00E34197"/>
    <w:rsid w:val="00E341BB"/>
    <w:rsid w:val="00E34249"/>
    <w:rsid w:val="00E34611"/>
    <w:rsid w:val="00E347F1"/>
    <w:rsid w:val="00E34840"/>
    <w:rsid w:val="00E34C65"/>
    <w:rsid w:val="00E35300"/>
    <w:rsid w:val="00E35432"/>
    <w:rsid w:val="00E3548D"/>
    <w:rsid w:val="00E35A74"/>
    <w:rsid w:val="00E35BE2"/>
    <w:rsid w:val="00E35C0D"/>
    <w:rsid w:val="00E36817"/>
    <w:rsid w:val="00E36A5E"/>
    <w:rsid w:val="00E36BE6"/>
    <w:rsid w:val="00E36C01"/>
    <w:rsid w:val="00E36ED4"/>
    <w:rsid w:val="00E3713F"/>
    <w:rsid w:val="00E371D9"/>
    <w:rsid w:val="00E3731B"/>
    <w:rsid w:val="00E376AA"/>
    <w:rsid w:val="00E37879"/>
    <w:rsid w:val="00E37BA7"/>
    <w:rsid w:val="00E37DF1"/>
    <w:rsid w:val="00E37F68"/>
    <w:rsid w:val="00E37F91"/>
    <w:rsid w:val="00E3EDE9"/>
    <w:rsid w:val="00E40259"/>
    <w:rsid w:val="00E40D91"/>
    <w:rsid w:val="00E41143"/>
    <w:rsid w:val="00E418FB"/>
    <w:rsid w:val="00E41990"/>
    <w:rsid w:val="00E41E73"/>
    <w:rsid w:val="00E421F9"/>
    <w:rsid w:val="00E42243"/>
    <w:rsid w:val="00E423EB"/>
    <w:rsid w:val="00E42490"/>
    <w:rsid w:val="00E42679"/>
    <w:rsid w:val="00E427FE"/>
    <w:rsid w:val="00E42A6D"/>
    <w:rsid w:val="00E42A71"/>
    <w:rsid w:val="00E42AA1"/>
    <w:rsid w:val="00E42C06"/>
    <w:rsid w:val="00E42E7A"/>
    <w:rsid w:val="00E434B9"/>
    <w:rsid w:val="00E439F7"/>
    <w:rsid w:val="00E43B3C"/>
    <w:rsid w:val="00E43C1B"/>
    <w:rsid w:val="00E43F35"/>
    <w:rsid w:val="00E44101"/>
    <w:rsid w:val="00E443CD"/>
    <w:rsid w:val="00E446D9"/>
    <w:rsid w:val="00E44A25"/>
    <w:rsid w:val="00E44C1E"/>
    <w:rsid w:val="00E45065"/>
    <w:rsid w:val="00E4510C"/>
    <w:rsid w:val="00E4519B"/>
    <w:rsid w:val="00E453AC"/>
    <w:rsid w:val="00E4588A"/>
    <w:rsid w:val="00E4645C"/>
    <w:rsid w:val="00E46490"/>
    <w:rsid w:val="00E46CBF"/>
    <w:rsid w:val="00E472E9"/>
    <w:rsid w:val="00E4758F"/>
    <w:rsid w:val="00E4766B"/>
    <w:rsid w:val="00E47CDE"/>
    <w:rsid w:val="00E4DD6A"/>
    <w:rsid w:val="00E5024C"/>
    <w:rsid w:val="00E50427"/>
    <w:rsid w:val="00E50CA1"/>
    <w:rsid w:val="00E50CB5"/>
    <w:rsid w:val="00E50D1D"/>
    <w:rsid w:val="00E50F3C"/>
    <w:rsid w:val="00E5102C"/>
    <w:rsid w:val="00E51060"/>
    <w:rsid w:val="00E513BF"/>
    <w:rsid w:val="00E514D2"/>
    <w:rsid w:val="00E51EC0"/>
    <w:rsid w:val="00E5200F"/>
    <w:rsid w:val="00E527CC"/>
    <w:rsid w:val="00E529B2"/>
    <w:rsid w:val="00E52BE5"/>
    <w:rsid w:val="00E53146"/>
    <w:rsid w:val="00E53185"/>
    <w:rsid w:val="00E5334D"/>
    <w:rsid w:val="00E53C07"/>
    <w:rsid w:val="00E53FEF"/>
    <w:rsid w:val="00E54299"/>
    <w:rsid w:val="00E5440F"/>
    <w:rsid w:val="00E5448D"/>
    <w:rsid w:val="00E54630"/>
    <w:rsid w:val="00E54D3F"/>
    <w:rsid w:val="00E55428"/>
    <w:rsid w:val="00E554AB"/>
    <w:rsid w:val="00E5602D"/>
    <w:rsid w:val="00E5658D"/>
    <w:rsid w:val="00E5684B"/>
    <w:rsid w:val="00E56ABA"/>
    <w:rsid w:val="00E5796F"/>
    <w:rsid w:val="00E57E26"/>
    <w:rsid w:val="00E57F8C"/>
    <w:rsid w:val="00E57FDA"/>
    <w:rsid w:val="00E6018D"/>
    <w:rsid w:val="00E60193"/>
    <w:rsid w:val="00E6096C"/>
    <w:rsid w:val="00E60BAF"/>
    <w:rsid w:val="00E60C62"/>
    <w:rsid w:val="00E60CDB"/>
    <w:rsid w:val="00E60D0F"/>
    <w:rsid w:val="00E6128E"/>
    <w:rsid w:val="00E61699"/>
    <w:rsid w:val="00E62279"/>
    <w:rsid w:val="00E62584"/>
    <w:rsid w:val="00E62A65"/>
    <w:rsid w:val="00E62AC3"/>
    <w:rsid w:val="00E62E51"/>
    <w:rsid w:val="00E62E83"/>
    <w:rsid w:val="00E63246"/>
    <w:rsid w:val="00E63351"/>
    <w:rsid w:val="00E633F0"/>
    <w:rsid w:val="00E63473"/>
    <w:rsid w:val="00E63A4E"/>
    <w:rsid w:val="00E63B73"/>
    <w:rsid w:val="00E63BC5"/>
    <w:rsid w:val="00E63D66"/>
    <w:rsid w:val="00E6444A"/>
    <w:rsid w:val="00E645C3"/>
    <w:rsid w:val="00E64647"/>
    <w:rsid w:val="00E64735"/>
    <w:rsid w:val="00E6480E"/>
    <w:rsid w:val="00E64AD0"/>
    <w:rsid w:val="00E64DD2"/>
    <w:rsid w:val="00E64E55"/>
    <w:rsid w:val="00E64FB7"/>
    <w:rsid w:val="00E65499"/>
    <w:rsid w:val="00E655AF"/>
    <w:rsid w:val="00E65771"/>
    <w:rsid w:val="00E65B95"/>
    <w:rsid w:val="00E65BC7"/>
    <w:rsid w:val="00E66BFF"/>
    <w:rsid w:val="00E66D99"/>
    <w:rsid w:val="00E6705A"/>
    <w:rsid w:val="00E674A8"/>
    <w:rsid w:val="00E675F8"/>
    <w:rsid w:val="00E67939"/>
    <w:rsid w:val="00E67CA5"/>
    <w:rsid w:val="00E6C410"/>
    <w:rsid w:val="00E6ED8D"/>
    <w:rsid w:val="00E704B2"/>
    <w:rsid w:val="00E70E25"/>
    <w:rsid w:val="00E7124A"/>
    <w:rsid w:val="00E715FA"/>
    <w:rsid w:val="00E718C8"/>
    <w:rsid w:val="00E71B5D"/>
    <w:rsid w:val="00E72154"/>
    <w:rsid w:val="00E72C84"/>
    <w:rsid w:val="00E732A4"/>
    <w:rsid w:val="00E732E7"/>
    <w:rsid w:val="00E73540"/>
    <w:rsid w:val="00E7357F"/>
    <w:rsid w:val="00E73748"/>
    <w:rsid w:val="00E739CA"/>
    <w:rsid w:val="00E73AE7"/>
    <w:rsid w:val="00E74291"/>
    <w:rsid w:val="00E74A9F"/>
    <w:rsid w:val="00E74DDD"/>
    <w:rsid w:val="00E751B2"/>
    <w:rsid w:val="00E75313"/>
    <w:rsid w:val="00E75427"/>
    <w:rsid w:val="00E75673"/>
    <w:rsid w:val="00E75A3A"/>
    <w:rsid w:val="00E75E31"/>
    <w:rsid w:val="00E75E9A"/>
    <w:rsid w:val="00E75FDA"/>
    <w:rsid w:val="00E7604D"/>
    <w:rsid w:val="00E76228"/>
    <w:rsid w:val="00E76F19"/>
    <w:rsid w:val="00E773B3"/>
    <w:rsid w:val="00E77599"/>
    <w:rsid w:val="00E775C3"/>
    <w:rsid w:val="00E7769F"/>
    <w:rsid w:val="00E802C8"/>
    <w:rsid w:val="00E80377"/>
    <w:rsid w:val="00E80484"/>
    <w:rsid w:val="00E807E7"/>
    <w:rsid w:val="00E80D0E"/>
    <w:rsid w:val="00E810EB"/>
    <w:rsid w:val="00E819A5"/>
    <w:rsid w:val="00E825EF"/>
    <w:rsid w:val="00E827BD"/>
    <w:rsid w:val="00E82884"/>
    <w:rsid w:val="00E82BF6"/>
    <w:rsid w:val="00E82D91"/>
    <w:rsid w:val="00E82E84"/>
    <w:rsid w:val="00E830BC"/>
    <w:rsid w:val="00E830D7"/>
    <w:rsid w:val="00E830E8"/>
    <w:rsid w:val="00E83192"/>
    <w:rsid w:val="00E83469"/>
    <w:rsid w:val="00E8366D"/>
    <w:rsid w:val="00E836EA"/>
    <w:rsid w:val="00E83B5A"/>
    <w:rsid w:val="00E83C73"/>
    <w:rsid w:val="00E83EC6"/>
    <w:rsid w:val="00E8427B"/>
    <w:rsid w:val="00E843A8"/>
    <w:rsid w:val="00E845DE"/>
    <w:rsid w:val="00E84C80"/>
    <w:rsid w:val="00E84DD9"/>
    <w:rsid w:val="00E8514E"/>
    <w:rsid w:val="00E856AA"/>
    <w:rsid w:val="00E857FF"/>
    <w:rsid w:val="00E85947"/>
    <w:rsid w:val="00E86088"/>
    <w:rsid w:val="00E86167"/>
    <w:rsid w:val="00E86671"/>
    <w:rsid w:val="00E867AB"/>
    <w:rsid w:val="00E86A23"/>
    <w:rsid w:val="00E86B8B"/>
    <w:rsid w:val="00E86EFB"/>
    <w:rsid w:val="00E8746F"/>
    <w:rsid w:val="00E874ED"/>
    <w:rsid w:val="00E875E9"/>
    <w:rsid w:val="00E87765"/>
    <w:rsid w:val="00E8776A"/>
    <w:rsid w:val="00E87965"/>
    <w:rsid w:val="00E87A0B"/>
    <w:rsid w:val="00E87D13"/>
    <w:rsid w:val="00E87DFB"/>
    <w:rsid w:val="00E904A4"/>
    <w:rsid w:val="00E90A4F"/>
    <w:rsid w:val="00E90AAD"/>
    <w:rsid w:val="00E90F87"/>
    <w:rsid w:val="00E91010"/>
    <w:rsid w:val="00E911AC"/>
    <w:rsid w:val="00E919E4"/>
    <w:rsid w:val="00E91A29"/>
    <w:rsid w:val="00E91C68"/>
    <w:rsid w:val="00E91D63"/>
    <w:rsid w:val="00E91E2B"/>
    <w:rsid w:val="00E9213A"/>
    <w:rsid w:val="00E92153"/>
    <w:rsid w:val="00E922FE"/>
    <w:rsid w:val="00E92358"/>
    <w:rsid w:val="00E925E5"/>
    <w:rsid w:val="00E92A3A"/>
    <w:rsid w:val="00E92A76"/>
    <w:rsid w:val="00E92E32"/>
    <w:rsid w:val="00E92F09"/>
    <w:rsid w:val="00E92F2F"/>
    <w:rsid w:val="00E92FCC"/>
    <w:rsid w:val="00E9389A"/>
    <w:rsid w:val="00E938DF"/>
    <w:rsid w:val="00E93D79"/>
    <w:rsid w:val="00E942EF"/>
    <w:rsid w:val="00E94366"/>
    <w:rsid w:val="00E943B9"/>
    <w:rsid w:val="00E94E57"/>
    <w:rsid w:val="00E961F3"/>
    <w:rsid w:val="00E971CC"/>
    <w:rsid w:val="00E973BF"/>
    <w:rsid w:val="00E97543"/>
    <w:rsid w:val="00E97E14"/>
    <w:rsid w:val="00E97E3E"/>
    <w:rsid w:val="00E97FD1"/>
    <w:rsid w:val="00EA0710"/>
    <w:rsid w:val="00EA0D73"/>
    <w:rsid w:val="00EA1089"/>
    <w:rsid w:val="00EA1140"/>
    <w:rsid w:val="00EA1900"/>
    <w:rsid w:val="00EA1ED9"/>
    <w:rsid w:val="00EA212A"/>
    <w:rsid w:val="00EA2614"/>
    <w:rsid w:val="00EA2652"/>
    <w:rsid w:val="00EA26EC"/>
    <w:rsid w:val="00EA27BD"/>
    <w:rsid w:val="00EA2B0E"/>
    <w:rsid w:val="00EA2B4B"/>
    <w:rsid w:val="00EA2CDF"/>
    <w:rsid w:val="00EA2F03"/>
    <w:rsid w:val="00EA2F5A"/>
    <w:rsid w:val="00EA3222"/>
    <w:rsid w:val="00EA34C6"/>
    <w:rsid w:val="00EA3AF9"/>
    <w:rsid w:val="00EA3BEF"/>
    <w:rsid w:val="00EA3C21"/>
    <w:rsid w:val="00EA41A8"/>
    <w:rsid w:val="00EA4214"/>
    <w:rsid w:val="00EA4448"/>
    <w:rsid w:val="00EA4917"/>
    <w:rsid w:val="00EA4C29"/>
    <w:rsid w:val="00EA4D99"/>
    <w:rsid w:val="00EA4DFE"/>
    <w:rsid w:val="00EA512D"/>
    <w:rsid w:val="00EA555F"/>
    <w:rsid w:val="00EA5609"/>
    <w:rsid w:val="00EA6208"/>
    <w:rsid w:val="00EA6C67"/>
    <w:rsid w:val="00EA6D67"/>
    <w:rsid w:val="00EA6E76"/>
    <w:rsid w:val="00EA6EA4"/>
    <w:rsid w:val="00EA6EBE"/>
    <w:rsid w:val="00EA6EE8"/>
    <w:rsid w:val="00EA6F72"/>
    <w:rsid w:val="00EA7565"/>
    <w:rsid w:val="00EA75C7"/>
    <w:rsid w:val="00EA7873"/>
    <w:rsid w:val="00EA78F8"/>
    <w:rsid w:val="00EB0130"/>
    <w:rsid w:val="00EB05AB"/>
    <w:rsid w:val="00EB079A"/>
    <w:rsid w:val="00EB0E1E"/>
    <w:rsid w:val="00EB109C"/>
    <w:rsid w:val="00EB141E"/>
    <w:rsid w:val="00EB1644"/>
    <w:rsid w:val="00EB187B"/>
    <w:rsid w:val="00EB19B3"/>
    <w:rsid w:val="00EB1A03"/>
    <w:rsid w:val="00EB1A5D"/>
    <w:rsid w:val="00EB1A6E"/>
    <w:rsid w:val="00EB1B1F"/>
    <w:rsid w:val="00EB1D3D"/>
    <w:rsid w:val="00EB1F7E"/>
    <w:rsid w:val="00EB2EC6"/>
    <w:rsid w:val="00EB2F45"/>
    <w:rsid w:val="00EB3322"/>
    <w:rsid w:val="00EB3341"/>
    <w:rsid w:val="00EB39DA"/>
    <w:rsid w:val="00EB3A05"/>
    <w:rsid w:val="00EB3D48"/>
    <w:rsid w:val="00EB3EF1"/>
    <w:rsid w:val="00EB3FC8"/>
    <w:rsid w:val="00EB4111"/>
    <w:rsid w:val="00EB454A"/>
    <w:rsid w:val="00EB48A3"/>
    <w:rsid w:val="00EB4E59"/>
    <w:rsid w:val="00EB4F22"/>
    <w:rsid w:val="00EB509D"/>
    <w:rsid w:val="00EB5635"/>
    <w:rsid w:val="00EB567A"/>
    <w:rsid w:val="00EB5989"/>
    <w:rsid w:val="00EB5B2E"/>
    <w:rsid w:val="00EB5F54"/>
    <w:rsid w:val="00EB6114"/>
    <w:rsid w:val="00EB613E"/>
    <w:rsid w:val="00EB62A8"/>
    <w:rsid w:val="00EB62E7"/>
    <w:rsid w:val="00EB659C"/>
    <w:rsid w:val="00EB65FC"/>
    <w:rsid w:val="00EB670E"/>
    <w:rsid w:val="00EB6C2F"/>
    <w:rsid w:val="00EB7066"/>
    <w:rsid w:val="00EB751D"/>
    <w:rsid w:val="00EB755D"/>
    <w:rsid w:val="00EB7757"/>
    <w:rsid w:val="00EB7849"/>
    <w:rsid w:val="00EB7A86"/>
    <w:rsid w:val="00EB7D45"/>
    <w:rsid w:val="00EC0228"/>
    <w:rsid w:val="00EC0C57"/>
    <w:rsid w:val="00EC0FE4"/>
    <w:rsid w:val="00EC108C"/>
    <w:rsid w:val="00EC19D6"/>
    <w:rsid w:val="00EC1A25"/>
    <w:rsid w:val="00EC1E49"/>
    <w:rsid w:val="00EC227F"/>
    <w:rsid w:val="00EC25AD"/>
    <w:rsid w:val="00EC26F6"/>
    <w:rsid w:val="00EC281E"/>
    <w:rsid w:val="00EC2A78"/>
    <w:rsid w:val="00EC3375"/>
    <w:rsid w:val="00EC3693"/>
    <w:rsid w:val="00EC3749"/>
    <w:rsid w:val="00EC4203"/>
    <w:rsid w:val="00EC44F0"/>
    <w:rsid w:val="00EC451A"/>
    <w:rsid w:val="00EC47CF"/>
    <w:rsid w:val="00EC4ED4"/>
    <w:rsid w:val="00EC567F"/>
    <w:rsid w:val="00EC56A6"/>
    <w:rsid w:val="00EC5779"/>
    <w:rsid w:val="00EC5821"/>
    <w:rsid w:val="00EC5A1E"/>
    <w:rsid w:val="00EC5DFB"/>
    <w:rsid w:val="00EC6F6B"/>
    <w:rsid w:val="00EC70F9"/>
    <w:rsid w:val="00EC7768"/>
    <w:rsid w:val="00EC79D8"/>
    <w:rsid w:val="00EC7B4B"/>
    <w:rsid w:val="00EC7DB0"/>
    <w:rsid w:val="00ED0514"/>
    <w:rsid w:val="00ED0983"/>
    <w:rsid w:val="00ED0E9C"/>
    <w:rsid w:val="00ED0F7B"/>
    <w:rsid w:val="00ED1153"/>
    <w:rsid w:val="00ED1421"/>
    <w:rsid w:val="00ED159F"/>
    <w:rsid w:val="00ED18C5"/>
    <w:rsid w:val="00ED1D7D"/>
    <w:rsid w:val="00ED21AB"/>
    <w:rsid w:val="00ED22E4"/>
    <w:rsid w:val="00ED267A"/>
    <w:rsid w:val="00ED28CE"/>
    <w:rsid w:val="00ED2D20"/>
    <w:rsid w:val="00ED2FBE"/>
    <w:rsid w:val="00ED301E"/>
    <w:rsid w:val="00ED3B57"/>
    <w:rsid w:val="00ED3DD7"/>
    <w:rsid w:val="00ED3E4B"/>
    <w:rsid w:val="00ED4150"/>
    <w:rsid w:val="00ED435A"/>
    <w:rsid w:val="00ED4ADB"/>
    <w:rsid w:val="00ED4B38"/>
    <w:rsid w:val="00ED4CD8"/>
    <w:rsid w:val="00ED4F1A"/>
    <w:rsid w:val="00ED5B71"/>
    <w:rsid w:val="00ED5C29"/>
    <w:rsid w:val="00ED5CE5"/>
    <w:rsid w:val="00ED6003"/>
    <w:rsid w:val="00ED61EB"/>
    <w:rsid w:val="00ED6AFD"/>
    <w:rsid w:val="00ED72F6"/>
    <w:rsid w:val="00ED75FA"/>
    <w:rsid w:val="00ED77F9"/>
    <w:rsid w:val="00ED7D79"/>
    <w:rsid w:val="00ED7DF6"/>
    <w:rsid w:val="00EE0131"/>
    <w:rsid w:val="00EE0884"/>
    <w:rsid w:val="00EE0DD9"/>
    <w:rsid w:val="00EE0ED2"/>
    <w:rsid w:val="00EE1455"/>
    <w:rsid w:val="00EE1FB3"/>
    <w:rsid w:val="00EE2091"/>
    <w:rsid w:val="00EE212B"/>
    <w:rsid w:val="00EE2593"/>
    <w:rsid w:val="00EE2C15"/>
    <w:rsid w:val="00EE2CCC"/>
    <w:rsid w:val="00EE2D7C"/>
    <w:rsid w:val="00EE313A"/>
    <w:rsid w:val="00EE343A"/>
    <w:rsid w:val="00EE3631"/>
    <w:rsid w:val="00EE36FF"/>
    <w:rsid w:val="00EE37BB"/>
    <w:rsid w:val="00EE3E83"/>
    <w:rsid w:val="00EE3F44"/>
    <w:rsid w:val="00EE498D"/>
    <w:rsid w:val="00EE4EF7"/>
    <w:rsid w:val="00EE536F"/>
    <w:rsid w:val="00EE5376"/>
    <w:rsid w:val="00EE5387"/>
    <w:rsid w:val="00EE5D32"/>
    <w:rsid w:val="00EE5F71"/>
    <w:rsid w:val="00EE6536"/>
    <w:rsid w:val="00EE667D"/>
    <w:rsid w:val="00EE67B6"/>
    <w:rsid w:val="00EE6F6F"/>
    <w:rsid w:val="00EE71BB"/>
    <w:rsid w:val="00EE75EC"/>
    <w:rsid w:val="00EE7641"/>
    <w:rsid w:val="00EE784C"/>
    <w:rsid w:val="00EE785C"/>
    <w:rsid w:val="00EE7A29"/>
    <w:rsid w:val="00EE7B46"/>
    <w:rsid w:val="00EE7D0E"/>
    <w:rsid w:val="00EE7D59"/>
    <w:rsid w:val="00EF05A4"/>
    <w:rsid w:val="00EF09DE"/>
    <w:rsid w:val="00EF0A35"/>
    <w:rsid w:val="00EF0C3C"/>
    <w:rsid w:val="00EF0C68"/>
    <w:rsid w:val="00EF0D62"/>
    <w:rsid w:val="00EF1652"/>
    <w:rsid w:val="00EF1CE0"/>
    <w:rsid w:val="00EF1EA9"/>
    <w:rsid w:val="00EF358F"/>
    <w:rsid w:val="00EF3671"/>
    <w:rsid w:val="00EF3F4C"/>
    <w:rsid w:val="00EF45B3"/>
    <w:rsid w:val="00EF46D8"/>
    <w:rsid w:val="00EF47DC"/>
    <w:rsid w:val="00EF4AAC"/>
    <w:rsid w:val="00EF4B1E"/>
    <w:rsid w:val="00EF4B3D"/>
    <w:rsid w:val="00EF4FBC"/>
    <w:rsid w:val="00EF5391"/>
    <w:rsid w:val="00EF568C"/>
    <w:rsid w:val="00EF5B7A"/>
    <w:rsid w:val="00EF5FEB"/>
    <w:rsid w:val="00EF6253"/>
    <w:rsid w:val="00EF63FE"/>
    <w:rsid w:val="00EF6F4B"/>
    <w:rsid w:val="00EF706E"/>
    <w:rsid w:val="00EF70C8"/>
    <w:rsid w:val="00F00781"/>
    <w:rsid w:val="00F007E7"/>
    <w:rsid w:val="00F007F3"/>
    <w:rsid w:val="00F00811"/>
    <w:rsid w:val="00F00864"/>
    <w:rsid w:val="00F00B6D"/>
    <w:rsid w:val="00F00E9B"/>
    <w:rsid w:val="00F01207"/>
    <w:rsid w:val="00F0154D"/>
    <w:rsid w:val="00F015D2"/>
    <w:rsid w:val="00F02146"/>
    <w:rsid w:val="00F022C8"/>
    <w:rsid w:val="00F02998"/>
    <w:rsid w:val="00F02DC1"/>
    <w:rsid w:val="00F02FD2"/>
    <w:rsid w:val="00F0330A"/>
    <w:rsid w:val="00F0360C"/>
    <w:rsid w:val="00F0369A"/>
    <w:rsid w:val="00F036A6"/>
    <w:rsid w:val="00F03CEB"/>
    <w:rsid w:val="00F0407F"/>
    <w:rsid w:val="00F041BE"/>
    <w:rsid w:val="00F04568"/>
    <w:rsid w:val="00F04E8A"/>
    <w:rsid w:val="00F04F65"/>
    <w:rsid w:val="00F05358"/>
    <w:rsid w:val="00F054DF"/>
    <w:rsid w:val="00F05759"/>
    <w:rsid w:val="00F05B7B"/>
    <w:rsid w:val="00F05F44"/>
    <w:rsid w:val="00F06893"/>
    <w:rsid w:val="00F06A70"/>
    <w:rsid w:val="00F076B9"/>
    <w:rsid w:val="00F07870"/>
    <w:rsid w:val="00F078F5"/>
    <w:rsid w:val="00F07E36"/>
    <w:rsid w:val="00F07EA8"/>
    <w:rsid w:val="00F102B9"/>
    <w:rsid w:val="00F10886"/>
    <w:rsid w:val="00F1127A"/>
    <w:rsid w:val="00F11A75"/>
    <w:rsid w:val="00F11A8A"/>
    <w:rsid w:val="00F1204F"/>
    <w:rsid w:val="00F124B6"/>
    <w:rsid w:val="00F128C9"/>
    <w:rsid w:val="00F12B68"/>
    <w:rsid w:val="00F12B97"/>
    <w:rsid w:val="00F12BC3"/>
    <w:rsid w:val="00F12CCA"/>
    <w:rsid w:val="00F1311D"/>
    <w:rsid w:val="00F13380"/>
    <w:rsid w:val="00F133E5"/>
    <w:rsid w:val="00F1374D"/>
    <w:rsid w:val="00F138C0"/>
    <w:rsid w:val="00F13ABF"/>
    <w:rsid w:val="00F13CF9"/>
    <w:rsid w:val="00F13F63"/>
    <w:rsid w:val="00F1439E"/>
    <w:rsid w:val="00F143C7"/>
    <w:rsid w:val="00F14465"/>
    <w:rsid w:val="00F1490D"/>
    <w:rsid w:val="00F14E8C"/>
    <w:rsid w:val="00F14F0B"/>
    <w:rsid w:val="00F150FE"/>
    <w:rsid w:val="00F15145"/>
    <w:rsid w:val="00F158A9"/>
    <w:rsid w:val="00F1599B"/>
    <w:rsid w:val="00F15D01"/>
    <w:rsid w:val="00F16151"/>
    <w:rsid w:val="00F1683C"/>
    <w:rsid w:val="00F16AE6"/>
    <w:rsid w:val="00F16D1B"/>
    <w:rsid w:val="00F16FB4"/>
    <w:rsid w:val="00F170DD"/>
    <w:rsid w:val="00F17414"/>
    <w:rsid w:val="00F17473"/>
    <w:rsid w:val="00F1749F"/>
    <w:rsid w:val="00F178F1"/>
    <w:rsid w:val="00F17D32"/>
    <w:rsid w:val="00F20728"/>
    <w:rsid w:val="00F20740"/>
    <w:rsid w:val="00F2078B"/>
    <w:rsid w:val="00F21072"/>
    <w:rsid w:val="00F212E0"/>
    <w:rsid w:val="00F217E6"/>
    <w:rsid w:val="00F21866"/>
    <w:rsid w:val="00F21CF2"/>
    <w:rsid w:val="00F21E58"/>
    <w:rsid w:val="00F21FFA"/>
    <w:rsid w:val="00F22166"/>
    <w:rsid w:val="00F228FE"/>
    <w:rsid w:val="00F22A91"/>
    <w:rsid w:val="00F22BAB"/>
    <w:rsid w:val="00F22C35"/>
    <w:rsid w:val="00F22E4E"/>
    <w:rsid w:val="00F23005"/>
    <w:rsid w:val="00F2321E"/>
    <w:rsid w:val="00F233BE"/>
    <w:rsid w:val="00F2402E"/>
    <w:rsid w:val="00F240FD"/>
    <w:rsid w:val="00F24D0E"/>
    <w:rsid w:val="00F25AC6"/>
    <w:rsid w:val="00F25ACF"/>
    <w:rsid w:val="00F25D55"/>
    <w:rsid w:val="00F25DED"/>
    <w:rsid w:val="00F260F9"/>
    <w:rsid w:val="00F26627"/>
    <w:rsid w:val="00F266DF"/>
    <w:rsid w:val="00F267D2"/>
    <w:rsid w:val="00F26C1F"/>
    <w:rsid w:val="00F272AE"/>
    <w:rsid w:val="00F279FA"/>
    <w:rsid w:val="00F27A4F"/>
    <w:rsid w:val="00F27C87"/>
    <w:rsid w:val="00F30262"/>
    <w:rsid w:val="00F30B8D"/>
    <w:rsid w:val="00F30C72"/>
    <w:rsid w:val="00F30CA3"/>
    <w:rsid w:val="00F30D7F"/>
    <w:rsid w:val="00F312A4"/>
    <w:rsid w:val="00F312DF"/>
    <w:rsid w:val="00F313AB"/>
    <w:rsid w:val="00F31B67"/>
    <w:rsid w:val="00F32C0F"/>
    <w:rsid w:val="00F33790"/>
    <w:rsid w:val="00F33885"/>
    <w:rsid w:val="00F33912"/>
    <w:rsid w:val="00F33F7F"/>
    <w:rsid w:val="00F34ECD"/>
    <w:rsid w:val="00F3537E"/>
    <w:rsid w:val="00F35756"/>
    <w:rsid w:val="00F3620B"/>
    <w:rsid w:val="00F36410"/>
    <w:rsid w:val="00F36460"/>
    <w:rsid w:val="00F3685F"/>
    <w:rsid w:val="00F36BC5"/>
    <w:rsid w:val="00F36CD4"/>
    <w:rsid w:val="00F36D5F"/>
    <w:rsid w:val="00F36D93"/>
    <w:rsid w:val="00F373D2"/>
    <w:rsid w:val="00F375A8"/>
    <w:rsid w:val="00F37B8E"/>
    <w:rsid w:val="00F37BEF"/>
    <w:rsid w:val="00F37C37"/>
    <w:rsid w:val="00F37D05"/>
    <w:rsid w:val="00F4053B"/>
    <w:rsid w:val="00F4090E"/>
    <w:rsid w:val="00F409E0"/>
    <w:rsid w:val="00F40D31"/>
    <w:rsid w:val="00F410EF"/>
    <w:rsid w:val="00F418C4"/>
    <w:rsid w:val="00F419D8"/>
    <w:rsid w:val="00F41F0D"/>
    <w:rsid w:val="00F41F40"/>
    <w:rsid w:val="00F41FC8"/>
    <w:rsid w:val="00F422EB"/>
    <w:rsid w:val="00F424D5"/>
    <w:rsid w:val="00F42F2F"/>
    <w:rsid w:val="00F437B5"/>
    <w:rsid w:val="00F43CD1"/>
    <w:rsid w:val="00F45866"/>
    <w:rsid w:val="00F45A20"/>
    <w:rsid w:val="00F45E10"/>
    <w:rsid w:val="00F45F0E"/>
    <w:rsid w:val="00F460FB"/>
    <w:rsid w:val="00F469F0"/>
    <w:rsid w:val="00F46A7A"/>
    <w:rsid w:val="00F46BF7"/>
    <w:rsid w:val="00F46C64"/>
    <w:rsid w:val="00F472D1"/>
    <w:rsid w:val="00F475A1"/>
    <w:rsid w:val="00F47758"/>
    <w:rsid w:val="00F47946"/>
    <w:rsid w:val="00F500EB"/>
    <w:rsid w:val="00F5030B"/>
    <w:rsid w:val="00F50352"/>
    <w:rsid w:val="00F5040D"/>
    <w:rsid w:val="00F5083D"/>
    <w:rsid w:val="00F50ACD"/>
    <w:rsid w:val="00F50EEB"/>
    <w:rsid w:val="00F513A9"/>
    <w:rsid w:val="00F513B5"/>
    <w:rsid w:val="00F5162B"/>
    <w:rsid w:val="00F516C3"/>
    <w:rsid w:val="00F51766"/>
    <w:rsid w:val="00F51805"/>
    <w:rsid w:val="00F51D7A"/>
    <w:rsid w:val="00F5260A"/>
    <w:rsid w:val="00F5261E"/>
    <w:rsid w:val="00F5275C"/>
    <w:rsid w:val="00F52C78"/>
    <w:rsid w:val="00F52DD2"/>
    <w:rsid w:val="00F53386"/>
    <w:rsid w:val="00F53B6E"/>
    <w:rsid w:val="00F53C51"/>
    <w:rsid w:val="00F53EA3"/>
    <w:rsid w:val="00F53EE8"/>
    <w:rsid w:val="00F53F69"/>
    <w:rsid w:val="00F54888"/>
    <w:rsid w:val="00F54AAF"/>
    <w:rsid w:val="00F54C15"/>
    <w:rsid w:val="00F54C7E"/>
    <w:rsid w:val="00F54E5C"/>
    <w:rsid w:val="00F5517F"/>
    <w:rsid w:val="00F552EA"/>
    <w:rsid w:val="00F552FE"/>
    <w:rsid w:val="00F5536D"/>
    <w:rsid w:val="00F55897"/>
    <w:rsid w:val="00F564BC"/>
    <w:rsid w:val="00F56822"/>
    <w:rsid w:val="00F569D4"/>
    <w:rsid w:val="00F56B71"/>
    <w:rsid w:val="00F56CBB"/>
    <w:rsid w:val="00F56D7A"/>
    <w:rsid w:val="00F57129"/>
    <w:rsid w:val="00F5788E"/>
    <w:rsid w:val="00F57C81"/>
    <w:rsid w:val="00F57EEE"/>
    <w:rsid w:val="00F6005A"/>
    <w:rsid w:val="00F600C4"/>
    <w:rsid w:val="00F60977"/>
    <w:rsid w:val="00F60E6C"/>
    <w:rsid w:val="00F6150D"/>
    <w:rsid w:val="00F61878"/>
    <w:rsid w:val="00F61A57"/>
    <w:rsid w:val="00F61DE8"/>
    <w:rsid w:val="00F62E28"/>
    <w:rsid w:val="00F630E4"/>
    <w:rsid w:val="00F63606"/>
    <w:rsid w:val="00F639A2"/>
    <w:rsid w:val="00F63A3E"/>
    <w:rsid w:val="00F63E34"/>
    <w:rsid w:val="00F64204"/>
    <w:rsid w:val="00F645B2"/>
    <w:rsid w:val="00F645E2"/>
    <w:rsid w:val="00F64B69"/>
    <w:rsid w:val="00F64CA7"/>
    <w:rsid w:val="00F65C3F"/>
    <w:rsid w:val="00F66077"/>
    <w:rsid w:val="00F66941"/>
    <w:rsid w:val="00F673F4"/>
    <w:rsid w:val="00F67AFC"/>
    <w:rsid w:val="00F67D00"/>
    <w:rsid w:val="00F6A2D6"/>
    <w:rsid w:val="00F70B92"/>
    <w:rsid w:val="00F70D0E"/>
    <w:rsid w:val="00F70E20"/>
    <w:rsid w:val="00F71811"/>
    <w:rsid w:val="00F7183E"/>
    <w:rsid w:val="00F71C2E"/>
    <w:rsid w:val="00F71E35"/>
    <w:rsid w:val="00F722FC"/>
    <w:rsid w:val="00F72729"/>
    <w:rsid w:val="00F7295E"/>
    <w:rsid w:val="00F7346C"/>
    <w:rsid w:val="00F738B0"/>
    <w:rsid w:val="00F73E47"/>
    <w:rsid w:val="00F74236"/>
    <w:rsid w:val="00F746C4"/>
    <w:rsid w:val="00F748DC"/>
    <w:rsid w:val="00F74B6C"/>
    <w:rsid w:val="00F74D64"/>
    <w:rsid w:val="00F74FA5"/>
    <w:rsid w:val="00F74FF4"/>
    <w:rsid w:val="00F7506A"/>
    <w:rsid w:val="00F7529E"/>
    <w:rsid w:val="00F758F3"/>
    <w:rsid w:val="00F75F5D"/>
    <w:rsid w:val="00F763D5"/>
    <w:rsid w:val="00F76D85"/>
    <w:rsid w:val="00F776A6"/>
    <w:rsid w:val="00F77782"/>
    <w:rsid w:val="00F7799F"/>
    <w:rsid w:val="00F77D26"/>
    <w:rsid w:val="00F80A1F"/>
    <w:rsid w:val="00F81321"/>
    <w:rsid w:val="00F814B2"/>
    <w:rsid w:val="00F8165C"/>
    <w:rsid w:val="00F827B7"/>
    <w:rsid w:val="00F829D6"/>
    <w:rsid w:val="00F82FD3"/>
    <w:rsid w:val="00F83009"/>
    <w:rsid w:val="00F83716"/>
    <w:rsid w:val="00F83A2D"/>
    <w:rsid w:val="00F83D38"/>
    <w:rsid w:val="00F8434F"/>
    <w:rsid w:val="00F8447E"/>
    <w:rsid w:val="00F84C21"/>
    <w:rsid w:val="00F850DF"/>
    <w:rsid w:val="00F85DE7"/>
    <w:rsid w:val="00F8627A"/>
    <w:rsid w:val="00F862F0"/>
    <w:rsid w:val="00F869D0"/>
    <w:rsid w:val="00F8720E"/>
    <w:rsid w:val="00F8773C"/>
    <w:rsid w:val="00F878A5"/>
    <w:rsid w:val="00F87B84"/>
    <w:rsid w:val="00F87C5E"/>
    <w:rsid w:val="00F87DF5"/>
    <w:rsid w:val="00F87EF3"/>
    <w:rsid w:val="00F87FC1"/>
    <w:rsid w:val="00F90111"/>
    <w:rsid w:val="00F90135"/>
    <w:rsid w:val="00F9070F"/>
    <w:rsid w:val="00F90C6F"/>
    <w:rsid w:val="00F90C86"/>
    <w:rsid w:val="00F912D6"/>
    <w:rsid w:val="00F918F9"/>
    <w:rsid w:val="00F91BB0"/>
    <w:rsid w:val="00F921D7"/>
    <w:rsid w:val="00F923D1"/>
    <w:rsid w:val="00F92784"/>
    <w:rsid w:val="00F92A22"/>
    <w:rsid w:val="00F934EF"/>
    <w:rsid w:val="00F935B6"/>
    <w:rsid w:val="00F93622"/>
    <w:rsid w:val="00F9363D"/>
    <w:rsid w:val="00F93B62"/>
    <w:rsid w:val="00F93B89"/>
    <w:rsid w:val="00F93BC2"/>
    <w:rsid w:val="00F93C72"/>
    <w:rsid w:val="00F93D60"/>
    <w:rsid w:val="00F94542"/>
    <w:rsid w:val="00F94730"/>
    <w:rsid w:val="00F94754"/>
    <w:rsid w:val="00F94829"/>
    <w:rsid w:val="00F949A4"/>
    <w:rsid w:val="00F94C8E"/>
    <w:rsid w:val="00F94D7D"/>
    <w:rsid w:val="00F94F6E"/>
    <w:rsid w:val="00F95033"/>
    <w:rsid w:val="00F95A70"/>
    <w:rsid w:val="00F95CC5"/>
    <w:rsid w:val="00F95F0F"/>
    <w:rsid w:val="00F96657"/>
    <w:rsid w:val="00F96852"/>
    <w:rsid w:val="00F96CBB"/>
    <w:rsid w:val="00F96E83"/>
    <w:rsid w:val="00F970F5"/>
    <w:rsid w:val="00F971DD"/>
    <w:rsid w:val="00F97625"/>
    <w:rsid w:val="00F97B09"/>
    <w:rsid w:val="00F97CE6"/>
    <w:rsid w:val="00FA010E"/>
    <w:rsid w:val="00FA026F"/>
    <w:rsid w:val="00FA0292"/>
    <w:rsid w:val="00FA05FE"/>
    <w:rsid w:val="00FA0808"/>
    <w:rsid w:val="00FA118D"/>
    <w:rsid w:val="00FA12E0"/>
    <w:rsid w:val="00FA1608"/>
    <w:rsid w:val="00FA1FAB"/>
    <w:rsid w:val="00FA232A"/>
    <w:rsid w:val="00FA28A3"/>
    <w:rsid w:val="00FA3DD6"/>
    <w:rsid w:val="00FA4659"/>
    <w:rsid w:val="00FA4B36"/>
    <w:rsid w:val="00FA4C95"/>
    <w:rsid w:val="00FA4EAC"/>
    <w:rsid w:val="00FA53AB"/>
    <w:rsid w:val="00FA53EC"/>
    <w:rsid w:val="00FA53EF"/>
    <w:rsid w:val="00FA5733"/>
    <w:rsid w:val="00FA59F7"/>
    <w:rsid w:val="00FA5D0A"/>
    <w:rsid w:val="00FA6129"/>
    <w:rsid w:val="00FA6269"/>
    <w:rsid w:val="00FA639D"/>
    <w:rsid w:val="00FA64CB"/>
    <w:rsid w:val="00FA6DFB"/>
    <w:rsid w:val="00FA6E19"/>
    <w:rsid w:val="00FA709C"/>
    <w:rsid w:val="00FA72B8"/>
    <w:rsid w:val="00FA77F4"/>
    <w:rsid w:val="00FA7962"/>
    <w:rsid w:val="00FA7D3B"/>
    <w:rsid w:val="00FA7DA1"/>
    <w:rsid w:val="00FB098E"/>
    <w:rsid w:val="00FB0D73"/>
    <w:rsid w:val="00FB0DFF"/>
    <w:rsid w:val="00FB0FAD"/>
    <w:rsid w:val="00FB1431"/>
    <w:rsid w:val="00FB1927"/>
    <w:rsid w:val="00FB1929"/>
    <w:rsid w:val="00FB197C"/>
    <w:rsid w:val="00FB1A8E"/>
    <w:rsid w:val="00FB1DB1"/>
    <w:rsid w:val="00FB2A64"/>
    <w:rsid w:val="00FB2AA9"/>
    <w:rsid w:val="00FB2BC6"/>
    <w:rsid w:val="00FB2C13"/>
    <w:rsid w:val="00FB2E35"/>
    <w:rsid w:val="00FB2F29"/>
    <w:rsid w:val="00FB3027"/>
    <w:rsid w:val="00FB30E5"/>
    <w:rsid w:val="00FB349A"/>
    <w:rsid w:val="00FB39B4"/>
    <w:rsid w:val="00FB3A58"/>
    <w:rsid w:val="00FB3B88"/>
    <w:rsid w:val="00FB431E"/>
    <w:rsid w:val="00FB4932"/>
    <w:rsid w:val="00FB4B9D"/>
    <w:rsid w:val="00FB52F6"/>
    <w:rsid w:val="00FB5363"/>
    <w:rsid w:val="00FB5459"/>
    <w:rsid w:val="00FB5B27"/>
    <w:rsid w:val="00FB5E22"/>
    <w:rsid w:val="00FB5E68"/>
    <w:rsid w:val="00FB6678"/>
    <w:rsid w:val="00FB676C"/>
    <w:rsid w:val="00FB691D"/>
    <w:rsid w:val="00FB6955"/>
    <w:rsid w:val="00FB6BCF"/>
    <w:rsid w:val="00FB6D73"/>
    <w:rsid w:val="00FB6EDE"/>
    <w:rsid w:val="00FB7136"/>
    <w:rsid w:val="00FB791A"/>
    <w:rsid w:val="00FB7E3E"/>
    <w:rsid w:val="00FB7FC5"/>
    <w:rsid w:val="00FC0001"/>
    <w:rsid w:val="00FC017F"/>
    <w:rsid w:val="00FC038C"/>
    <w:rsid w:val="00FC05E0"/>
    <w:rsid w:val="00FC06F3"/>
    <w:rsid w:val="00FC07D4"/>
    <w:rsid w:val="00FC1244"/>
    <w:rsid w:val="00FC128F"/>
    <w:rsid w:val="00FC138B"/>
    <w:rsid w:val="00FC168D"/>
    <w:rsid w:val="00FC19EC"/>
    <w:rsid w:val="00FC1A32"/>
    <w:rsid w:val="00FC1D57"/>
    <w:rsid w:val="00FC1E20"/>
    <w:rsid w:val="00FC21C0"/>
    <w:rsid w:val="00FC227B"/>
    <w:rsid w:val="00FC22CD"/>
    <w:rsid w:val="00FC232C"/>
    <w:rsid w:val="00FC23E2"/>
    <w:rsid w:val="00FC3505"/>
    <w:rsid w:val="00FC3711"/>
    <w:rsid w:val="00FC37B0"/>
    <w:rsid w:val="00FC3BF2"/>
    <w:rsid w:val="00FC4042"/>
    <w:rsid w:val="00FC41EC"/>
    <w:rsid w:val="00FC4231"/>
    <w:rsid w:val="00FC428C"/>
    <w:rsid w:val="00FC43E7"/>
    <w:rsid w:val="00FC44C2"/>
    <w:rsid w:val="00FC465D"/>
    <w:rsid w:val="00FC4E38"/>
    <w:rsid w:val="00FC5551"/>
    <w:rsid w:val="00FC5627"/>
    <w:rsid w:val="00FC5704"/>
    <w:rsid w:val="00FC5C6C"/>
    <w:rsid w:val="00FC637A"/>
    <w:rsid w:val="00FC656F"/>
    <w:rsid w:val="00FC6D10"/>
    <w:rsid w:val="00FC7306"/>
    <w:rsid w:val="00FC77C6"/>
    <w:rsid w:val="00FC7817"/>
    <w:rsid w:val="00FC7BDC"/>
    <w:rsid w:val="00FD02C6"/>
    <w:rsid w:val="00FD03BA"/>
    <w:rsid w:val="00FD04F5"/>
    <w:rsid w:val="00FD0A73"/>
    <w:rsid w:val="00FD0DC0"/>
    <w:rsid w:val="00FD129E"/>
    <w:rsid w:val="00FD1D5B"/>
    <w:rsid w:val="00FD1EA8"/>
    <w:rsid w:val="00FD236E"/>
    <w:rsid w:val="00FD2735"/>
    <w:rsid w:val="00FD2CBF"/>
    <w:rsid w:val="00FD3035"/>
    <w:rsid w:val="00FD3237"/>
    <w:rsid w:val="00FD34B6"/>
    <w:rsid w:val="00FD3576"/>
    <w:rsid w:val="00FD39B2"/>
    <w:rsid w:val="00FD39E5"/>
    <w:rsid w:val="00FD3C33"/>
    <w:rsid w:val="00FD3E3D"/>
    <w:rsid w:val="00FD404B"/>
    <w:rsid w:val="00FD4548"/>
    <w:rsid w:val="00FD46A1"/>
    <w:rsid w:val="00FD4A65"/>
    <w:rsid w:val="00FD4B93"/>
    <w:rsid w:val="00FD4C71"/>
    <w:rsid w:val="00FD4F3F"/>
    <w:rsid w:val="00FD4FF4"/>
    <w:rsid w:val="00FD5315"/>
    <w:rsid w:val="00FD5328"/>
    <w:rsid w:val="00FD542F"/>
    <w:rsid w:val="00FD5571"/>
    <w:rsid w:val="00FD5AAA"/>
    <w:rsid w:val="00FD6081"/>
    <w:rsid w:val="00FD6239"/>
    <w:rsid w:val="00FD6AF1"/>
    <w:rsid w:val="00FD6D9A"/>
    <w:rsid w:val="00FD704B"/>
    <w:rsid w:val="00FD7ADC"/>
    <w:rsid w:val="00FD7B06"/>
    <w:rsid w:val="00FD7DCB"/>
    <w:rsid w:val="00FE03D0"/>
    <w:rsid w:val="00FE0728"/>
    <w:rsid w:val="00FE095F"/>
    <w:rsid w:val="00FE0CB0"/>
    <w:rsid w:val="00FE0DD4"/>
    <w:rsid w:val="00FE154F"/>
    <w:rsid w:val="00FE15C0"/>
    <w:rsid w:val="00FE1F45"/>
    <w:rsid w:val="00FE20CE"/>
    <w:rsid w:val="00FE2A5E"/>
    <w:rsid w:val="00FE2F2C"/>
    <w:rsid w:val="00FE2FAC"/>
    <w:rsid w:val="00FE3398"/>
    <w:rsid w:val="00FE3427"/>
    <w:rsid w:val="00FE37AC"/>
    <w:rsid w:val="00FE3A7C"/>
    <w:rsid w:val="00FE3C99"/>
    <w:rsid w:val="00FE4D87"/>
    <w:rsid w:val="00FE4FFF"/>
    <w:rsid w:val="00FE50EA"/>
    <w:rsid w:val="00FE5187"/>
    <w:rsid w:val="00FE54AC"/>
    <w:rsid w:val="00FE5819"/>
    <w:rsid w:val="00FE5DFF"/>
    <w:rsid w:val="00FE5FC7"/>
    <w:rsid w:val="00FE6001"/>
    <w:rsid w:val="00FE6622"/>
    <w:rsid w:val="00FE73EA"/>
    <w:rsid w:val="00FE7449"/>
    <w:rsid w:val="00FE7559"/>
    <w:rsid w:val="00FE78E9"/>
    <w:rsid w:val="00FE7DA3"/>
    <w:rsid w:val="00FF00CE"/>
    <w:rsid w:val="00FF0133"/>
    <w:rsid w:val="00FF02AD"/>
    <w:rsid w:val="00FF0781"/>
    <w:rsid w:val="00FF07CA"/>
    <w:rsid w:val="00FF0A85"/>
    <w:rsid w:val="00FF0AC9"/>
    <w:rsid w:val="00FF0CA9"/>
    <w:rsid w:val="00FF0D2E"/>
    <w:rsid w:val="00FF0E1E"/>
    <w:rsid w:val="00FF11B9"/>
    <w:rsid w:val="00FF14B5"/>
    <w:rsid w:val="00FF1834"/>
    <w:rsid w:val="00FF1836"/>
    <w:rsid w:val="00FF183C"/>
    <w:rsid w:val="00FF19EE"/>
    <w:rsid w:val="00FF1D00"/>
    <w:rsid w:val="00FF20DD"/>
    <w:rsid w:val="00FF219E"/>
    <w:rsid w:val="00FF2651"/>
    <w:rsid w:val="00FF2869"/>
    <w:rsid w:val="00FF3587"/>
    <w:rsid w:val="00FF3937"/>
    <w:rsid w:val="00FF3A2D"/>
    <w:rsid w:val="00FF3D0F"/>
    <w:rsid w:val="00FF4000"/>
    <w:rsid w:val="00FF44E2"/>
    <w:rsid w:val="00FF4808"/>
    <w:rsid w:val="00FF4DB5"/>
    <w:rsid w:val="00FF5653"/>
    <w:rsid w:val="00FF59A1"/>
    <w:rsid w:val="00FF5FB2"/>
    <w:rsid w:val="00FF62F5"/>
    <w:rsid w:val="00FF67D6"/>
    <w:rsid w:val="00FF6A45"/>
    <w:rsid w:val="00FF6A55"/>
    <w:rsid w:val="00FF6A95"/>
    <w:rsid w:val="00FF6EDD"/>
    <w:rsid w:val="00FF731A"/>
    <w:rsid w:val="00FF785E"/>
    <w:rsid w:val="00FF799E"/>
    <w:rsid w:val="00FF7CDA"/>
    <w:rsid w:val="010124A2"/>
    <w:rsid w:val="0102CA01"/>
    <w:rsid w:val="010524D8"/>
    <w:rsid w:val="011188E0"/>
    <w:rsid w:val="0125A77B"/>
    <w:rsid w:val="013756FD"/>
    <w:rsid w:val="013F6D1B"/>
    <w:rsid w:val="01406F98"/>
    <w:rsid w:val="0152C9E1"/>
    <w:rsid w:val="01545CC2"/>
    <w:rsid w:val="016608EB"/>
    <w:rsid w:val="0179C7FD"/>
    <w:rsid w:val="01807AB9"/>
    <w:rsid w:val="0185D147"/>
    <w:rsid w:val="0186070C"/>
    <w:rsid w:val="018B35D3"/>
    <w:rsid w:val="019811BE"/>
    <w:rsid w:val="01A52AE5"/>
    <w:rsid w:val="01B3DD2F"/>
    <w:rsid w:val="01B4A4F0"/>
    <w:rsid w:val="01C7F16A"/>
    <w:rsid w:val="01CB3642"/>
    <w:rsid w:val="01CDEE5E"/>
    <w:rsid w:val="01CE51FC"/>
    <w:rsid w:val="01CF87CA"/>
    <w:rsid w:val="01D16D43"/>
    <w:rsid w:val="01DD6EF0"/>
    <w:rsid w:val="01E45F3F"/>
    <w:rsid w:val="01E89067"/>
    <w:rsid w:val="01EF8CEE"/>
    <w:rsid w:val="01F50ADD"/>
    <w:rsid w:val="01F93C87"/>
    <w:rsid w:val="01FABFD0"/>
    <w:rsid w:val="0201FAC5"/>
    <w:rsid w:val="0223F881"/>
    <w:rsid w:val="023B8BC5"/>
    <w:rsid w:val="023CA80C"/>
    <w:rsid w:val="02452E1A"/>
    <w:rsid w:val="024ED746"/>
    <w:rsid w:val="0250F79C"/>
    <w:rsid w:val="025214F1"/>
    <w:rsid w:val="025A97A4"/>
    <w:rsid w:val="025BEBF1"/>
    <w:rsid w:val="025D6AB1"/>
    <w:rsid w:val="0273CF9A"/>
    <w:rsid w:val="02741F20"/>
    <w:rsid w:val="0279A1F2"/>
    <w:rsid w:val="027B25DF"/>
    <w:rsid w:val="02814BD4"/>
    <w:rsid w:val="02875DC0"/>
    <w:rsid w:val="029296B1"/>
    <w:rsid w:val="02942A96"/>
    <w:rsid w:val="02952BF3"/>
    <w:rsid w:val="02956BC4"/>
    <w:rsid w:val="029AD50C"/>
    <w:rsid w:val="02A44CD8"/>
    <w:rsid w:val="02AE6D07"/>
    <w:rsid w:val="02B1495F"/>
    <w:rsid w:val="02BA4015"/>
    <w:rsid w:val="02C15036"/>
    <w:rsid w:val="02C3C3D9"/>
    <w:rsid w:val="02CE8390"/>
    <w:rsid w:val="02D0D6AD"/>
    <w:rsid w:val="02D603DD"/>
    <w:rsid w:val="02D7F613"/>
    <w:rsid w:val="02E95020"/>
    <w:rsid w:val="02E97A12"/>
    <w:rsid w:val="0305940C"/>
    <w:rsid w:val="0308F36A"/>
    <w:rsid w:val="03325996"/>
    <w:rsid w:val="033741EB"/>
    <w:rsid w:val="0337487E"/>
    <w:rsid w:val="033AF7F4"/>
    <w:rsid w:val="0346D77F"/>
    <w:rsid w:val="034831AB"/>
    <w:rsid w:val="03507808"/>
    <w:rsid w:val="0352393B"/>
    <w:rsid w:val="035261C7"/>
    <w:rsid w:val="03544F21"/>
    <w:rsid w:val="0364F1CA"/>
    <w:rsid w:val="036BA047"/>
    <w:rsid w:val="0373E9FA"/>
    <w:rsid w:val="03897358"/>
    <w:rsid w:val="0392D8FB"/>
    <w:rsid w:val="039B8296"/>
    <w:rsid w:val="039E6498"/>
    <w:rsid w:val="03A1E2B9"/>
    <w:rsid w:val="03A7084D"/>
    <w:rsid w:val="03A71950"/>
    <w:rsid w:val="03A7541A"/>
    <w:rsid w:val="03AC6D5B"/>
    <w:rsid w:val="03ADCE9C"/>
    <w:rsid w:val="03AF4A7A"/>
    <w:rsid w:val="03B5F855"/>
    <w:rsid w:val="03C5EA88"/>
    <w:rsid w:val="03C9CD37"/>
    <w:rsid w:val="03CCCF73"/>
    <w:rsid w:val="03CFF33C"/>
    <w:rsid w:val="03D3F82F"/>
    <w:rsid w:val="03D53427"/>
    <w:rsid w:val="03D799B4"/>
    <w:rsid w:val="03DA629C"/>
    <w:rsid w:val="03EFF073"/>
    <w:rsid w:val="03F080EE"/>
    <w:rsid w:val="03F25038"/>
    <w:rsid w:val="03F4A895"/>
    <w:rsid w:val="03F7BAD3"/>
    <w:rsid w:val="04054650"/>
    <w:rsid w:val="040CEBAD"/>
    <w:rsid w:val="041788D4"/>
    <w:rsid w:val="041C693A"/>
    <w:rsid w:val="04421748"/>
    <w:rsid w:val="04445528"/>
    <w:rsid w:val="044E0A25"/>
    <w:rsid w:val="044F4E58"/>
    <w:rsid w:val="0457CEBF"/>
    <w:rsid w:val="0458810F"/>
    <w:rsid w:val="045A98F4"/>
    <w:rsid w:val="045DDE29"/>
    <w:rsid w:val="045FE772"/>
    <w:rsid w:val="04647649"/>
    <w:rsid w:val="0464DFF5"/>
    <w:rsid w:val="046E9828"/>
    <w:rsid w:val="0473821B"/>
    <w:rsid w:val="0475FC13"/>
    <w:rsid w:val="048AC26A"/>
    <w:rsid w:val="0495A17B"/>
    <w:rsid w:val="0498F9CA"/>
    <w:rsid w:val="049BDBCB"/>
    <w:rsid w:val="04B676C1"/>
    <w:rsid w:val="04B77C4F"/>
    <w:rsid w:val="04C6295A"/>
    <w:rsid w:val="04CC0F34"/>
    <w:rsid w:val="04CCEF95"/>
    <w:rsid w:val="04CD46C7"/>
    <w:rsid w:val="04CEFE94"/>
    <w:rsid w:val="04D4916E"/>
    <w:rsid w:val="04D76BAF"/>
    <w:rsid w:val="04EA0121"/>
    <w:rsid w:val="04FB5AD2"/>
    <w:rsid w:val="04FBC4F9"/>
    <w:rsid w:val="0514D7F1"/>
    <w:rsid w:val="051DFA50"/>
    <w:rsid w:val="05265DCB"/>
    <w:rsid w:val="05286667"/>
    <w:rsid w:val="052EDEDB"/>
    <w:rsid w:val="0531EDAC"/>
    <w:rsid w:val="054E49E1"/>
    <w:rsid w:val="054E8F5B"/>
    <w:rsid w:val="0550F125"/>
    <w:rsid w:val="056CDED1"/>
    <w:rsid w:val="056F2F01"/>
    <w:rsid w:val="05705FA6"/>
    <w:rsid w:val="0571A2B6"/>
    <w:rsid w:val="057984CE"/>
    <w:rsid w:val="0588A9D2"/>
    <w:rsid w:val="058B3A93"/>
    <w:rsid w:val="0591F634"/>
    <w:rsid w:val="0594A107"/>
    <w:rsid w:val="05B54CBC"/>
    <w:rsid w:val="05BF29E8"/>
    <w:rsid w:val="05C4B107"/>
    <w:rsid w:val="05C7ED63"/>
    <w:rsid w:val="05CF21DF"/>
    <w:rsid w:val="05D802A4"/>
    <w:rsid w:val="05EDDF85"/>
    <w:rsid w:val="05F955A1"/>
    <w:rsid w:val="05F96C59"/>
    <w:rsid w:val="05FABC01"/>
    <w:rsid w:val="0601D0E5"/>
    <w:rsid w:val="0613399F"/>
    <w:rsid w:val="06288BA8"/>
    <w:rsid w:val="062D27AA"/>
    <w:rsid w:val="062FBAD0"/>
    <w:rsid w:val="06405788"/>
    <w:rsid w:val="064057D3"/>
    <w:rsid w:val="0640F991"/>
    <w:rsid w:val="0644ABE4"/>
    <w:rsid w:val="064645F0"/>
    <w:rsid w:val="06473C19"/>
    <w:rsid w:val="065240A1"/>
    <w:rsid w:val="0653E82A"/>
    <w:rsid w:val="065E83BB"/>
    <w:rsid w:val="06659B7B"/>
    <w:rsid w:val="0668B64C"/>
    <w:rsid w:val="06691110"/>
    <w:rsid w:val="066DD3EC"/>
    <w:rsid w:val="067A6B20"/>
    <w:rsid w:val="067C88C9"/>
    <w:rsid w:val="067F7334"/>
    <w:rsid w:val="068402A0"/>
    <w:rsid w:val="0684BAF4"/>
    <w:rsid w:val="06866478"/>
    <w:rsid w:val="06887A5F"/>
    <w:rsid w:val="06ACCC7C"/>
    <w:rsid w:val="06ADEC7D"/>
    <w:rsid w:val="06BFE4E3"/>
    <w:rsid w:val="06C18ADD"/>
    <w:rsid w:val="06C48D31"/>
    <w:rsid w:val="06C87227"/>
    <w:rsid w:val="06CBF408"/>
    <w:rsid w:val="06CC44B4"/>
    <w:rsid w:val="06D09594"/>
    <w:rsid w:val="06DBDD75"/>
    <w:rsid w:val="06E1DAD8"/>
    <w:rsid w:val="06E20B06"/>
    <w:rsid w:val="06E3230C"/>
    <w:rsid w:val="06F6F6B1"/>
    <w:rsid w:val="06F796FD"/>
    <w:rsid w:val="06F7C578"/>
    <w:rsid w:val="06FB77C3"/>
    <w:rsid w:val="06FBC866"/>
    <w:rsid w:val="07001FEE"/>
    <w:rsid w:val="0704EE99"/>
    <w:rsid w:val="070C95B5"/>
    <w:rsid w:val="07147708"/>
    <w:rsid w:val="0717FB7F"/>
    <w:rsid w:val="07193444"/>
    <w:rsid w:val="071998E1"/>
    <w:rsid w:val="0719C578"/>
    <w:rsid w:val="071B530A"/>
    <w:rsid w:val="0724B36E"/>
    <w:rsid w:val="07259B0F"/>
    <w:rsid w:val="072849C0"/>
    <w:rsid w:val="072CA192"/>
    <w:rsid w:val="074A82B6"/>
    <w:rsid w:val="074C9463"/>
    <w:rsid w:val="07521925"/>
    <w:rsid w:val="075AC4EB"/>
    <w:rsid w:val="0767F368"/>
    <w:rsid w:val="076825D2"/>
    <w:rsid w:val="076EE9D9"/>
    <w:rsid w:val="0775B4E3"/>
    <w:rsid w:val="0775BFB4"/>
    <w:rsid w:val="078808B9"/>
    <w:rsid w:val="078B6AC0"/>
    <w:rsid w:val="07900EFF"/>
    <w:rsid w:val="0791E35B"/>
    <w:rsid w:val="0794AF0D"/>
    <w:rsid w:val="0798A528"/>
    <w:rsid w:val="07A8B34F"/>
    <w:rsid w:val="07A8DB06"/>
    <w:rsid w:val="07AEBF3A"/>
    <w:rsid w:val="07C94090"/>
    <w:rsid w:val="07CDA1EE"/>
    <w:rsid w:val="07CDBAE8"/>
    <w:rsid w:val="07DD58C8"/>
    <w:rsid w:val="07DFB7E8"/>
    <w:rsid w:val="07E77FB9"/>
    <w:rsid w:val="07EDACF9"/>
    <w:rsid w:val="07EF6CC5"/>
    <w:rsid w:val="07F7238A"/>
    <w:rsid w:val="07F8A579"/>
    <w:rsid w:val="080704AA"/>
    <w:rsid w:val="08095763"/>
    <w:rsid w:val="080C6F35"/>
    <w:rsid w:val="080D14B5"/>
    <w:rsid w:val="080DF72B"/>
    <w:rsid w:val="0813B594"/>
    <w:rsid w:val="08187BE4"/>
    <w:rsid w:val="081B7BD6"/>
    <w:rsid w:val="081E4D2A"/>
    <w:rsid w:val="08273E1A"/>
    <w:rsid w:val="082A2F98"/>
    <w:rsid w:val="08303DAC"/>
    <w:rsid w:val="0830AAE0"/>
    <w:rsid w:val="0831D9C7"/>
    <w:rsid w:val="08327A86"/>
    <w:rsid w:val="083B8C21"/>
    <w:rsid w:val="083BCB81"/>
    <w:rsid w:val="084084F2"/>
    <w:rsid w:val="08484CDF"/>
    <w:rsid w:val="08489E25"/>
    <w:rsid w:val="084D4BF1"/>
    <w:rsid w:val="08535E57"/>
    <w:rsid w:val="086E72AD"/>
    <w:rsid w:val="086F4718"/>
    <w:rsid w:val="087172BC"/>
    <w:rsid w:val="0873457D"/>
    <w:rsid w:val="08756E98"/>
    <w:rsid w:val="087BA672"/>
    <w:rsid w:val="08821370"/>
    <w:rsid w:val="0883FEE1"/>
    <w:rsid w:val="0884EBBE"/>
    <w:rsid w:val="08880F16"/>
    <w:rsid w:val="088D7EAC"/>
    <w:rsid w:val="089A30C2"/>
    <w:rsid w:val="089E8E38"/>
    <w:rsid w:val="08A05BF7"/>
    <w:rsid w:val="08AE02B1"/>
    <w:rsid w:val="08B9B6D3"/>
    <w:rsid w:val="08BB1829"/>
    <w:rsid w:val="08BBF7A6"/>
    <w:rsid w:val="08CF79C5"/>
    <w:rsid w:val="08DD0C1F"/>
    <w:rsid w:val="08DE1C0E"/>
    <w:rsid w:val="08E4E606"/>
    <w:rsid w:val="08E7B9A5"/>
    <w:rsid w:val="08ECE61C"/>
    <w:rsid w:val="08F05ADE"/>
    <w:rsid w:val="08F80AB3"/>
    <w:rsid w:val="08FCD617"/>
    <w:rsid w:val="0907E2A2"/>
    <w:rsid w:val="090E1680"/>
    <w:rsid w:val="091023F3"/>
    <w:rsid w:val="091991FD"/>
    <w:rsid w:val="0924C079"/>
    <w:rsid w:val="092ADB4C"/>
    <w:rsid w:val="092CC707"/>
    <w:rsid w:val="093DFA90"/>
    <w:rsid w:val="09445439"/>
    <w:rsid w:val="0957E5D7"/>
    <w:rsid w:val="095D9B4C"/>
    <w:rsid w:val="095ECA79"/>
    <w:rsid w:val="096D9A21"/>
    <w:rsid w:val="096F26EB"/>
    <w:rsid w:val="0975A34B"/>
    <w:rsid w:val="098B9BDE"/>
    <w:rsid w:val="09922492"/>
    <w:rsid w:val="0992DC26"/>
    <w:rsid w:val="0996FC84"/>
    <w:rsid w:val="099B34C8"/>
    <w:rsid w:val="09A60292"/>
    <w:rsid w:val="09ABD329"/>
    <w:rsid w:val="09AF7208"/>
    <w:rsid w:val="09B7159A"/>
    <w:rsid w:val="09B86EAD"/>
    <w:rsid w:val="09BD4E12"/>
    <w:rsid w:val="09C0BD3B"/>
    <w:rsid w:val="09CF3C77"/>
    <w:rsid w:val="09D6EEDD"/>
    <w:rsid w:val="09D7F6B2"/>
    <w:rsid w:val="09DA65B4"/>
    <w:rsid w:val="09E021B0"/>
    <w:rsid w:val="09E49213"/>
    <w:rsid w:val="09E7DFEF"/>
    <w:rsid w:val="09EEDC71"/>
    <w:rsid w:val="09F9179E"/>
    <w:rsid w:val="09FC666E"/>
    <w:rsid w:val="0A08F25A"/>
    <w:rsid w:val="0A0D8632"/>
    <w:rsid w:val="0A10E0DD"/>
    <w:rsid w:val="0A111988"/>
    <w:rsid w:val="0A18C4B9"/>
    <w:rsid w:val="0A1E5933"/>
    <w:rsid w:val="0A2100F5"/>
    <w:rsid w:val="0A421700"/>
    <w:rsid w:val="0A4B2D5B"/>
    <w:rsid w:val="0A4E9E10"/>
    <w:rsid w:val="0A5312DB"/>
    <w:rsid w:val="0A550E0F"/>
    <w:rsid w:val="0A6420F4"/>
    <w:rsid w:val="0A67A264"/>
    <w:rsid w:val="0A6D09CD"/>
    <w:rsid w:val="0A6D7CEF"/>
    <w:rsid w:val="0A6ED7A6"/>
    <w:rsid w:val="0A6F89EB"/>
    <w:rsid w:val="0A9408FD"/>
    <w:rsid w:val="0AC9DCA8"/>
    <w:rsid w:val="0AD24BC2"/>
    <w:rsid w:val="0AD39DA3"/>
    <w:rsid w:val="0AD41DC1"/>
    <w:rsid w:val="0AD52EB2"/>
    <w:rsid w:val="0AE14A3D"/>
    <w:rsid w:val="0AE35065"/>
    <w:rsid w:val="0AE3CB1A"/>
    <w:rsid w:val="0AF2D71A"/>
    <w:rsid w:val="0AF417A2"/>
    <w:rsid w:val="0B05705E"/>
    <w:rsid w:val="0B0B0E08"/>
    <w:rsid w:val="0B0FA16C"/>
    <w:rsid w:val="0B14E6C6"/>
    <w:rsid w:val="0B14EB85"/>
    <w:rsid w:val="0B158390"/>
    <w:rsid w:val="0B181E53"/>
    <w:rsid w:val="0B1EBE46"/>
    <w:rsid w:val="0B27589E"/>
    <w:rsid w:val="0B3B4101"/>
    <w:rsid w:val="0B411A3D"/>
    <w:rsid w:val="0B41DBA3"/>
    <w:rsid w:val="0B45F7A1"/>
    <w:rsid w:val="0B49798E"/>
    <w:rsid w:val="0B4AD29F"/>
    <w:rsid w:val="0B4FD87C"/>
    <w:rsid w:val="0B50A9A9"/>
    <w:rsid w:val="0B50C3AE"/>
    <w:rsid w:val="0B510481"/>
    <w:rsid w:val="0B556ACC"/>
    <w:rsid w:val="0B55EDA3"/>
    <w:rsid w:val="0B57E740"/>
    <w:rsid w:val="0B5A70C2"/>
    <w:rsid w:val="0B5D4A5E"/>
    <w:rsid w:val="0B720332"/>
    <w:rsid w:val="0B83170D"/>
    <w:rsid w:val="0B87E156"/>
    <w:rsid w:val="0B8D2734"/>
    <w:rsid w:val="0B9E6EF0"/>
    <w:rsid w:val="0BAAC0DD"/>
    <w:rsid w:val="0BB0A4BF"/>
    <w:rsid w:val="0BB83C6F"/>
    <w:rsid w:val="0BB92F10"/>
    <w:rsid w:val="0BBA95F6"/>
    <w:rsid w:val="0BC61D6D"/>
    <w:rsid w:val="0BC78DE3"/>
    <w:rsid w:val="0BCA314C"/>
    <w:rsid w:val="0BCF23BD"/>
    <w:rsid w:val="0BD21B10"/>
    <w:rsid w:val="0BD9A565"/>
    <w:rsid w:val="0BE7D880"/>
    <w:rsid w:val="0BF02786"/>
    <w:rsid w:val="0BF64025"/>
    <w:rsid w:val="0BF8CC08"/>
    <w:rsid w:val="0C05E5EB"/>
    <w:rsid w:val="0C073BA5"/>
    <w:rsid w:val="0C094736"/>
    <w:rsid w:val="0C129F8F"/>
    <w:rsid w:val="0C1620E2"/>
    <w:rsid w:val="0C216459"/>
    <w:rsid w:val="0C280D31"/>
    <w:rsid w:val="0C3F7837"/>
    <w:rsid w:val="0C5F934C"/>
    <w:rsid w:val="0C621B42"/>
    <w:rsid w:val="0C649D57"/>
    <w:rsid w:val="0C67ABB7"/>
    <w:rsid w:val="0C74A743"/>
    <w:rsid w:val="0C74C011"/>
    <w:rsid w:val="0C767F2A"/>
    <w:rsid w:val="0C7D60AD"/>
    <w:rsid w:val="0C7E5F0F"/>
    <w:rsid w:val="0C8A336A"/>
    <w:rsid w:val="0C8BEA94"/>
    <w:rsid w:val="0C98196E"/>
    <w:rsid w:val="0C9CD494"/>
    <w:rsid w:val="0C9DDEA9"/>
    <w:rsid w:val="0CAA10E2"/>
    <w:rsid w:val="0CAD7326"/>
    <w:rsid w:val="0CB2F442"/>
    <w:rsid w:val="0CB375E3"/>
    <w:rsid w:val="0CB5597C"/>
    <w:rsid w:val="0CBA196F"/>
    <w:rsid w:val="0CCEDDE1"/>
    <w:rsid w:val="0CD00BAE"/>
    <w:rsid w:val="0CD27C6D"/>
    <w:rsid w:val="0CD2C89A"/>
    <w:rsid w:val="0CDE1B6D"/>
    <w:rsid w:val="0CE54FC2"/>
    <w:rsid w:val="0CE96122"/>
    <w:rsid w:val="0CFD30DE"/>
    <w:rsid w:val="0CFDB114"/>
    <w:rsid w:val="0D209DDE"/>
    <w:rsid w:val="0D2E5304"/>
    <w:rsid w:val="0D32A303"/>
    <w:rsid w:val="0D3304C7"/>
    <w:rsid w:val="0D388AF5"/>
    <w:rsid w:val="0D38995F"/>
    <w:rsid w:val="0D46909A"/>
    <w:rsid w:val="0D4DF37C"/>
    <w:rsid w:val="0D500E7F"/>
    <w:rsid w:val="0D57339B"/>
    <w:rsid w:val="0D577620"/>
    <w:rsid w:val="0D58907B"/>
    <w:rsid w:val="0D647AA5"/>
    <w:rsid w:val="0D6544AB"/>
    <w:rsid w:val="0D656426"/>
    <w:rsid w:val="0D65ABDF"/>
    <w:rsid w:val="0D67770B"/>
    <w:rsid w:val="0D6E1502"/>
    <w:rsid w:val="0D82A886"/>
    <w:rsid w:val="0D841D9B"/>
    <w:rsid w:val="0D86B862"/>
    <w:rsid w:val="0D91AA4F"/>
    <w:rsid w:val="0D92C330"/>
    <w:rsid w:val="0D934CB7"/>
    <w:rsid w:val="0D982EE0"/>
    <w:rsid w:val="0DA342B0"/>
    <w:rsid w:val="0DA6E218"/>
    <w:rsid w:val="0DA71A55"/>
    <w:rsid w:val="0DAD8DFB"/>
    <w:rsid w:val="0DAE48D0"/>
    <w:rsid w:val="0DB192E9"/>
    <w:rsid w:val="0DB8CFBA"/>
    <w:rsid w:val="0DC71194"/>
    <w:rsid w:val="0DCD5F93"/>
    <w:rsid w:val="0DE20AC4"/>
    <w:rsid w:val="0DE3B242"/>
    <w:rsid w:val="0DE42A66"/>
    <w:rsid w:val="0DE666D1"/>
    <w:rsid w:val="0DE96FE5"/>
    <w:rsid w:val="0DEFC555"/>
    <w:rsid w:val="0DF05E05"/>
    <w:rsid w:val="0E01B9F7"/>
    <w:rsid w:val="0E04817A"/>
    <w:rsid w:val="0E05FC9D"/>
    <w:rsid w:val="0E07BCD5"/>
    <w:rsid w:val="0E096461"/>
    <w:rsid w:val="0E11C51C"/>
    <w:rsid w:val="0E1C320D"/>
    <w:rsid w:val="0E1CC73C"/>
    <w:rsid w:val="0E3D6913"/>
    <w:rsid w:val="0E3F5BFA"/>
    <w:rsid w:val="0E43F7EB"/>
    <w:rsid w:val="0E525D41"/>
    <w:rsid w:val="0E531C47"/>
    <w:rsid w:val="0E626E3E"/>
    <w:rsid w:val="0E67DFDA"/>
    <w:rsid w:val="0E6DBC77"/>
    <w:rsid w:val="0E70E1AC"/>
    <w:rsid w:val="0E736FD5"/>
    <w:rsid w:val="0E7899A5"/>
    <w:rsid w:val="0E7EEF02"/>
    <w:rsid w:val="0E81ED75"/>
    <w:rsid w:val="0E8660F3"/>
    <w:rsid w:val="0E888E8D"/>
    <w:rsid w:val="0E9BF582"/>
    <w:rsid w:val="0E9D60DA"/>
    <w:rsid w:val="0EA6745B"/>
    <w:rsid w:val="0EA7FC55"/>
    <w:rsid w:val="0EAFCD32"/>
    <w:rsid w:val="0EB2D6AD"/>
    <w:rsid w:val="0EBF15E0"/>
    <w:rsid w:val="0EC00B3F"/>
    <w:rsid w:val="0EC07FDB"/>
    <w:rsid w:val="0EC6041E"/>
    <w:rsid w:val="0ED45375"/>
    <w:rsid w:val="0EE33F09"/>
    <w:rsid w:val="0EE61AB4"/>
    <w:rsid w:val="0EE7C3D0"/>
    <w:rsid w:val="0EF1BA03"/>
    <w:rsid w:val="0EF43457"/>
    <w:rsid w:val="0EF4D633"/>
    <w:rsid w:val="0F05795A"/>
    <w:rsid w:val="0F0685D9"/>
    <w:rsid w:val="0F15D965"/>
    <w:rsid w:val="0F259E45"/>
    <w:rsid w:val="0F28DDEA"/>
    <w:rsid w:val="0F2A12A2"/>
    <w:rsid w:val="0F2CFBB7"/>
    <w:rsid w:val="0F2E74EA"/>
    <w:rsid w:val="0F3890C2"/>
    <w:rsid w:val="0F41D8E3"/>
    <w:rsid w:val="0F53EE5B"/>
    <w:rsid w:val="0F5902E8"/>
    <w:rsid w:val="0F5A0455"/>
    <w:rsid w:val="0F604EA7"/>
    <w:rsid w:val="0F66F580"/>
    <w:rsid w:val="0F6BD95C"/>
    <w:rsid w:val="0F6C55B6"/>
    <w:rsid w:val="0F6C832E"/>
    <w:rsid w:val="0F7DA760"/>
    <w:rsid w:val="0F91A718"/>
    <w:rsid w:val="0F94004C"/>
    <w:rsid w:val="0F994074"/>
    <w:rsid w:val="0F9CEC80"/>
    <w:rsid w:val="0F9EF7CE"/>
    <w:rsid w:val="0FA3F456"/>
    <w:rsid w:val="0FA7C003"/>
    <w:rsid w:val="0FA924EC"/>
    <w:rsid w:val="0FBD03F2"/>
    <w:rsid w:val="0FC91869"/>
    <w:rsid w:val="0FDB1213"/>
    <w:rsid w:val="0FDB4F07"/>
    <w:rsid w:val="0FDF8DB4"/>
    <w:rsid w:val="0FDF9BF4"/>
    <w:rsid w:val="0FE17585"/>
    <w:rsid w:val="0FE275DC"/>
    <w:rsid w:val="0FF84245"/>
    <w:rsid w:val="0FFACC6B"/>
    <w:rsid w:val="1002050C"/>
    <w:rsid w:val="1025CDA7"/>
    <w:rsid w:val="10296258"/>
    <w:rsid w:val="10326E54"/>
    <w:rsid w:val="1038F487"/>
    <w:rsid w:val="103FBD59"/>
    <w:rsid w:val="10418FE8"/>
    <w:rsid w:val="1046F5B8"/>
    <w:rsid w:val="105A994E"/>
    <w:rsid w:val="105E54FF"/>
    <w:rsid w:val="10666F2F"/>
    <w:rsid w:val="107B10AF"/>
    <w:rsid w:val="1084F704"/>
    <w:rsid w:val="1088CC4B"/>
    <w:rsid w:val="108B94F7"/>
    <w:rsid w:val="108DC437"/>
    <w:rsid w:val="1090B1FF"/>
    <w:rsid w:val="10933C48"/>
    <w:rsid w:val="109CEFF8"/>
    <w:rsid w:val="109D8369"/>
    <w:rsid w:val="10B476C6"/>
    <w:rsid w:val="10B4AC6F"/>
    <w:rsid w:val="10C297B4"/>
    <w:rsid w:val="10C7811F"/>
    <w:rsid w:val="10CDF73D"/>
    <w:rsid w:val="10D42F66"/>
    <w:rsid w:val="10D530A2"/>
    <w:rsid w:val="10D60433"/>
    <w:rsid w:val="10D75041"/>
    <w:rsid w:val="10D976A2"/>
    <w:rsid w:val="10D9FBEB"/>
    <w:rsid w:val="10E184C5"/>
    <w:rsid w:val="10E4E1E9"/>
    <w:rsid w:val="10E83672"/>
    <w:rsid w:val="10E96672"/>
    <w:rsid w:val="10EC610C"/>
    <w:rsid w:val="10FAE5F5"/>
    <w:rsid w:val="110D3389"/>
    <w:rsid w:val="11112D1E"/>
    <w:rsid w:val="1111E6AC"/>
    <w:rsid w:val="11141089"/>
    <w:rsid w:val="1116A829"/>
    <w:rsid w:val="111E21F0"/>
    <w:rsid w:val="112715CF"/>
    <w:rsid w:val="112A75B1"/>
    <w:rsid w:val="11321825"/>
    <w:rsid w:val="11366C3E"/>
    <w:rsid w:val="1138A666"/>
    <w:rsid w:val="114051F6"/>
    <w:rsid w:val="114CB18F"/>
    <w:rsid w:val="11657EC8"/>
    <w:rsid w:val="11685499"/>
    <w:rsid w:val="116937B6"/>
    <w:rsid w:val="116BFE38"/>
    <w:rsid w:val="116FB249"/>
    <w:rsid w:val="1173AF58"/>
    <w:rsid w:val="1177BF34"/>
    <w:rsid w:val="1185E24D"/>
    <w:rsid w:val="118829D3"/>
    <w:rsid w:val="1189278B"/>
    <w:rsid w:val="118B4B7D"/>
    <w:rsid w:val="118DC5A9"/>
    <w:rsid w:val="118F0EBB"/>
    <w:rsid w:val="119045E4"/>
    <w:rsid w:val="119AFFCC"/>
    <w:rsid w:val="119EDBED"/>
    <w:rsid w:val="11A364EA"/>
    <w:rsid w:val="11A6D876"/>
    <w:rsid w:val="11B87ADD"/>
    <w:rsid w:val="11BD9688"/>
    <w:rsid w:val="11BDFEF1"/>
    <w:rsid w:val="11BF3334"/>
    <w:rsid w:val="11C1817F"/>
    <w:rsid w:val="11C74600"/>
    <w:rsid w:val="11C97E2E"/>
    <w:rsid w:val="11CE2A46"/>
    <w:rsid w:val="11D5042D"/>
    <w:rsid w:val="11DAAB90"/>
    <w:rsid w:val="11DF2916"/>
    <w:rsid w:val="11E36EBF"/>
    <w:rsid w:val="11E89604"/>
    <w:rsid w:val="11E9914E"/>
    <w:rsid w:val="11F475AF"/>
    <w:rsid w:val="11FDA7FF"/>
    <w:rsid w:val="11FE477B"/>
    <w:rsid w:val="1212646A"/>
    <w:rsid w:val="1219793D"/>
    <w:rsid w:val="1221C573"/>
    <w:rsid w:val="1233C2C2"/>
    <w:rsid w:val="12394064"/>
    <w:rsid w:val="123F820B"/>
    <w:rsid w:val="1245633D"/>
    <w:rsid w:val="124E41C8"/>
    <w:rsid w:val="124F61EF"/>
    <w:rsid w:val="125590A3"/>
    <w:rsid w:val="12559E1E"/>
    <w:rsid w:val="125A3166"/>
    <w:rsid w:val="126042FA"/>
    <w:rsid w:val="1266C98D"/>
    <w:rsid w:val="126C029C"/>
    <w:rsid w:val="1276C7DE"/>
    <w:rsid w:val="1279A872"/>
    <w:rsid w:val="127A125C"/>
    <w:rsid w:val="127A4BDE"/>
    <w:rsid w:val="127D05E7"/>
    <w:rsid w:val="1284F45C"/>
    <w:rsid w:val="12951DB5"/>
    <w:rsid w:val="12984E9E"/>
    <w:rsid w:val="1298FDD6"/>
    <w:rsid w:val="129B7F1D"/>
    <w:rsid w:val="129C4491"/>
    <w:rsid w:val="129EB7B2"/>
    <w:rsid w:val="12A235F7"/>
    <w:rsid w:val="12A5F8C0"/>
    <w:rsid w:val="12A8E667"/>
    <w:rsid w:val="12AEADE0"/>
    <w:rsid w:val="12B17E65"/>
    <w:rsid w:val="12B469DE"/>
    <w:rsid w:val="12B91FA2"/>
    <w:rsid w:val="12C045DD"/>
    <w:rsid w:val="12C921D8"/>
    <w:rsid w:val="12C98D67"/>
    <w:rsid w:val="12CE0C60"/>
    <w:rsid w:val="12D719C8"/>
    <w:rsid w:val="12D7985E"/>
    <w:rsid w:val="1303F4DE"/>
    <w:rsid w:val="1305A287"/>
    <w:rsid w:val="1313FD67"/>
    <w:rsid w:val="13149A3F"/>
    <w:rsid w:val="1315BF2C"/>
    <w:rsid w:val="131B9DCD"/>
    <w:rsid w:val="1332815E"/>
    <w:rsid w:val="13374C7F"/>
    <w:rsid w:val="133B15A7"/>
    <w:rsid w:val="133B6F63"/>
    <w:rsid w:val="1349358E"/>
    <w:rsid w:val="134A9F7A"/>
    <w:rsid w:val="134DE585"/>
    <w:rsid w:val="135BA121"/>
    <w:rsid w:val="135C838C"/>
    <w:rsid w:val="1367E6EE"/>
    <w:rsid w:val="137746CD"/>
    <w:rsid w:val="138B23CF"/>
    <w:rsid w:val="1390BDAE"/>
    <w:rsid w:val="139617ED"/>
    <w:rsid w:val="13A9C283"/>
    <w:rsid w:val="13BC4E22"/>
    <w:rsid w:val="13BCF877"/>
    <w:rsid w:val="13C312AE"/>
    <w:rsid w:val="13C7DAA5"/>
    <w:rsid w:val="13CBCB68"/>
    <w:rsid w:val="13D24D2D"/>
    <w:rsid w:val="13D5AC92"/>
    <w:rsid w:val="13D7E567"/>
    <w:rsid w:val="13E5479C"/>
    <w:rsid w:val="13E56A60"/>
    <w:rsid w:val="13E5D115"/>
    <w:rsid w:val="13E5D23B"/>
    <w:rsid w:val="13E7C3ED"/>
    <w:rsid w:val="1406A6B7"/>
    <w:rsid w:val="1407353C"/>
    <w:rsid w:val="140B3DFA"/>
    <w:rsid w:val="14111974"/>
    <w:rsid w:val="1411D207"/>
    <w:rsid w:val="1419B5E0"/>
    <w:rsid w:val="1419D194"/>
    <w:rsid w:val="141A9F50"/>
    <w:rsid w:val="142C058D"/>
    <w:rsid w:val="1431852E"/>
    <w:rsid w:val="143C5E0B"/>
    <w:rsid w:val="143FC753"/>
    <w:rsid w:val="14431F89"/>
    <w:rsid w:val="144AB972"/>
    <w:rsid w:val="145152E3"/>
    <w:rsid w:val="14577A1A"/>
    <w:rsid w:val="145954ED"/>
    <w:rsid w:val="1475DD40"/>
    <w:rsid w:val="14787BC5"/>
    <w:rsid w:val="147AC76E"/>
    <w:rsid w:val="147CF8EC"/>
    <w:rsid w:val="14872EE7"/>
    <w:rsid w:val="148AB63B"/>
    <w:rsid w:val="148FC1CA"/>
    <w:rsid w:val="14AC4D03"/>
    <w:rsid w:val="14B02CBB"/>
    <w:rsid w:val="14B65231"/>
    <w:rsid w:val="14BDBB39"/>
    <w:rsid w:val="14C474FC"/>
    <w:rsid w:val="14C7F934"/>
    <w:rsid w:val="14CD45A0"/>
    <w:rsid w:val="14D146EF"/>
    <w:rsid w:val="14D34BA2"/>
    <w:rsid w:val="14D7992E"/>
    <w:rsid w:val="14D7BBB3"/>
    <w:rsid w:val="14E0EB52"/>
    <w:rsid w:val="14E2D998"/>
    <w:rsid w:val="14E66F6C"/>
    <w:rsid w:val="14EEB936"/>
    <w:rsid w:val="14F2D6CF"/>
    <w:rsid w:val="14FC2DE3"/>
    <w:rsid w:val="15031705"/>
    <w:rsid w:val="1504B071"/>
    <w:rsid w:val="15066166"/>
    <w:rsid w:val="151009A4"/>
    <w:rsid w:val="1511B212"/>
    <w:rsid w:val="15163D41"/>
    <w:rsid w:val="151A6930"/>
    <w:rsid w:val="151B5E0C"/>
    <w:rsid w:val="152C4D1E"/>
    <w:rsid w:val="15398B8F"/>
    <w:rsid w:val="153D39EB"/>
    <w:rsid w:val="153EDD91"/>
    <w:rsid w:val="1542CACF"/>
    <w:rsid w:val="1548A8CC"/>
    <w:rsid w:val="154EF567"/>
    <w:rsid w:val="154EFEAE"/>
    <w:rsid w:val="155BBC59"/>
    <w:rsid w:val="155E3807"/>
    <w:rsid w:val="1565DC53"/>
    <w:rsid w:val="157A5690"/>
    <w:rsid w:val="15879CDD"/>
    <w:rsid w:val="158937BB"/>
    <w:rsid w:val="159AF635"/>
    <w:rsid w:val="15A14CA0"/>
    <w:rsid w:val="15AB51BA"/>
    <w:rsid w:val="15B329C0"/>
    <w:rsid w:val="15B5A4C9"/>
    <w:rsid w:val="15B6A5D5"/>
    <w:rsid w:val="15BCEB5E"/>
    <w:rsid w:val="15C8106B"/>
    <w:rsid w:val="15C8DB43"/>
    <w:rsid w:val="15C922F7"/>
    <w:rsid w:val="15CACC02"/>
    <w:rsid w:val="15CD3413"/>
    <w:rsid w:val="15CDDA8B"/>
    <w:rsid w:val="15D10A14"/>
    <w:rsid w:val="15DC1DA5"/>
    <w:rsid w:val="15E0CFBE"/>
    <w:rsid w:val="15E50DDA"/>
    <w:rsid w:val="15EFF73A"/>
    <w:rsid w:val="15F72DA8"/>
    <w:rsid w:val="160C8293"/>
    <w:rsid w:val="160CC6AB"/>
    <w:rsid w:val="16117062"/>
    <w:rsid w:val="161704BA"/>
    <w:rsid w:val="1619E48D"/>
    <w:rsid w:val="162759F0"/>
    <w:rsid w:val="163FF114"/>
    <w:rsid w:val="1644C3D2"/>
    <w:rsid w:val="165211AB"/>
    <w:rsid w:val="166712B4"/>
    <w:rsid w:val="166EC4AD"/>
    <w:rsid w:val="16730E84"/>
    <w:rsid w:val="16823FB0"/>
    <w:rsid w:val="1696C8C1"/>
    <w:rsid w:val="169AC6DA"/>
    <w:rsid w:val="16A39E3B"/>
    <w:rsid w:val="16A544B9"/>
    <w:rsid w:val="16A6F334"/>
    <w:rsid w:val="16A7739C"/>
    <w:rsid w:val="16ACD682"/>
    <w:rsid w:val="16AFC8F0"/>
    <w:rsid w:val="16B18E45"/>
    <w:rsid w:val="16BC9F2D"/>
    <w:rsid w:val="16C488EA"/>
    <w:rsid w:val="16C4AADB"/>
    <w:rsid w:val="16CF4204"/>
    <w:rsid w:val="16D2A438"/>
    <w:rsid w:val="16D76024"/>
    <w:rsid w:val="16D937B0"/>
    <w:rsid w:val="16DB417F"/>
    <w:rsid w:val="16DCA058"/>
    <w:rsid w:val="16E834FF"/>
    <w:rsid w:val="16EA69BB"/>
    <w:rsid w:val="16ED906D"/>
    <w:rsid w:val="16EF56AE"/>
    <w:rsid w:val="16F3E7A4"/>
    <w:rsid w:val="17011F41"/>
    <w:rsid w:val="170F7E3D"/>
    <w:rsid w:val="1710458E"/>
    <w:rsid w:val="1716A73D"/>
    <w:rsid w:val="171AC011"/>
    <w:rsid w:val="171C9C0F"/>
    <w:rsid w:val="171F0E0B"/>
    <w:rsid w:val="17228FA0"/>
    <w:rsid w:val="1725D23F"/>
    <w:rsid w:val="1730D4CE"/>
    <w:rsid w:val="173885F9"/>
    <w:rsid w:val="173FCB2D"/>
    <w:rsid w:val="17454D56"/>
    <w:rsid w:val="17481871"/>
    <w:rsid w:val="1749C439"/>
    <w:rsid w:val="175B2D4F"/>
    <w:rsid w:val="175D91B2"/>
    <w:rsid w:val="17646683"/>
    <w:rsid w:val="17731D3A"/>
    <w:rsid w:val="178AA097"/>
    <w:rsid w:val="178B8917"/>
    <w:rsid w:val="178BB62E"/>
    <w:rsid w:val="178D8E5E"/>
    <w:rsid w:val="17963303"/>
    <w:rsid w:val="1799CC9B"/>
    <w:rsid w:val="17A187C7"/>
    <w:rsid w:val="17A43EC1"/>
    <w:rsid w:val="17A74047"/>
    <w:rsid w:val="17A7C159"/>
    <w:rsid w:val="17B6199D"/>
    <w:rsid w:val="17BB4F65"/>
    <w:rsid w:val="17BC1E22"/>
    <w:rsid w:val="17BF74F7"/>
    <w:rsid w:val="17CB1DD8"/>
    <w:rsid w:val="17CC5517"/>
    <w:rsid w:val="17D04844"/>
    <w:rsid w:val="17D6C60F"/>
    <w:rsid w:val="17DABBF5"/>
    <w:rsid w:val="17EB64C6"/>
    <w:rsid w:val="17F9B247"/>
    <w:rsid w:val="1805F877"/>
    <w:rsid w:val="18066E60"/>
    <w:rsid w:val="180BB6FD"/>
    <w:rsid w:val="180E20AB"/>
    <w:rsid w:val="1810E85F"/>
    <w:rsid w:val="1813DDD1"/>
    <w:rsid w:val="18188B3C"/>
    <w:rsid w:val="182EB6A4"/>
    <w:rsid w:val="18337526"/>
    <w:rsid w:val="183F93BB"/>
    <w:rsid w:val="1840E2A2"/>
    <w:rsid w:val="184153DD"/>
    <w:rsid w:val="1845B938"/>
    <w:rsid w:val="1850907B"/>
    <w:rsid w:val="18517035"/>
    <w:rsid w:val="1857D60A"/>
    <w:rsid w:val="1862E18B"/>
    <w:rsid w:val="18662614"/>
    <w:rsid w:val="18662A99"/>
    <w:rsid w:val="18691526"/>
    <w:rsid w:val="186A9034"/>
    <w:rsid w:val="18715826"/>
    <w:rsid w:val="18760C71"/>
    <w:rsid w:val="189D41C4"/>
    <w:rsid w:val="189E98C6"/>
    <w:rsid w:val="18A0E3D2"/>
    <w:rsid w:val="18A35857"/>
    <w:rsid w:val="18BDFB97"/>
    <w:rsid w:val="18BEDC5F"/>
    <w:rsid w:val="18C263D6"/>
    <w:rsid w:val="18C3D92B"/>
    <w:rsid w:val="18C48698"/>
    <w:rsid w:val="18C4AAA3"/>
    <w:rsid w:val="18C5DA40"/>
    <w:rsid w:val="18D1E473"/>
    <w:rsid w:val="18DA855A"/>
    <w:rsid w:val="18DC7EBF"/>
    <w:rsid w:val="18DFA243"/>
    <w:rsid w:val="18E13B33"/>
    <w:rsid w:val="18EC17FC"/>
    <w:rsid w:val="18EF25EC"/>
    <w:rsid w:val="18F413EB"/>
    <w:rsid w:val="191D817E"/>
    <w:rsid w:val="192CEC57"/>
    <w:rsid w:val="1931B7A3"/>
    <w:rsid w:val="1938F6BD"/>
    <w:rsid w:val="193A70A5"/>
    <w:rsid w:val="1943888C"/>
    <w:rsid w:val="19495C25"/>
    <w:rsid w:val="19531466"/>
    <w:rsid w:val="195DC28E"/>
    <w:rsid w:val="195E561D"/>
    <w:rsid w:val="1963FD26"/>
    <w:rsid w:val="19673481"/>
    <w:rsid w:val="1969FBD8"/>
    <w:rsid w:val="1971FB44"/>
    <w:rsid w:val="197B0611"/>
    <w:rsid w:val="197DFE12"/>
    <w:rsid w:val="19952679"/>
    <w:rsid w:val="199B9A37"/>
    <w:rsid w:val="19A46C32"/>
    <w:rsid w:val="19AC1959"/>
    <w:rsid w:val="19BE8CE5"/>
    <w:rsid w:val="19BEE933"/>
    <w:rsid w:val="19BF1EC3"/>
    <w:rsid w:val="19C66CC6"/>
    <w:rsid w:val="19CCDD9F"/>
    <w:rsid w:val="19CF3DF5"/>
    <w:rsid w:val="19D4689A"/>
    <w:rsid w:val="19D8BBAE"/>
    <w:rsid w:val="19D8E370"/>
    <w:rsid w:val="19DB05F2"/>
    <w:rsid w:val="19DFB224"/>
    <w:rsid w:val="19EEF4FA"/>
    <w:rsid w:val="19FD0B9A"/>
    <w:rsid w:val="1A140C61"/>
    <w:rsid w:val="1A1486BA"/>
    <w:rsid w:val="1A1548FE"/>
    <w:rsid w:val="1A1F3526"/>
    <w:rsid w:val="1A1F52B9"/>
    <w:rsid w:val="1A23FBE5"/>
    <w:rsid w:val="1A2EA0E1"/>
    <w:rsid w:val="1A2F9110"/>
    <w:rsid w:val="1A40C03E"/>
    <w:rsid w:val="1A4504AD"/>
    <w:rsid w:val="1A4BCA98"/>
    <w:rsid w:val="1A54E006"/>
    <w:rsid w:val="1A6969BE"/>
    <w:rsid w:val="1A707BD2"/>
    <w:rsid w:val="1A720086"/>
    <w:rsid w:val="1A729331"/>
    <w:rsid w:val="1A80A7CB"/>
    <w:rsid w:val="1A9AF7DB"/>
    <w:rsid w:val="1A9FC35D"/>
    <w:rsid w:val="1AA21AF3"/>
    <w:rsid w:val="1AA2ABB8"/>
    <w:rsid w:val="1AA5CECD"/>
    <w:rsid w:val="1AA8DF84"/>
    <w:rsid w:val="1AAB9D81"/>
    <w:rsid w:val="1AAFAFFF"/>
    <w:rsid w:val="1ABBD085"/>
    <w:rsid w:val="1AC76C50"/>
    <w:rsid w:val="1AD26622"/>
    <w:rsid w:val="1ADBD855"/>
    <w:rsid w:val="1AE10F7C"/>
    <w:rsid w:val="1AE7171D"/>
    <w:rsid w:val="1AECC398"/>
    <w:rsid w:val="1AF6E3F2"/>
    <w:rsid w:val="1AF8B53B"/>
    <w:rsid w:val="1AFAAA4E"/>
    <w:rsid w:val="1B028ED2"/>
    <w:rsid w:val="1B04F9D5"/>
    <w:rsid w:val="1B0BC76D"/>
    <w:rsid w:val="1B1603A1"/>
    <w:rsid w:val="1B1D027B"/>
    <w:rsid w:val="1B1E11F6"/>
    <w:rsid w:val="1B2B0580"/>
    <w:rsid w:val="1B2DE3D3"/>
    <w:rsid w:val="1B36E940"/>
    <w:rsid w:val="1B404DED"/>
    <w:rsid w:val="1B4573F6"/>
    <w:rsid w:val="1B46075F"/>
    <w:rsid w:val="1B4AC8D1"/>
    <w:rsid w:val="1B544891"/>
    <w:rsid w:val="1B5AD90E"/>
    <w:rsid w:val="1B5C242B"/>
    <w:rsid w:val="1B5CD64B"/>
    <w:rsid w:val="1B5CE031"/>
    <w:rsid w:val="1B5D797F"/>
    <w:rsid w:val="1B66FAD8"/>
    <w:rsid w:val="1B6BA4DE"/>
    <w:rsid w:val="1B6D0810"/>
    <w:rsid w:val="1B7528FE"/>
    <w:rsid w:val="1B840C6D"/>
    <w:rsid w:val="1B87057F"/>
    <w:rsid w:val="1B8800A3"/>
    <w:rsid w:val="1B93D7FD"/>
    <w:rsid w:val="1BB538D4"/>
    <w:rsid w:val="1BBC9564"/>
    <w:rsid w:val="1BCE838C"/>
    <w:rsid w:val="1BDE9913"/>
    <w:rsid w:val="1BDFBD6A"/>
    <w:rsid w:val="1BE52072"/>
    <w:rsid w:val="1BEC64D5"/>
    <w:rsid w:val="1BEF8666"/>
    <w:rsid w:val="1BF1E57D"/>
    <w:rsid w:val="1BF2A0CA"/>
    <w:rsid w:val="1BF96BE2"/>
    <w:rsid w:val="1C03DB4B"/>
    <w:rsid w:val="1C03EEB4"/>
    <w:rsid w:val="1C1278C1"/>
    <w:rsid w:val="1C1E1FAF"/>
    <w:rsid w:val="1C1FC8A6"/>
    <w:rsid w:val="1C4AE02F"/>
    <w:rsid w:val="1C4D6A01"/>
    <w:rsid w:val="1C4DA83B"/>
    <w:rsid w:val="1C50DE0B"/>
    <w:rsid w:val="1C510690"/>
    <w:rsid w:val="1C5876A3"/>
    <w:rsid w:val="1C5F0B5E"/>
    <w:rsid w:val="1C63A7BC"/>
    <w:rsid w:val="1C6903C5"/>
    <w:rsid w:val="1C775291"/>
    <w:rsid w:val="1C782045"/>
    <w:rsid w:val="1C7A5DE0"/>
    <w:rsid w:val="1C7F1CE4"/>
    <w:rsid w:val="1C8210AF"/>
    <w:rsid w:val="1C860F80"/>
    <w:rsid w:val="1C8632EC"/>
    <w:rsid w:val="1C8B063D"/>
    <w:rsid w:val="1C8B61BF"/>
    <w:rsid w:val="1C90A0AD"/>
    <w:rsid w:val="1C90DDCD"/>
    <w:rsid w:val="1C95E468"/>
    <w:rsid w:val="1C98F05C"/>
    <w:rsid w:val="1C9979A0"/>
    <w:rsid w:val="1CA37C64"/>
    <w:rsid w:val="1CA4A83E"/>
    <w:rsid w:val="1CAA44B8"/>
    <w:rsid w:val="1CAE6CEF"/>
    <w:rsid w:val="1CBE6C38"/>
    <w:rsid w:val="1CC26C06"/>
    <w:rsid w:val="1CC53368"/>
    <w:rsid w:val="1CC83902"/>
    <w:rsid w:val="1CC9F532"/>
    <w:rsid w:val="1CCA834E"/>
    <w:rsid w:val="1CCF3C27"/>
    <w:rsid w:val="1CD22C86"/>
    <w:rsid w:val="1CD3B2D0"/>
    <w:rsid w:val="1CF4290B"/>
    <w:rsid w:val="1D023645"/>
    <w:rsid w:val="1D05F68E"/>
    <w:rsid w:val="1D0B9F17"/>
    <w:rsid w:val="1D0F22AD"/>
    <w:rsid w:val="1D110B59"/>
    <w:rsid w:val="1D117440"/>
    <w:rsid w:val="1D157FC3"/>
    <w:rsid w:val="1D1BAC31"/>
    <w:rsid w:val="1D25EFB4"/>
    <w:rsid w:val="1D2C26C8"/>
    <w:rsid w:val="1D46E831"/>
    <w:rsid w:val="1D4B61C8"/>
    <w:rsid w:val="1D4DD4CF"/>
    <w:rsid w:val="1D5403E6"/>
    <w:rsid w:val="1D65D180"/>
    <w:rsid w:val="1D67D316"/>
    <w:rsid w:val="1D7730EC"/>
    <w:rsid w:val="1D7C1991"/>
    <w:rsid w:val="1D7EE44A"/>
    <w:rsid w:val="1D7FABF3"/>
    <w:rsid w:val="1D8D3124"/>
    <w:rsid w:val="1D8DEA43"/>
    <w:rsid w:val="1D9878A5"/>
    <w:rsid w:val="1D9C16A2"/>
    <w:rsid w:val="1D9E63CD"/>
    <w:rsid w:val="1DA252A1"/>
    <w:rsid w:val="1DA7E095"/>
    <w:rsid w:val="1DAD6B01"/>
    <w:rsid w:val="1DAF7E78"/>
    <w:rsid w:val="1DB1D1A6"/>
    <w:rsid w:val="1DBA6F0B"/>
    <w:rsid w:val="1DBDF847"/>
    <w:rsid w:val="1DC36477"/>
    <w:rsid w:val="1DC8264D"/>
    <w:rsid w:val="1DD6FC5E"/>
    <w:rsid w:val="1DE18D77"/>
    <w:rsid w:val="1DE268EF"/>
    <w:rsid w:val="1DE56AD7"/>
    <w:rsid w:val="1DE796A2"/>
    <w:rsid w:val="1DEF9CFF"/>
    <w:rsid w:val="1DFFDCC7"/>
    <w:rsid w:val="1E00A868"/>
    <w:rsid w:val="1E0FD69E"/>
    <w:rsid w:val="1E137BB2"/>
    <w:rsid w:val="1E15A651"/>
    <w:rsid w:val="1E16EB21"/>
    <w:rsid w:val="1E17BD5D"/>
    <w:rsid w:val="1E1910BB"/>
    <w:rsid w:val="1E1A408F"/>
    <w:rsid w:val="1E1ABAFC"/>
    <w:rsid w:val="1E1FF0A8"/>
    <w:rsid w:val="1E2700DD"/>
    <w:rsid w:val="1E2B891F"/>
    <w:rsid w:val="1E300E59"/>
    <w:rsid w:val="1E45A712"/>
    <w:rsid w:val="1E4A7122"/>
    <w:rsid w:val="1E4E125C"/>
    <w:rsid w:val="1E4E6B7A"/>
    <w:rsid w:val="1E50394F"/>
    <w:rsid w:val="1E513F96"/>
    <w:rsid w:val="1E550999"/>
    <w:rsid w:val="1E572EB4"/>
    <w:rsid w:val="1E5D6065"/>
    <w:rsid w:val="1E5FE2E9"/>
    <w:rsid w:val="1E5FF43C"/>
    <w:rsid w:val="1E6E6F0B"/>
    <w:rsid w:val="1E73C884"/>
    <w:rsid w:val="1E7A67E5"/>
    <w:rsid w:val="1E7DE52C"/>
    <w:rsid w:val="1E82DF6F"/>
    <w:rsid w:val="1E987A5E"/>
    <w:rsid w:val="1E998DB0"/>
    <w:rsid w:val="1E999B89"/>
    <w:rsid w:val="1E9D2B3C"/>
    <w:rsid w:val="1EA6A3A5"/>
    <w:rsid w:val="1EADA49A"/>
    <w:rsid w:val="1EB16524"/>
    <w:rsid w:val="1EBB6A1C"/>
    <w:rsid w:val="1ECBB8EB"/>
    <w:rsid w:val="1ECCBCA9"/>
    <w:rsid w:val="1EF070C8"/>
    <w:rsid w:val="1EF57ED5"/>
    <w:rsid w:val="1EFA8EB9"/>
    <w:rsid w:val="1EFC9BB5"/>
    <w:rsid w:val="1F04D4F6"/>
    <w:rsid w:val="1F07FB0F"/>
    <w:rsid w:val="1F084ADE"/>
    <w:rsid w:val="1F08EF0F"/>
    <w:rsid w:val="1F09EC1C"/>
    <w:rsid w:val="1F0EE908"/>
    <w:rsid w:val="1F14647A"/>
    <w:rsid w:val="1F18E484"/>
    <w:rsid w:val="1F28DA50"/>
    <w:rsid w:val="1F3EE9FB"/>
    <w:rsid w:val="1F4269CB"/>
    <w:rsid w:val="1F50CD1F"/>
    <w:rsid w:val="1F5D1929"/>
    <w:rsid w:val="1F6549BF"/>
    <w:rsid w:val="1F6AD9F8"/>
    <w:rsid w:val="1F6FDBB7"/>
    <w:rsid w:val="1F6FEFA4"/>
    <w:rsid w:val="1F713A78"/>
    <w:rsid w:val="1F7320F8"/>
    <w:rsid w:val="1F90D93D"/>
    <w:rsid w:val="1F97122C"/>
    <w:rsid w:val="1F98399A"/>
    <w:rsid w:val="1FA58F35"/>
    <w:rsid w:val="1FA9CC5B"/>
    <w:rsid w:val="1FAD7096"/>
    <w:rsid w:val="1FB05F6E"/>
    <w:rsid w:val="1FB23D30"/>
    <w:rsid w:val="1FB24C18"/>
    <w:rsid w:val="1FC78C64"/>
    <w:rsid w:val="1FD64E57"/>
    <w:rsid w:val="1FD81F70"/>
    <w:rsid w:val="1FDD13E3"/>
    <w:rsid w:val="1FF1279B"/>
    <w:rsid w:val="1FF5FFFE"/>
    <w:rsid w:val="1FF6803B"/>
    <w:rsid w:val="1FFB3812"/>
    <w:rsid w:val="1FFD1E95"/>
    <w:rsid w:val="20008486"/>
    <w:rsid w:val="200C0CE2"/>
    <w:rsid w:val="200F0459"/>
    <w:rsid w:val="201361C1"/>
    <w:rsid w:val="2014BC2B"/>
    <w:rsid w:val="201B472D"/>
    <w:rsid w:val="201DC83C"/>
    <w:rsid w:val="2027879F"/>
    <w:rsid w:val="20302D3F"/>
    <w:rsid w:val="20402FBF"/>
    <w:rsid w:val="204232A9"/>
    <w:rsid w:val="204A057F"/>
    <w:rsid w:val="20571D16"/>
    <w:rsid w:val="2060F590"/>
    <w:rsid w:val="20783CFF"/>
    <w:rsid w:val="207A8094"/>
    <w:rsid w:val="207F02D0"/>
    <w:rsid w:val="20856CE0"/>
    <w:rsid w:val="20983C0F"/>
    <w:rsid w:val="20A117E1"/>
    <w:rsid w:val="20AE5A6B"/>
    <w:rsid w:val="20AF9DB1"/>
    <w:rsid w:val="20BB124E"/>
    <w:rsid w:val="20C01472"/>
    <w:rsid w:val="20C6D286"/>
    <w:rsid w:val="20C9356C"/>
    <w:rsid w:val="20D3FD1B"/>
    <w:rsid w:val="20DA80CE"/>
    <w:rsid w:val="20E197D6"/>
    <w:rsid w:val="20EE4F13"/>
    <w:rsid w:val="20F3C222"/>
    <w:rsid w:val="20F90005"/>
    <w:rsid w:val="20FA0F7F"/>
    <w:rsid w:val="210D1701"/>
    <w:rsid w:val="2110D81F"/>
    <w:rsid w:val="21132604"/>
    <w:rsid w:val="211491D3"/>
    <w:rsid w:val="211B4339"/>
    <w:rsid w:val="212555B3"/>
    <w:rsid w:val="21375376"/>
    <w:rsid w:val="213CC101"/>
    <w:rsid w:val="213CE2CE"/>
    <w:rsid w:val="213E80BC"/>
    <w:rsid w:val="2145C186"/>
    <w:rsid w:val="214A1062"/>
    <w:rsid w:val="215C57D8"/>
    <w:rsid w:val="21620B21"/>
    <w:rsid w:val="216480FE"/>
    <w:rsid w:val="2168E991"/>
    <w:rsid w:val="2173CCC6"/>
    <w:rsid w:val="2178A12D"/>
    <w:rsid w:val="2178DF1D"/>
    <w:rsid w:val="217EFB30"/>
    <w:rsid w:val="2184F12C"/>
    <w:rsid w:val="218D2FDB"/>
    <w:rsid w:val="21A612EA"/>
    <w:rsid w:val="21A62016"/>
    <w:rsid w:val="21B46422"/>
    <w:rsid w:val="21BF06DD"/>
    <w:rsid w:val="21C7340F"/>
    <w:rsid w:val="21D0B088"/>
    <w:rsid w:val="21D9791C"/>
    <w:rsid w:val="21DEE3D2"/>
    <w:rsid w:val="21E3F8CF"/>
    <w:rsid w:val="21F881C7"/>
    <w:rsid w:val="21FC0D57"/>
    <w:rsid w:val="221613C0"/>
    <w:rsid w:val="2225D667"/>
    <w:rsid w:val="2226FE8A"/>
    <w:rsid w:val="22283C01"/>
    <w:rsid w:val="222C34BD"/>
    <w:rsid w:val="22339B05"/>
    <w:rsid w:val="22369052"/>
    <w:rsid w:val="2238FFCE"/>
    <w:rsid w:val="22449A90"/>
    <w:rsid w:val="22461C7A"/>
    <w:rsid w:val="22484F45"/>
    <w:rsid w:val="224CF7C1"/>
    <w:rsid w:val="224E2A42"/>
    <w:rsid w:val="2257B18B"/>
    <w:rsid w:val="2258F443"/>
    <w:rsid w:val="227201FE"/>
    <w:rsid w:val="22795F4E"/>
    <w:rsid w:val="2283BC5B"/>
    <w:rsid w:val="2290BF6F"/>
    <w:rsid w:val="22913898"/>
    <w:rsid w:val="22915295"/>
    <w:rsid w:val="2295E678"/>
    <w:rsid w:val="2296E626"/>
    <w:rsid w:val="22990806"/>
    <w:rsid w:val="22A1C9DE"/>
    <w:rsid w:val="22A981B8"/>
    <w:rsid w:val="22AC34C4"/>
    <w:rsid w:val="22BBF7AC"/>
    <w:rsid w:val="22BE5391"/>
    <w:rsid w:val="22BF27F9"/>
    <w:rsid w:val="22C89A82"/>
    <w:rsid w:val="22CA0396"/>
    <w:rsid w:val="22D0E7A7"/>
    <w:rsid w:val="22E77CA1"/>
    <w:rsid w:val="22EBC9B6"/>
    <w:rsid w:val="22F3B325"/>
    <w:rsid w:val="22F3D9C0"/>
    <w:rsid w:val="22F80069"/>
    <w:rsid w:val="22FEF1E5"/>
    <w:rsid w:val="23003B19"/>
    <w:rsid w:val="2301EFEA"/>
    <w:rsid w:val="230BF342"/>
    <w:rsid w:val="230C465F"/>
    <w:rsid w:val="230DD3EA"/>
    <w:rsid w:val="231C3239"/>
    <w:rsid w:val="23252FBD"/>
    <w:rsid w:val="232A1ED5"/>
    <w:rsid w:val="232B1884"/>
    <w:rsid w:val="232EBEBF"/>
    <w:rsid w:val="232FC8D6"/>
    <w:rsid w:val="23313BD4"/>
    <w:rsid w:val="233284EE"/>
    <w:rsid w:val="233592FD"/>
    <w:rsid w:val="235CC63B"/>
    <w:rsid w:val="23671790"/>
    <w:rsid w:val="236FBBB0"/>
    <w:rsid w:val="2374F161"/>
    <w:rsid w:val="237DFD67"/>
    <w:rsid w:val="2380CE85"/>
    <w:rsid w:val="23823B1E"/>
    <w:rsid w:val="23941A9B"/>
    <w:rsid w:val="23970C2C"/>
    <w:rsid w:val="23991FFF"/>
    <w:rsid w:val="23AB7317"/>
    <w:rsid w:val="23B06F10"/>
    <w:rsid w:val="23B09257"/>
    <w:rsid w:val="23B7AA21"/>
    <w:rsid w:val="23C98E15"/>
    <w:rsid w:val="23CF885D"/>
    <w:rsid w:val="23D712D9"/>
    <w:rsid w:val="23E56605"/>
    <w:rsid w:val="23E733C7"/>
    <w:rsid w:val="23E9F142"/>
    <w:rsid w:val="23F79AEF"/>
    <w:rsid w:val="240C22C9"/>
    <w:rsid w:val="2413817F"/>
    <w:rsid w:val="241676CF"/>
    <w:rsid w:val="241CBE89"/>
    <w:rsid w:val="2428295D"/>
    <w:rsid w:val="2429E0CA"/>
    <w:rsid w:val="24313325"/>
    <w:rsid w:val="24361FB3"/>
    <w:rsid w:val="2443071E"/>
    <w:rsid w:val="2443911F"/>
    <w:rsid w:val="244D21E9"/>
    <w:rsid w:val="244FD90A"/>
    <w:rsid w:val="245B5CE1"/>
    <w:rsid w:val="245CE2E0"/>
    <w:rsid w:val="245D80D4"/>
    <w:rsid w:val="246948EE"/>
    <w:rsid w:val="24775A1A"/>
    <w:rsid w:val="249169AD"/>
    <w:rsid w:val="249FDF99"/>
    <w:rsid w:val="24B60F5D"/>
    <w:rsid w:val="24B735F2"/>
    <w:rsid w:val="24B7C98B"/>
    <w:rsid w:val="24BB51E8"/>
    <w:rsid w:val="24BB83B9"/>
    <w:rsid w:val="24C2AB45"/>
    <w:rsid w:val="24C3DE9C"/>
    <w:rsid w:val="24CA9B50"/>
    <w:rsid w:val="24CB68BE"/>
    <w:rsid w:val="24D2B940"/>
    <w:rsid w:val="24D2D4EB"/>
    <w:rsid w:val="24DA582F"/>
    <w:rsid w:val="24DDEB78"/>
    <w:rsid w:val="24DEE7F8"/>
    <w:rsid w:val="24DF3845"/>
    <w:rsid w:val="24E43F95"/>
    <w:rsid w:val="24F10A3C"/>
    <w:rsid w:val="24F37E68"/>
    <w:rsid w:val="24F3D5ED"/>
    <w:rsid w:val="24FA0517"/>
    <w:rsid w:val="25155013"/>
    <w:rsid w:val="25197F97"/>
    <w:rsid w:val="251B6E86"/>
    <w:rsid w:val="2525152A"/>
    <w:rsid w:val="252B4FF9"/>
    <w:rsid w:val="25368C20"/>
    <w:rsid w:val="25442D7D"/>
    <w:rsid w:val="254CB9B0"/>
    <w:rsid w:val="255724AA"/>
    <w:rsid w:val="2559357A"/>
    <w:rsid w:val="255EFEB2"/>
    <w:rsid w:val="255F9C87"/>
    <w:rsid w:val="256B8733"/>
    <w:rsid w:val="256C73BF"/>
    <w:rsid w:val="256C7DA6"/>
    <w:rsid w:val="2571A8F5"/>
    <w:rsid w:val="2572F4ED"/>
    <w:rsid w:val="25794711"/>
    <w:rsid w:val="257F5DA6"/>
    <w:rsid w:val="2592E5A2"/>
    <w:rsid w:val="25981167"/>
    <w:rsid w:val="25A28946"/>
    <w:rsid w:val="25AC88DE"/>
    <w:rsid w:val="25ADE591"/>
    <w:rsid w:val="25BBBDFC"/>
    <w:rsid w:val="25C40EEB"/>
    <w:rsid w:val="25C859A7"/>
    <w:rsid w:val="25D4C065"/>
    <w:rsid w:val="25D88A8E"/>
    <w:rsid w:val="25DFE3BD"/>
    <w:rsid w:val="25E69BD7"/>
    <w:rsid w:val="25EE2615"/>
    <w:rsid w:val="25EEB943"/>
    <w:rsid w:val="25FBFEA9"/>
    <w:rsid w:val="2604DC04"/>
    <w:rsid w:val="2607E4BA"/>
    <w:rsid w:val="260C09C2"/>
    <w:rsid w:val="260D9C90"/>
    <w:rsid w:val="261EB1D0"/>
    <w:rsid w:val="2629C6C3"/>
    <w:rsid w:val="262B7DFB"/>
    <w:rsid w:val="262BAC9F"/>
    <w:rsid w:val="262DC3AE"/>
    <w:rsid w:val="2630C0CF"/>
    <w:rsid w:val="2634B5D7"/>
    <w:rsid w:val="2635E015"/>
    <w:rsid w:val="2639492B"/>
    <w:rsid w:val="263CD322"/>
    <w:rsid w:val="263F5396"/>
    <w:rsid w:val="264182E6"/>
    <w:rsid w:val="26484D9F"/>
    <w:rsid w:val="2648847E"/>
    <w:rsid w:val="264C6E5C"/>
    <w:rsid w:val="264F5043"/>
    <w:rsid w:val="266C2A73"/>
    <w:rsid w:val="26741CC7"/>
    <w:rsid w:val="26917503"/>
    <w:rsid w:val="2692FC27"/>
    <w:rsid w:val="26931B89"/>
    <w:rsid w:val="26975146"/>
    <w:rsid w:val="26982CD2"/>
    <w:rsid w:val="269D37BC"/>
    <w:rsid w:val="26A29515"/>
    <w:rsid w:val="26A86037"/>
    <w:rsid w:val="26AB1C8A"/>
    <w:rsid w:val="26AE75CC"/>
    <w:rsid w:val="26B1F9F2"/>
    <w:rsid w:val="26B41A86"/>
    <w:rsid w:val="26C8E400"/>
    <w:rsid w:val="26CE7C9E"/>
    <w:rsid w:val="26CF57BC"/>
    <w:rsid w:val="26D60CE8"/>
    <w:rsid w:val="26D75122"/>
    <w:rsid w:val="26E7443E"/>
    <w:rsid w:val="26E7B0F9"/>
    <w:rsid w:val="26EA7A9C"/>
    <w:rsid w:val="26F1CF60"/>
    <w:rsid w:val="2700EC2E"/>
    <w:rsid w:val="27022B24"/>
    <w:rsid w:val="27043C95"/>
    <w:rsid w:val="2709DDA1"/>
    <w:rsid w:val="271381BE"/>
    <w:rsid w:val="271CD6D4"/>
    <w:rsid w:val="27203C2B"/>
    <w:rsid w:val="2735F928"/>
    <w:rsid w:val="27564B34"/>
    <w:rsid w:val="2758EAC8"/>
    <w:rsid w:val="2760A63F"/>
    <w:rsid w:val="2764C1F2"/>
    <w:rsid w:val="276852A2"/>
    <w:rsid w:val="276E5F0D"/>
    <w:rsid w:val="277181FC"/>
    <w:rsid w:val="277470F7"/>
    <w:rsid w:val="2774E45B"/>
    <w:rsid w:val="277961A1"/>
    <w:rsid w:val="2783C36B"/>
    <w:rsid w:val="27874650"/>
    <w:rsid w:val="278D3A9A"/>
    <w:rsid w:val="2791DEC2"/>
    <w:rsid w:val="2793E6F8"/>
    <w:rsid w:val="279B3398"/>
    <w:rsid w:val="27A09FB5"/>
    <w:rsid w:val="27ACB436"/>
    <w:rsid w:val="27B01B45"/>
    <w:rsid w:val="27BB125F"/>
    <w:rsid w:val="27C0E5FE"/>
    <w:rsid w:val="27C585AC"/>
    <w:rsid w:val="27C67ABD"/>
    <w:rsid w:val="27C6ED12"/>
    <w:rsid w:val="27CF01F9"/>
    <w:rsid w:val="27D360C8"/>
    <w:rsid w:val="27DAF542"/>
    <w:rsid w:val="27E54C51"/>
    <w:rsid w:val="27EE8D86"/>
    <w:rsid w:val="27EF69B5"/>
    <w:rsid w:val="27F1E9A0"/>
    <w:rsid w:val="2801D818"/>
    <w:rsid w:val="28073A97"/>
    <w:rsid w:val="28145CDC"/>
    <w:rsid w:val="2818B939"/>
    <w:rsid w:val="281B54DA"/>
    <w:rsid w:val="282088C1"/>
    <w:rsid w:val="2822BB73"/>
    <w:rsid w:val="282C96C6"/>
    <w:rsid w:val="282E6EA9"/>
    <w:rsid w:val="2838B98C"/>
    <w:rsid w:val="28393747"/>
    <w:rsid w:val="2844BB50"/>
    <w:rsid w:val="2855BF22"/>
    <w:rsid w:val="2856EA76"/>
    <w:rsid w:val="28570B1A"/>
    <w:rsid w:val="285CC687"/>
    <w:rsid w:val="2862A07A"/>
    <w:rsid w:val="286751BC"/>
    <w:rsid w:val="28678ECC"/>
    <w:rsid w:val="2869EC35"/>
    <w:rsid w:val="286A78F5"/>
    <w:rsid w:val="286B9693"/>
    <w:rsid w:val="2874377A"/>
    <w:rsid w:val="2874E9BB"/>
    <w:rsid w:val="2879DEEA"/>
    <w:rsid w:val="287D2FA5"/>
    <w:rsid w:val="288CF365"/>
    <w:rsid w:val="289F6F05"/>
    <w:rsid w:val="28A5D136"/>
    <w:rsid w:val="28AB6349"/>
    <w:rsid w:val="28AFA548"/>
    <w:rsid w:val="28B206F6"/>
    <w:rsid w:val="28BDC7DC"/>
    <w:rsid w:val="28C2DEED"/>
    <w:rsid w:val="28DF61D8"/>
    <w:rsid w:val="28DF9FA4"/>
    <w:rsid w:val="28ECD89C"/>
    <w:rsid w:val="28F498DD"/>
    <w:rsid w:val="28F9136C"/>
    <w:rsid w:val="2918419C"/>
    <w:rsid w:val="29375BD5"/>
    <w:rsid w:val="2939B769"/>
    <w:rsid w:val="29400867"/>
    <w:rsid w:val="2945207C"/>
    <w:rsid w:val="2948F167"/>
    <w:rsid w:val="294E93B5"/>
    <w:rsid w:val="2952792F"/>
    <w:rsid w:val="2953B7FB"/>
    <w:rsid w:val="29559393"/>
    <w:rsid w:val="296E41EB"/>
    <w:rsid w:val="297AD590"/>
    <w:rsid w:val="2983E230"/>
    <w:rsid w:val="299626DD"/>
    <w:rsid w:val="299E4EB1"/>
    <w:rsid w:val="29AB564F"/>
    <w:rsid w:val="29B06B5A"/>
    <w:rsid w:val="29C0881F"/>
    <w:rsid w:val="29C16A3F"/>
    <w:rsid w:val="29C61506"/>
    <w:rsid w:val="29CB8CFF"/>
    <w:rsid w:val="29CD476D"/>
    <w:rsid w:val="29CDE83E"/>
    <w:rsid w:val="29D1180B"/>
    <w:rsid w:val="29D4AA1D"/>
    <w:rsid w:val="29DD865D"/>
    <w:rsid w:val="29DDA529"/>
    <w:rsid w:val="29E499D1"/>
    <w:rsid w:val="29E8004B"/>
    <w:rsid w:val="29E92604"/>
    <w:rsid w:val="29FB27AA"/>
    <w:rsid w:val="2A032700"/>
    <w:rsid w:val="2A0AEB3F"/>
    <w:rsid w:val="2A0D02C7"/>
    <w:rsid w:val="2A0FEC86"/>
    <w:rsid w:val="2A1BE5BA"/>
    <w:rsid w:val="2A210644"/>
    <w:rsid w:val="2A26AEA8"/>
    <w:rsid w:val="2A2E23B1"/>
    <w:rsid w:val="2A341126"/>
    <w:rsid w:val="2A34AA29"/>
    <w:rsid w:val="2A388F87"/>
    <w:rsid w:val="2A4263CE"/>
    <w:rsid w:val="2A44E41E"/>
    <w:rsid w:val="2A463BE0"/>
    <w:rsid w:val="2A4BF25F"/>
    <w:rsid w:val="2A4C306E"/>
    <w:rsid w:val="2A5E4BCD"/>
    <w:rsid w:val="2A680C4E"/>
    <w:rsid w:val="2A7CE00D"/>
    <w:rsid w:val="2A8368DF"/>
    <w:rsid w:val="2A86C2C6"/>
    <w:rsid w:val="2A8AD032"/>
    <w:rsid w:val="2A96A5F6"/>
    <w:rsid w:val="2A9BE23F"/>
    <w:rsid w:val="2AA555CE"/>
    <w:rsid w:val="2AA856F8"/>
    <w:rsid w:val="2AABE8D8"/>
    <w:rsid w:val="2AAD0A1B"/>
    <w:rsid w:val="2AB069AE"/>
    <w:rsid w:val="2AB30F13"/>
    <w:rsid w:val="2AB696AB"/>
    <w:rsid w:val="2AB76A3D"/>
    <w:rsid w:val="2AC1FDCE"/>
    <w:rsid w:val="2AD29D62"/>
    <w:rsid w:val="2ADA189B"/>
    <w:rsid w:val="2AEF6B5C"/>
    <w:rsid w:val="2AF70871"/>
    <w:rsid w:val="2B0A35FB"/>
    <w:rsid w:val="2B0CFAA5"/>
    <w:rsid w:val="2B191F7F"/>
    <w:rsid w:val="2B2060FD"/>
    <w:rsid w:val="2B2AEF0E"/>
    <w:rsid w:val="2B2B5F3F"/>
    <w:rsid w:val="2B2B6F65"/>
    <w:rsid w:val="2B33314A"/>
    <w:rsid w:val="2B33F539"/>
    <w:rsid w:val="2B35C7DF"/>
    <w:rsid w:val="2B6463CD"/>
    <w:rsid w:val="2B69C7BD"/>
    <w:rsid w:val="2B7E7D00"/>
    <w:rsid w:val="2B80460A"/>
    <w:rsid w:val="2B925B50"/>
    <w:rsid w:val="2B9EC2DB"/>
    <w:rsid w:val="2BB6351B"/>
    <w:rsid w:val="2BB7571B"/>
    <w:rsid w:val="2BBD0D75"/>
    <w:rsid w:val="2BC17B34"/>
    <w:rsid w:val="2BD6435B"/>
    <w:rsid w:val="2BD64D0F"/>
    <w:rsid w:val="2BD8B825"/>
    <w:rsid w:val="2BD9AA84"/>
    <w:rsid w:val="2BE65669"/>
    <w:rsid w:val="2BE930A2"/>
    <w:rsid w:val="2BF60FAA"/>
    <w:rsid w:val="2BF7A598"/>
    <w:rsid w:val="2BFD5532"/>
    <w:rsid w:val="2C01F7CC"/>
    <w:rsid w:val="2C03F896"/>
    <w:rsid w:val="2C0A53E1"/>
    <w:rsid w:val="2C0F88DF"/>
    <w:rsid w:val="2C1B4099"/>
    <w:rsid w:val="2C288F00"/>
    <w:rsid w:val="2C2C1742"/>
    <w:rsid w:val="2C2D15A0"/>
    <w:rsid w:val="2C37890A"/>
    <w:rsid w:val="2C380988"/>
    <w:rsid w:val="2C3C72E4"/>
    <w:rsid w:val="2C4208AF"/>
    <w:rsid w:val="2C580372"/>
    <w:rsid w:val="2C686277"/>
    <w:rsid w:val="2C6896A0"/>
    <w:rsid w:val="2C70F364"/>
    <w:rsid w:val="2C71B8B3"/>
    <w:rsid w:val="2C76274D"/>
    <w:rsid w:val="2C793804"/>
    <w:rsid w:val="2C7A57DB"/>
    <w:rsid w:val="2C841E84"/>
    <w:rsid w:val="2C87B333"/>
    <w:rsid w:val="2C8C2D65"/>
    <w:rsid w:val="2C90DC63"/>
    <w:rsid w:val="2C92ECA4"/>
    <w:rsid w:val="2C9986C9"/>
    <w:rsid w:val="2C9CE9C5"/>
    <w:rsid w:val="2CA28D5E"/>
    <w:rsid w:val="2CAC6595"/>
    <w:rsid w:val="2CB17986"/>
    <w:rsid w:val="2CB3FD5E"/>
    <w:rsid w:val="2CBBA1A4"/>
    <w:rsid w:val="2CBD3D20"/>
    <w:rsid w:val="2CCABB10"/>
    <w:rsid w:val="2CCCBD5B"/>
    <w:rsid w:val="2CD5D286"/>
    <w:rsid w:val="2CD7FCD2"/>
    <w:rsid w:val="2CE5E42D"/>
    <w:rsid w:val="2CF9E689"/>
    <w:rsid w:val="2D1B72F2"/>
    <w:rsid w:val="2D2264C3"/>
    <w:rsid w:val="2D2F31C3"/>
    <w:rsid w:val="2D375E47"/>
    <w:rsid w:val="2D426903"/>
    <w:rsid w:val="2D43436D"/>
    <w:rsid w:val="2D57DCD6"/>
    <w:rsid w:val="2D64388C"/>
    <w:rsid w:val="2D645653"/>
    <w:rsid w:val="2D68D00F"/>
    <w:rsid w:val="2D6F58D8"/>
    <w:rsid w:val="2D8C25CD"/>
    <w:rsid w:val="2D905CC9"/>
    <w:rsid w:val="2D9AB7DD"/>
    <w:rsid w:val="2D9B0E47"/>
    <w:rsid w:val="2DA18F9B"/>
    <w:rsid w:val="2DA7CFDA"/>
    <w:rsid w:val="2DA8F14C"/>
    <w:rsid w:val="2DABA56A"/>
    <w:rsid w:val="2DB98B60"/>
    <w:rsid w:val="2DB9901B"/>
    <w:rsid w:val="2DBDABAF"/>
    <w:rsid w:val="2DC7AC2F"/>
    <w:rsid w:val="2DCE9546"/>
    <w:rsid w:val="2DD13CEB"/>
    <w:rsid w:val="2DD27464"/>
    <w:rsid w:val="2DD36379"/>
    <w:rsid w:val="2DD4CFCC"/>
    <w:rsid w:val="2DD8B12C"/>
    <w:rsid w:val="2DE25E44"/>
    <w:rsid w:val="2DEB7105"/>
    <w:rsid w:val="2DF9ABF4"/>
    <w:rsid w:val="2E028B23"/>
    <w:rsid w:val="2E02F284"/>
    <w:rsid w:val="2E1E3475"/>
    <w:rsid w:val="2E1EABF1"/>
    <w:rsid w:val="2E2AA846"/>
    <w:rsid w:val="2E358094"/>
    <w:rsid w:val="2E3FCF0B"/>
    <w:rsid w:val="2E42B07B"/>
    <w:rsid w:val="2E48E28A"/>
    <w:rsid w:val="2E5BC8E3"/>
    <w:rsid w:val="2E5D5EA5"/>
    <w:rsid w:val="2E5DF9D1"/>
    <w:rsid w:val="2E707478"/>
    <w:rsid w:val="2E759CD8"/>
    <w:rsid w:val="2E89D395"/>
    <w:rsid w:val="2E8A5911"/>
    <w:rsid w:val="2E8E5187"/>
    <w:rsid w:val="2E8ED789"/>
    <w:rsid w:val="2E917362"/>
    <w:rsid w:val="2E93BA01"/>
    <w:rsid w:val="2E94E42F"/>
    <w:rsid w:val="2E96073C"/>
    <w:rsid w:val="2E988F9D"/>
    <w:rsid w:val="2EA1F8FA"/>
    <w:rsid w:val="2EA30AC2"/>
    <w:rsid w:val="2EADBCC1"/>
    <w:rsid w:val="2EB9BCD3"/>
    <w:rsid w:val="2EBCC980"/>
    <w:rsid w:val="2EC13D67"/>
    <w:rsid w:val="2ED22869"/>
    <w:rsid w:val="2ED7F47A"/>
    <w:rsid w:val="2ED95371"/>
    <w:rsid w:val="2ED9890C"/>
    <w:rsid w:val="2EDBF6C9"/>
    <w:rsid w:val="2EDC018F"/>
    <w:rsid w:val="2EE92745"/>
    <w:rsid w:val="2EF14E93"/>
    <w:rsid w:val="2EF4D40A"/>
    <w:rsid w:val="2EF59B89"/>
    <w:rsid w:val="2EF68142"/>
    <w:rsid w:val="2EFD0525"/>
    <w:rsid w:val="2EFD5585"/>
    <w:rsid w:val="2F0369B0"/>
    <w:rsid w:val="2F077270"/>
    <w:rsid w:val="2F1305DD"/>
    <w:rsid w:val="2F14AA3F"/>
    <w:rsid w:val="2F1B9008"/>
    <w:rsid w:val="2F268E77"/>
    <w:rsid w:val="2F31B9FC"/>
    <w:rsid w:val="2F3CA20A"/>
    <w:rsid w:val="2F466894"/>
    <w:rsid w:val="2F50142D"/>
    <w:rsid w:val="2F5559A5"/>
    <w:rsid w:val="2F57CC2B"/>
    <w:rsid w:val="2F5887FA"/>
    <w:rsid w:val="2F62EC9A"/>
    <w:rsid w:val="2F63B763"/>
    <w:rsid w:val="2F674197"/>
    <w:rsid w:val="2F693E63"/>
    <w:rsid w:val="2F6C5C9C"/>
    <w:rsid w:val="2F77E1A1"/>
    <w:rsid w:val="2F7A3FEB"/>
    <w:rsid w:val="2F86CA62"/>
    <w:rsid w:val="2F918B73"/>
    <w:rsid w:val="2F9D5A58"/>
    <w:rsid w:val="2FA699F3"/>
    <w:rsid w:val="2FAC1883"/>
    <w:rsid w:val="2FB79C94"/>
    <w:rsid w:val="2FBA0470"/>
    <w:rsid w:val="2FBBA825"/>
    <w:rsid w:val="2FC36894"/>
    <w:rsid w:val="2FC9A8EB"/>
    <w:rsid w:val="2FCF5647"/>
    <w:rsid w:val="2FD033C9"/>
    <w:rsid w:val="2FD181D0"/>
    <w:rsid w:val="2FD620DC"/>
    <w:rsid w:val="2FD8276D"/>
    <w:rsid w:val="2FDD1DBF"/>
    <w:rsid w:val="2FDDEC45"/>
    <w:rsid w:val="2FDF3A86"/>
    <w:rsid w:val="2FED160E"/>
    <w:rsid w:val="2FED9C0A"/>
    <w:rsid w:val="2FF108A0"/>
    <w:rsid w:val="30001E46"/>
    <w:rsid w:val="3004D60C"/>
    <w:rsid w:val="30105556"/>
    <w:rsid w:val="3021D9A2"/>
    <w:rsid w:val="30242F1E"/>
    <w:rsid w:val="3027FE6D"/>
    <w:rsid w:val="3028F9CE"/>
    <w:rsid w:val="30301683"/>
    <w:rsid w:val="30518D8C"/>
    <w:rsid w:val="30525331"/>
    <w:rsid w:val="3060CD16"/>
    <w:rsid w:val="306A7EDC"/>
    <w:rsid w:val="306A882B"/>
    <w:rsid w:val="306BA194"/>
    <w:rsid w:val="306CD0E7"/>
    <w:rsid w:val="3081365A"/>
    <w:rsid w:val="308268EF"/>
    <w:rsid w:val="308C4694"/>
    <w:rsid w:val="30941CF9"/>
    <w:rsid w:val="309589EA"/>
    <w:rsid w:val="309BA6B7"/>
    <w:rsid w:val="309E6BCC"/>
    <w:rsid w:val="30A58F39"/>
    <w:rsid w:val="30B05D7B"/>
    <w:rsid w:val="30B1C12D"/>
    <w:rsid w:val="30B29E2B"/>
    <w:rsid w:val="30B4DFBD"/>
    <w:rsid w:val="30C18EAC"/>
    <w:rsid w:val="30CA072A"/>
    <w:rsid w:val="30D5025A"/>
    <w:rsid w:val="30D939FE"/>
    <w:rsid w:val="30DD3DE1"/>
    <w:rsid w:val="30DDD3C9"/>
    <w:rsid w:val="30EAA1E7"/>
    <w:rsid w:val="30EAE876"/>
    <w:rsid w:val="30EB56CF"/>
    <w:rsid w:val="3101E51B"/>
    <w:rsid w:val="3105B516"/>
    <w:rsid w:val="31064BDA"/>
    <w:rsid w:val="310787A3"/>
    <w:rsid w:val="31093368"/>
    <w:rsid w:val="310AC329"/>
    <w:rsid w:val="31124EF3"/>
    <w:rsid w:val="31136F92"/>
    <w:rsid w:val="311C72DC"/>
    <w:rsid w:val="31238674"/>
    <w:rsid w:val="31257F3E"/>
    <w:rsid w:val="312858A7"/>
    <w:rsid w:val="31287217"/>
    <w:rsid w:val="3130DD68"/>
    <w:rsid w:val="3135B588"/>
    <w:rsid w:val="313695C8"/>
    <w:rsid w:val="3145395D"/>
    <w:rsid w:val="31498A04"/>
    <w:rsid w:val="31562DCE"/>
    <w:rsid w:val="31590D8E"/>
    <w:rsid w:val="315BAC01"/>
    <w:rsid w:val="315E6DCA"/>
    <w:rsid w:val="3162BF8F"/>
    <w:rsid w:val="316598F5"/>
    <w:rsid w:val="31743190"/>
    <w:rsid w:val="317A90FD"/>
    <w:rsid w:val="317EF22D"/>
    <w:rsid w:val="3187E902"/>
    <w:rsid w:val="318D5196"/>
    <w:rsid w:val="3195626D"/>
    <w:rsid w:val="3196A0D8"/>
    <w:rsid w:val="319C2456"/>
    <w:rsid w:val="31A25578"/>
    <w:rsid w:val="31A76200"/>
    <w:rsid w:val="31B319FD"/>
    <w:rsid w:val="31B38939"/>
    <w:rsid w:val="31C150F7"/>
    <w:rsid w:val="31E455E9"/>
    <w:rsid w:val="31F8B35C"/>
    <w:rsid w:val="3203A91D"/>
    <w:rsid w:val="32051416"/>
    <w:rsid w:val="3208AC34"/>
    <w:rsid w:val="321A0AE5"/>
    <w:rsid w:val="321CB84F"/>
    <w:rsid w:val="322D48E6"/>
    <w:rsid w:val="322F3302"/>
    <w:rsid w:val="3237A3A3"/>
    <w:rsid w:val="32391854"/>
    <w:rsid w:val="3242CD31"/>
    <w:rsid w:val="324EE947"/>
    <w:rsid w:val="3252D4A7"/>
    <w:rsid w:val="32533039"/>
    <w:rsid w:val="32554917"/>
    <w:rsid w:val="32606199"/>
    <w:rsid w:val="3268C3A4"/>
    <w:rsid w:val="327281D0"/>
    <w:rsid w:val="3276CF39"/>
    <w:rsid w:val="327C0A20"/>
    <w:rsid w:val="32817C78"/>
    <w:rsid w:val="32856B9A"/>
    <w:rsid w:val="328A2F38"/>
    <w:rsid w:val="328AC915"/>
    <w:rsid w:val="328EE998"/>
    <w:rsid w:val="329AD8C6"/>
    <w:rsid w:val="32A83A0D"/>
    <w:rsid w:val="32A91CDC"/>
    <w:rsid w:val="32B01C36"/>
    <w:rsid w:val="32B3A654"/>
    <w:rsid w:val="32C4CFA5"/>
    <w:rsid w:val="32DA7081"/>
    <w:rsid w:val="32E1B1D9"/>
    <w:rsid w:val="32E5839B"/>
    <w:rsid w:val="32E93070"/>
    <w:rsid w:val="32E9AB70"/>
    <w:rsid w:val="32ECC7F7"/>
    <w:rsid w:val="32F16B49"/>
    <w:rsid w:val="32FF40B9"/>
    <w:rsid w:val="33086D68"/>
    <w:rsid w:val="3309F3FE"/>
    <w:rsid w:val="330C20A3"/>
    <w:rsid w:val="331A6895"/>
    <w:rsid w:val="33301C90"/>
    <w:rsid w:val="333AA2D5"/>
    <w:rsid w:val="333E97A8"/>
    <w:rsid w:val="33455B27"/>
    <w:rsid w:val="3356321B"/>
    <w:rsid w:val="33575734"/>
    <w:rsid w:val="336DF4C9"/>
    <w:rsid w:val="337FD8A1"/>
    <w:rsid w:val="33881440"/>
    <w:rsid w:val="3399E5D1"/>
    <w:rsid w:val="339E4DE6"/>
    <w:rsid w:val="339F488F"/>
    <w:rsid w:val="33A2200E"/>
    <w:rsid w:val="33B9C3D5"/>
    <w:rsid w:val="33C247FB"/>
    <w:rsid w:val="33C378C5"/>
    <w:rsid w:val="33C7B825"/>
    <w:rsid w:val="33CB57AE"/>
    <w:rsid w:val="33D5FA72"/>
    <w:rsid w:val="33DA144D"/>
    <w:rsid w:val="33F846E5"/>
    <w:rsid w:val="33FDEA98"/>
    <w:rsid w:val="34056CF1"/>
    <w:rsid w:val="341E2EBC"/>
    <w:rsid w:val="3420CF73"/>
    <w:rsid w:val="342FB514"/>
    <w:rsid w:val="3438D23E"/>
    <w:rsid w:val="343D3403"/>
    <w:rsid w:val="343D909D"/>
    <w:rsid w:val="343F2B2E"/>
    <w:rsid w:val="34437034"/>
    <w:rsid w:val="344F0A8B"/>
    <w:rsid w:val="3456D67A"/>
    <w:rsid w:val="3468AEB0"/>
    <w:rsid w:val="3472E4DA"/>
    <w:rsid w:val="347979C1"/>
    <w:rsid w:val="3480D4FC"/>
    <w:rsid w:val="3484F496"/>
    <w:rsid w:val="348B439D"/>
    <w:rsid w:val="348CDAF3"/>
    <w:rsid w:val="34988AE2"/>
    <w:rsid w:val="349912FE"/>
    <w:rsid w:val="34A43CFC"/>
    <w:rsid w:val="34B31ECA"/>
    <w:rsid w:val="34B70C86"/>
    <w:rsid w:val="34C1748E"/>
    <w:rsid w:val="34C2CE4B"/>
    <w:rsid w:val="34D1598B"/>
    <w:rsid w:val="34D4DC60"/>
    <w:rsid w:val="34D8B844"/>
    <w:rsid w:val="34D9924B"/>
    <w:rsid w:val="34DBED7A"/>
    <w:rsid w:val="34F4F621"/>
    <w:rsid w:val="34F6D6E9"/>
    <w:rsid w:val="34FD0B8E"/>
    <w:rsid w:val="3501A3DD"/>
    <w:rsid w:val="35125285"/>
    <w:rsid w:val="3524117F"/>
    <w:rsid w:val="353247E9"/>
    <w:rsid w:val="3542A3AF"/>
    <w:rsid w:val="354E5681"/>
    <w:rsid w:val="3551A2AE"/>
    <w:rsid w:val="355A3627"/>
    <w:rsid w:val="35683832"/>
    <w:rsid w:val="356A2314"/>
    <w:rsid w:val="356A5878"/>
    <w:rsid w:val="357A3902"/>
    <w:rsid w:val="357B3FCA"/>
    <w:rsid w:val="35805612"/>
    <w:rsid w:val="3587CDC4"/>
    <w:rsid w:val="358F5739"/>
    <w:rsid w:val="358F7A33"/>
    <w:rsid w:val="35A067AF"/>
    <w:rsid w:val="35A51677"/>
    <w:rsid w:val="35AB8C88"/>
    <w:rsid w:val="35ADDE24"/>
    <w:rsid w:val="35AE6D34"/>
    <w:rsid w:val="35B11633"/>
    <w:rsid w:val="35B184C4"/>
    <w:rsid w:val="35B616DC"/>
    <w:rsid w:val="35B698AD"/>
    <w:rsid w:val="35C2445A"/>
    <w:rsid w:val="35C46C7F"/>
    <w:rsid w:val="35C6C8EB"/>
    <w:rsid w:val="35CB2898"/>
    <w:rsid w:val="35CFF40D"/>
    <w:rsid w:val="35D316F9"/>
    <w:rsid w:val="35D3601A"/>
    <w:rsid w:val="35D44D50"/>
    <w:rsid w:val="35E06453"/>
    <w:rsid w:val="35E1624F"/>
    <w:rsid w:val="35E73889"/>
    <w:rsid w:val="35E8149C"/>
    <w:rsid w:val="35EC656B"/>
    <w:rsid w:val="35F83DD3"/>
    <w:rsid w:val="35FE4F10"/>
    <w:rsid w:val="360A1B5A"/>
    <w:rsid w:val="360EAB27"/>
    <w:rsid w:val="36118027"/>
    <w:rsid w:val="361A066D"/>
    <w:rsid w:val="3628E7DB"/>
    <w:rsid w:val="362ABC5E"/>
    <w:rsid w:val="362B1363"/>
    <w:rsid w:val="363150C3"/>
    <w:rsid w:val="3641FC78"/>
    <w:rsid w:val="36483DC1"/>
    <w:rsid w:val="3648A8EE"/>
    <w:rsid w:val="3664FF54"/>
    <w:rsid w:val="3669C2B2"/>
    <w:rsid w:val="3671678B"/>
    <w:rsid w:val="36751946"/>
    <w:rsid w:val="367B3137"/>
    <w:rsid w:val="36814839"/>
    <w:rsid w:val="3684BF19"/>
    <w:rsid w:val="368C5325"/>
    <w:rsid w:val="3692487A"/>
    <w:rsid w:val="36A122C9"/>
    <w:rsid w:val="36A2A0DA"/>
    <w:rsid w:val="36A3DAFE"/>
    <w:rsid w:val="36A4EA03"/>
    <w:rsid w:val="36A716FF"/>
    <w:rsid w:val="36A7C420"/>
    <w:rsid w:val="36ADC4D3"/>
    <w:rsid w:val="36B22288"/>
    <w:rsid w:val="36DD3CB6"/>
    <w:rsid w:val="36E2264E"/>
    <w:rsid w:val="36E36928"/>
    <w:rsid w:val="36E9D655"/>
    <w:rsid w:val="36EB9E0D"/>
    <w:rsid w:val="36FCDF03"/>
    <w:rsid w:val="37017CDF"/>
    <w:rsid w:val="3706994C"/>
    <w:rsid w:val="37096A93"/>
    <w:rsid w:val="370A2A65"/>
    <w:rsid w:val="370A567A"/>
    <w:rsid w:val="370E3585"/>
    <w:rsid w:val="3723D711"/>
    <w:rsid w:val="3724E3C0"/>
    <w:rsid w:val="3725AEC2"/>
    <w:rsid w:val="372AD00F"/>
    <w:rsid w:val="372E5B64"/>
    <w:rsid w:val="3732B115"/>
    <w:rsid w:val="37354A81"/>
    <w:rsid w:val="373C9E7D"/>
    <w:rsid w:val="37456786"/>
    <w:rsid w:val="3745B6EC"/>
    <w:rsid w:val="374DB0F4"/>
    <w:rsid w:val="37534A7C"/>
    <w:rsid w:val="375920F6"/>
    <w:rsid w:val="375E06B5"/>
    <w:rsid w:val="3761D2B7"/>
    <w:rsid w:val="3766C685"/>
    <w:rsid w:val="376D4469"/>
    <w:rsid w:val="3772CA64"/>
    <w:rsid w:val="377843D4"/>
    <w:rsid w:val="3779541C"/>
    <w:rsid w:val="37801C24"/>
    <w:rsid w:val="3781EEA4"/>
    <w:rsid w:val="378A4858"/>
    <w:rsid w:val="3792D179"/>
    <w:rsid w:val="37933F72"/>
    <w:rsid w:val="379B468D"/>
    <w:rsid w:val="379C0F53"/>
    <w:rsid w:val="37A04102"/>
    <w:rsid w:val="37A64A62"/>
    <w:rsid w:val="37A7F895"/>
    <w:rsid w:val="37A9C2B7"/>
    <w:rsid w:val="37B447C2"/>
    <w:rsid w:val="37C1259D"/>
    <w:rsid w:val="37C60C83"/>
    <w:rsid w:val="37C691A7"/>
    <w:rsid w:val="37C7FA9A"/>
    <w:rsid w:val="37C98A40"/>
    <w:rsid w:val="37CB71B7"/>
    <w:rsid w:val="37D87F53"/>
    <w:rsid w:val="37DBF114"/>
    <w:rsid w:val="37DEBC44"/>
    <w:rsid w:val="37DF1517"/>
    <w:rsid w:val="37E58B1A"/>
    <w:rsid w:val="37EB71FB"/>
    <w:rsid w:val="37EDC5A3"/>
    <w:rsid w:val="37EE17FD"/>
    <w:rsid w:val="37FF3D8C"/>
    <w:rsid w:val="3800F3F6"/>
    <w:rsid w:val="3806D1C7"/>
    <w:rsid w:val="3809F3A7"/>
    <w:rsid w:val="38128ADF"/>
    <w:rsid w:val="3814CBA5"/>
    <w:rsid w:val="3819D1D5"/>
    <w:rsid w:val="381BB95E"/>
    <w:rsid w:val="381E8049"/>
    <w:rsid w:val="382C3C80"/>
    <w:rsid w:val="383057A9"/>
    <w:rsid w:val="38336F1B"/>
    <w:rsid w:val="3833C169"/>
    <w:rsid w:val="383DA965"/>
    <w:rsid w:val="3844A512"/>
    <w:rsid w:val="384633E0"/>
    <w:rsid w:val="38516700"/>
    <w:rsid w:val="3851BAC8"/>
    <w:rsid w:val="386CA15C"/>
    <w:rsid w:val="386E3705"/>
    <w:rsid w:val="38706F4D"/>
    <w:rsid w:val="38740946"/>
    <w:rsid w:val="387920F7"/>
    <w:rsid w:val="387B5F8B"/>
    <w:rsid w:val="387C711F"/>
    <w:rsid w:val="387F49B8"/>
    <w:rsid w:val="3881F18C"/>
    <w:rsid w:val="388B3F87"/>
    <w:rsid w:val="3892739E"/>
    <w:rsid w:val="38932718"/>
    <w:rsid w:val="38933A18"/>
    <w:rsid w:val="389599EA"/>
    <w:rsid w:val="3896CC52"/>
    <w:rsid w:val="38A770F8"/>
    <w:rsid w:val="38A7ED4C"/>
    <w:rsid w:val="38AA5040"/>
    <w:rsid w:val="38B344F0"/>
    <w:rsid w:val="38B77FEF"/>
    <w:rsid w:val="38CA1251"/>
    <w:rsid w:val="38CBD637"/>
    <w:rsid w:val="38CC55E8"/>
    <w:rsid w:val="38D7F70F"/>
    <w:rsid w:val="38DABD17"/>
    <w:rsid w:val="38E154EA"/>
    <w:rsid w:val="38E165C3"/>
    <w:rsid w:val="38EB8071"/>
    <w:rsid w:val="38F28AD8"/>
    <w:rsid w:val="38F58EFC"/>
    <w:rsid w:val="38F8248A"/>
    <w:rsid w:val="38FC41D7"/>
    <w:rsid w:val="38FE69E6"/>
    <w:rsid w:val="38FEC88B"/>
    <w:rsid w:val="390B0A0B"/>
    <w:rsid w:val="3910E0F1"/>
    <w:rsid w:val="39120D4E"/>
    <w:rsid w:val="391CB101"/>
    <w:rsid w:val="3928B219"/>
    <w:rsid w:val="393546D2"/>
    <w:rsid w:val="3945E40B"/>
    <w:rsid w:val="394BD7C1"/>
    <w:rsid w:val="394F4C4A"/>
    <w:rsid w:val="395449AB"/>
    <w:rsid w:val="39767F3D"/>
    <w:rsid w:val="39793C6B"/>
    <w:rsid w:val="39858216"/>
    <w:rsid w:val="398656CE"/>
    <w:rsid w:val="398708D6"/>
    <w:rsid w:val="3987A95E"/>
    <w:rsid w:val="39891FE1"/>
    <w:rsid w:val="398D209F"/>
    <w:rsid w:val="398E21D2"/>
    <w:rsid w:val="3990FD3E"/>
    <w:rsid w:val="399A3A7A"/>
    <w:rsid w:val="399C11B4"/>
    <w:rsid w:val="39A42C28"/>
    <w:rsid w:val="39B232FC"/>
    <w:rsid w:val="39C1F4AE"/>
    <w:rsid w:val="39C1F98F"/>
    <w:rsid w:val="39CA1B11"/>
    <w:rsid w:val="39CF9016"/>
    <w:rsid w:val="39D59BD2"/>
    <w:rsid w:val="39D5E656"/>
    <w:rsid w:val="39DA9E84"/>
    <w:rsid w:val="39E0A45B"/>
    <w:rsid w:val="39E723E5"/>
    <w:rsid w:val="39EF17A6"/>
    <w:rsid w:val="39F53A3E"/>
    <w:rsid w:val="39FC6534"/>
    <w:rsid w:val="39FE3F65"/>
    <w:rsid w:val="3A02E98C"/>
    <w:rsid w:val="3A05518F"/>
    <w:rsid w:val="3A0DAA0E"/>
    <w:rsid w:val="3A24B9A3"/>
    <w:rsid w:val="3A3CB19C"/>
    <w:rsid w:val="3A451E35"/>
    <w:rsid w:val="3A474B0F"/>
    <w:rsid w:val="3A52C1C4"/>
    <w:rsid w:val="3A54358B"/>
    <w:rsid w:val="3A5726A6"/>
    <w:rsid w:val="3A5787DC"/>
    <w:rsid w:val="3A65A7F8"/>
    <w:rsid w:val="3A65D164"/>
    <w:rsid w:val="3A72748A"/>
    <w:rsid w:val="3A759052"/>
    <w:rsid w:val="3A86CE05"/>
    <w:rsid w:val="3A8BB50D"/>
    <w:rsid w:val="3A8CE98B"/>
    <w:rsid w:val="3A8DD79A"/>
    <w:rsid w:val="3A901E56"/>
    <w:rsid w:val="3A91D3F9"/>
    <w:rsid w:val="3AA33BE0"/>
    <w:rsid w:val="3AB597E8"/>
    <w:rsid w:val="3ACDDD2A"/>
    <w:rsid w:val="3ACF93A7"/>
    <w:rsid w:val="3AD352E3"/>
    <w:rsid w:val="3AD41228"/>
    <w:rsid w:val="3ADB8218"/>
    <w:rsid w:val="3AEA5193"/>
    <w:rsid w:val="3AF31A5E"/>
    <w:rsid w:val="3B02BDD9"/>
    <w:rsid w:val="3B070291"/>
    <w:rsid w:val="3B09525E"/>
    <w:rsid w:val="3B0A8D7A"/>
    <w:rsid w:val="3B1ABCC4"/>
    <w:rsid w:val="3B285FC3"/>
    <w:rsid w:val="3B414BE3"/>
    <w:rsid w:val="3B4788DC"/>
    <w:rsid w:val="3B485BE0"/>
    <w:rsid w:val="3B4D7BAB"/>
    <w:rsid w:val="3B4E0164"/>
    <w:rsid w:val="3B536B09"/>
    <w:rsid w:val="3B55EEB0"/>
    <w:rsid w:val="3B564676"/>
    <w:rsid w:val="3B56DB77"/>
    <w:rsid w:val="3B610AFB"/>
    <w:rsid w:val="3B6C4538"/>
    <w:rsid w:val="3B6D616D"/>
    <w:rsid w:val="3B7BC16F"/>
    <w:rsid w:val="3B8F0BB6"/>
    <w:rsid w:val="3B90E85D"/>
    <w:rsid w:val="3BA7228F"/>
    <w:rsid w:val="3BB65DCE"/>
    <w:rsid w:val="3BBD5A7E"/>
    <w:rsid w:val="3BBE1842"/>
    <w:rsid w:val="3BC1288E"/>
    <w:rsid w:val="3BC62067"/>
    <w:rsid w:val="3BC96F72"/>
    <w:rsid w:val="3BCB4E34"/>
    <w:rsid w:val="3BCCD008"/>
    <w:rsid w:val="3BD003C0"/>
    <w:rsid w:val="3BD9F5C4"/>
    <w:rsid w:val="3BDAA421"/>
    <w:rsid w:val="3BDBDBD3"/>
    <w:rsid w:val="3BDDC582"/>
    <w:rsid w:val="3BDE0A16"/>
    <w:rsid w:val="3BE14E8F"/>
    <w:rsid w:val="3BE5EF15"/>
    <w:rsid w:val="3BF0DBAC"/>
    <w:rsid w:val="3BF1233F"/>
    <w:rsid w:val="3BFE81A5"/>
    <w:rsid w:val="3BFF174A"/>
    <w:rsid w:val="3BFFA091"/>
    <w:rsid w:val="3C01802A"/>
    <w:rsid w:val="3C1CD8D8"/>
    <w:rsid w:val="3C28299F"/>
    <w:rsid w:val="3C2A1330"/>
    <w:rsid w:val="3C31BA87"/>
    <w:rsid w:val="3C32CA8E"/>
    <w:rsid w:val="3C347E87"/>
    <w:rsid w:val="3C3A406B"/>
    <w:rsid w:val="3C4E37A8"/>
    <w:rsid w:val="3C546531"/>
    <w:rsid w:val="3C5BE34C"/>
    <w:rsid w:val="3C62392B"/>
    <w:rsid w:val="3C62A904"/>
    <w:rsid w:val="3C762A5B"/>
    <w:rsid w:val="3C77C3D0"/>
    <w:rsid w:val="3C7BADBF"/>
    <w:rsid w:val="3C7C69D4"/>
    <w:rsid w:val="3C86D8A9"/>
    <w:rsid w:val="3C88F9D7"/>
    <w:rsid w:val="3C9AECF8"/>
    <w:rsid w:val="3C9C97FD"/>
    <w:rsid w:val="3CA6E6E5"/>
    <w:rsid w:val="3CA9398C"/>
    <w:rsid w:val="3CB6C840"/>
    <w:rsid w:val="3CBB1DE8"/>
    <w:rsid w:val="3CBCBE25"/>
    <w:rsid w:val="3CC5C997"/>
    <w:rsid w:val="3CCA96F1"/>
    <w:rsid w:val="3CCF3493"/>
    <w:rsid w:val="3CD0C192"/>
    <w:rsid w:val="3CD0D219"/>
    <w:rsid w:val="3CD5E71E"/>
    <w:rsid w:val="3CDAF046"/>
    <w:rsid w:val="3CDD7414"/>
    <w:rsid w:val="3CE3FE55"/>
    <w:rsid w:val="3CE5ECC7"/>
    <w:rsid w:val="3CE682C3"/>
    <w:rsid w:val="3CECC911"/>
    <w:rsid w:val="3CF290C8"/>
    <w:rsid w:val="3CF35E48"/>
    <w:rsid w:val="3CFEC661"/>
    <w:rsid w:val="3D0256FD"/>
    <w:rsid w:val="3D071719"/>
    <w:rsid w:val="3D1BBE14"/>
    <w:rsid w:val="3D1E04D0"/>
    <w:rsid w:val="3D29162E"/>
    <w:rsid w:val="3D2980BE"/>
    <w:rsid w:val="3D2B4CAC"/>
    <w:rsid w:val="3D2C16A2"/>
    <w:rsid w:val="3D348A86"/>
    <w:rsid w:val="3D378CF3"/>
    <w:rsid w:val="3D3AF599"/>
    <w:rsid w:val="3D3B502E"/>
    <w:rsid w:val="3D3EE612"/>
    <w:rsid w:val="3D416775"/>
    <w:rsid w:val="3D433AA9"/>
    <w:rsid w:val="3D4DC476"/>
    <w:rsid w:val="3D4F683F"/>
    <w:rsid w:val="3D50C665"/>
    <w:rsid w:val="3D523392"/>
    <w:rsid w:val="3D54A49B"/>
    <w:rsid w:val="3D5B14D3"/>
    <w:rsid w:val="3D65CF51"/>
    <w:rsid w:val="3D6B0C12"/>
    <w:rsid w:val="3D73D542"/>
    <w:rsid w:val="3D7C2DFB"/>
    <w:rsid w:val="3D7CBE8C"/>
    <w:rsid w:val="3D805D0A"/>
    <w:rsid w:val="3D848C00"/>
    <w:rsid w:val="3D9BA6A4"/>
    <w:rsid w:val="3DA31793"/>
    <w:rsid w:val="3DB160A3"/>
    <w:rsid w:val="3DBBA065"/>
    <w:rsid w:val="3DBF492B"/>
    <w:rsid w:val="3DC19B1C"/>
    <w:rsid w:val="3DC19C40"/>
    <w:rsid w:val="3DCDB0BD"/>
    <w:rsid w:val="3DCECE3E"/>
    <w:rsid w:val="3DD77A9A"/>
    <w:rsid w:val="3DE5E015"/>
    <w:rsid w:val="3DEA659C"/>
    <w:rsid w:val="3DEFC21A"/>
    <w:rsid w:val="3DF8F24E"/>
    <w:rsid w:val="3E0B8495"/>
    <w:rsid w:val="3E0DDC00"/>
    <w:rsid w:val="3E294447"/>
    <w:rsid w:val="3E49951E"/>
    <w:rsid w:val="3E5B7D67"/>
    <w:rsid w:val="3E5C6AD1"/>
    <w:rsid w:val="3E65C0D9"/>
    <w:rsid w:val="3E668DF8"/>
    <w:rsid w:val="3E6A65D2"/>
    <w:rsid w:val="3E6EBA3E"/>
    <w:rsid w:val="3E80A39E"/>
    <w:rsid w:val="3E828ACD"/>
    <w:rsid w:val="3E858C27"/>
    <w:rsid w:val="3E8BC4B6"/>
    <w:rsid w:val="3EADA12F"/>
    <w:rsid w:val="3EBD129A"/>
    <w:rsid w:val="3EC009A2"/>
    <w:rsid w:val="3EDA2117"/>
    <w:rsid w:val="3EDE36A0"/>
    <w:rsid w:val="3EE35036"/>
    <w:rsid w:val="3EECB497"/>
    <w:rsid w:val="3EED7799"/>
    <w:rsid w:val="3EF38266"/>
    <w:rsid w:val="3EF7F359"/>
    <w:rsid w:val="3EF9A1CB"/>
    <w:rsid w:val="3F092D2B"/>
    <w:rsid w:val="3F14618E"/>
    <w:rsid w:val="3F273FB7"/>
    <w:rsid w:val="3F4990AD"/>
    <w:rsid w:val="3F588E2B"/>
    <w:rsid w:val="3F58D0E4"/>
    <w:rsid w:val="3F5FDFBE"/>
    <w:rsid w:val="3F60587B"/>
    <w:rsid w:val="3F6127BB"/>
    <w:rsid w:val="3F67D875"/>
    <w:rsid w:val="3F6817E9"/>
    <w:rsid w:val="3F6A81FF"/>
    <w:rsid w:val="3F6E964D"/>
    <w:rsid w:val="3F7FC910"/>
    <w:rsid w:val="3F8A0D8C"/>
    <w:rsid w:val="3F8EEEEC"/>
    <w:rsid w:val="3F932F44"/>
    <w:rsid w:val="3F9D1595"/>
    <w:rsid w:val="3FA711D7"/>
    <w:rsid w:val="3FA76BD6"/>
    <w:rsid w:val="3FAB2539"/>
    <w:rsid w:val="3FABB42F"/>
    <w:rsid w:val="3FB67BA6"/>
    <w:rsid w:val="3FC52D45"/>
    <w:rsid w:val="3FC81759"/>
    <w:rsid w:val="3FD569D5"/>
    <w:rsid w:val="3FE09FB7"/>
    <w:rsid w:val="3FE13E03"/>
    <w:rsid w:val="3FE2BC44"/>
    <w:rsid w:val="3FE751B0"/>
    <w:rsid w:val="3FE8C378"/>
    <w:rsid w:val="3FF2A3BC"/>
    <w:rsid w:val="3FF4A03B"/>
    <w:rsid w:val="40029091"/>
    <w:rsid w:val="4004C559"/>
    <w:rsid w:val="4006E77E"/>
    <w:rsid w:val="400B5DC7"/>
    <w:rsid w:val="400E621D"/>
    <w:rsid w:val="401A0F16"/>
    <w:rsid w:val="401CDE7D"/>
    <w:rsid w:val="402CFA0A"/>
    <w:rsid w:val="403C1DB3"/>
    <w:rsid w:val="403E4DA3"/>
    <w:rsid w:val="4049433F"/>
    <w:rsid w:val="40577CBF"/>
    <w:rsid w:val="4057AEBD"/>
    <w:rsid w:val="405BA937"/>
    <w:rsid w:val="40614469"/>
    <w:rsid w:val="40636674"/>
    <w:rsid w:val="406BF8D6"/>
    <w:rsid w:val="40796776"/>
    <w:rsid w:val="408AFA8F"/>
    <w:rsid w:val="408E0B4C"/>
    <w:rsid w:val="409C25DE"/>
    <w:rsid w:val="40A5F76A"/>
    <w:rsid w:val="40A6A3A2"/>
    <w:rsid w:val="40A9EC93"/>
    <w:rsid w:val="40B755DC"/>
    <w:rsid w:val="40BBC544"/>
    <w:rsid w:val="40BD7398"/>
    <w:rsid w:val="40BDEFDB"/>
    <w:rsid w:val="40BF0A3D"/>
    <w:rsid w:val="40CA3468"/>
    <w:rsid w:val="40CB9B74"/>
    <w:rsid w:val="40CD293A"/>
    <w:rsid w:val="40CDE311"/>
    <w:rsid w:val="40D1C7C6"/>
    <w:rsid w:val="40E37EDE"/>
    <w:rsid w:val="40EF01EF"/>
    <w:rsid w:val="40FB2AC2"/>
    <w:rsid w:val="4104CDDD"/>
    <w:rsid w:val="41059556"/>
    <w:rsid w:val="410BA496"/>
    <w:rsid w:val="410CCFA9"/>
    <w:rsid w:val="41141F68"/>
    <w:rsid w:val="4114A940"/>
    <w:rsid w:val="4120E753"/>
    <w:rsid w:val="4129889F"/>
    <w:rsid w:val="412C1EEF"/>
    <w:rsid w:val="412D0CC7"/>
    <w:rsid w:val="414637DD"/>
    <w:rsid w:val="41479C0B"/>
    <w:rsid w:val="41492729"/>
    <w:rsid w:val="414AC6DD"/>
    <w:rsid w:val="414CD2B0"/>
    <w:rsid w:val="415049A0"/>
    <w:rsid w:val="4157F2B1"/>
    <w:rsid w:val="415B101A"/>
    <w:rsid w:val="416E9C8E"/>
    <w:rsid w:val="41756FD2"/>
    <w:rsid w:val="417B008C"/>
    <w:rsid w:val="4187D7A8"/>
    <w:rsid w:val="419CBD3D"/>
    <w:rsid w:val="41A25916"/>
    <w:rsid w:val="41A2DFA3"/>
    <w:rsid w:val="41A5F297"/>
    <w:rsid w:val="41A763FF"/>
    <w:rsid w:val="41A7E4EC"/>
    <w:rsid w:val="41BE17C3"/>
    <w:rsid w:val="41D17B5A"/>
    <w:rsid w:val="41DB74B6"/>
    <w:rsid w:val="41E0BBA1"/>
    <w:rsid w:val="41F1E26F"/>
    <w:rsid w:val="41F7AA9A"/>
    <w:rsid w:val="4201DD0C"/>
    <w:rsid w:val="42075042"/>
    <w:rsid w:val="420D7398"/>
    <w:rsid w:val="4217B103"/>
    <w:rsid w:val="421AB52F"/>
    <w:rsid w:val="421CD8A4"/>
    <w:rsid w:val="421FBDDA"/>
    <w:rsid w:val="4227B282"/>
    <w:rsid w:val="422A572D"/>
    <w:rsid w:val="422D792D"/>
    <w:rsid w:val="4233296C"/>
    <w:rsid w:val="4234616F"/>
    <w:rsid w:val="4234D633"/>
    <w:rsid w:val="42354A0C"/>
    <w:rsid w:val="423D1035"/>
    <w:rsid w:val="424A7C8F"/>
    <w:rsid w:val="424DB829"/>
    <w:rsid w:val="42529782"/>
    <w:rsid w:val="4252AB8C"/>
    <w:rsid w:val="4259F186"/>
    <w:rsid w:val="426268B9"/>
    <w:rsid w:val="42731025"/>
    <w:rsid w:val="4277E9B0"/>
    <w:rsid w:val="42941336"/>
    <w:rsid w:val="429581CB"/>
    <w:rsid w:val="429DB79D"/>
    <w:rsid w:val="42A951B6"/>
    <w:rsid w:val="42AE8E65"/>
    <w:rsid w:val="42B0274E"/>
    <w:rsid w:val="42DB6B0A"/>
    <w:rsid w:val="42DFC88E"/>
    <w:rsid w:val="42E19EB7"/>
    <w:rsid w:val="42E3B16A"/>
    <w:rsid w:val="42E9E2EA"/>
    <w:rsid w:val="4307C015"/>
    <w:rsid w:val="431051D3"/>
    <w:rsid w:val="431BEBC5"/>
    <w:rsid w:val="431D84CB"/>
    <w:rsid w:val="43286E8A"/>
    <w:rsid w:val="43389B5C"/>
    <w:rsid w:val="43413514"/>
    <w:rsid w:val="43443963"/>
    <w:rsid w:val="434C6E59"/>
    <w:rsid w:val="43540B29"/>
    <w:rsid w:val="4359BADD"/>
    <w:rsid w:val="435D67F6"/>
    <w:rsid w:val="436158A9"/>
    <w:rsid w:val="4362DF31"/>
    <w:rsid w:val="4367D2F6"/>
    <w:rsid w:val="436902C9"/>
    <w:rsid w:val="436E08D0"/>
    <w:rsid w:val="437375E0"/>
    <w:rsid w:val="437399EA"/>
    <w:rsid w:val="4373AA69"/>
    <w:rsid w:val="4377C5C5"/>
    <w:rsid w:val="4379BA0F"/>
    <w:rsid w:val="43849641"/>
    <w:rsid w:val="438CA1AC"/>
    <w:rsid w:val="439106F2"/>
    <w:rsid w:val="439BE6AF"/>
    <w:rsid w:val="43A0AD9A"/>
    <w:rsid w:val="43ACACC2"/>
    <w:rsid w:val="43B40974"/>
    <w:rsid w:val="43D62EEE"/>
    <w:rsid w:val="43DAEF99"/>
    <w:rsid w:val="43DB3944"/>
    <w:rsid w:val="43DC5A89"/>
    <w:rsid w:val="43E11E55"/>
    <w:rsid w:val="43EBAFA8"/>
    <w:rsid w:val="43FD9832"/>
    <w:rsid w:val="43FE5532"/>
    <w:rsid w:val="44044C83"/>
    <w:rsid w:val="4405C0D5"/>
    <w:rsid w:val="44071C34"/>
    <w:rsid w:val="44084210"/>
    <w:rsid w:val="440E02BA"/>
    <w:rsid w:val="440FD31E"/>
    <w:rsid w:val="44177C76"/>
    <w:rsid w:val="4418C888"/>
    <w:rsid w:val="441F36DA"/>
    <w:rsid w:val="443BA8A1"/>
    <w:rsid w:val="443DCF35"/>
    <w:rsid w:val="443F4791"/>
    <w:rsid w:val="443F7E9D"/>
    <w:rsid w:val="44426315"/>
    <w:rsid w:val="44429182"/>
    <w:rsid w:val="4445E836"/>
    <w:rsid w:val="444CF5FE"/>
    <w:rsid w:val="444CFCE1"/>
    <w:rsid w:val="4468A5C1"/>
    <w:rsid w:val="446FBC5E"/>
    <w:rsid w:val="44730D2B"/>
    <w:rsid w:val="4475EFC0"/>
    <w:rsid w:val="4479A655"/>
    <w:rsid w:val="4481ECB5"/>
    <w:rsid w:val="449D3B55"/>
    <w:rsid w:val="44A0C8D0"/>
    <w:rsid w:val="44A6AD06"/>
    <w:rsid w:val="44AAC50D"/>
    <w:rsid w:val="44AC0CC7"/>
    <w:rsid w:val="44AC2AC9"/>
    <w:rsid w:val="44AC6FD7"/>
    <w:rsid w:val="44B572BD"/>
    <w:rsid w:val="44B9C9F7"/>
    <w:rsid w:val="44C9C76E"/>
    <w:rsid w:val="44CCC7F6"/>
    <w:rsid w:val="44CF9E98"/>
    <w:rsid w:val="44D3E5EE"/>
    <w:rsid w:val="44D640A3"/>
    <w:rsid w:val="44DE0007"/>
    <w:rsid w:val="44DE62EC"/>
    <w:rsid w:val="44E61DC1"/>
    <w:rsid w:val="44EBD18F"/>
    <w:rsid w:val="44EC376D"/>
    <w:rsid w:val="44F1D97D"/>
    <w:rsid w:val="44F7144D"/>
    <w:rsid w:val="451185DB"/>
    <w:rsid w:val="4518DACE"/>
    <w:rsid w:val="451A01ED"/>
    <w:rsid w:val="451B51F8"/>
    <w:rsid w:val="4521CD8F"/>
    <w:rsid w:val="4523FC9B"/>
    <w:rsid w:val="452CB272"/>
    <w:rsid w:val="45360E7E"/>
    <w:rsid w:val="454867C9"/>
    <w:rsid w:val="454DCA18"/>
    <w:rsid w:val="45561A07"/>
    <w:rsid w:val="4557190C"/>
    <w:rsid w:val="455A15EF"/>
    <w:rsid w:val="458A7F81"/>
    <w:rsid w:val="458A8A2A"/>
    <w:rsid w:val="458F3123"/>
    <w:rsid w:val="459E0778"/>
    <w:rsid w:val="45A1FF5B"/>
    <w:rsid w:val="45A8DE45"/>
    <w:rsid w:val="45ACA956"/>
    <w:rsid w:val="45B0EC9E"/>
    <w:rsid w:val="45B7B578"/>
    <w:rsid w:val="45B9499A"/>
    <w:rsid w:val="45C7ACEC"/>
    <w:rsid w:val="45CAE150"/>
    <w:rsid w:val="45D276FF"/>
    <w:rsid w:val="45D828FE"/>
    <w:rsid w:val="45E49159"/>
    <w:rsid w:val="45E6FAD2"/>
    <w:rsid w:val="45EB692E"/>
    <w:rsid w:val="46013105"/>
    <w:rsid w:val="4605777E"/>
    <w:rsid w:val="460DED7C"/>
    <w:rsid w:val="4617D749"/>
    <w:rsid w:val="461FF588"/>
    <w:rsid w:val="4626EF71"/>
    <w:rsid w:val="46294A1B"/>
    <w:rsid w:val="462BBB23"/>
    <w:rsid w:val="462BD816"/>
    <w:rsid w:val="463299EA"/>
    <w:rsid w:val="4636F989"/>
    <w:rsid w:val="46421338"/>
    <w:rsid w:val="46454DEF"/>
    <w:rsid w:val="464F85F4"/>
    <w:rsid w:val="46533E55"/>
    <w:rsid w:val="4659F15E"/>
    <w:rsid w:val="465BAD6F"/>
    <w:rsid w:val="466289CB"/>
    <w:rsid w:val="4675BC8C"/>
    <w:rsid w:val="4677C034"/>
    <w:rsid w:val="4682B886"/>
    <w:rsid w:val="46836F5A"/>
    <w:rsid w:val="468E1EB2"/>
    <w:rsid w:val="468E7886"/>
    <w:rsid w:val="4691A121"/>
    <w:rsid w:val="4691BCE4"/>
    <w:rsid w:val="46971944"/>
    <w:rsid w:val="46A85261"/>
    <w:rsid w:val="46AC2846"/>
    <w:rsid w:val="46C3B89B"/>
    <w:rsid w:val="46CA555D"/>
    <w:rsid w:val="46D15FEE"/>
    <w:rsid w:val="46E29CCE"/>
    <w:rsid w:val="46E860CE"/>
    <w:rsid w:val="46F2C0AA"/>
    <w:rsid w:val="46F4DA6D"/>
    <w:rsid w:val="46F59708"/>
    <w:rsid w:val="46FF48CB"/>
    <w:rsid w:val="47111AC0"/>
    <w:rsid w:val="4718D23E"/>
    <w:rsid w:val="47191D3C"/>
    <w:rsid w:val="471AF292"/>
    <w:rsid w:val="47270248"/>
    <w:rsid w:val="4739025C"/>
    <w:rsid w:val="47482E13"/>
    <w:rsid w:val="474A53C5"/>
    <w:rsid w:val="47504833"/>
    <w:rsid w:val="47554B3C"/>
    <w:rsid w:val="477BBD6E"/>
    <w:rsid w:val="477FCBC9"/>
    <w:rsid w:val="4783C1F3"/>
    <w:rsid w:val="47943054"/>
    <w:rsid w:val="479D8427"/>
    <w:rsid w:val="47A43AC6"/>
    <w:rsid w:val="47A6EF1C"/>
    <w:rsid w:val="47A88E4E"/>
    <w:rsid w:val="47AC5965"/>
    <w:rsid w:val="47AC778A"/>
    <w:rsid w:val="47B2D636"/>
    <w:rsid w:val="47B3816B"/>
    <w:rsid w:val="47B9A7DE"/>
    <w:rsid w:val="47BD50DF"/>
    <w:rsid w:val="47C8C768"/>
    <w:rsid w:val="47CED745"/>
    <w:rsid w:val="47D3D39B"/>
    <w:rsid w:val="47DB53FF"/>
    <w:rsid w:val="47DD3CFA"/>
    <w:rsid w:val="47E3CB83"/>
    <w:rsid w:val="47E9EE4B"/>
    <w:rsid w:val="47F33C79"/>
    <w:rsid w:val="47F41C12"/>
    <w:rsid w:val="47F4672D"/>
    <w:rsid w:val="47F9B804"/>
    <w:rsid w:val="47FB5BAB"/>
    <w:rsid w:val="47FD4BE3"/>
    <w:rsid w:val="48049309"/>
    <w:rsid w:val="4804EEFA"/>
    <w:rsid w:val="4805F8AA"/>
    <w:rsid w:val="48131740"/>
    <w:rsid w:val="48145FC9"/>
    <w:rsid w:val="4823A098"/>
    <w:rsid w:val="482BD81E"/>
    <w:rsid w:val="48308EBC"/>
    <w:rsid w:val="4831E008"/>
    <w:rsid w:val="48334156"/>
    <w:rsid w:val="483733CE"/>
    <w:rsid w:val="483A4A7F"/>
    <w:rsid w:val="483BFF8F"/>
    <w:rsid w:val="48474F9F"/>
    <w:rsid w:val="4847C36C"/>
    <w:rsid w:val="48496E99"/>
    <w:rsid w:val="4851E9BF"/>
    <w:rsid w:val="4859C46C"/>
    <w:rsid w:val="48602CBC"/>
    <w:rsid w:val="4860A7AD"/>
    <w:rsid w:val="48626EB6"/>
    <w:rsid w:val="4867697E"/>
    <w:rsid w:val="488497A8"/>
    <w:rsid w:val="488524B7"/>
    <w:rsid w:val="488ED14F"/>
    <w:rsid w:val="4894A618"/>
    <w:rsid w:val="48968601"/>
    <w:rsid w:val="4899D4FD"/>
    <w:rsid w:val="489BC106"/>
    <w:rsid w:val="489D3C8D"/>
    <w:rsid w:val="48A4C4A1"/>
    <w:rsid w:val="48AE1E58"/>
    <w:rsid w:val="48B45CC7"/>
    <w:rsid w:val="48C781CA"/>
    <w:rsid w:val="48CB76FE"/>
    <w:rsid w:val="48D4C470"/>
    <w:rsid w:val="48D7B574"/>
    <w:rsid w:val="48D7F0E2"/>
    <w:rsid w:val="48DAD0A6"/>
    <w:rsid w:val="48DC2BC2"/>
    <w:rsid w:val="48ECB51B"/>
    <w:rsid w:val="48F6CD7D"/>
    <w:rsid w:val="48F877A9"/>
    <w:rsid w:val="48FB161E"/>
    <w:rsid w:val="48FD6077"/>
    <w:rsid w:val="48FFE5BF"/>
    <w:rsid w:val="49009F61"/>
    <w:rsid w:val="490B0586"/>
    <w:rsid w:val="490D99AB"/>
    <w:rsid w:val="490F133B"/>
    <w:rsid w:val="490FDC0F"/>
    <w:rsid w:val="491B071C"/>
    <w:rsid w:val="4920CB80"/>
    <w:rsid w:val="492FC454"/>
    <w:rsid w:val="4936F867"/>
    <w:rsid w:val="494095F0"/>
    <w:rsid w:val="4947C3FB"/>
    <w:rsid w:val="49587B0F"/>
    <w:rsid w:val="495FB72B"/>
    <w:rsid w:val="4960ABC2"/>
    <w:rsid w:val="496902F8"/>
    <w:rsid w:val="496CCCEE"/>
    <w:rsid w:val="4978462A"/>
    <w:rsid w:val="497CA406"/>
    <w:rsid w:val="498A229A"/>
    <w:rsid w:val="498B3D6E"/>
    <w:rsid w:val="499758B1"/>
    <w:rsid w:val="49A081E1"/>
    <w:rsid w:val="49A0882F"/>
    <w:rsid w:val="49A14DD6"/>
    <w:rsid w:val="49AD5533"/>
    <w:rsid w:val="49AEAFA2"/>
    <w:rsid w:val="49B5B0D7"/>
    <w:rsid w:val="49C45DAE"/>
    <w:rsid w:val="49C59CD6"/>
    <w:rsid w:val="49C9FB81"/>
    <w:rsid w:val="49D644B3"/>
    <w:rsid w:val="49E07FEE"/>
    <w:rsid w:val="49E402AB"/>
    <w:rsid w:val="49EE871A"/>
    <w:rsid w:val="49F811A5"/>
    <w:rsid w:val="49FDEC42"/>
    <w:rsid w:val="49FFC679"/>
    <w:rsid w:val="4A0865E4"/>
    <w:rsid w:val="4A130E66"/>
    <w:rsid w:val="4A13DB7A"/>
    <w:rsid w:val="4A15FC84"/>
    <w:rsid w:val="4A239730"/>
    <w:rsid w:val="4A342A1C"/>
    <w:rsid w:val="4A34465E"/>
    <w:rsid w:val="4A464658"/>
    <w:rsid w:val="4A49BC7B"/>
    <w:rsid w:val="4A4E29DA"/>
    <w:rsid w:val="4A4F596B"/>
    <w:rsid w:val="4A56055D"/>
    <w:rsid w:val="4A623AD2"/>
    <w:rsid w:val="4A77119A"/>
    <w:rsid w:val="4A79DCEB"/>
    <w:rsid w:val="4A7A8C57"/>
    <w:rsid w:val="4A7EE27A"/>
    <w:rsid w:val="4A828492"/>
    <w:rsid w:val="4A841FFD"/>
    <w:rsid w:val="4A868585"/>
    <w:rsid w:val="4A998E39"/>
    <w:rsid w:val="4AAB2901"/>
    <w:rsid w:val="4AAEC979"/>
    <w:rsid w:val="4AB5FA92"/>
    <w:rsid w:val="4AB7F3CA"/>
    <w:rsid w:val="4AE1CE7B"/>
    <w:rsid w:val="4AE550EC"/>
    <w:rsid w:val="4AED098B"/>
    <w:rsid w:val="4AFB3761"/>
    <w:rsid w:val="4AFFBA22"/>
    <w:rsid w:val="4B020D7B"/>
    <w:rsid w:val="4B04D0CD"/>
    <w:rsid w:val="4B058148"/>
    <w:rsid w:val="4B0B00D3"/>
    <w:rsid w:val="4B17A75C"/>
    <w:rsid w:val="4B1B696C"/>
    <w:rsid w:val="4B1CAA67"/>
    <w:rsid w:val="4B3856F5"/>
    <w:rsid w:val="4B3C14E4"/>
    <w:rsid w:val="4B42BE95"/>
    <w:rsid w:val="4B46D67C"/>
    <w:rsid w:val="4B4E36A0"/>
    <w:rsid w:val="4B518558"/>
    <w:rsid w:val="4B5C04D1"/>
    <w:rsid w:val="4B78A20D"/>
    <w:rsid w:val="4B797A40"/>
    <w:rsid w:val="4B7A3156"/>
    <w:rsid w:val="4B7CD509"/>
    <w:rsid w:val="4B915866"/>
    <w:rsid w:val="4B95B063"/>
    <w:rsid w:val="4B991DDD"/>
    <w:rsid w:val="4BABF770"/>
    <w:rsid w:val="4BAC540F"/>
    <w:rsid w:val="4BAD338D"/>
    <w:rsid w:val="4BAD95C9"/>
    <w:rsid w:val="4BB567C8"/>
    <w:rsid w:val="4BBA2B46"/>
    <w:rsid w:val="4BBC2204"/>
    <w:rsid w:val="4BC001B7"/>
    <w:rsid w:val="4BCB1DE2"/>
    <w:rsid w:val="4BCD5D2B"/>
    <w:rsid w:val="4BDA08A6"/>
    <w:rsid w:val="4BF36F4E"/>
    <w:rsid w:val="4BF39691"/>
    <w:rsid w:val="4BF8F9A4"/>
    <w:rsid w:val="4BFFC9DA"/>
    <w:rsid w:val="4C00263A"/>
    <w:rsid w:val="4C01E2FE"/>
    <w:rsid w:val="4C03B014"/>
    <w:rsid w:val="4C0831C5"/>
    <w:rsid w:val="4C0FA047"/>
    <w:rsid w:val="4C265045"/>
    <w:rsid w:val="4C2ACCC0"/>
    <w:rsid w:val="4C2DCE8B"/>
    <w:rsid w:val="4C3A3BCA"/>
    <w:rsid w:val="4C46680D"/>
    <w:rsid w:val="4C4C9A68"/>
    <w:rsid w:val="4C4F2910"/>
    <w:rsid w:val="4C51E808"/>
    <w:rsid w:val="4C5748DB"/>
    <w:rsid w:val="4C585CF3"/>
    <w:rsid w:val="4C83874E"/>
    <w:rsid w:val="4C967B90"/>
    <w:rsid w:val="4C97AEB3"/>
    <w:rsid w:val="4C983792"/>
    <w:rsid w:val="4C9E52FD"/>
    <w:rsid w:val="4CAD87D4"/>
    <w:rsid w:val="4CB5E833"/>
    <w:rsid w:val="4CB722FF"/>
    <w:rsid w:val="4CB90E6F"/>
    <w:rsid w:val="4CBE47F2"/>
    <w:rsid w:val="4CBFDB40"/>
    <w:rsid w:val="4CC16B27"/>
    <w:rsid w:val="4CC5F600"/>
    <w:rsid w:val="4CDBAA0A"/>
    <w:rsid w:val="4CE7FF01"/>
    <w:rsid w:val="4CEF678C"/>
    <w:rsid w:val="4CF3D80C"/>
    <w:rsid w:val="4CF9C2B4"/>
    <w:rsid w:val="4CFC0053"/>
    <w:rsid w:val="4D0B5DF3"/>
    <w:rsid w:val="4D40E591"/>
    <w:rsid w:val="4D4762C7"/>
    <w:rsid w:val="4D4EE087"/>
    <w:rsid w:val="4D505137"/>
    <w:rsid w:val="4D539E90"/>
    <w:rsid w:val="4D5BA2A6"/>
    <w:rsid w:val="4D708B99"/>
    <w:rsid w:val="4D7C077F"/>
    <w:rsid w:val="4D7C9A76"/>
    <w:rsid w:val="4D83BE13"/>
    <w:rsid w:val="4D859A49"/>
    <w:rsid w:val="4D8C9FFC"/>
    <w:rsid w:val="4D905D50"/>
    <w:rsid w:val="4D94821C"/>
    <w:rsid w:val="4D9D43CA"/>
    <w:rsid w:val="4DB01906"/>
    <w:rsid w:val="4DB69EB0"/>
    <w:rsid w:val="4DC06C40"/>
    <w:rsid w:val="4DC4B7B2"/>
    <w:rsid w:val="4DC67841"/>
    <w:rsid w:val="4DCD6F86"/>
    <w:rsid w:val="4DD99072"/>
    <w:rsid w:val="4DE08663"/>
    <w:rsid w:val="4DE48B8F"/>
    <w:rsid w:val="4DEB7226"/>
    <w:rsid w:val="4DF159EE"/>
    <w:rsid w:val="4DF37B78"/>
    <w:rsid w:val="4E05D55B"/>
    <w:rsid w:val="4E12E9F9"/>
    <w:rsid w:val="4E1B14DB"/>
    <w:rsid w:val="4E1B8CF8"/>
    <w:rsid w:val="4E28A0D0"/>
    <w:rsid w:val="4E3FD324"/>
    <w:rsid w:val="4E42D1C9"/>
    <w:rsid w:val="4E4D9301"/>
    <w:rsid w:val="4E4FF487"/>
    <w:rsid w:val="4E534A51"/>
    <w:rsid w:val="4E55E087"/>
    <w:rsid w:val="4E596722"/>
    <w:rsid w:val="4E60573E"/>
    <w:rsid w:val="4E65329D"/>
    <w:rsid w:val="4E6650D7"/>
    <w:rsid w:val="4E676FDA"/>
    <w:rsid w:val="4E68B5A8"/>
    <w:rsid w:val="4E7362C2"/>
    <w:rsid w:val="4E8675F6"/>
    <w:rsid w:val="4E914B48"/>
    <w:rsid w:val="4E95393B"/>
    <w:rsid w:val="4EB1EBFC"/>
    <w:rsid w:val="4EBB3AB5"/>
    <w:rsid w:val="4EC95A7B"/>
    <w:rsid w:val="4ED02854"/>
    <w:rsid w:val="4ED5139A"/>
    <w:rsid w:val="4ED86410"/>
    <w:rsid w:val="4EDBB431"/>
    <w:rsid w:val="4EE96355"/>
    <w:rsid w:val="4EF6C891"/>
    <w:rsid w:val="4F079149"/>
    <w:rsid w:val="4F0D77C2"/>
    <w:rsid w:val="4F1139B0"/>
    <w:rsid w:val="4F146C5B"/>
    <w:rsid w:val="4F15C54F"/>
    <w:rsid w:val="4F22D8AB"/>
    <w:rsid w:val="4F2D0A5B"/>
    <w:rsid w:val="4F2F74F1"/>
    <w:rsid w:val="4F36DDAB"/>
    <w:rsid w:val="4F41BD63"/>
    <w:rsid w:val="4F4371C5"/>
    <w:rsid w:val="4F4AC1D9"/>
    <w:rsid w:val="4F4CFB5B"/>
    <w:rsid w:val="4F4E55B5"/>
    <w:rsid w:val="4F53E791"/>
    <w:rsid w:val="4F58A9BE"/>
    <w:rsid w:val="4F5DAFF4"/>
    <w:rsid w:val="4F629C86"/>
    <w:rsid w:val="4F6A3C90"/>
    <w:rsid w:val="4F6EFDB1"/>
    <w:rsid w:val="4F74C92D"/>
    <w:rsid w:val="4F7DA867"/>
    <w:rsid w:val="4F7FAD96"/>
    <w:rsid w:val="4F85477E"/>
    <w:rsid w:val="4F944AAA"/>
    <w:rsid w:val="4F9EF3D8"/>
    <w:rsid w:val="4FAF5EDF"/>
    <w:rsid w:val="4FB4B7FC"/>
    <w:rsid w:val="4FB70434"/>
    <w:rsid w:val="4FC8EE2C"/>
    <w:rsid w:val="4FD6B5B4"/>
    <w:rsid w:val="4FDC9DFD"/>
    <w:rsid w:val="4FDD102A"/>
    <w:rsid w:val="4FED251C"/>
    <w:rsid w:val="4FF250C7"/>
    <w:rsid w:val="4FF2C1A3"/>
    <w:rsid w:val="4FFDAB3E"/>
    <w:rsid w:val="50091BA3"/>
    <w:rsid w:val="500A5C7B"/>
    <w:rsid w:val="500E72E2"/>
    <w:rsid w:val="501C4C9E"/>
    <w:rsid w:val="501F7A32"/>
    <w:rsid w:val="50224E09"/>
    <w:rsid w:val="50239D89"/>
    <w:rsid w:val="5031D4D6"/>
    <w:rsid w:val="50331D4C"/>
    <w:rsid w:val="5040A14B"/>
    <w:rsid w:val="50455EBF"/>
    <w:rsid w:val="5049005B"/>
    <w:rsid w:val="50574DC0"/>
    <w:rsid w:val="505D7FC7"/>
    <w:rsid w:val="505E4D2B"/>
    <w:rsid w:val="50621B9C"/>
    <w:rsid w:val="5071758D"/>
    <w:rsid w:val="5072F830"/>
    <w:rsid w:val="507C34DE"/>
    <w:rsid w:val="5093E1B2"/>
    <w:rsid w:val="5093FF3F"/>
    <w:rsid w:val="50A80045"/>
    <w:rsid w:val="50A80962"/>
    <w:rsid w:val="50A9276D"/>
    <w:rsid w:val="50AC604E"/>
    <w:rsid w:val="50B2593A"/>
    <w:rsid w:val="50B788B5"/>
    <w:rsid w:val="50BEF265"/>
    <w:rsid w:val="50C0A49A"/>
    <w:rsid w:val="50C30770"/>
    <w:rsid w:val="50C62301"/>
    <w:rsid w:val="50CF5682"/>
    <w:rsid w:val="50D3B369"/>
    <w:rsid w:val="50EEE99C"/>
    <w:rsid w:val="50F11920"/>
    <w:rsid w:val="50F3E4B4"/>
    <w:rsid w:val="50FBD48F"/>
    <w:rsid w:val="51005DA8"/>
    <w:rsid w:val="5104A533"/>
    <w:rsid w:val="5108DDDE"/>
    <w:rsid w:val="510E91D7"/>
    <w:rsid w:val="51156948"/>
    <w:rsid w:val="511AA15B"/>
    <w:rsid w:val="5128850F"/>
    <w:rsid w:val="512E7BB3"/>
    <w:rsid w:val="512F805D"/>
    <w:rsid w:val="5138E5AC"/>
    <w:rsid w:val="51456020"/>
    <w:rsid w:val="5148807B"/>
    <w:rsid w:val="515443C5"/>
    <w:rsid w:val="5154D676"/>
    <w:rsid w:val="51552F09"/>
    <w:rsid w:val="5156B700"/>
    <w:rsid w:val="51595830"/>
    <w:rsid w:val="5161F620"/>
    <w:rsid w:val="51694E95"/>
    <w:rsid w:val="516F3EE2"/>
    <w:rsid w:val="517DF7EB"/>
    <w:rsid w:val="5183D3A4"/>
    <w:rsid w:val="51970D60"/>
    <w:rsid w:val="519990F5"/>
    <w:rsid w:val="519A20D5"/>
    <w:rsid w:val="519A4FA5"/>
    <w:rsid w:val="519AEF47"/>
    <w:rsid w:val="519CE04B"/>
    <w:rsid w:val="51A098F8"/>
    <w:rsid w:val="51B1A855"/>
    <w:rsid w:val="51B87ADA"/>
    <w:rsid w:val="51BD773E"/>
    <w:rsid w:val="51C0A801"/>
    <w:rsid w:val="51C9D3C7"/>
    <w:rsid w:val="51CDAFCD"/>
    <w:rsid w:val="51CEEF7A"/>
    <w:rsid w:val="51D2F7A9"/>
    <w:rsid w:val="51D50B9A"/>
    <w:rsid w:val="51D62609"/>
    <w:rsid w:val="51D8CBBB"/>
    <w:rsid w:val="51E6B8B7"/>
    <w:rsid w:val="51ECAA82"/>
    <w:rsid w:val="51F1F826"/>
    <w:rsid w:val="51F24993"/>
    <w:rsid w:val="51F8D945"/>
    <w:rsid w:val="52140626"/>
    <w:rsid w:val="522FDFF2"/>
    <w:rsid w:val="5232730B"/>
    <w:rsid w:val="52361624"/>
    <w:rsid w:val="52498254"/>
    <w:rsid w:val="524B438C"/>
    <w:rsid w:val="524C95EA"/>
    <w:rsid w:val="5256B89F"/>
    <w:rsid w:val="5264D297"/>
    <w:rsid w:val="5279AECE"/>
    <w:rsid w:val="52849794"/>
    <w:rsid w:val="528BBAAF"/>
    <w:rsid w:val="528E4739"/>
    <w:rsid w:val="52929960"/>
    <w:rsid w:val="5299CE27"/>
    <w:rsid w:val="529B919E"/>
    <w:rsid w:val="52A8359C"/>
    <w:rsid w:val="52AEAEDA"/>
    <w:rsid w:val="52D089D2"/>
    <w:rsid w:val="52D38FC3"/>
    <w:rsid w:val="52D3CF9A"/>
    <w:rsid w:val="52D49639"/>
    <w:rsid w:val="52E08BF0"/>
    <w:rsid w:val="52E31CFD"/>
    <w:rsid w:val="52F05C07"/>
    <w:rsid w:val="52F94591"/>
    <w:rsid w:val="52FB2E47"/>
    <w:rsid w:val="52FC8D83"/>
    <w:rsid w:val="5305634A"/>
    <w:rsid w:val="5309167C"/>
    <w:rsid w:val="5314C95A"/>
    <w:rsid w:val="531894A1"/>
    <w:rsid w:val="531A379F"/>
    <w:rsid w:val="531CDB8C"/>
    <w:rsid w:val="5326C7AF"/>
    <w:rsid w:val="5332D6B2"/>
    <w:rsid w:val="533489CC"/>
    <w:rsid w:val="533AF282"/>
    <w:rsid w:val="5346A504"/>
    <w:rsid w:val="5349E79C"/>
    <w:rsid w:val="53550DF8"/>
    <w:rsid w:val="536444D5"/>
    <w:rsid w:val="536BC994"/>
    <w:rsid w:val="5374B27A"/>
    <w:rsid w:val="537A4121"/>
    <w:rsid w:val="5385D6CF"/>
    <w:rsid w:val="5388B971"/>
    <w:rsid w:val="538D25BE"/>
    <w:rsid w:val="538F914F"/>
    <w:rsid w:val="539A6038"/>
    <w:rsid w:val="53A736B9"/>
    <w:rsid w:val="53ABCDB6"/>
    <w:rsid w:val="53B3EFF3"/>
    <w:rsid w:val="53B58D97"/>
    <w:rsid w:val="53B7EE62"/>
    <w:rsid w:val="53BAF7DC"/>
    <w:rsid w:val="53C244F8"/>
    <w:rsid w:val="53D29904"/>
    <w:rsid w:val="53D357A4"/>
    <w:rsid w:val="53E91214"/>
    <w:rsid w:val="53E9956F"/>
    <w:rsid w:val="53EF2A6F"/>
    <w:rsid w:val="53F819C3"/>
    <w:rsid w:val="53FADC80"/>
    <w:rsid w:val="5400CFC4"/>
    <w:rsid w:val="540EA6C5"/>
    <w:rsid w:val="541A82D7"/>
    <w:rsid w:val="544120F4"/>
    <w:rsid w:val="544451C6"/>
    <w:rsid w:val="544A2217"/>
    <w:rsid w:val="544FE668"/>
    <w:rsid w:val="54524685"/>
    <w:rsid w:val="5461E9DE"/>
    <w:rsid w:val="54690E38"/>
    <w:rsid w:val="54796463"/>
    <w:rsid w:val="547DFDBE"/>
    <w:rsid w:val="54864FDA"/>
    <w:rsid w:val="548AA964"/>
    <w:rsid w:val="5492859C"/>
    <w:rsid w:val="5497469D"/>
    <w:rsid w:val="549829FB"/>
    <w:rsid w:val="549A08FC"/>
    <w:rsid w:val="549E1AF7"/>
    <w:rsid w:val="54A83167"/>
    <w:rsid w:val="54ADFE14"/>
    <w:rsid w:val="54AED70D"/>
    <w:rsid w:val="54C40510"/>
    <w:rsid w:val="54CDA4AA"/>
    <w:rsid w:val="54D91B3F"/>
    <w:rsid w:val="54E08A6F"/>
    <w:rsid w:val="54E278D9"/>
    <w:rsid w:val="54E8F5A2"/>
    <w:rsid w:val="54EBBDF8"/>
    <w:rsid w:val="54FE0FF7"/>
    <w:rsid w:val="5515CBDF"/>
    <w:rsid w:val="551B92EA"/>
    <w:rsid w:val="551BFAFF"/>
    <w:rsid w:val="5532D2DF"/>
    <w:rsid w:val="553D6AB7"/>
    <w:rsid w:val="5552E0D4"/>
    <w:rsid w:val="5553608F"/>
    <w:rsid w:val="5553753A"/>
    <w:rsid w:val="5560E1D7"/>
    <w:rsid w:val="55762D65"/>
    <w:rsid w:val="55805EB6"/>
    <w:rsid w:val="55833F89"/>
    <w:rsid w:val="5586951D"/>
    <w:rsid w:val="55910AC8"/>
    <w:rsid w:val="5597B2A8"/>
    <w:rsid w:val="55A1D248"/>
    <w:rsid w:val="55ABDE09"/>
    <w:rsid w:val="55B0E7DD"/>
    <w:rsid w:val="55B547A4"/>
    <w:rsid w:val="55BA4F92"/>
    <w:rsid w:val="55E538EA"/>
    <w:rsid w:val="55F037BF"/>
    <w:rsid w:val="55F4FF7F"/>
    <w:rsid w:val="56045E1C"/>
    <w:rsid w:val="560DE7FD"/>
    <w:rsid w:val="561A92BC"/>
    <w:rsid w:val="561FB50A"/>
    <w:rsid w:val="56205508"/>
    <w:rsid w:val="56233A2A"/>
    <w:rsid w:val="5625E3D8"/>
    <w:rsid w:val="562A0DC3"/>
    <w:rsid w:val="5636A0DC"/>
    <w:rsid w:val="5643CC86"/>
    <w:rsid w:val="564A8BF4"/>
    <w:rsid w:val="565470BA"/>
    <w:rsid w:val="565E6E3F"/>
    <w:rsid w:val="56688D6A"/>
    <w:rsid w:val="566E57AF"/>
    <w:rsid w:val="567EF39D"/>
    <w:rsid w:val="56849380"/>
    <w:rsid w:val="56862B88"/>
    <w:rsid w:val="56910F71"/>
    <w:rsid w:val="5693C127"/>
    <w:rsid w:val="5693D13A"/>
    <w:rsid w:val="56967DC4"/>
    <w:rsid w:val="569E724B"/>
    <w:rsid w:val="56AB203D"/>
    <w:rsid w:val="56C8BC49"/>
    <w:rsid w:val="56CCA869"/>
    <w:rsid w:val="56CFCFBE"/>
    <w:rsid w:val="56D52ABC"/>
    <w:rsid w:val="56E5D8C0"/>
    <w:rsid w:val="56F4C5F9"/>
    <w:rsid w:val="56F92B5D"/>
    <w:rsid w:val="56FE3667"/>
    <w:rsid w:val="57051659"/>
    <w:rsid w:val="570D0F20"/>
    <w:rsid w:val="570DD634"/>
    <w:rsid w:val="57123586"/>
    <w:rsid w:val="572291B9"/>
    <w:rsid w:val="5725F53F"/>
    <w:rsid w:val="572C7B78"/>
    <w:rsid w:val="573B1C82"/>
    <w:rsid w:val="573DA57B"/>
    <w:rsid w:val="57576918"/>
    <w:rsid w:val="575A7D98"/>
    <w:rsid w:val="575EBF39"/>
    <w:rsid w:val="57677339"/>
    <w:rsid w:val="5768F34E"/>
    <w:rsid w:val="5778CD5A"/>
    <w:rsid w:val="5785F608"/>
    <w:rsid w:val="578641B2"/>
    <w:rsid w:val="57892E54"/>
    <w:rsid w:val="578A85DC"/>
    <w:rsid w:val="5797C368"/>
    <w:rsid w:val="57A50864"/>
    <w:rsid w:val="57A5A70E"/>
    <w:rsid w:val="57ABC825"/>
    <w:rsid w:val="57B156A8"/>
    <w:rsid w:val="57B2023B"/>
    <w:rsid w:val="57B247E3"/>
    <w:rsid w:val="57B3CF29"/>
    <w:rsid w:val="57C04FF9"/>
    <w:rsid w:val="57C65C73"/>
    <w:rsid w:val="57DB09BC"/>
    <w:rsid w:val="57DCC071"/>
    <w:rsid w:val="57E599EF"/>
    <w:rsid w:val="57E5A68C"/>
    <w:rsid w:val="57E67741"/>
    <w:rsid w:val="57F008E4"/>
    <w:rsid w:val="57FDB44B"/>
    <w:rsid w:val="580BD646"/>
    <w:rsid w:val="580BEB0B"/>
    <w:rsid w:val="581AD5D8"/>
    <w:rsid w:val="581ED327"/>
    <w:rsid w:val="5822075B"/>
    <w:rsid w:val="582209AC"/>
    <w:rsid w:val="5832DA95"/>
    <w:rsid w:val="5835B7C7"/>
    <w:rsid w:val="58394810"/>
    <w:rsid w:val="583F9B0D"/>
    <w:rsid w:val="58402BAF"/>
    <w:rsid w:val="5840DABD"/>
    <w:rsid w:val="584E04F1"/>
    <w:rsid w:val="5850F0A4"/>
    <w:rsid w:val="58538C72"/>
    <w:rsid w:val="58560468"/>
    <w:rsid w:val="5875A897"/>
    <w:rsid w:val="588309A5"/>
    <w:rsid w:val="588649E6"/>
    <w:rsid w:val="588758D8"/>
    <w:rsid w:val="588BA0C5"/>
    <w:rsid w:val="588C475C"/>
    <w:rsid w:val="588F86B4"/>
    <w:rsid w:val="58939350"/>
    <w:rsid w:val="58946A53"/>
    <w:rsid w:val="589BDE6B"/>
    <w:rsid w:val="589F6877"/>
    <w:rsid w:val="58A201C8"/>
    <w:rsid w:val="58B2638C"/>
    <w:rsid w:val="58BDB633"/>
    <w:rsid w:val="58C20AA6"/>
    <w:rsid w:val="58C2FA9F"/>
    <w:rsid w:val="58C3F5D4"/>
    <w:rsid w:val="58C7AF25"/>
    <w:rsid w:val="58D1C630"/>
    <w:rsid w:val="58D8B78F"/>
    <w:rsid w:val="58E8E8C9"/>
    <w:rsid w:val="58EC373D"/>
    <w:rsid w:val="58ED8241"/>
    <w:rsid w:val="58F88485"/>
    <w:rsid w:val="58FF1C5E"/>
    <w:rsid w:val="590588A3"/>
    <w:rsid w:val="590B1750"/>
    <w:rsid w:val="59141403"/>
    <w:rsid w:val="5914B263"/>
    <w:rsid w:val="591874A2"/>
    <w:rsid w:val="591E813D"/>
    <w:rsid w:val="59216E0A"/>
    <w:rsid w:val="592E716C"/>
    <w:rsid w:val="59359762"/>
    <w:rsid w:val="594AACE4"/>
    <w:rsid w:val="59503F07"/>
    <w:rsid w:val="5963C6A6"/>
    <w:rsid w:val="596E075D"/>
    <w:rsid w:val="59752968"/>
    <w:rsid w:val="59843761"/>
    <w:rsid w:val="59846F61"/>
    <w:rsid w:val="5984AB9B"/>
    <w:rsid w:val="598CFF93"/>
    <w:rsid w:val="599158F8"/>
    <w:rsid w:val="5996FEAB"/>
    <w:rsid w:val="599B748A"/>
    <w:rsid w:val="599BB2C4"/>
    <w:rsid w:val="59A1EAB8"/>
    <w:rsid w:val="59A5AC63"/>
    <w:rsid w:val="59A959D4"/>
    <w:rsid w:val="59BEF536"/>
    <w:rsid w:val="59BF9724"/>
    <w:rsid w:val="59C3C818"/>
    <w:rsid w:val="59C5F766"/>
    <w:rsid w:val="59CF79E7"/>
    <w:rsid w:val="59CFA479"/>
    <w:rsid w:val="59D89634"/>
    <w:rsid w:val="59EAC2B7"/>
    <w:rsid w:val="59EB115D"/>
    <w:rsid w:val="59F02E93"/>
    <w:rsid w:val="59F2FD49"/>
    <w:rsid w:val="59F38DEE"/>
    <w:rsid w:val="59F9A946"/>
    <w:rsid w:val="5A0267DB"/>
    <w:rsid w:val="5A10156F"/>
    <w:rsid w:val="5A177121"/>
    <w:rsid w:val="5A1D5570"/>
    <w:rsid w:val="5A24B1D5"/>
    <w:rsid w:val="5A297FEE"/>
    <w:rsid w:val="5A33F3B3"/>
    <w:rsid w:val="5A496E0B"/>
    <w:rsid w:val="5A49832C"/>
    <w:rsid w:val="5A4AA418"/>
    <w:rsid w:val="5A4FC0E9"/>
    <w:rsid w:val="5A581978"/>
    <w:rsid w:val="5A5833DD"/>
    <w:rsid w:val="5A62E9D3"/>
    <w:rsid w:val="5A6BD70B"/>
    <w:rsid w:val="5A719F0F"/>
    <w:rsid w:val="5A73D4B5"/>
    <w:rsid w:val="5A78CC74"/>
    <w:rsid w:val="5A79D175"/>
    <w:rsid w:val="5A7AD007"/>
    <w:rsid w:val="5A7D301E"/>
    <w:rsid w:val="5A7F4700"/>
    <w:rsid w:val="5A893C40"/>
    <w:rsid w:val="5A955DAF"/>
    <w:rsid w:val="5A97971F"/>
    <w:rsid w:val="5A99E8F4"/>
    <w:rsid w:val="5AA68C16"/>
    <w:rsid w:val="5ABDA6DB"/>
    <w:rsid w:val="5ABEE240"/>
    <w:rsid w:val="5AC1BF4E"/>
    <w:rsid w:val="5AC58A95"/>
    <w:rsid w:val="5AC87647"/>
    <w:rsid w:val="5AC91152"/>
    <w:rsid w:val="5ACD40C7"/>
    <w:rsid w:val="5ADC6F11"/>
    <w:rsid w:val="5ADCE77B"/>
    <w:rsid w:val="5AE9395F"/>
    <w:rsid w:val="5AEEB2E9"/>
    <w:rsid w:val="5AF133D5"/>
    <w:rsid w:val="5AF325B9"/>
    <w:rsid w:val="5AF46443"/>
    <w:rsid w:val="5AFFC061"/>
    <w:rsid w:val="5B02839D"/>
    <w:rsid w:val="5B2425D3"/>
    <w:rsid w:val="5B27D4C3"/>
    <w:rsid w:val="5B283D09"/>
    <w:rsid w:val="5B297854"/>
    <w:rsid w:val="5B2E311E"/>
    <w:rsid w:val="5B30A21E"/>
    <w:rsid w:val="5B32B575"/>
    <w:rsid w:val="5B36E496"/>
    <w:rsid w:val="5B41CDE4"/>
    <w:rsid w:val="5B475867"/>
    <w:rsid w:val="5B58C383"/>
    <w:rsid w:val="5B65E3B4"/>
    <w:rsid w:val="5B71ECFD"/>
    <w:rsid w:val="5B79B926"/>
    <w:rsid w:val="5B7BC80D"/>
    <w:rsid w:val="5B7DB4F0"/>
    <w:rsid w:val="5B7F3F26"/>
    <w:rsid w:val="5B9239E9"/>
    <w:rsid w:val="5BAA5D2B"/>
    <w:rsid w:val="5BAD74C3"/>
    <w:rsid w:val="5BC75591"/>
    <w:rsid w:val="5BC8A63B"/>
    <w:rsid w:val="5BC9CCAA"/>
    <w:rsid w:val="5BD2915F"/>
    <w:rsid w:val="5BD8A704"/>
    <w:rsid w:val="5BDF723C"/>
    <w:rsid w:val="5BE2D41D"/>
    <w:rsid w:val="5BE5175F"/>
    <w:rsid w:val="5BE7B59C"/>
    <w:rsid w:val="5BE83436"/>
    <w:rsid w:val="5BF03CCC"/>
    <w:rsid w:val="5BF1BB2B"/>
    <w:rsid w:val="5BF20C86"/>
    <w:rsid w:val="5BFAA24C"/>
    <w:rsid w:val="5BFD062D"/>
    <w:rsid w:val="5C07FBE5"/>
    <w:rsid w:val="5C0DBD93"/>
    <w:rsid w:val="5C23E5D0"/>
    <w:rsid w:val="5C28E985"/>
    <w:rsid w:val="5C28EFB3"/>
    <w:rsid w:val="5C2D1575"/>
    <w:rsid w:val="5C33673D"/>
    <w:rsid w:val="5C4E1295"/>
    <w:rsid w:val="5C547FB4"/>
    <w:rsid w:val="5C571072"/>
    <w:rsid w:val="5C6A91A5"/>
    <w:rsid w:val="5C6FD581"/>
    <w:rsid w:val="5C766CC8"/>
    <w:rsid w:val="5C773E35"/>
    <w:rsid w:val="5C8FFEF5"/>
    <w:rsid w:val="5C9079DD"/>
    <w:rsid w:val="5C910B17"/>
    <w:rsid w:val="5CB31C24"/>
    <w:rsid w:val="5CB907D5"/>
    <w:rsid w:val="5CB983DB"/>
    <w:rsid w:val="5CC8B71D"/>
    <w:rsid w:val="5CCE8DA7"/>
    <w:rsid w:val="5CD1FBE2"/>
    <w:rsid w:val="5CD3DEF2"/>
    <w:rsid w:val="5CE0EA82"/>
    <w:rsid w:val="5CE276A7"/>
    <w:rsid w:val="5CE5458F"/>
    <w:rsid w:val="5CE79D34"/>
    <w:rsid w:val="5CE7F67C"/>
    <w:rsid w:val="5CEA68A2"/>
    <w:rsid w:val="5CF0CA45"/>
    <w:rsid w:val="5D016790"/>
    <w:rsid w:val="5D04CB91"/>
    <w:rsid w:val="5D196656"/>
    <w:rsid w:val="5D1B12FA"/>
    <w:rsid w:val="5D2476E6"/>
    <w:rsid w:val="5D26BA8C"/>
    <w:rsid w:val="5D2ACE6C"/>
    <w:rsid w:val="5D300851"/>
    <w:rsid w:val="5D35A039"/>
    <w:rsid w:val="5D3A2F10"/>
    <w:rsid w:val="5D42E562"/>
    <w:rsid w:val="5D4DFE1E"/>
    <w:rsid w:val="5D4EDF6B"/>
    <w:rsid w:val="5D5FFD3E"/>
    <w:rsid w:val="5D638846"/>
    <w:rsid w:val="5D640FA6"/>
    <w:rsid w:val="5D7230B7"/>
    <w:rsid w:val="5D777A07"/>
    <w:rsid w:val="5D8D1D31"/>
    <w:rsid w:val="5D970D3D"/>
    <w:rsid w:val="5DAB468E"/>
    <w:rsid w:val="5DB64FC8"/>
    <w:rsid w:val="5DB8B96A"/>
    <w:rsid w:val="5DC0233C"/>
    <w:rsid w:val="5DD61D56"/>
    <w:rsid w:val="5DD7CA77"/>
    <w:rsid w:val="5DE6A322"/>
    <w:rsid w:val="5DF4703F"/>
    <w:rsid w:val="5DF58E44"/>
    <w:rsid w:val="5DF83094"/>
    <w:rsid w:val="5DF96C80"/>
    <w:rsid w:val="5E0A8523"/>
    <w:rsid w:val="5E0D2D2D"/>
    <w:rsid w:val="5E1CB2D7"/>
    <w:rsid w:val="5E261FBD"/>
    <w:rsid w:val="5E27D9FA"/>
    <w:rsid w:val="5E3646F1"/>
    <w:rsid w:val="5E367D09"/>
    <w:rsid w:val="5E36FE32"/>
    <w:rsid w:val="5E399BCA"/>
    <w:rsid w:val="5E4A3426"/>
    <w:rsid w:val="5E4A35D6"/>
    <w:rsid w:val="5E4CC8A4"/>
    <w:rsid w:val="5E5AFFB3"/>
    <w:rsid w:val="5E6B11DF"/>
    <w:rsid w:val="5E6D5157"/>
    <w:rsid w:val="5E6E12B0"/>
    <w:rsid w:val="5E6E5374"/>
    <w:rsid w:val="5E6EBB38"/>
    <w:rsid w:val="5E74F31E"/>
    <w:rsid w:val="5E7BD6B3"/>
    <w:rsid w:val="5E809696"/>
    <w:rsid w:val="5E822AF9"/>
    <w:rsid w:val="5E8CEA4B"/>
    <w:rsid w:val="5E963EC2"/>
    <w:rsid w:val="5E9AD6A7"/>
    <w:rsid w:val="5E9B0CD8"/>
    <w:rsid w:val="5E9D90F3"/>
    <w:rsid w:val="5EA25D3C"/>
    <w:rsid w:val="5EAAEF51"/>
    <w:rsid w:val="5EB8FE5F"/>
    <w:rsid w:val="5ED6ACA1"/>
    <w:rsid w:val="5EDB9DA5"/>
    <w:rsid w:val="5EE79199"/>
    <w:rsid w:val="5EF8D9CF"/>
    <w:rsid w:val="5F04D159"/>
    <w:rsid w:val="5F0503AC"/>
    <w:rsid w:val="5F05DEA6"/>
    <w:rsid w:val="5F086804"/>
    <w:rsid w:val="5F1E5E62"/>
    <w:rsid w:val="5F2C0FDB"/>
    <w:rsid w:val="5F360644"/>
    <w:rsid w:val="5F3ACFDD"/>
    <w:rsid w:val="5F44CE9D"/>
    <w:rsid w:val="5F4D8FAF"/>
    <w:rsid w:val="5F610191"/>
    <w:rsid w:val="5F61E012"/>
    <w:rsid w:val="5F630E33"/>
    <w:rsid w:val="5F89B6F8"/>
    <w:rsid w:val="5F962BBF"/>
    <w:rsid w:val="5FA26A94"/>
    <w:rsid w:val="5FA27432"/>
    <w:rsid w:val="5FA9B283"/>
    <w:rsid w:val="5FB5D615"/>
    <w:rsid w:val="5FB9AE8A"/>
    <w:rsid w:val="5FB9B1C2"/>
    <w:rsid w:val="5FBA2BB5"/>
    <w:rsid w:val="5FC9A80B"/>
    <w:rsid w:val="5FC9DD0A"/>
    <w:rsid w:val="5FCD9385"/>
    <w:rsid w:val="5FCF502C"/>
    <w:rsid w:val="5FD2B3FE"/>
    <w:rsid w:val="5FD8AA42"/>
    <w:rsid w:val="5FE14B7B"/>
    <w:rsid w:val="5FEA0C2C"/>
    <w:rsid w:val="5FF07407"/>
    <w:rsid w:val="5FF7A710"/>
    <w:rsid w:val="5FF803EF"/>
    <w:rsid w:val="5FFDCFDA"/>
    <w:rsid w:val="60048C60"/>
    <w:rsid w:val="600D318A"/>
    <w:rsid w:val="600EFEC6"/>
    <w:rsid w:val="600F9319"/>
    <w:rsid w:val="601E6A51"/>
    <w:rsid w:val="60225C3F"/>
    <w:rsid w:val="602A0645"/>
    <w:rsid w:val="602FC489"/>
    <w:rsid w:val="603288F7"/>
    <w:rsid w:val="604C19D7"/>
    <w:rsid w:val="604EBB7A"/>
    <w:rsid w:val="60530F82"/>
    <w:rsid w:val="6055803A"/>
    <w:rsid w:val="6055D0CE"/>
    <w:rsid w:val="605FA87A"/>
    <w:rsid w:val="607C613B"/>
    <w:rsid w:val="6086433F"/>
    <w:rsid w:val="609222AE"/>
    <w:rsid w:val="6095B77C"/>
    <w:rsid w:val="609A03E8"/>
    <w:rsid w:val="60A63796"/>
    <w:rsid w:val="60B326E4"/>
    <w:rsid w:val="60B3F533"/>
    <w:rsid w:val="60B425E8"/>
    <w:rsid w:val="60B8304B"/>
    <w:rsid w:val="60B9CC8D"/>
    <w:rsid w:val="60BA7D8F"/>
    <w:rsid w:val="60C30607"/>
    <w:rsid w:val="60C915D5"/>
    <w:rsid w:val="60CD546F"/>
    <w:rsid w:val="60CE4E28"/>
    <w:rsid w:val="60D2CB8D"/>
    <w:rsid w:val="60E12F40"/>
    <w:rsid w:val="60EE144E"/>
    <w:rsid w:val="60F4D4AD"/>
    <w:rsid w:val="60FA4FE4"/>
    <w:rsid w:val="6108CA43"/>
    <w:rsid w:val="610C6DD1"/>
    <w:rsid w:val="6119FC82"/>
    <w:rsid w:val="611A5664"/>
    <w:rsid w:val="6126A729"/>
    <w:rsid w:val="612853E6"/>
    <w:rsid w:val="6130A868"/>
    <w:rsid w:val="61402EF1"/>
    <w:rsid w:val="61468F28"/>
    <w:rsid w:val="61483A11"/>
    <w:rsid w:val="6148C50F"/>
    <w:rsid w:val="61587A97"/>
    <w:rsid w:val="615E2085"/>
    <w:rsid w:val="615ECA87"/>
    <w:rsid w:val="616050E3"/>
    <w:rsid w:val="6160D0DE"/>
    <w:rsid w:val="61628602"/>
    <w:rsid w:val="616B6D87"/>
    <w:rsid w:val="61718D7C"/>
    <w:rsid w:val="6172F565"/>
    <w:rsid w:val="61833C68"/>
    <w:rsid w:val="6185A838"/>
    <w:rsid w:val="6185D461"/>
    <w:rsid w:val="6187A207"/>
    <w:rsid w:val="61895623"/>
    <w:rsid w:val="61905C1B"/>
    <w:rsid w:val="6191A366"/>
    <w:rsid w:val="61947656"/>
    <w:rsid w:val="619FF431"/>
    <w:rsid w:val="61A2476C"/>
    <w:rsid w:val="61ABDDC8"/>
    <w:rsid w:val="61ADFC4D"/>
    <w:rsid w:val="61B22083"/>
    <w:rsid w:val="61B22C3C"/>
    <w:rsid w:val="61B2BCAD"/>
    <w:rsid w:val="61B38864"/>
    <w:rsid w:val="61B87B3C"/>
    <w:rsid w:val="61C2D3D8"/>
    <w:rsid w:val="61C5D02B"/>
    <w:rsid w:val="61C9BBB5"/>
    <w:rsid w:val="61D03239"/>
    <w:rsid w:val="61D7CD61"/>
    <w:rsid w:val="61DF13D8"/>
    <w:rsid w:val="61DFE578"/>
    <w:rsid w:val="61E06735"/>
    <w:rsid w:val="61E3653C"/>
    <w:rsid w:val="61E5C677"/>
    <w:rsid w:val="61E6AFE9"/>
    <w:rsid w:val="61F30BBF"/>
    <w:rsid w:val="620B5DD3"/>
    <w:rsid w:val="62176105"/>
    <w:rsid w:val="6217D328"/>
    <w:rsid w:val="621940A9"/>
    <w:rsid w:val="6222AF17"/>
    <w:rsid w:val="62254159"/>
    <w:rsid w:val="622AB1B4"/>
    <w:rsid w:val="62326514"/>
    <w:rsid w:val="6235DE81"/>
    <w:rsid w:val="6236FDFF"/>
    <w:rsid w:val="623B0197"/>
    <w:rsid w:val="62416630"/>
    <w:rsid w:val="62435D25"/>
    <w:rsid w:val="62443006"/>
    <w:rsid w:val="6244EE3C"/>
    <w:rsid w:val="62463755"/>
    <w:rsid w:val="6246BCE3"/>
    <w:rsid w:val="62582106"/>
    <w:rsid w:val="626004D8"/>
    <w:rsid w:val="62603586"/>
    <w:rsid w:val="6271FCBC"/>
    <w:rsid w:val="6273E464"/>
    <w:rsid w:val="6277EB3A"/>
    <w:rsid w:val="6282D771"/>
    <w:rsid w:val="62869AC7"/>
    <w:rsid w:val="62878532"/>
    <w:rsid w:val="628C25D1"/>
    <w:rsid w:val="628EB063"/>
    <w:rsid w:val="62932CEA"/>
    <w:rsid w:val="62948466"/>
    <w:rsid w:val="629B92CE"/>
    <w:rsid w:val="62A9FC7D"/>
    <w:rsid w:val="62BBD34F"/>
    <w:rsid w:val="62BE4862"/>
    <w:rsid w:val="62C233CA"/>
    <w:rsid w:val="62C3C4C8"/>
    <w:rsid w:val="62C3FEC9"/>
    <w:rsid w:val="62C73D15"/>
    <w:rsid w:val="62C755D4"/>
    <w:rsid w:val="62CD7DC9"/>
    <w:rsid w:val="62D011BF"/>
    <w:rsid w:val="62D65E89"/>
    <w:rsid w:val="62DCBE22"/>
    <w:rsid w:val="62EEA98D"/>
    <w:rsid w:val="62F4EEAA"/>
    <w:rsid w:val="62FF6464"/>
    <w:rsid w:val="62FFFA16"/>
    <w:rsid w:val="630C280D"/>
    <w:rsid w:val="630C4BD3"/>
    <w:rsid w:val="630FA3FB"/>
    <w:rsid w:val="6329C59A"/>
    <w:rsid w:val="632FF5EF"/>
    <w:rsid w:val="633800DE"/>
    <w:rsid w:val="63487A19"/>
    <w:rsid w:val="634D8AA5"/>
    <w:rsid w:val="635134F0"/>
    <w:rsid w:val="6353BEDA"/>
    <w:rsid w:val="6355F24A"/>
    <w:rsid w:val="635939A4"/>
    <w:rsid w:val="63597EA2"/>
    <w:rsid w:val="635B395B"/>
    <w:rsid w:val="6360E8CD"/>
    <w:rsid w:val="63654781"/>
    <w:rsid w:val="637FB253"/>
    <w:rsid w:val="6386BFBB"/>
    <w:rsid w:val="63919B09"/>
    <w:rsid w:val="639A571E"/>
    <w:rsid w:val="63A02D02"/>
    <w:rsid w:val="63B62665"/>
    <w:rsid w:val="63B68B32"/>
    <w:rsid w:val="63C562EE"/>
    <w:rsid w:val="63CE6FB6"/>
    <w:rsid w:val="63D0EBD2"/>
    <w:rsid w:val="63D5F22F"/>
    <w:rsid w:val="63DC2ECD"/>
    <w:rsid w:val="63E227AA"/>
    <w:rsid w:val="63EE4FDD"/>
    <w:rsid w:val="63F11205"/>
    <w:rsid w:val="63F85631"/>
    <w:rsid w:val="63FBA499"/>
    <w:rsid w:val="63FBB27E"/>
    <w:rsid w:val="63FBCCBC"/>
    <w:rsid w:val="640E9F18"/>
    <w:rsid w:val="64181069"/>
    <w:rsid w:val="64202123"/>
    <w:rsid w:val="64234194"/>
    <w:rsid w:val="64243D8F"/>
    <w:rsid w:val="64254F1B"/>
    <w:rsid w:val="642D431C"/>
    <w:rsid w:val="643A0005"/>
    <w:rsid w:val="64431142"/>
    <w:rsid w:val="6448232F"/>
    <w:rsid w:val="644B882D"/>
    <w:rsid w:val="644F0A5C"/>
    <w:rsid w:val="645209FD"/>
    <w:rsid w:val="645A259E"/>
    <w:rsid w:val="645C3992"/>
    <w:rsid w:val="645DA4CF"/>
    <w:rsid w:val="646F3660"/>
    <w:rsid w:val="6470D67F"/>
    <w:rsid w:val="6470E68B"/>
    <w:rsid w:val="647578FE"/>
    <w:rsid w:val="647E3902"/>
    <w:rsid w:val="6484474A"/>
    <w:rsid w:val="6484E918"/>
    <w:rsid w:val="648FC2DB"/>
    <w:rsid w:val="64AC77B1"/>
    <w:rsid w:val="64C4D3D4"/>
    <w:rsid w:val="64C88FFE"/>
    <w:rsid w:val="64D0AE4A"/>
    <w:rsid w:val="64D1313E"/>
    <w:rsid w:val="64D786E4"/>
    <w:rsid w:val="64E24F0E"/>
    <w:rsid w:val="64E7B226"/>
    <w:rsid w:val="64F0103D"/>
    <w:rsid w:val="64F92668"/>
    <w:rsid w:val="65012907"/>
    <w:rsid w:val="650E7018"/>
    <w:rsid w:val="65161D20"/>
    <w:rsid w:val="652012D4"/>
    <w:rsid w:val="6523E6F7"/>
    <w:rsid w:val="65252B7C"/>
    <w:rsid w:val="6530CF8F"/>
    <w:rsid w:val="65359B89"/>
    <w:rsid w:val="653F1BC0"/>
    <w:rsid w:val="6541FDD6"/>
    <w:rsid w:val="65429848"/>
    <w:rsid w:val="654BA307"/>
    <w:rsid w:val="654C4842"/>
    <w:rsid w:val="65500737"/>
    <w:rsid w:val="6557F39A"/>
    <w:rsid w:val="655985ED"/>
    <w:rsid w:val="65703023"/>
    <w:rsid w:val="65775C63"/>
    <w:rsid w:val="657AEF0C"/>
    <w:rsid w:val="65888ECD"/>
    <w:rsid w:val="658A30B4"/>
    <w:rsid w:val="6599275B"/>
    <w:rsid w:val="659969B9"/>
    <w:rsid w:val="65A98E86"/>
    <w:rsid w:val="65AD5BE6"/>
    <w:rsid w:val="65AE1976"/>
    <w:rsid w:val="65B4A9BB"/>
    <w:rsid w:val="65C19E6B"/>
    <w:rsid w:val="65C81700"/>
    <w:rsid w:val="65DD4E31"/>
    <w:rsid w:val="65E22D4D"/>
    <w:rsid w:val="65E436AD"/>
    <w:rsid w:val="65EF50C5"/>
    <w:rsid w:val="65FA0A25"/>
    <w:rsid w:val="660044D0"/>
    <w:rsid w:val="6604AB53"/>
    <w:rsid w:val="6607D0AF"/>
    <w:rsid w:val="66170A56"/>
    <w:rsid w:val="6625C627"/>
    <w:rsid w:val="662A14A5"/>
    <w:rsid w:val="662CA541"/>
    <w:rsid w:val="663CB449"/>
    <w:rsid w:val="663F0D71"/>
    <w:rsid w:val="6642A6D2"/>
    <w:rsid w:val="6643894E"/>
    <w:rsid w:val="6643FA9A"/>
    <w:rsid w:val="6655B6FB"/>
    <w:rsid w:val="666687F9"/>
    <w:rsid w:val="6673D5AD"/>
    <w:rsid w:val="66757C4F"/>
    <w:rsid w:val="66779D28"/>
    <w:rsid w:val="6684997D"/>
    <w:rsid w:val="668B0BEB"/>
    <w:rsid w:val="668C0EAD"/>
    <w:rsid w:val="66A775A9"/>
    <w:rsid w:val="66AA4564"/>
    <w:rsid w:val="66BACA30"/>
    <w:rsid w:val="66BC9CAE"/>
    <w:rsid w:val="66BE679B"/>
    <w:rsid w:val="66C03A84"/>
    <w:rsid w:val="66C3241C"/>
    <w:rsid w:val="66C42A9D"/>
    <w:rsid w:val="66C4A7CF"/>
    <w:rsid w:val="66C54995"/>
    <w:rsid w:val="66D75B94"/>
    <w:rsid w:val="66DF65CC"/>
    <w:rsid w:val="66E509E9"/>
    <w:rsid w:val="66EA72D2"/>
    <w:rsid w:val="66ECF162"/>
    <w:rsid w:val="66F4DE84"/>
    <w:rsid w:val="66F8D445"/>
    <w:rsid w:val="6706E23B"/>
    <w:rsid w:val="670B3409"/>
    <w:rsid w:val="670ECAB5"/>
    <w:rsid w:val="6714E3D8"/>
    <w:rsid w:val="6722494C"/>
    <w:rsid w:val="67237A6D"/>
    <w:rsid w:val="672E3538"/>
    <w:rsid w:val="672EC5DC"/>
    <w:rsid w:val="673514A4"/>
    <w:rsid w:val="673912D2"/>
    <w:rsid w:val="673A9919"/>
    <w:rsid w:val="6749CBC5"/>
    <w:rsid w:val="67521DF0"/>
    <w:rsid w:val="675861BE"/>
    <w:rsid w:val="6762445A"/>
    <w:rsid w:val="6766E3A9"/>
    <w:rsid w:val="6771E3E4"/>
    <w:rsid w:val="677DA697"/>
    <w:rsid w:val="67850F9C"/>
    <w:rsid w:val="678D6392"/>
    <w:rsid w:val="6792B138"/>
    <w:rsid w:val="67941A02"/>
    <w:rsid w:val="679EEDEF"/>
    <w:rsid w:val="67A81311"/>
    <w:rsid w:val="67B69558"/>
    <w:rsid w:val="67B864A8"/>
    <w:rsid w:val="67BE71E6"/>
    <w:rsid w:val="67BF809E"/>
    <w:rsid w:val="67C53A57"/>
    <w:rsid w:val="67E3013F"/>
    <w:rsid w:val="67ED98C4"/>
    <w:rsid w:val="67F09AE6"/>
    <w:rsid w:val="67F14030"/>
    <w:rsid w:val="67F1E0AD"/>
    <w:rsid w:val="67FAC610"/>
    <w:rsid w:val="6804CE96"/>
    <w:rsid w:val="6807168D"/>
    <w:rsid w:val="681421D1"/>
    <w:rsid w:val="6815C178"/>
    <w:rsid w:val="68184D4A"/>
    <w:rsid w:val="6818A01F"/>
    <w:rsid w:val="6820695E"/>
    <w:rsid w:val="68225655"/>
    <w:rsid w:val="6824DEE5"/>
    <w:rsid w:val="68349A14"/>
    <w:rsid w:val="683D8190"/>
    <w:rsid w:val="684E7F1B"/>
    <w:rsid w:val="684F34AE"/>
    <w:rsid w:val="6855199C"/>
    <w:rsid w:val="6855899C"/>
    <w:rsid w:val="6859F6E3"/>
    <w:rsid w:val="685A67BE"/>
    <w:rsid w:val="68623411"/>
    <w:rsid w:val="6866B240"/>
    <w:rsid w:val="68678ACA"/>
    <w:rsid w:val="6877CCAE"/>
    <w:rsid w:val="687F91A7"/>
    <w:rsid w:val="68803174"/>
    <w:rsid w:val="6883674A"/>
    <w:rsid w:val="688567F9"/>
    <w:rsid w:val="68882003"/>
    <w:rsid w:val="689FA2F4"/>
    <w:rsid w:val="689FC7B1"/>
    <w:rsid w:val="68BB00E0"/>
    <w:rsid w:val="68C2C0E7"/>
    <w:rsid w:val="68C9A757"/>
    <w:rsid w:val="68D1B633"/>
    <w:rsid w:val="68D8AB0E"/>
    <w:rsid w:val="68D8FF78"/>
    <w:rsid w:val="68E4D6B1"/>
    <w:rsid w:val="68F32577"/>
    <w:rsid w:val="68F354B9"/>
    <w:rsid w:val="69079C53"/>
    <w:rsid w:val="690A4662"/>
    <w:rsid w:val="6913608D"/>
    <w:rsid w:val="6916E403"/>
    <w:rsid w:val="691C9142"/>
    <w:rsid w:val="691CC239"/>
    <w:rsid w:val="6923541C"/>
    <w:rsid w:val="6925661D"/>
    <w:rsid w:val="692681FF"/>
    <w:rsid w:val="69299469"/>
    <w:rsid w:val="69311838"/>
    <w:rsid w:val="6938383B"/>
    <w:rsid w:val="694915DE"/>
    <w:rsid w:val="694FCEE4"/>
    <w:rsid w:val="69530A49"/>
    <w:rsid w:val="69539D3E"/>
    <w:rsid w:val="69552F68"/>
    <w:rsid w:val="6957AE81"/>
    <w:rsid w:val="69811B5E"/>
    <w:rsid w:val="6996481E"/>
    <w:rsid w:val="69A4A410"/>
    <w:rsid w:val="69A6BBFB"/>
    <w:rsid w:val="69ABB27D"/>
    <w:rsid w:val="69AC3AE4"/>
    <w:rsid w:val="69B2AC47"/>
    <w:rsid w:val="69B2DF15"/>
    <w:rsid w:val="69BD152D"/>
    <w:rsid w:val="69C6BF7D"/>
    <w:rsid w:val="69D613D6"/>
    <w:rsid w:val="69D72CDB"/>
    <w:rsid w:val="69D8B87F"/>
    <w:rsid w:val="69DA5E5D"/>
    <w:rsid w:val="69E38D54"/>
    <w:rsid w:val="69F0B592"/>
    <w:rsid w:val="69F5DD61"/>
    <w:rsid w:val="69FBCF21"/>
    <w:rsid w:val="6A0108F8"/>
    <w:rsid w:val="6A0869D1"/>
    <w:rsid w:val="6A0DEE0A"/>
    <w:rsid w:val="6A10C8CC"/>
    <w:rsid w:val="6A26C4FC"/>
    <w:rsid w:val="6A3464F2"/>
    <w:rsid w:val="6A4A103E"/>
    <w:rsid w:val="6A511408"/>
    <w:rsid w:val="6A521F08"/>
    <w:rsid w:val="6A52B080"/>
    <w:rsid w:val="6A534167"/>
    <w:rsid w:val="6A6373AA"/>
    <w:rsid w:val="6A64E696"/>
    <w:rsid w:val="6A6890E9"/>
    <w:rsid w:val="6A6DFDEF"/>
    <w:rsid w:val="6A72F167"/>
    <w:rsid w:val="6A74CA82"/>
    <w:rsid w:val="6A8EBC45"/>
    <w:rsid w:val="6A9612E1"/>
    <w:rsid w:val="6A9CAD77"/>
    <w:rsid w:val="6AA5E1F9"/>
    <w:rsid w:val="6AAB7676"/>
    <w:rsid w:val="6AB1CAD0"/>
    <w:rsid w:val="6AB6D2E4"/>
    <w:rsid w:val="6ACA6D26"/>
    <w:rsid w:val="6ACEE359"/>
    <w:rsid w:val="6AE75EA5"/>
    <w:rsid w:val="6AEA4540"/>
    <w:rsid w:val="6AEEC94F"/>
    <w:rsid w:val="6AFDE7EB"/>
    <w:rsid w:val="6B021C67"/>
    <w:rsid w:val="6B180F78"/>
    <w:rsid w:val="6B186987"/>
    <w:rsid w:val="6B1A3968"/>
    <w:rsid w:val="6B341067"/>
    <w:rsid w:val="6B387C06"/>
    <w:rsid w:val="6B3DFF14"/>
    <w:rsid w:val="6B41890C"/>
    <w:rsid w:val="6B47C4E4"/>
    <w:rsid w:val="6B536423"/>
    <w:rsid w:val="6B5E615A"/>
    <w:rsid w:val="6B704170"/>
    <w:rsid w:val="6B804C77"/>
    <w:rsid w:val="6B809ECB"/>
    <w:rsid w:val="6B81673C"/>
    <w:rsid w:val="6B81D1B3"/>
    <w:rsid w:val="6B88D9D6"/>
    <w:rsid w:val="6B8A9A0D"/>
    <w:rsid w:val="6B9E5CD2"/>
    <w:rsid w:val="6BA3AEA2"/>
    <w:rsid w:val="6BA89E15"/>
    <w:rsid w:val="6BB31D91"/>
    <w:rsid w:val="6BB4C5FC"/>
    <w:rsid w:val="6BBDB9F6"/>
    <w:rsid w:val="6BC5CBDE"/>
    <w:rsid w:val="6BD13019"/>
    <w:rsid w:val="6BD363F0"/>
    <w:rsid w:val="6BD98098"/>
    <w:rsid w:val="6BE0DE8E"/>
    <w:rsid w:val="6BEA79E9"/>
    <w:rsid w:val="6BF470E0"/>
    <w:rsid w:val="6BFB4E75"/>
    <w:rsid w:val="6BFBF279"/>
    <w:rsid w:val="6BFC585C"/>
    <w:rsid w:val="6C017914"/>
    <w:rsid w:val="6C142C8C"/>
    <w:rsid w:val="6C1C057C"/>
    <w:rsid w:val="6C2532F4"/>
    <w:rsid w:val="6C27C336"/>
    <w:rsid w:val="6C2EFC3E"/>
    <w:rsid w:val="6C349606"/>
    <w:rsid w:val="6C39A65F"/>
    <w:rsid w:val="6C426239"/>
    <w:rsid w:val="6C47FF3E"/>
    <w:rsid w:val="6C4DAF1C"/>
    <w:rsid w:val="6C5474DB"/>
    <w:rsid w:val="6C5D45C3"/>
    <w:rsid w:val="6C619519"/>
    <w:rsid w:val="6C68D98F"/>
    <w:rsid w:val="6C6A3217"/>
    <w:rsid w:val="6C6BC4C3"/>
    <w:rsid w:val="6C7E4499"/>
    <w:rsid w:val="6C8FEC8B"/>
    <w:rsid w:val="6C91000D"/>
    <w:rsid w:val="6C966292"/>
    <w:rsid w:val="6C9D7F40"/>
    <w:rsid w:val="6CB53F44"/>
    <w:rsid w:val="6CC83EA6"/>
    <w:rsid w:val="6CCA5D53"/>
    <w:rsid w:val="6CD09E45"/>
    <w:rsid w:val="6CD40F87"/>
    <w:rsid w:val="6CDF3567"/>
    <w:rsid w:val="6CED77D9"/>
    <w:rsid w:val="6CF6A6CC"/>
    <w:rsid w:val="6CF7BAA3"/>
    <w:rsid w:val="6CFE73E5"/>
    <w:rsid w:val="6CFFFB5D"/>
    <w:rsid w:val="6D06D9C1"/>
    <w:rsid w:val="6D078EA4"/>
    <w:rsid w:val="6D080E3C"/>
    <w:rsid w:val="6D0E0B98"/>
    <w:rsid w:val="6D381771"/>
    <w:rsid w:val="6D534710"/>
    <w:rsid w:val="6D55D493"/>
    <w:rsid w:val="6D598E0D"/>
    <w:rsid w:val="6D5E884D"/>
    <w:rsid w:val="6D65E224"/>
    <w:rsid w:val="6D662A85"/>
    <w:rsid w:val="6D6E5702"/>
    <w:rsid w:val="6D6EC1BE"/>
    <w:rsid w:val="6D771A00"/>
    <w:rsid w:val="6D780242"/>
    <w:rsid w:val="6D78EE5F"/>
    <w:rsid w:val="6D80339F"/>
    <w:rsid w:val="6D834199"/>
    <w:rsid w:val="6D8A908D"/>
    <w:rsid w:val="6D950D05"/>
    <w:rsid w:val="6D9796AE"/>
    <w:rsid w:val="6D9915B9"/>
    <w:rsid w:val="6DB09EA4"/>
    <w:rsid w:val="6DB351C0"/>
    <w:rsid w:val="6DB3DB45"/>
    <w:rsid w:val="6DCA10A6"/>
    <w:rsid w:val="6DCD5CB2"/>
    <w:rsid w:val="6DD2D617"/>
    <w:rsid w:val="6DD85DA5"/>
    <w:rsid w:val="6DDB90B7"/>
    <w:rsid w:val="6DDF33CE"/>
    <w:rsid w:val="6DF1CDB8"/>
    <w:rsid w:val="6DF2C33C"/>
    <w:rsid w:val="6DFBA381"/>
    <w:rsid w:val="6DFD9628"/>
    <w:rsid w:val="6E060C1F"/>
    <w:rsid w:val="6E0BBD64"/>
    <w:rsid w:val="6E0D0D55"/>
    <w:rsid w:val="6E1B7ACB"/>
    <w:rsid w:val="6E1BB95A"/>
    <w:rsid w:val="6E1C7CF3"/>
    <w:rsid w:val="6E379FE9"/>
    <w:rsid w:val="6E38D070"/>
    <w:rsid w:val="6E3F089F"/>
    <w:rsid w:val="6E459436"/>
    <w:rsid w:val="6E477B52"/>
    <w:rsid w:val="6E498249"/>
    <w:rsid w:val="6E4FC261"/>
    <w:rsid w:val="6E52C30A"/>
    <w:rsid w:val="6E5779D0"/>
    <w:rsid w:val="6E62725C"/>
    <w:rsid w:val="6E68B5F5"/>
    <w:rsid w:val="6E709445"/>
    <w:rsid w:val="6E735ECC"/>
    <w:rsid w:val="6E76BBF2"/>
    <w:rsid w:val="6E814A40"/>
    <w:rsid w:val="6E82B367"/>
    <w:rsid w:val="6E848C87"/>
    <w:rsid w:val="6E8854AD"/>
    <w:rsid w:val="6E89DE46"/>
    <w:rsid w:val="6E968ED0"/>
    <w:rsid w:val="6E9A144B"/>
    <w:rsid w:val="6EA33953"/>
    <w:rsid w:val="6EB0F4C4"/>
    <w:rsid w:val="6EBB84C8"/>
    <w:rsid w:val="6EBBDF1D"/>
    <w:rsid w:val="6ECC5782"/>
    <w:rsid w:val="6ED31595"/>
    <w:rsid w:val="6EDB1A02"/>
    <w:rsid w:val="6EDFEF77"/>
    <w:rsid w:val="6EE25F2E"/>
    <w:rsid w:val="6EF278B3"/>
    <w:rsid w:val="6EF301E2"/>
    <w:rsid w:val="6EF4B161"/>
    <w:rsid w:val="6EFB2771"/>
    <w:rsid w:val="6EFDF3F3"/>
    <w:rsid w:val="6EFF9AB2"/>
    <w:rsid w:val="6F038BF2"/>
    <w:rsid w:val="6F093CC3"/>
    <w:rsid w:val="6F0A4BDA"/>
    <w:rsid w:val="6F1E4952"/>
    <w:rsid w:val="6F25EC0E"/>
    <w:rsid w:val="6F27FB0D"/>
    <w:rsid w:val="6F2BD1AE"/>
    <w:rsid w:val="6F3129EF"/>
    <w:rsid w:val="6F39ED0E"/>
    <w:rsid w:val="6F3CA2EC"/>
    <w:rsid w:val="6F3F4CEE"/>
    <w:rsid w:val="6F4149A0"/>
    <w:rsid w:val="6F524D3F"/>
    <w:rsid w:val="6F54C28C"/>
    <w:rsid w:val="6F6624ED"/>
    <w:rsid w:val="6F726694"/>
    <w:rsid w:val="6F7A0368"/>
    <w:rsid w:val="6F82B4F5"/>
    <w:rsid w:val="6F8E1C5C"/>
    <w:rsid w:val="6F8F6CD9"/>
    <w:rsid w:val="6F9696AF"/>
    <w:rsid w:val="6FAC66F3"/>
    <w:rsid w:val="6FACCC23"/>
    <w:rsid w:val="6FAF0F6F"/>
    <w:rsid w:val="6FBD8380"/>
    <w:rsid w:val="6FC0D347"/>
    <w:rsid w:val="6FC9BCEB"/>
    <w:rsid w:val="6FD63BE4"/>
    <w:rsid w:val="6FD6A187"/>
    <w:rsid w:val="6FE15CEA"/>
    <w:rsid w:val="6FE25E26"/>
    <w:rsid w:val="6FE2F4EE"/>
    <w:rsid w:val="6FE57846"/>
    <w:rsid w:val="6FE5FCEF"/>
    <w:rsid w:val="6FE747CA"/>
    <w:rsid w:val="6FECA5BD"/>
    <w:rsid w:val="6FEE49E5"/>
    <w:rsid w:val="6FF1C4D5"/>
    <w:rsid w:val="6FFBF3C1"/>
    <w:rsid w:val="70002D6B"/>
    <w:rsid w:val="700F75EA"/>
    <w:rsid w:val="7012D25A"/>
    <w:rsid w:val="701A36E1"/>
    <w:rsid w:val="7020F1DC"/>
    <w:rsid w:val="7024CF7E"/>
    <w:rsid w:val="70282B19"/>
    <w:rsid w:val="7031362E"/>
    <w:rsid w:val="703295B4"/>
    <w:rsid w:val="7038FE8C"/>
    <w:rsid w:val="7042DEFF"/>
    <w:rsid w:val="7059E7A6"/>
    <w:rsid w:val="705E865B"/>
    <w:rsid w:val="7064329B"/>
    <w:rsid w:val="706D88AE"/>
    <w:rsid w:val="70760268"/>
    <w:rsid w:val="70787228"/>
    <w:rsid w:val="70791194"/>
    <w:rsid w:val="707C3852"/>
    <w:rsid w:val="707D3A13"/>
    <w:rsid w:val="70806B48"/>
    <w:rsid w:val="70866121"/>
    <w:rsid w:val="70876AB3"/>
    <w:rsid w:val="708CA526"/>
    <w:rsid w:val="709EBBB5"/>
    <w:rsid w:val="70A0B5AF"/>
    <w:rsid w:val="70A151C2"/>
    <w:rsid w:val="70A5F900"/>
    <w:rsid w:val="70AE376F"/>
    <w:rsid w:val="70B4C57E"/>
    <w:rsid w:val="70B4E365"/>
    <w:rsid w:val="70B66DA9"/>
    <w:rsid w:val="70BD1B39"/>
    <w:rsid w:val="70BF41D8"/>
    <w:rsid w:val="70BF9309"/>
    <w:rsid w:val="70C06FA3"/>
    <w:rsid w:val="70C6EBA0"/>
    <w:rsid w:val="70C8C5D3"/>
    <w:rsid w:val="70C94263"/>
    <w:rsid w:val="70CD5A25"/>
    <w:rsid w:val="70D0BC50"/>
    <w:rsid w:val="70D4B379"/>
    <w:rsid w:val="70DB3036"/>
    <w:rsid w:val="70E60312"/>
    <w:rsid w:val="70EC9304"/>
    <w:rsid w:val="71103322"/>
    <w:rsid w:val="711B0459"/>
    <w:rsid w:val="711BB974"/>
    <w:rsid w:val="7123D193"/>
    <w:rsid w:val="71242FF8"/>
    <w:rsid w:val="7124FDC7"/>
    <w:rsid w:val="712753AC"/>
    <w:rsid w:val="712BDCBD"/>
    <w:rsid w:val="712CFE92"/>
    <w:rsid w:val="713A9D07"/>
    <w:rsid w:val="713DC343"/>
    <w:rsid w:val="713EC701"/>
    <w:rsid w:val="7149C876"/>
    <w:rsid w:val="71627F70"/>
    <w:rsid w:val="716D7C12"/>
    <w:rsid w:val="71705D88"/>
    <w:rsid w:val="717E2060"/>
    <w:rsid w:val="717F3F68"/>
    <w:rsid w:val="718246AD"/>
    <w:rsid w:val="718870FC"/>
    <w:rsid w:val="718BABAC"/>
    <w:rsid w:val="71907A59"/>
    <w:rsid w:val="71C65C12"/>
    <w:rsid w:val="71C6B371"/>
    <w:rsid w:val="71C83548"/>
    <w:rsid w:val="71CB3F8F"/>
    <w:rsid w:val="71CD4F56"/>
    <w:rsid w:val="71DDB7A7"/>
    <w:rsid w:val="71DFE6DB"/>
    <w:rsid w:val="71E60BAC"/>
    <w:rsid w:val="7204177C"/>
    <w:rsid w:val="720559D1"/>
    <w:rsid w:val="72154726"/>
    <w:rsid w:val="721DFA74"/>
    <w:rsid w:val="72255E9A"/>
    <w:rsid w:val="722564F8"/>
    <w:rsid w:val="722AA312"/>
    <w:rsid w:val="7231319A"/>
    <w:rsid w:val="723562C4"/>
    <w:rsid w:val="7236082A"/>
    <w:rsid w:val="723C6D92"/>
    <w:rsid w:val="72401457"/>
    <w:rsid w:val="7247B470"/>
    <w:rsid w:val="724C67C5"/>
    <w:rsid w:val="724E14CC"/>
    <w:rsid w:val="724ED231"/>
    <w:rsid w:val="724FF0C5"/>
    <w:rsid w:val="72597D5C"/>
    <w:rsid w:val="725D4E0E"/>
    <w:rsid w:val="72607989"/>
    <w:rsid w:val="72612F1C"/>
    <w:rsid w:val="7273985C"/>
    <w:rsid w:val="72792560"/>
    <w:rsid w:val="727E92CB"/>
    <w:rsid w:val="727F7DF3"/>
    <w:rsid w:val="72822EAB"/>
    <w:rsid w:val="7286E292"/>
    <w:rsid w:val="7289F4EA"/>
    <w:rsid w:val="728C3D26"/>
    <w:rsid w:val="7293A09E"/>
    <w:rsid w:val="7297CBC0"/>
    <w:rsid w:val="72A7E549"/>
    <w:rsid w:val="72A879EB"/>
    <w:rsid w:val="72AE4A8C"/>
    <w:rsid w:val="72C06D34"/>
    <w:rsid w:val="72C151F8"/>
    <w:rsid w:val="72C2EB98"/>
    <w:rsid w:val="72C6CA26"/>
    <w:rsid w:val="72CB7468"/>
    <w:rsid w:val="72D1AB5D"/>
    <w:rsid w:val="72D3DA15"/>
    <w:rsid w:val="72D4BE52"/>
    <w:rsid w:val="72D52DF2"/>
    <w:rsid w:val="72D59C29"/>
    <w:rsid w:val="72D754FF"/>
    <w:rsid w:val="72DB11F2"/>
    <w:rsid w:val="72EC0EDE"/>
    <w:rsid w:val="730F567A"/>
    <w:rsid w:val="731EE819"/>
    <w:rsid w:val="7320D763"/>
    <w:rsid w:val="732CA2E4"/>
    <w:rsid w:val="7336130E"/>
    <w:rsid w:val="73366D38"/>
    <w:rsid w:val="733F9CCD"/>
    <w:rsid w:val="734361FA"/>
    <w:rsid w:val="734CD6B5"/>
    <w:rsid w:val="7357BDFE"/>
    <w:rsid w:val="735DB241"/>
    <w:rsid w:val="735EEB71"/>
    <w:rsid w:val="736B2BDA"/>
    <w:rsid w:val="7374EF1E"/>
    <w:rsid w:val="7379A4BB"/>
    <w:rsid w:val="738887FE"/>
    <w:rsid w:val="73A39990"/>
    <w:rsid w:val="73AEBB6A"/>
    <w:rsid w:val="73B4F588"/>
    <w:rsid w:val="73C0B237"/>
    <w:rsid w:val="73C2FE65"/>
    <w:rsid w:val="73C30B9E"/>
    <w:rsid w:val="73C7220F"/>
    <w:rsid w:val="73CD64E6"/>
    <w:rsid w:val="73CFCF6B"/>
    <w:rsid w:val="73DB4036"/>
    <w:rsid w:val="73E690F7"/>
    <w:rsid w:val="73EF65F1"/>
    <w:rsid w:val="73F1A6AA"/>
    <w:rsid w:val="73FAD9EC"/>
    <w:rsid w:val="74042222"/>
    <w:rsid w:val="741BC723"/>
    <w:rsid w:val="74243DB2"/>
    <w:rsid w:val="742446C2"/>
    <w:rsid w:val="7428912F"/>
    <w:rsid w:val="74318A0E"/>
    <w:rsid w:val="743649DC"/>
    <w:rsid w:val="743C828F"/>
    <w:rsid w:val="744860E2"/>
    <w:rsid w:val="7449C8FD"/>
    <w:rsid w:val="744A5AFB"/>
    <w:rsid w:val="745311B8"/>
    <w:rsid w:val="74603AD5"/>
    <w:rsid w:val="746040A9"/>
    <w:rsid w:val="7460CE47"/>
    <w:rsid w:val="747C479E"/>
    <w:rsid w:val="7481756B"/>
    <w:rsid w:val="74821BE6"/>
    <w:rsid w:val="7483E427"/>
    <w:rsid w:val="748A39AA"/>
    <w:rsid w:val="748C6B6E"/>
    <w:rsid w:val="7496F9F3"/>
    <w:rsid w:val="749EDF42"/>
    <w:rsid w:val="749F6CB0"/>
    <w:rsid w:val="74A8D0D3"/>
    <w:rsid w:val="74AB591D"/>
    <w:rsid w:val="74ADE642"/>
    <w:rsid w:val="74B12F8D"/>
    <w:rsid w:val="74B460A6"/>
    <w:rsid w:val="74B50590"/>
    <w:rsid w:val="74B567D0"/>
    <w:rsid w:val="74BACF62"/>
    <w:rsid w:val="74BEC117"/>
    <w:rsid w:val="74C65A51"/>
    <w:rsid w:val="74C7BBD9"/>
    <w:rsid w:val="74DBDB98"/>
    <w:rsid w:val="74DE81F3"/>
    <w:rsid w:val="74DF5EF4"/>
    <w:rsid w:val="74E6C809"/>
    <w:rsid w:val="74F95955"/>
    <w:rsid w:val="74FA084F"/>
    <w:rsid w:val="74FD98F3"/>
    <w:rsid w:val="74FEF383"/>
    <w:rsid w:val="75059087"/>
    <w:rsid w:val="75080883"/>
    <w:rsid w:val="75109C52"/>
    <w:rsid w:val="7511E85E"/>
    <w:rsid w:val="75126D3C"/>
    <w:rsid w:val="751781F1"/>
    <w:rsid w:val="7517E2C4"/>
    <w:rsid w:val="75187EAF"/>
    <w:rsid w:val="7518C6F7"/>
    <w:rsid w:val="752177A1"/>
    <w:rsid w:val="75230329"/>
    <w:rsid w:val="7528ED1A"/>
    <w:rsid w:val="752AA81E"/>
    <w:rsid w:val="752B7175"/>
    <w:rsid w:val="753F1C8A"/>
    <w:rsid w:val="7548ABA1"/>
    <w:rsid w:val="7551CAD9"/>
    <w:rsid w:val="7561729B"/>
    <w:rsid w:val="756B6A7B"/>
    <w:rsid w:val="7572EA15"/>
    <w:rsid w:val="7582C3C7"/>
    <w:rsid w:val="75904533"/>
    <w:rsid w:val="7593D85F"/>
    <w:rsid w:val="75961554"/>
    <w:rsid w:val="759FA9A5"/>
    <w:rsid w:val="75A16D02"/>
    <w:rsid w:val="75A55D9B"/>
    <w:rsid w:val="75A5A493"/>
    <w:rsid w:val="75BD73B7"/>
    <w:rsid w:val="75CB6E5D"/>
    <w:rsid w:val="75D3C30E"/>
    <w:rsid w:val="75D771B2"/>
    <w:rsid w:val="75D8BB9B"/>
    <w:rsid w:val="75D9D533"/>
    <w:rsid w:val="75E28B71"/>
    <w:rsid w:val="75EF066E"/>
    <w:rsid w:val="75EF509C"/>
    <w:rsid w:val="75EFE7A9"/>
    <w:rsid w:val="75F16B92"/>
    <w:rsid w:val="75F196F4"/>
    <w:rsid w:val="7607FE19"/>
    <w:rsid w:val="760D2D73"/>
    <w:rsid w:val="760D7C29"/>
    <w:rsid w:val="762F6AED"/>
    <w:rsid w:val="7644ADAE"/>
    <w:rsid w:val="764B30B3"/>
    <w:rsid w:val="76573514"/>
    <w:rsid w:val="765C4BB6"/>
    <w:rsid w:val="7671603E"/>
    <w:rsid w:val="7672701D"/>
    <w:rsid w:val="7676838B"/>
    <w:rsid w:val="76878585"/>
    <w:rsid w:val="768ACD8A"/>
    <w:rsid w:val="768E4D92"/>
    <w:rsid w:val="7695CDB2"/>
    <w:rsid w:val="7696A392"/>
    <w:rsid w:val="7697B1A4"/>
    <w:rsid w:val="769AAEAA"/>
    <w:rsid w:val="769DC997"/>
    <w:rsid w:val="769E9DED"/>
    <w:rsid w:val="76AF6830"/>
    <w:rsid w:val="76B8D81C"/>
    <w:rsid w:val="76BBAE2D"/>
    <w:rsid w:val="76BDA087"/>
    <w:rsid w:val="76C7E5D6"/>
    <w:rsid w:val="76C92B3E"/>
    <w:rsid w:val="76CB8A82"/>
    <w:rsid w:val="76E0D7C0"/>
    <w:rsid w:val="76E88F84"/>
    <w:rsid w:val="76ECA015"/>
    <w:rsid w:val="76F2E0B2"/>
    <w:rsid w:val="76F6E632"/>
    <w:rsid w:val="76F9319F"/>
    <w:rsid w:val="76FA0EAD"/>
    <w:rsid w:val="7709BD84"/>
    <w:rsid w:val="771A5320"/>
    <w:rsid w:val="772F5AEF"/>
    <w:rsid w:val="7748AB80"/>
    <w:rsid w:val="774B839D"/>
    <w:rsid w:val="774D871D"/>
    <w:rsid w:val="7751046B"/>
    <w:rsid w:val="77583A6B"/>
    <w:rsid w:val="7758693A"/>
    <w:rsid w:val="77596317"/>
    <w:rsid w:val="775AC59F"/>
    <w:rsid w:val="775C70C8"/>
    <w:rsid w:val="776216A3"/>
    <w:rsid w:val="7767986E"/>
    <w:rsid w:val="776CE141"/>
    <w:rsid w:val="776DC189"/>
    <w:rsid w:val="777093C0"/>
    <w:rsid w:val="77749702"/>
    <w:rsid w:val="777B9150"/>
    <w:rsid w:val="778BF8A6"/>
    <w:rsid w:val="779A2CB5"/>
    <w:rsid w:val="779B273B"/>
    <w:rsid w:val="779F38D4"/>
    <w:rsid w:val="77B11162"/>
    <w:rsid w:val="77B41F47"/>
    <w:rsid w:val="77CD600A"/>
    <w:rsid w:val="77CF0B1E"/>
    <w:rsid w:val="77CF4658"/>
    <w:rsid w:val="77D50B0D"/>
    <w:rsid w:val="77DF2210"/>
    <w:rsid w:val="77E01E9D"/>
    <w:rsid w:val="77E81595"/>
    <w:rsid w:val="77EBB6E0"/>
    <w:rsid w:val="77F559C7"/>
    <w:rsid w:val="7815BABD"/>
    <w:rsid w:val="7819B888"/>
    <w:rsid w:val="7820902C"/>
    <w:rsid w:val="782ACF7D"/>
    <w:rsid w:val="782EBCC5"/>
    <w:rsid w:val="783457BD"/>
    <w:rsid w:val="783BC605"/>
    <w:rsid w:val="78506711"/>
    <w:rsid w:val="7851A371"/>
    <w:rsid w:val="78542CCE"/>
    <w:rsid w:val="785A0745"/>
    <w:rsid w:val="7863BD8A"/>
    <w:rsid w:val="786FB156"/>
    <w:rsid w:val="7876A942"/>
    <w:rsid w:val="787708C6"/>
    <w:rsid w:val="7877E994"/>
    <w:rsid w:val="78787CD4"/>
    <w:rsid w:val="787B8E8F"/>
    <w:rsid w:val="787FCDB1"/>
    <w:rsid w:val="78816B07"/>
    <w:rsid w:val="789C4CCF"/>
    <w:rsid w:val="789C9E10"/>
    <w:rsid w:val="789CE536"/>
    <w:rsid w:val="78B46322"/>
    <w:rsid w:val="78BEA71E"/>
    <w:rsid w:val="78CA3C1E"/>
    <w:rsid w:val="78CBFDB1"/>
    <w:rsid w:val="78E71B85"/>
    <w:rsid w:val="78EC8FA5"/>
    <w:rsid w:val="78EE36EA"/>
    <w:rsid w:val="78F6A393"/>
    <w:rsid w:val="78FBAD46"/>
    <w:rsid w:val="78FDC15E"/>
    <w:rsid w:val="79071980"/>
    <w:rsid w:val="790B51FA"/>
    <w:rsid w:val="79174057"/>
    <w:rsid w:val="791D6352"/>
    <w:rsid w:val="791E153B"/>
    <w:rsid w:val="7925A4F0"/>
    <w:rsid w:val="79280D66"/>
    <w:rsid w:val="7929F776"/>
    <w:rsid w:val="792B2A66"/>
    <w:rsid w:val="793051C8"/>
    <w:rsid w:val="79389812"/>
    <w:rsid w:val="7944AA63"/>
    <w:rsid w:val="7944EF1C"/>
    <w:rsid w:val="7946A4A8"/>
    <w:rsid w:val="794A5841"/>
    <w:rsid w:val="794D6F15"/>
    <w:rsid w:val="795278EE"/>
    <w:rsid w:val="79538A42"/>
    <w:rsid w:val="795AA12C"/>
    <w:rsid w:val="795DD621"/>
    <w:rsid w:val="7964E2A2"/>
    <w:rsid w:val="79666EF3"/>
    <w:rsid w:val="79672E6B"/>
    <w:rsid w:val="7975E380"/>
    <w:rsid w:val="79836096"/>
    <w:rsid w:val="79976A96"/>
    <w:rsid w:val="79984BE2"/>
    <w:rsid w:val="799B48D4"/>
    <w:rsid w:val="799F78DA"/>
    <w:rsid w:val="79ABA664"/>
    <w:rsid w:val="79B09831"/>
    <w:rsid w:val="79BBE312"/>
    <w:rsid w:val="79C09921"/>
    <w:rsid w:val="79C0C0E3"/>
    <w:rsid w:val="79CB3532"/>
    <w:rsid w:val="79D60838"/>
    <w:rsid w:val="79D88BA0"/>
    <w:rsid w:val="79E3C71B"/>
    <w:rsid w:val="79E87BDB"/>
    <w:rsid w:val="79EC96A5"/>
    <w:rsid w:val="79F5159F"/>
    <w:rsid w:val="79FEFB74"/>
    <w:rsid w:val="7A00ECA1"/>
    <w:rsid w:val="7A037E9E"/>
    <w:rsid w:val="7A03D9FE"/>
    <w:rsid w:val="7A070E54"/>
    <w:rsid w:val="7A0D2018"/>
    <w:rsid w:val="7A0E128C"/>
    <w:rsid w:val="7A0EE743"/>
    <w:rsid w:val="7A1302F1"/>
    <w:rsid w:val="7A153B28"/>
    <w:rsid w:val="7A15B252"/>
    <w:rsid w:val="7A224CD6"/>
    <w:rsid w:val="7A28CA63"/>
    <w:rsid w:val="7A2C0DD5"/>
    <w:rsid w:val="7A2F2B59"/>
    <w:rsid w:val="7A35EC25"/>
    <w:rsid w:val="7A38CA4C"/>
    <w:rsid w:val="7A3CEC61"/>
    <w:rsid w:val="7A3D5982"/>
    <w:rsid w:val="7A4402BF"/>
    <w:rsid w:val="7A4472D6"/>
    <w:rsid w:val="7A45739F"/>
    <w:rsid w:val="7A486A92"/>
    <w:rsid w:val="7A48AD4A"/>
    <w:rsid w:val="7A4E1F61"/>
    <w:rsid w:val="7A4F8609"/>
    <w:rsid w:val="7A53EAED"/>
    <w:rsid w:val="7A600E63"/>
    <w:rsid w:val="7A6E998E"/>
    <w:rsid w:val="7A70371A"/>
    <w:rsid w:val="7A8B6FB8"/>
    <w:rsid w:val="7A8D4E39"/>
    <w:rsid w:val="7A8F2827"/>
    <w:rsid w:val="7A8F30B7"/>
    <w:rsid w:val="7A93DF68"/>
    <w:rsid w:val="7A97E47F"/>
    <w:rsid w:val="7A9CCB1D"/>
    <w:rsid w:val="7A9D55DC"/>
    <w:rsid w:val="7AA154A7"/>
    <w:rsid w:val="7AB02DDC"/>
    <w:rsid w:val="7AB17BE0"/>
    <w:rsid w:val="7AB1E312"/>
    <w:rsid w:val="7AB81ECA"/>
    <w:rsid w:val="7AB896C8"/>
    <w:rsid w:val="7AB8DD43"/>
    <w:rsid w:val="7AC1C46B"/>
    <w:rsid w:val="7AC7DAE6"/>
    <w:rsid w:val="7ADDADAA"/>
    <w:rsid w:val="7AE1E661"/>
    <w:rsid w:val="7AE8F652"/>
    <w:rsid w:val="7AEBF048"/>
    <w:rsid w:val="7AEFB1AD"/>
    <w:rsid w:val="7AF27D3F"/>
    <w:rsid w:val="7AF3F04B"/>
    <w:rsid w:val="7AF8491C"/>
    <w:rsid w:val="7AFBCE64"/>
    <w:rsid w:val="7B0333F9"/>
    <w:rsid w:val="7B0848DA"/>
    <w:rsid w:val="7B0D2968"/>
    <w:rsid w:val="7B1B0548"/>
    <w:rsid w:val="7B1BD0D0"/>
    <w:rsid w:val="7B21D77B"/>
    <w:rsid w:val="7B2C5F76"/>
    <w:rsid w:val="7B2F79F6"/>
    <w:rsid w:val="7B32DEBB"/>
    <w:rsid w:val="7B3C9D1E"/>
    <w:rsid w:val="7B3DCC9C"/>
    <w:rsid w:val="7B49F114"/>
    <w:rsid w:val="7B4D47B2"/>
    <w:rsid w:val="7B51D327"/>
    <w:rsid w:val="7B71E351"/>
    <w:rsid w:val="7B805400"/>
    <w:rsid w:val="7B8436B7"/>
    <w:rsid w:val="7B890AB5"/>
    <w:rsid w:val="7B91D937"/>
    <w:rsid w:val="7BA1CF50"/>
    <w:rsid w:val="7BA26CBC"/>
    <w:rsid w:val="7BA7051A"/>
    <w:rsid w:val="7BAA44D6"/>
    <w:rsid w:val="7BB878E4"/>
    <w:rsid w:val="7BC7BA65"/>
    <w:rsid w:val="7BC8B0EE"/>
    <w:rsid w:val="7BCB81A0"/>
    <w:rsid w:val="7BCBFC96"/>
    <w:rsid w:val="7BD264D4"/>
    <w:rsid w:val="7BD490B2"/>
    <w:rsid w:val="7BD5FD61"/>
    <w:rsid w:val="7BE2E937"/>
    <w:rsid w:val="7BE3357E"/>
    <w:rsid w:val="7BE78A27"/>
    <w:rsid w:val="7BFA56E7"/>
    <w:rsid w:val="7C0654F4"/>
    <w:rsid w:val="7C068C3B"/>
    <w:rsid w:val="7C08D505"/>
    <w:rsid w:val="7C31B250"/>
    <w:rsid w:val="7C329ED2"/>
    <w:rsid w:val="7C335859"/>
    <w:rsid w:val="7C37392E"/>
    <w:rsid w:val="7C3B27CF"/>
    <w:rsid w:val="7C4377D5"/>
    <w:rsid w:val="7C4D54B9"/>
    <w:rsid w:val="7C4FDEF5"/>
    <w:rsid w:val="7C53E3FB"/>
    <w:rsid w:val="7C5C26FA"/>
    <w:rsid w:val="7C63B46C"/>
    <w:rsid w:val="7C706A67"/>
    <w:rsid w:val="7C71A6CD"/>
    <w:rsid w:val="7C8490A5"/>
    <w:rsid w:val="7C918078"/>
    <w:rsid w:val="7CA541D5"/>
    <w:rsid w:val="7CB2321C"/>
    <w:rsid w:val="7CBA0404"/>
    <w:rsid w:val="7CBEE285"/>
    <w:rsid w:val="7CC38533"/>
    <w:rsid w:val="7CC4A874"/>
    <w:rsid w:val="7CC6C225"/>
    <w:rsid w:val="7CF01FC5"/>
    <w:rsid w:val="7CF7F600"/>
    <w:rsid w:val="7CF9EE01"/>
    <w:rsid w:val="7CFCFD11"/>
    <w:rsid w:val="7D06E451"/>
    <w:rsid w:val="7D268828"/>
    <w:rsid w:val="7D2CC10F"/>
    <w:rsid w:val="7D2F4A85"/>
    <w:rsid w:val="7D3143DB"/>
    <w:rsid w:val="7D35A01E"/>
    <w:rsid w:val="7D4373E6"/>
    <w:rsid w:val="7D45A948"/>
    <w:rsid w:val="7D512820"/>
    <w:rsid w:val="7D5486F4"/>
    <w:rsid w:val="7D66CD8A"/>
    <w:rsid w:val="7D7090AC"/>
    <w:rsid w:val="7D728D48"/>
    <w:rsid w:val="7D73D21D"/>
    <w:rsid w:val="7D8224A0"/>
    <w:rsid w:val="7D90D79F"/>
    <w:rsid w:val="7D9486BA"/>
    <w:rsid w:val="7D958D05"/>
    <w:rsid w:val="7DAA527E"/>
    <w:rsid w:val="7DAB06C8"/>
    <w:rsid w:val="7DB0F2AF"/>
    <w:rsid w:val="7DB1D9F2"/>
    <w:rsid w:val="7DB5E5FC"/>
    <w:rsid w:val="7DC03CF0"/>
    <w:rsid w:val="7DD24B16"/>
    <w:rsid w:val="7DD864F1"/>
    <w:rsid w:val="7DE475C5"/>
    <w:rsid w:val="7DE83AA3"/>
    <w:rsid w:val="7DF3A463"/>
    <w:rsid w:val="7DF99EFE"/>
    <w:rsid w:val="7DFA609A"/>
    <w:rsid w:val="7DFC746A"/>
    <w:rsid w:val="7E03BE19"/>
    <w:rsid w:val="7E10215C"/>
    <w:rsid w:val="7E13553B"/>
    <w:rsid w:val="7E13E911"/>
    <w:rsid w:val="7E13F49B"/>
    <w:rsid w:val="7E160005"/>
    <w:rsid w:val="7E1756FF"/>
    <w:rsid w:val="7E30247B"/>
    <w:rsid w:val="7E3442EE"/>
    <w:rsid w:val="7E37CCCC"/>
    <w:rsid w:val="7E49DA13"/>
    <w:rsid w:val="7E559A59"/>
    <w:rsid w:val="7E57E5FF"/>
    <w:rsid w:val="7E6B6BE6"/>
    <w:rsid w:val="7E7843F7"/>
    <w:rsid w:val="7E80939B"/>
    <w:rsid w:val="7E839ECF"/>
    <w:rsid w:val="7E87F2D2"/>
    <w:rsid w:val="7E8F4476"/>
    <w:rsid w:val="7E99176C"/>
    <w:rsid w:val="7EA9C2B5"/>
    <w:rsid w:val="7EB7108D"/>
    <w:rsid w:val="7EBDAE9C"/>
    <w:rsid w:val="7EC180AF"/>
    <w:rsid w:val="7EC2B1BF"/>
    <w:rsid w:val="7ED4ACB9"/>
    <w:rsid w:val="7EE625F0"/>
    <w:rsid w:val="7EF71F35"/>
    <w:rsid w:val="7EFF03F9"/>
    <w:rsid w:val="7F03678F"/>
    <w:rsid w:val="7F05C1E1"/>
    <w:rsid w:val="7F0F68CF"/>
    <w:rsid w:val="7F10197D"/>
    <w:rsid w:val="7F16880C"/>
    <w:rsid w:val="7F2DA822"/>
    <w:rsid w:val="7F3F0528"/>
    <w:rsid w:val="7F46F081"/>
    <w:rsid w:val="7F47538A"/>
    <w:rsid w:val="7F4CF648"/>
    <w:rsid w:val="7F505E20"/>
    <w:rsid w:val="7F602AE9"/>
    <w:rsid w:val="7F6C8D93"/>
    <w:rsid w:val="7F6F15E3"/>
    <w:rsid w:val="7F73CAB0"/>
    <w:rsid w:val="7F748735"/>
    <w:rsid w:val="7F778989"/>
    <w:rsid w:val="7F7BD413"/>
    <w:rsid w:val="7F7E9302"/>
    <w:rsid w:val="7F86003C"/>
    <w:rsid w:val="7F86778B"/>
    <w:rsid w:val="7F9131F1"/>
    <w:rsid w:val="7FAC9202"/>
    <w:rsid w:val="7FB07D70"/>
    <w:rsid w:val="7FBAEB32"/>
    <w:rsid w:val="7FBE717D"/>
    <w:rsid w:val="7FD0000B"/>
    <w:rsid w:val="7FD1025F"/>
    <w:rsid w:val="7FD5161D"/>
    <w:rsid w:val="7FD9010C"/>
    <w:rsid w:val="7FE13923"/>
    <w:rsid w:val="7FE176F9"/>
    <w:rsid w:val="7FEC61A2"/>
    <w:rsid w:val="7FEC9D17"/>
    <w:rsid w:val="7FEF23F8"/>
    <w:rsid w:val="7FF8FF79"/>
    <w:rsid w:val="7FFC5007"/>
    <w:rsid w:val="7FFF61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DA8B2C"/>
  <w15:docId w15:val="{F971DBD8-F059-45B8-8729-18D6F46D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685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C7286"/>
    <w:pPr>
      <w:keepNext/>
      <w:keepLines/>
      <w:spacing w:before="40" w:after="12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E1F3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nhideWhenUsed/>
    <w:qFormat/>
    <w:pPr>
      <w:spacing w:after="0" w:line="240" w:lineRule="auto"/>
    </w:pPr>
    <w:rPr>
      <w:sz w:val="20"/>
      <w:szCs w:val="20"/>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qFormat/>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CV text"/>
    <w:basedOn w:val="Normal"/>
    <w:link w:val="ListParagraphChar"/>
    <w:uiPriority w:val="34"/>
    <w:qFormat/>
    <w:pPr>
      <w:spacing w:after="160" w:line="259" w:lineRule="auto"/>
      <w:ind w:left="720"/>
      <w:contextualSpacing/>
    </w:p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style>
  <w:style w:type="paragraph" w:styleId="NoSpacing">
    <w:name w:val="No Spacing"/>
    <w:uiPriority w:val="1"/>
    <w:qFormat/>
    <w:pPr>
      <w:spacing w:after="0" w:line="240" w:lineRule="auto"/>
    </w:pPr>
  </w:style>
  <w:style w:type="table" w:styleId="TableGrid">
    <w:name w:val="Table Grid"/>
    <w:basedOn w:val="TableNormal"/>
    <w:uiPriority w:val="59"/>
    <w:pPr>
      <w:spacing w:after="0" w:line="240" w:lineRule="auto"/>
    </w:pPr>
    <w:tblPr/>
  </w:style>
  <w:style w:type="table" w:customStyle="1" w:styleId="GridTable4-Accent51">
    <w:name w:val="Grid Table 4 - Accent 51"/>
    <w:basedOn w:val="TableNormal"/>
    <w:uiPriority w:val="49"/>
    <w:pPr>
      <w:spacing w:after="0" w:line="240" w:lineRule="auto"/>
    </w:pPr>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GridTable4-Accent510">
    <w:name w:val="Grid Table 4 - Accent 510"/>
    <w:basedOn w:val="TableNormal"/>
    <w:next w:val="GridTable4-Accent51"/>
    <w:uiPriority w:val="49"/>
    <w:pPr>
      <w:spacing w:after="0" w:line="240" w:lineRule="auto"/>
    </w:pPr>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None">
    <w:name w:val="None"/>
  </w:style>
  <w:style w:type="character" w:customStyle="1" w:styleId="Heading2Char">
    <w:name w:val="Heading 2 Char"/>
    <w:basedOn w:val="DefaultParagraphFont"/>
    <w:link w:val="Heading2"/>
    <w:uiPriority w:val="9"/>
    <w:rsid w:val="003C7286"/>
    <w:rPr>
      <w:rFonts w:ascii="Times New Roman" w:eastAsiaTheme="majorEastAsia" w:hAnsi="Times New Roman" w:cstheme="majorBidi"/>
      <w:b/>
      <w:sz w:val="24"/>
      <w:szCs w:val="26"/>
    </w:rPr>
  </w:style>
  <w:style w:type="paragraph" w:styleId="Revision">
    <w:name w:val="Revision"/>
    <w:hidden/>
    <w:uiPriority w:val="99"/>
    <w:semiHidden/>
    <w:rsid w:val="00C52619"/>
    <w:pPr>
      <w:spacing w:after="0" w:line="240" w:lineRule="auto"/>
    </w:pPr>
  </w:style>
  <w:style w:type="paragraph" w:customStyle="1" w:styleId="CharCharChar">
    <w:name w:val="Char Char Char"/>
    <w:basedOn w:val="Normal"/>
    <w:link w:val="FootnoteReference"/>
    <w:rsid w:val="00F60977"/>
    <w:pPr>
      <w:spacing w:after="120" w:line="240" w:lineRule="exact"/>
      <w:jc w:val="both"/>
    </w:pPr>
    <w:rPr>
      <w:vertAlign w:val="superscript"/>
    </w:rPr>
  </w:style>
  <w:style w:type="character" w:customStyle="1" w:styleId="Heading1Char">
    <w:name w:val="Heading 1 Char"/>
    <w:basedOn w:val="DefaultParagraphFont"/>
    <w:link w:val="Heading1"/>
    <w:uiPriority w:val="9"/>
    <w:rsid w:val="00216855"/>
    <w:rPr>
      <w:rFonts w:asciiTheme="majorHAnsi" w:eastAsiaTheme="majorEastAsia" w:hAnsiTheme="majorHAnsi" w:cstheme="majorBidi"/>
      <w:color w:val="365F91" w:themeColor="accent1" w:themeShade="BF"/>
      <w:sz w:val="32"/>
      <w:szCs w:val="32"/>
    </w:rPr>
  </w:style>
  <w:style w:type="paragraph" w:styleId="EndnoteText">
    <w:name w:val="endnote text"/>
    <w:basedOn w:val="Normal"/>
    <w:uiPriority w:val="99"/>
    <w:semiHidden/>
    <w:unhideWhenUsed/>
    <w:rsid w:val="6655B6FB"/>
    <w:pPr>
      <w:spacing w:after="0" w:line="240" w:lineRule="auto"/>
    </w:pPr>
    <w:rPr>
      <w:sz w:val="20"/>
      <w:szCs w:val="20"/>
    </w:rPr>
  </w:style>
  <w:style w:type="character" w:customStyle="1" w:styleId="UnresolvedMention">
    <w:name w:val="Unresolved Mention"/>
    <w:basedOn w:val="DefaultParagraphFont"/>
    <w:uiPriority w:val="99"/>
    <w:semiHidden/>
    <w:unhideWhenUsed/>
    <w:rsid w:val="00C017F7"/>
    <w:rPr>
      <w:color w:val="605E5C"/>
      <w:shd w:val="clear" w:color="auto" w:fill="E1DFDD"/>
    </w:rPr>
  </w:style>
  <w:style w:type="table" w:customStyle="1" w:styleId="BodyTable">
    <w:name w:val="Body Table"/>
    <w:basedOn w:val="TableGrid"/>
    <w:uiPriority w:val="10"/>
    <w:rsid w:val="00B16399"/>
    <w:pPr>
      <w:spacing w:before="40" w:after="40"/>
    </w:pPr>
    <w:rPr>
      <w:rFonts w:ascii="Arial" w:eastAsia="Times New Roman" w:hAnsi="Arial" w:cs="Times New Roman"/>
      <w:sz w:val="18"/>
      <w:szCs w:val="20"/>
      <w:lang w:eastAsia="ja-JP"/>
    </w:rPr>
    <w:tblP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1F497D" w:themeFill="text2"/>
        <w:vAlign w:val="center"/>
      </w:tcPr>
    </w:tblStyle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qFormat/>
    <w:rsid w:val="00B16399"/>
    <w:pPr>
      <w:spacing w:before="60" w:after="160" w:line="240" w:lineRule="exact"/>
      <w:jc w:val="both"/>
    </w:pPr>
    <w:rPr>
      <w:rFonts w:ascii="Arial" w:eastAsia="Times New Roman" w:hAnsi="Arial" w:cs="Times New Roman"/>
      <w:sz w:val="24"/>
      <w:szCs w:val="20"/>
      <w:vertAlign w:val="superscript"/>
      <w:lang w:eastAsia="en-IE"/>
    </w:rPr>
  </w:style>
  <w:style w:type="character" w:styleId="FollowedHyperlink">
    <w:name w:val="FollowedHyperlink"/>
    <w:basedOn w:val="DefaultParagraphFont"/>
    <w:uiPriority w:val="99"/>
    <w:semiHidden/>
    <w:unhideWhenUsed/>
    <w:rsid w:val="008B3BAD"/>
    <w:rPr>
      <w:color w:val="800080" w:themeColor="followedHyperlink"/>
      <w:u w:val="single"/>
    </w:rPr>
  </w:style>
  <w:style w:type="paragraph" w:styleId="NormalWeb">
    <w:name w:val="Normal (Web)"/>
    <w:basedOn w:val="Normal"/>
    <w:uiPriority w:val="99"/>
    <w:semiHidden/>
    <w:unhideWhenUsed/>
    <w:rsid w:val="000229A9"/>
    <w:rPr>
      <w:rFonts w:ascii="Times New Roman" w:hAnsi="Times New Roman" w:cs="Times New Roman"/>
      <w:sz w:val="24"/>
      <w:szCs w:val="24"/>
    </w:rPr>
  </w:style>
  <w:style w:type="character" w:customStyle="1" w:styleId="Mention">
    <w:name w:val="Mention"/>
    <w:basedOn w:val="DefaultParagraphFont"/>
    <w:uiPriority w:val="99"/>
    <w:unhideWhenUsed/>
    <w:rsid w:val="00725CAD"/>
    <w:rPr>
      <w:color w:val="2B579A"/>
      <w:shd w:val="clear" w:color="auto" w:fill="E1DFDD"/>
    </w:rPr>
  </w:style>
  <w:style w:type="paragraph" w:customStyle="1" w:styleId="Languesfaisantfoi">
    <w:name w:val="Langues faisant foi"/>
    <w:basedOn w:val="Normal"/>
    <w:next w:val="Normal"/>
    <w:rsid w:val="00AF7C80"/>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F7C80"/>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F7C80"/>
    <w:pPr>
      <w:spacing w:after="0"/>
    </w:pPr>
  </w:style>
  <w:style w:type="paragraph" w:customStyle="1" w:styleId="IntrtEEEPagedecouverture">
    <w:name w:val="Intérêt EEE (Page de couverture)"/>
    <w:basedOn w:val="IntrtEEE"/>
    <w:next w:val="Normal"/>
    <w:rsid w:val="00AF7C80"/>
  </w:style>
  <w:style w:type="paragraph" w:customStyle="1" w:styleId="pf0">
    <w:name w:val="pf0"/>
    <w:basedOn w:val="Normal"/>
    <w:rsid w:val="000F47B8"/>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cf01">
    <w:name w:val="cf01"/>
    <w:basedOn w:val="DefaultParagraphFont"/>
    <w:rsid w:val="000F47B8"/>
    <w:rPr>
      <w:rFonts w:ascii="Segoe UI" w:hAnsi="Segoe UI" w:cs="Segoe UI" w:hint="default"/>
      <w:sz w:val="18"/>
      <w:szCs w:val="18"/>
    </w:rPr>
  </w:style>
  <w:style w:type="character" w:styleId="Emphasis">
    <w:name w:val="Emphasis"/>
    <w:basedOn w:val="DefaultParagraphFont"/>
    <w:uiPriority w:val="20"/>
    <w:qFormat/>
    <w:rsid w:val="003E1F30"/>
    <w:rPr>
      <w:i/>
      <w:iCs/>
    </w:rPr>
  </w:style>
  <w:style w:type="character" w:customStyle="1" w:styleId="Heading3Char">
    <w:name w:val="Heading 3 Char"/>
    <w:basedOn w:val="DefaultParagraphFont"/>
    <w:link w:val="Heading3"/>
    <w:uiPriority w:val="9"/>
    <w:rsid w:val="003E1F30"/>
    <w:rPr>
      <w:rFonts w:asciiTheme="majorHAnsi" w:eastAsiaTheme="majorEastAsia" w:hAnsiTheme="majorHAnsi" w:cstheme="majorBidi"/>
      <w:color w:val="243F60" w:themeColor="accent1" w:themeShade="7F"/>
      <w:sz w:val="24"/>
      <w:szCs w:val="24"/>
    </w:rPr>
  </w:style>
  <w:style w:type="character" w:styleId="IntenseEmphasis">
    <w:name w:val="Intense Emphasis"/>
    <w:basedOn w:val="DefaultParagraphFont"/>
    <w:uiPriority w:val="21"/>
    <w:qFormat/>
    <w:rsid w:val="003E1F30"/>
    <w:rPr>
      <w:i/>
      <w:iCs/>
      <w:color w:val="4F81BD" w:themeColor="accent1"/>
    </w:rPr>
  </w:style>
  <w:style w:type="paragraph" w:customStyle="1" w:styleId="Figurecaptions">
    <w:name w:val="Figure captions"/>
    <w:basedOn w:val="Normal"/>
    <w:link w:val="FigurecaptionsChar"/>
    <w:uiPriority w:val="1"/>
    <w:qFormat/>
    <w:rsid w:val="00404117"/>
    <w:pPr>
      <w:spacing w:before="120" w:after="120" w:line="264" w:lineRule="auto"/>
      <w:jc w:val="both"/>
    </w:pPr>
    <w:rPr>
      <w:rFonts w:ascii="Arial" w:eastAsia="Times New Roman" w:hAnsi="Arial" w:cs="Times New Roman"/>
      <w:color w:val="1F497D" w:themeColor="text2"/>
      <w:sz w:val="24"/>
      <w:szCs w:val="24"/>
      <w:lang w:eastAsia="en-IE"/>
    </w:rPr>
  </w:style>
  <w:style w:type="character" w:customStyle="1" w:styleId="FigurecaptionsChar">
    <w:name w:val="Figure captions Char"/>
    <w:basedOn w:val="DefaultParagraphFont"/>
    <w:link w:val="Figurecaptions"/>
    <w:uiPriority w:val="1"/>
    <w:rsid w:val="00404117"/>
    <w:rPr>
      <w:rFonts w:ascii="Arial" w:eastAsia="Times New Roman" w:hAnsi="Arial" w:cs="Times New Roman"/>
      <w:color w:val="1F497D" w:themeColor="text2"/>
      <w:sz w:val="24"/>
      <w:szCs w:val="24"/>
      <w:lang w:eastAsia="en-IE"/>
    </w:rPr>
  </w:style>
  <w:style w:type="character" w:styleId="Strong">
    <w:name w:val="Strong"/>
    <w:basedOn w:val="DefaultParagraphFont"/>
    <w:uiPriority w:val="22"/>
    <w:qFormat/>
    <w:rsid w:val="00E657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7909">
      <w:bodyDiv w:val="1"/>
      <w:marLeft w:val="0"/>
      <w:marRight w:val="0"/>
      <w:marTop w:val="0"/>
      <w:marBottom w:val="0"/>
      <w:divBdr>
        <w:top w:val="none" w:sz="0" w:space="0" w:color="auto"/>
        <w:left w:val="none" w:sz="0" w:space="0" w:color="auto"/>
        <w:bottom w:val="none" w:sz="0" w:space="0" w:color="auto"/>
        <w:right w:val="none" w:sz="0" w:space="0" w:color="auto"/>
      </w:divBdr>
    </w:div>
    <w:div w:id="18243221">
      <w:bodyDiv w:val="1"/>
      <w:marLeft w:val="0"/>
      <w:marRight w:val="0"/>
      <w:marTop w:val="0"/>
      <w:marBottom w:val="0"/>
      <w:divBdr>
        <w:top w:val="none" w:sz="0" w:space="0" w:color="auto"/>
        <w:left w:val="none" w:sz="0" w:space="0" w:color="auto"/>
        <w:bottom w:val="none" w:sz="0" w:space="0" w:color="auto"/>
        <w:right w:val="none" w:sz="0" w:space="0" w:color="auto"/>
      </w:divBdr>
    </w:div>
    <w:div w:id="43720775">
      <w:bodyDiv w:val="1"/>
      <w:marLeft w:val="0"/>
      <w:marRight w:val="0"/>
      <w:marTop w:val="0"/>
      <w:marBottom w:val="0"/>
      <w:divBdr>
        <w:top w:val="none" w:sz="0" w:space="0" w:color="auto"/>
        <w:left w:val="none" w:sz="0" w:space="0" w:color="auto"/>
        <w:bottom w:val="none" w:sz="0" w:space="0" w:color="auto"/>
        <w:right w:val="none" w:sz="0" w:space="0" w:color="auto"/>
      </w:divBdr>
    </w:div>
    <w:div w:id="85883610">
      <w:bodyDiv w:val="1"/>
      <w:marLeft w:val="0"/>
      <w:marRight w:val="0"/>
      <w:marTop w:val="0"/>
      <w:marBottom w:val="0"/>
      <w:divBdr>
        <w:top w:val="none" w:sz="0" w:space="0" w:color="auto"/>
        <w:left w:val="none" w:sz="0" w:space="0" w:color="auto"/>
        <w:bottom w:val="none" w:sz="0" w:space="0" w:color="auto"/>
        <w:right w:val="none" w:sz="0" w:space="0" w:color="auto"/>
      </w:divBdr>
    </w:div>
    <w:div w:id="87578610">
      <w:bodyDiv w:val="1"/>
      <w:marLeft w:val="0"/>
      <w:marRight w:val="0"/>
      <w:marTop w:val="0"/>
      <w:marBottom w:val="0"/>
      <w:divBdr>
        <w:top w:val="none" w:sz="0" w:space="0" w:color="auto"/>
        <w:left w:val="none" w:sz="0" w:space="0" w:color="auto"/>
        <w:bottom w:val="none" w:sz="0" w:space="0" w:color="auto"/>
        <w:right w:val="none" w:sz="0" w:space="0" w:color="auto"/>
      </w:divBdr>
    </w:div>
    <w:div w:id="108670415">
      <w:bodyDiv w:val="1"/>
      <w:marLeft w:val="0"/>
      <w:marRight w:val="0"/>
      <w:marTop w:val="0"/>
      <w:marBottom w:val="0"/>
      <w:divBdr>
        <w:top w:val="none" w:sz="0" w:space="0" w:color="auto"/>
        <w:left w:val="none" w:sz="0" w:space="0" w:color="auto"/>
        <w:bottom w:val="none" w:sz="0" w:space="0" w:color="auto"/>
        <w:right w:val="none" w:sz="0" w:space="0" w:color="auto"/>
      </w:divBdr>
    </w:div>
    <w:div w:id="126893364">
      <w:bodyDiv w:val="1"/>
      <w:marLeft w:val="0"/>
      <w:marRight w:val="0"/>
      <w:marTop w:val="0"/>
      <w:marBottom w:val="0"/>
      <w:divBdr>
        <w:top w:val="none" w:sz="0" w:space="0" w:color="auto"/>
        <w:left w:val="none" w:sz="0" w:space="0" w:color="auto"/>
        <w:bottom w:val="none" w:sz="0" w:space="0" w:color="auto"/>
        <w:right w:val="none" w:sz="0" w:space="0" w:color="auto"/>
      </w:divBdr>
      <w:divsChild>
        <w:div w:id="14817846">
          <w:marLeft w:val="0"/>
          <w:marRight w:val="0"/>
          <w:marTop w:val="0"/>
          <w:marBottom w:val="0"/>
          <w:divBdr>
            <w:top w:val="none" w:sz="0" w:space="0" w:color="auto"/>
            <w:left w:val="none" w:sz="0" w:space="0" w:color="auto"/>
            <w:bottom w:val="none" w:sz="0" w:space="0" w:color="auto"/>
            <w:right w:val="none" w:sz="0" w:space="0" w:color="auto"/>
          </w:divBdr>
        </w:div>
        <w:div w:id="617175640">
          <w:marLeft w:val="0"/>
          <w:marRight w:val="0"/>
          <w:marTop w:val="0"/>
          <w:marBottom w:val="0"/>
          <w:divBdr>
            <w:top w:val="none" w:sz="0" w:space="0" w:color="auto"/>
            <w:left w:val="none" w:sz="0" w:space="0" w:color="auto"/>
            <w:bottom w:val="none" w:sz="0" w:space="0" w:color="auto"/>
            <w:right w:val="none" w:sz="0" w:space="0" w:color="auto"/>
          </w:divBdr>
        </w:div>
      </w:divsChild>
    </w:div>
    <w:div w:id="217476208">
      <w:bodyDiv w:val="1"/>
      <w:marLeft w:val="0"/>
      <w:marRight w:val="0"/>
      <w:marTop w:val="0"/>
      <w:marBottom w:val="0"/>
      <w:divBdr>
        <w:top w:val="none" w:sz="0" w:space="0" w:color="auto"/>
        <w:left w:val="none" w:sz="0" w:space="0" w:color="auto"/>
        <w:bottom w:val="none" w:sz="0" w:space="0" w:color="auto"/>
        <w:right w:val="none" w:sz="0" w:space="0" w:color="auto"/>
      </w:divBdr>
    </w:div>
    <w:div w:id="227495367">
      <w:bodyDiv w:val="1"/>
      <w:marLeft w:val="0"/>
      <w:marRight w:val="0"/>
      <w:marTop w:val="0"/>
      <w:marBottom w:val="0"/>
      <w:divBdr>
        <w:top w:val="none" w:sz="0" w:space="0" w:color="auto"/>
        <w:left w:val="none" w:sz="0" w:space="0" w:color="auto"/>
        <w:bottom w:val="none" w:sz="0" w:space="0" w:color="auto"/>
        <w:right w:val="none" w:sz="0" w:space="0" w:color="auto"/>
      </w:divBdr>
    </w:div>
    <w:div w:id="230194418">
      <w:bodyDiv w:val="1"/>
      <w:marLeft w:val="0"/>
      <w:marRight w:val="0"/>
      <w:marTop w:val="0"/>
      <w:marBottom w:val="0"/>
      <w:divBdr>
        <w:top w:val="none" w:sz="0" w:space="0" w:color="auto"/>
        <w:left w:val="none" w:sz="0" w:space="0" w:color="auto"/>
        <w:bottom w:val="none" w:sz="0" w:space="0" w:color="auto"/>
        <w:right w:val="none" w:sz="0" w:space="0" w:color="auto"/>
      </w:divBdr>
      <w:divsChild>
        <w:div w:id="861092401">
          <w:marLeft w:val="0"/>
          <w:marRight w:val="0"/>
          <w:marTop w:val="0"/>
          <w:marBottom w:val="0"/>
          <w:divBdr>
            <w:top w:val="none" w:sz="0" w:space="0" w:color="auto"/>
            <w:left w:val="none" w:sz="0" w:space="0" w:color="auto"/>
            <w:bottom w:val="none" w:sz="0" w:space="0" w:color="auto"/>
            <w:right w:val="none" w:sz="0" w:space="0" w:color="auto"/>
          </w:divBdr>
        </w:div>
        <w:div w:id="1068116482">
          <w:marLeft w:val="0"/>
          <w:marRight w:val="0"/>
          <w:marTop w:val="0"/>
          <w:marBottom w:val="0"/>
          <w:divBdr>
            <w:top w:val="none" w:sz="0" w:space="0" w:color="auto"/>
            <w:left w:val="none" w:sz="0" w:space="0" w:color="auto"/>
            <w:bottom w:val="none" w:sz="0" w:space="0" w:color="auto"/>
            <w:right w:val="none" w:sz="0" w:space="0" w:color="auto"/>
          </w:divBdr>
        </w:div>
      </w:divsChild>
    </w:div>
    <w:div w:id="297684101">
      <w:bodyDiv w:val="1"/>
      <w:marLeft w:val="0"/>
      <w:marRight w:val="0"/>
      <w:marTop w:val="0"/>
      <w:marBottom w:val="0"/>
      <w:divBdr>
        <w:top w:val="none" w:sz="0" w:space="0" w:color="auto"/>
        <w:left w:val="none" w:sz="0" w:space="0" w:color="auto"/>
        <w:bottom w:val="none" w:sz="0" w:space="0" w:color="auto"/>
        <w:right w:val="none" w:sz="0" w:space="0" w:color="auto"/>
      </w:divBdr>
    </w:div>
    <w:div w:id="304049819">
      <w:bodyDiv w:val="1"/>
      <w:marLeft w:val="0"/>
      <w:marRight w:val="0"/>
      <w:marTop w:val="0"/>
      <w:marBottom w:val="0"/>
      <w:divBdr>
        <w:top w:val="none" w:sz="0" w:space="0" w:color="auto"/>
        <w:left w:val="none" w:sz="0" w:space="0" w:color="auto"/>
        <w:bottom w:val="none" w:sz="0" w:space="0" w:color="auto"/>
        <w:right w:val="none" w:sz="0" w:space="0" w:color="auto"/>
      </w:divBdr>
    </w:div>
    <w:div w:id="349726393">
      <w:bodyDiv w:val="1"/>
      <w:marLeft w:val="0"/>
      <w:marRight w:val="0"/>
      <w:marTop w:val="0"/>
      <w:marBottom w:val="0"/>
      <w:divBdr>
        <w:top w:val="none" w:sz="0" w:space="0" w:color="auto"/>
        <w:left w:val="none" w:sz="0" w:space="0" w:color="auto"/>
        <w:bottom w:val="none" w:sz="0" w:space="0" w:color="auto"/>
        <w:right w:val="none" w:sz="0" w:space="0" w:color="auto"/>
      </w:divBdr>
    </w:div>
    <w:div w:id="420103526">
      <w:bodyDiv w:val="1"/>
      <w:marLeft w:val="0"/>
      <w:marRight w:val="0"/>
      <w:marTop w:val="0"/>
      <w:marBottom w:val="0"/>
      <w:divBdr>
        <w:top w:val="none" w:sz="0" w:space="0" w:color="auto"/>
        <w:left w:val="none" w:sz="0" w:space="0" w:color="auto"/>
        <w:bottom w:val="none" w:sz="0" w:space="0" w:color="auto"/>
        <w:right w:val="none" w:sz="0" w:space="0" w:color="auto"/>
      </w:divBdr>
      <w:divsChild>
        <w:div w:id="161553644">
          <w:marLeft w:val="547"/>
          <w:marRight w:val="0"/>
          <w:marTop w:val="0"/>
          <w:marBottom w:val="120"/>
          <w:divBdr>
            <w:top w:val="none" w:sz="0" w:space="0" w:color="auto"/>
            <w:left w:val="none" w:sz="0" w:space="0" w:color="auto"/>
            <w:bottom w:val="none" w:sz="0" w:space="0" w:color="auto"/>
            <w:right w:val="none" w:sz="0" w:space="0" w:color="auto"/>
          </w:divBdr>
        </w:div>
        <w:div w:id="284116487">
          <w:marLeft w:val="547"/>
          <w:marRight w:val="0"/>
          <w:marTop w:val="0"/>
          <w:marBottom w:val="120"/>
          <w:divBdr>
            <w:top w:val="none" w:sz="0" w:space="0" w:color="auto"/>
            <w:left w:val="none" w:sz="0" w:space="0" w:color="auto"/>
            <w:bottom w:val="none" w:sz="0" w:space="0" w:color="auto"/>
            <w:right w:val="none" w:sz="0" w:space="0" w:color="auto"/>
          </w:divBdr>
        </w:div>
        <w:div w:id="476190507">
          <w:marLeft w:val="547"/>
          <w:marRight w:val="0"/>
          <w:marTop w:val="0"/>
          <w:marBottom w:val="120"/>
          <w:divBdr>
            <w:top w:val="none" w:sz="0" w:space="0" w:color="auto"/>
            <w:left w:val="none" w:sz="0" w:space="0" w:color="auto"/>
            <w:bottom w:val="none" w:sz="0" w:space="0" w:color="auto"/>
            <w:right w:val="none" w:sz="0" w:space="0" w:color="auto"/>
          </w:divBdr>
        </w:div>
        <w:div w:id="562641015">
          <w:marLeft w:val="547"/>
          <w:marRight w:val="0"/>
          <w:marTop w:val="0"/>
          <w:marBottom w:val="120"/>
          <w:divBdr>
            <w:top w:val="none" w:sz="0" w:space="0" w:color="auto"/>
            <w:left w:val="none" w:sz="0" w:space="0" w:color="auto"/>
            <w:bottom w:val="none" w:sz="0" w:space="0" w:color="auto"/>
            <w:right w:val="none" w:sz="0" w:space="0" w:color="auto"/>
          </w:divBdr>
        </w:div>
        <w:div w:id="669064736">
          <w:marLeft w:val="547"/>
          <w:marRight w:val="0"/>
          <w:marTop w:val="0"/>
          <w:marBottom w:val="120"/>
          <w:divBdr>
            <w:top w:val="none" w:sz="0" w:space="0" w:color="auto"/>
            <w:left w:val="none" w:sz="0" w:space="0" w:color="auto"/>
            <w:bottom w:val="none" w:sz="0" w:space="0" w:color="auto"/>
            <w:right w:val="none" w:sz="0" w:space="0" w:color="auto"/>
          </w:divBdr>
        </w:div>
        <w:div w:id="868831648">
          <w:marLeft w:val="547"/>
          <w:marRight w:val="0"/>
          <w:marTop w:val="0"/>
          <w:marBottom w:val="120"/>
          <w:divBdr>
            <w:top w:val="none" w:sz="0" w:space="0" w:color="auto"/>
            <w:left w:val="none" w:sz="0" w:space="0" w:color="auto"/>
            <w:bottom w:val="none" w:sz="0" w:space="0" w:color="auto"/>
            <w:right w:val="none" w:sz="0" w:space="0" w:color="auto"/>
          </w:divBdr>
        </w:div>
        <w:div w:id="1227378920">
          <w:marLeft w:val="547"/>
          <w:marRight w:val="0"/>
          <w:marTop w:val="0"/>
          <w:marBottom w:val="120"/>
          <w:divBdr>
            <w:top w:val="none" w:sz="0" w:space="0" w:color="auto"/>
            <w:left w:val="none" w:sz="0" w:space="0" w:color="auto"/>
            <w:bottom w:val="none" w:sz="0" w:space="0" w:color="auto"/>
            <w:right w:val="none" w:sz="0" w:space="0" w:color="auto"/>
          </w:divBdr>
        </w:div>
        <w:div w:id="1413892574">
          <w:marLeft w:val="547"/>
          <w:marRight w:val="0"/>
          <w:marTop w:val="0"/>
          <w:marBottom w:val="120"/>
          <w:divBdr>
            <w:top w:val="none" w:sz="0" w:space="0" w:color="auto"/>
            <w:left w:val="none" w:sz="0" w:space="0" w:color="auto"/>
            <w:bottom w:val="none" w:sz="0" w:space="0" w:color="auto"/>
            <w:right w:val="none" w:sz="0" w:space="0" w:color="auto"/>
          </w:divBdr>
        </w:div>
        <w:div w:id="1586184245">
          <w:marLeft w:val="547"/>
          <w:marRight w:val="0"/>
          <w:marTop w:val="0"/>
          <w:marBottom w:val="120"/>
          <w:divBdr>
            <w:top w:val="none" w:sz="0" w:space="0" w:color="auto"/>
            <w:left w:val="none" w:sz="0" w:space="0" w:color="auto"/>
            <w:bottom w:val="none" w:sz="0" w:space="0" w:color="auto"/>
            <w:right w:val="none" w:sz="0" w:space="0" w:color="auto"/>
          </w:divBdr>
        </w:div>
        <w:div w:id="1790665583">
          <w:marLeft w:val="547"/>
          <w:marRight w:val="0"/>
          <w:marTop w:val="0"/>
          <w:marBottom w:val="120"/>
          <w:divBdr>
            <w:top w:val="none" w:sz="0" w:space="0" w:color="auto"/>
            <w:left w:val="none" w:sz="0" w:space="0" w:color="auto"/>
            <w:bottom w:val="none" w:sz="0" w:space="0" w:color="auto"/>
            <w:right w:val="none" w:sz="0" w:space="0" w:color="auto"/>
          </w:divBdr>
        </w:div>
      </w:divsChild>
    </w:div>
    <w:div w:id="441220236">
      <w:bodyDiv w:val="1"/>
      <w:marLeft w:val="0"/>
      <w:marRight w:val="0"/>
      <w:marTop w:val="0"/>
      <w:marBottom w:val="0"/>
      <w:divBdr>
        <w:top w:val="none" w:sz="0" w:space="0" w:color="auto"/>
        <w:left w:val="none" w:sz="0" w:space="0" w:color="auto"/>
        <w:bottom w:val="none" w:sz="0" w:space="0" w:color="auto"/>
        <w:right w:val="none" w:sz="0" w:space="0" w:color="auto"/>
      </w:divBdr>
    </w:div>
    <w:div w:id="462313498">
      <w:bodyDiv w:val="1"/>
      <w:marLeft w:val="0"/>
      <w:marRight w:val="0"/>
      <w:marTop w:val="0"/>
      <w:marBottom w:val="0"/>
      <w:divBdr>
        <w:top w:val="none" w:sz="0" w:space="0" w:color="auto"/>
        <w:left w:val="none" w:sz="0" w:space="0" w:color="auto"/>
        <w:bottom w:val="none" w:sz="0" w:space="0" w:color="auto"/>
        <w:right w:val="none" w:sz="0" w:space="0" w:color="auto"/>
      </w:divBdr>
    </w:div>
    <w:div w:id="502357550">
      <w:bodyDiv w:val="1"/>
      <w:marLeft w:val="0"/>
      <w:marRight w:val="0"/>
      <w:marTop w:val="0"/>
      <w:marBottom w:val="0"/>
      <w:divBdr>
        <w:top w:val="none" w:sz="0" w:space="0" w:color="auto"/>
        <w:left w:val="none" w:sz="0" w:space="0" w:color="auto"/>
        <w:bottom w:val="none" w:sz="0" w:space="0" w:color="auto"/>
        <w:right w:val="none" w:sz="0" w:space="0" w:color="auto"/>
      </w:divBdr>
    </w:div>
    <w:div w:id="524103564">
      <w:bodyDiv w:val="1"/>
      <w:marLeft w:val="0"/>
      <w:marRight w:val="0"/>
      <w:marTop w:val="0"/>
      <w:marBottom w:val="0"/>
      <w:divBdr>
        <w:top w:val="none" w:sz="0" w:space="0" w:color="auto"/>
        <w:left w:val="none" w:sz="0" w:space="0" w:color="auto"/>
        <w:bottom w:val="none" w:sz="0" w:space="0" w:color="auto"/>
        <w:right w:val="none" w:sz="0" w:space="0" w:color="auto"/>
      </w:divBdr>
    </w:div>
    <w:div w:id="544753349">
      <w:bodyDiv w:val="1"/>
      <w:marLeft w:val="0"/>
      <w:marRight w:val="0"/>
      <w:marTop w:val="0"/>
      <w:marBottom w:val="0"/>
      <w:divBdr>
        <w:top w:val="none" w:sz="0" w:space="0" w:color="auto"/>
        <w:left w:val="none" w:sz="0" w:space="0" w:color="auto"/>
        <w:bottom w:val="none" w:sz="0" w:space="0" w:color="auto"/>
        <w:right w:val="none" w:sz="0" w:space="0" w:color="auto"/>
      </w:divBdr>
    </w:div>
    <w:div w:id="560143197">
      <w:bodyDiv w:val="1"/>
      <w:marLeft w:val="0"/>
      <w:marRight w:val="0"/>
      <w:marTop w:val="0"/>
      <w:marBottom w:val="0"/>
      <w:divBdr>
        <w:top w:val="none" w:sz="0" w:space="0" w:color="auto"/>
        <w:left w:val="none" w:sz="0" w:space="0" w:color="auto"/>
        <w:bottom w:val="none" w:sz="0" w:space="0" w:color="auto"/>
        <w:right w:val="none" w:sz="0" w:space="0" w:color="auto"/>
      </w:divBdr>
      <w:divsChild>
        <w:div w:id="212617664">
          <w:marLeft w:val="0"/>
          <w:marRight w:val="0"/>
          <w:marTop w:val="0"/>
          <w:marBottom w:val="0"/>
          <w:divBdr>
            <w:top w:val="none" w:sz="0" w:space="0" w:color="auto"/>
            <w:left w:val="none" w:sz="0" w:space="0" w:color="auto"/>
            <w:bottom w:val="none" w:sz="0" w:space="0" w:color="auto"/>
            <w:right w:val="none" w:sz="0" w:space="0" w:color="auto"/>
          </w:divBdr>
        </w:div>
        <w:div w:id="1775779798">
          <w:marLeft w:val="0"/>
          <w:marRight w:val="0"/>
          <w:marTop w:val="0"/>
          <w:marBottom w:val="0"/>
          <w:divBdr>
            <w:top w:val="none" w:sz="0" w:space="0" w:color="auto"/>
            <w:left w:val="none" w:sz="0" w:space="0" w:color="auto"/>
            <w:bottom w:val="none" w:sz="0" w:space="0" w:color="auto"/>
            <w:right w:val="none" w:sz="0" w:space="0" w:color="auto"/>
          </w:divBdr>
        </w:div>
      </w:divsChild>
    </w:div>
    <w:div w:id="589388491">
      <w:bodyDiv w:val="1"/>
      <w:marLeft w:val="0"/>
      <w:marRight w:val="0"/>
      <w:marTop w:val="0"/>
      <w:marBottom w:val="0"/>
      <w:divBdr>
        <w:top w:val="none" w:sz="0" w:space="0" w:color="auto"/>
        <w:left w:val="none" w:sz="0" w:space="0" w:color="auto"/>
        <w:bottom w:val="none" w:sz="0" w:space="0" w:color="auto"/>
        <w:right w:val="none" w:sz="0" w:space="0" w:color="auto"/>
      </w:divBdr>
    </w:div>
    <w:div w:id="589705723">
      <w:bodyDiv w:val="1"/>
      <w:marLeft w:val="0"/>
      <w:marRight w:val="0"/>
      <w:marTop w:val="0"/>
      <w:marBottom w:val="0"/>
      <w:divBdr>
        <w:top w:val="none" w:sz="0" w:space="0" w:color="auto"/>
        <w:left w:val="none" w:sz="0" w:space="0" w:color="auto"/>
        <w:bottom w:val="none" w:sz="0" w:space="0" w:color="auto"/>
        <w:right w:val="none" w:sz="0" w:space="0" w:color="auto"/>
      </w:divBdr>
    </w:div>
    <w:div w:id="620302714">
      <w:bodyDiv w:val="1"/>
      <w:marLeft w:val="0"/>
      <w:marRight w:val="0"/>
      <w:marTop w:val="0"/>
      <w:marBottom w:val="0"/>
      <w:divBdr>
        <w:top w:val="none" w:sz="0" w:space="0" w:color="auto"/>
        <w:left w:val="none" w:sz="0" w:space="0" w:color="auto"/>
        <w:bottom w:val="none" w:sz="0" w:space="0" w:color="auto"/>
        <w:right w:val="none" w:sz="0" w:space="0" w:color="auto"/>
      </w:divBdr>
    </w:div>
    <w:div w:id="630671356">
      <w:bodyDiv w:val="1"/>
      <w:marLeft w:val="0"/>
      <w:marRight w:val="0"/>
      <w:marTop w:val="0"/>
      <w:marBottom w:val="0"/>
      <w:divBdr>
        <w:top w:val="none" w:sz="0" w:space="0" w:color="auto"/>
        <w:left w:val="none" w:sz="0" w:space="0" w:color="auto"/>
        <w:bottom w:val="none" w:sz="0" w:space="0" w:color="auto"/>
        <w:right w:val="none" w:sz="0" w:space="0" w:color="auto"/>
      </w:divBdr>
      <w:divsChild>
        <w:div w:id="37364104">
          <w:marLeft w:val="1714"/>
          <w:marRight w:val="0"/>
          <w:marTop w:val="0"/>
          <w:marBottom w:val="120"/>
          <w:divBdr>
            <w:top w:val="none" w:sz="0" w:space="0" w:color="auto"/>
            <w:left w:val="none" w:sz="0" w:space="0" w:color="auto"/>
            <w:bottom w:val="none" w:sz="0" w:space="0" w:color="auto"/>
            <w:right w:val="none" w:sz="0" w:space="0" w:color="auto"/>
          </w:divBdr>
        </w:div>
        <w:div w:id="363409478">
          <w:marLeft w:val="547"/>
          <w:marRight w:val="0"/>
          <w:marTop w:val="0"/>
          <w:marBottom w:val="240"/>
          <w:divBdr>
            <w:top w:val="none" w:sz="0" w:space="0" w:color="auto"/>
            <w:left w:val="none" w:sz="0" w:space="0" w:color="auto"/>
            <w:bottom w:val="none" w:sz="0" w:space="0" w:color="auto"/>
            <w:right w:val="none" w:sz="0" w:space="0" w:color="auto"/>
          </w:divBdr>
        </w:div>
        <w:div w:id="419453961">
          <w:marLeft w:val="1714"/>
          <w:marRight w:val="0"/>
          <w:marTop w:val="0"/>
          <w:marBottom w:val="120"/>
          <w:divBdr>
            <w:top w:val="none" w:sz="0" w:space="0" w:color="auto"/>
            <w:left w:val="none" w:sz="0" w:space="0" w:color="auto"/>
            <w:bottom w:val="none" w:sz="0" w:space="0" w:color="auto"/>
            <w:right w:val="none" w:sz="0" w:space="0" w:color="auto"/>
          </w:divBdr>
        </w:div>
        <w:div w:id="1546065821">
          <w:marLeft w:val="547"/>
          <w:marRight w:val="0"/>
          <w:marTop w:val="0"/>
          <w:marBottom w:val="240"/>
          <w:divBdr>
            <w:top w:val="none" w:sz="0" w:space="0" w:color="auto"/>
            <w:left w:val="none" w:sz="0" w:space="0" w:color="auto"/>
            <w:bottom w:val="none" w:sz="0" w:space="0" w:color="auto"/>
            <w:right w:val="none" w:sz="0" w:space="0" w:color="auto"/>
          </w:divBdr>
        </w:div>
        <w:div w:id="1660571314">
          <w:marLeft w:val="547"/>
          <w:marRight w:val="0"/>
          <w:marTop w:val="0"/>
          <w:marBottom w:val="240"/>
          <w:divBdr>
            <w:top w:val="none" w:sz="0" w:space="0" w:color="auto"/>
            <w:left w:val="none" w:sz="0" w:space="0" w:color="auto"/>
            <w:bottom w:val="none" w:sz="0" w:space="0" w:color="auto"/>
            <w:right w:val="none" w:sz="0" w:space="0" w:color="auto"/>
          </w:divBdr>
        </w:div>
        <w:div w:id="2011984154">
          <w:marLeft w:val="1714"/>
          <w:marRight w:val="0"/>
          <w:marTop w:val="0"/>
          <w:marBottom w:val="120"/>
          <w:divBdr>
            <w:top w:val="none" w:sz="0" w:space="0" w:color="auto"/>
            <w:left w:val="none" w:sz="0" w:space="0" w:color="auto"/>
            <w:bottom w:val="none" w:sz="0" w:space="0" w:color="auto"/>
            <w:right w:val="none" w:sz="0" w:space="0" w:color="auto"/>
          </w:divBdr>
        </w:div>
        <w:div w:id="2068527166">
          <w:marLeft w:val="547"/>
          <w:marRight w:val="0"/>
          <w:marTop w:val="0"/>
          <w:marBottom w:val="240"/>
          <w:divBdr>
            <w:top w:val="none" w:sz="0" w:space="0" w:color="auto"/>
            <w:left w:val="none" w:sz="0" w:space="0" w:color="auto"/>
            <w:bottom w:val="none" w:sz="0" w:space="0" w:color="auto"/>
            <w:right w:val="none" w:sz="0" w:space="0" w:color="auto"/>
          </w:divBdr>
        </w:div>
      </w:divsChild>
    </w:div>
    <w:div w:id="640812937">
      <w:bodyDiv w:val="1"/>
      <w:marLeft w:val="0"/>
      <w:marRight w:val="0"/>
      <w:marTop w:val="0"/>
      <w:marBottom w:val="0"/>
      <w:divBdr>
        <w:top w:val="none" w:sz="0" w:space="0" w:color="auto"/>
        <w:left w:val="none" w:sz="0" w:space="0" w:color="auto"/>
        <w:bottom w:val="none" w:sz="0" w:space="0" w:color="auto"/>
        <w:right w:val="none" w:sz="0" w:space="0" w:color="auto"/>
      </w:divBdr>
    </w:div>
    <w:div w:id="686105471">
      <w:bodyDiv w:val="1"/>
      <w:marLeft w:val="0"/>
      <w:marRight w:val="0"/>
      <w:marTop w:val="0"/>
      <w:marBottom w:val="0"/>
      <w:divBdr>
        <w:top w:val="none" w:sz="0" w:space="0" w:color="auto"/>
        <w:left w:val="none" w:sz="0" w:space="0" w:color="auto"/>
        <w:bottom w:val="none" w:sz="0" w:space="0" w:color="auto"/>
        <w:right w:val="none" w:sz="0" w:space="0" w:color="auto"/>
      </w:divBdr>
    </w:div>
    <w:div w:id="696271818">
      <w:bodyDiv w:val="1"/>
      <w:marLeft w:val="0"/>
      <w:marRight w:val="0"/>
      <w:marTop w:val="0"/>
      <w:marBottom w:val="0"/>
      <w:divBdr>
        <w:top w:val="none" w:sz="0" w:space="0" w:color="auto"/>
        <w:left w:val="none" w:sz="0" w:space="0" w:color="auto"/>
        <w:bottom w:val="none" w:sz="0" w:space="0" w:color="auto"/>
        <w:right w:val="none" w:sz="0" w:space="0" w:color="auto"/>
      </w:divBdr>
    </w:div>
    <w:div w:id="704527809">
      <w:bodyDiv w:val="1"/>
      <w:marLeft w:val="0"/>
      <w:marRight w:val="0"/>
      <w:marTop w:val="0"/>
      <w:marBottom w:val="0"/>
      <w:divBdr>
        <w:top w:val="none" w:sz="0" w:space="0" w:color="auto"/>
        <w:left w:val="none" w:sz="0" w:space="0" w:color="auto"/>
        <w:bottom w:val="none" w:sz="0" w:space="0" w:color="auto"/>
        <w:right w:val="none" w:sz="0" w:space="0" w:color="auto"/>
      </w:divBdr>
    </w:div>
    <w:div w:id="768046011">
      <w:bodyDiv w:val="1"/>
      <w:marLeft w:val="0"/>
      <w:marRight w:val="0"/>
      <w:marTop w:val="0"/>
      <w:marBottom w:val="0"/>
      <w:divBdr>
        <w:top w:val="none" w:sz="0" w:space="0" w:color="auto"/>
        <w:left w:val="none" w:sz="0" w:space="0" w:color="auto"/>
        <w:bottom w:val="none" w:sz="0" w:space="0" w:color="auto"/>
        <w:right w:val="none" w:sz="0" w:space="0" w:color="auto"/>
      </w:divBdr>
      <w:divsChild>
        <w:div w:id="744493135">
          <w:marLeft w:val="0"/>
          <w:marRight w:val="0"/>
          <w:marTop w:val="0"/>
          <w:marBottom w:val="0"/>
          <w:divBdr>
            <w:top w:val="none" w:sz="0" w:space="0" w:color="auto"/>
            <w:left w:val="none" w:sz="0" w:space="0" w:color="auto"/>
            <w:bottom w:val="none" w:sz="0" w:space="0" w:color="auto"/>
            <w:right w:val="none" w:sz="0" w:space="0" w:color="auto"/>
          </w:divBdr>
        </w:div>
        <w:div w:id="1815676429">
          <w:marLeft w:val="0"/>
          <w:marRight w:val="0"/>
          <w:marTop w:val="0"/>
          <w:marBottom w:val="0"/>
          <w:divBdr>
            <w:top w:val="none" w:sz="0" w:space="0" w:color="auto"/>
            <w:left w:val="none" w:sz="0" w:space="0" w:color="auto"/>
            <w:bottom w:val="none" w:sz="0" w:space="0" w:color="auto"/>
            <w:right w:val="none" w:sz="0" w:space="0" w:color="auto"/>
          </w:divBdr>
        </w:div>
      </w:divsChild>
    </w:div>
    <w:div w:id="773013084">
      <w:bodyDiv w:val="1"/>
      <w:marLeft w:val="0"/>
      <w:marRight w:val="0"/>
      <w:marTop w:val="0"/>
      <w:marBottom w:val="0"/>
      <w:divBdr>
        <w:top w:val="none" w:sz="0" w:space="0" w:color="auto"/>
        <w:left w:val="none" w:sz="0" w:space="0" w:color="auto"/>
        <w:bottom w:val="none" w:sz="0" w:space="0" w:color="auto"/>
        <w:right w:val="none" w:sz="0" w:space="0" w:color="auto"/>
      </w:divBdr>
    </w:div>
    <w:div w:id="785121540">
      <w:bodyDiv w:val="1"/>
      <w:marLeft w:val="0"/>
      <w:marRight w:val="0"/>
      <w:marTop w:val="0"/>
      <w:marBottom w:val="0"/>
      <w:divBdr>
        <w:top w:val="none" w:sz="0" w:space="0" w:color="auto"/>
        <w:left w:val="none" w:sz="0" w:space="0" w:color="auto"/>
        <w:bottom w:val="none" w:sz="0" w:space="0" w:color="auto"/>
        <w:right w:val="none" w:sz="0" w:space="0" w:color="auto"/>
      </w:divBdr>
    </w:div>
    <w:div w:id="798231695">
      <w:bodyDiv w:val="1"/>
      <w:marLeft w:val="0"/>
      <w:marRight w:val="0"/>
      <w:marTop w:val="0"/>
      <w:marBottom w:val="0"/>
      <w:divBdr>
        <w:top w:val="none" w:sz="0" w:space="0" w:color="auto"/>
        <w:left w:val="none" w:sz="0" w:space="0" w:color="auto"/>
        <w:bottom w:val="none" w:sz="0" w:space="0" w:color="auto"/>
        <w:right w:val="none" w:sz="0" w:space="0" w:color="auto"/>
      </w:divBdr>
    </w:div>
    <w:div w:id="803500589">
      <w:bodyDiv w:val="1"/>
      <w:marLeft w:val="0"/>
      <w:marRight w:val="0"/>
      <w:marTop w:val="0"/>
      <w:marBottom w:val="0"/>
      <w:divBdr>
        <w:top w:val="none" w:sz="0" w:space="0" w:color="auto"/>
        <w:left w:val="none" w:sz="0" w:space="0" w:color="auto"/>
        <w:bottom w:val="none" w:sz="0" w:space="0" w:color="auto"/>
        <w:right w:val="none" w:sz="0" w:space="0" w:color="auto"/>
      </w:divBdr>
    </w:div>
    <w:div w:id="815489249">
      <w:bodyDiv w:val="1"/>
      <w:marLeft w:val="0"/>
      <w:marRight w:val="0"/>
      <w:marTop w:val="0"/>
      <w:marBottom w:val="0"/>
      <w:divBdr>
        <w:top w:val="none" w:sz="0" w:space="0" w:color="auto"/>
        <w:left w:val="none" w:sz="0" w:space="0" w:color="auto"/>
        <w:bottom w:val="none" w:sz="0" w:space="0" w:color="auto"/>
        <w:right w:val="none" w:sz="0" w:space="0" w:color="auto"/>
      </w:divBdr>
    </w:div>
    <w:div w:id="896166300">
      <w:bodyDiv w:val="1"/>
      <w:marLeft w:val="0"/>
      <w:marRight w:val="0"/>
      <w:marTop w:val="0"/>
      <w:marBottom w:val="0"/>
      <w:divBdr>
        <w:top w:val="none" w:sz="0" w:space="0" w:color="auto"/>
        <w:left w:val="none" w:sz="0" w:space="0" w:color="auto"/>
        <w:bottom w:val="none" w:sz="0" w:space="0" w:color="auto"/>
        <w:right w:val="none" w:sz="0" w:space="0" w:color="auto"/>
      </w:divBdr>
    </w:div>
    <w:div w:id="912084430">
      <w:bodyDiv w:val="1"/>
      <w:marLeft w:val="0"/>
      <w:marRight w:val="0"/>
      <w:marTop w:val="0"/>
      <w:marBottom w:val="0"/>
      <w:divBdr>
        <w:top w:val="none" w:sz="0" w:space="0" w:color="auto"/>
        <w:left w:val="none" w:sz="0" w:space="0" w:color="auto"/>
        <w:bottom w:val="none" w:sz="0" w:space="0" w:color="auto"/>
        <w:right w:val="none" w:sz="0" w:space="0" w:color="auto"/>
      </w:divBdr>
    </w:div>
    <w:div w:id="931743459">
      <w:bodyDiv w:val="1"/>
      <w:marLeft w:val="0"/>
      <w:marRight w:val="0"/>
      <w:marTop w:val="0"/>
      <w:marBottom w:val="0"/>
      <w:divBdr>
        <w:top w:val="none" w:sz="0" w:space="0" w:color="auto"/>
        <w:left w:val="none" w:sz="0" w:space="0" w:color="auto"/>
        <w:bottom w:val="none" w:sz="0" w:space="0" w:color="auto"/>
        <w:right w:val="none" w:sz="0" w:space="0" w:color="auto"/>
      </w:divBdr>
    </w:div>
    <w:div w:id="933898945">
      <w:bodyDiv w:val="1"/>
      <w:marLeft w:val="0"/>
      <w:marRight w:val="0"/>
      <w:marTop w:val="0"/>
      <w:marBottom w:val="0"/>
      <w:divBdr>
        <w:top w:val="none" w:sz="0" w:space="0" w:color="auto"/>
        <w:left w:val="none" w:sz="0" w:space="0" w:color="auto"/>
        <w:bottom w:val="none" w:sz="0" w:space="0" w:color="auto"/>
        <w:right w:val="none" w:sz="0" w:space="0" w:color="auto"/>
      </w:divBdr>
    </w:div>
    <w:div w:id="949504890">
      <w:bodyDiv w:val="1"/>
      <w:marLeft w:val="0"/>
      <w:marRight w:val="0"/>
      <w:marTop w:val="0"/>
      <w:marBottom w:val="0"/>
      <w:divBdr>
        <w:top w:val="none" w:sz="0" w:space="0" w:color="auto"/>
        <w:left w:val="none" w:sz="0" w:space="0" w:color="auto"/>
        <w:bottom w:val="none" w:sz="0" w:space="0" w:color="auto"/>
        <w:right w:val="none" w:sz="0" w:space="0" w:color="auto"/>
      </w:divBdr>
    </w:div>
    <w:div w:id="958992397">
      <w:bodyDiv w:val="1"/>
      <w:marLeft w:val="0"/>
      <w:marRight w:val="0"/>
      <w:marTop w:val="0"/>
      <w:marBottom w:val="0"/>
      <w:divBdr>
        <w:top w:val="none" w:sz="0" w:space="0" w:color="auto"/>
        <w:left w:val="none" w:sz="0" w:space="0" w:color="auto"/>
        <w:bottom w:val="none" w:sz="0" w:space="0" w:color="auto"/>
        <w:right w:val="none" w:sz="0" w:space="0" w:color="auto"/>
      </w:divBdr>
    </w:div>
    <w:div w:id="965698662">
      <w:bodyDiv w:val="1"/>
      <w:marLeft w:val="0"/>
      <w:marRight w:val="0"/>
      <w:marTop w:val="0"/>
      <w:marBottom w:val="0"/>
      <w:divBdr>
        <w:top w:val="none" w:sz="0" w:space="0" w:color="auto"/>
        <w:left w:val="none" w:sz="0" w:space="0" w:color="auto"/>
        <w:bottom w:val="none" w:sz="0" w:space="0" w:color="auto"/>
        <w:right w:val="none" w:sz="0" w:space="0" w:color="auto"/>
      </w:divBdr>
      <w:divsChild>
        <w:div w:id="372925707">
          <w:marLeft w:val="0"/>
          <w:marRight w:val="0"/>
          <w:marTop w:val="0"/>
          <w:marBottom w:val="0"/>
          <w:divBdr>
            <w:top w:val="none" w:sz="0" w:space="0" w:color="auto"/>
            <w:left w:val="none" w:sz="0" w:space="0" w:color="auto"/>
            <w:bottom w:val="none" w:sz="0" w:space="0" w:color="auto"/>
            <w:right w:val="none" w:sz="0" w:space="0" w:color="auto"/>
          </w:divBdr>
        </w:div>
        <w:div w:id="465317528">
          <w:marLeft w:val="0"/>
          <w:marRight w:val="0"/>
          <w:marTop w:val="0"/>
          <w:marBottom w:val="0"/>
          <w:divBdr>
            <w:top w:val="none" w:sz="0" w:space="0" w:color="auto"/>
            <w:left w:val="none" w:sz="0" w:space="0" w:color="auto"/>
            <w:bottom w:val="none" w:sz="0" w:space="0" w:color="auto"/>
            <w:right w:val="none" w:sz="0" w:space="0" w:color="auto"/>
          </w:divBdr>
        </w:div>
        <w:div w:id="1895459869">
          <w:marLeft w:val="0"/>
          <w:marRight w:val="0"/>
          <w:marTop w:val="0"/>
          <w:marBottom w:val="0"/>
          <w:divBdr>
            <w:top w:val="none" w:sz="0" w:space="0" w:color="auto"/>
            <w:left w:val="none" w:sz="0" w:space="0" w:color="auto"/>
            <w:bottom w:val="none" w:sz="0" w:space="0" w:color="auto"/>
            <w:right w:val="none" w:sz="0" w:space="0" w:color="auto"/>
          </w:divBdr>
        </w:div>
      </w:divsChild>
    </w:div>
    <w:div w:id="1037126834">
      <w:bodyDiv w:val="1"/>
      <w:marLeft w:val="0"/>
      <w:marRight w:val="0"/>
      <w:marTop w:val="0"/>
      <w:marBottom w:val="0"/>
      <w:divBdr>
        <w:top w:val="none" w:sz="0" w:space="0" w:color="auto"/>
        <w:left w:val="none" w:sz="0" w:space="0" w:color="auto"/>
        <w:bottom w:val="none" w:sz="0" w:space="0" w:color="auto"/>
        <w:right w:val="none" w:sz="0" w:space="0" w:color="auto"/>
      </w:divBdr>
    </w:div>
    <w:div w:id="1062559329">
      <w:bodyDiv w:val="1"/>
      <w:marLeft w:val="0"/>
      <w:marRight w:val="0"/>
      <w:marTop w:val="0"/>
      <w:marBottom w:val="0"/>
      <w:divBdr>
        <w:top w:val="none" w:sz="0" w:space="0" w:color="auto"/>
        <w:left w:val="none" w:sz="0" w:space="0" w:color="auto"/>
        <w:bottom w:val="none" w:sz="0" w:space="0" w:color="auto"/>
        <w:right w:val="none" w:sz="0" w:space="0" w:color="auto"/>
      </w:divBdr>
    </w:div>
    <w:div w:id="1063216428">
      <w:bodyDiv w:val="1"/>
      <w:marLeft w:val="0"/>
      <w:marRight w:val="0"/>
      <w:marTop w:val="0"/>
      <w:marBottom w:val="0"/>
      <w:divBdr>
        <w:top w:val="none" w:sz="0" w:space="0" w:color="auto"/>
        <w:left w:val="none" w:sz="0" w:space="0" w:color="auto"/>
        <w:bottom w:val="none" w:sz="0" w:space="0" w:color="auto"/>
        <w:right w:val="none" w:sz="0" w:space="0" w:color="auto"/>
      </w:divBdr>
    </w:div>
    <w:div w:id="1146048152">
      <w:bodyDiv w:val="1"/>
      <w:marLeft w:val="0"/>
      <w:marRight w:val="0"/>
      <w:marTop w:val="0"/>
      <w:marBottom w:val="0"/>
      <w:divBdr>
        <w:top w:val="none" w:sz="0" w:space="0" w:color="auto"/>
        <w:left w:val="none" w:sz="0" w:space="0" w:color="auto"/>
        <w:bottom w:val="none" w:sz="0" w:space="0" w:color="auto"/>
        <w:right w:val="none" w:sz="0" w:space="0" w:color="auto"/>
      </w:divBdr>
    </w:div>
    <w:div w:id="1176460269">
      <w:bodyDiv w:val="1"/>
      <w:marLeft w:val="0"/>
      <w:marRight w:val="0"/>
      <w:marTop w:val="0"/>
      <w:marBottom w:val="0"/>
      <w:divBdr>
        <w:top w:val="none" w:sz="0" w:space="0" w:color="auto"/>
        <w:left w:val="none" w:sz="0" w:space="0" w:color="auto"/>
        <w:bottom w:val="none" w:sz="0" w:space="0" w:color="auto"/>
        <w:right w:val="none" w:sz="0" w:space="0" w:color="auto"/>
      </w:divBdr>
    </w:div>
    <w:div w:id="1195576299">
      <w:bodyDiv w:val="1"/>
      <w:marLeft w:val="0"/>
      <w:marRight w:val="0"/>
      <w:marTop w:val="0"/>
      <w:marBottom w:val="0"/>
      <w:divBdr>
        <w:top w:val="none" w:sz="0" w:space="0" w:color="auto"/>
        <w:left w:val="none" w:sz="0" w:space="0" w:color="auto"/>
        <w:bottom w:val="none" w:sz="0" w:space="0" w:color="auto"/>
        <w:right w:val="none" w:sz="0" w:space="0" w:color="auto"/>
      </w:divBdr>
    </w:div>
    <w:div w:id="1207840573">
      <w:bodyDiv w:val="1"/>
      <w:marLeft w:val="0"/>
      <w:marRight w:val="0"/>
      <w:marTop w:val="0"/>
      <w:marBottom w:val="0"/>
      <w:divBdr>
        <w:top w:val="none" w:sz="0" w:space="0" w:color="auto"/>
        <w:left w:val="none" w:sz="0" w:space="0" w:color="auto"/>
        <w:bottom w:val="none" w:sz="0" w:space="0" w:color="auto"/>
        <w:right w:val="none" w:sz="0" w:space="0" w:color="auto"/>
      </w:divBdr>
    </w:div>
    <w:div w:id="1216238565">
      <w:bodyDiv w:val="1"/>
      <w:marLeft w:val="0"/>
      <w:marRight w:val="0"/>
      <w:marTop w:val="0"/>
      <w:marBottom w:val="0"/>
      <w:divBdr>
        <w:top w:val="none" w:sz="0" w:space="0" w:color="auto"/>
        <w:left w:val="none" w:sz="0" w:space="0" w:color="auto"/>
        <w:bottom w:val="none" w:sz="0" w:space="0" w:color="auto"/>
        <w:right w:val="none" w:sz="0" w:space="0" w:color="auto"/>
      </w:divBdr>
      <w:divsChild>
        <w:div w:id="592124526">
          <w:marLeft w:val="0"/>
          <w:marRight w:val="0"/>
          <w:marTop w:val="0"/>
          <w:marBottom w:val="0"/>
          <w:divBdr>
            <w:top w:val="none" w:sz="0" w:space="0" w:color="auto"/>
            <w:left w:val="none" w:sz="0" w:space="0" w:color="auto"/>
            <w:bottom w:val="none" w:sz="0" w:space="0" w:color="auto"/>
            <w:right w:val="none" w:sz="0" w:space="0" w:color="auto"/>
          </w:divBdr>
        </w:div>
        <w:div w:id="1940217507">
          <w:marLeft w:val="0"/>
          <w:marRight w:val="0"/>
          <w:marTop w:val="0"/>
          <w:marBottom w:val="0"/>
          <w:divBdr>
            <w:top w:val="none" w:sz="0" w:space="0" w:color="auto"/>
            <w:left w:val="none" w:sz="0" w:space="0" w:color="auto"/>
            <w:bottom w:val="none" w:sz="0" w:space="0" w:color="auto"/>
            <w:right w:val="none" w:sz="0" w:space="0" w:color="auto"/>
          </w:divBdr>
        </w:div>
      </w:divsChild>
    </w:div>
    <w:div w:id="1229877961">
      <w:bodyDiv w:val="1"/>
      <w:marLeft w:val="0"/>
      <w:marRight w:val="0"/>
      <w:marTop w:val="0"/>
      <w:marBottom w:val="0"/>
      <w:divBdr>
        <w:top w:val="none" w:sz="0" w:space="0" w:color="auto"/>
        <w:left w:val="none" w:sz="0" w:space="0" w:color="auto"/>
        <w:bottom w:val="none" w:sz="0" w:space="0" w:color="auto"/>
        <w:right w:val="none" w:sz="0" w:space="0" w:color="auto"/>
      </w:divBdr>
    </w:div>
    <w:div w:id="1266697187">
      <w:bodyDiv w:val="1"/>
      <w:marLeft w:val="0"/>
      <w:marRight w:val="0"/>
      <w:marTop w:val="0"/>
      <w:marBottom w:val="0"/>
      <w:divBdr>
        <w:top w:val="none" w:sz="0" w:space="0" w:color="auto"/>
        <w:left w:val="none" w:sz="0" w:space="0" w:color="auto"/>
        <w:bottom w:val="none" w:sz="0" w:space="0" w:color="auto"/>
        <w:right w:val="none" w:sz="0" w:space="0" w:color="auto"/>
      </w:divBdr>
    </w:div>
    <w:div w:id="1272709737">
      <w:bodyDiv w:val="1"/>
      <w:marLeft w:val="0"/>
      <w:marRight w:val="0"/>
      <w:marTop w:val="0"/>
      <w:marBottom w:val="0"/>
      <w:divBdr>
        <w:top w:val="none" w:sz="0" w:space="0" w:color="auto"/>
        <w:left w:val="none" w:sz="0" w:space="0" w:color="auto"/>
        <w:bottom w:val="none" w:sz="0" w:space="0" w:color="auto"/>
        <w:right w:val="none" w:sz="0" w:space="0" w:color="auto"/>
      </w:divBdr>
    </w:div>
    <w:div w:id="1285885117">
      <w:bodyDiv w:val="1"/>
      <w:marLeft w:val="0"/>
      <w:marRight w:val="0"/>
      <w:marTop w:val="0"/>
      <w:marBottom w:val="0"/>
      <w:divBdr>
        <w:top w:val="none" w:sz="0" w:space="0" w:color="auto"/>
        <w:left w:val="none" w:sz="0" w:space="0" w:color="auto"/>
        <w:bottom w:val="none" w:sz="0" w:space="0" w:color="auto"/>
        <w:right w:val="none" w:sz="0" w:space="0" w:color="auto"/>
      </w:divBdr>
    </w:div>
    <w:div w:id="1299410165">
      <w:bodyDiv w:val="1"/>
      <w:marLeft w:val="0"/>
      <w:marRight w:val="0"/>
      <w:marTop w:val="0"/>
      <w:marBottom w:val="0"/>
      <w:divBdr>
        <w:top w:val="none" w:sz="0" w:space="0" w:color="auto"/>
        <w:left w:val="none" w:sz="0" w:space="0" w:color="auto"/>
        <w:bottom w:val="none" w:sz="0" w:space="0" w:color="auto"/>
        <w:right w:val="none" w:sz="0" w:space="0" w:color="auto"/>
      </w:divBdr>
    </w:div>
    <w:div w:id="1328481933">
      <w:bodyDiv w:val="1"/>
      <w:marLeft w:val="0"/>
      <w:marRight w:val="0"/>
      <w:marTop w:val="0"/>
      <w:marBottom w:val="0"/>
      <w:divBdr>
        <w:top w:val="none" w:sz="0" w:space="0" w:color="auto"/>
        <w:left w:val="none" w:sz="0" w:space="0" w:color="auto"/>
        <w:bottom w:val="none" w:sz="0" w:space="0" w:color="auto"/>
        <w:right w:val="none" w:sz="0" w:space="0" w:color="auto"/>
      </w:divBdr>
      <w:divsChild>
        <w:div w:id="561404093">
          <w:marLeft w:val="0"/>
          <w:marRight w:val="0"/>
          <w:marTop w:val="0"/>
          <w:marBottom w:val="0"/>
          <w:divBdr>
            <w:top w:val="none" w:sz="0" w:space="0" w:color="auto"/>
            <w:left w:val="none" w:sz="0" w:space="0" w:color="auto"/>
            <w:bottom w:val="none" w:sz="0" w:space="0" w:color="auto"/>
            <w:right w:val="none" w:sz="0" w:space="0" w:color="auto"/>
          </w:divBdr>
        </w:div>
        <w:div w:id="1641375433">
          <w:marLeft w:val="0"/>
          <w:marRight w:val="0"/>
          <w:marTop w:val="0"/>
          <w:marBottom w:val="0"/>
          <w:divBdr>
            <w:top w:val="none" w:sz="0" w:space="0" w:color="auto"/>
            <w:left w:val="none" w:sz="0" w:space="0" w:color="auto"/>
            <w:bottom w:val="none" w:sz="0" w:space="0" w:color="auto"/>
            <w:right w:val="none" w:sz="0" w:space="0" w:color="auto"/>
          </w:divBdr>
        </w:div>
      </w:divsChild>
    </w:div>
    <w:div w:id="1346982223">
      <w:bodyDiv w:val="1"/>
      <w:marLeft w:val="0"/>
      <w:marRight w:val="0"/>
      <w:marTop w:val="0"/>
      <w:marBottom w:val="0"/>
      <w:divBdr>
        <w:top w:val="none" w:sz="0" w:space="0" w:color="auto"/>
        <w:left w:val="none" w:sz="0" w:space="0" w:color="auto"/>
        <w:bottom w:val="none" w:sz="0" w:space="0" w:color="auto"/>
        <w:right w:val="none" w:sz="0" w:space="0" w:color="auto"/>
      </w:divBdr>
    </w:div>
    <w:div w:id="1404335443">
      <w:bodyDiv w:val="1"/>
      <w:marLeft w:val="0"/>
      <w:marRight w:val="0"/>
      <w:marTop w:val="0"/>
      <w:marBottom w:val="0"/>
      <w:divBdr>
        <w:top w:val="none" w:sz="0" w:space="0" w:color="auto"/>
        <w:left w:val="none" w:sz="0" w:space="0" w:color="auto"/>
        <w:bottom w:val="none" w:sz="0" w:space="0" w:color="auto"/>
        <w:right w:val="none" w:sz="0" w:space="0" w:color="auto"/>
      </w:divBdr>
    </w:div>
    <w:div w:id="1408191170">
      <w:bodyDiv w:val="1"/>
      <w:marLeft w:val="0"/>
      <w:marRight w:val="0"/>
      <w:marTop w:val="0"/>
      <w:marBottom w:val="0"/>
      <w:divBdr>
        <w:top w:val="none" w:sz="0" w:space="0" w:color="auto"/>
        <w:left w:val="none" w:sz="0" w:space="0" w:color="auto"/>
        <w:bottom w:val="none" w:sz="0" w:space="0" w:color="auto"/>
        <w:right w:val="none" w:sz="0" w:space="0" w:color="auto"/>
      </w:divBdr>
    </w:div>
    <w:div w:id="1411728681">
      <w:bodyDiv w:val="1"/>
      <w:marLeft w:val="0"/>
      <w:marRight w:val="0"/>
      <w:marTop w:val="0"/>
      <w:marBottom w:val="0"/>
      <w:divBdr>
        <w:top w:val="none" w:sz="0" w:space="0" w:color="auto"/>
        <w:left w:val="none" w:sz="0" w:space="0" w:color="auto"/>
        <w:bottom w:val="none" w:sz="0" w:space="0" w:color="auto"/>
        <w:right w:val="none" w:sz="0" w:space="0" w:color="auto"/>
      </w:divBdr>
      <w:divsChild>
        <w:div w:id="453528401">
          <w:marLeft w:val="547"/>
          <w:marRight w:val="0"/>
          <w:marTop w:val="0"/>
          <w:marBottom w:val="120"/>
          <w:divBdr>
            <w:top w:val="none" w:sz="0" w:space="0" w:color="auto"/>
            <w:left w:val="none" w:sz="0" w:space="0" w:color="auto"/>
            <w:bottom w:val="none" w:sz="0" w:space="0" w:color="auto"/>
            <w:right w:val="none" w:sz="0" w:space="0" w:color="auto"/>
          </w:divBdr>
        </w:div>
        <w:div w:id="1820154168">
          <w:marLeft w:val="547"/>
          <w:marRight w:val="0"/>
          <w:marTop w:val="0"/>
          <w:marBottom w:val="120"/>
          <w:divBdr>
            <w:top w:val="none" w:sz="0" w:space="0" w:color="auto"/>
            <w:left w:val="none" w:sz="0" w:space="0" w:color="auto"/>
            <w:bottom w:val="none" w:sz="0" w:space="0" w:color="auto"/>
            <w:right w:val="none" w:sz="0" w:space="0" w:color="auto"/>
          </w:divBdr>
        </w:div>
      </w:divsChild>
    </w:div>
    <w:div w:id="1413509864">
      <w:bodyDiv w:val="1"/>
      <w:marLeft w:val="0"/>
      <w:marRight w:val="0"/>
      <w:marTop w:val="0"/>
      <w:marBottom w:val="0"/>
      <w:divBdr>
        <w:top w:val="none" w:sz="0" w:space="0" w:color="auto"/>
        <w:left w:val="none" w:sz="0" w:space="0" w:color="auto"/>
        <w:bottom w:val="none" w:sz="0" w:space="0" w:color="auto"/>
        <w:right w:val="none" w:sz="0" w:space="0" w:color="auto"/>
      </w:divBdr>
    </w:div>
    <w:div w:id="1416438639">
      <w:bodyDiv w:val="1"/>
      <w:marLeft w:val="0"/>
      <w:marRight w:val="0"/>
      <w:marTop w:val="0"/>
      <w:marBottom w:val="0"/>
      <w:divBdr>
        <w:top w:val="none" w:sz="0" w:space="0" w:color="auto"/>
        <w:left w:val="none" w:sz="0" w:space="0" w:color="auto"/>
        <w:bottom w:val="none" w:sz="0" w:space="0" w:color="auto"/>
        <w:right w:val="none" w:sz="0" w:space="0" w:color="auto"/>
      </w:divBdr>
    </w:div>
    <w:div w:id="1429546048">
      <w:bodyDiv w:val="1"/>
      <w:marLeft w:val="0"/>
      <w:marRight w:val="0"/>
      <w:marTop w:val="0"/>
      <w:marBottom w:val="0"/>
      <w:divBdr>
        <w:top w:val="none" w:sz="0" w:space="0" w:color="auto"/>
        <w:left w:val="none" w:sz="0" w:space="0" w:color="auto"/>
        <w:bottom w:val="none" w:sz="0" w:space="0" w:color="auto"/>
        <w:right w:val="none" w:sz="0" w:space="0" w:color="auto"/>
      </w:divBdr>
    </w:div>
    <w:div w:id="1442920468">
      <w:bodyDiv w:val="1"/>
      <w:marLeft w:val="0"/>
      <w:marRight w:val="0"/>
      <w:marTop w:val="0"/>
      <w:marBottom w:val="0"/>
      <w:divBdr>
        <w:top w:val="none" w:sz="0" w:space="0" w:color="auto"/>
        <w:left w:val="none" w:sz="0" w:space="0" w:color="auto"/>
        <w:bottom w:val="none" w:sz="0" w:space="0" w:color="auto"/>
        <w:right w:val="none" w:sz="0" w:space="0" w:color="auto"/>
      </w:divBdr>
      <w:divsChild>
        <w:div w:id="1234506476">
          <w:marLeft w:val="0"/>
          <w:marRight w:val="0"/>
          <w:marTop w:val="0"/>
          <w:marBottom w:val="0"/>
          <w:divBdr>
            <w:top w:val="none" w:sz="0" w:space="0" w:color="auto"/>
            <w:left w:val="none" w:sz="0" w:space="0" w:color="auto"/>
            <w:bottom w:val="none" w:sz="0" w:space="0" w:color="auto"/>
            <w:right w:val="none" w:sz="0" w:space="0" w:color="auto"/>
          </w:divBdr>
          <w:divsChild>
            <w:div w:id="158887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72523">
      <w:bodyDiv w:val="1"/>
      <w:marLeft w:val="0"/>
      <w:marRight w:val="0"/>
      <w:marTop w:val="0"/>
      <w:marBottom w:val="0"/>
      <w:divBdr>
        <w:top w:val="none" w:sz="0" w:space="0" w:color="auto"/>
        <w:left w:val="none" w:sz="0" w:space="0" w:color="auto"/>
        <w:bottom w:val="none" w:sz="0" w:space="0" w:color="auto"/>
        <w:right w:val="none" w:sz="0" w:space="0" w:color="auto"/>
      </w:divBdr>
      <w:divsChild>
        <w:div w:id="798761408">
          <w:marLeft w:val="0"/>
          <w:marRight w:val="0"/>
          <w:marTop w:val="0"/>
          <w:marBottom w:val="0"/>
          <w:divBdr>
            <w:top w:val="none" w:sz="0" w:space="0" w:color="auto"/>
            <w:left w:val="none" w:sz="0" w:space="0" w:color="auto"/>
            <w:bottom w:val="none" w:sz="0" w:space="0" w:color="auto"/>
            <w:right w:val="none" w:sz="0" w:space="0" w:color="auto"/>
          </w:divBdr>
        </w:div>
        <w:div w:id="2089769031">
          <w:marLeft w:val="0"/>
          <w:marRight w:val="0"/>
          <w:marTop w:val="0"/>
          <w:marBottom w:val="0"/>
          <w:divBdr>
            <w:top w:val="none" w:sz="0" w:space="0" w:color="auto"/>
            <w:left w:val="none" w:sz="0" w:space="0" w:color="auto"/>
            <w:bottom w:val="none" w:sz="0" w:space="0" w:color="auto"/>
            <w:right w:val="none" w:sz="0" w:space="0" w:color="auto"/>
          </w:divBdr>
        </w:div>
      </w:divsChild>
    </w:div>
    <w:div w:id="1511095535">
      <w:bodyDiv w:val="1"/>
      <w:marLeft w:val="0"/>
      <w:marRight w:val="0"/>
      <w:marTop w:val="0"/>
      <w:marBottom w:val="0"/>
      <w:divBdr>
        <w:top w:val="none" w:sz="0" w:space="0" w:color="auto"/>
        <w:left w:val="none" w:sz="0" w:space="0" w:color="auto"/>
        <w:bottom w:val="none" w:sz="0" w:space="0" w:color="auto"/>
        <w:right w:val="none" w:sz="0" w:space="0" w:color="auto"/>
      </w:divBdr>
      <w:divsChild>
        <w:div w:id="1759255716">
          <w:marLeft w:val="0"/>
          <w:marRight w:val="0"/>
          <w:marTop w:val="0"/>
          <w:marBottom w:val="0"/>
          <w:divBdr>
            <w:top w:val="none" w:sz="0" w:space="0" w:color="auto"/>
            <w:left w:val="none" w:sz="0" w:space="0" w:color="auto"/>
            <w:bottom w:val="none" w:sz="0" w:space="0" w:color="auto"/>
            <w:right w:val="none" w:sz="0" w:space="0" w:color="auto"/>
          </w:divBdr>
          <w:divsChild>
            <w:div w:id="1182822240">
              <w:marLeft w:val="0"/>
              <w:marRight w:val="0"/>
              <w:marTop w:val="0"/>
              <w:marBottom w:val="0"/>
              <w:divBdr>
                <w:top w:val="none" w:sz="0" w:space="0" w:color="auto"/>
                <w:left w:val="none" w:sz="0" w:space="0" w:color="auto"/>
                <w:bottom w:val="none" w:sz="0" w:space="0" w:color="auto"/>
                <w:right w:val="none" w:sz="0" w:space="0" w:color="auto"/>
              </w:divBdr>
              <w:divsChild>
                <w:div w:id="1850103199">
                  <w:marLeft w:val="0"/>
                  <w:marRight w:val="0"/>
                  <w:marTop w:val="0"/>
                  <w:marBottom w:val="0"/>
                  <w:divBdr>
                    <w:top w:val="none" w:sz="0" w:space="0" w:color="auto"/>
                    <w:left w:val="none" w:sz="0" w:space="0" w:color="auto"/>
                    <w:bottom w:val="none" w:sz="0" w:space="0" w:color="auto"/>
                    <w:right w:val="none" w:sz="0" w:space="0" w:color="auto"/>
                  </w:divBdr>
                  <w:divsChild>
                    <w:div w:id="893278167">
                      <w:marLeft w:val="0"/>
                      <w:marRight w:val="0"/>
                      <w:marTop w:val="0"/>
                      <w:marBottom w:val="0"/>
                      <w:divBdr>
                        <w:top w:val="none" w:sz="0" w:space="0" w:color="auto"/>
                        <w:left w:val="none" w:sz="0" w:space="0" w:color="auto"/>
                        <w:bottom w:val="none" w:sz="0" w:space="0" w:color="auto"/>
                        <w:right w:val="none" w:sz="0" w:space="0" w:color="auto"/>
                      </w:divBdr>
                      <w:divsChild>
                        <w:div w:id="1086655443">
                          <w:marLeft w:val="0"/>
                          <w:marRight w:val="0"/>
                          <w:marTop w:val="0"/>
                          <w:marBottom w:val="0"/>
                          <w:divBdr>
                            <w:top w:val="none" w:sz="0" w:space="0" w:color="auto"/>
                            <w:left w:val="none" w:sz="0" w:space="0" w:color="auto"/>
                            <w:bottom w:val="none" w:sz="0" w:space="0" w:color="auto"/>
                            <w:right w:val="none" w:sz="0" w:space="0" w:color="auto"/>
                          </w:divBdr>
                          <w:divsChild>
                            <w:div w:id="22854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744314">
      <w:bodyDiv w:val="1"/>
      <w:marLeft w:val="0"/>
      <w:marRight w:val="0"/>
      <w:marTop w:val="0"/>
      <w:marBottom w:val="0"/>
      <w:divBdr>
        <w:top w:val="none" w:sz="0" w:space="0" w:color="auto"/>
        <w:left w:val="none" w:sz="0" w:space="0" w:color="auto"/>
        <w:bottom w:val="none" w:sz="0" w:space="0" w:color="auto"/>
        <w:right w:val="none" w:sz="0" w:space="0" w:color="auto"/>
      </w:divBdr>
    </w:div>
    <w:div w:id="1528837059">
      <w:bodyDiv w:val="1"/>
      <w:marLeft w:val="0"/>
      <w:marRight w:val="0"/>
      <w:marTop w:val="0"/>
      <w:marBottom w:val="0"/>
      <w:divBdr>
        <w:top w:val="none" w:sz="0" w:space="0" w:color="auto"/>
        <w:left w:val="none" w:sz="0" w:space="0" w:color="auto"/>
        <w:bottom w:val="none" w:sz="0" w:space="0" w:color="auto"/>
        <w:right w:val="none" w:sz="0" w:space="0" w:color="auto"/>
      </w:divBdr>
    </w:div>
    <w:div w:id="1550612292">
      <w:bodyDiv w:val="1"/>
      <w:marLeft w:val="0"/>
      <w:marRight w:val="0"/>
      <w:marTop w:val="0"/>
      <w:marBottom w:val="0"/>
      <w:divBdr>
        <w:top w:val="none" w:sz="0" w:space="0" w:color="auto"/>
        <w:left w:val="none" w:sz="0" w:space="0" w:color="auto"/>
        <w:bottom w:val="none" w:sz="0" w:space="0" w:color="auto"/>
        <w:right w:val="none" w:sz="0" w:space="0" w:color="auto"/>
      </w:divBdr>
      <w:divsChild>
        <w:div w:id="1678533879">
          <w:marLeft w:val="0"/>
          <w:marRight w:val="0"/>
          <w:marTop w:val="0"/>
          <w:marBottom w:val="0"/>
          <w:divBdr>
            <w:top w:val="none" w:sz="0" w:space="0" w:color="auto"/>
            <w:left w:val="none" w:sz="0" w:space="0" w:color="auto"/>
            <w:bottom w:val="none" w:sz="0" w:space="0" w:color="auto"/>
            <w:right w:val="none" w:sz="0" w:space="0" w:color="auto"/>
          </w:divBdr>
          <w:divsChild>
            <w:div w:id="13491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8402">
      <w:bodyDiv w:val="1"/>
      <w:marLeft w:val="0"/>
      <w:marRight w:val="0"/>
      <w:marTop w:val="0"/>
      <w:marBottom w:val="0"/>
      <w:divBdr>
        <w:top w:val="none" w:sz="0" w:space="0" w:color="auto"/>
        <w:left w:val="none" w:sz="0" w:space="0" w:color="auto"/>
        <w:bottom w:val="none" w:sz="0" w:space="0" w:color="auto"/>
        <w:right w:val="none" w:sz="0" w:space="0" w:color="auto"/>
      </w:divBdr>
    </w:div>
    <w:div w:id="1673219761">
      <w:bodyDiv w:val="1"/>
      <w:marLeft w:val="0"/>
      <w:marRight w:val="0"/>
      <w:marTop w:val="0"/>
      <w:marBottom w:val="0"/>
      <w:divBdr>
        <w:top w:val="none" w:sz="0" w:space="0" w:color="auto"/>
        <w:left w:val="none" w:sz="0" w:space="0" w:color="auto"/>
        <w:bottom w:val="none" w:sz="0" w:space="0" w:color="auto"/>
        <w:right w:val="none" w:sz="0" w:space="0" w:color="auto"/>
      </w:divBdr>
    </w:div>
    <w:div w:id="1678114875">
      <w:bodyDiv w:val="1"/>
      <w:marLeft w:val="0"/>
      <w:marRight w:val="0"/>
      <w:marTop w:val="0"/>
      <w:marBottom w:val="0"/>
      <w:divBdr>
        <w:top w:val="none" w:sz="0" w:space="0" w:color="auto"/>
        <w:left w:val="none" w:sz="0" w:space="0" w:color="auto"/>
        <w:bottom w:val="none" w:sz="0" w:space="0" w:color="auto"/>
        <w:right w:val="none" w:sz="0" w:space="0" w:color="auto"/>
      </w:divBdr>
    </w:div>
    <w:div w:id="1711611488">
      <w:bodyDiv w:val="1"/>
      <w:marLeft w:val="0"/>
      <w:marRight w:val="0"/>
      <w:marTop w:val="0"/>
      <w:marBottom w:val="0"/>
      <w:divBdr>
        <w:top w:val="none" w:sz="0" w:space="0" w:color="auto"/>
        <w:left w:val="none" w:sz="0" w:space="0" w:color="auto"/>
        <w:bottom w:val="none" w:sz="0" w:space="0" w:color="auto"/>
        <w:right w:val="none" w:sz="0" w:space="0" w:color="auto"/>
      </w:divBdr>
    </w:div>
    <w:div w:id="1712849163">
      <w:bodyDiv w:val="1"/>
      <w:marLeft w:val="0"/>
      <w:marRight w:val="0"/>
      <w:marTop w:val="0"/>
      <w:marBottom w:val="0"/>
      <w:divBdr>
        <w:top w:val="none" w:sz="0" w:space="0" w:color="auto"/>
        <w:left w:val="none" w:sz="0" w:space="0" w:color="auto"/>
        <w:bottom w:val="none" w:sz="0" w:space="0" w:color="auto"/>
        <w:right w:val="none" w:sz="0" w:space="0" w:color="auto"/>
      </w:divBdr>
    </w:div>
    <w:div w:id="1733310213">
      <w:bodyDiv w:val="1"/>
      <w:marLeft w:val="0"/>
      <w:marRight w:val="0"/>
      <w:marTop w:val="0"/>
      <w:marBottom w:val="0"/>
      <w:divBdr>
        <w:top w:val="none" w:sz="0" w:space="0" w:color="auto"/>
        <w:left w:val="none" w:sz="0" w:space="0" w:color="auto"/>
        <w:bottom w:val="none" w:sz="0" w:space="0" w:color="auto"/>
        <w:right w:val="none" w:sz="0" w:space="0" w:color="auto"/>
      </w:divBdr>
    </w:div>
    <w:div w:id="1753889079">
      <w:bodyDiv w:val="1"/>
      <w:marLeft w:val="0"/>
      <w:marRight w:val="0"/>
      <w:marTop w:val="0"/>
      <w:marBottom w:val="0"/>
      <w:divBdr>
        <w:top w:val="none" w:sz="0" w:space="0" w:color="auto"/>
        <w:left w:val="none" w:sz="0" w:space="0" w:color="auto"/>
        <w:bottom w:val="none" w:sz="0" w:space="0" w:color="auto"/>
        <w:right w:val="none" w:sz="0" w:space="0" w:color="auto"/>
      </w:divBdr>
      <w:divsChild>
        <w:div w:id="363555294">
          <w:marLeft w:val="0"/>
          <w:marRight w:val="0"/>
          <w:marTop w:val="0"/>
          <w:marBottom w:val="0"/>
          <w:divBdr>
            <w:top w:val="none" w:sz="0" w:space="0" w:color="auto"/>
            <w:left w:val="none" w:sz="0" w:space="0" w:color="auto"/>
            <w:bottom w:val="none" w:sz="0" w:space="0" w:color="auto"/>
            <w:right w:val="none" w:sz="0" w:space="0" w:color="auto"/>
          </w:divBdr>
        </w:div>
        <w:div w:id="484856120">
          <w:marLeft w:val="0"/>
          <w:marRight w:val="0"/>
          <w:marTop w:val="0"/>
          <w:marBottom w:val="0"/>
          <w:divBdr>
            <w:top w:val="none" w:sz="0" w:space="0" w:color="auto"/>
            <w:left w:val="none" w:sz="0" w:space="0" w:color="auto"/>
            <w:bottom w:val="none" w:sz="0" w:space="0" w:color="auto"/>
            <w:right w:val="none" w:sz="0" w:space="0" w:color="auto"/>
          </w:divBdr>
        </w:div>
        <w:div w:id="485896239">
          <w:marLeft w:val="0"/>
          <w:marRight w:val="0"/>
          <w:marTop w:val="0"/>
          <w:marBottom w:val="0"/>
          <w:divBdr>
            <w:top w:val="none" w:sz="0" w:space="0" w:color="auto"/>
            <w:left w:val="none" w:sz="0" w:space="0" w:color="auto"/>
            <w:bottom w:val="none" w:sz="0" w:space="0" w:color="auto"/>
            <w:right w:val="none" w:sz="0" w:space="0" w:color="auto"/>
          </w:divBdr>
        </w:div>
      </w:divsChild>
    </w:div>
    <w:div w:id="1802919376">
      <w:bodyDiv w:val="1"/>
      <w:marLeft w:val="0"/>
      <w:marRight w:val="0"/>
      <w:marTop w:val="0"/>
      <w:marBottom w:val="0"/>
      <w:divBdr>
        <w:top w:val="none" w:sz="0" w:space="0" w:color="auto"/>
        <w:left w:val="none" w:sz="0" w:space="0" w:color="auto"/>
        <w:bottom w:val="none" w:sz="0" w:space="0" w:color="auto"/>
        <w:right w:val="none" w:sz="0" w:space="0" w:color="auto"/>
      </w:divBdr>
      <w:divsChild>
        <w:div w:id="993139970">
          <w:marLeft w:val="0"/>
          <w:marRight w:val="0"/>
          <w:marTop w:val="0"/>
          <w:marBottom w:val="0"/>
          <w:divBdr>
            <w:top w:val="none" w:sz="0" w:space="0" w:color="auto"/>
            <w:left w:val="none" w:sz="0" w:space="0" w:color="auto"/>
            <w:bottom w:val="none" w:sz="0" w:space="0" w:color="auto"/>
            <w:right w:val="none" w:sz="0" w:space="0" w:color="auto"/>
          </w:divBdr>
        </w:div>
        <w:div w:id="1471511319">
          <w:marLeft w:val="0"/>
          <w:marRight w:val="0"/>
          <w:marTop w:val="0"/>
          <w:marBottom w:val="0"/>
          <w:divBdr>
            <w:top w:val="none" w:sz="0" w:space="0" w:color="auto"/>
            <w:left w:val="none" w:sz="0" w:space="0" w:color="auto"/>
            <w:bottom w:val="none" w:sz="0" w:space="0" w:color="auto"/>
            <w:right w:val="none" w:sz="0" w:space="0" w:color="auto"/>
          </w:divBdr>
        </w:div>
      </w:divsChild>
    </w:div>
    <w:div w:id="1840728263">
      <w:bodyDiv w:val="1"/>
      <w:marLeft w:val="0"/>
      <w:marRight w:val="0"/>
      <w:marTop w:val="0"/>
      <w:marBottom w:val="0"/>
      <w:divBdr>
        <w:top w:val="none" w:sz="0" w:space="0" w:color="auto"/>
        <w:left w:val="none" w:sz="0" w:space="0" w:color="auto"/>
        <w:bottom w:val="none" w:sz="0" w:space="0" w:color="auto"/>
        <w:right w:val="none" w:sz="0" w:space="0" w:color="auto"/>
      </w:divBdr>
    </w:div>
    <w:div w:id="1843232216">
      <w:bodyDiv w:val="1"/>
      <w:marLeft w:val="0"/>
      <w:marRight w:val="0"/>
      <w:marTop w:val="0"/>
      <w:marBottom w:val="0"/>
      <w:divBdr>
        <w:top w:val="none" w:sz="0" w:space="0" w:color="auto"/>
        <w:left w:val="none" w:sz="0" w:space="0" w:color="auto"/>
        <w:bottom w:val="none" w:sz="0" w:space="0" w:color="auto"/>
        <w:right w:val="none" w:sz="0" w:space="0" w:color="auto"/>
      </w:divBdr>
    </w:div>
    <w:div w:id="1882740528">
      <w:bodyDiv w:val="1"/>
      <w:marLeft w:val="0"/>
      <w:marRight w:val="0"/>
      <w:marTop w:val="0"/>
      <w:marBottom w:val="0"/>
      <w:divBdr>
        <w:top w:val="none" w:sz="0" w:space="0" w:color="auto"/>
        <w:left w:val="none" w:sz="0" w:space="0" w:color="auto"/>
        <w:bottom w:val="none" w:sz="0" w:space="0" w:color="auto"/>
        <w:right w:val="none" w:sz="0" w:space="0" w:color="auto"/>
      </w:divBdr>
    </w:div>
    <w:div w:id="1934244753">
      <w:bodyDiv w:val="1"/>
      <w:marLeft w:val="0"/>
      <w:marRight w:val="0"/>
      <w:marTop w:val="0"/>
      <w:marBottom w:val="0"/>
      <w:divBdr>
        <w:top w:val="none" w:sz="0" w:space="0" w:color="auto"/>
        <w:left w:val="none" w:sz="0" w:space="0" w:color="auto"/>
        <w:bottom w:val="none" w:sz="0" w:space="0" w:color="auto"/>
        <w:right w:val="none" w:sz="0" w:space="0" w:color="auto"/>
      </w:divBdr>
    </w:div>
    <w:div w:id="1936744802">
      <w:bodyDiv w:val="1"/>
      <w:marLeft w:val="0"/>
      <w:marRight w:val="0"/>
      <w:marTop w:val="0"/>
      <w:marBottom w:val="0"/>
      <w:divBdr>
        <w:top w:val="none" w:sz="0" w:space="0" w:color="auto"/>
        <w:left w:val="none" w:sz="0" w:space="0" w:color="auto"/>
        <w:bottom w:val="none" w:sz="0" w:space="0" w:color="auto"/>
        <w:right w:val="none" w:sz="0" w:space="0" w:color="auto"/>
      </w:divBdr>
    </w:div>
    <w:div w:id="1950619035">
      <w:bodyDiv w:val="1"/>
      <w:marLeft w:val="0"/>
      <w:marRight w:val="0"/>
      <w:marTop w:val="0"/>
      <w:marBottom w:val="0"/>
      <w:divBdr>
        <w:top w:val="none" w:sz="0" w:space="0" w:color="auto"/>
        <w:left w:val="none" w:sz="0" w:space="0" w:color="auto"/>
        <w:bottom w:val="none" w:sz="0" w:space="0" w:color="auto"/>
        <w:right w:val="none" w:sz="0" w:space="0" w:color="auto"/>
      </w:divBdr>
    </w:div>
    <w:div w:id="1984308756">
      <w:bodyDiv w:val="1"/>
      <w:marLeft w:val="0"/>
      <w:marRight w:val="0"/>
      <w:marTop w:val="0"/>
      <w:marBottom w:val="0"/>
      <w:divBdr>
        <w:top w:val="none" w:sz="0" w:space="0" w:color="auto"/>
        <w:left w:val="none" w:sz="0" w:space="0" w:color="auto"/>
        <w:bottom w:val="none" w:sz="0" w:space="0" w:color="auto"/>
        <w:right w:val="none" w:sz="0" w:space="0" w:color="auto"/>
      </w:divBdr>
    </w:div>
    <w:div w:id="1995377394">
      <w:bodyDiv w:val="1"/>
      <w:marLeft w:val="0"/>
      <w:marRight w:val="0"/>
      <w:marTop w:val="0"/>
      <w:marBottom w:val="0"/>
      <w:divBdr>
        <w:top w:val="none" w:sz="0" w:space="0" w:color="auto"/>
        <w:left w:val="none" w:sz="0" w:space="0" w:color="auto"/>
        <w:bottom w:val="none" w:sz="0" w:space="0" w:color="auto"/>
        <w:right w:val="none" w:sz="0" w:space="0" w:color="auto"/>
      </w:divBdr>
    </w:div>
    <w:div w:id="2012247906">
      <w:bodyDiv w:val="1"/>
      <w:marLeft w:val="0"/>
      <w:marRight w:val="0"/>
      <w:marTop w:val="0"/>
      <w:marBottom w:val="0"/>
      <w:divBdr>
        <w:top w:val="none" w:sz="0" w:space="0" w:color="auto"/>
        <w:left w:val="none" w:sz="0" w:space="0" w:color="auto"/>
        <w:bottom w:val="none" w:sz="0" w:space="0" w:color="auto"/>
        <w:right w:val="none" w:sz="0" w:space="0" w:color="auto"/>
      </w:divBdr>
    </w:div>
    <w:div w:id="2040154420">
      <w:bodyDiv w:val="1"/>
      <w:marLeft w:val="0"/>
      <w:marRight w:val="0"/>
      <w:marTop w:val="0"/>
      <w:marBottom w:val="0"/>
      <w:divBdr>
        <w:top w:val="none" w:sz="0" w:space="0" w:color="auto"/>
        <w:left w:val="none" w:sz="0" w:space="0" w:color="auto"/>
        <w:bottom w:val="none" w:sz="0" w:space="0" w:color="auto"/>
        <w:right w:val="none" w:sz="0" w:space="0" w:color="auto"/>
      </w:divBdr>
    </w:div>
    <w:div w:id="206158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1086966748074091B44B156AB49619" ma:contentTypeVersion="11" ma:contentTypeDescription="Create a new document." ma:contentTypeScope="" ma:versionID="48a82a9396a470c9c4aa880e4796fb29">
  <xsd:schema xmlns:xsd="http://www.w3.org/2001/XMLSchema" xmlns:xs="http://www.w3.org/2001/XMLSchema" xmlns:p="http://schemas.microsoft.com/office/2006/metadata/properties" xmlns:ns2="d6a9b4c6-0c29-47a2-af34-ec9724382a1c" xmlns:ns3="f4020994-e754-48c1-817e-f760c4acc320" targetNamespace="http://schemas.microsoft.com/office/2006/metadata/properties" ma:root="true" ma:fieldsID="b9bc2d1571b22cfd2c69797628af2a41" ns2:_="" ns3:_="">
    <xsd:import namespace="d6a9b4c6-0c29-47a2-af34-ec9724382a1c"/>
    <xsd:import namespace="f4020994-e754-48c1-817e-f760c4acc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9b4c6-0c29-47a2-af34-ec9724382a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020994-e754-48c1-817e-f760c4acc3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902b9-3479-4571-a458-c3756a186ff4}" ma:internalName="TaxCatchAll" ma:showField="CatchAllData" ma:web="f4020994-e754-48c1-817e-f760c4acc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a9b4c6-0c29-47a2-af34-ec9724382a1c">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4020994-e754-48c1-817e-f760c4acc320"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4F73EDA-393B-49BC-8B68-589E69721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9b4c6-0c29-47a2-af34-ec9724382a1c"/>
    <ds:schemaRef ds:uri="f4020994-e754-48c1-817e-f760c4acc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88F18-9DA3-472F-A4C4-257E7FB23937}">
  <ds:schemaRefs>
    <ds:schemaRef ds:uri="http://schemas.microsoft.com/sharepoint/v3/contenttype/forms"/>
  </ds:schemaRefs>
</ds:datastoreItem>
</file>

<file path=customXml/itemProps3.xml><?xml version="1.0" encoding="utf-8"?>
<ds:datastoreItem xmlns:ds="http://schemas.openxmlformats.org/officeDocument/2006/customXml" ds:itemID="{C795C543-6B4D-43CE-8979-C7DF9D5E5C32}">
  <ds:schemaRefs>
    <ds:schemaRef ds:uri="http://schemas.microsoft.com/office/2006/metadata/properties"/>
    <ds:schemaRef ds:uri="http://schemas.microsoft.com/office/infopath/2007/PartnerControls"/>
    <ds:schemaRef ds:uri="d6a9b4c6-0c29-47a2-af34-ec9724382a1c"/>
    <ds:schemaRef ds:uri="f4020994-e754-48c1-817e-f760c4acc320"/>
  </ds:schemaRefs>
</ds:datastoreItem>
</file>

<file path=customXml/itemProps4.xml><?xml version="1.0" encoding="utf-8"?>
<ds:datastoreItem xmlns:ds="http://schemas.openxmlformats.org/officeDocument/2006/customXml" ds:itemID="{757F6666-C126-4007-93D7-B2B54C954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5914</Words>
  <Characters>33714</Characters>
  <Application>Microsoft Office Word</Application>
  <DocSecurity>0</DocSecurity>
  <Lines>280</Lines>
  <Paragraphs>79</Paragraphs>
  <ScaleCrop>false</ScaleCrop>
  <Manager/>
  <Company/>
  <LinksUpToDate>false</LinksUpToDate>
  <CharactersWithSpaces>39549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2020-10-15T22:42:00Z</cp:lastPrinted>
  <dcterms:created xsi:type="dcterms:W3CDTF">2025-11-25T19:48:00Z</dcterms:created>
  <dcterms:modified xsi:type="dcterms:W3CDTF">2026-01-08T08:46:00Z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 Build 20190717</vt:lpwstr>
  </property>
  <property fmtid="{D5CDD505-2E9C-101B-9397-08002B2CF9AE}" pid="8" name="MSIP_Label_6bd9ddd1-4d20-43f6-abfa-fc3c07406f94_Enabled">
    <vt:lpwstr>true</vt:lpwstr>
  </property>
  <property fmtid="{D5CDD505-2E9C-101B-9397-08002B2CF9AE}" pid="9" name="MSIP_Label_6bd9ddd1-4d20-43f6-abfa-fc3c07406f94_SetDate">
    <vt:lpwstr>2025-03-12T15:04:36Z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b9917dc3-a74c-4ad6-bb9e-99c1db8347c4</vt:lpwstr>
  </property>
  <property fmtid="{D5CDD505-2E9C-101B-9397-08002B2CF9AE}" pid="14" name="MSIP_Label_6bd9ddd1-4d20-43f6-abfa-fc3c07406f94_ContentBits">
    <vt:lpwstr>0</vt:lpwstr>
  </property>
  <property fmtid="{D5CDD505-2E9C-101B-9397-08002B2CF9AE}" pid="15" name="ContentTypeId">
    <vt:lpwstr>0x010100C81086966748074091B44B156AB49619</vt:lpwstr>
  </property>
  <property fmtid="{D5CDD505-2E9C-101B-9397-08002B2CF9AE}" pid="16" name="MediaServiceImageTags">
    <vt:lpwstr/>
  </property>
  <property fmtid="{D5CDD505-2E9C-101B-9397-08002B2CF9AE}" pid="17" name="Last edited using">
    <vt:lpwstr>LW 9.2, Build 20250828</vt:lpwstr>
  </property>
  <property fmtid="{D5CDD505-2E9C-101B-9397-08002B2CF9AE}" pid="18" name="Order">
    <vt:r8>16700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