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FE1F2" w14:textId="095D502D" w:rsidR="00265174" w:rsidRDefault="00772752" w:rsidP="00772752">
      <w:pPr>
        <w:pStyle w:val="Pagedecouverture"/>
        <w:rPr>
          <w:noProof/>
        </w:rPr>
      </w:pPr>
      <w:bookmarkStart w:id="0" w:name="LW_BM_COVERPAGE"/>
      <w:r>
        <w:rPr>
          <w:noProof/>
        </w:rPr>
        <w:pict w14:anchorId="499C0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F6EEAB-D207-4561-AB94-8DE8094C5B37" style="width:455.25pt;height:300pt">
            <v:imagedata r:id="rId8" o:title=""/>
          </v:shape>
        </w:pict>
      </w:r>
    </w:p>
    <w:bookmarkEnd w:id="0"/>
    <w:p w14:paraId="3F508FBF" w14:textId="77777777" w:rsidR="00265174" w:rsidRDefault="00265174" w:rsidP="00265174">
      <w:pPr>
        <w:rPr>
          <w:noProof/>
        </w:rPr>
        <w:sectPr w:rsidR="00265174" w:rsidSect="0077275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1BBF11D" w14:textId="6EC60208" w:rsidR="00265174" w:rsidRPr="00265174" w:rsidRDefault="00265174" w:rsidP="00694427">
      <w:pPr>
        <w:pStyle w:val="ListParagraph"/>
        <w:keepNext/>
        <w:numPr>
          <w:ilvl w:val="0"/>
          <w:numId w:val="3"/>
        </w:numPr>
        <w:tabs>
          <w:tab w:val="num" w:pos="482"/>
        </w:tabs>
        <w:spacing w:before="240" w:after="0" w:line="240" w:lineRule="auto"/>
        <w:ind w:left="360"/>
        <w:jc w:val="both"/>
        <w:outlineLvl w:val="0"/>
        <w:rPr>
          <w:rFonts w:ascii="Times New Roman" w:eastAsia="Times New Roman" w:hAnsi="Times New Roman" w:cs="Times New Roman"/>
          <w:b/>
          <w:smallCaps/>
          <w:noProof/>
          <w:kern w:val="0"/>
          <w:sz w:val="24"/>
          <w:szCs w:val="20"/>
          <w14:ligatures w14:val="none"/>
        </w:rPr>
      </w:pPr>
      <w:bookmarkStart w:id="1" w:name="_Toc210325211"/>
      <w:bookmarkStart w:id="2" w:name="_Hlk209997185"/>
      <w:bookmarkStart w:id="3" w:name="_GoBack"/>
      <w:bookmarkEnd w:id="3"/>
      <w:r>
        <w:rPr>
          <w:rFonts w:ascii="Times New Roman" w:hAnsi="Times New Roman"/>
          <w:b/>
          <w:smallCaps/>
          <w:noProof/>
          <w:sz w:val="24"/>
        </w:rPr>
        <w:lastRenderedPageBreak/>
        <w:t>INTRODUCERE</w:t>
      </w:r>
      <w:bookmarkEnd w:id="1"/>
    </w:p>
    <w:p w14:paraId="121DADF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17A8B58E" w14:textId="6746A672"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bookmarkStart w:id="4" w:name="_Hlk212897640"/>
      <w:r>
        <w:rPr>
          <w:rFonts w:ascii="Times New Roman" w:hAnsi="Times New Roman"/>
          <w:noProof/>
          <w:sz w:val="24"/>
        </w:rPr>
        <w:t>Un spațiu civic deschis, cu o societate civilă dinamică, constituie baza democrațiilor noastre. Societatea civilă joacă un rol esențial în societățile noastre, contribuind la elaborarea politicilor, creând parteneriate cu guvernele pentru a pune în aplicare politici publice, oferind sprijin și servicii sociale și comunitare, sensibilizând publicul cu privire la aspecte sociale importante și reprezentând diverse grupuri aflate în situații vulnerabile. Contribuția societății civile este esențială pentru a încuraja implicarea cetățenilor și participarea democratică, precum și o dezbatere publică incluzivă, inclusiv prin implicarea activă a tinerilor. Societatea civilă joacă, de asemenea, un rol important în sistemul democratic de control și echilibru, contribuind la monitorizarea politicilor și a procesului decizional și promovând transparența și asumarea răspunderii.</w:t>
      </w:r>
    </w:p>
    <w:p w14:paraId="3E49B89E" w14:textId="0C194E32"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Funcționând la nivel local, regional, național și internațional – atât în cadrul UE, cât și în afara acesteia – societatea civilă contribuie la </w:t>
      </w:r>
      <w:r>
        <w:rPr>
          <w:rFonts w:ascii="Times New Roman" w:hAnsi="Times New Roman"/>
          <w:b/>
          <w:noProof/>
          <w:sz w:val="24"/>
        </w:rPr>
        <w:t xml:space="preserve">promovarea și protejarea valorilor consacrate la articolul 2 din Tratatul privind Uniunea Europeană </w:t>
      </w:r>
      <w:r>
        <w:rPr>
          <w:rFonts w:ascii="Times New Roman" w:hAnsi="Times New Roman"/>
          <w:noProof/>
          <w:sz w:val="24"/>
        </w:rPr>
        <w:t>(TUE)</w:t>
      </w:r>
      <w:r>
        <w:rPr>
          <w:rFonts w:ascii="Times New Roman" w:hAnsi="Times New Roman"/>
          <w:b/>
          <w:noProof/>
          <w:sz w:val="24"/>
        </w:rPr>
        <w:t xml:space="preserve"> </w:t>
      </w:r>
      <w:r>
        <w:rPr>
          <w:rFonts w:ascii="Times New Roman" w:hAnsi="Times New Roman"/>
          <w:noProof/>
          <w:sz w:val="24"/>
        </w:rPr>
        <w:t xml:space="preserve">și în </w:t>
      </w:r>
      <w:r>
        <w:rPr>
          <w:rFonts w:ascii="Times New Roman" w:hAnsi="Times New Roman"/>
          <w:b/>
          <w:noProof/>
          <w:sz w:val="24"/>
        </w:rPr>
        <w:t>Carta drepturilor fundamentale a Uniunii Europene</w:t>
      </w:r>
      <w:r>
        <w:rPr>
          <w:rFonts w:ascii="Times New Roman" w:hAnsi="Times New Roman"/>
          <w:noProof/>
          <w:sz w:val="24"/>
        </w:rPr>
        <w:t xml:space="preserve"> („Carta”). Recunoscând rolul important al acesteia, tratatele fondatoare ale Uniunii Europene prevăd că instituțiile UE ar trebui să colaboreze cu societatea civilă prin intermediul unui dialog deschis, transparent și constant și să își desfășoare activitatea într-un mod cât mai deschis posibil pentru a asigura participarea incluzivă și activă a societății civile</w:t>
      </w:r>
      <w:r>
        <w:rPr>
          <w:rFonts w:ascii="Times New Roman" w:eastAsia="Times New Roman" w:hAnsi="Times New Roman" w:cs="Times New Roman"/>
          <w:noProof/>
          <w:kern w:val="0"/>
          <w:sz w:val="24"/>
          <w:szCs w:val="20"/>
          <w:vertAlign w:val="superscript"/>
          <w:lang w:val="en-GB" w:eastAsia="en-GB"/>
        </w:rPr>
        <w:footnoteReference w:id="2"/>
      </w:r>
      <w:r>
        <w:rPr>
          <w:rFonts w:ascii="Times New Roman" w:hAnsi="Times New Roman"/>
          <w:noProof/>
          <w:sz w:val="24"/>
        </w:rPr>
        <w:t xml:space="preserve">. </w:t>
      </w:r>
    </w:p>
    <w:p w14:paraId="2D3C496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Colaborarea cu societatea civilă este o piatră de temelie a procesului de elaborare a politicilor UE</w:t>
      </w:r>
      <w:r>
        <w:rPr>
          <w:rFonts w:ascii="Times New Roman" w:hAnsi="Times New Roman"/>
          <w:noProof/>
          <w:sz w:val="24"/>
        </w:rPr>
        <w:t xml:space="preserve">. Diverse instrumente și procese la nivelul UE permit societății civile să își prezinte opiniile și să fie implicată în elaborarea, punerea în aplicare, monitorizarea și evaluarea legislației și a politicilor UE, iar Comisia, la rândul ei, a instituit un dialog structurat cu societatea civilă în numeroase domenii de politică. În plus, organizațiile societății civile („OSC”) oferă consiliere și expertiză prin participarea la activitatea grupurilor de experți ale Comisiei și a altor foruri relevante. </w:t>
      </w:r>
      <w:r>
        <w:rPr>
          <w:rFonts w:ascii="Times New Roman" w:hAnsi="Times New Roman"/>
          <w:b/>
          <w:noProof/>
          <w:sz w:val="24"/>
        </w:rPr>
        <w:t>Comitetul Economic și Social European</w:t>
      </w:r>
      <w:r>
        <w:rPr>
          <w:rFonts w:ascii="Times New Roman" w:hAnsi="Times New Roman"/>
          <w:noProof/>
          <w:sz w:val="24"/>
        </w:rPr>
        <w:t xml:space="preserve"> (CESE) joacă, de asemenea, un rol esențial în a face auzită vocea societății civile organizate la nivel european.</w:t>
      </w:r>
    </w:p>
    <w:p w14:paraId="7CD9FE7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Pentru ca acest </w:t>
      </w:r>
      <w:r>
        <w:rPr>
          <w:rFonts w:ascii="Times New Roman" w:hAnsi="Times New Roman"/>
          <w:b/>
          <w:noProof/>
          <w:sz w:val="24"/>
        </w:rPr>
        <w:t>angajament să fie eficace</w:t>
      </w:r>
      <w:r>
        <w:rPr>
          <w:rFonts w:ascii="Times New Roman" w:hAnsi="Times New Roman"/>
          <w:noProof/>
          <w:sz w:val="24"/>
        </w:rPr>
        <w:t xml:space="preserve">, UE a recunoscut într-o măsură din ce în ce mai mare că societatea civilă are nevoie de un </w:t>
      </w:r>
      <w:r>
        <w:rPr>
          <w:rFonts w:ascii="Times New Roman" w:hAnsi="Times New Roman"/>
          <w:b/>
          <w:noProof/>
          <w:sz w:val="24"/>
        </w:rPr>
        <w:t>mediu propice, sigur</w:t>
      </w:r>
      <w:r>
        <w:rPr>
          <w:rFonts w:ascii="Times New Roman" w:hAnsi="Times New Roman"/>
          <w:noProof/>
          <w:sz w:val="24"/>
        </w:rPr>
        <w:t xml:space="preserve"> și </w:t>
      </w:r>
      <w:r>
        <w:rPr>
          <w:rFonts w:ascii="Times New Roman" w:hAnsi="Times New Roman"/>
          <w:b/>
          <w:noProof/>
          <w:sz w:val="24"/>
        </w:rPr>
        <w:t>favorabil</w:t>
      </w:r>
      <w:r>
        <w:rPr>
          <w:rFonts w:ascii="Times New Roman" w:hAnsi="Times New Roman"/>
          <w:noProof/>
          <w:sz w:val="24"/>
        </w:rPr>
        <w:t xml:space="preserve"> în întreaga UE</w:t>
      </w:r>
      <w:r>
        <w:rPr>
          <w:rFonts w:ascii="Times New Roman" w:eastAsia="Times New Roman" w:hAnsi="Times New Roman" w:cs="Times New Roman"/>
          <w:noProof/>
          <w:kern w:val="0"/>
          <w:sz w:val="24"/>
          <w:szCs w:val="20"/>
          <w:vertAlign w:val="superscript"/>
          <w:lang w:val="en-GB" w:eastAsia="en-GB"/>
        </w:rPr>
        <w:footnoteReference w:id="3"/>
      </w:r>
      <w:r>
        <w:rPr>
          <w:rFonts w:ascii="Times New Roman" w:hAnsi="Times New Roman"/>
          <w:noProof/>
          <w:sz w:val="24"/>
        </w:rPr>
        <w:t xml:space="preserve">. Acesta include o </w:t>
      </w:r>
      <w:r>
        <w:rPr>
          <w:rFonts w:ascii="Times New Roman" w:hAnsi="Times New Roman"/>
          <w:b/>
          <w:noProof/>
          <w:sz w:val="24"/>
        </w:rPr>
        <w:t>protecție adecvată</w:t>
      </w:r>
      <w:r>
        <w:rPr>
          <w:rFonts w:ascii="Times New Roman" w:hAnsi="Times New Roman"/>
          <w:noProof/>
          <w:sz w:val="24"/>
        </w:rPr>
        <w:t xml:space="preserve"> a OSC-urilor și a apărătorilor drepturilor omului care se confruntă cu o restrângere generală a spațiului civic, precum și cu amenințări și atacuri în legătură cu activitatea lor</w:t>
      </w:r>
      <w:r>
        <w:rPr>
          <w:rFonts w:ascii="Times New Roman" w:eastAsia="Times New Roman" w:hAnsi="Times New Roman" w:cs="Times New Roman"/>
          <w:noProof/>
          <w:kern w:val="0"/>
          <w:sz w:val="24"/>
          <w:szCs w:val="20"/>
          <w:vertAlign w:val="superscript"/>
          <w:lang w:val="en-GB" w:eastAsia="en-GB"/>
        </w:rPr>
        <w:footnoteReference w:id="4"/>
      </w:r>
      <w:r>
        <w:rPr>
          <w:rFonts w:ascii="Times New Roman" w:hAnsi="Times New Roman"/>
          <w:noProof/>
          <w:sz w:val="24"/>
        </w:rPr>
        <w:t xml:space="preserve">. Un </w:t>
      </w:r>
      <w:r>
        <w:rPr>
          <w:rFonts w:ascii="Times New Roman" w:hAnsi="Times New Roman"/>
          <w:b/>
          <w:noProof/>
          <w:sz w:val="24"/>
        </w:rPr>
        <w:t>sprijin financiar</w:t>
      </w:r>
      <w:r>
        <w:rPr>
          <w:rFonts w:ascii="Times New Roman" w:hAnsi="Times New Roman"/>
          <w:noProof/>
          <w:sz w:val="24"/>
        </w:rPr>
        <w:t xml:space="preserve"> durabil și transparent este, de asemenea, esențial pentru o societate civilă prosperă și pentru asigurarea faptului că organizațiile societății civile își pot desfășura activitatea în mod independent. </w:t>
      </w:r>
    </w:p>
    <w:p w14:paraId="0E4089DE" w14:textId="7F48ED0C" w:rsidR="00265174" w:rsidRPr="00AE6B23"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Pe baza cadrelor existente și a angajamentului asumat în </w:t>
      </w:r>
      <w:hyperlink r:id="rId15" w:history="1">
        <w:r>
          <w:rPr>
            <w:rFonts w:ascii="Times New Roman" w:hAnsi="Times New Roman"/>
            <w:noProof/>
            <w:color w:val="0563C1"/>
            <w:sz w:val="24"/>
            <w:u w:val="single"/>
          </w:rPr>
          <w:t>Orientările politice pentru perioada 2024-2029</w:t>
        </w:r>
      </w:hyperlink>
      <w:r>
        <w:rPr>
          <w:rFonts w:ascii="Times New Roman" w:hAnsi="Times New Roman"/>
          <w:noProof/>
          <w:sz w:val="24"/>
        </w:rPr>
        <w:t xml:space="preserve"> de a intensifica dialogul cu OSC-urile și de a se asigura că acestea sunt sprijinite și protejate în activitatea lor de zi cu zi, Strategia UE pentru societatea civilă stabilește o serie de acțiuni concrete atât la nivelul UE, cât și la nivel național,</w:t>
      </w:r>
      <w:r>
        <w:rPr>
          <w:rFonts w:ascii="Times New Roman" w:hAnsi="Times New Roman"/>
          <w:b/>
          <w:noProof/>
          <w:sz w:val="24"/>
        </w:rPr>
        <w:t xml:space="preserve"> </w:t>
      </w:r>
      <w:r>
        <w:rPr>
          <w:rFonts w:ascii="Times New Roman" w:hAnsi="Times New Roman"/>
          <w:noProof/>
          <w:sz w:val="24"/>
        </w:rPr>
        <w:t>inclusiv în ceea ce privește acțiunile externe ale UE. Aceste acțiuni sunt</w:t>
      </w:r>
      <w:r>
        <w:rPr>
          <w:rFonts w:ascii="Times New Roman" w:hAnsi="Times New Roman"/>
          <w:b/>
          <w:noProof/>
          <w:sz w:val="24"/>
        </w:rPr>
        <w:t xml:space="preserve"> </w:t>
      </w:r>
      <w:r>
        <w:rPr>
          <w:rFonts w:ascii="Times New Roman" w:hAnsi="Times New Roman"/>
          <w:noProof/>
          <w:sz w:val="24"/>
        </w:rPr>
        <w:t>structurate în jurul a</w:t>
      </w:r>
      <w:r>
        <w:rPr>
          <w:rFonts w:ascii="Times New Roman" w:hAnsi="Times New Roman"/>
          <w:b/>
          <w:noProof/>
          <w:sz w:val="24"/>
        </w:rPr>
        <w:t xml:space="preserve"> </w:t>
      </w:r>
      <w:r>
        <w:rPr>
          <w:rFonts w:ascii="Times New Roman" w:hAnsi="Times New Roman"/>
          <w:noProof/>
          <w:sz w:val="24"/>
        </w:rPr>
        <w:t xml:space="preserve">trei obiective-cheie: </w:t>
      </w:r>
    </w:p>
    <w:p w14:paraId="5CF5B2A2"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consolidarea unui dialog eficace și semnificativ</w:t>
      </w:r>
      <w:r>
        <w:rPr>
          <w:rFonts w:ascii="Times New Roman" w:hAnsi="Times New Roman"/>
          <w:noProof/>
          <w:sz w:val="24"/>
        </w:rPr>
        <w:t xml:space="preserve"> </w:t>
      </w:r>
      <w:r>
        <w:rPr>
          <w:rFonts w:ascii="Times New Roman" w:hAnsi="Times New Roman"/>
          <w:b/>
          <w:noProof/>
          <w:sz w:val="24"/>
        </w:rPr>
        <w:t>cu societatea civilă în calitate de partener în materie de guvernanță</w:t>
      </w:r>
      <w:r>
        <w:rPr>
          <w:rFonts w:ascii="Times New Roman" w:hAnsi="Times New Roman"/>
          <w:noProof/>
          <w:sz w:val="24"/>
        </w:rPr>
        <w:t>;</w:t>
      </w:r>
    </w:p>
    <w:p w14:paraId="58D2D867"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asigurarea unui spațiu civic deschis, sigur și favorabil</w:t>
      </w:r>
      <w:r>
        <w:rPr>
          <w:rFonts w:ascii="Times New Roman" w:hAnsi="Times New Roman"/>
          <w:noProof/>
          <w:sz w:val="24"/>
        </w:rPr>
        <w:t xml:space="preserve">, </w:t>
      </w:r>
      <w:r>
        <w:rPr>
          <w:rFonts w:ascii="Times New Roman" w:hAnsi="Times New Roman"/>
          <w:b/>
          <w:noProof/>
          <w:sz w:val="24"/>
        </w:rPr>
        <w:t>oferind sprijin și protecție organizațiilor societății civile</w:t>
      </w:r>
      <w:r>
        <w:rPr>
          <w:rFonts w:ascii="Times New Roman" w:hAnsi="Times New Roman"/>
          <w:noProof/>
          <w:sz w:val="24"/>
        </w:rPr>
        <w:t>;</w:t>
      </w:r>
    </w:p>
    <w:p w14:paraId="2BC4C24F"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 xml:space="preserve">sprijinirea organizațiilor societății civile printr-o finanțare adecvată, durabilă și transparentă. </w:t>
      </w:r>
    </w:p>
    <w:p w14:paraId="365F10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w:t>
      </w:r>
      <w:r>
        <w:rPr>
          <w:rFonts w:ascii="Times New Roman" w:hAnsi="Times New Roman"/>
          <w:b/>
          <w:noProof/>
          <w:sz w:val="24"/>
        </w:rPr>
        <w:t xml:space="preserve"> </w:t>
      </w:r>
      <w:r>
        <w:rPr>
          <w:rFonts w:ascii="Times New Roman" w:hAnsi="Times New Roman"/>
          <w:noProof/>
          <w:sz w:val="24"/>
        </w:rPr>
        <w:t xml:space="preserve">va institui o </w:t>
      </w:r>
      <w:r>
        <w:rPr>
          <w:rFonts w:ascii="Times New Roman" w:hAnsi="Times New Roman"/>
          <w:b/>
          <w:noProof/>
          <w:sz w:val="24"/>
        </w:rPr>
        <w:t>platformă a societății civile</w:t>
      </w:r>
      <w:r>
        <w:rPr>
          <w:rFonts w:ascii="Times New Roman" w:hAnsi="Times New Roman"/>
          <w:noProof/>
          <w:sz w:val="24"/>
        </w:rPr>
        <w:t>, care va oferi un cadru regulat și structurat pentru colaborarea sa cu organizațiile societății civile în domenii relevante pentru susținerea valorilor UE,</w:t>
      </w:r>
      <w:r>
        <w:rPr>
          <w:rFonts w:ascii="Times New Roman" w:hAnsi="Times New Roman"/>
          <w:b/>
          <w:noProof/>
          <w:sz w:val="24"/>
        </w:rPr>
        <w:t xml:space="preserve"> </w:t>
      </w:r>
      <w:r>
        <w:rPr>
          <w:rFonts w:ascii="Times New Roman" w:hAnsi="Times New Roman"/>
          <w:noProof/>
          <w:sz w:val="24"/>
        </w:rPr>
        <w:t>în special a celor care active în sfera promovării</w:t>
      </w:r>
      <w:r>
        <w:rPr>
          <w:rFonts w:ascii="Times New Roman" w:hAnsi="Times New Roman"/>
          <w:b/>
          <w:noProof/>
          <w:sz w:val="24"/>
        </w:rPr>
        <w:t xml:space="preserve"> </w:t>
      </w:r>
      <w:r>
        <w:rPr>
          <w:rFonts w:ascii="Times New Roman" w:hAnsi="Times New Roman"/>
          <w:noProof/>
          <w:sz w:val="24"/>
        </w:rPr>
        <w:t xml:space="preserve">democrației, a statului de drept, a egalității și a drepturilor fundamentale, în conformitate cu orientările politice. </w:t>
      </w:r>
    </w:p>
    <w:p w14:paraId="7815CE2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Strategia stabilește, de asemenea, un cadru comun pentru a orienta și a consolida dialogul Comisiei cu organizațiile societății civile. Recunoscând că fiecare domeniu de politică poate include cerințe specifice și mecanisme diferite de implicare, nu urmărește standardizarea acestora. În schimb, stabilește </w:t>
      </w:r>
      <w:r>
        <w:rPr>
          <w:rFonts w:ascii="Times New Roman" w:hAnsi="Times New Roman"/>
          <w:b/>
          <w:noProof/>
          <w:sz w:val="24"/>
        </w:rPr>
        <w:t>un set de principii directoare</w:t>
      </w:r>
      <w:r>
        <w:rPr>
          <w:rFonts w:ascii="Times New Roman" w:hAnsi="Times New Roman"/>
          <w:noProof/>
          <w:sz w:val="24"/>
        </w:rPr>
        <w:t xml:space="preserve"> care să servească drept cadru comun pentru desfășurarea de dialoguri specifice cu societatea civilă la nivelul tuturor sectoarelor de politică, punând accentul pe parametri-cheie pentru dialog, cum ar fi parteneriatul, transparența, reprezentarea și asumarea răspunderii. În contextul stabilirii acestor principii, strategia ține seama pe deplin de mecanismele instituționale deja existente, în special prin intermediul CESE și vine în completarea acestora.</w:t>
      </w:r>
    </w:p>
    <w:p w14:paraId="7792F4B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Strategia vizează consolidarea acțiunilor atât la nivelul UE, cât și la nivel național, colaborând îndeaproape cu statele membre și cu țările implicate în procesul de aderare</w:t>
      </w:r>
      <w:r>
        <w:rPr>
          <w:rFonts w:ascii="Times New Roman" w:eastAsia="Times New Roman" w:hAnsi="Times New Roman" w:cs="Times New Roman"/>
          <w:noProof/>
          <w:kern w:val="0"/>
          <w:sz w:val="24"/>
          <w:szCs w:val="20"/>
          <w:vertAlign w:val="superscript"/>
          <w:lang w:val="en-GB" w:eastAsia="en-GB"/>
        </w:rPr>
        <w:footnoteReference w:id="5"/>
      </w:r>
      <w:r>
        <w:rPr>
          <w:rFonts w:ascii="Times New Roman" w:hAnsi="Times New Roman"/>
          <w:noProof/>
          <w:sz w:val="24"/>
        </w:rPr>
        <w:t xml:space="preserve">, pentru a promova și a susține un spațiu civic prosper. Aceasta urmărește totodată să promoveze </w:t>
      </w:r>
      <w:r>
        <w:rPr>
          <w:rFonts w:ascii="Times New Roman" w:hAnsi="Times New Roman"/>
          <w:b/>
          <w:noProof/>
          <w:sz w:val="24"/>
        </w:rPr>
        <w:t>o coerență sporită</w:t>
      </w:r>
      <w:r>
        <w:rPr>
          <w:rFonts w:ascii="Times New Roman" w:hAnsi="Times New Roman"/>
          <w:noProof/>
          <w:sz w:val="24"/>
        </w:rPr>
        <w:t xml:space="preserve"> </w:t>
      </w:r>
      <w:r>
        <w:rPr>
          <w:rFonts w:ascii="Times New Roman" w:hAnsi="Times New Roman"/>
          <w:b/>
          <w:noProof/>
          <w:sz w:val="24"/>
        </w:rPr>
        <w:t>între</w:t>
      </w:r>
      <w:r>
        <w:rPr>
          <w:rFonts w:ascii="Times New Roman" w:hAnsi="Times New Roman"/>
          <w:noProof/>
          <w:sz w:val="24"/>
        </w:rPr>
        <w:t xml:space="preserve"> </w:t>
      </w:r>
      <w:r>
        <w:rPr>
          <w:rFonts w:ascii="Times New Roman" w:hAnsi="Times New Roman"/>
          <w:b/>
          <w:noProof/>
          <w:sz w:val="24"/>
        </w:rPr>
        <w:t>activitățile interne și externe ale UE</w:t>
      </w:r>
      <w:r>
        <w:rPr>
          <w:rFonts w:ascii="Times New Roman" w:hAnsi="Times New Roman"/>
          <w:noProof/>
          <w:sz w:val="24"/>
        </w:rPr>
        <w:t xml:space="preserve"> în acest domeniu. Pentru a atinge aceste obiective, este esențială cooperarea dintre instituțiile și organismele UE, printre care Serviciul European de Acțiune Externă (SEAE), CESE, Agenția pentru Drepturi Fundamentale a Uniunii Europene (FRA), precum și</w:t>
      </w:r>
      <w:r>
        <w:rPr>
          <w:rFonts w:ascii="Times New Roman" w:hAnsi="Times New Roman"/>
          <w:b/>
          <w:noProof/>
          <w:sz w:val="24"/>
        </w:rPr>
        <w:t xml:space="preserve"> </w:t>
      </w:r>
      <w:r>
        <w:rPr>
          <w:rFonts w:ascii="Times New Roman" w:hAnsi="Times New Roman"/>
          <w:noProof/>
          <w:sz w:val="24"/>
        </w:rPr>
        <w:t xml:space="preserve">cu statele membre. O abordare coerentă și o colaborare strânsă vor promova un sentiment de responsabilitate comună, care va aduce beneficii societății în ansamblu prin consolidarea participării democratice, a rezilienței și a încrederii publice. Prezenta strategie vine în completarea acțiunilor stabilite în </w:t>
      </w:r>
      <w:r>
        <w:rPr>
          <w:rFonts w:ascii="Times New Roman" w:hAnsi="Times New Roman"/>
          <w:b/>
          <w:noProof/>
          <w:sz w:val="24"/>
        </w:rPr>
        <w:t>Scutul european pentru democrație</w:t>
      </w:r>
      <w:r>
        <w:rPr>
          <w:rFonts w:ascii="Times New Roman" w:hAnsi="Times New Roman"/>
          <w:noProof/>
          <w:sz w:val="24"/>
        </w:rPr>
        <w:t>.</w:t>
      </w:r>
    </w:p>
    <w:bookmarkEnd w:id="2"/>
    <w:p w14:paraId="5BC36AE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contextul elaborării strategiei, Comisia a colectat contribuții prin consultări ample cu o gamă largă de părți interesate</w:t>
      </w:r>
      <w:r>
        <w:rPr>
          <w:rFonts w:ascii="Times New Roman" w:eastAsia="Times New Roman" w:hAnsi="Times New Roman" w:cs="Times New Roman"/>
          <w:noProof/>
          <w:kern w:val="0"/>
          <w:sz w:val="24"/>
          <w:szCs w:val="20"/>
          <w:vertAlign w:val="superscript"/>
          <w:lang w:val="en-GB" w:eastAsia="en-GB"/>
        </w:rPr>
        <w:footnoteReference w:id="6"/>
      </w:r>
      <w:r>
        <w:rPr>
          <w:rFonts w:ascii="Times New Roman" w:hAnsi="Times New Roman"/>
          <w:noProof/>
          <w:sz w:val="24"/>
        </w:rPr>
        <w:t>. Strategia s-a bazat, de asemenea, pe</w:t>
      </w:r>
      <w:hyperlink r:id="rId16" w:history="1">
        <w:r>
          <w:rPr>
            <w:rFonts w:ascii="Times New Roman" w:hAnsi="Times New Roman"/>
            <w:noProof/>
            <w:color w:val="0563C1"/>
            <w:sz w:val="24"/>
            <w:u w:val="single"/>
          </w:rPr>
          <w:t xml:space="preserve"> un aviz al CESE</w:t>
        </w:r>
      </w:hyperlink>
      <w:r>
        <w:rPr>
          <w:rFonts w:ascii="Times New Roman" w:hAnsi="Times New Roman"/>
          <w:noProof/>
          <w:sz w:val="24"/>
        </w:rPr>
        <w:t xml:space="preserve">, pe contribuțiile statelor membre și pe schimburile de informații care au avut loc cu FRA, Parlamentul European și Comitetul European al Regiunilor. </w:t>
      </w:r>
      <w:bookmarkStart w:id="5" w:name="_Toc210325213"/>
      <w:bookmarkStart w:id="6" w:name="_Toc210325214"/>
      <w:bookmarkStart w:id="7" w:name="_Toc210325215"/>
      <w:bookmarkEnd w:id="5"/>
      <w:bookmarkEnd w:id="6"/>
    </w:p>
    <w:bookmarkEnd w:id="4"/>
    <w:p w14:paraId="72E8BF9C" w14:textId="3F61F069" w:rsidR="00265174" w:rsidRPr="00265174" w:rsidRDefault="00265174" w:rsidP="00694427">
      <w:pPr>
        <w:pStyle w:val="ListParagraph"/>
        <w:keepNext/>
        <w:numPr>
          <w:ilvl w:val="0"/>
          <w:numId w:val="3"/>
        </w:numPr>
        <w:tabs>
          <w:tab w:val="num" w:pos="482"/>
        </w:tabs>
        <w:spacing w:before="240" w:after="24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Societatea civilă în calitate de partener în materie de guvernanță: consolidarea unui dialog eficace și semnificativ</w:t>
      </w:r>
      <w:bookmarkEnd w:id="7"/>
    </w:p>
    <w:p w14:paraId="660BBD81"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bookmarkStart w:id="8" w:name="_Toc207883183"/>
      <w:bookmarkEnd w:id="8"/>
      <w:r>
        <w:rPr>
          <w:rFonts w:ascii="Times New Roman" w:hAnsi="Times New Roman"/>
          <w:noProof/>
          <w:sz w:val="24"/>
        </w:rPr>
        <w:t xml:space="preserve">Societatea civilă contribuie la un </w:t>
      </w:r>
      <w:r>
        <w:rPr>
          <w:rFonts w:ascii="Times New Roman" w:hAnsi="Times New Roman"/>
          <w:b/>
          <w:noProof/>
          <w:sz w:val="24"/>
        </w:rPr>
        <w:t>proces de elaborare a politicilor mai eficace, mai incluziv și mai reprezentativ atât la nivelul UE, cât și la nivel național și local</w:t>
      </w:r>
      <w:r>
        <w:rPr>
          <w:rFonts w:ascii="Times New Roman" w:hAnsi="Times New Roman"/>
          <w:noProof/>
          <w:sz w:val="24"/>
        </w:rPr>
        <w:t xml:space="preserve">. Asigurarea faptului că organizațiile societății civile pot participa în mod semnificativ la viața publică și își pot exprima opiniile prin intermediul unor procese transparente constituie un element important al unui proces solid și incluziv de elaborare a politicilor. </w:t>
      </w:r>
    </w:p>
    <w:tbl>
      <w:tblPr>
        <w:tblStyle w:val="TableGrid1"/>
        <w:tblW w:w="863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35"/>
      </w:tblGrid>
      <w:tr w:rsidR="00265174" w:rsidRPr="00265174" w14:paraId="5C3316DA" w14:textId="77777777">
        <w:tc>
          <w:tcPr>
            <w:tcW w:w="8635" w:type="dxa"/>
          </w:tcPr>
          <w:p w14:paraId="6B71E530" w14:textId="1227E156"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sensul strategiei, </w:t>
            </w:r>
            <w:r>
              <w:rPr>
                <w:rFonts w:ascii="Times New Roman" w:hAnsi="Times New Roman"/>
                <w:b/>
                <w:noProof/>
                <w:sz w:val="24"/>
              </w:rPr>
              <w:t>organizațiile societății civile</w:t>
            </w:r>
            <w:r>
              <w:rPr>
                <w:rFonts w:ascii="Times New Roman" w:hAnsi="Times New Roman"/>
                <w:noProof/>
                <w:sz w:val="24"/>
              </w:rPr>
              <w:t xml:space="preserve"> </w:t>
            </w:r>
            <w:r>
              <w:rPr>
                <w:rFonts w:ascii="Times New Roman" w:hAnsi="Times New Roman"/>
                <w:b/>
                <w:noProof/>
                <w:sz w:val="24"/>
              </w:rPr>
              <w:t>(OSC)</w:t>
            </w:r>
            <w:r>
              <w:rPr>
                <w:rFonts w:ascii="Times New Roman" w:hAnsi="Times New Roman"/>
                <w:noProof/>
                <w:sz w:val="24"/>
              </w:rPr>
              <w:t xml:space="preserve"> sunt înțelese în sens larg ca fiind </w:t>
            </w:r>
            <w:r>
              <w:rPr>
                <w:rFonts w:ascii="Times New Roman" w:hAnsi="Times New Roman"/>
                <w:b/>
                <w:noProof/>
                <w:sz w:val="24"/>
              </w:rPr>
              <w:t>toate organizațiile nestatale, non-profit, independente, imparțiale și nonviolente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prin intermediul cărora oamenii urmăresc și apără obiective și idealuri comune</w:t>
            </w:r>
            <w:r>
              <w:rPr>
                <w:rFonts w:ascii="Times New Roman" w:eastAsia="Times New Roman" w:hAnsi="Times New Roman" w:cs="Times New Roman"/>
                <w:noProof/>
                <w:kern w:val="0"/>
                <w:sz w:val="24"/>
                <w:szCs w:val="20"/>
                <w:vertAlign w:val="superscript"/>
                <w:lang w:val="en-GB" w:eastAsia="en-GB"/>
              </w:rPr>
              <w:footnoteReference w:id="7"/>
            </w:r>
            <w:r>
              <w:rPr>
                <w:rFonts w:ascii="Times New Roman" w:hAnsi="Times New Roman"/>
                <w:noProof/>
                <w:sz w:val="24"/>
              </w:rPr>
              <w:t>. Acestea sunt entități autonome care sunt independente de guvern sau de întreprinderi, de la grupuri informale la grupuri semiformale și formale și pot avea caracter asociativ, pot fi bazate pe apărarea unei cauze sau pot fi axate pe servicii</w:t>
            </w:r>
            <w:r>
              <w:rPr>
                <w:rFonts w:ascii="Times New Roman" w:eastAsia="Times New Roman" w:hAnsi="Times New Roman" w:cs="Times New Roman"/>
                <w:noProof/>
                <w:kern w:val="0"/>
                <w:sz w:val="24"/>
                <w:szCs w:val="20"/>
                <w:vertAlign w:val="superscript"/>
                <w:lang w:val="en-GB" w:eastAsia="en-GB"/>
              </w:rPr>
              <w:footnoteReference w:id="8"/>
            </w:r>
            <w:r>
              <w:rPr>
                <w:rFonts w:ascii="Times New Roman" w:hAnsi="Times New Roman"/>
                <w:noProof/>
                <w:sz w:val="24"/>
              </w:rPr>
              <w:t xml:space="preserve">. Acestea pot acționa la nivel local, regional, național și internațional și pot fi conduse de voluntari și/sau personal remunerat. </w:t>
            </w:r>
          </w:p>
          <w:p w14:paraId="0B724ECA"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sens general, </w:t>
            </w:r>
            <w:r>
              <w:rPr>
                <w:rFonts w:ascii="Times New Roman" w:hAnsi="Times New Roman"/>
                <w:b/>
                <w:noProof/>
                <w:sz w:val="24"/>
              </w:rPr>
              <w:t>apărătorii drepturilor omului</w:t>
            </w:r>
            <w:r>
              <w:rPr>
                <w:rFonts w:ascii="Times New Roman" w:hAnsi="Times New Roman"/>
                <w:noProof/>
                <w:sz w:val="24"/>
              </w:rPr>
              <w:t xml:space="preserve"> sunt</w:t>
            </w:r>
            <w:r>
              <w:rPr>
                <w:rFonts w:ascii="Times New Roman" w:hAnsi="Times New Roman"/>
                <w:i/>
                <w:noProof/>
                <w:sz w:val="24"/>
              </w:rPr>
              <w:t xml:space="preserve"> </w:t>
            </w:r>
            <w:r>
              <w:rPr>
                <w:rFonts w:ascii="Times New Roman" w:hAnsi="Times New Roman"/>
                <w:noProof/>
                <w:sz w:val="24"/>
              </w:rPr>
              <w:t>persoane, grupuri și organisme ale societății care promovează și protejează drepturile omului și libertățile fundamentale universal recunoscute, inclusiv drepturile copiilor</w:t>
            </w:r>
            <w:r>
              <w:rPr>
                <w:rFonts w:ascii="Times New Roman" w:eastAsia="Times New Roman" w:hAnsi="Times New Roman" w:cs="Times New Roman"/>
                <w:noProof/>
                <w:kern w:val="0"/>
                <w:sz w:val="24"/>
                <w:szCs w:val="20"/>
                <w:vertAlign w:val="superscript"/>
                <w:lang w:val="en-GB" w:eastAsia="en-GB"/>
              </w:rPr>
              <w:footnoteReference w:id="9"/>
            </w:r>
            <w:r>
              <w:rPr>
                <w:rFonts w:ascii="Times New Roman" w:hAnsi="Times New Roman"/>
                <w:noProof/>
                <w:sz w:val="24"/>
              </w:rPr>
              <w:t xml:space="preserve">. </w:t>
            </w:r>
          </w:p>
          <w:p w14:paraId="3B4541AC"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Strategia se axează pe OSC-uri și pe apărătorii drepturilor omului. Colaborarea cu partenerii sociali (de exemplu, reprezentanții angajatorilor și ai lucrătorilor) nu face obiectul strategiei, dat fiind statutul lor specific în temeiul dreptului Uniunii, astfel cum este prevăzut la articolul 154 din TFUE.</w:t>
            </w:r>
          </w:p>
          <w:p w14:paraId="6AF5365A"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conformitate cu valorile UE, </w:t>
            </w:r>
            <w:r>
              <w:rPr>
                <w:rFonts w:ascii="Times New Roman" w:hAnsi="Times New Roman"/>
                <w:b/>
                <w:noProof/>
                <w:sz w:val="24"/>
              </w:rPr>
              <w:t>strategia vizează OSC-urile responsabile, independente și transparente</w:t>
            </w:r>
            <w:r>
              <w:rPr>
                <w:rFonts w:ascii="Times New Roman" w:hAnsi="Times New Roman"/>
                <w:noProof/>
                <w:sz w:val="24"/>
              </w:rPr>
              <w:t xml:space="preserve">, care împărtășesc și funcționează în conformitate cu angajamentul UE de a respecta demnitatea umană, libertățile, democrația, egalitatea, statul de drept și drepturile fundamentale. </w:t>
            </w:r>
          </w:p>
        </w:tc>
      </w:tr>
    </w:tbl>
    <w:p w14:paraId="2F008249" w14:textId="7F924DE4" w:rsidR="00265174" w:rsidRPr="00265174" w:rsidRDefault="00265174" w:rsidP="00265174">
      <w:pPr>
        <w:spacing w:before="120"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Europenii recunosc în mod clar contribuțiile OSC-urilor, întrucât 87 % dintre respondenții la </w:t>
      </w:r>
      <w:hyperlink r:id="rId17" w:history="1">
        <w:r>
          <w:rPr>
            <w:rFonts w:ascii="Times New Roman" w:hAnsi="Times New Roman"/>
            <w:noProof/>
            <w:color w:val="0563C1"/>
            <w:sz w:val="24"/>
            <w:u w:val="single"/>
          </w:rPr>
          <w:t>sondajul Eurobarometru din 2023</w:t>
        </w:r>
      </w:hyperlink>
      <w:r>
        <w:rPr>
          <w:rFonts w:ascii="Times New Roman" w:hAnsi="Times New Roman"/>
          <w:noProof/>
          <w:sz w:val="24"/>
        </w:rPr>
        <w:t xml:space="preserve"> au considerat că aceste organizații joacă un rol important în promovarea și protejarea democrației și a altor valori ale UE, cum ar fi respectarea drepturilor fundamentale, inclusiv în ceea ce privește promovarea unei dezbateri democratice bine informate și pluraliste. Respondenții la </w:t>
      </w:r>
      <w:hyperlink r:id="rId18" w:history="1">
        <w:r>
          <w:rPr>
            <w:rStyle w:val="Hyperlink"/>
            <w:rFonts w:ascii="Times New Roman" w:hAnsi="Times New Roman"/>
            <w:noProof/>
            <w:sz w:val="24"/>
          </w:rPr>
          <w:t>Eurobarometrul din 2025</w:t>
        </w:r>
      </w:hyperlink>
      <w:r>
        <w:rPr>
          <w:rFonts w:ascii="Times New Roman" w:hAnsi="Times New Roman"/>
          <w:noProof/>
          <w:sz w:val="24"/>
        </w:rPr>
        <w:t xml:space="preserve"> au considerat în proporție de 42 % că expunerea corupției era cel mai important domeniu de activitate al societății civile, urmat de apărarea drepturilor individuale (41 %), furnizarea de servicii (39 %) și monitorizarea acțiunilor guvernamentale (28 %).</w:t>
      </w:r>
    </w:p>
    <w:p w14:paraId="4193033C" w14:textId="77777777" w:rsidR="00265174" w:rsidRPr="00265174" w:rsidRDefault="00265174" w:rsidP="00265174">
      <w:pPr>
        <w:spacing w:after="120" w:line="240" w:lineRule="auto"/>
        <w:jc w:val="both"/>
        <w:rPr>
          <w:rFonts w:ascii="Times New Roman" w:eastAsia="Times New Roman" w:hAnsi="Times New Roman" w:cs="Times New Roman"/>
          <w:b/>
          <w:noProof/>
          <w:kern w:val="0"/>
          <w:sz w:val="24"/>
          <w:szCs w:val="20"/>
          <w14:ligatures w14:val="none"/>
        </w:rPr>
      </w:pPr>
      <w:r>
        <w:rPr>
          <w:rFonts w:ascii="Times New Roman" w:hAnsi="Times New Roman"/>
          <w:b/>
          <w:i/>
          <w:noProof/>
          <w:sz w:val="24"/>
        </w:rPr>
        <w:t xml:space="preserve">2.1. Consolidarea angajamentului și a dialogului cu societatea civilă </w:t>
      </w:r>
    </w:p>
    <w:p w14:paraId="3FEFF109" w14:textId="3B36A05F"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Societatea civilă joacă un rol important în furnizarea de consiliere, sprijin și expertiză în ceea ce privește </w:t>
      </w:r>
      <w:r>
        <w:rPr>
          <w:rFonts w:ascii="Times New Roman" w:hAnsi="Times New Roman"/>
          <w:b/>
          <w:noProof/>
          <w:sz w:val="24"/>
        </w:rPr>
        <w:t>dezvoltarea și punerea în aplicare a legislației și a politicilor UE</w:t>
      </w:r>
      <w:r>
        <w:rPr>
          <w:rFonts w:ascii="Times New Roman" w:hAnsi="Times New Roman"/>
          <w:noProof/>
          <w:sz w:val="24"/>
        </w:rPr>
        <w:t xml:space="preserve"> într</w:t>
      </w:r>
      <w:r w:rsidR="00AE6B23">
        <w:rPr>
          <w:rFonts w:ascii="Times New Roman" w:hAnsi="Times New Roman"/>
          <w:noProof/>
          <w:sz w:val="24"/>
        </w:rPr>
        <w:t>­</w:t>
      </w:r>
      <w:r>
        <w:rPr>
          <w:rFonts w:ascii="Times New Roman" w:hAnsi="Times New Roman"/>
          <w:noProof/>
          <w:sz w:val="24"/>
        </w:rPr>
        <w:t>o gamă largă de sectoare, cum ar fi agricultura, politica de coeziune, cultura, politica socială, educația și tineretul, justiția și afacerile interne, protecția consumatorilor, politica în domeniul concurenței, politica privind mass-media și politica digitală, migrația și azilul, cercetarea și inovarea, clima și mediul, mobilitatea, comerțul și dezvoltarea durabilă, ajutorul umanitar și cooperarea internațională, precum și politica de extindere. În sens mai larg, acestea contribuie la promovarea și protejarea drepturilor consacrate în cartă</w:t>
      </w:r>
      <w:r>
        <w:rPr>
          <w:rFonts w:ascii="Times New Roman" w:eastAsia="Times New Roman" w:hAnsi="Times New Roman" w:cs="Times New Roman"/>
          <w:noProof/>
          <w:kern w:val="0"/>
          <w:sz w:val="24"/>
          <w:szCs w:val="20"/>
          <w:vertAlign w:val="superscript"/>
          <w:lang w:val="en-GB" w:eastAsia="en-GB"/>
        </w:rPr>
        <w:footnoteReference w:id="10"/>
      </w:r>
      <w:r>
        <w:rPr>
          <w:rFonts w:ascii="Times New Roman" w:hAnsi="Times New Roman"/>
          <w:noProof/>
          <w:sz w:val="24"/>
        </w:rPr>
        <w:t>, la prevenirea și combaterea discriminării, la promovarea cetățeniei active și la încurajarea tinerilor să participe la procesele democratice. De asemenea, contribuie la promovarea pregătirii și rezilienței societății</w:t>
      </w:r>
      <w:r>
        <w:rPr>
          <w:rStyle w:val="FootnoteReference"/>
          <w:rFonts w:ascii="Times New Roman" w:eastAsia="Times New Roman" w:hAnsi="Times New Roman" w:cs="Times New Roman"/>
          <w:noProof/>
          <w:kern w:val="0"/>
          <w:sz w:val="24"/>
          <w:szCs w:val="20"/>
          <w:lang w:val="en-GB" w:eastAsia="en-GB"/>
        </w:rPr>
        <w:footnoteReference w:id="11"/>
      </w:r>
      <w:r>
        <w:rPr>
          <w:rFonts w:ascii="Times New Roman" w:hAnsi="Times New Roman"/>
          <w:noProof/>
          <w:sz w:val="24"/>
        </w:rPr>
        <w:t xml:space="preserve">. Aceștia sunt parteneri importanți în monitorizarea punerii în aplicare și a progreselor înregistrate în materie de reforme și negocieri de aderare în contextul extinderii. </w:t>
      </w:r>
    </w:p>
    <w:p w14:paraId="72FEB0B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nivelul UE există </w:t>
      </w:r>
      <w:r>
        <w:rPr>
          <w:rFonts w:ascii="Times New Roman" w:hAnsi="Times New Roman"/>
          <w:b/>
          <w:noProof/>
          <w:sz w:val="24"/>
        </w:rPr>
        <w:t>diverse mecanisme de implicare</w:t>
      </w:r>
      <w:r>
        <w:rPr>
          <w:rFonts w:ascii="Times New Roman" w:hAnsi="Times New Roman"/>
          <w:noProof/>
          <w:sz w:val="24"/>
        </w:rPr>
        <w:t xml:space="preserve">, care permit OSC-urilor să contribuie pe parcursul întregului ciclu de elaborare a politicilor în toate domeniile de politică, de la etapele inițiale de pregătire a inițiativelor până la faza punerii în aplicare. De exemplu, portalul „Exprimați-vă părerea” constituie punctul de intrare pentru toate contribuțiile la propuneri legislative, evaluări, verificări ale adecvării și comunicări, prin consultări publice. </w:t>
      </w:r>
    </w:p>
    <w:p w14:paraId="2FCF7E5B" w14:textId="77777777" w:rsidR="00265174" w:rsidRPr="00265174" w:rsidRDefault="00265174" w:rsidP="00265174">
      <w:pPr>
        <w:spacing w:after="120" w:line="240" w:lineRule="auto"/>
        <w:jc w:val="both"/>
        <w:rPr>
          <w:rFonts w:ascii="Times New Roman" w:eastAsia="Times New Roman" w:hAnsi="Times New Roman" w:cs="Times New Roman"/>
          <w:bCs/>
          <w:noProof/>
          <w:kern w:val="0"/>
          <w:sz w:val="24"/>
          <w:szCs w:val="20"/>
          <w14:ligatures w14:val="none"/>
        </w:rPr>
      </w:pPr>
      <w:r>
        <w:rPr>
          <w:rFonts w:ascii="Times New Roman" w:hAnsi="Times New Roman"/>
          <w:noProof/>
          <w:sz w:val="24"/>
        </w:rPr>
        <w:t xml:space="preserve">Comisia utilizează o gamă largă de mijloace de </w:t>
      </w:r>
      <w:r>
        <w:rPr>
          <w:rFonts w:ascii="Times New Roman" w:hAnsi="Times New Roman"/>
          <w:b/>
          <w:noProof/>
          <w:sz w:val="24"/>
        </w:rPr>
        <w:t>consultare</w:t>
      </w:r>
      <w:r>
        <w:rPr>
          <w:rFonts w:ascii="Times New Roman" w:hAnsi="Times New Roman"/>
          <w:noProof/>
          <w:sz w:val="24"/>
        </w:rPr>
        <w:t xml:space="preserve"> pentru colaborarea sa cu organizațiile societății civile. Pe lângă </w:t>
      </w:r>
      <w:hyperlink r:id="rId19" w:history="1">
        <w:r>
          <w:rPr>
            <w:rFonts w:ascii="Times New Roman" w:hAnsi="Times New Roman"/>
            <w:noProof/>
            <w:color w:val="0563C1"/>
            <w:sz w:val="24"/>
            <w:u w:val="single"/>
          </w:rPr>
          <w:t>instrumentele pentru o mai bună legiferare</w:t>
        </w:r>
      </w:hyperlink>
      <w:r>
        <w:rPr>
          <w:rFonts w:ascii="Times New Roman" w:hAnsi="Times New Roman"/>
          <w:noProof/>
          <w:sz w:val="24"/>
        </w:rPr>
        <w:t xml:space="preserve">, aceasta implică structuri formale de dialog, cum ar fi </w:t>
      </w:r>
      <w:r>
        <w:rPr>
          <w:rFonts w:ascii="Times New Roman" w:hAnsi="Times New Roman"/>
          <w:b/>
          <w:noProof/>
          <w:sz w:val="24"/>
        </w:rPr>
        <w:t>dialogurile privind punerea în aplicare</w:t>
      </w:r>
      <w:r>
        <w:rPr>
          <w:rFonts w:ascii="Times New Roman" w:hAnsi="Times New Roman"/>
          <w:noProof/>
          <w:sz w:val="24"/>
        </w:rPr>
        <w:t xml:space="preserve">, </w:t>
      </w:r>
      <w:r>
        <w:rPr>
          <w:rFonts w:ascii="Times New Roman" w:hAnsi="Times New Roman"/>
          <w:b/>
          <w:noProof/>
          <w:sz w:val="24"/>
        </w:rPr>
        <w:t>dialogurile privind politicile pentru tineret</w:t>
      </w:r>
      <w:r>
        <w:rPr>
          <w:rFonts w:ascii="Times New Roman" w:hAnsi="Times New Roman"/>
          <w:noProof/>
          <w:sz w:val="24"/>
        </w:rPr>
        <w:t xml:space="preserve">, </w:t>
      </w:r>
      <w:r>
        <w:rPr>
          <w:rFonts w:ascii="Times New Roman" w:hAnsi="Times New Roman"/>
          <w:b/>
          <w:noProof/>
          <w:sz w:val="24"/>
        </w:rPr>
        <w:t>consiliile consultative</w:t>
      </w:r>
      <w:r>
        <w:rPr>
          <w:rFonts w:ascii="Times New Roman" w:hAnsi="Times New Roman"/>
          <w:noProof/>
          <w:sz w:val="24"/>
        </w:rPr>
        <w:t xml:space="preserve">, precum și </w:t>
      </w:r>
      <w:r>
        <w:rPr>
          <w:rFonts w:ascii="Times New Roman" w:hAnsi="Times New Roman"/>
          <w:b/>
          <w:noProof/>
          <w:sz w:val="24"/>
        </w:rPr>
        <w:t>grupurile de experți</w:t>
      </w:r>
      <w:r>
        <w:rPr>
          <w:rFonts w:ascii="Times New Roman" w:hAnsi="Times New Roman"/>
          <w:noProof/>
          <w:sz w:val="24"/>
        </w:rPr>
        <w:t xml:space="preserve"> și alte mecanisme flexibile (de exemplu, grupuri tematice ad-hoc privind aspecte specifice sau prin intermediul platformelor și rețelelor părților interesate). La nivel național, </w:t>
      </w:r>
      <w:hyperlink r:id="rId20" w:history="1">
        <w:r>
          <w:rPr>
            <w:rFonts w:ascii="Times New Roman" w:hAnsi="Times New Roman"/>
            <w:noProof/>
            <w:color w:val="0563C1"/>
            <w:sz w:val="24"/>
            <w:u w:val="single"/>
          </w:rPr>
          <w:t>rețeaua europeană a consilierilor locali</w:t>
        </w:r>
      </w:hyperlink>
      <w:r>
        <w:rPr>
          <w:rFonts w:ascii="Times New Roman" w:hAnsi="Times New Roman"/>
          <w:noProof/>
          <w:sz w:val="24"/>
        </w:rPr>
        <w:t xml:space="preserve">, gestionată în comun de Comisie și de Comitetul Regiunilor, și </w:t>
      </w:r>
      <w:hyperlink r:id="rId21" w:history="1">
        <w:r>
          <w:rPr>
            <w:rFonts w:ascii="Times New Roman" w:hAnsi="Times New Roman"/>
            <w:noProof/>
            <w:color w:val="0563C1"/>
            <w:sz w:val="24"/>
            <w:u w:val="single"/>
          </w:rPr>
          <w:t>centrele Europe Direct</w:t>
        </w:r>
      </w:hyperlink>
      <w:r>
        <w:rPr>
          <w:rFonts w:ascii="Times New Roman" w:hAnsi="Times New Roman"/>
          <w:noProof/>
          <w:sz w:val="24"/>
        </w:rPr>
        <w:t xml:space="preserve"> pot contribui la conectarea și implicarea societății civile pe teren. De asemenea, Comisia și delegațiile UE colaborează periodic cu organizațiile societății civile din țările implicate în procesul de aderare și din țările terțe. </w:t>
      </w:r>
    </w:p>
    <w:p w14:paraId="462F4359" w14:textId="448C61C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Există </w:t>
      </w:r>
      <w:r>
        <w:rPr>
          <w:rFonts w:ascii="Times New Roman" w:hAnsi="Times New Roman"/>
          <w:b/>
          <w:noProof/>
          <w:sz w:val="24"/>
        </w:rPr>
        <w:t>dialoguri specifice cu societatea civilă</w:t>
      </w:r>
      <w:r>
        <w:rPr>
          <w:rFonts w:ascii="Times New Roman" w:hAnsi="Times New Roman"/>
          <w:noProof/>
          <w:sz w:val="24"/>
        </w:rPr>
        <w:t xml:space="preserve"> în diferite domenii de politică. De exemplu, dialogul structurat cu societatea civilă în domeniul politicilor sociale și de ocupare a forței de muncă este asigurat prin procesul </w:t>
      </w:r>
      <w:hyperlink r:id="rId22" w:history="1">
        <w:r>
          <w:rPr>
            <w:rFonts w:ascii="Times New Roman" w:hAnsi="Times New Roman"/>
            <w:noProof/>
            <w:color w:val="0563C1"/>
            <w:sz w:val="24"/>
            <w:u w:val="single"/>
          </w:rPr>
          <w:t>semestrului european</w:t>
        </w:r>
      </w:hyperlink>
      <w:r>
        <w:rPr>
          <w:rFonts w:ascii="Times New Roman" w:hAnsi="Times New Roman"/>
          <w:noProof/>
          <w:sz w:val="24"/>
        </w:rPr>
        <w:t xml:space="preserve">, iar organizațiile societății civile sunt parteneri-cheie pentru punerea în aplicare a </w:t>
      </w:r>
      <w:hyperlink r:id="rId23" w:history="1">
        <w:r>
          <w:rPr>
            <w:rStyle w:val="Hyperlink"/>
            <w:rFonts w:ascii="Times New Roman" w:hAnsi="Times New Roman"/>
            <w:noProof/>
            <w:sz w:val="24"/>
          </w:rPr>
          <w:t>Pilonului european al drepturilor sociale</w:t>
        </w:r>
      </w:hyperlink>
      <w:r>
        <w:rPr>
          <w:rFonts w:ascii="Times New Roman" w:hAnsi="Times New Roman"/>
          <w:noProof/>
          <w:sz w:val="24"/>
        </w:rPr>
        <w:t xml:space="preserve">. Dialogurile cu societatea civilă vizează uneori și anumite părți interesate la nivel sectorial. De exemplu, organizațiile care reprezintă comunitățile rurale prin intermediul </w:t>
      </w:r>
      <w:hyperlink r:id="rId24" w:history="1">
        <w:r>
          <w:rPr>
            <w:rFonts w:ascii="Times New Roman" w:hAnsi="Times New Roman"/>
            <w:noProof/>
            <w:color w:val="0563C1"/>
            <w:sz w:val="24"/>
            <w:u w:val="single"/>
          </w:rPr>
          <w:t>Pactului rural</w:t>
        </w:r>
      </w:hyperlink>
      <w:r>
        <w:rPr>
          <w:rFonts w:ascii="Times New Roman" w:hAnsi="Times New Roman"/>
          <w:noProof/>
          <w:sz w:val="24"/>
        </w:rPr>
        <w:t xml:space="preserve"> în cadrul Viziunii pentru agricultură și sectorul alimentar sau dialogul cu grupurile religioase sau neconfesionale, instituite în temeiul articolului 17 din TFUE. </w:t>
      </w:r>
      <w:hyperlink r:id="rId25" w:history="1">
        <w:r>
          <w:rPr>
            <w:rFonts w:ascii="Times New Roman" w:hAnsi="Times New Roman"/>
            <w:noProof/>
            <w:color w:val="0563C1"/>
            <w:sz w:val="24"/>
            <w:u w:val="single"/>
          </w:rPr>
          <w:t>Platforma europeană pentru persoanele cu dizabilități</w:t>
        </w:r>
      </w:hyperlink>
      <w:r>
        <w:rPr>
          <w:rFonts w:ascii="Times New Roman" w:hAnsi="Times New Roman"/>
          <w:noProof/>
          <w:sz w:val="24"/>
        </w:rPr>
        <w:t xml:space="preserve"> sprijină cooperarea cu statele membre și cu societatea civilă în ceea ce privește punerea în aplicare a </w:t>
      </w:r>
      <w:hyperlink r:id="rId26" w:history="1">
        <w:r>
          <w:rPr>
            <w:rFonts w:ascii="Times New Roman" w:hAnsi="Times New Roman"/>
            <w:noProof/>
            <w:color w:val="0563C1"/>
            <w:sz w:val="24"/>
            <w:u w:val="single"/>
          </w:rPr>
          <w:t>Strategiei privind drepturile persoanelor cu handicap</w:t>
        </w:r>
      </w:hyperlink>
      <w:r>
        <w:rPr>
          <w:rFonts w:ascii="Times New Roman" w:hAnsi="Times New Roman"/>
          <w:noProof/>
          <w:sz w:val="24"/>
        </w:rPr>
        <w:t xml:space="preserve">, iar </w:t>
      </w:r>
      <w:hyperlink r:id="rId27" w:history="1">
        <w:r>
          <w:rPr>
            <w:rFonts w:ascii="Times New Roman" w:hAnsi="Times New Roman"/>
            <w:noProof/>
            <w:color w:val="0563C1"/>
            <w:sz w:val="24"/>
            <w:u w:val="single"/>
          </w:rPr>
          <w:t>Platforma UE de participare a copiilor</w:t>
        </w:r>
      </w:hyperlink>
      <w:r>
        <w:rPr>
          <w:rFonts w:ascii="Times New Roman" w:hAnsi="Times New Roman"/>
          <w:noProof/>
          <w:sz w:val="24"/>
        </w:rPr>
        <w:t xml:space="preserve"> promovează dreptul copiilor de a fi ascultați în procesul decizional și sprijină societatea civilă în promovarea implicării copiilor</w:t>
      </w:r>
      <w:r>
        <w:rPr>
          <w:rFonts w:ascii="Times New Roman" w:eastAsia="Times New Roman" w:hAnsi="Times New Roman" w:cs="Times New Roman"/>
          <w:bCs/>
          <w:noProof/>
          <w:kern w:val="0"/>
          <w:sz w:val="24"/>
          <w:szCs w:val="20"/>
          <w:vertAlign w:val="superscript"/>
          <w:lang w:val="en-GB" w:eastAsia="en-GB"/>
        </w:rPr>
        <w:footnoteReference w:id="12"/>
      </w:r>
      <w:r>
        <w:rPr>
          <w:rFonts w:ascii="Times New Roman" w:hAnsi="Times New Roman"/>
          <w:noProof/>
          <w:sz w:val="24"/>
        </w:rPr>
        <w:t>.</w:t>
      </w:r>
    </w:p>
    <w:p w14:paraId="1E37827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Platforma societății civile, care va deveni operațională începând cu 2026, va consolida </w:t>
      </w:r>
      <w:r>
        <w:rPr>
          <w:rFonts w:ascii="Times New Roman" w:hAnsi="Times New Roman"/>
          <w:b/>
          <w:noProof/>
          <w:sz w:val="24"/>
        </w:rPr>
        <w:t>dialogul privind valorile UE</w:t>
      </w:r>
      <w:r>
        <w:rPr>
          <w:rFonts w:ascii="Times New Roman" w:hAnsi="Times New Roman"/>
          <w:noProof/>
          <w:sz w:val="24"/>
        </w:rPr>
        <w:t xml:space="preserve">. Aceasta va oferi un </w:t>
      </w:r>
      <w:r>
        <w:rPr>
          <w:rFonts w:ascii="Times New Roman" w:hAnsi="Times New Roman"/>
          <w:b/>
          <w:noProof/>
          <w:sz w:val="24"/>
        </w:rPr>
        <w:t>cadru regulat</w:t>
      </w:r>
      <w:r>
        <w:rPr>
          <w:rFonts w:ascii="Times New Roman" w:hAnsi="Times New Roman"/>
          <w:noProof/>
          <w:sz w:val="24"/>
        </w:rPr>
        <w:t xml:space="preserve"> și </w:t>
      </w:r>
      <w:r>
        <w:rPr>
          <w:rFonts w:ascii="Times New Roman" w:hAnsi="Times New Roman"/>
          <w:b/>
          <w:noProof/>
          <w:sz w:val="24"/>
        </w:rPr>
        <w:t>structurat</w:t>
      </w:r>
      <w:r>
        <w:rPr>
          <w:rFonts w:ascii="Times New Roman" w:hAnsi="Times New Roman"/>
          <w:noProof/>
          <w:sz w:val="24"/>
        </w:rPr>
        <w:t xml:space="preserve"> pentru dialogul privind protecția și promovarea valorilor UE, raționalizând și consolidând angajamentul în ceea ce privește drepturile fundamentale, democrația, egalitatea și statul de drept și oferind un spațiu pentru abordarea provocărilor cu care se confruntă organizațiile societății civile care își desfășoară activitatea în aceste domenii</w:t>
      </w:r>
      <w:r>
        <w:rPr>
          <w:rFonts w:ascii="Times New Roman" w:eastAsia="Times New Roman" w:hAnsi="Times New Roman" w:cs="Times New Roman"/>
          <w:noProof/>
          <w:kern w:val="0"/>
          <w:sz w:val="24"/>
          <w:szCs w:val="20"/>
          <w:vertAlign w:val="superscript"/>
          <w:lang w:val="en-GB" w:eastAsia="en-GB"/>
        </w:rPr>
        <w:footnoteReference w:id="13"/>
      </w:r>
      <w:r>
        <w:rPr>
          <w:rFonts w:ascii="Times New Roman" w:hAnsi="Times New Roman"/>
          <w:noProof/>
          <w:sz w:val="24"/>
        </w:rPr>
        <w:t xml:space="preserve">. Platforma va facilita schimburile de informații cu privire la obiectivele strategiei de a consolida implicarea, sprijinul și protecția, de a permite o contribuție oportună și semnificativă la elaborarea politicilor și la finanțare. </w:t>
      </w:r>
    </w:p>
    <w:p w14:paraId="52945CC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Pentru a spori vizibilitatea și accesibilitatea informațiilor și pentru a facilita implicarea organizațiilor societății civile, Comisia va crea un </w:t>
      </w:r>
      <w:r>
        <w:rPr>
          <w:rFonts w:ascii="Times New Roman" w:hAnsi="Times New Roman"/>
          <w:b/>
          <w:noProof/>
          <w:sz w:val="24"/>
        </w:rPr>
        <w:t>site web</w:t>
      </w:r>
      <w:r>
        <w:rPr>
          <w:rFonts w:ascii="Times New Roman" w:hAnsi="Times New Roman"/>
          <w:noProof/>
          <w:sz w:val="24"/>
        </w:rPr>
        <w:t xml:space="preserve"> pentru Platforma societății civile, unde va publica informații și resurse cu privire la activitatea platformei, precum și informații cu privire la dialogurile Comisiei cu societatea civilă în alte domenii de politică. Acest fapt va permite organizațiilor să găsească cu ușurință informații, date, cerințe de participare și posibilități de exprimare a interesului pentru participarea la diferite dialoguri.</w:t>
      </w:r>
    </w:p>
    <w:p w14:paraId="20B91B5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Ca parte a platformei, Comisia va organiza un </w:t>
      </w:r>
      <w:r>
        <w:rPr>
          <w:rFonts w:ascii="Times New Roman" w:hAnsi="Times New Roman"/>
          <w:b/>
          <w:noProof/>
          <w:sz w:val="24"/>
        </w:rPr>
        <w:t>summit anual</w:t>
      </w:r>
      <w:r>
        <w:rPr>
          <w:rFonts w:ascii="Times New Roman" w:hAnsi="Times New Roman"/>
          <w:noProof/>
          <w:sz w:val="24"/>
        </w:rPr>
        <w:t xml:space="preserve"> împreună cu CESE pentru a dezvolta sinergii între dialogurile în curs și pentru a discuta prioritățile strategice.</w:t>
      </w:r>
    </w:p>
    <w:p w14:paraId="785982A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Platforma va avea o structură flexibilă și adaptabilă, concepută pentru a răspunde nevoilor și priorităților în schimbare. În procesul de dezvoltare a funcționării platformei, Comisia se va baza pe cele mai bune practici existente în cadrul Comisiei, precum și pe expertiza părților interesate relevante, în special a CESE și a </w:t>
      </w:r>
      <w:hyperlink r:id="rId28" w:history="1">
        <w:r>
          <w:rPr>
            <w:rFonts w:ascii="Times New Roman" w:hAnsi="Times New Roman"/>
            <w:noProof/>
            <w:color w:val="0563C1"/>
            <w:sz w:val="24"/>
            <w:u w:val="single"/>
          </w:rPr>
          <w:t>Platformei drepturilor fundamentale</w:t>
        </w:r>
      </w:hyperlink>
      <w:r>
        <w:rPr>
          <w:rFonts w:ascii="Times New Roman" w:hAnsi="Times New Roman"/>
          <w:noProof/>
          <w:sz w:val="24"/>
        </w:rPr>
        <w:t xml:space="preserve"> a FRA. În timp, platforma poate fi extinsă pentru a viza și alte domenii de politică.</w:t>
      </w:r>
    </w:p>
    <w:p w14:paraId="1CF75D60"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2.2 Principii directoare pentru un dialog eficace și semnificativ cu societatea civilă</w:t>
      </w:r>
    </w:p>
    <w:p w14:paraId="58C5F1A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Consultările cu părțile interesate au evidențiat faptul că, deși există numeroase structuri importante de implicare, ar trebui să se urmărească o </w:t>
      </w:r>
      <w:r>
        <w:rPr>
          <w:rFonts w:ascii="Times New Roman" w:hAnsi="Times New Roman"/>
          <w:b/>
          <w:noProof/>
          <w:sz w:val="24"/>
        </w:rPr>
        <w:t>coerență sporită</w:t>
      </w:r>
      <w:r>
        <w:rPr>
          <w:rFonts w:ascii="Times New Roman" w:hAnsi="Times New Roman"/>
          <w:noProof/>
          <w:sz w:val="24"/>
        </w:rPr>
        <w:t xml:space="preserve"> între acestea. Recunoscând că, pentru a fi eficient și semnificativ, dialogul va trebui întotdeauna adaptat la obiectivele specifice și la nevoile specifice fiecărui sector, strategia propune </w:t>
      </w:r>
      <w:r>
        <w:rPr>
          <w:rFonts w:ascii="Times New Roman" w:hAnsi="Times New Roman"/>
          <w:b/>
          <w:noProof/>
          <w:sz w:val="24"/>
        </w:rPr>
        <w:t>10 principii directoare pentru dialogul dintre Comisie și societatea civilă</w:t>
      </w:r>
      <w:r>
        <w:rPr>
          <w:rFonts w:ascii="Times New Roman" w:eastAsia="Times New Roman" w:hAnsi="Times New Roman" w:cs="Times New Roman"/>
          <w:noProof/>
          <w:kern w:val="0"/>
          <w:sz w:val="24"/>
          <w:szCs w:val="24"/>
          <w:vertAlign w:val="superscript"/>
          <w:lang w:val="en-GB" w:eastAsia="en-GB"/>
        </w:rPr>
        <w:footnoteReference w:id="14"/>
      </w:r>
      <w:r>
        <w:rPr>
          <w:rFonts w:ascii="Times New Roman" w:hAnsi="Times New Roman"/>
          <w:noProof/>
          <w:sz w:val="24"/>
        </w:rPr>
        <w:t xml:space="preserve">. </w:t>
      </w:r>
    </w:p>
    <w:p w14:paraId="7BC532B1" w14:textId="5D116DCE"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Aceste principii directoare sunt menite să servească drept cadru comun pentru desfășurarea unor mecanisme specifice de dialog cu OSC-urile din toate sectoarele de politică, aplicându-se atât Comisiei, cât și OSC. Este important ca OSC-urile în sine să se asigure că propriile lor practici și structuri sunt </w:t>
      </w:r>
      <w:r>
        <w:rPr>
          <w:rFonts w:ascii="Times New Roman" w:hAnsi="Times New Roman"/>
          <w:b/>
          <w:noProof/>
          <w:sz w:val="24"/>
        </w:rPr>
        <w:t>transparente, responsabile și conforme cu valorile UE</w:t>
      </w:r>
      <w:r>
        <w:rPr>
          <w:rFonts w:ascii="Times New Roman" w:hAnsi="Times New Roman"/>
          <w:noProof/>
          <w:sz w:val="24"/>
        </w:rPr>
        <w:t>, astfel încât implicarea lor într-un astfel de dialog să fie responsabilă și bazată pe standarde comune</w:t>
      </w:r>
      <w:r>
        <w:rPr>
          <w:noProof/>
        </w:rPr>
        <w:t xml:space="preserve"> </w:t>
      </w:r>
      <w:r>
        <w:rPr>
          <w:rFonts w:ascii="Times New Roman" w:hAnsi="Times New Roman"/>
          <w:noProof/>
          <w:sz w:val="24"/>
        </w:rPr>
        <w:t>și să respecte rolurile instituțiilor UE și orientările pentru primirea de finanțare</w:t>
      </w:r>
      <w:r>
        <w:rPr>
          <w:rFonts w:ascii="Times New Roman" w:eastAsia="Times New Roman" w:hAnsi="Times New Roman" w:cs="Times New Roman"/>
          <w:noProof/>
          <w:kern w:val="0"/>
          <w:sz w:val="24"/>
          <w:szCs w:val="20"/>
          <w:vertAlign w:val="superscript"/>
          <w:lang w:val="en-GB" w:eastAsia="en-GB"/>
        </w:rPr>
        <w:footnoteReference w:id="15"/>
      </w:r>
      <w:r>
        <w:rPr>
          <w:rFonts w:ascii="Times New Roman" w:hAnsi="Times New Roman"/>
          <w:noProof/>
          <w:sz w:val="24"/>
        </w:rPr>
        <w:t>. Aceste principii se bazează pe contribuții din diverse consultări, documente de politică și recomandări ale UE, pe cele mai bune practici existente în UE și pe standardele și practicile elaborate la nivel internațional</w:t>
      </w:r>
      <w:r>
        <w:rPr>
          <w:rFonts w:ascii="Times New Roman" w:eastAsia="Times New Roman" w:hAnsi="Times New Roman" w:cs="Times New Roman"/>
          <w:noProof/>
          <w:kern w:val="0"/>
          <w:sz w:val="24"/>
          <w:szCs w:val="20"/>
          <w:vertAlign w:val="superscript"/>
          <w:lang w:val="en-GB" w:eastAsia="en-GB"/>
        </w:rPr>
        <w:footnoteReference w:id="16"/>
      </w:r>
      <w:r>
        <w:rPr>
          <w:rFonts w:ascii="Times New Roman" w:hAnsi="Times New Roman"/>
          <w:noProof/>
          <w:sz w:val="24"/>
        </w:rPr>
        <w:t>.</w:t>
      </w:r>
    </w:p>
    <w:p w14:paraId="3B46019E" w14:textId="77777777" w:rsidR="00FD0F4E" w:rsidRPr="00195E4C" w:rsidRDefault="00FD0F4E" w:rsidP="00265174">
      <w:pPr>
        <w:spacing w:after="120" w:line="240" w:lineRule="auto"/>
        <w:jc w:val="both"/>
        <w:rPr>
          <w:rFonts w:ascii="Times New Roman" w:eastAsia="Times New Roman" w:hAnsi="Times New Roman" w:cs="Times New Roman"/>
          <w:noProof/>
          <w:kern w:val="0"/>
          <w:sz w:val="24"/>
          <w:szCs w:val="20"/>
          <w:lang w:eastAsia="en-GB"/>
          <w14:ligatures w14:val="none"/>
        </w:rPr>
      </w:pPr>
    </w:p>
    <w:p w14:paraId="692F2A66" w14:textId="77777777" w:rsidR="00265174" w:rsidRPr="00195E4C" w:rsidRDefault="00265174" w:rsidP="00265174">
      <w:pPr>
        <w:spacing w:after="120" w:line="240" w:lineRule="auto"/>
        <w:jc w:val="both"/>
        <w:rPr>
          <w:rFonts w:ascii="Times New Roman" w:eastAsia="Times New Roman" w:hAnsi="Times New Roman" w:cs="Times New Roman"/>
          <w:noProof/>
          <w:kern w:val="0"/>
          <w:sz w:val="24"/>
          <w:szCs w:val="20"/>
          <w:lang w:eastAsia="en-GB"/>
          <w14:ligatures w14:val="none"/>
        </w:rPr>
      </w:pPr>
    </w:p>
    <w:tbl>
      <w:tblPr>
        <w:tblStyle w:val="TableGrid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84"/>
      </w:tblGrid>
      <w:tr w:rsidR="00265174" w:rsidRPr="00265174" w14:paraId="2C0A7E07" w14:textId="77777777">
        <w:tc>
          <w:tcPr>
            <w:tcW w:w="9535" w:type="dxa"/>
          </w:tcPr>
          <w:p w14:paraId="517A6A83" w14:textId="77777777" w:rsidR="00265174" w:rsidRPr="00265174" w:rsidRDefault="00265174" w:rsidP="00265174">
            <w:pPr>
              <w:spacing w:after="120"/>
              <w:jc w:val="center"/>
              <w:rPr>
                <w:rFonts w:ascii="Times New Roman" w:eastAsia="Times New Roman" w:hAnsi="Times New Roman" w:cs="Times New Roman"/>
                <w:b/>
                <w:bCs/>
                <w:noProof/>
                <w:kern w:val="0"/>
                <w:sz w:val="24"/>
                <w:szCs w:val="24"/>
                <w:u w:val="single"/>
                <w14:ligatures w14:val="none"/>
              </w:rPr>
            </w:pPr>
            <w:bookmarkStart w:id="9" w:name="_Hlk212902619"/>
            <w:r>
              <w:rPr>
                <w:rFonts w:ascii="Times New Roman" w:hAnsi="Times New Roman"/>
                <w:b/>
                <w:noProof/>
                <w:sz w:val="24"/>
                <w:u w:val="single"/>
              </w:rPr>
              <w:t xml:space="preserve">10 principii directoare pentru dialogul cu societatea civilă </w:t>
            </w:r>
          </w:p>
          <w:p w14:paraId="60550D2A"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noProof/>
                <w:sz w:val="24"/>
              </w:rPr>
              <w:t>1) </w:t>
            </w:r>
            <w:r>
              <w:rPr>
                <w:rFonts w:ascii="Times New Roman" w:hAnsi="Times New Roman"/>
                <w:b/>
                <w:noProof/>
                <w:sz w:val="24"/>
                <w:u w:val="single"/>
              </w:rPr>
              <w:t>Parteneriat</w:t>
            </w:r>
            <w:r>
              <w:rPr>
                <w:rFonts w:ascii="Times New Roman" w:hAnsi="Times New Roman"/>
                <w:noProof/>
                <w:sz w:val="24"/>
              </w:rPr>
              <w:t xml:space="preserve">: cooperarea ar trebui să salute contribuția proactivă a societății civile ca partener la dezvoltarea dialogului, la stabilirea priorităților și a agendelor, la definirea obiectivelor sau la evaluarea rezultatelor. </w:t>
            </w:r>
          </w:p>
          <w:p w14:paraId="39E6DB7A"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noProof/>
                <w:sz w:val="24"/>
              </w:rPr>
              <w:t>2) </w:t>
            </w:r>
            <w:r>
              <w:rPr>
                <w:rFonts w:ascii="Times New Roman" w:hAnsi="Times New Roman"/>
                <w:b/>
                <w:noProof/>
                <w:sz w:val="24"/>
                <w:u w:val="single"/>
              </w:rPr>
              <w:t>Exhaustivitate</w:t>
            </w:r>
            <w:r>
              <w:rPr>
                <w:rFonts w:ascii="Times New Roman" w:hAnsi="Times New Roman"/>
                <w:noProof/>
                <w:sz w:val="24"/>
                <w:u w:val="single"/>
              </w:rPr>
              <w:t>:</w:t>
            </w:r>
            <w:r>
              <w:rPr>
                <w:rFonts w:ascii="Times New Roman" w:hAnsi="Times New Roman"/>
                <w:noProof/>
                <w:sz w:val="24"/>
              </w:rPr>
              <w:t xml:space="preserve"> dialogul ar trebui să vizeze implicarea societății civile pe parcursul diferitelor etape ale procesului de elaborare a politicilor. </w:t>
            </w:r>
          </w:p>
          <w:p w14:paraId="687E9B47"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noProof/>
                <w:sz w:val="24"/>
              </w:rPr>
              <w:t>3) </w:t>
            </w:r>
            <w:r>
              <w:rPr>
                <w:rFonts w:ascii="Times New Roman" w:hAnsi="Times New Roman"/>
                <w:b/>
                <w:noProof/>
                <w:sz w:val="24"/>
                <w:u w:val="single"/>
              </w:rPr>
              <w:t>Predictibilitate și regularitate</w:t>
            </w:r>
            <w:r>
              <w:rPr>
                <w:rFonts w:ascii="Times New Roman" w:hAnsi="Times New Roman"/>
                <w:noProof/>
                <w:sz w:val="24"/>
                <w:u w:val="single"/>
              </w:rPr>
              <w:t>:</w:t>
            </w:r>
            <w:r>
              <w:rPr>
                <w:rFonts w:ascii="Times New Roman" w:hAnsi="Times New Roman"/>
                <w:noProof/>
                <w:sz w:val="24"/>
              </w:rPr>
              <w:t xml:space="preserve"> dialogul ar trebui să facă parte dintr-un proces predictibil și regulat și să ofere termene adecvate pentru contribuții.</w:t>
            </w:r>
          </w:p>
          <w:p w14:paraId="5C17E954"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noProof/>
                <w:sz w:val="24"/>
              </w:rPr>
              <w:t>4) </w:t>
            </w:r>
            <w:r>
              <w:rPr>
                <w:rFonts w:ascii="Times New Roman" w:hAnsi="Times New Roman"/>
                <w:b/>
                <w:noProof/>
                <w:sz w:val="24"/>
                <w:u w:val="single"/>
              </w:rPr>
              <w:t>Transparență</w:t>
            </w:r>
            <w:r>
              <w:rPr>
                <w:rFonts w:ascii="Times New Roman" w:hAnsi="Times New Roman"/>
                <w:noProof/>
                <w:sz w:val="24"/>
              </w:rPr>
              <w:t xml:space="preserve">: ar trebui să se asigure o comunicare clară cu privire la proceduri, obiective, termene și criterii de participare, precum și un acces adecvat și în timp util la documentele relevante, în conformitate cu cerințele legale aplicabile. </w:t>
            </w:r>
          </w:p>
          <w:p w14:paraId="1C5F22FE"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noProof/>
                <w:sz w:val="24"/>
              </w:rPr>
              <w:t>5) </w:t>
            </w:r>
            <w:r>
              <w:rPr>
                <w:rFonts w:ascii="Times New Roman" w:hAnsi="Times New Roman"/>
                <w:b/>
                <w:noProof/>
                <w:sz w:val="24"/>
                <w:u w:val="single"/>
              </w:rPr>
              <w:t>Reprezentare</w:t>
            </w:r>
            <w:r>
              <w:rPr>
                <w:rFonts w:ascii="Times New Roman" w:hAnsi="Times New Roman"/>
                <w:noProof/>
                <w:sz w:val="24"/>
              </w:rPr>
              <w:t>: selecția participanților ar trebui să se bazeze pe independența, legitimitatea, reprezentativitatea și expertiza organizațiilor, precum și pe adeziunea acestora la valorile UE.</w:t>
            </w:r>
          </w:p>
          <w:p w14:paraId="08CE3E32"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noProof/>
                <w:sz w:val="24"/>
              </w:rPr>
              <w:t>6) </w:t>
            </w:r>
            <w:r>
              <w:rPr>
                <w:rFonts w:ascii="Times New Roman" w:hAnsi="Times New Roman"/>
                <w:b/>
                <w:noProof/>
                <w:sz w:val="24"/>
                <w:u w:val="single"/>
              </w:rPr>
              <w:t>Incluziune</w:t>
            </w:r>
            <w:r>
              <w:rPr>
                <w:rFonts w:ascii="Times New Roman" w:hAnsi="Times New Roman"/>
                <w:noProof/>
                <w:sz w:val="24"/>
                <w:u w:val="single"/>
              </w:rPr>
              <w:t>:</w:t>
            </w:r>
            <w:r>
              <w:rPr>
                <w:rFonts w:ascii="Times New Roman" w:hAnsi="Times New Roman"/>
                <w:noProof/>
                <w:sz w:val="24"/>
              </w:rPr>
              <w:t xml:space="preserve"> dialogul ar trebui să vizeze includerea unui spectru suficient de larg de organizații, care să reflecte un echilibru sectorial și geografic și să țină seama în mod corespunzător de organizațiile care reprezintă grupuri subreprezentate, marginalizate sau aflate în situații vulnerabile.</w:t>
            </w:r>
          </w:p>
          <w:p w14:paraId="6B34C86C"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noProof/>
                <w:sz w:val="24"/>
              </w:rPr>
              <w:t>7) </w:t>
            </w:r>
            <w:r>
              <w:rPr>
                <w:rFonts w:ascii="Times New Roman" w:hAnsi="Times New Roman"/>
                <w:b/>
                <w:noProof/>
                <w:sz w:val="24"/>
                <w:u w:val="single"/>
              </w:rPr>
              <w:t>Accesibilitate</w:t>
            </w:r>
            <w:r>
              <w:rPr>
                <w:rFonts w:ascii="Times New Roman" w:hAnsi="Times New Roman"/>
                <w:noProof/>
                <w:sz w:val="24"/>
                <w:u w:val="single"/>
              </w:rPr>
              <w:t>:</w:t>
            </w:r>
            <w:r>
              <w:rPr>
                <w:rFonts w:ascii="Times New Roman" w:hAnsi="Times New Roman"/>
                <w:noProof/>
                <w:sz w:val="24"/>
              </w:rPr>
              <w:t xml:space="preserve"> dialogurile, indiferent dacă au loc online sau offline, ar trebui să fie concepute și puse în aplicare cu instrumente tehnologice adecvate, pentru a elimina barierele în materie de accesibilitate și a permite o participare deplină și egală.</w:t>
            </w:r>
          </w:p>
          <w:p w14:paraId="62F9C347"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noProof/>
                <w:sz w:val="24"/>
              </w:rPr>
              <w:t>8) </w:t>
            </w:r>
            <w:r>
              <w:rPr>
                <w:rFonts w:ascii="Times New Roman" w:hAnsi="Times New Roman"/>
                <w:b/>
                <w:noProof/>
                <w:sz w:val="24"/>
                <w:u w:val="single"/>
              </w:rPr>
              <w:t>Asumarea răspunderii</w:t>
            </w:r>
            <w:r>
              <w:rPr>
                <w:rFonts w:ascii="Times New Roman" w:hAnsi="Times New Roman"/>
                <w:noProof/>
                <w:sz w:val="24"/>
              </w:rPr>
              <w:t xml:space="preserve">: feedbackul cu privire la modul în care dialogul contribuie la progresele în materie de politici ar trebui să stimuleze responsabilitatea și încrederea reciprocă. </w:t>
            </w:r>
          </w:p>
          <w:p w14:paraId="22C5784D" w14:textId="6C1F020A"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noProof/>
                <w:sz w:val="24"/>
              </w:rPr>
              <w:t>9) </w:t>
            </w:r>
            <w:r>
              <w:rPr>
                <w:rFonts w:ascii="Times New Roman" w:hAnsi="Times New Roman"/>
                <w:b/>
                <w:noProof/>
                <w:sz w:val="24"/>
                <w:u w:val="single"/>
              </w:rPr>
              <w:t>Resurse</w:t>
            </w:r>
            <w:r>
              <w:rPr>
                <w:rFonts w:ascii="Times New Roman" w:hAnsi="Times New Roman"/>
                <w:noProof/>
                <w:sz w:val="24"/>
                <w:u w:val="single"/>
              </w:rPr>
              <w:t>:</w:t>
            </w:r>
            <w:r>
              <w:rPr>
                <w:rFonts w:ascii="Times New Roman" w:hAnsi="Times New Roman"/>
                <w:noProof/>
                <w:sz w:val="24"/>
              </w:rPr>
              <w:t xml:space="preserve"> după caz, ar trebui să se pună la dispoziție sprijin financiar sau logistic pentru a permite participarea, ținând seama de nevoile organizațiilor locale și comunitare, pentru a se asigura că acestea nu sunt excluse din cauza mijloacelor limitate.</w:t>
            </w:r>
          </w:p>
          <w:p w14:paraId="0CA4DEF8"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noProof/>
                <w:sz w:val="24"/>
              </w:rPr>
              <w:t>10) </w:t>
            </w:r>
            <w:r>
              <w:rPr>
                <w:rFonts w:ascii="Times New Roman" w:hAnsi="Times New Roman"/>
                <w:b/>
                <w:noProof/>
                <w:sz w:val="24"/>
                <w:u w:val="single"/>
              </w:rPr>
              <w:t>Siguranță</w:t>
            </w:r>
            <w:r>
              <w:rPr>
                <w:rFonts w:ascii="Times New Roman" w:hAnsi="Times New Roman"/>
                <w:noProof/>
                <w:sz w:val="24"/>
              </w:rPr>
              <w:t>: ar trebui instituite garanții pentru a se asigura că organizațiile pot participa la dialog în condiții de siguranță, inclusiv prin măsuri adecvate de protecție a datelor cu caracter personal și a confidențialității.</w:t>
            </w:r>
          </w:p>
        </w:tc>
      </w:tr>
    </w:tbl>
    <w:bookmarkEnd w:id="9"/>
    <w:p w14:paraId="29919348" w14:textId="77777777" w:rsidR="00265174" w:rsidRPr="00265174" w:rsidRDefault="00265174" w:rsidP="00265174">
      <w:pPr>
        <w:spacing w:before="120"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Aceste principii reflectă parametrii-cheie pentru implicarea civică prevăzuți în </w:t>
      </w:r>
      <w:hyperlink r:id="rId29" w:history="1">
        <w:r>
          <w:rPr>
            <w:rFonts w:ascii="Times New Roman" w:hAnsi="Times New Roman"/>
            <w:noProof/>
            <w:color w:val="0563C1"/>
            <w:sz w:val="24"/>
            <w:u w:val="single"/>
          </w:rPr>
          <w:t>Recomandarea (UE) 2023/2836 a Comisiei</w:t>
        </w:r>
      </w:hyperlink>
      <w:r>
        <w:rPr>
          <w:rFonts w:ascii="Times New Roman" w:hAnsi="Times New Roman"/>
          <w:noProof/>
          <w:sz w:val="24"/>
        </w:rPr>
        <w:t>, care invită totodată statele membre să creeze mai multe oportunități pentru cetățeni și OSC-uri de a participa în mod efectiv la procesele de elaborare a politicilor publice la nivel local, regional și național. Ca răspuns la recomandare, mai multe state membre au luat măsuri pentru a asigura punerea sa în aplicare, inclusiv prin instituirea de noi cadre instituționale și platforme de dialog cu societatea civilă, prin elaborarea de orientări privind consultările în cursul procesului decizional, prin implicarea constantă a societății civile în toate domeniile de politică și prin asigurarea participării mai sistematice a societății civile la procesele consultative</w:t>
      </w:r>
      <w:r>
        <w:rPr>
          <w:rFonts w:ascii="Times New Roman" w:eastAsia="Times New Roman" w:hAnsi="Times New Roman" w:cs="Times New Roman"/>
          <w:noProof/>
          <w:kern w:val="0"/>
          <w:sz w:val="24"/>
          <w:szCs w:val="20"/>
          <w:vertAlign w:val="superscript"/>
          <w:lang w:val="en-GB" w:eastAsia="en-GB"/>
        </w:rPr>
        <w:footnoteReference w:id="17"/>
      </w:r>
      <w:r>
        <w:rPr>
          <w:rFonts w:ascii="Times New Roman" w:hAnsi="Times New Roman"/>
          <w:noProof/>
          <w:sz w:val="24"/>
        </w:rPr>
        <w:t xml:space="preserve">. </w:t>
      </w:r>
    </w:p>
    <w:p w14:paraId="50CC089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S-au înregistrat progrese importante</w:t>
      </w:r>
      <w:r>
        <w:rPr>
          <w:rFonts w:ascii="Times New Roman" w:hAnsi="Times New Roman"/>
          <w:noProof/>
          <w:sz w:val="24"/>
        </w:rPr>
        <w:t xml:space="preserve">, dar OSC-urile continuă să raporteze unele deficiențe și, după aproape doi ani de la adoptarea prezentei recomandări, se impune </w:t>
      </w:r>
      <w:r>
        <w:rPr>
          <w:rFonts w:ascii="Times New Roman" w:hAnsi="Times New Roman"/>
          <w:b/>
          <w:noProof/>
          <w:sz w:val="24"/>
        </w:rPr>
        <w:t>colectarea de date suplimentare</w:t>
      </w:r>
      <w:r>
        <w:rPr>
          <w:rFonts w:ascii="Times New Roman" w:hAnsi="Times New Roman"/>
          <w:noProof/>
          <w:sz w:val="24"/>
        </w:rPr>
        <w:t xml:space="preserve"> și </w:t>
      </w:r>
      <w:r>
        <w:rPr>
          <w:rFonts w:ascii="Times New Roman" w:hAnsi="Times New Roman"/>
          <w:b/>
          <w:noProof/>
          <w:sz w:val="24"/>
        </w:rPr>
        <w:t>monitorizarea</w:t>
      </w:r>
      <w:r>
        <w:rPr>
          <w:rFonts w:ascii="Times New Roman" w:hAnsi="Times New Roman"/>
          <w:noProof/>
          <w:sz w:val="24"/>
        </w:rPr>
        <w:t xml:space="preserve"> punerii sale în aplicare. Prin urmare, Comisia </w:t>
      </w:r>
      <w:r>
        <w:rPr>
          <w:rFonts w:ascii="Times New Roman" w:hAnsi="Times New Roman"/>
          <w:b/>
          <w:noProof/>
          <w:sz w:val="24"/>
        </w:rPr>
        <w:t>va sprijini în continuare consolidarea capacităților la nivel național</w:t>
      </w:r>
      <w:r>
        <w:rPr>
          <w:rFonts w:ascii="Times New Roman" w:hAnsi="Times New Roman"/>
          <w:noProof/>
          <w:sz w:val="24"/>
        </w:rPr>
        <w:t xml:space="preserve"> pentru punerea în aplicare a recomandării și va organiza schimburi de informații cu statele membre, în colaborare cu CESE și FRA. Acestea se vor axa pe consolidarea implicării, a sprijinului și a protecției societății civile la nivel național.</w:t>
      </w:r>
    </w:p>
    <w:p w14:paraId="3E72AE7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 intenționează, de asemenea, să își intensifice colaborarea cu societatea civilă prin diferite platforme și inițiative. Aceasta va implica tinerii și organizațiile în diferite forumuri de tineret, va încuraja participarea societății civile la dezbaterile privind Platforma de implicare civică și va conecta societatea civilă cu contribuțiile cetățenilor din cadrul grupurilor de dezbatere ale cetățenilor europeni pentru a contribui la elaborarea politicilor UE.</w:t>
      </w:r>
    </w:p>
    <w:p w14:paraId="509B359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Societatea civilă este un actor esențial în cadrul agendei de extindere. Pentru un stat care aspiră să devină membru al UE, o societate civilă dinamică contribuie la procesul de aderare. Implicarea societății civile în procesul de extindere poate contribui la o mai bună înțelegere de către cetățeni a reformelor necesare pentru îndeplinirea condițiilor de aderare. În vederea consolidării participării societății civile la aceste procese, Comisia va ghida activitatea de instituționalizare și standardizare a consultării la nivel național a organizațiilor societății civile în contextul pregătirii reuniunilor organismelor relevante în temeiul acordurilor de asociere, precum și în contextul controlului și monitorizării acestora.</w:t>
      </w:r>
    </w:p>
    <w:p w14:paraId="6D63A417" w14:textId="77777777" w:rsidR="00265174" w:rsidRPr="00265174" w:rsidRDefault="00265174" w:rsidP="00265174">
      <w:p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 xml:space="preserve">Comisia va întreprinde următoarele acțiuni: </w:t>
      </w:r>
    </w:p>
    <w:p w14:paraId="229AF613" w14:textId="77777777" w:rsidR="00265174" w:rsidRPr="00265174" w:rsidDel="00887FBA"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crearea unei platforme a societății civile pentru a-și intensifica colaborarea cu organizațiile societății civile active în promovarea și protejarea valorilor UE, cu posibilitatea extinderii în timp și la alte domenii de politică; </w:t>
      </w:r>
    </w:p>
    <w:p w14:paraId="2DDF0A26"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organizarea, împreună cu CESE, a unui summit anual al platformei societății civile;</w:t>
      </w:r>
    </w:p>
    <w:p w14:paraId="60952613"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promovarea utilizării celor 10 principii directoare pentru dialogul cu societatea civilă;</w:t>
      </w:r>
    </w:p>
    <w:p w14:paraId="54E291AD"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colaborarea cu societatea civilă prin intermediul Consiliului consultativ al tinerilor pe lângă președintele Comisiei, al Grupului părților interesate din domeniul tineretului din UE, al dialogului UE cu tinerii și al dialogurilor în materie de politici pentru tineret, precum și promovarea participării societății civile la dezbaterile promovate pe Platforma de implicare civică;</w:t>
      </w:r>
    </w:p>
    <w:p w14:paraId="12FB6D79"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implicarea societății civile în cadrul grupurilor de dezbatere ale cetățenilor europeni, ca modalitate de a crea o punte între organizațiile societății civile și implicarea cetățenilor în elaborarea politicilor UE;</w:t>
      </w:r>
    </w:p>
    <w:p w14:paraId="52A36358"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sprijinirea consolidării capacităților naționale și organizarea schimburilor de vederi cu statele membre în ceea ce privește Recomandarea (UE) 2023/2836 a Comisiei privind participarea societății civile, în colaborare cu actorii relevanți, printre care CESE și FRA; </w:t>
      </w:r>
    </w:p>
    <w:p w14:paraId="6126FD22"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instituționalizarea și standardizarea consultării la nivel național a organizațiilor societății civile în contextul pregătirii reuniunilor organismelor relevante în temeiul acordurilor de asociere, precum și în contextul controlului și monitorizării acestora.</w:t>
      </w:r>
    </w:p>
    <w:p w14:paraId="2FC9FD36" w14:textId="77777777" w:rsidR="00265174" w:rsidRPr="00265174" w:rsidRDefault="00265174" w:rsidP="00265174">
      <w:pPr>
        <w:pBdr>
          <w:top w:val="single" w:sz="4" w:space="0" w:color="auto"/>
          <w:left w:val="single" w:sz="4" w:space="4" w:color="auto"/>
          <w:bottom w:val="single" w:sz="4" w:space="6" w:color="auto"/>
          <w:right w:val="single" w:sz="4" w:space="4" w:color="auto"/>
        </w:pBdr>
        <w:spacing w:after="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Statele membre sunt invitate:</w:t>
      </w:r>
    </w:p>
    <w:p w14:paraId="7303BDC2"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să consolideze mecanismele și politicile de implicare în conformitate cu principiile identificate în strategie, inclusiv prin luarea de măsuri suplimentare pentru a pune pe deplin în aplicare Recomandarea (UE) 2023/2836 a Comisiei, în ceea ce privește participarea efectivă a organizațiilor societății civile.</w:t>
      </w:r>
      <w:bookmarkStart w:id="10" w:name="_Toc207883189"/>
      <w:bookmarkStart w:id="11" w:name="_Toc207883190"/>
      <w:bookmarkStart w:id="12" w:name="_Toc207883191"/>
      <w:bookmarkStart w:id="13" w:name="_Toc207883192"/>
      <w:bookmarkStart w:id="14" w:name="_Toc210325216"/>
      <w:bookmarkEnd w:id="10"/>
      <w:bookmarkEnd w:id="11"/>
      <w:bookmarkEnd w:id="12"/>
      <w:bookmarkEnd w:id="13"/>
    </w:p>
    <w:p w14:paraId="71939DB4" w14:textId="77777777" w:rsidR="00265174" w:rsidRPr="00195E4C" w:rsidRDefault="00265174" w:rsidP="00265174">
      <w:pPr>
        <w:spacing w:after="0" w:line="240" w:lineRule="auto"/>
        <w:jc w:val="both"/>
        <w:rPr>
          <w:rFonts w:ascii="Times New Roman" w:eastAsia="Times New Roman" w:hAnsi="Times New Roman" w:cs="Times New Roman"/>
          <w:b/>
          <w:smallCaps/>
          <w:noProof/>
          <w:kern w:val="0"/>
          <w:sz w:val="24"/>
          <w:szCs w:val="20"/>
          <w14:ligatures w14:val="none"/>
        </w:rPr>
      </w:pPr>
    </w:p>
    <w:p w14:paraId="471607B0" w14:textId="5CD6209F"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Acordarea de sprijin și protecție: asigurarea unui spațiu civic deschis, sigur și favorabil</w:t>
      </w:r>
      <w:bookmarkEnd w:id="14"/>
    </w:p>
    <w:p w14:paraId="3331CA2C" w14:textId="77777777" w:rsidR="00265174" w:rsidRPr="00195E4C" w:rsidRDefault="00265174" w:rsidP="00265174">
      <w:pPr>
        <w:spacing w:after="0" w:line="240" w:lineRule="auto"/>
        <w:jc w:val="both"/>
        <w:rPr>
          <w:rFonts w:ascii="Times New Roman" w:eastAsia="Times New Roman" w:hAnsi="Times New Roman" w:cs="Times New Roman"/>
          <w:noProof/>
          <w:kern w:val="0"/>
          <w:sz w:val="24"/>
          <w:szCs w:val="20"/>
          <w:lang w:val="es-ES" w:eastAsia="en-GB"/>
          <w14:ligatures w14:val="none"/>
        </w:rPr>
      </w:pPr>
    </w:p>
    <w:p w14:paraId="1825CEA8"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Un spațiu civic prosper</w:t>
      </w:r>
      <w:r>
        <w:rPr>
          <w:rFonts w:ascii="Times New Roman" w:eastAsia="Times New Roman" w:hAnsi="Times New Roman" w:cs="Times New Roman"/>
          <w:noProof/>
          <w:kern w:val="0"/>
          <w:sz w:val="24"/>
          <w:szCs w:val="20"/>
          <w:vertAlign w:val="superscript"/>
          <w:lang w:val="en-GB" w:eastAsia="en-GB"/>
        </w:rPr>
        <w:footnoteReference w:id="18"/>
      </w:r>
      <w:r>
        <w:rPr>
          <w:rFonts w:ascii="Times New Roman" w:hAnsi="Times New Roman"/>
          <w:noProof/>
          <w:sz w:val="24"/>
        </w:rPr>
        <w:t xml:space="preserve"> necesită un </w:t>
      </w:r>
      <w:r>
        <w:rPr>
          <w:rFonts w:ascii="Times New Roman" w:hAnsi="Times New Roman"/>
          <w:b/>
          <w:noProof/>
          <w:sz w:val="24"/>
        </w:rPr>
        <w:t>mediu juridic, administrativ și de reglementare favorabil</w:t>
      </w:r>
      <w:r>
        <w:rPr>
          <w:rFonts w:ascii="Times New Roman" w:hAnsi="Times New Roman"/>
          <w:noProof/>
          <w:sz w:val="24"/>
        </w:rPr>
        <w:t xml:space="preserve">, în care OSC-urile să fie sprijinite și capacitate și în care acestea să fie protejate și să poată funcționa liber. Potrivit unui </w:t>
      </w:r>
      <w:hyperlink r:id="rId30" w:history="1">
        <w:r>
          <w:rPr>
            <w:rFonts w:ascii="Times New Roman" w:hAnsi="Times New Roman"/>
            <w:noProof/>
            <w:color w:val="0563C1"/>
            <w:sz w:val="24"/>
            <w:u w:val="single"/>
          </w:rPr>
          <w:t>sondaj Eurobarometru</w:t>
        </w:r>
      </w:hyperlink>
      <w:r>
        <w:rPr>
          <w:rFonts w:ascii="Times New Roman" w:hAnsi="Times New Roman"/>
          <w:noProof/>
          <w:sz w:val="24"/>
        </w:rPr>
        <w:t xml:space="preserve"> din 2024 privind statul de drept, 86 % dintre europeni consideră că este important ca mass-media și organizațiile societății civile din statele membre să poată funcționa liber și fără presiuni. Menținerea unui astfel de mediu liber și favorabil implică acțiuni de </w:t>
      </w:r>
      <w:r>
        <w:rPr>
          <w:rFonts w:ascii="Times New Roman" w:hAnsi="Times New Roman"/>
          <w:b/>
          <w:noProof/>
          <w:sz w:val="24"/>
        </w:rPr>
        <w:t>monitorizare</w:t>
      </w:r>
      <w:r>
        <w:rPr>
          <w:rFonts w:ascii="Times New Roman" w:hAnsi="Times New Roman"/>
          <w:noProof/>
          <w:sz w:val="24"/>
        </w:rPr>
        <w:t xml:space="preserve"> și </w:t>
      </w:r>
      <w:r>
        <w:rPr>
          <w:rFonts w:ascii="Times New Roman" w:hAnsi="Times New Roman"/>
          <w:b/>
          <w:noProof/>
          <w:sz w:val="24"/>
        </w:rPr>
        <w:t>răspunsuri eficace</w:t>
      </w:r>
      <w:r>
        <w:rPr>
          <w:rFonts w:ascii="Times New Roman" w:hAnsi="Times New Roman"/>
          <w:noProof/>
          <w:sz w:val="24"/>
        </w:rPr>
        <w:t xml:space="preserve"> atunci când survin </w:t>
      </w:r>
      <w:r>
        <w:rPr>
          <w:rFonts w:ascii="Times New Roman" w:hAnsi="Times New Roman"/>
          <w:noProof/>
          <w:color w:val="000000"/>
          <w:sz w:val="24"/>
        </w:rPr>
        <w:t>amenințări</w:t>
      </w:r>
      <w:r>
        <w:rPr>
          <w:rFonts w:ascii="Times New Roman" w:hAnsi="Times New Roman"/>
          <w:noProof/>
          <w:sz w:val="24"/>
        </w:rPr>
        <w:t xml:space="preserve"> sau atacuri. </w:t>
      </w:r>
    </w:p>
    <w:p w14:paraId="7D75C03F" w14:textId="77777777" w:rsidR="00265174" w:rsidRPr="00265174" w:rsidDel="009E4303"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Sprijinul pentru o societate civilă dinamică rămâne esențial pentru activitatea Comisiei în toate domeniile de politică – un angajament care se reflectă în diverse strategii și documente de politică</w:t>
      </w:r>
      <w:r>
        <w:rPr>
          <w:rFonts w:ascii="Times New Roman" w:eastAsia="Times New Roman" w:hAnsi="Times New Roman" w:cs="Times New Roman"/>
          <w:noProof/>
          <w:kern w:val="0"/>
          <w:sz w:val="24"/>
          <w:szCs w:val="20"/>
          <w:vertAlign w:val="superscript"/>
          <w:lang w:val="en-GB" w:eastAsia="en-GB"/>
        </w:rPr>
        <w:footnoteReference w:id="19"/>
      </w:r>
      <w:r>
        <w:rPr>
          <w:rFonts w:ascii="Times New Roman" w:hAnsi="Times New Roman"/>
          <w:noProof/>
          <w:sz w:val="24"/>
        </w:rPr>
        <w:t xml:space="preserve">. </w:t>
      </w:r>
      <w:hyperlink r:id="rId31" w:history="1">
        <w:r>
          <w:rPr>
            <w:rFonts w:ascii="Times New Roman" w:hAnsi="Times New Roman"/>
            <w:noProof/>
            <w:color w:val="0563C1"/>
            <w:sz w:val="24"/>
            <w:u w:val="single"/>
          </w:rPr>
          <w:t>Raportul anual pe 2022 privind aplicarea Cartei</w:t>
        </w:r>
      </w:hyperlink>
      <w:r>
        <w:rPr>
          <w:rFonts w:ascii="Times New Roman" w:hAnsi="Times New Roman"/>
          <w:noProof/>
          <w:sz w:val="24"/>
        </w:rPr>
        <w:t xml:space="preserve"> s-a concentrat pe spațiul civic, cartografiind măsurile existente și identificând lacunele și domeniile în care sunt necesare îmbunătățiri, fiind completat de concluzii ale Consiliului pe această temă</w:t>
      </w:r>
      <w:r>
        <w:rPr>
          <w:rFonts w:ascii="Times New Roman" w:eastAsia="Times New Roman" w:hAnsi="Times New Roman" w:cs="Times New Roman"/>
          <w:noProof/>
          <w:kern w:val="0"/>
          <w:sz w:val="24"/>
          <w:szCs w:val="20"/>
          <w:vertAlign w:val="superscript"/>
          <w:lang w:val="en-GB" w:eastAsia="en-GB"/>
        </w:rPr>
        <w:footnoteReference w:id="20"/>
      </w:r>
      <w:r>
        <w:rPr>
          <w:rFonts w:ascii="Times New Roman" w:hAnsi="Times New Roman"/>
          <w:noProof/>
          <w:sz w:val="24"/>
        </w:rPr>
        <w:t>.</w:t>
      </w:r>
    </w:p>
    <w:p w14:paraId="295D1A16" w14:textId="77777777" w:rsidR="00265174" w:rsidRPr="00265174" w:rsidDel="009E4303"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Au fost propuse mai multe măsuri pentru protejarea spațiului civic. De exemplu, prin abordarea barierelor sistemice care împiedică colaborarea transfrontalieră dintre OSC-uri, </w:t>
      </w:r>
      <w:hyperlink r:id="rId32" w:history="1">
        <w:r>
          <w:rPr>
            <w:rFonts w:ascii="Times New Roman" w:hAnsi="Times New Roman"/>
            <w:noProof/>
            <w:color w:val="0563C1"/>
            <w:sz w:val="24"/>
            <w:u w:val="single"/>
          </w:rPr>
          <w:t>Planul de acțiune pentru economia socială</w:t>
        </w:r>
      </w:hyperlink>
      <w:r>
        <w:rPr>
          <w:rFonts w:ascii="Times New Roman" w:hAnsi="Times New Roman"/>
          <w:noProof/>
          <w:sz w:val="24"/>
        </w:rPr>
        <w:t xml:space="preserve"> (SEAP) și </w:t>
      </w:r>
      <w:hyperlink r:id="rId33" w:history="1">
        <w:r>
          <w:rPr>
            <w:rFonts w:ascii="Times New Roman" w:hAnsi="Times New Roman"/>
            <w:noProof/>
            <w:color w:val="0563C1"/>
            <w:sz w:val="24"/>
            <w:u w:val="single"/>
          </w:rPr>
          <w:t>Recomandarea Consiliului privind dezvoltarea condițiilor-cadru ale economiei sociale</w:t>
        </w:r>
      </w:hyperlink>
      <w:r>
        <w:rPr>
          <w:rFonts w:ascii="Times New Roman" w:hAnsi="Times New Roman"/>
          <w:noProof/>
          <w:sz w:val="24"/>
        </w:rPr>
        <w:t xml:space="preserve"> urmăresc să consolideze OSC-urile prin stimularea capacității, a vizibilității și a impactului acestora în economia socială. De asemenea, Comisia a luat măsuri concrete pentru a crea un mediu mai favorabil pentru societatea civilă, inclusiv măsuri de asigurare a unui tratament fiscal echitabil pentru organizațiile caritabile și de protejare a accesului acestora la serviciile financiare. De exemplu, în conformitate cu </w:t>
      </w:r>
      <w:hyperlink r:id="rId34" w:history="1">
        <w:r>
          <w:rPr>
            <w:rFonts w:ascii="Times New Roman" w:hAnsi="Times New Roman"/>
            <w:noProof/>
            <w:color w:val="0563C1"/>
            <w:sz w:val="24"/>
            <w:u w:val="single"/>
          </w:rPr>
          <w:t>Regulamentul privind combaterea spălării banilor</w:t>
        </w:r>
      </w:hyperlink>
      <w:r>
        <w:rPr>
          <w:rFonts w:ascii="Times New Roman" w:hAnsi="Times New Roman"/>
          <w:noProof/>
          <w:sz w:val="24"/>
        </w:rPr>
        <w:t>, recent adoptat, au fost introduse măsuri pentru a se asigura că OSC-urile nu sunt private de servicii financiare, cum ar fi conturile bancare, pentru simplul motiv că acestea își desfășoară activitatea în țări considerate a prezenta un risc ridicat de spălare a banilor</w:t>
      </w:r>
      <w:r>
        <w:rPr>
          <w:rFonts w:ascii="Times New Roman" w:eastAsia="Times New Roman" w:hAnsi="Times New Roman" w:cs="Times New Roman"/>
          <w:noProof/>
          <w:kern w:val="0"/>
          <w:sz w:val="24"/>
          <w:szCs w:val="20"/>
          <w:vertAlign w:val="superscript"/>
          <w:lang w:val="en-GB" w:eastAsia="en-GB"/>
        </w:rPr>
        <w:footnoteReference w:id="21"/>
      </w:r>
      <w:r>
        <w:rPr>
          <w:rFonts w:ascii="Times New Roman" w:hAnsi="Times New Roman"/>
          <w:noProof/>
          <w:sz w:val="24"/>
        </w:rPr>
        <w:t>.</w:t>
      </w:r>
    </w:p>
    <w:p w14:paraId="73BE98BA"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 xml:space="preserve">3.1. Înțelegerea barierelor și a amenințărilor: monitorizarea spațiului civic </w:t>
      </w:r>
    </w:p>
    <w:p w14:paraId="71F6167F" w14:textId="635D8ED6" w:rsidR="00265174" w:rsidRPr="00265174" w:rsidRDefault="00265174" w:rsidP="00265174">
      <w:pPr>
        <w:spacing w:after="120" w:line="240" w:lineRule="auto"/>
        <w:jc w:val="both"/>
        <w:rPr>
          <w:rFonts w:ascii="Times New Roman" w:eastAsia="Aptos" w:hAnsi="Times New Roman" w:cs="Times New Roman"/>
          <w:noProof/>
          <w:color w:val="000000"/>
          <w:kern w:val="0"/>
          <w:sz w:val="24"/>
          <w:szCs w:val="20"/>
          <w14:ligatures w14:val="none"/>
        </w:rPr>
      </w:pPr>
      <w:r>
        <w:rPr>
          <w:rFonts w:ascii="Times New Roman" w:hAnsi="Times New Roman"/>
          <w:noProof/>
          <w:sz w:val="24"/>
        </w:rPr>
        <w:t xml:space="preserve">Părțile interesate raportează cu privire la măsurile care, în opinia lor, </w:t>
      </w:r>
      <w:r>
        <w:rPr>
          <w:rFonts w:ascii="Times New Roman" w:hAnsi="Times New Roman"/>
          <w:b/>
          <w:noProof/>
          <w:sz w:val="24"/>
        </w:rPr>
        <w:t>restricționează mediul</w:t>
      </w:r>
      <w:r>
        <w:rPr>
          <w:rFonts w:ascii="Times New Roman" w:hAnsi="Times New Roman"/>
          <w:noProof/>
          <w:sz w:val="24"/>
        </w:rPr>
        <w:t xml:space="preserve"> în care își desfășoară activitatea organizațiile societății civile și apărătorii drepturilor omului</w:t>
      </w:r>
      <w:r>
        <w:rPr>
          <w:rFonts w:ascii="Times New Roman" w:eastAsia="Times New Roman" w:hAnsi="Times New Roman" w:cs="Times New Roman"/>
          <w:noProof/>
          <w:kern w:val="0"/>
          <w:sz w:val="24"/>
          <w:szCs w:val="20"/>
          <w:vertAlign w:val="superscript"/>
          <w:lang w:val="en-GB" w:eastAsia="en-GB"/>
        </w:rPr>
        <w:footnoteReference w:id="22"/>
      </w:r>
      <w:r>
        <w:rPr>
          <w:rFonts w:ascii="Times New Roman" w:hAnsi="Times New Roman"/>
          <w:noProof/>
          <w:sz w:val="24"/>
        </w:rPr>
        <w:t xml:space="preserve">. Printre acestea se pot număra cerințe de înregistrare disproporționate și împovărătoare, norme fiscale sau de raportare financiară inechitabile, deficiențe în ceea ce privește accesul la finanțare, obstacole nejustificate în a beneficia de servicii financiare și cerințe legale care restricționează operațiunile transfrontaliere. </w:t>
      </w:r>
    </w:p>
    <w:p w14:paraId="08C9FAF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De asemenea, unele OSC-uri raportează într-o măsură din ce în ce mai mare că se confruntă cu o serie de </w:t>
      </w:r>
      <w:r>
        <w:rPr>
          <w:rFonts w:ascii="Times New Roman" w:hAnsi="Times New Roman"/>
          <w:b/>
          <w:noProof/>
          <w:sz w:val="24"/>
        </w:rPr>
        <w:t>amenințări și atacuri</w:t>
      </w:r>
      <w:r>
        <w:rPr>
          <w:rFonts w:ascii="Times New Roman" w:hAnsi="Times New Roman"/>
          <w:noProof/>
          <w:sz w:val="24"/>
        </w:rPr>
        <w:t>, inclusiv atacuri asupra personalului sau sediilor lor, campanii de denigrare și dezinformare sau acțiuni strategice în justiție împotriva mobilizării publice (SLAPP). Tentativele de dizolvare abuzivă a asociațiilor, desființarea structurilor de dialog, înghețarea fondurilor sau reducerea discreționară a finanțării sau măsurile ilegale de supraveghere constituie, de asemenea, un motiv de îngrijorare exprimat de societatea civilă. Represiunea transnațională din țările terțe reprezintă un fenomen din ce în ce mai răspândit, care îi afectează în special pe apărătorii drepturilor omului</w:t>
      </w:r>
      <w:r>
        <w:rPr>
          <w:rFonts w:ascii="Times New Roman" w:eastAsia="Times New Roman" w:hAnsi="Times New Roman" w:cs="Times New Roman"/>
          <w:noProof/>
          <w:kern w:val="0"/>
          <w:sz w:val="24"/>
          <w:szCs w:val="20"/>
          <w:vertAlign w:val="superscript"/>
          <w:lang w:val="en-GB" w:eastAsia="en-GB"/>
        </w:rPr>
        <w:footnoteReference w:id="23"/>
      </w:r>
      <w:r>
        <w:rPr>
          <w:rFonts w:ascii="Times New Roman" w:hAnsi="Times New Roman"/>
          <w:noProof/>
          <w:sz w:val="24"/>
        </w:rPr>
        <w:t>. Caracterul transfrontalier al unei astfel de represiuni creează obstacole semnificative pentru apărătorii drepturilor omului afectați atunci când depun plângeri, solicită protecție sau intentează acțiuni în justiție. În această privință, ei se confruntă adesea cu obstacole specifice legate de documentele de călătorie și de obligațiile de viză</w:t>
      </w:r>
      <w:r>
        <w:rPr>
          <w:rFonts w:ascii="Times New Roman" w:eastAsia="Times New Roman" w:hAnsi="Times New Roman" w:cs="Times New Roman"/>
          <w:noProof/>
          <w:kern w:val="0"/>
          <w:sz w:val="24"/>
          <w:szCs w:val="20"/>
          <w:vertAlign w:val="superscript"/>
          <w:lang w:val="en-GB" w:eastAsia="en-GB"/>
        </w:rPr>
        <w:footnoteReference w:id="24"/>
      </w:r>
      <w:r>
        <w:rPr>
          <w:rFonts w:ascii="Times New Roman" w:hAnsi="Times New Roman"/>
          <w:noProof/>
          <w:sz w:val="24"/>
        </w:rPr>
        <w:t>, precum și cu întârzieri și obstacole de natură administrativă.</w:t>
      </w:r>
    </w:p>
    <w:p w14:paraId="47AD1D0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Acest fapt poate avea un </w:t>
      </w:r>
      <w:r>
        <w:rPr>
          <w:rFonts w:ascii="Times New Roman" w:hAnsi="Times New Roman"/>
          <w:b/>
          <w:noProof/>
          <w:sz w:val="24"/>
        </w:rPr>
        <w:t>efect de domino</w:t>
      </w:r>
      <w:r>
        <w:rPr>
          <w:rFonts w:ascii="Times New Roman" w:hAnsi="Times New Roman"/>
          <w:noProof/>
          <w:sz w:val="24"/>
        </w:rPr>
        <w:t>, determinând OSC-urile să își limiteze gradul de implicare și descurajându-le să își exercite pe deplin rolurile. În plus, afectează în mod disproporționat OSC-urile care abordează teme legate de democrație, statul de drept și drepturile fundamentale, precum și grupurile care sunt subreprezentate, marginalizate și în situații vulnerabile</w:t>
      </w:r>
      <w:r>
        <w:rPr>
          <w:rFonts w:ascii="Times New Roman" w:eastAsia="Times New Roman" w:hAnsi="Times New Roman" w:cs="Times New Roman"/>
          <w:noProof/>
          <w:kern w:val="0"/>
          <w:sz w:val="24"/>
          <w:szCs w:val="20"/>
          <w:vertAlign w:val="superscript"/>
          <w:lang w:val="en-GB" w:eastAsia="en-GB"/>
        </w:rPr>
        <w:footnoteReference w:id="25"/>
      </w:r>
      <w:r>
        <w:rPr>
          <w:rFonts w:ascii="Times New Roman" w:hAnsi="Times New Roman"/>
          <w:noProof/>
          <w:sz w:val="24"/>
        </w:rPr>
        <w:t xml:space="preserve">. Abordarea acestor provocări necesită o abordare coerentă și cuprinzătoare din partea UE și a statelor membre. </w:t>
      </w:r>
    </w:p>
    <w:p w14:paraId="573EC2AC"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 </w:t>
      </w:r>
      <w:r>
        <w:rPr>
          <w:rFonts w:ascii="Times New Roman" w:hAnsi="Times New Roman"/>
          <w:b/>
          <w:noProof/>
          <w:sz w:val="24"/>
        </w:rPr>
        <w:t>monitorizare eficace a spațiului civic</w:t>
      </w:r>
      <w:r>
        <w:rPr>
          <w:rFonts w:ascii="Times New Roman" w:hAnsi="Times New Roman"/>
          <w:noProof/>
          <w:sz w:val="24"/>
        </w:rPr>
        <w:t xml:space="preserve"> este esențială pentru sprijinirea și protejarea activităților desfășurate de organizațiile societății civile. O identificare clară a riscurilor și a amenințărilor poate duce la acțiuni subsecvente concrete din partea acelor actori care sunt pregătiți să ofere sprijin – atât </w:t>
      </w:r>
      <w:r>
        <w:rPr>
          <w:rFonts w:ascii="Times New Roman" w:hAnsi="Times New Roman"/>
          <w:b/>
          <w:noProof/>
          <w:sz w:val="24"/>
        </w:rPr>
        <w:t>preventiv</w:t>
      </w:r>
      <w:r>
        <w:rPr>
          <w:rFonts w:ascii="Times New Roman" w:hAnsi="Times New Roman"/>
          <w:noProof/>
          <w:sz w:val="24"/>
        </w:rPr>
        <w:t xml:space="preserve"> (ca răspuns la semnalele de alertă timpurie), cât și </w:t>
      </w:r>
      <w:r>
        <w:rPr>
          <w:rFonts w:ascii="Times New Roman" w:hAnsi="Times New Roman"/>
          <w:b/>
          <w:noProof/>
          <w:sz w:val="24"/>
        </w:rPr>
        <w:t>reactiv</w:t>
      </w:r>
      <w:r>
        <w:rPr>
          <w:rFonts w:ascii="Times New Roman" w:hAnsi="Times New Roman"/>
          <w:noProof/>
          <w:sz w:val="24"/>
        </w:rPr>
        <w:t xml:space="preserve"> (în fața amenințărilor sau atacurilor reale). Astfel de măsuri pot include declarații publice care condamnă evoluțiile prejudiciabile și își exprimă sprijinul pentru activitatea OSC, finanțare pentru sprijin psihosocial, consiliere juridică și finanțare de urgență. </w:t>
      </w:r>
    </w:p>
    <w:p w14:paraId="1DBF1E5F" w14:textId="4941556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Comisia și-a elaborat propriile instrumente de monitorizare și evaluare, care se axează, de asemenea, pe aspecte legate de spațiul civic. În temeiul </w:t>
      </w:r>
      <w:hyperlink r:id="rId35" w:history="1">
        <w:r>
          <w:rPr>
            <w:rFonts w:ascii="Times New Roman" w:hAnsi="Times New Roman"/>
            <w:noProof/>
            <w:color w:val="0563C1"/>
            <w:sz w:val="24"/>
            <w:u w:val="single"/>
          </w:rPr>
          <w:t>rapoartelor privind statul de drept</w:t>
        </w:r>
      </w:hyperlink>
      <w:r>
        <w:rPr>
          <w:rFonts w:ascii="Times New Roman" w:hAnsi="Times New Roman"/>
          <w:noProof/>
          <w:sz w:val="24"/>
        </w:rPr>
        <w:t>, Comisia monitorizează evoluțiile din toate statele membre și din unele țări implicate în procesul de aderare, evidențiind atât evoluțiile pozitive, cât și pe cele negative în ceea ce privește spațiul civic și emite recomandări specifice, după caz. În cazul țărilor implicate în procesul de aderare, astfel de informații sunt, de asemenea, monitorizate în cadrul pachetului anual de extindere</w:t>
      </w:r>
      <w:r>
        <w:rPr>
          <w:rFonts w:ascii="Times New Roman" w:eastAsia="Times New Roman" w:hAnsi="Times New Roman" w:cs="Times New Roman"/>
          <w:noProof/>
          <w:kern w:val="0"/>
          <w:sz w:val="24"/>
          <w:szCs w:val="20"/>
          <w:vertAlign w:val="superscript"/>
          <w:lang w:val="en-GB" w:eastAsia="en-GB"/>
        </w:rPr>
        <w:footnoteReference w:id="26"/>
      </w:r>
      <w:r>
        <w:rPr>
          <w:rFonts w:ascii="Times New Roman" w:hAnsi="Times New Roman"/>
          <w:noProof/>
          <w:sz w:val="24"/>
        </w:rPr>
        <w:t>.</w:t>
      </w:r>
    </w:p>
    <w:p w14:paraId="47FCEC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 primește, de asemenea, informații ad-hoc cu privire la provocările cu care se confruntă OSC-urile, prin propria sa colaborare cu societatea civilă. În plus, Comisia oferă sprijin financiar în cadrul programelor pentru mai multe proiecte conduse de consorții de OSC-uri care monitorizează spațiul civic, în UE și în afara acesteia</w:t>
      </w:r>
      <w:r>
        <w:rPr>
          <w:rFonts w:ascii="Times New Roman" w:eastAsia="Times New Roman" w:hAnsi="Times New Roman" w:cs="Times New Roman"/>
          <w:noProof/>
          <w:kern w:val="0"/>
          <w:sz w:val="24"/>
          <w:szCs w:val="20"/>
          <w:vertAlign w:val="superscript"/>
          <w:lang w:val="en-GB" w:eastAsia="en-GB"/>
        </w:rPr>
        <w:footnoteReference w:id="27"/>
      </w:r>
      <w:r>
        <w:rPr>
          <w:rFonts w:ascii="Times New Roman" w:hAnsi="Times New Roman"/>
          <w:noProof/>
          <w:sz w:val="24"/>
        </w:rPr>
        <w:t xml:space="preserve">. </w:t>
      </w:r>
    </w:p>
    <w:p w14:paraId="4D16D523" w14:textId="40D77419"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 se bazează în continuare pe activitățile de monitorizare desfășurate de alți actori, printre care INDO și organizațiile internaționale</w:t>
      </w:r>
      <w:r>
        <w:rPr>
          <w:rFonts w:ascii="Times New Roman" w:eastAsia="Times New Roman" w:hAnsi="Times New Roman" w:cs="Times New Roman"/>
          <w:noProof/>
          <w:kern w:val="0"/>
          <w:sz w:val="24"/>
          <w:szCs w:val="20"/>
          <w:vertAlign w:val="superscript"/>
          <w:lang w:val="en-GB" w:eastAsia="en-GB"/>
        </w:rPr>
        <w:footnoteReference w:id="28"/>
      </w:r>
      <w:r>
        <w:rPr>
          <w:rFonts w:ascii="Times New Roman" w:hAnsi="Times New Roman"/>
          <w:noProof/>
          <w:sz w:val="24"/>
        </w:rPr>
        <w:t xml:space="preserve">. </w:t>
      </w:r>
      <w:r>
        <w:rPr>
          <w:rFonts w:ascii="Times New Roman" w:hAnsi="Times New Roman"/>
          <w:b/>
          <w:noProof/>
          <w:sz w:val="24"/>
        </w:rPr>
        <w:t>FRA</w:t>
      </w:r>
      <w:r>
        <w:rPr>
          <w:rFonts w:ascii="Times New Roman" w:hAnsi="Times New Roman"/>
          <w:noProof/>
          <w:sz w:val="24"/>
        </w:rPr>
        <w:t xml:space="preserve"> joacă un rol esențial în acest domeniu prin </w:t>
      </w:r>
      <w:hyperlink r:id="rId36" w:history="1">
        <w:r>
          <w:rPr>
            <w:rFonts w:ascii="Times New Roman" w:hAnsi="Times New Roman"/>
            <w:noProof/>
            <w:color w:val="0563C1"/>
            <w:sz w:val="24"/>
            <w:u w:val="single"/>
          </w:rPr>
          <w:t>publicarea de rapoarte privind spațiul civic</w:t>
        </w:r>
      </w:hyperlink>
      <w:r>
        <w:rPr>
          <w:rFonts w:ascii="Times New Roman" w:hAnsi="Times New Roman"/>
          <w:noProof/>
          <w:sz w:val="24"/>
        </w:rPr>
        <w:t>, prin evidențierea practicilor promițătoare, prin sprijinirea schimburilor între actorii internaționali și naționali și prin emiterea de recomandări în acest domeniu.</w:t>
      </w:r>
    </w:p>
    <w:p w14:paraId="7B9864DD" w14:textId="1E8E5CE7" w:rsidR="00265174" w:rsidRPr="00265174" w:rsidRDefault="00265174" w:rsidP="00265174">
      <w:pPr>
        <w:keepNext/>
        <w:spacing w:after="120" w:line="240" w:lineRule="auto"/>
        <w:jc w:val="both"/>
        <w:outlineLvl w:val="1"/>
        <w:rPr>
          <w:rFonts w:ascii="Times New Roman" w:eastAsia="Times New Roman" w:hAnsi="Times New Roman" w:cs="Times New Roman"/>
          <w:b/>
          <w:i/>
          <w:iCs/>
          <w:noProof/>
          <w:kern w:val="0"/>
          <w:sz w:val="24"/>
          <w:szCs w:val="20"/>
          <w14:ligatures w14:val="none"/>
        </w:rPr>
      </w:pPr>
      <w:r>
        <w:rPr>
          <w:rFonts w:ascii="Times New Roman" w:hAnsi="Times New Roman"/>
          <w:b/>
          <w:i/>
          <w:noProof/>
          <w:sz w:val="24"/>
        </w:rPr>
        <w:t xml:space="preserve">3.2. Furnizarea de răspunsuri la nivelul UE </w:t>
      </w:r>
    </w:p>
    <w:p w14:paraId="206272A4" w14:textId="77777777" w:rsidR="00265174" w:rsidRPr="00265174" w:rsidRDefault="00265174" w:rsidP="00265174">
      <w:pPr>
        <w:spacing w:after="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Mai multe acte legislative ale UE contribuie în mod direct la protecția OSC-urilor în UE. De exemplu, </w:t>
      </w:r>
      <w:hyperlink r:id="rId37" w:history="1">
        <w:r>
          <w:rPr>
            <w:rFonts w:ascii="Times New Roman" w:hAnsi="Times New Roman"/>
            <w:noProof/>
            <w:color w:val="0563C1"/>
            <w:sz w:val="24"/>
            <w:u w:val="single"/>
          </w:rPr>
          <w:t>Directiva</w:t>
        </w:r>
      </w:hyperlink>
      <w:r>
        <w:rPr>
          <w:rFonts w:ascii="Times New Roman" w:hAnsi="Times New Roman"/>
          <w:noProof/>
          <w:sz w:val="24"/>
        </w:rPr>
        <w:t xml:space="preserve"> și </w:t>
      </w:r>
      <w:hyperlink r:id="rId38" w:history="1">
        <w:r>
          <w:rPr>
            <w:rFonts w:ascii="Times New Roman" w:hAnsi="Times New Roman"/>
            <w:noProof/>
            <w:color w:val="0563C1"/>
            <w:sz w:val="24"/>
            <w:u w:val="single"/>
          </w:rPr>
          <w:t>Recomandarea</w:t>
        </w:r>
      </w:hyperlink>
      <w:r>
        <w:rPr>
          <w:rFonts w:ascii="Times New Roman" w:hAnsi="Times New Roman"/>
          <w:noProof/>
          <w:sz w:val="24"/>
        </w:rPr>
        <w:t xml:space="preserve"> privind combaterea SLAPP oferă garanții procedurale pentru a proteja persoanele implicate în acțiuni de mobilizare publică, inclusiv OSC-uri, împotriva cererilor vădit nefondate sau a procedurilor judiciare abuzive. Pentru a sprijini punerea în aplicare, Comisia va susține </w:t>
      </w:r>
      <w:r>
        <w:rPr>
          <w:rFonts w:ascii="Times New Roman" w:hAnsi="Times New Roman"/>
          <w:b/>
          <w:noProof/>
          <w:sz w:val="24"/>
        </w:rPr>
        <w:t>formarea practicienilor din domeniul justiției</w:t>
      </w:r>
      <w:r>
        <w:rPr>
          <w:rFonts w:ascii="Times New Roman" w:hAnsi="Times New Roman"/>
          <w:noProof/>
          <w:sz w:val="24"/>
        </w:rPr>
        <w:t xml:space="preserve"> cu privire la SLAPP care vizează OSC-urile și litigiile privind Carta, în special în ceea ce privește libertatea de asociere, de exprimare și de întrunire. </w:t>
      </w:r>
    </w:p>
    <w:p w14:paraId="7BD4B6E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Comisia sprijină mai multe măsuri de protecție care sunt puse în aplicare prin inițiative specifice conduse de OSC. O măsură-cheie finanțată de UE în cadrul </w:t>
      </w:r>
      <w:hyperlink r:id="rId39" w:history="1">
        <w:r>
          <w:rPr>
            <w:rFonts w:ascii="Times New Roman" w:hAnsi="Times New Roman"/>
            <w:noProof/>
            <w:color w:val="0563C1"/>
            <w:sz w:val="24"/>
            <w:u w:val="single"/>
          </w:rPr>
          <w:t>programului „Cetățeni, egalitate, drepturi și valori” (CEDV)</w:t>
        </w:r>
      </w:hyperlink>
      <w:r>
        <w:rPr>
          <w:rFonts w:ascii="Times New Roman" w:hAnsi="Times New Roman"/>
          <w:noProof/>
          <w:sz w:val="24"/>
        </w:rPr>
        <w:t xml:space="preserve"> este utilizarea </w:t>
      </w:r>
      <w:r>
        <w:rPr>
          <w:rFonts w:ascii="Times New Roman" w:hAnsi="Times New Roman"/>
          <w:b/>
          <w:noProof/>
          <w:sz w:val="24"/>
        </w:rPr>
        <w:t>sprijinului financiar către terți</w:t>
      </w:r>
      <w:r>
        <w:rPr>
          <w:rFonts w:ascii="Times New Roman" w:hAnsi="Times New Roman"/>
          <w:noProof/>
          <w:sz w:val="24"/>
        </w:rPr>
        <w:t xml:space="preserve"> (</w:t>
      </w:r>
      <w:r>
        <w:rPr>
          <w:rFonts w:ascii="Times New Roman" w:hAnsi="Times New Roman"/>
          <w:i/>
          <w:iCs/>
          <w:noProof/>
          <w:sz w:val="24"/>
        </w:rPr>
        <w:t>financial support to third parties</w:t>
      </w:r>
      <w:r>
        <w:rPr>
          <w:rFonts w:ascii="Times New Roman" w:hAnsi="Times New Roman"/>
          <w:noProof/>
          <w:sz w:val="24"/>
        </w:rPr>
        <w:t xml:space="preserve"> – FSTP), care permite OSC-urilor beneficiare ale fondurilor UE să acționeze ca intermediari, care pot consolida capacitățile și pot distribui fonduri OSC-urilor mai mici sau de la nivel local, inclusiv celor care ar putea fi nevoite să intervină în cazul unor situații urgente sau neprevăzute sau al unor situații de urgență. De asemenea, UE a lansat recent un apel pentru consolidarea Rețelei europene de verificare a veridicității informațiilor, care include un sistem de protecție împotriva hărțuirii, recunoscând că, în ceea ce privește comunitatea de verificare a veridicității informațiilor, aceasta este din ce în ce mai des ținta atacurilor, a acuzațiilor de cenzură și a acțiunilor de intimidare. </w:t>
      </w:r>
    </w:p>
    <w:p w14:paraId="0F712A57" w14:textId="524AE70A"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contextul </w:t>
      </w:r>
      <w:r>
        <w:rPr>
          <w:rFonts w:ascii="Times New Roman" w:hAnsi="Times New Roman"/>
          <w:b/>
          <w:noProof/>
          <w:sz w:val="24"/>
        </w:rPr>
        <w:t>extinderii și al aderării</w:t>
      </w:r>
      <w:r>
        <w:rPr>
          <w:rFonts w:ascii="Times New Roman" w:hAnsi="Times New Roman"/>
          <w:noProof/>
          <w:sz w:val="24"/>
        </w:rPr>
        <w:t xml:space="preserve">, promovarea unui mediu favorabil și asigurarea unui rol mai activ și mai important pentru organizațiile societății civile își mențin caracterul esențial. În contextul evaluării funcționării instituțiilor democratice, se analizează, de asemenea, mediul în care funcționează OSC-urile. Adoptarea în 2020 a </w:t>
      </w:r>
      <w:hyperlink r:id="rId40" w:history="1">
        <w:r>
          <w:rPr>
            <w:rFonts w:ascii="Times New Roman" w:hAnsi="Times New Roman"/>
            <w:noProof/>
            <w:color w:val="0563C1"/>
            <w:sz w:val="24"/>
            <w:u w:val="single"/>
          </w:rPr>
          <w:t>metodologiei de extindere revizuite</w:t>
        </w:r>
      </w:hyperlink>
      <w:r>
        <w:rPr>
          <w:rFonts w:ascii="Times New Roman" w:hAnsi="Times New Roman"/>
          <w:noProof/>
          <w:sz w:val="24"/>
        </w:rPr>
        <w:t xml:space="preserve"> subliniază că toate reformele-cheie din țările implicate în procesul de aderare ar trebui să se desfășoare într-un mod pe deplin transparent și favorabil incluziunii, cu implicarea părților interesate. În temeiul acestei metodologii revizuite, țările candidate trebuie să elaboreze o foaie de parcurs privind funcționarea instituțiilor democratice, care să prezinte acțiuni specifice de consolidare a mediului favorabil pentru societatea civilă. </w:t>
      </w:r>
    </w:p>
    <w:p w14:paraId="49F71BE9" w14:textId="245E3FBC" w:rsidR="00265174" w:rsidRPr="00265174" w:rsidRDefault="00265174" w:rsidP="00265174">
      <w:pPr>
        <w:keepNext/>
        <w:spacing w:after="120" w:line="240" w:lineRule="auto"/>
        <w:jc w:val="both"/>
        <w:outlineLvl w:val="1"/>
        <w:rPr>
          <w:rFonts w:ascii="Times New Roman" w:eastAsia="Times New Roman" w:hAnsi="Times New Roman" w:cs="Times New Roman"/>
          <w:bCs/>
          <w:i/>
          <w:iCs/>
          <w:noProof/>
          <w:kern w:val="0"/>
          <w:sz w:val="24"/>
          <w:szCs w:val="20"/>
          <w14:ligatures w14:val="none"/>
        </w:rPr>
      </w:pPr>
      <w:r>
        <w:rPr>
          <w:rFonts w:ascii="Times New Roman" w:hAnsi="Times New Roman"/>
          <w:b/>
          <w:i/>
          <w:noProof/>
          <w:sz w:val="24"/>
        </w:rPr>
        <w:t>3.3. Protejarea spațiului civic la nivel național</w:t>
      </w:r>
      <w:bookmarkStart w:id="15" w:name="_Hlk211695292"/>
    </w:p>
    <w:p w14:paraId="27F689AB" w14:textId="163E12C9"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Statele membre joacă un rol esențial în capacitarea și protejarea spațiului civic</w:t>
      </w:r>
      <w:r>
        <w:rPr>
          <w:rFonts w:ascii="Times New Roman" w:hAnsi="Times New Roman"/>
          <w:noProof/>
          <w:sz w:val="24"/>
        </w:rPr>
        <w:t xml:space="preserve"> la nivel național, local și fundamental și sunt adesea primele care oferă sprijin concret OSC</w:t>
      </w:r>
      <w:r w:rsidR="00AE6B23">
        <w:rPr>
          <w:rFonts w:ascii="Times New Roman" w:hAnsi="Times New Roman"/>
          <w:noProof/>
          <w:sz w:val="24"/>
        </w:rPr>
        <w:t>­</w:t>
      </w:r>
      <w:r>
        <w:rPr>
          <w:rFonts w:ascii="Times New Roman" w:hAnsi="Times New Roman"/>
          <w:noProof/>
          <w:sz w:val="24"/>
        </w:rPr>
        <w:t>urilor expuse riscurilor. Colaborarea cu statele membre pentru a promova un mediu sigur, favorabil și propice</w:t>
      </w:r>
      <w:bookmarkEnd w:id="15"/>
      <w:r>
        <w:rPr>
          <w:rFonts w:ascii="Times New Roman" w:hAnsi="Times New Roman"/>
          <w:noProof/>
          <w:sz w:val="24"/>
        </w:rPr>
        <w:t xml:space="preserve"> pentru OSC-uri în întreaga UE este, prin urmare, o prioritate importantă pentru Comisie. </w:t>
      </w:r>
    </w:p>
    <w:p w14:paraId="380C3EA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Recomandarea (UE) 2023/2836 a Comisiei invită statele membre să monitorizeze evoluțiile din spațiul civic</w:t>
      </w:r>
      <w:r>
        <w:rPr>
          <w:rFonts w:ascii="Times New Roman" w:hAnsi="Times New Roman"/>
          <w:b/>
          <w:noProof/>
          <w:sz w:val="24"/>
        </w:rPr>
        <w:t xml:space="preserve"> </w:t>
      </w:r>
      <w:r>
        <w:rPr>
          <w:rFonts w:ascii="Times New Roman" w:hAnsi="Times New Roman"/>
          <w:noProof/>
          <w:sz w:val="24"/>
        </w:rPr>
        <w:t xml:space="preserve">utilizând indicatori și cadre de raportare structurate clare. Aceasta încurajează statele membre să promoveze cooperarea și coordonarea între toate părțile interesate relevante, să faciliteze accesul la proceduri sau canale speciale de raportare a amenințărilor și a atacurilor și să documenteze și să analizeze în mod sistematic mediul operațional în care își desfășoară activitatea organizațiile societății civile. Mai multe state membre au dat curs recomandării Comisiei prin adoptarea de </w:t>
      </w:r>
      <w:r>
        <w:rPr>
          <w:rFonts w:ascii="Times New Roman" w:hAnsi="Times New Roman"/>
          <w:b/>
          <w:noProof/>
          <w:sz w:val="24"/>
        </w:rPr>
        <w:t>măsuri de consolidare a spațiului civic la nivel național</w:t>
      </w:r>
      <w:r>
        <w:rPr>
          <w:rFonts w:ascii="Times New Roman" w:hAnsi="Times New Roman"/>
          <w:noProof/>
          <w:sz w:val="24"/>
        </w:rPr>
        <w:t>. Printre acestea se numără elaborarea unor strategii naționale specifice pentru a consolida cooperarea dintre cetățeni, organizațiile societății civile și autoritățile locale în ceea ce privește implicarea civică. Unele state membre au lansat proiecte pentru a reduce sarcina administrativă în contextul exercitării dreptului de întrunire și asociere ori au instituit stimulente fiscale specifice și alte stimulente pentru finanțarea organizațiilor societății civile</w:t>
      </w:r>
      <w:r>
        <w:rPr>
          <w:rFonts w:ascii="Times New Roman" w:eastAsia="Times New Roman" w:hAnsi="Times New Roman" w:cs="Times New Roman"/>
          <w:noProof/>
          <w:kern w:val="0"/>
          <w:sz w:val="24"/>
          <w:szCs w:val="20"/>
          <w:vertAlign w:val="superscript"/>
          <w:lang w:val="en-GB" w:eastAsia="en-GB"/>
        </w:rPr>
        <w:footnoteReference w:id="29"/>
      </w:r>
      <w:r>
        <w:rPr>
          <w:rFonts w:ascii="Times New Roman" w:hAnsi="Times New Roman"/>
          <w:noProof/>
          <w:sz w:val="24"/>
        </w:rPr>
        <w:t xml:space="preserve">. </w:t>
      </w:r>
    </w:p>
    <w:p w14:paraId="48CCB58E" w14:textId="77777777" w:rsidR="00BC04E4" w:rsidRPr="00265174" w:rsidRDefault="00265174" w:rsidP="00BC04E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 serie de state membre au introdus, de asemenea, </w:t>
      </w:r>
      <w:r>
        <w:rPr>
          <w:rFonts w:ascii="Times New Roman" w:hAnsi="Times New Roman"/>
          <w:b/>
          <w:noProof/>
          <w:sz w:val="24"/>
        </w:rPr>
        <w:t>măsuri de protecție a OSC-urilor</w:t>
      </w:r>
      <w:r>
        <w:rPr>
          <w:rFonts w:ascii="Times New Roman" w:hAnsi="Times New Roman"/>
          <w:noProof/>
          <w:sz w:val="24"/>
        </w:rPr>
        <w:t xml:space="preserve">, inclusiv prin intermediul sistemului general de căi de atac disponibile în cadrul sistemelor naționale de justiție administrativă, civilă și penală. Unele au instituit sau sprijină </w:t>
      </w:r>
      <w:r>
        <w:rPr>
          <w:rFonts w:ascii="Times New Roman" w:hAnsi="Times New Roman"/>
          <w:b/>
          <w:noProof/>
          <w:sz w:val="24"/>
        </w:rPr>
        <w:t>servicii de consiliere specializate</w:t>
      </w:r>
      <w:r>
        <w:rPr>
          <w:rFonts w:ascii="Times New Roman" w:hAnsi="Times New Roman"/>
          <w:noProof/>
          <w:sz w:val="24"/>
        </w:rPr>
        <w:t>, axate în mod specific pe discriminare și ură (în mediul online)</w:t>
      </w:r>
      <w:r>
        <w:rPr>
          <w:rFonts w:ascii="Times New Roman" w:eastAsia="Times New Roman" w:hAnsi="Times New Roman" w:cs="Times New Roman"/>
          <w:noProof/>
          <w:kern w:val="0"/>
          <w:sz w:val="24"/>
          <w:szCs w:val="20"/>
          <w:vertAlign w:val="superscript"/>
          <w:lang w:val="en-GB" w:eastAsia="en-GB"/>
        </w:rPr>
        <w:footnoteReference w:id="30"/>
      </w:r>
      <w:r>
        <w:rPr>
          <w:rFonts w:ascii="Times New Roman" w:hAnsi="Times New Roman"/>
          <w:noProof/>
          <w:sz w:val="24"/>
        </w:rPr>
        <w:t xml:space="preserve">. Organismele și instituțiile naționale independente – în special INDO, organismele de promovare a egalității și Avocații Poporului – pot juca un rol vital în protejarea OSC-urilor la nivel național, prin amplificarea opiniilor acestora, prin sensibilizarea publicului și prin sprijinirea eforturilor de consolidare a capacităților. Aceste acțiuni reprezintă </w:t>
      </w:r>
      <w:r>
        <w:rPr>
          <w:rFonts w:ascii="Times New Roman" w:hAnsi="Times New Roman"/>
          <w:b/>
          <w:noProof/>
          <w:sz w:val="24"/>
        </w:rPr>
        <w:t>o investiție clară</w:t>
      </w:r>
      <w:r>
        <w:rPr>
          <w:rFonts w:ascii="Times New Roman" w:hAnsi="Times New Roman"/>
          <w:noProof/>
          <w:sz w:val="24"/>
        </w:rPr>
        <w:t xml:space="preserve"> în asigurarea unui mediu favorabil pentru societatea civilă și în oferirea de răspunsuri atunci când acestea sunt expuse riscurilor.</w:t>
      </w:r>
    </w:p>
    <w:p w14:paraId="5F2B6598" w14:textId="4FCB713F" w:rsidR="00265174" w:rsidRPr="00BC04E4" w:rsidRDefault="00265174" w:rsidP="00BC04E4">
      <w:pPr>
        <w:keepNext/>
        <w:numPr>
          <w:ilvl w:val="1"/>
          <w:numId w:val="0"/>
        </w:numPr>
        <w:tabs>
          <w:tab w:val="num" w:pos="871"/>
        </w:tabs>
        <w:spacing w:after="120" w:line="240" w:lineRule="auto"/>
        <w:jc w:val="both"/>
        <w:outlineLvl w:val="1"/>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3.4 Consolidarea sprijinului și a protecției</w:t>
      </w:r>
    </w:p>
    <w:p w14:paraId="1EE5520F" w14:textId="77777777" w:rsidR="00265174" w:rsidRPr="00265174" w:rsidRDefault="00265174" w:rsidP="00265174">
      <w:pPr>
        <w:spacing w:after="24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Deși s-au înregistrat progrese importante atât la nivelul UE, cât și la nivel național, părțile interesate cer o abordare mai coordonată a protecției organizațiilor societății civile, fiind necesar să se acționeze mai coordonat și mai ferm la nivelul statelor membre, al UE și la nivel internațional pentru a monitoriza evoluțiile care afectează OSC-urile, pentru a pune în aplicare măsuri preventive ca răspuns la semnalele de avertizare timpurie privind restrângerea spațiului civic și pentru a proteja OSC-urile împotriva unor astfel de amenințări și atacuri. În acest scop și pentru a cartografia inițiativele de monitorizare existente la nivel local, național, la nivelul UE și la nivel internațional, Comisia va crea, în cooperare cu FRA, un </w:t>
      </w:r>
      <w:r>
        <w:rPr>
          <w:rFonts w:ascii="Times New Roman" w:hAnsi="Times New Roman"/>
          <w:b/>
          <w:noProof/>
          <w:sz w:val="24"/>
        </w:rPr>
        <w:t xml:space="preserve">centru de cunoștințe online privind spațiul civic. </w:t>
      </w:r>
      <w:r>
        <w:rPr>
          <w:rFonts w:ascii="Times New Roman" w:hAnsi="Times New Roman"/>
          <w:noProof/>
          <w:sz w:val="24"/>
        </w:rPr>
        <w:t xml:space="preserve">Acest centru va facilita accesul la proiectele, instrumentele și activitățile existente în materie de monitorizare și protecție, inclusiv la măsurile de protecție disponibile. </w:t>
      </w:r>
    </w:p>
    <w:p w14:paraId="5E89DB1F" w14:textId="77777777" w:rsidR="00265174" w:rsidRPr="00265174" w:rsidRDefault="00265174" w:rsidP="00265174">
      <w:pPr>
        <w:spacing w:after="240" w:line="240" w:lineRule="auto"/>
        <w:jc w:val="both"/>
        <w:rPr>
          <w:rFonts w:ascii="Times New Roman" w:eastAsia="Times New Roman" w:hAnsi="Times New Roman" w:cs="Times New Roman"/>
          <w:bCs/>
          <w:noProof/>
          <w:kern w:val="0"/>
          <w:sz w:val="24"/>
          <w:szCs w:val="20"/>
          <w14:ligatures w14:val="none"/>
        </w:rPr>
      </w:pPr>
      <w:r>
        <w:rPr>
          <w:rFonts w:ascii="Times New Roman" w:hAnsi="Times New Roman"/>
          <w:noProof/>
          <w:sz w:val="24"/>
        </w:rPr>
        <w:t xml:space="preserve">Prin consolidarea informațiilor, centrul va contribui la identificarea tendințelor și a lacunelor în ceea ce privește monitorizarea spațiului civic și va sta la baza acțiunilor relevante pentru abordarea acestor evoluții. Pe această bază, </w:t>
      </w:r>
      <w:r>
        <w:rPr>
          <w:rFonts w:ascii="Times New Roman" w:hAnsi="Times New Roman"/>
          <w:b/>
          <w:noProof/>
          <w:sz w:val="24"/>
        </w:rPr>
        <w:t>ar putea fi explorate și alte măsuri de protecție</w:t>
      </w:r>
      <w:r>
        <w:rPr>
          <w:rFonts w:ascii="Times New Roman" w:hAnsi="Times New Roman"/>
          <w:noProof/>
          <w:sz w:val="24"/>
        </w:rPr>
        <w:t xml:space="preserve">, cum ar fi asistența urgentă acordată organizațiilor expuse unor amenințări, coordonarea măsurilor de protecție disponibile în statele membre, formarea și sprijinul în materie de mecanisme administrative, juridice și logistice. Existența unor cunoștințe bazate pe dovezi cu privire la situația de pe teren este esențială pentru a putea asigura un răspuns adecvat la nevoile specifice ale OSC-urilor și ale apărătorilor drepturilor omului. </w:t>
      </w:r>
    </w:p>
    <w:p w14:paraId="69A80DA6" w14:textId="77777777" w:rsidR="00265174" w:rsidRPr="00265174" w:rsidDel="00E8034B"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Este important să se asigure faptul că politicile și legislația UE și națională promovează un mediu favorabil pentru OSC-uri, precum și să consolideze acțiunile de monitorizare și protecție a OSC-urilor. De exemplu, evaluările impactului și dialogurile privind punerea în aplicare sunt procese structurate importante care contribuie la identificarea și evaluarea efectelor și consecințelor politicilor și legislației planificate. Comisia va</w:t>
      </w:r>
      <w:r>
        <w:rPr>
          <w:rFonts w:ascii="Times New Roman" w:hAnsi="Times New Roman"/>
          <w:b/>
          <w:noProof/>
          <w:sz w:val="24"/>
        </w:rPr>
        <w:t xml:space="preserve"> </w:t>
      </w:r>
      <w:r>
        <w:rPr>
          <w:rFonts w:ascii="Times New Roman" w:hAnsi="Times New Roman"/>
          <w:noProof/>
          <w:sz w:val="24"/>
        </w:rPr>
        <w:t xml:space="preserve">continua să evalueze </w:t>
      </w:r>
      <w:r>
        <w:rPr>
          <w:rFonts w:ascii="Times New Roman" w:hAnsi="Times New Roman"/>
          <w:b/>
          <w:noProof/>
          <w:sz w:val="24"/>
        </w:rPr>
        <w:t>impactul inițiativelor sale pentru societatea civilă în cadrul evaluărilor impactului și al evaluărilor în contextul cadrului pentru o mai bună legiferare</w:t>
      </w:r>
      <w:r>
        <w:rPr>
          <w:rFonts w:ascii="Times New Roman" w:hAnsi="Times New Roman"/>
          <w:noProof/>
          <w:sz w:val="24"/>
        </w:rPr>
        <w:t xml:space="preserve">. </w:t>
      </w:r>
    </w:p>
    <w:p w14:paraId="467B970D" w14:textId="5A56AF82" w:rsidR="003767D6" w:rsidRDefault="00265174" w:rsidP="00265174">
      <w:pPr>
        <w:spacing w:after="24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Pentru a sprijini statele membre în punerea în aplicare în continuare a Recomandării (UE) 2023/2836, </w:t>
      </w:r>
      <w:r>
        <w:rPr>
          <w:rFonts w:ascii="Times New Roman" w:hAnsi="Times New Roman"/>
          <w:b/>
          <w:noProof/>
          <w:sz w:val="24"/>
        </w:rPr>
        <w:t>Comisia va organiza schimburi de informații cu statele membre în scopul de a consolida în continuare sprijinul și protecția</w:t>
      </w:r>
      <w:r>
        <w:rPr>
          <w:rFonts w:ascii="Times New Roman" w:hAnsi="Times New Roman"/>
          <w:noProof/>
          <w:sz w:val="24"/>
        </w:rPr>
        <w:t xml:space="preserve"> OSC-urilor, între autoritățile publice competente și părțile interesate, precum și pentru a sprijini formarea la nivel național a profesioniștilor din domeniul justiției cu privire la SLAPP și la Cartă. În contextul </w:t>
      </w:r>
      <w:r>
        <w:rPr>
          <w:rFonts w:ascii="Times New Roman" w:hAnsi="Times New Roman"/>
          <w:b/>
          <w:noProof/>
          <w:sz w:val="24"/>
        </w:rPr>
        <w:t>extinderii</w:t>
      </w:r>
      <w:r>
        <w:rPr>
          <w:rFonts w:ascii="Times New Roman" w:hAnsi="Times New Roman"/>
          <w:noProof/>
          <w:sz w:val="24"/>
        </w:rPr>
        <w:t xml:space="preserve">, Comisia își va </w:t>
      </w:r>
      <w:r>
        <w:rPr>
          <w:rFonts w:ascii="Times New Roman" w:hAnsi="Times New Roman"/>
          <w:b/>
          <w:noProof/>
          <w:sz w:val="24"/>
        </w:rPr>
        <w:t>consolida sistemele de alertă timpurie</w:t>
      </w:r>
      <w:r>
        <w:rPr>
          <w:rFonts w:ascii="Times New Roman" w:hAnsi="Times New Roman"/>
          <w:noProof/>
          <w:sz w:val="24"/>
        </w:rPr>
        <w:t>, pentru a permite răspunsuri mai ferme la amenințările emergente.</w:t>
      </w:r>
    </w:p>
    <w:p w14:paraId="532146D4" w14:textId="77777777" w:rsidR="00476F40" w:rsidRPr="00265174" w:rsidRDefault="00476F40" w:rsidP="00265174">
      <w:pPr>
        <w:spacing w:after="240" w:line="240" w:lineRule="auto"/>
        <w:jc w:val="both"/>
        <w:rPr>
          <w:rFonts w:ascii="Times New Roman" w:eastAsia="Times New Roman" w:hAnsi="Times New Roman" w:cs="Times New Roman"/>
          <w:noProof/>
          <w:kern w:val="0"/>
          <w:sz w:val="24"/>
          <w:szCs w:val="20"/>
          <w:lang w:eastAsia="en-GB"/>
          <w14:ligatures w14:val="none"/>
        </w:rPr>
      </w:pPr>
    </w:p>
    <w:p w14:paraId="4EF055F1" w14:textId="3F51C0D1" w:rsidR="00265174" w:rsidRPr="00265174" w:rsidRDefault="00265174" w:rsidP="00AE6B23">
      <w:pPr>
        <w:pageBreakBefore/>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i/>
          <w:noProof/>
          <w:sz w:val="24"/>
        </w:rPr>
        <w:t>Comisia va întreprinde următoarele acțiuni</w:t>
      </w:r>
      <w:r>
        <w:rPr>
          <w:rFonts w:ascii="Times New Roman" w:hAnsi="Times New Roman"/>
          <w:noProof/>
          <w:sz w:val="24"/>
        </w:rPr>
        <w:t xml:space="preserve">: </w:t>
      </w:r>
    </w:p>
    <w:p w14:paraId="751DF0F7"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sprijinirea creării unui centru de cunoștințe online privind spațiul civic care să documenteze inițiativele existente de monitorizare a spațiului civic, rapoartele și resursele de protecție, la nivel național, la nivelul UE și la nivel internațional, în cooperare cu FRA; </w:t>
      </w:r>
    </w:p>
    <w:p w14:paraId="18B21B95" w14:textId="6B61E93E"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explorarea posibilităților de consolidare și coordonare a măsurilor de protecție disponibile pentru organizațiile societății civile și apărătorii drepturilor omului expuși riscurilor în UE; </w:t>
      </w:r>
    </w:p>
    <w:p w14:paraId="03D8F3AE"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noProof/>
          <w:kern w:val="0"/>
          <w:sz w:val="24"/>
          <w:szCs w:val="20"/>
          <w14:ligatures w14:val="none"/>
        </w:rPr>
      </w:pPr>
      <w:r>
        <w:rPr>
          <w:rFonts w:ascii="Times New Roman" w:hAnsi="Times New Roman"/>
          <w:noProof/>
          <w:sz w:val="24"/>
        </w:rPr>
        <w:t xml:space="preserve">sprijinirea formării profesioniștilor din domeniul justiției cu privire la SLAPP care vizează OSC-urile și litigiile privind Carta, în special în ceea ce privește libertatea de asociere, de exprimare și de întrunire; </w:t>
      </w:r>
    </w:p>
    <w:p w14:paraId="350917CE"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sprijinirea consolidării capacităților naționale și organizarea schimburilor de informații cu statele membre în ceea ce privește Recomandarea (UE) 2023/2836 a Comisiei privind protecția și sprijinul, în colaborare cu actorii relevanți, printre care CESE și FRA;</w:t>
      </w:r>
    </w:p>
    <w:p w14:paraId="38E2F927"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consolidarea sistemelor de alertă timpurie ale UE pentru detectarea semnelor emergente de restrângere a spațiului civic în țările implicate în procesul de aderare.</w:t>
      </w:r>
    </w:p>
    <w:p w14:paraId="767D134C"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Statele membre sunt invitate:</w:t>
      </w:r>
    </w:p>
    <w:p w14:paraId="375A4B69"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bookmarkStart w:id="16" w:name="_Hlk211694891"/>
      <w:r>
        <w:rPr>
          <w:rFonts w:ascii="Times New Roman" w:hAnsi="Times New Roman"/>
          <w:noProof/>
          <w:sz w:val="24"/>
        </w:rPr>
        <w:t>să elaboreze sau să actualizeze strategii sau planuri de acțiune naționale specifice pentru a sprijini, a proteja și a capacita organizațiile societății civile și pentru a promova un spațiu civic sigur și favorabil, în conformitate cu Recomandarea (UE) 2023/2836 a Comisiei.</w:t>
      </w:r>
    </w:p>
    <w:bookmarkEnd w:id="16"/>
    <w:p w14:paraId="1E0BDE47"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Agenția pentru Drepturi Fundamentale a Uniunii Europene este invitată:</w:t>
      </w:r>
    </w:p>
    <w:p w14:paraId="485B092F"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să continue acțiunile de monitorizare și raportare cu privire la spațiul civic și să</w:t>
      </w:r>
      <w:r>
        <w:rPr>
          <w:rFonts w:ascii="Times New Roman" w:hAnsi="Times New Roman"/>
          <w:b/>
          <w:i/>
          <w:noProof/>
          <w:sz w:val="24"/>
        </w:rPr>
        <w:t xml:space="preserve"> </w:t>
      </w:r>
      <w:r>
        <w:rPr>
          <w:rFonts w:ascii="Times New Roman" w:hAnsi="Times New Roman"/>
          <w:noProof/>
          <w:sz w:val="24"/>
        </w:rPr>
        <w:t xml:space="preserve">creeze o rețea de reprezentanți ai instituțiilor și organismelor naționale și ale UE, ai organizațiilor societății civile și ai organizațiilor internaționale care își desfășoară activitatea în domeniul monitorizării și protejării spațiului civic, astfel încât acestea să poată face schimb de date, de experiență și de bune practici. </w:t>
      </w:r>
    </w:p>
    <w:p w14:paraId="677C1D2C"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14:ligatures w14:val="none"/>
        </w:rPr>
      </w:pPr>
      <w:bookmarkStart w:id="17" w:name="_Toc210325217"/>
    </w:p>
    <w:p w14:paraId="1F781DAB" w14:textId="4D3633DD"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Finanțare adecvată, durabilă și transparentă pentru societatea civilă</w:t>
      </w:r>
      <w:bookmarkEnd w:id="17"/>
    </w:p>
    <w:p w14:paraId="5E16E63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2F899AB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contextul unui mediu general favorabil, OSC-urile au nevoie de </w:t>
      </w:r>
      <w:r>
        <w:rPr>
          <w:rFonts w:ascii="Times New Roman" w:hAnsi="Times New Roman"/>
          <w:b/>
          <w:noProof/>
          <w:sz w:val="24"/>
        </w:rPr>
        <w:t>sprijin adecvat și durabil</w:t>
      </w:r>
      <w:r>
        <w:rPr>
          <w:rFonts w:ascii="Times New Roman" w:hAnsi="Times New Roman"/>
          <w:noProof/>
          <w:sz w:val="24"/>
        </w:rPr>
        <w:t xml:space="preserve"> pentru a-și desfășura activitatea vitală, pentru a colabora în mod eficace cu factorii de decizie și pentru a continua să ofere contribuții semnificative societăților noastre. În acest sens, </w:t>
      </w:r>
      <w:r>
        <w:rPr>
          <w:rFonts w:ascii="Times New Roman" w:hAnsi="Times New Roman"/>
          <w:b/>
          <w:noProof/>
          <w:sz w:val="24"/>
        </w:rPr>
        <w:t>finanțarea pe termen lung, previzibilă și suficientă este esențială</w:t>
      </w:r>
      <w:r>
        <w:rPr>
          <w:rFonts w:ascii="Times New Roman" w:hAnsi="Times New Roman"/>
          <w:noProof/>
          <w:sz w:val="24"/>
        </w:rPr>
        <w:t xml:space="preserve"> pentru a asigura stabilitatea de care au nevoie OSC-urile pentru a funcționa în mod independent și eficace. </w:t>
      </w:r>
    </w:p>
    <w:p w14:paraId="4D00A80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OSC-urile se bazează pe finanțare dintr-o combinație de </w:t>
      </w:r>
      <w:r>
        <w:rPr>
          <w:rFonts w:ascii="Times New Roman" w:hAnsi="Times New Roman"/>
          <w:b/>
          <w:noProof/>
          <w:sz w:val="24"/>
        </w:rPr>
        <w:t>surse publice și private</w:t>
      </w:r>
      <w:r>
        <w:rPr>
          <w:rFonts w:ascii="Times New Roman" w:hAnsi="Times New Roman"/>
          <w:noProof/>
          <w:sz w:val="24"/>
        </w:rPr>
        <w:t xml:space="preserve"> pentru a-și finanța activitățile. În UE, Comisia și statele membre sprijină OSC-urile în diferite moduri, inclusiv prin granturi de funcționare și finanțare bazată pe proiecte. OSC-urile pot primi finanțare și prin donații individuale și granturi din partea fundațiilor private, a organizațiilor filantropice sau a întreprinderilor și societăților. Sprijinul financiar suplimentar poate proveni din scheme de alocare, care sunt gestionate de câteva state membre, și permit contribuabililor să desemneze direct, prin declarația lor privind impozitul pe profit, un procent fix sau o valoare fixă a impozitului pe profit care urmează să fie plătit unei entități eligibile</w:t>
      </w:r>
      <w:r>
        <w:rPr>
          <w:rFonts w:ascii="Times New Roman" w:eastAsia="Times New Roman" w:hAnsi="Times New Roman" w:cs="Times New Roman"/>
          <w:noProof/>
          <w:kern w:val="0"/>
          <w:sz w:val="24"/>
          <w:szCs w:val="20"/>
          <w:vertAlign w:val="superscript"/>
          <w:lang w:val="en-GB" w:eastAsia="en-GB"/>
        </w:rPr>
        <w:footnoteReference w:id="31"/>
      </w:r>
      <w:r>
        <w:rPr>
          <w:rFonts w:ascii="Times New Roman" w:hAnsi="Times New Roman"/>
          <w:noProof/>
          <w:sz w:val="24"/>
        </w:rPr>
        <w:t xml:space="preserve">. </w:t>
      </w:r>
    </w:p>
    <w:p w14:paraId="2D3A2C8B" w14:textId="0616C040"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Finanțarea este esențială pentru întregul spectru de activități ale OSC-urilor</w:t>
      </w:r>
      <w:r>
        <w:rPr>
          <w:rFonts w:ascii="Times New Roman" w:hAnsi="Times New Roman"/>
          <w:noProof/>
          <w:sz w:val="24"/>
        </w:rPr>
        <w:t>. În plus, implicarea societății civile în elaborarea, punerea în aplicare, monitorizarea și asigurarea respectării legislației și politicilor UE este, de asemenea, un obiectiv specific de finanțare al mai multor programe ale UE. Mai multe programe ale UE sprijină activitățile desfășurate de organizațiile societății civile în diferite domenii de politică</w:t>
      </w:r>
      <w:r>
        <w:rPr>
          <w:rFonts w:ascii="Times New Roman" w:eastAsia="Times New Roman" w:hAnsi="Times New Roman" w:cs="Times New Roman"/>
          <w:noProof/>
          <w:kern w:val="0"/>
          <w:sz w:val="24"/>
          <w:szCs w:val="20"/>
          <w:vertAlign w:val="superscript"/>
          <w:lang w:val="en-GB" w:eastAsia="en-GB"/>
        </w:rPr>
        <w:footnoteReference w:id="32"/>
      </w:r>
      <w:r>
        <w:rPr>
          <w:rFonts w:ascii="Times New Roman" w:hAnsi="Times New Roman"/>
          <w:noProof/>
          <w:sz w:val="24"/>
        </w:rPr>
        <w:t xml:space="preserve">. Printre acestea se numără Orizont Europa, inclusiv Mecanismul noului Bauhaus european, Fondul social european Plus (FSE+), programul CEDV, Erasmus+, Programul privind piața unică, Fondul pentru azil, migrație și integrare (FAMI), programul „Justiție”, Legături între acțiuni de dezvoltare rurală (LEADER), Programul Uniunii de luptă antifraudă și programul LIFE. În regiunea vizată de procesul de extindere, UE oferă sprijin OSC-urilor, inclusiv prin intermediul Instrumentului de asistență pentru preaderare (IPA III). În completarea finanțării din partea Uniunii sunt granturile acordate de Spațiul Economic European și Norvegia, care sprijină organizațiile societății civile din Europa prin intermediul </w:t>
      </w:r>
      <w:hyperlink r:id="rId41" w:history="1">
        <w:r>
          <w:rPr>
            <w:rFonts w:ascii="Times New Roman" w:hAnsi="Times New Roman"/>
            <w:noProof/>
            <w:color w:val="0563C1"/>
            <w:sz w:val="24"/>
            <w:u w:val="single"/>
          </w:rPr>
          <w:t>Fondului pentru cetățeni activi</w:t>
        </w:r>
      </w:hyperlink>
      <w:r>
        <w:rPr>
          <w:rFonts w:ascii="Times New Roman" w:hAnsi="Times New Roman"/>
          <w:noProof/>
          <w:sz w:val="24"/>
        </w:rPr>
        <w:t>.</w:t>
      </w:r>
    </w:p>
    <w:p w14:paraId="2BCBA5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Parteneriatul și transparența</w:t>
      </w:r>
      <w:r>
        <w:rPr>
          <w:rFonts w:ascii="Times New Roman" w:hAnsi="Times New Roman"/>
          <w:noProof/>
          <w:sz w:val="24"/>
        </w:rPr>
        <w:t xml:space="preserve"> sunt principii-cheie pentru finanțarea din partea UE. </w:t>
      </w:r>
      <w:r>
        <w:rPr>
          <w:rFonts w:ascii="Times New Roman" w:hAnsi="Times New Roman"/>
          <w:b/>
          <w:noProof/>
          <w:sz w:val="24"/>
        </w:rPr>
        <w:t>Principiul parteneriatului al Uniunii Europene</w:t>
      </w:r>
      <w:r>
        <w:rPr>
          <w:rFonts w:ascii="Times New Roman" w:hAnsi="Times New Roman"/>
          <w:noProof/>
          <w:sz w:val="24"/>
        </w:rPr>
        <w:t xml:space="preserve"> necesită o cooperare strânsă între autoritățile publice și o gamă largă de parteneri, inclusiv partenerii sociali și organizațiile societății civile, pe parcursul întregului ciclu de viață al programelor finanțate de UE. Acest principiu garantează că diverse părți interesate sunt implicate în pregătirea, punerea în aplicare, monitorizarea și evaluarea fondurilor UE pentru a îmbunătăți eficacitatea, eficiența și responsabilitatea acestora</w:t>
      </w:r>
      <w:r>
        <w:rPr>
          <w:rFonts w:ascii="Times New Roman" w:eastAsia="Times New Roman" w:hAnsi="Times New Roman" w:cs="Times New Roman"/>
          <w:noProof/>
          <w:kern w:val="0"/>
          <w:sz w:val="24"/>
          <w:szCs w:val="20"/>
          <w:vertAlign w:val="superscript"/>
          <w:lang w:val="en-GB" w:eastAsia="en-GB"/>
        </w:rPr>
        <w:footnoteReference w:id="33"/>
      </w:r>
      <w:r>
        <w:rPr>
          <w:rFonts w:ascii="Times New Roman" w:hAnsi="Times New Roman"/>
          <w:noProof/>
          <w:sz w:val="24"/>
        </w:rPr>
        <w:t xml:space="preserve">. </w:t>
      </w:r>
    </w:p>
    <w:p w14:paraId="3EA5FEAD"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Transparența</w:t>
      </w:r>
      <w:r>
        <w:rPr>
          <w:rFonts w:ascii="Times New Roman" w:hAnsi="Times New Roman"/>
          <w:noProof/>
          <w:sz w:val="24"/>
        </w:rPr>
        <w:t xml:space="preserve">, în conformitate cu cerințele legale existente, rămâne principiul director în gestionarea bugetului UE. Există garanții și proceduri specifice pentru a se asigura că finanțarea din partea UE pentru orice tip de beneficiar (de la întreprinderi la OSC-uri și persoane fizice) este </w:t>
      </w:r>
      <w:r>
        <w:rPr>
          <w:rFonts w:ascii="Times New Roman" w:hAnsi="Times New Roman"/>
          <w:b/>
          <w:noProof/>
          <w:sz w:val="24"/>
        </w:rPr>
        <w:t>transparentă și responsabilă</w:t>
      </w:r>
      <w:r>
        <w:rPr>
          <w:rFonts w:ascii="Times New Roman" w:hAnsi="Times New Roman"/>
          <w:noProof/>
          <w:sz w:val="24"/>
        </w:rPr>
        <w:t xml:space="preserve"> și pentru a asigura </w:t>
      </w:r>
      <w:r>
        <w:rPr>
          <w:rFonts w:ascii="Times New Roman" w:hAnsi="Times New Roman"/>
          <w:b/>
          <w:noProof/>
          <w:sz w:val="24"/>
        </w:rPr>
        <w:t>respectarea valorilor UE</w:t>
      </w:r>
      <w:r>
        <w:rPr>
          <w:rFonts w:ascii="Times New Roman" w:hAnsi="Times New Roman"/>
          <w:noProof/>
          <w:sz w:val="24"/>
        </w:rPr>
        <w:t>, inclusiv prin publicarea informațiilor cu privire la beneficiarii finanțării din partea Uniunii în cadrul gestiunii directe și indirecte</w:t>
      </w:r>
      <w:r>
        <w:rPr>
          <w:rFonts w:ascii="Times New Roman" w:eastAsia="EC Square Sans Pro" w:hAnsi="Times New Roman" w:cs="EC Square Sans Pro"/>
          <w:noProof/>
          <w:kern w:val="0"/>
          <w:sz w:val="24"/>
          <w:szCs w:val="20"/>
          <w:vertAlign w:val="superscript"/>
          <w:lang w:val="en-GB" w:eastAsia="en-GB"/>
        </w:rPr>
        <w:footnoteReference w:id="34"/>
      </w:r>
      <w:r>
        <w:rPr>
          <w:rFonts w:ascii="Times New Roman" w:hAnsi="Times New Roman"/>
          <w:noProof/>
          <w:sz w:val="24"/>
        </w:rPr>
        <w:t xml:space="preserve">. </w:t>
      </w:r>
    </w:p>
    <w:p w14:paraId="3E3759B3" w14:textId="263DDBDF" w:rsidR="00FC03FF" w:rsidRPr="00FC03FF" w:rsidRDefault="00265174" w:rsidP="0026517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temeiul normelor aplicabile, în special al </w:t>
      </w:r>
      <w:hyperlink r:id="rId42" w:history="1">
        <w:r>
          <w:rPr>
            <w:rFonts w:ascii="Times New Roman" w:hAnsi="Times New Roman"/>
            <w:noProof/>
            <w:color w:val="0563C1"/>
            <w:sz w:val="24"/>
            <w:u w:val="single"/>
          </w:rPr>
          <w:t>Regulamentului financiar</w:t>
        </w:r>
      </w:hyperlink>
      <w:r>
        <w:rPr>
          <w:rFonts w:ascii="Times New Roman" w:hAnsi="Times New Roman"/>
          <w:noProof/>
          <w:sz w:val="24"/>
        </w:rPr>
        <w:t xml:space="preserve"> al UE, precum și al cadrelor contractuale pentru granturi, există garanții solide pentru a se asigura că </w:t>
      </w:r>
      <w:r>
        <w:rPr>
          <w:rFonts w:ascii="Times New Roman" w:hAnsi="Times New Roman"/>
          <w:b/>
          <w:noProof/>
          <w:sz w:val="24"/>
        </w:rPr>
        <w:t>entitățile și proiectele ale căror obiective sunt incompatibile cu valorile UE nu primesc sprijin</w:t>
      </w:r>
      <w:r>
        <w:rPr>
          <w:rFonts w:ascii="Times New Roman" w:hAnsi="Times New Roman"/>
          <w:noProof/>
          <w:sz w:val="24"/>
        </w:rPr>
        <w:t xml:space="preserve">. Pentru a susține și mai mult aceste garanții și cerințe, Comisia s-a angajat să analizeze fezabilitatea introducerii unor indicatori de risc suplimentari în scopul îmbunătățirii controalelor referitoare la respectarea valorilor UE, în contextul dezvoltării instrumentului de evaluare a riscurilor </w:t>
      </w:r>
      <w:hyperlink r:id="rId43" w:history="1">
        <w:r>
          <w:rPr>
            <w:rStyle w:val="Hyperlink"/>
            <w:rFonts w:ascii="Times New Roman" w:hAnsi="Times New Roman"/>
            <w:noProof/>
            <w:sz w:val="24"/>
          </w:rPr>
          <w:t>Arachne</w:t>
        </w:r>
      </w:hyperlink>
      <w:r>
        <w:rPr>
          <w:rFonts w:ascii="Times New Roman" w:hAnsi="Times New Roman"/>
          <w:noProof/>
          <w:sz w:val="24"/>
        </w:rPr>
        <w:t>, cu condiția confirmării fezabilității acestui lucru din punct de vedere tehnic și în conformitate cu normele aplicabile, precum și să analizeze fezabilitatea creșterii frecvenței actualizărilor datelor puse la dispoziția publicului cu privire la sistemul său de transparență financiară</w:t>
      </w:r>
      <w:r>
        <w:rPr>
          <w:rFonts w:ascii="Times New Roman" w:eastAsia="Times New Roman" w:hAnsi="Times New Roman" w:cs="Times New Roman"/>
          <w:noProof/>
          <w:kern w:val="0"/>
          <w:sz w:val="24"/>
          <w:szCs w:val="20"/>
          <w:vertAlign w:val="superscript"/>
          <w:lang w:val="en-GB" w:eastAsia="en-GB"/>
        </w:rPr>
        <w:footnoteReference w:id="35"/>
      </w:r>
      <w:r>
        <w:rPr>
          <w:rFonts w:ascii="Times New Roman" w:hAnsi="Times New Roman"/>
          <w:noProof/>
          <w:sz w:val="24"/>
        </w:rPr>
        <w:t xml:space="preserve">. În plus, Comisia a publicat o notă care oferă </w:t>
      </w:r>
      <w:hyperlink r:id="rId44" w:history="1">
        <w:r>
          <w:rPr>
            <w:rStyle w:val="Hyperlink"/>
            <w:rFonts w:ascii="Times New Roman" w:hAnsi="Times New Roman"/>
            <w:noProof/>
            <w:sz w:val="24"/>
          </w:rPr>
          <w:t>orientări</w:t>
        </w:r>
      </w:hyperlink>
      <w:r>
        <w:rPr>
          <w:rFonts w:ascii="Times New Roman" w:hAnsi="Times New Roman"/>
          <w:noProof/>
          <w:sz w:val="24"/>
        </w:rPr>
        <w:t xml:space="preserve"> cu privire la tipul de activități pe care Uniunea nu ar trebui să le solicite ca o condiție pentru finanțare în contextul elaborării politicilor și a legislației, a punerii în aplicare, a monitorizării și a asigurării respectării legii.</w:t>
      </w:r>
    </w:p>
    <w:p w14:paraId="7539F31C"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Sunt necesare eforturi suplimentare pentru a asigura </w:t>
      </w:r>
      <w:r>
        <w:rPr>
          <w:rFonts w:ascii="Times New Roman" w:hAnsi="Times New Roman"/>
          <w:b/>
          <w:noProof/>
          <w:sz w:val="24"/>
        </w:rPr>
        <w:t>accesibilitatea finanțării publice în întreaga UE</w:t>
      </w:r>
      <w:r>
        <w:rPr>
          <w:rFonts w:ascii="Times New Roman" w:hAnsi="Times New Roman"/>
          <w:noProof/>
          <w:sz w:val="24"/>
        </w:rPr>
        <w:t>. OSC-urile raportează că finanțarea publică este adesea direcționată în principal către instituțiile de stat, OSC-urile, în special organizațiile locale și cele de mici dimensiuni beneficiind de acces limitat și inconsecvent</w:t>
      </w:r>
      <w:r>
        <w:rPr>
          <w:rFonts w:ascii="Times New Roman" w:eastAsia="Times New Roman" w:hAnsi="Times New Roman" w:cs="Times New Roman"/>
          <w:noProof/>
          <w:kern w:val="0"/>
          <w:sz w:val="24"/>
          <w:szCs w:val="20"/>
          <w:vertAlign w:val="superscript"/>
          <w:lang w:val="en-GB" w:eastAsia="en-GB"/>
        </w:rPr>
        <w:footnoteReference w:id="36"/>
      </w:r>
      <w:r>
        <w:rPr>
          <w:rFonts w:ascii="Times New Roman" w:hAnsi="Times New Roman"/>
          <w:noProof/>
          <w:sz w:val="24"/>
        </w:rPr>
        <w:t>. În plus, OSC-urile care abordează teme legate de grupuri subreprezentate, marginalizate și în situații vulnerabile întâmpină adesea dificultăți în ceea ce privește accesul la finanțare pe termen lung.</w:t>
      </w:r>
    </w:p>
    <w:p w14:paraId="4B307EC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Comisia a luat deja mai multe măsuri pentru a </w:t>
      </w:r>
      <w:r>
        <w:rPr>
          <w:rFonts w:ascii="Times New Roman" w:hAnsi="Times New Roman"/>
          <w:b/>
          <w:noProof/>
          <w:sz w:val="24"/>
        </w:rPr>
        <w:t>simplifica</w:t>
      </w:r>
      <w:r>
        <w:rPr>
          <w:rFonts w:ascii="Times New Roman" w:hAnsi="Times New Roman"/>
          <w:noProof/>
          <w:sz w:val="24"/>
        </w:rPr>
        <w:t xml:space="preserve"> procedurile aplicabile, pentru a </w:t>
      </w:r>
      <w:r>
        <w:rPr>
          <w:rFonts w:ascii="Times New Roman" w:hAnsi="Times New Roman"/>
          <w:b/>
          <w:noProof/>
          <w:sz w:val="24"/>
        </w:rPr>
        <w:t xml:space="preserve">reduce </w:t>
      </w:r>
      <w:bookmarkStart w:id="18" w:name="_Hlk213065107"/>
      <w:r>
        <w:rPr>
          <w:rFonts w:ascii="Times New Roman" w:hAnsi="Times New Roman"/>
          <w:b/>
          <w:noProof/>
          <w:sz w:val="24"/>
        </w:rPr>
        <w:t>sarcina administrativă</w:t>
      </w:r>
      <w:r>
        <w:rPr>
          <w:rFonts w:ascii="Times New Roman" w:hAnsi="Times New Roman"/>
          <w:noProof/>
          <w:sz w:val="24"/>
        </w:rPr>
        <w:t xml:space="preserve"> și pentru a </w:t>
      </w:r>
      <w:r>
        <w:rPr>
          <w:rFonts w:ascii="Times New Roman" w:hAnsi="Times New Roman"/>
          <w:b/>
          <w:noProof/>
          <w:sz w:val="24"/>
        </w:rPr>
        <w:t>alinia</w:t>
      </w:r>
      <w:r>
        <w:rPr>
          <w:rFonts w:ascii="Times New Roman" w:hAnsi="Times New Roman"/>
          <w:noProof/>
          <w:sz w:val="24"/>
        </w:rPr>
        <w:t xml:space="preserve"> procedurile respective la nevoile OSC-urilor de la fața locului (de exemplu, prin utilizarea plăților forfetare și a programelor de lucru multianuale). Utilizarea sporită a sprijinului financiar acordat părților terțe, în cadrul căruia fondurile UE sunt alocate organizațiilor mai mici de către OSC-uri mai mari, a permis ca finanțarea UE să ajungă la organizațiile mici și locale care altfel nu ar fi putut avea acces la finanțare din partea UE și, la rândul său, contribuie la sprijinirea unei game diverse de societăți civile. De exemplu, a avut un rol esențial în sprijinirea organizațiilor societății civile care depun eforturi pentru a proteja și a promova valorile UE în cadrul unor programe precum </w:t>
      </w:r>
      <w:hyperlink r:id="rId45" w:history="1">
        <w:r>
          <w:rPr>
            <w:rFonts w:ascii="Times New Roman" w:hAnsi="Times New Roman"/>
            <w:noProof/>
            <w:color w:val="0563C1"/>
            <w:sz w:val="24"/>
            <w:u w:val="single"/>
          </w:rPr>
          <w:t>Educația pentru dezvoltare și acțiunile de sensibilizare (DEAR UE)</w:t>
        </w:r>
      </w:hyperlink>
      <w:r>
        <w:rPr>
          <w:rFonts w:ascii="Times New Roman" w:hAnsi="Times New Roman"/>
          <w:noProof/>
          <w:sz w:val="24"/>
        </w:rPr>
        <w:t xml:space="preserve"> și Cetățeni, egalitate, drepturi și valori (CEDV)</w:t>
      </w:r>
      <w:r>
        <w:rPr>
          <w:rFonts w:ascii="Times New Roman" w:eastAsia="Times New Roman" w:hAnsi="Times New Roman" w:cs="Times New Roman"/>
          <w:noProof/>
          <w:kern w:val="0"/>
          <w:sz w:val="24"/>
          <w:szCs w:val="20"/>
          <w:vertAlign w:val="superscript"/>
          <w:lang w:val="en-GB" w:eastAsia="en-GB"/>
        </w:rPr>
        <w:footnoteReference w:id="37"/>
      </w:r>
      <w:r>
        <w:rPr>
          <w:rFonts w:ascii="Times New Roman" w:hAnsi="Times New Roman"/>
          <w:noProof/>
          <w:sz w:val="24"/>
        </w:rPr>
        <w:t xml:space="preserve">. </w:t>
      </w:r>
    </w:p>
    <w:bookmarkEnd w:id="18"/>
    <w:p w14:paraId="1E7C2BD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Cu un buget total de peste </w:t>
      </w:r>
      <w:r>
        <w:rPr>
          <w:rFonts w:ascii="Times New Roman" w:hAnsi="Times New Roman"/>
          <w:b/>
          <w:noProof/>
          <w:sz w:val="24"/>
        </w:rPr>
        <w:t>1,5 miliarde EUR pentru perioada 2021-2027</w:t>
      </w:r>
      <w:r>
        <w:rPr>
          <w:rFonts w:ascii="Times New Roman" w:hAnsi="Times New Roman"/>
          <w:noProof/>
          <w:sz w:val="24"/>
        </w:rPr>
        <w:t xml:space="preserve">, </w:t>
      </w:r>
      <w:r>
        <w:rPr>
          <w:rFonts w:ascii="Times New Roman" w:hAnsi="Times New Roman"/>
          <w:b/>
          <w:noProof/>
          <w:sz w:val="24"/>
        </w:rPr>
        <w:t>programul CEDV</w:t>
      </w:r>
      <w:r>
        <w:rPr>
          <w:rFonts w:ascii="Times New Roman" w:hAnsi="Times New Roman"/>
          <w:noProof/>
          <w:sz w:val="24"/>
        </w:rPr>
        <w:t xml:space="preserve"> ocupă un spațiu unic în peisajul finanțării OSC, deoarece este adesea singura sursă de finanțare disponibilă pentru organizațiile societății civile care activează în domeniul drepturilor și valorilor fundamentale în UE. Începând din 2021, programul a sprijinit peste 6 000 de organizații ale societății civile din toate statele membre și din țările eligibile din afara UE. În primii patru ani de punere în aplicare, organizațiile societății civile au fost principalii beneficiari ai CEDV, primind 77 % din fondurile acordate. Comisia va oferi în continuare sprijin financiar organizațiilor societății civile și apărătorilor drepturilor omului expuși riscurilor, inclusiv prin explorarea posibilității de a </w:t>
      </w:r>
      <w:r>
        <w:rPr>
          <w:rFonts w:ascii="Times New Roman" w:hAnsi="Times New Roman"/>
          <w:b/>
          <w:noProof/>
          <w:sz w:val="24"/>
        </w:rPr>
        <w:t>extinde în continuare utilizarea sprijinului financiar la sisteme ale părților terțe</w:t>
      </w:r>
      <w:r>
        <w:rPr>
          <w:rFonts w:ascii="Times New Roman" w:hAnsi="Times New Roman"/>
          <w:noProof/>
          <w:sz w:val="24"/>
        </w:rPr>
        <w:t xml:space="preserve"> în cadrul programelor de finanțare relevante ale UE. </w:t>
      </w:r>
    </w:p>
    <w:p w14:paraId="1CAB0D55" w14:textId="6D5A3AA0"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Propunerea Comisiei privind </w:t>
      </w:r>
      <w:r>
        <w:rPr>
          <w:rFonts w:ascii="Times New Roman" w:hAnsi="Times New Roman"/>
          <w:b/>
          <w:noProof/>
          <w:sz w:val="24"/>
        </w:rPr>
        <w:t>cadrul financiar multianual (CFM) 2028-2034</w:t>
      </w:r>
      <w:r>
        <w:rPr>
          <w:rFonts w:ascii="Times New Roman" w:eastAsia="Times New Roman" w:hAnsi="Times New Roman" w:cs="Times New Roman"/>
          <w:noProof/>
          <w:kern w:val="0"/>
          <w:sz w:val="24"/>
          <w:szCs w:val="20"/>
          <w:vertAlign w:val="superscript"/>
          <w:lang w:val="en-GB" w:eastAsia="en-GB"/>
        </w:rPr>
        <w:footnoteReference w:id="38"/>
      </w:r>
      <w:r>
        <w:rPr>
          <w:rFonts w:ascii="Times New Roman" w:hAnsi="Times New Roman"/>
          <w:noProof/>
          <w:sz w:val="24"/>
        </w:rPr>
        <w:t xml:space="preserve">, adoptată la 16 iulie 2025, clarifică faptul că sprijinul financiar pentru OSC-uri va rămâne o prioritate pentru anii următori, într-o serie de domenii de politică. Noul </w:t>
      </w:r>
      <w:r>
        <w:rPr>
          <w:rFonts w:ascii="Times New Roman" w:hAnsi="Times New Roman"/>
          <w:b/>
          <w:noProof/>
          <w:sz w:val="24"/>
        </w:rPr>
        <w:t>program AgoraEU</w:t>
      </w:r>
      <w:r>
        <w:rPr>
          <w:rFonts w:ascii="Times New Roman" w:hAnsi="Times New Roman"/>
          <w:noProof/>
          <w:sz w:val="24"/>
        </w:rPr>
        <w:t xml:space="preserve"> se va baza pe succesul programelor Europa creativă și CEDV în vigoare, cu un </w:t>
      </w:r>
      <w:r>
        <w:rPr>
          <w:rFonts w:ascii="Times New Roman" w:hAnsi="Times New Roman"/>
          <w:b/>
          <w:noProof/>
          <w:sz w:val="24"/>
        </w:rPr>
        <w:t>buget orientativ total majorat de aproape 9 miliarde EUR</w:t>
      </w:r>
      <w:r>
        <w:rPr>
          <w:rFonts w:ascii="Times New Roman" w:hAnsi="Times New Roman"/>
          <w:noProof/>
          <w:sz w:val="24"/>
        </w:rPr>
        <w:t xml:space="preserve">. Prin consolidarea sprijinului pentru cultură, mass-media și societatea civilă, AgoraEU va spori protecția și promovarea drepturilor fundamentale, va încuraja participarea democratică și reziliența, va promova diversitatea culturală și libertatea artistică și va favoriza un peisaj informațional liber și divers. </w:t>
      </w:r>
    </w:p>
    <w:p w14:paraId="692B4620" w14:textId="77777777" w:rsidR="00265174" w:rsidRPr="00265174" w:rsidRDefault="00772752" w:rsidP="00265174">
      <w:pPr>
        <w:spacing w:after="120" w:line="240" w:lineRule="auto"/>
        <w:jc w:val="both"/>
        <w:rPr>
          <w:rFonts w:ascii="Times New Roman" w:eastAsia="Times New Roman" w:hAnsi="Times New Roman" w:cs="Times New Roman"/>
          <w:noProof/>
          <w:kern w:val="0"/>
          <w:sz w:val="24"/>
          <w:szCs w:val="20"/>
          <w14:ligatures w14:val="none"/>
        </w:rPr>
      </w:pPr>
      <w:hyperlink r:id="rId46" w:history="1">
        <w:r w:rsidR="00265174">
          <w:rPr>
            <w:rFonts w:ascii="Times New Roman" w:hAnsi="Times New Roman"/>
            <w:noProof/>
            <w:color w:val="0563C1"/>
            <w:sz w:val="24"/>
            <w:u w:val="single"/>
          </w:rPr>
          <w:t>Programul Erasmus+</w:t>
        </w:r>
      </w:hyperlink>
      <w:r w:rsidR="00265174">
        <w:rPr>
          <w:rFonts w:ascii="Times New Roman" w:hAnsi="Times New Roman"/>
          <w:noProof/>
          <w:sz w:val="24"/>
        </w:rPr>
        <w:t xml:space="preserve"> propus va integra </w:t>
      </w:r>
      <w:hyperlink r:id="rId47" w:history="1">
        <w:r w:rsidR="00265174">
          <w:rPr>
            <w:rFonts w:ascii="Times New Roman" w:hAnsi="Times New Roman"/>
            <w:noProof/>
            <w:color w:val="0563C1"/>
            <w:sz w:val="24"/>
            <w:u w:val="single"/>
          </w:rPr>
          <w:t>Corpul european de solidaritate</w:t>
        </w:r>
      </w:hyperlink>
      <w:r w:rsidR="00265174">
        <w:rPr>
          <w:rFonts w:ascii="Times New Roman" w:hAnsi="Times New Roman"/>
          <w:noProof/>
          <w:sz w:val="24"/>
        </w:rPr>
        <w:t xml:space="preserve">, cu un buget orientativ de </w:t>
      </w:r>
      <w:r w:rsidR="00265174">
        <w:rPr>
          <w:rFonts w:ascii="Times New Roman" w:hAnsi="Times New Roman"/>
          <w:b/>
          <w:noProof/>
          <w:sz w:val="24"/>
        </w:rPr>
        <w:t>40,8 miliarde EUR</w:t>
      </w:r>
      <w:r w:rsidR="00265174">
        <w:rPr>
          <w:rFonts w:ascii="Times New Roman" w:hAnsi="Times New Roman"/>
          <w:noProof/>
          <w:sz w:val="24"/>
        </w:rPr>
        <w:t xml:space="preserve"> și, pe lângă sprijinirea dobândirii de competențe, va promova reziliența, participarea la viața democratică și implicarea civică, prin parcursuri de învățare formală, non-formală și informală. </w:t>
      </w:r>
      <w:hyperlink r:id="rId48" w:anchor=":~:text=Horizon%20Europe%20is%20the%20EU's,and%20associated%20countries%20can%20participate." w:history="1">
        <w:r w:rsidR="00265174">
          <w:rPr>
            <w:rFonts w:ascii="Times New Roman" w:hAnsi="Times New Roman"/>
            <w:noProof/>
            <w:color w:val="0563C1"/>
            <w:sz w:val="24"/>
            <w:u w:val="single"/>
          </w:rPr>
          <w:t>Programul Orizont Europa</w:t>
        </w:r>
      </w:hyperlink>
      <w:r w:rsidR="00265174">
        <w:rPr>
          <w:rFonts w:ascii="Times New Roman" w:hAnsi="Times New Roman"/>
          <w:noProof/>
          <w:sz w:val="24"/>
        </w:rPr>
        <w:t xml:space="preserve"> va susține în continuare cercetarea care vizează consolidarea democrației, inclusiv prin promovarea implicării civice.</w:t>
      </w:r>
    </w:p>
    <w:p w14:paraId="51C40A56" w14:textId="3988084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contextul propunerii privind CFM, </w:t>
      </w:r>
      <w:r>
        <w:rPr>
          <w:rFonts w:ascii="Times New Roman" w:hAnsi="Times New Roman"/>
          <w:b/>
          <w:noProof/>
          <w:sz w:val="24"/>
        </w:rPr>
        <w:t>planurile de parteneriat naționale și regionale</w:t>
      </w:r>
      <w:r>
        <w:rPr>
          <w:rFonts w:ascii="Times New Roman" w:hAnsi="Times New Roman"/>
          <w:noProof/>
          <w:sz w:val="24"/>
        </w:rPr>
        <w:t xml:space="preserve"> propuse urmăresc totodată să sprijine reformele și investițiile menite să consolideze capacitățile societății civile și ale partenerilor sociali de a susține valorile UE, educația civică și participarea tinerilor. Propunerea privind CFM recunoaște și reafirmă, de asemenea, principiul parteneriatului cu organizațiile societății civile, întemeindu-se pe o </w:t>
      </w:r>
      <w:r>
        <w:rPr>
          <w:rFonts w:ascii="Times New Roman" w:hAnsi="Times New Roman"/>
          <w:b/>
          <w:noProof/>
          <w:sz w:val="24"/>
        </w:rPr>
        <w:t>abordare bazată pe guvernanța pe mai multe niveluri</w:t>
      </w:r>
      <w:r>
        <w:rPr>
          <w:rFonts w:ascii="Times New Roman" w:hAnsi="Times New Roman"/>
          <w:noProof/>
          <w:sz w:val="24"/>
        </w:rPr>
        <w:t xml:space="preserve">. </w:t>
      </w:r>
      <w:r>
        <w:rPr>
          <w:rFonts w:ascii="Times New Roman" w:hAnsi="Times New Roman"/>
          <w:b/>
          <w:noProof/>
          <w:sz w:val="24"/>
        </w:rPr>
        <w:t xml:space="preserve">Mecanismul UE </w:t>
      </w:r>
      <w:r>
        <w:rPr>
          <w:rFonts w:ascii="Times New Roman" w:hAnsi="Times New Roman"/>
          <w:noProof/>
          <w:sz w:val="24"/>
        </w:rPr>
        <w:t xml:space="preserve">propus, de asemenea, ca parte a acestui fond oferă, printre alte acțiuni, finanțare pentru acțiuni în domeniul mediului și al climei, inclusiv pentru a sprijini și a capacita organizațiile societății civile. În termeni mai generali, odată adoptat, CFM 2028-2034 va continua să armonizeze și să simplifice procedurile, reducând astfel sarcina administrativă pentru organizațiile societății civile de la fața locului. Prin urmare, Comisia invită Parlamentul European și Consiliul să aibă în vedere rolul esențial al finanțării OSC-urilor în cadrul viitoarelor negocieri privind CFM 2028-2034. </w:t>
      </w:r>
    </w:p>
    <w:p w14:paraId="68CD703D"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i/>
          <w:noProof/>
          <w:sz w:val="24"/>
        </w:rPr>
        <w:t>4.1. Mobilizarea actorilor și punerea în comun a resurselor</w:t>
      </w:r>
    </w:p>
    <w:p w14:paraId="2C57BCB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Finanțarea din partea UE este esențială pentru capacitarea OSC-urilor, dar este clar că nevoile de finanțare ale OSC-urilor din întreaga UE și din țările candidate pot fi satisfăcute numai prin finanțare din diferite surse. Pe lângă donatorii publici la nivel național, la nivelul UE și la nivel internațional, un rol din ce în ce mai important este deținut, de asemenea, de </w:t>
      </w:r>
      <w:r>
        <w:rPr>
          <w:rFonts w:ascii="Times New Roman" w:hAnsi="Times New Roman"/>
          <w:b/>
          <w:noProof/>
          <w:sz w:val="24"/>
        </w:rPr>
        <w:t>donatorii privați</w:t>
      </w:r>
      <w:r>
        <w:rPr>
          <w:rFonts w:ascii="Times New Roman" w:hAnsi="Times New Roman"/>
          <w:noProof/>
          <w:sz w:val="24"/>
        </w:rPr>
        <w:t xml:space="preserve"> (inclusiv întreprinderi) și de </w:t>
      </w:r>
      <w:r>
        <w:rPr>
          <w:rFonts w:ascii="Times New Roman" w:hAnsi="Times New Roman"/>
          <w:b/>
          <w:noProof/>
          <w:sz w:val="24"/>
        </w:rPr>
        <w:t>organizațiile filantropice</w:t>
      </w:r>
      <w:r>
        <w:rPr>
          <w:rFonts w:ascii="Times New Roman" w:hAnsi="Times New Roman"/>
          <w:noProof/>
          <w:sz w:val="24"/>
        </w:rPr>
        <w:t xml:space="preserve"> (fundații individuale, fonduri și rețele comune). Donatorii trebuie să poată funcționa ei înșiși într-un mediu juridic și de reglementare favorabil, care să protejeze libertățile filantropice și să faciliteze donațiile (transfrontaliere). Acesta cuprinde un cadru juridic ce recunoaște fundațiile și asociațiile (inclusiv la nivel transfrontalier), precum și asigurarea faptului că organizațiile societății civile și donatorii pot beneficia de stimulente fiscale pentru donațiile pe care statele membre doresc să le furnizeze</w:t>
      </w:r>
      <w:r>
        <w:rPr>
          <w:rFonts w:ascii="Times New Roman" w:eastAsia="Times New Roman" w:hAnsi="Times New Roman" w:cs="Times New Roman"/>
          <w:noProof/>
          <w:kern w:val="0"/>
          <w:sz w:val="24"/>
          <w:szCs w:val="20"/>
          <w:vertAlign w:val="superscript"/>
          <w:lang w:val="en-GB" w:eastAsia="en-GB"/>
        </w:rPr>
        <w:footnoteReference w:id="39"/>
      </w:r>
      <w:r>
        <w:rPr>
          <w:rFonts w:ascii="Times New Roman" w:hAnsi="Times New Roman"/>
          <w:noProof/>
          <w:sz w:val="24"/>
        </w:rPr>
        <w:t xml:space="preserve">. </w:t>
      </w:r>
    </w:p>
    <w:p w14:paraId="3CEE6E5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OSC-urile raportează că este adesea dificilă identificarea informațiilor cu privire la diferitele tipuri de finanțare disponibile și la entitățile care le furnizează. Este necesar un nivel sporit de schimburi de informații, dialog și colaborare atât între donatori, cât și între donatori și organizațiile societății civile, pentru a decide într-un mod mai strategic cu privire la diferitele modalități de a oferi sprijin și de a evita duplicarea eforturilor. </w:t>
      </w:r>
      <w:bookmarkStart w:id="19" w:name="_Hlk213065190"/>
      <w:r>
        <w:rPr>
          <w:rFonts w:ascii="Times New Roman" w:hAnsi="Times New Roman"/>
          <w:b/>
          <w:noProof/>
          <w:sz w:val="24"/>
        </w:rPr>
        <w:t>Prin urmare, Comisia va facilita dialogul între donatori</w:t>
      </w:r>
      <w:r>
        <w:rPr>
          <w:rFonts w:ascii="Times New Roman" w:hAnsi="Times New Roman"/>
          <w:noProof/>
          <w:sz w:val="24"/>
        </w:rPr>
        <w:t xml:space="preserve"> și între donatori și organizațiile societății civile, inclusiv prin intermediul platformei societății civile, pentru a realiza schimburi de experiență, pentru a identifica deficitele de finanțare și a asigura într-o mai bună măsură complementaritatea surselor de finanțare</w:t>
      </w:r>
      <w:bookmarkEnd w:id="19"/>
      <w:r>
        <w:rPr>
          <w:rFonts w:ascii="Times New Roman" w:hAnsi="Times New Roman"/>
          <w:noProof/>
          <w:sz w:val="24"/>
        </w:rPr>
        <w:t xml:space="preserve">. </w:t>
      </w:r>
    </w:p>
    <w:p w14:paraId="220B3D7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OSC-urile necesită adesea alte tipuri de sprijin, cum ar fi </w:t>
      </w:r>
      <w:r>
        <w:rPr>
          <w:rFonts w:ascii="Times New Roman" w:hAnsi="Times New Roman"/>
          <w:b/>
          <w:noProof/>
          <w:sz w:val="24"/>
        </w:rPr>
        <w:t>asistența în natură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care poate fi furnizată de profesioniști sau voluntari. În special, pentru a funcționa în mediul juridic, administrativ, de reglementare și tehnologic actual în care OSC-urile își desfășoară activitatea este nevoie, într-o măsură din ce în ce mai mare, ca acestea să dispună nu numai de mijloacele financiare necesare, ci și de competențele și expertiza specifice. Asistența juridică oferită de </w:t>
      </w:r>
      <w:r>
        <w:rPr>
          <w:rFonts w:ascii="Times New Roman" w:hAnsi="Times New Roman"/>
          <w:b/>
          <w:noProof/>
          <w:sz w:val="24"/>
        </w:rPr>
        <w:t>avocații pro bono</w:t>
      </w:r>
      <w:r>
        <w:rPr>
          <w:rFonts w:ascii="Times New Roman" w:hAnsi="Times New Roman"/>
          <w:noProof/>
          <w:sz w:val="24"/>
        </w:rPr>
        <w:t xml:space="preserve"> poate juca un rol esențial în acest sens</w:t>
      </w:r>
      <w:r>
        <w:rPr>
          <w:rFonts w:ascii="Times New Roman" w:eastAsia="Times New Roman" w:hAnsi="Times New Roman" w:cs="Times New Roman"/>
          <w:noProof/>
          <w:kern w:val="0"/>
          <w:sz w:val="24"/>
          <w:szCs w:val="20"/>
          <w:vertAlign w:val="superscript"/>
          <w:lang w:val="en-GB" w:eastAsia="en-GB"/>
        </w:rPr>
        <w:footnoteReference w:id="40"/>
      </w:r>
      <w:r>
        <w:rPr>
          <w:rFonts w:ascii="Times New Roman" w:hAnsi="Times New Roman"/>
          <w:noProof/>
          <w:sz w:val="24"/>
        </w:rPr>
        <w:t xml:space="preserve">. Aceștia își pot oferi sprijinul în ceea ce privește chestiunile de natură juridică și în materie de conformitate (de exemplu, cu privire la obligațiile fiscale și în domeniul ocupării forței de muncă aplicabile), oferind OSC-urilor mai mult spațiu pentru a desfășura activități-cheie, precum și sprijinind sarcinile fundamentale (de exemplu, prin cercetare în domeniul reprezentării intereselor, consolidarea capacităților și formare, precum și litigii strategice). </w:t>
      </w:r>
    </w:p>
    <w:p w14:paraId="6C2652EE" w14:textId="32B28B3F"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Avocații pro bono pot sprijini, de asemenea, OSC-urile în ceea ce privește abordarea amenințărilor și a atacurilor, cum ar fi campaniile de denigrare și SLAPP, inclusiv prin reprezentarea OSC-urilor în instanță și furnizarea de consiliere juridică. Prin urmare, Comisia va </w:t>
      </w:r>
      <w:r>
        <w:rPr>
          <w:rFonts w:ascii="Times New Roman" w:hAnsi="Times New Roman"/>
          <w:b/>
          <w:noProof/>
          <w:sz w:val="24"/>
        </w:rPr>
        <w:t>acționa în sensul conectării comunităților de avocați pro bono cu organizațiile societății civile</w:t>
      </w:r>
      <w:r>
        <w:rPr>
          <w:rFonts w:ascii="Times New Roman" w:hAnsi="Times New Roman"/>
          <w:noProof/>
          <w:sz w:val="24"/>
        </w:rPr>
        <w:t xml:space="preserve"> din toate sectoarele și care au nevoie de susținere, astfel încât să faciliteze sprijinul în chestiuni administrative, de mobilitate, juridice și financiare. </w:t>
      </w:r>
    </w:p>
    <w:p w14:paraId="5FA624AB"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i/>
          <w:noProof/>
          <w:sz w:val="24"/>
        </w:rPr>
        <w:t>Comisia va întreprinde următoarele acțiuni</w:t>
      </w:r>
      <w:r>
        <w:rPr>
          <w:rFonts w:ascii="Times New Roman" w:hAnsi="Times New Roman"/>
          <w:noProof/>
          <w:sz w:val="24"/>
        </w:rPr>
        <w:t xml:space="preserve">: </w:t>
      </w:r>
    </w:p>
    <w:p w14:paraId="03D99815"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0"/>
          <w:sz w:val="24"/>
          <w:szCs w:val="20"/>
          <w14:ligatures w14:val="none"/>
        </w:rPr>
      </w:pPr>
      <w:r>
        <w:rPr>
          <w:rFonts w:ascii="Times New Roman" w:hAnsi="Times New Roman"/>
          <w:noProof/>
          <w:sz w:val="24"/>
        </w:rPr>
        <w:t>facilitarea dialogului între donatori și între donatori și organizațiile societății civile, inclusiv prin intermediul platformei societății civile, pentru a realiza schimburi de experiență, pentru a identifica deficitele de finanțare și a asigura într-o mai bună măsură complementaritatea surselor de finanțare;</w:t>
      </w:r>
    </w:p>
    <w:p w14:paraId="4DAC020B"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0"/>
          <w:sz w:val="24"/>
          <w:szCs w:val="20"/>
          <w14:ligatures w14:val="none"/>
        </w:rPr>
      </w:pPr>
      <w:r>
        <w:rPr>
          <w:rFonts w:ascii="Times New Roman" w:hAnsi="Times New Roman"/>
          <w:noProof/>
          <w:sz w:val="24"/>
        </w:rPr>
        <w:t>acționarea în sensul conectării comunităților de avocați pro bono cu organizațiile societății civile din toate sectoarele și care au nevoie de susținere, astfel încât să faciliteze sprijinul în chestiuni administrative, de mobilitate, juridice și financiare;</w:t>
      </w:r>
    </w:p>
    <w:p w14:paraId="5AD74479"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explorarea posibilității de a extinde în continuare utilizarea sprijinului financiar la sisteme ale părților terțe în cadrul programelor de finanțare relevante ale UE, după caz. </w:t>
      </w:r>
    </w:p>
    <w:p w14:paraId="0F6AC60E"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Statele membre sunt invitate:</w:t>
      </w:r>
    </w:p>
    <w:p w14:paraId="0E3CB060"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să instituie și să mențină un mediu juridic și de reglementare favorabil pentru OSC-uri și donatori, printre care filantropia, inclusiv prin punerea în aplicare a principiului nediscriminării și a Recomandării mai ample a Consiliului privind dezvoltarea condițiilor-cadru ale economiei sociale;</w:t>
      </w:r>
    </w:p>
    <w:p w14:paraId="49470993"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să vină în completarea fondurilor UE pentru OSC-uri cu mecanisme interne de sprijin, în conformitate cu Recomandarea (UE) 2023/2836 a Comisiei.</w:t>
      </w:r>
      <w:bookmarkStart w:id="20" w:name="_Toc208940964"/>
    </w:p>
    <w:p w14:paraId="454716CE" w14:textId="77777777" w:rsidR="00265174" w:rsidRPr="00265174" w:rsidRDefault="00265174" w:rsidP="00265174">
      <w:pPr>
        <w:keepNext/>
        <w:spacing w:after="0" w:line="240" w:lineRule="auto"/>
        <w:ind w:left="475"/>
        <w:jc w:val="both"/>
        <w:outlineLvl w:val="0"/>
        <w:rPr>
          <w:rFonts w:ascii="Times New Roman" w:eastAsia="Times New Roman" w:hAnsi="Times New Roman" w:cs="Times New Roman"/>
          <w:b/>
          <w:smallCaps/>
          <w:noProof/>
          <w:kern w:val="0"/>
          <w:sz w:val="24"/>
          <w:szCs w:val="20"/>
          <w14:ligatures w14:val="none"/>
        </w:rPr>
      </w:pPr>
      <w:bookmarkStart w:id="21" w:name="_Toc210325218"/>
    </w:p>
    <w:p w14:paraId="5342C4D6" w14:textId="63B35511"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Societatea civilă în contextul acțiunii externe a Uniunii</w:t>
      </w:r>
    </w:p>
    <w:bookmarkEnd w:id="20"/>
    <w:bookmarkEnd w:id="21"/>
    <w:p w14:paraId="4386241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0C22E10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Angajamentul UE de a colabora cu societatea civilă, de a o proteja și sprijini, se reflectă, de asemenea, în acțiunile sale externe. UE colaborează îndeaproape cu societatea civilă pentru a </w:t>
      </w:r>
      <w:r>
        <w:rPr>
          <w:rFonts w:ascii="Times New Roman" w:hAnsi="Times New Roman"/>
          <w:b/>
          <w:noProof/>
          <w:sz w:val="24"/>
        </w:rPr>
        <w:t>promova respectarea drepturilor omului pentru toți</w:t>
      </w:r>
      <w:r>
        <w:rPr>
          <w:rFonts w:ascii="Times New Roman" w:hAnsi="Times New Roman"/>
          <w:noProof/>
          <w:sz w:val="24"/>
        </w:rPr>
        <w:t xml:space="preserve"> – prin aplicarea normelor universale, având la bază dreptul internațional al drepturilor omului. OSC-urile aduc contribuții importante la consolidarea democrației și a societăților reziliente la nivel mondial. De exemplu, ele acționează adesea ca</w:t>
      </w:r>
      <w:r>
        <w:rPr>
          <w:rFonts w:ascii="Times New Roman" w:hAnsi="Times New Roman"/>
          <w:b/>
          <w:noProof/>
          <w:sz w:val="24"/>
        </w:rPr>
        <w:t xml:space="preserve"> </w:t>
      </w:r>
      <w:r>
        <w:rPr>
          <w:rFonts w:ascii="Times New Roman" w:hAnsi="Times New Roman"/>
          <w:noProof/>
          <w:sz w:val="24"/>
        </w:rPr>
        <w:t xml:space="preserve">parteneri de punere în aplicare pentru proiectele finanțate de UE în domeniul cooperării pentru dezvoltare, al ajutorului umanitar și al programelor de consolidare a capacităților și monitorizează acordurile comerciale și de asociere pentru a asigura respectarea drepturilor omului și a clauzelor privind dezvoltarea durabilă. </w:t>
      </w:r>
    </w:p>
    <w:p w14:paraId="31202B4E" w14:textId="77777777" w:rsidR="00265174" w:rsidRPr="00265174" w:rsidRDefault="00265174" w:rsidP="00265174">
      <w:pPr>
        <w:spacing w:after="120" w:line="240" w:lineRule="auto"/>
        <w:jc w:val="both"/>
        <w:rPr>
          <w:rFonts w:ascii="Times New Roman" w:eastAsia="Times New Roman" w:hAnsi="Times New Roman" w:cs="Times New Roman"/>
          <w:b/>
          <w:i/>
          <w:noProof/>
          <w:kern w:val="0"/>
          <w:sz w:val="24"/>
          <w:szCs w:val="20"/>
          <w14:ligatures w14:val="none"/>
        </w:rPr>
      </w:pPr>
      <w:r>
        <w:rPr>
          <w:rFonts w:ascii="Times New Roman" w:hAnsi="Times New Roman"/>
          <w:b/>
          <w:i/>
          <w:noProof/>
          <w:sz w:val="24"/>
        </w:rPr>
        <w:t>5.1. Colaborarea cu OSC-urile la nivel internațional</w:t>
      </w:r>
    </w:p>
    <w:p w14:paraId="3A2A0DAD"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OSC-urile sunt invitate periodic să își împărtășească expertiza cu privire la politicile externe ale UE și să contribuie la dialogurile privind drepturile omului pe care UE le organizează în mod regulat cu țările și regiunile partenere. La nivel de țară, delegațiile UE joacă un rol esențial în colaborarea cu organizațiile societății civile și cu apărătorii drepturilor omului și pot monitoriza situația democrației, a drepturilor omului și a spațiului civic la nivel local. </w:t>
      </w:r>
    </w:p>
    <w:p w14:paraId="7A5B847B" w14:textId="77777777" w:rsidR="00265174" w:rsidRPr="00265174" w:rsidRDefault="00772752" w:rsidP="00265174">
      <w:pPr>
        <w:spacing w:after="120" w:line="240" w:lineRule="auto"/>
        <w:jc w:val="both"/>
        <w:rPr>
          <w:rFonts w:ascii="Times New Roman" w:eastAsia="Times New Roman" w:hAnsi="Times New Roman" w:cs="Times New Roman"/>
          <w:noProof/>
          <w:kern w:val="0"/>
          <w:sz w:val="24"/>
          <w:szCs w:val="20"/>
          <w14:ligatures w14:val="none"/>
        </w:rPr>
      </w:pPr>
      <w:hyperlink r:id="rId49" w:history="1">
        <w:r w:rsidR="00265174">
          <w:rPr>
            <w:rFonts w:ascii="Times New Roman" w:hAnsi="Times New Roman"/>
            <w:noProof/>
            <w:color w:val="0563C1"/>
            <w:sz w:val="24"/>
            <w:u w:val="single"/>
          </w:rPr>
          <w:t>Forumul UE-ONG-uri privind drepturile omului</w:t>
        </w:r>
      </w:hyperlink>
      <w:r w:rsidR="00265174">
        <w:rPr>
          <w:rFonts w:ascii="Times New Roman" w:hAnsi="Times New Roman"/>
          <w:noProof/>
          <w:sz w:val="24"/>
        </w:rPr>
        <w:t xml:space="preserve"> oferă de zeci de ani posibilitatea permanentă pentru OSC-uri și apărătorii drepturilor omului de a discuta pe teme precum parteneriate internaționale, chestiuni legate de drepturile omului și de a aborda provocările cu care se confruntă spațiul civic la nivel mondial, direct cu omologii din UE. </w:t>
      </w:r>
      <w:hyperlink r:id="rId50" w:history="1">
        <w:r w:rsidR="00265174">
          <w:rPr>
            <w:rFonts w:ascii="Times New Roman" w:hAnsi="Times New Roman"/>
            <w:noProof/>
            <w:color w:val="0563C1"/>
            <w:sz w:val="24"/>
            <w:u w:val="single"/>
          </w:rPr>
          <w:t>Forumul de politici privind dezvoltarea</w:t>
        </w:r>
      </w:hyperlink>
      <w:r w:rsidR="00265174">
        <w:rPr>
          <w:rFonts w:ascii="Times New Roman" w:hAnsi="Times New Roman"/>
          <w:noProof/>
          <w:sz w:val="24"/>
        </w:rPr>
        <w:t xml:space="preserve"> și cele două facilități pentru societatea civilă în ceea ce privește vecinătatea sudică și estică oferă, de asemenea, forumuri pentru implicarea organizațiilor societății civile în cadrul unei serii de politici ale UE. Comisia se angajează să își consolideze sprijinul acordat societății civile din întreaga lume, inclusiv pentru a permite participarea societății civile la forurile multilaterale.</w:t>
      </w:r>
    </w:p>
    <w:p w14:paraId="23F64C56"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UE colaborează cu organizațiile societății civile în ceea ce privește punerea în aplicare a strategiei </w:t>
      </w:r>
      <w:hyperlink r:id="rId51" w:history="1">
        <w:r>
          <w:rPr>
            <w:rFonts w:ascii="Times New Roman" w:hAnsi="Times New Roman"/>
            <w:noProof/>
            <w:color w:val="0563C1"/>
            <w:sz w:val="24"/>
            <w:u w:val="single"/>
          </w:rPr>
          <w:t>„Global Gateway”</w:t>
        </w:r>
      </w:hyperlink>
      <w:r>
        <w:rPr>
          <w:rFonts w:ascii="Times New Roman" w:hAnsi="Times New Roman"/>
          <w:noProof/>
          <w:sz w:val="24"/>
        </w:rPr>
        <w:t xml:space="preserve"> a UE și a instituit, în acest scop, </w:t>
      </w:r>
      <w:hyperlink r:id="rId52" w:history="1">
        <w:r>
          <w:rPr>
            <w:rFonts w:ascii="Times New Roman" w:hAnsi="Times New Roman"/>
            <w:noProof/>
            <w:color w:val="0563C1"/>
            <w:sz w:val="24"/>
            <w:u w:val="single"/>
          </w:rPr>
          <w:t>Platforma consultativă a organizațiilor societății civile și a autorităților locale privind „Global Gateway”</w:t>
        </w:r>
      </w:hyperlink>
      <w:r>
        <w:rPr>
          <w:rFonts w:ascii="Times New Roman" w:hAnsi="Times New Roman"/>
          <w:noProof/>
          <w:sz w:val="24"/>
        </w:rPr>
        <w:t xml:space="preserve">. OSC-urile joacă, de asemenea, un rol important în monitorizarea și punerea în aplicare a acordurilor comerciale, în special prin intermediul grupurilor consultative interne. Împreună cu statele membre și cu societatea civilă, UE a elaborat </w:t>
      </w:r>
      <w:r>
        <w:rPr>
          <w:rFonts w:ascii="Times New Roman" w:hAnsi="Times New Roman"/>
          <w:b/>
          <w:noProof/>
          <w:sz w:val="24"/>
        </w:rPr>
        <w:t>foi de parcurs pentru colaborarea cu societatea civilă</w:t>
      </w:r>
      <w:r>
        <w:rPr>
          <w:rFonts w:ascii="Times New Roman" w:hAnsi="Times New Roman"/>
          <w:noProof/>
          <w:sz w:val="24"/>
        </w:rPr>
        <w:t xml:space="preserve"> la nivelul țărilor partenere, cu scopul de a stabili un dialog susținut și structurat între acești actori. În acest sens, Comisia își menține angajamentul de a sprijini și promova </w:t>
      </w:r>
      <w:hyperlink r:id="rId53" w:history="1">
        <w:r>
          <w:rPr>
            <w:rFonts w:ascii="Times New Roman" w:hAnsi="Times New Roman"/>
            <w:noProof/>
            <w:color w:val="0563C1"/>
            <w:sz w:val="24"/>
            <w:u w:val="single"/>
          </w:rPr>
          <w:t>răspunsurile organizațiilor societății civile la nivel local și parteneriatele echitabile</w:t>
        </w:r>
      </w:hyperlink>
      <w:r>
        <w:rPr>
          <w:rFonts w:ascii="Times New Roman" w:hAnsi="Times New Roman"/>
          <w:noProof/>
          <w:sz w:val="24"/>
        </w:rPr>
        <w:t xml:space="preserve"> în contexte umanitare. Acest lucru se va realiza prin sprijinirea și consolidarea capacităților OSC, prin creșterea volumului de finanțare a ajutorului umanitar pentru organizațiile locale ale societății civile și prin delegarea treptată a autorității către respondenții locali, inclusiv societatea civilă.</w:t>
      </w:r>
    </w:p>
    <w:p w14:paraId="3ADB3737" w14:textId="77777777" w:rsidR="00265174" w:rsidRPr="00265174" w:rsidRDefault="00265174" w:rsidP="00265174">
      <w:pPr>
        <w:spacing w:after="120" w:line="240" w:lineRule="auto"/>
        <w:jc w:val="both"/>
        <w:rPr>
          <w:rFonts w:ascii="Times New Roman" w:eastAsia="Aptos" w:hAnsi="Times New Roman" w:cs="Times New Roman"/>
          <w:noProof/>
          <w:kern w:val="0"/>
          <w:sz w:val="24"/>
          <w:szCs w:val="20"/>
          <w14:ligatures w14:val="none"/>
        </w:rPr>
      </w:pPr>
      <w:r>
        <w:rPr>
          <w:rFonts w:ascii="Times New Roman" w:hAnsi="Times New Roman"/>
          <w:noProof/>
          <w:sz w:val="24"/>
        </w:rPr>
        <w:t xml:space="preserve">În cadrul acestor mecanisme, colaborarea cu organizațiile societății civile și cu apărătorii drepturilor omului adoptă o abordare sensibilă la aspectele de securitate, care ia în considerare circumstanțele specifice ale interlocutorilor, pentru a se asigura că implicarea în sine nu expune organizațiile la riscuri suplimentare. </w:t>
      </w:r>
    </w:p>
    <w:p w14:paraId="06E206C3"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5.2. Protejarea și sprijinirea organizațiilor societății civile la nivel mondial</w:t>
      </w:r>
    </w:p>
    <w:p w14:paraId="282A08C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UE își menține angajamentul de lungă durată care vizează protejarea și sprijinirea societății civile și a spațiului civic la nivel mondial și la nivel de țară. Acest aspect se reflectă, de exemplu, în </w:t>
      </w:r>
      <w:hyperlink r:id="rId54" w:history="1">
        <w:r>
          <w:rPr>
            <w:rFonts w:ascii="Times New Roman" w:hAnsi="Times New Roman"/>
            <w:noProof/>
            <w:color w:val="0563C1"/>
            <w:sz w:val="24"/>
            <w:u w:val="single"/>
          </w:rPr>
          <w:t>Comunicarea privind angajamentul Europei față de societatea civilă în ceea ce privește relațiile externe</w:t>
        </w:r>
      </w:hyperlink>
      <w:r>
        <w:rPr>
          <w:rFonts w:ascii="Times New Roman" w:hAnsi="Times New Roman"/>
          <w:noProof/>
          <w:sz w:val="24"/>
        </w:rPr>
        <w:t xml:space="preserve">, în </w:t>
      </w:r>
      <w:hyperlink r:id="rId55" w:history="1">
        <w:r>
          <w:rPr>
            <w:rFonts w:ascii="Times New Roman" w:hAnsi="Times New Roman"/>
            <w:noProof/>
            <w:color w:val="0563C1"/>
            <w:sz w:val="24"/>
            <w:u w:val="single"/>
          </w:rPr>
          <w:t>Planul de acțiune al UE privind drepturile omului și democrația 2020-2027</w:t>
        </w:r>
        <w:r>
          <w:rPr>
            <w:rFonts w:ascii="Times New Roman" w:eastAsia="Times New Roman" w:hAnsi="Times New Roman" w:cs="Times New Roman"/>
            <w:noProof/>
            <w:kern w:val="0"/>
            <w:sz w:val="24"/>
            <w:szCs w:val="20"/>
            <w:vertAlign w:val="superscript"/>
            <w:lang w:val="en-GB" w:eastAsia="en-GB"/>
          </w:rPr>
          <w:footnoteReference w:id="41"/>
        </w:r>
      </w:hyperlink>
      <w:r>
        <w:rPr>
          <w:rFonts w:ascii="Times New Roman" w:hAnsi="Times New Roman"/>
          <w:noProof/>
          <w:sz w:val="24"/>
        </w:rPr>
        <w:t xml:space="preserve">, în </w:t>
      </w:r>
      <w:hyperlink r:id="rId56" w:history="1">
        <w:r>
          <w:rPr>
            <w:rFonts w:ascii="Times New Roman" w:hAnsi="Times New Roman"/>
            <w:noProof/>
            <w:color w:val="0563C1"/>
            <w:sz w:val="24"/>
            <w:u w:val="single"/>
          </w:rPr>
          <w:t>Orientările UE cu privire la drepturile omului</w:t>
        </w:r>
      </w:hyperlink>
      <w:r>
        <w:rPr>
          <w:rFonts w:ascii="Times New Roman" w:hAnsi="Times New Roman"/>
          <w:noProof/>
          <w:sz w:val="24"/>
        </w:rPr>
        <w:t xml:space="preserve"> și </w:t>
      </w:r>
      <w:hyperlink r:id="rId57" w:history="1">
        <w:r>
          <w:rPr>
            <w:rFonts w:ascii="Times New Roman" w:hAnsi="Times New Roman"/>
            <w:noProof/>
            <w:color w:val="0563C1"/>
            <w:sz w:val="24"/>
            <w:u w:val="single"/>
          </w:rPr>
          <w:t>apărătorii drepturilor omului</w:t>
        </w:r>
      </w:hyperlink>
      <w:r>
        <w:rPr>
          <w:rFonts w:ascii="Times New Roman" w:hAnsi="Times New Roman"/>
          <w:noProof/>
          <w:sz w:val="24"/>
        </w:rPr>
        <w:t xml:space="preserve"> și în </w:t>
      </w:r>
      <w:hyperlink r:id="rId58" w:history="1">
        <w:r>
          <w:rPr>
            <w:rFonts w:ascii="Times New Roman" w:hAnsi="Times New Roman"/>
            <w:noProof/>
            <w:color w:val="0563C1"/>
            <w:sz w:val="24"/>
            <w:u w:val="single"/>
          </w:rPr>
          <w:t>Concluziile Consiliului din 2019 privind democrația</w:t>
        </w:r>
      </w:hyperlink>
      <w:r>
        <w:rPr>
          <w:rFonts w:ascii="Times New Roman" w:hAnsi="Times New Roman"/>
          <w:noProof/>
          <w:sz w:val="24"/>
        </w:rPr>
        <w:t>, precum și în aplicarea abordării bazate pe drepturile omului în cazul parteneriatelor internaționale</w:t>
      </w:r>
      <w:r>
        <w:rPr>
          <w:rFonts w:ascii="Times New Roman" w:eastAsia="Times New Roman" w:hAnsi="Times New Roman" w:cs="Times New Roman"/>
          <w:noProof/>
          <w:kern w:val="0"/>
          <w:sz w:val="24"/>
          <w:szCs w:val="20"/>
          <w:vertAlign w:val="superscript"/>
          <w:lang w:val="en-GB" w:eastAsia="en-GB"/>
        </w:rPr>
        <w:footnoteReference w:id="42"/>
      </w:r>
      <w:r>
        <w:rPr>
          <w:rFonts w:ascii="Times New Roman" w:hAnsi="Times New Roman"/>
          <w:noProof/>
          <w:sz w:val="24"/>
        </w:rPr>
        <w:t>. Sprijinirea organizațiilor societății civile și a apărătorilor drepturilor omului și intensificarea participării la viața publică și politică, în special a femeilor și a tinerilor, reprezintă priorități esențiale ale politicii externe a UE.</w:t>
      </w:r>
    </w:p>
    <w:p w14:paraId="6F9FC55B"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Pentru a promova în continuare aceste obiective, UE cooperează cu organizații și foruri internaționale care elaborează norme privind spațiul civic. Printre acestea se numără Consiliul Europei, Organizația Națiunilor Unite, Organizația pentru Cooperare și Dezvoltare Economică și Biroul pentru Instituții Democratice și Drepturile Omului din cadrul Organizației pentru Securitate și Cooperare în Europa. </w:t>
      </w:r>
    </w:p>
    <w:p w14:paraId="5F63390E" w14:textId="77777777" w:rsidR="00265174" w:rsidRPr="00265174" w:rsidRDefault="00772752" w:rsidP="00265174">
      <w:pPr>
        <w:spacing w:after="120" w:line="240" w:lineRule="auto"/>
        <w:jc w:val="both"/>
        <w:rPr>
          <w:rFonts w:ascii="Times New Roman" w:eastAsia="Times New Roman" w:hAnsi="Times New Roman" w:cs="Times New Roman"/>
          <w:noProof/>
          <w:kern w:val="0"/>
          <w:sz w:val="24"/>
          <w:szCs w:val="20"/>
          <w14:ligatures w14:val="none"/>
        </w:rPr>
      </w:pPr>
      <w:hyperlink r:id="rId59" w:history="1">
        <w:r w:rsidR="00265174">
          <w:rPr>
            <w:rFonts w:ascii="Times New Roman" w:hAnsi="Times New Roman"/>
            <w:noProof/>
            <w:color w:val="0563C1"/>
            <w:sz w:val="24"/>
            <w:u w:val="single"/>
          </w:rPr>
          <w:t>Rapoartele anuale ale UE privind drepturile omului și democrația</w:t>
        </w:r>
      </w:hyperlink>
      <w:r w:rsidR="00265174">
        <w:rPr>
          <w:rFonts w:ascii="Times New Roman" w:hAnsi="Times New Roman"/>
          <w:noProof/>
          <w:sz w:val="24"/>
        </w:rPr>
        <w:t xml:space="preserve"> reprezintă un instrument important de monitorizare a situației OSC-urilor și a spațiului civic la nivel mondial. Alte mecanisme, cum ar fi misiunile de observare a alegerilor, permit UE să evalueze mediul electoral, inclusiv condițiile pentru observarea societății civile interne, și colaborează în mare măsură cu societatea civilă pe parcursul acestor misiuni. </w:t>
      </w:r>
    </w:p>
    <w:p w14:paraId="7C90B7CE" w14:textId="5E628B60"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Sprijinirea capacității și a rezilienței OSC, în special a organizațiilor locale, pentru ca acestea să se poată implica în mod semnificativ în procesele de elaborare a politicilor reprezintă o prioritate în </w:t>
      </w:r>
      <w:r>
        <w:rPr>
          <w:rFonts w:ascii="Times New Roman" w:hAnsi="Times New Roman"/>
          <w:b/>
          <w:noProof/>
          <w:sz w:val="24"/>
        </w:rPr>
        <w:t>vecinătatea estică</w:t>
      </w:r>
      <w:r>
        <w:rPr>
          <w:rFonts w:ascii="Times New Roman" w:hAnsi="Times New Roman"/>
          <w:noProof/>
          <w:sz w:val="24"/>
        </w:rPr>
        <w:t>, în special în contextul restrângerii spațiului civic</w:t>
      </w:r>
      <w:r>
        <w:rPr>
          <w:rStyle w:val="FootnoteReference"/>
          <w:rFonts w:ascii="Times New Roman" w:eastAsia="Times New Roman" w:hAnsi="Times New Roman" w:cs="Times New Roman"/>
          <w:noProof/>
          <w:kern w:val="0"/>
          <w:sz w:val="24"/>
          <w:szCs w:val="20"/>
          <w:lang w:val="en-GB" w:eastAsia="en-GB"/>
        </w:rPr>
        <w:footnoteReference w:id="43"/>
      </w:r>
      <w:r>
        <w:rPr>
          <w:rFonts w:ascii="Times New Roman" w:hAnsi="Times New Roman"/>
          <w:noProof/>
          <w:sz w:val="24"/>
        </w:rPr>
        <w:t xml:space="preserve">. </w:t>
      </w:r>
      <w:hyperlink r:id="rId60" w:history="1">
        <w:r>
          <w:rPr>
            <w:rFonts w:ascii="Times New Roman" w:hAnsi="Times New Roman"/>
            <w:noProof/>
            <w:color w:val="0563C1"/>
            <w:sz w:val="24"/>
            <w:u w:val="single"/>
          </w:rPr>
          <w:t>Pactul pentru Mediterana</w:t>
        </w:r>
      </w:hyperlink>
      <w:r>
        <w:rPr>
          <w:rFonts w:ascii="Times New Roman" w:hAnsi="Times New Roman"/>
          <w:noProof/>
          <w:sz w:val="24"/>
        </w:rPr>
        <w:t xml:space="preserve"> subliniază importanța menținerii unei societăți civile dinamice în vecinătatea sudică și urmărește să capaciteze societatea civilă, tineretul și comunitățile locale, să își consolideze capacitățile și să încurajeze participarea lor la dialogurile locale sau regionale. </w:t>
      </w:r>
    </w:p>
    <w:p w14:paraId="56E8655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UE și-a intensificat acțiunile de protejare a spațiului civic și a apărătorilor drepturilor omului, inclusiv atunci când aceștia sunt ținte ale represiunii transnaționale offline și online. De exemplu, UE a lansat Sistemul UE pentru un mediu favorabil (</w:t>
      </w:r>
      <w:r>
        <w:rPr>
          <w:rFonts w:ascii="Times New Roman" w:hAnsi="Times New Roman"/>
          <w:i/>
          <w:iCs/>
          <w:noProof/>
          <w:sz w:val="24"/>
        </w:rPr>
        <w:t>System for Enabling Environment</w:t>
      </w:r>
      <w:r>
        <w:rPr>
          <w:rFonts w:ascii="Times New Roman" w:hAnsi="Times New Roman"/>
          <w:noProof/>
          <w:sz w:val="24"/>
        </w:rPr>
        <w:t xml:space="preserve"> – SEE al UE)</w:t>
      </w:r>
      <w:r>
        <w:rPr>
          <w:rFonts w:ascii="Times New Roman" w:eastAsia="Times New Roman" w:hAnsi="Times New Roman" w:cs="Times New Roman"/>
          <w:noProof/>
          <w:kern w:val="0"/>
          <w:sz w:val="24"/>
          <w:szCs w:val="20"/>
          <w:vertAlign w:val="superscript"/>
          <w:lang w:val="en-GB" w:eastAsia="en-GB"/>
        </w:rPr>
        <w:footnoteReference w:id="44"/>
      </w:r>
      <w:r>
        <w:rPr>
          <w:rFonts w:ascii="Times New Roman" w:hAnsi="Times New Roman"/>
          <w:noProof/>
          <w:sz w:val="24"/>
        </w:rPr>
        <w:t xml:space="preserve"> societății civile, care sprijină organizațiile societății civile din peste 80 de țări să își monitorizeze spațiul civic, să emită alerte timpurii cu privire la restricții și să contribuie la răspunsuri.</w:t>
      </w:r>
    </w:p>
    <w:p w14:paraId="2C850FE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 a furnizat, de asemenea, orientări prin intermediul</w:t>
      </w:r>
      <w:r>
        <w:rPr>
          <w:rFonts w:ascii="Times New Roman" w:hAnsi="Times New Roman"/>
          <w:b/>
          <w:noProof/>
          <w:sz w:val="24"/>
        </w:rPr>
        <w:t xml:space="preserve"> </w:t>
      </w:r>
      <w:hyperlink r:id="rId61" w:history="1">
        <w:r>
          <w:rPr>
            <w:rFonts w:ascii="Times New Roman" w:hAnsi="Times New Roman"/>
            <w:noProof/>
            <w:color w:val="0563C1"/>
            <w:sz w:val="24"/>
            <w:u w:val="single"/>
          </w:rPr>
          <w:t>Manualului Codului de vize</w:t>
        </w:r>
      </w:hyperlink>
      <w:r>
        <w:rPr>
          <w:rFonts w:ascii="Times New Roman" w:hAnsi="Times New Roman"/>
          <w:noProof/>
          <w:sz w:val="24"/>
        </w:rPr>
        <w:t>, inclusiv cu privire la eliberarea vizelor pentru apărătorii drepturilor omului, și oferă cursuri de formare în acest sens</w:t>
      </w:r>
      <w:r>
        <w:rPr>
          <w:rFonts w:ascii="Times New Roman" w:eastAsia="Times New Roman" w:hAnsi="Times New Roman" w:cs="Times New Roman"/>
          <w:noProof/>
          <w:kern w:val="0"/>
          <w:sz w:val="24"/>
          <w:szCs w:val="20"/>
          <w:vertAlign w:val="superscript"/>
          <w:lang w:val="en-GB" w:eastAsia="en-GB"/>
        </w:rPr>
        <w:footnoteReference w:id="45"/>
      </w:r>
      <w:r>
        <w:rPr>
          <w:rFonts w:ascii="Times New Roman" w:hAnsi="Times New Roman"/>
          <w:noProof/>
          <w:sz w:val="24"/>
        </w:rPr>
        <w:t>. Împreună cu statele membre, Comisia va continua să promoveze manualul și punerea sa în aplicare, în special în ceea ce privește orientările care vizează nevoile specifice ale apărătorilor drepturilor omului.</w:t>
      </w:r>
    </w:p>
    <w:p w14:paraId="07C0D5F6" w14:textId="77777777" w:rsidR="00265174" w:rsidRPr="00265174" w:rsidRDefault="00265174" w:rsidP="00AE6B23">
      <w:pPr>
        <w:pageBreakBefore/>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5.3. Furnizarea de finanțare, crearea de parteneriate</w:t>
      </w:r>
    </w:p>
    <w:p w14:paraId="0BDCF03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Începând din 2013, UE a sprijinit </w:t>
      </w:r>
      <w:hyperlink r:id="rId62" w:history="1">
        <w:r>
          <w:rPr>
            <w:rFonts w:ascii="Times New Roman" w:hAnsi="Times New Roman"/>
            <w:noProof/>
            <w:color w:val="0563C1"/>
            <w:sz w:val="24"/>
            <w:u w:val="single"/>
          </w:rPr>
          <w:t>Fondul European pentru Democrație</w:t>
        </w:r>
      </w:hyperlink>
      <w:r>
        <w:rPr>
          <w:rFonts w:ascii="Times New Roman" w:hAnsi="Times New Roman"/>
          <w:b/>
          <w:noProof/>
          <w:sz w:val="24"/>
        </w:rPr>
        <w:t xml:space="preserve"> </w:t>
      </w:r>
      <w:r>
        <w:rPr>
          <w:rFonts w:ascii="Times New Roman" w:hAnsi="Times New Roman"/>
          <w:noProof/>
          <w:sz w:val="24"/>
        </w:rPr>
        <w:t>(FED)</w:t>
      </w:r>
      <w:r>
        <w:rPr>
          <w:rFonts w:ascii="Times New Roman" w:eastAsia="Times New Roman" w:hAnsi="Times New Roman" w:cs="Times New Roman"/>
          <w:noProof/>
          <w:kern w:val="0"/>
          <w:sz w:val="24"/>
          <w:szCs w:val="20"/>
          <w:vertAlign w:val="superscript"/>
          <w:lang w:val="en-GB" w:eastAsia="en-GB"/>
        </w:rPr>
        <w:footnoteReference w:id="46"/>
      </w:r>
      <w:r>
        <w:rPr>
          <w:rFonts w:ascii="Times New Roman" w:hAnsi="Times New Roman"/>
          <w:noProof/>
          <w:sz w:val="24"/>
        </w:rPr>
        <w:t xml:space="preserve">, care oferă sprijin și protecție esențiale organizațiilor societății civile și apărătorilor drepturilor omului în medii de criză și represive. Un mecanism specific de protecție finanțat de UE este </w:t>
      </w:r>
      <w:r>
        <w:rPr>
          <w:rFonts w:ascii="Times New Roman" w:hAnsi="Times New Roman"/>
          <w:b/>
          <w:noProof/>
          <w:sz w:val="24"/>
        </w:rPr>
        <w:t>Mecanismul UE pentru apărătorii drepturilor omului</w:t>
      </w:r>
      <w:r>
        <w:rPr>
          <w:rFonts w:ascii="Times New Roman" w:hAnsi="Times New Roman"/>
          <w:noProof/>
          <w:sz w:val="24"/>
        </w:rPr>
        <w:t>, care a fost instituit pentru a-i sprijini pe apărătorii drepturilor omului din țările terțe</w:t>
      </w:r>
      <w:r>
        <w:rPr>
          <w:rFonts w:ascii="Times New Roman" w:eastAsia="Times New Roman" w:hAnsi="Times New Roman" w:cs="Times New Roman"/>
          <w:iCs/>
          <w:noProof/>
          <w:kern w:val="0"/>
          <w:sz w:val="24"/>
          <w:szCs w:val="20"/>
          <w:vertAlign w:val="superscript"/>
          <w:lang w:val="en-GB" w:eastAsia="en-GB"/>
        </w:rPr>
        <w:footnoteReference w:id="47"/>
      </w:r>
      <w:r>
        <w:rPr>
          <w:rFonts w:ascii="Times New Roman" w:hAnsi="Times New Roman"/>
          <w:noProof/>
          <w:sz w:val="24"/>
        </w:rPr>
        <w:t xml:space="preserve">, oferind diverse forme de sprijin (de exemplu, protecție fizică și digitală; asistență judiciară și medicală; monitorizarea proceselor și a penitenciarelor; dezvoltarea capacităților; promovare și transfer temporar). </w:t>
      </w:r>
    </w:p>
    <w:p w14:paraId="5A1154B8" w14:textId="77777777" w:rsidR="00FC03FF"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Finanțarea este acordată OSC-urilor prin intermediul Instrumentului de vecinătate, cooperare pentru dezvoltare și cooperare internațională (IVCDCI), de exemplu prin granturi acordate prin intermediul programelor tematice privind drepturile omului, democrația și societatea civilă. </w:t>
      </w:r>
    </w:p>
    <w:p w14:paraId="35F77FFD" w14:textId="14E0982F"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temeiul </w:t>
      </w:r>
      <w:r>
        <w:rPr>
          <w:rFonts w:ascii="Times New Roman" w:hAnsi="Times New Roman"/>
          <w:b/>
          <w:noProof/>
          <w:sz w:val="24"/>
        </w:rPr>
        <w:t>propunerii Comisiei privind CFM pentru perioada 2028-2034</w:t>
      </w:r>
      <w:r>
        <w:rPr>
          <w:rFonts w:ascii="Times New Roman" w:hAnsi="Times New Roman"/>
          <w:noProof/>
          <w:sz w:val="24"/>
        </w:rPr>
        <w:t xml:space="preserve">, cooperarea cu OSC-urile din țările partenere și sprijinul acordat acestora rămân o prioritate în cadrul </w:t>
      </w:r>
      <w:hyperlink r:id="rId63" w:history="1">
        <w:r>
          <w:rPr>
            <w:rFonts w:ascii="Times New Roman" w:hAnsi="Times New Roman"/>
            <w:noProof/>
            <w:color w:val="0563C1"/>
            <w:sz w:val="24"/>
            <w:u w:val="single"/>
          </w:rPr>
          <w:t>instrumentului „Europa globală”</w:t>
        </w:r>
      </w:hyperlink>
      <w:r>
        <w:rPr>
          <w:rFonts w:ascii="Times New Roman" w:hAnsi="Times New Roman"/>
          <w:noProof/>
          <w:sz w:val="24"/>
        </w:rPr>
        <w:t xml:space="preserve"> propus. Aceasta include angajamentul continuu de a susține drepturile omului și democrația la nivel mondial.</w:t>
      </w:r>
    </w:p>
    <w:p w14:paraId="72F5CDDF" w14:textId="77777777" w:rsidR="00265174" w:rsidRPr="00265174" w:rsidRDefault="00265174" w:rsidP="00265174">
      <w:pPr>
        <w:spacing w:after="120" w:line="240" w:lineRule="auto"/>
        <w:jc w:val="both"/>
        <w:rPr>
          <w:rFonts w:ascii="Times New Roman" w:eastAsia="Times New Roman" w:hAnsi="Times New Roman" w:cs="Times New Roman"/>
          <w:b/>
          <w:noProof/>
          <w:kern w:val="0"/>
          <w:sz w:val="24"/>
          <w:szCs w:val="20"/>
          <w14:ligatures w14:val="none"/>
        </w:rPr>
      </w:pPr>
      <w:r>
        <w:rPr>
          <w:rFonts w:ascii="Times New Roman" w:hAnsi="Times New Roman"/>
          <w:b/>
          <w:i/>
          <w:noProof/>
          <w:sz w:val="24"/>
        </w:rPr>
        <w:t xml:space="preserve">5.4. Privind spre viitor, dezvoltând reziliența </w:t>
      </w:r>
    </w:p>
    <w:p w14:paraId="5AE7D05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UE va continua să sprijine spațiul civic și un mediu favorabil</w:t>
      </w:r>
      <w:r>
        <w:rPr>
          <w:rFonts w:ascii="Times New Roman" w:hAnsi="Times New Roman"/>
          <w:noProof/>
          <w:sz w:val="24"/>
        </w:rPr>
        <w:t xml:space="preserve"> pentru societatea civilă din întreaga lume și să monitorizeze drepturile omului, democrația și spațiul civic prin intermediul mecanismelor existente. De asemenea, va continua să ofere sprijin și protecție organizațiilor societății civile și apărătorilor drepturilor omului expuși riscurilor, inclusiv împotriva represiunii transnaționale, prin inițiative precum ProtectDefenders.eu și Fondul European pentru Democrație.</w:t>
      </w:r>
    </w:p>
    <w:p w14:paraId="0A312614"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UE își intensifică angajamentul la nivel mondial și regional cu societatea civilă în privința unor procese esențiale, cum ar fi </w:t>
      </w:r>
      <w:r>
        <w:rPr>
          <w:rFonts w:ascii="Times New Roman" w:hAnsi="Times New Roman"/>
          <w:b/>
          <w:noProof/>
          <w:sz w:val="24"/>
        </w:rPr>
        <w:t>summiturile regionale</w:t>
      </w:r>
      <w:r>
        <w:rPr>
          <w:rFonts w:ascii="Times New Roman" w:hAnsi="Times New Roman"/>
          <w:noProof/>
          <w:sz w:val="24"/>
        </w:rPr>
        <w:t xml:space="preserve">. UE va purta în continuare dialoguri periodice cu organizațiile societății civile în calitate de parteneri-cheie în activitatea pe care o desfășoară în domeniul drepturilor omului, al democrației și al politicii externe și se va consulta cu acestea și cu apărătorii drepturilor omului în contextul elaborării următorului </w:t>
      </w:r>
      <w:r>
        <w:rPr>
          <w:rFonts w:ascii="Times New Roman" w:hAnsi="Times New Roman"/>
          <w:b/>
          <w:noProof/>
          <w:sz w:val="24"/>
        </w:rPr>
        <w:t>Plan de acțiune al UE privind drepturile omului și democrația</w:t>
      </w:r>
      <w:r>
        <w:rPr>
          <w:rFonts w:ascii="Times New Roman" w:hAnsi="Times New Roman"/>
          <w:noProof/>
          <w:sz w:val="24"/>
        </w:rPr>
        <w:t xml:space="preserve">. De asemenea, va organiza </w:t>
      </w:r>
      <w:r>
        <w:rPr>
          <w:rFonts w:ascii="Times New Roman" w:hAnsi="Times New Roman"/>
          <w:b/>
          <w:noProof/>
          <w:sz w:val="24"/>
        </w:rPr>
        <w:t>dialoguri structurate comune la nivel înalt cu societatea civilă</w:t>
      </w:r>
      <w:r>
        <w:rPr>
          <w:rFonts w:ascii="Times New Roman" w:hAnsi="Times New Roman"/>
          <w:noProof/>
          <w:sz w:val="24"/>
        </w:rPr>
        <w:t xml:space="preserve"> în regiunile partenere, de exemplu în cadrul summitului Uniunea Africană-Uniunea Europeană.</w:t>
      </w:r>
    </w:p>
    <w:p w14:paraId="1A8E79C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 cadrul </w:t>
      </w:r>
      <w:r>
        <w:rPr>
          <w:rFonts w:ascii="Times New Roman" w:hAnsi="Times New Roman"/>
          <w:b/>
          <w:noProof/>
          <w:sz w:val="24"/>
        </w:rPr>
        <w:t>Pactului pentru Mediterana</w:t>
      </w:r>
      <w:r>
        <w:rPr>
          <w:rFonts w:ascii="Times New Roman" w:hAnsi="Times New Roman"/>
          <w:noProof/>
          <w:sz w:val="24"/>
        </w:rPr>
        <w:t xml:space="preserve">, o serie de inițiative vor permite actorilor-cheie să își sprijine în mod concret comunitățile, în special prin înființarea unei Adunări Parlamentare a Tineretului pentru Mediterana; sprijinirea dezvoltării unui serviciu civic mediteraneean; capacitarea organizațiilor conduse de femei ca influenceri esențiali în comunitățile lor și consolidarea mecanismelor de cooperare la nivel local pentru a promova incluziunea socială, inclusiv pentru persoanele aflate în situații vulnerabile. </w:t>
      </w:r>
    </w:p>
    <w:p w14:paraId="66E276B8" w14:textId="77777777" w:rsidR="00265174" w:rsidRPr="00265174" w:rsidRDefault="00265174" w:rsidP="00AE6B23">
      <w:pPr>
        <w:pageBreakBefore/>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bookmarkStart w:id="22" w:name="_Hlk212133826"/>
      <w:bookmarkStart w:id="23" w:name="_Hlk212123865"/>
      <w:r>
        <w:rPr>
          <w:rFonts w:ascii="Times New Roman" w:hAnsi="Times New Roman"/>
          <w:b/>
          <w:i/>
          <w:noProof/>
          <w:sz w:val="24"/>
        </w:rPr>
        <w:t>Comisia va întreprinde următoarele acțiuni</w:t>
      </w:r>
      <w:r>
        <w:rPr>
          <w:rFonts w:ascii="Times New Roman" w:hAnsi="Times New Roman"/>
          <w:noProof/>
          <w:sz w:val="24"/>
        </w:rPr>
        <w:t xml:space="preserve">: </w:t>
      </w:r>
    </w:p>
    <w:p w14:paraId="10881391" w14:textId="056A2C45" w:rsidR="00FC03FF" w:rsidRPr="00FC03FF" w:rsidRDefault="00FC03FF" w:rsidP="00FC03FF">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consolidarea colaborării cu societatea civilă în toate domeniile de politică ale acțiunii externe a Uniunii, inclusiv prin intermediul delegațiilor Uniunii; </w:t>
      </w:r>
    </w:p>
    <w:p w14:paraId="18F17039" w14:textId="5D7FF28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consultarea OSC-urilor cu privire la un mediu favorabil societății civile în contextul pregătirilor pentru următorul Plan de acțiune al UE privind drepturile omului și democrația; </w:t>
      </w:r>
    </w:p>
    <w:p w14:paraId="016B0C75"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consolidarea sprijinului acordat societății civile din întreaga lume, inclusiv pentru a permite participarea societății civile la forurile multilaterale; </w:t>
      </w:r>
    </w:p>
    <w:p w14:paraId="02C99E81"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organizarea unui dialog structurat comun la nivel înalt cu societatea civilă în cadrul summitului Uniunea Africană-Uniunea Europeană și continuarea promovării unor astfel de dialoguri comune cu partenerii săi regionali; </w:t>
      </w:r>
    </w:p>
    <w:p w14:paraId="0BD25E9C"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consolidarea angajamentului în cadrul inițiativei „Echipa Europa pentru democrație” pentru a discuta cu privire la amenințările emergente și în continuă evoluție la adresa spațiului civic; </w:t>
      </w:r>
    </w:p>
    <w:p w14:paraId="208437F0"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încheierea de noi acorduri-cadru de parteneriat pentru a consolida capacitățile și a conecta OSC-urile prin inițiative specifice în regiunile sale partenere. </w:t>
      </w:r>
    </w:p>
    <w:p w14:paraId="0B62B24D" w14:textId="77777777" w:rsidR="00265174" w:rsidRPr="00265174" w:rsidRDefault="00265174" w:rsidP="00265174">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Statele membre sunt invitate:</w:t>
      </w:r>
    </w:p>
    <w:p w14:paraId="645EF29C"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să se coordoneze cu delegațiile UE de la fața locului pentru a asigura punerea în aplicare eficace a Planului de acțiune al UE privind drepturile omului și democrația și a Orientărilor UE privind drepturile omului, precum și pentru a sprijini punerea în aplicare a noii generații (2025-2027) de foi de parcurs de țară pentru implicarea organizațiilor societății civile; </w:t>
      </w:r>
    </w:p>
    <w:p w14:paraId="298E452E"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să crească gradul de conștientizare și să asigure consolidarea capacităților, inclusiv prin noi cursuri de formare, cu privire la orientările din Manualul Codului de vize privind facilitarea eliberării vizelor pentru apărătorii drepturilor omului care solicită protecție pe teritoriul UE.</w:t>
      </w:r>
      <w:bookmarkEnd w:id="22"/>
      <w:bookmarkEnd w:id="23"/>
    </w:p>
    <w:p w14:paraId="5200CEE0"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14:ligatures w14:val="none"/>
        </w:rPr>
      </w:pPr>
      <w:bookmarkStart w:id="24" w:name="_Toc210325219"/>
    </w:p>
    <w:p w14:paraId="040D4710" w14:textId="2F4C5E84"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CONCLUZIE</w:t>
      </w:r>
      <w:bookmarkEnd w:id="24"/>
    </w:p>
    <w:p w14:paraId="0C6BE29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noProof/>
        </w:rPr>
        <w:t xml:space="preserve"> </w:t>
      </w:r>
      <w:r>
        <w:rPr>
          <w:noProof/>
        </w:rPr>
        <w:cr/>
      </w:r>
      <w:r>
        <w:rPr>
          <w:noProof/>
        </w:rPr>
        <w:br/>
      </w:r>
      <w:r>
        <w:rPr>
          <w:rFonts w:ascii="Times New Roman" w:hAnsi="Times New Roman"/>
          <w:noProof/>
          <w:sz w:val="24"/>
        </w:rPr>
        <w:t>Societatea civilă este o piatră de temelie a democrației în întreaga UE și în afara acesteia. Societatea civilă contribuie la elaborarea politicilor, creând parteneriate cu guvernele naționale și cu instituțiile UE în ceea ce privește punerea în aplicare a politicilor și oferind o gamă largă de măsuri de sprijin și servicii în toate sectoarele societății. Participarea activă a societății civile într-un spațiu civic favorabil, lipsit de amenințări și atacuri, contribuie la promovarea și protejarea valorilor pe care se întemeiază UE.</w:t>
      </w:r>
    </w:p>
    <w:p w14:paraId="21DF9F88"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Strategia UE pentru societatea civilă pune bazele pentru consolidarea implicării, a sprijinului și a protecției, precum și pentru capacitarea societății civile. Aceasta propune un set de măsuri coerente și care se potențează reciproc pentru a îmbunătăți în mod efectiv protecția și sprijinul acordat societății civile și pentru a permite un dialog eficace și semnificativ cu factorii de decizie de la nivelul UE și de la nivel național, precum și în cadrul acțiunilor externe ale UE. </w:t>
      </w:r>
    </w:p>
    <w:p w14:paraId="1AF7E97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bookmarkStart w:id="25" w:name="_Hlk213236593"/>
      <w:r>
        <w:rPr>
          <w:rFonts w:ascii="Times New Roman" w:hAnsi="Times New Roman"/>
          <w:noProof/>
          <w:sz w:val="24"/>
        </w:rPr>
        <w:t xml:space="preserve">Punerea în aplicare a acestei strategii necesită eforturi la toate nivelurile. Instituțiile, organismele și agențiile UE, precum și statele membre și țările implicate în procesul de aderare, toate trebuie să contribuie în acest sens. Strategia recunoaște că spațiul civic din statele membre și din țările implicate în procesul de aderare formează un spațiu democratic comun neîntrerupt, iar o societate civilă dinamică într-un spațiu civic favorabil este esențială pentru înregistrarea progreselor în direcția aderării. La nivel mondial, UE va continua să coopereze cu țările sale partenere și cu organizațiile internaționale pentru a crea un mediu favorabil societății civile și pentru a promova un nivel sporit de implicare, protecție și sprijin pentru organizațiile societății civile din întreaga lume. </w:t>
      </w:r>
    </w:p>
    <w:bookmarkEnd w:id="25"/>
    <w:p w14:paraId="33C54C6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 va convoca periodic discuții cu statele membre, cu societatea civilă, cu Comitetul Economic și Social European, cu Agenția pentru Drepturi Fundamentale a UE, cu organizațiile internaționale și cu alți actori relevanți pentru a sprijini punerea în aplicare a acțiunilor prezentate și pentru a evalua progresele înregistrate.</w:t>
      </w:r>
    </w:p>
    <w:p w14:paraId="33101BA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Comisia invită Parlamentul European și Consiliul, precum și Comitetul Economic și Social European și Comitetul Regiunilor să sprijine punerea în aplicare a prezentei strategii. Sprijinul pentru organizațiile societății civile va trebui să rămână puternic în următorul CFM, cu eforturi de simplificare a proceselor de finanțare, de reducere a sarcinilor administrative și de îmbunătățire a accesului prin instrumente digitale ușor de utilizat.</w:t>
      </w:r>
    </w:p>
    <w:p w14:paraId="6D6431F9" w14:textId="1F0D75E0" w:rsidR="00653EE2" w:rsidRPr="00195E4C" w:rsidRDefault="00653EE2">
      <w:pPr>
        <w:rPr>
          <w:noProof/>
        </w:rPr>
      </w:pPr>
    </w:p>
    <w:p w14:paraId="63EB52CD" w14:textId="77777777" w:rsidR="00FB77F7" w:rsidRPr="00195E4C" w:rsidRDefault="00FB77F7" w:rsidP="00FB77F7">
      <w:pPr>
        <w:rPr>
          <w:noProof/>
        </w:rPr>
      </w:pPr>
    </w:p>
    <w:p w14:paraId="53052B45" w14:textId="77777777" w:rsidR="00FB77F7" w:rsidRPr="00195E4C" w:rsidRDefault="00FB77F7" w:rsidP="00FB77F7">
      <w:pPr>
        <w:rPr>
          <w:noProof/>
        </w:rPr>
      </w:pPr>
    </w:p>
    <w:p w14:paraId="7BC88393" w14:textId="77777777" w:rsidR="00FB77F7" w:rsidRPr="00195E4C" w:rsidRDefault="00FB77F7" w:rsidP="00FB77F7">
      <w:pPr>
        <w:rPr>
          <w:noProof/>
        </w:rPr>
      </w:pPr>
    </w:p>
    <w:p w14:paraId="1FBA15E2" w14:textId="77777777" w:rsidR="00FB77F7" w:rsidRPr="00195E4C" w:rsidRDefault="00FB77F7" w:rsidP="00FB77F7">
      <w:pPr>
        <w:rPr>
          <w:noProof/>
        </w:rPr>
      </w:pPr>
    </w:p>
    <w:p w14:paraId="5CDE2A87" w14:textId="77777777" w:rsidR="00FB77F7" w:rsidRPr="00195E4C" w:rsidRDefault="00FB77F7" w:rsidP="00FB77F7">
      <w:pPr>
        <w:rPr>
          <w:noProof/>
        </w:rPr>
      </w:pPr>
    </w:p>
    <w:p w14:paraId="266AB8F4" w14:textId="77777777" w:rsidR="00FB77F7" w:rsidRPr="00195E4C" w:rsidRDefault="00FB77F7" w:rsidP="00FB77F7">
      <w:pPr>
        <w:rPr>
          <w:noProof/>
        </w:rPr>
      </w:pPr>
    </w:p>
    <w:p w14:paraId="0BADEEAA" w14:textId="77777777" w:rsidR="00653EE2" w:rsidRPr="00195E4C" w:rsidRDefault="00653EE2" w:rsidP="00D775B0">
      <w:pPr>
        <w:jc w:val="right"/>
        <w:rPr>
          <w:noProof/>
        </w:rPr>
      </w:pPr>
    </w:p>
    <w:sectPr w:rsidR="00653EE2" w:rsidRPr="00195E4C" w:rsidSect="00265174">
      <w:headerReference w:type="even" r:id="rId64"/>
      <w:headerReference w:type="default" r:id="rId65"/>
      <w:footerReference w:type="even" r:id="rId66"/>
      <w:footerReference w:type="default" r:id="rId67"/>
      <w:headerReference w:type="first" r:id="rId68"/>
      <w:footerReference w:type="first" r:id="rId69"/>
      <w:pgSz w:w="11906" w:h="16838"/>
      <w:pgMar w:top="1440" w:right="1728" w:bottom="1440" w:left="1584" w:header="605" w:footer="10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82248" w14:textId="77777777" w:rsidR="00F863D1" w:rsidRDefault="00F863D1" w:rsidP="00265174">
      <w:pPr>
        <w:spacing w:after="0" w:line="240" w:lineRule="auto"/>
      </w:pPr>
      <w:r>
        <w:separator/>
      </w:r>
    </w:p>
  </w:endnote>
  <w:endnote w:type="continuationSeparator" w:id="0">
    <w:p w14:paraId="6EB7452A" w14:textId="77777777" w:rsidR="00F863D1" w:rsidRDefault="00F863D1" w:rsidP="00265174">
      <w:pPr>
        <w:spacing w:after="0" w:line="240" w:lineRule="auto"/>
      </w:pPr>
      <w:r>
        <w:continuationSeparator/>
      </w:r>
    </w:p>
  </w:endnote>
  <w:endnote w:type="continuationNotice" w:id="1">
    <w:p w14:paraId="0577C846" w14:textId="77777777" w:rsidR="00F863D1" w:rsidRDefault="00F863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99907" w14:textId="4AEBB086" w:rsidR="00772752" w:rsidRPr="00772752" w:rsidRDefault="00772752" w:rsidP="00772752">
    <w:pPr>
      <w:pStyle w:val="FooterCoverPage"/>
      <w:rPr>
        <w:rFonts w:ascii="Arial" w:hAnsi="Arial" w:cs="Arial"/>
        <w:b/>
        <w:sz w:val="48"/>
      </w:rPr>
    </w:pPr>
    <w:r w:rsidRPr="00772752">
      <w:rPr>
        <w:rFonts w:ascii="Arial" w:hAnsi="Arial" w:cs="Arial"/>
        <w:b/>
        <w:sz w:val="48"/>
      </w:rPr>
      <w:t>RO</w:t>
    </w:r>
    <w:r w:rsidRPr="00772752">
      <w:rPr>
        <w:rFonts w:ascii="Arial" w:hAnsi="Arial" w:cs="Arial"/>
        <w:b/>
        <w:sz w:val="48"/>
      </w:rPr>
      <w:tab/>
    </w:r>
    <w:r w:rsidRPr="00772752">
      <w:rPr>
        <w:rFonts w:ascii="Arial" w:hAnsi="Arial" w:cs="Arial"/>
        <w:b/>
        <w:sz w:val="48"/>
      </w:rPr>
      <w:tab/>
    </w:r>
    <w:r w:rsidRPr="00772752">
      <w:tab/>
    </w:r>
    <w:r w:rsidRPr="0077275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96D6E" w14:textId="3DF06BF0" w:rsidR="00772752" w:rsidRPr="00772752" w:rsidRDefault="00772752" w:rsidP="00772752">
    <w:pPr>
      <w:pStyle w:val="FooterCoverPage"/>
      <w:rPr>
        <w:rFonts w:ascii="Arial" w:hAnsi="Arial" w:cs="Arial"/>
        <w:b/>
        <w:sz w:val="48"/>
      </w:rPr>
    </w:pPr>
    <w:r w:rsidRPr="00772752">
      <w:rPr>
        <w:rFonts w:ascii="Arial" w:hAnsi="Arial" w:cs="Arial"/>
        <w:b/>
        <w:sz w:val="48"/>
      </w:rPr>
      <w:t>RO</w:t>
    </w:r>
    <w:r w:rsidRPr="00772752">
      <w:rPr>
        <w:rFonts w:ascii="Arial" w:hAnsi="Arial" w:cs="Arial"/>
        <w:b/>
        <w:sz w:val="48"/>
      </w:rPr>
      <w:tab/>
    </w:r>
    <w:r w:rsidRPr="00772752">
      <w:rPr>
        <w:rFonts w:ascii="Arial" w:hAnsi="Arial" w:cs="Arial"/>
        <w:b/>
        <w:sz w:val="48"/>
      </w:rPr>
      <w:tab/>
    </w:r>
    <w:r w:rsidRPr="00772752">
      <w:tab/>
    </w:r>
    <w:r w:rsidRPr="0077275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FE6AC" w14:textId="77777777" w:rsidR="00772752" w:rsidRPr="00772752" w:rsidRDefault="00772752" w:rsidP="007727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83215"/>
      <w:docPartObj>
        <w:docPartGallery w:val="Page Numbers (Bottom of Page)"/>
        <w:docPartUnique/>
      </w:docPartObj>
    </w:sdtPr>
    <w:sdtEndPr/>
    <w:sdtContent>
      <w:p w14:paraId="36C145D7" w14:textId="77777777" w:rsidR="00EB15B4" w:rsidRDefault="00C30639">
        <w:pPr>
          <w:pStyle w:val="Footer"/>
          <w:jc w:val="right"/>
        </w:pPr>
        <w:r>
          <w:fldChar w:fldCharType="begin"/>
        </w:r>
        <w:r>
          <w:instrText xml:space="preserve"> PAGE   \* MERGEFORMAT </w:instrText>
        </w:r>
        <w:r>
          <w:fldChar w:fldCharType="separate"/>
        </w:r>
        <w:r>
          <w:t>4</w:t>
        </w:r>
        <w:r>
          <w:fldChar w:fldCharType="end"/>
        </w:r>
      </w:p>
    </w:sdtContent>
  </w:sdt>
  <w:p w14:paraId="2FA110E3" w14:textId="77777777" w:rsidR="00EB15B4" w:rsidRDefault="00EB15B4">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76000309"/>
      <w:docPartObj>
        <w:docPartGallery w:val="Page Numbers (Bottom of Page)"/>
        <w:docPartUnique/>
      </w:docPartObj>
    </w:sdtPr>
    <w:sdtEndPr/>
    <w:sdtContent>
      <w:p w14:paraId="78F2FB4A" w14:textId="38010DB1" w:rsidR="007B453D" w:rsidRPr="00D05E5C" w:rsidRDefault="007B453D">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72752">
          <w:rPr>
            <w:rFonts w:ascii="Times New Roman" w:hAnsi="Times New Roman" w:cs="Times New Roman"/>
            <w:noProof/>
          </w:rPr>
          <w:t>3</w:t>
        </w:r>
        <w:r>
          <w:rPr>
            <w:rFonts w:ascii="Times New Roman" w:hAnsi="Times New Roman" w:cs="Times New Roman"/>
          </w:rPr>
          <w:fldChar w:fldCharType="end"/>
        </w:r>
      </w:p>
    </w:sdtContent>
  </w:sdt>
  <w:p w14:paraId="323E7976" w14:textId="77777777" w:rsidR="00EB15B4" w:rsidRDefault="00EB15B4">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16"/>
      </w:rPr>
      <w:id w:val="879977463"/>
      <w:docPartObj>
        <w:docPartGallery w:val="Page Numbers (Bottom of Page)"/>
        <w:docPartUnique/>
      </w:docPartObj>
    </w:sdtPr>
    <w:sdtEndPr/>
    <w:sdtContent>
      <w:p w14:paraId="0D2EEECB" w14:textId="47B655FC" w:rsidR="00EB15B4" w:rsidRPr="001D76E3" w:rsidRDefault="00C30639">
        <w:pPr>
          <w:pStyle w:val="Footer"/>
          <w:ind w:right="-144"/>
          <w:jc w:val="right"/>
          <w:rPr>
            <w:szCs w:val="16"/>
          </w:rPr>
        </w:pPr>
        <w:r>
          <w:fldChar w:fldCharType="begin"/>
        </w:r>
        <w:r>
          <w:instrText xml:space="preserve"> PAGE   \* MERGEFORMAT </w:instrText>
        </w:r>
        <w:r>
          <w:fldChar w:fldCharType="separate"/>
        </w:r>
        <w:r w:rsidR="00772752">
          <w:rPr>
            <w:noProof/>
          </w:rPr>
          <w:t>1</w:t>
        </w:r>
        <w:r>
          <w:fldChar w:fldCharType="end"/>
        </w:r>
      </w:p>
    </w:sdtContent>
  </w:sdt>
  <w:p w14:paraId="5C8B9957" w14:textId="77777777" w:rsidR="00EB15B4" w:rsidRPr="00914EDD" w:rsidRDefault="00EB1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6491B" w14:textId="77777777" w:rsidR="00F863D1" w:rsidRDefault="00F863D1" w:rsidP="00265174">
      <w:pPr>
        <w:spacing w:after="0" w:line="240" w:lineRule="auto"/>
      </w:pPr>
      <w:r>
        <w:separator/>
      </w:r>
    </w:p>
  </w:footnote>
  <w:footnote w:type="continuationSeparator" w:id="0">
    <w:p w14:paraId="316F3E44" w14:textId="77777777" w:rsidR="00F863D1" w:rsidRDefault="00F863D1" w:rsidP="00265174">
      <w:pPr>
        <w:spacing w:after="0" w:line="240" w:lineRule="auto"/>
      </w:pPr>
      <w:r>
        <w:continuationSeparator/>
      </w:r>
    </w:p>
  </w:footnote>
  <w:footnote w:type="continuationNotice" w:id="1">
    <w:p w14:paraId="11C38E8A" w14:textId="77777777" w:rsidR="00F863D1" w:rsidRDefault="00F863D1">
      <w:pPr>
        <w:spacing w:after="0" w:line="240" w:lineRule="auto"/>
      </w:pPr>
    </w:p>
  </w:footnote>
  <w:footnote w:id="2">
    <w:p w14:paraId="0C00A2AB" w14:textId="3AB14675" w:rsidR="00265174" w:rsidRPr="00436F17" w:rsidRDefault="00265174" w:rsidP="00265174">
      <w:pPr>
        <w:pStyle w:val="FootnoteText"/>
        <w:spacing w:after="0"/>
        <w:ind w:left="0" w:firstLine="0"/>
      </w:pPr>
      <w:r>
        <w:rPr>
          <w:rStyle w:val="FootnoteReference"/>
        </w:rPr>
        <w:footnoteRef/>
      </w:r>
      <w:r>
        <w:t>Articolul 11 din TUE; articolul 15 alineatul (1) din TFUE.</w:t>
      </w:r>
    </w:p>
  </w:footnote>
  <w:footnote w:id="3">
    <w:p w14:paraId="0F6D2FEC" w14:textId="77777777" w:rsidR="00265174" w:rsidRPr="00C9558B" w:rsidRDefault="00265174" w:rsidP="00265174">
      <w:pPr>
        <w:pStyle w:val="FootnoteText"/>
        <w:tabs>
          <w:tab w:val="left" w:pos="0"/>
        </w:tabs>
        <w:spacing w:after="0"/>
        <w:ind w:left="0" w:firstLine="0"/>
      </w:pPr>
      <w:r>
        <w:rPr>
          <w:rStyle w:val="FootnoteReference"/>
        </w:rPr>
        <w:footnoteRef/>
      </w:r>
      <w:r>
        <w:t xml:space="preserve">A se vedea </w:t>
      </w:r>
      <w:hyperlink r:id="rId1" w:history="1">
        <w:r>
          <w:rPr>
            <w:rStyle w:val="Hyperlink1"/>
          </w:rPr>
          <w:t>Strategia privind Carta din 2020</w:t>
        </w:r>
      </w:hyperlink>
      <w:r>
        <w:t xml:space="preserve"> și </w:t>
      </w:r>
      <w:hyperlink r:id="rId2" w:history="1">
        <w:r>
          <w:rPr>
            <w:rStyle w:val="Hyperlink1"/>
          </w:rPr>
          <w:t>Raportul din 2022 privind Carta</w:t>
        </w:r>
      </w:hyperlink>
      <w:r>
        <w:t xml:space="preserve">, </w:t>
      </w:r>
      <w:hyperlink r:id="rId3" w:history="1">
        <w:r>
          <w:rPr>
            <w:rStyle w:val="Hyperlink1"/>
          </w:rPr>
          <w:t>Raportul Parlamentului European din 2022 privind restrângerea spațiului societății civile în Europa</w:t>
        </w:r>
      </w:hyperlink>
      <w:r>
        <w:t xml:space="preserve">; </w:t>
      </w:r>
      <w:hyperlink r:id="rId4" w:history="1">
        <w:r>
          <w:rPr>
            <w:rStyle w:val="Hyperlink1"/>
          </w:rPr>
          <w:t>Concluziile Consiliului privind aplicarea Cartei drepturilor fundamentale a UE</w:t>
        </w:r>
      </w:hyperlink>
      <w:r>
        <w:t>.</w:t>
      </w:r>
    </w:p>
  </w:footnote>
  <w:footnote w:id="4">
    <w:p w14:paraId="6AD4343E" w14:textId="77777777" w:rsidR="00265174" w:rsidRPr="004A4366" w:rsidRDefault="00265174" w:rsidP="00265174">
      <w:pPr>
        <w:pStyle w:val="FootnoteText"/>
        <w:spacing w:after="0"/>
        <w:ind w:left="0" w:firstLine="0"/>
      </w:pPr>
      <w:r>
        <w:rPr>
          <w:rStyle w:val="FootnoteReference"/>
        </w:rPr>
        <w:footnoteRef/>
      </w:r>
      <w:r>
        <w:t>Articolele 11 și 12 din cartă.</w:t>
      </w:r>
    </w:p>
  </w:footnote>
  <w:footnote w:id="5">
    <w:p w14:paraId="69E5219C" w14:textId="77777777" w:rsidR="00265174" w:rsidRPr="00810329" w:rsidRDefault="00265174" w:rsidP="00265174">
      <w:pPr>
        <w:pStyle w:val="FootnoteText"/>
        <w:tabs>
          <w:tab w:val="left" w:pos="90"/>
        </w:tabs>
        <w:spacing w:after="0"/>
        <w:ind w:left="0" w:firstLine="0"/>
      </w:pPr>
      <w:r>
        <w:rPr>
          <w:rStyle w:val="FootnoteReference"/>
        </w:rPr>
        <w:footnoteRef/>
      </w:r>
      <w:r>
        <w:t>Țările candidate și potențial candidate la aderarea la UE vor fi integrate în acțiunile relevante și asociate în mod similar statelor membre în cadrul strategiei. Strategia recunoaște spațiul civic din statele membre și din țările implicate în procesul de aderare ca fiind un spațiu comun neîntrerupt.</w:t>
      </w:r>
    </w:p>
  </w:footnote>
  <w:footnote w:id="6">
    <w:p w14:paraId="16475DE1" w14:textId="77777777" w:rsidR="00265174" w:rsidRPr="00436F17" w:rsidDel="00FF0C5A" w:rsidRDefault="00265174" w:rsidP="00265174">
      <w:pPr>
        <w:pStyle w:val="FootnoteText"/>
        <w:tabs>
          <w:tab w:val="left" w:pos="90"/>
        </w:tabs>
        <w:spacing w:after="0"/>
        <w:ind w:left="0" w:firstLine="0"/>
      </w:pPr>
      <w:r>
        <w:rPr>
          <w:rStyle w:val="FootnoteReference"/>
        </w:rPr>
        <w:footnoteRef/>
      </w:r>
      <w:r>
        <w:t xml:space="preserve">Aceste consultări au cuprins un sondaj de consultare publică; un sondaj Eurobarometru și reuniuni de consultare specifice cu OSC-urile, donatorii, organizațiile internaționale și instituțiile naționale din domeniul drepturilor omului. Comisia a consultat organizația de tineret a societății civile în cadrul verificării din perspectiva impactului asupra tinerilor efectuată de Comisie. </w:t>
      </w:r>
    </w:p>
  </w:footnote>
  <w:footnote w:id="7">
    <w:p w14:paraId="4AE92C0C" w14:textId="53F08041" w:rsidR="00265174" w:rsidRPr="00610327" w:rsidRDefault="00265174" w:rsidP="00265174">
      <w:pPr>
        <w:pStyle w:val="FootnoteText"/>
        <w:spacing w:after="0"/>
        <w:ind w:left="0" w:firstLine="0"/>
      </w:pPr>
      <w:r>
        <w:rPr>
          <w:rStyle w:val="FootnoteReference"/>
        </w:rPr>
        <w:footnoteRef/>
      </w:r>
      <w:r>
        <w:t xml:space="preserve">A se vedea </w:t>
      </w:r>
      <w:hyperlink r:id="rId5" w:history="1">
        <w:r>
          <w:rPr>
            <w:rStyle w:val="Hyperlink1"/>
          </w:rPr>
          <w:t>Recomandarea (UE) 2023/2836 a Comisiei</w:t>
        </w:r>
      </w:hyperlink>
      <w:r>
        <w:t xml:space="preserve"> referitoare la promovarea implicării și a participării efective a cetățenilor și a organizațiilor societății civile la procesele de elaborare a politicilor publice; </w:t>
      </w:r>
      <w:hyperlink r:id="rId6" w:history="1">
        <w:r>
          <w:rPr>
            <w:rStyle w:val="Hyperlink1"/>
          </w:rPr>
          <w:t>Orientări privind sprijinul acordat de UE societății civile în regiunea vizată de extindere în perioada 2021-2027</w:t>
        </w:r>
      </w:hyperlink>
      <w:r>
        <w:t xml:space="preserve"> și Comunicarea Comisiei intitulată </w:t>
      </w:r>
      <w:hyperlink r:id="rId7" w:history="1">
        <w:r>
          <w:rPr>
            <w:rStyle w:val="Hyperlink1"/>
          </w:rPr>
          <w:t>Rădăcinile democrației și ale dezvoltării durabile:</w:t>
        </w:r>
      </w:hyperlink>
      <w:hyperlink r:id="rId8" w:history="1">
        <w:r>
          <w:rPr>
            <w:rStyle w:val="Hyperlink1"/>
          </w:rPr>
          <w:t xml:space="preserve"> angajamentul Europei față de societatea civilă în ceea ce privește relațiile externe</w:t>
        </w:r>
      </w:hyperlink>
      <w:r>
        <w:t xml:space="preserve">. Noțiunea de „organizații ale societății civile” utilizată în prezenta strategie nu este o definiție obligatorie din punct de vedere juridic și se pot aplica cerințe specifice în temeiul dreptului Uniunii în ceea ce privește organizațiile menționate în prezenta comunicare, de exemplu în temeiul </w:t>
      </w:r>
      <w:hyperlink r:id="rId9" w:history="1">
        <w:r>
          <w:rPr>
            <w:rStyle w:val="Hyperlink"/>
          </w:rPr>
          <w:t>Regulamentului financiar</w:t>
        </w:r>
      </w:hyperlink>
      <w:r>
        <w:t xml:space="preserve"> al UE.</w:t>
      </w:r>
    </w:p>
  </w:footnote>
  <w:footnote w:id="8">
    <w:p w14:paraId="6E4BA1BF" w14:textId="77777777" w:rsidR="00265174" w:rsidRPr="00BD35D0" w:rsidRDefault="00265174" w:rsidP="00265174">
      <w:pPr>
        <w:pStyle w:val="FootnoteText"/>
        <w:tabs>
          <w:tab w:val="left" w:pos="90"/>
        </w:tabs>
        <w:spacing w:after="0"/>
        <w:ind w:left="0" w:firstLine="0"/>
      </w:pPr>
      <w:r>
        <w:rPr>
          <w:rStyle w:val="FootnoteReference"/>
        </w:rPr>
        <w:footnoteRef/>
      </w:r>
      <w:r>
        <w:t xml:space="preserve">Printre exemple se numără organizațiile care își desfășoară activitatea la nivelul comunităților, organizațiile religioase, organizațiile neguvernamentale, organizațiile caritabile, fundațiile, mișcările de tineret și sociale, precum și cooperativele. </w:t>
      </w:r>
    </w:p>
  </w:footnote>
  <w:footnote w:id="9">
    <w:p w14:paraId="668910F9" w14:textId="22FBB9F6" w:rsidR="00265174" w:rsidRPr="006E28DB" w:rsidRDefault="00265174" w:rsidP="00265174">
      <w:pPr>
        <w:pStyle w:val="FootnoteText"/>
        <w:spacing w:after="0"/>
        <w:ind w:left="0" w:firstLine="0"/>
      </w:pPr>
      <w:r>
        <w:rPr>
          <w:rStyle w:val="FootnoteReference"/>
        </w:rPr>
        <w:footnoteRef/>
      </w:r>
      <w:r>
        <w:t xml:space="preserve">În cadrul strategiei, termenul „OSC” se referă atât la organizațiile societății civile, cât și la apărătorii drepturilor omului, dar nu include persoanele sau grupurile care săvârșesc sau propagă acte de violență. A se vedea punctele 2 și 3 din </w:t>
      </w:r>
      <w:hyperlink r:id="rId10" w:history="1">
        <w:r>
          <w:rPr>
            <w:rStyle w:val="Hyperlink1"/>
          </w:rPr>
          <w:t>Orientările UE cu privire la apărătorii drepturilor omului</w:t>
        </w:r>
      </w:hyperlink>
      <w:r>
        <w:t xml:space="preserve"> și considerentul 11 din </w:t>
      </w:r>
      <w:hyperlink r:id="rId11" w:history="1">
        <w:r>
          <w:rPr>
            <w:rStyle w:val="Hyperlink"/>
          </w:rPr>
          <w:t>Directiva UE împotriva SLAPP</w:t>
        </w:r>
      </w:hyperlink>
      <w:r>
        <w:t>.</w:t>
      </w:r>
    </w:p>
  </w:footnote>
  <w:footnote w:id="10">
    <w:p w14:paraId="335D1293" w14:textId="77777777" w:rsidR="00265174" w:rsidRPr="00436F17" w:rsidRDefault="00265174" w:rsidP="00265174">
      <w:pPr>
        <w:pStyle w:val="FootnoteText"/>
        <w:tabs>
          <w:tab w:val="left" w:pos="90"/>
        </w:tabs>
        <w:spacing w:after="0"/>
        <w:ind w:left="0" w:firstLine="0"/>
      </w:pPr>
      <w:r>
        <w:rPr>
          <w:rStyle w:val="FootnoteReference"/>
        </w:rPr>
        <w:footnoteRef/>
      </w:r>
      <w:r>
        <w:t xml:space="preserve">A se vedea, de exemplu, </w:t>
      </w:r>
      <w:hyperlink r:id="rId12" w:history="1">
        <w:r>
          <w:rPr>
            <w:rStyle w:val="Hyperlink1"/>
          </w:rPr>
          <w:t>Raportul anual pe 2022 privind aplicarea Cartei drepturilor fundamentale a UE</w:t>
        </w:r>
      </w:hyperlink>
      <w:r>
        <w:t>.</w:t>
      </w:r>
    </w:p>
  </w:footnote>
  <w:footnote w:id="11">
    <w:p w14:paraId="280C0808" w14:textId="4A684F62" w:rsidR="00A97DA8" w:rsidRPr="00A97DA8" w:rsidRDefault="00A97DA8" w:rsidP="00F80B87">
      <w:pPr>
        <w:pStyle w:val="FootnoteText"/>
        <w:spacing w:after="0"/>
        <w:ind w:left="0" w:firstLine="0"/>
      </w:pPr>
      <w:r>
        <w:rPr>
          <w:rStyle w:val="FootnoteReference"/>
        </w:rPr>
        <w:footnoteRef/>
      </w:r>
      <w:hyperlink r:id="rId13" w:history="1">
        <w:r>
          <w:rPr>
            <w:rStyle w:val="Hyperlink"/>
          </w:rPr>
          <w:t>Comunicarea comună</w:t>
        </w:r>
      </w:hyperlink>
      <w:r>
        <w:t xml:space="preserve"> referitoare la Strategia europeană privind o Uniune a pregătirii</w:t>
      </w:r>
      <w:r>
        <w:rPr>
          <w:rStyle w:val="Hyperlink"/>
        </w:rPr>
        <w:t>.</w:t>
      </w:r>
    </w:p>
  </w:footnote>
  <w:footnote w:id="12">
    <w:p w14:paraId="149E5D62" w14:textId="77777777" w:rsidR="00265174" w:rsidRPr="00587421" w:rsidRDefault="00265174" w:rsidP="00265174">
      <w:pPr>
        <w:pStyle w:val="Text1"/>
        <w:tabs>
          <w:tab w:val="left" w:pos="90"/>
        </w:tabs>
        <w:ind w:left="0"/>
        <w:rPr>
          <w:sz w:val="20"/>
        </w:rPr>
      </w:pPr>
      <w:r>
        <w:rPr>
          <w:rStyle w:val="FootnoteReference"/>
          <w:sz w:val="20"/>
        </w:rPr>
        <w:footnoteRef/>
      </w:r>
      <w:r>
        <w:rPr>
          <w:sz w:val="20"/>
        </w:rPr>
        <w:t xml:space="preserve">Printre alte exemple se numără </w:t>
      </w:r>
      <w:hyperlink r:id="rId14" w:history="1">
        <w:r>
          <w:rPr>
            <w:rStyle w:val="Hyperlink1"/>
            <w:sz w:val="20"/>
          </w:rPr>
          <w:t>noul Bauhaus european</w:t>
        </w:r>
      </w:hyperlink>
      <w:r>
        <w:rPr>
          <w:sz w:val="20"/>
        </w:rPr>
        <w:t xml:space="preserve">; Comitetul consultativ pentru egalitatea de șanse între femei și bărbați; </w:t>
      </w:r>
      <w:hyperlink r:id="rId15" w:history="1">
        <w:r>
          <w:rPr>
            <w:rStyle w:val="Hyperlink1"/>
            <w:sz w:val="20"/>
          </w:rPr>
          <w:t>Grupul părților interesate din domeniul tineretului din UE</w:t>
        </w:r>
      </w:hyperlink>
      <w:r>
        <w:rPr>
          <w:sz w:val="20"/>
        </w:rPr>
        <w:t xml:space="preserve">; </w:t>
      </w:r>
      <w:hyperlink r:id="rId16" w:anchor="eu-civil-society-platform-and-eplatform-against-trafficking-in-human-beings" w:history="1">
        <w:r>
          <w:rPr>
            <w:rStyle w:val="Hyperlink1"/>
            <w:sz w:val="20"/>
          </w:rPr>
          <w:t>Platforma europeană a societății civile împotriva traficului de persoane</w:t>
        </w:r>
      </w:hyperlink>
      <w:r>
        <w:rPr>
          <w:sz w:val="20"/>
        </w:rPr>
        <w:t xml:space="preserve">; </w:t>
      </w:r>
      <w:hyperlink r:id="rId17" w:history="1">
        <w:r>
          <w:rPr>
            <w:rStyle w:val="Hyperlink1"/>
            <w:sz w:val="20"/>
          </w:rPr>
          <w:t>Grupul de experți privind opiniile migranților în domeniul migrației, azilului și integrării</w:t>
        </w:r>
      </w:hyperlink>
      <w:r>
        <w:rPr>
          <w:sz w:val="20"/>
        </w:rPr>
        <w:t xml:space="preserve">, </w:t>
      </w:r>
      <w:hyperlink r:id="rId18" w:history="1">
        <w:r>
          <w:rPr>
            <w:rStyle w:val="Hyperlink1"/>
            <w:sz w:val="20"/>
          </w:rPr>
          <w:t>Forumul societății civile în materie de droguri</w:t>
        </w:r>
      </w:hyperlink>
      <w:r>
        <w:rPr>
          <w:sz w:val="20"/>
        </w:rPr>
        <w:t xml:space="preserve">; </w:t>
      </w:r>
      <w:hyperlink r:id="rId19" w:history="1">
        <w:r>
          <w:rPr>
            <w:rStyle w:val="Hyperlink1"/>
            <w:sz w:val="20"/>
          </w:rPr>
          <w:t>Forumul UE-ONG-uri privind drepturile omului</w:t>
        </w:r>
      </w:hyperlink>
      <w:r>
        <w:rPr>
          <w:sz w:val="20"/>
        </w:rPr>
        <w:t xml:space="preserve">; </w:t>
      </w:r>
      <w:hyperlink r:id="rId20" w:history="1">
        <w:r>
          <w:rPr>
            <w:rStyle w:val="Hyperlink1"/>
            <w:sz w:val="20"/>
          </w:rPr>
          <w:t>Dialogul între societățile civile în materie comercială</w:t>
        </w:r>
      </w:hyperlink>
      <w:r>
        <w:rPr>
          <w:sz w:val="20"/>
        </w:rPr>
        <w:t xml:space="preserve">; </w:t>
      </w:r>
      <w:hyperlink r:id="rId21" w:history="1">
        <w:r>
          <w:rPr>
            <w:rStyle w:val="Hyperlink1"/>
            <w:sz w:val="20"/>
          </w:rPr>
          <w:t>Forumul societății civile împotriva rasismului</w:t>
        </w:r>
      </w:hyperlink>
      <w:r>
        <w:rPr>
          <w:sz w:val="20"/>
        </w:rPr>
        <w:t xml:space="preserve">; </w:t>
      </w:r>
      <w:hyperlink r:id="rId22" w:history="1">
        <w:r>
          <w:rPr>
            <w:rStyle w:val="Hyperlink1"/>
            <w:sz w:val="20"/>
          </w:rPr>
          <w:t>Platforma UE pentru drepturile victimelor</w:t>
        </w:r>
      </w:hyperlink>
      <w:r>
        <w:rPr>
          <w:sz w:val="20"/>
        </w:rPr>
        <w:t xml:space="preserve">; </w:t>
      </w:r>
      <w:hyperlink r:id="rId23" w:history="1">
        <w:r>
          <w:rPr>
            <w:rStyle w:val="Hyperlink1"/>
            <w:sz w:val="20"/>
          </w:rPr>
          <w:t>Platforma UE pentru incluziunea romilor</w:t>
        </w:r>
      </w:hyperlink>
      <w:r>
        <w:rPr>
          <w:sz w:val="20"/>
        </w:rPr>
        <w:t xml:space="preserve">; </w:t>
      </w:r>
      <w:hyperlink r:id="rId24" w:history="1">
        <w:r>
          <w:rPr>
            <w:rStyle w:val="Hyperlink1"/>
            <w:sz w:val="20"/>
          </w:rPr>
          <w:t>Grupul consultativ pentru politica de protecție a consumatorilor</w:t>
        </w:r>
      </w:hyperlink>
      <w:r>
        <w:rPr>
          <w:sz w:val="20"/>
        </w:rPr>
        <w:t xml:space="preserve">. </w:t>
      </w:r>
    </w:p>
  </w:footnote>
  <w:footnote w:id="13">
    <w:p w14:paraId="1A713320" w14:textId="354E3B37" w:rsidR="00265174" w:rsidRPr="00690893" w:rsidRDefault="00265174" w:rsidP="00265174">
      <w:pPr>
        <w:pStyle w:val="FootnoteText"/>
        <w:tabs>
          <w:tab w:val="left" w:pos="90"/>
        </w:tabs>
        <w:spacing w:after="0"/>
        <w:ind w:left="0" w:firstLine="0"/>
      </w:pPr>
      <w:r>
        <w:rPr>
          <w:rStyle w:val="FootnoteReference"/>
        </w:rPr>
        <w:footnoteRef/>
      </w:r>
      <w:r>
        <w:t xml:space="preserve">A se vedea datele recente, de exemplu </w:t>
      </w:r>
      <w:hyperlink r:id="rId25" w:history="1">
        <w:r>
          <w:rPr>
            <w:rStyle w:val="Hyperlink1"/>
          </w:rPr>
          <w:t>Agenția pentru Drepturi Fundamentale, Protejarea societății civile – actualizare 2023</w:t>
        </w:r>
      </w:hyperlink>
      <w:r>
        <w:t xml:space="preserve">; </w:t>
      </w:r>
      <w:hyperlink r:id="rId26" w:history="1">
        <w:r>
          <w:rPr>
            <w:rStyle w:val="Hyperlink1"/>
          </w:rPr>
          <w:t>Consultările FRA privind spațiul civic 2024 – principalele constatări</w:t>
        </w:r>
      </w:hyperlink>
      <w:r>
        <w:t xml:space="preserve">; </w:t>
      </w:r>
      <w:hyperlink r:id="rId27" w:history="1">
        <w:r>
          <w:rPr>
            <w:rStyle w:val="Hyperlink"/>
          </w:rPr>
          <w:t>Raport factual de sinteză</w:t>
        </w:r>
      </w:hyperlink>
      <w:r>
        <w:t xml:space="preserve"> privind consultările pentru Strategia UE privind societatea civilă (raport factual de sinteză).</w:t>
      </w:r>
    </w:p>
  </w:footnote>
  <w:footnote w:id="14">
    <w:p w14:paraId="03C300C9" w14:textId="77777777" w:rsidR="00265174" w:rsidRPr="00CC46E0" w:rsidRDefault="00265174" w:rsidP="00265174">
      <w:pPr>
        <w:pStyle w:val="FootnoteText"/>
        <w:spacing w:after="0"/>
        <w:ind w:left="0" w:firstLine="0"/>
      </w:pPr>
      <w:r>
        <w:rPr>
          <w:rStyle w:val="FootnoteReference"/>
        </w:rPr>
        <w:footnoteRef/>
      </w:r>
      <w:r>
        <w:t xml:space="preserve">Aceste principii ar trebui să ghideze mecanismele de dialog cu OSC-urile, recunoscând că există multe alte forme de implicare, cum ar fi inițiativele cetățenești europene, consultările publice, inovarea deschisă, știința cetățenească sau procesele deliberative reprezentative. </w:t>
      </w:r>
    </w:p>
  </w:footnote>
  <w:footnote w:id="15">
    <w:p w14:paraId="6B01CE4C" w14:textId="6A79A38A" w:rsidR="00265174" w:rsidRPr="00D42E4E" w:rsidRDefault="00265174" w:rsidP="00265174">
      <w:pPr>
        <w:pStyle w:val="FootnoteText"/>
        <w:spacing w:after="0"/>
        <w:ind w:left="0" w:firstLine="0"/>
      </w:pPr>
      <w:r>
        <w:rPr>
          <w:rStyle w:val="FootnoteReference"/>
        </w:rPr>
        <w:footnoteRef/>
      </w:r>
      <w:r>
        <w:t xml:space="preserve">A se vedea </w:t>
      </w:r>
      <w:hyperlink r:id="rId28" w:history="1">
        <w:r>
          <w:rPr>
            <w:rStyle w:val="Hyperlink1"/>
          </w:rPr>
          <w:t>orientările</w:t>
        </w:r>
      </w:hyperlink>
      <w:r>
        <w:t xml:space="preserve"> publicate de Comisie.</w:t>
      </w:r>
    </w:p>
  </w:footnote>
  <w:footnote w:id="16">
    <w:p w14:paraId="3F542B0D" w14:textId="2EA1D5F5" w:rsidR="00265174" w:rsidRPr="008379BC" w:rsidRDefault="00265174" w:rsidP="00265174">
      <w:pPr>
        <w:pStyle w:val="FootnoteText"/>
        <w:tabs>
          <w:tab w:val="left" w:pos="90"/>
        </w:tabs>
        <w:spacing w:after="0"/>
        <w:ind w:left="0" w:firstLine="0"/>
      </w:pPr>
      <w:r>
        <w:rPr>
          <w:rStyle w:val="FootnoteReference"/>
        </w:rPr>
        <w:footnoteRef/>
      </w:r>
      <w:hyperlink r:id="rId29" w:history="1">
        <w:r>
          <w:rPr>
            <w:rStyle w:val="Hyperlink"/>
          </w:rPr>
          <w:t>Raport factual de sinteză</w:t>
        </w:r>
      </w:hyperlink>
      <w:r>
        <w:t xml:space="preserve">; Recomandarea (UE) 2023/2836 a Comisiei; Avizul CESE SOC/840-EESC-2025; </w:t>
      </w:r>
      <w:hyperlink r:id="rId30" w:history="1">
        <w:r>
          <w:rPr>
            <w:rStyle w:val="Hyperlink1"/>
          </w:rPr>
          <w:t>Foaia de parcurs a secretarului general al Consiliului Europei</w:t>
        </w:r>
      </w:hyperlink>
      <w:r>
        <w:t xml:space="preserve"> privind angajamentul Consiliului Europei față de societatea civilă 2024-2027, SG/Inf(2023 28; Conferința ONG-urilor internaționale organizată de Consiliul Europei, </w:t>
      </w:r>
      <w:hyperlink r:id="rId31" w:history="1">
        <w:r>
          <w:rPr>
            <w:rStyle w:val="Hyperlink1"/>
          </w:rPr>
          <w:t>Codul de bune practici</w:t>
        </w:r>
      </w:hyperlink>
      <w:r>
        <w:t xml:space="preserve"> privind participarea civilă la procesul de luare a deciziilor; </w:t>
      </w:r>
      <w:hyperlink r:id="rId32" w:history="1">
        <w:r>
          <w:rPr>
            <w:rStyle w:val="Hyperlink1"/>
          </w:rPr>
          <w:t>Standarde privind participarea și cocrearea parteneriatului pentru o guvernare deschisă</w:t>
        </w:r>
      </w:hyperlink>
      <w:r>
        <w:t xml:space="preserve">; </w:t>
      </w:r>
      <w:hyperlink r:id="rId33" w:history="1">
        <w:r>
          <w:rPr>
            <w:rStyle w:val="Hyperlink1"/>
          </w:rPr>
          <w:t>Documentul de lucru al OCDE privind guvernanța publică nr. 81</w:t>
        </w:r>
      </w:hyperlink>
      <w:r>
        <w:t xml:space="preserve">. </w:t>
      </w:r>
    </w:p>
  </w:footnote>
  <w:footnote w:id="17">
    <w:p w14:paraId="1B046BDD" w14:textId="77777777" w:rsidR="00265174" w:rsidRPr="00D42E4E" w:rsidRDefault="00265174" w:rsidP="00265174">
      <w:pPr>
        <w:pStyle w:val="FootnoteText"/>
        <w:tabs>
          <w:tab w:val="left" w:pos="90"/>
        </w:tabs>
        <w:spacing w:after="0"/>
        <w:ind w:left="0" w:firstLine="0"/>
      </w:pPr>
      <w:r>
        <w:rPr>
          <w:rStyle w:val="FootnoteReference"/>
        </w:rPr>
        <w:footnoteRef/>
      </w:r>
      <w:r>
        <w:t>De exemplu, în Cehia, Danemarca, Germania, Irlanda, Franța, Portugalia, Letonia și Finlanda, au fost înființate mai multe organisme consultative care includ OSC-uri pentru a consilia guvernul în diferite domenii (de exemplu, drepturile copiilor, drepturile persoanelor în vârstă, minoritățile naționale și egalitatea persoanelor LGBTIQ+).</w:t>
      </w:r>
    </w:p>
  </w:footnote>
  <w:footnote w:id="18">
    <w:p w14:paraId="13AAC478" w14:textId="77777777" w:rsidR="00265174" w:rsidRPr="00D42E4E" w:rsidRDefault="00265174" w:rsidP="00265174">
      <w:pPr>
        <w:pStyle w:val="FootnoteText"/>
        <w:tabs>
          <w:tab w:val="left" w:pos="270"/>
        </w:tabs>
        <w:spacing w:after="0"/>
        <w:ind w:left="0" w:firstLine="0"/>
      </w:pPr>
      <w:r>
        <w:rPr>
          <w:rStyle w:val="FootnoteReference"/>
        </w:rPr>
        <w:footnoteRef/>
      </w:r>
      <w:r>
        <w:t>Spațiul civic se referă la „mediul care permite oamenilor și grupurilor – sau «actorilor din spațiul civic» – să participe în mod semnificativ la viața politică, economică, socială și culturală din societățile lor”</w:t>
      </w:r>
      <w:r>
        <w:rPr>
          <w:vertAlign w:val="superscript"/>
        </w:rPr>
        <w:t xml:space="preserve"> </w:t>
      </w:r>
      <w:r>
        <w:t>(</w:t>
      </w:r>
      <w:hyperlink r:id="rId34" w:history="1">
        <w:r>
          <w:rPr>
            <w:rStyle w:val="Hyperlink1"/>
          </w:rPr>
          <w:t>Nota de orientare a ONU privind protejarea și promovarea spațiului civic</w:t>
        </w:r>
      </w:hyperlink>
      <w:r>
        <w:t xml:space="preserve">) sau la „ansamblul de condiții legale, politice, instituționale și practice necesare pentru ca actorii neguvernamentali să acceseze informații, să se exprime, să se asocieze, să se organizeze și să participe la viața publică” (OCDE, </w:t>
      </w:r>
      <w:hyperlink r:id="rId35" w:history="1">
        <w:r>
          <w:rPr>
            <w:rStyle w:val="Hyperlink1"/>
          </w:rPr>
          <w:t>Protejarea și promovarea spațiului civic</w:t>
        </w:r>
      </w:hyperlink>
      <w:r>
        <w:t>).</w:t>
      </w:r>
    </w:p>
  </w:footnote>
  <w:footnote w:id="19">
    <w:p w14:paraId="193FF880" w14:textId="77777777" w:rsidR="00265174" w:rsidRPr="00D42E4E" w:rsidRDefault="00265174" w:rsidP="00265174">
      <w:pPr>
        <w:pStyle w:val="FootnoteText"/>
        <w:spacing w:after="0"/>
        <w:ind w:left="0" w:firstLine="0"/>
      </w:pPr>
      <w:r>
        <w:rPr>
          <w:rStyle w:val="FootnoteReference"/>
        </w:rPr>
        <w:footnoteRef/>
      </w:r>
      <w:r>
        <w:t xml:space="preserve">A se vedea </w:t>
      </w:r>
      <w:hyperlink r:id="rId36" w:history="1">
        <w:r>
          <w:rPr>
            <w:rStyle w:val="Hyperlink1"/>
          </w:rPr>
          <w:t>Strategia din 2020 pentru consolidarea aplicării Cartei drepturilor fundamentale în UE</w:t>
        </w:r>
      </w:hyperlink>
      <w:r>
        <w:t xml:space="preserve">, </w:t>
      </w:r>
      <w:hyperlink r:id="rId37" w:history="1">
        <w:r>
          <w:rPr>
            <w:rStyle w:val="Hyperlink1"/>
          </w:rPr>
          <w:t>Planul de acțiune pentru democrația europeană din 2020</w:t>
        </w:r>
      </w:hyperlink>
      <w:r>
        <w:t xml:space="preserve"> și exemple specifice, cum ar fi </w:t>
      </w:r>
      <w:hyperlink r:id="rId38" w:history="1">
        <w:r>
          <w:rPr>
            <w:rStyle w:val="Hyperlink1"/>
          </w:rPr>
          <w:t>strategiile privind o Uniune a egalității</w:t>
        </w:r>
      </w:hyperlink>
      <w:r>
        <w:t xml:space="preserve">; </w:t>
      </w:r>
      <w:hyperlink r:id="rId39" w:history="1">
        <w:r>
          <w:rPr>
            <w:rStyle w:val="Hyperlink1"/>
          </w:rPr>
          <w:t>noul Bauhaus european</w:t>
        </w:r>
      </w:hyperlink>
      <w:r>
        <w:t xml:space="preserve"> și </w:t>
      </w:r>
      <w:hyperlink r:id="rId40" w:history="1">
        <w:r>
          <w:rPr>
            <w:rStyle w:val="Hyperlink1"/>
          </w:rPr>
          <w:t>Agenda privind consumatorii 2025-2030</w:t>
        </w:r>
      </w:hyperlink>
      <w:r>
        <w:t>.</w:t>
      </w:r>
    </w:p>
  </w:footnote>
  <w:footnote w:id="20">
    <w:p w14:paraId="462D1639" w14:textId="77777777" w:rsidR="00265174" w:rsidRPr="00D42E4E" w:rsidRDefault="00265174" w:rsidP="00265174">
      <w:pPr>
        <w:pStyle w:val="FootnoteText"/>
        <w:spacing w:after="0"/>
        <w:ind w:left="0" w:firstLine="0"/>
      </w:pPr>
      <w:r>
        <w:rPr>
          <w:rStyle w:val="FootnoteReference"/>
        </w:rPr>
        <w:footnoteRef/>
      </w:r>
      <w:hyperlink r:id="rId41" w:history="1">
        <w:r>
          <w:rPr>
            <w:rStyle w:val="Hyperlink1"/>
          </w:rPr>
          <w:t>Concluziile Consiliului privind aplicarea Cartei drepturilor fundamentale a UE</w:t>
        </w:r>
      </w:hyperlink>
      <w:r>
        <w:t>.</w:t>
      </w:r>
    </w:p>
  </w:footnote>
  <w:footnote w:id="21">
    <w:p w14:paraId="4ABA6CBC" w14:textId="77777777" w:rsidR="00265174" w:rsidRPr="00D42E4E" w:rsidRDefault="00265174" w:rsidP="00265174">
      <w:pPr>
        <w:pStyle w:val="FootnoteText"/>
        <w:spacing w:after="0"/>
        <w:ind w:left="0" w:firstLine="0"/>
      </w:pPr>
      <w:r>
        <w:rPr>
          <w:rStyle w:val="FootnoteReference"/>
        </w:rPr>
        <w:footnoteRef/>
      </w:r>
      <w:r>
        <w:t xml:space="preserve">A se vedea articolul 21 alineatul (3) și considerentul 53 din </w:t>
      </w:r>
      <w:hyperlink r:id="rId42" w:history="1">
        <w:r>
          <w:rPr>
            <w:rStyle w:val="Hyperlink1"/>
          </w:rPr>
          <w:t>Regulamentul (UE) 2024/1624</w:t>
        </w:r>
      </w:hyperlink>
      <w:r>
        <w:t>.</w:t>
      </w:r>
    </w:p>
  </w:footnote>
  <w:footnote w:id="22">
    <w:p w14:paraId="6CEA54F1" w14:textId="7D8AD4F5" w:rsidR="00265174" w:rsidRPr="00D42E4E" w:rsidRDefault="00265174" w:rsidP="00265174">
      <w:pPr>
        <w:pStyle w:val="FootnoteText"/>
        <w:tabs>
          <w:tab w:val="left" w:pos="90"/>
        </w:tabs>
        <w:spacing w:after="0"/>
        <w:ind w:left="0" w:firstLine="0"/>
      </w:pPr>
      <w:r>
        <w:rPr>
          <w:rStyle w:val="FootnoteReference"/>
        </w:rPr>
        <w:footnoteRef/>
      </w:r>
      <w:hyperlink r:id="rId43" w:history="1">
        <w:r>
          <w:rPr>
            <w:rStyle w:val="Hyperlink1"/>
          </w:rPr>
          <w:t>Consultările FRA privind spațiul civic 2024 – principalele constatări</w:t>
        </w:r>
      </w:hyperlink>
      <w:r>
        <w:t xml:space="preserve">; </w:t>
      </w:r>
      <w:hyperlink r:id="rId44" w:history="1">
        <w:r>
          <w:rPr>
            <w:rStyle w:val="Hyperlink"/>
          </w:rPr>
          <w:t>Raport factual de sinteză</w:t>
        </w:r>
      </w:hyperlink>
      <w:r>
        <w:t>.</w:t>
      </w:r>
    </w:p>
  </w:footnote>
  <w:footnote w:id="23">
    <w:p w14:paraId="74C989EC" w14:textId="77777777" w:rsidR="00265174" w:rsidRPr="003136DE" w:rsidRDefault="00265174" w:rsidP="00265174">
      <w:pPr>
        <w:pStyle w:val="FootnoteText"/>
        <w:spacing w:after="0"/>
        <w:ind w:left="0" w:firstLine="0"/>
      </w:pPr>
      <w:r>
        <w:rPr>
          <w:rStyle w:val="FootnoteReference"/>
        </w:rPr>
        <w:footnoteRef/>
      </w:r>
      <w:r>
        <w:t xml:space="preserve">Termenul „represiune transnațională” se referă la un tip de represiune politică desfășurată de un stat în afara frontierelor sale; a se vedea, de exemplu, </w:t>
      </w:r>
      <w:hyperlink r:id="rId45" w:history="1">
        <w:r>
          <w:rPr>
            <w:rStyle w:val="Hyperlink1"/>
          </w:rPr>
          <w:t>nota Oficiului Înaltului Comisar al Națiunilor Unite pentru Drepturile Omului privind represiunea transnațională</w:t>
        </w:r>
      </w:hyperlink>
      <w:r>
        <w:t xml:space="preserve">. </w:t>
      </w:r>
    </w:p>
  </w:footnote>
  <w:footnote w:id="24">
    <w:p w14:paraId="72BD23FC" w14:textId="77777777" w:rsidR="00265174" w:rsidRPr="003136DE" w:rsidRDefault="00265174" w:rsidP="00265174">
      <w:pPr>
        <w:pStyle w:val="FootnoteText"/>
        <w:spacing w:after="0"/>
        <w:ind w:left="0" w:firstLine="0"/>
      </w:pPr>
      <w:r>
        <w:rPr>
          <w:rStyle w:val="FootnoteReference"/>
        </w:rPr>
        <w:footnoteRef/>
      </w:r>
      <w:r>
        <w:t xml:space="preserve">A se vedea, de exemplu, </w:t>
      </w:r>
      <w:hyperlink r:id="rId46" w:history="1">
        <w:r>
          <w:rPr>
            <w:rStyle w:val="Hyperlink1"/>
          </w:rPr>
          <w:t>Manualul Codului de vize</w:t>
        </w:r>
      </w:hyperlink>
      <w:r>
        <w:t xml:space="preserve"> al UE, care oferă orientări specifice pentru sprijinirea apărătorilor drepturilor omului.</w:t>
      </w:r>
    </w:p>
  </w:footnote>
  <w:footnote w:id="25">
    <w:p w14:paraId="5D1A611F" w14:textId="77777777" w:rsidR="00265174" w:rsidRPr="003136DE" w:rsidRDefault="00265174" w:rsidP="00265174">
      <w:pPr>
        <w:pStyle w:val="FootnoteText"/>
        <w:spacing w:after="0"/>
        <w:ind w:left="0" w:firstLine="0"/>
      </w:pPr>
      <w:r>
        <w:rPr>
          <w:rStyle w:val="FootnoteReference"/>
        </w:rPr>
        <w:footnoteRef/>
      </w:r>
      <w:r>
        <w:t xml:space="preserve">A se vedea, de exemplu, </w:t>
      </w:r>
      <w:hyperlink r:id="rId47" w:history="1">
        <w:r>
          <w:rPr>
            <w:rStyle w:val="Hyperlink1"/>
          </w:rPr>
          <w:t>Rezoluția 2021/2103(INI)</w:t>
        </w:r>
      </w:hyperlink>
      <w:r>
        <w:t xml:space="preserve"> a Parlamentului European, </w:t>
      </w:r>
      <w:hyperlink r:id="rId48" w:anchor="read-online" w:history="1">
        <w:r>
          <w:rPr>
            <w:rStyle w:val="Hyperlink1"/>
          </w:rPr>
          <w:t>FRA, Protejarea societății civile – actualizare 2023</w:t>
        </w:r>
      </w:hyperlink>
      <w:r>
        <w:t>.</w:t>
      </w:r>
    </w:p>
  </w:footnote>
  <w:footnote w:id="26">
    <w:p w14:paraId="580CD5BA" w14:textId="77777777" w:rsidR="00265174" w:rsidRPr="00D42E4E" w:rsidRDefault="00265174" w:rsidP="00265174">
      <w:pPr>
        <w:pStyle w:val="FootnoteText"/>
        <w:tabs>
          <w:tab w:val="left" w:pos="90"/>
        </w:tabs>
        <w:spacing w:after="0"/>
        <w:ind w:left="0" w:firstLine="0"/>
      </w:pPr>
      <w:r>
        <w:rPr>
          <w:rStyle w:val="FootnoteReference"/>
        </w:rPr>
        <w:footnoteRef/>
      </w:r>
      <w:r>
        <w:t xml:space="preserve">A se vedea </w:t>
      </w:r>
      <w:hyperlink r:id="rId49" w:history="1">
        <w:r>
          <w:rPr>
            <w:rStyle w:val="Hyperlink1"/>
          </w:rPr>
          <w:t>pachetul de extindere a UE</w:t>
        </w:r>
      </w:hyperlink>
      <w:r>
        <w:t xml:space="preserve">, care vizează Albania, Bosnia și Herțegovina, Kosovo, Muntenegru, Macedonia de Nord, Serbia, Georgia, Republica Moldova, Ucraina și Turcia. </w:t>
      </w:r>
    </w:p>
  </w:footnote>
  <w:footnote w:id="27">
    <w:p w14:paraId="7F7016E2" w14:textId="77777777" w:rsidR="00265174" w:rsidRPr="00265174" w:rsidRDefault="00265174" w:rsidP="00AE6B23">
      <w:pPr>
        <w:tabs>
          <w:tab w:val="left" w:pos="90"/>
        </w:tabs>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sidRPr="00AE6B23">
        <w:rPr>
          <w:rFonts w:ascii="Times New Roman" w:hAnsi="Times New Roman" w:cs="Times New Roman"/>
          <w:sz w:val="20"/>
          <w:szCs w:val="20"/>
        </w:rPr>
        <w:t xml:space="preserve">A se vedea, de exemplu: proiectul </w:t>
      </w:r>
      <w:hyperlink r:id="rId50" w:history="1">
        <w:r w:rsidRPr="00AE6B23">
          <w:rPr>
            <w:rStyle w:val="Hyperlink1"/>
            <w:rFonts w:ascii="Times New Roman" w:hAnsi="Times New Roman" w:cs="Times New Roman"/>
            <w:sz w:val="20"/>
            <w:szCs w:val="20"/>
          </w:rPr>
          <w:t>Acțiuni de monitorizare pentru spațiul civic</w:t>
        </w:r>
      </w:hyperlink>
      <w:r w:rsidRPr="00AE6B23">
        <w:rPr>
          <w:rFonts w:ascii="Times New Roman" w:hAnsi="Times New Roman" w:cs="Times New Roman"/>
          <w:sz w:val="20"/>
          <w:szCs w:val="20"/>
        </w:rPr>
        <w:t xml:space="preserve"> (</w:t>
      </w:r>
      <w:r w:rsidRPr="00AE6B23">
        <w:rPr>
          <w:rFonts w:ascii="Times New Roman" w:hAnsi="Times New Roman" w:cs="Times New Roman"/>
          <w:i/>
          <w:iCs/>
          <w:sz w:val="20"/>
          <w:szCs w:val="20"/>
        </w:rPr>
        <w:t>Monitoring Action for Civic Space</w:t>
      </w:r>
      <w:r w:rsidRPr="00AE6B23">
        <w:rPr>
          <w:rFonts w:ascii="Times New Roman" w:hAnsi="Times New Roman" w:cs="Times New Roman"/>
          <w:sz w:val="20"/>
          <w:szCs w:val="20"/>
        </w:rPr>
        <w:t xml:space="preserve"> – MACS); </w:t>
      </w:r>
      <w:hyperlink r:id="rId51" w:history="1">
        <w:hyperlink r:id="rId52" w:history="1">
          <w:r w:rsidRPr="00AE6B23">
            <w:rPr>
              <w:rStyle w:val="Hyperlink1"/>
              <w:rFonts w:ascii="Times New Roman" w:hAnsi="Times New Roman" w:cs="Times New Roman"/>
              <w:sz w:val="20"/>
              <w:szCs w:val="20"/>
            </w:rPr>
            <w:t>raportul anual privind situația actuală în ceea ce privește Orientările privind sprijinul acordat de UE societății civile</w:t>
          </w:r>
        </w:hyperlink>
        <w:r w:rsidRPr="00AE6B23">
          <w:rPr>
            <w:rStyle w:val="Hyperlink1"/>
            <w:rFonts w:ascii="Times New Roman" w:hAnsi="Times New Roman" w:cs="Times New Roman"/>
            <w:sz w:val="20"/>
            <w:szCs w:val="20"/>
          </w:rPr>
          <w:t xml:space="preserve"> în regiunea vizată de extindere</w:t>
        </w:r>
      </w:hyperlink>
      <w:r w:rsidRPr="00AE6B23">
        <w:rPr>
          <w:rFonts w:ascii="Times New Roman" w:hAnsi="Times New Roman" w:cs="Times New Roman"/>
          <w:sz w:val="20"/>
          <w:szCs w:val="20"/>
        </w:rPr>
        <w:t xml:space="preserve">; </w:t>
      </w:r>
      <w:hyperlink r:id="rId53" w:history="1">
        <w:r w:rsidRPr="00AE6B23">
          <w:rPr>
            <w:rStyle w:val="Hyperlink1"/>
            <w:rFonts w:ascii="Times New Roman" w:hAnsi="Times New Roman" w:cs="Times New Roman"/>
            <w:i/>
            <w:iCs/>
            <w:sz w:val="20"/>
            <w:szCs w:val="20"/>
          </w:rPr>
          <w:t>CSO Meter</w:t>
        </w:r>
      </w:hyperlink>
      <w:r w:rsidRPr="00AE6B23">
        <w:rPr>
          <w:rFonts w:ascii="Times New Roman" w:hAnsi="Times New Roman" w:cs="Times New Roman"/>
          <w:sz w:val="20"/>
          <w:szCs w:val="20"/>
        </w:rPr>
        <w:t xml:space="preserve"> (Monitorizarea OSC-urilor) și </w:t>
      </w:r>
      <w:hyperlink r:id="rId54" w:history="1">
        <w:r w:rsidRPr="00AE6B23">
          <w:rPr>
            <w:rStyle w:val="Hyperlink1"/>
            <w:rFonts w:ascii="Times New Roman" w:hAnsi="Times New Roman" w:cs="Times New Roman"/>
            <w:sz w:val="20"/>
            <w:szCs w:val="20"/>
          </w:rPr>
          <w:t>Sistemul UE pentru un mediu favorabil societății civile</w:t>
        </w:r>
      </w:hyperlink>
      <w:r w:rsidRPr="00AE6B23">
        <w:rPr>
          <w:rFonts w:ascii="Times New Roman" w:hAnsi="Times New Roman" w:cs="Times New Roman"/>
          <w:sz w:val="20"/>
          <w:szCs w:val="20"/>
        </w:rPr>
        <w:t>.</w:t>
      </w:r>
    </w:p>
  </w:footnote>
  <w:footnote w:id="28">
    <w:p w14:paraId="0A2AE5E6" w14:textId="77777777" w:rsidR="00265174" w:rsidRPr="00D42E4E" w:rsidRDefault="00265174" w:rsidP="00265174">
      <w:pPr>
        <w:pStyle w:val="FootnoteText"/>
        <w:tabs>
          <w:tab w:val="left" w:pos="90"/>
        </w:tabs>
        <w:spacing w:after="0"/>
        <w:ind w:left="0" w:firstLine="0"/>
      </w:pPr>
      <w:r>
        <w:rPr>
          <w:rStyle w:val="FootnoteReference"/>
        </w:rPr>
        <w:footnoteRef/>
      </w:r>
      <w:r>
        <w:t xml:space="preserve">A se vedea, de exemplu, </w:t>
      </w:r>
      <w:hyperlink r:id="rId55" w:history="1">
        <w:r>
          <w:rPr>
            <w:rStyle w:val="Hyperlink1"/>
          </w:rPr>
          <w:t>baza de date privind statul de drept în Europa</w:t>
        </w:r>
      </w:hyperlink>
      <w:r>
        <w:t xml:space="preserve">, gestionată de Rețeaua europeană a instituțiilor naționale pentru drepturile omului; monitorizarea globală efectuată de </w:t>
      </w:r>
      <w:hyperlink r:id="rId56" w:history="1">
        <w:r>
          <w:rPr>
            <w:rStyle w:val="Hyperlink1"/>
          </w:rPr>
          <w:t>Civicus</w:t>
        </w:r>
      </w:hyperlink>
      <w:r>
        <w:t xml:space="preserve">; </w:t>
      </w:r>
      <w:hyperlink r:id="rId57" w:history="1">
        <w:r>
          <w:rPr>
            <w:rStyle w:val="Hyperlink1"/>
          </w:rPr>
          <w:t>raportul din 2024 al Oficiului Înaltului Comisar al Națiunilor Unite pentru Drepturile Omului privind spațiul societății civile</w:t>
        </w:r>
      </w:hyperlink>
      <w:r>
        <w:t xml:space="preserve">; </w:t>
      </w:r>
      <w:hyperlink r:id="rId58" w:history="1">
        <w:r>
          <w:rPr>
            <w:rStyle w:val="Hyperlink1"/>
          </w:rPr>
          <w:t>mecanismul independent de raportare</w:t>
        </w:r>
      </w:hyperlink>
      <w:r>
        <w:t xml:space="preserve"> al Parteneriatului pentru o guvernare deschisă și </w:t>
      </w:r>
      <w:hyperlink r:id="rId59" w:history="1">
        <w:r>
          <w:rPr>
            <w:rStyle w:val="Hyperlink1"/>
          </w:rPr>
          <w:t>Platforma Consiliului Europei pentru siguranța jurnaliștilor</w:t>
        </w:r>
      </w:hyperlink>
      <w:r>
        <w:t>.</w:t>
      </w:r>
    </w:p>
  </w:footnote>
  <w:footnote w:id="29">
    <w:p w14:paraId="2AC25D88" w14:textId="77777777" w:rsidR="00265174" w:rsidRPr="00D42E4E" w:rsidRDefault="00265174" w:rsidP="00265174">
      <w:pPr>
        <w:pStyle w:val="FootnoteText"/>
        <w:tabs>
          <w:tab w:val="left" w:pos="90"/>
        </w:tabs>
        <w:spacing w:after="0"/>
        <w:ind w:left="0" w:firstLine="0"/>
      </w:pPr>
      <w:r>
        <w:rPr>
          <w:rStyle w:val="FootnoteReference"/>
        </w:rPr>
        <w:footnoteRef/>
      </w:r>
      <w:r>
        <w:t xml:space="preserve">A se vedea, de exemplu, </w:t>
      </w:r>
      <w:hyperlink r:id="rId60" w:history="1">
        <w:r>
          <w:rPr>
            <w:rStyle w:val="Hyperlink1"/>
          </w:rPr>
          <w:t>Strategia</w:t>
        </w:r>
      </w:hyperlink>
      <w:r>
        <w:t xml:space="preserve"> națională a Cehiei pentru cooperare între administrația publică și organizațiile nonprofit 2021-2030 și Consiliul său guvernamental pentru organizațiile neguvernamentale nonprofit; </w:t>
      </w:r>
      <w:hyperlink r:id="rId61" w:history="1">
        <w:r>
          <w:rPr>
            <w:rStyle w:val="Hyperlink1"/>
          </w:rPr>
          <w:t>Strategia</w:t>
        </w:r>
      </w:hyperlink>
      <w:r>
        <w:t xml:space="preserve"> federală de implicare civică a Germaniei și Fundația sa pentru implicare civică și activități de voluntariat; </w:t>
      </w:r>
      <w:hyperlink r:id="rId62" w:history="1">
        <w:r>
          <w:rPr>
            <w:rStyle w:val="Hyperlink1"/>
          </w:rPr>
          <w:t>Strategia</w:t>
        </w:r>
      </w:hyperlink>
      <w:r>
        <w:t xml:space="preserve"> Danemarcei privind societatea civilă pentru perioada 2022-2025; </w:t>
      </w:r>
      <w:hyperlink r:id="rId63" w:history="1">
        <w:r>
          <w:rPr>
            <w:rStyle w:val="Hyperlink1"/>
          </w:rPr>
          <w:t>Strategia</w:t>
        </w:r>
      </w:hyperlink>
      <w:r>
        <w:t xml:space="preserve"> Finlandei privind societatea civilă și </w:t>
      </w:r>
      <w:hyperlink r:id="rId64" w:history="1">
        <w:r>
          <w:rPr>
            <w:rStyle w:val="Hyperlink1"/>
          </w:rPr>
          <w:t>Consiliul</w:t>
        </w:r>
      </w:hyperlink>
      <w:r>
        <w:t xml:space="preserve"> consultativ pentru politica societății civile și Platforma organizațiilor societății civile/Serviciul pentru cetățeni din Portugalia.</w:t>
      </w:r>
    </w:p>
  </w:footnote>
  <w:footnote w:id="30">
    <w:p w14:paraId="7D8AEDFD" w14:textId="77777777" w:rsidR="00265174" w:rsidRPr="00D42E4E" w:rsidRDefault="00265174" w:rsidP="00265174">
      <w:pPr>
        <w:pStyle w:val="FootnoteText"/>
        <w:tabs>
          <w:tab w:val="left" w:pos="90"/>
        </w:tabs>
        <w:spacing w:after="0"/>
        <w:ind w:left="0" w:firstLine="0"/>
      </w:pPr>
      <w:r>
        <w:rPr>
          <w:rStyle w:val="FootnoteReference"/>
        </w:rPr>
        <w:footnoteRef/>
      </w:r>
      <w:r>
        <w:t xml:space="preserve">A se vedea, de exemplu, proiectele Germaniei finanțate la nivel federal REspect! și Hate Aid; alianțe de cooperare; </w:t>
      </w:r>
      <w:hyperlink r:id="rId65" w:history="1">
        <w:r>
          <w:rPr>
            <w:rStyle w:val="Hyperlink1"/>
          </w:rPr>
          <w:t>„</w:t>
        </w:r>
        <w:r>
          <w:rPr>
            <w:rStyle w:val="Hyperlink1"/>
            <w:i/>
            <w:iCs/>
          </w:rPr>
          <w:t>toneshift – Network against Online Hate and Disinformation</w:t>
        </w:r>
        <w:r>
          <w:rPr>
            <w:rStyle w:val="Hyperlink1"/>
          </w:rPr>
          <w:t>”</w:t>
        </w:r>
      </w:hyperlink>
      <w:r>
        <w:t xml:space="preserve"> (schimbare de ton la nivelul infrastructurii federale – Rețeaua de combatere a discriminării și urii în mediul online).</w:t>
      </w:r>
    </w:p>
  </w:footnote>
  <w:footnote w:id="31">
    <w:p w14:paraId="55D8FCF8" w14:textId="77777777" w:rsidR="00265174" w:rsidRPr="00D42E4E" w:rsidRDefault="00265174" w:rsidP="00265174">
      <w:pPr>
        <w:pStyle w:val="FootnoteText"/>
        <w:spacing w:after="0"/>
        <w:ind w:left="0" w:firstLine="0"/>
      </w:pPr>
      <w:r>
        <w:rPr>
          <w:rStyle w:val="FootnoteReference"/>
        </w:rPr>
        <w:footnoteRef/>
      </w:r>
      <w:r>
        <w:t>Italia, Lituania, Ungaria, Portugalia, România, Slovenia și Republica Slovacă operează astfel de sisteme.</w:t>
      </w:r>
    </w:p>
  </w:footnote>
  <w:footnote w:id="32">
    <w:p w14:paraId="006D8BE4" w14:textId="77777777" w:rsidR="00265174" w:rsidRPr="002C6120" w:rsidRDefault="00265174" w:rsidP="00265174">
      <w:pPr>
        <w:pStyle w:val="FootnoteText"/>
        <w:tabs>
          <w:tab w:val="left" w:pos="90"/>
        </w:tabs>
        <w:spacing w:after="0"/>
        <w:ind w:left="0" w:firstLine="0"/>
        <w:rPr>
          <w:b/>
          <w:bCs/>
        </w:rPr>
      </w:pPr>
      <w:r>
        <w:rPr>
          <w:rStyle w:val="FootnoteReference"/>
        </w:rPr>
        <w:footnoteRef/>
      </w:r>
      <w:r>
        <w:t xml:space="preserve">Aceste programe pot fi derulate în cadrul gestiunii directe, indirecte sau partajate. Aproximativ 80 % din sursele de finanțare din partea UE pentru ONG-uri sunt gestionate chiar de țările UE. Fiecare țară oferă </w:t>
      </w:r>
      <w:hyperlink r:id="rId66" w:history="1">
        <w:r>
          <w:rPr>
            <w:rStyle w:val="Hyperlink1"/>
          </w:rPr>
          <w:t>informații detaliate privind finanțarea</w:t>
        </w:r>
      </w:hyperlink>
      <w:r>
        <w:t xml:space="preserve"> și procedurile de depunere a cererilor pe site-urile autorităților de management. Acordarea de fonduri UE în cadrul gestiunii directe se face în urma unor cereri de propuneri disponibile public. Pe baza normelor stabilite în </w:t>
      </w:r>
      <w:hyperlink r:id="rId67" w:history="1">
        <w:r>
          <w:rPr>
            <w:rStyle w:val="Hyperlink1"/>
          </w:rPr>
          <w:t>Regulamentul financiar al UE</w:t>
        </w:r>
      </w:hyperlink>
      <w:r>
        <w:t> </w:t>
      </w:r>
      <w:hyperlink r:id="rId68" w:history="1">
        <w:r>
          <w:rPr>
            <w:rStyle w:val="Hyperlink1"/>
          </w:rPr>
          <w:t>(UE, Euratom) 2024/2509</w:t>
        </w:r>
      </w:hyperlink>
      <w:r>
        <w:t xml:space="preserve">, inclusiv a principiilor-cheie ale transparenței și egalității de tratament, toate cererile de finanțare valabile sunt evaluate în raport cu criteriile de eligibilitate, excludere, selecție și atribuire specificate în cererile de propuneri. Pentru o imagine de ansamblu, a se vedea </w:t>
      </w:r>
      <w:hyperlink r:id="rId69" w:history="1">
        <w:r>
          <w:rPr>
            <w:rStyle w:val="Hyperlink1"/>
          </w:rPr>
          <w:t>Posibilitățile de finanțare pentru ONG-uri</w:t>
        </w:r>
      </w:hyperlink>
      <w:r>
        <w:rPr>
          <w:b/>
        </w:rPr>
        <w:t xml:space="preserve">. </w:t>
      </w:r>
    </w:p>
  </w:footnote>
  <w:footnote w:id="33">
    <w:p w14:paraId="059C5C7C" w14:textId="77777777" w:rsidR="00265174" w:rsidRPr="00690893" w:rsidRDefault="00265174" w:rsidP="00265174">
      <w:pPr>
        <w:pStyle w:val="FootnoteText"/>
        <w:spacing w:after="0"/>
        <w:ind w:left="0" w:firstLine="0"/>
      </w:pPr>
      <w:r>
        <w:rPr>
          <w:rStyle w:val="FootnoteReference"/>
        </w:rPr>
        <w:footnoteRef/>
      </w:r>
      <w:r>
        <w:t xml:space="preserve">Principiul a fost consolidat prin includerea posibilității de a aloca un procent adecvat din resursele destinate consolidării capacității administrative a partenerilor sociali și a organizațiilor societății civile și prin evidențierea rolului </w:t>
      </w:r>
      <w:hyperlink r:id="rId70" w:tgtFrame="_blank" w:history="1">
        <w:r>
          <w:rPr>
            <w:rStyle w:val="Hyperlink1"/>
          </w:rPr>
          <w:t>Codului european de conduită referitor la parteneriat</w:t>
        </w:r>
      </w:hyperlink>
      <w:r>
        <w:t xml:space="preserve"> în toate etapele programării și punerii în aplicare.</w:t>
      </w:r>
    </w:p>
  </w:footnote>
  <w:footnote w:id="34">
    <w:p w14:paraId="5A94AC6E" w14:textId="77777777" w:rsidR="00265174" w:rsidRPr="00D42E4E" w:rsidRDefault="00265174" w:rsidP="00265174">
      <w:pPr>
        <w:pStyle w:val="FootnoteText"/>
        <w:tabs>
          <w:tab w:val="left" w:pos="90"/>
        </w:tabs>
        <w:spacing w:after="0"/>
        <w:ind w:left="0" w:firstLine="0"/>
      </w:pPr>
      <w:r>
        <w:rPr>
          <w:rStyle w:val="FootnoteReference"/>
        </w:rPr>
        <w:footnoteRef/>
      </w:r>
      <w:r>
        <w:t xml:space="preserve">Aceste informații sunt puse la dispoziția publicului pe </w:t>
      </w:r>
      <w:hyperlink r:id="rId71" w:history="1">
        <w:r>
          <w:rPr>
            <w:rStyle w:val="Hyperlink1"/>
          </w:rPr>
          <w:t>site-ul web al sistemului de transparență financiară (STF)</w:t>
        </w:r>
      </w:hyperlink>
      <w:r>
        <w:t xml:space="preserve"> al Comisiei. Recenta revizuire a Regulamentului financiar a introdus dispoziții mai ambițioase în materie de transparență, începând cu perioada cadrului financiar multianual de după 2027. </w:t>
      </w:r>
    </w:p>
  </w:footnote>
  <w:footnote w:id="35">
    <w:p w14:paraId="14A7E3D2" w14:textId="77777777" w:rsidR="00265174" w:rsidRPr="00690893" w:rsidRDefault="00265174" w:rsidP="00265174">
      <w:pPr>
        <w:pStyle w:val="FootnoteText"/>
        <w:tabs>
          <w:tab w:val="left" w:pos="90"/>
        </w:tabs>
        <w:spacing w:after="0"/>
        <w:ind w:left="0" w:firstLine="0"/>
      </w:pPr>
      <w:r>
        <w:rPr>
          <w:rStyle w:val="FootnoteReference"/>
        </w:rPr>
        <w:footnoteRef/>
      </w:r>
      <w:r>
        <w:t xml:space="preserve">A se vedea răspunsurile </w:t>
      </w:r>
      <w:hyperlink r:id="rId72" w:history="1">
        <w:r>
          <w:rPr>
            <w:rStyle w:val="Hyperlink1"/>
          </w:rPr>
          <w:t>Comisiei Europene la Raportul special 11/2025 al CCE</w:t>
        </w:r>
      </w:hyperlink>
      <w:r>
        <w:t>.</w:t>
      </w:r>
    </w:p>
  </w:footnote>
  <w:footnote w:id="36">
    <w:p w14:paraId="07DB9A14" w14:textId="5DC9124E" w:rsidR="00265174" w:rsidRPr="00D42E4E" w:rsidRDefault="00265174" w:rsidP="00265174">
      <w:pPr>
        <w:pStyle w:val="FootnoteText"/>
        <w:tabs>
          <w:tab w:val="left" w:pos="90"/>
        </w:tabs>
        <w:spacing w:after="0"/>
        <w:ind w:left="0" w:firstLine="0"/>
      </w:pPr>
      <w:r>
        <w:rPr>
          <w:rStyle w:val="FootnoteReference"/>
        </w:rPr>
        <w:footnoteRef/>
      </w:r>
      <w:hyperlink r:id="rId73" w:history="1">
        <w:r>
          <w:rPr>
            <w:rStyle w:val="Hyperlink"/>
          </w:rPr>
          <w:t>Raport factual de sinteză</w:t>
        </w:r>
      </w:hyperlink>
      <w:r>
        <w:t>.</w:t>
      </w:r>
    </w:p>
  </w:footnote>
  <w:footnote w:id="37">
    <w:p w14:paraId="0EB299E1" w14:textId="77777777" w:rsidR="00265174" w:rsidRPr="00D42E4E" w:rsidRDefault="00265174" w:rsidP="00265174">
      <w:pPr>
        <w:pStyle w:val="FootnoteText"/>
        <w:tabs>
          <w:tab w:val="left" w:pos="90"/>
        </w:tabs>
        <w:spacing w:after="0"/>
        <w:ind w:left="0" w:firstLine="0"/>
      </w:pPr>
      <w:r>
        <w:rPr>
          <w:rStyle w:val="FootnoteReference"/>
        </w:rPr>
        <w:footnoteRef/>
      </w:r>
      <w:hyperlink r:id="rId74" w:history="1">
        <w:hyperlink r:id="rId75" w:history="1">
          <w:r>
            <w:rPr>
              <w:rStyle w:val="Hyperlink1"/>
            </w:rPr>
            <w:t xml:space="preserve">Raportul </w:t>
          </w:r>
        </w:hyperlink>
        <w:r>
          <w:rPr>
            <w:rStyle w:val="Hyperlink1"/>
          </w:rPr>
          <w:t>privind evaluarea intermediară a programului CEDV</w:t>
        </w:r>
      </w:hyperlink>
      <w:r>
        <w:t xml:space="preserve"> și </w:t>
      </w:r>
      <w:hyperlink r:id="rId76" w:history="1">
        <w:r>
          <w:rPr>
            <w:rStyle w:val="Hyperlink1"/>
          </w:rPr>
          <w:t>Raportul din 2024 privind Carta</w:t>
        </w:r>
      </w:hyperlink>
      <w:r>
        <w:t xml:space="preserve">. </w:t>
      </w:r>
    </w:p>
  </w:footnote>
  <w:footnote w:id="38">
    <w:p w14:paraId="74C61172" w14:textId="77777777" w:rsidR="00265174" w:rsidRPr="00D42E4E" w:rsidRDefault="00265174" w:rsidP="00265174">
      <w:pPr>
        <w:pStyle w:val="FootnoteText"/>
        <w:tabs>
          <w:tab w:val="left" w:pos="90"/>
        </w:tabs>
        <w:spacing w:after="0"/>
        <w:ind w:left="0" w:firstLine="0"/>
      </w:pPr>
      <w:r>
        <w:rPr>
          <w:rStyle w:val="FootnoteReference"/>
        </w:rPr>
        <w:footnoteRef/>
      </w:r>
      <w:r>
        <w:t xml:space="preserve">Pentru mai multe informații cu privire la propunerea UE pentru CFM 2028-2034, a se vedea </w:t>
      </w:r>
      <w:hyperlink r:id="rId77" w:anchor=":~:text=The%202028%2D2034%20EU%20budget%20for%20a%20stronger%20Europe,-The%202028%2D2034&amp;amp;text=On%2016%20July%202025%2C%20the,average%20between%202028%20and%202034" w:history="1">
        <w:r>
          <w:rPr>
            <w:rStyle w:val="Hyperlink1"/>
          </w:rPr>
          <w:t>aici</w:t>
        </w:r>
      </w:hyperlink>
      <w:r>
        <w:t>.</w:t>
      </w:r>
    </w:p>
  </w:footnote>
  <w:footnote w:id="39">
    <w:p w14:paraId="6D9831E8" w14:textId="77777777" w:rsidR="00265174" w:rsidRPr="00690893" w:rsidRDefault="00265174" w:rsidP="00265174">
      <w:pPr>
        <w:pStyle w:val="FootnoteText"/>
        <w:spacing w:after="0"/>
        <w:ind w:left="0" w:firstLine="0"/>
      </w:pPr>
      <w:r>
        <w:rPr>
          <w:rStyle w:val="FootnoteReference"/>
        </w:rPr>
        <w:footnoteRef/>
      </w:r>
      <w:r>
        <w:t>Principiul nediscriminării prevede că statele membre nu pot limita beneficiile fiscale la organizațiile caritabile naționale sau donațiile/legatele în favoarea entităților naționale, excluzând în același timp de la astfel de beneficii organizații caritabile străine comparabile sau donații/legate în favoarea organizațiilor caritabile străine comparabile. A se vedea Recomandarea C(2023) 1344 a Consiliului privind dezvoltarea condițiilor-cadru ale economiei sociale și documentele de lucru conexe ale serviciilor Comisiei.</w:t>
      </w:r>
    </w:p>
  </w:footnote>
  <w:footnote w:id="40">
    <w:p w14:paraId="02BF75EA" w14:textId="77777777" w:rsidR="00265174" w:rsidRPr="00D42E4E" w:rsidRDefault="00265174" w:rsidP="00265174">
      <w:pPr>
        <w:pStyle w:val="FootnoteText"/>
        <w:tabs>
          <w:tab w:val="left" w:pos="90"/>
        </w:tabs>
        <w:spacing w:after="0"/>
        <w:ind w:left="0" w:firstLine="0"/>
      </w:pPr>
      <w:r>
        <w:rPr>
          <w:rStyle w:val="FootnoteReference"/>
        </w:rPr>
        <w:footnoteRef/>
      </w:r>
      <w:r>
        <w:t xml:space="preserve">A se vedea, de exemplu, serviciile furnizate de </w:t>
      </w:r>
      <w:hyperlink r:id="rId78" w:history="1">
        <w:r>
          <w:rPr>
            <w:rStyle w:val="Hyperlink1"/>
          </w:rPr>
          <w:t>PILnet</w:t>
        </w:r>
      </w:hyperlink>
      <w:r>
        <w:t xml:space="preserve">. </w:t>
      </w:r>
    </w:p>
  </w:footnote>
  <w:footnote w:id="41">
    <w:p w14:paraId="061B4364" w14:textId="77777777" w:rsidR="00265174" w:rsidRPr="00690893" w:rsidRDefault="00265174" w:rsidP="00265174">
      <w:pPr>
        <w:pStyle w:val="FootnoteText"/>
        <w:tabs>
          <w:tab w:val="left" w:pos="90"/>
        </w:tabs>
        <w:spacing w:after="0"/>
        <w:ind w:left="0" w:firstLine="0"/>
      </w:pPr>
      <w:r>
        <w:rPr>
          <w:rStyle w:val="FootnoteReference"/>
        </w:rPr>
        <w:footnoteRef/>
      </w:r>
      <w:r>
        <w:t xml:space="preserve">Prelungirea Planului de acțiune privind drepturile omului și democrația a fost însoțită de </w:t>
      </w:r>
      <w:hyperlink r:id="rId79" w:history="1">
        <w:r>
          <w:rPr>
            <w:rStyle w:val="Hyperlink1"/>
          </w:rPr>
          <w:t>concluzii ale Consiliului</w:t>
        </w:r>
      </w:hyperlink>
      <w:r>
        <w:t xml:space="preserve"> care reafirmă sprijinul UE pentru societatea civilă și apărătorii drepturilor omului ca prioritate fundamentală a politicii externe a UE.</w:t>
      </w:r>
    </w:p>
  </w:footnote>
  <w:footnote w:id="42">
    <w:p w14:paraId="5EF4FB57" w14:textId="77777777" w:rsidR="00265174" w:rsidRPr="00690893" w:rsidRDefault="00265174" w:rsidP="00265174">
      <w:pPr>
        <w:pStyle w:val="FootnoteText"/>
        <w:spacing w:after="0"/>
        <w:ind w:left="0" w:firstLine="0"/>
      </w:pPr>
      <w:r>
        <w:rPr>
          <w:rStyle w:val="FootnoteReference"/>
        </w:rPr>
        <w:footnoteRef/>
      </w:r>
      <w:r>
        <w:t xml:space="preserve">Document de lucru al serviciilor Comisiei, </w:t>
      </w:r>
      <w:hyperlink r:id="rId80" w:history="1">
        <w:r>
          <w:rPr>
            <w:rStyle w:val="Hyperlink1"/>
          </w:rPr>
          <w:t>Aplicarea abordării bazate pe drepturile omului în cazul parteneriatelor internaționale</w:t>
        </w:r>
      </w:hyperlink>
      <w:r>
        <w:t>.</w:t>
      </w:r>
    </w:p>
  </w:footnote>
  <w:footnote w:id="43">
    <w:p w14:paraId="24D9E3E7" w14:textId="5783CCD5" w:rsidR="00FC03FF" w:rsidRPr="00FC03FF" w:rsidRDefault="00FC03FF" w:rsidP="00F83F35">
      <w:pPr>
        <w:pStyle w:val="FootnoteText"/>
        <w:spacing w:after="0"/>
        <w:ind w:left="0" w:firstLine="0"/>
      </w:pPr>
      <w:r>
        <w:rPr>
          <w:rStyle w:val="FootnoteReference"/>
        </w:rPr>
        <w:footnoteRef/>
      </w:r>
      <w:r>
        <w:t>Aceasta include sprijinirea organizațiilor societății civile, în special a organizațiilor locale, în unele țări din regiunea Parteneriatului estic.</w:t>
      </w:r>
    </w:p>
  </w:footnote>
  <w:footnote w:id="44">
    <w:p w14:paraId="775B2949" w14:textId="77777777" w:rsidR="00265174" w:rsidRPr="000A516B" w:rsidRDefault="00265174" w:rsidP="00265174">
      <w:pPr>
        <w:pStyle w:val="FootnoteText"/>
        <w:spacing w:after="0"/>
        <w:ind w:left="0" w:firstLine="0"/>
      </w:pPr>
      <w:r>
        <w:rPr>
          <w:rStyle w:val="FootnoteReference"/>
        </w:rPr>
        <w:footnoteRef/>
      </w:r>
      <w:r>
        <w:t xml:space="preserve">SEE al UE este un program de parteneriat care urmărește să sprijine societatea civilă să prospere la nivel mondial prin prevenirea eforturilor de restricționare a spațiului civic. </w:t>
      </w:r>
    </w:p>
  </w:footnote>
  <w:footnote w:id="45">
    <w:p w14:paraId="7F4BCDA0" w14:textId="77777777" w:rsidR="00265174" w:rsidRPr="00D42E4E" w:rsidRDefault="00265174" w:rsidP="00265174">
      <w:pPr>
        <w:pStyle w:val="FootnoteText"/>
        <w:spacing w:after="0"/>
        <w:ind w:left="0" w:firstLine="0"/>
      </w:pPr>
      <w:r>
        <w:rPr>
          <w:rStyle w:val="FootnoteReference"/>
        </w:rPr>
        <w:footnoteRef/>
      </w:r>
      <w:r>
        <w:t xml:space="preserve">Cursurile de formare se desfășoară în special prin intermediul unui proiect cofinanțat de Comisia Europeană în cadrul </w:t>
      </w:r>
      <w:hyperlink r:id="rId81" w:history="1">
        <w:r>
          <w:rPr>
            <w:rStyle w:val="Hyperlink1"/>
          </w:rPr>
          <w:t>Instrumentului pentru managementul frontierelor și vize</w:t>
        </w:r>
      </w:hyperlink>
      <w:r>
        <w:t xml:space="preserve"> (IMFV) și dezvoltat de Agenția suedeză pentru migrație.</w:t>
      </w:r>
    </w:p>
  </w:footnote>
  <w:footnote w:id="46">
    <w:p w14:paraId="1A1C79EC" w14:textId="77777777" w:rsidR="00265174" w:rsidRPr="00E45536" w:rsidRDefault="00265174" w:rsidP="00265174">
      <w:pPr>
        <w:pStyle w:val="FootnoteText"/>
        <w:spacing w:after="0"/>
        <w:ind w:left="0" w:firstLine="0"/>
      </w:pPr>
      <w:r>
        <w:rPr>
          <w:rStyle w:val="FootnoteReference"/>
        </w:rPr>
        <w:footnoteRef/>
      </w:r>
      <w:r>
        <w:t>FED este o organizație independentă de acordare a granturilor, înființată în 2013 de UE și de statele sale membre ca fond fiduciar internațional autonom pentru promovarea democrației în vecinătatea europeană, în Balcanii de Vest, în Turcia și în afara acesteia.</w:t>
      </w:r>
    </w:p>
  </w:footnote>
  <w:footnote w:id="47">
    <w:p w14:paraId="517E23E2" w14:textId="77777777" w:rsidR="00265174" w:rsidRPr="00D42E4E" w:rsidRDefault="00265174" w:rsidP="00265174">
      <w:pPr>
        <w:pStyle w:val="FootnoteText"/>
        <w:tabs>
          <w:tab w:val="left" w:pos="90"/>
        </w:tabs>
        <w:spacing w:after="0"/>
        <w:ind w:left="0" w:firstLine="0"/>
        <w:jc w:val="left"/>
      </w:pPr>
      <w:r>
        <w:rPr>
          <w:rStyle w:val="FootnoteReference"/>
        </w:rPr>
        <w:footnoteRef/>
      </w:r>
      <w:r>
        <w:t xml:space="preserve">Mecanismul a sprijinit peste </w:t>
      </w:r>
      <w:hyperlink r:id="rId82" w:history="1">
        <w:r>
          <w:rPr>
            <w:rStyle w:val="Hyperlink1"/>
          </w:rPr>
          <w:t>85 000 de apărători ai drepturilor omului începând din 2015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58A7B" w14:textId="77777777" w:rsidR="00772752" w:rsidRPr="00772752" w:rsidRDefault="00772752" w:rsidP="007727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812F" w14:textId="77777777" w:rsidR="00772752" w:rsidRPr="00772752" w:rsidRDefault="00772752" w:rsidP="007727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918FA" w14:textId="77777777" w:rsidR="00772752" w:rsidRPr="00772752" w:rsidRDefault="00772752" w:rsidP="007727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36413" w14:textId="77777777" w:rsidR="00EB15B4" w:rsidRDefault="00EB1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B9B07" w14:textId="77777777" w:rsidR="00EB15B4" w:rsidRDefault="00EB15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A0A97" w14:textId="77777777" w:rsidR="00EB15B4" w:rsidRDefault="00C30639">
    <w:pPr>
      <w:pStyle w:val="Header"/>
      <w:tabs>
        <w:tab w:val="left" w:pos="68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39B"/>
    <w:multiLevelType w:val="multilevel"/>
    <w:tmpl w:val="0AA0DC4E"/>
    <w:lvl w:ilvl="0">
      <w:start w:val="1"/>
      <w:numFmt w:val="bullet"/>
      <w:lvlText w:val=""/>
      <w:lvlJc w:val="left"/>
      <w:pPr>
        <w:ind w:left="720" w:hanging="360"/>
      </w:pPr>
      <w:rPr>
        <w:rFonts w:ascii="Symbol" w:hAnsi="Symbol"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D580B50"/>
    <w:multiLevelType w:val="hybridMultilevel"/>
    <w:tmpl w:val="BFA49F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F8646B6"/>
    <w:multiLevelType w:val="hybridMultilevel"/>
    <w:tmpl w:val="372AAEF4"/>
    <w:lvl w:ilvl="0" w:tplc="FF2E2C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4F6EEAB-D207-4561-AB94-8DE8094C5B37"/>
    <w:docVar w:name="LW_COVERPAGE_TYPE" w:val="1"/>
    <w:docVar w:name="LW_CROSSREFERENCE" w:val="&lt;UNUSED&gt;"/>
    <w:docVar w:name="LW_DocType" w:val="NORMAL"/>
    <w:docVar w:name="LW_EMISSION" w:val="12.11.2025"/>
    <w:docVar w:name="LW_EMISSION_ISODATE" w:val="2025-11-1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entru societatea civil\u259?"/>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DD5A66"/>
    <w:rsid w:val="000124C2"/>
    <w:rsid w:val="000306C4"/>
    <w:rsid w:val="00035A68"/>
    <w:rsid w:val="00037CF0"/>
    <w:rsid w:val="00047D89"/>
    <w:rsid w:val="00053F53"/>
    <w:rsid w:val="00063930"/>
    <w:rsid w:val="00083ABE"/>
    <w:rsid w:val="000C50C4"/>
    <w:rsid w:val="000E2898"/>
    <w:rsid w:val="000E42AB"/>
    <w:rsid w:val="000F4925"/>
    <w:rsid w:val="00115221"/>
    <w:rsid w:val="00123249"/>
    <w:rsid w:val="00143063"/>
    <w:rsid w:val="00143CF5"/>
    <w:rsid w:val="00144832"/>
    <w:rsid w:val="00153939"/>
    <w:rsid w:val="00195E4C"/>
    <w:rsid w:val="001A0933"/>
    <w:rsid w:val="001B3843"/>
    <w:rsid w:val="001B527E"/>
    <w:rsid w:val="001D1FE7"/>
    <w:rsid w:val="001D52F3"/>
    <w:rsid w:val="001D663B"/>
    <w:rsid w:val="001F4369"/>
    <w:rsid w:val="00207040"/>
    <w:rsid w:val="002177C2"/>
    <w:rsid w:val="00246926"/>
    <w:rsid w:val="00265174"/>
    <w:rsid w:val="0026614D"/>
    <w:rsid w:val="00280867"/>
    <w:rsid w:val="002A6CBB"/>
    <w:rsid w:val="002C3A2E"/>
    <w:rsid w:val="002F47EA"/>
    <w:rsid w:val="003014A2"/>
    <w:rsid w:val="003167F6"/>
    <w:rsid w:val="0032022C"/>
    <w:rsid w:val="003248C9"/>
    <w:rsid w:val="003474CD"/>
    <w:rsid w:val="00350071"/>
    <w:rsid w:val="00373C36"/>
    <w:rsid w:val="003767D6"/>
    <w:rsid w:val="003B0EBB"/>
    <w:rsid w:val="003B530D"/>
    <w:rsid w:val="003C556D"/>
    <w:rsid w:val="003F503C"/>
    <w:rsid w:val="003F606C"/>
    <w:rsid w:val="0040265B"/>
    <w:rsid w:val="00405FF4"/>
    <w:rsid w:val="0040780E"/>
    <w:rsid w:val="00410FC6"/>
    <w:rsid w:val="00432BB8"/>
    <w:rsid w:val="00434794"/>
    <w:rsid w:val="00440815"/>
    <w:rsid w:val="004454D2"/>
    <w:rsid w:val="00446339"/>
    <w:rsid w:val="0045115C"/>
    <w:rsid w:val="004512BA"/>
    <w:rsid w:val="00476D7F"/>
    <w:rsid w:val="00476F40"/>
    <w:rsid w:val="00491416"/>
    <w:rsid w:val="00492CD3"/>
    <w:rsid w:val="004936B8"/>
    <w:rsid w:val="00493818"/>
    <w:rsid w:val="004A7B98"/>
    <w:rsid w:val="00503FBF"/>
    <w:rsid w:val="005175F0"/>
    <w:rsid w:val="00520DBC"/>
    <w:rsid w:val="005405E2"/>
    <w:rsid w:val="00566C44"/>
    <w:rsid w:val="00566CE0"/>
    <w:rsid w:val="00590536"/>
    <w:rsid w:val="00595DDB"/>
    <w:rsid w:val="005B6C0B"/>
    <w:rsid w:val="005D0DFE"/>
    <w:rsid w:val="005E1D2A"/>
    <w:rsid w:val="005F2D84"/>
    <w:rsid w:val="005F7302"/>
    <w:rsid w:val="0060337F"/>
    <w:rsid w:val="00605174"/>
    <w:rsid w:val="00621FEB"/>
    <w:rsid w:val="00641E58"/>
    <w:rsid w:val="00647A4C"/>
    <w:rsid w:val="00653EE2"/>
    <w:rsid w:val="00664CA4"/>
    <w:rsid w:val="00665BFA"/>
    <w:rsid w:val="00676D07"/>
    <w:rsid w:val="00694427"/>
    <w:rsid w:val="00695B0F"/>
    <w:rsid w:val="006A159B"/>
    <w:rsid w:val="006C3FBE"/>
    <w:rsid w:val="006F07AA"/>
    <w:rsid w:val="007116E2"/>
    <w:rsid w:val="00744660"/>
    <w:rsid w:val="007478C9"/>
    <w:rsid w:val="00752274"/>
    <w:rsid w:val="00770360"/>
    <w:rsid w:val="00772752"/>
    <w:rsid w:val="00774887"/>
    <w:rsid w:val="00776B17"/>
    <w:rsid w:val="00780D82"/>
    <w:rsid w:val="00783A12"/>
    <w:rsid w:val="00793B14"/>
    <w:rsid w:val="00797F1B"/>
    <w:rsid w:val="007B14F2"/>
    <w:rsid w:val="007B453D"/>
    <w:rsid w:val="007C319B"/>
    <w:rsid w:val="007C6EFD"/>
    <w:rsid w:val="007D27E6"/>
    <w:rsid w:val="007E1F9B"/>
    <w:rsid w:val="00834075"/>
    <w:rsid w:val="00850794"/>
    <w:rsid w:val="00880244"/>
    <w:rsid w:val="00885B55"/>
    <w:rsid w:val="00895C0D"/>
    <w:rsid w:val="008A23AA"/>
    <w:rsid w:val="008B68E4"/>
    <w:rsid w:val="008C38F3"/>
    <w:rsid w:val="008D3C83"/>
    <w:rsid w:val="008E5E16"/>
    <w:rsid w:val="008F73FE"/>
    <w:rsid w:val="00900D17"/>
    <w:rsid w:val="00901B3E"/>
    <w:rsid w:val="00922991"/>
    <w:rsid w:val="009349ED"/>
    <w:rsid w:val="0093769A"/>
    <w:rsid w:val="00944D71"/>
    <w:rsid w:val="00953594"/>
    <w:rsid w:val="009708E0"/>
    <w:rsid w:val="009A0BEE"/>
    <w:rsid w:val="009C0C7C"/>
    <w:rsid w:val="00A015F6"/>
    <w:rsid w:val="00A067CA"/>
    <w:rsid w:val="00A17282"/>
    <w:rsid w:val="00A20913"/>
    <w:rsid w:val="00A313D8"/>
    <w:rsid w:val="00A9506C"/>
    <w:rsid w:val="00A97DA8"/>
    <w:rsid w:val="00AB1915"/>
    <w:rsid w:val="00AD3362"/>
    <w:rsid w:val="00AE4D7C"/>
    <w:rsid w:val="00AE6B23"/>
    <w:rsid w:val="00B22EE8"/>
    <w:rsid w:val="00B44AF7"/>
    <w:rsid w:val="00B44DB7"/>
    <w:rsid w:val="00B729B6"/>
    <w:rsid w:val="00B82969"/>
    <w:rsid w:val="00B90D2A"/>
    <w:rsid w:val="00B955C3"/>
    <w:rsid w:val="00BC04E4"/>
    <w:rsid w:val="00BC7093"/>
    <w:rsid w:val="00C1674C"/>
    <w:rsid w:val="00C30639"/>
    <w:rsid w:val="00C42879"/>
    <w:rsid w:val="00C56207"/>
    <w:rsid w:val="00C56736"/>
    <w:rsid w:val="00C84922"/>
    <w:rsid w:val="00C87637"/>
    <w:rsid w:val="00CA27D7"/>
    <w:rsid w:val="00CE1277"/>
    <w:rsid w:val="00CF550E"/>
    <w:rsid w:val="00D037F4"/>
    <w:rsid w:val="00D05E5C"/>
    <w:rsid w:val="00D21CCF"/>
    <w:rsid w:val="00D37D3E"/>
    <w:rsid w:val="00D53B8A"/>
    <w:rsid w:val="00D57DC3"/>
    <w:rsid w:val="00D775B0"/>
    <w:rsid w:val="00D90831"/>
    <w:rsid w:val="00DC4454"/>
    <w:rsid w:val="00DD5A66"/>
    <w:rsid w:val="00DE013F"/>
    <w:rsid w:val="00DE564F"/>
    <w:rsid w:val="00DF5310"/>
    <w:rsid w:val="00E04FF0"/>
    <w:rsid w:val="00E41008"/>
    <w:rsid w:val="00E45DD0"/>
    <w:rsid w:val="00E46CBA"/>
    <w:rsid w:val="00E631EE"/>
    <w:rsid w:val="00E774D8"/>
    <w:rsid w:val="00E80688"/>
    <w:rsid w:val="00E93799"/>
    <w:rsid w:val="00EB15B4"/>
    <w:rsid w:val="00EB1C32"/>
    <w:rsid w:val="00EB2CFE"/>
    <w:rsid w:val="00EB4AEA"/>
    <w:rsid w:val="00EB669F"/>
    <w:rsid w:val="00EB67B9"/>
    <w:rsid w:val="00EC744F"/>
    <w:rsid w:val="00EC7C7B"/>
    <w:rsid w:val="00ED4CF1"/>
    <w:rsid w:val="00EE0DFF"/>
    <w:rsid w:val="00F2115B"/>
    <w:rsid w:val="00F316AA"/>
    <w:rsid w:val="00F80B87"/>
    <w:rsid w:val="00F83F35"/>
    <w:rsid w:val="00F86089"/>
    <w:rsid w:val="00F863D1"/>
    <w:rsid w:val="00F86DDD"/>
    <w:rsid w:val="00FB6C2D"/>
    <w:rsid w:val="00FB77F7"/>
    <w:rsid w:val="00FC03FF"/>
    <w:rsid w:val="00FD0F4E"/>
    <w:rsid w:val="00FE6D77"/>
    <w:rsid w:val="029C5E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D52A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0"/>
    <w:qFormat/>
    <w:rsid w:val="00DD5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0"/>
    <w:unhideWhenUsed/>
    <w:qFormat/>
    <w:rsid w:val="00DD5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0"/>
    <w:unhideWhenUsed/>
    <w:qFormat/>
    <w:rsid w:val="00DD5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0"/>
    <w:unhideWhenUsed/>
    <w:qFormat/>
    <w:rsid w:val="00DD5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DD5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DD5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D5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D5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D5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sid w:val="00DD5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0"/>
    <w:rsid w:val="00DD5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0"/>
    <w:rsid w:val="00DD5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0"/>
    <w:rsid w:val="00DD5A66"/>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DD5A66"/>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DD5A66"/>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D5A66"/>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D5A66"/>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DD5A66"/>
    <w:rPr>
      <w:rFonts w:eastAsiaTheme="majorEastAsia" w:cstheme="majorBidi"/>
      <w:color w:val="272727" w:themeColor="text1" w:themeTint="D8"/>
    </w:rPr>
  </w:style>
  <w:style w:type="paragraph" w:styleId="Title">
    <w:name w:val="Title"/>
    <w:basedOn w:val="Normal"/>
    <w:next w:val="Normal"/>
    <w:link w:val="TitleChar"/>
    <w:uiPriority w:val="10"/>
    <w:qFormat/>
    <w:rsid w:val="00DD5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A66"/>
    <w:pPr>
      <w:spacing w:before="160"/>
      <w:jc w:val="center"/>
    </w:pPr>
    <w:rPr>
      <w:i/>
      <w:iCs/>
      <w:color w:val="404040" w:themeColor="text1" w:themeTint="BF"/>
    </w:rPr>
  </w:style>
  <w:style w:type="character" w:customStyle="1" w:styleId="QuoteChar">
    <w:name w:val="Quote Char"/>
    <w:basedOn w:val="DefaultParagraphFont"/>
    <w:link w:val="Quote"/>
    <w:uiPriority w:val="29"/>
    <w:rsid w:val="00DD5A66"/>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DD5A66"/>
    <w:pPr>
      <w:ind w:left="720"/>
      <w:contextualSpacing/>
    </w:pPr>
  </w:style>
  <w:style w:type="character" w:styleId="IntenseEmphasis">
    <w:name w:val="Intense Emphasis"/>
    <w:basedOn w:val="DefaultParagraphFont"/>
    <w:uiPriority w:val="21"/>
    <w:qFormat/>
    <w:rsid w:val="00DD5A66"/>
    <w:rPr>
      <w:i/>
      <w:iCs/>
      <w:color w:val="0F4761" w:themeColor="accent1" w:themeShade="BF"/>
    </w:rPr>
  </w:style>
  <w:style w:type="paragraph" w:styleId="IntenseQuote">
    <w:name w:val="Intense Quote"/>
    <w:basedOn w:val="Normal"/>
    <w:next w:val="Normal"/>
    <w:link w:val="IntenseQuoteChar"/>
    <w:uiPriority w:val="30"/>
    <w:qFormat/>
    <w:rsid w:val="00DD5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A66"/>
    <w:rPr>
      <w:i/>
      <w:iCs/>
      <w:color w:val="0F4761" w:themeColor="accent1" w:themeShade="BF"/>
    </w:rPr>
  </w:style>
  <w:style w:type="character" w:styleId="IntenseReference">
    <w:name w:val="Intense Reference"/>
    <w:basedOn w:val="DefaultParagraphFont"/>
    <w:uiPriority w:val="32"/>
    <w:qFormat/>
    <w:rsid w:val="00DD5A66"/>
    <w:rPr>
      <w:b/>
      <w:bCs/>
      <w:smallCaps/>
      <w:color w:val="0F4761" w:themeColor="accent1" w:themeShade="BF"/>
      <w:spacing w:val="5"/>
    </w:rPr>
  </w:style>
  <w:style w:type="character" w:customStyle="1" w:styleId="Marker">
    <w:name w:val="Marker"/>
    <w:basedOn w:val="DefaultParagraphFont"/>
    <w:rsid w:val="00265174"/>
    <w:rPr>
      <w:color w:val="0000FF"/>
      <w:shd w:val="clear" w:color="auto" w:fill="auto"/>
    </w:rPr>
  </w:style>
  <w:style w:type="paragraph" w:styleId="Header">
    <w:name w:val="header"/>
    <w:basedOn w:val="Normal"/>
    <w:link w:val="HeaderChar"/>
    <w:unhideWhenUsed/>
    <w:rsid w:val="00265174"/>
    <w:pPr>
      <w:tabs>
        <w:tab w:val="center" w:pos="4513"/>
        <w:tab w:val="right" w:pos="9026"/>
      </w:tabs>
      <w:spacing w:after="0" w:line="240" w:lineRule="auto"/>
    </w:pPr>
  </w:style>
  <w:style w:type="character" w:customStyle="1" w:styleId="HeaderChar">
    <w:name w:val="Header Char"/>
    <w:basedOn w:val="DefaultParagraphFont"/>
    <w:link w:val="Header"/>
    <w:rsid w:val="00265174"/>
  </w:style>
  <w:style w:type="paragraph" w:styleId="Footer">
    <w:name w:val="footer"/>
    <w:basedOn w:val="Normal"/>
    <w:link w:val="FooterChar"/>
    <w:uiPriority w:val="99"/>
    <w:unhideWhenUsed/>
    <w:rsid w:val="00265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174"/>
  </w:style>
  <w:style w:type="paragraph" w:customStyle="1" w:styleId="Pagedecouverture">
    <w:name w:val="Page de couverture"/>
    <w:basedOn w:val="Normal"/>
    <w:next w:val="Normal"/>
    <w:rsid w:val="00265174"/>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26517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5174"/>
    <w:rPr>
      <w:rFonts w:ascii="Times New Roman" w:hAnsi="Times New Roman" w:cs="Times New Roman"/>
      <w:sz w:val="24"/>
    </w:rPr>
  </w:style>
  <w:style w:type="paragraph" w:customStyle="1" w:styleId="FooterSensitivity">
    <w:name w:val="Footer Sensitivity"/>
    <w:basedOn w:val="Normal"/>
    <w:link w:val="FooterSensitivityChar"/>
    <w:rsid w:val="0026517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5174"/>
    <w:rPr>
      <w:rFonts w:ascii="Times New Roman" w:hAnsi="Times New Roman" w:cs="Times New Roman"/>
      <w:b/>
      <w:sz w:val="32"/>
    </w:rPr>
  </w:style>
  <w:style w:type="paragraph" w:customStyle="1" w:styleId="HeaderCoverPage">
    <w:name w:val="Header Cover Page"/>
    <w:basedOn w:val="Normal"/>
    <w:link w:val="HeaderCoverPageChar"/>
    <w:rsid w:val="0026517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5174"/>
    <w:rPr>
      <w:rFonts w:ascii="Times New Roman" w:hAnsi="Times New Roman" w:cs="Times New Roman"/>
      <w:sz w:val="24"/>
    </w:rPr>
  </w:style>
  <w:style w:type="paragraph" w:customStyle="1" w:styleId="HeaderSensitivity">
    <w:name w:val="Header Sensitivity"/>
    <w:basedOn w:val="Normal"/>
    <w:link w:val="HeaderSensitivityChar"/>
    <w:rsid w:val="0026517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5174"/>
    <w:rPr>
      <w:rFonts w:ascii="Times New Roman" w:hAnsi="Times New Roman" w:cs="Times New Roman"/>
      <w:b/>
      <w:sz w:val="32"/>
    </w:rPr>
  </w:style>
  <w:style w:type="paragraph" w:customStyle="1" w:styleId="HeaderSensitivityRight">
    <w:name w:val="Header Sensitivity Right"/>
    <w:basedOn w:val="Normal"/>
    <w:link w:val="HeaderSensitivityRightChar"/>
    <w:rsid w:val="0026517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5174"/>
    <w:rPr>
      <w:rFonts w:ascii="Times New Roman" w:hAnsi="Times New Roman" w:cs="Times New Roman"/>
      <w:sz w:val="28"/>
    </w:rPr>
  </w:style>
  <w:style w:type="numbering" w:customStyle="1" w:styleId="NoList1">
    <w:name w:val="No List1"/>
    <w:next w:val="NoList"/>
    <w:uiPriority w:val="99"/>
    <w:semiHidden/>
    <w:unhideWhenUsed/>
    <w:rsid w:val="00265174"/>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1"/>
    <w:qFormat/>
    <w:rsid w:val="00265174"/>
    <w:pPr>
      <w:spacing w:after="120" w:line="240" w:lineRule="auto"/>
      <w:ind w:left="357" w:hanging="357"/>
      <w:jc w:val="both"/>
    </w:pPr>
    <w:rPr>
      <w:rFonts w:ascii="Times New Roman" w:eastAsia="Times New Roman" w:hAnsi="Times New Roman" w:cs="Times New Roman"/>
      <w:kern w:val="0"/>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1"/>
    <w:rsid w:val="00265174"/>
    <w:rPr>
      <w:rFonts w:ascii="Times New Roman" w:eastAsia="Times New Roman" w:hAnsi="Times New Roman" w:cs="Times New Roman"/>
      <w:kern w:val="0"/>
      <w:sz w:val="20"/>
      <w:szCs w:val="20"/>
      <w:lang w:val="ro-RO" w:eastAsia="en-GB"/>
    </w:rPr>
  </w:style>
  <w:style w:type="paragraph" w:customStyle="1" w:styleId="FooterLine">
    <w:name w:val="Footer Line"/>
    <w:basedOn w:val="Footer"/>
    <w:next w:val="Footer"/>
    <w:uiPriority w:val="99"/>
    <w:rsid w:val="00265174"/>
    <w:pPr>
      <w:tabs>
        <w:tab w:val="clear" w:pos="4513"/>
        <w:tab w:val="clear" w:pos="9026"/>
        <w:tab w:val="right" w:pos="8646"/>
      </w:tabs>
      <w:spacing w:before="120"/>
    </w:pPr>
    <w:rPr>
      <w:rFonts w:ascii="Times New Roman" w:eastAsia="Times New Roman" w:hAnsi="Times New Roman" w:cs="Times New Roman"/>
      <w:kern w:val="0"/>
      <w:sz w:val="16"/>
      <w:szCs w:val="20"/>
      <w:lang w:eastAsia="en-GB"/>
    </w:rPr>
  </w:style>
  <w:style w:type="paragraph" w:customStyle="1" w:styleId="ZDGName">
    <w:name w:val="Z_DGName"/>
    <w:basedOn w:val="Normal"/>
    <w:uiPriority w:val="99"/>
    <w:rsid w:val="00265174"/>
    <w:pPr>
      <w:widowControl w:val="0"/>
      <w:spacing w:after="0" w:line="240" w:lineRule="auto"/>
      <w:ind w:right="85"/>
    </w:pPr>
    <w:rPr>
      <w:rFonts w:ascii="Times New Roman" w:eastAsia="Times New Roman" w:hAnsi="Times New Roman" w:cs="Times New Roman"/>
      <w:kern w:val="0"/>
      <w:sz w:val="16"/>
      <w:szCs w:val="20"/>
      <w:lang w:eastAsia="en-GB"/>
    </w:rPr>
  </w:style>
  <w:style w:type="paragraph" w:customStyle="1" w:styleId="ZCom">
    <w:name w:val="Z_Com"/>
    <w:basedOn w:val="Normal"/>
    <w:next w:val="Normal"/>
    <w:uiPriority w:val="99"/>
    <w:rsid w:val="00265174"/>
    <w:pPr>
      <w:widowControl w:val="0"/>
      <w:spacing w:before="90" w:after="0" w:line="240" w:lineRule="auto"/>
      <w:ind w:right="85"/>
      <w:jc w:val="both"/>
    </w:pPr>
    <w:rPr>
      <w:rFonts w:ascii="Times New Roman" w:eastAsia="Times New Roman" w:hAnsi="Times New Roman" w:cs="Times New Roman"/>
      <w:kern w:val="0"/>
      <w:sz w:val="24"/>
      <w:szCs w:val="20"/>
      <w:lang w:eastAsia="en-GB"/>
    </w:rPr>
  </w:style>
  <w:style w:type="paragraph" w:customStyle="1" w:styleId="Text1">
    <w:name w:val="Text 1"/>
    <w:basedOn w:val="Normal"/>
    <w:uiPriority w:val="90"/>
    <w:qFormat/>
    <w:rsid w:val="00265174"/>
    <w:pPr>
      <w:spacing w:after="0" w:line="240" w:lineRule="auto"/>
      <w:ind w:left="482"/>
      <w:jc w:val="both"/>
    </w:pPr>
    <w:rPr>
      <w:rFonts w:ascii="Times New Roman" w:eastAsia="Times New Roman" w:hAnsi="Times New Roman" w:cs="Times New Roman"/>
      <w:kern w:val="0"/>
      <w:sz w:val="24"/>
      <w:szCs w:val="20"/>
      <w:lang w:eastAsia="en-GB"/>
    </w:rPr>
  </w:style>
  <w:style w:type="character" w:styleId="CommentReference">
    <w:name w:val="annotation reference"/>
    <w:basedOn w:val="DefaultParagraphFont"/>
    <w:semiHidden/>
    <w:rsid w:val="00265174"/>
    <w:rPr>
      <w:sz w:val="16"/>
      <w:szCs w:val="16"/>
    </w:rPr>
  </w:style>
  <w:style w:type="paragraph" w:styleId="CommentText">
    <w:name w:val="annotation text"/>
    <w:basedOn w:val="Normal"/>
    <w:link w:val="CommentTextChar"/>
    <w:semiHidden/>
    <w:rsid w:val="00265174"/>
    <w:pPr>
      <w:spacing w:after="0" w:line="240" w:lineRule="auto"/>
      <w:jc w:val="both"/>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semiHidden/>
    <w:rsid w:val="00265174"/>
    <w:rPr>
      <w:rFonts w:ascii="Times New Roman" w:eastAsia="Times New Roman" w:hAnsi="Times New Roman" w:cs="Times New Roman"/>
      <w:kern w:val="0"/>
      <w:sz w:val="20"/>
      <w:szCs w:val="20"/>
      <w:lang w:val="ro-RO" w:eastAsia="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BVI fnr,fr"/>
    <w:basedOn w:val="DefaultParagraphFont"/>
    <w:link w:val="SUPERSCharCharCharCharCharCharCharChar"/>
    <w:uiPriority w:val="1"/>
    <w:qFormat/>
    <w:rsid w:val="00265174"/>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1"/>
    <w:qFormat/>
    <w:rsid w:val="00265174"/>
    <w:pPr>
      <w:spacing w:before="60" w:line="240" w:lineRule="exact"/>
      <w:jc w:val="both"/>
    </w:pPr>
    <w:rPr>
      <w:vertAlign w:val="superscript"/>
    </w:rPr>
  </w:style>
  <w:style w:type="paragraph" w:customStyle="1" w:styleId="AddressTR">
    <w:name w:val="AddressTR"/>
    <w:basedOn w:val="Normal"/>
    <w:next w:val="Normal"/>
    <w:rsid w:val="00265174"/>
    <w:pPr>
      <w:spacing w:after="720" w:line="240" w:lineRule="auto"/>
      <w:ind w:left="5103"/>
    </w:pPr>
    <w:rPr>
      <w:rFonts w:ascii="Times New Roman" w:eastAsia="Times New Roman" w:hAnsi="Times New Roman" w:cs="Times New Roman"/>
      <w:kern w:val="0"/>
      <w:sz w:val="24"/>
      <w:szCs w:val="20"/>
    </w:rPr>
  </w:style>
  <w:style w:type="paragraph" w:styleId="CommentSubject">
    <w:name w:val="annotation subject"/>
    <w:basedOn w:val="CommentText"/>
    <w:next w:val="CommentText"/>
    <w:link w:val="CommentSubjectChar"/>
    <w:uiPriority w:val="99"/>
    <w:semiHidden/>
    <w:unhideWhenUsed/>
    <w:rsid w:val="00265174"/>
    <w:rPr>
      <w:b/>
      <w:bCs/>
    </w:rPr>
  </w:style>
  <w:style w:type="character" w:customStyle="1" w:styleId="CommentSubjectChar">
    <w:name w:val="Comment Subject Char"/>
    <w:basedOn w:val="CommentTextChar"/>
    <w:link w:val="CommentSubject"/>
    <w:uiPriority w:val="99"/>
    <w:semiHidden/>
    <w:rsid w:val="00265174"/>
    <w:rPr>
      <w:rFonts w:ascii="Times New Roman" w:eastAsia="Times New Roman" w:hAnsi="Times New Roman" w:cs="Times New Roman"/>
      <w:b/>
      <w:bCs/>
      <w:kern w:val="0"/>
      <w:sz w:val="20"/>
      <w:szCs w:val="20"/>
      <w:lang w:val="ro-RO" w:eastAsia="en-GB"/>
    </w:rPr>
  </w:style>
  <w:style w:type="paragraph" w:styleId="Revision">
    <w:name w:val="Revision"/>
    <w:hidden/>
    <w:uiPriority w:val="99"/>
    <w:semiHidden/>
    <w:rsid w:val="00265174"/>
    <w:pPr>
      <w:spacing w:after="0" w:line="240" w:lineRule="auto"/>
      <w:jc w:val="both"/>
    </w:pPr>
    <w:rPr>
      <w:rFonts w:ascii="Times New Roman" w:eastAsia="Times New Roman" w:hAnsi="Times New Roman" w:cs="Times New Roman"/>
      <w:kern w:val="0"/>
      <w:sz w:val="24"/>
      <w:szCs w:val="20"/>
      <w:lang w:eastAsia="en-GB"/>
    </w:rPr>
  </w:style>
  <w:style w:type="character" w:customStyle="1" w:styleId="Hyperlink1">
    <w:name w:val="Hyperlink1"/>
    <w:basedOn w:val="DefaultParagraphFont"/>
    <w:uiPriority w:val="99"/>
    <w:unhideWhenUsed/>
    <w:rsid w:val="00265174"/>
    <w:rPr>
      <w:color w:val="0563C1"/>
      <w:u w:val="single"/>
    </w:rPr>
  </w:style>
  <w:style w:type="character" w:customStyle="1" w:styleId="UnresolvedMention1">
    <w:name w:val="Unresolved Mention1"/>
    <w:basedOn w:val="DefaultParagraphFont"/>
    <w:uiPriority w:val="99"/>
    <w:semiHidden/>
    <w:unhideWhenUsed/>
    <w:rsid w:val="00265174"/>
    <w:rPr>
      <w:color w:val="605E5C"/>
      <w:shd w:val="clear" w:color="auto" w:fill="E1DFDD"/>
    </w:rPr>
  </w:style>
  <w:style w:type="character" w:customStyle="1" w:styleId="Mention1">
    <w:name w:val="Mention1"/>
    <w:basedOn w:val="DefaultParagraphFont"/>
    <w:uiPriority w:val="99"/>
    <w:unhideWhenUsed/>
    <w:rsid w:val="00265174"/>
    <w:rPr>
      <w:color w:val="2B579A"/>
      <w:shd w:val="clear" w:color="auto" w:fill="E1DFDD"/>
    </w:rPr>
  </w:style>
  <w:style w:type="table" w:customStyle="1" w:styleId="TableGrid1">
    <w:name w:val="Table Grid1"/>
    <w:basedOn w:val="TableNormal"/>
    <w:next w:val="TableGrid"/>
    <w:uiPriority w:val="39"/>
    <w:rsid w:val="00265174"/>
    <w:pPr>
      <w:spacing w:after="0" w:line="240" w:lineRule="auto"/>
      <w:jc w:val="both"/>
    </w:pPr>
    <w:tblPr/>
  </w:style>
  <w:style w:type="character" w:customStyle="1" w:styleId="FollowedHyperlink1">
    <w:name w:val="FollowedHyperlink1"/>
    <w:basedOn w:val="DefaultParagraphFont"/>
    <w:uiPriority w:val="99"/>
    <w:semiHidden/>
    <w:unhideWhenUsed/>
    <w:rsid w:val="00265174"/>
    <w:rPr>
      <w:color w:val="954F72"/>
      <w:u w:val="single"/>
    </w:rPr>
  </w:style>
  <w:style w:type="paragraph" w:customStyle="1" w:styleId="paragraph">
    <w:name w:val="paragraph"/>
    <w:basedOn w:val="Normal"/>
    <w:rsid w:val="0026517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265174"/>
  </w:style>
  <w:style w:type="character" w:customStyle="1" w:styleId="scxw84726116">
    <w:name w:val="scxw84726116"/>
    <w:basedOn w:val="DefaultParagraphFont"/>
    <w:rsid w:val="00265174"/>
  </w:style>
  <w:style w:type="character" w:customStyle="1" w:styleId="eop">
    <w:name w:val="eop"/>
    <w:basedOn w:val="DefaultParagraphFont"/>
    <w:rsid w:val="00265174"/>
  </w:style>
  <w:style w:type="paragraph" w:customStyle="1" w:styleId="TOCHeading1">
    <w:name w:val="TOC Heading1"/>
    <w:basedOn w:val="Heading1"/>
    <w:next w:val="Normal"/>
    <w:uiPriority w:val="39"/>
    <w:unhideWhenUsed/>
    <w:qFormat/>
    <w:rsid w:val="00265174"/>
    <w:pPr>
      <w:spacing w:before="240" w:after="0"/>
      <w:outlineLvl w:val="9"/>
    </w:pPr>
    <w:rPr>
      <w:kern w:val="0"/>
      <w:sz w:val="32"/>
      <w:szCs w:val="32"/>
    </w:rPr>
  </w:style>
  <w:style w:type="paragraph" w:styleId="TOC1">
    <w:name w:val="toc 1"/>
    <w:basedOn w:val="Normal"/>
    <w:next w:val="Normal"/>
    <w:autoRedefine/>
    <w:uiPriority w:val="39"/>
    <w:unhideWhenUsed/>
    <w:rsid w:val="00265174"/>
    <w:pPr>
      <w:spacing w:after="100" w:line="240" w:lineRule="auto"/>
      <w:jc w:val="both"/>
    </w:pPr>
    <w:rPr>
      <w:rFonts w:ascii="Times New Roman" w:eastAsia="Times New Roman" w:hAnsi="Times New Roman" w:cs="Times New Roman"/>
      <w:kern w:val="0"/>
      <w:sz w:val="24"/>
      <w:szCs w:val="20"/>
      <w:lang w:eastAsia="en-GB"/>
    </w:rPr>
  </w:style>
  <w:style w:type="paragraph" w:styleId="NormalWeb">
    <w:name w:val="Normal (Web)"/>
    <w:basedOn w:val="Normal"/>
    <w:uiPriority w:val="99"/>
    <w:unhideWhenUsed/>
    <w:rsid w:val="00265174"/>
    <w:pPr>
      <w:spacing w:after="0" w:line="240" w:lineRule="auto"/>
      <w:jc w:val="both"/>
    </w:pPr>
    <w:rPr>
      <w:rFonts w:ascii="Times New Roman" w:eastAsia="Times New Roman" w:hAnsi="Times New Roman" w:cs="Times New Roman"/>
      <w:kern w:val="0"/>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265174"/>
  </w:style>
  <w:style w:type="paragraph" w:styleId="TOC2">
    <w:name w:val="toc 2"/>
    <w:basedOn w:val="Normal"/>
    <w:next w:val="Normal"/>
    <w:autoRedefine/>
    <w:uiPriority w:val="39"/>
    <w:unhideWhenUsed/>
    <w:rsid w:val="00265174"/>
    <w:pPr>
      <w:spacing w:after="100" w:line="240" w:lineRule="auto"/>
      <w:ind w:left="240"/>
      <w:jc w:val="both"/>
    </w:pPr>
    <w:rPr>
      <w:rFonts w:ascii="Times New Roman" w:eastAsia="Times New Roman" w:hAnsi="Times New Roman" w:cs="Times New Roman"/>
      <w:kern w:val="0"/>
      <w:sz w:val="24"/>
      <w:szCs w:val="20"/>
      <w:lang w:eastAsia="en-GB"/>
    </w:rPr>
  </w:style>
  <w:style w:type="paragraph" w:customStyle="1" w:styleId="ecl-u-type-paragraph">
    <w:name w:val="ecl-u-type-paragraph"/>
    <w:basedOn w:val="Normal"/>
    <w:rsid w:val="00265174"/>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1"/>
    <w:rsid w:val="00265174"/>
    <w:pPr>
      <w:spacing w:line="240" w:lineRule="exact"/>
      <w:jc w:val="both"/>
    </w:pPr>
    <w:rPr>
      <w:color w:val="337AB7"/>
      <w:kern w:val="0"/>
      <w:vertAlign w:val="superscript"/>
    </w:rPr>
  </w:style>
  <w:style w:type="paragraph" w:customStyle="1" w:styleId="textrun">
    <w:name w:val="textrun"/>
    <w:basedOn w:val="FootnoteText"/>
    <w:rsid w:val="00265174"/>
  </w:style>
  <w:style w:type="character" w:styleId="Strong">
    <w:name w:val="Strong"/>
    <w:basedOn w:val="DefaultParagraphFont"/>
    <w:uiPriority w:val="22"/>
    <w:qFormat/>
    <w:rsid w:val="00265174"/>
    <w:rPr>
      <w:b/>
      <w:bCs/>
    </w:rPr>
  </w:style>
  <w:style w:type="character" w:customStyle="1" w:styleId="cf01">
    <w:name w:val="cf01"/>
    <w:basedOn w:val="DefaultParagraphFont"/>
    <w:rsid w:val="00265174"/>
    <w:rPr>
      <w:rFonts w:ascii="Segoe UI" w:hAnsi="Segoe UI" w:cs="Segoe UI" w:hint="default"/>
      <w:sz w:val="18"/>
      <w:szCs w:val="18"/>
    </w:rPr>
  </w:style>
  <w:style w:type="character" w:styleId="Hyperlink">
    <w:name w:val="Hyperlink"/>
    <w:basedOn w:val="DefaultParagraphFont"/>
    <w:uiPriority w:val="99"/>
    <w:unhideWhenUsed/>
    <w:rsid w:val="00265174"/>
    <w:rPr>
      <w:color w:val="467886" w:themeColor="hyperlink"/>
      <w:u w:val="single"/>
    </w:rPr>
  </w:style>
  <w:style w:type="table" w:styleId="TableGrid">
    <w:name w:val="Table Grid"/>
    <w:basedOn w:val="TableNormal"/>
    <w:uiPriority w:val="39"/>
    <w:rsid w:val="00265174"/>
    <w:pPr>
      <w:spacing w:after="0" w:line="240" w:lineRule="auto"/>
    </w:pPr>
    <w:tblPr/>
  </w:style>
  <w:style w:type="character" w:styleId="FollowedHyperlink">
    <w:name w:val="FollowedHyperlink"/>
    <w:basedOn w:val="DefaultParagraphFont"/>
    <w:uiPriority w:val="99"/>
    <w:semiHidden/>
    <w:unhideWhenUsed/>
    <w:rsid w:val="002651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europa.eu/eurobarometer/surveys/detail/3383" TargetMode="External"/><Relationship Id="rId26" Type="http://schemas.openxmlformats.org/officeDocument/2006/relationships/hyperlink" Target="https://op.europa.eu/ro/publication-detail/-/publication/3e1e2228-7c97-11eb-9ac9-01aa75ed71a1" TargetMode="External"/><Relationship Id="rId39" Type="http://schemas.openxmlformats.org/officeDocument/2006/relationships/hyperlink" Target="https://ec.europa.eu/info/funding-tenders/opportunities/portal/screen/programmes/cerv" TargetMode="External"/><Relationship Id="rId21" Type="http://schemas.openxmlformats.org/officeDocument/2006/relationships/hyperlink" Target="https://european-union.europa.eu/contact-eu/meet-us/find-closest-europe-direct-centre_ro" TargetMode="External"/><Relationship Id="rId34" Type="http://schemas.openxmlformats.org/officeDocument/2006/relationships/hyperlink" Target="https://eur-lex.europa.eu/eli/reg/2024/1624/oj" TargetMode="External"/><Relationship Id="rId42" Type="http://schemas.openxmlformats.org/officeDocument/2006/relationships/hyperlink" Target="https://eur-lex.europa.eu/eli/reg/2024/2509/oj" TargetMode="External"/><Relationship Id="rId47" Type="http://schemas.openxmlformats.org/officeDocument/2006/relationships/hyperlink" Target="https://youth.europa.eu/solidarity/mission_ro" TargetMode="External"/><Relationship Id="rId50" Type="http://schemas.openxmlformats.org/officeDocument/2006/relationships/hyperlink" Target="https://pfddialogue.eu/" TargetMode="External"/><Relationship Id="rId55" Type="http://schemas.openxmlformats.org/officeDocument/2006/relationships/hyperlink" Target="https://www.eeas.europa.eu/sites/default/files/documents/2024/Action-Plan-EN_2020-2027.pdf" TargetMode="External"/><Relationship Id="rId63" Type="http://schemas.openxmlformats.org/officeDocument/2006/relationships/hyperlink" Target="https://international-partnerships.ec.europa.eu/funding-and-technical-assistance/funding-instruments/global-europe-neighbourhood-development-and-international-cooperation-instrument_en" TargetMode="External"/><Relationship Id="rId68"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esc.europa.eu/en/our-work/opinions-information-reports/opinions/eu-strategy-support-protect-and-empower-civil-society" TargetMode="External"/><Relationship Id="rId29" Type="http://schemas.openxmlformats.org/officeDocument/2006/relationships/hyperlink" Target="https://eur-lex.europa.eu/eli/reco/2023/2836/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ruralpact.rural-vision.europa.eu/index_en" TargetMode="External"/><Relationship Id="rId32" Type="http://schemas.openxmlformats.org/officeDocument/2006/relationships/hyperlink" Target="https://eur-lex.europa.eu/legal-content/RO/TXT/?uri=celex:52021DC0778" TargetMode="External"/><Relationship Id="rId37" Type="http://schemas.openxmlformats.org/officeDocument/2006/relationships/hyperlink" Target="https://eur-lex.europa.eu/eli/dir/2024/1069/oj" TargetMode="External"/><Relationship Id="rId40" Type="http://schemas.openxmlformats.org/officeDocument/2006/relationships/hyperlink" Target="https://ec.europa.eu/commission/presscorner/detail/ro/ip_20_181" TargetMode="External"/><Relationship Id="rId45" Type="http://schemas.openxmlformats.org/officeDocument/2006/relationships/hyperlink" Target="https://dearprogramme.eu/" TargetMode="External"/><Relationship Id="rId53" Type="http://schemas.openxmlformats.org/officeDocument/2006/relationships/hyperlink" Target="https://ec.europa.eu/echo/files/policies/sectoral/dg%20echo%20guidance%20note%20-%20promoting%20equitable%20partnerships%20with%20local%20responders%20in%20humanitarian%20settings.pdf" TargetMode="External"/><Relationship Id="rId58" Type="http://schemas.openxmlformats.org/officeDocument/2006/relationships/hyperlink" Target="https://www.consilium.europa.eu/ro/press/press-releases/2019/10/14/democracy-eu-adopts-conclusions/" TargetMode="External"/><Relationship Id="rId66"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commission.europa.eu/document/download/e6cd4328-673c-4e7a-8683-f63ffb2cf648_ro?filename=Political%20Guidelines%202024-2029_RO.pdf" TargetMode="External"/><Relationship Id="rId23" Type="http://schemas.openxmlformats.org/officeDocument/2006/relationships/hyperlink" Target="https://employment-social-affairs.ec.europa.eu/policies-and-activities/european-pillar-social-rights-building-fairer-and-more-inclusive-european-union_en" TargetMode="External"/><Relationship Id="rId28" Type="http://schemas.openxmlformats.org/officeDocument/2006/relationships/hyperlink" Target="https://fra.europa.eu/ro/cooperare/societatea-civila-si-platforma-drepturilor-fundamentale" TargetMode="External"/><Relationship Id="rId36" Type="http://schemas.openxmlformats.org/officeDocument/2006/relationships/hyperlink" Target="https://fra.europa.eu/fr/cooperation/civil-society/civil-society-space" TargetMode="External"/><Relationship Id="rId49" Type="http://schemas.openxmlformats.org/officeDocument/2006/relationships/hyperlink" Target="https://www.eeas.europa.eu/eeas/eu-ngo-human-rights-forum_und_en" TargetMode="External"/><Relationship Id="rId57" Type="http://schemas.openxmlformats.org/officeDocument/2006/relationships/hyperlink" Target="https://www.eeas.europa.eu/sites/default/files/eu_guidelines_hrd_en.pdf" TargetMode="External"/><Relationship Id="rId61" Type="http://schemas.openxmlformats.org/officeDocument/2006/relationships/hyperlink" Target="https://home-affairs.ec.europa.eu/document/download/1d79f44d-49ba-4847-951e-129f924b1051_en?filename=Commission+Implementing+Decision+C%282024%29+4319-annex_en.PDF" TargetMode="External"/><Relationship Id="rId10" Type="http://schemas.openxmlformats.org/officeDocument/2006/relationships/header" Target="header2.xml"/><Relationship Id="rId19" Type="http://schemas.openxmlformats.org/officeDocument/2006/relationships/hyperlink" Target="https://ec.europa.eu/info/law/law-making-process/planning-and-proposing-law/better-regulation-why-and-how/better-regulation-guidelines-and-toolbox_ro" TargetMode="External"/><Relationship Id="rId31" Type="http://schemas.openxmlformats.org/officeDocument/2006/relationships/hyperlink" Target="https://eur-lex.europa.eu/legal-content/RO/TXT/?uri=CELEX%3A52022DC0716" TargetMode="External"/><Relationship Id="rId44" Type="http://schemas.openxmlformats.org/officeDocument/2006/relationships/hyperlink" Target="https://www.europarl.europa.eu/cmsdata/290965/Guidance_funding%20to%20lobbying%20activities_final%20Ares(2024)3320196-%2007052024.pdf" TargetMode="External"/><Relationship Id="rId52" Type="http://schemas.openxmlformats.org/officeDocument/2006/relationships/hyperlink" Target="https://international-partnerships.ec.europa.eu/policies/global-gateway/governance/global-gateway-civil-society-and-local-authorities-advisory-platform_en" TargetMode="External"/><Relationship Id="rId60" Type="http://schemas.openxmlformats.org/officeDocument/2006/relationships/hyperlink" Target="https://north-africa-middle-east-gulf.ec.europa.eu/joint-communication-pact-mediterranean_en" TargetMode="External"/><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ommission.europa.eu/business-economy-euro/european-semester_ro" TargetMode="External"/><Relationship Id="rId27" Type="http://schemas.openxmlformats.org/officeDocument/2006/relationships/hyperlink" Target="https://eu-for-children.europa.eu/eu-childrens-participation-platform_en" TargetMode="External"/><Relationship Id="rId30" Type="http://schemas.openxmlformats.org/officeDocument/2006/relationships/hyperlink" Target="https://europa.eu/eurobarometer/surveys/detail/3224" TargetMode="External"/><Relationship Id="rId35" Type="http://schemas.openxmlformats.org/officeDocument/2006/relationships/hyperlink" Target="https://commission.europa.eu/strategy-and-policy/policies/justice-and-fundamental-rights/upholding-rule-law/rule-law/annual-rule-law-cycle_ro" TargetMode="External"/><Relationship Id="rId43" Type="http://schemas.openxmlformats.org/officeDocument/2006/relationships/hyperlink" Target="https://employment-social-affairs.ec.europa.eu/policies-and-activities/funding/european-social-fund-plus-esf/what-arachne_en" TargetMode="External"/><Relationship Id="rId48" Type="http://schemas.openxmlformats.org/officeDocument/2006/relationships/hyperlink" Target="https://research-and-innovation.ec.europa.eu/funding/funding-opportunities/funding-programmes-and-open-calls/horizon-europe_en" TargetMode="External"/><Relationship Id="rId56" Type="http://schemas.openxmlformats.org/officeDocument/2006/relationships/hyperlink" Target="https://www.eeas.europa.eu/eeas/eu-human-rights-guidelines_en" TargetMode="External"/><Relationship Id="rId64" Type="http://schemas.openxmlformats.org/officeDocument/2006/relationships/header" Target="header4.xml"/><Relationship Id="rId69" Type="http://schemas.openxmlformats.org/officeDocument/2006/relationships/footer" Target="footer6.xml"/><Relationship Id="rId8" Type="http://schemas.openxmlformats.org/officeDocument/2006/relationships/image" Target="media/image1.emf"/><Relationship Id="rId51" Type="http://schemas.openxmlformats.org/officeDocument/2006/relationships/hyperlink" Target="https://commission.europa.eu/topics/international-partnerships/global-gateway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uropa.eu/eurobarometer/surveys/detail/2971" TargetMode="External"/><Relationship Id="rId25" Type="http://schemas.openxmlformats.org/officeDocument/2006/relationships/hyperlink" Target="https://ec.europa.eu/transparency/expert-groups-register/screen/expert-groups/consult?lang=ro&amp;groupID=3820" TargetMode="External"/><Relationship Id="rId33" Type="http://schemas.openxmlformats.org/officeDocument/2006/relationships/hyperlink" Target="https://eur-lex.europa.eu/eli/C/2023/1344/oj" TargetMode="External"/><Relationship Id="rId38" Type="http://schemas.openxmlformats.org/officeDocument/2006/relationships/hyperlink" Target="https://eur-lex.europa.eu/legal-content/RO/TXT/?uri=CELEX%3A32022H0758" TargetMode="External"/><Relationship Id="rId46" Type="http://schemas.openxmlformats.org/officeDocument/2006/relationships/hyperlink" Target="https://erasmus-plus.ec.europa.eu/ro" TargetMode="External"/><Relationship Id="rId59" Type="http://schemas.openxmlformats.org/officeDocument/2006/relationships/hyperlink" Target="https://www.eeas.europa.eu/eeas/eu-annual-reports-human-rights-and-democracy_en" TargetMode="External"/><Relationship Id="rId67" Type="http://schemas.openxmlformats.org/officeDocument/2006/relationships/footer" Target="footer5.xml"/><Relationship Id="rId20" Type="http://schemas.openxmlformats.org/officeDocument/2006/relationships/hyperlink" Target="https://eu-local-councillors.europa.eu/index_en" TargetMode="External"/><Relationship Id="rId41" Type="http://schemas.openxmlformats.org/officeDocument/2006/relationships/hyperlink" Target="https://eeagrants.org/en/fmo/areas-of-work/civil-society-fund" TargetMode="External"/><Relationship Id="rId54" Type="http://schemas.openxmlformats.org/officeDocument/2006/relationships/hyperlink" Target="https://eur-lex.europa.eu/legal-content/RO/TXT/?uri=celex:52012DC0492" TargetMode="External"/><Relationship Id="rId62" Type="http://schemas.openxmlformats.org/officeDocument/2006/relationships/hyperlink" Target="https://democracyendowment.eu/about/about-eed"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RO/TXT/HTML/?uri=CELEX:52025JC0130" TargetMode="External"/><Relationship Id="rId18" Type="http://schemas.openxmlformats.org/officeDocument/2006/relationships/hyperlink" Target="https://www.civilsocietyforumondrugs.eu/" TargetMode="External"/><Relationship Id="rId26" Type="http://schemas.openxmlformats.org/officeDocument/2006/relationships/hyperlink" Target="https://fra.europa.eu/sites/default/files/fra_uploads/report-key-findings-fra-civic-space-consultation-2024_en_0.pdf" TargetMode="External"/><Relationship Id="rId39" Type="http://schemas.openxmlformats.org/officeDocument/2006/relationships/hyperlink" Target="https://new-european-bauhaus.europa.eu/index_en" TargetMode="External"/><Relationship Id="rId21" Type="http://schemas.openxmlformats.org/officeDocument/2006/relationships/hyperlink" Target="https://commission.europa.eu/strategy-and-policy/policies/justice-and-fundamental-rights/combatting-discrimination/racism-and-xenophobia/consultation-process_en" TargetMode="External"/><Relationship Id="rId34" Type="http://schemas.openxmlformats.org/officeDocument/2006/relationships/hyperlink" Target="https://www.ohchr.org/sites/default/files/Documents/Issues/CivicSpace/UN_Guidance_Note.pdf" TargetMode="External"/><Relationship Id="rId42" Type="http://schemas.openxmlformats.org/officeDocument/2006/relationships/hyperlink" Target="https://eur-lex.europa.eu/eli/reg/2024/1624/oj" TargetMode="External"/><Relationship Id="rId47" Type="http://schemas.openxmlformats.org/officeDocument/2006/relationships/hyperlink" Target="https://eur-lex.europa.eu/legal-content/RO/TXT/?uri=oj:JOC_2022_347_R_0002" TargetMode="External"/><Relationship Id="rId50" Type="http://schemas.openxmlformats.org/officeDocument/2006/relationships/hyperlink" Target="https://www.nhc.nl/macs/" TargetMode="External"/><Relationship Id="rId55" Type="http://schemas.openxmlformats.org/officeDocument/2006/relationships/hyperlink" Target="https://rule-of-law.ennhri.org/" TargetMode="External"/><Relationship Id="rId63" Type="http://schemas.openxmlformats.org/officeDocument/2006/relationships/hyperlink" Target="https://julkaisut.valtioneuvosto.fi/handle/10024/165691" TargetMode="External"/><Relationship Id="rId68" Type="http://schemas.openxmlformats.org/officeDocument/2006/relationships/hyperlink" Target="https://eur-lex.europa.eu/eli/reg/2024/2509/oj" TargetMode="External"/><Relationship Id="rId76" Type="http://schemas.openxmlformats.org/officeDocument/2006/relationships/hyperlink" Target="https://eur-lex.europa.eu/legal-content/RO/TXT/?uri=celex:52024DC0456" TargetMode="External"/><Relationship Id="rId7" Type="http://schemas.openxmlformats.org/officeDocument/2006/relationships/hyperlink" Target="https://eur-lex.europa.eu/legal-content/RO/TXT/?uri=celex:52012DC0492" TargetMode="External"/><Relationship Id="rId71" Type="http://schemas.openxmlformats.org/officeDocument/2006/relationships/hyperlink" Target="https://ec.europa.eu/budget/financial-transparency-system/" TargetMode="External"/><Relationship Id="rId2" Type="http://schemas.openxmlformats.org/officeDocument/2006/relationships/hyperlink" Target="https://eur-lex.europa.eu/legal-content/RO/TXT/?uri=CELEX%3A52022DC0716" TargetMode="External"/><Relationship Id="rId16" Type="http://schemas.openxmlformats.org/officeDocument/2006/relationships/hyperlink" Target="https://home-affairs.ec.europa.eu/policies/internal-security/organised-crime-and-human-trafficking/together-against-trafficking-human-beings/intensifying-coordinated-response_en" TargetMode="External"/><Relationship Id="rId29" Type="http://schemas.openxmlformats.org/officeDocument/2006/relationships/hyperlink" Target="https://ec.europa.eu/info/law/better-regulation/have-your-say/initiatives/14588-EU-Civil-Society-Strategy-_ro" TargetMode="External"/><Relationship Id="rId11" Type="http://schemas.openxmlformats.org/officeDocument/2006/relationships/hyperlink" Target="https://eur-lex.europa.eu/legal-content/RO/TXT/PDF/?uri=OJ:L_202401069" TargetMode="External"/><Relationship Id="rId24" Type="http://schemas.openxmlformats.org/officeDocument/2006/relationships/hyperlink" Target="https://commission.europa.eu/strategy-and-policy/policies/consumers/consumer-protection-policy/our-partners-consumer-issues/consumer-policy-advisory-group-cpag_en" TargetMode="External"/><Relationship Id="rId32" Type="http://schemas.openxmlformats.org/officeDocument/2006/relationships/hyperlink" Target="https://www.opengovpartnership.org/ogp-participation-co-creation-standards/" TargetMode="External"/><Relationship Id="rId37" Type="http://schemas.openxmlformats.org/officeDocument/2006/relationships/hyperlink" Target="https://eur-lex.europa.eu/legal-content/RO/TXT/?uri=celex:52020DC0790" TargetMode="External"/><Relationship Id="rId40" Type="http://schemas.openxmlformats.org/officeDocument/2006/relationships/hyperlink" Target="https://ec.europa.eu/info/law/better-regulation/have-your-say/initiatives/14514-Agenda-privind-consumatorii-2025-2030-si-planul-de-actiune-privind-consumatorii-in-cadrul-pietei-unice_ro" TargetMode="External"/><Relationship Id="rId45" Type="http://schemas.openxmlformats.org/officeDocument/2006/relationships/hyperlink" Target="https://www.ohchr.org/en/documents/tools-and-resources/transnational-repression" TargetMode="External"/><Relationship Id="rId53" Type="http://schemas.openxmlformats.org/officeDocument/2006/relationships/hyperlink" Target="https://csometer.info/" TargetMode="External"/><Relationship Id="rId58" Type="http://schemas.openxmlformats.org/officeDocument/2006/relationships/hyperlink" Target="https://www.opengovpartnership.org/how-we-work/accountability/" TargetMode="External"/><Relationship Id="rId66" Type="http://schemas.openxmlformats.org/officeDocument/2006/relationships/hyperlink" Target="https://ec.europa.eu/regional_policy/in-your-country/managing-authorities_en" TargetMode="External"/><Relationship Id="rId74" Type="http://schemas.openxmlformats.org/officeDocument/2006/relationships/hyperlink" Target="https://eur-lex.europa.eu/legal-content/EN/TXT/?uri=celex:52024DC0456" TargetMode="External"/><Relationship Id="rId79" Type="http://schemas.openxmlformats.org/officeDocument/2006/relationships/hyperlink" Target="https://data.consilium.europa.eu/doc/document/ST-9508-2024-INIT/ro/pdf" TargetMode="External"/><Relationship Id="rId5" Type="http://schemas.openxmlformats.org/officeDocument/2006/relationships/hyperlink" Target="https://eur-lex.europa.eu/eli/reco/2023/2836/oj" TargetMode="External"/><Relationship Id="rId61" Type="http://schemas.openxmlformats.org/officeDocument/2006/relationships/hyperlink" Target="https://www.bmbfsfj.bund.de/bmbfsfj/meta/en/civic-engagement-policy" TargetMode="External"/><Relationship Id="rId82" Type="http://schemas.openxmlformats.org/officeDocument/2006/relationships/hyperlink" Target="https://ec.europa.eu/commission/presscorner/detail/ro/ip_22_5808." TargetMode="External"/><Relationship Id="rId10" Type="http://schemas.openxmlformats.org/officeDocument/2006/relationships/hyperlink" Target="https://www.eeas.europa.eu/sites/default/files/eu_guidelines_hrd_en.pdf" TargetMode="External"/><Relationship Id="rId19" Type="http://schemas.openxmlformats.org/officeDocument/2006/relationships/hyperlink" Target="https://www.eeas.europa.eu/eeas/eu-ngo-human-rights-forum_und_en" TargetMode="External"/><Relationship Id="rId31" Type="http://schemas.openxmlformats.org/officeDocument/2006/relationships/hyperlink" Target="https://www.coe.int/en/web/ingo/civil-participation" TargetMode="External"/><Relationship Id="rId44" Type="http://schemas.openxmlformats.org/officeDocument/2006/relationships/hyperlink" Target="https://ec.europa.eu/info/law/better-regulation/have-your-say/initiatives/14588-EU-Civil-Society-Strategy-_ro" TargetMode="External"/><Relationship Id="rId52" Type="http://schemas.openxmlformats.org/officeDocument/2006/relationships/hyperlink" Target="https://library.tacso.eu/dg-near-guidelines-for-eu-support-to-civil-society-in-the-enlargement-region-2023-assessment/" TargetMode="External"/><Relationship Id="rId60" Type="http://schemas.openxmlformats.org/officeDocument/2006/relationships/hyperlink" Target="https://vlada.gov.cz/assets/ppov/rnno/dokumenty/Strategy_NGO_ENG_fin.pdf" TargetMode="External"/><Relationship Id="rId65" Type="http://schemas.openxmlformats.org/officeDocument/2006/relationships/hyperlink" Target="https://toneshift.org/" TargetMode="External"/><Relationship Id="rId73" Type="http://schemas.openxmlformats.org/officeDocument/2006/relationships/hyperlink" Target="https://ec.europa.eu/info/law/better-regulation/have-your-say/initiatives/14588-EU-Civil-Society-Strategy-_ro" TargetMode="External"/><Relationship Id="rId78" Type="http://schemas.openxmlformats.org/officeDocument/2006/relationships/hyperlink" Target="https://www.pilnet.org/access-legal-help/" TargetMode="External"/><Relationship Id="rId81" Type="http://schemas.openxmlformats.org/officeDocument/2006/relationships/hyperlink" Target="https://home-affairs.ec.europa.eu/funding/borders-and-visa-funds/integrated-border-management-fund-border-management-and-visa-instrument-2021-27_en" TargetMode="External"/><Relationship Id="rId4" Type="http://schemas.openxmlformats.org/officeDocument/2006/relationships/hyperlink" Target="https://data.consilium.europa.eu/doc/document/ST-7388-2023-INIT/ro/pdf" TargetMode="External"/><Relationship Id="rId9" Type="http://schemas.openxmlformats.org/officeDocument/2006/relationships/hyperlink" Target="https://eur-lex.europa.eu/eli/reg/2024/2509/oj" TargetMode="External"/><Relationship Id="rId14" Type="http://schemas.openxmlformats.org/officeDocument/2006/relationships/hyperlink" Target="https://new-european-bauhaus.europa.eu/tools-and-resources/use-compass_en" TargetMode="External"/><Relationship Id="rId22" Type="http://schemas.openxmlformats.org/officeDocument/2006/relationships/hyperlink" Target="https://commission.europa.eu/strategy-and-policy/policies/justice-and-fundamental-rights/criminal-justice/protecting-victims-rights/victims-rights-platform_en" TargetMode="External"/><Relationship Id="rId27" Type="http://schemas.openxmlformats.org/officeDocument/2006/relationships/hyperlink" Target="https://ec.europa.eu/info/law/better-regulation/have-your-say/initiatives/14588-EU-Civil-Society-Strategy-_ro" TargetMode="External"/><Relationship Id="rId30" Type="http://schemas.openxmlformats.org/officeDocument/2006/relationships/hyperlink" Target="https://www.coe.int/en/web/portal/-/secretary-general-s-roadmap-on-civil-society-engagement-with-the-council-of-europe" TargetMode="External"/><Relationship Id="rId35" Type="http://schemas.openxmlformats.org/officeDocument/2006/relationships/hyperlink" Target="https://www.oecd.org/content/dam/oecd/en/publications/reports/2022/12/the-protection-and-promotion-of-civic-space_c8a8caac/d234e975-en.pdf" TargetMode="External"/><Relationship Id="rId43" Type="http://schemas.openxmlformats.org/officeDocument/2006/relationships/hyperlink" Target="https://fra.europa.eu/sites/default/files/fra_uploads/report-key-findings-fra-civic-space-consultation-2024_en_0.pdf" TargetMode="External"/><Relationship Id="rId48" Type="http://schemas.openxmlformats.org/officeDocument/2006/relationships/hyperlink" Target="https://fra.europa.eu/en/publication/2023/civic-space-2023-update?page=2" TargetMode="External"/><Relationship Id="rId56" Type="http://schemas.openxmlformats.org/officeDocument/2006/relationships/hyperlink" Target="https://monitor.civicus.org/" TargetMode="External"/><Relationship Id="rId64" Type="http://schemas.openxmlformats.org/officeDocument/2006/relationships/hyperlink" Target="https://oikeusministerio.fi/en/project?tunnus=OM036:00/2021" TargetMode="External"/><Relationship Id="rId69" Type="http://schemas.openxmlformats.org/officeDocument/2006/relationships/hyperlink" Target="https://commission.europa.eu/funding-tenders/how-apply/eligibility-who-can-get-funding/funding-opportunities-ngos_ro" TargetMode="External"/><Relationship Id="rId77" Type="http://schemas.openxmlformats.org/officeDocument/2006/relationships/hyperlink" Target="https://commission.europa.eu/strategy-and-policy/eu-budget/long-term-eu-budget/eu-budget-2028-2034_en" TargetMode="External"/><Relationship Id="rId8" Type="http://schemas.openxmlformats.org/officeDocument/2006/relationships/hyperlink" Target="https://eur-lex.europa.eu/legal-content/RO/TXT/?uri=celex:52012DC0492" TargetMode="External"/><Relationship Id="rId51" Type="http://schemas.openxmlformats.org/officeDocument/2006/relationships/hyperlink" Target="https://eur-lex.europa.eu/eli/C/2023/1344/oj/eng" TargetMode="External"/><Relationship Id="rId72" Type="http://schemas.openxmlformats.org/officeDocument/2006/relationships/hyperlink" Target="https://www.eca.europa.eu/ro/publications/sr-2025-11" TargetMode="External"/><Relationship Id="rId80" Type="http://schemas.openxmlformats.org/officeDocument/2006/relationships/hyperlink" Target="https://international-partnerships.ec.europa.eu/document/download/54c77670-4179-49f0-9af3-d1b18ff2d41f_en?filename=swd-2021-human-right-based" TargetMode="External"/><Relationship Id="rId3" Type="http://schemas.openxmlformats.org/officeDocument/2006/relationships/hyperlink" Target="https://www.europarl.europa.eu/doceo/document/A-9-2022-0032_RO.html" TargetMode="External"/><Relationship Id="rId12" Type="http://schemas.openxmlformats.org/officeDocument/2006/relationships/hyperlink" Target="https://eur-lex.europa.eu/legal-content/RO/TXT/?uri=CELEX%3A52022DC0716" TargetMode="External"/><Relationship Id="rId17" Type="http://schemas.openxmlformats.org/officeDocument/2006/relationships/hyperlink" Target="https://ec.europa.eu/transparency/expert-groups-register/screen/expert-groups/consult?lang=ro&amp;groupID=3734" TargetMode="External"/><Relationship Id="rId25" Type="http://schemas.openxmlformats.org/officeDocument/2006/relationships/hyperlink" Target="https://fra.europa.eu/en/publication/2023/civic-space-2023-update" TargetMode="External"/><Relationship Id="rId33" Type="http://schemas.openxmlformats.org/officeDocument/2006/relationships/hyperlink" Target="https://www.oecd.org/content/dam/oecd/en/publications/reports/2025/01/towards-meaningful-civil-society-participation-at-the-international-level_99c618fe/8ed04dc2-en.pdf" TargetMode="External"/><Relationship Id="rId38" Type="http://schemas.openxmlformats.org/officeDocument/2006/relationships/hyperlink" Target="https://commission.europa.eu/topics/justice-and-fundamental-rights/equality-and-inclusion-key-actions_ro" TargetMode="External"/><Relationship Id="rId46" Type="http://schemas.openxmlformats.org/officeDocument/2006/relationships/hyperlink" Target="https://home-affairs.ec.europa.eu/document/download/1d79f44d-49ba-4847-951e-129f924b1051_en?filename=Commission+Implementing+Decision+C%282024%29+4319-annex_en.PDF" TargetMode="External"/><Relationship Id="rId59" Type="http://schemas.openxmlformats.org/officeDocument/2006/relationships/hyperlink" Target="https://fom.coe.int/en/accueil" TargetMode="External"/><Relationship Id="rId67" Type="http://schemas.openxmlformats.org/officeDocument/2006/relationships/hyperlink" Target="https://eur-lex.europa.eu/eli/reg/2024/2509/oj" TargetMode="External"/><Relationship Id="rId20" Type="http://schemas.openxmlformats.org/officeDocument/2006/relationships/hyperlink" Target="https://policy.trade.ec.europa.eu/analysis-and-assessment/eu-trade-meetings-civil-society_en" TargetMode="External"/><Relationship Id="rId41" Type="http://schemas.openxmlformats.org/officeDocument/2006/relationships/hyperlink" Target="https://data.consilium.europa.eu/doc/document/ST-7388-2023-INIT/ro/pdf" TargetMode="External"/><Relationship Id="rId54" Type="http://schemas.openxmlformats.org/officeDocument/2006/relationships/hyperlink" Target="https://epd.eu/what-we-do/policy/civic-space/" TargetMode="External"/><Relationship Id="rId62" Type="http://schemas.openxmlformats.org/officeDocument/2006/relationships/hyperlink" Target="https://www.sm.dk/Media/637769799865004021/Aftale_udmoentning_af_SSA-reserven_2022-2025_tilg.pdf" TargetMode="External"/><Relationship Id="rId70" Type="http://schemas.openxmlformats.org/officeDocument/2006/relationships/hyperlink" Target="https://op.europa.eu/ro/publication-detail/-/publication/93c4192d-aa07-43f6-b78e-f1d236b54cb8" TargetMode="External"/><Relationship Id="rId75" Type="http://schemas.openxmlformats.org/officeDocument/2006/relationships/hyperlink" Target="https://eur-lex.europa.eu/legal-content/RO/TXT/?uri=celex:52025DC0266" TargetMode="External"/><Relationship Id="rId1" Type="http://schemas.openxmlformats.org/officeDocument/2006/relationships/hyperlink" Target="https://eur-lex.europa.eu/legal-content/RO/TXT/?uri=celex:52020DC0711" TargetMode="External"/><Relationship Id="rId6" Type="http://schemas.openxmlformats.org/officeDocument/2006/relationships/hyperlink" Target="https://enlargement.ec.europa.eu/dg-near-guidelines-eu-support-civil-society-enlargement-region-2021-2027_en" TargetMode="External"/><Relationship Id="rId15" Type="http://schemas.openxmlformats.org/officeDocument/2006/relationships/hyperlink" Target="https://youth.europa.eu/strategy/euyouthstrategygroup_ro" TargetMode="External"/><Relationship Id="rId23" Type="http://schemas.openxmlformats.org/officeDocument/2006/relationships/hyperlink" Target="https://commission.europa.eu/strategy-and-policy/policies/justice-and-fundamental-rights/combatting-discrimination/roma-eu/european-roma-platform-roma-summits_en" TargetMode="External"/><Relationship Id="rId28" Type="http://schemas.openxmlformats.org/officeDocument/2006/relationships/hyperlink" Target="https://www.europarl.europa.eu/cmsdata/290965/Guidance_funding%20to%20lobbying%20activities_final%20Ares(2024)3320196-%2007052024.pdf" TargetMode="External"/><Relationship Id="rId36" Type="http://schemas.openxmlformats.org/officeDocument/2006/relationships/hyperlink" Target="https://eur-lex.europa.eu/legal-content/RO/TXT/?uri=celex:52020DC0711" TargetMode="External"/><Relationship Id="rId49" Type="http://schemas.openxmlformats.org/officeDocument/2006/relationships/hyperlink" Target="https://enlargement.ec.europa.eu/enlargement-policy/strategy-and-reports_en" TargetMode="External"/><Relationship Id="rId57" Type="http://schemas.openxmlformats.org/officeDocument/2006/relationships/hyperlink" Target="https://www.ohchr.org/en/documents/thematic-reports/ahrc5731-civil-society-s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C2260-AC85-42A3-A6A8-CDBAA9A8F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10796</Words>
  <Characters>61541</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2025-11-09T17:47:00Z</dcterms:created>
  <dcterms:modified xsi:type="dcterms:W3CDTF">2025-12-12T17:27:00Z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2025-11-07T18:50:29Z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05009710-3d00-4d98-ae03-a791a9babc41</vt:lpwstr>
  </property>
  <property fmtid="{D5CDD505-2E9C-101B-9397-08002B2CF9AE}" pid="10" name="MSIP_Label_6bd9ddd1-4d20-43f6-abfa-fc3c07406f94_ContentBits">
    <vt:lpwstr>0</vt:lpwstr>
  </property>
  <property fmtid="{D5CDD505-2E9C-101B-9397-08002B2CF9AE}" pid="11" name="MSIP_Label_6bd9ddd1-4d20-43f6-abfa-fc3c07406f94_Tag">
    <vt:lpwstr>10, 3, 0, 2</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