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80E528" w14:textId="6BC675B3" w:rsidR="008F254C" w:rsidRPr="003B2C34" w:rsidRDefault="006307CD" w:rsidP="006307CD">
      <w:pPr>
        <w:pStyle w:val="Pagedecouverture"/>
      </w:pPr>
      <w:bookmarkStart w:id="0" w:name="LW_BM_COVERPAGE"/>
      <w:r>
        <w:pict w14:anchorId="01DB6FE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F840D60-ADB5-4330-97A7-8DC2ED6ECF77" style="width:455.15pt;height:299.95pt">
            <v:imagedata r:id="rId11" o:title=""/>
          </v:shape>
        </w:pict>
      </w:r>
    </w:p>
    <w:bookmarkEnd w:id="0"/>
    <w:p w14:paraId="1DB0F9D8" w14:textId="77777777" w:rsidR="00B67BB0" w:rsidRPr="003B2C34" w:rsidRDefault="00B67BB0" w:rsidP="00B67BB0">
      <w:pPr>
        <w:pStyle w:val="Pagedecouverture"/>
        <w:sectPr w:rsidR="00B67BB0" w:rsidRPr="003B2C34" w:rsidSect="006307CD">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385B3639" w14:textId="00053CE0" w:rsidR="00776668" w:rsidRPr="003B2C34" w:rsidRDefault="00776668" w:rsidP="00DA52EA">
      <w:pPr>
        <w:outlineLvl w:val="0"/>
        <w:rPr>
          <w:rFonts w:ascii="Times New Roman" w:hAnsi="Times New Roman" w:cs="Times New Roman"/>
          <w:b/>
          <w:sz w:val="24"/>
          <w:szCs w:val="24"/>
        </w:rPr>
      </w:pPr>
      <w:bookmarkStart w:id="1" w:name="_GoBack"/>
      <w:bookmarkEnd w:id="1"/>
      <w:r w:rsidRPr="003B2C34">
        <w:rPr>
          <w:rFonts w:ascii="Times New Roman" w:hAnsi="Times New Roman"/>
          <w:b/>
        </w:rPr>
        <w:lastRenderedPageBreak/>
        <w:t xml:space="preserve">1. </w:t>
      </w:r>
      <w:r w:rsidRPr="003B2C34">
        <w:rPr>
          <w:rFonts w:ascii="Times New Roman" w:hAnsi="Times New Roman"/>
          <w:b/>
          <w:sz w:val="24"/>
        </w:rPr>
        <w:t>Introduction — Faciliter l’accès aux données pour l’intelligence artificielle</w:t>
      </w:r>
    </w:p>
    <w:p w14:paraId="01D50D5C" w14:textId="0EBF7FFE" w:rsidR="0002445C" w:rsidRPr="003B2C34" w:rsidRDefault="0051373C" w:rsidP="0002445C">
      <w:pPr>
        <w:jc w:val="both"/>
        <w:rPr>
          <w:rFonts w:ascii="Times New Roman" w:hAnsi="Times New Roman" w:cs="Times New Roman"/>
          <w:sz w:val="24"/>
          <w:szCs w:val="24"/>
        </w:rPr>
      </w:pPr>
      <w:r w:rsidRPr="003B2C34">
        <w:rPr>
          <w:rFonts w:ascii="Times New Roman" w:hAnsi="Times New Roman"/>
          <w:sz w:val="24"/>
        </w:rPr>
        <w:t xml:space="preserve">L’intelligence artificielle métamorphose l’économie mondiale et l’UE a besoin de volumes massifs de données de grande qualité pour être compétitive et stimuler l’innovation. Sans ces données, l’UE ne peut ni mettre au point des modèles d’IA solides, ni optimiser les soins de santé ou le système énergétique, ni soutenir la primauté industrielle. Pour les petites et moyennes entreprises en particulier, un accès aux données amélioré sera déterminant pour l’expansion et le maintien de la compétitivité. </w:t>
      </w:r>
    </w:p>
    <w:p w14:paraId="74ECDE00" w14:textId="3C901B14" w:rsidR="00D12CFE" w:rsidRPr="003B2C34" w:rsidRDefault="0002445C" w:rsidP="0002445C">
      <w:pPr>
        <w:jc w:val="both"/>
        <w:rPr>
          <w:rFonts w:ascii="Times New Roman" w:hAnsi="Times New Roman" w:cs="Times New Roman"/>
          <w:sz w:val="24"/>
          <w:szCs w:val="24"/>
        </w:rPr>
      </w:pPr>
      <w:r w:rsidRPr="003B2C34">
        <w:rPr>
          <w:rFonts w:ascii="Times New Roman" w:hAnsi="Times New Roman"/>
          <w:sz w:val="24"/>
        </w:rPr>
        <w:t>L’UE a établi des bases solides pour la création d’un marché unique des données sûr et interopérable en adoptant des actes législatifs clés tels que le règlement sur les données</w:t>
      </w:r>
      <w:r w:rsidRPr="003B2C34">
        <w:rPr>
          <w:rStyle w:val="FootnoteReference"/>
          <w:rFonts w:ascii="Times New Roman" w:hAnsi="Times New Roman" w:cs="Times New Roman"/>
          <w:sz w:val="24"/>
          <w:szCs w:val="24"/>
        </w:rPr>
        <w:footnoteReference w:id="2"/>
      </w:r>
      <w:r w:rsidRPr="003B2C34">
        <w:rPr>
          <w:rFonts w:ascii="Times New Roman" w:hAnsi="Times New Roman"/>
          <w:sz w:val="24"/>
        </w:rPr>
        <w:t xml:space="preserve"> et en investissant dans des espaces européens communs de données</w:t>
      </w:r>
      <w:r w:rsidRPr="003B2C34">
        <w:rPr>
          <w:rStyle w:val="FootnoteReference"/>
          <w:rFonts w:ascii="Times New Roman" w:hAnsi="Times New Roman" w:cs="Times New Roman"/>
          <w:sz w:val="24"/>
          <w:szCs w:val="24"/>
        </w:rPr>
        <w:footnoteReference w:id="3"/>
      </w:r>
      <w:r w:rsidRPr="003B2C34">
        <w:rPr>
          <w:rFonts w:ascii="Times New Roman" w:hAnsi="Times New Roman"/>
          <w:sz w:val="24"/>
        </w:rPr>
        <w:t>. Dans le même temps, le plan d’action pour un continent de l’IA</w:t>
      </w:r>
      <w:r w:rsidRPr="003B2C34">
        <w:rPr>
          <w:rStyle w:val="FootnoteReference"/>
          <w:rFonts w:ascii="Times New Roman" w:hAnsi="Times New Roman" w:cs="Times New Roman"/>
          <w:sz w:val="24"/>
          <w:szCs w:val="24"/>
        </w:rPr>
        <w:footnoteReference w:id="4"/>
      </w:r>
      <w:r w:rsidRPr="003B2C34">
        <w:rPr>
          <w:rFonts w:ascii="Times New Roman" w:hAnsi="Times New Roman"/>
          <w:sz w:val="24"/>
        </w:rPr>
        <w:t xml:space="preserve"> et la stratégie pour l’application de l’IA</w:t>
      </w:r>
      <w:r w:rsidRPr="003B2C34">
        <w:rPr>
          <w:rStyle w:val="FootnoteReference"/>
          <w:rFonts w:ascii="Times New Roman" w:hAnsi="Times New Roman" w:cs="Times New Roman"/>
          <w:sz w:val="24"/>
          <w:szCs w:val="24"/>
        </w:rPr>
        <w:footnoteReference w:id="5"/>
      </w:r>
      <w:r w:rsidRPr="003B2C34">
        <w:rPr>
          <w:rFonts w:ascii="Times New Roman" w:hAnsi="Times New Roman"/>
          <w:sz w:val="24"/>
        </w:rPr>
        <w:t xml:space="preserve"> ont créé les conditions permettant à l’UE de jouer un rôle de premier plan dans le développement et l’adoption de l’IA. </w:t>
      </w:r>
    </w:p>
    <w:p w14:paraId="656E343F" w14:textId="3A0160B5" w:rsidR="0002445C" w:rsidRPr="003B2C34" w:rsidRDefault="00C704BD" w:rsidP="0002445C">
      <w:pPr>
        <w:jc w:val="both"/>
        <w:rPr>
          <w:rFonts w:ascii="Times New Roman" w:hAnsi="Times New Roman" w:cs="Times New Roman"/>
          <w:sz w:val="24"/>
          <w:szCs w:val="24"/>
        </w:rPr>
      </w:pPr>
      <w:r w:rsidRPr="003B2C34">
        <w:rPr>
          <w:rFonts w:ascii="Times New Roman" w:hAnsi="Times New Roman"/>
          <w:sz w:val="24"/>
        </w:rPr>
        <w:t xml:space="preserve">Toutefois, l’UE est confrontée à une pénurie de données servant au développement de l’IA et à une concurrence géopolitique qui s’intensifie, alors que les données apparaissent de plus en plus comme un atout stratégique. Bon nombre de données précieuses restent en silos ou sont sous-utilisées, notamment en raison du caractère hétérogène et complexe des règles en matière de données, tandis que nos concurrents sur la scène internationale nous devancent pour les exploiter et en tirer un avantage technologique et industriel. </w:t>
      </w:r>
    </w:p>
    <w:p w14:paraId="2E79BEED" w14:textId="15228618" w:rsidR="00BE71F4" w:rsidRPr="003B2C34" w:rsidRDefault="00D03413" w:rsidP="00B40F7F">
      <w:pPr>
        <w:jc w:val="both"/>
        <w:rPr>
          <w:rFonts w:ascii="Times New Roman" w:hAnsi="Times New Roman" w:cs="Times New Roman"/>
          <w:sz w:val="24"/>
          <w:szCs w:val="24"/>
        </w:rPr>
      </w:pPr>
      <w:r w:rsidRPr="003B2C34">
        <w:rPr>
          <w:rFonts w:ascii="Times New Roman" w:hAnsi="Times New Roman"/>
          <w:sz w:val="24"/>
        </w:rPr>
        <w:t xml:space="preserve">Afin de faciliter le respect des règles et d’améliorer la prévisibilité, le train de mesures omnibus sur le numérique propose de simplifier le paysage réglementaire relatif aux données en </w:t>
      </w:r>
      <w:r w:rsidRPr="003B2C34">
        <w:rPr>
          <w:rFonts w:ascii="Times New Roman" w:hAnsi="Times New Roman"/>
          <w:b/>
          <w:sz w:val="24"/>
        </w:rPr>
        <w:t>fusionnant quatre instruments juridiques pour obtenir un cadre de données unique et cohérent</w:t>
      </w:r>
      <w:r w:rsidRPr="003B2C34">
        <w:rPr>
          <w:rFonts w:ascii="Times New Roman" w:hAnsi="Times New Roman"/>
          <w:sz w:val="24"/>
        </w:rPr>
        <w:t xml:space="preserve">.  En outre, afin de soutenir les entreprises et de faciliter le respect des règles, la stratégie s’accompagnera d’un </w:t>
      </w:r>
      <w:r w:rsidRPr="003B2C34">
        <w:rPr>
          <w:rFonts w:ascii="Times New Roman" w:hAnsi="Times New Roman"/>
          <w:b/>
          <w:sz w:val="24"/>
        </w:rPr>
        <w:t>ensemble complet de mesures de soutien au titre du règlement sur les données</w:t>
      </w:r>
      <w:r w:rsidRPr="003B2C34">
        <w:rPr>
          <w:rFonts w:ascii="Times New Roman" w:hAnsi="Times New Roman"/>
          <w:sz w:val="24"/>
        </w:rPr>
        <w:t>. Des conditions contractuelles types, des clauses standard en matière d’informatique en nuage et un service d’assistance spécifique aideront les PME, en particulier, dans la gestion de leurs obligations et, en réduisant la complexité juridique, leur permettront de se concentrer sur l’innovation. Des clauses types s’appliqueront aux relations B2G et B2B, favorisant la création et le partage de données et la simplification des contrats</w:t>
      </w:r>
      <w:r w:rsidRPr="003B2C34">
        <w:rPr>
          <w:rFonts w:ascii="Times New Roman" w:hAnsi="Times New Roman" w:cs="Times New Roman"/>
          <w:sz w:val="24"/>
          <w:szCs w:val="24"/>
          <w:vertAlign w:val="superscript"/>
        </w:rPr>
        <w:footnoteReference w:id="6"/>
      </w:r>
      <w:r w:rsidRPr="003B2C34">
        <w:rPr>
          <w:rFonts w:ascii="Times New Roman" w:hAnsi="Times New Roman"/>
          <w:sz w:val="24"/>
        </w:rPr>
        <w:t>.</w:t>
      </w:r>
    </w:p>
    <w:p w14:paraId="344A33EB" w14:textId="7EECA67F" w:rsidR="006E18F5" w:rsidRPr="003B2C34" w:rsidRDefault="001F6D40" w:rsidP="006E18F5">
      <w:pPr>
        <w:jc w:val="both"/>
        <w:rPr>
          <w:rFonts w:ascii="Times New Roman" w:hAnsi="Times New Roman" w:cs="Times New Roman"/>
          <w:sz w:val="24"/>
          <w:szCs w:val="24"/>
        </w:rPr>
      </w:pPr>
      <w:r w:rsidRPr="003B2C34">
        <w:rPr>
          <w:rFonts w:ascii="Times New Roman" w:hAnsi="Times New Roman"/>
          <w:sz w:val="24"/>
        </w:rPr>
        <w:t>La stratégie pour une union des données met l’accent non plus sur les règles, mais sur les résultats. Pour ce faire, l’UE agira dans trois domaines prioritaires:</w:t>
      </w:r>
    </w:p>
    <w:p w14:paraId="03182E91" w14:textId="43139ABC" w:rsidR="00460B46" w:rsidRPr="003B2C34" w:rsidRDefault="00BA75E5" w:rsidP="00A55640">
      <w:pPr>
        <w:pStyle w:val="ListParagraph"/>
        <w:numPr>
          <w:ilvl w:val="0"/>
          <w:numId w:val="8"/>
        </w:numPr>
        <w:jc w:val="both"/>
        <w:rPr>
          <w:rFonts w:ascii="Times New Roman" w:hAnsi="Times New Roman" w:cs="Times New Roman"/>
          <w:sz w:val="24"/>
          <w:szCs w:val="24"/>
        </w:rPr>
      </w:pPr>
      <w:r w:rsidRPr="003B2C34">
        <w:rPr>
          <w:rFonts w:ascii="Times New Roman" w:hAnsi="Times New Roman"/>
          <w:sz w:val="24"/>
        </w:rPr>
        <w:t>permettre un</w:t>
      </w:r>
      <w:r w:rsidRPr="003B2C34">
        <w:rPr>
          <w:rFonts w:ascii="Times New Roman" w:hAnsi="Times New Roman"/>
          <w:b/>
          <w:sz w:val="24"/>
        </w:rPr>
        <w:t xml:space="preserve"> accès plus large aux données pour l’IA</w:t>
      </w:r>
      <w:r w:rsidRPr="003B2C34">
        <w:rPr>
          <w:rFonts w:ascii="Times New Roman" w:hAnsi="Times New Roman"/>
          <w:sz w:val="24"/>
        </w:rPr>
        <w:t xml:space="preserve">, grâce à des initiatives telles que les </w:t>
      </w:r>
      <w:r w:rsidRPr="003B2C34">
        <w:rPr>
          <w:rFonts w:ascii="Times New Roman" w:hAnsi="Times New Roman"/>
          <w:b/>
          <w:sz w:val="24"/>
        </w:rPr>
        <w:t>laboratoires de données</w:t>
      </w:r>
      <w:r w:rsidRPr="003B2C34">
        <w:rPr>
          <w:rFonts w:ascii="Times New Roman" w:hAnsi="Times New Roman"/>
          <w:sz w:val="24"/>
        </w:rPr>
        <w:t xml:space="preserve"> qui proposent des services de pseudonymisation fiables et regroupent les ressources de données des acteurs publics et privés afin de fournir aux entreprises et aux chercheurs des ensembles de données de grande qualité;</w:t>
      </w:r>
    </w:p>
    <w:p w14:paraId="1BC77BB4" w14:textId="1A6317D6" w:rsidR="00C704BD" w:rsidRPr="003B2C34" w:rsidRDefault="00BA75E5" w:rsidP="00A55640">
      <w:pPr>
        <w:pStyle w:val="ListParagraph"/>
        <w:numPr>
          <w:ilvl w:val="0"/>
          <w:numId w:val="8"/>
        </w:numPr>
        <w:jc w:val="both"/>
        <w:rPr>
          <w:rFonts w:ascii="Times New Roman" w:hAnsi="Times New Roman" w:cs="Times New Roman"/>
          <w:sz w:val="24"/>
          <w:szCs w:val="24"/>
        </w:rPr>
      </w:pPr>
      <w:r w:rsidRPr="003B2C34">
        <w:rPr>
          <w:rFonts w:ascii="Times New Roman" w:hAnsi="Times New Roman"/>
          <w:b/>
          <w:sz w:val="24"/>
        </w:rPr>
        <w:t>rationaliser les règles en matière de données</w:t>
      </w:r>
      <w:r w:rsidRPr="003B2C34">
        <w:rPr>
          <w:rFonts w:ascii="Times New Roman" w:hAnsi="Times New Roman"/>
          <w:sz w:val="24"/>
        </w:rPr>
        <w:t xml:space="preserve"> afin de faciliter le partage des données pour les entreprises et les chercheurs, y compris en </w:t>
      </w:r>
      <w:r w:rsidRPr="003B2C34">
        <w:rPr>
          <w:rFonts w:ascii="Times New Roman" w:hAnsi="Times New Roman"/>
          <w:b/>
          <w:sz w:val="24"/>
        </w:rPr>
        <w:t>réformant le consentement aux cookies</w:t>
      </w:r>
      <w:r w:rsidRPr="003B2C34">
        <w:rPr>
          <w:rFonts w:ascii="Times New Roman" w:hAnsi="Times New Roman"/>
          <w:sz w:val="24"/>
        </w:rPr>
        <w:t xml:space="preserve"> afin de réduire la lassitude liée au consentement tout en protégeant les droits;</w:t>
      </w:r>
    </w:p>
    <w:p w14:paraId="1B8976E0" w14:textId="66D3A780" w:rsidR="00460B46" w:rsidRPr="003B2C34" w:rsidRDefault="00BA75E5" w:rsidP="00A55640">
      <w:pPr>
        <w:pStyle w:val="ListParagraph"/>
        <w:numPr>
          <w:ilvl w:val="0"/>
          <w:numId w:val="8"/>
        </w:numPr>
        <w:jc w:val="both"/>
        <w:rPr>
          <w:rFonts w:ascii="Times New Roman" w:hAnsi="Times New Roman" w:cs="Times New Roman"/>
          <w:sz w:val="24"/>
          <w:szCs w:val="24"/>
        </w:rPr>
      </w:pPr>
      <w:r w:rsidRPr="003B2C34">
        <w:rPr>
          <w:rFonts w:ascii="Times New Roman" w:hAnsi="Times New Roman"/>
          <w:b/>
          <w:sz w:val="24"/>
        </w:rPr>
        <w:t>renforcer la position de l’UE sur la scène mondiale en ce qui concerne les flux internationaux de données</w:t>
      </w:r>
      <w:r w:rsidRPr="003B2C34">
        <w:rPr>
          <w:rFonts w:ascii="Times New Roman" w:hAnsi="Times New Roman"/>
          <w:sz w:val="24"/>
        </w:rPr>
        <w:t>, en s’attaquant aux obstacles commerciaux injustifiés afin que les entreprises européennes puissent affronter la concurrence dans des conditions équitables à l’échelle internationale.</w:t>
      </w:r>
    </w:p>
    <w:p w14:paraId="778F9DE6" w14:textId="5381C76F" w:rsidR="00776668" w:rsidRPr="003B2C34" w:rsidRDefault="00776668" w:rsidP="00FA4905">
      <w:pPr>
        <w:spacing w:before="240" w:after="240"/>
        <w:outlineLvl w:val="0"/>
        <w:rPr>
          <w:rFonts w:ascii="Times New Roman" w:hAnsi="Times New Roman" w:cs="Times New Roman"/>
          <w:b/>
          <w:sz w:val="24"/>
          <w:szCs w:val="24"/>
        </w:rPr>
      </w:pPr>
      <w:r w:rsidRPr="003B2C34">
        <w:rPr>
          <w:rFonts w:ascii="Times New Roman" w:hAnsi="Times New Roman"/>
          <w:b/>
          <w:sz w:val="24"/>
        </w:rPr>
        <w:t>2. S’appuyer sur la stratégie européenne pour les données (2020-2025)</w:t>
      </w:r>
    </w:p>
    <w:p w14:paraId="2BEA17A5" w14:textId="6E3DC574" w:rsidR="000933D2" w:rsidRPr="003B2C34" w:rsidRDefault="000933D2" w:rsidP="001C2E1D">
      <w:pPr>
        <w:jc w:val="both"/>
        <w:rPr>
          <w:rFonts w:ascii="Times New Roman" w:hAnsi="Times New Roman" w:cs="Times New Roman"/>
          <w:sz w:val="24"/>
          <w:szCs w:val="24"/>
        </w:rPr>
      </w:pPr>
      <w:r w:rsidRPr="003B2C34">
        <w:rPr>
          <w:rFonts w:ascii="Times New Roman" w:hAnsi="Times New Roman"/>
          <w:sz w:val="24"/>
        </w:rPr>
        <w:t>Avec la stratégie européenne pour les données de 2020</w:t>
      </w:r>
      <w:r w:rsidRPr="003B2C34">
        <w:rPr>
          <w:rStyle w:val="FootnoteReference"/>
          <w:rFonts w:ascii="Times New Roman" w:hAnsi="Times New Roman" w:cs="Times New Roman"/>
          <w:sz w:val="24"/>
          <w:szCs w:val="24"/>
        </w:rPr>
        <w:footnoteReference w:id="7"/>
      </w:r>
      <w:r w:rsidRPr="003B2C34">
        <w:rPr>
          <w:rFonts w:ascii="Times New Roman" w:hAnsi="Times New Roman"/>
          <w:sz w:val="24"/>
        </w:rPr>
        <w:t>, l’UE a posé les bases juridiques et institutionnelles d’un marché unique des données sûr et équitable. L’objectif était de libérer le potentiel des données pour l’innovation et la croissance tout en protégeant les droits. Toutefois, compte tenu de l’avènement de l’IA générative et de l’intensification de la concurrence géopolitique, il est évident que l’UE ne peut plus se limiter à de simples bases.</w:t>
      </w:r>
    </w:p>
    <w:p w14:paraId="6C48A9EF" w14:textId="4EDE40AD" w:rsidR="0002445C" w:rsidRPr="003B2C34" w:rsidRDefault="0002445C" w:rsidP="0002445C">
      <w:pPr>
        <w:jc w:val="both"/>
        <w:rPr>
          <w:rFonts w:ascii="Times New Roman" w:hAnsi="Times New Roman" w:cs="Times New Roman"/>
          <w:sz w:val="24"/>
          <w:szCs w:val="24"/>
        </w:rPr>
      </w:pPr>
      <w:bookmarkStart w:id="2" w:name="_Hlk206671961"/>
      <w:r w:rsidRPr="003B2C34">
        <w:rPr>
          <w:rFonts w:ascii="Times New Roman" w:hAnsi="Times New Roman"/>
          <w:sz w:val="24"/>
        </w:rPr>
        <w:t xml:space="preserve">La stratégie européenne pour les données a été à l’origine d’une série d'actes législatifs clés visant à instaurer la confiance, à promouvoir le partage des données et à clarifier les règles tout au long de la chaîne de valeur des données. Le </w:t>
      </w:r>
      <w:r w:rsidRPr="003B2C34">
        <w:rPr>
          <w:rFonts w:ascii="Times New Roman" w:hAnsi="Times New Roman"/>
          <w:b/>
          <w:sz w:val="24"/>
        </w:rPr>
        <w:t>règlement sur la gouvernance des données</w:t>
      </w:r>
      <w:r w:rsidRPr="003B2C34">
        <w:rPr>
          <w:rFonts w:ascii="Times New Roman" w:hAnsi="Times New Roman"/>
          <w:sz w:val="24"/>
        </w:rPr>
        <w:t xml:space="preserve"> a créé des mécanismes fiables pour le partage de données, établi des règles pour les services d’intermédiation, introduit un cadre pour le partage volontaire de données par les entreprises à des fins d’intérêt général (altruisme volontaire en matière de données) et ouvert certains ensembles de données protégés du secteur public. Le</w:t>
      </w:r>
      <w:r w:rsidRPr="003B2C34">
        <w:rPr>
          <w:rFonts w:ascii="Times New Roman" w:hAnsi="Times New Roman"/>
          <w:b/>
          <w:sz w:val="24"/>
        </w:rPr>
        <w:t xml:space="preserve"> règlement sur les données</w:t>
      </w:r>
      <w:r w:rsidRPr="003B2C34">
        <w:rPr>
          <w:rFonts w:ascii="Times New Roman" w:hAnsi="Times New Roman"/>
          <w:sz w:val="24"/>
        </w:rPr>
        <w:t xml:space="preserve"> donne accès aux données provenant de produits et services connectés en clarifiant les droits d’accès et d’utilisation. Enfin, la </w:t>
      </w:r>
      <w:r w:rsidRPr="003B2C34">
        <w:rPr>
          <w:rFonts w:ascii="Times New Roman" w:hAnsi="Times New Roman"/>
          <w:b/>
          <w:sz w:val="24"/>
        </w:rPr>
        <w:t>directive concernant les données ouvertes</w:t>
      </w:r>
      <w:r w:rsidRPr="003B2C34">
        <w:rPr>
          <w:rFonts w:ascii="Times New Roman" w:hAnsi="Times New Roman"/>
          <w:sz w:val="24"/>
        </w:rPr>
        <w:t xml:space="preserve"> et son acte d’exécution relatif aux ensembles de données de forte valeur (applicable depuis juin 2024) prévoient que certains ensembles de données du secteur public soient librement accessibles, gratuitement et dans des formats lisibles par machine. Toutefois, le cadre législatif existant doit encore faire face à des difficultés telles que les disparités dans la mise en œuvre au niveau national et les incertitudes concernant les secrets d’affaires. </w:t>
      </w:r>
    </w:p>
    <w:p w14:paraId="41E26D43" w14:textId="7AF144A6" w:rsidR="0011609E" w:rsidRPr="003B2C34" w:rsidRDefault="6A28995F" w:rsidP="50D01B2F">
      <w:pPr>
        <w:jc w:val="both"/>
        <w:rPr>
          <w:rFonts w:ascii="Times New Roman" w:hAnsi="Times New Roman" w:cs="Times New Roman"/>
          <w:b/>
          <w:bCs/>
          <w:sz w:val="24"/>
          <w:szCs w:val="24"/>
        </w:rPr>
      </w:pPr>
      <w:r w:rsidRPr="003B2C34">
        <w:rPr>
          <w:rFonts w:ascii="Times New Roman" w:hAnsi="Times New Roman"/>
          <w:sz w:val="24"/>
        </w:rPr>
        <w:t>Parmi les mesures de soutien qui ont été mises en place dans le cadre de la stratégie européenne pour les données figurent la collaboration avec le comité européen de l’innovation dans le domaine des données pour coordonner les efforts des États membres et une demande de normalisation visant à jeter les bases d’un cadre européen de données fiables</w:t>
      </w:r>
      <w:r w:rsidRPr="003B2C34">
        <w:rPr>
          <w:rStyle w:val="FootnoteReference"/>
          <w:rFonts w:ascii="Times New Roman" w:hAnsi="Times New Roman" w:cs="Times New Roman"/>
          <w:sz w:val="24"/>
          <w:szCs w:val="24"/>
        </w:rPr>
        <w:footnoteReference w:id="8"/>
      </w:r>
      <w:r w:rsidRPr="003B2C34">
        <w:t>.</w:t>
      </w:r>
      <w:bookmarkEnd w:id="2"/>
    </w:p>
    <w:p w14:paraId="1140A455" w14:textId="7BFF4F31" w:rsidR="00632555" w:rsidRPr="003B2C34" w:rsidRDefault="0092758B" w:rsidP="001C2E1D">
      <w:pPr>
        <w:jc w:val="both"/>
        <w:rPr>
          <w:rFonts w:ascii="Times New Roman" w:hAnsi="Times New Roman" w:cs="Times New Roman"/>
          <w:sz w:val="24"/>
          <w:szCs w:val="24"/>
        </w:rPr>
      </w:pPr>
      <w:r w:rsidRPr="003B2C34">
        <w:rPr>
          <w:rFonts w:ascii="Times New Roman" w:hAnsi="Times New Roman"/>
          <w:sz w:val="24"/>
          <w:lang w:val="en-GB" w:eastAsia="en-GB"/>
        </w:rPr>
        <mc:AlternateContent>
          <mc:Choice Requires="wps">
            <w:drawing>
              <wp:anchor distT="91440" distB="91440" distL="114300" distR="114300" simplePos="0" relativeHeight="251658240" behindDoc="0" locked="0" layoutInCell="1" allowOverlap="1" wp14:anchorId="23DBF394" wp14:editId="2B358EBF">
                <wp:simplePos x="0" y="0"/>
                <wp:positionH relativeFrom="margin">
                  <wp:align>right</wp:align>
                </wp:positionH>
                <wp:positionV relativeFrom="paragraph">
                  <wp:posOffset>-1905</wp:posOffset>
                </wp:positionV>
                <wp:extent cx="1960880" cy="1403985"/>
                <wp:effectExtent l="0" t="0" r="0" b="0"/>
                <wp:wrapSquare wrapText="bothSides"/>
                <wp:docPr id="14758770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0880" cy="1403985"/>
                        </a:xfrm>
                        <a:prstGeom prst="rect">
                          <a:avLst/>
                        </a:prstGeom>
                        <a:noFill/>
                        <a:ln w="9525">
                          <a:noFill/>
                          <a:miter lim="800000"/>
                          <a:headEnd/>
                          <a:tailEnd/>
                        </a:ln>
                      </wps:spPr>
                      <wps:txbx>
                        <w:txbxContent>
                          <w:p w14:paraId="6376B50B" w14:textId="43255FA2" w:rsidR="0045509C" w:rsidRPr="003B2C34" w:rsidRDefault="0045509C" w:rsidP="0011609E">
                            <w:pPr>
                              <w:pBdr>
                                <w:top w:val="single" w:sz="24" w:space="0" w:color="4F81BD" w:themeColor="accent1"/>
                                <w:bottom w:val="single" w:sz="24" w:space="8" w:color="4F81BD" w:themeColor="accent1"/>
                              </w:pBdr>
                              <w:spacing w:after="0"/>
                              <w:jc w:val="both"/>
                              <w:rPr>
                                <w:rFonts w:ascii="Times New Roman" w:hAnsi="Times New Roman" w:cs="Times New Roman"/>
                                <w:i/>
                                <w:iCs/>
                                <w:color w:val="4F81BD" w:themeColor="accent1"/>
                                <w:sz w:val="24"/>
                              </w:rPr>
                            </w:pPr>
                            <w:r w:rsidRPr="003B2C34">
                              <w:rPr>
                                <w:rFonts w:ascii="Times New Roman" w:hAnsi="Times New Roman"/>
                                <w:i/>
                                <w:color w:val="4F81BD" w:themeColor="accent1"/>
                                <w:sz w:val="24"/>
                              </w:rPr>
                              <w:t>L’espace européen des données d’imagerie sur le cancer contient des images anonymisées et des annotations. D’ici à 2027,</w:t>
                            </w:r>
                            <w:r w:rsidRPr="003B2C34">
                              <w:rPr>
                                <w:rFonts w:ascii="Times New Roman" w:hAnsi="Times New Roman"/>
                                <w:b/>
                                <w:i/>
                                <w:color w:val="4F81BD" w:themeColor="accent1"/>
                                <w:sz w:val="24"/>
                              </w:rPr>
                              <w:t xml:space="preserve"> il contiendra plus de 60 millions d’images liées au cancer</w:t>
                            </w:r>
                            <w:r w:rsidRPr="003B2C34">
                              <w:rPr>
                                <w:rFonts w:ascii="Times New Roman" w:hAnsi="Times New Roman"/>
                                <w:i/>
                                <w:color w:val="4F81BD" w:themeColor="accent1"/>
                                <w:sz w:val="24"/>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3DBF394" id="_x0000_t202" coordsize="21600,21600" o:spt="202" path="m,l,21600r21600,l21600,xe">
                <v:stroke joinstyle="miter"/>
                <v:path gradientshapeok="t" o:connecttype="rect"/>
              </v:shapetype>
              <v:shape id="Text Box 2" o:spid="_x0000_s1026" type="#_x0000_t202" style="position:absolute;left:0;text-align:left;margin-left:103.2pt;margin-top:-.15pt;width:154.4pt;height:110.55pt;z-index:251658240;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" filled="f" stroked="f">
                <v:textbox style="mso-fit-shape-to-text:t">
                  <w:txbxContent>
                    <w:p w14:paraId="6376B50B" w14:textId="43255FA2" w:rsidR="0045509C" w:rsidRPr="003B2C34" w:rsidRDefault="0045509C" w:rsidP="0011609E">
                      <w:pPr>
                        <w:pBdr>
                          <w:top w:val="single" w:sz="24" w:space="0" w:color="4F81BD" w:themeColor="accent1"/>
                          <w:bottom w:val="single" w:sz="24" w:space="8" w:color="4F81BD" w:themeColor="accent1"/>
                        </w:pBdr>
                        <w:spacing w:after="0"/>
                        <w:jc w:val="both"/>
                        <w:rPr>
                          <w:rFonts w:ascii="Times New Roman" w:hAnsi="Times New Roman" w:cs="Times New Roman"/>
                          <w:i/>
                          <w:iCs/>
                          <w:color w:val="4F81BD" w:themeColor="accent1"/>
                          <w:sz w:val="24"/>
                        </w:rPr>
                      </w:pPr>
                      <w:r w:rsidRPr="003B2C34">
                        <w:rPr>
                          <w:rFonts w:ascii="Times New Roman" w:hAnsi="Times New Roman"/>
                          <w:i/>
                          <w:color w:val="4F81BD" w:themeColor="accent1"/>
                          <w:sz w:val="24"/>
                        </w:rPr>
                        <w:t>L’espace européen des données d’imagerie sur le cancer contient des images anonymisées et des annotations. D’ici à 2027,</w:t>
                      </w:r>
                      <w:r w:rsidRPr="003B2C34">
                        <w:rPr>
                          <w:rFonts w:ascii="Times New Roman" w:hAnsi="Times New Roman"/>
                          <w:b/>
                          <w:i/>
                          <w:color w:val="4F81BD" w:themeColor="accent1"/>
                          <w:sz w:val="24"/>
                        </w:rPr>
                        <w:t xml:space="preserve"> il contiendra plus de 60 millions d’images liées au cancer</w:t>
                      </w:r>
                      <w:r w:rsidRPr="003B2C34">
                        <w:rPr>
                          <w:rFonts w:ascii="Times New Roman" w:hAnsi="Times New Roman"/>
                          <w:i/>
                          <w:color w:val="4F81BD" w:themeColor="accent1"/>
                          <w:sz w:val="24"/>
                        </w:rPr>
                        <w:t>.</w:t>
                      </w:r>
                    </w:p>
                  </w:txbxContent>
                </v:textbox>
                <w10:wrap type="square" anchorx="margin"/>
              </v:shape>
            </w:pict>
          </mc:Fallback>
        </mc:AlternateContent>
      </w:r>
      <w:r w:rsidRPr="003B2C34">
        <w:rPr>
          <w:rFonts w:ascii="Times New Roman" w:hAnsi="Times New Roman"/>
          <w:sz w:val="24"/>
        </w:rPr>
        <w:t>Pour faire du marché unique européen des données une réalité, la Commission a également investi, entre 2021 et 2024, un montant de 336 millions d’euros dans 14 espaces européens communs de données stratégiques couvrant des secteurs économiques clés et des domaines d’intérêt public, en complément des efforts des États membres et du secteur privé</w:t>
      </w:r>
      <w:r w:rsidRPr="003B2C34">
        <w:t>.</w:t>
      </w:r>
      <w:r w:rsidRPr="003B2C34">
        <w:rPr>
          <w:rFonts w:ascii="Times New Roman" w:hAnsi="Times New Roman"/>
          <w:sz w:val="24"/>
        </w:rPr>
        <w:t xml:space="preserve"> Ces espaces fournissent des infrastructures et des cadres de gouvernance sécurisés pour le partage volontaire de données dans des conditions convenues. Le principal défi consiste désormais à amplifier ces efforts pour qu’ils aient un impact à l’échelle de l’UE. </w:t>
      </w:r>
    </w:p>
    <w:p w14:paraId="7A7CFB2A" w14:textId="24ADCB9F" w:rsidR="00776668" w:rsidRPr="003B2C34" w:rsidRDefault="00776668" w:rsidP="00FA4905">
      <w:pPr>
        <w:spacing w:before="240" w:after="240"/>
        <w:outlineLvl w:val="0"/>
        <w:rPr>
          <w:rFonts w:ascii="Times New Roman" w:hAnsi="Times New Roman" w:cs="Times New Roman"/>
          <w:b/>
          <w:sz w:val="24"/>
          <w:szCs w:val="24"/>
        </w:rPr>
      </w:pPr>
      <w:r w:rsidRPr="003B2C34">
        <w:rPr>
          <w:rFonts w:ascii="Times New Roman" w:hAnsi="Times New Roman"/>
          <w:b/>
          <w:sz w:val="24"/>
        </w:rPr>
        <w:t>3. Trois défis que l’UE doit relever maintenant</w:t>
      </w:r>
    </w:p>
    <w:p w14:paraId="28E04477" w14:textId="0979363F" w:rsidR="00543DDD" w:rsidRPr="003B2C34" w:rsidRDefault="00543DDD" w:rsidP="001C2E1D">
      <w:pPr>
        <w:jc w:val="both"/>
        <w:rPr>
          <w:rFonts w:ascii="Times New Roman" w:hAnsi="Times New Roman" w:cs="Times New Roman"/>
          <w:sz w:val="24"/>
          <w:szCs w:val="24"/>
        </w:rPr>
      </w:pPr>
      <w:r w:rsidRPr="003B2C34">
        <w:rPr>
          <w:rFonts w:ascii="Times New Roman" w:hAnsi="Times New Roman"/>
          <w:sz w:val="24"/>
        </w:rPr>
        <w:t>Alors que les technologies et les services de l’IA remodèlent le paysage mondial, l’UE doit relever d’urgence trois nouveaux défis stratégiques: la pénurie de données, la complexité réglementaire et l’intensification de la concurrence mondiale.</w:t>
      </w:r>
    </w:p>
    <w:p w14:paraId="522B4DED" w14:textId="377B0D35" w:rsidR="00543DDD" w:rsidRPr="003B2C34" w:rsidRDefault="00543DDD" w:rsidP="00DA52EA">
      <w:pPr>
        <w:jc w:val="both"/>
        <w:outlineLvl w:val="1"/>
        <w:rPr>
          <w:rFonts w:ascii="Times New Roman" w:hAnsi="Times New Roman" w:cs="Times New Roman"/>
          <w:b/>
          <w:sz w:val="24"/>
          <w:szCs w:val="24"/>
        </w:rPr>
      </w:pPr>
      <w:r w:rsidRPr="003B2C34">
        <w:rPr>
          <w:rFonts w:ascii="Times New Roman" w:hAnsi="Times New Roman"/>
          <w:b/>
          <w:sz w:val="24"/>
        </w:rPr>
        <w:t>Pénurie de données: un goulet d’étranglement structurel pour l’innovation</w:t>
      </w:r>
    </w:p>
    <w:p w14:paraId="736A9777" w14:textId="308A2CCE" w:rsidR="002443FD" w:rsidRPr="003B2C34" w:rsidRDefault="2BB9D10D" w:rsidP="001C2E1D">
      <w:pPr>
        <w:jc w:val="both"/>
        <w:rPr>
          <w:rFonts w:ascii="Times New Roman" w:hAnsi="Times New Roman" w:cs="Times New Roman"/>
          <w:sz w:val="24"/>
          <w:szCs w:val="24"/>
        </w:rPr>
      </w:pPr>
      <w:r w:rsidRPr="003B2C34">
        <w:rPr>
          <w:rFonts w:ascii="Times New Roman" w:hAnsi="Times New Roman"/>
          <w:sz w:val="24"/>
        </w:rPr>
        <w:t>Avec l’essor de l’IA générative, des grands modèles de langage (LLM) et de l’IA agentique</w:t>
      </w:r>
      <w:r w:rsidRPr="003B2C34">
        <w:rPr>
          <w:rStyle w:val="FootnoteReference"/>
          <w:rFonts w:ascii="Times New Roman" w:hAnsi="Times New Roman" w:cs="Times New Roman"/>
          <w:sz w:val="24"/>
          <w:szCs w:val="24"/>
        </w:rPr>
        <w:footnoteReference w:id="9"/>
      </w:r>
      <w:r w:rsidRPr="003B2C34">
        <w:rPr>
          <w:rFonts w:ascii="Times New Roman" w:hAnsi="Times New Roman"/>
          <w:sz w:val="24"/>
        </w:rPr>
        <w:t>, l’accès à des ensembles de données de grande ampleur, de grande qualité, inconnus des modèles et spécifiques à un domaine est devenu un facteur déterminant de la compétitivité mondiale. Selon Epoch AI, la taille des ensembles de données utilisés pour entraîner les LLM double approximativement tous les six mois</w:t>
      </w:r>
      <w:r w:rsidRPr="003B2C34">
        <w:rPr>
          <w:rStyle w:val="FootnoteReference"/>
          <w:rFonts w:ascii="Times New Roman" w:hAnsi="Times New Roman" w:cs="Times New Roman"/>
          <w:sz w:val="24"/>
          <w:szCs w:val="24"/>
        </w:rPr>
        <w:footnoteReference w:id="10"/>
      </w:r>
      <w:r w:rsidRPr="003B2C34">
        <w:rPr>
          <w:rFonts w:ascii="Times New Roman" w:hAnsi="Times New Roman"/>
          <w:sz w:val="24"/>
        </w:rPr>
        <w:t>.</w:t>
      </w:r>
    </w:p>
    <w:p w14:paraId="3B85F600" w14:textId="761E99BB" w:rsidR="00172D07" w:rsidRPr="003B2C34" w:rsidRDefault="003726F5" w:rsidP="001C2E1D">
      <w:pPr>
        <w:jc w:val="both"/>
        <w:rPr>
          <w:rFonts w:ascii="Times New Roman" w:hAnsi="Times New Roman" w:cs="Times New Roman"/>
          <w:sz w:val="24"/>
          <w:szCs w:val="24"/>
        </w:rPr>
      </w:pPr>
      <w:r w:rsidRPr="003B2C34">
        <w:rPr>
          <w:rFonts w:ascii="Times New Roman" w:hAnsi="Times New Roman"/>
          <w:sz w:val="24"/>
        </w:rPr>
        <w:t>Les LLM et d’autres types de modèles de fondation nécessitent des ensembles immenses et diversifiés de données d’entraînement. Selon certaines études, si les tendances actuelles se maintiennent, le volume de données d’entraînement en accès libre pourrait être épuisé entre 2026 et 2032</w:t>
      </w:r>
      <w:r w:rsidRPr="003B2C34">
        <w:rPr>
          <w:rStyle w:val="FootnoteReference"/>
          <w:rFonts w:ascii="Times New Roman" w:hAnsi="Times New Roman" w:cs="Times New Roman"/>
          <w:sz w:val="24"/>
          <w:szCs w:val="24"/>
        </w:rPr>
        <w:footnoteReference w:id="11"/>
      </w:r>
      <w:r w:rsidRPr="003B2C34">
        <w:t>.</w:t>
      </w:r>
    </w:p>
    <w:p w14:paraId="1D3B30B9" w14:textId="08726545" w:rsidR="00543DDD" w:rsidRPr="003B2C34" w:rsidRDefault="0014473E" w:rsidP="001C2E1D">
      <w:pPr>
        <w:jc w:val="both"/>
        <w:rPr>
          <w:rFonts w:ascii="Times New Roman" w:hAnsi="Times New Roman" w:cs="Times New Roman"/>
          <w:sz w:val="24"/>
          <w:szCs w:val="24"/>
        </w:rPr>
      </w:pPr>
      <w:r w:rsidRPr="003B2C34">
        <w:rPr>
          <w:rFonts w:ascii="Times New Roman" w:hAnsi="Times New Roman"/>
          <w:sz w:val="24"/>
        </w:rPr>
        <w:t>Le défi auquel est confronté l’UE est double: i) rendre plus largement disponibles les ensembles de données de grande qualité, y compris les ensembles de données sectoriels, et ii) veiller à ce que l’infrastructure de calcul nécessaire au traitement de ces ensembles de données soit accessible à grande échelle. De nombreuses entreprises européennes, en particulier des PME et des start-up, ne disposent pas du volume et de la diversité des données nécessaires, ni de l’accès aux capacités de calcul européennes requises pour développer des solutions d’IA compétitives. Si l’UE ne réagit pas d’urgence, elle risque d’être distancée.</w:t>
      </w:r>
    </w:p>
    <w:p w14:paraId="02C8F111" w14:textId="7B8096F2" w:rsidR="00543DDD" w:rsidRPr="003B2C34" w:rsidRDefault="00543DDD" w:rsidP="00DA52EA">
      <w:pPr>
        <w:jc w:val="both"/>
        <w:outlineLvl w:val="1"/>
        <w:rPr>
          <w:rFonts w:ascii="Times New Roman" w:hAnsi="Times New Roman" w:cs="Times New Roman"/>
          <w:b/>
          <w:sz w:val="24"/>
          <w:szCs w:val="24"/>
        </w:rPr>
      </w:pPr>
      <w:r w:rsidRPr="003B2C34">
        <w:rPr>
          <w:rFonts w:ascii="Times New Roman" w:hAnsi="Times New Roman"/>
          <w:b/>
          <w:sz w:val="24"/>
        </w:rPr>
        <w:t>Complexité réglementaire: la fragmentation empêche de passer à une échelle supérieure</w:t>
      </w:r>
    </w:p>
    <w:p w14:paraId="66CBB660" w14:textId="151C3788" w:rsidR="00CD2EF2" w:rsidRPr="003B2C34" w:rsidRDefault="00CD2EF2" w:rsidP="001C2E1D">
      <w:pPr>
        <w:jc w:val="both"/>
        <w:rPr>
          <w:rFonts w:ascii="Times New Roman" w:hAnsi="Times New Roman" w:cs="Times New Roman"/>
          <w:sz w:val="24"/>
          <w:szCs w:val="24"/>
        </w:rPr>
      </w:pPr>
      <w:r w:rsidRPr="003B2C34">
        <w:rPr>
          <w:rFonts w:ascii="Times New Roman" w:hAnsi="Times New Roman"/>
          <w:sz w:val="24"/>
        </w:rPr>
        <w:t>Après l’adoption de la stratégie européenne pour les données de 2020, l’UE s’est appuyée sur des règles préexistantes pour introduire des actes législatifs historiques tels que le règlement sur la gouvernance des données</w:t>
      </w:r>
      <w:r w:rsidRPr="003B2C34">
        <w:rPr>
          <w:rStyle w:val="FootnoteReference"/>
          <w:rFonts w:ascii="Times New Roman" w:hAnsi="Times New Roman" w:cs="Times New Roman"/>
          <w:sz w:val="24"/>
          <w:szCs w:val="24"/>
        </w:rPr>
        <w:footnoteReference w:id="12"/>
      </w:r>
      <w:r w:rsidRPr="003B2C34">
        <w:rPr>
          <w:rFonts w:ascii="Times New Roman" w:hAnsi="Times New Roman"/>
          <w:sz w:val="24"/>
        </w:rPr>
        <w:t>, le règlement sur les données et divers actes sectoriels comme le règlement relatif à l’espace européen des données de santé</w:t>
      </w:r>
      <w:r w:rsidRPr="003B2C34">
        <w:rPr>
          <w:rStyle w:val="FootnoteReference"/>
          <w:rFonts w:ascii="Times New Roman" w:hAnsi="Times New Roman" w:cs="Times New Roman"/>
          <w:sz w:val="24"/>
          <w:szCs w:val="24"/>
        </w:rPr>
        <w:footnoteReference w:id="13"/>
      </w:r>
      <w:r w:rsidRPr="003B2C34">
        <w:rPr>
          <w:rFonts w:ascii="Times New Roman" w:hAnsi="Times New Roman"/>
          <w:sz w:val="24"/>
        </w:rPr>
        <w:t>. Chacune de ces initiatives était axée sur un thème précis, tel que les mécanismes de partage des données, la répartition équitable de la valeur et la lutte contre les exigences contraignantes en matière de localisation. Toutefois, la complexité de l’interaction entre le règlement général sur la protection des données (RGPD)</w:t>
      </w:r>
      <w:r w:rsidRPr="003B2C34">
        <w:rPr>
          <w:rStyle w:val="FootnoteReference"/>
          <w:rFonts w:ascii="Times New Roman" w:hAnsi="Times New Roman" w:cs="Times New Roman"/>
          <w:sz w:val="24"/>
          <w:szCs w:val="24"/>
        </w:rPr>
        <w:footnoteReference w:id="14"/>
      </w:r>
      <w:r w:rsidRPr="003B2C34">
        <w:rPr>
          <w:rFonts w:ascii="Times New Roman" w:hAnsi="Times New Roman"/>
          <w:sz w:val="24"/>
        </w:rPr>
        <w:t xml:space="preserve"> et les législations sectorielles, ainsi que la mise en œuvre inégale entre les États membres, ont créé un paysage réglementaire fragmenté et une insécurité juridique, y compris pour les autorités publiques, et augmenté les coûts liés au respect des règles, en particulier pour les start-up et les PME.</w:t>
      </w:r>
    </w:p>
    <w:p w14:paraId="2F796CD5" w14:textId="090A557C" w:rsidR="00EF1B57" w:rsidRPr="003B2C34" w:rsidRDefault="00543DDD" w:rsidP="00EF1B57">
      <w:pPr>
        <w:jc w:val="both"/>
        <w:rPr>
          <w:rFonts w:ascii="Times New Roman" w:hAnsi="Times New Roman" w:cs="Times New Roman"/>
          <w:sz w:val="24"/>
          <w:szCs w:val="24"/>
        </w:rPr>
      </w:pPr>
      <w:r w:rsidRPr="003B2C34">
        <w:rPr>
          <w:rFonts w:ascii="Times New Roman" w:hAnsi="Times New Roman"/>
          <w:sz w:val="24"/>
        </w:rPr>
        <w:t>Par exemple, les prestataires de services d’intermédiation de données — qui constituent encore un secteur émergent — sont soumis à des obligations juridiques restrictives qui limitent leur capacité à se développer. Il est nécessaire d’éviter de faire peser sur les écosystèmes en phase de démarrage des exigences disproportionnées qui empêchent l’adoption de modèles de partage de données et le déploiement d’espaces de données. Pour libérer l’innovation, l’UE doit simplifier les règles relatives à l’accès aux données et à leur utilisation.</w:t>
      </w:r>
    </w:p>
    <w:p w14:paraId="5E081A67" w14:textId="51BC9A0A" w:rsidR="006207BF" w:rsidRPr="003B2C34" w:rsidRDefault="006207BF" w:rsidP="00361FB8">
      <w:pPr>
        <w:jc w:val="both"/>
        <w:rPr>
          <w:rFonts w:ascii="Times New Roman" w:hAnsi="Times New Roman" w:cs="Times New Roman"/>
          <w:sz w:val="24"/>
          <w:szCs w:val="24"/>
        </w:rPr>
      </w:pPr>
      <w:r w:rsidRPr="003B2C34">
        <w:rPr>
          <w:rFonts w:ascii="Times New Roman" w:hAnsi="Times New Roman"/>
          <w:b/>
          <w:sz w:val="24"/>
        </w:rPr>
        <w:t>Concurrence mondiale: les données, un atout stratégique</w:t>
      </w:r>
    </w:p>
    <w:p w14:paraId="1B360F18" w14:textId="6ACC2445" w:rsidR="006B7C93" w:rsidRPr="003B2C34" w:rsidRDefault="3F0FA738" w:rsidP="006B7C93">
      <w:pPr>
        <w:jc w:val="both"/>
        <w:rPr>
          <w:rFonts w:ascii="Times New Roman" w:hAnsi="Times New Roman"/>
          <w:sz w:val="24"/>
        </w:rPr>
      </w:pPr>
      <w:r w:rsidRPr="003B2C34">
        <w:rPr>
          <w:rFonts w:ascii="Times New Roman" w:hAnsi="Times New Roman"/>
          <w:sz w:val="24"/>
        </w:rPr>
        <w:t>Dans la course à l’IA, l’accès à des données de grande valeur est un avantage stratégique crucial. À l’échelle mondiale, les données sont devenues un atout géopolitique, et l’accès aux données, leur localisation et leur contrôle sont de plus en plus utilisés comme des instruments de pouvoir. Alors que l’UE promeut l’ouverture, la sécurité, l’équité et la fiabilité dans le domaine des flux de données, d’autres pays et territoires adoptent des stratégies fermes ou protectionnistes. La localisation et les régimes d’accès restrictifs en vigueur à l’étranger limitent l’accès de l’UE aux ressources mondiales et exposent les entreprises de l’UE à des risques économiques et de sécurité. Pour libérer tout le potentiel de l’IA européenne, l’Union doit traiter les données comme une ressource stratégique essentielle et investir dans des ensembles de données sûrs, de grande qualité et interopérables qui reflètent les valeurs et les normes européennes. Le renforcement de la capacité de l’Europe à collecter, à gérer et à utiliser ses propres données est à la fois un impératif économique et un impératif de sécurité. L’UE doit faire en sorte de pouvoir disposer de flux bénéfiques, préserver les données sensibles à caractère non personnel au sein de l’UE et soutenir la souveraineté numérique alors que la rivalité technologique s’intensifie.</w:t>
      </w:r>
    </w:p>
    <w:p w14:paraId="35D1867A" w14:textId="77249891" w:rsidR="00776668" w:rsidRPr="003B2C34" w:rsidRDefault="00776668" w:rsidP="007259D0">
      <w:pPr>
        <w:keepNext/>
        <w:jc w:val="both"/>
        <w:outlineLvl w:val="1"/>
        <w:rPr>
          <w:rFonts w:ascii="Times New Roman" w:hAnsi="Times New Roman" w:cs="Times New Roman"/>
          <w:b/>
          <w:sz w:val="24"/>
          <w:szCs w:val="24"/>
        </w:rPr>
      </w:pPr>
      <w:r w:rsidRPr="003B2C34">
        <w:rPr>
          <w:rFonts w:ascii="Times New Roman" w:hAnsi="Times New Roman"/>
          <w:b/>
          <w:sz w:val="24"/>
        </w:rPr>
        <w:t>4. Les trois piliers de la stratégie pour une union des données</w:t>
      </w:r>
    </w:p>
    <w:p w14:paraId="4220D70E" w14:textId="67CC22C3" w:rsidR="00776668" w:rsidRPr="003B2C34" w:rsidRDefault="009A6CEB" w:rsidP="007259D0">
      <w:pPr>
        <w:keepNext/>
        <w:outlineLvl w:val="1"/>
        <w:rPr>
          <w:rFonts w:ascii="Times New Roman" w:hAnsi="Times New Roman" w:cs="Times New Roman"/>
          <w:b/>
          <w:sz w:val="24"/>
          <w:szCs w:val="24"/>
        </w:rPr>
      </w:pPr>
      <w:r w:rsidRPr="003B2C34">
        <w:rPr>
          <w:rFonts w:ascii="Times New Roman" w:hAnsi="Times New Roman"/>
          <w:sz w:val="24"/>
          <w:lang w:val="en-GB" w:eastAsia="en-GB"/>
        </w:rPr>
        <mc:AlternateContent>
          <mc:Choice Requires="wps">
            <w:drawing>
              <wp:anchor distT="91440" distB="91440" distL="114300" distR="114300" simplePos="0" relativeHeight="251658246" behindDoc="0" locked="0" layoutInCell="1" allowOverlap="1" wp14:anchorId="076740A2" wp14:editId="1D5E7692">
                <wp:simplePos x="0" y="0"/>
                <wp:positionH relativeFrom="margin">
                  <wp:align>right</wp:align>
                </wp:positionH>
                <wp:positionV relativeFrom="paragraph">
                  <wp:posOffset>-47625</wp:posOffset>
                </wp:positionV>
                <wp:extent cx="2800350" cy="1403985"/>
                <wp:effectExtent l="0" t="0" r="0" b="0"/>
                <wp:wrapSquare wrapText="bothSides"/>
                <wp:docPr id="1174017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0350" cy="1403985"/>
                        </a:xfrm>
                        <a:prstGeom prst="rect">
                          <a:avLst/>
                        </a:prstGeom>
                        <a:noFill/>
                        <a:ln w="9525">
                          <a:noFill/>
                          <a:miter lim="800000"/>
                          <a:headEnd/>
                          <a:tailEnd/>
                        </a:ln>
                      </wps:spPr>
                      <wps:txbx>
                        <w:txbxContent>
                          <w:p w14:paraId="6C8B8411" w14:textId="77777777" w:rsidR="008303FB" w:rsidRPr="003B2C34" w:rsidRDefault="008303FB" w:rsidP="008303FB">
                            <w:pPr>
                              <w:pBdr>
                                <w:top w:val="single" w:sz="24" w:space="0" w:color="4F81BD" w:themeColor="accent1"/>
                                <w:bottom w:val="single" w:sz="24" w:space="8" w:color="4F81BD" w:themeColor="accent1"/>
                              </w:pBdr>
                              <w:spacing w:after="0"/>
                              <w:jc w:val="center"/>
                              <w:rPr>
                                <w:rFonts w:ascii="Times New Roman" w:hAnsi="Times New Roman" w:cs="Times New Roman"/>
                                <w:b/>
                                <w:bCs/>
                                <w:color w:val="4F81BD" w:themeColor="accent1"/>
                              </w:rPr>
                            </w:pPr>
                            <w:r w:rsidRPr="003B2C34">
                              <w:rPr>
                                <w:rFonts w:ascii="Times New Roman" w:hAnsi="Times New Roman"/>
                                <w:b/>
                                <w:color w:val="4F81BD" w:themeColor="accent1"/>
                              </w:rPr>
                              <w:t>Espaces de données et laboratoires de données, éléments constitutifs de l’écosystème européen de l’IA</w:t>
                            </w:r>
                          </w:p>
                          <w:p w14:paraId="3F567896" w14:textId="77777777" w:rsidR="008303FB" w:rsidRPr="003B2C34" w:rsidRDefault="008303FB" w:rsidP="00781180">
                            <w:pPr>
                              <w:pBdr>
                                <w:top w:val="single" w:sz="24" w:space="0" w:color="4F81BD" w:themeColor="accent1"/>
                                <w:bottom w:val="single" w:sz="24" w:space="8" w:color="4F81BD" w:themeColor="accent1"/>
                              </w:pBdr>
                              <w:spacing w:after="0"/>
                              <w:jc w:val="both"/>
                              <w:rPr>
                                <w:rFonts w:ascii="Times New Roman" w:hAnsi="Times New Roman" w:cs="Times New Roman"/>
                                <w:b/>
                                <w:bCs/>
                                <w:color w:val="4F81BD" w:themeColor="accent1"/>
                              </w:rPr>
                            </w:pPr>
                          </w:p>
                          <w:p w14:paraId="735CE86F" w14:textId="77777777" w:rsidR="00781180" w:rsidRPr="003B2C34" w:rsidRDefault="00781180" w:rsidP="00781180">
                            <w:pPr>
                              <w:pBdr>
                                <w:top w:val="single" w:sz="24" w:space="0" w:color="4F81BD" w:themeColor="accent1"/>
                                <w:bottom w:val="single" w:sz="24" w:space="8" w:color="4F81BD" w:themeColor="accent1"/>
                              </w:pBdr>
                              <w:spacing w:after="0"/>
                              <w:jc w:val="both"/>
                              <w:rPr>
                                <w:rFonts w:ascii="Times New Roman" w:hAnsi="Times New Roman" w:cs="Times New Roman"/>
                                <w:color w:val="4F81BD" w:themeColor="accent1"/>
                              </w:rPr>
                            </w:pPr>
                            <w:r w:rsidRPr="003B2C34">
                              <w:rPr>
                                <w:rFonts w:ascii="Times New Roman" w:hAnsi="Times New Roman"/>
                                <w:color w:val="4F81BD" w:themeColor="accent1"/>
                              </w:rPr>
                              <w:t xml:space="preserve">Les </w:t>
                            </w:r>
                            <w:r w:rsidRPr="003B2C34">
                              <w:rPr>
                                <w:rFonts w:ascii="Times New Roman" w:hAnsi="Times New Roman"/>
                                <w:b/>
                                <w:color w:val="4F81BD" w:themeColor="accent1"/>
                              </w:rPr>
                              <w:t>espaces européens communs des données</w:t>
                            </w:r>
                            <w:r w:rsidRPr="003B2C34">
                              <w:rPr>
                                <w:rFonts w:ascii="Times New Roman" w:hAnsi="Times New Roman"/>
                                <w:color w:val="4F81BD" w:themeColor="accent1"/>
                              </w:rPr>
                              <w:t xml:space="preserve"> sont des écosystèmes de partage de données qui reposent sur une infrastructure en nuage et sur des règles de gouvernance claires définissant qui peut accéder aux données, les utiliser et les partager. Ils regroupent des acteurs publics et privés autour de mécanismes fiables permettant l’échange de données entre et au sein des secteurs.</w:t>
                            </w:r>
                          </w:p>
                          <w:p w14:paraId="4E4DD146" w14:textId="77777777" w:rsidR="00C31868" w:rsidRPr="003B2C34" w:rsidRDefault="00781180" w:rsidP="00C31868">
                            <w:pPr>
                              <w:pBdr>
                                <w:top w:val="single" w:sz="24" w:space="0" w:color="4F81BD" w:themeColor="accent1"/>
                                <w:bottom w:val="single" w:sz="24" w:space="8" w:color="4F81BD" w:themeColor="accent1"/>
                              </w:pBdr>
                              <w:spacing w:after="0"/>
                              <w:jc w:val="both"/>
                              <w:rPr>
                                <w:rFonts w:ascii="Times New Roman" w:hAnsi="Times New Roman" w:cs="Times New Roman"/>
                                <w:color w:val="4F81BD" w:themeColor="accent1"/>
                                <w:sz w:val="24"/>
                                <w:szCs w:val="24"/>
                              </w:rPr>
                            </w:pPr>
                            <w:r w:rsidRPr="003B2C34">
                              <w:rPr>
                                <w:rFonts w:ascii="Times New Roman" w:hAnsi="Times New Roman"/>
                                <w:color w:val="4F81BD" w:themeColor="accent1"/>
                                <w:sz w:val="24"/>
                              </w:rPr>
                              <w:t xml:space="preserve">Les </w:t>
                            </w:r>
                            <w:r w:rsidRPr="003B2C34">
                              <w:rPr>
                                <w:rFonts w:ascii="Times New Roman" w:hAnsi="Times New Roman"/>
                                <w:b/>
                                <w:color w:val="4F81BD" w:themeColor="accent1"/>
                                <w:sz w:val="24"/>
                              </w:rPr>
                              <w:t>laboratoires de données</w:t>
                            </w:r>
                            <w:r w:rsidRPr="003B2C34">
                              <w:rPr>
                                <w:rFonts w:ascii="Times New Roman" w:hAnsi="Times New Roman"/>
                                <w:color w:val="4F81BD" w:themeColor="accent1"/>
                                <w:sz w:val="24"/>
                              </w:rPr>
                              <w:t xml:space="preserve"> sont des fournisseurs de services de données qui relient ces espaces de données à l’écosystème d’IA. Ils donnent aux entreprises et aux chercheurs un accès sécurisé et pratique à des ensembles de données de grande qualité, leur fournissent l’assistance dont ils ont besoin pour respecter les règles de l’UE, et mettent à leur disposition des outils, des conseils et des environnements de confiance pour la mise en commun, la curation, l’étiquetage et la pseudonymisation des données.</w:t>
                            </w:r>
                          </w:p>
                          <w:p w14:paraId="1A625A73" w14:textId="77777777" w:rsidR="001A2D77" w:rsidRPr="003B2C34" w:rsidRDefault="006F48C5" w:rsidP="00C31868">
                            <w:pPr>
                              <w:pBdr>
                                <w:top w:val="single" w:sz="24" w:space="0" w:color="4F81BD" w:themeColor="accent1"/>
                                <w:bottom w:val="single" w:sz="24" w:space="8" w:color="4F81BD" w:themeColor="accent1"/>
                              </w:pBdr>
                              <w:spacing w:after="0"/>
                              <w:jc w:val="both"/>
                              <w:rPr>
                                <w:rFonts w:ascii="Times New Roman" w:hAnsi="Times New Roman" w:cs="Times New Roman"/>
                                <w:color w:val="4F81BD" w:themeColor="accent1"/>
                                <w:sz w:val="24"/>
                                <w:szCs w:val="24"/>
                              </w:rPr>
                            </w:pPr>
                            <w:r w:rsidRPr="003B2C34">
                              <w:rPr>
                                <w:rFonts w:ascii="Times New Roman" w:hAnsi="Times New Roman"/>
                                <w:color w:val="4F81BD" w:themeColor="accent1"/>
                                <w:sz w:val="24"/>
                              </w:rPr>
                              <w:t>Les espaces de données fournissent les sources structurées de données fiables, tandis que les laboratoires de données transforment ces données en ressources utilisables pour l’innovation et le développement de l’IA, garantissant ainsi un flux ininterrompu entre la disponibilité et l’application.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76740A2" id="_x0000_s1027" type="#_x0000_t202" style="position:absolute;margin-left:169.3pt;margin-top:-3.75pt;width:220.5pt;height:110.55pt;z-index:251658246;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" filled="f" stroked="f">
                <v:textbox style="mso-fit-shape-to-text:t">
                  <w:txbxContent>
                    <w:p w14:paraId="6C8B8411" w14:textId="77777777" w:rsidR="008303FB" w:rsidRPr="003B2C34" w:rsidRDefault="008303FB" w:rsidP="008303FB">
                      <w:pPr>
                        <w:pBdr>
                          <w:top w:val="single" w:sz="24" w:space="0" w:color="4F81BD" w:themeColor="accent1"/>
                          <w:bottom w:val="single" w:sz="24" w:space="8" w:color="4F81BD" w:themeColor="accent1"/>
                        </w:pBdr>
                        <w:spacing w:after="0"/>
                        <w:jc w:val="center"/>
                        <w:rPr>
                          <w:rFonts w:ascii="Times New Roman" w:hAnsi="Times New Roman" w:cs="Times New Roman"/>
                          <w:b/>
                          <w:bCs/>
                          <w:color w:val="4F81BD" w:themeColor="accent1"/>
                        </w:rPr>
                      </w:pPr>
                      <w:r w:rsidRPr="003B2C34">
                        <w:rPr>
                          <w:rFonts w:ascii="Times New Roman" w:hAnsi="Times New Roman"/>
                          <w:b/>
                          <w:color w:val="4F81BD" w:themeColor="accent1"/>
                        </w:rPr>
                        <w:t>Espaces de données et laboratoires de données, éléments constitutifs de l’écosystème européen de l’IA</w:t>
                      </w:r>
                    </w:p>
                    <w:p w14:paraId="3F567896" w14:textId="77777777" w:rsidR="008303FB" w:rsidRPr="003B2C34" w:rsidRDefault="008303FB" w:rsidP="00781180">
                      <w:pPr>
                        <w:pBdr>
                          <w:top w:val="single" w:sz="24" w:space="0" w:color="4F81BD" w:themeColor="accent1"/>
                          <w:bottom w:val="single" w:sz="24" w:space="8" w:color="4F81BD" w:themeColor="accent1"/>
                        </w:pBdr>
                        <w:spacing w:after="0"/>
                        <w:jc w:val="both"/>
                        <w:rPr>
                          <w:rFonts w:ascii="Times New Roman" w:hAnsi="Times New Roman" w:cs="Times New Roman"/>
                          <w:b/>
                          <w:bCs/>
                          <w:color w:val="4F81BD" w:themeColor="accent1"/>
                        </w:rPr>
                      </w:pPr>
                    </w:p>
                    <w:p w14:paraId="735CE86F" w14:textId="77777777" w:rsidR="00781180" w:rsidRPr="003B2C34" w:rsidRDefault="00781180" w:rsidP="00781180">
                      <w:pPr>
                        <w:pBdr>
                          <w:top w:val="single" w:sz="24" w:space="0" w:color="4F81BD" w:themeColor="accent1"/>
                          <w:bottom w:val="single" w:sz="24" w:space="8" w:color="4F81BD" w:themeColor="accent1"/>
                        </w:pBdr>
                        <w:spacing w:after="0"/>
                        <w:jc w:val="both"/>
                        <w:rPr>
                          <w:rFonts w:ascii="Times New Roman" w:hAnsi="Times New Roman" w:cs="Times New Roman"/>
                          <w:color w:val="4F81BD" w:themeColor="accent1"/>
                        </w:rPr>
                      </w:pPr>
                      <w:r w:rsidRPr="003B2C34">
                        <w:rPr>
                          <w:rFonts w:ascii="Times New Roman" w:hAnsi="Times New Roman"/>
                          <w:color w:val="4F81BD" w:themeColor="accent1"/>
                        </w:rPr>
                        <w:t xml:space="preserve">Les </w:t>
                      </w:r>
                      <w:r w:rsidRPr="003B2C34">
                        <w:rPr>
                          <w:rFonts w:ascii="Times New Roman" w:hAnsi="Times New Roman"/>
                          <w:b/>
                          <w:color w:val="4F81BD" w:themeColor="accent1"/>
                        </w:rPr>
                        <w:t>espaces européens communs des données</w:t>
                      </w:r>
                      <w:r w:rsidRPr="003B2C34">
                        <w:rPr>
                          <w:rFonts w:ascii="Times New Roman" w:hAnsi="Times New Roman"/>
                          <w:color w:val="4F81BD" w:themeColor="accent1"/>
                        </w:rPr>
                        <w:t xml:space="preserve"> sont des écosystèmes de partage de données qui reposent sur une infrastructure en nuage et sur des règles de gouvernance claires définissant qui peut accéder aux données, les utiliser et les partager. Ils regroupent des acteurs publics et privés autour de mécanismes fiables permettant l’échange de données entre et au sein des secteurs.</w:t>
                      </w:r>
                    </w:p>
                    <w:p w14:paraId="4E4DD146" w14:textId="77777777" w:rsidR="00C31868" w:rsidRPr="003B2C34" w:rsidRDefault="00781180" w:rsidP="00C31868">
                      <w:pPr>
                        <w:pBdr>
                          <w:top w:val="single" w:sz="24" w:space="0" w:color="4F81BD" w:themeColor="accent1"/>
                          <w:bottom w:val="single" w:sz="24" w:space="8" w:color="4F81BD" w:themeColor="accent1"/>
                        </w:pBdr>
                        <w:spacing w:after="0"/>
                        <w:jc w:val="both"/>
                        <w:rPr>
                          <w:rFonts w:ascii="Times New Roman" w:hAnsi="Times New Roman" w:cs="Times New Roman"/>
                          <w:color w:val="4F81BD" w:themeColor="accent1"/>
                          <w:sz w:val="24"/>
                          <w:szCs w:val="24"/>
                        </w:rPr>
                      </w:pPr>
                      <w:r w:rsidRPr="003B2C34">
                        <w:rPr>
                          <w:rFonts w:ascii="Times New Roman" w:hAnsi="Times New Roman"/>
                          <w:color w:val="4F81BD" w:themeColor="accent1"/>
                          <w:sz w:val="24"/>
                        </w:rPr>
                        <w:t xml:space="preserve">Les </w:t>
                      </w:r>
                      <w:r w:rsidRPr="003B2C34">
                        <w:rPr>
                          <w:rFonts w:ascii="Times New Roman" w:hAnsi="Times New Roman"/>
                          <w:b/>
                          <w:color w:val="4F81BD" w:themeColor="accent1"/>
                          <w:sz w:val="24"/>
                        </w:rPr>
                        <w:t>laboratoires de données</w:t>
                      </w:r>
                      <w:r w:rsidRPr="003B2C34">
                        <w:rPr>
                          <w:rFonts w:ascii="Times New Roman" w:hAnsi="Times New Roman"/>
                          <w:color w:val="4F81BD" w:themeColor="accent1"/>
                          <w:sz w:val="24"/>
                        </w:rPr>
                        <w:t xml:space="preserve"> sont des fournisseurs de services de données qui relient ces espaces de données à l’écosystème d’IA. Ils donnent aux entreprises et aux chercheurs un accès sécurisé et pratique à des ensembles de données de grande qualité, leur fournissent l’assistance dont ils ont besoin pour respecter les règles de l’UE, et mettent à leur disposition des outils, des conseils et des environnements de confiance pour la mise en commun, la curation, l’étiquetage et la pseudonymisation des données.</w:t>
                      </w:r>
                    </w:p>
                    <w:p w14:paraId="1A625A73" w14:textId="77777777" w:rsidR="001A2D77" w:rsidRPr="003B2C34" w:rsidRDefault="006F48C5" w:rsidP="00C31868">
                      <w:pPr>
                        <w:pBdr>
                          <w:top w:val="single" w:sz="24" w:space="0" w:color="4F81BD" w:themeColor="accent1"/>
                          <w:bottom w:val="single" w:sz="24" w:space="8" w:color="4F81BD" w:themeColor="accent1"/>
                        </w:pBdr>
                        <w:spacing w:after="0"/>
                        <w:jc w:val="both"/>
                        <w:rPr>
                          <w:rFonts w:ascii="Times New Roman" w:hAnsi="Times New Roman" w:cs="Times New Roman"/>
                          <w:color w:val="4F81BD" w:themeColor="accent1"/>
                          <w:sz w:val="24"/>
                          <w:szCs w:val="24"/>
                        </w:rPr>
                      </w:pPr>
                      <w:r w:rsidRPr="003B2C34">
                        <w:rPr>
                          <w:rFonts w:ascii="Times New Roman" w:hAnsi="Times New Roman"/>
                          <w:color w:val="4F81BD" w:themeColor="accent1"/>
                          <w:sz w:val="24"/>
                        </w:rPr>
                        <w:t>Les espaces de données fournissent les sources structurées de données fiables, tandis que les laboratoires de données transforment ces données en ressources utilisables pour l’innovation et le développement de l’IA, garantissant ainsi un flux ininterrompu entre la disponibilité et l’application.</w:t>
                      </w:r>
                    </w:p>
                  </w:txbxContent>
                </v:textbox>
                <w10:wrap type="square" anchorx="margin"/>
              </v:shape>
            </w:pict>
          </mc:Fallback>
        </mc:AlternateContent>
      </w:r>
      <w:r w:rsidRPr="003B2C34">
        <w:rPr>
          <w:rFonts w:ascii="Times New Roman" w:hAnsi="Times New Roman"/>
          <w:b/>
          <w:sz w:val="24"/>
        </w:rPr>
        <w:t>Pilier I: Un accès plus large à des données de qualité pour l’IA et l’innovation</w:t>
      </w:r>
    </w:p>
    <w:p w14:paraId="3B76B7E6" w14:textId="531BAF7C" w:rsidR="000E3B86" w:rsidRPr="003B2C34" w:rsidRDefault="000E3B86" w:rsidP="000E3B86">
      <w:pPr>
        <w:spacing w:after="160"/>
        <w:jc w:val="both"/>
        <w:rPr>
          <w:rFonts w:ascii="Times New Roman" w:hAnsi="Times New Roman" w:cs="Times New Roman"/>
          <w:bCs/>
          <w:iCs/>
          <w:sz w:val="24"/>
          <w:szCs w:val="24"/>
        </w:rPr>
      </w:pPr>
      <w:r w:rsidRPr="003B2C34">
        <w:rPr>
          <w:rFonts w:ascii="Times New Roman" w:hAnsi="Times New Roman"/>
          <w:sz w:val="24"/>
        </w:rPr>
        <w:t>La compétitivité de l’UE dans le domaine de l’IA et de l’innovation numérique dépend de l’accès à des données de grande qualité et à l’infrastructure permettant de partager et d’utiliser les données de manière sécurisée à grande échelle. L’UE a déjà établi des bases solides en créant des espaces européens communs des données et des cadres de gouvernance et en réalisant des investissements importants dans la technologie et l’informatique en nuage. La difficulté consiste maintenant à passer de projets pilotes et d’initiatives fragmentées à un écosystème de données continu, interopérable et durable, en encourageant l’innovation de rupture et en renforçant la souveraineté numérique de l’UE.</w:t>
      </w:r>
    </w:p>
    <w:p w14:paraId="44216EE5" w14:textId="027DEBD5" w:rsidR="0039794A" w:rsidRPr="003B2C34" w:rsidRDefault="000E3B86" w:rsidP="7413CC5E">
      <w:pPr>
        <w:spacing w:after="160"/>
        <w:jc w:val="both"/>
        <w:rPr>
          <w:rFonts w:ascii="Times New Roman" w:hAnsi="Times New Roman" w:cs="Times New Roman"/>
          <w:sz w:val="24"/>
          <w:szCs w:val="24"/>
        </w:rPr>
      </w:pPr>
      <w:r w:rsidRPr="003B2C34">
        <w:rPr>
          <w:rFonts w:ascii="Times New Roman" w:hAnsi="Times New Roman"/>
          <w:sz w:val="24"/>
        </w:rPr>
        <w:t>Pour y parvenir, la Commission agira selon deux axes complémentaires. Premièrement, elle lancera des initiatives phares concernant les goulets d’étranglement dont l’élimination est prioritaire dans l’UE: l’accès limité aux ensembles de données critiques, l’insuffisance de l’infrastructure nécessaire au développement de l’IA à grande échelle et le besoin d’environnements de confiance, y compris des laboratoires de données qui mettent les espaces de données en relation avec les développeurs d’IA. Ces laboratoires de données constitueront des installations de service spécialisées fournissant des environnements sécurisés, des outils pratiques et l’assistance d’experts pour la mise en commun, la curation, la pseudonymisation et l’anonymisation des données. Ils aideront les entreprises, en particulier les PME, à transformer les données en ressources utilisables pour l’entraînement de systèmes d’IA tout en préservant le contrôle des données. Ces efforts compléteront la stratégie pour l’application de l’IA, en faisant en sorte que la disponibilité des données soutienne directement le déploiement de l’IA et l’innovation dans l’ensemble des industries et des secteurs publics. Deuxièmement, elle appuiera ces efforts par des mesures horizontales: clarté juridique pour la mise en commun des données, normes relatives à la qualité des données et investissements dans les capacités en matière de données synthétiques</w:t>
      </w:r>
      <w:r w:rsidRPr="003B2C34">
        <w:rPr>
          <w:rStyle w:val="FootnoteReference"/>
          <w:rFonts w:ascii="Times New Roman" w:hAnsi="Times New Roman" w:cs="Times New Roman"/>
          <w:sz w:val="24"/>
          <w:szCs w:val="24"/>
        </w:rPr>
        <w:footnoteReference w:id="15"/>
      </w:r>
      <w:r w:rsidRPr="003B2C34">
        <w:rPr>
          <w:rFonts w:ascii="Times New Roman" w:hAnsi="Times New Roman"/>
          <w:sz w:val="24"/>
        </w:rPr>
        <w:t>, afin de garantir la mise à l’échelle, la confiance et la durabilité à long terme dans tous les secteurs.</w:t>
      </w:r>
    </w:p>
    <w:p w14:paraId="5D9C8FD2" w14:textId="1F685C65" w:rsidR="000F632D" w:rsidRPr="003B2C34" w:rsidRDefault="000F632D" w:rsidP="000F632D">
      <w:pPr>
        <w:pStyle w:val="ListParagraph"/>
        <w:numPr>
          <w:ilvl w:val="0"/>
          <w:numId w:val="2"/>
        </w:numPr>
        <w:spacing w:after="160"/>
        <w:jc w:val="both"/>
        <w:outlineLvl w:val="3"/>
        <w:rPr>
          <w:rFonts w:ascii="Times New Roman" w:hAnsi="Times New Roman" w:cs="Times New Roman"/>
          <w:b/>
          <w:sz w:val="24"/>
          <w:szCs w:val="24"/>
        </w:rPr>
      </w:pPr>
      <w:r w:rsidRPr="003B2C34">
        <w:rPr>
          <w:rFonts w:ascii="Times New Roman" w:hAnsi="Times New Roman"/>
          <w:b/>
          <w:sz w:val="24"/>
        </w:rPr>
        <w:t>Développer les espaces européens communs des données</w:t>
      </w:r>
    </w:p>
    <w:p w14:paraId="5A4647E6" w14:textId="4FC4E495" w:rsidR="000F632D" w:rsidRPr="003B2C34" w:rsidRDefault="000F632D" w:rsidP="000F632D">
      <w:pPr>
        <w:jc w:val="both"/>
        <w:rPr>
          <w:rFonts w:ascii="Times New Roman" w:eastAsia="Times New Roman" w:hAnsi="Times New Roman" w:cs="Times New Roman"/>
          <w:sz w:val="24"/>
          <w:szCs w:val="24"/>
        </w:rPr>
      </w:pPr>
      <w:r w:rsidRPr="003B2C34">
        <w:rPr>
          <w:rFonts w:ascii="Times New Roman" w:hAnsi="Times New Roman"/>
          <w:sz w:val="24"/>
        </w:rPr>
        <w:t xml:space="preserve">Les </w:t>
      </w:r>
      <w:r w:rsidRPr="003B2C34">
        <w:rPr>
          <w:rFonts w:ascii="Times New Roman" w:hAnsi="Times New Roman"/>
          <w:b/>
          <w:sz w:val="24"/>
        </w:rPr>
        <w:t>espaces européens communs des données</w:t>
      </w:r>
      <w:r w:rsidRPr="003B2C34">
        <w:rPr>
          <w:rFonts w:ascii="Times New Roman" w:hAnsi="Times New Roman"/>
          <w:sz w:val="24"/>
        </w:rPr>
        <w:t xml:space="preserve"> sont essentiels à l’établissement d’un marché unique des données. La prochaine étape consistera à les développer et à les relier aux infrastructures d’IA par l’intermédiaire de laboratoires de données et de fabriques d’IA, ce qui transformera les ressources en données de l’UE en véritable «carburant» pour une IA digne de confiance. Ces efforts, déployés en étroite synergie avec la stratégie pour l’application de l’IA, garantiront que les espaces de données contribuent directement au développement et au déploiement de l’IA dans tous les secteurs.</w:t>
      </w:r>
    </w:p>
    <w:p w14:paraId="55412FE0" w14:textId="4F8214D9" w:rsidR="000F632D" w:rsidRPr="003B2C34" w:rsidRDefault="000F632D" w:rsidP="000F632D">
      <w:pPr>
        <w:jc w:val="both"/>
        <w:rPr>
          <w:rFonts w:ascii="Times New Roman" w:hAnsi="Times New Roman" w:cs="Times New Roman"/>
          <w:bCs/>
          <w:sz w:val="24"/>
          <w:szCs w:val="24"/>
        </w:rPr>
      </w:pPr>
      <w:r w:rsidRPr="003B2C34">
        <w:rPr>
          <w:rFonts w:ascii="Times New Roman" w:hAnsi="Times New Roman"/>
          <w:sz w:val="24"/>
        </w:rPr>
        <w:t>La plateforme d’</w:t>
      </w:r>
      <w:r w:rsidRPr="003B2C34">
        <w:rPr>
          <w:rFonts w:ascii="Times New Roman" w:hAnsi="Times New Roman"/>
          <w:b/>
          <w:sz w:val="24"/>
        </w:rPr>
        <w:t>intergiciel en nuage Simpl</w:t>
      </w:r>
      <w:r w:rsidRPr="003B2C34">
        <w:rPr>
          <w:rStyle w:val="FootnoteReference"/>
          <w:rFonts w:ascii="Times New Roman" w:hAnsi="Times New Roman" w:cs="Times New Roman"/>
          <w:b/>
          <w:sz w:val="24"/>
          <w:szCs w:val="24"/>
        </w:rPr>
        <w:footnoteReference w:id="16"/>
      </w:r>
      <w:r w:rsidRPr="003B2C34">
        <w:rPr>
          <w:rFonts w:ascii="Times New Roman" w:hAnsi="Times New Roman"/>
          <w:sz w:val="24"/>
        </w:rPr>
        <w:t xml:space="preserve"> permettra l’interopérabilité entre les initiatives au moyen d’un ensemble de composants à code source ouvert, modulaires et sécurisés. Cela réduit les obstacles pour les PME et crée des liens plus rapides entre les écosystèmes. Le centre de soutien aux espaces de données favorisera l’adoption, en particulier par les PME, par des actions de sensibilisation et en fournissant des conseils pratiques.</w:t>
      </w:r>
    </w:p>
    <w:p w14:paraId="40D67EBD" w14:textId="4C66B82D" w:rsidR="000F632D" w:rsidRPr="003B2C34" w:rsidRDefault="000F632D" w:rsidP="000F632D">
      <w:pPr>
        <w:jc w:val="both"/>
        <w:rPr>
          <w:rFonts w:ascii="Times New Roman" w:hAnsi="Times New Roman" w:cs="Times New Roman"/>
          <w:bCs/>
          <w:sz w:val="24"/>
          <w:szCs w:val="24"/>
        </w:rPr>
      </w:pPr>
      <w:r w:rsidRPr="003B2C34">
        <w:rPr>
          <w:rFonts w:ascii="Times New Roman" w:hAnsi="Times New Roman"/>
          <w:i/>
          <w:sz w:val="24"/>
          <w:lang w:val="en-GB" w:eastAsia="en-GB"/>
        </w:rPr>
        <mc:AlternateContent>
          <mc:Choice Requires="wps">
            <w:drawing>
              <wp:anchor distT="91440" distB="91440" distL="114300" distR="114300" simplePos="0" relativeHeight="251658245" behindDoc="0" locked="0" layoutInCell="1" allowOverlap="1" wp14:anchorId="6417D599" wp14:editId="2FB51018">
                <wp:simplePos x="0" y="0"/>
                <wp:positionH relativeFrom="margin">
                  <wp:align>right</wp:align>
                </wp:positionH>
                <wp:positionV relativeFrom="paragraph">
                  <wp:posOffset>594360</wp:posOffset>
                </wp:positionV>
                <wp:extent cx="3038475" cy="1403985"/>
                <wp:effectExtent l="0" t="0" r="0" b="0"/>
                <wp:wrapSquare wrapText="bothSides"/>
                <wp:docPr id="8132405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38475" cy="1403985"/>
                        </a:xfrm>
                        <a:prstGeom prst="rect">
                          <a:avLst/>
                        </a:prstGeom>
                        <a:noFill/>
                        <a:ln w="9525">
                          <a:noFill/>
                          <a:miter lim="800000"/>
                          <a:headEnd/>
                          <a:tailEnd/>
                        </a:ln>
                      </wps:spPr>
                      <wps:txbx>
                        <w:txbxContent>
                          <w:p w14:paraId="612437D3" w14:textId="77777777" w:rsidR="000F632D" w:rsidRPr="003B2C34" w:rsidRDefault="000F632D" w:rsidP="000F632D">
                            <w:pPr>
                              <w:pBdr>
                                <w:top w:val="single" w:sz="24" w:space="8" w:color="4F81BD" w:themeColor="accent1"/>
                                <w:bottom w:val="single" w:sz="24" w:space="8" w:color="4F81BD" w:themeColor="accent1"/>
                              </w:pBdr>
                              <w:spacing w:after="0"/>
                              <w:jc w:val="both"/>
                              <w:rPr>
                                <w:rFonts w:ascii="Times New Roman" w:hAnsi="Times New Roman" w:cs="Times New Roman"/>
                                <w:b/>
                                <w:bCs/>
                                <w:i/>
                                <w:iCs/>
                                <w:color w:val="4F81BD" w:themeColor="accent1"/>
                                <w:sz w:val="24"/>
                                <w:szCs w:val="24"/>
                              </w:rPr>
                            </w:pPr>
                            <w:r w:rsidRPr="003B2C34">
                              <w:rPr>
                                <w:rFonts w:ascii="Times New Roman" w:hAnsi="Times New Roman"/>
                                <w:b/>
                                <w:i/>
                                <w:color w:val="4F81BD" w:themeColor="accent1"/>
                                <w:sz w:val="24"/>
                              </w:rPr>
                              <w:t>Prochaines étapes pour l’espace européen des données de santé:</w:t>
                            </w:r>
                          </w:p>
                          <w:p w14:paraId="4A4F3C75" w14:textId="23BC01D0" w:rsidR="008B342B" w:rsidRPr="003B2C34" w:rsidRDefault="008B342B" w:rsidP="000F632D">
                            <w:pPr>
                              <w:pBdr>
                                <w:top w:val="single" w:sz="24" w:space="8" w:color="4F81BD" w:themeColor="accent1"/>
                                <w:bottom w:val="single" w:sz="24" w:space="8" w:color="4F81BD" w:themeColor="accent1"/>
                              </w:pBdr>
                              <w:spacing w:after="0"/>
                              <w:jc w:val="both"/>
                              <w:rPr>
                                <w:rFonts w:ascii="Times New Roman" w:hAnsi="Times New Roman" w:cs="Times New Roman"/>
                                <w:i/>
                                <w:iCs/>
                                <w:color w:val="4F81BD" w:themeColor="accent1"/>
                                <w:sz w:val="24"/>
                                <w:szCs w:val="24"/>
                              </w:rPr>
                            </w:pPr>
                            <w:r w:rsidRPr="003B2C34">
                              <w:rPr>
                                <w:rFonts w:ascii="Times New Roman" w:hAnsi="Times New Roman"/>
                                <w:i/>
                                <w:color w:val="4F81BD" w:themeColor="accent1"/>
                                <w:sz w:val="24"/>
                              </w:rPr>
                              <w:t xml:space="preserve">L’espace européen des données de santé constituera une passerelle essentielle entre les écosystèmes de données de santé et le développement de l’IA, permettant aux laboratoires de données et aux fabriques d’IA de tirer parti d’ensembles de données anonymisés et synthétiques dans des environnements de traitement fiables. </w:t>
                            </w:r>
                          </w:p>
                          <w:p w14:paraId="457E950F" w14:textId="556978E1" w:rsidR="000F632D" w:rsidRPr="003B2C34" w:rsidRDefault="000F632D" w:rsidP="000F632D">
                            <w:pPr>
                              <w:pBdr>
                                <w:top w:val="single" w:sz="24" w:space="8" w:color="4F81BD" w:themeColor="accent1"/>
                                <w:bottom w:val="single" w:sz="24" w:space="8" w:color="4F81BD" w:themeColor="accent1"/>
                              </w:pBdr>
                              <w:spacing w:after="0"/>
                              <w:jc w:val="both"/>
                              <w:rPr>
                                <w:rFonts w:ascii="Times New Roman" w:hAnsi="Times New Roman" w:cs="Times New Roman"/>
                                <w:i/>
                                <w:iCs/>
                                <w:color w:val="4F81BD" w:themeColor="accent1"/>
                                <w:sz w:val="24"/>
                                <w:szCs w:val="24"/>
                              </w:rPr>
                            </w:pPr>
                            <w:r w:rsidRPr="003B2C34">
                              <w:rPr>
                                <w:rFonts w:ascii="Times New Roman" w:hAnsi="Times New Roman"/>
                                <w:i/>
                                <w:color w:val="4F81BD" w:themeColor="accent1"/>
                                <w:sz w:val="24"/>
                              </w:rPr>
                              <w:t>À partir de mars 2029, les dossiers des patients et les ordonnances électroniques seront échangés dans tous les États membres, parallèlement à l’utilisation secondaire de la plupart des données de santé. D’ici à mars 2031, ce dispositif sera étendu à l’imagerie médicale, aux résultats de laboratoire et aux rapports médicaux de sortie, les données génomiques et autres étant ajoutées à des fins d’utilisation secondaire.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417D599" id="_x0000_s1028" type="#_x0000_t202" style="position:absolute;left:0;text-align:left;margin-left:188.05pt;margin-top:46.8pt;width:239.25pt;height:110.55pt;z-index:251658245;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" filled="f" stroked="f">
                <v:textbox style="mso-fit-shape-to-text:t">
                  <w:txbxContent>
                    <w:p w14:paraId="612437D3" w14:textId="77777777" w:rsidR="000F632D" w:rsidRPr="003B2C34" w:rsidRDefault="000F632D" w:rsidP="000F632D">
                      <w:pPr>
                        <w:pBdr>
                          <w:top w:val="single" w:sz="24" w:space="8" w:color="4F81BD" w:themeColor="accent1"/>
                          <w:bottom w:val="single" w:sz="24" w:space="8" w:color="4F81BD" w:themeColor="accent1"/>
                        </w:pBdr>
                        <w:spacing w:after="0"/>
                        <w:jc w:val="both"/>
                        <w:rPr>
                          <w:rFonts w:ascii="Times New Roman" w:hAnsi="Times New Roman" w:cs="Times New Roman"/>
                          <w:b/>
                          <w:bCs/>
                          <w:i/>
                          <w:iCs/>
                          <w:color w:val="4F81BD" w:themeColor="accent1"/>
                          <w:sz w:val="24"/>
                          <w:szCs w:val="24"/>
                        </w:rPr>
                      </w:pPr>
                      <w:r w:rsidRPr="003B2C34">
                        <w:rPr>
                          <w:rFonts w:ascii="Times New Roman" w:hAnsi="Times New Roman"/>
                          <w:b/>
                          <w:i/>
                          <w:color w:val="4F81BD" w:themeColor="accent1"/>
                          <w:sz w:val="24"/>
                        </w:rPr>
                        <w:t>Prochaines étapes pour l’espace européen des données de santé:</w:t>
                      </w:r>
                    </w:p>
                    <w:p w14:paraId="4A4F3C75" w14:textId="23BC01D0" w:rsidR="008B342B" w:rsidRPr="003B2C34" w:rsidRDefault="008B342B" w:rsidP="000F632D">
                      <w:pPr>
                        <w:pBdr>
                          <w:top w:val="single" w:sz="24" w:space="8" w:color="4F81BD" w:themeColor="accent1"/>
                          <w:bottom w:val="single" w:sz="24" w:space="8" w:color="4F81BD" w:themeColor="accent1"/>
                        </w:pBdr>
                        <w:spacing w:after="0"/>
                        <w:jc w:val="both"/>
                        <w:rPr>
                          <w:rFonts w:ascii="Times New Roman" w:hAnsi="Times New Roman" w:cs="Times New Roman"/>
                          <w:i/>
                          <w:iCs/>
                          <w:color w:val="4F81BD" w:themeColor="accent1"/>
                          <w:sz w:val="24"/>
                          <w:szCs w:val="24"/>
                        </w:rPr>
                      </w:pPr>
                      <w:r w:rsidRPr="003B2C34">
                        <w:rPr>
                          <w:rFonts w:ascii="Times New Roman" w:hAnsi="Times New Roman"/>
                          <w:i/>
                          <w:color w:val="4F81BD" w:themeColor="accent1"/>
                          <w:sz w:val="24"/>
                        </w:rPr>
                        <w:t xml:space="preserve">L’espace européen des données de santé constituera une passerelle essentielle entre les écosystèmes de données de santé et le développement de l’IA, permettant aux laboratoires de données et aux fabriques d’IA de tirer parti d’ensembles de données anonymisés et synthétiques dans des environnements de traitement fiables. </w:t>
                      </w:r>
                    </w:p>
                    <w:p w14:paraId="457E950F" w14:textId="556978E1" w:rsidR="000F632D" w:rsidRPr="003B2C34" w:rsidRDefault="000F632D" w:rsidP="000F632D">
                      <w:pPr>
                        <w:pBdr>
                          <w:top w:val="single" w:sz="24" w:space="8" w:color="4F81BD" w:themeColor="accent1"/>
                          <w:bottom w:val="single" w:sz="24" w:space="8" w:color="4F81BD" w:themeColor="accent1"/>
                        </w:pBdr>
                        <w:spacing w:after="0"/>
                        <w:jc w:val="both"/>
                        <w:rPr>
                          <w:rFonts w:ascii="Times New Roman" w:hAnsi="Times New Roman" w:cs="Times New Roman"/>
                          <w:i/>
                          <w:iCs/>
                          <w:color w:val="4F81BD" w:themeColor="accent1"/>
                          <w:sz w:val="24"/>
                          <w:szCs w:val="24"/>
                        </w:rPr>
                      </w:pPr>
                      <w:r w:rsidRPr="003B2C34">
                        <w:rPr>
                          <w:rFonts w:ascii="Times New Roman" w:hAnsi="Times New Roman"/>
                          <w:i/>
                          <w:color w:val="4F81BD" w:themeColor="accent1"/>
                          <w:sz w:val="24"/>
                        </w:rPr>
                        <w:t>À partir de mars 2029, les dossiers des patients et les ordonnances électroniques seront échangés dans tous les États membres, parallèlement à l’utilisation secondaire de la plupart des données de santé. D’ici à mars 2031, ce dispositif sera étendu à l’imagerie médicale, aux résultats de laboratoire et aux rapports médicaux de sortie, les données génomiques et autres étant ajoutées à des fins d’utilisation secondaire.</w:t>
                      </w:r>
                    </w:p>
                  </w:txbxContent>
                </v:textbox>
                <w10:wrap type="square" anchorx="margin"/>
              </v:shape>
            </w:pict>
          </mc:Fallback>
        </mc:AlternateContent>
      </w:r>
      <w:r w:rsidRPr="003B2C34">
        <w:rPr>
          <w:rFonts w:ascii="Times New Roman" w:hAnsi="Times New Roman"/>
          <w:sz w:val="24"/>
        </w:rPr>
        <w:t>À l’avenir, le financement de l’UE en faveur des espaces européens communs des données donnera la priorité à des secteurs d’intérêt public, tels que la santé, la mobilité, l’énergie, les administrations publiques et l’environnement, tandis que le soutien aux domaines matures, tels que l’industrie manufacturière et la finance sera plutôt assuré par des modèles fondés sur le marché</w:t>
      </w:r>
      <w:r w:rsidRPr="003B2C34">
        <w:t>.</w:t>
      </w:r>
      <w:r w:rsidRPr="003B2C34">
        <w:rPr>
          <w:rFonts w:ascii="Times New Roman" w:hAnsi="Times New Roman"/>
          <w:sz w:val="24"/>
        </w:rPr>
        <w:t xml:space="preserve"> La Commission soutiendra cette évolution en promouvant la normalisation, l’interopérabilité et les cadres de co-investissement. L’intégration des utilisateurs finaux, la préparation à l’IA et la viabilité financière resteront des objectifs clés.</w:t>
      </w:r>
    </w:p>
    <w:p w14:paraId="7E1A3639" w14:textId="5F66C042" w:rsidR="00BA3783" w:rsidRPr="003B2C34" w:rsidRDefault="00BA3783" w:rsidP="00BA3783">
      <w:pPr>
        <w:jc w:val="both"/>
        <w:rPr>
          <w:rFonts w:ascii="Times New Roman" w:hAnsi="Times New Roman" w:cs="Times New Roman"/>
          <w:bCs/>
          <w:sz w:val="24"/>
          <w:szCs w:val="24"/>
        </w:rPr>
      </w:pPr>
      <w:r w:rsidRPr="003B2C34">
        <w:rPr>
          <w:rFonts w:ascii="Times New Roman" w:hAnsi="Times New Roman"/>
          <w:sz w:val="24"/>
        </w:rPr>
        <w:t xml:space="preserve">Parmi les actions phares relevant de la stratégie pour l’application de l’IA, l’UE mobilisera des </w:t>
      </w:r>
      <w:r w:rsidRPr="003B2C34">
        <w:rPr>
          <w:rFonts w:ascii="Times New Roman" w:hAnsi="Times New Roman"/>
          <w:b/>
          <w:sz w:val="24"/>
        </w:rPr>
        <w:t>espaces européens communs des données</w:t>
      </w:r>
      <w:r w:rsidRPr="003B2C34">
        <w:rPr>
          <w:rFonts w:ascii="Times New Roman" w:hAnsi="Times New Roman"/>
          <w:sz w:val="24"/>
        </w:rPr>
        <w:t xml:space="preserve"> pour accélérer le déploiement de l’IA dans des secteurs clés et soutenir le développement de modèles d’IA d'avant-garde par l’intermédiaire de l’initiative prévue à cet effet. Ces actions sont étroitement liées à d’autres initiatives phares de la stratégie pour l’application de l’IA, telles que «Foundational Models for Industry», «AI-powered Pharma Discovery» ou «Autonomous Drive Ambition Cities», qui s’appuient toutes sur des données sectorielles mises à disposition par l’intermédiaire des espaces européens communs des données. Parmi les applications concrètes de cette approche, on peut citer: des centres de dépistage fondés sur l’IA dans le domaine des soins de santé, qui valident les outils de diagnostic en utilisant l’espace européen des données de santé</w:t>
      </w:r>
      <w:r w:rsidRPr="003B2C34">
        <w:rPr>
          <w:rStyle w:val="FootnoteReference"/>
          <w:rFonts w:ascii="Times New Roman" w:hAnsi="Times New Roman" w:cs="Times New Roman"/>
          <w:bCs/>
          <w:sz w:val="24"/>
          <w:szCs w:val="24"/>
        </w:rPr>
        <w:footnoteReference w:id="17"/>
      </w:r>
      <w:r w:rsidRPr="003B2C34">
        <w:rPr>
          <w:rFonts w:ascii="Times New Roman" w:hAnsi="Times New Roman"/>
          <w:sz w:val="24"/>
        </w:rPr>
        <w:t>; la mise en commun de données fiables dans le domaine de l’industrie manufacturière par l’intermédiaire de l’espace des données manufacturières afin d’entraîner des modèles d’IA spécialisés et d’avant-garde; et une plateforme d’IA agroalimentaire qui soutient l’adoption d’outils agricoles fondés sur l’IA à l’aide de l’espace européen commun des données relatives à l’agriculture.</w:t>
      </w:r>
    </w:p>
    <w:p w14:paraId="5F63DC18" w14:textId="10D98C7F" w:rsidR="000F632D" w:rsidRPr="003B2C34" w:rsidRDefault="00884178" w:rsidP="000F632D">
      <w:pPr>
        <w:jc w:val="both"/>
        <w:rPr>
          <w:rFonts w:ascii="Times New Roman" w:hAnsi="Times New Roman" w:cs="Times New Roman"/>
          <w:bCs/>
          <w:sz w:val="24"/>
          <w:szCs w:val="24"/>
        </w:rPr>
      </w:pPr>
      <w:r w:rsidRPr="003B2C34">
        <w:rPr>
          <w:rFonts w:ascii="Times New Roman" w:hAnsi="Times New Roman"/>
          <w:sz w:val="24"/>
        </w:rPr>
        <w:t>À partir de 2026, le déploiement d’espaces de données dans tous les secteurs prioritaires se poursuivra, soutenu par des investissements d’environ 100 millions d’euros en cours de réalisation dans l’UE, qui permettent une utilisation fiable et à grande échelle des données pour les applications d’IA. L’</w:t>
      </w:r>
      <w:r w:rsidRPr="003B2C34">
        <w:rPr>
          <w:rFonts w:ascii="Times New Roman" w:hAnsi="Times New Roman"/>
          <w:b/>
          <w:sz w:val="24"/>
        </w:rPr>
        <w:t>espace européen des données de santé</w:t>
      </w:r>
      <w:r w:rsidRPr="003B2C34">
        <w:rPr>
          <w:rFonts w:ascii="Times New Roman" w:hAnsi="Times New Roman"/>
          <w:sz w:val="24"/>
        </w:rPr>
        <w:t xml:space="preserve"> soutiendra des applications de diagnostics fondées sur l’IA et de médecine personnalisée et constituera une passerelle essentielle entre les écosystèmes de données de santé et le développement de l’IA, permettant aux laboratoires de données et aux fabriques d’IA de tirer parti d’ensembles de données anonymisés et synthétiques dans des environnements de traitement fiables; l’espace européen commun des </w:t>
      </w:r>
      <w:r w:rsidRPr="003B2C34">
        <w:rPr>
          <w:rFonts w:ascii="Times New Roman" w:hAnsi="Times New Roman"/>
          <w:b/>
          <w:sz w:val="24"/>
        </w:rPr>
        <w:t>données relatives à la mobilité</w:t>
      </w:r>
      <w:r w:rsidRPr="003B2C34">
        <w:rPr>
          <w:rFonts w:ascii="Times New Roman" w:hAnsi="Times New Roman"/>
          <w:sz w:val="24"/>
        </w:rPr>
        <w:t xml:space="preserve"> permettra de connecter les véhicules, les infrastructures et la logistique pour des transports plus sûrs et plus écologiques; l’espace des données relatives à l’énergie facilitera la mise en place de services énergétiques intelligents et flexibles; et l’</w:t>
      </w:r>
      <w:r w:rsidRPr="003B2C34">
        <w:rPr>
          <w:rFonts w:ascii="Times New Roman" w:hAnsi="Times New Roman"/>
          <w:b/>
          <w:sz w:val="24"/>
        </w:rPr>
        <w:t>espace de données médiatiques</w:t>
      </w:r>
      <w:r w:rsidRPr="003B2C34">
        <w:rPr>
          <w:rFonts w:ascii="Times New Roman" w:hAnsi="Times New Roman"/>
          <w:sz w:val="24"/>
        </w:rPr>
        <w:t xml:space="preserve"> stimulera les industries créatives grâce à l’innovation culturelle fondée sur l’IA.</w:t>
      </w:r>
      <w:r w:rsidRPr="003B2C34">
        <w:t xml:space="preserve"> </w:t>
      </w:r>
      <w:r w:rsidRPr="003B2C34">
        <w:rPr>
          <w:rFonts w:ascii="Times New Roman" w:hAnsi="Times New Roman"/>
          <w:sz w:val="24"/>
        </w:rPr>
        <w:t>Les laboratoires de données constitueront des points d’entrée pratiques dans ces espaces de données, en aidant les organisations à accéder aux données, à les préparer et à les utiliser efficacement pour l’IA. Dans ce cadre, l’</w:t>
      </w:r>
      <w:r w:rsidRPr="003B2C34">
        <w:rPr>
          <w:rFonts w:ascii="Times New Roman" w:hAnsi="Times New Roman"/>
          <w:b/>
          <w:sz w:val="24"/>
        </w:rPr>
        <w:t>espace européen des données juridiques</w:t>
      </w:r>
      <w:r w:rsidRPr="003B2C34">
        <w:rPr>
          <w:rFonts w:ascii="Times New Roman" w:hAnsi="Times New Roman"/>
          <w:sz w:val="24"/>
        </w:rPr>
        <w:t xml:space="preserve"> élargira l’accès aux données juridiques et judiciaires au moyen d’identifiants et de métadonnées communs pour la jurisprudence et la législation, ce qui permettra aux applications de technologie juridique d’utiliser ces données. On examinera aussi, dans ce contexte, la nécessité d’une réserve de données sur les conditions contractuelles pour la passation de marchés automatisée. </w:t>
      </w:r>
    </w:p>
    <w:p w14:paraId="0E130FDB" w14:textId="7DD99D04" w:rsidR="000310A0" w:rsidRPr="003B2C34" w:rsidRDefault="000310A0" w:rsidP="000F632D">
      <w:pPr>
        <w:jc w:val="both"/>
        <w:rPr>
          <w:rFonts w:ascii="Times New Roman" w:hAnsi="Times New Roman" w:cs="Times New Roman"/>
          <w:bCs/>
          <w:sz w:val="24"/>
          <w:szCs w:val="24"/>
        </w:rPr>
      </w:pPr>
      <w:r w:rsidRPr="003B2C34">
        <w:rPr>
          <w:rFonts w:ascii="Times New Roman" w:hAnsi="Times New Roman"/>
          <w:sz w:val="24"/>
        </w:rPr>
        <w:t>La Commission accélérera la numérisation environnementale par l’intermédiaire de l’</w:t>
      </w:r>
      <w:r w:rsidRPr="003B2C34">
        <w:rPr>
          <w:rFonts w:ascii="Times New Roman" w:hAnsi="Times New Roman"/>
          <w:b/>
          <w:sz w:val="24"/>
        </w:rPr>
        <w:t>espace des données du pacte vert</w:t>
      </w:r>
      <w:r w:rsidRPr="003B2C34">
        <w:rPr>
          <w:rFonts w:ascii="Times New Roman" w:hAnsi="Times New Roman"/>
          <w:sz w:val="24"/>
        </w:rPr>
        <w:t>, ce qui permettra à la communauté des technologies numériques vertes de faire passer les solutions intersectorielles à une dimension supérieure en utilisant des composants réutilisables et des ensembles de données de grande qualité. Parmi les actions prioritaires figurent les services fondés sur les données pour la stratégie européenne pour la résilience dans le domaine de l’eau, la numérisation des procédures d’octroi de permis, des projets pilotes sur la traçabilité des textiles et les crédits nature, et la surveillance avancée des forêts grâce à l’apprentissage automatique sur des données ouvertes et confidentielles.</w:t>
      </w:r>
    </w:p>
    <w:p w14:paraId="1C67A2FF" w14:textId="16ED0EB8" w:rsidR="0077677F" w:rsidRPr="003B2C34" w:rsidRDefault="0077677F" w:rsidP="000F632D">
      <w:pPr>
        <w:jc w:val="both"/>
        <w:rPr>
          <w:rFonts w:ascii="Times New Roman" w:hAnsi="Times New Roman" w:cs="Times New Roman"/>
          <w:bCs/>
          <w:sz w:val="24"/>
          <w:szCs w:val="24"/>
        </w:rPr>
      </w:pPr>
      <w:r w:rsidRPr="003B2C34">
        <w:rPr>
          <w:rFonts w:ascii="Times New Roman" w:hAnsi="Times New Roman"/>
          <w:sz w:val="24"/>
        </w:rPr>
        <w:t xml:space="preserve">Un </w:t>
      </w:r>
      <w:r w:rsidRPr="003B2C34">
        <w:rPr>
          <w:rFonts w:ascii="Times New Roman" w:hAnsi="Times New Roman"/>
          <w:b/>
          <w:sz w:val="24"/>
        </w:rPr>
        <w:t>espace européen des données de défense</w:t>
      </w:r>
      <w:r w:rsidRPr="003B2C34">
        <w:rPr>
          <w:rFonts w:ascii="Times New Roman" w:hAnsi="Times New Roman"/>
          <w:sz w:val="24"/>
        </w:rPr>
        <w:t xml:space="preserve"> créera un environnement de confiance pour la mise en commun de données opérationnelles, industrielles et de recherche afin de développer des systèmes de défense de nouvelle génération, de stimuler les capacités industrielles et de renforcer la souveraineté technologique de l’UE en réduisant la dépendance à l’égard des fournisseurs de pays tiers. En s’appuyant sur l’expérience de l’Ukraine en matière de défense fondée sur les données, la Commission étudiera la possibilité d’une coopération et d’un échange de connaissances. L’initiative sera élaborée avec les États membres et les acteurs concernés, y compris les entreprises.</w:t>
      </w:r>
      <w:r w:rsidRPr="003B2C34">
        <w:rPr>
          <w:rStyle w:val="FootnoteReference"/>
          <w:rFonts w:ascii="Times New Roman" w:hAnsi="Times New Roman"/>
          <w:sz w:val="24"/>
        </w:rPr>
        <w:t xml:space="preserve"> </w:t>
      </w:r>
      <w:r w:rsidRPr="003B2C34">
        <w:rPr>
          <w:rStyle w:val="FootnoteReference"/>
          <w:rFonts w:ascii="Times New Roman" w:hAnsi="Times New Roman" w:cs="Times New Roman"/>
          <w:bCs/>
          <w:sz w:val="24"/>
          <w:szCs w:val="24"/>
        </w:rPr>
        <w:footnoteReference w:id="18"/>
      </w:r>
    </w:p>
    <w:p w14:paraId="448F17E5" w14:textId="53A3EFB7" w:rsidR="00190A2C" w:rsidRPr="003B2C34" w:rsidRDefault="00190A2C" w:rsidP="00A55640">
      <w:pPr>
        <w:pStyle w:val="ListParagraph"/>
        <w:numPr>
          <w:ilvl w:val="0"/>
          <w:numId w:val="2"/>
        </w:numPr>
        <w:spacing w:after="160"/>
        <w:ind w:left="714" w:hanging="357"/>
        <w:jc w:val="both"/>
        <w:outlineLvl w:val="3"/>
        <w:rPr>
          <w:rFonts w:ascii="Times New Roman" w:hAnsi="Times New Roman" w:cs="Times New Roman"/>
          <w:b/>
          <w:sz w:val="24"/>
          <w:szCs w:val="24"/>
        </w:rPr>
      </w:pPr>
      <w:r w:rsidRPr="003B2C34">
        <w:rPr>
          <w:rFonts w:ascii="Times New Roman" w:hAnsi="Times New Roman"/>
          <w:b/>
          <w:sz w:val="24"/>
        </w:rPr>
        <w:t>Laboratoires de données</w:t>
      </w:r>
    </w:p>
    <w:p w14:paraId="3BAA3934" w14:textId="3850EB35" w:rsidR="00C719F9" w:rsidRPr="003B2C34" w:rsidRDefault="003F163B" w:rsidP="00D114FD">
      <w:pPr>
        <w:spacing w:after="160"/>
        <w:jc w:val="both"/>
        <w:rPr>
          <w:rFonts w:ascii="Times New Roman" w:hAnsi="Times New Roman" w:cs="Times New Roman"/>
          <w:sz w:val="24"/>
          <w:szCs w:val="24"/>
        </w:rPr>
      </w:pPr>
      <w:r w:rsidRPr="003B2C34">
        <w:rPr>
          <w:rFonts w:ascii="Times New Roman" w:hAnsi="Times New Roman"/>
          <w:sz w:val="24"/>
        </w:rPr>
        <w:t>Comme le prévoit le plan d’action pour un continent de l’IA, les laboratoires de données seront des installations spécialisées qui relient les détenteurs de données, les espaces européens communs des données, les écosystèmes de données spécifiques à un domaine et l’écosystème d’IA de l’UE. Les laboratoires de données</w:t>
      </w:r>
      <w:r w:rsidRPr="003B2C34">
        <w:rPr>
          <w:rStyle w:val="FootnoteReference"/>
          <w:rFonts w:ascii="Times New Roman" w:hAnsi="Times New Roman" w:cs="Times New Roman"/>
          <w:sz w:val="24"/>
          <w:szCs w:val="24"/>
        </w:rPr>
        <w:footnoteReference w:id="19"/>
      </w:r>
      <w:r w:rsidRPr="003B2C34">
        <w:rPr>
          <w:rFonts w:ascii="Times New Roman" w:hAnsi="Times New Roman"/>
          <w:sz w:val="24"/>
        </w:rPr>
        <w:t xml:space="preserve"> fourniront des services pratiques — tels que la mise en commun</w:t>
      </w:r>
      <w:r w:rsidRPr="003B2C34">
        <w:rPr>
          <w:rStyle w:val="FootnoteReference"/>
          <w:rFonts w:ascii="Times New Roman" w:hAnsi="Times New Roman" w:cs="Times New Roman"/>
          <w:sz w:val="24"/>
          <w:szCs w:val="24"/>
        </w:rPr>
        <w:footnoteReference w:id="20"/>
      </w:r>
      <w:r w:rsidRPr="003B2C34">
        <w:rPr>
          <w:rFonts w:ascii="Times New Roman" w:hAnsi="Times New Roman"/>
          <w:sz w:val="24"/>
        </w:rPr>
        <w:t>, la curation</w:t>
      </w:r>
      <w:r w:rsidRPr="003B2C34">
        <w:rPr>
          <w:rStyle w:val="FootnoteReference"/>
          <w:rFonts w:ascii="Times New Roman" w:hAnsi="Times New Roman" w:cs="Times New Roman"/>
          <w:sz w:val="24"/>
          <w:szCs w:val="24"/>
        </w:rPr>
        <w:footnoteReference w:id="21"/>
      </w:r>
      <w:r w:rsidRPr="003B2C34">
        <w:rPr>
          <w:rFonts w:ascii="Times New Roman" w:hAnsi="Times New Roman"/>
          <w:sz w:val="24"/>
        </w:rPr>
        <w:t>, l’étiquetage et la pseudonymisation</w:t>
      </w:r>
      <w:r w:rsidRPr="003B2C34">
        <w:rPr>
          <w:rStyle w:val="FootnoteReference"/>
          <w:rFonts w:ascii="Times New Roman" w:hAnsi="Times New Roman" w:cs="Times New Roman"/>
          <w:sz w:val="24"/>
          <w:szCs w:val="24"/>
        </w:rPr>
        <w:footnoteReference w:id="22"/>
      </w:r>
      <w:r w:rsidRPr="003B2C34">
        <w:rPr>
          <w:rFonts w:ascii="Times New Roman" w:hAnsi="Times New Roman"/>
          <w:sz w:val="24"/>
        </w:rPr>
        <w:t xml:space="preserve"> des données — pour aider les organisations, en particulier les start-up et les entreprises en expansion, à partager et à utiliser les données en toute sécurité, à faciliter l’entraînement de modèles d’IA en coopération et à soutenir le développement de modèles d’IA dans des secteurs clés en faisant appel à différents modèles de gouvernance et d’octroi de licences. Conformément à la stratégie pour l’application de l’IA, les laboratoires de données permettront de déployer concrètement des applications d’IA à partir de données de grande qualité disponibles, jouant ainsi un véritable rôle de catalyseurs qui accélèrent l’expérimentation, l’adoption et la mise à l’échelle. Ils peuvent aussi être utilisés pour exécuter des tâches qui nécessitent des ressources d’IA avancées pour le compte d’espaces de données et d’autres infrastructures de données, par exemple la production de données synthétiques ou la protection anticipée de la vie privée et des secrets d’affaires, pour aider les organisations à partager et à utiliser leurs données en toute sécurité.</w:t>
      </w:r>
    </w:p>
    <w:p w14:paraId="24DCAF89" w14:textId="0777B6BC" w:rsidR="00D114FD" w:rsidRPr="003B2C34" w:rsidRDefault="00D114FD" w:rsidP="00D114FD">
      <w:pPr>
        <w:spacing w:after="160"/>
        <w:jc w:val="both"/>
        <w:rPr>
          <w:rFonts w:ascii="Times New Roman" w:hAnsi="Times New Roman" w:cs="Times New Roman"/>
          <w:sz w:val="24"/>
          <w:szCs w:val="24"/>
        </w:rPr>
      </w:pPr>
      <w:r w:rsidRPr="003B2C34">
        <w:rPr>
          <w:rFonts w:ascii="Times New Roman" w:hAnsi="Times New Roman"/>
          <w:sz w:val="24"/>
        </w:rPr>
        <w:t>En mettant en commun des ressources publiques et privées, les laboratoires de données contribueront à surmonter une défaillance majeure du marché: la disponibilité limitée de données diverses et de grande qualité et la réticence à partager des données détenues par le secteur privé pour l’entraînement de l’IA. Ils fonctionneront par l’intermédiaire des canaux et cadres d’accès existants sans nécessiter de transfert direct de données. Ainsi, les espaces de données restent les infrastructures de confiance dans lesquelles les données sont régies et mises à disposition, tandis que les laboratoires de données peuvent constituer l’interface opérationnelle qui permet d’utiliser les données pour l’IA en toute sécurité et en apportant une valeur ajoutée.</w:t>
      </w:r>
    </w:p>
    <w:p w14:paraId="6626EE72" w14:textId="2A4E6B7E" w:rsidR="009D6F81" w:rsidRPr="003B2C34" w:rsidRDefault="006F48C5" w:rsidP="00F80BE3">
      <w:pPr>
        <w:spacing w:after="160"/>
        <w:jc w:val="both"/>
        <w:rPr>
          <w:rFonts w:ascii="Times New Roman" w:hAnsi="Times New Roman" w:cs="Times New Roman"/>
          <w:sz w:val="24"/>
          <w:szCs w:val="24"/>
        </w:rPr>
      </w:pPr>
      <w:r w:rsidRPr="003B2C34">
        <w:rPr>
          <w:rFonts w:ascii="Times New Roman" w:hAnsi="Times New Roman"/>
          <w:sz w:val="24"/>
        </w:rPr>
        <w:t xml:space="preserve">La participation sera volontaire et les détenteurs de données décideront comment, quand et par qui les données peuvent être utilisées. Aucune donnée ne sera transférée sans consentement explicite. Toutes les activités seront protégées par des garanties de confidentialité strictes et soutenues par des techniques décentralisées et préservant la confidentialité, telles que l’apprentissage fédéré, le chiffrement homomorphe et le calcul multipartite sécurisé. Les données peuvent être traitées localement ou à travers des nœuds sans être fusionnées dans un répertoire unique, ce qui garantit qu’elles restent sous le contrôle du détenteur initial. Ce modèle — particulièrement bénéfique pour les PME — favorise le respect des règles de l’UE en matière de protection des données, préserve la confidentialité et renforce la confiance tout en augmentant l’utilisation des données pour l’IA. </w:t>
      </w:r>
    </w:p>
    <w:p w14:paraId="61F9308D" w14:textId="66C8288D" w:rsidR="00955282" w:rsidRPr="003B2C34" w:rsidRDefault="00955282" w:rsidP="06725182">
      <w:pPr>
        <w:spacing w:after="160"/>
        <w:jc w:val="both"/>
        <w:rPr>
          <w:rFonts w:ascii="Times New Roman" w:hAnsi="Times New Roman" w:cs="Times New Roman"/>
          <w:sz w:val="24"/>
          <w:szCs w:val="24"/>
        </w:rPr>
      </w:pPr>
      <w:r w:rsidRPr="003B2C34">
        <w:rPr>
          <w:rFonts w:ascii="Times New Roman" w:hAnsi="Times New Roman"/>
          <w:sz w:val="24"/>
        </w:rPr>
        <w:t>Du calcul à haute performance (CHP) axé sur la science dans le cadre d’EuroHPC, la capacité de calcul de l’UE est désormais passée aux fabriques d’IA, qui développent ce concept pour l’appliquer au développement de l’IA, en reliant l’infrastructure de calcul à l’accès aux données et à l’expérimentation. Avec les futures gigafabriques d’IA, les installations de calcul de l’IA passeront encore à une échelle supérieure.</w:t>
      </w:r>
    </w:p>
    <w:p w14:paraId="17BB578C" w14:textId="169AA366" w:rsidR="003B1880" w:rsidRPr="003B2C34" w:rsidRDefault="00B45951" w:rsidP="06725182">
      <w:pPr>
        <w:spacing w:after="160"/>
        <w:jc w:val="both"/>
        <w:rPr>
          <w:rFonts w:ascii="Times New Roman" w:hAnsi="Times New Roman" w:cs="Times New Roman"/>
          <w:sz w:val="24"/>
          <w:szCs w:val="24"/>
        </w:rPr>
      </w:pPr>
      <w:r w:rsidRPr="003B2C34">
        <w:rPr>
          <w:rFonts w:ascii="Times New Roman" w:hAnsi="Times New Roman"/>
          <w:sz w:val="24"/>
        </w:rPr>
        <w:t xml:space="preserve">Dans ce cadre, les premiers laboratoires de données seront mis en place au titre de l’initiative sur les fabriques d’IA par l’intermédiaire d’EuroHPC, fournissant des environnements et des services de données sécurisés pour mettre les développeurs d’IA en relation avec les espaces européens communs des données dans des domaines tels que les soins de santé, l’industrie manufacturière, l’énergie et le climat, étendus par la suite aux langues, à la cybersécurité et au patrimoine culturel. Afin que leurs services parviennent aux entreprises et aux administrations publiques, les laboratoires de données travailleront en étroite coordination avec les pôles européens d’innovation numérique (EDIH), qui font office de points de contact orientés vers les utilisateurs et aident à mettre les besoins en données en correspondance avec des applications concrètes. </w:t>
      </w:r>
    </w:p>
    <w:p w14:paraId="68CE2BFA" w14:textId="1C989A63" w:rsidR="00B45951" w:rsidRPr="003B2C34" w:rsidRDefault="00B45951" w:rsidP="06725182">
      <w:pPr>
        <w:spacing w:after="160"/>
        <w:jc w:val="both"/>
        <w:rPr>
          <w:rFonts w:ascii="Times New Roman" w:hAnsi="Times New Roman" w:cs="Times New Roman"/>
          <w:sz w:val="24"/>
          <w:szCs w:val="24"/>
        </w:rPr>
      </w:pPr>
      <w:r w:rsidRPr="003B2C34">
        <w:rPr>
          <w:rFonts w:ascii="Times New Roman" w:hAnsi="Times New Roman"/>
          <w:sz w:val="24"/>
        </w:rPr>
        <w:t xml:space="preserve">D’autres laboratoires de données seront mis en place de manière indépendante dans d’autres domaines afin de répondre à des besoins sectoriels ou de recherche spécifiques, par exemple dans le secteur de l’énergie. Les futures gigafabriques d’IA feront passer les installations de calcul de l’IA à une échelle supérieure et prépareront le modèle de laboratoire de données à un déploiement commercial dans l’ensemble de l’UE, en le transformant en un écosystème de services autonome au sein duquel la puissance de calcul, les données et l’innovation en matière d’IA sont interconnectées. </w:t>
      </w:r>
    </w:p>
    <w:p w14:paraId="492750EB" w14:textId="0B8C98AF" w:rsidR="00F90FCB" w:rsidRPr="003B2C34" w:rsidRDefault="00F90FCB" w:rsidP="00F90FCB">
      <w:pPr>
        <w:spacing w:after="160"/>
        <w:jc w:val="both"/>
        <w:rPr>
          <w:rFonts w:ascii="Times New Roman" w:hAnsi="Times New Roman" w:cs="Times New Roman"/>
          <w:sz w:val="24"/>
          <w:szCs w:val="24"/>
        </w:rPr>
      </w:pPr>
      <w:r w:rsidRPr="003B2C34">
        <w:rPr>
          <w:rFonts w:ascii="Times New Roman" w:hAnsi="Times New Roman"/>
          <w:sz w:val="24"/>
        </w:rPr>
        <w:t xml:space="preserve">Les </w:t>
      </w:r>
      <w:r w:rsidRPr="003B2C34">
        <w:rPr>
          <w:rFonts w:ascii="Times New Roman" w:hAnsi="Times New Roman"/>
          <w:b/>
          <w:sz w:val="24"/>
        </w:rPr>
        <w:t>laboratoires de données</w:t>
      </w:r>
      <w:r w:rsidRPr="003B2C34">
        <w:rPr>
          <w:rFonts w:ascii="Times New Roman" w:hAnsi="Times New Roman"/>
          <w:sz w:val="24"/>
        </w:rPr>
        <w:t xml:space="preserve"> fourniront des services spécifiques dans </w:t>
      </w:r>
      <w:r w:rsidR="00FD1142" w:rsidRPr="003B2C34">
        <w:rPr>
          <w:rFonts w:ascii="Times New Roman" w:hAnsi="Times New Roman"/>
          <w:sz w:val="24"/>
        </w:rPr>
        <w:t>huit</w:t>
      </w:r>
      <w:r w:rsidRPr="003B2C34">
        <w:rPr>
          <w:rFonts w:ascii="Times New Roman" w:hAnsi="Times New Roman"/>
          <w:sz w:val="24"/>
        </w:rPr>
        <w:t xml:space="preserve"> domaines clés:</w:t>
      </w:r>
    </w:p>
    <w:p w14:paraId="24AA51D0" w14:textId="77777777" w:rsidR="00D011A9" w:rsidRPr="003B2C34" w:rsidRDefault="00D011A9" w:rsidP="00D011A9">
      <w:pPr>
        <w:pStyle w:val="ListParagraph"/>
        <w:numPr>
          <w:ilvl w:val="0"/>
          <w:numId w:val="11"/>
        </w:numPr>
        <w:spacing w:after="160"/>
        <w:jc w:val="both"/>
        <w:rPr>
          <w:rFonts w:ascii="Times New Roman" w:hAnsi="Times New Roman" w:cs="Times New Roman"/>
          <w:sz w:val="24"/>
          <w:szCs w:val="24"/>
        </w:rPr>
      </w:pPr>
      <w:r w:rsidRPr="003B2C34">
        <w:rPr>
          <w:rFonts w:ascii="Times New Roman" w:hAnsi="Times New Roman"/>
          <w:b/>
          <w:sz w:val="24"/>
        </w:rPr>
        <w:t>Passerelle entre les espaces de données et les écosystèmes d’IA:</w:t>
      </w:r>
      <w:r w:rsidRPr="003B2C34">
        <w:rPr>
          <w:rFonts w:ascii="Times New Roman" w:hAnsi="Times New Roman"/>
          <w:sz w:val="24"/>
        </w:rPr>
        <w:t xml:space="preserve"> un dispositif pratique qui permet aux entreprises d’accéder à des données interopérables de grande qualité en mettant les espaces européens communs des données en relation avec les développeurs d’IA, les infrastructures et les écosystèmes sectoriels.</w:t>
      </w:r>
      <w:r w:rsidRPr="003B2C34">
        <w:rPr>
          <w:rFonts w:ascii="Times New Roman" w:hAnsi="Times New Roman"/>
          <w:b/>
          <w:sz w:val="24"/>
        </w:rPr>
        <w:t xml:space="preserve"> </w:t>
      </w:r>
    </w:p>
    <w:p w14:paraId="45E4B06F" w14:textId="02467AD9" w:rsidR="00F90FCB" w:rsidRPr="003B2C34" w:rsidRDefault="00F90FCB" w:rsidP="00A55640">
      <w:pPr>
        <w:pStyle w:val="ListParagraph"/>
        <w:numPr>
          <w:ilvl w:val="0"/>
          <w:numId w:val="11"/>
        </w:numPr>
        <w:spacing w:after="160"/>
        <w:jc w:val="both"/>
        <w:rPr>
          <w:rFonts w:ascii="Times New Roman" w:hAnsi="Times New Roman" w:cs="Times New Roman"/>
          <w:sz w:val="24"/>
          <w:szCs w:val="24"/>
        </w:rPr>
      </w:pPr>
      <w:r w:rsidRPr="003B2C34">
        <w:rPr>
          <w:rFonts w:ascii="Times New Roman" w:hAnsi="Times New Roman"/>
          <w:b/>
          <w:sz w:val="24"/>
        </w:rPr>
        <w:t>Infrastructure et outils techniques:</w:t>
      </w:r>
      <w:r w:rsidRPr="003B2C34">
        <w:rPr>
          <w:rFonts w:ascii="Times New Roman" w:hAnsi="Times New Roman"/>
          <w:sz w:val="24"/>
        </w:rPr>
        <w:t xml:space="preserve"> les conteneurs de données, qui permettront de stocker et d’organiser efficacement les données, seront complétés par des environnements sécurisés pour le traitement sur site des données sensibles, ainsi que par des outils prêts à l’emploi pour la préparation des données et des techniques de préservation de la confidentialité qui permettront l’anonymisation et la production de données synthétiques. On veillera à ce que la facilité d’utilisation, la rapidité et l’évolutivité répondent à des niveaux d’exigence élevés afin que les outils soient simples, fiables et faciles à adopter.</w:t>
      </w:r>
    </w:p>
    <w:p w14:paraId="2B4F00B2" w14:textId="4D448202" w:rsidR="6580ADBC" w:rsidRPr="003B2C34" w:rsidRDefault="7F3562A6" w:rsidP="009D6F81">
      <w:pPr>
        <w:pStyle w:val="ListParagraph"/>
        <w:numPr>
          <w:ilvl w:val="0"/>
          <w:numId w:val="11"/>
        </w:numPr>
        <w:spacing w:after="160"/>
        <w:jc w:val="both"/>
        <w:rPr>
          <w:rFonts w:ascii="Times New Roman" w:eastAsia="Calibri" w:hAnsi="Times New Roman" w:cs="Times New Roman"/>
          <w:sz w:val="24"/>
          <w:szCs w:val="24"/>
        </w:rPr>
      </w:pPr>
      <w:r w:rsidRPr="003B2C34">
        <w:rPr>
          <w:rFonts w:ascii="Times New Roman" w:hAnsi="Times New Roman"/>
          <w:b/>
          <w:sz w:val="24"/>
        </w:rPr>
        <w:t>Mise en commun des données:</w:t>
      </w:r>
      <w:r w:rsidRPr="003B2C34">
        <w:rPr>
          <w:rFonts w:ascii="Times New Roman" w:hAnsi="Times New Roman"/>
          <w:sz w:val="24"/>
        </w:rPr>
        <w:t xml:space="preserve"> aider les entreprises à agréger des données provenant de sources publiques et restreintes — en particulier des données utilisées à des fins innovantes — en utilisant les mécanismes de partage de données fiables des espaces européens communs des données. Les laboratoires de données aideront les entreprises à se conformer au droit de la concurrence de l’UE lorsqu’ils échangent des données ou les mettent en commun. </w:t>
      </w:r>
      <w:bookmarkStart w:id="3" w:name="_Hlk213943109"/>
      <w:r w:rsidRPr="003B2C34">
        <w:rPr>
          <w:rFonts w:ascii="Times New Roman" w:hAnsi="Times New Roman"/>
          <w:sz w:val="24"/>
        </w:rPr>
        <w:t>La Commission s’appuiera sur les lignes directrices horizontales qui fournissent aux entreprises des conseils pratiques sur la collaboration et les ressources partagées et les complétera afin de continuer à soutenir les laboratoires de données dans ce rôle au moyen d’orientations spécifiques sur les bonnes pratiques en matière d’échange et de mise en commun de données. En outre, les laboratoires de données pourront obtenir des conseils personnalisés s’ils en font la demande au titre de la communication sur les orientations informelles.</w:t>
      </w:r>
      <w:r w:rsidRPr="003B2C34">
        <w:t xml:space="preserve"> </w:t>
      </w:r>
      <w:bookmarkEnd w:id="3"/>
    </w:p>
    <w:p w14:paraId="79B361B3" w14:textId="583C5374" w:rsidR="0083613D" w:rsidRPr="003B2C34" w:rsidRDefault="0083613D" w:rsidP="00A55640">
      <w:pPr>
        <w:pStyle w:val="ListParagraph"/>
        <w:numPr>
          <w:ilvl w:val="0"/>
          <w:numId w:val="11"/>
        </w:numPr>
        <w:spacing w:after="160"/>
        <w:jc w:val="both"/>
        <w:rPr>
          <w:rFonts w:ascii="Times New Roman" w:hAnsi="Times New Roman" w:cs="Times New Roman"/>
          <w:sz w:val="24"/>
          <w:szCs w:val="24"/>
        </w:rPr>
      </w:pPr>
      <w:r w:rsidRPr="003B2C34">
        <w:rPr>
          <w:rFonts w:ascii="Times New Roman" w:hAnsi="Times New Roman"/>
          <w:b/>
          <w:sz w:val="24"/>
        </w:rPr>
        <w:t>Services de pseudonymisation et d’anonymisation:</w:t>
      </w:r>
      <w:r w:rsidRPr="003B2C34">
        <w:rPr>
          <w:rFonts w:ascii="Times New Roman" w:hAnsi="Times New Roman"/>
          <w:sz w:val="24"/>
        </w:rPr>
        <w:t xml:space="preserve"> fourniture d’outils et d’une expertise avancés pour supprimer ou masquer les identifiants personnels. Ces services comprendront des techniques telles que la pseudonymisation, l’anonymisation et la confidentialité différentielle, ce qui permet une réutilisation sûre des données tout en préservant l’utilité analytique.</w:t>
      </w:r>
    </w:p>
    <w:p w14:paraId="5A4E19AE" w14:textId="65AE7ADA" w:rsidR="00056F26" w:rsidRPr="003B2C34" w:rsidRDefault="00056F26" w:rsidP="00A55640">
      <w:pPr>
        <w:pStyle w:val="ListParagraph"/>
        <w:numPr>
          <w:ilvl w:val="0"/>
          <w:numId w:val="11"/>
        </w:numPr>
        <w:spacing w:after="160"/>
        <w:jc w:val="both"/>
        <w:rPr>
          <w:rFonts w:ascii="Times New Roman" w:hAnsi="Times New Roman" w:cs="Times New Roman"/>
          <w:sz w:val="24"/>
          <w:szCs w:val="24"/>
        </w:rPr>
      </w:pPr>
      <w:r w:rsidRPr="003B2C34">
        <w:rPr>
          <w:rFonts w:ascii="Times New Roman" w:hAnsi="Times New Roman"/>
          <w:b/>
          <w:sz w:val="24"/>
        </w:rPr>
        <w:t>Production de données synthétiques:</w:t>
      </w:r>
      <w:r w:rsidRPr="003B2C34">
        <w:rPr>
          <w:rFonts w:ascii="Times New Roman" w:hAnsi="Times New Roman"/>
          <w:sz w:val="24"/>
        </w:rPr>
        <w:t xml:space="preserve"> aide à la création d’ensembles de données synthétiques de grande qualité qui reproduisent les propriétés statistiques de données réelles sans divulguer d’informations sensibles ou confidentielles. Les laboratoires de données fourniront des outils et une expertise pour générer, valider et comparer des données synthétiques pour entraîner et tester des modèles d’IA, ce qui complétera les efforts déployés dans le domaine de l’anonymisation et améliorera la disponibilité des données dans les domaines sensibles.</w:t>
      </w:r>
    </w:p>
    <w:p w14:paraId="5ABB03EC" w14:textId="2FB7FF8B" w:rsidR="00F90FCB" w:rsidRPr="003B2C34" w:rsidRDefault="00F90FCB" w:rsidP="00A55640">
      <w:pPr>
        <w:pStyle w:val="ListParagraph"/>
        <w:numPr>
          <w:ilvl w:val="0"/>
          <w:numId w:val="11"/>
        </w:numPr>
        <w:spacing w:after="160"/>
        <w:jc w:val="both"/>
        <w:rPr>
          <w:rFonts w:ascii="Times New Roman" w:hAnsi="Times New Roman" w:cs="Times New Roman"/>
          <w:sz w:val="24"/>
          <w:szCs w:val="24"/>
        </w:rPr>
      </w:pPr>
      <w:r w:rsidRPr="003B2C34">
        <w:rPr>
          <w:rFonts w:ascii="Times New Roman" w:hAnsi="Times New Roman"/>
          <w:b/>
          <w:sz w:val="24"/>
        </w:rPr>
        <w:t>Curation, étiquetage et vectorisation des données:</w:t>
      </w:r>
      <w:r w:rsidRPr="003B2C34">
        <w:rPr>
          <w:rFonts w:ascii="Times New Roman" w:hAnsi="Times New Roman"/>
          <w:sz w:val="24"/>
        </w:rPr>
        <w:t xml:space="preserve"> assistance globale pour le nettoyage, l’étiquetage, l’annotation, l’enrichissement et la vectorisation des ensembles de données afin de les rendre fiables, représentatifs et utilisables pour entraîner des systèmes d’IA. Cela comprend des processus d’assurance de la qualité, une documentation transparente et une collaboration avec les communautés d’experts pour l’étiquetage spécifique à un domaine. </w:t>
      </w:r>
    </w:p>
    <w:p w14:paraId="53925338" w14:textId="5F264280" w:rsidR="00F90FCB" w:rsidRPr="003B2C34" w:rsidRDefault="00F90FCB" w:rsidP="00A55640">
      <w:pPr>
        <w:pStyle w:val="ListParagraph"/>
        <w:numPr>
          <w:ilvl w:val="0"/>
          <w:numId w:val="11"/>
        </w:numPr>
        <w:spacing w:after="160"/>
        <w:jc w:val="both"/>
        <w:rPr>
          <w:rFonts w:ascii="Times New Roman" w:hAnsi="Times New Roman" w:cs="Times New Roman"/>
          <w:sz w:val="24"/>
          <w:szCs w:val="24"/>
        </w:rPr>
      </w:pPr>
      <w:r w:rsidRPr="003B2C34">
        <w:rPr>
          <w:rFonts w:ascii="Times New Roman" w:hAnsi="Times New Roman"/>
          <w:b/>
          <w:sz w:val="24"/>
        </w:rPr>
        <w:t>Orientations réglementaires et formation:</w:t>
      </w:r>
      <w:r w:rsidRPr="003B2C34">
        <w:rPr>
          <w:rFonts w:ascii="Times New Roman" w:hAnsi="Times New Roman"/>
          <w:sz w:val="24"/>
        </w:rPr>
        <w:t xml:space="preserve"> conseils personnalisés pour aider les entreprises à se conformer au droit de l’Union, associés à une formation pour les développeurs d’IA sur l’utilisation des données et les obligations juridiques, telles que la réglementation en matière d’IA, le droit d’auteur, les secrets d’affaires et le droit de la concurrence.</w:t>
      </w:r>
    </w:p>
    <w:p w14:paraId="633AE6CE" w14:textId="6A2AC2C7" w:rsidR="00CB48FD" w:rsidRPr="003B2C34" w:rsidRDefault="005C276D" w:rsidP="00FD1142">
      <w:pPr>
        <w:pStyle w:val="ListParagraph"/>
        <w:numPr>
          <w:ilvl w:val="0"/>
          <w:numId w:val="11"/>
        </w:numPr>
        <w:spacing w:after="160"/>
        <w:jc w:val="both"/>
        <w:rPr>
          <w:rFonts w:ascii="Times New Roman" w:hAnsi="Times New Roman" w:cs="Times New Roman"/>
          <w:sz w:val="24"/>
          <w:szCs w:val="24"/>
        </w:rPr>
      </w:pPr>
      <w:r w:rsidRPr="003B2C34">
        <w:rPr>
          <w:lang w:val="en-GB" w:eastAsia="en-GB"/>
        </w:rPr>
        <mc:AlternateContent>
          <mc:Choice Requires="wps">
            <w:drawing>
              <wp:anchor distT="91440" distB="91440" distL="114300" distR="114300" simplePos="0" relativeHeight="251658243" behindDoc="0" locked="0" layoutInCell="1" allowOverlap="1" wp14:anchorId="0F50C7E6" wp14:editId="5721007D">
                <wp:simplePos x="0" y="0"/>
                <wp:positionH relativeFrom="margin">
                  <wp:align>right</wp:align>
                </wp:positionH>
                <wp:positionV relativeFrom="paragraph">
                  <wp:posOffset>752475</wp:posOffset>
                </wp:positionV>
                <wp:extent cx="5734050" cy="6076950"/>
                <wp:effectExtent l="0" t="0" r="0" b="0"/>
                <wp:wrapTopAndBottom/>
                <wp:docPr id="629543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6076950"/>
                        </a:xfrm>
                        <a:prstGeom prst="rect">
                          <a:avLst/>
                        </a:prstGeom>
                        <a:noFill/>
                        <a:ln w="9525">
                          <a:noFill/>
                          <a:miter lim="800000"/>
                          <a:headEnd/>
                          <a:tailEnd/>
                        </a:ln>
                      </wps:spPr>
                      <wps:txbx>
                        <w:txbxContent>
                          <w:p w14:paraId="5ECEE4FA" w14:textId="75907583" w:rsidR="00D114FD" w:rsidRPr="003B2C34" w:rsidRDefault="00D114FD" w:rsidP="00D114FD">
                            <w:pPr>
                              <w:pBdr>
                                <w:top w:val="single" w:sz="24" w:space="8" w:color="4F81BD" w:themeColor="accent1"/>
                                <w:bottom w:val="single" w:sz="24" w:space="8" w:color="4F81BD" w:themeColor="accent1"/>
                              </w:pBdr>
                              <w:spacing w:after="0"/>
                              <w:jc w:val="center"/>
                              <w:rPr>
                                <w:rFonts w:ascii="Times New Roman" w:hAnsi="Times New Roman" w:cs="Times New Roman"/>
                                <w:b/>
                                <w:bCs/>
                                <w:i/>
                                <w:iCs/>
                                <w:color w:val="4F81BD" w:themeColor="accent1"/>
                                <w:sz w:val="24"/>
                              </w:rPr>
                            </w:pPr>
                            <w:r w:rsidRPr="003B2C34">
                              <w:rPr>
                                <w:rFonts w:ascii="Times New Roman" w:hAnsi="Times New Roman"/>
                                <w:b/>
                                <w:i/>
                                <w:color w:val="4F81BD" w:themeColor="accent1"/>
                                <w:sz w:val="24"/>
                              </w:rPr>
                              <w:t>Dans la pratique, comment fonctionnerait un laboratoire de données?</w:t>
                            </w:r>
                          </w:p>
                          <w:p w14:paraId="52EBDF8F" w14:textId="1795C02A" w:rsidR="00D114FD" w:rsidRPr="003B2C34" w:rsidRDefault="00D50C6B" w:rsidP="00D114FD">
                            <w:pPr>
                              <w:pBdr>
                                <w:top w:val="single" w:sz="24" w:space="8" w:color="4F81BD" w:themeColor="accent1"/>
                                <w:bottom w:val="single" w:sz="24" w:space="8" w:color="4F81BD" w:themeColor="accent1"/>
                              </w:pBdr>
                              <w:spacing w:after="0"/>
                              <w:jc w:val="both"/>
                              <w:rPr>
                                <w:rFonts w:ascii="Times New Roman" w:hAnsi="Times New Roman" w:cs="Times New Roman"/>
                                <w:i/>
                                <w:iCs/>
                                <w:color w:val="4F81BD" w:themeColor="accent1"/>
                                <w:sz w:val="24"/>
                              </w:rPr>
                            </w:pPr>
                            <w:r w:rsidRPr="003B2C34">
                              <w:rPr>
                                <w:rFonts w:ascii="Times New Roman" w:hAnsi="Times New Roman"/>
                                <w:i/>
                                <w:color w:val="4F81BD" w:themeColor="accent1"/>
                                <w:sz w:val="24"/>
                              </w:rPr>
                              <w:t>Une entreprise de l’État membre X met au point des systèmes d’entretien prédictif fondés sur l’IA pour les véhicules électriques, mais peine à accéder à un volume suffisant de données de détection de qualité provenant de différents modèles de véhicules et infrastructures de recharge. Les constructeurs hésitent à partager ces données pour des raisons liées aux secrets d’affaires, à la confidentialité et à la concurrence. Les fabriques d’IA fourniront les ressources de calcul et, par l’intermédiaire de leurs laboratoires de données intégrés, les services de gestion des données nécessaires pour surmonter ces obstacles.</w:t>
                            </w:r>
                          </w:p>
                          <w:p w14:paraId="5E7B6EA2" w14:textId="7D97D812" w:rsidR="00CC7DDB" w:rsidRPr="003B2C34" w:rsidRDefault="002C46E1" w:rsidP="00D114FD">
                            <w:pPr>
                              <w:pBdr>
                                <w:top w:val="single" w:sz="24" w:space="8" w:color="4F81BD" w:themeColor="accent1"/>
                                <w:bottom w:val="single" w:sz="24" w:space="8" w:color="4F81BD" w:themeColor="accent1"/>
                              </w:pBdr>
                              <w:spacing w:after="0"/>
                              <w:jc w:val="both"/>
                              <w:rPr>
                                <w:rFonts w:ascii="Times New Roman" w:hAnsi="Times New Roman" w:cs="Times New Roman"/>
                                <w:i/>
                                <w:iCs/>
                                <w:color w:val="4F81BD" w:themeColor="accent1"/>
                                <w:sz w:val="24"/>
                              </w:rPr>
                            </w:pPr>
                            <w:r w:rsidRPr="003B2C34">
                              <w:rPr>
                                <w:rFonts w:ascii="Times New Roman" w:hAnsi="Times New Roman"/>
                                <w:i/>
                                <w:color w:val="4F81BD" w:themeColor="accent1"/>
                                <w:sz w:val="24"/>
                              </w:rPr>
                              <w:t xml:space="preserve">Le laboratoire de données permettrait à l’entreprise d’avoir accès à des ensembles de données fiables, anonymisés et agrégés provenant de différentes sources, telles que les opérateurs de bornes de recharge publiques, les fabricants d’équipements d’origine participants et d’autres données découvertes par l’intermédiaire de l’espace européen des données relatives à la mobilité. </w:t>
                            </w:r>
                          </w:p>
                          <w:p w14:paraId="3DEC579A" w14:textId="7AB5A478" w:rsidR="00D114FD" w:rsidRPr="003B2C34" w:rsidRDefault="00CC7DDB" w:rsidP="00D114FD">
                            <w:pPr>
                              <w:pBdr>
                                <w:top w:val="single" w:sz="24" w:space="8" w:color="4F81BD" w:themeColor="accent1"/>
                                <w:bottom w:val="single" w:sz="24" w:space="8" w:color="4F81BD" w:themeColor="accent1"/>
                              </w:pBdr>
                              <w:spacing w:after="0"/>
                              <w:jc w:val="both"/>
                              <w:rPr>
                                <w:rFonts w:ascii="Times New Roman" w:hAnsi="Times New Roman" w:cs="Times New Roman"/>
                                <w:i/>
                                <w:iCs/>
                                <w:color w:val="4F81BD" w:themeColor="accent1"/>
                                <w:sz w:val="24"/>
                              </w:rPr>
                            </w:pPr>
                            <w:r w:rsidRPr="003B2C34">
                              <w:rPr>
                                <w:rFonts w:ascii="Times New Roman" w:hAnsi="Times New Roman"/>
                                <w:i/>
                                <w:color w:val="4F81BD" w:themeColor="accent1"/>
                                <w:sz w:val="24"/>
                              </w:rPr>
                              <w:t>Le laboratoire de données serait une composante de la fabrique d’IA et offrirait à ce titre:</w:t>
                            </w:r>
                          </w:p>
                          <w:p w14:paraId="2EE982F1" w14:textId="277380C5" w:rsidR="00D114FD" w:rsidRPr="003B2C34" w:rsidRDefault="00D114FD" w:rsidP="00D114FD">
                            <w:pPr>
                              <w:pBdr>
                                <w:top w:val="single" w:sz="24" w:space="8" w:color="4F81BD" w:themeColor="accent1"/>
                                <w:bottom w:val="single" w:sz="24" w:space="8" w:color="4F81BD" w:themeColor="accent1"/>
                              </w:pBdr>
                              <w:spacing w:after="0"/>
                              <w:ind w:left="720" w:hanging="720"/>
                              <w:jc w:val="both"/>
                              <w:rPr>
                                <w:rFonts w:ascii="Times New Roman" w:hAnsi="Times New Roman" w:cs="Times New Roman"/>
                                <w:i/>
                                <w:iCs/>
                                <w:color w:val="4F81BD" w:themeColor="accent1"/>
                                <w:sz w:val="24"/>
                              </w:rPr>
                            </w:pPr>
                            <w:r w:rsidRPr="003B2C34">
                              <w:rPr>
                                <w:rFonts w:ascii="Times New Roman" w:hAnsi="Times New Roman"/>
                                <w:i/>
                                <w:color w:val="4F81BD" w:themeColor="accent1"/>
                                <w:sz w:val="24"/>
                              </w:rPr>
                              <w:t>•</w:t>
                            </w:r>
                            <w:r w:rsidRPr="003B2C34">
                              <w:tab/>
                            </w:r>
                            <w:r w:rsidRPr="003B2C34">
                              <w:rPr>
                                <w:rFonts w:ascii="Times New Roman" w:hAnsi="Times New Roman"/>
                                <w:i/>
                                <w:color w:val="4F81BD" w:themeColor="accent1"/>
                                <w:sz w:val="24"/>
                              </w:rPr>
                              <w:t>un environnement sécurisé permettant d’analyser les données des capteurs en temps réel grâce à l’apprentissage fédéré sans que les données ne quittent les systèmes des fabricants d’équipements d’origine;</w:t>
                            </w:r>
                          </w:p>
                          <w:p w14:paraId="4F5122C7" w14:textId="151FC5EF" w:rsidR="00D114FD" w:rsidRPr="003B2C34" w:rsidRDefault="00D114FD" w:rsidP="00D114FD">
                            <w:pPr>
                              <w:pBdr>
                                <w:top w:val="single" w:sz="24" w:space="8" w:color="4F81BD" w:themeColor="accent1"/>
                                <w:bottom w:val="single" w:sz="24" w:space="8" w:color="4F81BD" w:themeColor="accent1"/>
                              </w:pBdr>
                              <w:spacing w:after="0"/>
                              <w:ind w:left="720" w:hanging="720"/>
                              <w:jc w:val="both"/>
                              <w:rPr>
                                <w:rFonts w:ascii="Times New Roman" w:hAnsi="Times New Roman" w:cs="Times New Roman"/>
                                <w:i/>
                                <w:iCs/>
                                <w:color w:val="4F81BD" w:themeColor="accent1"/>
                                <w:sz w:val="24"/>
                              </w:rPr>
                            </w:pPr>
                            <w:r w:rsidRPr="003B2C34">
                              <w:rPr>
                                <w:rFonts w:ascii="Times New Roman" w:hAnsi="Times New Roman"/>
                                <w:i/>
                                <w:color w:val="4F81BD" w:themeColor="accent1"/>
                                <w:sz w:val="24"/>
                              </w:rPr>
                              <w:t>•</w:t>
                            </w:r>
                            <w:r w:rsidRPr="003B2C34">
                              <w:tab/>
                            </w:r>
                            <w:r w:rsidRPr="003B2C34">
                              <w:rPr>
                                <w:rFonts w:ascii="Times New Roman" w:hAnsi="Times New Roman"/>
                                <w:i/>
                                <w:color w:val="4F81BD" w:themeColor="accent1"/>
                                <w:sz w:val="24"/>
                              </w:rPr>
                              <w:t xml:space="preserve">des services d’anonymisation garantissant que les données des conducteurs et des véhicules sont utilisées d’une manière qui respecte la confidentialité; </w:t>
                            </w:r>
                          </w:p>
                          <w:p w14:paraId="76B01437" w14:textId="77777777" w:rsidR="00D114FD" w:rsidRPr="003B2C34" w:rsidRDefault="00D114FD" w:rsidP="00D114FD">
                            <w:pPr>
                              <w:pBdr>
                                <w:top w:val="single" w:sz="24" w:space="8" w:color="4F81BD" w:themeColor="accent1"/>
                                <w:bottom w:val="single" w:sz="24" w:space="8" w:color="4F81BD" w:themeColor="accent1"/>
                              </w:pBdr>
                              <w:spacing w:after="0"/>
                              <w:ind w:left="720" w:hanging="720"/>
                              <w:jc w:val="both"/>
                              <w:rPr>
                                <w:rFonts w:ascii="Times New Roman" w:hAnsi="Times New Roman" w:cs="Times New Roman"/>
                                <w:i/>
                                <w:iCs/>
                                <w:color w:val="4F81BD" w:themeColor="accent1"/>
                                <w:sz w:val="24"/>
                              </w:rPr>
                            </w:pPr>
                            <w:r w:rsidRPr="003B2C34">
                              <w:rPr>
                                <w:rFonts w:ascii="Times New Roman" w:hAnsi="Times New Roman"/>
                                <w:i/>
                                <w:color w:val="4F81BD" w:themeColor="accent1"/>
                                <w:sz w:val="24"/>
                              </w:rPr>
                              <w:t>•</w:t>
                            </w:r>
                            <w:r w:rsidRPr="003B2C34">
                              <w:tab/>
                            </w:r>
                            <w:r w:rsidRPr="003B2C34">
                              <w:rPr>
                                <w:rFonts w:ascii="Times New Roman" w:hAnsi="Times New Roman"/>
                                <w:i/>
                                <w:color w:val="4F81BD" w:themeColor="accent1"/>
                                <w:sz w:val="24"/>
                              </w:rPr>
                              <w:t>des orientations réglementaires concernant l’application des dispositions du règlement sur les données relatives à l’accès aux données et la gestion de la protection des secrets d’affaires;</w:t>
                            </w:r>
                          </w:p>
                          <w:p w14:paraId="5C047FB5" w14:textId="77777777" w:rsidR="00D114FD" w:rsidRPr="003B2C34" w:rsidRDefault="00D114FD" w:rsidP="00D114FD">
                            <w:pPr>
                              <w:pBdr>
                                <w:top w:val="single" w:sz="24" w:space="8" w:color="4F81BD" w:themeColor="accent1"/>
                                <w:bottom w:val="single" w:sz="24" w:space="8" w:color="4F81BD" w:themeColor="accent1"/>
                              </w:pBdr>
                              <w:spacing w:after="0"/>
                              <w:jc w:val="both"/>
                              <w:rPr>
                                <w:rFonts w:ascii="Times New Roman" w:hAnsi="Times New Roman" w:cs="Times New Roman"/>
                                <w:i/>
                                <w:iCs/>
                                <w:color w:val="4F81BD" w:themeColor="accent1"/>
                                <w:sz w:val="24"/>
                              </w:rPr>
                            </w:pPr>
                            <w:r w:rsidRPr="003B2C34">
                              <w:rPr>
                                <w:rFonts w:ascii="Times New Roman" w:hAnsi="Times New Roman"/>
                                <w:i/>
                                <w:color w:val="4F81BD" w:themeColor="accent1"/>
                                <w:sz w:val="24"/>
                              </w:rPr>
                              <w:t>•</w:t>
                            </w:r>
                            <w:r w:rsidRPr="003B2C34">
                              <w:tab/>
                            </w:r>
                            <w:r w:rsidRPr="003B2C34">
                              <w:rPr>
                                <w:rFonts w:ascii="Times New Roman" w:hAnsi="Times New Roman"/>
                                <w:i/>
                                <w:color w:val="4F81BD" w:themeColor="accent1"/>
                                <w:sz w:val="24"/>
                              </w:rPr>
                              <w:t>des outils de curation des données qui harmonisent différents formats de capteurs et normes de qualité.</w:t>
                            </w:r>
                          </w:p>
                          <w:p w14:paraId="6F69B506" w14:textId="7EF9166C" w:rsidR="00D114FD" w:rsidRPr="003B2C34" w:rsidRDefault="00D114FD" w:rsidP="00D114FD">
                            <w:pPr>
                              <w:pBdr>
                                <w:top w:val="single" w:sz="24" w:space="8" w:color="4F81BD" w:themeColor="accent1"/>
                                <w:bottom w:val="single" w:sz="24" w:space="8" w:color="4F81BD" w:themeColor="accent1"/>
                              </w:pBdr>
                              <w:spacing w:after="0"/>
                              <w:jc w:val="both"/>
                              <w:rPr>
                                <w:rFonts w:ascii="Times New Roman" w:hAnsi="Times New Roman" w:cs="Times New Roman"/>
                                <w:i/>
                                <w:iCs/>
                                <w:color w:val="4F81BD" w:themeColor="accent1"/>
                                <w:sz w:val="24"/>
                              </w:rPr>
                            </w:pPr>
                            <w:r w:rsidRPr="003B2C34">
                              <w:rPr>
                                <w:rFonts w:ascii="Times New Roman" w:hAnsi="Times New Roman"/>
                                <w:i/>
                                <w:color w:val="4F81BD" w:themeColor="accent1"/>
                                <w:sz w:val="24"/>
                              </w:rPr>
                              <w:t xml:space="preserve">Le laboratoire servirait donc de passerelle entre l’espace de données sur la mobilité et l’écosystème d’IA, permettant à l’entreprise d’entraîner des modèles d’IA solides tout en préservant la confidentialité des données des fabricants.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50C7E6" id="_x0000_s1029" type="#_x0000_t202" style="position:absolute;left:0;text-align:left;margin-left:400.3pt;margin-top:59.25pt;width:451.5pt;height:478.5pt;z-index:251658243;visibility:visible;mso-wrap-style:square;mso-width-percent:0;mso-height-percent:0;mso-wrap-distance-left:9pt;mso-wrap-distance-top:7.2pt;mso-wrap-distance-right:9pt;mso-wrap-distance-bottom:7.2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" filled="f" stroked="f">
                <v:textbox>
                  <w:txbxContent>
                    <w:p w14:paraId="5ECEE4FA" w14:textId="75907583" w:rsidR="00D114FD" w:rsidRPr="003B2C34" w:rsidRDefault="00D114FD" w:rsidP="00D114FD">
                      <w:pPr>
                        <w:pBdr>
                          <w:top w:val="single" w:sz="24" w:space="8" w:color="4F81BD" w:themeColor="accent1"/>
                          <w:bottom w:val="single" w:sz="24" w:space="8" w:color="4F81BD" w:themeColor="accent1"/>
                        </w:pBdr>
                        <w:spacing w:after="0"/>
                        <w:jc w:val="center"/>
                        <w:rPr>
                          <w:rFonts w:ascii="Times New Roman" w:hAnsi="Times New Roman" w:cs="Times New Roman"/>
                          <w:b/>
                          <w:bCs/>
                          <w:i/>
                          <w:iCs/>
                          <w:color w:val="4F81BD" w:themeColor="accent1"/>
                          <w:sz w:val="24"/>
                        </w:rPr>
                      </w:pPr>
                      <w:r w:rsidRPr="003B2C34">
                        <w:rPr>
                          <w:rFonts w:ascii="Times New Roman" w:hAnsi="Times New Roman"/>
                          <w:b/>
                          <w:i/>
                          <w:color w:val="4F81BD" w:themeColor="accent1"/>
                          <w:sz w:val="24"/>
                        </w:rPr>
                        <w:t>Dans la pratique, comment fonctionnerait un laboratoire de données?</w:t>
                      </w:r>
                    </w:p>
                    <w:p w14:paraId="52EBDF8F" w14:textId="1795C02A" w:rsidR="00D114FD" w:rsidRPr="003B2C34" w:rsidRDefault="00D50C6B" w:rsidP="00D114FD">
                      <w:pPr>
                        <w:pBdr>
                          <w:top w:val="single" w:sz="24" w:space="8" w:color="4F81BD" w:themeColor="accent1"/>
                          <w:bottom w:val="single" w:sz="24" w:space="8" w:color="4F81BD" w:themeColor="accent1"/>
                        </w:pBdr>
                        <w:spacing w:after="0"/>
                        <w:jc w:val="both"/>
                        <w:rPr>
                          <w:rFonts w:ascii="Times New Roman" w:hAnsi="Times New Roman" w:cs="Times New Roman"/>
                          <w:i/>
                          <w:iCs/>
                          <w:color w:val="4F81BD" w:themeColor="accent1"/>
                          <w:sz w:val="24"/>
                        </w:rPr>
                      </w:pPr>
                      <w:r w:rsidRPr="003B2C34">
                        <w:rPr>
                          <w:rFonts w:ascii="Times New Roman" w:hAnsi="Times New Roman"/>
                          <w:i/>
                          <w:color w:val="4F81BD" w:themeColor="accent1"/>
                          <w:sz w:val="24"/>
                        </w:rPr>
                        <w:t>Une entreprise de l’État membre X met au point des systèmes d’entretien prédictif fondés sur l’IA pour les véhicules électriques, mais peine à accéder à un volume suffisant de données de détection de qualité provenant de différents modèles de véhicules et infrastructures de recharge. Les constructeurs hésitent à partager ces données pour des raisons liées aux secrets d’affaires, à la confidentialité et à la concurrence. Les fabriques d’IA fourniront les ressources de calcul et, par l’intermédiaire de leurs laboratoires de données intégrés, les services de gestion des données nécessaires pour surmonter ces obstacles.</w:t>
                      </w:r>
                    </w:p>
                    <w:p w14:paraId="5E7B6EA2" w14:textId="7D97D812" w:rsidR="00CC7DDB" w:rsidRPr="003B2C34" w:rsidRDefault="002C46E1" w:rsidP="00D114FD">
                      <w:pPr>
                        <w:pBdr>
                          <w:top w:val="single" w:sz="24" w:space="8" w:color="4F81BD" w:themeColor="accent1"/>
                          <w:bottom w:val="single" w:sz="24" w:space="8" w:color="4F81BD" w:themeColor="accent1"/>
                        </w:pBdr>
                        <w:spacing w:after="0"/>
                        <w:jc w:val="both"/>
                        <w:rPr>
                          <w:rFonts w:ascii="Times New Roman" w:hAnsi="Times New Roman" w:cs="Times New Roman"/>
                          <w:i/>
                          <w:iCs/>
                          <w:color w:val="4F81BD" w:themeColor="accent1"/>
                          <w:sz w:val="24"/>
                        </w:rPr>
                      </w:pPr>
                      <w:r w:rsidRPr="003B2C34">
                        <w:rPr>
                          <w:rFonts w:ascii="Times New Roman" w:hAnsi="Times New Roman"/>
                          <w:i/>
                          <w:color w:val="4F81BD" w:themeColor="accent1"/>
                          <w:sz w:val="24"/>
                        </w:rPr>
                        <w:t xml:space="preserve">Le laboratoire de données permettrait à l’entreprise d’avoir accès à des ensembles de données fiables, anonymisés et agrégés provenant de différentes sources, telles que les opérateurs de bornes de recharge publiques, les fabricants d’équipements d’origine participants et d’autres données découvertes par l’intermédiaire de l’espace européen des données relatives à la mobilité. </w:t>
                      </w:r>
                    </w:p>
                    <w:p w14:paraId="3DEC579A" w14:textId="7AB5A478" w:rsidR="00D114FD" w:rsidRPr="003B2C34" w:rsidRDefault="00CC7DDB" w:rsidP="00D114FD">
                      <w:pPr>
                        <w:pBdr>
                          <w:top w:val="single" w:sz="24" w:space="8" w:color="4F81BD" w:themeColor="accent1"/>
                          <w:bottom w:val="single" w:sz="24" w:space="8" w:color="4F81BD" w:themeColor="accent1"/>
                        </w:pBdr>
                        <w:spacing w:after="0"/>
                        <w:jc w:val="both"/>
                        <w:rPr>
                          <w:rFonts w:ascii="Times New Roman" w:hAnsi="Times New Roman" w:cs="Times New Roman"/>
                          <w:i/>
                          <w:iCs/>
                          <w:color w:val="4F81BD" w:themeColor="accent1"/>
                          <w:sz w:val="24"/>
                        </w:rPr>
                      </w:pPr>
                      <w:r w:rsidRPr="003B2C34">
                        <w:rPr>
                          <w:rFonts w:ascii="Times New Roman" w:hAnsi="Times New Roman"/>
                          <w:i/>
                          <w:color w:val="4F81BD" w:themeColor="accent1"/>
                          <w:sz w:val="24"/>
                        </w:rPr>
                        <w:t>Le laboratoire de données serait une composante de la fabrique d’IA et offrirait à ce titre:</w:t>
                      </w:r>
                    </w:p>
                    <w:p w14:paraId="2EE982F1" w14:textId="277380C5" w:rsidR="00D114FD" w:rsidRPr="003B2C34" w:rsidRDefault="00D114FD" w:rsidP="00D114FD">
                      <w:pPr>
                        <w:pBdr>
                          <w:top w:val="single" w:sz="24" w:space="8" w:color="4F81BD" w:themeColor="accent1"/>
                          <w:bottom w:val="single" w:sz="24" w:space="8" w:color="4F81BD" w:themeColor="accent1"/>
                        </w:pBdr>
                        <w:spacing w:after="0"/>
                        <w:ind w:left="720" w:hanging="720"/>
                        <w:jc w:val="both"/>
                        <w:rPr>
                          <w:rFonts w:ascii="Times New Roman" w:hAnsi="Times New Roman" w:cs="Times New Roman"/>
                          <w:i/>
                          <w:iCs/>
                          <w:color w:val="4F81BD" w:themeColor="accent1"/>
                          <w:sz w:val="24"/>
                        </w:rPr>
                      </w:pPr>
                      <w:r w:rsidRPr="003B2C34">
                        <w:rPr>
                          <w:rFonts w:ascii="Times New Roman" w:hAnsi="Times New Roman"/>
                          <w:i/>
                          <w:color w:val="4F81BD" w:themeColor="accent1"/>
                          <w:sz w:val="24"/>
                        </w:rPr>
                        <w:t>•</w:t>
                      </w:r>
                      <w:r w:rsidRPr="003B2C34">
                        <w:tab/>
                      </w:r>
                      <w:r w:rsidRPr="003B2C34">
                        <w:rPr>
                          <w:rFonts w:ascii="Times New Roman" w:hAnsi="Times New Roman"/>
                          <w:i/>
                          <w:color w:val="4F81BD" w:themeColor="accent1"/>
                          <w:sz w:val="24"/>
                        </w:rPr>
                        <w:t>un environnement sécurisé permettant d’analyser les données des capteurs en temps réel grâce à l’apprentissage fédéré sans que les données ne quittent les systèmes des fabricants d’équipements d’origine;</w:t>
                      </w:r>
                    </w:p>
                    <w:p w14:paraId="4F5122C7" w14:textId="151FC5EF" w:rsidR="00D114FD" w:rsidRPr="003B2C34" w:rsidRDefault="00D114FD" w:rsidP="00D114FD">
                      <w:pPr>
                        <w:pBdr>
                          <w:top w:val="single" w:sz="24" w:space="8" w:color="4F81BD" w:themeColor="accent1"/>
                          <w:bottom w:val="single" w:sz="24" w:space="8" w:color="4F81BD" w:themeColor="accent1"/>
                        </w:pBdr>
                        <w:spacing w:after="0"/>
                        <w:ind w:left="720" w:hanging="720"/>
                        <w:jc w:val="both"/>
                        <w:rPr>
                          <w:rFonts w:ascii="Times New Roman" w:hAnsi="Times New Roman" w:cs="Times New Roman"/>
                          <w:i/>
                          <w:iCs/>
                          <w:color w:val="4F81BD" w:themeColor="accent1"/>
                          <w:sz w:val="24"/>
                        </w:rPr>
                      </w:pPr>
                      <w:r w:rsidRPr="003B2C34">
                        <w:rPr>
                          <w:rFonts w:ascii="Times New Roman" w:hAnsi="Times New Roman"/>
                          <w:i/>
                          <w:color w:val="4F81BD" w:themeColor="accent1"/>
                          <w:sz w:val="24"/>
                        </w:rPr>
                        <w:t>•</w:t>
                      </w:r>
                      <w:r w:rsidRPr="003B2C34">
                        <w:tab/>
                      </w:r>
                      <w:r w:rsidRPr="003B2C34">
                        <w:rPr>
                          <w:rFonts w:ascii="Times New Roman" w:hAnsi="Times New Roman"/>
                          <w:i/>
                          <w:color w:val="4F81BD" w:themeColor="accent1"/>
                          <w:sz w:val="24"/>
                        </w:rPr>
                        <w:t xml:space="preserve">des services d’anonymisation garantissant que les données des conducteurs et des véhicules sont utilisées d’une manière qui respecte la confidentialité; </w:t>
                      </w:r>
                    </w:p>
                    <w:p w14:paraId="76B01437" w14:textId="77777777" w:rsidR="00D114FD" w:rsidRPr="003B2C34" w:rsidRDefault="00D114FD" w:rsidP="00D114FD">
                      <w:pPr>
                        <w:pBdr>
                          <w:top w:val="single" w:sz="24" w:space="8" w:color="4F81BD" w:themeColor="accent1"/>
                          <w:bottom w:val="single" w:sz="24" w:space="8" w:color="4F81BD" w:themeColor="accent1"/>
                        </w:pBdr>
                        <w:spacing w:after="0"/>
                        <w:ind w:left="720" w:hanging="720"/>
                        <w:jc w:val="both"/>
                        <w:rPr>
                          <w:rFonts w:ascii="Times New Roman" w:hAnsi="Times New Roman" w:cs="Times New Roman"/>
                          <w:i/>
                          <w:iCs/>
                          <w:color w:val="4F81BD" w:themeColor="accent1"/>
                          <w:sz w:val="24"/>
                        </w:rPr>
                      </w:pPr>
                      <w:r w:rsidRPr="003B2C34">
                        <w:rPr>
                          <w:rFonts w:ascii="Times New Roman" w:hAnsi="Times New Roman"/>
                          <w:i/>
                          <w:color w:val="4F81BD" w:themeColor="accent1"/>
                          <w:sz w:val="24"/>
                        </w:rPr>
                        <w:t>•</w:t>
                      </w:r>
                      <w:r w:rsidRPr="003B2C34">
                        <w:tab/>
                      </w:r>
                      <w:r w:rsidRPr="003B2C34">
                        <w:rPr>
                          <w:rFonts w:ascii="Times New Roman" w:hAnsi="Times New Roman"/>
                          <w:i/>
                          <w:color w:val="4F81BD" w:themeColor="accent1"/>
                          <w:sz w:val="24"/>
                        </w:rPr>
                        <w:t>des orientations réglementaires concernant l’application des dispositions du règlement sur les données relatives à l’accès aux données et la gestion de la protection des secrets d’affaires;</w:t>
                      </w:r>
                    </w:p>
                    <w:p w14:paraId="5C047FB5" w14:textId="77777777" w:rsidR="00D114FD" w:rsidRPr="003B2C34" w:rsidRDefault="00D114FD" w:rsidP="00D114FD">
                      <w:pPr>
                        <w:pBdr>
                          <w:top w:val="single" w:sz="24" w:space="8" w:color="4F81BD" w:themeColor="accent1"/>
                          <w:bottom w:val="single" w:sz="24" w:space="8" w:color="4F81BD" w:themeColor="accent1"/>
                        </w:pBdr>
                        <w:spacing w:after="0"/>
                        <w:jc w:val="both"/>
                        <w:rPr>
                          <w:rFonts w:ascii="Times New Roman" w:hAnsi="Times New Roman" w:cs="Times New Roman"/>
                          <w:i/>
                          <w:iCs/>
                          <w:color w:val="4F81BD" w:themeColor="accent1"/>
                          <w:sz w:val="24"/>
                        </w:rPr>
                      </w:pPr>
                      <w:r w:rsidRPr="003B2C34">
                        <w:rPr>
                          <w:rFonts w:ascii="Times New Roman" w:hAnsi="Times New Roman"/>
                          <w:i/>
                          <w:color w:val="4F81BD" w:themeColor="accent1"/>
                          <w:sz w:val="24"/>
                        </w:rPr>
                        <w:t>•</w:t>
                      </w:r>
                      <w:r w:rsidRPr="003B2C34">
                        <w:tab/>
                      </w:r>
                      <w:r w:rsidRPr="003B2C34">
                        <w:rPr>
                          <w:rFonts w:ascii="Times New Roman" w:hAnsi="Times New Roman"/>
                          <w:i/>
                          <w:color w:val="4F81BD" w:themeColor="accent1"/>
                          <w:sz w:val="24"/>
                        </w:rPr>
                        <w:t>des outils de curation des données qui harmonisent différents formats de capteurs et normes de qualité.</w:t>
                      </w:r>
                    </w:p>
                    <w:p w14:paraId="6F69B506" w14:textId="7EF9166C" w:rsidR="00D114FD" w:rsidRPr="003B2C34" w:rsidRDefault="00D114FD" w:rsidP="00D114FD">
                      <w:pPr>
                        <w:pBdr>
                          <w:top w:val="single" w:sz="24" w:space="8" w:color="4F81BD" w:themeColor="accent1"/>
                          <w:bottom w:val="single" w:sz="24" w:space="8" w:color="4F81BD" w:themeColor="accent1"/>
                        </w:pBdr>
                        <w:spacing w:after="0"/>
                        <w:jc w:val="both"/>
                        <w:rPr>
                          <w:rFonts w:ascii="Times New Roman" w:hAnsi="Times New Roman" w:cs="Times New Roman"/>
                          <w:i/>
                          <w:iCs/>
                          <w:color w:val="4F81BD" w:themeColor="accent1"/>
                          <w:sz w:val="24"/>
                        </w:rPr>
                      </w:pPr>
                      <w:r w:rsidRPr="003B2C34">
                        <w:rPr>
                          <w:rFonts w:ascii="Times New Roman" w:hAnsi="Times New Roman"/>
                          <w:i/>
                          <w:color w:val="4F81BD" w:themeColor="accent1"/>
                          <w:sz w:val="24"/>
                        </w:rPr>
                        <w:t xml:space="preserve">Le laboratoire servirait donc de passerelle entre l’espace de données sur la mobilité et l’écosystème d’IA, permettant à l’entreprise d’entraîner des modèles d’IA solides tout en préservant la confidentialité des données des fabricants. </w:t>
                      </w:r>
                    </w:p>
                  </w:txbxContent>
                </v:textbox>
                <w10:wrap type="topAndBottom" anchorx="margin"/>
              </v:shape>
            </w:pict>
          </mc:Fallback>
        </mc:AlternateContent>
      </w:r>
      <w:r w:rsidRPr="003B2C34">
        <w:rPr>
          <w:rFonts w:ascii="Times New Roman" w:hAnsi="Times New Roman"/>
          <w:b/>
          <w:sz w:val="24"/>
        </w:rPr>
        <w:t>Facilitation de l’accès aux données:</w:t>
      </w:r>
      <w:r w:rsidRPr="003B2C34">
        <w:rPr>
          <w:rFonts w:ascii="Times New Roman" w:hAnsi="Times New Roman"/>
          <w:sz w:val="24"/>
        </w:rPr>
        <w:t xml:space="preserve"> un service axé sur la demande dans le cadre duquel les start-up et les PME peuvent faire connaître leurs besoins en matière de données et reçoivent l’aide de laboratoires de données pour trouver des ensembles de données pertinents et surmonter les obstacles commerciaux, juridiques ou administratifs</w:t>
      </w:r>
      <w:r w:rsidRPr="003B2C34">
        <w:t>.</w:t>
      </w:r>
    </w:p>
    <w:p w14:paraId="168A6711" w14:textId="0E391396" w:rsidR="00BE238F" w:rsidRPr="003B2C34" w:rsidRDefault="00441820" w:rsidP="00A55640">
      <w:pPr>
        <w:pStyle w:val="ListParagraph"/>
        <w:numPr>
          <w:ilvl w:val="0"/>
          <w:numId w:val="2"/>
        </w:numPr>
        <w:ind w:left="714" w:hanging="357"/>
        <w:jc w:val="both"/>
        <w:outlineLvl w:val="3"/>
        <w:rPr>
          <w:rFonts w:ascii="Times New Roman" w:hAnsi="Times New Roman" w:cs="Times New Roman"/>
          <w:b/>
          <w:sz w:val="24"/>
          <w:szCs w:val="24"/>
        </w:rPr>
      </w:pPr>
      <w:r w:rsidRPr="003B2C34">
        <w:rPr>
          <w:rFonts w:ascii="Times New Roman" w:hAnsi="Times New Roman"/>
          <w:b/>
          <w:sz w:val="24"/>
        </w:rPr>
        <w:t>Acte législatif sur le développement de l’informatique en nuage et de l’IA</w:t>
      </w:r>
    </w:p>
    <w:p w14:paraId="56A0C2C7" w14:textId="48003F0B" w:rsidR="00BE238F" w:rsidRPr="003B2C34" w:rsidRDefault="00BE238F" w:rsidP="004D5DA2">
      <w:pPr>
        <w:jc w:val="both"/>
        <w:rPr>
          <w:rFonts w:ascii="Times New Roman" w:hAnsi="Times New Roman" w:cs="Times New Roman"/>
          <w:sz w:val="24"/>
          <w:szCs w:val="24"/>
        </w:rPr>
      </w:pPr>
      <w:r w:rsidRPr="003B2C34">
        <w:rPr>
          <w:rFonts w:ascii="Times New Roman" w:hAnsi="Times New Roman"/>
          <w:sz w:val="24"/>
        </w:rPr>
        <w:t>Pour que l’UE atteigne les objectifs fixés dans la présente stratégie, elle doit avant tout disposer d’une capacité durable de centres de données et de services souverains d’informatique en nuage et d’IA. Les volumes de données générées ne cessant d’augmenter, il est de plus en plus nécessaire de collecter, de stocker, de combiner et de traiter ces données. Afin de réduire au minimum la latence</w:t>
      </w:r>
      <w:r w:rsidRPr="003B2C34">
        <w:rPr>
          <w:rStyle w:val="FootnoteReference"/>
          <w:rFonts w:ascii="Times New Roman" w:hAnsi="Times New Roman" w:cs="Times New Roman"/>
          <w:sz w:val="24"/>
          <w:szCs w:val="24"/>
        </w:rPr>
        <w:footnoteReference w:id="23"/>
      </w:r>
      <w:r w:rsidRPr="003B2C34">
        <w:rPr>
          <w:rFonts w:ascii="Times New Roman" w:hAnsi="Times New Roman"/>
          <w:sz w:val="24"/>
        </w:rPr>
        <w:t xml:space="preserve"> et la dépendance à l’égard des infrastructures situées dans d’autres parties du monde, l’UE doit disposer d’une capacité suffisante de centres de données. </w:t>
      </w:r>
    </w:p>
    <w:p w14:paraId="705D30B2" w14:textId="7E7F3DA3" w:rsidR="00BE238F" w:rsidRPr="003B2C34" w:rsidRDefault="00BE238F" w:rsidP="004D5DA2">
      <w:pPr>
        <w:jc w:val="both"/>
        <w:rPr>
          <w:rFonts w:ascii="Times New Roman" w:hAnsi="Times New Roman" w:cs="Times New Roman"/>
          <w:sz w:val="24"/>
          <w:szCs w:val="24"/>
        </w:rPr>
      </w:pPr>
      <w:r w:rsidRPr="003B2C34">
        <w:rPr>
          <w:rFonts w:ascii="Times New Roman" w:hAnsi="Times New Roman"/>
          <w:sz w:val="24"/>
        </w:rPr>
        <w:t xml:space="preserve">Afin que les entreprises et les administrations publiques de l’UE puissent disposer d’une infrastructure durable de centres de données et de services souverains d’informatique en nuage et d’IA, la Commission proposera un </w:t>
      </w:r>
      <w:r w:rsidRPr="003B2C34">
        <w:rPr>
          <w:rFonts w:ascii="Times New Roman" w:hAnsi="Times New Roman"/>
          <w:b/>
          <w:sz w:val="24"/>
        </w:rPr>
        <w:t>acte législatif sur le développement de l’informatique en nuage et de l’IA</w:t>
      </w:r>
      <w:r w:rsidRPr="003B2C34">
        <w:rPr>
          <w:rFonts w:ascii="Times New Roman" w:hAnsi="Times New Roman"/>
          <w:sz w:val="24"/>
        </w:rPr>
        <w:t xml:space="preserve"> au premier trimestre de  2026. Cette initiative soutiendra l’innovation tout au long de la chaîne de valeur de l’informatique en nuage et de l’IA, depuis l’intégration de processeurs de pointe jusqu’au matériel et aux logiciels d’IA, en passant par les technologies de refroidissement durables. Elle permettra aussi d’accélérer le déploiement de capacités durables de centres de données pour faire en sorte que l’UE dispose de l’infrastructure nécessaire à la sécurité et à la souveraineté des services d’informatique en nuage et d’IA. </w:t>
      </w:r>
    </w:p>
    <w:p w14:paraId="236D7F11" w14:textId="3F907A09" w:rsidR="003C36DE" w:rsidRPr="003B2C34" w:rsidRDefault="003C36DE" w:rsidP="00A55640">
      <w:pPr>
        <w:pStyle w:val="ListParagraph"/>
        <w:numPr>
          <w:ilvl w:val="0"/>
          <w:numId w:val="2"/>
        </w:numPr>
        <w:spacing w:after="160"/>
        <w:jc w:val="both"/>
        <w:rPr>
          <w:rFonts w:ascii="Times New Roman" w:hAnsi="Times New Roman" w:cs="Times New Roman"/>
          <w:b/>
          <w:sz w:val="24"/>
          <w:szCs w:val="24"/>
        </w:rPr>
      </w:pPr>
      <w:r w:rsidRPr="003B2C34">
        <w:rPr>
          <w:rFonts w:ascii="Times New Roman" w:hAnsi="Times New Roman"/>
          <w:b/>
          <w:sz w:val="24"/>
        </w:rPr>
        <w:t>Ressources en données stratégiques: secteur public, ressources scientifiques, culturelles et linguistiques</w:t>
      </w:r>
    </w:p>
    <w:p w14:paraId="5109F1C2" w14:textId="77777777" w:rsidR="00C31868" w:rsidRPr="003B2C34" w:rsidRDefault="00C31868" w:rsidP="00C31868">
      <w:pPr>
        <w:spacing w:after="160"/>
        <w:jc w:val="both"/>
        <w:rPr>
          <w:rFonts w:ascii="Times New Roman" w:hAnsi="Times New Roman" w:cs="Times New Roman"/>
          <w:bCs/>
          <w:sz w:val="24"/>
          <w:szCs w:val="24"/>
        </w:rPr>
      </w:pPr>
      <w:r w:rsidRPr="003B2C34">
        <w:rPr>
          <w:rFonts w:ascii="Times New Roman" w:hAnsi="Times New Roman"/>
          <w:sz w:val="24"/>
        </w:rPr>
        <w:t>La compétitivité de l’UE dans le domaine de l’IA dépend de l’accès à des données de qualité, structurées et fiables. Les ensembles de données scientifiques, culturelles et linguistiques sont des facteurs essentiels pour développer des modèles d’IA solides et assurer des avancées en matière de recherche ainsi que la souveraineté technologique.</w:t>
      </w:r>
    </w:p>
    <w:p w14:paraId="058C7A72" w14:textId="1068A297" w:rsidR="00C31868" w:rsidRPr="003B2C34" w:rsidRDefault="00C31868" w:rsidP="00C31868">
      <w:pPr>
        <w:spacing w:after="160"/>
        <w:jc w:val="both"/>
        <w:rPr>
          <w:rFonts w:ascii="Times New Roman" w:hAnsi="Times New Roman" w:cs="Times New Roman"/>
          <w:bCs/>
          <w:sz w:val="24"/>
          <w:szCs w:val="24"/>
        </w:rPr>
      </w:pPr>
      <w:r w:rsidRPr="003B2C34">
        <w:rPr>
          <w:rFonts w:ascii="Times New Roman" w:hAnsi="Times New Roman"/>
          <w:sz w:val="24"/>
        </w:rPr>
        <w:t>Les ensembles de données de référence du secteur public au titre de la directive sur les données ouvertes joueront un rôle accru. Les ensembles de données de forte valeur</w:t>
      </w:r>
      <w:r w:rsidRPr="003B2C34">
        <w:rPr>
          <w:rStyle w:val="FootnoteReference"/>
          <w:rFonts w:ascii="Times New Roman" w:hAnsi="Times New Roman" w:cs="Times New Roman"/>
          <w:bCs/>
          <w:sz w:val="24"/>
          <w:szCs w:val="24"/>
        </w:rPr>
        <w:footnoteReference w:id="24"/>
      </w:r>
      <w:r w:rsidRPr="003B2C34">
        <w:rPr>
          <w:rFonts w:ascii="Times New Roman" w:hAnsi="Times New Roman"/>
          <w:sz w:val="24"/>
        </w:rPr>
        <w:t xml:space="preserve"> doivent être mis à disposition gratuitement, au moyen d’interfaces de programmation d’applications (API), dans un format lisible par machine et, le cas échéant, fournis sous la forme d’un téléchargement de masse. En 2026, la Commission proposera d’étendre la liste des ensembles de données de forte valeur aux données juridiques, judiciaires, administratives et autres. Cela bénéficiera aux start-up et aux PME. La Commission vérifiera également s’il y a lieu d’ajouter d’autres ensembles de données.</w:t>
      </w:r>
    </w:p>
    <w:p w14:paraId="79420828" w14:textId="15EF0EA3" w:rsidR="00C31868" w:rsidRPr="003B2C34" w:rsidRDefault="00C31868" w:rsidP="00C31868">
      <w:pPr>
        <w:spacing w:after="160"/>
        <w:jc w:val="both"/>
        <w:rPr>
          <w:rFonts w:ascii="Times New Roman" w:hAnsi="Times New Roman" w:cs="Times New Roman"/>
          <w:bCs/>
          <w:sz w:val="24"/>
          <w:szCs w:val="24"/>
        </w:rPr>
      </w:pPr>
      <w:r w:rsidRPr="003B2C34">
        <w:rPr>
          <w:rFonts w:ascii="Times New Roman" w:hAnsi="Times New Roman"/>
          <w:sz w:val="24"/>
        </w:rPr>
        <w:t>Le potentiel transformateur des données scientifiques a déjà été démontré, par exemple par AlphaFold</w:t>
      </w:r>
      <w:r w:rsidRPr="003B2C34">
        <w:rPr>
          <w:rStyle w:val="FootnoteReference"/>
          <w:rFonts w:ascii="Times New Roman" w:hAnsi="Times New Roman" w:cs="Times New Roman"/>
          <w:bCs/>
          <w:sz w:val="24"/>
          <w:szCs w:val="24"/>
        </w:rPr>
        <w:footnoteReference w:id="25"/>
      </w:r>
      <w:r w:rsidRPr="003B2C34">
        <w:t>.</w:t>
      </w:r>
      <w:r w:rsidRPr="003B2C34">
        <w:rPr>
          <w:rFonts w:ascii="Times New Roman" w:hAnsi="Times New Roman"/>
          <w:sz w:val="24"/>
        </w:rPr>
        <w:t xml:space="preserve"> Des bases de données bien structurées permettent de faire baisser les coûts de recherche et de développement (R&amp;D), d’accélérer l’innovation et de repousser les limites dans les domaines des matériaux, des produits pharmaceutiques, de l’énergie et des biotechnologies. Pour capitaliser sur ces acquis, la Commission continuera de cartographier les bases de données existantes, de fixer des priorités avec des experts, d’obtenir des droits d’utilisation et de financer de nouvelles infrastructures numériques conformément à la stratégie européenne en matière d’infrastructures de recherche et de technologie. À cet égard, le </w:t>
      </w:r>
      <w:r w:rsidRPr="003B2C34">
        <w:rPr>
          <w:rFonts w:ascii="Times New Roman" w:hAnsi="Times New Roman"/>
          <w:b/>
          <w:sz w:val="24"/>
        </w:rPr>
        <w:t>nuage européen pour la science ouverte</w:t>
      </w:r>
      <w:r w:rsidRPr="003B2C34">
        <w:rPr>
          <w:rFonts w:ascii="Times New Roman" w:hAnsi="Times New Roman"/>
          <w:sz w:val="24"/>
        </w:rPr>
        <w:t xml:space="preserve"> (EOSC), l’espace européen commun de données pour la R&amp;D, met en place un groupement de référentiels de données, associé à une plateforme européenne transfrontière et transdisciplinaire fiable pour le partage et la réutilisation de données de recherche FAIR de haute qualité, faciles à trouver, accessibles, interopérables et réutilisables (FAIR), d’outils et de services. Ces ressources soutiendront les activités scientifiques menées avec l’IA dans le cadre de RAISE</w:t>
      </w:r>
      <w:r w:rsidRPr="003B2C34">
        <w:rPr>
          <w:rStyle w:val="FootnoteReference"/>
          <w:rFonts w:ascii="Times New Roman" w:hAnsi="Times New Roman" w:cs="Times New Roman"/>
          <w:bCs/>
          <w:sz w:val="24"/>
          <w:szCs w:val="24"/>
        </w:rPr>
        <w:footnoteReference w:id="26"/>
      </w:r>
      <w:r w:rsidRPr="003B2C34">
        <w:t>.</w:t>
      </w:r>
      <w:r w:rsidRPr="003B2C34">
        <w:rPr>
          <w:rFonts w:ascii="Times New Roman" w:hAnsi="Times New Roman"/>
          <w:sz w:val="24"/>
        </w:rPr>
        <w:t xml:space="preserve"> En parallèle, la future proposition d’acte législatif sur l’Espace européen de la recherche (EER)</w:t>
      </w:r>
      <w:r w:rsidRPr="003B2C34">
        <w:rPr>
          <w:rStyle w:val="FootnoteReference"/>
          <w:rFonts w:ascii="Times New Roman" w:hAnsi="Times New Roman" w:cs="Times New Roman"/>
          <w:bCs/>
          <w:sz w:val="24"/>
          <w:szCs w:val="24"/>
        </w:rPr>
        <w:footnoteReference w:id="27"/>
      </w:r>
      <w:r w:rsidRPr="003B2C34">
        <w:rPr>
          <w:rFonts w:ascii="Times New Roman" w:hAnsi="Times New Roman"/>
          <w:sz w:val="24"/>
        </w:rPr>
        <w:t xml:space="preserve"> renforcera les conditions juridiques permettant de partager les résultats, les publications et les données de la recherche financée par des fonds publics à des fins scientifiques, d’y accéder et de les réutiliser.</w:t>
      </w:r>
    </w:p>
    <w:p w14:paraId="0346385F" w14:textId="59D21A9D" w:rsidR="00D73566" w:rsidRPr="003B2C34" w:rsidRDefault="00760244" w:rsidP="00C31868">
      <w:pPr>
        <w:spacing w:after="160"/>
        <w:jc w:val="both"/>
        <w:rPr>
          <w:rFonts w:ascii="Times New Roman" w:hAnsi="Times New Roman" w:cs="Times New Roman"/>
          <w:bCs/>
          <w:sz w:val="24"/>
          <w:szCs w:val="24"/>
        </w:rPr>
      </w:pPr>
      <w:r w:rsidRPr="003B2C34">
        <w:rPr>
          <w:rFonts w:ascii="Times New Roman" w:hAnsi="Times New Roman"/>
          <w:sz w:val="24"/>
        </w:rPr>
        <w:t>Les ressources culturelles et linguistiques de l’UE seront également développées. Plus de 30 millions d’œuvres numérisées provenant des institutions culturelles européennes seront mises à disposition pour le développement de l’IA, en s’appuyant sur l’initiative Europeana</w:t>
      </w:r>
      <w:r w:rsidRPr="003B2C34">
        <w:rPr>
          <w:rStyle w:val="FootnoteReference"/>
          <w:rFonts w:ascii="Times New Roman" w:hAnsi="Times New Roman" w:cs="Times New Roman"/>
          <w:bCs/>
          <w:sz w:val="24"/>
          <w:szCs w:val="24"/>
        </w:rPr>
        <w:footnoteReference w:id="28"/>
      </w:r>
      <w:r w:rsidRPr="003B2C34">
        <w:rPr>
          <w:rFonts w:ascii="Times New Roman" w:hAnsi="Times New Roman"/>
          <w:sz w:val="24"/>
        </w:rPr>
        <w:t>. La Commission étudiera les moyens de renforcer la coopération et d’encourager l’octroi de licences entre les radiodiffuseurs publics et les fournisseurs d’IA, afin de rendre leurs archives audiovisuelles accessibles pour l’entraînement de l’IA, en tenant compte de la rémunération des titulaires de droits.</w:t>
      </w:r>
    </w:p>
    <w:p w14:paraId="753FCED4" w14:textId="6DA9D7D7" w:rsidR="00C31868" w:rsidRPr="003B2C34" w:rsidRDefault="00C31868" w:rsidP="00C31868">
      <w:pPr>
        <w:spacing w:after="160"/>
        <w:jc w:val="both"/>
        <w:rPr>
          <w:rFonts w:ascii="Times New Roman" w:hAnsi="Times New Roman" w:cs="Times New Roman"/>
          <w:bCs/>
          <w:sz w:val="24"/>
          <w:szCs w:val="24"/>
        </w:rPr>
      </w:pPr>
      <w:r w:rsidRPr="003B2C34">
        <w:rPr>
          <w:rFonts w:ascii="Times New Roman" w:hAnsi="Times New Roman"/>
          <w:sz w:val="24"/>
        </w:rPr>
        <w:t>Des projets pilotes exécutés dans le cadre de l’</w:t>
      </w:r>
      <w:r w:rsidRPr="003B2C34">
        <w:rPr>
          <w:rFonts w:ascii="Times New Roman" w:hAnsi="Times New Roman"/>
          <w:b/>
          <w:sz w:val="24"/>
        </w:rPr>
        <w:t>espace européen commun des données linguistiques et de l’Alliance pour les technologies langagières (ALT-EDIC)</w:t>
      </w:r>
      <w:r w:rsidRPr="003B2C34">
        <w:rPr>
          <w:rFonts w:ascii="Times New Roman" w:hAnsi="Times New Roman"/>
          <w:sz w:val="24"/>
        </w:rPr>
        <w:t xml:space="preserve"> seront consacrés à l’élaboration participative d’ensembles de données spécifiques à un domaine, y compris à partir de langues moins répandues, qui viendront s’ajouter aux 477 milliards de jetons déjà disponibles, ce qui est comparable aux principaux ensembles de données d’entraînement de l’IA. Cela contribuera également à faire en sorte que les langues rares soient incluses dans le développement de grands modèles de langage d’IA, ce qui aura une incidence sur la qualité des résultats des systèmes d’IA dans ces langues.</w:t>
      </w:r>
    </w:p>
    <w:p w14:paraId="00EB1C50" w14:textId="52C43757" w:rsidR="007C0F22" w:rsidRPr="003B2C34" w:rsidRDefault="007C0F22" w:rsidP="00A55640">
      <w:pPr>
        <w:pStyle w:val="ListParagraph"/>
        <w:numPr>
          <w:ilvl w:val="0"/>
          <w:numId w:val="12"/>
        </w:numPr>
        <w:spacing w:after="160"/>
        <w:jc w:val="both"/>
        <w:rPr>
          <w:rFonts w:ascii="Times New Roman" w:hAnsi="Times New Roman" w:cs="Times New Roman"/>
          <w:b/>
          <w:bCs/>
          <w:sz w:val="24"/>
          <w:szCs w:val="24"/>
        </w:rPr>
      </w:pPr>
      <w:r w:rsidRPr="003B2C34">
        <w:rPr>
          <w:rFonts w:ascii="Times New Roman" w:hAnsi="Times New Roman"/>
          <w:b/>
          <w:sz w:val="24"/>
        </w:rPr>
        <w:t>Mesures horizontales: données synthétiques, mise en commun des données et normes</w:t>
      </w:r>
    </w:p>
    <w:p w14:paraId="592D2DCE" w14:textId="3096D5D1" w:rsidR="00490F03" w:rsidRPr="003B2C34" w:rsidRDefault="00490F03" w:rsidP="00490F03">
      <w:pPr>
        <w:spacing w:after="160"/>
        <w:jc w:val="both"/>
        <w:rPr>
          <w:rFonts w:ascii="Times New Roman" w:hAnsi="Times New Roman" w:cs="Times New Roman"/>
          <w:bCs/>
          <w:sz w:val="24"/>
          <w:szCs w:val="24"/>
        </w:rPr>
      </w:pPr>
      <w:r w:rsidRPr="003B2C34">
        <w:rPr>
          <w:rFonts w:ascii="Times New Roman" w:hAnsi="Times New Roman"/>
          <w:sz w:val="24"/>
        </w:rPr>
        <w:t xml:space="preserve">Outre les initiatives phares, l’UE a également besoin de mesures horizontales transsectorielles qui favorisent le développement de l’ensemble de l’économie fondée sur les données. </w:t>
      </w:r>
    </w:p>
    <w:p w14:paraId="1DBADE12" w14:textId="77777777" w:rsidR="00490F03" w:rsidRPr="003B2C34" w:rsidRDefault="00490F03" w:rsidP="00490F03">
      <w:pPr>
        <w:spacing w:after="160"/>
        <w:jc w:val="both"/>
        <w:rPr>
          <w:rFonts w:ascii="Times New Roman" w:hAnsi="Times New Roman" w:cs="Times New Roman"/>
          <w:i/>
          <w:iCs/>
          <w:sz w:val="24"/>
          <w:szCs w:val="24"/>
        </w:rPr>
      </w:pPr>
      <w:r w:rsidRPr="003B2C34">
        <w:rPr>
          <w:rFonts w:ascii="Times New Roman" w:hAnsi="Times New Roman"/>
          <w:i/>
          <w:sz w:val="24"/>
        </w:rPr>
        <w:t>Les données synthétiques, moteur du leadership dans le domaine de l’IA</w:t>
      </w:r>
    </w:p>
    <w:p w14:paraId="513EBD2D" w14:textId="27DDC9F2" w:rsidR="00736CC2" w:rsidRPr="003B2C34" w:rsidRDefault="00736CC2" w:rsidP="00490F03">
      <w:pPr>
        <w:spacing w:after="160"/>
        <w:jc w:val="both"/>
        <w:rPr>
          <w:rFonts w:ascii="Times New Roman" w:hAnsi="Times New Roman" w:cs="Times New Roman"/>
          <w:bCs/>
          <w:sz w:val="24"/>
          <w:szCs w:val="24"/>
        </w:rPr>
      </w:pPr>
      <w:r w:rsidRPr="003B2C34">
        <w:rPr>
          <w:rFonts w:ascii="Times New Roman" w:hAnsi="Times New Roman"/>
          <w:sz w:val="24"/>
        </w:rPr>
        <w:t>Les données synthétiques</w:t>
      </w:r>
      <w:r w:rsidRPr="003B2C34">
        <w:rPr>
          <w:rStyle w:val="FootnoteReference"/>
          <w:rFonts w:ascii="Times New Roman" w:hAnsi="Times New Roman" w:cs="Times New Roman"/>
          <w:bCs/>
          <w:sz w:val="24"/>
          <w:szCs w:val="24"/>
        </w:rPr>
        <w:footnoteReference w:id="29"/>
      </w:r>
      <w:r w:rsidRPr="003B2C34">
        <w:rPr>
          <w:rFonts w:ascii="Times New Roman" w:hAnsi="Times New Roman"/>
          <w:sz w:val="24"/>
        </w:rPr>
        <w:t xml:space="preserve"> peuvent contribuer à surmonter les blocages de l’entraînement de l’IA dans des domaines où les données sont rares ou sensibles, de la recherche sur les maladies rares à la robotique en passant par les cas limites dans les applications de conduite autonome. En effet, elles permettent de développer des modèles d’IA sans divulguer d’informations personnelles ou exclusives, ce qui renforce à la fois la compétitivité et l’innovation préservant la confidentialité.</w:t>
      </w:r>
    </w:p>
    <w:p w14:paraId="36CFE540" w14:textId="5164382B" w:rsidR="007B6B6E" w:rsidRPr="003B2C34" w:rsidRDefault="008F605B" w:rsidP="00490F03">
      <w:pPr>
        <w:spacing w:after="160"/>
        <w:jc w:val="both"/>
        <w:rPr>
          <w:rFonts w:ascii="Times New Roman" w:hAnsi="Times New Roman" w:cs="Times New Roman"/>
          <w:bCs/>
          <w:sz w:val="24"/>
          <w:szCs w:val="24"/>
        </w:rPr>
      </w:pPr>
      <w:r w:rsidRPr="003B2C34">
        <w:rPr>
          <w:rFonts w:ascii="Times New Roman" w:hAnsi="Times New Roman"/>
          <w:sz w:val="24"/>
        </w:rPr>
        <w:t>Pour exploiter ce potentiel, la Commission élaborera des orientations et des normes relatives à une utilisation fiable des données synthétiques, examinera les questions juridiques connexes, organisera une consultation sur un système européen de certification volontaire et étudiera la possibilité de créer une «usine de données synthétiques» pour fournir un accès à des ressources de calcul à haute performance pour la production d’ensembles de données à grande échelle. Horizon Europe financera également des travaux de R&amp;D de pointe portant sur les techniques de production de données synthétiques.</w:t>
      </w:r>
    </w:p>
    <w:p w14:paraId="4C6F4163" w14:textId="77777777" w:rsidR="00886D31" w:rsidRPr="003B2C34" w:rsidRDefault="00886D31" w:rsidP="00490F03">
      <w:pPr>
        <w:spacing w:after="160"/>
        <w:jc w:val="both"/>
        <w:rPr>
          <w:rFonts w:ascii="Times New Roman" w:hAnsi="Times New Roman" w:cs="Times New Roman"/>
          <w:bCs/>
          <w:sz w:val="24"/>
          <w:szCs w:val="24"/>
        </w:rPr>
      </w:pPr>
    </w:p>
    <w:p w14:paraId="237DCBA4" w14:textId="77777777" w:rsidR="00886D31" w:rsidRPr="003B2C34" w:rsidRDefault="00886D31" w:rsidP="00490F03">
      <w:pPr>
        <w:spacing w:after="160"/>
        <w:jc w:val="both"/>
        <w:rPr>
          <w:rFonts w:ascii="Times New Roman" w:hAnsi="Times New Roman" w:cs="Times New Roman"/>
          <w:bCs/>
          <w:sz w:val="24"/>
          <w:szCs w:val="24"/>
        </w:rPr>
      </w:pPr>
    </w:p>
    <w:p w14:paraId="28214286" w14:textId="77777777" w:rsidR="00886D31" w:rsidRPr="003B2C34" w:rsidRDefault="00886D31" w:rsidP="00490F03">
      <w:pPr>
        <w:spacing w:after="160"/>
        <w:jc w:val="both"/>
        <w:rPr>
          <w:rFonts w:ascii="Times New Roman" w:hAnsi="Times New Roman" w:cs="Times New Roman"/>
          <w:bCs/>
          <w:sz w:val="24"/>
          <w:szCs w:val="24"/>
        </w:rPr>
      </w:pPr>
    </w:p>
    <w:p w14:paraId="50301226" w14:textId="77777777" w:rsidR="00886D31" w:rsidRPr="003B2C34" w:rsidRDefault="00886D31" w:rsidP="00490F03">
      <w:pPr>
        <w:spacing w:after="160"/>
        <w:jc w:val="both"/>
        <w:rPr>
          <w:rFonts w:ascii="Times New Roman" w:hAnsi="Times New Roman" w:cs="Times New Roman"/>
          <w:bCs/>
          <w:sz w:val="24"/>
          <w:szCs w:val="24"/>
        </w:rPr>
      </w:pPr>
    </w:p>
    <w:p w14:paraId="0F17C136" w14:textId="022DEC53" w:rsidR="00490F03" w:rsidRPr="003B2C34" w:rsidRDefault="00490F03" w:rsidP="00490F03">
      <w:pPr>
        <w:spacing w:after="160"/>
        <w:jc w:val="both"/>
        <w:rPr>
          <w:rFonts w:ascii="Times New Roman" w:hAnsi="Times New Roman" w:cs="Times New Roman"/>
          <w:i/>
          <w:iCs/>
          <w:sz w:val="24"/>
          <w:szCs w:val="24"/>
        </w:rPr>
      </w:pPr>
      <w:r w:rsidRPr="003B2C34">
        <w:rPr>
          <w:rFonts w:ascii="Times New Roman" w:hAnsi="Times New Roman"/>
          <w:i/>
          <w:sz w:val="24"/>
        </w:rPr>
        <w:t>Ouvrir la voie à la mise en commun stratégique des données</w:t>
      </w:r>
    </w:p>
    <w:p w14:paraId="3AC7C23E" w14:textId="3F6E2368" w:rsidR="00997A80" w:rsidRPr="003B2C34" w:rsidRDefault="0092758B" w:rsidP="00736CC2">
      <w:pPr>
        <w:spacing w:after="160"/>
        <w:jc w:val="both"/>
        <w:rPr>
          <w:rFonts w:ascii="Times New Roman" w:hAnsi="Times New Roman" w:cs="Times New Roman"/>
          <w:bCs/>
          <w:sz w:val="24"/>
          <w:szCs w:val="24"/>
        </w:rPr>
      </w:pPr>
      <w:r w:rsidRPr="003B2C34">
        <w:rPr>
          <w:rFonts w:ascii="Times New Roman" w:hAnsi="Times New Roman"/>
          <w:sz w:val="24"/>
          <w:lang w:val="en-GB" w:eastAsia="en-GB"/>
        </w:rPr>
        <mc:AlternateContent>
          <mc:Choice Requires="wps">
            <w:drawing>
              <wp:anchor distT="91440" distB="91440" distL="114300" distR="114300" simplePos="0" relativeHeight="251658241" behindDoc="0" locked="0" layoutInCell="1" allowOverlap="1" wp14:anchorId="1F28B943" wp14:editId="487E43F0">
                <wp:simplePos x="0" y="0"/>
                <wp:positionH relativeFrom="margin">
                  <wp:align>right</wp:align>
                </wp:positionH>
                <wp:positionV relativeFrom="paragraph">
                  <wp:posOffset>486410</wp:posOffset>
                </wp:positionV>
                <wp:extent cx="2105025" cy="3457575"/>
                <wp:effectExtent l="0" t="0" r="0" b="0"/>
                <wp:wrapSquare wrapText="bothSides"/>
                <wp:docPr id="4545306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5025" cy="3457575"/>
                        </a:xfrm>
                        <a:prstGeom prst="rect">
                          <a:avLst/>
                        </a:prstGeom>
                        <a:noFill/>
                        <a:ln w="9525">
                          <a:noFill/>
                          <a:miter lim="800000"/>
                          <a:headEnd/>
                          <a:tailEnd/>
                        </a:ln>
                      </wps:spPr>
                      <wps:txbx>
                        <w:txbxContent>
                          <w:p w14:paraId="4DF56D44" w14:textId="47B353C4" w:rsidR="00410C8E" w:rsidRPr="003B2C34" w:rsidRDefault="00410C8E" w:rsidP="006C454F">
                            <w:pPr>
                              <w:pBdr>
                                <w:top w:val="single" w:sz="24" w:space="8" w:color="4F81BD" w:themeColor="accent1"/>
                                <w:bottom w:val="single" w:sz="24" w:space="8" w:color="4F81BD" w:themeColor="accent1"/>
                              </w:pBdr>
                              <w:spacing w:after="0"/>
                              <w:jc w:val="both"/>
                              <w:rPr>
                                <w:i/>
                                <w:iCs/>
                                <w:color w:val="4F81BD" w:themeColor="accent1"/>
                                <w:sz w:val="24"/>
                              </w:rPr>
                            </w:pPr>
                            <w:r w:rsidRPr="003B2C34">
                              <w:rPr>
                                <w:rFonts w:ascii="Times New Roman" w:hAnsi="Times New Roman"/>
                                <w:b/>
                                <w:i/>
                                <w:color w:val="4F81BD" w:themeColor="accent1"/>
                                <w:sz w:val="24"/>
                              </w:rPr>
                              <w:t>Rapport Draghi:</w:t>
                            </w:r>
                            <w:r w:rsidRPr="003B2C34">
                              <w:rPr>
                                <w:rFonts w:ascii="Times New Roman" w:hAnsi="Times New Roman"/>
                                <w:i/>
                                <w:color w:val="4F81BD" w:themeColor="accent1"/>
                                <w:sz w:val="24"/>
                              </w:rPr>
                              <w:t xml:space="preserve"> «En particulier, pour remédier au manque de grands ensembles de données dans l’UE, l’entraînement des modèles devrait être alimenté par des données librement fournies par de multiples entreprises de l’UE au sein d’un secteur donné. Il devrait être soutenu par des cadres à code source ouvert et protégé de l’application des règles en matière de pratiques anticoncurrentielles par les autorités de concurrence.»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28B943" id="_x0000_s1030" type="#_x0000_t202" style="position:absolute;left:0;text-align:left;margin-left:114.55pt;margin-top:38.3pt;width:165.75pt;height:272.25pt;z-index:251658241;visibility:visible;mso-wrap-style:square;mso-width-percent:0;mso-height-percent:0;mso-wrap-distance-left:9pt;mso-wrap-distance-top:7.2pt;mso-wrap-distance-right:9pt;mso-wrap-distance-bottom:7.2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" filled="f" stroked="f">
                <v:textbox>
                  <w:txbxContent>
                    <w:p w14:paraId="4DF56D44" w14:textId="47B353C4" w:rsidR="00410C8E" w:rsidRPr="003B2C34" w:rsidRDefault="00410C8E" w:rsidP="006C454F">
                      <w:pPr>
                        <w:pBdr>
                          <w:top w:val="single" w:sz="24" w:space="8" w:color="4F81BD" w:themeColor="accent1"/>
                          <w:bottom w:val="single" w:sz="24" w:space="8" w:color="4F81BD" w:themeColor="accent1"/>
                        </w:pBdr>
                        <w:spacing w:after="0"/>
                        <w:jc w:val="both"/>
                        <w:rPr>
                          <w:i/>
                          <w:iCs/>
                          <w:color w:val="4F81BD" w:themeColor="accent1"/>
                          <w:sz w:val="24"/>
                        </w:rPr>
                      </w:pPr>
                      <w:r w:rsidRPr="003B2C34">
                        <w:rPr>
                          <w:rFonts w:ascii="Times New Roman" w:hAnsi="Times New Roman"/>
                          <w:b/>
                          <w:i/>
                          <w:color w:val="4F81BD" w:themeColor="accent1"/>
                          <w:sz w:val="24"/>
                        </w:rPr>
                        <w:t>Rapport Draghi:</w:t>
                      </w:r>
                      <w:r w:rsidRPr="003B2C34">
                        <w:rPr>
                          <w:rFonts w:ascii="Times New Roman" w:hAnsi="Times New Roman"/>
                          <w:i/>
                          <w:color w:val="4F81BD" w:themeColor="accent1"/>
                          <w:sz w:val="24"/>
                        </w:rPr>
                        <w:t xml:space="preserve"> «En particulier, pour remédier au manque de grands ensembles de données dans l’UE, l’entraînement des modèles devrait être alimenté par des données librement fournies par de multiples entreprises de l’UE au sein d’un secteur donné. Il devrait être soutenu par des cadres à code source ouvert et protégé de l’application des règles en matière de pratiques anticoncurrentielles par les autorités de concurrence.»</w:t>
                      </w:r>
                    </w:p>
                  </w:txbxContent>
                </v:textbox>
                <w10:wrap type="square" anchorx="margin"/>
              </v:shape>
            </w:pict>
          </mc:Fallback>
        </mc:AlternateContent>
      </w:r>
      <w:r w:rsidRPr="003B2C34">
        <w:rPr>
          <w:rFonts w:ascii="Times New Roman" w:hAnsi="Times New Roman"/>
          <w:sz w:val="24"/>
        </w:rPr>
        <w:t xml:space="preserve">De nombreuses entreprises, par exemple dans les domaines de la santé, de la mobilité, de l’énergie, de l’agriculture et de l’industrie manufacturière, ne disposent pas des ensembles de données vastes et diversifiés nécessaires pour entraîner des modèles d’IA avancés. La mise en commun des données relatives aux premières étapes du cycle de production des produits et services pourrait générer des avantages partagés, mais l’insécurité juridique et la crainte d’enfreindre le droit de la concurrence entravent la collaboration. </w:t>
      </w:r>
    </w:p>
    <w:p w14:paraId="310B021D" w14:textId="3306715A" w:rsidR="00E711B5" w:rsidRPr="003B2C34" w:rsidRDefault="00E711B5" w:rsidP="00736CC2">
      <w:pPr>
        <w:spacing w:after="160"/>
        <w:jc w:val="both"/>
        <w:rPr>
          <w:rFonts w:ascii="Times New Roman" w:hAnsi="Times New Roman" w:cs="Times New Roman"/>
          <w:bCs/>
          <w:sz w:val="24"/>
          <w:szCs w:val="24"/>
        </w:rPr>
      </w:pPr>
      <w:r w:rsidRPr="003B2C34">
        <w:rPr>
          <w:rFonts w:ascii="Times New Roman" w:hAnsi="Times New Roman"/>
          <w:sz w:val="24"/>
        </w:rPr>
        <w:t>La Commission continuera d’agir pour apporter de la clarté juridique aux entreprises, conformément au rapport sur l’avenir de la compétitivité européenne de Mario Draghi qui appelle à traduire l’action réglementaire en résultats. Les lignes directrices horizontales de 2023 sur les accords de coopération entre concurrents expliquent déjà quand la mise en commun de données est compatible avec le droit de la concurrence de l’UE, en fournissant des exemples pratiques et des garanties.</w:t>
      </w:r>
    </w:p>
    <w:p w14:paraId="7AF2EC95" w14:textId="2B2A30CC" w:rsidR="00A33751" w:rsidRPr="003B2C34" w:rsidRDefault="46FC0553" w:rsidP="00490F03">
      <w:pPr>
        <w:spacing w:after="160"/>
        <w:jc w:val="both"/>
        <w:rPr>
          <w:rFonts w:ascii="Times New Roman" w:hAnsi="Times New Roman" w:cs="Times New Roman"/>
          <w:bCs/>
          <w:sz w:val="24"/>
          <w:szCs w:val="24"/>
        </w:rPr>
      </w:pPr>
      <w:r w:rsidRPr="003B2C34">
        <w:rPr>
          <w:rFonts w:ascii="Times New Roman" w:hAnsi="Times New Roman"/>
          <w:sz w:val="24"/>
        </w:rPr>
        <w:t>Afin de faciliter encore la collaboration licite et efficace en matière de données par l’intermédiaire des laboratoires de données, la Commission publiera des orientations spécifiques sur les meilleures pratiques en matière d’échange et de mise en commun des données.</w:t>
      </w:r>
    </w:p>
    <w:p w14:paraId="5316E66A" w14:textId="3382E348" w:rsidR="00950132" w:rsidRPr="003B2C34" w:rsidRDefault="00F666BA" w:rsidP="00490F03">
      <w:pPr>
        <w:spacing w:after="160"/>
        <w:jc w:val="both"/>
        <w:rPr>
          <w:rFonts w:ascii="Times New Roman" w:hAnsi="Times New Roman" w:cs="Times New Roman"/>
          <w:bCs/>
          <w:sz w:val="24"/>
          <w:szCs w:val="24"/>
        </w:rPr>
      </w:pPr>
      <w:r w:rsidRPr="003B2C34">
        <w:rPr>
          <w:rFonts w:ascii="Times New Roman" w:hAnsi="Times New Roman"/>
          <w:sz w:val="24"/>
        </w:rPr>
        <w:t xml:space="preserve">En outre, la Commission pourra fournir sur demande des orientations en matière de droit de la concurrence au titre de la communication sur les orientations informelles en ce qui concerne des projets et initiatives multinationaux spécifiques liés aux données, qui favorisent l’innovation transfrontière, la résilience industrielle et le développement de l’IA. En faisant de la mise en commun des données une option fiable et juridiquement sûre, l’UE peut générer des gains d’efficacité et accélérer les avancées dans des secteurs clés. </w:t>
      </w:r>
    </w:p>
    <w:p w14:paraId="556E1456" w14:textId="432A049A" w:rsidR="00490F03" w:rsidRPr="003B2C34" w:rsidRDefault="00490F03" w:rsidP="00490F03">
      <w:pPr>
        <w:spacing w:after="160"/>
        <w:jc w:val="both"/>
        <w:rPr>
          <w:rFonts w:ascii="Times New Roman" w:hAnsi="Times New Roman" w:cs="Times New Roman"/>
          <w:i/>
          <w:iCs/>
          <w:sz w:val="24"/>
          <w:szCs w:val="24"/>
        </w:rPr>
      </w:pPr>
      <w:r w:rsidRPr="003B2C34">
        <w:rPr>
          <w:rFonts w:ascii="Times New Roman" w:hAnsi="Times New Roman"/>
          <w:i/>
          <w:sz w:val="24"/>
        </w:rPr>
        <w:t>Élever le niveau d’exigence pour la qualité et la capture des données</w:t>
      </w:r>
    </w:p>
    <w:p w14:paraId="60229E58" w14:textId="15F4D003" w:rsidR="00736CC2" w:rsidRPr="003B2C34" w:rsidRDefault="00736CC2" w:rsidP="00FA717D">
      <w:pPr>
        <w:spacing w:after="160"/>
        <w:jc w:val="both"/>
        <w:rPr>
          <w:rFonts w:ascii="Times New Roman" w:hAnsi="Times New Roman" w:cs="Times New Roman"/>
          <w:bCs/>
          <w:sz w:val="24"/>
          <w:szCs w:val="24"/>
        </w:rPr>
      </w:pPr>
      <w:r w:rsidRPr="003B2C34">
        <w:rPr>
          <w:rFonts w:ascii="Times New Roman" w:hAnsi="Times New Roman"/>
          <w:sz w:val="24"/>
        </w:rPr>
        <w:t>En l’absence de normes fiables, même les efforts les plus ambitieux en matière de partage des données risquent d’aboutir à une situation fragmentée et à un faible taux d’adoption. Le cadre européen de données fiables</w:t>
      </w:r>
      <w:r w:rsidRPr="003B2C34">
        <w:rPr>
          <w:rStyle w:val="FootnoteReference"/>
          <w:rFonts w:ascii="Times New Roman" w:hAnsi="Times New Roman" w:cs="Times New Roman"/>
          <w:bCs/>
          <w:sz w:val="24"/>
          <w:szCs w:val="24"/>
        </w:rPr>
        <w:footnoteReference w:id="30"/>
      </w:r>
      <w:r w:rsidRPr="003B2C34">
        <w:rPr>
          <w:rFonts w:ascii="Times New Roman" w:hAnsi="Times New Roman"/>
          <w:sz w:val="24"/>
        </w:rPr>
        <w:t xml:space="preserve"> fixe déjà des règles en matière de partage, de métadonnées et de gouvernance, mais des travaux supplémentaires sont nécessaires pour résoudre les problèmes qui se font jour.</w:t>
      </w:r>
    </w:p>
    <w:p w14:paraId="62047296" w14:textId="0788629B" w:rsidR="00A63EA2" w:rsidRPr="003B2C34" w:rsidRDefault="00FA717D" w:rsidP="00FA717D">
      <w:pPr>
        <w:spacing w:after="160"/>
        <w:jc w:val="both"/>
        <w:rPr>
          <w:rFonts w:ascii="Times New Roman" w:hAnsi="Times New Roman" w:cs="Times New Roman"/>
          <w:bCs/>
          <w:sz w:val="24"/>
          <w:szCs w:val="24"/>
        </w:rPr>
      </w:pPr>
      <w:r w:rsidRPr="003B2C34">
        <w:rPr>
          <w:rFonts w:ascii="Times New Roman" w:hAnsi="Times New Roman"/>
          <w:sz w:val="24"/>
        </w:rPr>
        <w:t xml:space="preserve">La Commission lancera une demande de normalisation portant sur une </w:t>
      </w:r>
      <w:r w:rsidRPr="003B2C34">
        <w:rPr>
          <w:rFonts w:ascii="Times New Roman" w:hAnsi="Times New Roman"/>
          <w:b/>
          <w:sz w:val="24"/>
        </w:rPr>
        <w:t>norme européenne relative à la qualité des données</w:t>
      </w:r>
      <w:r w:rsidRPr="003B2C34">
        <w:rPr>
          <w:rFonts w:ascii="Times New Roman" w:hAnsi="Times New Roman"/>
          <w:sz w:val="24"/>
        </w:rPr>
        <w:t xml:space="preserve"> qui abordera les aspects d’exhaustivité, de cohérence, de provenance, de clarté sémantique et de gouvernance et fournira aux entreprises, aux régulateurs et aux chercheurs des références communes pour des ensembles de données fiables. Ces travaux compléteront les activités de normalisation en cours sur la qualité des données et la documentation au titre du règlement sur l’IA, en garantissant la cohérence entre la gestion des données et les exigences en matière de développement de l’IA. </w:t>
      </w:r>
    </w:p>
    <w:p w14:paraId="70D11C39" w14:textId="07A0BB7E" w:rsidR="00736CC2" w:rsidRPr="003B2C34" w:rsidRDefault="00FA717D" w:rsidP="00FA717D">
      <w:pPr>
        <w:spacing w:after="160"/>
        <w:jc w:val="both"/>
        <w:rPr>
          <w:rFonts w:ascii="Times New Roman" w:hAnsi="Times New Roman" w:cs="Times New Roman"/>
          <w:bCs/>
          <w:sz w:val="24"/>
          <w:szCs w:val="24"/>
        </w:rPr>
      </w:pPr>
      <w:r w:rsidRPr="003B2C34">
        <w:rPr>
          <w:rFonts w:ascii="Times New Roman" w:hAnsi="Times New Roman"/>
          <w:sz w:val="24"/>
        </w:rPr>
        <w:t xml:space="preserve">Une initiative spécifique visera à normaliser les </w:t>
      </w:r>
      <w:r w:rsidRPr="003B2C34">
        <w:rPr>
          <w:rFonts w:ascii="Times New Roman" w:hAnsi="Times New Roman"/>
          <w:b/>
          <w:sz w:val="24"/>
        </w:rPr>
        <w:t>pratiques d’annotation et d’étiquetage</w:t>
      </w:r>
      <w:r w:rsidRPr="003B2C34">
        <w:rPr>
          <w:rFonts w:ascii="Times New Roman" w:hAnsi="Times New Roman"/>
          <w:sz w:val="24"/>
        </w:rPr>
        <w:t>, en rendant les données plus faciles à trouver, à combiner et à réutiliser tout en garantissant la confiance dans leur origine et dans les conditions d’utilisation, ce qui est essentiel pour développer l’entraînement de l’IA et la réutilisation intersectorielle. Un atelier multipartite examinera également les normes de capture des données provenant de produits, de capteurs et de caméras connectés — y compris l’échantillonnage, les métadonnées, l’horodatage, l’étalonnage et l’intégrité — s’attaquant ainsi à un obstacle majeur à la mise en commun et à la réutilisation efficaces des données.</w:t>
      </w:r>
    </w:p>
    <w:p w14:paraId="05D801FB" w14:textId="4BECA3EC" w:rsidR="00754C71" w:rsidRPr="003B2C34" w:rsidRDefault="00FA4817" w:rsidP="00C620A4">
      <w:pPr>
        <w:pBdr>
          <w:top w:val="single" w:sz="4" w:space="1" w:color="auto"/>
          <w:left w:val="single" w:sz="4" w:space="1" w:color="auto"/>
          <w:bottom w:val="single" w:sz="4" w:space="1" w:color="auto"/>
          <w:right w:val="single" w:sz="4" w:space="1" w:color="auto"/>
        </w:pBdr>
        <w:spacing w:before="120" w:after="120"/>
        <w:jc w:val="both"/>
        <w:outlineLvl w:val="2"/>
        <w:rPr>
          <w:rFonts w:ascii="Times New Roman" w:hAnsi="Times New Roman" w:cs="Times New Roman"/>
          <w:sz w:val="24"/>
          <w:szCs w:val="24"/>
        </w:rPr>
      </w:pPr>
      <w:r w:rsidRPr="003B2C34">
        <w:rPr>
          <w:rFonts w:ascii="Times New Roman" w:hAnsi="Times New Roman"/>
          <w:b/>
          <w:i/>
          <w:sz w:val="24"/>
          <w:u w:val="single"/>
        </w:rPr>
        <w:t>Actions phares</w:t>
      </w:r>
    </w:p>
    <w:p w14:paraId="72A1FB49" w14:textId="5350ED04" w:rsidR="00C42652" w:rsidRPr="003B2C34" w:rsidRDefault="00C42652" w:rsidP="00A55640">
      <w:pPr>
        <w:pStyle w:val="ListParagraph"/>
        <w:numPr>
          <w:ilvl w:val="0"/>
          <w:numId w:val="4"/>
        </w:numPr>
        <w:pBdr>
          <w:top w:val="single" w:sz="4" w:space="1" w:color="auto"/>
          <w:left w:val="single" w:sz="4" w:space="1" w:color="auto"/>
          <w:bottom w:val="single" w:sz="4" w:space="1" w:color="auto"/>
          <w:right w:val="single" w:sz="4" w:space="1" w:color="auto"/>
        </w:pBdr>
        <w:spacing w:before="120" w:after="120"/>
        <w:jc w:val="both"/>
        <w:rPr>
          <w:rFonts w:ascii="Times New Roman" w:hAnsi="Times New Roman" w:cs="Times New Roman"/>
          <w:sz w:val="24"/>
          <w:szCs w:val="24"/>
        </w:rPr>
      </w:pPr>
      <w:r w:rsidRPr="003B2C34">
        <w:rPr>
          <w:rFonts w:ascii="Times New Roman" w:hAnsi="Times New Roman"/>
          <w:sz w:val="24"/>
        </w:rPr>
        <w:t xml:space="preserve">Lancement des premiers </w:t>
      </w:r>
      <w:r w:rsidRPr="003B2C34">
        <w:rPr>
          <w:rFonts w:ascii="Times New Roman" w:hAnsi="Times New Roman"/>
          <w:b/>
          <w:sz w:val="24"/>
        </w:rPr>
        <w:t>laboratoires de données</w:t>
      </w:r>
      <w:r w:rsidRPr="003B2C34">
        <w:rPr>
          <w:rFonts w:ascii="Times New Roman" w:hAnsi="Times New Roman"/>
          <w:sz w:val="24"/>
        </w:rPr>
        <w:t xml:space="preserve"> afin d’accroître la disponibilité des données et d’établir un lien avec les écosystèmes d’IA (T4 2025). Ils proposeront aussi des services de pseudonymisation fiables.</w:t>
      </w:r>
    </w:p>
    <w:p w14:paraId="2D41EA13" w14:textId="24928156" w:rsidR="00D3302B" w:rsidRPr="003B2C34" w:rsidRDefault="00C03805" w:rsidP="00A55640">
      <w:pPr>
        <w:pStyle w:val="ListParagraph"/>
        <w:numPr>
          <w:ilvl w:val="0"/>
          <w:numId w:val="4"/>
        </w:numPr>
        <w:pBdr>
          <w:top w:val="single" w:sz="4" w:space="1" w:color="auto"/>
          <w:left w:val="single" w:sz="4" w:space="1" w:color="auto"/>
          <w:bottom w:val="single" w:sz="4" w:space="1" w:color="auto"/>
          <w:right w:val="single" w:sz="4" w:space="1" w:color="auto"/>
        </w:pBdr>
        <w:spacing w:before="200" w:after="120"/>
        <w:jc w:val="both"/>
        <w:outlineLvl w:val="1"/>
        <w:rPr>
          <w:rFonts w:ascii="Times New Roman" w:hAnsi="Times New Roman" w:cs="Times New Roman"/>
          <w:b/>
          <w:sz w:val="24"/>
          <w:szCs w:val="24"/>
        </w:rPr>
      </w:pPr>
      <w:r w:rsidRPr="003B2C34">
        <w:rPr>
          <w:rFonts w:ascii="Times New Roman" w:hAnsi="Times New Roman"/>
          <w:b/>
          <w:sz w:val="24"/>
        </w:rPr>
        <w:t xml:space="preserve">Lancement de l’initiative concernant des données de qualité pour l’IA: </w:t>
      </w:r>
      <w:r w:rsidRPr="003B2C34">
        <w:rPr>
          <w:rFonts w:ascii="Times New Roman" w:hAnsi="Times New Roman"/>
          <w:sz w:val="24"/>
        </w:rPr>
        <w:t>étendre les ensembles de données de forte valeur au titre de la directive sur les données ouvertes (T4 2026); mettre en place un forum des parties prenantes avec les radiodiffuseurs publics et les développeurs d’IA (T2 2026); mettre 30 millions d’objets culturels numérisés à disposition à des fins d’entraînement de l’IA (T4 2026); et lancer une initiative d’élaboration participative portant sur des données spécifiques à un domaine et sur des données linguistiques dans des langues européennes moins répandues (T2 2026).</w:t>
      </w:r>
    </w:p>
    <w:p w14:paraId="41149311" w14:textId="67998FDD" w:rsidR="00776668" w:rsidRPr="003B2C34" w:rsidRDefault="00776668" w:rsidP="00570FB0">
      <w:pPr>
        <w:spacing w:before="200"/>
        <w:outlineLvl w:val="1"/>
        <w:rPr>
          <w:rFonts w:ascii="Times New Roman" w:hAnsi="Times New Roman" w:cs="Times New Roman"/>
          <w:b/>
          <w:sz w:val="24"/>
          <w:szCs w:val="24"/>
        </w:rPr>
      </w:pPr>
      <w:r w:rsidRPr="003B2C34">
        <w:rPr>
          <w:rFonts w:ascii="Times New Roman" w:hAnsi="Times New Roman"/>
          <w:b/>
          <w:sz w:val="24"/>
        </w:rPr>
        <w:t xml:space="preserve">Pilier II: </w:t>
      </w:r>
      <w:r w:rsidR="00FD1142" w:rsidRPr="003B2C34">
        <w:rPr>
          <w:rFonts w:ascii="Times New Roman" w:hAnsi="Times New Roman"/>
          <w:b/>
          <w:sz w:val="24"/>
        </w:rPr>
        <w:t>R</w:t>
      </w:r>
      <w:r w:rsidRPr="003B2C34">
        <w:rPr>
          <w:rFonts w:ascii="Times New Roman" w:hAnsi="Times New Roman"/>
          <w:b/>
          <w:sz w:val="24"/>
        </w:rPr>
        <w:t>ationaliser les règles en matière de données</w:t>
      </w:r>
    </w:p>
    <w:p w14:paraId="58AE1D2B" w14:textId="64CE74C8" w:rsidR="00846A84" w:rsidRPr="003B2C34" w:rsidRDefault="005927F6" w:rsidP="00BA2F15">
      <w:pPr>
        <w:jc w:val="both"/>
        <w:rPr>
          <w:rFonts w:ascii="Times New Roman" w:hAnsi="Times New Roman" w:cs="Times New Roman"/>
          <w:sz w:val="24"/>
          <w:szCs w:val="24"/>
        </w:rPr>
      </w:pPr>
      <w:r w:rsidRPr="003B2C34">
        <w:rPr>
          <w:rFonts w:ascii="Times New Roman" w:hAnsi="Times New Roman"/>
          <w:sz w:val="24"/>
        </w:rPr>
        <w:t>Le cadre de l’UE en matière de données doit rester clair, pratique et propice à l’innovation. Afin de réduire les contraintes et de stimuler la compétitivité, la Commission présente une proposition législative, dite «</w:t>
      </w:r>
      <w:r w:rsidRPr="003B2C34">
        <w:rPr>
          <w:rFonts w:ascii="Times New Roman" w:hAnsi="Times New Roman"/>
          <w:b/>
          <w:sz w:val="24"/>
        </w:rPr>
        <w:t>train de mesures omnibus sur le numérique</w:t>
      </w:r>
      <w:r w:rsidRPr="003B2C34">
        <w:rPr>
          <w:rFonts w:ascii="Times New Roman" w:hAnsi="Times New Roman"/>
          <w:sz w:val="24"/>
        </w:rPr>
        <w:t>», visant, notamment, à moderniser et à consolider l’acquis horizontal de l’UE en matière de données. En outre, la Commission annoncera également des travaux sur la conformité en un clic afin de permettre l’établissement automatisé de déclarations réglementaires, ainsi qu’un train de mesures d’accompagnement pour le règlement sur les données, comprenant des contrats types, des clauses standard, des orientations sur l’indemnisation et les secrets d’affaires, et un service d’assistance juridique pour les PME.</w:t>
      </w:r>
    </w:p>
    <w:p w14:paraId="72105FB6" w14:textId="77777777" w:rsidR="005C5DE4" w:rsidRPr="003B2C34" w:rsidRDefault="005C5DE4" w:rsidP="00A55640">
      <w:pPr>
        <w:pStyle w:val="ListParagraph"/>
        <w:numPr>
          <w:ilvl w:val="1"/>
          <w:numId w:val="3"/>
        </w:numPr>
        <w:outlineLvl w:val="2"/>
        <w:rPr>
          <w:rFonts w:ascii="Times New Roman" w:hAnsi="Times New Roman" w:cs="Times New Roman"/>
          <w:b/>
          <w:bCs/>
          <w:sz w:val="24"/>
          <w:szCs w:val="24"/>
        </w:rPr>
      </w:pPr>
      <w:bookmarkStart w:id="4" w:name="_Hlk213780770"/>
      <w:r w:rsidRPr="003B2C34">
        <w:rPr>
          <w:rFonts w:ascii="Times New Roman" w:hAnsi="Times New Roman"/>
          <w:b/>
          <w:sz w:val="24"/>
        </w:rPr>
        <w:t xml:space="preserve">Simplifier l’acquis de l’UE en matière de données </w:t>
      </w:r>
    </w:p>
    <w:p w14:paraId="7934D082" w14:textId="5F6303E8" w:rsidR="005C5DE4" w:rsidRPr="003B2C34" w:rsidRDefault="005C5DE4" w:rsidP="005C5DE4">
      <w:pPr>
        <w:spacing w:after="120"/>
        <w:jc w:val="both"/>
        <w:rPr>
          <w:rFonts w:ascii="Times New Roman" w:eastAsia="Calibri" w:hAnsi="Times New Roman" w:cs="Times New Roman"/>
          <w:sz w:val="24"/>
          <w:szCs w:val="24"/>
        </w:rPr>
      </w:pPr>
      <w:r w:rsidRPr="003B2C34">
        <w:rPr>
          <w:rFonts w:ascii="Times New Roman" w:hAnsi="Times New Roman"/>
          <w:sz w:val="24"/>
        </w:rPr>
        <w:t>Le cadre réglementaire de l’UE en matière de données s’est développé rapidement, ce qui a créé de nouveaux droits, mais a aussi accru la complexité et la fragmentation. Il faut le simplifier pour réduire les coûts liés au respect de la réglementation, faciliter l’application de cette dernière et mieux soutenir l’innovation.</w:t>
      </w:r>
    </w:p>
    <w:p w14:paraId="7A30141E" w14:textId="7499C0A8" w:rsidR="005C5DE4" w:rsidRPr="003B2C34" w:rsidRDefault="005C5DE4" w:rsidP="005C5DE4">
      <w:pPr>
        <w:spacing w:after="120"/>
        <w:jc w:val="both"/>
        <w:rPr>
          <w:rFonts w:ascii="Times New Roman" w:eastAsia="Calibri" w:hAnsi="Times New Roman" w:cs="Times New Roman"/>
          <w:sz w:val="24"/>
          <w:szCs w:val="24"/>
        </w:rPr>
      </w:pPr>
      <w:r w:rsidRPr="003B2C34">
        <w:rPr>
          <w:rFonts w:ascii="Times New Roman" w:hAnsi="Times New Roman"/>
          <w:sz w:val="24"/>
        </w:rPr>
        <w:t>À cette fin, la Commission présente le train de mesures omnibus sur le numérique susmentionné. Il actualisera l’acquis en supprimant les contraintes inutiles tout en préservant les principes fondamentaux de l’économie des données de l’UE. Il se concentrera sur les réformes prioritaires suivantes:</w:t>
      </w:r>
    </w:p>
    <w:p w14:paraId="2180BDB5" w14:textId="4BE6712F" w:rsidR="005C5DE4" w:rsidRPr="003B2C34" w:rsidRDefault="005C5DE4" w:rsidP="00A55640">
      <w:pPr>
        <w:pStyle w:val="ListParagraph"/>
        <w:numPr>
          <w:ilvl w:val="0"/>
          <w:numId w:val="10"/>
        </w:numPr>
        <w:spacing w:after="120"/>
        <w:jc w:val="both"/>
        <w:rPr>
          <w:rFonts w:ascii="Times New Roman" w:eastAsia="Calibri" w:hAnsi="Times New Roman" w:cs="Times New Roman"/>
          <w:sz w:val="24"/>
          <w:szCs w:val="24"/>
        </w:rPr>
      </w:pPr>
      <w:r w:rsidRPr="003B2C34">
        <w:rPr>
          <w:rFonts w:ascii="Times New Roman" w:hAnsi="Times New Roman"/>
          <w:b/>
          <w:sz w:val="24"/>
        </w:rPr>
        <w:t>Supprimer les règles obsolètes.</w:t>
      </w:r>
      <w:r w:rsidRPr="003B2C34">
        <w:rPr>
          <w:rFonts w:ascii="Times New Roman" w:hAnsi="Times New Roman"/>
          <w:sz w:val="24"/>
        </w:rPr>
        <w:t xml:space="preserve"> Le train de mesures omnibus abrogera le règlement sur le libre flux des données à caractère non personnel</w:t>
      </w:r>
      <w:r w:rsidRPr="003B2C34">
        <w:rPr>
          <w:rStyle w:val="FootnoteReference"/>
          <w:rFonts w:ascii="Times New Roman" w:eastAsia="Calibri" w:hAnsi="Times New Roman" w:cs="Times New Roman"/>
          <w:sz w:val="24"/>
          <w:szCs w:val="24"/>
        </w:rPr>
        <w:footnoteReference w:id="31"/>
      </w:r>
      <w:r w:rsidRPr="003B2C34">
        <w:rPr>
          <w:rFonts w:ascii="Times New Roman" w:hAnsi="Times New Roman"/>
          <w:sz w:val="24"/>
        </w:rPr>
        <w:t>, dont les fonctions sont déjà couvertes par le règlement sur les données, tout en préservant explicitement le principe de libre circulation des données à caractère non personnel et l’interdiction de restrictions injustifiées en matière de localisation.</w:t>
      </w:r>
    </w:p>
    <w:p w14:paraId="62FA9780" w14:textId="58E3E8A6" w:rsidR="005C5DE4" w:rsidRPr="003B2C34" w:rsidRDefault="005C5DE4" w:rsidP="00A55640">
      <w:pPr>
        <w:pStyle w:val="ListParagraph"/>
        <w:numPr>
          <w:ilvl w:val="0"/>
          <w:numId w:val="10"/>
        </w:numPr>
        <w:spacing w:after="120"/>
        <w:jc w:val="both"/>
        <w:rPr>
          <w:rFonts w:ascii="Times New Roman" w:eastAsia="Calibri" w:hAnsi="Times New Roman" w:cs="Times New Roman"/>
          <w:sz w:val="24"/>
          <w:szCs w:val="24"/>
        </w:rPr>
      </w:pPr>
      <w:r w:rsidRPr="003B2C34">
        <w:rPr>
          <w:rFonts w:ascii="Times New Roman" w:hAnsi="Times New Roman"/>
          <w:b/>
          <w:sz w:val="24"/>
        </w:rPr>
        <w:t>Rationaliser les règles en matière de partage de données</w:t>
      </w:r>
      <w:r w:rsidRPr="003B2C34">
        <w:rPr>
          <w:rFonts w:ascii="Times New Roman" w:hAnsi="Times New Roman"/>
          <w:sz w:val="24"/>
        </w:rPr>
        <w:t xml:space="preserve"> Le train de mesures abrogera le règlement sur la gouvernance des données et transférera ses dispositions essentielles dans le règlement sur les données. Les obligations concernant les intermédiaires de données seront plus claires, plus légères et d’application volontaire afin de permettre la mise en place de modèles viables et une adoption plus large.</w:t>
      </w:r>
    </w:p>
    <w:p w14:paraId="42930608" w14:textId="189AAC91" w:rsidR="005C5DE4" w:rsidRPr="003B2C34" w:rsidRDefault="005C5DE4" w:rsidP="00A55640">
      <w:pPr>
        <w:pStyle w:val="ListParagraph"/>
        <w:numPr>
          <w:ilvl w:val="0"/>
          <w:numId w:val="10"/>
        </w:numPr>
        <w:spacing w:after="120"/>
        <w:jc w:val="both"/>
        <w:rPr>
          <w:rFonts w:ascii="Times New Roman" w:eastAsia="Calibri" w:hAnsi="Times New Roman" w:cs="Times New Roman"/>
          <w:sz w:val="24"/>
          <w:szCs w:val="24"/>
        </w:rPr>
      </w:pPr>
      <w:r w:rsidRPr="003B2C34">
        <w:rPr>
          <w:rFonts w:ascii="Times New Roman" w:hAnsi="Times New Roman"/>
          <w:b/>
          <w:sz w:val="24"/>
        </w:rPr>
        <w:t>Consolider le partage des données du secteur public.</w:t>
      </w:r>
      <w:r w:rsidRPr="003B2C34">
        <w:rPr>
          <w:rFonts w:ascii="Times New Roman" w:hAnsi="Times New Roman"/>
          <w:sz w:val="24"/>
        </w:rPr>
        <w:t xml:space="preserve"> Les règles actuellement réparties entre le règlement sur la gouvernance des données et la directive sur les données ouvertes seront conservées et fusionnées en un seul chapitre du règlement sur les données. Cela simplifie les obligations tout en préservant l’ouverture, la transparence et un accès équitable. En outre, le nouveau cadre mettra fin aux déséquilibres de pouvoir dans le partage des données, garantissant ainsi des conditions équitables et des avantages tangibles pour les PME. Les laboratoires de données signaleront les nouveaux ensembles de données prometteurs du secteur public qui ne </w:t>
      </w:r>
      <w:r w:rsidR="00FD1142" w:rsidRPr="003B2C34">
        <w:rPr>
          <w:rStyle w:val="normaltextrun"/>
          <w:b/>
          <w:color w:val="000000" w:themeColor="text1"/>
          <w:lang w:val="en-GB" w:eastAsia="en-GB"/>
        </w:rPr>
        <mc:AlternateContent>
          <mc:Choice Requires="wps">
            <w:drawing>
              <wp:anchor distT="91440" distB="91440" distL="114300" distR="114300" simplePos="0" relativeHeight="251658244" behindDoc="0" locked="0" layoutInCell="1" allowOverlap="1" wp14:anchorId="65245999" wp14:editId="00DB0787">
                <wp:simplePos x="0" y="0"/>
                <wp:positionH relativeFrom="margin">
                  <wp:align>right</wp:align>
                </wp:positionH>
                <wp:positionV relativeFrom="paragraph">
                  <wp:posOffset>523240</wp:posOffset>
                </wp:positionV>
                <wp:extent cx="2381250" cy="2409825"/>
                <wp:effectExtent l="0" t="0" r="0" b="0"/>
                <wp:wrapSquare wrapText="bothSides"/>
                <wp:docPr id="13248134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0" cy="2409825"/>
                        </a:xfrm>
                        <a:prstGeom prst="rect">
                          <a:avLst/>
                        </a:prstGeom>
                        <a:noFill/>
                        <a:ln w="9525">
                          <a:noFill/>
                          <a:miter lim="800000"/>
                          <a:headEnd/>
                          <a:tailEnd/>
                        </a:ln>
                      </wps:spPr>
                      <wps:txbx>
                        <w:txbxContent>
                          <w:p w14:paraId="424F73A0" w14:textId="77777777" w:rsidR="005C5DE4" w:rsidRPr="003B2C34" w:rsidRDefault="005C5DE4" w:rsidP="005C5DE4">
                            <w:pPr>
                              <w:pBdr>
                                <w:top w:val="single" w:sz="24" w:space="12" w:color="4F81BD" w:themeColor="accent1"/>
                                <w:bottom w:val="single" w:sz="24" w:space="8" w:color="4F81BD" w:themeColor="accent1"/>
                              </w:pBdr>
                              <w:spacing w:after="0"/>
                              <w:jc w:val="both"/>
                              <w:rPr>
                                <w:rFonts w:ascii="Times New Roman" w:hAnsi="Times New Roman" w:cs="Times New Roman"/>
                                <w:i/>
                                <w:iCs/>
                                <w:color w:val="4F81BD" w:themeColor="accent1"/>
                                <w:sz w:val="24"/>
                                <w:szCs w:val="24"/>
                              </w:rPr>
                            </w:pPr>
                            <w:r w:rsidRPr="003B2C34">
                              <w:rPr>
                                <w:rFonts w:ascii="Times New Roman" w:hAnsi="Times New Roman"/>
                                <w:b/>
                                <w:i/>
                                <w:color w:val="4F81BD" w:themeColor="accent1"/>
                                <w:sz w:val="24"/>
                              </w:rPr>
                              <w:t>Un participant à la consultation publique sur l’union des données:</w:t>
                            </w:r>
                            <w:r w:rsidRPr="003B2C34">
                              <w:rPr>
                                <w:rFonts w:ascii="Times New Roman" w:hAnsi="Times New Roman"/>
                                <w:i/>
                                <w:color w:val="4F81BD" w:themeColor="accent1"/>
                                <w:sz w:val="24"/>
                              </w:rPr>
                              <w:t xml:space="preserve"> «Il faut de toute urgence mettre à jour les règles relatives à la protection de la vie privée et des communications électroniques. Les règles en vigueur ont été conçues dans un contexte technologique totalement différent et ne reflètent pas les besoins actuels du marché.»</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245999" id="_x0000_s1031" type="#_x0000_t202" style="position:absolute;left:0;text-align:left;margin-left:136.3pt;margin-top:41.2pt;width:187.5pt;height:189.75pt;z-index:251658244;visibility:visible;mso-wrap-style:square;mso-width-percent:0;mso-height-percent:0;mso-wrap-distance-left:9pt;mso-wrap-distance-top:7.2pt;mso-wrap-distance-right:9pt;mso-wrap-distance-bottom:7.2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" filled="f" stroked="f">
                <v:textbox>
                  <w:txbxContent>
                    <w:p w14:paraId="424F73A0" w14:textId="77777777" w:rsidR="005C5DE4" w:rsidRPr="003B2C34" w:rsidRDefault="005C5DE4" w:rsidP="005C5DE4">
                      <w:pPr>
                        <w:pBdr>
                          <w:top w:val="single" w:sz="24" w:space="12" w:color="4F81BD" w:themeColor="accent1"/>
                          <w:bottom w:val="single" w:sz="24" w:space="8" w:color="4F81BD" w:themeColor="accent1"/>
                        </w:pBdr>
                        <w:spacing w:after="0"/>
                        <w:jc w:val="both"/>
                        <w:rPr>
                          <w:rFonts w:ascii="Times New Roman" w:hAnsi="Times New Roman" w:cs="Times New Roman"/>
                          <w:i/>
                          <w:iCs/>
                          <w:color w:val="4F81BD" w:themeColor="accent1"/>
                          <w:sz w:val="24"/>
                          <w:szCs w:val="24"/>
                        </w:rPr>
                      </w:pPr>
                      <w:r w:rsidRPr="003B2C34">
                        <w:rPr>
                          <w:rFonts w:ascii="Times New Roman" w:hAnsi="Times New Roman"/>
                          <w:b/>
                          <w:i/>
                          <w:color w:val="4F81BD" w:themeColor="accent1"/>
                          <w:sz w:val="24"/>
                        </w:rPr>
                        <w:t>Un participant à la consultation publique sur l’union des données:</w:t>
                      </w:r>
                      <w:r w:rsidRPr="003B2C34">
                        <w:rPr>
                          <w:rFonts w:ascii="Times New Roman" w:hAnsi="Times New Roman"/>
                          <w:i/>
                          <w:color w:val="4F81BD" w:themeColor="accent1"/>
                          <w:sz w:val="24"/>
                        </w:rPr>
                        <w:t xml:space="preserve"> «Il faut de toute urgence mettre à jour les règles relatives à la protection de la vie privée et des communications électroniques. Les règles en vigueur ont été conçues dans un contexte technologique totalement différent et ne reflètent pas les besoins actuels du marché.»</w:t>
                      </w:r>
                    </w:p>
                  </w:txbxContent>
                </v:textbox>
                <w10:wrap type="square" anchorx="margin"/>
              </v:shape>
            </w:pict>
          </mc:Fallback>
        </mc:AlternateContent>
      </w:r>
      <w:r w:rsidRPr="003B2C34">
        <w:rPr>
          <w:rFonts w:ascii="Times New Roman" w:hAnsi="Times New Roman"/>
          <w:sz w:val="24"/>
        </w:rPr>
        <w:t>sont pas encore couverts.</w:t>
      </w:r>
    </w:p>
    <w:p w14:paraId="1D5B3667" w14:textId="016A98B3" w:rsidR="005C5DE4" w:rsidRPr="003B2C34" w:rsidRDefault="005C5DE4" w:rsidP="005E0DEB">
      <w:pPr>
        <w:pStyle w:val="ListParagraph"/>
        <w:numPr>
          <w:ilvl w:val="0"/>
          <w:numId w:val="10"/>
        </w:numPr>
        <w:spacing w:after="120"/>
        <w:jc w:val="both"/>
        <w:rPr>
          <w:rFonts w:ascii="Times New Roman" w:eastAsia="Calibri" w:hAnsi="Times New Roman" w:cs="Times New Roman"/>
          <w:sz w:val="24"/>
          <w:szCs w:val="24"/>
        </w:rPr>
      </w:pPr>
      <w:r w:rsidRPr="003B2C34">
        <w:rPr>
          <w:rFonts w:ascii="Times New Roman" w:hAnsi="Times New Roman"/>
          <w:b/>
          <w:sz w:val="24"/>
        </w:rPr>
        <w:t>Moderniser les règles applicables aux cookies et aux technologies similaires.</w:t>
      </w:r>
      <w:r w:rsidRPr="003B2C34">
        <w:rPr>
          <w:rFonts w:ascii="Times New Roman" w:hAnsi="Times New Roman"/>
          <w:sz w:val="24"/>
        </w:rPr>
        <w:t xml:space="preserve"> Le train de mesures omnibus réformera les règles relatives aux cookies figurant actuellement dans la directive «vie privée et communications électroniques» et les intégrera dans le cadre du RGPD. Il proposera des solutions pratiques: les cookies et les technologies similaires utilisés à certaines fins présentant un risque faible devraient être considérés comme licites, tandis que, dans les autres cas, les opérateurs devraient se fonder sur l’une des bases juridiques prévues par le RGPD. Il simplifiera également les bandeaux en introduisant des options en un clic. Il obligera les sites web à respecter les préférences des utilisateurs, y compris par l’intermédiaire de leurs navigateurs. Au-delà du train de mesures omnibus sur le numérique, le cadre relatif à la vie privée et aux communications électroniques sera réformé pour faire en sorte que les règles en vigueur répondent aux besoins actuels et permettent une protection efficace des personnes et des entreprises, sans compromettre les droits fondamentaux et en préservant l’indépendance des journalistes. Les dispositions pertinentes seront intégrées dans d’autres instruments juridiques, ce qui permettra, finalement, de retirer la directive.</w:t>
      </w:r>
    </w:p>
    <w:p w14:paraId="2F25FE0F" w14:textId="644AB7AE" w:rsidR="005C5DE4" w:rsidRPr="003B2C34" w:rsidRDefault="005C5DE4" w:rsidP="0092758B">
      <w:pPr>
        <w:pStyle w:val="ListParagraph"/>
        <w:numPr>
          <w:ilvl w:val="0"/>
          <w:numId w:val="10"/>
        </w:numPr>
        <w:spacing w:before="120" w:after="120"/>
        <w:contextualSpacing w:val="0"/>
        <w:jc w:val="both"/>
        <w:rPr>
          <w:rFonts w:ascii="Times New Roman" w:eastAsia="Calibri" w:hAnsi="Times New Roman" w:cs="Times New Roman"/>
          <w:sz w:val="24"/>
          <w:szCs w:val="24"/>
        </w:rPr>
      </w:pPr>
      <w:r w:rsidRPr="003B2C34">
        <w:rPr>
          <w:rFonts w:ascii="Times New Roman" w:hAnsi="Times New Roman"/>
          <w:b/>
          <w:sz w:val="24"/>
        </w:rPr>
        <w:t>Élaborer un cadre de protection de la vie privée propice à l’innovation:</w:t>
      </w:r>
      <w:r w:rsidRPr="003B2C34">
        <w:rPr>
          <w:rFonts w:ascii="Times New Roman" w:hAnsi="Times New Roman"/>
          <w:sz w:val="24"/>
        </w:rPr>
        <w:t xml:space="preserve"> Des modifications ciblées du </w:t>
      </w:r>
      <w:r w:rsidRPr="003B2C34">
        <w:rPr>
          <w:rFonts w:ascii="Times New Roman" w:hAnsi="Times New Roman"/>
          <w:b/>
          <w:sz w:val="24"/>
        </w:rPr>
        <w:t>RGPD</w:t>
      </w:r>
      <w:r w:rsidRPr="003B2C34">
        <w:rPr>
          <w:rFonts w:ascii="Times New Roman" w:hAnsi="Times New Roman"/>
          <w:sz w:val="24"/>
        </w:rPr>
        <w:t xml:space="preserve"> clarifieront, en particulier, la notion de données à caractère personnel, harmoniseront au niveau de l’UE les cas dans lesquels il convient de réaliser une analyse d’impact relative à la protection des données, simplifieront les notifications aux autorités de contrôle en cas de violation de données, rationaliseront les notifications en cas de violation en prévoyant un guichet unique de l’UE, simplifieront les obligations d’information lorsqu’il existe des motifs raisonnables de penser que les personnes disposent déjà des informations et que le risque pour la personne concernée est faible; préciseront que l’intérêt légitime peut constituer une base juridique pour l’entraînement de l’IA, y compris le traitement accessoire de catégories particulières de données; et clarifieront les dispositions relatives à la prise de décision individuelle automatisée.</w:t>
      </w:r>
    </w:p>
    <w:p w14:paraId="7FB1614E" w14:textId="7170BAC1" w:rsidR="0092758B" w:rsidRPr="003B2C34" w:rsidRDefault="005C5DE4" w:rsidP="0092758B">
      <w:pPr>
        <w:pStyle w:val="ListParagraph"/>
        <w:spacing w:before="120" w:after="120"/>
        <w:contextualSpacing w:val="0"/>
        <w:jc w:val="both"/>
        <w:rPr>
          <w:rFonts w:ascii="Times New Roman" w:eastAsia="Times New Roman" w:hAnsi="Times New Roman" w:cs="Times New Roman"/>
          <w:sz w:val="24"/>
          <w:szCs w:val="24"/>
        </w:rPr>
      </w:pPr>
      <w:r w:rsidRPr="003B2C34">
        <w:rPr>
          <w:rFonts w:ascii="Times New Roman" w:hAnsi="Times New Roman"/>
          <w:sz w:val="24"/>
        </w:rPr>
        <w:t xml:space="preserve">L’un des principaux changements concerne la mise à disposition de données pour l’IA grâce à une anonymisation fiable. Aujourd’hui, l’incertitude relative à l’anonymisation suffisante des données à caractère personnel est une préoccupation essentielle, qui décourage souvent le partage des données. Les entreprises peinent, en particulier, à déterminer à quel moment les données pseudonymisées ne constituent plus, pour certaines entités, des données à caractère personnel. Cette incertitude rend le partage des données plus complexe lorsque les exigences du RGPD sont respectées par souci de précaution. La Commission aidera les entreprises en précisant les moyens et les critères permettant de déterminer si, pour certaines entités, les données résultant de la pseudonymisation constituent des données à caractère personnel. </w:t>
      </w:r>
    </w:p>
    <w:p w14:paraId="5061B22E" w14:textId="63711FC9" w:rsidR="005C5DE4" w:rsidRPr="003B2C34" w:rsidRDefault="23895E0C" w:rsidP="0092758B">
      <w:pPr>
        <w:pStyle w:val="ListParagraph"/>
        <w:spacing w:before="120" w:after="120"/>
        <w:contextualSpacing w:val="0"/>
        <w:jc w:val="both"/>
        <w:rPr>
          <w:rFonts w:ascii="Times New Roman" w:eastAsia="Times New Roman" w:hAnsi="Times New Roman" w:cs="Times New Roman"/>
          <w:sz w:val="24"/>
          <w:szCs w:val="24"/>
        </w:rPr>
      </w:pPr>
      <w:r w:rsidRPr="003B2C34">
        <w:rPr>
          <w:rFonts w:ascii="Times New Roman" w:hAnsi="Times New Roman"/>
          <w:sz w:val="24"/>
        </w:rPr>
        <w:t>Elle fournira notamment une évaluation des techniques disponibles les plus récentes et élaborera des critères permettant d’évaluer le risque de réidentification. Si les entreprises restent pleinement responsables du respect du RGPD, elles peuvent mettre en œuvre ces moyens et critères pour démontrer que les données ne peuvent pas conduire à une réidentification. Les modifications faciliteront également l’entraînement des modèles d’IA, avec les garanties appropriées. L’objectif de ces modifications est d’apporter une clarté juridique en vue du développement de l’IA, y compris en cas de traitement accessoire de données sensibles lorsque les développeurs ont fait de réels efforts pour supprimer ces données, tout en protégeant les droits des personnes et la compétitivité des entreprises.</w:t>
      </w:r>
    </w:p>
    <w:p w14:paraId="4EFD6D92" w14:textId="18CD8B7C" w:rsidR="005C5DE4" w:rsidRPr="003B2C34" w:rsidRDefault="005C5DE4" w:rsidP="00A55640">
      <w:pPr>
        <w:pStyle w:val="ListParagraph"/>
        <w:numPr>
          <w:ilvl w:val="0"/>
          <w:numId w:val="10"/>
        </w:numPr>
        <w:spacing w:after="120"/>
        <w:jc w:val="both"/>
        <w:rPr>
          <w:rFonts w:ascii="Times New Roman" w:eastAsia="Calibri" w:hAnsi="Times New Roman" w:cs="Times New Roman"/>
          <w:sz w:val="24"/>
          <w:szCs w:val="24"/>
        </w:rPr>
      </w:pPr>
      <w:r w:rsidRPr="003B2C34">
        <w:rPr>
          <w:rFonts w:ascii="Times New Roman" w:hAnsi="Times New Roman"/>
          <w:b/>
          <w:sz w:val="24"/>
        </w:rPr>
        <w:t>Affiner le règlement sur les données en vue de sa mise en œuvre pratique.</w:t>
      </w:r>
      <w:r w:rsidRPr="003B2C34">
        <w:rPr>
          <w:rFonts w:ascii="Times New Roman" w:hAnsi="Times New Roman"/>
          <w:sz w:val="24"/>
        </w:rPr>
        <w:t xml:space="preserve"> Les caractéristiques essentielles du </w:t>
      </w:r>
      <w:r w:rsidRPr="003B2C34">
        <w:rPr>
          <w:rFonts w:ascii="Times New Roman" w:hAnsi="Times New Roman"/>
          <w:b/>
          <w:sz w:val="24"/>
        </w:rPr>
        <w:t>règlement sur les données</w:t>
      </w:r>
      <w:r w:rsidRPr="003B2C34">
        <w:rPr>
          <w:rFonts w:ascii="Times New Roman" w:hAnsi="Times New Roman"/>
          <w:sz w:val="24"/>
        </w:rPr>
        <w:t xml:space="preserve"> resteront inchangées. Dans le même temps, le partage de données entre les entreprises et les administrations publiques sera limité aux situations d’urgence, ce qui allégera les contraintes tout en préservant la capacité de réaction aux crises. Des ajustements ciblés supplémentaires permettront d’éviter les «fuites» de données vers des pays tiers, d’introduire des régimes adaptés pour les services en nuage sur mesure et de supprimer les dispositions relatives aux contrats intelligents.</w:t>
      </w:r>
    </w:p>
    <w:p w14:paraId="0F9C7342" w14:textId="5521D43B" w:rsidR="005C5DE4" w:rsidRPr="003B2C34" w:rsidRDefault="005C5DE4" w:rsidP="007259D0">
      <w:pPr>
        <w:pStyle w:val="ListParagraph"/>
        <w:numPr>
          <w:ilvl w:val="0"/>
          <w:numId w:val="10"/>
        </w:numPr>
        <w:spacing w:after="120"/>
        <w:jc w:val="both"/>
        <w:rPr>
          <w:rFonts w:ascii="Times New Roman" w:eastAsia="Calibri" w:hAnsi="Times New Roman" w:cs="Times New Roman"/>
          <w:sz w:val="24"/>
          <w:szCs w:val="24"/>
        </w:rPr>
      </w:pPr>
      <w:r w:rsidRPr="003B2C34">
        <w:rPr>
          <w:rFonts w:ascii="Times New Roman" w:hAnsi="Times New Roman"/>
          <w:b/>
          <w:sz w:val="24"/>
        </w:rPr>
        <w:t>Réduire les contraintes pesant sur les entreprises en expansion</w:t>
      </w:r>
      <w:r w:rsidRPr="003B2C34">
        <w:rPr>
          <w:rFonts w:ascii="Times New Roman" w:hAnsi="Times New Roman"/>
          <w:sz w:val="24"/>
        </w:rPr>
        <w:t xml:space="preserve"> Les dispositions applicables aux PME prévues par le règlement sur les données, la directive sur les données ouvertes et les règles intégrées du règlement sur la gouvernance des données seront étendues à une catégorie de petites entreprises à moyenne capitalisation (250 à 749 salariés) nouvellement créée.</w:t>
      </w:r>
    </w:p>
    <w:bookmarkEnd w:id="4"/>
    <w:p w14:paraId="2B2923E0" w14:textId="77777777" w:rsidR="007259D0" w:rsidRPr="003B2C34" w:rsidRDefault="007259D0" w:rsidP="007259D0">
      <w:pPr>
        <w:pStyle w:val="ListParagraph"/>
        <w:spacing w:after="120"/>
        <w:jc w:val="both"/>
        <w:rPr>
          <w:rFonts w:ascii="Times New Roman" w:eastAsia="Calibri" w:hAnsi="Times New Roman" w:cs="Times New Roman"/>
          <w:sz w:val="24"/>
          <w:szCs w:val="24"/>
        </w:rPr>
      </w:pPr>
    </w:p>
    <w:p w14:paraId="7FFE6BF0" w14:textId="7DFBE582" w:rsidR="005C5DE4" w:rsidRPr="003B2C34" w:rsidRDefault="005C5DE4" w:rsidP="00A55640">
      <w:pPr>
        <w:pStyle w:val="ListParagraph"/>
        <w:numPr>
          <w:ilvl w:val="0"/>
          <w:numId w:val="9"/>
        </w:numPr>
        <w:spacing w:after="120"/>
        <w:jc w:val="both"/>
        <w:rPr>
          <w:rFonts w:ascii="Times New Roman" w:eastAsia="Calibri" w:hAnsi="Times New Roman" w:cs="Times New Roman"/>
          <w:b/>
          <w:bCs/>
          <w:sz w:val="24"/>
          <w:szCs w:val="24"/>
        </w:rPr>
      </w:pPr>
      <w:r w:rsidRPr="003B2C34">
        <w:rPr>
          <w:rFonts w:ascii="Times New Roman" w:hAnsi="Times New Roman"/>
          <w:b/>
          <w:sz w:val="24"/>
        </w:rPr>
        <w:t>Mettre en place un cadre en matière de données à l’épreuve du temps</w:t>
      </w:r>
    </w:p>
    <w:p w14:paraId="5E7FC288" w14:textId="43A0B426" w:rsidR="005C5DE4" w:rsidRPr="003B2C34" w:rsidRDefault="78CFC3BB" w:rsidP="005C5DE4">
      <w:pPr>
        <w:spacing w:after="120"/>
        <w:jc w:val="both"/>
        <w:rPr>
          <w:rFonts w:ascii="Times New Roman" w:eastAsia="Calibri" w:hAnsi="Times New Roman" w:cs="Times New Roman"/>
          <w:sz w:val="24"/>
          <w:szCs w:val="24"/>
        </w:rPr>
      </w:pPr>
      <w:r w:rsidRPr="003B2C34">
        <w:rPr>
          <w:rFonts w:ascii="Times New Roman" w:hAnsi="Times New Roman"/>
          <w:sz w:val="24"/>
        </w:rPr>
        <w:t>Dans le cadre du bilan de qualité numérique, la Commission continuera de réexaminer l’acquis de l’UE en matière de données afin qu’il reste cohérent, proportionné et propice à l’innovation. En accordant une attention particulière aux PME, elle recensera les chevauchements, les lacunes et les interactions peu claires, y compris avec les règles sectorielles sur les données, afin de créer un cadre transsectoriel plus prévisible.</w:t>
      </w:r>
    </w:p>
    <w:p w14:paraId="477DD5E5" w14:textId="7D5F4193" w:rsidR="00A943D3" w:rsidRPr="003B2C34" w:rsidRDefault="00A546A6" w:rsidP="005C5DE4">
      <w:pPr>
        <w:spacing w:after="120"/>
        <w:jc w:val="both"/>
        <w:rPr>
          <w:rFonts w:ascii="Times New Roman" w:eastAsia="Calibri" w:hAnsi="Times New Roman" w:cs="Times New Roman"/>
          <w:sz w:val="24"/>
          <w:szCs w:val="24"/>
        </w:rPr>
      </w:pPr>
      <w:r w:rsidRPr="003B2C34">
        <w:rPr>
          <w:rFonts w:ascii="Times New Roman" w:hAnsi="Times New Roman"/>
          <w:sz w:val="24"/>
        </w:rPr>
        <w:t>En outre, la législation sur le numérique et les règles sur la protection des données sera modernisée</w:t>
      </w:r>
      <w:r w:rsidRPr="003B2C34">
        <w:rPr>
          <w:rStyle w:val="FootnoteReference"/>
          <w:rFonts w:ascii="Times New Roman" w:eastAsia="Calibri" w:hAnsi="Times New Roman" w:cs="Times New Roman"/>
          <w:sz w:val="24"/>
          <w:szCs w:val="24"/>
        </w:rPr>
        <w:footnoteReference w:id="32"/>
      </w:r>
      <w:r w:rsidRPr="003B2C34">
        <w:t>.</w:t>
      </w:r>
      <w:r w:rsidRPr="003B2C34">
        <w:rPr>
          <w:rFonts w:ascii="Times New Roman" w:hAnsi="Times New Roman"/>
          <w:sz w:val="24"/>
        </w:rPr>
        <w:t xml:space="preserve"> Des adaptations ciblées peuvent faciliter le respect des règles et renforcer leur application, en soutenant le développement d’innovations solides et fiables. </w:t>
      </w:r>
    </w:p>
    <w:p w14:paraId="21BB4B05" w14:textId="1DFCC994" w:rsidR="00F01A47" w:rsidRPr="003B2C34" w:rsidRDefault="5972D4D0" w:rsidP="005C5DE4">
      <w:pPr>
        <w:spacing w:after="120"/>
        <w:jc w:val="both"/>
        <w:rPr>
          <w:rFonts w:ascii="Times New Roman" w:eastAsia="Calibri" w:hAnsi="Times New Roman" w:cs="Times New Roman"/>
          <w:sz w:val="24"/>
          <w:szCs w:val="24"/>
        </w:rPr>
      </w:pPr>
      <w:r w:rsidRPr="003B2C34">
        <w:rPr>
          <w:rFonts w:ascii="Times New Roman" w:hAnsi="Times New Roman"/>
          <w:sz w:val="24"/>
        </w:rPr>
        <w:t>Le courtage de données suscite de plus en plus de préoccupations, certaines entreprises collectant, agrégeant et négociant des données à caractère personnel sans que les personnes concernées en aient été informées, aient donné leur consentement valable ou puissent exercer un contrôle. Ces pratiques opaques portent atteinte aux principes fondamentaux du droit en matière de protection des données et de la vie privée, faussent la concurrence et érodent la confiance du public dans les marchés numériques. Il est nécessaire de renforcer l’application des règles existantes. La Commission étudiera la nécessité de prévoir des garanties supplémentaires pour faire reculer ces pratiques, renforcer la transparence du commerce des données et faire en sorte que les particuliers et les entreprises puissent avoir confiance dans la manière dont les données sont consultées et échangées dans l’ensemble de l’Union.</w:t>
      </w:r>
    </w:p>
    <w:p w14:paraId="614FBBAF" w14:textId="298632CD" w:rsidR="00311205" w:rsidRPr="003B2C34" w:rsidRDefault="00311205" w:rsidP="00A55640">
      <w:pPr>
        <w:pStyle w:val="ListParagraph"/>
        <w:numPr>
          <w:ilvl w:val="0"/>
          <w:numId w:val="9"/>
        </w:numPr>
        <w:spacing w:after="120"/>
        <w:jc w:val="both"/>
        <w:rPr>
          <w:rFonts w:ascii="Times New Roman" w:eastAsia="Calibri" w:hAnsi="Times New Roman" w:cs="Times New Roman"/>
          <w:b/>
          <w:bCs/>
          <w:sz w:val="24"/>
          <w:szCs w:val="24"/>
        </w:rPr>
      </w:pPr>
      <w:r w:rsidRPr="003B2C34">
        <w:rPr>
          <w:rFonts w:ascii="Times New Roman" w:hAnsi="Times New Roman"/>
          <w:b/>
          <w:sz w:val="24"/>
        </w:rPr>
        <w:t xml:space="preserve">Conformité en un clic </w:t>
      </w:r>
    </w:p>
    <w:p w14:paraId="7BED2593" w14:textId="77777777" w:rsidR="006F2C48" w:rsidRPr="003B2C34" w:rsidRDefault="006F2C48" w:rsidP="006F2C48">
      <w:pPr>
        <w:spacing w:after="120"/>
        <w:jc w:val="both"/>
        <w:rPr>
          <w:rFonts w:ascii="Times New Roman" w:eastAsia="Calibri" w:hAnsi="Times New Roman" w:cs="Times New Roman"/>
          <w:sz w:val="24"/>
          <w:szCs w:val="24"/>
        </w:rPr>
      </w:pPr>
      <w:r w:rsidRPr="003B2C34">
        <w:rPr>
          <w:rFonts w:ascii="Times New Roman" w:hAnsi="Times New Roman"/>
          <w:sz w:val="24"/>
        </w:rPr>
        <w:t>Aujourd’hui, les entreprises consacrent beaucoup de temps et d’argent au respect des règles. Même les données déjà sous forme numérique doivent souvent être reformatées et soumises à plusieurs autorités, où elles font l’objet d’une vérification manuelle. Cette duplication fragmente les activités de surveillance et détourne les ressources de l’innovation.</w:t>
      </w:r>
    </w:p>
    <w:p w14:paraId="27CC343A" w14:textId="77777777" w:rsidR="006F2C48" w:rsidRPr="003B2C34" w:rsidRDefault="006F2C48" w:rsidP="006F2C48">
      <w:pPr>
        <w:spacing w:after="120"/>
        <w:jc w:val="both"/>
        <w:rPr>
          <w:rFonts w:ascii="Times New Roman" w:eastAsia="Calibri" w:hAnsi="Times New Roman" w:cs="Times New Roman"/>
          <w:sz w:val="24"/>
          <w:szCs w:val="24"/>
        </w:rPr>
      </w:pPr>
      <w:r w:rsidRPr="003B2C34">
        <w:rPr>
          <w:rFonts w:ascii="Times New Roman" w:hAnsi="Times New Roman"/>
          <w:sz w:val="24"/>
        </w:rPr>
        <w:t>Au-delà de la simplification des règles, l’UE investit dans les technologies permettant d’automatiser le respect des règles. Par l’intermédiaire d’Horizon Europe et du programme pour une Europe numérique, elle promeut des modèles de données communs, des cadres d’interopérabilité et des analyses automatisées. Les projets pilotes montrent déjà comment les contrôles de conformité automatisés en temps réel peuvent fonctionner dans la pratique. Le passeport numérique de produits (PNP) est l’un des premiers exemples de cette approche dans la législation sur les produits.</w:t>
      </w:r>
    </w:p>
    <w:p w14:paraId="5F0D6BAF" w14:textId="5DC0664D" w:rsidR="006F2C48" w:rsidRPr="003B2C34" w:rsidRDefault="006F2C48" w:rsidP="006F2C48">
      <w:pPr>
        <w:spacing w:after="120"/>
        <w:jc w:val="both"/>
        <w:rPr>
          <w:rFonts w:ascii="Times New Roman" w:eastAsia="Calibri" w:hAnsi="Times New Roman" w:cs="Times New Roman"/>
          <w:sz w:val="24"/>
          <w:szCs w:val="24"/>
        </w:rPr>
      </w:pPr>
      <w:r w:rsidRPr="003B2C34">
        <w:rPr>
          <w:rFonts w:ascii="Times New Roman" w:hAnsi="Times New Roman"/>
          <w:sz w:val="24"/>
        </w:rPr>
        <w:t>Sur la base de l’expérience acquise, la «conformité en un clic» rendrait les exigences réglementaires vérifiables par machine, transformant les données de l’entreprise en certificats de conformité numériques normalisés — tout comme le PNP permet d’établir automatiquement la conformité des produits.</w:t>
      </w:r>
    </w:p>
    <w:p w14:paraId="313701A2" w14:textId="1D3A3A08" w:rsidR="001B6CFF" w:rsidRPr="003B2C34" w:rsidRDefault="00406BF8" w:rsidP="00160A88">
      <w:pPr>
        <w:spacing w:after="120"/>
        <w:jc w:val="both"/>
        <w:rPr>
          <w:rFonts w:ascii="Times New Roman" w:eastAsia="Calibri" w:hAnsi="Times New Roman" w:cs="Times New Roman"/>
          <w:sz w:val="24"/>
          <w:szCs w:val="24"/>
        </w:rPr>
      </w:pPr>
      <w:r w:rsidRPr="003B2C34">
        <w:rPr>
          <w:rFonts w:ascii="Times New Roman" w:hAnsi="Times New Roman"/>
          <w:sz w:val="24"/>
        </w:rPr>
        <w:t>La conformité en un clic pourrait se révéler particulièrement utile dans des domaines tels que la cybersécurité, où les entreprises doivent respecter des exigences au titre de la directive SRI 2</w:t>
      </w:r>
      <w:r w:rsidRPr="003B2C34">
        <w:rPr>
          <w:rStyle w:val="FootnoteReference"/>
          <w:rFonts w:ascii="Times New Roman" w:eastAsia="Calibri" w:hAnsi="Times New Roman" w:cs="Times New Roman"/>
          <w:sz w:val="24"/>
          <w:szCs w:val="24"/>
        </w:rPr>
        <w:footnoteReference w:id="33"/>
      </w:r>
      <w:r w:rsidRPr="003B2C34">
        <w:rPr>
          <w:rFonts w:ascii="Times New Roman" w:hAnsi="Times New Roman"/>
          <w:sz w:val="24"/>
        </w:rPr>
        <w:t>, du règlement sur la cyberrésilience</w:t>
      </w:r>
      <w:r w:rsidRPr="003B2C34">
        <w:rPr>
          <w:rStyle w:val="FootnoteReference"/>
          <w:rFonts w:ascii="Times New Roman" w:eastAsia="Calibri" w:hAnsi="Times New Roman" w:cs="Times New Roman"/>
          <w:sz w:val="24"/>
          <w:szCs w:val="24"/>
        </w:rPr>
        <w:footnoteReference w:id="34"/>
      </w:r>
      <w:r w:rsidRPr="003B2C34">
        <w:rPr>
          <w:rFonts w:ascii="Times New Roman" w:hAnsi="Times New Roman"/>
          <w:sz w:val="24"/>
        </w:rPr>
        <w:t xml:space="preserve"> et d’autres cadres réglementaires.</w:t>
      </w:r>
    </w:p>
    <w:p w14:paraId="00E23733" w14:textId="098D806E" w:rsidR="009454BD" w:rsidRPr="003B2C34" w:rsidRDefault="009454BD" w:rsidP="00160A88">
      <w:pPr>
        <w:spacing w:after="120"/>
        <w:jc w:val="both"/>
        <w:rPr>
          <w:rFonts w:ascii="Times New Roman" w:eastAsia="Calibri" w:hAnsi="Times New Roman" w:cs="Times New Roman"/>
          <w:sz w:val="24"/>
          <w:szCs w:val="24"/>
        </w:rPr>
      </w:pPr>
      <w:r w:rsidRPr="003B2C34">
        <w:rPr>
          <w:rFonts w:ascii="Times New Roman" w:hAnsi="Times New Roman"/>
          <w:sz w:val="24"/>
        </w:rPr>
        <w:t xml:space="preserve">Le règlement sur le </w:t>
      </w:r>
      <w:r w:rsidRPr="003B2C34">
        <w:rPr>
          <w:rFonts w:ascii="Times New Roman" w:hAnsi="Times New Roman"/>
          <w:b/>
          <w:sz w:val="24"/>
        </w:rPr>
        <w:t>portefeuille européen d’identité numérique pour les entreprises</w:t>
      </w:r>
      <w:r w:rsidRPr="003B2C34">
        <w:rPr>
          <w:rFonts w:ascii="Times New Roman" w:hAnsi="Times New Roman"/>
          <w:sz w:val="24"/>
        </w:rPr>
        <w:t xml:space="preserve"> jouera un rôle clé dans cette approche. En effet, il fournira un environnement numérique fiable et interopérable pour le stockage, la gestion et le partage d’identifiants vérifiables, y compris de certificats de conformité. Les entreprises pourraient utiliser des </w:t>
      </w:r>
      <w:r w:rsidRPr="003B2C34">
        <w:rPr>
          <w:rFonts w:ascii="Times New Roman" w:hAnsi="Times New Roman"/>
          <w:b/>
          <w:sz w:val="24"/>
        </w:rPr>
        <w:t>portefeuilles européens d’identité numérique</w:t>
      </w:r>
      <w:r w:rsidRPr="003B2C34">
        <w:rPr>
          <w:rFonts w:ascii="Times New Roman" w:hAnsi="Times New Roman"/>
          <w:sz w:val="24"/>
        </w:rPr>
        <w:t xml:space="preserve"> pour s’identifier numériquement, identifier et valider les utilisateurs de l’écosystème et démontrer la conformité avec plusieurs règles de l’UE en soumettant des certificats de conformité, tandis que les organismes du secteur public exerçant des fonctions réglementaires bénéficieraient d’un accès sécurisé et immédiat aux informations validées. Au fil du temps, le </w:t>
      </w:r>
      <w:r w:rsidRPr="003B2C34">
        <w:rPr>
          <w:rFonts w:ascii="Times New Roman" w:hAnsi="Times New Roman"/>
          <w:b/>
          <w:sz w:val="24"/>
        </w:rPr>
        <w:t>portefeuille européen d’identité numérique</w:t>
      </w:r>
      <w:r w:rsidRPr="003B2C34">
        <w:rPr>
          <w:rFonts w:ascii="Times New Roman" w:hAnsi="Times New Roman"/>
          <w:sz w:val="24"/>
        </w:rPr>
        <w:t xml:space="preserve"> deviendra une infrastructure commune sur laquelle reposeront des processus administratifs tels que l’octroi de permis, les marchés publics et l’accès au financement, ce qui permettra aux entreprises et aux autorités d’interagir numériquement et sans discontinuité dans l’ensemble du marché unique.</w:t>
      </w:r>
    </w:p>
    <w:p w14:paraId="250D2AFC" w14:textId="77CDBF41" w:rsidR="00162095" w:rsidRPr="003B2C34" w:rsidRDefault="00162095" w:rsidP="00160A88">
      <w:pPr>
        <w:spacing w:after="120"/>
        <w:jc w:val="both"/>
        <w:rPr>
          <w:rFonts w:ascii="Times New Roman" w:eastAsia="Calibri" w:hAnsi="Times New Roman" w:cs="Times New Roman"/>
          <w:sz w:val="24"/>
          <w:szCs w:val="24"/>
        </w:rPr>
      </w:pPr>
      <w:r w:rsidRPr="003B2C34">
        <w:rPr>
          <w:rFonts w:ascii="Times New Roman" w:hAnsi="Times New Roman"/>
          <w:sz w:val="24"/>
        </w:rPr>
        <w:t>Pour garantir la confiance et la sécurité juridique, il sera essentiel de déterminer qui, de l’entreprise, du certificateur ou de l’autorité de régulation, est responsable en cas d’erreurs, d’abus ou de défaillances du système. La Commission examinera donc ces questions lors d’une prochaine consultation publique, et étudiera à la fois les possibilités et les garanties nécessaires pour mettre en place un écosystème de contrôle de la conformité automatisé fiable et responsable.</w:t>
      </w:r>
    </w:p>
    <w:p w14:paraId="4614832A" w14:textId="77777777" w:rsidR="00160A88" w:rsidRPr="003B2C34" w:rsidRDefault="00160A88" w:rsidP="00160A88">
      <w:pPr>
        <w:spacing w:after="120"/>
        <w:jc w:val="both"/>
        <w:rPr>
          <w:rFonts w:ascii="Times New Roman" w:eastAsia="Calibri" w:hAnsi="Times New Roman" w:cs="Times New Roman"/>
          <w:sz w:val="24"/>
          <w:szCs w:val="24"/>
        </w:rPr>
      </w:pPr>
      <w:r w:rsidRPr="003B2C34">
        <w:rPr>
          <w:rFonts w:ascii="Times New Roman" w:hAnsi="Times New Roman"/>
          <w:sz w:val="24"/>
        </w:rPr>
        <w:t>Ce système permettrait de faire diminuer les coûts pour des PME et les entreprises à moyenne capitalisation, mais il fournirait aussi aux décideurs politiques des informations sur la manière dont les règles fonctionnent dans la pratique, renforçant ainsi la réglementation fondée sur des données probantes. Le concept de conformité en un clic pourrait devenir une pierre angulaire du programme de simplification numérique de l’UE, en associant la compétitivité à la confiance et à la responsabilité.</w:t>
      </w:r>
    </w:p>
    <w:p w14:paraId="0362ED31" w14:textId="61FFB0A3" w:rsidR="00EF7C2C" w:rsidRPr="003B2C34" w:rsidRDefault="00EF7C2C" w:rsidP="00A55640">
      <w:pPr>
        <w:pStyle w:val="ListParagraph"/>
        <w:numPr>
          <w:ilvl w:val="0"/>
          <w:numId w:val="9"/>
        </w:numPr>
        <w:jc w:val="both"/>
        <w:outlineLvl w:val="2"/>
        <w:rPr>
          <w:rFonts w:ascii="Times New Roman" w:hAnsi="Times New Roman" w:cs="Times New Roman"/>
          <w:b/>
          <w:bCs/>
          <w:sz w:val="24"/>
          <w:szCs w:val="24"/>
        </w:rPr>
      </w:pPr>
      <w:r w:rsidRPr="003B2C34">
        <w:rPr>
          <w:rFonts w:ascii="Times New Roman" w:hAnsi="Times New Roman"/>
          <w:b/>
          <w:sz w:val="24"/>
        </w:rPr>
        <w:t>Aider les entreprises à se conformer au règlement sur les données</w:t>
      </w:r>
    </w:p>
    <w:p w14:paraId="409DD72B" w14:textId="5DD106C4" w:rsidR="007B606B" w:rsidRPr="003B2C34" w:rsidRDefault="00B21A3B" w:rsidP="00EF7C2C">
      <w:pPr>
        <w:jc w:val="both"/>
        <w:rPr>
          <w:rFonts w:ascii="Times New Roman" w:hAnsi="Times New Roman" w:cs="Times New Roman"/>
          <w:sz w:val="24"/>
          <w:szCs w:val="24"/>
        </w:rPr>
      </w:pPr>
      <w:r w:rsidRPr="003B2C34">
        <w:rPr>
          <w:rFonts w:ascii="Times New Roman" w:hAnsi="Times New Roman"/>
          <w:sz w:val="24"/>
        </w:rPr>
        <w:t xml:space="preserve">Le </w:t>
      </w:r>
      <w:r w:rsidRPr="003B2C34">
        <w:rPr>
          <w:rFonts w:ascii="Times New Roman" w:hAnsi="Times New Roman"/>
          <w:b/>
          <w:sz w:val="24"/>
        </w:rPr>
        <w:t>règlement sur les données</w:t>
      </w:r>
      <w:r w:rsidRPr="003B2C34">
        <w:rPr>
          <w:rFonts w:ascii="Times New Roman" w:hAnsi="Times New Roman"/>
          <w:sz w:val="24"/>
        </w:rPr>
        <w:t xml:space="preserve"> constitue un ensemble de règles crucial pour l’utilisation et le partage des données. Pour faire en sorte que les entreprises, en particulier les PME et les petites entreprises à moyenne capitalisation, puissent exploiter pleinement le potentiel qu’il offre et se concentrer sur l’innovation plutôt que sur la bureaucratie, la Commission a déjà publié un document «FAQ»</w:t>
      </w:r>
      <w:r w:rsidRPr="003B2C34">
        <w:rPr>
          <w:rStyle w:val="FootnoteReference"/>
          <w:rFonts w:ascii="Times New Roman" w:hAnsi="Times New Roman" w:cs="Times New Roman"/>
          <w:sz w:val="24"/>
          <w:szCs w:val="24"/>
        </w:rPr>
        <w:footnoteReference w:id="35"/>
      </w:r>
      <w:r w:rsidRPr="003B2C34">
        <w:rPr>
          <w:rFonts w:ascii="Times New Roman" w:hAnsi="Times New Roman"/>
          <w:sz w:val="24"/>
        </w:rPr>
        <w:t xml:space="preserve"> ainsi que des orientations sur les données des véhicules</w:t>
      </w:r>
      <w:r w:rsidRPr="003B2C34">
        <w:rPr>
          <w:rStyle w:val="FootnoteReference"/>
          <w:rFonts w:ascii="Times New Roman" w:hAnsi="Times New Roman" w:cs="Times New Roman"/>
          <w:sz w:val="24"/>
          <w:szCs w:val="24"/>
        </w:rPr>
        <w:footnoteReference w:id="36"/>
      </w:r>
      <w:r w:rsidRPr="003B2C34">
        <w:rPr>
          <w:rFonts w:ascii="Times New Roman" w:hAnsi="Times New Roman"/>
          <w:sz w:val="24"/>
        </w:rPr>
        <w:t>, et les complétera par un ensemble plus large de mesures d’accompagnement.</w:t>
      </w:r>
    </w:p>
    <w:p w14:paraId="720DADC9" w14:textId="32CBC7A0" w:rsidR="00EF7C2C" w:rsidRPr="003B2C34" w:rsidRDefault="00EF7C2C" w:rsidP="00EF7C2C">
      <w:pPr>
        <w:jc w:val="both"/>
        <w:rPr>
          <w:rFonts w:ascii="Times New Roman" w:hAnsi="Times New Roman" w:cs="Times New Roman"/>
          <w:sz w:val="24"/>
          <w:szCs w:val="24"/>
        </w:rPr>
      </w:pPr>
      <w:r w:rsidRPr="003B2C34">
        <w:rPr>
          <w:rFonts w:ascii="Times New Roman" w:hAnsi="Times New Roman"/>
          <w:sz w:val="24"/>
        </w:rPr>
        <w:t>Les mesures immédiates comprennent:</w:t>
      </w:r>
    </w:p>
    <w:p w14:paraId="11D0F83A" w14:textId="75B56F59" w:rsidR="00EF7C2C" w:rsidRPr="003B2C34" w:rsidRDefault="007F1F3E" w:rsidP="00A55640">
      <w:pPr>
        <w:numPr>
          <w:ilvl w:val="0"/>
          <w:numId w:val="5"/>
        </w:numPr>
        <w:jc w:val="both"/>
        <w:rPr>
          <w:rFonts w:ascii="Times New Roman" w:hAnsi="Times New Roman" w:cs="Times New Roman"/>
          <w:sz w:val="24"/>
          <w:szCs w:val="24"/>
        </w:rPr>
      </w:pPr>
      <w:r w:rsidRPr="003B2C34">
        <w:rPr>
          <w:rFonts w:ascii="Times New Roman" w:hAnsi="Times New Roman"/>
          <w:sz w:val="24"/>
        </w:rPr>
        <w:t>des conditions contractuelles types pour le partage de données afin de réduire la complexité juridique, de diminuer les coûts de transaction et de donner confiance aux entreprises lorsqu’elles concluent de nouveaux partenariats;</w:t>
      </w:r>
    </w:p>
    <w:p w14:paraId="18CF7475" w14:textId="56EB8F5A" w:rsidR="00EF7C2C" w:rsidRPr="003B2C34" w:rsidRDefault="007F1F3E" w:rsidP="00A55640">
      <w:pPr>
        <w:numPr>
          <w:ilvl w:val="0"/>
          <w:numId w:val="5"/>
        </w:numPr>
        <w:jc w:val="both"/>
        <w:rPr>
          <w:rFonts w:ascii="Times New Roman" w:hAnsi="Times New Roman" w:cs="Times New Roman"/>
          <w:sz w:val="24"/>
          <w:szCs w:val="24"/>
        </w:rPr>
      </w:pPr>
      <w:r w:rsidRPr="003B2C34">
        <w:rPr>
          <w:rFonts w:ascii="Times New Roman" w:hAnsi="Times New Roman"/>
          <w:sz w:val="24"/>
        </w:rPr>
        <w:t>des clauses contractuelles standard pour les services en nuage afin de faciliter le changement de fournisseur et de rendre les contrats plus équitables, en soutenant la concurrence et l’innovation sur le marché européen de l’informatique en nuage.</w:t>
      </w:r>
    </w:p>
    <w:p w14:paraId="3EBA3470" w14:textId="77777777" w:rsidR="00EF7C2C" w:rsidRPr="003B2C34" w:rsidRDefault="00EF7C2C" w:rsidP="00EF7C2C">
      <w:pPr>
        <w:jc w:val="both"/>
        <w:rPr>
          <w:rFonts w:ascii="Times New Roman" w:hAnsi="Times New Roman" w:cs="Times New Roman"/>
          <w:sz w:val="24"/>
          <w:szCs w:val="24"/>
        </w:rPr>
      </w:pPr>
      <w:r w:rsidRPr="003B2C34">
        <w:rPr>
          <w:rFonts w:ascii="Times New Roman" w:hAnsi="Times New Roman"/>
          <w:sz w:val="24"/>
        </w:rPr>
        <w:t>D’autres mesures seront introduites progressivement, parmi lesquelles:</w:t>
      </w:r>
    </w:p>
    <w:p w14:paraId="506954AB" w14:textId="2F73414F" w:rsidR="00F666BA" w:rsidRPr="003B2C34" w:rsidRDefault="00DA5B47" w:rsidP="006D5432">
      <w:pPr>
        <w:numPr>
          <w:ilvl w:val="0"/>
          <w:numId w:val="6"/>
        </w:numPr>
        <w:jc w:val="both"/>
        <w:rPr>
          <w:rFonts w:ascii="Times New Roman" w:hAnsi="Times New Roman" w:cs="Times New Roman"/>
          <w:sz w:val="24"/>
          <w:szCs w:val="24"/>
        </w:rPr>
      </w:pPr>
      <w:r w:rsidRPr="003B2C34">
        <w:rPr>
          <w:rFonts w:ascii="Times New Roman" w:hAnsi="Times New Roman"/>
          <w:sz w:val="24"/>
        </w:rPr>
        <w:t>des lignes directrices sur la compensation raisonnable afin de clarifier quel montant peut être facturé pour le partage de données, procurant ainsi une sécurité juridique tant aux détenteurs de données qu’aux destinataires de données (T1 2026);</w:t>
      </w:r>
    </w:p>
    <w:p w14:paraId="568C4EFD" w14:textId="36FD8072" w:rsidR="006D5432" w:rsidRPr="003B2C34" w:rsidRDefault="00F666BA" w:rsidP="00024C44">
      <w:pPr>
        <w:numPr>
          <w:ilvl w:val="0"/>
          <w:numId w:val="6"/>
        </w:numPr>
        <w:jc w:val="both"/>
        <w:rPr>
          <w:rFonts w:ascii="Times New Roman" w:hAnsi="Times New Roman" w:cs="Times New Roman"/>
          <w:sz w:val="24"/>
          <w:szCs w:val="24"/>
        </w:rPr>
      </w:pPr>
      <w:r w:rsidRPr="003B2C34">
        <w:rPr>
          <w:rFonts w:ascii="Times New Roman" w:hAnsi="Times New Roman"/>
          <w:sz w:val="24"/>
        </w:rPr>
        <w:t>de nouvelles orientations sur certaines définitions figurant dans le règlement sur les données (T1 2026);</w:t>
      </w:r>
    </w:p>
    <w:p w14:paraId="5CECD8B8" w14:textId="4774A1F6" w:rsidR="00EF7C2C" w:rsidRPr="003B2C34" w:rsidRDefault="00DA5B47" w:rsidP="00024C44">
      <w:pPr>
        <w:numPr>
          <w:ilvl w:val="0"/>
          <w:numId w:val="6"/>
        </w:numPr>
        <w:jc w:val="both"/>
        <w:rPr>
          <w:rFonts w:ascii="Times New Roman" w:hAnsi="Times New Roman" w:cs="Times New Roman"/>
          <w:sz w:val="24"/>
          <w:szCs w:val="24"/>
        </w:rPr>
      </w:pPr>
      <w:r w:rsidRPr="003B2C34">
        <w:rPr>
          <w:rFonts w:ascii="Times New Roman" w:hAnsi="Times New Roman"/>
          <w:sz w:val="24"/>
        </w:rPr>
        <w:t>Un service d’assistance juridique au titre du règlement sur les données afin d’apporter une aide directe aux entreprises qui ont des questions concrètes sur la manière d’appliquer les nouvelles règles. Les PME seront considérées comme prioritaires, de sorte que leurs questions seront traitées rapidement et avec une attention particulière (T4 2025).</w:t>
      </w:r>
    </w:p>
    <w:p w14:paraId="141FE20F" w14:textId="77777777" w:rsidR="00695772" w:rsidRPr="003B2C34" w:rsidRDefault="00EF7C2C" w:rsidP="00DD5F6E">
      <w:pPr>
        <w:jc w:val="both"/>
        <w:outlineLvl w:val="2"/>
        <w:rPr>
          <w:rFonts w:ascii="Times New Roman" w:hAnsi="Times New Roman" w:cs="Times New Roman"/>
          <w:sz w:val="24"/>
          <w:szCs w:val="24"/>
        </w:rPr>
      </w:pPr>
      <w:r w:rsidRPr="003B2C34">
        <w:rPr>
          <w:rFonts w:ascii="Times New Roman" w:hAnsi="Times New Roman"/>
          <w:sz w:val="24"/>
        </w:rPr>
        <w:t>Toutes ces mesures permettront de comprendre plus facilement les dispositions du règlement sur les données, réduiront les coûts inutiles et donneront aux entreprises la clarté et la confiance dont elles ont besoin pour saisir les nouvelles opportunités offertes par l’économie européenne fondée sur les données. La Commission suivra de près le taux d’adoption des outils contractuels, en particulier les conditions contractuelles types et les clauses contractuelles standard, et les réexaminera, les complétera ou les adaptera si nécessaire en fonction de l’évolution de la situation internationale en matière de partage des données.</w:t>
      </w:r>
    </w:p>
    <w:p w14:paraId="3ED54A8A" w14:textId="7622DF29" w:rsidR="00BE0439" w:rsidRPr="003B2C34" w:rsidRDefault="00695772" w:rsidP="00DD5F6E">
      <w:pPr>
        <w:jc w:val="both"/>
        <w:outlineLvl w:val="2"/>
        <w:rPr>
          <w:rFonts w:ascii="Times New Roman" w:hAnsi="Times New Roman" w:cs="Times New Roman"/>
          <w:sz w:val="24"/>
          <w:szCs w:val="24"/>
        </w:rPr>
      </w:pPr>
      <w:r w:rsidRPr="003B2C34">
        <w:rPr>
          <w:rFonts w:ascii="Times New Roman" w:hAnsi="Times New Roman"/>
          <w:sz w:val="24"/>
        </w:rPr>
        <w:t>La Commission recherchera des synergies entre la communauté des acheteurs du secteur public et les espaces européens des données afin d’améliorer l’efficacité du secteur public, en s’appuyant sur le schéma directeur établi entre l’espace européen des données de santé et le groupe de travail des acheteurs publics sur l’efficacité des soins de santé</w:t>
      </w:r>
      <w:r w:rsidRPr="003B2C34">
        <w:rPr>
          <w:rFonts w:ascii="Times New Roman" w:hAnsi="Times New Roman" w:cs="Times New Roman"/>
          <w:sz w:val="24"/>
          <w:szCs w:val="24"/>
          <w:vertAlign w:val="superscript"/>
        </w:rPr>
        <w:footnoteReference w:id="37"/>
      </w:r>
      <w:r w:rsidRPr="003B2C34">
        <w:rPr>
          <w:rFonts w:ascii="Times New Roman" w:hAnsi="Times New Roman"/>
          <w:sz w:val="24"/>
        </w:rPr>
        <w:t xml:space="preserve">. </w:t>
      </w:r>
    </w:p>
    <w:tbl>
      <w:tblPr>
        <w:tblStyle w:val="TableGrid"/>
        <w:tblW w:w="8969" w:type="dxa"/>
        <w:tblLayout w:type="fixed"/>
        <w:tblLook w:val="06A0" w:firstRow="1" w:lastRow="0" w:firstColumn="1" w:lastColumn="0" w:noHBand="1" w:noVBand="1"/>
      </w:tblPr>
      <w:tblGrid>
        <w:gridCol w:w="8969"/>
      </w:tblGrid>
      <w:tr w:rsidR="7404F786" w:rsidRPr="003B2C34" w14:paraId="45BBBF08" w14:textId="77777777" w:rsidTr="007259D0">
        <w:trPr>
          <w:trHeight w:val="2414"/>
        </w:trPr>
        <w:tc>
          <w:tcPr>
            <w:tcW w:w="8969" w:type="dxa"/>
            <w:tcBorders>
              <w:top w:val="single" w:sz="4" w:space="0" w:color="auto"/>
              <w:left w:val="single" w:sz="4" w:space="0" w:color="auto"/>
              <w:bottom w:val="single" w:sz="4" w:space="0" w:color="auto"/>
              <w:right w:val="single" w:sz="4" w:space="0" w:color="auto"/>
            </w:tcBorders>
          </w:tcPr>
          <w:p w14:paraId="79B5BF2D" w14:textId="706D6AD7" w:rsidR="00F63C76" w:rsidRPr="003B2C34" w:rsidRDefault="00D73566" w:rsidP="007259D0">
            <w:pPr>
              <w:jc w:val="both"/>
              <w:outlineLvl w:val="2"/>
              <w:rPr>
                <w:rFonts w:ascii="Times New Roman" w:hAnsi="Times New Roman" w:cs="Times New Roman"/>
                <w:sz w:val="24"/>
                <w:szCs w:val="24"/>
              </w:rPr>
            </w:pPr>
            <w:bookmarkStart w:id="5" w:name="_Hlk203495741"/>
            <w:r w:rsidRPr="003B2C34">
              <w:rPr>
                <w:rFonts w:ascii="Times New Roman" w:hAnsi="Times New Roman"/>
                <w:b/>
                <w:i/>
                <w:sz w:val="24"/>
                <w:u w:val="single"/>
              </w:rPr>
              <w:t>Actions phares</w:t>
            </w:r>
          </w:p>
          <w:p w14:paraId="31F998B8" w14:textId="2A36471A" w:rsidR="006E1158" w:rsidRPr="003B2C34" w:rsidRDefault="006E1158" w:rsidP="006E1158">
            <w:pPr>
              <w:pStyle w:val="ListParagraph"/>
              <w:numPr>
                <w:ilvl w:val="0"/>
                <w:numId w:val="1"/>
              </w:numPr>
              <w:rPr>
                <w:rFonts w:ascii="Times New Roman" w:hAnsi="Times New Roman" w:cs="Times New Roman"/>
                <w:sz w:val="24"/>
                <w:szCs w:val="24"/>
              </w:rPr>
            </w:pPr>
            <w:r w:rsidRPr="003B2C34">
              <w:rPr>
                <w:rFonts w:ascii="Times New Roman" w:hAnsi="Times New Roman"/>
                <w:sz w:val="24"/>
              </w:rPr>
              <w:t xml:space="preserve">Proposition de </w:t>
            </w:r>
            <w:r w:rsidRPr="003B2C34">
              <w:rPr>
                <w:rFonts w:ascii="Times New Roman" w:hAnsi="Times New Roman"/>
                <w:b/>
                <w:sz w:val="24"/>
              </w:rPr>
              <w:t>consolidation de la législation relative aux données</w:t>
            </w:r>
            <w:r w:rsidRPr="003B2C34">
              <w:rPr>
                <w:rFonts w:ascii="Times New Roman" w:hAnsi="Times New Roman"/>
                <w:sz w:val="24"/>
              </w:rPr>
              <w:t xml:space="preserve"> (T4 2025)</w:t>
            </w:r>
          </w:p>
          <w:p w14:paraId="4F64A7D4" w14:textId="363556D4" w:rsidR="006E1158" w:rsidRPr="003B2C34" w:rsidRDefault="006E1158" w:rsidP="006E1158">
            <w:pPr>
              <w:pStyle w:val="ListParagraph"/>
              <w:numPr>
                <w:ilvl w:val="0"/>
                <w:numId w:val="1"/>
              </w:numPr>
              <w:rPr>
                <w:rFonts w:ascii="Times New Roman" w:hAnsi="Times New Roman" w:cs="Times New Roman"/>
                <w:sz w:val="24"/>
                <w:szCs w:val="24"/>
              </w:rPr>
            </w:pPr>
            <w:r w:rsidRPr="003B2C34">
              <w:rPr>
                <w:rFonts w:ascii="Times New Roman" w:hAnsi="Times New Roman"/>
                <w:sz w:val="24"/>
              </w:rPr>
              <w:t xml:space="preserve">Proposition de </w:t>
            </w:r>
            <w:r w:rsidRPr="003B2C34">
              <w:rPr>
                <w:rFonts w:ascii="Times New Roman" w:hAnsi="Times New Roman"/>
                <w:b/>
                <w:sz w:val="24"/>
              </w:rPr>
              <w:t>mise à jour des règles relatives à la vie privée et aux communications électroniques</w:t>
            </w:r>
            <w:r w:rsidRPr="003B2C34">
              <w:rPr>
                <w:rFonts w:ascii="Times New Roman" w:hAnsi="Times New Roman"/>
                <w:sz w:val="24"/>
              </w:rPr>
              <w:t xml:space="preserve"> en ce qui concerne les cookies et les technologies similaires (T4 2025) </w:t>
            </w:r>
          </w:p>
          <w:p w14:paraId="638759D0" w14:textId="77777777" w:rsidR="006E1158" w:rsidRPr="003B2C34" w:rsidRDefault="006E1158" w:rsidP="006E1158">
            <w:pPr>
              <w:pStyle w:val="ListParagraph"/>
              <w:numPr>
                <w:ilvl w:val="0"/>
                <w:numId w:val="1"/>
              </w:numPr>
              <w:rPr>
                <w:rFonts w:ascii="Times New Roman" w:hAnsi="Times New Roman" w:cs="Times New Roman"/>
                <w:sz w:val="24"/>
                <w:szCs w:val="24"/>
              </w:rPr>
            </w:pPr>
            <w:r w:rsidRPr="003B2C34">
              <w:rPr>
                <w:rFonts w:ascii="Times New Roman" w:hAnsi="Times New Roman"/>
                <w:sz w:val="24"/>
              </w:rPr>
              <w:t xml:space="preserve">Proposition concernant des </w:t>
            </w:r>
            <w:r w:rsidRPr="003B2C34">
              <w:rPr>
                <w:rFonts w:ascii="Times New Roman" w:hAnsi="Times New Roman"/>
                <w:b/>
                <w:sz w:val="24"/>
              </w:rPr>
              <w:t>adaptations ciblées du RGPD</w:t>
            </w:r>
            <w:r w:rsidRPr="003B2C34">
              <w:rPr>
                <w:rFonts w:ascii="Times New Roman" w:hAnsi="Times New Roman"/>
                <w:sz w:val="24"/>
              </w:rPr>
              <w:t xml:space="preserve"> (T4 2025) </w:t>
            </w:r>
          </w:p>
          <w:p w14:paraId="5E66593E" w14:textId="7F527381" w:rsidR="00420E59" w:rsidRPr="003B2C34" w:rsidRDefault="00420E59" w:rsidP="00A55640">
            <w:pPr>
              <w:pStyle w:val="ListParagraph"/>
              <w:numPr>
                <w:ilvl w:val="0"/>
                <w:numId w:val="1"/>
              </w:numPr>
              <w:rPr>
                <w:rFonts w:ascii="Times New Roman" w:hAnsi="Times New Roman" w:cs="Times New Roman"/>
                <w:sz w:val="24"/>
                <w:szCs w:val="24"/>
              </w:rPr>
            </w:pPr>
            <w:r w:rsidRPr="003B2C34">
              <w:rPr>
                <w:rFonts w:ascii="Times New Roman" w:hAnsi="Times New Roman"/>
                <w:sz w:val="24"/>
              </w:rPr>
              <w:t>Lancement d’une</w:t>
            </w:r>
            <w:r w:rsidRPr="003B2C34">
              <w:rPr>
                <w:rFonts w:ascii="Times New Roman" w:hAnsi="Times New Roman"/>
                <w:b/>
                <w:sz w:val="24"/>
              </w:rPr>
              <w:t xml:space="preserve"> initiative portant sur la conformité en un clic</w:t>
            </w:r>
            <w:r w:rsidRPr="003B2C34">
              <w:rPr>
                <w:rFonts w:ascii="Times New Roman" w:hAnsi="Times New Roman"/>
                <w:sz w:val="24"/>
              </w:rPr>
              <w:t xml:space="preserve"> (à partir du T4 2025)</w:t>
            </w:r>
          </w:p>
          <w:p w14:paraId="579D031C" w14:textId="0B87A6E8" w:rsidR="00F866FD" w:rsidRPr="003B2C34" w:rsidRDefault="00120799" w:rsidP="009D2638">
            <w:pPr>
              <w:pStyle w:val="ListParagraph"/>
              <w:numPr>
                <w:ilvl w:val="0"/>
                <w:numId w:val="1"/>
              </w:numPr>
              <w:rPr>
                <w:rFonts w:ascii="Times New Roman" w:hAnsi="Times New Roman" w:cs="Times New Roman"/>
                <w:sz w:val="24"/>
                <w:szCs w:val="24"/>
              </w:rPr>
            </w:pPr>
            <w:r w:rsidRPr="003B2C34">
              <w:rPr>
                <w:rFonts w:ascii="Times New Roman" w:hAnsi="Times New Roman"/>
                <w:sz w:val="24"/>
              </w:rPr>
              <w:t>Déploiement de mesures de soutien à la mise en œuvre du règlement sur les données (à partir du T4 2025)</w:t>
            </w:r>
          </w:p>
        </w:tc>
      </w:tr>
      <w:bookmarkEnd w:id="5"/>
    </w:tbl>
    <w:p w14:paraId="67E6CC49" w14:textId="77777777" w:rsidR="00FA717D" w:rsidRPr="003B2C34" w:rsidRDefault="00FA717D" w:rsidP="00A022AE">
      <w:pPr>
        <w:jc w:val="both"/>
        <w:outlineLvl w:val="1"/>
        <w:rPr>
          <w:rFonts w:ascii="Times New Roman" w:hAnsi="Times New Roman" w:cs="Times New Roman"/>
          <w:bCs/>
          <w:sz w:val="24"/>
          <w:szCs w:val="24"/>
        </w:rPr>
      </w:pPr>
    </w:p>
    <w:p w14:paraId="6B1B8432" w14:textId="39846513" w:rsidR="00791F5D" w:rsidRPr="003B2C34" w:rsidRDefault="00776668" w:rsidP="00A022AE">
      <w:pPr>
        <w:jc w:val="both"/>
        <w:outlineLvl w:val="1"/>
        <w:rPr>
          <w:rFonts w:ascii="Times New Roman" w:eastAsia="Calibri" w:hAnsi="Times New Roman" w:cs="Times New Roman"/>
          <w:sz w:val="24"/>
          <w:szCs w:val="24"/>
        </w:rPr>
      </w:pPr>
      <w:r w:rsidRPr="003B2C34">
        <w:rPr>
          <w:rFonts w:ascii="Times New Roman" w:hAnsi="Times New Roman"/>
          <w:b/>
          <w:sz w:val="24"/>
        </w:rPr>
        <w:t xml:space="preserve">Pilier III: </w:t>
      </w:r>
      <w:r w:rsidR="00FD1142" w:rsidRPr="003B2C34">
        <w:rPr>
          <w:rFonts w:ascii="Times New Roman" w:hAnsi="Times New Roman"/>
          <w:b/>
          <w:sz w:val="24"/>
        </w:rPr>
        <w:t>P</w:t>
      </w:r>
      <w:r w:rsidRPr="003B2C34">
        <w:rPr>
          <w:rFonts w:ascii="Times New Roman" w:hAnsi="Times New Roman"/>
          <w:b/>
          <w:sz w:val="24"/>
        </w:rPr>
        <w:t xml:space="preserve">réserver la souveraineté de l’Europe en matière de données grâce à une approche stratégique de la politique internationale en matière de données </w:t>
      </w:r>
    </w:p>
    <w:p w14:paraId="3A1D34AB" w14:textId="1F25B225" w:rsidR="00110D15" w:rsidRPr="003B2C34" w:rsidRDefault="00110D15" w:rsidP="00110D15">
      <w:pPr>
        <w:spacing w:before="240" w:after="240"/>
        <w:jc w:val="both"/>
        <w:rPr>
          <w:rFonts w:ascii="Times New Roman" w:eastAsia="Calibri" w:hAnsi="Times New Roman" w:cs="Times New Roman"/>
          <w:sz w:val="24"/>
          <w:szCs w:val="24"/>
        </w:rPr>
      </w:pPr>
      <w:r w:rsidRPr="003B2C34">
        <w:rPr>
          <w:rFonts w:ascii="Times New Roman" w:hAnsi="Times New Roman"/>
          <w:sz w:val="24"/>
        </w:rPr>
        <w:t>La souveraineté en matière de données est au cœur de l’avenir numérique de l’UE. Cela signifie que l’UE doit conserver la maîtrise de la manière dont les données sont consultées, utilisées et protégées, tant sur son territoire qu’à l’étranger. La souveraineté nécessite une attitude d’ouverture à l’égard de partenaires de confiance, notamment pour les échanges transfrontières de données, mais à des conditions équitables, sûres et compatibles avec les valeurs et les intérêts de l’UE. Il est impossible de maintenir une situation dans laquelle des acteurs étrangers bénéficient d’un accès illimité au marché de l’UE alors que les entreprises européennes sont confrontées à des obstacles injustifiés à l’étranger.</w:t>
      </w:r>
    </w:p>
    <w:p w14:paraId="0D7A4FA7" w14:textId="043004A5" w:rsidR="00110D15" w:rsidRPr="003B2C34" w:rsidRDefault="00110D15" w:rsidP="00110D15">
      <w:pPr>
        <w:spacing w:before="240" w:after="240"/>
        <w:jc w:val="both"/>
        <w:rPr>
          <w:rFonts w:ascii="Times New Roman" w:eastAsia="Calibri" w:hAnsi="Times New Roman" w:cs="Times New Roman"/>
          <w:sz w:val="24"/>
          <w:szCs w:val="24"/>
        </w:rPr>
      </w:pPr>
      <w:r w:rsidRPr="003B2C34">
        <w:rPr>
          <w:rFonts w:ascii="Times New Roman" w:hAnsi="Times New Roman"/>
          <w:sz w:val="24"/>
        </w:rPr>
        <w:t>Préserver la souveraineté signifie également protéger la résilience de l’UE. Les cyberattaques, les fuites de technologie, la surveillance et les dépendances coercitives mettent en péril les données critiques. L’UE doit garantir la disponibilité, l’intégrité et la sécurité des ensembles de données sensibles, en prévenant leur utilisation abusive ou leur exploitation, en particulier par des acteurs extérieurs à l’UE.</w:t>
      </w:r>
    </w:p>
    <w:p w14:paraId="284E70BE" w14:textId="412EE131" w:rsidR="00110D15" w:rsidRPr="003B2C34" w:rsidRDefault="005C6FD8" w:rsidP="00110D15">
      <w:pPr>
        <w:spacing w:before="240" w:after="240"/>
        <w:jc w:val="both"/>
        <w:rPr>
          <w:rFonts w:ascii="Times New Roman" w:eastAsia="Calibri" w:hAnsi="Times New Roman" w:cs="Times New Roman"/>
          <w:sz w:val="24"/>
          <w:szCs w:val="24"/>
        </w:rPr>
      </w:pPr>
      <w:r w:rsidRPr="003B2C34">
        <w:rPr>
          <w:rFonts w:ascii="Times New Roman" w:hAnsi="Times New Roman"/>
          <w:sz w:val="24"/>
          <w:lang w:val="en-GB" w:eastAsia="en-GB"/>
        </w:rPr>
        <mc:AlternateContent>
          <mc:Choice Requires="wps">
            <w:drawing>
              <wp:anchor distT="91440" distB="91440" distL="114300" distR="114300" simplePos="0" relativeHeight="251658242" behindDoc="0" locked="0" layoutInCell="1" allowOverlap="1" wp14:anchorId="1EDD1EAC" wp14:editId="44EA43E1">
                <wp:simplePos x="0" y="0"/>
                <wp:positionH relativeFrom="margin">
                  <wp:align>right</wp:align>
                </wp:positionH>
                <wp:positionV relativeFrom="paragraph">
                  <wp:posOffset>1905</wp:posOffset>
                </wp:positionV>
                <wp:extent cx="1828800" cy="1403985"/>
                <wp:effectExtent l="0" t="0" r="0" b="0"/>
                <wp:wrapSquare wrapText="bothSides"/>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403985"/>
                        </a:xfrm>
                        <a:prstGeom prst="rect">
                          <a:avLst/>
                        </a:prstGeom>
                        <a:noFill/>
                        <a:ln w="9525">
                          <a:noFill/>
                          <a:miter lim="800000"/>
                          <a:headEnd/>
                          <a:tailEnd/>
                        </a:ln>
                      </wps:spPr>
                      <wps:txbx>
                        <w:txbxContent>
                          <w:p w14:paraId="15C4EBD3" w14:textId="5508256E" w:rsidR="005C6FD8" w:rsidRPr="003B2C34" w:rsidRDefault="005C6FD8">
                            <w:pPr>
                              <w:pBdr>
                                <w:top w:val="single" w:sz="24" w:space="8" w:color="4F81BD" w:themeColor="accent1"/>
                                <w:bottom w:val="single" w:sz="24" w:space="8" w:color="4F81BD" w:themeColor="accent1"/>
                              </w:pBdr>
                              <w:spacing w:after="0"/>
                              <w:rPr>
                                <w:rFonts w:ascii="Times New Roman" w:hAnsi="Times New Roman" w:cs="Times New Roman"/>
                                <w:i/>
                                <w:iCs/>
                                <w:color w:val="4F81BD" w:themeColor="accent1"/>
                                <w:sz w:val="24"/>
                              </w:rPr>
                            </w:pPr>
                            <w:r w:rsidRPr="003B2C34">
                              <w:rPr>
                                <w:rFonts w:ascii="Times New Roman" w:hAnsi="Times New Roman"/>
                                <w:i/>
                                <w:color w:val="4F81BD" w:themeColor="accent1"/>
                                <w:sz w:val="24"/>
                              </w:rPr>
                              <w:t>Lors d’un sondage réalisé auprès des acteurs concernés, 75 % des participants se sont déclarés favorables à une attitude plus ferme de l’UE en ce qui concerne les flux internationaux de données à caractère non personnel.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EDD1EAC" id="_x0000_s1032" type="#_x0000_t202" style="position:absolute;left:0;text-align:left;margin-left:92.8pt;margin-top:.15pt;width:2in;height:110.55pt;z-index:251658242;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" filled="f" stroked="f">
                <v:textbox style="mso-fit-shape-to-text:t">
                  <w:txbxContent>
                    <w:p w14:paraId="15C4EBD3" w14:textId="5508256E" w:rsidR="005C6FD8" w:rsidRPr="003B2C34" w:rsidRDefault="005C6FD8">
                      <w:pPr>
                        <w:pBdr>
                          <w:top w:val="single" w:sz="24" w:space="8" w:color="4F81BD" w:themeColor="accent1"/>
                          <w:bottom w:val="single" w:sz="24" w:space="8" w:color="4F81BD" w:themeColor="accent1"/>
                        </w:pBdr>
                        <w:spacing w:after="0"/>
                        <w:rPr>
                          <w:rFonts w:ascii="Times New Roman" w:hAnsi="Times New Roman" w:cs="Times New Roman"/>
                          <w:i/>
                          <w:iCs/>
                          <w:color w:val="4F81BD" w:themeColor="accent1"/>
                          <w:sz w:val="24"/>
                        </w:rPr>
                      </w:pPr>
                      <w:r w:rsidRPr="003B2C34">
                        <w:rPr>
                          <w:rFonts w:ascii="Times New Roman" w:hAnsi="Times New Roman"/>
                          <w:i/>
                          <w:color w:val="4F81BD" w:themeColor="accent1"/>
                          <w:sz w:val="24"/>
                        </w:rPr>
                        <w:t>Lors d’un sondage réalisé auprès des acteurs concernés, 75 % des participants se sont déclarés favorables à une attitude plus ferme de l’UE en ce qui concerne les flux internationaux de données à caractère non personnel.</w:t>
                      </w:r>
                    </w:p>
                  </w:txbxContent>
                </v:textbox>
                <w10:wrap type="square" anchorx="margin"/>
              </v:shape>
            </w:pict>
          </mc:Fallback>
        </mc:AlternateContent>
      </w:r>
      <w:r w:rsidRPr="003B2C34">
        <w:rPr>
          <w:rFonts w:ascii="Times New Roman" w:hAnsi="Times New Roman"/>
          <w:sz w:val="24"/>
        </w:rPr>
        <w:t>À cette fin, la Commission poursuivra une stratégie qui allie ouverture et fermeté: faire des conditions équitables pour l’accès aux données et les transferts transfrontières un pilier du commerce numérique, protéger les données sensibles à caractère non personnel de l’UE au moyen de garanties claires et approfondir la coopération avec des partenaires de confiance. Elle s’emploiera également à façonner des modèles de gouvernance internationale conformes aux intérêts et aux valeurs de l’UE et empêchant la fragmentation en sphères rivales. Cette stratégie complétera l’approche à long terme de l’UE en matière de sécurité des flux de données à caractère personnel élaborée dans le cadre de l’acquis de l’UE relatif à la protection des données.</w:t>
      </w:r>
    </w:p>
    <w:p w14:paraId="0F475709" w14:textId="0FE6C6BC" w:rsidR="00110D15" w:rsidRPr="003B2C34" w:rsidRDefault="00110D15" w:rsidP="00421881">
      <w:pPr>
        <w:spacing w:before="240" w:after="240"/>
        <w:jc w:val="both"/>
        <w:rPr>
          <w:rFonts w:ascii="Times New Roman" w:eastAsia="Calibri" w:hAnsi="Times New Roman" w:cs="Times New Roman"/>
          <w:sz w:val="24"/>
          <w:szCs w:val="24"/>
        </w:rPr>
      </w:pPr>
      <w:r w:rsidRPr="003B2C34">
        <w:rPr>
          <w:rFonts w:ascii="Times New Roman" w:hAnsi="Times New Roman"/>
          <w:sz w:val="24"/>
        </w:rPr>
        <w:t>Alors que l’UE a mis en place un cadre juridique solide et encouragé la «libre circulation des données en toute confiance» au niveau international, de nouvelles exigences injustifiées en matière de localisation des données, des contrôles à l’exportation et des règles discriminatoires à l’étranger menacent de compromettre la souveraineté. La Commission agira donc de manière plus ferme pour défendre les intérêts et l’autonomie réglementaire de l’UE, en adoptant des mesures proportionnées lorsque la politique d’ouverture donne lieu à des abus ou lorsque les vulnérabilités sont instrumentalisées.</w:t>
      </w:r>
    </w:p>
    <w:p w14:paraId="741EBF9F" w14:textId="78C9851C" w:rsidR="00760244" w:rsidRPr="003B2C34" w:rsidRDefault="00760244" w:rsidP="00A55640">
      <w:pPr>
        <w:pStyle w:val="ListParagraph"/>
        <w:numPr>
          <w:ilvl w:val="0"/>
          <w:numId w:val="7"/>
        </w:numPr>
        <w:jc w:val="both"/>
        <w:outlineLvl w:val="2"/>
        <w:rPr>
          <w:rFonts w:ascii="Times New Roman" w:eastAsia="Calibri" w:hAnsi="Times New Roman" w:cs="Times New Roman"/>
          <w:b/>
          <w:bCs/>
          <w:sz w:val="24"/>
          <w:szCs w:val="24"/>
        </w:rPr>
      </w:pPr>
      <w:bookmarkStart w:id="6" w:name="_Hlk210673596"/>
      <w:r w:rsidRPr="003B2C34">
        <w:rPr>
          <w:rFonts w:ascii="Times New Roman" w:hAnsi="Times New Roman"/>
          <w:b/>
          <w:sz w:val="24"/>
        </w:rPr>
        <w:t>Des flux de données transfrontières équitables et des garanties pour les données sensibles à caractère non personnel de l’UE</w:t>
      </w:r>
    </w:p>
    <w:p w14:paraId="5AAA1B50" w14:textId="06A11CAE" w:rsidR="00760244" w:rsidRPr="003B2C34" w:rsidRDefault="00760244" w:rsidP="00D81436">
      <w:pPr>
        <w:jc w:val="both"/>
        <w:outlineLvl w:val="2"/>
        <w:rPr>
          <w:rFonts w:ascii="Times New Roman" w:eastAsia="Calibri" w:hAnsi="Times New Roman" w:cs="Times New Roman"/>
          <w:sz w:val="24"/>
          <w:szCs w:val="24"/>
        </w:rPr>
      </w:pPr>
      <w:r w:rsidRPr="003B2C34">
        <w:rPr>
          <w:rFonts w:ascii="Times New Roman" w:hAnsi="Times New Roman"/>
          <w:sz w:val="24"/>
        </w:rPr>
        <w:t xml:space="preserve">La Commission intégrera des conditions équitables et un contrôle efficace des flux transfrontières de données dans les échanges commerciaux internationaux dans le secteur du numérique. Des échanges structurés, par exemple dans le cadre des partenariats et dialogues numériques de l’UE, permettront de remédier aux déséquilibres existants lorsque les données de l’UE circulent à l’étranger sans garanties adéquates. </w:t>
      </w:r>
    </w:p>
    <w:p w14:paraId="4AE6C346" w14:textId="797B3141" w:rsidR="00760244" w:rsidRPr="003B2C34" w:rsidRDefault="00760244" w:rsidP="00D81436">
      <w:pPr>
        <w:jc w:val="both"/>
        <w:outlineLvl w:val="2"/>
        <w:rPr>
          <w:rFonts w:ascii="Times New Roman" w:eastAsia="Calibri" w:hAnsi="Times New Roman" w:cs="Times New Roman"/>
          <w:sz w:val="24"/>
          <w:szCs w:val="24"/>
        </w:rPr>
      </w:pPr>
      <w:r w:rsidRPr="003B2C34">
        <w:rPr>
          <w:rFonts w:ascii="Times New Roman" w:hAnsi="Times New Roman"/>
          <w:sz w:val="24"/>
        </w:rPr>
        <w:t>Si des lacunes persistent, et sur la base de critères objectifs, la Commission prendra des mesures proportionnées dans le plein respect des engagements internationaux de l’Union. Elle publiera, au deuxième semestre 2026, des lignes directrices afin d’évaluer le traitement des entités de l’UE par les pays tiers et élaborera, au premier trimestre 2026, une boîte à outils de lutte contre la fuite de données pour répondre aux problèmes que posent les demandes de localisation, les exclusions du marché, les garanties insuffisantes ou tout autre traitement injustifié. Cette boîte à outils peut s’appuyer sur des instruments tels que le règlement sur le respect des règles du commerce</w:t>
      </w:r>
      <w:r w:rsidRPr="003B2C34">
        <w:rPr>
          <w:rStyle w:val="FootnoteReference"/>
          <w:rFonts w:ascii="Times New Roman" w:eastAsia="Calibri" w:hAnsi="Times New Roman" w:cs="Times New Roman"/>
          <w:sz w:val="24"/>
          <w:szCs w:val="24"/>
        </w:rPr>
        <w:footnoteReference w:id="38"/>
      </w:r>
      <w:r w:rsidRPr="003B2C34">
        <w:rPr>
          <w:rFonts w:ascii="Times New Roman" w:hAnsi="Times New Roman"/>
          <w:sz w:val="24"/>
        </w:rPr>
        <w:t>, l’instrument anticoercition</w:t>
      </w:r>
      <w:r w:rsidRPr="003B2C34">
        <w:rPr>
          <w:rStyle w:val="FootnoteReference"/>
          <w:rFonts w:ascii="Times New Roman" w:eastAsia="Calibri" w:hAnsi="Times New Roman" w:cs="Times New Roman"/>
          <w:sz w:val="24"/>
          <w:szCs w:val="24"/>
        </w:rPr>
        <w:footnoteReference w:id="39"/>
      </w:r>
      <w:r w:rsidRPr="003B2C34">
        <w:rPr>
          <w:rFonts w:ascii="Times New Roman" w:hAnsi="Times New Roman"/>
          <w:sz w:val="24"/>
        </w:rPr>
        <w:t xml:space="preserve"> et des considérations de sécurité économique, selon le cas, ou s’en inspirer, et se concentrera sur les technologies et les bonnes pratiques visant à renforcer la résilience de l’UE. Si aucune mesure n’est prise pour remédier aux distorsions structurelles ou aux pratiques discriminatoires persistantes, la Commission envisagera, le cas échéant, des mesures supplémentaires pour garantir des conditions équitables d’accès aux données et d’utilisation de celles-ci.</w:t>
      </w:r>
    </w:p>
    <w:p w14:paraId="11DE2DE6" w14:textId="5D7B01F5" w:rsidR="00760244" w:rsidRPr="003B2C34" w:rsidRDefault="00760244" w:rsidP="00D81436">
      <w:pPr>
        <w:jc w:val="both"/>
        <w:outlineLvl w:val="2"/>
        <w:rPr>
          <w:rFonts w:ascii="Times New Roman" w:eastAsia="Calibri" w:hAnsi="Times New Roman" w:cs="Times New Roman"/>
          <w:sz w:val="24"/>
          <w:szCs w:val="24"/>
        </w:rPr>
      </w:pPr>
      <w:r w:rsidRPr="003B2C34">
        <w:rPr>
          <w:rFonts w:ascii="Times New Roman" w:hAnsi="Times New Roman"/>
          <w:sz w:val="24"/>
        </w:rPr>
        <w:t>En parallèle, la Commission améliorera la protection des données sensibles à caractère non personnel de l’UE, en complétant la protection des données à caractère personnel garantie par le RGPD et les décisions d’adéquation. En collaboration avec les acteurs concernés, et au vu des résultats des évaluations approfondies des risques, elle adoptera un premier train de mesures ciblées d’ici au troisième trimestre 2026.</w:t>
      </w:r>
    </w:p>
    <w:bookmarkEnd w:id="6"/>
    <w:p w14:paraId="25D4943C" w14:textId="5EAF2BD5" w:rsidR="00F25C43" w:rsidRPr="003B2C34" w:rsidRDefault="00F25C43" w:rsidP="00A55640">
      <w:pPr>
        <w:pStyle w:val="ListParagraph"/>
        <w:numPr>
          <w:ilvl w:val="0"/>
          <w:numId w:val="7"/>
        </w:numPr>
        <w:jc w:val="both"/>
        <w:outlineLvl w:val="2"/>
        <w:rPr>
          <w:rFonts w:ascii="Times New Roman" w:hAnsi="Times New Roman" w:cs="Times New Roman"/>
          <w:b/>
          <w:sz w:val="24"/>
          <w:szCs w:val="24"/>
        </w:rPr>
      </w:pPr>
      <w:r w:rsidRPr="003B2C34">
        <w:rPr>
          <w:rFonts w:ascii="Times New Roman" w:hAnsi="Times New Roman"/>
          <w:b/>
          <w:sz w:val="24"/>
        </w:rPr>
        <w:t>Mettre les écosystèmes de partage de données de l’UE en relation avec ceux de pays tiers partageant les mêmes valeurs</w:t>
      </w:r>
    </w:p>
    <w:p w14:paraId="60009786" w14:textId="333A46C8" w:rsidR="005A53AB" w:rsidRPr="003B2C34" w:rsidRDefault="005A53AB" w:rsidP="005A53AB">
      <w:pPr>
        <w:jc w:val="both"/>
        <w:rPr>
          <w:rFonts w:ascii="Times New Roman" w:eastAsia="Calibri" w:hAnsi="Times New Roman" w:cs="Times New Roman"/>
          <w:sz w:val="24"/>
          <w:szCs w:val="24"/>
        </w:rPr>
      </w:pPr>
      <w:r w:rsidRPr="003B2C34">
        <w:rPr>
          <w:rFonts w:ascii="Times New Roman" w:hAnsi="Times New Roman"/>
          <w:sz w:val="24"/>
        </w:rPr>
        <w:t>Le cadre juridique de l’UE en matière de protection des données, de cybersécurité, d’exécution et de recours juridictionnel constitue une base fiable pour les détenteurs de données étrangers. La Commission s’emploiera à favoriser la sécurité, la convergence et l’interopérabilité dans les relations entre les écosystèmes de données de l’UE et ceux de partenaires partageant les mêmes valeurs afin d’attirer davantage de flux de données vers l’UE.</w:t>
      </w:r>
    </w:p>
    <w:p w14:paraId="50EF0569" w14:textId="5671BEFC" w:rsidR="0051389F" w:rsidRPr="003B2C34" w:rsidRDefault="0051389F" w:rsidP="005A53AB">
      <w:pPr>
        <w:jc w:val="both"/>
        <w:rPr>
          <w:rFonts w:ascii="Times New Roman" w:eastAsia="Calibri" w:hAnsi="Times New Roman" w:cs="Times New Roman"/>
          <w:sz w:val="24"/>
          <w:szCs w:val="24"/>
        </w:rPr>
      </w:pPr>
      <w:r w:rsidRPr="003B2C34">
        <w:rPr>
          <w:rFonts w:ascii="Times New Roman" w:hAnsi="Times New Roman"/>
          <w:sz w:val="24"/>
        </w:rPr>
        <w:t>À cet égard, il est prévu, par exemple, i) d’établir des services et des infrastructures de soutien tels que les espaces européens communs des données afin d’assurer un partage transfrontière ininterrompu; ii) de fournir des outils tels que des clauses contractuelles standard pour aider les entreprises à procéder à des échanges licites; iii) et d’intégrer les engagements en matière de partage transfrontière des données dans des accords internationaux bilatéraux et plurilatéraux.</w:t>
      </w:r>
    </w:p>
    <w:p w14:paraId="13BDBE43" w14:textId="46FFB250" w:rsidR="005A53AB" w:rsidRPr="003B2C34" w:rsidRDefault="005A53AB" w:rsidP="008B39FE">
      <w:pPr>
        <w:jc w:val="both"/>
        <w:rPr>
          <w:rFonts w:ascii="Times New Roman" w:eastAsia="Calibri" w:hAnsi="Times New Roman" w:cs="Times New Roman"/>
          <w:sz w:val="24"/>
          <w:szCs w:val="24"/>
        </w:rPr>
      </w:pPr>
      <w:r w:rsidRPr="003B2C34">
        <w:rPr>
          <w:rFonts w:ascii="Times New Roman" w:hAnsi="Times New Roman"/>
          <w:sz w:val="24"/>
        </w:rPr>
        <w:t xml:space="preserve">Afin de renforcer la convergence et l’interopérabilité, la Commission promouvra le cadre européen de données fiables dans les dialogues internationaux et dans le réseau de partenariat numérique. Elle étudiera également la possibilité de créer un label de confiance, potentiellement lié au modèle de maturité des espaces de données — un cadre normalisé conçu pour évaluer les capacités des initiatives relatives à l’espace de données — afin de soutenir la coopération avec les gouvernements et les entreprises à l’étranger. </w:t>
      </w:r>
    </w:p>
    <w:p w14:paraId="7BEB9CC9" w14:textId="7ECC6349" w:rsidR="00F25C43" w:rsidRPr="003B2C34" w:rsidRDefault="003A1748" w:rsidP="00A55640">
      <w:pPr>
        <w:pStyle w:val="ListParagraph"/>
        <w:numPr>
          <w:ilvl w:val="0"/>
          <w:numId w:val="7"/>
        </w:numPr>
        <w:jc w:val="both"/>
        <w:outlineLvl w:val="2"/>
        <w:rPr>
          <w:rFonts w:ascii="Times New Roman" w:hAnsi="Times New Roman" w:cs="Times New Roman"/>
          <w:b/>
          <w:sz w:val="24"/>
          <w:szCs w:val="24"/>
        </w:rPr>
      </w:pPr>
      <w:r w:rsidRPr="003B2C34">
        <w:rPr>
          <w:rFonts w:ascii="Times New Roman" w:hAnsi="Times New Roman"/>
          <w:b/>
          <w:sz w:val="24"/>
        </w:rPr>
        <w:t>Renforcer la place de l’UE dans la gouvernance mondiale des données</w:t>
      </w:r>
    </w:p>
    <w:p w14:paraId="3214E297" w14:textId="77792054" w:rsidR="005A53AB" w:rsidRPr="003B2C34" w:rsidRDefault="005A53AB" w:rsidP="005A53AB">
      <w:pPr>
        <w:jc w:val="both"/>
        <w:rPr>
          <w:rFonts w:ascii="Times New Roman" w:eastAsia="Calibri" w:hAnsi="Times New Roman" w:cs="Times New Roman"/>
          <w:sz w:val="24"/>
          <w:szCs w:val="24"/>
        </w:rPr>
      </w:pPr>
      <w:r w:rsidRPr="003B2C34">
        <w:rPr>
          <w:rFonts w:ascii="Times New Roman" w:hAnsi="Times New Roman"/>
          <w:sz w:val="24"/>
        </w:rPr>
        <w:t>La rivalité entre modèles concurrents de gouvernance des données fragmente le paysage mondial. La Commission intensifiera la promotion des approches de l’UE sur la scène internationale, en particulier dans les cadres émergents, et renforcera les coalitions avec des partenaires partageant les mêmes valeurs.</w:t>
      </w:r>
    </w:p>
    <w:p w14:paraId="0C852159" w14:textId="77777777" w:rsidR="00886D31" w:rsidRPr="003B2C34" w:rsidRDefault="005A53AB" w:rsidP="001F3392">
      <w:pPr>
        <w:jc w:val="both"/>
        <w:rPr>
          <w:rFonts w:ascii="Times New Roman" w:eastAsia="Calibri" w:hAnsi="Times New Roman" w:cs="Times New Roman"/>
          <w:sz w:val="24"/>
          <w:szCs w:val="24"/>
        </w:rPr>
      </w:pPr>
      <w:r w:rsidRPr="003B2C34">
        <w:rPr>
          <w:rFonts w:ascii="Times New Roman" w:hAnsi="Times New Roman"/>
          <w:sz w:val="24"/>
        </w:rPr>
        <w:t>D’ici à 2026, conformément à la stratégie numérique internationale</w:t>
      </w:r>
      <w:r w:rsidRPr="003B2C34">
        <w:rPr>
          <w:rStyle w:val="FootnoteReference"/>
          <w:rFonts w:ascii="Times New Roman" w:eastAsia="Calibri" w:hAnsi="Times New Roman" w:cs="Times New Roman"/>
          <w:sz w:val="24"/>
          <w:szCs w:val="24"/>
        </w:rPr>
        <w:footnoteReference w:id="40"/>
      </w:r>
      <w:r w:rsidRPr="003B2C34">
        <w:rPr>
          <w:rFonts w:ascii="Times New Roman" w:hAnsi="Times New Roman"/>
          <w:sz w:val="24"/>
        </w:rPr>
        <w:t xml:space="preserve">, la Commission et le Service européen pour l’action extérieure (SEAE) approfondiront et établiront des liens entre les partenariats numériques en matière de gouvernance des données, en s’alignant sur les partenaires qui partagent des objectifs communs et en développant davantage les accords sur le commerce numérique et les chapitres numériques dans le cadre des accords commerciaux traditionnels. Elle continuera de participer activement à des enceintes telles que le G7, le G20, l’OCDE et les Nations unies, en utilisant des instruments tels que la «déclaration de l’OCDE sur l’accès des pouvoirs publics aux données à caractère personnel». </w:t>
      </w:r>
    </w:p>
    <w:p w14:paraId="52212604" w14:textId="4FB9231E" w:rsidR="001F3392" w:rsidRPr="003B2C34" w:rsidRDefault="009A691C" w:rsidP="001F3392">
      <w:pPr>
        <w:jc w:val="both"/>
        <w:rPr>
          <w:rFonts w:ascii="Times New Roman" w:eastAsia="Calibri" w:hAnsi="Times New Roman" w:cs="Times New Roman"/>
          <w:sz w:val="24"/>
          <w:szCs w:val="24"/>
        </w:rPr>
      </w:pPr>
      <w:r w:rsidRPr="003B2C34">
        <w:rPr>
          <w:rFonts w:ascii="Times New Roman" w:hAnsi="Times New Roman"/>
          <w:sz w:val="24"/>
        </w:rPr>
        <w:t>Une attention particulière sera accordée à la promotion des approches de l’UE et de la collaboration mutuellement bénéfique avec les pays candidats, les candidats potentiels et les voisins les plus proches.  L’UE collaborera également avec ses partenaires pour étudier la possibilité de mettre en place une plateforme partagée pour certaines données publiques de grande valeur (par exemple, le patrimoine culturel) et de conclure des accords de confiance sur les flux de données sensibles, l’accès des pouvoirs publics et les règles sectorielles.</w:t>
      </w:r>
    </w:p>
    <w:tbl>
      <w:tblPr>
        <w:tblStyle w:val="TableGrid"/>
        <w:tblW w:w="0" w:type="auto"/>
        <w:tblLayout w:type="fixed"/>
        <w:tblLook w:val="06A0" w:firstRow="1" w:lastRow="0" w:firstColumn="1" w:lastColumn="0" w:noHBand="1" w:noVBand="1"/>
      </w:tblPr>
      <w:tblGrid>
        <w:gridCol w:w="9015"/>
      </w:tblGrid>
      <w:tr w:rsidR="00676880" w:rsidRPr="003B2C34" w14:paraId="156147B3" w14:textId="77777777" w:rsidTr="007259D0">
        <w:trPr>
          <w:trHeight w:val="1207"/>
        </w:trPr>
        <w:tc>
          <w:tcPr>
            <w:tcW w:w="9015" w:type="dxa"/>
            <w:tcBorders>
              <w:top w:val="single" w:sz="4" w:space="0" w:color="auto"/>
              <w:left w:val="single" w:sz="4" w:space="0" w:color="auto"/>
              <w:bottom w:val="single" w:sz="4" w:space="0" w:color="auto"/>
              <w:right w:val="single" w:sz="4" w:space="0" w:color="auto"/>
            </w:tcBorders>
          </w:tcPr>
          <w:p w14:paraId="46574FA1" w14:textId="121E5909" w:rsidR="00676880" w:rsidRPr="003B2C34" w:rsidRDefault="00420E59" w:rsidP="005C2117">
            <w:pPr>
              <w:spacing w:line="276" w:lineRule="auto"/>
              <w:outlineLvl w:val="2"/>
              <w:rPr>
                <w:rFonts w:ascii="Times New Roman" w:hAnsi="Times New Roman" w:cs="Times New Roman"/>
                <w:sz w:val="24"/>
                <w:szCs w:val="24"/>
              </w:rPr>
            </w:pPr>
            <w:r w:rsidRPr="003B2C34">
              <w:rPr>
                <w:rFonts w:ascii="Times New Roman" w:hAnsi="Times New Roman"/>
                <w:b/>
                <w:i/>
                <w:sz w:val="24"/>
                <w:u w:val="single"/>
              </w:rPr>
              <w:t>Actions phares</w:t>
            </w:r>
          </w:p>
          <w:p w14:paraId="2EBF8F7B" w14:textId="100039C0" w:rsidR="00B006CB" w:rsidRPr="003B2C34" w:rsidRDefault="00DD10FB" w:rsidP="00A55640">
            <w:pPr>
              <w:pStyle w:val="ListParagraph"/>
              <w:numPr>
                <w:ilvl w:val="0"/>
                <w:numId w:val="1"/>
              </w:numPr>
              <w:rPr>
                <w:rFonts w:ascii="Times New Roman" w:eastAsia="Calibri" w:hAnsi="Times New Roman" w:cs="Times New Roman"/>
                <w:sz w:val="24"/>
                <w:szCs w:val="24"/>
              </w:rPr>
            </w:pPr>
            <w:r w:rsidRPr="003B2C34">
              <w:rPr>
                <w:rFonts w:ascii="Times New Roman" w:hAnsi="Times New Roman"/>
                <w:sz w:val="24"/>
              </w:rPr>
              <w:t>Publication de lignes directrices pour évaluer le traitement équitable des données de l’UE à l’étranger (T2 2026)</w:t>
            </w:r>
          </w:p>
          <w:p w14:paraId="1631F3C3" w14:textId="707C909F" w:rsidR="00E759E4" w:rsidRPr="003B2C34" w:rsidRDefault="00DD10FB" w:rsidP="00A55640">
            <w:pPr>
              <w:pStyle w:val="ListParagraph"/>
              <w:numPr>
                <w:ilvl w:val="0"/>
                <w:numId w:val="1"/>
              </w:numPr>
              <w:rPr>
                <w:rFonts w:ascii="Times New Roman" w:eastAsia="Calibri" w:hAnsi="Times New Roman" w:cs="Times New Roman"/>
                <w:sz w:val="24"/>
                <w:szCs w:val="24"/>
              </w:rPr>
            </w:pPr>
            <w:r w:rsidRPr="003B2C34">
              <w:rPr>
                <w:rFonts w:ascii="Times New Roman" w:hAnsi="Times New Roman"/>
                <w:sz w:val="24"/>
              </w:rPr>
              <w:t>Création d’une boîte à outils pour lutter contre la localisation injustifiée, l’exclusion, la faiblesse des garanties et les fuites de données (T2 2026) et adoption de mesures visant à protéger les données sensibles à caractère non personnel (T3 2026)</w:t>
            </w:r>
          </w:p>
        </w:tc>
      </w:tr>
    </w:tbl>
    <w:p w14:paraId="1CC2FCA2" w14:textId="77777777" w:rsidR="00B116EA" w:rsidRPr="003B2C34" w:rsidRDefault="00B116EA" w:rsidP="002C69AD">
      <w:pPr>
        <w:outlineLvl w:val="0"/>
        <w:rPr>
          <w:rFonts w:ascii="Times New Roman" w:hAnsi="Times New Roman" w:cs="Times New Roman"/>
          <w:b/>
          <w:sz w:val="24"/>
          <w:szCs w:val="24"/>
        </w:rPr>
      </w:pPr>
    </w:p>
    <w:p w14:paraId="08822DD9" w14:textId="68F82244" w:rsidR="002C69AD" w:rsidRPr="003B2C34" w:rsidRDefault="00776668" w:rsidP="002C69AD">
      <w:pPr>
        <w:outlineLvl w:val="0"/>
        <w:rPr>
          <w:rFonts w:ascii="Times New Roman" w:hAnsi="Times New Roman" w:cs="Times New Roman"/>
          <w:b/>
          <w:sz w:val="24"/>
          <w:szCs w:val="24"/>
        </w:rPr>
      </w:pPr>
      <w:r w:rsidRPr="003B2C34">
        <w:rPr>
          <w:rFonts w:ascii="Times New Roman" w:hAnsi="Times New Roman"/>
          <w:b/>
          <w:sz w:val="24"/>
        </w:rPr>
        <w:t>5. Stratégie pour une union européenne des données: faciliter l’accès aux données pour l’IA</w:t>
      </w:r>
    </w:p>
    <w:p w14:paraId="45029B4E" w14:textId="247F1E98" w:rsidR="00160A88" w:rsidRPr="003B2C34" w:rsidRDefault="00160A88" w:rsidP="00160A88">
      <w:pPr>
        <w:jc w:val="both"/>
        <w:rPr>
          <w:rFonts w:ascii="Times New Roman" w:hAnsi="Times New Roman" w:cs="Times New Roman"/>
          <w:sz w:val="24"/>
          <w:szCs w:val="24"/>
        </w:rPr>
      </w:pPr>
      <w:r w:rsidRPr="003B2C34">
        <w:rPr>
          <w:rFonts w:ascii="Times New Roman" w:hAnsi="Times New Roman"/>
          <w:sz w:val="24"/>
        </w:rPr>
        <w:t>Afin de garantir la compétitivité à l’ère de l’IA, la stratégie pour une union des données privilégie désormais les résultats par rapport à la fixation de règles. S’appuyant sur les fondements en place depuis 2020, elle aborde des aspects tels que la pénurie de données, la complexité réglementaire et la concurrence mondiale.</w:t>
      </w:r>
    </w:p>
    <w:p w14:paraId="100CE4B8" w14:textId="77777777" w:rsidR="00160A88" w:rsidRPr="003B2C34" w:rsidRDefault="00160A88" w:rsidP="00160A88">
      <w:pPr>
        <w:jc w:val="both"/>
        <w:rPr>
          <w:rFonts w:ascii="Times New Roman" w:hAnsi="Times New Roman" w:cs="Times New Roman"/>
          <w:sz w:val="24"/>
          <w:szCs w:val="24"/>
        </w:rPr>
      </w:pPr>
      <w:r w:rsidRPr="003B2C34">
        <w:rPr>
          <w:rFonts w:ascii="Times New Roman" w:hAnsi="Times New Roman"/>
          <w:sz w:val="24"/>
        </w:rPr>
        <w:t>Le comité européen de l’innovation dans le domaine des données restera le forum central de gouvernance, qui sera réformé en vue d’approfondir les débats techniques et le dialogue stratégique avec les États membres et l’industrie. En parallèle, l’alliance pour l’application de l’IA deviendra le principal canal par lequel les acteurs du secteur pourront faire part de leurs réactions, de sorte que les entreprises, les chercheurs et les acteurs publics déterminent la mise en œuvre. L’observatoire de l’IA suivra les tendances émergentes et les traduira en informations stratégiques.</w:t>
      </w:r>
    </w:p>
    <w:p w14:paraId="59AF111A" w14:textId="44FE816D" w:rsidR="00160A88" w:rsidRPr="003B2C34" w:rsidRDefault="00160A88" w:rsidP="00160A88">
      <w:pPr>
        <w:jc w:val="both"/>
        <w:rPr>
          <w:rFonts w:ascii="Times New Roman" w:hAnsi="Times New Roman" w:cs="Times New Roman"/>
          <w:sz w:val="24"/>
          <w:szCs w:val="24"/>
        </w:rPr>
      </w:pPr>
      <w:r w:rsidRPr="003B2C34">
        <w:rPr>
          <w:rFonts w:ascii="Times New Roman" w:hAnsi="Times New Roman"/>
          <w:sz w:val="24"/>
        </w:rPr>
        <w:t>Des actions ciblées permettront d’accroître le volume de données de grande qualité, de simplifier le paysage réglementaire et de renforcer le rôle de l’UE dans les flux mondiaux de données. Pour les PME et les innovateurs, le respect des règles sera moins coûteux, l’accès aux données sera facilité et l’environnement international sera plus favorable.</w:t>
      </w:r>
    </w:p>
    <w:p w14:paraId="2C2FFD5F" w14:textId="05ACEF57" w:rsidR="00160A88" w:rsidRPr="003B2C34" w:rsidRDefault="089E89E0" w:rsidP="004957CB">
      <w:pPr>
        <w:jc w:val="both"/>
        <w:rPr>
          <w:rFonts w:ascii="Times New Roman" w:hAnsi="Times New Roman" w:cs="Times New Roman"/>
          <w:sz w:val="24"/>
          <w:szCs w:val="24"/>
        </w:rPr>
      </w:pPr>
      <w:r w:rsidRPr="003B2C34">
        <w:rPr>
          <w:rFonts w:ascii="Times New Roman" w:hAnsi="Times New Roman"/>
          <w:sz w:val="24"/>
        </w:rPr>
        <w:t>On ne mène à bien que ce que l’on mesure. C’est pourquoi la Commission a annoncé une feuille de route pour le marché unique afin de progresser plus vite et d’accélérer les processus. La stratégie pour une union des données peut contribuer, le cas échéant, à la feuille de route, en vue d’aider les décideurs politiques et l’industrie, en particulier les PME, à supprimer les obstacles et à achever le marché unique des données.</w:t>
      </w:r>
    </w:p>
    <w:p w14:paraId="5590BB3C" w14:textId="2F00FFA2" w:rsidR="548850B7" w:rsidRPr="003B2C34" w:rsidRDefault="548850B7" w:rsidP="0092758B">
      <w:pPr>
        <w:jc w:val="both"/>
        <w:rPr>
          <w:rFonts w:ascii="Times New Roman" w:eastAsia="Calibri" w:hAnsi="Times New Roman" w:cs="Times New Roman"/>
          <w:sz w:val="24"/>
          <w:szCs w:val="24"/>
        </w:rPr>
      </w:pPr>
      <w:r w:rsidRPr="003B2C34">
        <w:rPr>
          <w:rFonts w:ascii="Times New Roman" w:hAnsi="Times New Roman"/>
          <w:sz w:val="24"/>
        </w:rPr>
        <w:t>En complément de la stratégie pour l’application de l’IA, la stratégie pour une union des données fait en sorte que les ressources en données de l’UE alimentent directement le développement, le déploiement et l’adoption de l’IA dans tous les secteurs.</w:t>
      </w:r>
    </w:p>
    <w:p w14:paraId="6BFCC0E5" w14:textId="4A8F18E3" w:rsidR="00451FE8" w:rsidRPr="007259D0" w:rsidRDefault="00160A88" w:rsidP="00D3248C">
      <w:pPr>
        <w:jc w:val="both"/>
        <w:rPr>
          <w:rFonts w:ascii="Times New Roman" w:hAnsi="Times New Roman" w:cs="Times New Roman"/>
          <w:sz w:val="24"/>
          <w:szCs w:val="24"/>
        </w:rPr>
      </w:pPr>
      <w:r w:rsidRPr="003B2C34">
        <w:rPr>
          <w:rFonts w:ascii="Times New Roman" w:hAnsi="Times New Roman"/>
          <w:sz w:val="24"/>
        </w:rPr>
        <w:t>La vision à long terme est claire: une économie européenne souveraine fondée sur les données, dans laquelle les données circulent de manière sûre et responsable, constituent le carburant de l’IA et de l’innovation et renforcent la compétitivité.</w:t>
      </w:r>
    </w:p>
    <w:sectPr w:rsidR="00451FE8" w:rsidRPr="007259D0" w:rsidSect="008F254C">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61B7ED" w14:textId="77777777" w:rsidR="004A4405" w:rsidRPr="003B2C34" w:rsidRDefault="004A4405" w:rsidP="007A0DCC">
      <w:pPr>
        <w:spacing w:after="0" w:line="240" w:lineRule="auto"/>
      </w:pPr>
      <w:r w:rsidRPr="003B2C34">
        <w:separator/>
      </w:r>
    </w:p>
  </w:endnote>
  <w:endnote w:type="continuationSeparator" w:id="0">
    <w:p w14:paraId="76788B76" w14:textId="77777777" w:rsidR="004A4405" w:rsidRPr="003B2C34" w:rsidRDefault="004A4405" w:rsidP="007A0DCC">
      <w:pPr>
        <w:spacing w:after="0" w:line="240" w:lineRule="auto"/>
      </w:pPr>
      <w:r w:rsidRPr="003B2C34">
        <w:continuationSeparator/>
      </w:r>
    </w:p>
  </w:endnote>
  <w:endnote w:type="continuationNotice" w:id="1">
    <w:p w14:paraId="3A4847BD" w14:textId="77777777" w:rsidR="004A4405" w:rsidRPr="003B2C34" w:rsidRDefault="004A440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61E119" w14:textId="38286BA3" w:rsidR="006307CD" w:rsidRPr="006307CD" w:rsidRDefault="006307CD" w:rsidP="006307CD">
    <w:pPr>
      <w:pStyle w:val="FooterCoverPage"/>
      <w:rPr>
        <w:rFonts w:ascii="Arial" w:hAnsi="Arial" w:cs="Arial"/>
        <w:b/>
        <w:sz w:val="48"/>
      </w:rPr>
    </w:pPr>
    <w:r w:rsidRPr="006307CD">
      <w:rPr>
        <w:rFonts w:ascii="Arial" w:hAnsi="Arial" w:cs="Arial"/>
        <w:b/>
        <w:sz w:val="48"/>
      </w:rPr>
      <w:t>FR</w:t>
    </w:r>
    <w:r w:rsidRPr="006307CD">
      <w:rPr>
        <w:rFonts w:ascii="Arial" w:hAnsi="Arial" w:cs="Arial"/>
        <w:b/>
        <w:sz w:val="48"/>
      </w:rPr>
      <w:tab/>
    </w:r>
    <w:r w:rsidRPr="006307CD">
      <w:rPr>
        <w:rFonts w:ascii="Arial" w:hAnsi="Arial" w:cs="Arial"/>
        <w:b/>
        <w:sz w:val="48"/>
      </w:rPr>
      <w:tab/>
    </w:r>
    <w:r w:rsidRPr="006307CD">
      <w:tab/>
    </w:r>
    <w:r w:rsidRPr="006307CD">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E317B5" w14:textId="46FD880D" w:rsidR="006307CD" w:rsidRPr="006307CD" w:rsidRDefault="006307CD" w:rsidP="006307CD">
    <w:pPr>
      <w:pStyle w:val="FooterCoverPage"/>
      <w:rPr>
        <w:rFonts w:ascii="Arial" w:hAnsi="Arial" w:cs="Arial"/>
        <w:b/>
        <w:sz w:val="48"/>
      </w:rPr>
    </w:pPr>
    <w:r w:rsidRPr="006307CD">
      <w:rPr>
        <w:rFonts w:ascii="Arial" w:hAnsi="Arial" w:cs="Arial"/>
        <w:b/>
        <w:sz w:val="48"/>
      </w:rPr>
      <w:t>FR</w:t>
    </w:r>
    <w:r w:rsidRPr="006307CD">
      <w:rPr>
        <w:rFonts w:ascii="Arial" w:hAnsi="Arial" w:cs="Arial"/>
        <w:b/>
        <w:sz w:val="48"/>
      </w:rPr>
      <w:tab/>
    </w:r>
    <w:r w:rsidRPr="006307CD">
      <w:rPr>
        <w:rFonts w:ascii="Arial" w:hAnsi="Arial" w:cs="Arial"/>
        <w:b/>
        <w:sz w:val="48"/>
      </w:rPr>
      <w:tab/>
    </w:r>
    <w:r w:rsidRPr="006307CD">
      <w:tab/>
    </w:r>
    <w:r w:rsidRPr="006307CD">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C9B7D" w14:textId="77777777" w:rsidR="006307CD" w:rsidRPr="006307CD" w:rsidRDefault="006307CD" w:rsidP="006307CD">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37E4DE" w14:textId="77777777" w:rsidR="008F254C" w:rsidRPr="003B2C34" w:rsidRDefault="008F254C">
    <w:pPr>
      <w:pStyle w:val="Footer"/>
    </w:pPr>
  </w:p>
  <w:p w14:paraId="68B5F845" w14:textId="77777777" w:rsidR="00540D9B" w:rsidRPr="003B2C34" w:rsidRDefault="00540D9B"/>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75009727"/>
      <w:docPartObj>
        <w:docPartGallery w:val="Page Numbers (Bottom of Page)"/>
        <w:docPartUnique/>
      </w:docPartObj>
    </w:sdtPr>
    <w:sdtEndPr/>
    <w:sdtContent>
      <w:p w14:paraId="73FBCCBC" w14:textId="5E8E8461" w:rsidR="008F254C" w:rsidRPr="003B2C34" w:rsidRDefault="008F254C">
        <w:pPr>
          <w:pStyle w:val="Footer"/>
          <w:jc w:val="right"/>
        </w:pPr>
        <w:r w:rsidRPr="003B2C34">
          <w:fldChar w:fldCharType="begin"/>
        </w:r>
        <w:r w:rsidRPr="003B2C34">
          <w:instrText xml:space="preserve"> PAGE   \* MERGEFORMAT </w:instrText>
        </w:r>
        <w:r w:rsidRPr="003B2C34">
          <w:fldChar w:fldCharType="separate"/>
        </w:r>
        <w:r w:rsidR="006307CD">
          <w:t>1</w:t>
        </w:r>
        <w:r w:rsidRPr="003B2C34">
          <w:fldChar w:fldCharType="end"/>
        </w:r>
      </w:p>
    </w:sdtContent>
  </w:sdt>
  <w:p w14:paraId="54074217" w14:textId="77777777" w:rsidR="008F254C" w:rsidRPr="003B2C34" w:rsidRDefault="008F254C">
    <w:pPr>
      <w:pStyle w:val="Footer"/>
    </w:pPr>
  </w:p>
  <w:p w14:paraId="0B75528D" w14:textId="77777777" w:rsidR="00540D9B" w:rsidRPr="003B2C34" w:rsidRDefault="00540D9B"/>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6DA910" w14:textId="77777777" w:rsidR="008F254C" w:rsidRPr="003B2C34" w:rsidRDefault="008F25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351465" w14:textId="77777777" w:rsidR="004A4405" w:rsidRPr="003B2C34" w:rsidRDefault="004A4405" w:rsidP="007A0DCC">
      <w:pPr>
        <w:spacing w:after="0" w:line="240" w:lineRule="auto"/>
      </w:pPr>
      <w:r w:rsidRPr="003B2C34">
        <w:separator/>
      </w:r>
    </w:p>
  </w:footnote>
  <w:footnote w:type="continuationSeparator" w:id="0">
    <w:p w14:paraId="323EA8EF" w14:textId="77777777" w:rsidR="004A4405" w:rsidRPr="003B2C34" w:rsidRDefault="004A4405" w:rsidP="007A0DCC">
      <w:pPr>
        <w:spacing w:after="0" w:line="240" w:lineRule="auto"/>
      </w:pPr>
      <w:r w:rsidRPr="003B2C34">
        <w:continuationSeparator/>
      </w:r>
    </w:p>
  </w:footnote>
  <w:footnote w:type="continuationNotice" w:id="1">
    <w:p w14:paraId="431EABDC" w14:textId="77777777" w:rsidR="004A4405" w:rsidRPr="003B2C34" w:rsidRDefault="004A4405">
      <w:pPr>
        <w:spacing w:after="0" w:line="240" w:lineRule="auto"/>
      </w:pPr>
    </w:p>
  </w:footnote>
  <w:footnote w:id="2">
    <w:p w14:paraId="00FFA1F1" w14:textId="5EC7058F" w:rsidR="004176EE" w:rsidRPr="003B2C34" w:rsidRDefault="004176EE" w:rsidP="007259D0">
      <w:pPr>
        <w:pStyle w:val="FootnoteText"/>
        <w:jc w:val="both"/>
        <w:rPr>
          <w:rFonts w:ascii="Times New Roman" w:hAnsi="Times New Roman" w:cs="Times New Roman"/>
          <w:sz w:val="18"/>
          <w:szCs w:val="18"/>
        </w:rPr>
      </w:pPr>
      <w:r w:rsidRPr="003B2C34">
        <w:rPr>
          <w:rStyle w:val="FootnoteReference"/>
          <w:rFonts w:ascii="Times New Roman" w:hAnsi="Times New Roman" w:cs="Times New Roman"/>
          <w:sz w:val="18"/>
          <w:szCs w:val="18"/>
        </w:rPr>
        <w:footnoteRef/>
      </w:r>
      <w:r w:rsidRPr="003B2C34">
        <w:rPr>
          <w:rFonts w:ascii="Times New Roman" w:hAnsi="Times New Roman"/>
          <w:sz w:val="18"/>
        </w:rPr>
        <w:t xml:space="preserve"> Règlement (UE) 2023/2854 du Parlement européen et du Conseil du 13 décembre 2023 concernant des règles harmonisées portant sur l’équité de l’accès aux données et de l’utilisation des données et modifiant le règlement (UE) 2017/2394 et la directive (UE) 2020/1828</w:t>
      </w:r>
      <w:r w:rsidRPr="003B2C34">
        <w:t>.</w:t>
      </w:r>
    </w:p>
  </w:footnote>
  <w:footnote w:id="3">
    <w:p w14:paraId="3E66FA6B" w14:textId="142D3065" w:rsidR="004176EE" w:rsidRPr="003B2C34" w:rsidRDefault="004176EE" w:rsidP="007259D0">
      <w:pPr>
        <w:pStyle w:val="FootnoteText"/>
        <w:jc w:val="both"/>
        <w:rPr>
          <w:rFonts w:ascii="Times New Roman" w:hAnsi="Times New Roman" w:cs="Times New Roman"/>
          <w:sz w:val="18"/>
          <w:szCs w:val="18"/>
        </w:rPr>
      </w:pPr>
      <w:r w:rsidRPr="003B2C34">
        <w:rPr>
          <w:rStyle w:val="FootnoteReference"/>
          <w:rFonts w:ascii="Times New Roman" w:hAnsi="Times New Roman" w:cs="Times New Roman"/>
          <w:sz w:val="18"/>
          <w:szCs w:val="18"/>
        </w:rPr>
        <w:footnoteRef/>
      </w:r>
      <w:r w:rsidRPr="003B2C34">
        <w:rPr>
          <w:rFonts w:ascii="Times New Roman" w:hAnsi="Times New Roman"/>
          <w:sz w:val="18"/>
        </w:rPr>
        <w:t>Commission européenne, document de travail des services de la Commission sur les espaces européens communs des données, SWD (2024) 21 final, 24 janvier 2024</w:t>
      </w:r>
      <w:r w:rsidRPr="003B2C34">
        <w:t>.</w:t>
      </w:r>
    </w:p>
  </w:footnote>
  <w:footnote w:id="4">
    <w:p w14:paraId="70EE8608" w14:textId="24A64652" w:rsidR="004176EE" w:rsidRPr="003B2C34" w:rsidRDefault="004176EE" w:rsidP="007259D0">
      <w:pPr>
        <w:pStyle w:val="FootnoteText"/>
        <w:jc w:val="both"/>
        <w:rPr>
          <w:rFonts w:ascii="Times New Roman" w:hAnsi="Times New Roman" w:cs="Times New Roman"/>
          <w:sz w:val="18"/>
          <w:szCs w:val="18"/>
          <w:highlight w:val="yellow"/>
        </w:rPr>
      </w:pPr>
      <w:r w:rsidRPr="003B2C34">
        <w:rPr>
          <w:rStyle w:val="FootnoteReference"/>
          <w:rFonts w:ascii="Times New Roman" w:hAnsi="Times New Roman" w:cs="Times New Roman"/>
          <w:sz w:val="18"/>
          <w:szCs w:val="18"/>
        </w:rPr>
        <w:footnoteRef/>
      </w:r>
      <w:r w:rsidRPr="003B2C34">
        <w:rPr>
          <w:rFonts w:ascii="Times New Roman" w:hAnsi="Times New Roman"/>
          <w:sz w:val="18"/>
        </w:rPr>
        <w:t>Commission européenne, (2025)</w:t>
      </w:r>
      <w:r w:rsidRPr="003B2C34">
        <w:t>.</w:t>
      </w:r>
      <w:r w:rsidRPr="003B2C34">
        <w:rPr>
          <w:rFonts w:ascii="Times New Roman" w:hAnsi="Times New Roman"/>
          <w:sz w:val="18"/>
        </w:rPr>
        <w:t xml:space="preserve"> Plan d’action pour un continent de l’IA Communication de la Commission au Parlement européen, au Conseil, au Comité économique et social européen et au Comité des régions. COM(2025) 165 final. Bruxelles: Commission européenne</w:t>
      </w:r>
    </w:p>
  </w:footnote>
  <w:footnote w:id="5">
    <w:p w14:paraId="44EF7600" w14:textId="6BD1376A" w:rsidR="004176EE" w:rsidRPr="003B2C34" w:rsidRDefault="004176EE" w:rsidP="007259D0">
      <w:pPr>
        <w:pStyle w:val="FootnoteText"/>
        <w:jc w:val="both"/>
        <w:rPr>
          <w:rFonts w:ascii="Times New Roman" w:hAnsi="Times New Roman" w:cs="Times New Roman"/>
          <w:sz w:val="18"/>
          <w:szCs w:val="18"/>
        </w:rPr>
      </w:pPr>
      <w:r w:rsidRPr="003B2C34">
        <w:rPr>
          <w:rStyle w:val="FootnoteReference"/>
          <w:rFonts w:ascii="Times New Roman" w:hAnsi="Times New Roman" w:cs="Times New Roman"/>
          <w:sz w:val="18"/>
          <w:szCs w:val="18"/>
        </w:rPr>
        <w:footnoteRef/>
      </w:r>
      <w:r w:rsidRPr="003B2C34">
        <w:rPr>
          <w:rFonts w:ascii="Times New Roman" w:hAnsi="Times New Roman"/>
          <w:sz w:val="18"/>
        </w:rPr>
        <w:t>Commission européenne, Stratégie pour l’application de l’IA, COM (2025) 723 final, Bruxelles, 8 octobre 2025</w:t>
      </w:r>
      <w:r w:rsidRPr="003B2C34">
        <w:t>.</w:t>
      </w:r>
    </w:p>
  </w:footnote>
  <w:footnote w:id="6">
    <w:p w14:paraId="01BEECC2" w14:textId="77777777" w:rsidR="0049371B" w:rsidRPr="003B2C34" w:rsidRDefault="0049371B" w:rsidP="0049371B">
      <w:pPr>
        <w:pStyle w:val="FootnoteText"/>
        <w:rPr>
          <w:rFonts w:ascii="Times New Roman" w:hAnsi="Times New Roman" w:cs="Times New Roman"/>
          <w:sz w:val="18"/>
          <w:szCs w:val="18"/>
        </w:rPr>
      </w:pPr>
      <w:r w:rsidRPr="003B2C34">
        <w:rPr>
          <w:rStyle w:val="FootnoteReference"/>
          <w:rFonts w:ascii="Times New Roman" w:hAnsi="Times New Roman" w:cs="Times New Roman"/>
          <w:sz w:val="18"/>
          <w:szCs w:val="18"/>
        </w:rPr>
        <w:footnoteRef/>
      </w:r>
      <w:r w:rsidRPr="003B2C34">
        <w:rPr>
          <w:rFonts w:ascii="Times New Roman" w:hAnsi="Times New Roman"/>
          <w:sz w:val="18"/>
        </w:rPr>
        <w:t xml:space="preserve"> </w:t>
      </w:r>
      <w:hyperlink r:id="rId1" w:history="1">
        <w:r w:rsidRPr="003B2C34">
          <w:rPr>
            <w:rStyle w:val="Hyperlink"/>
            <w:rFonts w:ascii="Times New Roman" w:hAnsi="Times New Roman"/>
            <w:sz w:val="18"/>
          </w:rPr>
          <w:t>Clauses contractuelles types relatives à l’IA mises à jour</w:t>
        </w:r>
      </w:hyperlink>
      <w:r w:rsidRPr="003B2C34">
        <w:t>.</w:t>
      </w:r>
      <w:hyperlink r:id="rId2" w:history="1">
        <w:r w:rsidRPr="003B2C34">
          <w:rPr>
            <w:rStyle w:val="Hyperlink"/>
            <w:rFonts w:ascii="Times New Roman" w:hAnsi="Times New Roman"/>
            <w:sz w:val="18"/>
          </w:rPr>
          <w:t xml:space="preserve"> Public Buyers Community</w:t>
        </w:r>
      </w:hyperlink>
    </w:p>
  </w:footnote>
  <w:footnote w:id="7">
    <w:p w14:paraId="433DBE45" w14:textId="3D4D1D8A" w:rsidR="00031B74" w:rsidRPr="003B2C34" w:rsidRDefault="00031B74" w:rsidP="007259D0">
      <w:pPr>
        <w:pStyle w:val="FootnoteText"/>
        <w:jc w:val="both"/>
        <w:rPr>
          <w:rFonts w:ascii="Times New Roman" w:hAnsi="Times New Roman" w:cs="Times New Roman"/>
          <w:sz w:val="18"/>
          <w:szCs w:val="18"/>
        </w:rPr>
      </w:pPr>
      <w:r w:rsidRPr="003B2C34">
        <w:rPr>
          <w:rStyle w:val="FootnoteReference"/>
          <w:rFonts w:ascii="Times New Roman" w:hAnsi="Times New Roman" w:cs="Times New Roman"/>
          <w:sz w:val="18"/>
          <w:szCs w:val="18"/>
        </w:rPr>
        <w:footnoteRef/>
      </w:r>
      <w:r w:rsidRPr="003B2C34">
        <w:rPr>
          <w:rFonts w:ascii="Times New Roman" w:hAnsi="Times New Roman"/>
          <w:sz w:val="18"/>
        </w:rPr>
        <w:t>La stratégie européenne pour les données — Façonner l’avenir numérique de l’Europe, Office des publications, 2020,</w:t>
      </w:r>
      <w:r w:rsidRPr="003B2C34">
        <w:t xml:space="preserve"> </w:t>
      </w:r>
      <w:hyperlink r:id="rId3" w:tgtFrame="_blank" w:history="1">
        <w:r w:rsidRPr="003B2C34">
          <w:rPr>
            <w:rStyle w:val="Hyperlink"/>
            <w:rFonts w:ascii="Times New Roman" w:hAnsi="Times New Roman"/>
            <w:i/>
            <w:sz w:val="18"/>
          </w:rPr>
          <w:t>https://data.europa.eu/doi/10.2775/645928</w:t>
        </w:r>
      </w:hyperlink>
    </w:p>
  </w:footnote>
  <w:footnote w:id="8">
    <w:p w14:paraId="5CF667B5" w14:textId="71F5CA00" w:rsidR="00F25C6B" w:rsidRPr="003B2C34" w:rsidRDefault="00F25C6B" w:rsidP="00F25C6B">
      <w:pPr>
        <w:pStyle w:val="FootnoteText"/>
        <w:jc w:val="both"/>
        <w:rPr>
          <w:rFonts w:ascii="Times New Roman" w:hAnsi="Times New Roman" w:cs="Times New Roman"/>
          <w:sz w:val="18"/>
          <w:szCs w:val="18"/>
        </w:rPr>
      </w:pPr>
      <w:r w:rsidRPr="003B2C34">
        <w:rPr>
          <w:rStyle w:val="FootnoteReference"/>
          <w:rFonts w:ascii="Times New Roman" w:hAnsi="Times New Roman" w:cs="Times New Roman"/>
          <w:sz w:val="18"/>
          <w:szCs w:val="18"/>
        </w:rPr>
        <w:footnoteRef/>
      </w:r>
      <w:r w:rsidRPr="003B2C34">
        <w:tab/>
      </w:r>
      <w:r w:rsidRPr="003B2C34">
        <w:rPr>
          <w:rFonts w:ascii="Times New Roman" w:hAnsi="Times New Roman"/>
          <w:sz w:val="18"/>
        </w:rPr>
        <w:t xml:space="preserve">Décision d’exécution C(2025) 4135 de la Commission du 1 juillet 2025 relative à une demande de normalisation adressée aux organisations européennes de normalisation en ce qui concerne un cadre européen de données fiables à l’appui du règlement (UE) 2023/2854 du Parlement européen et du Conseil </w:t>
      </w:r>
      <w:hyperlink r:id="rId4" w:history="1">
        <w:r w:rsidRPr="003B2C34">
          <w:rPr>
            <w:rStyle w:val="Hyperlink"/>
            <w:rFonts w:ascii="Times New Roman" w:hAnsi="Times New Roman"/>
            <w:sz w:val="18"/>
          </w:rPr>
          <w:t>https://ec.europa.eu/growth/tools-databases/enorm/mandate/614_en</w:t>
        </w:r>
      </w:hyperlink>
      <w:r w:rsidRPr="003B2C34">
        <w:rPr>
          <w:rFonts w:ascii="Times New Roman" w:hAnsi="Times New Roman"/>
          <w:sz w:val="18"/>
        </w:rPr>
        <w:t xml:space="preserve"> (consulté le 27 octobre 2025)</w:t>
      </w:r>
    </w:p>
  </w:footnote>
  <w:footnote w:id="9">
    <w:p w14:paraId="6CF3E850" w14:textId="47E30F85" w:rsidR="00CE1992" w:rsidRPr="003B2C34" w:rsidRDefault="00972029" w:rsidP="50D01B2F">
      <w:pPr>
        <w:pStyle w:val="FootnoteText"/>
        <w:jc w:val="both"/>
        <w:rPr>
          <w:rFonts w:ascii="Times New Roman" w:eastAsia="Times New Roman" w:hAnsi="Times New Roman" w:cs="Times New Roman"/>
          <w:sz w:val="18"/>
          <w:szCs w:val="18"/>
        </w:rPr>
      </w:pPr>
      <w:r w:rsidRPr="003B2C34">
        <w:rPr>
          <w:rStyle w:val="FootnoteReference"/>
          <w:rFonts w:ascii="Times New Roman" w:hAnsi="Times New Roman" w:cs="Times New Roman"/>
          <w:sz w:val="18"/>
          <w:szCs w:val="18"/>
        </w:rPr>
        <w:footnoteRef/>
      </w:r>
      <w:r w:rsidRPr="003B2C34">
        <w:rPr>
          <w:rFonts w:ascii="Times New Roman" w:hAnsi="Times New Roman"/>
          <w:sz w:val="18"/>
        </w:rPr>
        <w:t>L’IA agentique est un système d’IA capable de prendre des décisions et d’adopter des mesures de manière indépendante</w:t>
      </w:r>
      <w:r w:rsidRPr="003B2C34">
        <w:t>.</w:t>
      </w:r>
      <w:r w:rsidRPr="003B2C34">
        <w:rPr>
          <w:rFonts w:ascii="Times New Roman" w:hAnsi="Times New Roman"/>
          <w:sz w:val="18"/>
        </w:rPr>
        <w:t xml:space="preserve"> Cela permet aux agents de comprendre le langage, de raisonner sur des tâches, d’agir de manière autonome pour atteindre des objectifs prédéfinis et d’interagir avec le monde qui les entoure, en orchestrant des interactions, y compris avec les humains.</w:t>
      </w:r>
    </w:p>
  </w:footnote>
  <w:footnote w:id="10">
    <w:p w14:paraId="0D70F76B" w14:textId="6FA63087" w:rsidR="00AF0DCA" w:rsidRPr="003B2C34" w:rsidRDefault="00AF0DCA" w:rsidP="00372646">
      <w:pPr>
        <w:pStyle w:val="FootnoteText"/>
        <w:jc w:val="both"/>
        <w:rPr>
          <w:rFonts w:ascii="Times New Roman" w:hAnsi="Times New Roman" w:cs="Times New Roman"/>
          <w:sz w:val="18"/>
          <w:szCs w:val="18"/>
        </w:rPr>
      </w:pPr>
      <w:r w:rsidRPr="003B2C34">
        <w:rPr>
          <w:rStyle w:val="FootnoteReference"/>
          <w:rFonts w:ascii="Times New Roman" w:hAnsi="Times New Roman" w:cs="Times New Roman"/>
          <w:sz w:val="18"/>
          <w:szCs w:val="18"/>
        </w:rPr>
        <w:footnoteRef/>
      </w:r>
      <w:r w:rsidRPr="003B2C34">
        <w:rPr>
          <w:rFonts w:ascii="Times New Roman" w:hAnsi="Times New Roman"/>
          <w:sz w:val="18"/>
        </w:rPr>
        <w:t xml:space="preserve"> Robi Rahman et David Owen (2024), «La taille des ensembles de données utilisés pour entraîner les modèles de langage double approximativement tous les six mois». </w:t>
      </w:r>
      <w:r w:rsidRPr="003B2C34">
        <w:rPr>
          <w:rFonts w:ascii="Times New Roman" w:hAnsi="Times New Roman"/>
          <w:i/>
          <w:sz w:val="18"/>
        </w:rPr>
        <w:t>Publié en ligne sur epoch.ai.</w:t>
      </w:r>
      <w:r w:rsidRPr="003B2C34">
        <w:rPr>
          <w:rFonts w:ascii="Times New Roman" w:hAnsi="Times New Roman"/>
          <w:sz w:val="18"/>
        </w:rPr>
        <w:t xml:space="preserve"> Disponible à l’adresse: «https://epoch.ai/data-insights/dataset-size-trend» [ressource en ligne]</w:t>
      </w:r>
    </w:p>
  </w:footnote>
  <w:footnote w:id="11">
    <w:p w14:paraId="77F6544A" w14:textId="67D03DE3" w:rsidR="00E51AA2" w:rsidRPr="003B2C34" w:rsidRDefault="00E51AA2" w:rsidP="00372646">
      <w:pPr>
        <w:pStyle w:val="FootnoteText"/>
        <w:jc w:val="both"/>
        <w:rPr>
          <w:rFonts w:ascii="Times New Roman" w:hAnsi="Times New Roman" w:cs="Times New Roman"/>
          <w:sz w:val="18"/>
          <w:szCs w:val="18"/>
        </w:rPr>
      </w:pPr>
      <w:r w:rsidRPr="003B2C34">
        <w:rPr>
          <w:rStyle w:val="FootnoteReference"/>
          <w:rFonts w:ascii="Times New Roman" w:hAnsi="Times New Roman" w:cs="Times New Roman"/>
          <w:sz w:val="18"/>
          <w:szCs w:val="18"/>
        </w:rPr>
        <w:footnoteRef/>
      </w:r>
      <w:r w:rsidRPr="003B2C34">
        <w:rPr>
          <w:rFonts w:ascii="Times New Roman" w:hAnsi="Times New Roman"/>
          <w:sz w:val="18"/>
        </w:rPr>
        <w:t xml:space="preserve"> Villalobos, P., Ho, A., Sevilla, J., Besiroglu, T., Heim, L., &amp; Hobbhahn, M. (2024). </w:t>
      </w:r>
      <w:r w:rsidRPr="003B2C34">
        <w:rPr>
          <w:rFonts w:ascii="Times New Roman" w:hAnsi="Times New Roman"/>
          <w:i/>
          <w:sz w:val="18"/>
        </w:rPr>
        <w:t>Position: Will we run out of data? Limits of LLM scaling based on human-generated data</w:t>
      </w:r>
      <w:r w:rsidRPr="003B2C34">
        <w:rPr>
          <w:rFonts w:ascii="Times New Roman" w:hAnsi="Times New Roman"/>
          <w:sz w:val="18"/>
        </w:rPr>
        <w:t xml:space="preserve">. Dans K. Chaudhuri, S. Jegelka, L. Song, D. L. Silver, &amp; Y. Ermon (Eds.), </w:t>
      </w:r>
      <w:r w:rsidRPr="003B2C34">
        <w:rPr>
          <w:rFonts w:ascii="Times New Roman" w:hAnsi="Times New Roman"/>
          <w:i/>
          <w:iCs/>
          <w:sz w:val="18"/>
        </w:rPr>
        <w:t>Proceedings of the 41st International Conference on Machine Learning</w:t>
      </w:r>
      <w:r w:rsidRPr="003B2C34">
        <w:rPr>
          <w:rFonts w:ascii="Times New Roman" w:hAnsi="Times New Roman"/>
          <w:sz w:val="18"/>
        </w:rPr>
        <w:t xml:space="preserve"> (Vol. 235, p. 42085-42101). PMLR. https://proceedings.mlr.press/v235/villalobos24a.html </w:t>
      </w:r>
    </w:p>
  </w:footnote>
  <w:footnote w:id="12">
    <w:p w14:paraId="562E5B66" w14:textId="62CAC265" w:rsidR="007107A0" w:rsidRPr="003B2C34" w:rsidRDefault="007107A0">
      <w:pPr>
        <w:pStyle w:val="FootnoteText"/>
        <w:rPr>
          <w:rFonts w:ascii="Times New Roman" w:hAnsi="Times New Roman" w:cs="Times New Roman"/>
          <w:sz w:val="18"/>
          <w:szCs w:val="18"/>
        </w:rPr>
      </w:pPr>
      <w:r w:rsidRPr="003B2C34">
        <w:rPr>
          <w:rStyle w:val="FootnoteReference"/>
          <w:rFonts w:ascii="Times New Roman" w:hAnsi="Times New Roman" w:cs="Times New Roman"/>
          <w:sz w:val="18"/>
          <w:szCs w:val="18"/>
        </w:rPr>
        <w:footnoteRef/>
      </w:r>
      <w:r w:rsidRPr="003B2C34">
        <w:rPr>
          <w:rFonts w:ascii="Times New Roman" w:hAnsi="Times New Roman"/>
          <w:sz w:val="18"/>
        </w:rPr>
        <w:t>Règlement (UE) 2022/868 du Parlement européen et du Conseil du 30 mai 2022 portant sur la gouvernance européenne des données et modifiant le règlement (UE) 2018/1724 (règlement sur la gouvernance des données) (JO L 152 du 3.6.2022, p. 1).</w:t>
      </w:r>
    </w:p>
  </w:footnote>
  <w:footnote w:id="13">
    <w:p w14:paraId="4F553E7F" w14:textId="374B6EFE" w:rsidR="00770F56" w:rsidRPr="003B2C34" w:rsidRDefault="00770F56">
      <w:pPr>
        <w:pStyle w:val="FootnoteText"/>
        <w:rPr>
          <w:rFonts w:ascii="Times New Roman" w:hAnsi="Times New Roman" w:cs="Times New Roman"/>
          <w:sz w:val="18"/>
          <w:szCs w:val="18"/>
        </w:rPr>
      </w:pPr>
      <w:r w:rsidRPr="003B2C34">
        <w:rPr>
          <w:rStyle w:val="FootnoteReference"/>
          <w:rFonts w:ascii="Times New Roman" w:hAnsi="Times New Roman" w:cs="Times New Roman"/>
          <w:sz w:val="18"/>
          <w:szCs w:val="18"/>
        </w:rPr>
        <w:footnoteRef/>
      </w:r>
      <w:r w:rsidRPr="003B2C34">
        <w:rPr>
          <w:rFonts w:ascii="Times New Roman" w:hAnsi="Times New Roman"/>
          <w:sz w:val="18"/>
        </w:rPr>
        <w:t>Règlement (UE) 2025/327 du Parlement européen et du Conseil du 11 février 2025 relatif à l’espace européen des données de santé et modifiant la directive 2011/24/UE et le règlement (UE) 2024/2847.</w:t>
      </w:r>
    </w:p>
  </w:footnote>
  <w:footnote w:id="14">
    <w:p w14:paraId="5C979FD8" w14:textId="13DEC45F" w:rsidR="00743F25" w:rsidRPr="003B2C34" w:rsidRDefault="00743F25" w:rsidP="007259D0">
      <w:pPr>
        <w:pStyle w:val="FootnoteText"/>
        <w:jc w:val="both"/>
        <w:rPr>
          <w:rFonts w:ascii="Times New Roman" w:hAnsi="Times New Roman" w:cs="Times New Roman"/>
          <w:sz w:val="18"/>
          <w:szCs w:val="18"/>
        </w:rPr>
      </w:pPr>
      <w:r w:rsidRPr="003B2C34">
        <w:rPr>
          <w:rStyle w:val="FootnoteReference"/>
          <w:rFonts w:ascii="Times New Roman" w:hAnsi="Times New Roman" w:cs="Times New Roman"/>
          <w:sz w:val="18"/>
          <w:szCs w:val="18"/>
        </w:rPr>
        <w:footnoteRef/>
      </w:r>
      <w:r w:rsidRPr="003B2C34">
        <w:rPr>
          <w:rFonts w:ascii="Times New Roman" w:hAnsi="Times New Roman"/>
          <w:sz w:val="18"/>
        </w:rPr>
        <w:t>Règlement (UE) 2016/679 du Parlement européen et du Conseil du 27 avril 2016 relatif à la protection des personnes physiques à l’égard du traitement des données à caractère personnel et à la libre circulation de ces données, et abrogeant la directive 95/46/CE.</w:t>
      </w:r>
    </w:p>
  </w:footnote>
  <w:footnote w:id="15">
    <w:p w14:paraId="10969338" w14:textId="64202688" w:rsidR="0021389B" w:rsidRPr="003B2C34" w:rsidRDefault="0021389B" w:rsidP="007259D0">
      <w:pPr>
        <w:pStyle w:val="FootnoteText"/>
        <w:jc w:val="both"/>
        <w:rPr>
          <w:rFonts w:ascii="Times New Roman" w:hAnsi="Times New Roman" w:cs="Times New Roman"/>
          <w:sz w:val="18"/>
          <w:szCs w:val="18"/>
        </w:rPr>
      </w:pPr>
      <w:r w:rsidRPr="003B2C34">
        <w:rPr>
          <w:rStyle w:val="FootnoteReference"/>
          <w:rFonts w:ascii="Times New Roman" w:hAnsi="Times New Roman" w:cs="Times New Roman"/>
          <w:sz w:val="18"/>
          <w:szCs w:val="18"/>
        </w:rPr>
        <w:footnoteRef/>
      </w:r>
      <w:r w:rsidRPr="003B2C34">
        <w:rPr>
          <w:rFonts w:ascii="Times New Roman" w:hAnsi="Times New Roman"/>
          <w:sz w:val="18"/>
        </w:rPr>
        <w:t>Les données synthétiques sont des données générées artificiellement qui ne sont pas collectées à partir d’événements réels, mais qui sont conçues pour reproduire statistiquement les propriétés, les schémas et les relations d’un ensemble de données réel.</w:t>
      </w:r>
    </w:p>
  </w:footnote>
  <w:footnote w:id="16">
    <w:p w14:paraId="627AB370" w14:textId="49B1A9FC" w:rsidR="000F632D" w:rsidRPr="003B2C34" w:rsidRDefault="000F632D" w:rsidP="000F632D">
      <w:pPr>
        <w:pStyle w:val="FootnoteText"/>
        <w:jc w:val="both"/>
        <w:rPr>
          <w:rFonts w:ascii="Times New Roman" w:hAnsi="Times New Roman" w:cs="Times New Roman"/>
          <w:sz w:val="18"/>
          <w:szCs w:val="18"/>
        </w:rPr>
      </w:pPr>
      <w:r w:rsidRPr="003B2C34">
        <w:rPr>
          <w:rStyle w:val="FootnoteReference"/>
          <w:rFonts w:ascii="Times New Roman" w:hAnsi="Times New Roman" w:cs="Times New Roman"/>
          <w:sz w:val="18"/>
          <w:szCs w:val="18"/>
        </w:rPr>
        <w:footnoteRef/>
      </w:r>
      <w:r w:rsidRPr="003B2C34">
        <w:rPr>
          <w:rFonts w:ascii="Times New Roman" w:hAnsi="Times New Roman"/>
          <w:sz w:val="18"/>
        </w:rPr>
        <w:t>Simpl est un intergiciel à code source ouvert et sécurisé qui soutient l’accès aux données et l’interopérabilité dans les initiatives européennes en matière de données</w:t>
      </w:r>
      <w:r w:rsidRPr="003B2C34">
        <w:t>.</w:t>
      </w:r>
      <w:r w:rsidRPr="003B2C34">
        <w:rPr>
          <w:rFonts w:ascii="Times New Roman" w:hAnsi="Times New Roman"/>
          <w:sz w:val="18"/>
        </w:rPr>
        <w:t xml:space="preserve"> Il fournit plusieurs composants compatibles, d’utilisation gratuite, conformes à une norme commune en matière de qualité et de partage des données; </w:t>
      </w:r>
      <w:hyperlink r:id="rId5" w:history="1">
        <w:r w:rsidRPr="003B2C34">
          <w:rPr>
            <w:rStyle w:val="Hyperlink"/>
            <w:rFonts w:ascii="Times New Roman" w:hAnsi="Times New Roman"/>
            <w:sz w:val="18"/>
          </w:rPr>
          <w:t>https://simpl-programme.ec.europa.eu/</w:t>
        </w:r>
      </w:hyperlink>
      <w:r w:rsidRPr="003B2C34">
        <w:t>.</w:t>
      </w:r>
      <w:r w:rsidRPr="003B2C34">
        <w:rPr>
          <w:rFonts w:ascii="Times New Roman" w:hAnsi="Times New Roman"/>
          <w:sz w:val="18"/>
        </w:rPr>
        <w:t xml:space="preserve"> </w:t>
      </w:r>
    </w:p>
  </w:footnote>
  <w:footnote w:id="17">
    <w:p w14:paraId="6C4C2101" w14:textId="77777777" w:rsidR="00A96E5C" w:rsidRPr="003B2C34" w:rsidRDefault="00A96E5C" w:rsidP="00A96E5C">
      <w:pPr>
        <w:pStyle w:val="FootnoteText"/>
        <w:rPr>
          <w:rFonts w:ascii="Times New Roman" w:hAnsi="Times New Roman" w:cs="Times New Roman"/>
          <w:sz w:val="18"/>
          <w:szCs w:val="18"/>
        </w:rPr>
      </w:pPr>
      <w:r w:rsidRPr="003B2C34">
        <w:rPr>
          <w:rStyle w:val="FootnoteReference"/>
          <w:rFonts w:ascii="Times New Roman" w:hAnsi="Times New Roman" w:cs="Times New Roman"/>
          <w:sz w:val="18"/>
          <w:szCs w:val="18"/>
        </w:rPr>
        <w:footnoteRef/>
      </w:r>
      <w:r w:rsidRPr="003B2C34">
        <w:rPr>
          <w:rFonts w:ascii="Times New Roman" w:hAnsi="Times New Roman"/>
          <w:sz w:val="18"/>
        </w:rPr>
        <w:t>Ils s’appuieront également sur les actions menées dans le cadre du plan européen pour vaincre le cancer, de la stratégie pour les sciences du vivant et du plan de l’UE pour la santé cardiovasculaire</w:t>
      </w:r>
      <w:r w:rsidRPr="003B2C34">
        <w:t>.</w:t>
      </w:r>
    </w:p>
  </w:footnote>
  <w:footnote w:id="18">
    <w:p w14:paraId="315C2197" w14:textId="77777777" w:rsidR="00A96E5C" w:rsidRPr="003B2C34" w:rsidRDefault="00A96E5C" w:rsidP="00A96E5C">
      <w:pPr>
        <w:pStyle w:val="FootnoteText"/>
        <w:rPr>
          <w:rFonts w:ascii="Times New Roman" w:hAnsi="Times New Roman" w:cs="Times New Roman"/>
          <w:sz w:val="18"/>
          <w:szCs w:val="18"/>
        </w:rPr>
      </w:pPr>
      <w:r w:rsidRPr="003B2C34">
        <w:rPr>
          <w:rStyle w:val="FootnoteReference"/>
          <w:rFonts w:ascii="Times New Roman" w:hAnsi="Times New Roman" w:cs="Times New Roman"/>
          <w:sz w:val="18"/>
          <w:szCs w:val="18"/>
        </w:rPr>
        <w:footnoteRef/>
      </w:r>
      <w:r w:rsidRPr="003B2C34">
        <w:rPr>
          <w:rFonts w:ascii="Times New Roman" w:hAnsi="Times New Roman"/>
          <w:sz w:val="18"/>
        </w:rPr>
        <w:t>Cette initiative sera guidée par l’étude de faisabilité de l’Agence européenne de défense prévue pour la fin de 2025</w:t>
      </w:r>
      <w:r w:rsidRPr="003B2C34">
        <w:t>.</w:t>
      </w:r>
    </w:p>
  </w:footnote>
  <w:footnote w:id="19">
    <w:p w14:paraId="48C358AD" w14:textId="3B7CCCDE" w:rsidR="00B114AC" w:rsidRPr="003B2C34" w:rsidRDefault="00B114AC" w:rsidP="009D6F81">
      <w:pPr>
        <w:pStyle w:val="FootnoteText"/>
        <w:jc w:val="both"/>
        <w:rPr>
          <w:rFonts w:ascii="Times New Roman" w:hAnsi="Times New Roman" w:cs="Times New Roman"/>
          <w:sz w:val="18"/>
          <w:szCs w:val="18"/>
        </w:rPr>
      </w:pPr>
      <w:r w:rsidRPr="003B2C34">
        <w:rPr>
          <w:rStyle w:val="FootnoteReference"/>
          <w:rFonts w:ascii="Times New Roman" w:hAnsi="Times New Roman" w:cs="Times New Roman"/>
          <w:sz w:val="18"/>
          <w:szCs w:val="18"/>
        </w:rPr>
        <w:footnoteRef/>
      </w:r>
      <w:r w:rsidRPr="003B2C34">
        <w:rPr>
          <w:rFonts w:ascii="Times New Roman" w:hAnsi="Times New Roman"/>
          <w:sz w:val="18"/>
        </w:rPr>
        <w:t>Dans certains contextes, le terme «conteneurs de données» est utilisé pour désigner des installations similaires qui permettent d’utiliser les données de manière structurée, sécurisée et fiable dans différents contextes</w:t>
      </w:r>
      <w:r w:rsidRPr="003B2C34">
        <w:t>.</w:t>
      </w:r>
      <w:r w:rsidRPr="003B2C34">
        <w:rPr>
          <w:rFonts w:ascii="Times New Roman" w:hAnsi="Times New Roman"/>
          <w:sz w:val="18"/>
        </w:rPr>
        <w:t xml:space="preserve"> Associées au concept plus large de «conteneurisation des données», elles reflètent une approche complémentaire de l’organisation et de la gouvernance de l’échange de données, favorisant l’interopérabilité et la cohérence dans l’ensemble de l’écosystème d’IA de l’UE.</w:t>
      </w:r>
    </w:p>
  </w:footnote>
  <w:footnote w:id="20">
    <w:p w14:paraId="297CDAC2" w14:textId="4044A2EA" w:rsidR="00E71225" w:rsidRPr="003B2C34" w:rsidRDefault="00E71225" w:rsidP="007259D0">
      <w:pPr>
        <w:pStyle w:val="FootnoteText"/>
        <w:jc w:val="both"/>
        <w:rPr>
          <w:rFonts w:ascii="Times New Roman" w:hAnsi="Times New Roman" w:cs="Times New Roman"/>
          <w:sz w:val="18"/>
          <w:szCs w:val="18"/>
        </w:rPr>
      </w:pPr>
      <w:r w:rsidRPr="003B2C34">
        <w:rPr>
          <w:rStyle w:val="FootnoteReference"/>
          <w:rFonts w:ascii="Times New Roman" w:hAnsi="Times New Roman" w:cs="Times New Roman"/>
          <w:sz w:val="18"/>
          <w:szCs w:val="18"/>
        </w:rPr>
        <w:footnoteRef/>
      </w:r>
      <w:r w:rsidRPr="003B2C34">
        <w:rPr>
          <w:rFonts w:ascii="Times New Roman" w:hAnsi="Times New Roman"/>
          <w:sz w:val="18"/>
        </w:rPr>
        <w:t>La combinaison et le partage de données provenant de sources multiples dans un répertoire unique centralisé ou un environnement partagé.</w:t>
      </w:r>
    </w:p>
  </w:footnote>
  <w:footnote w:id="21">
    <w:p w14:paraId="40900867" w14:textId="648915CB" w:rsidR="00E71225" w:rsidRPr="003B2C34" w:rsidRDefault="00E71225" w:rsidP="007259D0">
      <w:pPr>
        <w:pStyle w:val="FootnoteText"/>
        <w:jc w:val="both"/>
        <w:rPr>
          <w:rFonts w:ascii="Times New Roman" w:hAnsi="Times New Roman" w:cs="Times New Roman"/>
          <w:sz w:val="18"/>
          <w:szCs w:val="18"/>
        </w:rPr>
      </w:pPr>
      <w:r w:rsidRPr="003B2C34">
        <w:rPr>
          <w:rStyle w:val="FootnoteReference"/>
          <w:rFonts w:ascii="Times New Roman" w:hAnsi="Times New Roman" w:cs="Times New Roman"/>
          <w:sz w:val="18"/>
          <w:szCs w:val="18"/>
        </w:rPr>
        <w:footnoteRef/>
      </w:r>
      <w:r w:rsidRPr="003B2C34">
        <w:rPr>
          <w:rFonts w:ascii="Times New Roman" w:hAnsi="Times New Roman"/>
          <w:sz w:val="18"/>
        </w:rPr>
        <w:t>L’organisation, l’intégration, la validation et la maintenance des données, y compris leur étiquetage, afin d’améliorer l’accès et l’utilisation</w:t>
      </w:r>
      <w:r w:rsidRPr="003B2C34">
        <w:t>.</w:t>
      </w:r>
    </w:p>
  </w:footnote>
  <w:footnote w:id="22">
    <w:p w14:paraId="245D4ECE" w14:textId="66ED4388" w:rsidR="00E71225" w:rsidRPr="003B2C34" w:rsidRDefault="00E71225" w:rsidP="007259D0">
      <w:pPr>
        <w:pStyle w:val="FootnoteText"/>
        <w:jc w:val="both"/>
        <w:rPr>
          <w:rFonts w:ascii="Times New Roman" w:hAnsi="Times New Roman" w:cs="Times New Roman"/>
          <w:sz w:val="18"/>
          <w:szCs w:val="18"/>
        </w:rPr>
      </w:pPr>
      <w:r w:rsidRPr="003B2C34">
        <w:rPr>
          <w:rStyle w:val="FootnoteReference"/>
          <w:rFonts w:ascii="Times New Roman" w:hAnsi="Times New Roman" w:cs="Times New Roman"/>
          <w:sz w:val="18"/>
          <w:szCs w:val="18"/>
        </w:rPr>
        <w:footnoteRef/>
      </w:r>
      <w:r w:rsidRPr="003B2C34">
        <w:rPr>
          <w:rFonts w:ascii="Times New Roman" w:hAnsi="Times New Roman"/>
          <w:sz w:val="18"/>
        </w:rPr>
        <w:t>Article 4, paragraphe 5, du règlement (UE) 2016/679: «le traitement de données à caractère personnel de telle façon que celles-ci ne puissent plus être attribuées à une personne concernée précise sans avoir recours à des informations supplémentaires, pour autant que ces informations supplémentaires soient conservées séparément et soumises à des mesures techniques et organisationnelles afin de garantir que les données à caractère personnel ne sont pas attribuées à une personne physique identifiée ou identifiable.»</w:t>
      </w:r>
    </w:p>
  </w:footnote>
  <w:footnote w:id="23">
    <w:p w14:paraId="569A8182" w14:textId="2F7665CA" w:rsidR="006C2F7C" w:rsidRPr="003B2C34" w:rsidRDefault="006C2F7C">
      <w:pPr>
        <w:pStyle w:val="FootnoteText"/>
        <w:rPr>
          <w:rFonts w:ascii="Times New Roman" w:hAnsi="Times New Roman" w:cs="Times New Roman"/>
          <w:sz w:val="18"/>
          <w:szCs w:val="18"/>
        </w:rPr>
      </w:pPr>
      <w:r w:rsidRPr="003B2C34">
        <w:rPr>
          <w:rStyle w:val="FootnoteReference"/>
          <w:rFonts w:ascii="Times New Roman" w:hAnsi="Times New Roman" w:cs="Times New Roman"/>
          <w:sz w:val="18"/>
          <w:szCs w:val="18"/>
        </w:rPr>
        <w:footnoteRef/>
      </w:r>
      <w:r w:rsidRPr="003B2C34">
        <w:rPr>
          <w:rFonts w:ascii="Times New Roman" w:hAnsi="Times New Roman"/>
          <w:sz w:val="18"/>
        </w:rPr>
        <w:t>La latence est le temps nécessaire pour que les données passent d’un point d’un réseau à un autre.</w:t>
      </w:r>
    </w:p>
  </w:footnote>
  <w:footnote w:id="24">
    <w:p w14:paraId="7AB3EFBC" w14:textId="23E36595" w:rsidR="00D11B2C" w:rsidRPr="003B2C34" w:rsidRDefault="00D11B2C" w:rsidP="00372646">
      <w:pPr>
        <w:pStyle w:val="FootnoteText"/>
        <w:jc w:val="both"/>
        <w:rPr>
          <w:rFonts w:ascii="Times New Roman" w:hAnsi="Times New Roman" w:cs="Times New Roman"/>
          <w:sz w:val="18"/>
          <w:szCs w:val="18"/>
        </w:rPr>
      </w:pPr>
      <w:r w:rsidRPr="003B2C34">
        <w:rPr>
          <w:rStyle w:val="FootnoteReference"/>
          <w:rFonts w:ascii="Times New Roman" w:hAnsi="Times New Roman" w:cs="Times New Roman"/>
          <w:sz w:val="18"/>
          <w:szCs w:val="18"/>
        </w:rPr>
        <w:footnoteRef/>
      </w:r>
      <w:r w:rsidRPr="003B2C34">
        <w:rPr>
          <w:rFonts w:ascii="Times New Roman" w:hAnsi="Times New Roman"/>
          <w:sz w:val="18"/>
        </w:rPr>
        <w:t>Conformément à l’annexe I de la directive sur les données ouvertes, ces ensembles de données de forte valeur proviennent des catégories suivantes: secteur géospatial, observation de la Terre et environnement; services météorologiques; statistiques, entreprises et propriété des entreprises, mobilité. De nouvelles catégories peuvent être ajoutées.</w:t>
      </w:r>
    </w:p>
  </w:footnote>
  <w:footnote w:id="25">
    <w:p w14:paraId="3A796297" w14:textId="012E9A28" w:rsidR="00612FCD" w:rsidRPr="003B2C34" w:rsidRDefault="00612FCD" w:rsidP="00372646">
      <w:pPr>
        <w:pStyle w:val="FootnoteText"/>
        <w:jc w:val="both"/>
        <w:rPr>
          <w:rFonts w:ascii="Times New Roman" w:hAnsi="Times New Roman" w:cs="Times New Roman"/>
          <w:sz w:val="18"/>
          <w:szCs w:val="18"/>
        </w:rPr>
      </w:pPr>
      <w:r w:rsidRPr="003B2C34">
        <w:rPr>
          <w:rStyle w:val="FootnoteReference"/>
          <w:rFonts w:ascii="Times New Roman" w:hAnsi="Times New Roman" w:cs="Times New Roman"/>
          <w:sz w:val="18"/>
          <w:szCs w:val="18"/>
        </w:rPr>
        <w:footnoteRef/>
      </w:r>
      <w:r w:rsidRPr="003B2C34">
        <w:rPr>
          <w:rFonts w:ascii="Times New Roman" w:hAnsi="Times New Roman"/>
          <w:sz w:val="18"/>
        </w:rPr>
        <w:t>AlphaFold est un système d’intelligence artificielle développé par Deep Mind, qui utilise l’apprentissage profond et de grandes quantités de données pour prédire les structures des protéines</w:t>
      </w:r>
      <w:r w:rsidRPr="003B2C34">
        <w:t>.</w:t>
      </w:r>
      <w:r w:rsidRPr="003B2C34">
        <w:rPr>
          <w:rFonts w:ascii="Times New Roman" w:hAnsi="Times New Roman"/>
          <w:sz w:val="18"/>
        </w:rPr>
        <w:t xml:space="preserve"> Cela contribue à accélérer la recherche de pointe dans de nombreux domaines de la biologie.</w:t>
      </w:r>
    </w:p>
  </w:footnote>
  <w:footnote w:id="26">
    <w:p w14:paraId="43CF82EC" w14:textId="6510F5DA" w:rsidR="0058520C" w:rsidRPr="003B2C34" w:rsidRDefault="0058520C" w:rsidP="007259D0">
      <w:pPr>
        <w:pStyle w:val="FootnoteText"/>
        <w:jc w:val="both"/>
        <w:rPr>
          <w:rFonts w:ascii="Times New Roman" w:hAnsi="Times New Roman" w:cs="Times New Roman"/>
          <w:sz w:val="18"/>
          <w:szCs w:val="18"/>
        </w:rPr>
      </w:pPr>
      <w:r w:rsidRPr="003B2C34">
        <w:rPr>
          <w:rStyle w:val="FootnoteReference"/>
          <w:rFonts w:ascii="Times New Roman" w:hAnsi="Times New Roman" w:cs="Times New Roman"/>
          <w:sz w:val="18"/>
          <w:szCs w:val="18"/>
        </w:rPr>
        <w:footnoteRef/>
      </w:r>
      <w:r w:rsidRPr="003B2C34">
        <w:rPr>
          <w:rFonts w:ascii="Times New Roman" w:hAnsi="Times New Roman"/>
          <w:sz w:val="18"/>
        </w:rPr>
        <w:t>Commission européenne, (2025)</w:t>
      </w:r>
      <w:r w:rsidRPr="003B2C34">
        <w:t>.</w:t>
      </w:r>
      <w:r w:rsidRPr="003B2C34">
        <w:rPr>
          <w:rFonts w:ascii="Times New Roman" w:hAnsi="Times New Roman"/>
          <w:sz w:val="18"/>
        </w:rPr>
        <w:t xml:space="preserve"> Communication de la Commission au Parlement européen et au Conseil — Une stratégie européenne pour l’intelligence artificielle dans le domaine de la science: poser les jalons du centre de ressources de la science pour et par l’IA en Europe (RAISE) Bruxelles, 8 octobre 2025, COM(2025)724 final.</w:t>
      </w:r>
    </w:p>
  </w:footnote>
  <w:footnote w:id="27">
    <w:p w14:paraId="0D3032E9" w14:textId="56B4A32E" w:rsidR="00BC1BF8" w:rsidRPr="003B2C34" w:rsidRDefault="00BC1BF8" w:rsidP="007259D0">
      <w:pPr>
        <w:pStyle w:val="FootnoteText"/>
        <w:jc w:val="both"/>
        <w:rPr>
          <w:rFonts w:ascii="Times New Roman" w:hAnsi="Times New Roman" w:cs="Times New Roman"/>
          <w:sz w:val="18"/>
          <w:szCs w:val="18"/>
          <w:highlight w:val="yellow"/>
        </w:rPr>
      </w:pPr>
      <w:r w:rsidRPr="003B2C34">
        <w:rPr>
          <w:rStyle w:val="FootnoteReference"/>
          <w:rFonts w:ascii="Times New Roman" w:hAnsi="Times New Roman" w:cs="Times New Roman"/>
          <w:sz w:val="18"/>
          <w:szCs w:val="18"/>
        </w:rPr>
        <w:footnoteRef/>
      </w:r>
      <w:r w:rsidRPr="003B2C34">
        <w:rPr>
          <w:rFonts w:ascii="Times New Roman" w:hAnsi="Times New Roman"/>
          <w:sz w:val="18"/>
        </w:rPr>
        <w:t>Commission européenne, futur acte législatif sur l’espace européen de la recherche (EER) annoncé dans le programme de travail de la Commission pour 2025, Bruxelles, 11 février 2025, disponible à l’adresse suivante</w:t>
      </w:r>
      <w:r w:rsidRPr="003B2C34">
        <w:t>:</w:t>
      </w:r>
      <w:r w:rsidRPr="003B2C34">
        <w:rPr>
          <w:rFonts w:ascii="Times New Roman" w:hAnsi="Times New Roman"/>
          <w:sz w:val="18"/>
        </w:rPr>
        <w:t xml:space="preserve"> </w:t>
      </w:r>
      <w:hyperlink r:id="rId6" w:history="1">
        <w:r w:rsidRPr="003B2C34">
          <w:rPr>
            <w:rStyle w:val="Hyperlink"/>
            <w:rFonts w:ascii="Times New Roman" w:hAnsi="Times New Roman"/>
            <w:sz w:val="18"/>
          </w:rPr>
          <w:t>https://eur-lex.europa.eu/legal-content/FR/TXT/HTML/?uri=CELEX:52025DC0045</w:t>
        </w:r>
      </w:hyperlink>
      <w:r w:rsidRPr="003B2C34">
        <w:rPr>
          <w:rFonts w:ascii="Times New Roman" w:hAnsi="Times New Roman"/>
          <w:sz w:val="18"/>
        </w:rPr>
        <w:t xml:space="preserve"> </w:t>
      </w:r>
    </w:p>
  </w:footnote>
  <w:footnote w:id="28">
    <w:p w14:paraId="39FC1F60" w14:textId="6AE506A2" w:rsidR="001E276A" w:rsidRPr="003B2C34" w:rsidRDefault="001E276A" w:rsidP="007259D0">
      <w:pPr>
        <w:pStyle w:val="FootnoteText"/>
        <w:jc w:val="both"/>
        <w:rPr>
          <w:rFonts w:ascii="Times New Roman" w:hAnsi="Times New Roman" w:cs="Times New Roman"/>
          <w:sz w:val="18"/>
          <w:szCs w:val="18"/>
        </w:rPr>
      </w:pPr>
      <w:r w:rsidRPr="003B2C34">
        <w:rPr>
          <w:rStyle w:val="FootnoteReference"/>
          <w:rFonts w:ascii="Times New Roman" w:hAnsi="Times New Roman" w:cs="Times New Roman"/>
          <w:sz w:val="18"/>
          <w:szCs w:val="18"/>
        </w:rPr>
        <w:footnoteRef/>
      </w:r>
      <w:r w:rsidRPr="003B2C34">
        <w:rPr>
          <w:rFonts w:ascii="Times New Roman" w:hAnsi="Times New Roman"/>
          <w:sz w:val="18"/>
        </w:rPr>
        <w:t>Europeana,</w:t>
      </w:r>
      <w:r w:rsidRPr="003B2C34">
        <w:rPr>
          <w:rFonts w:ascii="Times New Roman" w:hAnsi="Times New Roman"/>
          <w:i/>
          <w:sz w:val="18"/>
        </w:rPr>
        <w:t xml:space="preserve"> La plateforme numérique européenne pour le patrimoine culturel</w:t>
      </w:r>
      <w:r w:rsidRPr="003B2C34">
        <w:rPr>
          <w:rFonts w:ascii="Times New Roman" w:hAnsi="Times New Roman"/>
          <w:sz w:val="18"/>
        </w:rPr>
        <w:t xml:space="preserve">, disponible à l’adresse suivante: </w:t>
      </w:r>
      <w:hyperlink r:id="rId7" w:tgtFrame="_new" w:history="1">
        <w:r w:rsidRPr="003B2C34">
          <w:rPr>
            <w:rStyle w:val="Hyperlink"/>
            <w:rFonts w:ascii="Times New Roman" w:hAnsi="Times New Roman"/>
            <w:sz w:val="18"/>
          </w:rPr>
          <w:t>https://www.europeana.eu/en</w:t>
        </w:r>
      </w:hyperlink>
      <w:r w:rsidRPr="003B2C34">
        <w:rPr>
          <w:rFonts w:ascii="Times New Roman" w:hAnsi="Times New Roman"/>
          <w:sz w:val="18"/>
        </w:rPr>
        <w:t xml:space="preserve"> (consulté le 27 octobre 2025)</w:t>
      </w:r>
    </w:p>
  </w:footnote>
  <w:footnote w:id="29">
    <w:p w14:paraId="4CA79B5F" w14:textId="1EFE9FC5" w:rsidR="00F34687" w:rsidRPr="003B2C34" w:rsidRDefault="00F34687">
      <w:pPr>
        <w:pStyle w:val="FootnoteText"/>
        <w:rPr>
          <w:rFonts w:ascii="Times New Roman" w:hAnsi="Times New Roman" w:cs="Times New Roman"/>
          <w:sz w:val="18"/>
          <w:szCs w:val="18"/>
        </w:rPr>
      </w:pPr>
      <w:r w:rsidRPr="003B2C34">
        <w:rPr>
          <w:rStyle w:val="FootnoteReference"/>
          <w:rFonts w:ascii="Times New Roman" w:hAnsi="Times New Roman" w:cs="Times New Roman"/>
          <w:sz w:val="18"/>
          <w:szCs w:val="18"/>
        </w:rPr>
        <w:footnoteRef/>
      </w:r>
      <w:r w:rsidRPr="003B2C34">
        <w:rPr>
          <w:rFonts w:ascii="Times New Roman" w:hAnsi="Times New Roman"/>
          <w:sz w:val="18"/>
        </w:rPr>
        <w:t>Voir la définition ci-dessus</w:t>
      </w:r>
    </w:p>
  </w:footnote>
  <w:footnote w:id="30">
    <w:p w14:paraId="41AE26AE" w14:textId="6F3C5668" w:rsidR="004B2FB9" w:rsidRPr="003B2C34" w:rsidRDefault="004B2FB9" w:rsidP="007259D0">
      <w:pPr>
        <w:pStyle w:val="FootnoteText"/>
        <w:jc w:val="both"/>
        <w:rPr>
          <w:rFonts w:ascii="Times New Roman" w:hAnsi="Times New Roman" w:cs="Times New Roman"/>
          <w:sz w:val="18"/>
          <w:szCs w:val="18"/>
        </w:rPr>
      </w:pPr>
      <w:r w:rsidRPr="003B2C34">
        <w:rPr>
          <w:rStyle w:val="FootnoteReference"/>
          <w:rFonts w:ascii="Times New Roman" w:hAnsi="Times New Roman" w:cs="Times New Roman"/>
          <w:sz w:val="18"/>
          <w:szCs w:val="18"/>
        </w:rPr>
        <w:footnoteRef/>
      </w:r>
      <w:r w:rsidRPr="003B2C34">
        <w:rPr>
          <w:rFonts w:ascii="Times New Roman" w:hAnsi="Times New Roman"/>
          <w:sz w:val="18"/>
        </w:rPr>
        <w:t>Voir également Commission européenne, décision d’exécution C (2025) 4135 relative au cadre européen de données fiables</w:t>
      </w:r>
      <w:r w:rsidRPr="003B2C34">
        <w:t>.</w:t>
      </w:r>
    </w:p>
  </w:footnote>
  <w:footnote w:id="31">
    <w:p w14:paraId="6290F043" w14:textId="78CBC0CC" w:rsidR="008E2BA9" w:rsidRPr="003B2C34" w:rsidRDefault="008E2BA9" w:rsidP="007259D0">
      <w:pPr>
        <w:pStyle w:val="FootnoteText"/>
        <w:jc w:val="both"/>
        <w:rPr>
          <w:rFonts w:ascii="Times New Roman" w:hAnsi="Times New Roman" w:cs="Times New Roman"/>
          <w:sz w:val="18"/>
          <w:szCs w:val="18"/>
        </w:rPr>
      </w:pPr>
      <w:r w:rsidRPr="003B2C34">
        <w:rPr>
          <w:rStyle w:val="FootnoteReference"/>
          <w:rFonts w:ascii="Times New Roman" w:hAnsi="Times New Roman" w:cs="Times New Roman"/>
          <w:sz w:val="18"/>
          <w:szCs w:val="18"/>
        </w:rPr>
        <w:footnoteRef/>
      </w:r>
      <w:r w:rsidRPr="003B2C34">
        <w:rPr>
          <w:rFonts w:ascii="Times New Roman" w:hAnsi="Times New Roman"/>
          <w:sz w:val="18"/>
        </w:rPr>
        <w:t>Règlement (UE) 2018/1807 du Parlement européen et du Conseil du 14 novembre 2018 établissant un cadre applicable au libre flux des données à caractère non personnel dans l'Union européenne</w:t>
      </w:r>
    </w:p>
  </w:footnote>
  <w:footnote w:id="32">
    <w:p w14:paraId="7D1D1F49" w14:textId="77777777" w:rsidR="00D0046E" w:rsidRPr="003B2C34" w:rsidRDefault="00D0046E" w:rsidP="00D0046E">
      <w:pPr>
        <w:pStyle w:val="FootnoteText"/>
        <w:rPr>
          <w:rFonts w:ascii="Times New Roman" w:hAnsi="Times New Roman" w:cs="Times New Roman"/>
          <w:sz w:val="18"/>
          <w:szCs w:val="18"/>
        </w:rPr>
      </w:pPr>
      <w:r w:rsidRPr="003B2C34">
        <w:rPr>
          <w:rStyle w:val="FootnoteReference"/>
          <w:rFonts w:ascii="Times New Roman" w:hAnsi="Times New Roman" w:cs="Times New Roman"/>
          <w:sz w:val="18"/>
          <w:szCs w:val="18"/>
        </w:rPr>
        <w:footnoteRef/>
      </w:r>
      <w:r w:rsidRPr="003B2C34">
        <w:rPr>
          <w:rFonts w:ascii="Times New Roman" w:hAnsi="Times New Roman"/>
          <w:sz w:val="18"/>
        </w:rPr>
        <w:t>Programme de travail de la Commission</w:t>
      </w:r>
      <w:r w:rsidRPr="003B2C34">
        <w:t xml:space="preserve"> </w:t>
      </w:r>
      <w:hyperlink r:id="rId8" w:history="1">
        <w:r w:rsidRPr="003B2C34">
          <w:rPr>
            <w:rStyle w:val="Hyperlink"/>
            <w:rFonts w:ascii="Times New Roman" w:hAnsi="Times New Roman"/>
            <w:sz w:val="18"/>
          </w:rPr>
          <w:t>EUR-Lex — 52025DC0870 — FR — EUR-Lex.</w:t>
        </w:r>
      </w:hyperlink>
      <w:r w:rsidRPr="003B2C34">
        <w:rPr>
          <w:rFonts w:ascii="Times New Roman" w:hAnsi="Times New Roman"/>
          <w:sz w:val="18"/>
        </w:rPr>
        <w:t xml:space="preserve"> </w:t>
      </w:r>
    </w:p>
  </w:footnote>
  <w:footnote w:id="33">
    <w:p w14:paraId="68163972" w14:textId="2A000E6E" w:rsidR="0035602E" w:rsidRPr="003B2C34" w:rsidRDefault="0035602E" w:rsidP="007259D0">
      <w:pPr>
        <w:pStyle w:val="FootnoteText"/>
        <w:jc w:val="both"/>
        <w:rPr>
          <w:rFonts w:ascii="Times New Roman" w:hAnsi="Times New Roman" w:cs="Times New Roman"/>
          <w:sz w:val="18"/>
          <w:szCs w:val="18"/>
        </w:rPr>
      </w:pPr>
      <w:r w:rsidRPr="003B2C34">
        <w:rPr>
          <w:rStyle w:val="FootnoteReference"/>
          <w:rFonts w:ascii="Times New Roman" w:hAnsi="Times New Roman" w:cs="Times New Roman"/>
          <w:sz w:val="18"/>
          <w:szCs w:val="18"/>
        </w:rPr>
        <w:footnoteRef/>
      </w:r>
      <w:r w:rsidRPr="003B2C34">
        <w:rPr>
          <w:rFonts w:ascii="Times New Roman" w:hAnsi="Times New Roman"/>
          <w:sz w:val="18"/>
        </w:rPr>
        <w:t>Directive (UE) 2022/2555 du Parlement européen et du Conseil du 14 décembre 2022 concernant des mesures destinées à assurer un niveau élevé commun de cybersécurité dans l’ensemble de l’Union, modifiant le règlement (UE) nº 910/2014 et la directive (UE) 2018/1972, et abrogeant la directive (UE) 2016/1148 (directive SRI 2) (JO L 333 du 27.12.2022, p. 80).</w:t>
      </w:r>
    </w:p>
  </w:footnote>
  <w:footnote w:id="34">
    <w:p w14:paraId="09B889B8" w14:textId="7095E92D" w:rsidR="0035602E" w:rsidRPr="003B2C34" w:rsidRDefault="0035602E">
      <w:pPr>
        <w:pStyle w:val="FootnoteText"/>
        <w:rPr>
          <w:rFonts w:ascii="Times New Roman" w:hAnsi="Times New Roman" w:cs="Times New Roman"/>
          <w:sz w:val="18"/>
          <w:szCs w:val="18"/>
        </w:rPr>
      </w:pPr>
      <w:r w:rsidRPr="003B2C34">
        <w:rPr>
          <w:rStyle w:val="FootnoteReference"/>
          <w:rFonts w:ascii="Times New Roman" w:hAnsi="Times New Roman" w:cs="Times New Roman"/>
          <w:sz w:val="18"/>
          <w:szCs w:val="18"/>
        </w:rPr>
        <w:footnoteRef/>
      </w:r>
      <w:r w:rsidRPr="003B2C34">
        <w:rPr>
          <w:rFonts w:ascii="Times New Roman" w:hAnsi="Times New Roman"/>
          <w:sz w:val="18"/>
        </w:rPr>
        <w:t>Règlement (UE) 2024/2847 du Parlement européen et du Conseil du 23 octobre 2024 concernant des exigences de cybersécurité horizontales pour les produits comportant des éléments numériques et modifiant les règlements (UE) nº 168/2013 et (UE) 2019/1020 et la directive (UE) 2020/1828 (règlement sur la cyberrésilience), JO L, 2024/2847, 20.11.2024</w:t>
      </w:r>
      <w:r w:rsidRPr="003B2C34">
        <w:t>.</w:t>
      </w:r>
    </w:p>
  </w:footnote>
  <w:footnote w:id="35">
    <w:p w14:paraId="59CD5B38" w14:textId="77FC05AA" w:rsidR="00474B5A" w:rsidRPr="003B2C34" w:rsidRDefault="00E07C93" w:rsidP="00474B5A">
      <w:pPr>
        <w:pStyle w:val="FootnoteText"/>
        <w:jc w:val="both"/>
        <w:rPr>
          <w:rFonts w:ascii="Times New Roman" w:hAnsi="Times New Roman" w:cs="Times New Roman"/>
          <w:sz w:val="18"/>
          <w:szCs w:val="18"/>
        </w:rPr>
      </w:pPr>
      <w:r w:rsidRPr="003B2C34">
        <w:rPr>
          <w:rStyle w:val="FootnoteReference"/>
          <w:rFonts w:ascii="Times New Roman" w:hAnsi="Times New Roman" w:cs="Times New Roman"/>
          <w:sz w:val="18"/>
          <w:szCs w:val="18"/>
        </w:rPr>
        <w:footnoteRef/>
      </w:r>
      <w:r w:rsidRPr="003B2C34">
        <w:rPr>
          <w:rFonts w:ascii="Times New Roman" w:hAnsi="Times New Roman"/>
          <w:sz w:val="18"/>
        </w:rPr>
        <w:t>Commission européenne, Foire aux questions — Règlement sur les données, version 1.3, Bruxelles, 12 septembre 2025, disponible à l’adresse suivante: https://digital-strategy.ec.europa.eu/en/library/commission-publishes-frequently-asked-questions-about-data-act</w:t>
      </w:r>
    </w:p>
    <w:p w14:paraId="0709ECE8" w14:textId="36315893" w:rsidR="00E07C93" w:rsidRPr="003B2C34" w:rsidRDefault="00474B5A" w:rsidP="007259D0">
      <w:pPr>
        <w:pStyle w:val="FootnoteText"/>
        <w:jc w:val="both"/>
        <w:rPr>
          <w:rFonts w:ascii="Times New Roman" w:hAnsi="Times New Roman" w:cs="Times New Roman"/>
          <w:sz w:val="18"/>
          <w:szCs w:val="18"/>
        </w:rPr>
      </w:pPr>
      <w:r w:rsidRPr="003B2C34">
        <w:rPr>
          <w:rFonts w:ascii="Times New Roman" w:hAnsi="Times New Roman"/>
          <w:sz w:val="18"/>
        </w:rPr>
        <w:t xml:space="preserve"> (consulté le 27 octobre 2025).</w:t>
      </w:r>
    </w:p>
  </w:footnote>
  <w:footnote w:id="36">
    <w:p w14:paraId="53A56E35" w14:textId="2F421F37" w:rsidR="00E07C93" w:rsidRPr="003B2C34" w:rsidRDefault="00E07C93" w:rsidP="007259D0">
      <w:pPr>
        <w:pStyle w:val="FootnoteText"/>
        <w:jc w:val="both"/>
        <w:rPr>
          <w:rFonts w:ascii="Times New Roman" w:hAnsi="Times New Roman" w:cs="Times New Roman"/>
          <w:sz w:val="18"/>
          <w:szCs w:val="18"/>
        </w:rPr>
      </w:pPr>
      <w:r w:rsidRPr="003B2C34">
        <w:rPr>
          <w:rStyle w:val="FootnoteReference"/>
          <w:rFonts w:ascii="Times New Roman" w:hAnsi="Times New Roman" w:cs="Times New Roman"/>
          <w:sz w:val="18"/>
          <w:szCs w:val="18"/>
        </w:rPr>
        <w:footnoteRef/>
      </w:r>
      <w:r w:rsidRPr="003B2C34">
        <w:rPr>
          <w:rFonts w:ascii="Times New Roman" w:hAnsi="Times New Roman"/>
          <w:sz w:val="18"/>
        </w:rPr>
        <w:t>Commission européenne, Orientations sur les données des véhicules, accompagnant le règlement (UE) 2023/2854 (règlement sur les données), C (2025) 6119 final, Bruxelles, 12 septembre 2025</w:t>
      </w:r>
    </w:p>
  </w:footnote>
  <w:footnote w:id="37">
    <w:p w14:paraId="572FF004" w14:textId="21E69892" w:rsidR="00C47D32" w:rsidRPr="003B2C34" w:rsidRDefault="00C47D32">
      <w:pPr>
        <w:pStyle w:val="FootnoteText"/>
        <w:rPr>
          <w:rFonts w:ascii="Times New Roman" w:hAnsi="Times New Roman" w:cs="Times New Roman"/>
          <w:sz w:val="18"/>
          <w:szCs w:val="18"/>
        </w:rPr>
      </w:pPr>
      <w:r w:rsidRPr="003B2C34">
        <w:rPr>
          <w:rStyle w:val="FootnoteReference"/>
          <w:rFonts w:ascii="Times New Roman" w:hAnsi="Times New Roman" w:cs="Times New Roman"/>
          <w:sz w:val="18"/>
          <w:szCs w:val="18"/>
        </w:rPr>
        <w:footnoteRef/>
      </w:r>
      <w:hyperlink r:id="rId9" w:history="1">
        <w:r w:rsidRPr="003B2C34">
          <w:rPr>
            <w:rStyle w:val="Hyperlink"/>
            <w:rFonts w:ascii="Times New Roman" w:hAnsi="Times New Roman"/>
            <w:sz w:val="18"/>
          </w:rPr>
          <w:t>Can the European Health Data Space enable better procurement?</w:t>
        </w:r>
      </w:hyperlink>
      <w:hyperlink r:id="rId10" w:history="1">
        <w:r w:rsidRPr="003B2C34">
          <w:rPr>
            <w:rStyle w:val="Hyperlink"/>
            <w:rFonts w:ascii="Times New Roman" w:hAnsi="Times New Roman"/>
            <w:sz w:val="18"/>
          </w:rPr>
          <w:t xml:space="preserve"> – Big Buyers are investigating |</w:t>
        </w:r>
      </w:hyperlink>
      <w:hyperlink r:id="rId11" w:history="1">
        <w:r w:rsidRPr="003B2C34">
          <w:rPr>
            <w:rStyle w:val="Hyperlink"/>
            <w:rFonts w:ascii="Times New Roman" w:hAnsi="Times New Roman"/>
            <w:sz w:val="18"/>
          </w:rPr>
          <w:t xml:space="preserve"> Public Buyers Community</w:t>
        </w:r>
      </w:hyperlink>
    </w:p>
  </w:footnote>
  <w:footnote w:id="38">
    <w:p w14:paraId="292439CE" w14:textId="0E34057C" w:rsidR="003B0762" w:rsidRPr="003B2C34" w:rsidRDefault="003B0762" w:rsidP="007259D0">
      <w:pPr>
        <w:pStyle w:val="FootnoteText"/>
        <w:jc w:val="both"/>
        <w:rPr>
          <w:rFonts w:ascii="Times New Roman" w:hAnsi="Times New Roman" w:cs="Times New Roman"/>
          <w:sz w:val="18"/>
          <w:szCs w:val="18"/>
        </w:rPr>
      </w:pPr>
      <w:r w:rsidRPr="003B2C34">
        <w:rPr>
          <w:rStyle w:val="FootnoteReference"/>
          <w:rFonts w:ascii="Times New Roman" w:hAnsi="Times New Roman" w:cs="Times New Roman"/>
          <w:sz w:val="18"/>
          <w:szCs w:val="18"/>
        </w:rPr>
        <w:footnoteRef/>
      </w:r>
      <w:r w:rsidRPr="003B2C34">
        <w:rPr>
          <w:rFonts w:ascii="Times New Roman" w:hAnsi="Times New Roman"/>
          <w:sz w:val="18"/>
        </w:rPr>
        <w:t>Règlement (UE) nº 654/2014 du Parlement européen et du Conseil du 15 mai 2014 concernant l’exercice des droits de l’Union pour l’application et le respect des règles du commerce international et modifiant le règlement (CE) du Conseil nº 3286/94 (JO L 189 du 27.6.2014, p. 50).</w:t>
      </w:r>
    </w:p>
  </w:footnote>
  <w:footnote w:id="39">
    <w:p w14:paraId="4AE2319F" w14:textId="631EA234" w:rsidR="003B0762" w:rsidRPr="003B2C34" w:rsidRDefault="003B0762" w:rsidP="007259D0">
      <w:pPr>
        <w:pStyle w:val="FootnoteText"/>
        <w:jc w:val="both"/>
        <w:rPr>
          <w:rFonts w:ascii="Times New Roman" w:hAnsi="Times New Roman" w:cs="Times New Roman"/>
          <w:sz w:val="18"/>
          <w:szCs w:val="18"/>
        </w:rPr>
      </w:pPr>
      <w:r w:rsidRPr="003B2C34">
        <w:rPr>
          <w:rStyle w:val="FootnoteReference"/>
          <w:rFonts w:ascii="Times New Roman" w:hAnsi="Times New Roman" w:cs="Times New Roman"/>
          <w:sz w:val="18"/>
          <w:szCs w:val="18"/>
        </w:rPr>
        <w:footnoteRef/>
      </w:r>
      <w:r w:rsidRPr="003B2C34">
        <w:rPr>
          <w:rFonts w:ascii="Times New Roman" w:hAnsi="Times New Roman"/>
          <w:sz w:val="18"/>
        </w:rPr>
        <w:t>Règlement (UE) 2023/2675 du Parlement européen et du Conseil du 22 novembre 2023 relatif à la protection de l’Union et de ses États membres contre la coercition économique exercée par des pays tiers (Instrument anticoercition), JO L 322 du 27.11.2023</w:t>
      </w:r>
    </w:p>
  </w:footnote>
  <w:footnote w:id="40">
    <w:p w14:paraId="098E9937" w14:textId="294198F5" w:rsidR="006C2035" w:rsidRPr="00770F56" w:rsidRDefault="006C2035" w:rsidP="007259D0">
      <w:pPr>
        <w:pStyle w:val="FootnoteText"/>
        <w:jc w:val="both"/>
        <w:rPr>
          <w:rFonts w:ascii="Times New Roman" w:hAnsi="Times New Roman" w:cs="Times New Roman"/>
          <w:sz w:val="18"/>
          <w:szCs w:val="18"/>
        </w:rPr>
      </w:pPr>
      <w:r w:rsidRPr="003B2C34">
        <w:rPr>
          <w:rStyle w:val="FootnoteReference"/>
          <w:rFonts w:ascii="Times New Roman" w:hAnsi="Times New Roman" w:cs="Times New Roman"/>
          <w:sz w:val="18"/>
          <w:szCs w:val="18"/>
        </w:rPr>
        <w:footnoteRef/>
      </w:r>
      <w:r w:rsidRPr="003B2C34">
        <w:rPr>
          <w:rFonts w:ascii="Times New Roman" w:hAnsi="Times New Roman"/>
          <w:sz w:val="18"/>
        </w:rPr>
        <w:t xml:space="preserve">Commission européenne et haute représentante de l’Union pour les affaires étrangères et la politique de sécurité, </w:t>
      </w:r>
      <w:r w:rsidRPr="003B2C34">
        <w:rPr>
          <w:rFonts w:ascii="Times New Roman" w:hAnsi="Times New Roman"/>
          <w:i/>
          <w:sz w:val="18"/>
        </w:rPr>
        <w:t>Communication conjointe au Parlement européen et au Conseil — Une stratégie numérique internationale pour l’Union européenne</w:t>
      </w:r>
      <w:r w:rsidRPr="003B2C34">
        <w:rPr>
          <w:rFonts w:ascii="Times New Roman" w:hAnsi="Times New Roman"/>
          <w:sz w:val="18"/>
        </w:rPr>
        <w:t xml:space="preserve">, JOIN (2025) 140 final, Bruxelles, 5 juin 2025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DBBB26" w14:textId="77777777" w:rsidR="006307CD" w:rsidRPr="006307CD" w:rsidRDefault="006307CD" w:rsidP="006307CD">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C88CBE" w14:textId="77777777" w:rsidR="006307CD" w:rsidRPr="006307CD" w:rsidRDefault="006307CD" w:rsidP="006307CD">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DC1FF0" w14:textId="77777777" w:rsidR="006307CD" w:rsidRPr="006307CD" w:rsidRDefault="006307CD" w:rsidP="006307CD">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4C4A18" w14:textId="77777777" w:rsidR="008F254C" w:rsidRPr="003B2C34" w:rsidRDefault="008F254C">
    <w:pPr>
      <w:pStyle w:val="Header"/>
    </w:pPr>
  </w:p>
  <w:p w14:paraId="37A2048D" w14:textId="77777777" w:rsidR="00540D9B" w:rsidRPr="003B2C34" w:rsidRDefault="00540D9B"/>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98E5C3" w14:textId="77777777" w:rsidR="008F254C" w:rsidRPr="003B2C34" w:rsidRDefault="008F254C">
    <w:pPr>
      <w:pStyle w:val="Header"/>
    </w:pPr>
  </w:p>
  <w:p w14:paraId="2070EB34" w14:textId="77777777" w:rsidR="00540D9B" w:rsidRPr="003B2C34" w:rsidRDefault="00540D9B"/>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63EA6F" w14:textId="77777777" w:rsidR="008F254C" w:rsidRPr="003B2C34" w:rsidRDefault="008F254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7911E1"/>
    <w:multiLevelType w:val="hybridMultilevel"/>
    <w:tmpl w:val="2F789558"/>
    <w:lvl w:ilvl="0" w:tplc="C626355A">
      <w:start w:val="1"/>
      <w:numFmt w:val="decimal"/>
      <w:lvlText w:val="%1."/>
      <w:lvlJc w:val="left"/>
      <w:pPr>
        <w:ind w:left="1020" w:hanging="360"/>
      </w:pPr>
    </w:lvl>
    <w:lvl w:ilvl="1" w:tplc="39305B38">
      <w:start w:val="1"/>
      <w:numFmt w:val="decimal"/>
      <w:lvlText w:val="%2."/>
      <w:lvlJc w:val="left"/>
      <w:pPr>
        <w:ind w:left="1020" w:hanging="360"/>
      </w:pPr>
    </w:lvl>
    <w:lvl w:ilvl="2" w:tplc="E5D83FD4">
      <w:start w:val="1"/>
      <w:numFmt w:val="decimal"/>
      <w:lvlText w:val="%3."/>
      <w:lvlJc w:val="left"/>
      <w:pPr>
        <w:ind w:left="1020" w:hanging="360"/>
      </w:pPr>
    </w:lvl>
    <w:lvl w:ilvl="3" w:tplc="1CDA4E98">
      <w:start w:val="1"/>
      <w:numFmt w:val="decimal"/>
      <w:lvlText w:val="%4."/>
      <w:lvlJc w:val="left"/>
      <w:pPr>
        <w:ind w:left="1020" w:hanging="360"/>
      </w:pPr>
    </w:lvl>
    <w:lvl w:ilvl="4" w:tplc="854C5D60">
      <w:start w:val="1"/>
      <w:numFmt w:val="decimal"/>
      <w:lvlText w:val="%5."/>
      <w:lvlJc w:val="left"/>
      <w:pPr>
        <w:ind w:left="1020" w:hanging="360"/>
      </w:pPr>
    </w:lvl>
    <w:lvl w:ilvl="5" w:tplc="A2843FD4">
      <w:start w:val="1"/>
      <w:numFmt w:val="decimal"/>
      <w:lvlText w:val="%6."/>
      <w:lvlJc w:val="left"/>
      <w:pPr>
        <w:ind w:left="1020" w:hanging="360"/>
      </w:pPr>
    </w:lvl>
    <w:lvl w:ilvl="6" w:tplc="0AB2B1F6">
      <w:start w:val="1"/>
      <w:numFmt w:val="decimal"/>
      <w:lvlText w:val="%7."/>
      <w:lvlJc w:val="left"/>
      <w:pPr>
        <w:ind w:left="1020" w:hanging="360"/>
      </w:pPr>
    </w:lvl>
    <w:lvl w:ilvl="7" w:tplc="D8AA8028">
      <w:start w:val="1"/>
      <w:numFmt w:val="decimal"/>
      <w:lvlText w:val="%8."/>
      <w:lvlJc w:val="left"/>
      <w:pPr>
        <w:ind w:left="1020" w:hanging="360"/>
      </w:pPr>
    </w:lvl>
    <w:lvl w:ilvl="8" w:tplc="22FEDE36">
      <w:start w:val="1"/>
      <w:numFmt w:val="decimal"/>
      <w:lvlText w:val="%9."/>
      <w:lvlJc w:val="left"/>
      <w:pPr>
        <w:ind w:left="1020" w:hanging="360"/>
      </w:pPr>
    </w:lvl>
  </w:abstractNum>
  <w:abstractNum w:abstractNumId="1" w15:restartNumberingAfterBreak="0">
    <w:nsid w:val="15FB7B24"/>
    <w:multiLevelType w:val="hybridMultilevel"/>
    <w:tmpl w:val="5D201706"/>
    <w:lvl w:ilvl="0" w:tplc="1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16474527"/>
    <w:multiLevelType w:val="hybridMultilevel"/>
    <w:tmpl w:val="1548D4A4"/>
    <w:lvl w:ilvl="0" w:tplc="46B86094">
      <w:start w:val="5"/>
      <w:numFmt w:val="lowerRoman"/>
      <w:lvlText w:val="%1."/>
      <w:lvlJc w:val="righ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211D1BF6"/>
    <w:multiLevelType w:val="multilevel"/>
    <w:tmpl w:val="0D084A06"/>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right"/>
      <w:pPr>
        <w:ind w:left="720" w:hanging="360"/>
      </w:pPr>
      <w:rPr>
        <w:rFonts w:hint="default"/>
        <w:b/>
        <w:bCs/>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A222682"/>
    <w:multiLevelType w:val="hybridMultilevel"/>
    <w:tmpl w:val="CBFADB60"/>
    <w:lvl w:ilvl="0" w:tplc="826E373E">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37BC7756"/>
    <w:multiLevelType w:val="hybridMultilevel"/>
    <w:tmpl w:val="58D66002"/>
    <w:lvl w:ilvl="0" w:tplc="972AD068">
      <w:start w:val="1"/>
      <w:numFmt w:val="lowerRoman"/>
      <w:lvlText w:val="%1."/>
      <w:lvlJc w:val="right"/>
      <w:pPr>
        <w:ind w:left="720" w:hanging="360"/>
      </w:pPr>
      <w:rPr>
        <w:rFonts w:hint="default"/>
        <w:b/>
        <w:bCs w:val="0"/>
        <w:i w:val="0"/>
        <w:i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3ED070CD"/>
    <w:multiLevelType w:val="hybridMultilevel"/>
    <w:tmpl w:val="C3B0AC4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40AB0EFF"/>
    <w:multiLevelType w:val="hybridMultilevel"/>
    <w:tmpl w:val="832A567A"/>
    <w:lvl w:ilvl="0" w:tplc="894A61B8">
      <w:start w:val="2"/>
      <w:numFmt w:val="lowerRoman"/>
      <w:lvlText w:val="%1."/>
      <w:lvlJc w:val="right"/>
      <w:pPr>
        <w:ind w:left="720" w:hanging="360"/>
      </w:pPr>
      <w:rPr>
        <w:rFonts w:hint="default"/>
        <w:b/>
        <w:bCs w:val="0"/>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61E7793"/>
    <w:multiLevelType w:val="hybridMultilevel"/>
    <w:tmpl w:val="3DA0B09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5B6C5D78"/>
    <w:multiLevelType w:val="hybridMultilevel"/>
    <w:tmpl w:val="FFFFFFFF"/>
    <w:lvl w:ilvl="0" w:tplc="CC3EF992">
      <w:start w:val="1"/>
      <w:numFmt w:val="bullet"/>
      <w:lvlText w:val=""/>
      <w:lvlJc w:val="left"/>
      <w:pPr>
        <w:ind w:left="720" w:hanging="360"/>
      </w:pPr>
      <w:rPr>
        <w:rFonts w:ascii="Symbol" w:hAnsi="Symbol" w:hint="default"/>
      </w:rPr>
    </w:lvl>
    <w:lvl w:ilvl="1" w:tplc="FCA01F46">
      <w:start w:val="1"/>
      <w:numFmt w:val="bullet"/>
      <w:lvlText w:val="o"/>
      <w:lvlJc w:val="left"/>
      <w:pPr>
        <w:ind w:left="1440" w:hanging="360"/>
      </w:pPr>
      <w:rPr>
        <w:rFonts w:ascii="Courier New" w:hAnsi="Courier New" w:hint="default"/>
      </w:rPr>
    </w:lvl>
    <w:lvl w:ilvl="2" w:tplc="43963E26">
      <w:start w:val="1"/>
      <w:numFmt w:val="bullet"/>
      <w:lvlText w:val=""/>
      <w:lvlJc w:val="left"/>
      <w:pPr>
        <w:ind w:left="2160" w:hanging="360"/>
      </w:pPr>
      <w:rPr>
        <w:rFonts w:ascii="Wingdings" w:hAnsi="Wingdings" w:hint="default"/>
      </w:rPr>
    </w:lvl>
    <w:lvl w:ilvl="3" w:tplc="8C1CB234">
      <w:start w:val="1"/>
      <w:numFmt w:val="bullet"/>
      <w:lvlText w:val=""/>
      <w:lvlJc w:val="left"/>
      <w:pPr>
        <w:ind w:left="2880" w:hanging="360"/>
      </w:pPr>
      <w:rPr>
        <w:rFonts w:ascii="Symbol" w:hAnsi="Symbol" w:hint="default"/>
      </w:rPr>
    </w:lvl>
    <w:lvl w:ilvl="4" w:tplc="2CCACAF0">
      <w:start w:val="1"/>
      <w:numFmt w:val="bullet"/>
      <w:lvlText w:val="o"/>
      <w:lvlJc w:val="left"/>
      <w:pPr>
        <w:ind w:left="3600" w:hanging="360"/>
      </w:pPr>
      <w:rPr>
        <w:rFonts w:ascii="Courier New" w:hAnsi="Courier New" w:hint="default"/>
      </w:rPr>
    </w:lvl>
    <w:lvl w:ilvl="5" w:tplc="DFC898F2">
      <w:start w:val="1"/>
      <w:numFmt w:val="bullet"/>
      <w:lvlText w:val=""/>
      <w:lvlJc w:val="left"/>
      <w:pPr>
        <w:ind w:left="4320" w:hanging="360"/>
      </w:pPr>
      <w:rPr>
        <w:rFonts w:ascii="Wingdings" w:hAnsi="Wingdings" w:hint="default"/>
      </w:rPr>
    </w:lvl>
    <w:lvl w:ilvl="6" w:tplc="0750C796">
      <w:start w:val="1"/>
      <w:numFmt w:val="bullet"/>
      <w:lvlText w:val=""/>
      <w:lvlJc w:val="left"/>
      <w:pPr>
        <w:ind w:left="5040" w:hanging="360"/>
      </w:pPr>
      <w:rPr>
        <w:rFonts w:ascii="Symbol" w:hAnsi="Symbol" w:hint="default"/>
      </w:rPr>
    </w:lvl>
    <w:lvl w:ilvl="7" w:tplc="6D70C7D8">
      <w:start w:val="1"/>
      <w:numFmt w:val="bullet"/>
      <w:lvlText w:val="o"/>
      <w:lvlJc w:val="left"/>
      <w:pPr>
        <w:ind w:left="5760" w:hanging="360"/>
      </w:pPr>
      <w:rPr>
        <w:rFonts w:ascii="Courier New" w:hAnsi="Courier New" w:hint="default"/>
      </w:rPr>
    </w:lvl>
    <w:lvl w:ilvl="8" w:tplc="58A081C8">
      <w:start w:val="1"/>
      <w:numFmt w:val="bullet"/>
      <w:lvlText w:val=""/>
      <w:lvlJc w:val="left"/>
      <w:pPr>
        <w:ind w:left="6480" w:hanging="360"/>
      </w:pPr>
      <w:rPr>
        <w:rFonts w:ascii="Wingdings" w:hAnsi="Wingdings" w:hint="default"/>
      </w:rPr>
    </w:lvl>
  </w:abstractNum>
  <w:abstractNum w:abstractNumId="10" w15:restartNumberingAfterBreak="0">
    <w:nsid w:val="64805D61"/>
    <w:multiLevelType w:val="multilevel"/>
    <w:tmpl w:val="27A07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3DB6675"/>
    <w:multiLevelType w:val="multilevel"/>
    <w:tmpl w:val="BA46C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5371F74"/>
    <w:multiLevelType w:val="hybridMultilevel"/>
    <w:tmpl w:val="CBF2ADF6"/>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7E764DEC"/>
    <w:multiLevelType w:val="hybridMultilevel"/>
    <w:tmpl w:val="4394DFA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9"/>
  </w:num>
  <w:num w:numId="2">
    <w:abstractNumId w:val="5"/>
  </w:num>
  <w:num w:numId="3">
    <w:abstractNumId w:val="3"/>
  </w:num>
  <w:num w:numId="4">
    <w:abstractNumId w:val="1"/>
  </w:num>
  <w:num w:numId="5">
    <w:abstractNumId w:val="11"/>
  </w:num>
  <w:num w:numId="6">
    <w:abstractNumId w:val="10"/>
  </w:num>
  <w:num w:numId="7">
    <w:abstractNumId w:val="4"/>
  </w:num>
  <w:num w:numId="8">
    <w:abstractNumId w:val="13"/>
  </w:num>
  <w:num w:numId="9">
    <w:abstractNumId w:val="7"/>
  </w:num>
  <w:num w:numId="10">
    <w:abstractNumId w:val="8"/>
  </w:num>
  <w:num w:numId="11">
    <w:abstractNumId w:val="6"/>
  </w:num>
  <w:num w:numId="12">
    <w:abstractNumId w:val="2"/>
  </w:num>
  <w:num w:numId="13">
    <w:abstractNumId w:val="12"/>
  </w:num>
  <w:num w:numId="14">
    <w:abstractNumId w:val="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1F840D60-ADB5-4330-97A7-8DC2ED6ECF77"/>
    <w:docVar w:name="LW_COVERPAGE_TYPE" w:val="1"/>
    <w:docVar w:name="LW_CROSSREFERENCE" w:val="&lt;UNUSED&gt;"/>
    <w:docVar w:name="LW_DocType" w:val="NORMAL"/>
    <w:docVar w:name="LW_EMISSION" w:val="19.11.2025"/>
    <w:docVar w:name="LW_EMISSION_ISODATE" w:val="2025-11-19"/>
    <w:docVar w:name="LW_EMISSION_LOCATION" w:val="BRX"/>
    <w:docVar w:name="LW_EMISSION_PREFIX" w:val="Bruxelles, le "/>
    <w:docVar w:name="LW_EMISSION_SUFFIX" w:val=" "/>
    <w:docVar w:name="LW_ID_DOCTYPE_NONLW" w:val="CP-012"/>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5) 83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TRATÉGIE POUR UNE UNION DES DONNÉES_x000d__x000b__x000d_&lt;FMT:Bold&gt;FACILITER L\u8217?ACCÈS AUX DONNÉES POUR L\u8217?INTELLIGENCE ARTIFICIELLE&lt;/FMT&gt;"/>
    <w:docVar w:name="LW_TYPE.DOC.CP" w:val="COMMUNICATION DE LA COMMISSION AU PARLEMENT EUROPÉEN ET AU CONSEIL"/>
    <w:docVar w:name="LW_TYPE.DOC.CP.USERTEXT" w:val="&lt;EMPTY&gt;"/>
    <w:docVar w:name="LwApiVersions" w:val="LW4CoDe 1.24.5.0; LW 9.2, Build 20251112"/>
  </w:docVars>
  <w:rsids>
    <w:rsidRoot w:val="00776668"/>
    <w:rsid w:val="0000000A"/>
    <w:rsid w:val="00000096"/>
    <w:rsid w:val="00000136"/>
    <w:rsid w:val="000001FE"/>
    <w:rsid w:val="0000034B"/>
    <w:rsid w:val="0000052E"/>
    <w:rsid w:val="00000553"/>
    <w:rsid w:val="000009B3"/>
    <w:rsid w:val="00000A2C"/>
    <w:rsid w:val="00000B1E"/>
    <w:rsid w:val="00000BBA"/>
    <w:rsid w:val="00000C0E"/>
    <w:rsid w:val="00000DA9"/>
    <w:rsid w:val="00000EF3"/>
    <w:rsid w:val="00000F0F"/>
    <w:rsid w:val="00001018"/>
    <w:rsid w:val="000010FE"/>
    <w:rsid w:val="00001231"/>
    <w:rsid w:val="00001316"/>
    <w:rsid w:val="0000145C"/>
    <w:rsid w:val="0000150E"/>
    <w:rsid w:val="0000158A"/>
    <w:rsid w:val="0000167A"/>
    <w:rsid w:val="000016E9"/>
    <w:rsid w:val="000018CB"/>
    <w:rsid w:val="00001B92"/>
    <w:rsid w:val="00001BD6"/>
    <w:rsid w:val="00001D2B"/>
    <w:rsid w:val="00001E3E"/>
    <w:rsid w:val="00001E64"/>
    <w:rsid w:val="00001F5F"/>
    <w:rsid w:val="00001F6D"/>
    <w:rsid w:val="00002041"/>
    <w:rsid w:val="0000207E"/>
    <w:rsid w:val="000020C6"/>
    <w:rsid w:val="0000210E"/>
    <w:rsid w:val="0000239A"/>
    <w:rsid w:val="000025F8"/>
    <w:rsid w:val="0000285C"/>
    <w:rsid w:val="000029F6"/>
    <w:rsid w:val="00002AA9"/>
    <w:rsid w:val="00002B11"/>
    <w:rsid w:val="00002B3E"/>
    <w:rsid w:val="00002B59"/>
    <w:rsid w:val="00002C41"/>
    <w:rsid w:val="00002C57"/>
    <w:rsid w:val="00002C67"/>
    <w:rsid w:val="00002D32"/>
    <w:rsid w:val="00002EF8"/>
    <w:rsid w:val="000032C5"/>
    <w:rsid w:val="00003535"/>
    <w:rsid w:val="000036DA"/>
    <w:rsid w:val="000036FC"/>
    <w:rsid w:val="00003739"/>
    <w:rsid w:val="000038D7"/>
    <w:rsid w:val="000039FC"/>
    <w:rsid w:val="00003C75"/>
    <w:rsid w:val="00003DAB"/>
    <w:rsid w:val="00004015"/>
    <w:rsid w:val="000040AB"/>
    <w:rsid w:val="0000416C"/>
    <w:rsid w:val="00004170"/>
    <w:rsid w:val="000041D7"/>
    <w:rsid w:val="00004218"/>
    <w:rsid w:val="0000427D"/>
    <w:rsid w:val="0000436B"/>
    <w:rsid w:val="000043B4"/>
    <w:rsid w:val="000043B6"/>
    <w:rsid w:val="00004413"/>
    <w:rsid w:val="000044B1"/>
    <w:rsid w:val="000045B0"/>
    <w:rsid w:val="000047B2"/>
    <w:rsid w:val="00004821"/>
    <w:rsid w:val="00004887"/>
    <w:rsid w:val="0000488D"/>
    <w:rsid w:val="00004949"/>
    <w:rsid w:val="00004CD7"/>
    <w:rsid w:val="00004D3E"/>
    <w:rsid w:val="00004E47"/>
    <w:rsid w:val="00004F9C"/>
    <w:rsid w:val="00004FAD"/>
    <w:rsid w:val="00005180"/>
    <w:rsid w:val="00005208"/>
    <w:rsid w:val="0000522A"/>
    <w:rsid w:val="000052CC"/>
    <w:rsid w:val="000054A6"/>
    <w:rsid w:val="000054BC"/>
    <w:rsid w:val="0000556C"/>
    <w:rsid w:val="00005736"/>
    <w:rsid w:val="00005899"/>
    <w:rsid w:val="00005AF4"/>
    <w:rsid w:val="00005B63"/>
    <w:rsid w:val="00005D47"/>
    <w:rsid w:val="00005DBA"/>
    <w:rsid w:val="00005E21"/>
    <w:rsid w:val="00005EEF"/>
    <w:rsid w:val="00005F49"/>
    <w:rsid w:val="00005F58"/>
    <w:rsid w:val="00006080"/>
    <w:rsid w:val="0000608E"/>
    <w:rsid w:val="0000609C"/>
    <w:rsid w:val="000061A8"/>
    <w:rsid w:val="00006406"/>
    <w:rsid w:val="0000645A"/>
    <w:rsid w:val="00006467"/>
    <w:rsid w:val="00006581"/>
    <w:rsid w:val="000065EE"/>
    <w:rsid w:val="000066C8"/>
    <w:rsid w:val="00006809"/>
    <w:rsid w:val="00006A30"/>
    <w:rsid w:val="00006A76"/>
    <w:rsid w:val="00006A91"/>
    <w:rsid w:val="00006A99"/>
    <w:rsid w:val="00006AC7"/>
    <w:rsid w:val="00006B37"/>
    <w:rsid w:val="00006CDD"/>
    <w:rsid w:val="00006D7C"/>
    <w:rsid w:val="00006EF9"/>
    <w:rsid w:val="00006FF2"/>
    <w:rsid w:val="00006FFC"/>
    <w:rsid w:val="00007053"/>
    <w:rsid w:val="00007089"/>
    <w:rsid w:val="0000724C"/>
    <w:rsid w:val="00007260"/>
    <w:rsid w:val="000072E0"/>
    <w:rsid w:val="000073B3"/>
    <w:rsid w:val="000073E6"/>
    <w:rsid w:val="0000749F"/>
    <w:rsid w:val="000075B4"/>
    <w:rsid w:val="000075E8"/>
    <w:rsid w:val="00007727"/>
    <w:rsid w:val="0000781E"/>
    <w:rsid w:val="000078A0"/>
    <w:rsid w:val="00007B2F"/>
    <w:rsid w:val="00007BF3"/>
    <w:rsid w:val="00007C1D"/>
    <w:rsid w:val="00007CA1"/>
    <w:rsid w:val="00007CB1"/>
    <w:rsid w:val="00007DAE"/>
    <w:rsid w:val="00010028"/>
    <w:rsid w:val="00010053"/>
    <w:rsid w:val="000101BF"/>
    <w:rsid w:val="0001023E"/>
    <w:rsid w:val="000102B1"/>
    <w:rsid w:val="0001041D"/>
    <w:rsid w:val="0001055C"/>
    <w:rsid w:val="0001065D"/>
    <w:rsid w:val="00010711"/>
    <w:rsid w:val="0001077F"/>
    <w:rsid w:val="000107BA"/>
    <w:rsid w:val="0001087D"/>
    <w:rsid w:val="000108C4"/>
    <w:rsid w:val="0001095E"/>
    <w:rsid w:val="000109C5"/>
    <w:rsid w:val="00010B23"/>
    <w:rsid w:val="00010BEE"/>
    <w:rsid w:val="00010DEB"/>
    <w:rsid w:val="00010E75"/>
    <w:rsid w:val="00010ED7"/>
    <w:rsid w:val="00010F0B"/>
    <w:rsid w:val="00011066"/>
    <w:rsid w:val="000110C5"/>
    <w:rsid w:val="000111E1"/>
    <w:rsid w:val="0001121A"/>
    <w:rsid w:val="00011398"/>
    <w:rsid w:val="00011669"/>
    <w:rsid w:val="000116C7"/>
    <w:rsid w:val="000117A9"/>
    <w:rsid w:val="000117D6"/>
    <w:rsid w:val="000117ED"/>
    <w:rsid w:val="000119BB"/>
    <w:rsid w:val="00011B39"/>
    <w:rsid w:val="00011B9D"/>
    <w:rsid w:val="00011EE7"/>
    <w:rsid w:val="0001236F"/>
    <w:rsid w:val="000123D2"/>
    <w:rsid w:val="00012509"/>
    <w:rsid w:val="00012645"/>
    <w:rsid w:val="0001270E"/>
    <w:rsid w:val="00012792"/>
    <w:rsid w:val="000127A3"/>
    <w:rsid w:val="000127A4"/>
    <w:rsid w:val="00012B82"/>
    <w:rsid w:val="00012DEC"/>
    <w:rsid w:val="00012EF4"/>
    <w:rsid w:val="00012F2A"/>
    <w:rsid w:val="00013008"/>
    <w:rsid w:val="0001312F"/>
    <w:rsid w:val="00013201"/>
    <w:rsid w:val="00013570"/>
    <w:rsid w:val="0001366C"/>
    <w:rsid w:val="0001382B"/>
    <w:rsid w:val="000138C0"/>
    <w:rsid w:val="0001391D"/>
    <w:rsid w:val="00013A1A"/>
    <w:rsid w:val="00013B9E"/>
    <w:rsid w:val="00013DA8"/>
    <w:rsid w:val="00013E13"/>
    <w:rsid w:val="00013EF8"/>
    <w:rsid w:val="00013F6E"/>
    <w:rsid w:val="0001406D"/>
    <w:rsid w:val="00014568"/>
    <w:rsid w:val="00014657"/>
    <w:rsid w:val="0001471C"/>
    <w:rsid w:val="0001472A"/>
    <w:rsid w:val="000147B0"/>
    <w:rsid w:val="00014A0A"/>
    <w:rsid w:val="00014B17"/>
    <w:rsid w:val="00014B19"/>
    <w:rsid w:val="00014B7A"/>
    <w:rsid w:val="00014D2B"/>
    <w:rsid w:val="00014E27"/>
    <w:rsid w:val="00015087"/>
    <w:rsid w:val="000150FE"/>
    <w:rsid w:val="00015176"/>
    <w:rsid w:val="00015425"/>
    <w:rsid w:val="00015459"/>
    <w:rsid w:val="00015851"/>
    <w:rsid w:val="00015B97"/>
    <w:rsid w:val="00015CB8"/>
    <w:rsid w:val="00015D22"/>
    <w:rsid w:val="00015E77"/>
    <w:rsid w:val="00015F22"/>
    <w:rsid w:val="000160E3"/>
    <w:rsid w:val="000162EE"/>
    <w:rsid w:val="00016551"/>
    <w:rsid w:val="000165AF"/>
    <w:rsid w:val="000165E3"/>
    <w:rsid w:val="0001663D"/>
    <w:rsid w:val="00016668"/>
    <w:rsid w:val="0001667F"/>
    <w:rsid w:val="00016687"/>
    <w:rsid w:val="00016971"/>
    <w:rsid w:val="00016B09"/>
    <w:rsid w:val="00016BBC"/>
    <w:rsid w:val="00016CF6"/>
    <w:rsid w:val="0001703E"/>
    <w:rsid w:val="00017310"/>
    <w:rsid w:val="00017513"/>
    <w:rsid w:val="0001785C"/>
    <w:rsid w:val="00017909"/>
    <w:rsid w:val="00017A67"/>
    <w:rsid w:val="00017BEA"/>
    <w:rsid w:val="00017E83"/>
    <w:rsid w:val="00017FD2"/>
    <w:rsid w:val="0002029B"/>
    <w:rsid w:val="000202D8"/>
    <w:rsid w:val="000203E0"/>
    <w:rsid w:val="0002045D"/>
    <w:rsid w:val="00020575"/>
    <w:rsid w:val="00020664"/>
    <w:rsid w:val="0002071A"/>
    <w:rsid w:val="00020852"/>
    <w:rsid w:val="000208EE"/>
    <w:rsid w:val="00020903"/>
    <w:rsid w:val="0002099F"/>
    <w:rsid w:val="000209A1"/>
    <w:rsid w:val="000209E2"/>
    <w:rsid w:val="00020AAA"/>
    <w:rsid w:val="00020C0A"/>
    <w:rsid w:val="00020D2F"/>
    <w:rsid w:val="00020F5E"/>
    <w:rsid w:val="00020FDE"/>
    <w:rsid w:val="00021037"/>
    <w:rsid w:val="00021165"/>
    <w:rsid w:val="0002123E"/>
    <w:rsid w:val="000213BC"/>
    <w:rsid w:val="00021736"/>
    <w:rsid w:val="00021838"/>
    <w:rsid w:val="00021914"/>
    <w:rsid w:val="000219D2"/>
    <w:rsid w:val="00021A5D"/>
    <w:rsid w:val="00021B1B"/>
    <w:rsid w:val="00021B8A"/>
    <w:rsid w:val="00021D07"/>
    <w:rsid w:val="00021DA3"/>
    <w:rsid w:val="00021F7B"/>
    <w:rsid w:val="00021F85"/>
    <w:rsid w:val="000221E3"/>
    <w:rsid w:val="00022506"/>
    <w:rsid w:val="00022543"/>
    <w:rsid w:val="0002256C"/>
    <w:rsid w:val="0002264D"/>
    <w:rsid w:val="000226AA"/>
    <w:rsid w:val="000226C9"/>
    <w:rsid w:val="00022746"/>
    <w:rsid w:val="0002280B"/>
    <w:rsid w:val="00022920"/>
    <w:rsid w:val="000229AB"/>
    <w:rsid w:val="00022A5B"/>
    <w:rsid w:val="00022B95"/>
    <w:rsid w:val="00022CB9"/>
    <w:rsid w:val="00022D2F"/>
    <w:rsid w:val="00022DB7"/>
    <w:rsid w:val="00022EDB"/>
    <w:rsid w:val="0002300D"/>
    <w:rsid w:val="0002302D"/>
    <w:rsid w:val="00023041"/>
    <w:rsid w:val="0002309E"/>
    <w:rsid w:val="000231DF"/>
    <w:rsid w:val="00023217"/>
    <w:rsid w:val="00023295"/>
    <w:rsid w:val="000232F2"/>
    <w:rsid w:val="00023635"/>
    <w:rsid w:val="000237E5"/>
    <w:rsid w:val="000237E7"/>
    <w:rsid w:val="00023970"/>
    <w:rsid w:val="000239F1"/>
    <w:rsid w:val="00023A25"/>
    <w:rsid w:val="00023A2F"/>
    <w:rsid w:val="00023A68"/>
    <w:rsid w:val="00023BFE"/>
    <w:rsid w:val="00023D5C"/>
    <w:rsid w:val="00023ED9"/>
    <w:rsid w:val="00023F07"/>
    <w:rsid w:val="00024084"/>
    <w:rsid w:val="00024096"/>
    <w:rsid w:val="0002416D"/>
    <w:rsid w:val="0002423E"/>
    <w:rsid w:val="000243AE"/>
    <w:rsid w:val="000243D2"/>
    <w:rsid w:val="00024418"/>
    <w:rsid w:val="00024447"/>
    <w:rsid w:val="0002445C"/>
    <w:rsid w:val="0002461A"/>
    <w:rsid w:val="00024909"/>
    <w:rsid w:val="00024B82"/>
    <w:rsid w:val="00024C44"/>
    <w:rsid w:val="00024CB4"/>
    <w:rsid w:val="00024D21"/>
    <w:rsid w:val="00024D84"/>
    <w:rsid w:val="00024EAC"/>
    <w:rsid w:val="00024F63"/>
    <w:rsid w:val="00024FE2"/>
    <w:rsid w:val="00024FEE"/>
    <w:rsid w:val="000256C8"/>
    <w:rsid w:val="00025A88"/>
    <w:rsid w:val="00025CD5"/>
    <w:rsid w:val="00025E25"/>
    <w:rsid w:val="00025EED"/>
    <w:rsid w:val="0002604E"/>
    <w:rsid w:val="0002605A"/>
    <w:rsid w:val="00026107"/>
    <w:rsid w:val="000261EC"/>
    <w:rsid w:val="000263E4"/>
    <w:rsid w:val="000265DE"/>
    <w:rsid w:val="000266D3"/>
    <w:rsid w:val="000268AE"/>
    <w:rsid w:val="00026943"/>
    <w:rsid w:val="00026B0E"/>
    <w:rsid w:val="00026BDB"/>
    <w:rsid w:val="00026DE1"/>
    <w:rsid w:val="00026F35"/>
    <w:rsid w:val="00026F7D"/>
    <w:rsid w:val="00027006"/>
    <w:rsid w:val="00027008"/>
    <w:rsid w:val="00027070"/>
    <w:rsid w:val="000270EC"/>
    <w:rsid w:val="000270F3"/>
    <w:rsid w:val="00027133"/>
    <w:rsid w:val="000271DA"/>
    <w:rsid w:val="000272B7"/>
    <w:rsid w:val="0002738E"/>
    <w:rsid w:val="00027422"/>
    <w:rsid w:val="000274E7"/>
    <w:rsid w:val="000275C0"/>
    <w:rsid w:val="0002761E"/>
    <w:rsid w:val="00027746"/>
    <w:rsid w:val="000279E5"/>
    <w:rsid w:val="00027A02"/>
    <w:rsid w:val="00027AE0"/>
    <w:rsid w:val="00027C63"/>
    <w:rsid w:val="00027D0C"/>
    <w:rsid w:val="00027D1A"/>
    <w:rsid w:val="00027FD3"/>
    <w:rsid w:val="0003000F"/>
    <w:rsid w:val="000302AE"/>
    <w:rsid w:val="00030387"/>
    <w:rsid w:val="000304B9"/>
    <w:rsid w:val="000304CF"/>
    <w:rsid w:val="0003058A"/>
    <w:rsid w:val="00030644"/>
    <w:rsid w:val="0003069C"/>
    <w:rsid w:val="00030781"/>
    <w:rsid w:val="0003079F"/>
    <w:rsid w:val="000307F7"/>
    <w:rsid w:val="000309F5"/>
    <w:rsid w:val="000309F7"/>
    <w:rsid w:val="00030C2A"/>
    <w:rsid w:val="00030CD5"/>
    <w:rsid w:val="00030FAB"/>
    <w:rsid w:val="00030FDC"/>
    <w:rsid w:val="0003107B"/>
    <w:rsid w:val="000310A0"/>
    <w:rsid w:val="000313E2"/>
    <w:rsid w:val="0003171B"/>
    <w:rsid w:val="0003175D"/>
    <w:rsid w:val="000318F9"/>
    <w:rsid w:val="00031919"/>
    <w:rsid w:val="000319AF"/>
    <w:rsid w:val="000319D3"/>
    <w:rsid w:val="00031B3F"/>
    <w:rsid w:val="00031B74"/>
    <w:rsid w:val="00031D0C"/>
    <w:rsid w:val="00031D1C"/>
    <w:rsid w:val="00031D2A"/>
    <w:rsid w:val="00031DF6"/>
    <w:rsid w:val="00031F6A"/>
    <w:rsid w:val="0003206F"/>
    <w:rsid w:val="000320A1"/>
    <w:rsid w:val="000322B1"/>
    <w:rsid w:val="00032496"/>
    <w:rsid w:val="0003251C"/>
    <w:rsid w:val="00032549"/>
    <w:rsid w:val="000326D1"/>
    <w:rsid w:val="00032763"/>
    <w:rsid w:val="00032772"/>
    <w:rsid w:val="000327A7"/>
    <w:rsid w:val="000329F6"/>
    <w:rsid w:val="00032BF3"/>
    <w:rsid w:val="00032F31"/>
    <w:rsid w:val="00033247"/>
    <w:rsid w:val="000333DA"/>
    <w:rsid w:val="000334EA"/>
    <w:rsid w:val="0003359B"/>
    <w:rsid w:val="0003365B"/>
    <w:rsid w:val="000336BD"/>
    <w:rsid w:val="000337D3"/>
    <w:rsid w:val="000338B6"/>
    <w:rsid w:val="000338EC"/>
    <w:rsid w:val="00033B8D"/>
    <w:rsid w:val="00033BD7"/>
    <w:rsid w:val="00033C4E"/>
    <w:rsid w:val="00033CB7"/>
    <w:rsid w:val="00033ECD"/>
    <w:rsid w:val="00033F76"/>
    <w:rsid w:val="000340EE"/>
    <w:rsid w:val="00034304"/>
    <w:rsid w:val="0003439E"/>
    <w:rsid w:val="000343B0"/>
    <w:rsid w:val="00034455"/>
    <w:rsid w:val="0003446D"/>
    <w:rsid w:val="000344CE"/>
    <w:rsid w:val="000346D5"/>
    <w:rsid w:val="00034776"/>
    <w:rsid w:val="0003499C"/>
    <w:rsid w:val="000349CC"/>
    <w:rsid w:val="00034A5C"/>
    <w:rsid w:val="00034A73"/>
    <w:rsid w:val="00034AB9"/>
    <w:rsid w:val="00034B9D"/>
    <w:rsid w:val="00034C83"/>
    <w:rsid w:val="00034CA2"/>
    <w:rsid w:val="00035039"/>
    <w:rsid w:val="000350D4"/>
    <w:rsid w:val="0003535A"/>
    <w:rsid w:val="0003549E"/>
    <w:rsid w:val="000354B7"/>
    <w:rsid w:val="000355CE"/>
    <w:rsid w:val="000355DA"/>
    <w:rsid w:val="0003567E"/>
    <w:rsid w:val="00035BD9"/>
    <w:rsid w:val="00035D31"/>
    <w:rsid w:val="000361BD"/>
    <w:rsid w:val="0003622E"/>
    <w:rsid w:val="000365EC"/>
    <w:rsid w:val="000366EF"/>
    <w:rsid w:val="00036794"/>
    <w:rsid w:val="00036910"/>
    <w:rsid w:val="00036CC9"/>
    <w:rsid w:val="00036D64"/>
    <w:rsid w:val="00036DC7"/>
    <w:rsid w:val="0003709F"/>
    <w:rsid w:val="0003723E"/>
    <w:rsid w:val="00037258"/>
    <w:rsid w:val="00037330"/>
    <w:rsid w:val="00037374"/>
    <w:rsid w:val="0003737A"/>
    <w:rsid w:val="000373C6"/>
    <w:rsid w:val="0003752A"/>
    <w:rsid w:val="0003765F"/>
    <w:rsid w:val="000376C4"/>
    <w:rsid w:val="000377EE"/>
    <w:rsid w:val="00037897"/>
    <w:rsid w:val="000379DC"/>
    <w:rsid w:val="00037A45"/>
    <w:rsid w:val="00037B79"/>
    <w:rsid w:val="00037BEF"/>
    <w:rsid w:val="00037C5D"/>
    <w:rsid w:val="00037E56"/>
    <w:rsid w:val="00037EC6"/>
    <w:rsid w:val="00037EED"/>
    <w:rsid w:val="00037F7A"/>
    <w:rsid w:val="00040030"/>
    <w:rsid w:val="00040079"/>
    <w:rsid w:val="00040250"/>
    <w:rsid w:val="00040401"/>
    <w:rsid w:val="00040407"/>
    <w:rsid w:val="00040455"/>
    <w:rsid w:val="00040603"/>
    <w:rsid w:val="00040672"/>
    <w:rsid w:val="000406ED"/>
    <w:rsid w:val="00040883"/>
    <w:rsid w:val="00040958"/>
    <w:rsid w:val="00040ACD"/>
    <w:rsid w:val="00040B1C"/>
    <w:rsid w:val="00040C66"/>
    <w:rsid w:val="00040CFB"/>
    <w:rsid w:val="00040EE7"/>
    <w:rsid w:val="00040F50"/>
    <w:rsid w:val="00040FF8"/>
    <w:rsid w:val="0004106D"/>
    <w:rsid w:val="00041195"/>
    <w:rsid w:val="0004124E"/>
    <w:rsid w:val="00041301"/>
    <w:rsid w:val="0004138F"/>
    <w:rsid w:val="000414D9"/>
    <w:rsid w:val="000415CA"/>
    <w:rsid w:val="000416DF"/>
    <w:rsid w:val="000416E9"/>
    <w:rsid w:val="000416F3"/>
    <w:rsid w:val="00041833"/>
    <w:rsid w:val="00041847"/>
    <w:rsid w:val="000418EA"/>
    <w:rsid w:val="00041959"/>
    <w:rsid w:val="000419F9"/>
    <w:rsid w:val="00041AC9"/>
    <w:rsid w:val="00041BCF"/>
    <w:rsid w:val="00041C7C"/>
    <w:rsid w:val="00041DB4"/>
    <w:rsid w:val="00041DD0"/>
    <w:rsid w:val="00041E3E"/>
    <w:rsid w:val="00041E44"/>
    <w:rsid w:val="00041FA8"/>
    <w:rsid w:val="00042013"/>
    <w:rsid w:val="000420F9"/>
    <w:rsid w:val="00042151"/>
    <w:rsid w:val="000422D5"/>
    <w:rsid w:val="000424B5"/>
    <w:rsid w:val="000424BE"/>
    <w:rsid w:val="000424FB"/>
    <w:rsid w:val="00042654"/>
    <w:rsid w:val="0004265A"/>
    <w:rsid w:val="00042688"/>
    <w:rsid w:val="00042846"/>
    <w:rsid w:val="00042907"/>
    <w:rsid w:val="00042B00"/>
    <w:rsid w:val="00042C97"/>
    <w:rsid w:val="00042CF3"/>
    <w:rsid w:val="00042FC0"/>
    <w:rsid w:val="0004302C"/>
    <w:rsid w:val="000430EA"/>
    <w:rsid w:val="00043118"/>
    <w:rsid w:val="000432AE"/>
    <w:rsid w:val="000433A9"/>
    <w:rsid w:val="000433E6"/>
    <w:rsid w:val="0004351E"/>
    <w:rsid w:val="000435F1"/>
    <w:rsid w:val="00043775"/>
    <w:rsid w:val="000437C6"/>
    <w:rsid w:val="0004392C"/>
    <w:rsid w:val="00043C67"/>
    <w:rsid w:val="00043D7F"/>
    <w:rsid w:val="00043DA5"/>
    <w:rsid w:val="00043DAE"/>
    <w:rsid w:val="00043EA8"/>
    <w:rsid w:val="00043FFA"/>
    <w:rsid w:val="00044075"/>
    <w:rsid w:val="00044081"/>
    <w:rsid w:val="0004408B"/>
    <w:rsid w:val="000440C1"/>
    <w:rsid w:val="00044237"/>
    <w:rsid w:val="000442C4"/>
    <w:rsid w:val="00044338"/>
    <w:rsid w:val="00044399"/>
    <w:rsid w:val="00044419"/>
    <w:rsid w:val="00044446"/>
    <w:rsid w:val="000446E2"/>
    <w:rsid w:val="000447DB"/>
    <w:rsid w:val="000448F2"/>
    <w:rsid w:val="00044A8F"/>
    <w:rsid w:val="00044F7C"/>
    <w:rsid w:val="00045126"/>
    <w:rsid w:val="000451CD"/>
    <w:rsid w:val="000453F0"/>
    <w:rsid w:val="0004545D"/>
    <w:rsid w:val="00045690"/>
    <w:rsid w:val="00045773"/>
    <w:rsid w:val="00045866"/>
    <w:rsid w:val="00045961"/>
    <w:rsid w:val="00045A38"/>
    <w:rsid w:val="00045A59"/>
    <w:rsid w:val="00045A5B"/>
    <w:rsid w:val="00045A70"/>
    <w:rsid w:val="00045A98"/>
    <w:rsid w:val="00045AF0"/>
    <w:rsid w:val="00045CB4"/>
    <w:rsid w:val="00045D5A"/>
    <w:rsid w:val="00045F18"/>
    <w:rsid w:val="00046000"/>
    <w:rsid w:val="00046020"/>
    <w:rsid w:val="00046077"/>
    <w:rsid w:val="000460D4"/>
    <w:rsid w:val="000460F5"/>
    <w:rsid w:val="00046437"/>
    <w:rsid w:val="0004651C"/>
    <w:rsid w:val="00046566"/>
    <w:rsid w:val="000465C9"/>
    <w:rsid w:val="00046637"/>
    <w:rsid w:val="0004674E"/>
    <w:rsid w:val="0004679C"/>
    <w:rsid w:val="000469B9"/>
    <w:rsid w:val="00046A11"/>
    <w:rsid w:val="00046F55"/>
    <w:rsid w:val="00047014"/>
    <w:rsid w:val="0004721C"/>
    <w:rsid w:val="00047256"/>
    <w:rsid w:val="00047306"/>
    <w:rsid w:val="000474A6"/>
    <w:rsid w:val="0004752D"/>
    <w:rsid w:val="00047575"/>
    <w:rsid w:val="00047684"/>
    <w:rsid w:val="00047866"/>
    <w:rsid w:val="00047E1F"/>
    <w:rsid w:val="00047E82"/>
    <w:rsid w:val="0005005E"/>
    <w:rsid w:val="0005006B"/>
    <w:rsid w:val="000501CC"/>
    <w:rsid w:val="0005021C"/>
    <w:rsid w:val="000502C4"/>
    <w:rsid w:val="00050333"/>
    <w:rsid w:val="000504AF"/>
    <w:rsid w:val="00050590"/>
    <w:rsid w:val="000505A2"/>
    <w:rsid w:val="000505C5"/>
    <w:rsid w:val="0005066E"/>
    <w:rsid w:val="00050791"/>
    <w:rsid w:val="0005097B"/>
    <w:rsid w:val="000509C9"/>
    <w:rsid w:val="00050A75"/>
    <w:rsid w:val="00050DAE"/>
    <w:rsid w:val="00050ED3"/>
    <w:rsid w:val="00050FE3"/>
    <w:rsid w:val="00051015"/>
    <w:rsid w:val="0005107F"/>
    <w:rsid w:val="000512C2"/>
    <w:rsid w:val="000513DC"/>
    <w:rsid w:val="000514B1"/>
    <w:rsid w:val="00051522"/>
    <w:rsid w:val="00051598"/>
    <w:rsid w:val="000515AA"/>
    <w:rsid w:val="00051756"/>
    <w:rsid w:val="00051B17"/>
    <w:rsid w:val="00051B53"/>
    <w:rsid w:val="00051D6D"/>
    <w:rsid w:val="00051D8D"/>
    <w:rsid w:val="00051F0E"/>
    <w:rsid w:val="00051FDF"/>
    <w:rsid w:val="00052019"/>
    <w:rsid w:val="00052037"/>
    <w:rsid w:val="000520B5"/>
    <w:rsid w:val="00052129"/>
    <w:rsid w:val="000522E9"/>
    <w:rsid w:val="0005234C"/>
    <w:rsid w:val="000523A2"/>
    <w:rsid w:val="000523FF"/>
    <w:rsid w:val="0005253F"/>
    <w:rsid w:val="00052737"/>
    <w:rsid w:val="000527D7"/>
    <w:rsid w:val="00052918"/>
    <w:rsid w:val="0005294A"/>
    <w:rsid w:val="000529A3"/>
    <w:rsid w:val="00052B17"/>
    <w:rsid w:val="00052C31"/>
    <w:rsid w:val="00052D8C"/>
    <w:rsid w:val="00052DC3"/>
    <w:rsid w:val="00052DDC"/>
    <w:rsid w:val="00052EAC"/>
    <w:rsid w:val="00052EC2"/>
    <w:rsid w:val="00053116"/>
    <w:rsid w:val="0005317D"/>
    <w:rsid w:val="00053202"/>
    <w:rsid w:val="0005320C"/>
    <w:rsid w:val="0005320E"/>
    <w:rsid w:val="00053318"/>
    <w:rsid w:val="00053449"/>
    <w:rsid w:val="0005350C"/>
    <w:rsid w:val="0005353B"/>
    <w:rsid w:val="000535B7"/>
    <w:rsid w:val="0005365E"/>
    <w:rsid w:val="00053692"/>
    <w:rsid w:val="000537D9"/>
    <w:rsid w:val="0005384F"/>
    <w:rsid w:val="0005389C"/>
    <w:rsid w:val="0005398C"/>
    <w:rsid w:val="00053AAB"/>
    <w:rsid w:val="00053B87"/>
    <w:rsid w:val="00053C8A"/>
    <w:rsid w:val="00053D1B"/>
    <w:rsid w:val="00053E67"/>
    <w:rsid w:val="00053E74"/>
    <w:rsid w:val="00053F0A"/>
    <w:rsid w:val="00053FC5"/>
    <w:rsid w:val="00054069"/>
    <w:rsid w:val="000540D3"/>
    <w:rsid w:val="00054292"/>
    <w:rsid w:val="00054319"/>
    <w:rsid w:val="00054330"/>
    <w:rsid w:val="00054386"/>
    <w:rsid w:val="0005469A"/>
    <w:rsid w:val="000546B4"/>
    <w:rsid w:val="000549C6"/>
    <w:rsid w:val="00054BB9"/>
    <w:rsid w:val="00054BBD"/>
    <w:rsid w:val="00054CC4"/>
    <w:rsid w:val="00054D62"/>
    <w:rsid w:val="00054D73"/>
    <w:rsid w:val="00054D9A"/>
    <w:rsid w:val="00054E4E"/>
    <w:rsid w:val="00054ECD"/>
    <w:rsid w:val="0005506E"/>
    <w:rsid w:val="00055092"/>
    <w:rsid w:val="000553C8"/>
    <w:rsid w:val="00055481"/>
    <w:rsid w:val="00055504"/>
    <w:rsid w:val="000555C2"/>
    <w:rsid w:val="000555F6"/>
    <w:rsid w:val="0005585A"/>
    <w:rsid w:val="00055895"/>
    <w:rsid w:val="00055CF2"/>
    <w:rsid w:val="00055DF9"/>
    <w:rsid w:val="00055F18"/>
    <w:rsid w:val="00056119"/>
    <w:rsid w:val="000563C8"/>
    <w:rsid w:val="000564F5"/>
    <w:rsid w:val="000565D6"/>
    <w:rsid w:val="00056745"/>
    <w:rsid w:val="000567CB"/>
    <w:rsid w:val="00056A4B"/>
    <w:rsid w:val="00056C13"/>
    <w:rsid w:val="00056F26"/>
    <w:rsid w:val="00056F78"/>
    <w:rsid w:val="00057167"/>
    <w:rsid w:val="000571CB"/>
    <w:rsid w:val="00057405"/>
    <w:rsid w:val="0005748A"/>
    <w:rsid w:val="00057571"/>
    <w:rsid w:val="0005757E"/>
    <w:rsid w:val="000577B7"/>
    <w:rsid w:val="00057869"/>
    <w:rsid w:val="00057A67"/>
    <w:rsid w:val="00057AD3"/>
    <w:rsid w:val="00057B2C"/>
    <w:rsid w:val="00057B34"/>
    <w:rsid w:val="00057D32"/>
    <w:rsid w:val="00057FC1"/>
    <w:rsid w:val="00060012"/>
    <w:rsid w:val="0006049C"/>
    <w:rsid w:val="000607E1"/>
    <w:rsid w:val="0006080E"/>
    <w:rsid w:val="0006092A"/>
    <w:rsid w:val="00060BA4"/>
    <w:rsid w:val="00060C2A"/>
    <w:rsid w:val="00060C55"/>
    <w:rsid w:val="00060D08"/>
    <w:rsid w:val="00060D2C"/>
    <w:rsid w:val="00060E31"/>
    <w:rsid w:val="00060F28"/>
    <w:rsid w:val="00061046"/>
    <w:rsid w:val="00061118"/>
    <w:rsid w:val="00061189"/>
    <w:rsid w:val="000612DC"/>
    <w:rsid w:val="00061459"/>
    <w:rsid w:val="0006158F"/>
    <w:rsid w:val="000616A1"/>
    <w:rsid w:val="00061719"/>
    <w:rsid w:val="000618D5"/>
    <w:rsid w:val="00061B9E"/>
    <w:rsid w:val="00061EA2"/>
    <w:rsid w:val="00061F03"/>
    <w:rsid w:val="0006202E"/>
    <w:rsid w:val="000621DD"/>
    <w:rsid w:val="00062244"/>
    <w:rsid w:val="00062255"/>
    <w:rsid w:val="0006229A"/>
    <w:rsid w:val="000622D6"/>
    <w:rsid w:val="0006232E"/>
    <w:rsid w:val="00062419"/>
    <w:rsid w:val="00062511"/>
    <w:rsid w:val="0006261F"/>
    <w:rsid w:val="000626CB"/>
    <w:rsid w:val="0006291A"/>
    <w:rsid w:val="000629F1"/>
    <w:rsid w:val="00062A3A"/>
    <w:rsid w:val="00062A68"/>
    <w:rsid w:val="00062AC7"/>
    <w:rsid w:val="00062BF7"/>
    <w:rsid w:val="00062ECD"/>
    <w:rsid w:val="0006319B"/>
    <w:rsid w:val="00063207"/>
    <w:rsid w:val="00063231"/>
    <w:rsid w:val="000634F1"/>
    <w:rsid w:val="00063624"/>
    <w:rsid w:val="00063690"/>
    <w:rsid w:val="00063820"/>
    <w:rsid w:val="00063847"/>
    <w:rsid w:val="000639D9"/>
    <w:rsid w:val="00063AA0"/>
    <w:rsid w:val="00063ACD"/>
    <w:rsid w:val="00063C79"/>
    <w:rsid w:val="00063FBD"/>
    <w:rsid w:val="0006404F"/>
    <w:rsid w:val="00064124"/>
    <w:rsid w:val="000642CB"/>
    <w:rsid w:val="000644B1"/>
    <w:rsid w:val="00064500"/>
    <w:rsid w:val="00064764"/>
    <w:rsid w:val="00064821"/>
    <w:rsid w:val="0006487E"/>
    <w:rsid w:val="000648D1"/>
    <w:rsid w:val="000649A7"/>
    <w:rsid w:val="000649CD"/>
    <w:rsid w:val="00064F56"/>
    <w:rsid w:val="00064FAC"/>
    <w:rsid w:val="00065069"/>
    <w:rsid w:val="000650FB"/>
    <w:rsid w:val="00065474"/>
    <w:rsid w:val="000654D3"/>
    <w:rsid w:val="000656B6"/>
    <w:rsid w:val="00065B14"/>
    <w:rsid w:val="00065B6B"/>
    <w:rsid w:val="00065C3F"/>
    <w:rsid w:val="00065E42"/>
    <w:rsid w:val="00066425"/>
    <w:rsid w:val="0006644E"/>
    <w:rsid w:val="000664C1"/>
    <w:rsid w:val="000665D6"/>
    <w:rsid w:val="00066709"/>
    <w:rsid w:val="00066914"/>
    <w:rsid w:val="00066983"/>
    <w:rsid w:val="00066AC8"/>
    <w:rsid w:val="00066BC4"/>
    <w:rsid w:val="00066CA7"/>
    <w:rsid w:val="00066D6A"/>
    <w:rsid w:val="00066D97"/>
    <w:rsid w:val="00066FC8"/>
    <w:rsid w:val="000670E0"/>
    <w:rsid w:val="000671B5"/>
    <w:rsid w:val="000671CF"/>
    <w:rsid w:val="00067261"/>
    <w:rsid w:val="000672B8"/>
    <w:rsid w:val="00067385"/>
    <w:rsid w:val="0006752E"/>
    <w:rsid w:val="00067677"/>
    <w:rsid w:val="00067736"/>
    <w:rsid w:val="00067741"/>
    <w:rsid w:val="000677A1"/>
    <w:rsid w:val="00067948"/>
    <w:rsid w:val="000679CD"/>
    <w:rsid w:val="00067A3C"/>
    <w:rsid w:val="00067AA5"/>
    <w:rsid w:val="00067B2B"/>
    <w:rsid w:val="00067B48"/>
    <w:rsid w:val="00067B84"/>
    <w:rsid w:val="00067B92"/>
    <w:rsid w:val="00067C2B"/>
    <w:rsid w:val="00067CF6"/>
    <w:rsid w:val="00067FCC"/>
    <w:rsid w:val="0007004F"/>
    <w:rsid w:val="000700C9"/>
    <w:rsid w:val="00070183"/>
    <w:rsid w:val="000703FD"/>
    <w:rsid w:val="00070483"/>
    <w:rsid w:val="0007075E"/>
    <w:rsid w:val="000708E6"/>
    <w:rsid w:val="0007092B"/>
    <w:rsid w:val="0007094A"/>
    <w:rsid w:val="000709DE"/>
    <w:rsid w:val="00070A1D"/>
    <w:rsid w:val="00070CEE"/>
    <w:rsid w:val="00070D83"/>
    <w:rsid w:val="00070FEA"/>
    <w:rsid w:val="0007101F"/>
    <w:rsid w:val="0007124A"/>
    <w:rsid w:val="00071333"/>
    <w:rsid w:val="00071443"/>
    <w:rsid w:val="00071912"/>
    <w:rsid w:val="00071A90"/>
    <w:rsid w:val="00071AF9"/>
    <w:rsid w:val="00071E05"/>
    <w:rsid w:val="00071E83"/>
    <w:rsid w:val="00071FD2"/>
    <w:rsid w:val="000722AF"/>
    <w:rsid w:val="00072339"/>
    <w:rsid w:val="00072346"/>
    <w:rsid w:val="000725BE"/>
    <w:rsid w:val="0007260C"/>
    <w:rsid w:val="00072891"/>
    <w:rsid w:val="00072B10"/>
    <w:rsid w:val="00072D14"/>
    <w:rsid w:val="00072D52"/>
    <w:rsid w:val="00072DF2"/>
    <w:rsid w:val="00072E63"/>
    <w:rsid w:val="00072E92"/>
    <w:rsid w:val="00072EB8"/>
    <w:rsid w:val="000730E7"/>
    <w:rsid w:val="000730FE"/>
    <w:rsid w:val="000731FB"/>
    <w:rsid w:val="000732DC"/>
    <w:rsid w:val="00073322"/>
    <w:rsid w:val="0007336C"/>
    <w:rsid w:val="00073433"/>
    <w:rsid w:val="00073437"/>
    <w:rsid w:val="00073529"/>
    <w:rsid w:val="00073830"/>
    <w:rsid w:val="000738B1"/>
    <w:rsid w:val="000739A3"/>
    <w:rsid w:val="00073AC6"/>
    <w:rsid w:val="00073AE0"/>
    <w:rsid w:val="00073B31"/>
    <w:rsid w:val="00073CAA"/>
    <w:rsid w:val="00073DB2"/>
    <w:rsid w:val="00073E7C"/>
    <w:rsid w:val="00073FB8"/>
    <w:rsid w:val="00073FE8"/>
    <w:rsid w:val="0007407A"/>
    <w:rsid w:val="00074167"/>
    <w:rsid w:val="000743EB"/>
    <w:rsid w:val="00074527"/>
    <w:rsid w:val="00074646"/>
    <w:rsid w:val="00074648"/>
    <w:rsid w:val="00074721"/>
    <w:rsid w:val="00074841"/>
    <w:rsid w:val="00074B5F"/>
    <w:rsid w:val="00074BC1"/>
    <w:rsid w:val="00074DB6"/>
    <w:rsid w:val="00074DF0"/>
    <w:rsid w:val="00074F48"/>
    <w:rsid w:val="000751D2"/>
    <w:rsid w:val="000753DA"/>
    <w:rsid w:val="0007572F"/>
    <w:rsid w:val="00075858"/>
    <w:rsid w:val="00075861"/>
    <w:rsid w:val="00075972"/>
    <w:rsid w:val="00075A03"/>
    <w:rsid w:val="00075A22"/>
    <w:rsid w:val="00075B2B"/>
    <w:rsid w:val="00075BC1"/>
    <w:rsid w:val="00075CBA"/>
    <w:rsid w:val="00075DB5"/>
    <w:rsid w:val="00075DDC"/>
    <w:rsid w:val="00075FCB"/>
    <w:rsid w:val="00075FEF"/>
    <w:rsid w:val="0007648B"/>
    <w:rsid w:val="000766D9"/>
    <w:rsid w:val="00076760"/>
    <w:rsid w:val="000769B1"/>
    <w:rsid w:val="00076B7D"/>
    <w:rsid w:val="00076D5E"/>
    <w:rsid w:val="00076DFA"/>
    <w:rsid w:val="00076F96"/>
    <w:rsid w:val="00076FDC"/>
    <w:rsid w:val="0007705E"/>
    <w:rsid w:val="000770C6"/>
    <w:rsid w:val="00077355"/>
    <w:rsid w:val="00077814"/>
    <w:rsid w:val="000779ED"/>
    <w:rsid w:val="000779F8"/>
    <w:rsid w:val="00077AD4"/>
    <w:rsid w:val="00077ADA"/>
    <w:rsid w:val="00077CC6"/>
    <w:rsid w:val="00077EB3"/>
    <w:rsid w:val="00077F2B"/>
    <w:rsid w:val="00077FAA"/>
    <w:rsid w:val="0008004D"/>
    <w:rsid w:val="000800BA"/>
    <w:rsid w:val="0008012D"/>
    <w:rsid w:val="00080132"/>
    <w:rsid w:val="00080185"/>
    <w:rsid w:val="00080248"/>
    <w:rsid w:val="00080392"/>
    <w:rsid w:val="000808B5"/>
    <w:rsid w:val="000808EE"/>
    <w:rsid w:val="00080B82"/>
    <w:rsid w:val="00080BA6"/>
    <w:rsid w:val="00080C2A"/>
    <w:rsid w:val="00080D00"/>
    <w:rsid w:val="00080D11"/>
    <w:rsid w:val="00080DBD"/>
    <w:rsid w:val="000812E4"/>
    <w:rsid w:val="00081343"/>
    <w:rsid w:val="0008137B"/>
    <w:rsid w:val="000815ED"/>
    <w:rsid w:val="00081823"/>
    <w:rsid w:val="00081919"/>
    <w:rsid w:val="00081929"/>
    <w:rsid w:val="00081A43"/>
    <w:rsid w:val="00081B06"/>
    <w:rsid w:val="00081E5F"/>
    <w:rsid w:val="00081F35"/>
    <w:rsid w:val="00081F87"/>
    <w:rsid w:val="00081FDA"/>
    <w:rsid w:val="00082213"/>
    <w:rsid w:val="0008229A"/>
    <w:rsid w:val="0008251B"/>
    <w:rsid w:val="0008255A"/>
    <w:rsid w:val="0008259F"/>
    <w:rsid w:val="000825A2"/>
    <w:rsid w:val="00082737"/>
    <w:rsid w:val="00082805"/>
    <w:rsid w:val="0008291C"/>
    <w:rsid w:val="00082B05"/>
    <w:rsid w:val="00082B25"/>
    <w:rsid w:val="00082B38"/>
    <w:rsid w:val="00082C58"/>
    <w:rsid w:val="00082DEB"/>
    <w:rsid w:val="00082E2A"/>
    <w:rsid w:val="00082ED1"/>
    <w:rsid w:val="00082FE0"/>
    <w:rsid w:val="000830F9"/>
    <w:rsid w:val="000831A5"/>
    <w:rsid w:val="000832CA"/>
    <w:rsid w:val="0008333A"/>
    <w:rsid w:val="000833B7"/>
    <w:rsid w:val="00083440"/>
    <w:rsid w:val="0008358A"/>
    <w:rsid w:val="0008359A"/>
    <w:rsid w:val="000835D1"/>
    <w:rsid w:val="000836EC"/>
    <w:rsid w:val="000838F3"/>
    <w:rsid w:val="000839A8"/>
    <w:rsid w:val="00083A77"/>
    <w:rsid w:val="00083D07"/>
    <w:rsid w:val="00083F2C"/>
    <w:rsid w:val="0008415C"/>
    <w:rsid w:val="00084275"/>
    <w:rsid w:val="000843EB"/>
    <w:rsid w:val="000844A1"/>
    <w:rsid w:val="0008450F"/>
    <w:rsid w:val="00084876"/>
    <w:rsid w:val="00084918"/>
    <w:rsid w:val="00084923"/>
    <w:rsid w:val="0008494C"/>
    <w:rsid w:val="000849F8"/>
    <w:rsid w:val="00084A7E"/>
    <w:rsid w:val="00084C85"/>
    <w:rsid w:val="00084CD2"/>
    <w:rsid w:val="00084CFD"/>
    <w:rsid w:val="00084EFF"/>
    <w:rsid w:val="00084F9C"/>
    <w:rsid w:val="0008504C"/>
    <w:rsid w:val="0008515B"/>
    <w:rsid w:val="000851A3"/>
    <w:rsid w:val="000853A2"/>
    <w:rsid w:val="00085615"/>
    <w:rsid w:val="0008563E"/>
    <w:rsid w:val="000856B6"/>
    <w:rsid w:val="0008577C"/>
    <w:rsid w:val="000859FE"/>
    <w:rsid w:val="00085B2E"/>
    <w:rsid w:val="00085D87"/>
    <w:rsid w:val="00085E5F"/>
    <w:rsid w:val="00085E62"/>
    <w:rsid w:val="0008635A"/>
    <w:rsid w:val="00086656"/>
    <w:rsid w:val="000866E6"/>
    <w:rsid w:val="00086768"/>
    <w:rsid w:val="000867B2"/>
    <w:rsid w:val="00086920"/>
    <w:rsid w:val="00086A00"/>
    <w:rsid w:val="00086B06"/>
    <w:rsid w:val="00086C6B"/>
    <w:rsid w:val="00086F09"/>
    <w:rsid w:val="00086FB4"/>
    <w:rsid w:val="0008740A"/>
    <w:rsid w:val="0008757B"/>
    <w:rsid w:val="00087593"/>
    <w:rsid w:val="000876BA"/>
    <w:rsid w:val="0008784C"/>
    <w:rsid w:val="00087979"/>
    <w:rsid w:val="000879C3"/>
    <w:rsid w:val="00087B26"/>
    <w:rsid w:val="00087B86"/>
    <w:rsid w:val="00087C8B"/>
    <w:rsid w:val="00087CCB"/>
    <w:rsid w:val="00087D46"/>
    <w:rsid w:val="00087DBE"/>
    <w:rsid w:val="00087EA2"/>
    <w:rsid w:val="00087FB9"/>
    <w:rsid w:val="00087FC6"/>
    <w:rsid w:val="00090129"/>
    <w:rsid w:val="0009054D"/>
    <w:rsid w:val="00090752"/>
    <w:rsid w:val="0009077C"/>
    <w:rsid w:val="00090904"/>
    <w:rsid w:val="0009098F"/>
    <w:rsid w:val="00090AAF"/>
    <w:rsid w:val="00090B29"/>
    <w:rsid w:val="00090BFB"/>
    <w:rsid w:val="00090CFF"/>
    <w:rsid w:val="00090F56"/>
    <w:rsid w:val="00090FCA"/>
    <w:rsid w:val="00090FCB"/>
    <w:rsid w:val="00090FCC"/>
    <w:rsid w:val="00091283"/>
    <w:rsid w:val="000913D0"/>
    <w:rsid w:val="000913DA"/>
    <w:rsid w:val="00091512"/>
    <w:rsid w:val="00091526"/>
    <w:rsid w:val="000915D8"/>
    <w:rsid w:val="00091690"/>
    <w:rsid w:val="000916E1"/>
    <w:rsid w:val="0009176D"/>
    <w:rsid w:val="00091785"/>
    <w:rsid w:val="000919D4"/>
    <w:rsid w:val="00091A8B"/>
    <w:rsid w:val="00091AE6"/>
    <w:rsid w:val="00091C2E"/>
    <w:rsid w:val="00091F68"/>
    <w:rsid w:val="0009213B"/>
    <w:rsid w:val="00092148"/>
    <w:rsid w:val="000921DA"/>
    <w:rsid w:val="000922D0"/>
    <w:rsid w:val="00092322"/>
    <w:rsid w:val="00092335"/>
    <w:rsid w:val="000923A0"/>
    <w:rsid w:val="0009252B"/>
    <w:rsid w:val="00092600"/>
    <w:rsid w:val="00092659"/>
    <w:rsid w:val="00092782"/>
    <w:rsid w:val="000928EC"/>
    <w:rsid w:val="00092987"/>
    <w:rsid w:val="000929A8"/>
    <w:rsid w:val="00092CCC"/>
    <w:rsid w:val="00092E6D"/>
    <w:rsid w:val="00092ED4"/>
    <w:rsid w:val="00093006"/>
    <w:rsid w:val="00093088"/>
    <w:rsid w:val="000933B9"/>
    <w:rsid w:val="000933D2"/>
    <w:rsid w:val="00093736"/>
    <w:rsid w:val="00093765"/>
    <w:rsid w:val="0009379F"/>
    <w:rsid w:val="000939AE"/>
    <w:rsid w:val="00093A62"/>
    <w:rsid w:val="00093CCC"/>
    <w:rsid w:val="00093CE9"/>
    <w:rsid w:val="00093DBA"/>
    <w:rsid w:val="00093F3E"/>
    <w:rsid w:val="00094178"/>
    <w:rsid w:val="00094300"/>
    <w:rsid w:val="000943EA"/>
    <w:rsid w:val="000943F2"/>
    <w:rsid w:val="0009449E"/>
    <w:rsid w:val="00094524"/>
    <w:rsid w:val="00094936"/>
    <w:rsid w:val="00094A73"/>
    <w:rsid w:val="00094C26"/>
    <w:rsid w:val="00094C72"/>
    <w:rsid w:val="00094C98"/>
    <w:rsid w:val="00094CA1"/>
    <w:rsid w:val="00094DF9"/>
    <w:rsid w:val="00094EA9"/>
    <w:rsid w:val="00094F44"/>
    <w:rsid w:val="00095116"/>
    <w:rsid w:val="000951AC"/>
    <w:rsid w:val="000951CB"/>
    <w:rsid w:val="000952F7"/>
    <w:rsid w:val="00095455"/>
    <w:rsid w:val="000954B8"/>
    <w:rsid w:val="000954E8"/>
    <w:rsid w:val="000955B2"/>
    <w:rsid w:val="00095673"/>
    <w:rsid w:val="000957BC"/>
    <w:rsid w:val="0009596D"/>
    <w:rsid w:val="00095976"/>
    <w:rsid w:val="00095AC4"/>
    <w:rsid w:val="00095B16"/>
    <w:rsid w:val="00095C14"/>
    <w:rsid w:val="00095D58"/>
    <w:rsid w:val="00095D5D"/>
    <w:rsid w:val="00095DAB"/>
    <w:rsid w:val="00095E01"/>
    <w:rsid w:val="00095F72"/>
    <w:rsid w:val="00095FB8"/>
    <w:rsid w:val="000960D8"/>
    <w:rsid w:val="000962ED"/>
    <w:rsid w:val="000962EF"/>
    <w:rsid w:val="0009632A"/>
    <w:rsid w:val="000963B3"/>
    <w:rsid w:val="000964F3"/>
    <w:rsid w:val="0009654C"/>
    <w:rsid w:val="000965B0"/>
    <w:rsid w:val="00096698"/>
    <w:rsid w:val="000966A5"/>
    <w:rsid w:val="000966F4"/>
    <w:rsid w:val="00096741"/>
    <w:rsid w:val="00096B13"/>
    <w:rsid w:val="00096C32"/>
    <w:rsid w:val="00096C6E"/>
    <w:rsid w:val="00096C99"/>
    <w:rsid w:val="00096E25"/>
    <w:rsid w:val="00096E6C"/>
    <w:rsid w:val="00096F15"/>
    <w:rsid w:val="00096FAC"/>
    <w:rsid w:val="00096FE4"/>
    <w:rsid w:val="000970DC"/>
    <w:rsid w:val="00097147"/>
    <w:rsid w:val="0009728D"/>
    <w:rsid w:val="000972A4"/>
    <w:rsid w:val="00097422"/>
    <w:rsid w:val="000974C0"/>
    <w:rsid w:val="00097537"/>
    <w:rsid w:val="000975D7"/>
    <w:rsid w:val="00097795"/>
    <w:rsid w:val="0009786B"/>
    <w:rsid w:val="00097907"/>
    <w:rsid w:val="00097A0B"/>
    <w:rsid w:val="00097A40"/>
    <w:rsid w:val="00097AC0"/>
    <w:rsid w:val="00097AF9"/>
    <w:rsid w:val="00097C0B"/>
    <w:rsid w:val="00097D24"/>
    <w:rsid w:val="00097DA1"/>
    <w:rsid w:val="00097DFD"/>
    <w:rsid w:val="00097E6D"/>
    <w:rsid w:val="00097E6F"/>
    <w:rsid w:val="00097E81"/>
    <w:rsid w:val="00097F52"/>
    <w:rsid w:val="000A0025"/>
    <w:rsid w:val="000A00A8"/>
    <w:rsid w:val="000A0173"/>
    <w:rsid w:val="000A01B4"/>
    <w:rsid w:val="000A0253"/>
    <w:rsid w:val="000A0270"/>
    <w:rsid w:val="000A037D"/>
    <w:rsid w:val="000A0503"/>
    <w:rsid w:val="000A05E8"/>
    <w:rsid w:val="000A0626"/>
    <w:rsid w:val="000A0749"/>
    <w:rsid w:val="000A0A61"/>
    <w:rsid w:val="000A0AA0"/>
    <w:rsid w:val="000A0ABD"/>
    <w:rsid w:val="000A0ABF"/>
    <w:rsid w:val="000A0C01"/>
    <w:rsid w:val="000A0C23"/>
    <w:rsid w:val="000A0CD0"/>
    <w:rsid w:val="000A0D3E"/>
    <w:rsid w:val="000A0D57"/>
    <w:rsid w:val="000A0E85"/>
    <w:rsid w:val="000A0EB9"/>
    <w:rsid w:val="000A1093"/>
    <w:rsid w:val="000A114D"/>
    <w:rsid w:val="000A1173"/>
    <w:rsid w:val="000A11F0"/>
    <w:rsid w:val="000A11F6"/>
    <w:rsid w:val="000A1262"/>
    <w:rsid w:val="000A1314"/>
    <w:rsid w:val="000A13AC"/>
    <w:rsid w:val="000A1414"/>
    <w:rsid w:val="000A1452"/>
    <w:rsid w:val="000A147A"/>
    <w:rsid w:val="000A14C6"/>
    <w:rsid w:val="000A1642"/>
    <w:rsid w:val="000A1662"/>
    <w:rsid w:val="000A1848"/>
    <w:rsid w:val="000A18B9"/>
    <w:rsid w:val="000A1924"/>
    <w:rsid w:val="000A1A69"/>
    <w:rsid w:val="000A1B59"/>
    <w:rsid w:val="000A1C28"/>
    <w:rsid w:val="000A1D55"/>
    <w:rsid w:val="000A207F"/>
    <w:rsid w:val="000A219E"/>
    <w:rsid w:val="000A2422"/>
    <w:rsid w:val="000A25A9"/>
    <w:rsid w:val="000A2614"/>
    <w:rsid w:val="000A2635"/>
    <w:rsid w:val="000A26AC"/>
    <w:rsid w:val="000A282E"/>
    <w:rsid w:val="000A2840"/>
    <w:rsid w:val="000A290F"/>
    <w:rsid w:val="000A29A7"/>
    <w:rsid w:val="000A29DC"/>
    <w:rsid w:val="000A2A87"/>
    <w:rsid w:val="000A2AF3"/>
    <w:rsid w:val="000A2C1F"/>
    <w:rsid w:val="000A2C6A"/>
    <w:rsid w:val="000A2E3C"/>
    <w:rsid w:val="000A2F12"/>
    <w:rsid w:val="000A31B1"/>
    <w:rsid w:val="000A3398"/>
    <w:rsid w:val="000A3546"/>
    <w:rsid w:val="000A3656"/>
    <w:rsid w:val="000A3C69"/>
    <w:rsid w:val="000A3CC0"/>
    <w:rsid w:val="000A3CC5"/>
    <w:rsid w:val="000A3D9D"/>
    <w:rsid w:val="000A3E10"/>
    <w:rsid w:val="000A3E93"/>
    <w:rsid w:val="000A405B"/>
    <w:rsid w:val="000A40AA"/>
    <w:rsid w:val="000A41E7"/>
    <w:rsid w:val="000A4229"/>
    <w:rsid w:val="000A4433"/>
    <w:rsid w:val="000A4444"/>
    <w:rsid w:val="000A4579"/>
    <w:rsid w:val="000A458C"/>
    <w:rsid w:val="000A45BB"/>
    <w:rsid w:val="000A45D5"/>
    <w:rsid w:val="000A4750"/>
    <w:rsid w:val="000A47F6"/>
    <w:rsid w:val="000A4AAC"/>
    <w:rsid w:val="000A4C84"/>
    <w:rsid w:val="000A4D55"/>
    <w:rsid w:val="000A4F49"/>
    <w:rsid w:val="000A4FD6"/>
    <w:rsid w:val="000A507A"/>
    <w:rsid w:val="000A50F6"/>
    <w:rsid w:val="000A5110"/>
    <w:rsid w:val="000A5140"/>
    <w:rsid w:val="000A51A0"/>
    <w:rsid w:val="000A52B6"/>
    <w:rsid w:val="000A52D4"/>
    <w:rsid w:val="000A53E1"/>
    <w:rsid w:val="000A55AC"/>
    <w:rsid w:val="000A575A"/>
    <w:rsid w:val="000A5863"/>
    <w:rsid w:val="000A58C8"/>
    <w:rsid w:val="000A58FE"/>
    <w:rsid w:val="000A5BE8"/>
    <w:rsid w:val="000A5C3E"/>
    <w:rsid w:val="000A5C82"/>
    <w:rsid w:val="000A5D62"/>
    <w:rsid w:val="000A5F03"/>
    <w:rsid w:val="000A5F56"/>
    <w:rsid w:val="000A5F69"/>
    <w:rsid w:val="000A5F71"/>
    <w:rsid w:val="000A628A"/>
    <w:rsid w:val="000A62EB"/>
    <w:rsid w:val="000A6444"/>
    <w:rsid w:val="000A66F9"/>
    <w:rsid w:val="000A6786"/>
    <w:rsid w:val="000A682F"/>
    <w:rsid w:val="000A6889"/>
    <w:rsid w:val="000A68F7"/>
    <w:rsid w:val="000A6A43"/>
    <w:rsid w:val="000A6AC6"/>
    <w:rsid w:val="000A6B29"/>
    <w:rsid w:val="000A6C2D"/>
    <w:rsid w:val="000A6CEE"/>
    <w:rsid w:val="000A700A"/>
    <w:rsid w:val="000A7149"/>
    <w:rsid w:val="000A7298"/>
    <w:rsid w:val="000A72B1"/>
    <w:rsid w:val="000A7320"/>
    <w:rsid w:val="000A73F2"/>
    <w:rsid w:val="000A746C"/>
    <w:rsid w:val="000A74AB"/>
    <w:rsid w:val="000A76C7"/>
    <w:rsid w:val="000A77E0"/>
    <w:rsid w:val="000A79F1"/>
    <w:rsid w:val="000A7B6A"/>
    <w:rsid w:val="000A7B85"/>
    <w:rsid w:val="000A7C1E"/>
    <w:rsid w:val="000A7E36"/>
    <w:rsid w:val="000A7E6C"/>
    <w:rsid w:val="000A7F66"/>
    <w:rsid w:val="000A7FA3"/>
    <w:rsid w:val="000B003B"/>
    <w:rsid w:val="000B01FD"/>
    <w:rsid w:val="000B0201"/>
    <w:rsid w:val="000B02D5"/>
    <w:rsid w:val="000B0336"/>
    <w:rsid w:val="000B05B3"/>
    <w:rsid w:val="000B05B9"/>
    <w:rsid w:val="000B05E5"/>
    <w:rsid w:val="000B06AB"/>
    <w:rsid w:val="000B0790"/>
    <w:rsid w:val="000B09C0"/>
    <w:rsid w:val="000B0E54"/>
    <w:rsid w:val="000B0E7B"/>
    <w:rsid w:val="000B0EB5"/>
    <w:rsid w:val="000B100C"/>
    <w:rsid w:val="000B1177"/>
    <w:rsid w:val="000B119D"/>
    <w:rsid w:val="000B11CD"/>
    <w:rsid w:val="000B121A"/>
    <w:rsid w:val="000B1261"/>
    <w:rsid w:val="000B132F"/>
    <w:rsid w:val="000B1417"/>
    <w:rsid w:val="000B1433"/>
    <w:rsid w:val="000B14BF"/>
    <w:rsid w:val="000B14C7"/>
    <w:rsid w:val="000B17BB"/>
    <w:rsid w:val="000B17E2"/>
    <w:rsid w:val="000B19D5"/>
    <w:rsid w:val="000B1B8F"/>
    <w:rsid w:val="000B1BA1"/>
    <w:rsid w:val="000B1C3E"/>
    <w:rsid w:val="000B1DC6"/>
    <w:rsid w:val="000B1EB5"/>
    <w:rsid w:val="000B1F58"/>
    <w:rsid w:val="000B1F7F"/>
    <w:rsid w:val="000B1F97"/>
    <w:rsid w:val="000B1FEC"/>
    <w:rsid w:val="000B20D3"/>
    <w:rsid w:val="000B2220"/>
    <w:rsid w:val="000B23EB"/>
    <w:rsid w:val="000B2425"/>
    <w:rsid w:val="000B24A1"/>
    <w:rsid w:val="000B2589"/>
    <w:rsid w:val="000B2652"/>
    <w:rsid w:val="000B273C"/>
    <w:rsid w:val="000B285F"/>
    <w:rsid w:val="000B2990"/>
    <w:rsid w:val="000B2B1C"/>
    <w:rsid w:val="000B2BED"/>
    <w:rsid w:val="000B2C16"/>
    <w:rsid w:val="000B2ED5"/>
    <w:rsid w:val="000B2F1E"/>
    <w:rsid w:val="000B2F81"/>
    <w:rsid w:val="000B303B"/>
    <w:rsid w:val="000B30C6"/>
    <w:rsid w:val="000B3113"/>
    <w:rsid w:val="000B3174"/>
    <w:rsid w:val="000B339C"/>
    <w:rsid w:val="000B3483"/>
    <w:rsid w:val="000B34D4"/>
    <w:rsid w:val="000B3576"/>
    <w:rsid w:val="000B36EB"/>
    <w:rsid w:val="000B387C"/>
    <w:rsid w:val="000B3913"/>
    <w:rsid w:val="000B3914"/>
    <w:rsid w:val="000B3A58"/>
    <w:rsid w:val="000B3AB5"/>
    <w:rsid w:val="000B3AC2"/>
    <w:rsid w:val="000B3B18"/>
    <w:rsid w:val="000B3CB5"/>
    <w:rsid w:val="000B3DC7"/>
    <w:rsid w:val="000B3DD2"/>
    <w:rsid w:val="000B3F40"/>
    <w:rsid w:val="000B4034"/>
    <w:rsid w:val="000B40C5"/>
    <w:rsid w:val="000B417F"/>
    <w:rsid w:val="000B418D"/>
    <w:rsid w:val="000B4251"/>
    <w:rsid w:val="000B42EF"/>
    <w:rsid w:val="000B4474"/>
    <w:rsid w:val="000B44AB"/>
    <w:rsid w:val="000B456B"/>
    <w:rsid w:val="000B4664"/>
    <w:rsid w:val="000B46CB"/>
    <w:rsid w:val="000B482C"/>
    <w:rsid w:val="000B484B"/>
    <w:rsid w:val="000B4AC6"/>
    <w:rsid w:val="000B4B67"/>
    <w:rsid w:val="000B4BD6"/>
    <w:rsid w:val="000B4E6E"/>
    <w:rsid w:val="000B4F67"/>
    <w:rsid w:val="000B5085"/>
    <w:rsid w:val="000B51BB"/>
    <w:rsid w:val="000B521F"/>
    <w:rsid w:val="000B5388"/>
    <w:rsid w:val="000B53C0"/>
    <w:rsid w:val="000B548A"/>
    <w:rsid w:val="000B54E2"/>
    <w:rsid w:val="000B5541"/>
    <w:rsid w:val="000B55BB"/>
    <w:rsid w:val="000B566B"/>
    <w:rsid w:val="000B57A8"/>
    <w:rsid w:val="000B57F8"/>
    <w:rsid w:val="000B5899"/>
    <w:rsid w:val="000B5936"/>
    <w:rsid w:val="000B5A38"/>
    <w:rsid w:val="000B5BBB"/>
    <w:rsid w:val="000B5C17"/>
    <w:rsid w:val="000B5E32"/>
    <w:rsid w:val="000B5F1C"/>
    <w:rsid w:val="000B6113"/>
    <w:rsid w:val="000B61CE"/>
    <w:rsid w:val="000B627C"/>
    <w:rsid w:val="000B637F"/>
    <w:rsid w:val="000B63A1"/>
    <w:rsid w:val="000B63C9"/>
    <w:rsid w:val="000B654B"/>
    <w:rsid w:val="000B65A4"/>
    <w:rsid w:val="000B6626"/>
    <w:rsid w:val="000B6AC9"/>
    <w:rsid w:val="000B6BFA"/>
    <w:rsid w:val="000B6C95"/>
    <w:rsid w:val="000B6E84"/>
    <w:rsid w:val="000B7195"/>
    <w:rsid w:val="000B72A2"/>
    <w:rsid w:val="000B7341"/>
    <w:rsid w:val="000B7380"/>
    <w:rsid w:val="000B7415"/>
    <w:rsid w:val="000B743D"/>
    <w:rsid w:val="000B758E"/>
    <w:rsid w:val="000B773E"/>
    <w:rsid w:val="000B7AEE"/>
    <w:rsid w:val="000B7B73"/>
    <w:rsid w:val="000B7BDE"/>
    <w:rsid w:val="000B7D77"/>
    <w:rsid w:val="000B7E08"/>
    <w:rsid w:val="000B7EFF"/>
    <w:rsid w:val="000C0397"/>
    <w:rsid w:val="000C0515"/>
    <w:rsid w:val="000C051C"/>
    <w:rsid w:val="000C057F"/>
    <w:rsid w:val="000C0638"/>
    <w:rsid w:val="000C0762"/>
    <w:rsid w:val="000C0847"/>
    <w:rsid w:val="000C084A"/>
    <w:rsid w:val="000C084C"/>
    <w:rsid w:val="000C0C14"/>
    <w:rsid w:val="000C0F26"/>
    <w:rsid w:val="000C0F44"/>
    <w:rsid w:val="000C0F99"/>
    <w:rsid w:val="000C0FC0"/>
    <w:rsid w:val="000C104C"/>
    <w:rsid w:val="000C115B"/>
    <w:rsid w:val="000C115D"/>
    <w:rsid w:val="000C1337"/>
    <w:rsid w:val="000C14F0"/>
    <w:rsid w:val="000C166A"/>
    <w:rsid w:val="000C18FC"/>
    <w:rsid w:val="000C1955"/>
    <w:rsid w:val="000C1C6D"/>
    <w:rsid w:val="000C1C8F"/>
    <w:rsid w:val="000C1DC3"/>
    <w:rsid w:val="000C2101"/>
    <w:rsid w:val="000C2275"/>
    <w:rsid w:val="000C22D9"/>
    <w:rsid w:val="000C23E9"/>
    <w:rsid w:val="000C243A"/>
    <w:rsid w:val="000C257B"/>
    <w:rsid w:val="000C259F"/>
    <w:rsid w:val="000C25BF"/>
    <w:rsid w:val="000C2826"/>
    <w:rsid w:val="000C28B1"/>
    <w:rsid w:val="000C299A"/>
    <w:rsid w:val="000C2B6C"/>
    <w:rsid w:val="000C2BA7"/>
    <w:rsid w:val="000C2BC7"/>
    <w:rsid w:val="000C2DCD"/>
    <w:rsid w:val="000C307A"/>
    <w:rsid w:val="000C31AE"/>
    <w:rsid w:val="000C32B2"/>
    <w:rsid w:val="000C3484"/>
    <w:rsid w:val="000C3499"/>
    <w:rsid w:val="000C3580"/>
    <w:rsid w:val="000C365D"/>
    <w:rsid w:val="000C39A0"/>
    <w:rsid w:val="000C3A71"/>
    <w:rsid w:val="000C3BDB"/>
    <w:rsid w:val="000C3DA7"/>
    <w:rsid w:val="000C3E3C"/>
    <w:rsid w:val="000C3E6B"/>
    <w:rsid w:val="000C3E99"/>
    <w:rsid w:val="000C3EB3"/>
    <w:rsid w:val="000C4172"/>
    <w:rsid w:val="000C438C"/>
    <w:rsid w:val="000C4576"/>
    <w:rsid w:val="000C4752"/>
    <w:rsid w:val="000C47EB"/>
    <w:rsid w:val="000C47FA"/>
    <w:rsid w:val="000C4840"/>
    <w:rsid w:val="000C4ABE"/>
    <w:rsid w:val="000C4B1B"/>
    <w:rsid w:val="000C4B4A"/>
    <w:rsid w:val="000C4C0C"/>
    <w:rsid w:val="000C4CA3"/>
    <w:rsid w:val="000C4D5A"/>
    <w:rsid w:val="000C4D6B"/>
    <w:rsid w:val="000C4EDD"/>
    <w:rsid w:val="000C4F2D"/>
    <w:rsid w:val="000C50F2"/>
    <w:rsid w:val="000C5138"/>
    <w:rsid w:val="000C5179"/>
    <w:rsid w:val="000C5250"/>
    <w:rsid w:val="000C532D"/>
    <w:rsid w:val="000C5368"/>
    <w:rsid w:val="000C54CF"/>
    <w:rsid w:val="000C54EE"/>
    <w:rsid w:val="000C5502"/>
    <w:rsid w:val="000C56F4"/>
    <w:rsid w:val="000C5776"/>
    <w:rsid w:val="000C57D4"/>
    <w:rsid w:val="000C5C0C"/>
    <w:rsid w:val="000C60D0"/>
    <w:rsid w:val="000C6136"/>
    <w:rsid w:val="000C61CA"/>
    <w:rsid w:val="000C637A"/>
    <w:rsid w:val="000C63B2"/>
    <w:rsid w:val="000C6430"/>
    <w:rsid w:val="000C666C"/>
    <w:rsid w:val="000C6898"/>
    <w:rsid w:val="000C6A65"/>
    <w:rsid w:val="000C6AA6"/>
    <w:rsid w:val="000C6B85"/>
    <w:rsid w:val="000C6EF8"/>
    <w:rsid w:val="000C6F24"/>
    <w:rsid w:val="000C6F28"/>
    <w:rsid w:val="000C70FA"/>
    <w:rsid w:val="000C7176"/>
    <w:rsid w:val="000C71FA"/>
    <w:rsid w:val="000C7216"/>
    <w:rsid w:val="000C7263"/>
    <w:rsid w:val="000C72C2"/>
    <w:rsid w:val="000C7338"/>
    <w:rsid w:val="000C741D"/>
    <w:rsid w:val="000C74BD"/>
    <w:rsid w:val="000C756F"/>
    <w:rsid w:val="000C7972"/>
    <w:rsid w:val="000C7A49"/>
    <w:rsid w:val="000C7C85"/>
    <w:rsid w:val="000C7CE6"/>
    <w:rsid w:val="000C7E2A"/>
    <w:rsid w:val="000C7E45"/>
    <w:rsid w:val="000C7E87"/>
    <w:rsid w:val="000D004C"/>
    <w:rsid w:val="000D00C8"/>
    <w:rsid w:val="000D022F"/>
    <w:rsid w:val="000D0439"/>
    <w:rsid w:val="000D047D"/>
    <w:rsid w:val="000D0594"/>
    <w:rsid w:val="000D07C3"/>
    <w:rsid w:val="000D0811"/>
    <w:rsid w:val="000D0899"/>
    <w:rsid w:val="000D0A95"/>
    <w:rsid w:val="000D0BBB"/>
    <w:rsid w:val="000D0C9C"/>
    <w:rsid w:val="000D0CFC"/>
    <w:rsid w:val="000D0DE9"/>
    <w:rsid w:val="000D0E71"/>
    <w:rsid w:val="000D1124"/>
    <w:rsid w:val="000D115C"/>
    <w:rsid w:val="000D11C6"/>
    <w:rsid w:val="000D11FE"/>
    <w:rsid w:val="000D129C"/>
    <w:rsid w:val="000D12AE"/>
    <w:rsid w:val="000D1450"/>
    <w:rsid w:val="000D15B1"/>
    <w:rsid w:val="000D15D5"/>
    <w:rsid w:val="000D1625"/>
    <w:rsid w:val="000D16E4"/>
    <w:rsid w:val="000D1718"/>
    <w:rsid w:val="000D176B"/>
    <w:rsid w:val="000D1781"/>
    <w:rsid w:val="000D17AE"/>
    <w:rsid w:val="000D18CC"/>
    <w:rsid w:val="000D19A0"/>
    <w:rsid w:val="000D1A38"/>
    <w:rsid w:val="000D1AC1"/>
    <w:rsid w:val="000D1AC5"/>
    <w:rsid w:val="000D1AE6"/>
    <w:rsid w:val="000D1B01"/>
    <w:rsid w:val="000D1D34"/>
    <w:rsid w:val="000D1F72"/>
    <w:rsid w:val="000D2062"/>
    <w:rsid w:val="000D2065"/>
    <w:rsid w:val="000D20D2"/>
    <w:rsid w:val="000D21D2"/>
    <w:rsid w:val="000D2267"/>
    <w:rsid w:val="000D2285"/>
    <w:rsid w:val="000D234F"/>
    <w:rsid w:val="000D23EE"/>
    <w:rsid w:val="000D246D"/>
    <w:rsid w:val="000D254D"/>
    <w:rsid w:val="000D2802"/>
    <w:rsid w:val="000D28D7"/>
    <w:rsid w:val="000D2937"/>
    <w:rsid w:val="000D2AA1"/>
    <w:rsid w:val="000D2B72"/>
    <w:rsid w:val="000D2CB3"/>
    <w:rsid w:val="000D2CB6"/>
    <w:rsid w:val="000D2D4D"/>
    <w:rsid w:val="000D2E32"/>
    <w:rsid w:val="000D2F14"/>
    <w:rsid w:val="000D300A"/>
    <w:rsid w:val="000D3043"/>
    <w:rsid w:val="000D3095"/>
    <w:rsid w:val="000D30C1"/>
    <w:rsid w:val="000D3228"/>
    <w:rsid w:val="000D323B"/>
    <w:rsid w:val="000D3247"/>
    <w:rsid w:val="000D3270"/>
    <w:rsid w:val="000D32A6"/>
    <w:rsid w:val="000D3322"/>
    <w:rsid w:val="000D33FA"/>
    <w:rsid w:val="000D34AE"/>
    <w:rsid w:val="000D35AF"/>
    <w:rsid w:val="000D36ED"/>
    <w:rsid w:val="000D3806"/>
    <w:rsid w:val="000D3837"/>
    <w:rsid w:val="000D391F"/>
    <w:rsid w:val="000D39B6"/>
    <w:rsid w:val="000D3A83"/>
    <w:rsid w:val="000D3A9A"/>
    <w:rsid w:val="000D3BC0"/>
    <w:rsid w:val="000D3C58"/>
    <w:rsid w:val="000D3D9E"/>
    <w:rsid w:val="000D3F02"/>
    <w:rsid w:val="000D4010"/>
    <w:rsid w:val="000D41E4"/>
    <w:rsid w:val="000D41EB"/>
    <w:rsid w:val="000D4575"/>
    <w:rsid w:val="000D47F7"/>
    <w:rsid w:val="000D4880"/>
    <w:rsid w:val="000D48BC"/>
    <w:rsid w:val="000D4928"/>
    <w:rsid w:val="000D499D"/>
    <w:rsid w:val="000D4A93"/>
    <w:rsid w:val="000D4B9A"/>
    <w:rsid w:val="000D4C08"/>
    <w:rsid w:val="000D4D3A"/>
    <w:rsid w:val="000D4D93"/>
    <w:rsid w:val="000D4D9A"/>
    <w:rsid w:val="000D4F5B"/>
    <w:rsid w:val="000D4FBD"/>
    <w:rsid w:val="000D5057"/>
    <w:rsid w:val="000D50CF"/>
    <w:rsid w:val="000D516C"/>
    <w:rsid w:val="000D529E"/>
    <w:rsid w:val="000D53E2"/>
    <w:rsid w:val="000D54A1"/>
    <w:rsid w:val="000D55C8"/>
    <w:rsid w:val="000D595F"/>
    <w:rsid w:val="000D5977"/>
    <w:rsid w:val="000D5B51"/>
    <w:rsid w:val="000D5C49"/>
    <w:rsid w:val="000D5D27"/>
    <w:rsid w:val="000D5E1C"/>
    <w:rsid w:val="000D5E5D"/>
    <w:rsid w:val="000D5EFD"/>
    <w:rsid w:val="000D606D"/>
    <w:rsid w:val="000D6090"/>
    <w:rsid w:val="000D6240"/>
    <w:rsid w:val="000D62A0"/>
    <w:rsid w:val="000D6309"/>
    <w:rsid w:val="000D6311"/>
    <w:rsid w:val="000D65E3"/>
    <w:rsid w:val="000D676B"/>
    <w:rsid w:val="000D67F4"/>
    <w:rsid w:val="000D6B57"/>
    <w:rsid w:val="000D6BD8"/>
    <w:rsid w:val="000D6D70"/>
    <w:rsid w:val="000D6E30"/>
    <w:rsid w:val="000D6EAA"/>
    <w:rsid w:val="000D6EF6"/>
    <w:rsid w:val="000D7045"/>
    <w:rsid w:val="000D717C"/>
    <w:rsid w:val="000D72CC"/>
    <w:rsid w:val="000D7388"/>
    <w:rsid w:val="000D7406"/>
    <w:rsid w:val="000D7430"/>
    <w:rsid w:val="000D74CA"/>
    <w:rsid w:val="000D7559"/>
    <w:rsid w:val="000D7683"/>
    <w:rsid w:val="000D7732"/>
    <w:rsid w:val="000D776A"/>
    <w:rsid w:val="000D799F"/>
    <w:rsid w:val="000D79A1"/>
    <w:rsid w:val="000D7D1D"/>
    <w:rsid w:val="000D7ECC"/>
    <w:rsid w:val="000D7F73"/>
    <w:rsid w:val="000E0076"/>
    <w:rsid w:val="000E00C1"/>
    <w:rsid w:val="000E00D5"/>
    <w:rsid w:val="000E0112"/>
    <w:rsid w:val="000E01AE"/>
    <w:rsid w:val="000E0292"/>
    <w:rsid w:val="000E05E1"/>
    <w:rsid w:val="000E0634"/>
    <w:rsid w:val="000E081F"/>
    <w:rsid w:val="000E0894"/>
    <w:rsid w:val="000E0999"/>
    <w:rsid w:val="000E0B13"/>
    <w:rsid w:val="000E0B84"/>
    <w:rsid w:val="000E0CDA"/>
    <w:rsid w:val="000E0F52"/>
    <w:rsid w:val="000E0F6A"/>
    <w:rsid w:val="000E1065"/>
    <w:rsid w:val="000E1293"/>
    <w:rsid w:val="000E135D"/>
    <w:rsid w:val="000E1455"/>
    <w:rsid w:val="000E1595"/>
    <w:rsid w:val="000E15BB"/>
    <w:rsid w:val="000E1790"/>
    <w:rsid w:val="000E17A6"/>
    <w:rsid w:val="000E189B"/>
    <w:rsid w:val="000E1908"/>
    <w:rsid w:val="000E1911"/>
    <w:rsid w:val="000E1931"/>
    <w:rsid w:val="000E19C4"/>
    <w:rsid w:val="000E1B75"/>
    <w:rsid w:val="000E1B82"/>
    <w:rsid w:val="000E1E68"/>
    <w:rsid w:val="000E20AB"/>
    <w:rsid w:val="000E20C2"/>
    <w:rsid w:val="000E21A4"/>
    <w:rsid w:val="000E21AE"/>
    <w:rsid w:val="000E21C1"/>
    <w:rsid w:val="000E232B"/>
    <w:rsid w:val="000E232E"/>
    <w:rsid w:val="000E237E"/>
    <w:rsid w:val="000E2663"/>
    <w:rsid w:val="000E269F"/>
    <w:rsid w:val="000E2736"/>
    <w:rsid w:val="000E28BF"/>
    <w:rsid w:val="000E29FC"/>
    <w:rsid w:val="000E2A17"/>
    <w:rsid w:val="000E2A71"/>
    <w:rsid w:val="000E2A84"/>
    <w:rsid w:val="000E2BE4"/>
    <w:rsid w:val="000E2C3A"/>
    <w:rsid w:val="000E2C71"/>
    <w:rsid w:val="000E2D44"/>
    <w:rsid w:val="000E2F2B"/>
    <w:rsid w:val="000E2F72"/>
    <w:rsid w:val="000E3339"/>
    <w:rsid w:val="000E350F"/>
    <w:rsid w:val="000E379C"/>
    <w:rsid w:val="000E399F"/>
    <w:rsid w:val="000E3B18"/>
    <w:rsid w:val="000E3B86"/>
    <w:rsid w:val="000E3BB2"/>
    <w:rsid w:val="000E3CAC"/>
    <w:rsid w:val="000E41B7"/>
    <w:rsid w:val="000E41C9"/>
    <w:rsid w:val="000E4330"/>
    <w:rsid w:val="000E4551"/>
    <w:rsid w:val="000E463C"/>
    <w:rsid w:val="000E46D1"/>
    <w:rsid w:val="000E4986"/>
    <w:rsid w:val="000E49B0"/>
    <w:rsid w:val="000E49B8"/>
    <w:rsid w:val="000E4A08"/>
    <w:rsid w:val="000E4B32"/>
    <w:rsid w:val="000E4CD4"/>
    <w:rsid w:val="000E4E5B"/>
    <w:rsid w:val="000E4E6E"/>
    <w:rsid w:val="000E4FDA"/>
    <w:rsid w:val="000E5238"/>
    <w:rsid w:val="000E53A3"/>
    <w:rsid w:val="000E53FD"/>
    <w:rsid w:val="000E5435"/>
    <w:rsid w:val="000E5466"/>
    <w:rsid w:val="000E5C5F"/>
    <w:rsid w:val="000E5DD7"/>
    <w:rsid w:val="000E5E46"/>
    <w:rsid w:val="000E5F24"/>
    <w:rsid w:val="000E60AF"/>
    <w:rsid w:val="000E627F"/>
    <w:rsid w:val="000E63C6"/>
    <w:rsid w:val="000E63F7"/>
    <w:rsid w:val="000E63FE"/>
    <w:rsid w:val="000E6429"/>
    <w:rsid w:val="000E6698"/>
    <w:rsid w:val="000E66E7"/>
    <w:rsid w:val="000E6760"/>
    <w:rsid w:val="000E69ED"/>
    <w:rsid w:val="000E6B33"/>
    <w:rsid w:val="000E6B48"/>
    <w:rsid w:val="000E6C59"/>
    <w:rsid w:val="000E6E20"/>
    <w:rsid w:val="000E6E31"/>
    <w:rsid w:val="000E6F1B"/>
    <w:rsid w:val="000E70A7"/>
    <w:rsid w:val="000E70E8"/>
    <w:rsid w:val="000E70F3"/>
    <w:rsid w:val="000E71DD"/>
    <w:rsid w:val="000E72E9"/>
    <w:rsid w:val="000E7429"/>
    <w:rsid w:val="000E7448"/>
    <w:rsid w:val="000E7492"/>
    <w:rsid w:val="000E7643"/>
    <w:rsid w:val="000E76A1"/>
    <w:rsid w:val="000E7709"/>
    <w:rsid w:val="000E7855"/>
    <w:rsid w:val="000E7911"/>
    <w:rsid w:val="000E79D2"/>
    <w:rsid w:val="000E7B9E"/>
    <w:rsid w:val="000E7C93"/>
    <w:rsid w:val="000E7D46"/>
    <w:rsid w:val="000E7DAD"/>
    <w:rsid w:val="000E7E95"/>
    <w:rsid w:val="000E7EEF"/>
    <w:rsid w:val="000E7FDA"/>
    <w:rsid w:val="000E7FF8"/>
    <w:rsid w:val="000F0002"/>
    <w:rsid w:val="000F00FD"/>
    <w:rsid w:val="000F026B"/>
    <w:rsid w:val="000F031B"/>
    <w:rsid w:val="000F0412"/>
    <w:rsid w:val="000F044D"/>
    <w:rsid w:val="000F0481"/>
    <w:rsid w:val="000F05DF"/>
    <w:rsid w:val="000F05E3"/>
    <w:rsid w:val="000F06AF"/>
    <w:rsid w:val="000F08C3"/>
    <w:rsid w:val="000F0C87"/>
    <w:rsid w:val="000F0C88"/>
    <w:rsid w:val="000F0E23"/>
    <w:rsid w:val="000F0EDC"/>
    <w:rsid w:val="000F0EE4"/>
    <w:rsid w:val="000F0F76"/>
    <w:rsid w:val="000F10ED"/>
    <w:rsid w:val="000F1123"/>
    <w:rsid w:val="000F114C"/>
    <w:rsid w:val="000F11B7"/>
    <w:rsid w:val="000F14DF"/>
    <w:rsid w:val="000F1726"/>
    <w:rsid w:val="000F187E"/>
    <w:rsid w:val="000F18B2"/>
    <w:rsid w:val="000F1B50"/>
    <w:rsid w:val="000F1B6F"/>
    <w:rsid w:val="000F1C2C"/>
    <w:rsid w:val="000F1C83"/>
    <w:rsid w:val="000F1CF1"/>
    <w:rsid w:val="000F1D63"/>
    <w:rsid w:val="000F20FA"/>
    <w:rsid w:val="000F21F3"/>
    <w:rsid w:val="000F22F8"/>
    <w:rsid w:val="000F2507"/>
    <w:rsid w:val="000F2BC6"/>
    <w:rsid w:val="000F2DFB"/>
    <w:rsid w:val="000F2E9A"/>
    <w:rsid w:val="000F2F40"/>
    <w:rsid w:val="000F2F88"/>
    <w:rsid w:val="000F2FDB"/>
    <w:rsid w:val="000F30DD"/>
    <w:rsid w:val="000F3139"/>
    <w:rsid w:val="000F322C"/>
    <w:rsid w:val="000F3414"/>
    <w:rsid w:val="000F3573"/>
    <w:rsid w:val="000F35CC"/>
    <w:rsid w:val="000F3608"/>
    <w:rsid w:val="000F36C3"/>
    <w:rsid w:val="000F36E7"/>
    <w:rsid w:val="000F3730"/>
    <w:rsid w:val="000F3751"/>
    <w:rsid w:val="000F3850"/>
    <w:rsid w:val="000F388A"/>
    <w:rsid w:val="000F393D"/>
    <w:rsid w:val="000F3AE3"/>
    <w:rsid w:val="000F3D07"/>
    <w:rsid w:val="000F3D18"/>
    <w:rsid w:val="000F3EE3"/>
    <w:rsid w:val="000F3EF1"/>
    <w:rsid w:val="000F3FC1"/>
    <w:rsid w:val="000F3FEF"/>
    <w:rsid w:val="000F410C"/>
    <w:rsid w:val="000F415F"/>
    <w:rsid w:val="000F4205"/>
    <w:rsid w:val="000F442A"/>
    <w:rsid w:val="000F4446"/>
    <w:rsid w:val="000F4454"/>
    <w:rsid w:val="000F44F5"/>
    <w:rsid w:val="000F47AD"/>
    <w:rsid w:val="000F4837"/>
    <w:rsid w:val="000F49EA"/>
    <w:rsid w:val="000F4CBE"/>
    <w:rsid w:val="000F51BB"/>
    <w:rsid w:val="000F523D"/>
    <w:rsid w:val="000F5281"/>
    <w:rsid w:val="000F5587"/>
    <w:rsid w:val="000F5615"/>
    <w:rsid w:val="000F564F"/>
    <w:rsid w:val="000F5958"/>
    <w:rsid w:val="000F59A3"/>
    <w:rsid w:val="000F5A3B"/>
    <w:rsid w:val="000F5B23"/>
    <w:rsid w:val="000F5B5F"/>
    <w:rsid w:val="000F5B60"/>
    <w:rsid w:val="000F5C01"/>
    <w:rsid w:val="000F5C32"/>
    <w:rsid w:val="000F61CA"/>
    <w:rsid w:val="000F620C"/>
    <w:rsid w:val="000F632D"/>
    <w:rsid w:val="000F643F"/>
    <w:rsid w:val="000F6447"/>
    <w:rsid w:val="000F6449"/>
    <w:rsid w:val="000F6524"/>
    <w:rsid w:val="000F66FF"/>
    <w:rsid w:val="000F6EDE"/>
    <w:rsid w:val="000F701E"/>
    <w:rsid w:val="000F70E8"/>
    <w:rsid w:val="000F728E"/>
    <w:rsid w:val="000F744A"/>
    <w:rsid w:val="000F7544"/>
    <w:rsid w:val="000F75AF"/>
    <w:rsid w:val="000F77C9"/>
    <w:rsid w:val="000F7B2E"/>
    <w:rsid w:val="000F7B67"/>
    <w:rsid w:val="000F7B95"/>
    <w:rsid w:val="000F7C01"/>
    <w:rsid w:val="000F7C12"/>
    <w:rsid w:val="000F7CD2"/>
    <w:rsid w:val="000F7D45"/>
    <w:rsid w:val="000F7D4E"/>
    <w:rsid w:val="000F7DB3"/>
    <w:rsid w:val="000F7FCF"/>
    <w:rsid w:val="001000E8"/>
    <w:rsid w:val="001000EB"/>
    <w:rsid w:val="0010017E"/>
    <w:rsid w:val="00100250"/>
    <w:rsid w:val="0010030E"/>
    <w:rsid w:val="0010032A"/>
    <w:rsid w:val="001003DF"/>
    <w:rsid w:val="00100493"/>
    <w:rsid w:val="001004AD"/>
    <w:rsid w:val="00100688"/>
    <w:rsid w:val="001007AB"/>
    <w:rsid w:val="00100B59"/>
    <w:rsid w:val="00100D35"/>
    <w:rsid w:val="00100F47"/>
    <w:rsid w:val="00101003"/>
    <w:rsid w:val="001010F8"/>
    <w:rsid w:val="00101197"/>
    <w:rsid w:val="0010147D"/>
    <w:rsid w:val="00101536"/>
    <w:rsid w:val="0010177C"/>
    <w:rsid w:val="0010193E"/>
    <w:rsid w:val="00101981"/>
    <w:rsid w:val="00101A58"/>
    <w:rsid w:val="00101BB9"/>
    <w:rsid w:val="00101BBF"/>
    <w:rsid w:val="00101BC4"/>
    <w:rsid w:val="00101CDE"/>
    <w:rsid w:val="00101D43"/>
    <w:rsid w:val="00101E24"/>
    <w:rsid w:val="00101FDB"/>
    <w:rsid w:val="001020B1"/>
    <w:rsid w:val="001020FE"/>
    <w:rsid w:val="001021A3"/>
    <w:rsid w:val="00102357"/>
    <w:rsid w:val="00102371"/>
    <w:rsid w:val="0010243C"/>
    <w:rsid w:val="00102546"/>
    <w:rsid w:val="001025EB"/>
    <w:rsid w:val="00102AA0"/>
    <w:rsid w:val="00102CCF"/>
    <w:rsid w:val="00102D51"/>
    <w:rsid w:val="00102D79"/>
    <w:rsid w:val="00102DC8"/>
    <w:rsid w:val="00102F0B"/>
    <w:rsid w:val="00102F14"/>
    <w:rsid w:val="00102FE6"/>
    <w:rsid w:val="00103233"/>
    <w:rsid w:val="0010325C"/>
    <w:rsid w:val="0010331A"/>
    <w:rsid w:val="001033B8"/>
    <w:rsid w:val="001034E7"/>
    <w:rsid w:val="0010357B"/>
    <w:rsid w:val="00103602"/>
    <w:rsid w:val="0010374B"/>
    <w:rsid w:val="00103770"/>
    <w:rsid w:val="0010378C"/>
    <w:rsid w:val="00103793"/>
    <w:rsid w:val="00103818"/>
    <w:rsid w:val="00103819"/>
    <w:rsid w:val="001038C3"/>
    <w:rsid w:val="00103B18"/>
    <w:rsid w:val="00103B73"/>
    <w:rsid w:val="00103D2D"/>
    <w:rsid w:val="00103D58"/>
    <w:rsid w:val="00103F40"/>
    <w:rsid w:val="0010400A"/>
    <w:rsid w:val="0010408A"/>
    <w:rsid w:val="0010410C"/>
    <w:rsid w:val="001041B1"/>
    <w:rsid w:val="001041BD"/>
    <w:rsid w:val="0010434A"/>
    <w:rsid w:val="001043A8"/>
    <w:rsid w:val="001044C7"/>
    <w:rsid w:val="00104501"/>
    <w:rsid w:val="0010458A"/>
    <w:rsid w:val="001046BC"/>
    <w:rsid w:val="001046E4"/>
    <w:rsid w:val="00104756"/>
    <w:rsid w:val="0010480F"/>
    <w:rsid w:val="0010491B"/>
    <w:rsid w:val="00104954"/>
    <w:rsid w:val="00104974"/>
    <w:rsid w:val="001049FF"/>
    <w:rsid w:val="00104A16"/>
    <w:rsid w:val="00104A96"/>
    <w:rsid w:val="00104A9D"/>
    <w:rsid w:val="00104B42"/>
    <w:rsid w:val="00104BC6"/>
    <w:rsid w:val="00104C39"/>
    <w:rsid w:val="00104C56"/>
    <w:rsid w:val="00104CB4"/>
    <w:rsid w:val="00104E4E"/>
    <w:rsid w:val="00104E98"/>
    <w:rsid w:val="00104ED0"/>
    <w:rsid w:val="00105018"/>
    <w:rsid w:val="00105031"/>
    <w:rsid w:val="0010508C"/>
    <w:rsid w:val="00105136"/>
    <w:rsid w:val="001051A8"/>
    <w:rsid w:val="00105273"/>
    <w:rsid w:val="00105438"/>
    <w:rsid w:val="0010555D"/>
    <w:rsid w:val="001057C0"/>
    <w:rsid w:val="00105A13"/>
    <w:rsid w:val="00105B2D"/>
    <w:rsid w:val="00105B51"/>
    <w:rsid w:val="00105BF8"/>
    <w:rsid w:val="00105CC3"/>
    <w:rsid w:val="00105D6C"/>
    <w:rsid w:val="00105DAF"/>
    <w:rsid w:val="00105E6A"/>
    <w:rsid w:val="00105E84"/>
    <w:rsid w:val="00105F51"/>
    <w:rsid w:val="00105F53"/>
    <w:rsid w:val="00105F83"/>
    <w:rsid w:val="00105FBC"/>
    <w:rsid w:val="001060C7"/>
    <w:rsid w:val="0010619A"/>
    <w:rsid w:val="0010621D"/>
    <w:rsid w:val="001062AE"/>
    <w:rsid w:val="00106343"/>
    <w:rsid w:val="001064F9"/>
    <w:rsid w:val="00106507"/>
    <w:rsid w:val="001066E9"/>
    <w:rsid w:val="001067AF"/>
    <w:rsid w:val="00106800"/>
    <w:rsid w:val="001068AF"/>
    <w:rsid w:val="001069EA"/>
    <w:rsid w:val="00106AA2"/>
    <w:rsid w:val="00106AA4"/>
    <w:rsid w:val="00106B01"/>
    <w:rsid w:val="00106B3A"/>
    <w:rsid w:val="00106BE3"/>
    <w:rsid w:val="00106D8E"/>
    <w:rsid w:val="00106E1B"/>
    <w:rsid w:val="00106E3C"/>
    <w:rsid w:val="00106F52"/>
    <w:rsid w:val="00107333"/>
    <w:rsid w:val="00107368"/>
    <w:rsid w:val="0010757B"/>
    <w:rsid w:val="001076ED"/>
    <w:rsid w:val="00107726"/>
    <w:rsid w:val="001078B3"/>
    <w:rsid w:val="00107A24"/>
    <w:rsid w:val="00107DA3"/>
    <w:rsid w:val="00107DD5"/>
    <w:rsid w:val="00110035"/>
    <w:rsid w:val="00110401"/>
    <w:rsid w:val="00110511"/>
    <w:rsid w:val="0011088D"/>
    <w:rsid w:val="001108BF"/>
    <w:rsid w:val="00110A79"/>
    <w:rsid w:val="00110A86"/>
    <w:rsid w:val="00110B6E"/>
    <w:rsid w:val="00110C25"/>
    <w:rsid w:val="00110D15"/>
    <w:rsid w:val="00110DAC"/>
    <w:rsid w:val="00110E33"/>
    <w:rsid w:val="00110E85"/>
    <w:rsid w:val="00111424"/>
    <w:rsid w:val="00111481"/>
    <w:rsid w:val="001114F8"/>
    <w:rsid w:val="001116DD"/>
    <w:rsid w:val="00111733"/>
    <w:rsid w:val="001118F5"/>
    <w:rsid w:val="0011195E"/>
    <w:rsid w:val="00111B0E"/>
    <w:rsid w:val="00111BB5"/>
    <w:rsid w:val="00111D48"/>
    <w:rsid w:val="00111E8C"/>
    <w:rsid w:val="00111F02"/>
    <w:rsid w:val="00111F05"/>
    <w:rsid w:val="00111F08"/>
    <w:rsid w:val="00111F73"/>
    <w:rsid w:val="00112050"/>
    <w:rsid w:val="00112058"/>
    <w:rsid w:val="00112081"/>
    <w:rsid w:val="0011208B"/>
    <w:rsid w:val="0011212A"/>
    <w:rsid w:val="00112180"/>
    <w:rsid w:val="0011218B"/>
    <w:rsid w:val="0011224F"/>
    <w:rsid w:val="001122D0"/>
    <w:rsid w:val="00112496"/>
    <w:rsid w:val="001124DE"/>
    <w:rsid w:val="00112565"/>
    <w:rsid w:val="00112631"/>
    <w:rsid w:val="001126F7"/>
    <w:rsid w:val="001128DC"/>
    <w:rsid w:val="00112909"/>
    <w:rsid w:val="00112BE6"/>
    <w:rsid w:val="00112BF7"/>
    <w:rsid w:val="00112F15"/>
    <w:rsid w:val="00112F61"/>
    <w:rsid w:val="00113003"/>
    <w:rsid w:val="001131A8"/>
    <w:rsid w:val="0011320D"/>
    <w:rsid w:val="00113282"/>
    <w:rsid w:val="00113438"/>
    <w:rsid w:val="001134D2"/>
    <w:rsid w:val="001136D8"/>
    <w:rsid w:val="00113742"/>
    <w:rsid w:val="0011383A"/>
    <w:rsid w:val="00113888"/>
    <w:rsid w:val="001138C5"/>
    <w:rsid w:val="001138E4"/>
    <w:rsid w:val="00113987"/>
    <w:rsid w:val="001139B6"/>
    <w:rsid w:val="00113C2E"/>
    <w:rsid w:val="00114046"/>
    <w:rsid w:val="0011404C"/>
    <w:rsid w:val="0011405C"/>
    <w:rsid w:val="001141DF"/>
    <w:rsid w:val="001141F4"/>
    <w:rsid w:val="001142C2"/>
    <w:rsid w:val="001144B4"/>
    <w:rsid w:val="001144D3"/>
    <w:rsid w:val="00114806"/>
    <w:rsid w:val="00114869"/>
    <w:rsid w:val="001148DD"/>
    <w:rsid w:val="001148E4"/>
    <w:rsid w:val="00114B2F"/>
    <w:rsid w:val="00114B44"/>
    <w:rsid w:val="00114D84"/>
    <w:rsid w:val="00114EC1"/>
    <w:rsid w:val="00114FC8"/>
    <w:rsid w:val="0011504B"/>
    <w:rsid w:val="0011506A"/>
    <w:rsid w:val="001150CD"/>
    <w:rsid w:val="001150EF"/>
    <w:rsid w:val="0011513D"/>
    <w:rsid w:val="001151C8"/>
    <w:rsid w:val="0011520F"/>
    <w:rsid w:val="00115244"/>
    <w:rsid w:val="00115336"/>
    <w:rsid w:val="00115683"/>
    <w:rsid w:val="00115704"/>
    <w:rsid w:val="0011577C"/>
    <w:rsid w:val="001158C8"/>
    <w:rsid w:val="001159F6"/>
    <w:rsid w:val="00115C56"/>
    <w:rsid w:val="0011609E"/>
    <w:rsid w:val="0011613D"/>
    <w:rsid w:val="00116468"/>
    <w:rsid w:val="001164C9"/>
    <w:rsid w:val="00116582"/>
    <w:rsid w:val="0011663E"/>
    <w:rsid w:val="001166F8"/>
    <w:rsid w:val="00116744"/>
    <w:rsid w:val="001168D9"/>
    <w:rsid w:val="001168FC"/>
    <w:rsid w:val="00116A3B"/>
    <w:rsid w:val="00116A41"/>
    <w:rsid w:val="00116B14"/>
    <w:rsid w:val="00116C45"/>
    <w:rsid w:val="00116E71"/>
    <w:rsid w:val="00116E92"/>
    <w:rsid w:val="001171C3"/>
    <w:rsid w:val="0011726D"/>
    <w:rsid w:val="0011739E"/>
    <w:rsid w:val="00117452"/>
    <w:rsid w:val="00117595"/>
    <w:rsid w:val="0011763B"/>
    <w:rsid w:val="00117AAE"/>
    <w:rsid w:val="00117B57"/>
    <w:rsid w:val="00117C65"/>
    <w:rsid w:val="00117D4D"/>
    <w:rsid w:val="00117DC2"/>
    <w:rsid w:val="00117E11"/>
    <w:rsid w:val="00117F45"/>
    <w:rsid w:val="001200D9"/>
    <w:rsid w:val="001201E2"/>
    <w:rsid w:val="00120251"/>
    <w:rsid w:val="00120271"/>
    <w:rsid w:val="001202EC"/>
    <w:rsid w:val="0012047F"/>
    <w:rsid w:val="00120485"/>
    <w:rsid w:val="001204C0"/>
    <w:rsid w:val="0012055E"/>
    <w:rsid w:val="00120598"/>
    <w:rsid w:val="00120799"/>
    <w:rsid w:val="0012083F"/>
    <w:rsid w:val="0012089A"/>
    <w:rsid w:val="001209D4"/>
    <w:rsid w:val="001209F6"/>
    <w:rsid w:val="00120AE0"/>
    <w:rsid w:val="00120C0D"/>
    <w:rsid w:val="00120CCA"/>
    <w:rsid w:val="00120E0A"/>
    <w:rsid w:val="00120E58"/>
    <w:rsid w:val="00120E82"/>
    <w:rsid w:val="00120FC1"/>
    <w:rsid w:val="00120FCE"/>
    <w:rsid w:val="0012117D"/>
    <w:rsid w:val="001212F6"/>
    <w:rsid w:val="001213AB"/>
    <w:rsid w:val="001213E0"/>
    <w:rsid w:val="00121444"/>
    <w:rsid w:val="001214B7"/>
    <w:rsid w:val="00121519"/>
    <w:rsid w:val="00121545"/>
    <w:rsid w:val="00121569"/>
    <w:rsid w:val="001215C0"/>
    <w:rsid w:val="001216F0"/>
    <w:rsid w:val="00121826"/>
    <w:rsid w:val="00121947"/>
    <w:rsid w:val="001219D3"/>
    <w:rsid w:val="00121AD5"/>
    <w:rsid w:val="00121B4F"/>
    <w:rsid w:val="00121B8B"/>
    <w:rsid w:val="00121C3F"/>
    <w:rsid w:val="00121CBE"/>
    <w:rsid w:val="00121DA8"/>
    <w:rsid w:val="00121FCA"/>
    <w:rsid w:val="00122207"/>
    <w:rsid w:val="00122354"/>
    <w:rsid w:val="0012252C"/>
    <w:rsid w:val="00122668"/>
    <w:rsid w:val="00122774"/>
    <w:rsid w:val="00122975"/>
    <w:rsid w:val="001229F8"/>
    <w:rsid w:val="00122C13"/>
    <w:rsid w:val="00122C64"/>
    <w:rsid w:val="00122DA2"/>
    <w:rsid w:val="00122E67"/>
    <w:rsid w:val="00122FC7"/>
    <w:rsid w:val="00123007"/>
    <w:rsid w:val="00123034"/>
    <w:rsid w:val="001230C1"/>
    <w:rsid w:val="0012326E"/>
    <w:rsid w:val="001234C3"/>
    <w:rsid w:val="0012368F"/>
    <w:rsid w:val="001236CF"/>
    <w:rsid w:val="001237A6"/>
    <w:rsid w:val="001237C8"/>
    <w:rsid w:val="00123931"/>
    <w:rsid w:val="00123989"/>
    <w:rsid w:val="00123B7A"/>
    <w:rsid w:val="00123D1E"/>
    <w:rsid w:val="001241EC"/>
    <w:rsid w:val="001244E5"/>
    <w:rsid w:val="0012463C"/>
    <w:rsid w:val="001246AB"/>
    <w:rsid w:val="0012474D"/>
    <w:rsid w:val="0012491F"/>
    <w:rsid w:val="00124971"/>
    <w:rsid w:val="00124A45"/>
    <w:rsid w:val="00124B61"/>
    <w:rsid w:val="00124D40"/>
    <w:rsid w:val="00124D91"/>
    <w:rsid w:val="00124DF2"/>
    <w:rsid w:val="00124E69"/>
    <w:rsid w:val="00124F6C"/>
    <w:rsid w:val="00124FF4"/>
    <w:rsid w:val="001251A7"/>
    <w:rsid w:val="00125268"/>
    <w:rsid w:val="0012530A"/>
    <w:rsid w:val="0012551E"/>
    <w:rsid w:val="00125667"/>
    <w:rsid w:val="001256AB"/>
    <w:rsid w:val="001256B8"/>
    <w:rsid w:val="001256CF"/>
    <w:rsid w:val="0012574A"/>
    <w:rsid w:val="001258D6"/>
    <w:rsid w:val="00125968"/>
    <w:rsid w:val="00125B32"/>
    <w:rsid w:val="00125BC6"/>
    <w:rsid w:val="00125C50"/>
    <w:rsid w:val="00125C89"/>
    <w:rsid w:val="00125D31"/>
    <w:rsid w:val="00125DC9"/>
    <w:rsid w:val="00125DE6"/>
    <w:rsid w:val="00126192"/>
    <w:rsid w:val="001261C6"/>
    <w:rsid w:val="00126204"/>
    <w:rsid w:val="001262F3"/>
    <w:rsid w:val="0012654B"/>
    <w:rsid w:val="0012658A"/>
    <w:rsid w:val="00126BF8"/>
    <w:rsid w:val="00126C9A"/>
    <w:rsid w:val="00126D7F"/>
    <w:rsid w:val="00126FA9"/>
    <w:rsid w:val="0012720E"/>
    <w:rsid w:val="00127247"/>
    <w:rsid w:val="001272DD"/>
    <w:rsid w:val="001273E8"/>
    <w:rsid w:val="001274D9"/>
    <w:rsid w:val="001274E8"/>
    <w:rsid w:val="0012773F"/>
    <w:rsid w:val="0012785F"/>
    <w:rsid w:val="001278E6"/>
    <w:rsid w:val="00127A5B"/>
    <w:rsid w:val="00127D30"/>
    <w:rsid w:val="00127D77"/>
    <w:rsid w:val="00127EE2"/>
    <w:rsid w:val="00127F0D"/>
    <w:rsid w:val="00127F14"/>
    <w:rsid w:val="00127F7C"/>
    <w:rsid w:val="00130224"/>
    <w:rsid w:val="00130304"/>
    <w:rsid w:val="0013041F"/>
    <w:rsid w:val="00130458"/>
    <w:rsid w:val="0013047A"/>
    <w:rsid w:val="0013047F"/>
    <w:rsid w:val="001304C8"/>
    <w:rsid w:val="001305FC"/>
    <w:rsid w:val="00130808"/>
    <w:rsid w:val="001308B3"/>
    <w:rsid w:val="00130977"/>
    <w:rsid w:val="001309C5"/>
    <w:rsid w:val="00130AD2"/>
    <w:rsid w:val="00130C3A"/>
    <w:rsid w:val="00130D35"/>
    <w:rsid w:val="00130D5F"/>
    <w:rsid w:val="00130EDA"/>
    <w:rsid w:val="00130FCA"/>
    <w:rsid w:val="00131147"/>
    <w:rsid w:val="00131187"/>
    <w:rsid w:val="00131261"/>
    <w:rsid w:val="001316A1"/>
    <w:rsid w:val="00131949"/>
    <w:rsid w:val="0013196C"/>
    <w:rsid w:val="00131A45"/>
    <w:rsid w:val="00131CF6"/>
    <w:rsid w:val="00131E50"/>
    <w:rsid w:val="00131EF8"/>
    <w:rsid w:val="0013203B"/>
    <w:rsid w:val="00132157"/>
    <w:rsid w:val="001321B0"/>
    <w:rsid w:val="00132278"/>
    <w:rsid w:val="00132420"/>
    <w:rsid w:val="00132463"/>
    <w:rsid w:val="0013263A"/>
    <w:rsid w:val="00132647"/>
    <w:rsid w:val="00132801"/>
    <w:rsid w:val="00132855"/>
    <w:rsid w:val="00132CAF"/>
    <w:rsid w:val="00132D09"/>
    <w:rsid w:val="0013300D"/>
    <w:rsid w:val="00133013"/>
    <w:rsid w:val="0013301B"/>
    <w:rsid w:val="001330B5"/>
    <w:rsid w:val="00133147"/>
    <w:rsid w:val="00133190"/>
    <w:rsid w:val="001331D7"/>
    <w:rsid w:val="00133298"/>
    <w:rsid w:val="00133361"/>
    <w:rsid w:val="0013338C"/>
    <w:rsid w:val="00133441"/>
    <w:rsid w:val="00133469"/>
    <w:rsid w:val="0013348B"/>
    <w:rsid w:val="0013349A"/>
    <w:rsid w:val="001335A8"/>
    <w:rsid w:val="00133727"/>
    <w:rsid w:val="00133826"/>
    <w:rsid w:val="00133854"/>
    <w:rsid w:val="001338DB"/>
    <w:rsid w:val="0013395A"/>
    <w:rsid w:val="00133B08"/>
    <w:rsid w:val="00133B0E"/>
    <w:rsid w:val="00133B84"/>
    <w:rsid w:val="00133B95"/>
    <w:rsid w:val="00133DAD"/>
    <w:rsid w:val="00133F35"/>
    <w:rsid w:val="00134018"/>
    <w:rsid w:val="001340E8"/>
    <w:rsid w:val="00134163"/>
    <w:rsid w:val="001343D4"/>
    <w:rsid w:val="0013444B"/>
    <w:rsid w:val="0013452E"/>
    <w:rsid w:val="001345D2"/>
    <w:rsid w:val="00134699"/>
    <w:rsid w:val="001346C7"/>
    <w:rsid w:val="00134713"/>
    <w:rsid w:val="001348FA"/>
    <w:rsid w:val="00134CE1"/>
    <w:rsid w:val="00134F12"/>
    <w:rsid w:val="001350D9"/>
    <w:rsid w:val="00135140"/>
    <w:rsid w:val="001351CE"/>
    <w:rsid w:val="0013540E"/>
    <w:rsid w:val="00135598"/>
    <w:rsid w:val="0013576C"/>
    <w:rsid w:val="0013588C"/>
    <w:rsid w:val="001358F3"/>
    <w:rsid w:val="001358FC"/>
    <w:rsid w:val="00135961"/>
    <w:rsid w:val="001359A0"/>
    <w:rsid w:val="00135C3C"/>
    <w:rsid w:val="00135D9F"/>
    <w:rsid w:val="00135E45"/>
    <w:rsid w:val="00135F5B"/>
    <w:rsid w:val="00135FC0"/>
    <w:rsid w:val="001361AD"/>
    <w:rsid w:val="001364CE"/>
    <w:rsid w:val="0013667C"/>
    <w:rsid w:val="00136778"/>
    <w:rsid w:val="00136804"/>
    <w:rsid w:val="001369FB"/>
    <w:rsid w:val="00136C0D"/>
    <w:rsid w:val="00136C95"/>
    <w:rsid w:val="00136D38"/>
    <w:rsid w:val="00136DBC"/>
    <w:rsid w:val="00136F0E"/>
    <w:rsid w:val="00136F51"/>
    <w:rsid w:val="00136FFB"/>
    <w:rsid w:val="00137367"/>
    <w:rsid w:val="001373A6"/>
    <w:rsid w:val="00137474"/>
    <w:rsid w:val="001375D3"/>
    <w:rsid w:val="00137605"/>
    <w:rsid w:val="00137696"/>
    <w:rsid w:val="0013779C"/>
    <w:rsid w:val="00137898"/>
    <w:rsid w:val="00137B37"/>
    <w:rsid w:val="00137B9F"/>
    <w:rsid w:val="00137E39"/>
    <w:rsid w:val="001400CE"/>
    <w:rsid w:val="001402A0"/>
    <w:rsid w:val="00140323"/>
    <w:rsid w:val="001404B4"/>
    <w:rsid w:val="001404FA"/>
    <w:rsid w:val="001406B3"/>
    <w:rsid w:val="0014070A"/>
    <w:rsid w:val="001407EF"/>
    <w:rsid w:val="00140A57"/>
    <w:rsid w:val="00140AB3"/>
    <w:rsid w:val="00140B39"/>
    <w:rsid w:val="00140B73"/>
    <w:rsid w:val="00140BE8"/>
    <w:rsid w:val="00140C16"/>
    <w:rsid w:val="00140D67"/>
    <w:rsid w:val="00140DCB"/>
    <w:rsid w:val="00140DD3"/>
    <w:rsid w:val="00140E79"/>
    <w:rsid w:val="00140F6B"/>
    <w:rsid w:val="00140F7D"/>
    <w:rsid w:val="00140FB8"/>
    <w:rsid w:val="001410B1"/>
    <w:rsid w:val="0014118C"/>
    <w:rsid w:val="00141215"/>
    <w:rsid w:val="00141396"/>
    <w:rsid w:val="00141441"/>
    <w:rsid w:val="00141534"/>
    <w:rsid w:val="001417C7"/>
    <w:rsid w:val="001417FF"/>
    <w:rsid w:val="00141822"/>
    <w:rsid w:val="0014189A"/>
    <w:rsid w:val="001418BE"/>
    <w:rsid w:val="00141AB8"/>
    <w:rsid w:val="00141B6F"/>
    <w:rsid w:val="00141CB7"/>
    <w:rsid w:val="00141DB3"/>
    <w:rsid w:val="00141E17"/>
    <w:rsid w:val="00141E8C"/>
    <w:rsid w:val="00141E9A"/>
    <w:rsid w:val="0014215D"/>
    <w:rsid w:val="00142382"/>
    <w:rsid w:val="00142463"/>
    <w:rsid w:val="0014249D"/>
    <w:rsid w:val="001425BA"/>
    <w:rsid w:val="001426B1"/>
    <w:rsid w:val="00142765"/>
    <w:rsid w:val="00142776"/>
    <w:rsid w:val="001427BF"/>
    <w:rsid w:val="00142A6C"/>
    <w:rsid w:val="00142AA2"/>
    <w:rsid w:val="00142AEF"/>
    <w:rsid w:val="00142B78"/>
    <w:rsid w:val="00142B85"/>
    <w:rsid w:val="00142D19"/>
    <w:rsid w:val="00142F0F"/>
    <w:rsid w:val="0014301C"/>
    <w:rsid w:val="00143111"/>
    <w:rsid w:val="001431D3"/>
    <w:rsid w:val="0014322E"/>
    <w:rsid w:val="0014332D"/>
    <w:rsid w:val="0014333F"/>
    <w:rsid w:val="001434AE"/>
    <w:rsid w:val="001434EF"/>
    <w:rsid w:val="00143504"/>
    <w:rsid w:val="001435E2"/>
    <w:rsid w:val="001435FB"/>
    <w:rsid w:val="00143611"/>
    <w:rsid w:val="001438CB"/>
    <w:rsid w:val="00143B00"/>
    <w:rsid w:val="00143B30"/>
    <w:rsid w:val="00143B80"/>
    <w:rsid w:val="00143E15"/>
    <w:rsid w:val="00143F76"/>
    <w:rsid w:val="00144040"/>
    <w:rsid w:val="0014416D"/>
    <w:rsid w:val="00144182"/>
    <w:rsid w:val="00144273"/>
    <w:rsid w:val="001442BC"/>
    <w:rsid w:val="00144608"/>
    <w:rsid w:val="001446EF"/>
    <w:rsid w:val="0014473E"/>
    <w:rsid w:val="00144859"/>
    <w:rsid w:val="0014487E"/>
    <w:rsid w:val="001448DB"/>
    <w:rsid w:val="00144968"/>
    <w:rsid w:val="00144976"/>
    <w:rsid w:val="00144ABF"/>
    <w:rsid w:val="00144C9B"/>
    <w:rsid w:val="00144D07"/>
    <w:rsid w:val="00144DB9"/>
    <w:rsid w:val="00144DBE"/>
    <w:rsid w:val="00144EF1"/>
    <w:rsid w:val="00145370"/>
    <w:rsid w:val="00145429"/>
    <w:rsid w:val="001454A0"/>
    <w:rsid w:val="001454F0"/>
    <w:rsid w:val="00145529"/>
    <w:rsid w:val="00145718"/>
    <w:rsid w:val="0014586A"/>
    <w:rsid w:val="00145895"/>
    <w:rsid w:val="001459DB"/>
    <w:rsid w:val="00145A89"/>
    <w:rsid w:val="00145B70"/>
    <w:rsid w:val="00145C23"/>
    <w:rsid w:val="00145D68"/>
    <w:rsid w:val="00145E89"/>
    <w:rsid w:val="00145F22"/>
    <w:rsid w:val="00146178"/>
    <w:rsid w:val="0014623C"/>
    <w:rsid w:val="00146396"/>
    <w:rsid w:val="001463B0"/>
    <w:rsid w:val="00146452"/>
    <w:rsid w:val="001465BB"/>
    <w:rsid w:val="001466D2"/>
    <w:rsid w:val="00146790"/>
    <w:rsid w:val="001467D6"/>
    <w:rsid w:val="001469E3"/>
    <w:rsid w:val="00146AE3"/>
    <w:rsid w:val="00146B36"/>
    <w:rsid w:val="00146E99"/>
    <w:rsid w:val="001472CF"/>
    <w:rsid w:val="0014731A"/>
    <w:rsid w:val="0014736E"/>
    <w:rsid w:val="001474E1"/>
    <w:rsid w:val="001475AF"/>
    <w:rsid w:val="00147690"/>
    <w:rsid w:val="001476A1"/>
    <w:rsid w:val="001476D1"/>
    <w:rsid w:val="001479E0"/>
    <w:rsid w:val="00147B63"/>
    <w:rsid w:val="00147BD3"/>
    <w:rsid w:val="00147BE4"/>
    <w:rsid w:val="00147C71"/>
    <w:rsid w:val="00150111"/>
    <w:rsid w:val="00150141"/>
    <w:rsid w:val="0015018A"/>
    <w:rsid w:val="0015022A"/>
    <w:rsid w:val="0015026A"/>
    <w:rsid w:val="00150272"/>
    <w:rsid w:val="0015030A"/>
    <w:rsid w:val="001503C0"/>
    <w:rsid w:val="0015056F"/>
    <w:rsid w:val="00150796"/>
    <w:rsid w:val="001508B9"/>
    <w:rsid w:val="00150AAD"/>
    <w:rsid w:val="00150CA6"/>
    <w:rsid w:val="00150CE1"/>
    <w:rsid w:val="00150EDF"/>
    <w:rsid w:val="00151190"/>
    <w:rsid w:val="001513FD"/>
    <w:rsid w:val="0015142F"/>
    <w:rsid w:val="001514F9"/>
    <w:rsid w:val="001515C6"/>
    <w:rsid w:val="001515DC"/>
    <w:rsid w:val="00151673"/>
    <w:rsid w:val="0015169F"/>
    <w:rsid w:val="0015187D"/>
    <w:rsid w:val="001518D4"/>
    <w:rsid w:val="00151977"/>
    <w:rsid w:val="00151A28"/>
    <w:rsid w:val="00151A29"/>
    <w:rsid w:val="00151A2F"/>
    <w:rsid w:val="00151B03"/>
    <w:rsid w:val="00151BAD"/>
    <w:rsid w:val="00151DAF"/>
    <w:rsid w:val="00151E81"/>
    <w:rsid w:val="00151F8D"/>
    <w:rsid w:val="00152047"/>
    <w:rsid w:val="001520D2"/>
    <w:rsid w:val="00152124"/>
    <w:rsid w:val="0015238B"/>
    <w:rsid w:val="001524C5"/>
    <w:rsid w:val="00152588"/>
    <w:rsid w:val="00152791"/>
    <w:rsid w:val="00152C37"/>
    <w:rsid w:val="00152C51"/>
    <w:rsid w:val="00152F00"/>
    <w:rsid w:val="00152F6D"/>
    <w:rsid w:val="001531EC"/>
    <w:rsid w:val="00153230"/>
    <w:rsid w:val="001532D6"/>
    <w:rsid w:val="00153383"/>
    <w:rsid w:val="001534BB"/>
    <w:rsid w:val="001534BD"/>
    <w:rsid w:val="00153610"/>
    <w:rsid w:val="001536F0"/>
    <w:rsid w:val="00153760"/>
    <w:rsid w:val="001537FB"/>
    <w:rsid w:val="001538FE"/>
    <w:rsid w:val="00153BA0"/>
    <w:rsid w:val="00153C11"/>
    <w:rsid w:val="00153C4B"/>
    <w:rsid w:val="00153D55"/>
    <w:rsid w:val="00153DA7"/>
    <w:rsid w:val="00153E27"/>
    <w:rsid w:val="00153FE4"/>
    <w:rsid w:val="0015429D"/>
    <w:rsid w:val="001543BC"/>
    <w:rsid w:val="00154427"/>
    <w:rsid w:val="00154583"/>
    <w:rsid w:val="0015461B"/>
    <w:rsid w:val="001546FD"/>
    <w:rsid w:val="0015482C"/>
    <w:rsid w:val="00154884"/>
    <w:rsid w:val="00154994"/>
    <w:rsid w:val="00154A59"/>
    <w:rsid w:val="00154A87"/>
    <w:rsid w:val="00154D19"/>
    <w:rsid w:val="00154EE7"/>
    <w:rsid w:val="00155208"/>
    <w:rsid w:val="0015521C"/>
    <w:rsid w:val="00155221"/>
    <w:rsid w:val="001552D3"/>
    <w:rsid w:val="00155409"/>
    <w:rsid w:val="00155436"/>
    <w:rsid w:val="001554A7"/>
    <w:rsid w:val="001555B2"/>
    <w:rsid w:val="0015578A"/>
    <w:rsid w:val="001557A9"/>
    <w:rsid w:val="001558E7"/>
    <w:rsid w:val="00155C0D"/>
    <w:rsid w:val="00155C2E"/>
    <w:rsid w:val="00155D33"/>
    <w:rsid w:val="00155FBB"/>
    <w:rsid w:val="00156240"/>
    <w:rsid w:val="0015635C"/>
    <w:rsid w:val="00156437"/>
    <w:rsid w:val="001564F3"/>
    <w:rsid w:val="001566E1"/>
    <w:rsid w:val="00156719"/>
    <w:rsid w:val="00156960"/>
    <w:rsid w:val="001569D7"/>
    <w:rsid w:val="00156A19"/>
    <w:rsid w:val="00156A58"/>
    <w:rsid w:val="00156AF7"/>
    <w:rsid w:val="00156BE3"/>
    <w:rsid w:val="00156C1B"/>
    <w:rsid w:val="00156CC8"/>
    <w:rsid w:val="00156CDF"/>
    <w:rsid w:val="00156EC9"/>
    <w:rsid w:val="00156F42"/>
    <w:rsid w:val="0015701F"/>
    <w:rsid w:val="0015713A"/>
    <w:rsid w:val="00157176"/>
    <w:rsid w:val="0015728B"/>
    <w:rsid w:val="001572B1"/>
    <w:rsid w:val="001572F5"/>
    <w:rsid w:val="001574E3"/>
    <w:rsid w:val="0015750C"/>
    <w:rsid w:val="0015772F"/>
    <w:rsid w:val="00157795"/>
    <w:rsid w:val="001577EA"/>
    <w:rsid w:val="00157876"/>
    <w:rsid w:val="001578CF"/>
    <w:rsid w:val="00157B34"/>
    <w:rsid w:val="00157B66"/>
    <w:rsid w:val="00157BA0"/>
    <w:rsid w:val="00157C4F"/>
    <w:rsid w:val="00157CB6"/>
    <w:rsid w:val="00157D4A"/>
    <w:rsid w:val="00157D89"/>
    <w:rsid w:val="00157D94"/>
    <w:rsid w:val="0016010E"/>
    <w:rsid w:val="0016024E"/>
    <w:rsid w:val="001602D2"/>
    <w:rsid w:val="001602F3"/>
    <w:rsid w:val="0016031E"/>
    <w:rsid w:val="00160367"/>
    <w:rsid w:val="00160369"/>
    <w:rsid w:val="0016039F"/>
    <w:rsid w:val="0016042B"/>
    <w:rsid w:val="0016047D"/>
    <w:rsid w:val="001605E8"/>
    <w:rsid w:val="001605F7"/>
    <w:rsid w:val="0016061D"/>
    <w:rsid w:val="00160A21"/>
    <w:rsid w:val="00160A88"/>
    <w:rsid w:val="00160B4B"/>
    <w:rsid w:val="00160B56"/>
    <w:rsid w:val="00160BDA"/>
    <w:rsid w:val="00160DC6"/>
    <w:rsid w:val="00160EF0"/>
    <w:rsid w:val="001610D1"/>
    <w:rsid w:val="00161247"/>
    <w:rsid w:val="001613B1"/>
    <w:rsid w:val="001615D0"/>
    <w:rsid w:val="00161603"/>
    <w:rsid w:val="001618BA"/>
    <w:rsid w:val="00161B2B"/>
    <w:rsid w:val="00161C58"/>
    <w:rsid w:val="00161CCF"/>
    <w:rsid w:val="00161DF0"/>
    <w:rsid w:val="00161E69"/>
    <w:rsid w:val="00161F6A"/>
    <w:rsid w:val="00161F6E"/>
    <w:rsid w:val="00161F79"/>
    <w:rsid w:val="00162095"/>
    <w:rsid w:val="001620B5"/>
    <w:rsid w:val="00162192"/>
    <w:rsid w:val="001621CD"/>
    <w:rsid w:val="00162336"/>
    <w:rsid w:val="0016237B"/>
    <w:rsid w:val="001624DE"/>
    <w:rsid w:val="00162526"/>
    <w:rsid w:val="00162697"/>
    <w:rsid w:val="00162923"/>
    <w:rsid w:val="00162961"/>
    <w:rsid w:val="00162981"/>
    <w:rsid w:val="00162E73"/>
    <w:rsid w:val="00162EAB"/>
    <w:rsid w:val="001631AB"/>
    <w:rsid w:val="00163272"/>
    <w:rsid w:val="00163337"/>
    <w:rsid w:val="001634D8"/>
    <w:rsid w:val="00163567"/>
    <w:rsid w:val="0016357E"/>
    <w:rsid w:val="0016360A"/>
    <w:rsid w:val="00163765"/>
    <w:rsid w:val="001637BE"/>
    <w:rsid w:val="00163836"/>
    <w:rsid w:val="00163887"/>
    <w:rsid w:val="001638C8"/>
    <w:rsid w:val="00163916"/>
    <w:rsid w:val="001639A1"/>
    <w:rsid w:val="00163B0A"/>
    <w:rsid w:val="00163BC9"/>
    <w:rsid w:val="00163BE7"/>
    <w:rsid w:val="00163BF9"/>
    <w:rsid w:val="00163C3F"/>
    <w:rsid w:val="00163D1E"/>
    <w:rsid w:val="00163E19"/>
    <w:rsid w:val="00164003"/>
    <w:rsid w:val="0016411F"/>
    <w:rsid w:val="0016427A"/>
    <w:rsid w:val="00164339"/>
    <w:rsid w:val="0016439A"/>
    <w:rsid w:val="001643B5"/>
    <w:rsid w:val="0016456A"/>
    <w:rsid w:val="00164768"/>
    <w:rsid w:val="00164773"/>
    <w:rsid w:val="0016481A"/>
    <w:rsid w:val="00164891"/>
    <w:rsid w:val="00164921"/>
    <w:rsid w:val="0016498B"/>
    <w:rsid w:val="00164A78"/>
    <w:rsid w:val="00164AE4"/>
    <w:rsid w:val="00164B16"/>
    <w:rsid w:val="00164B1C"/>
    <w:rsid w:val="00164B51"/>
    <w:rsid w:val="00164B9D"/>
    <w:rsid w:val="00164D22"/>
    <w:rsid w:val="00164DBF"/>
    <w:rsid w:val="00164E43"/>
    <w:rsid w:val="00164F20"/>
    <w:rsid w:val="0016516C"/>
    <w:rsid w:val="001651D2"/>
    <w:rsid w:val="001652B3"/>
    <w:rsid w:val="0016533F"/>
    <w:rsid w:val="00165592"/>
    <w:rsid w:val="00165664"/>
    <w:rsid w:val="0016585A"/>
    <w:rsid w:val="00165873"/>
    <w:rsid w:val="00165978"/>
    <w:rsid w:val="00165A84"/>
    <w:rsid w:val="00165AC1"/>
    <w:rsid w:val="00165AE2"/>
    <w:rsid w:val="00165B6A"/>
    <w:rsid w:val="00165CB2"/>
    <w:rsid w:val="00165DAF"/>
    <w:rsid w:val="00165E6F"/>
    <w:rsid w:val="00166063"/>
    <w:rsid w:val="001661DB"/>
    <w:rsid w:val="00166220"/>
    <w:rsid w:val="0016622C"/>
    <w:rsid w:val="00166578"/>
    <w:rsid w:val="0016664C"/>
    <w:rsid w:val="001666E1"/>
    <w:rsid w:val="00166790"/>
    <w:rsid w:val="00166893"/>
    <w:rsid w:val="00166955"/>
    <w:rsid w:val="00166D6D"/>
    <w:rsid w:val="00167121"/>
    <w:rsid w:val="0016723B"/>
    <w:rsid w:val="00167364"/>
    <w:rsid w:val="00167556"/>
    <w:rsid w:val="001675E7"/>
    <w:rsid w:val="001675FC"/>
    <w:rsid w:val="0016765E"/>
    <w:rsid w:val="00167A78"/>
    <w:rsid w:val="00167BF9"/>
    <w:rsid w:val="00167D6C"/>
    <w:rsid w:val="00167E33"/>
    <w:rsid w:val="00167EE2"/>
    <w:rsid w:val="00167FF2"/>
    <w:rsid w:val="0017000E"/>
    <w:rsid w:val="00170026"/>
    <w:rsid w:val="00170131"/>
    <w:rsid w:val="001701E3"/>
    <w:rsid w:val="0017021E"/>
    <w:rsid w:val="00170229"/>
    <w:rsid w:val="0017025E"/>
    <w:rsid w:val="001702AE"/>
    <w:rsid w:val="001702D6"/>
    <w:rsid w:val="00170317"/>
    <w:rsid w:val="00170843"/>
    <w:rsid w:val="00170911"/>
    <w:rsid w:val="001709B1"/>
    <w:rsid w:val="001709E4"/>
    <w:rsid w:val="00170B55"/>
    <w:rsid w:val="00170C97"/>
    <w:rsid w:val="00170CDB"/>
    <w:rsid w:val="00170D56"/>
    <w:rsid w:val="00170E1E"/>
    <w:rsid w:val="00170E51"/>
    <w:rsid w:val="00170F4B"/>
    <w:rsid w:val="001710DB"/>
    <w:rsid w:val="001712D9"/>
    <w:rsid w:val="00171308"/>
    <w:rsid w:val="0017130A"/>
    <w:rsid w:val="00171376"/>
    <w:rsid w:val="001713DF"/>
    <w:rsid w:val="0017160D"/>
    <w:rsid w:val="0017174B"/>
    <w:rsid w:val="00171870"/>
    <w:rsid w:val="00171913"/>
    <w:rsid w:val="0017191B"/>
    <w:rsid w:val="00171A40"/>
    <w:rsid w:val="00171AA7"/>
    <w:rsid w:val="00171FF6"/>
    <w:rsid w:val="00171FF7"/>
    <w:rsid w:val="00172129"/>
    <w:rsid w:val="00172295"/>
    <w:rsid w:val="00172429"/>
    <w:rsid w:val="0017250B"/>
    <w:rsid w:val="00172618"/>
    <w:rsid w:val="00172782"/>
    <w:rsid w:val="001727E2"/>
    <w:rsid w:val="0017291E"/>
    <w:rsid w:val="00172990"/>
    <w:rsid w:val="00172B12"/>
    <w:rsid w:val="00172D07"/>
    <w:rsid w:val="00172D57"/>
    <w:rsid w:val="00172FAF"/>
    <w:rsid w:val="00173003"/>
    <w:rsid w:val="0017303B"/>
    <w:rsid w:val="001730C2"/>
    <w:rsid w:val="001733D3"/>
    <w:rsid w:val="0017367E"/>
    <w:rsid w:val="0017373A"/>
    <w:rsid w:val="0017375D"/>
    <w:rsid w:val="001737CC"/>
    <w:rsid w:val="001738D6"/>
    <w:rsid w:val="00173955"/>
    <w:rsid w:val="00173956"/>
    <w:rsid w:val="00173A36"/>
    <w:rsid w:val="00173A86"/>
    <w:rsid w:val="00173BB2"/>
    <w:rsid w:val="00173C85"/>
    <w:rsid w:val="00173D31"/>
    <w:rsid w:val="00173E9C"/>
    <w:rsid w:val="00174071"/>
    <w:rsid w:val="001740DA"/>
    <w:rsid w:val="001741CC"/>
    <w:rsid w:val="00174252"/>
    <w:rsid w:val="00174278"/>
    <w:rsid w:val="00174404"/>
    <w:rsid w:val="0017449F"/>
    <w:rsid w:val="001745A5"/>
    <w:rsid w:val="00174649"/>
    <w:rsid w:val="001746D3"/>
    <w:rsid w:val="00174722"/>
    <w:rsid w:val="001747C4"/>
    <w:rsid w:val="001747FB"/>
    <w:rsid w:val="001748F0"/>
    <w:rsid w:val="00174935"/>
    <w:rsid w:val="00174B91"/>
    <w:rsid w:val="00174DFC"/>
    <w:rsid w:val="00174F1A"/>
    <w:rsid w:val="0017521A"/>
    <w:rsid w:val="00175397"/>
    <w:rsid w:val="00175477"/>
    <w:rsid w:val="001754DB"/>
    <w:rsid w:val="00175507"/>
    <w:rsid w:val="001756E7"/>
    <w:rsid w:val="0017579F"/>
    <w:rsid w:val="00175837"/>
    <w:rsid w:val="00175945"/>
    <w:rsid w:val="00175A12"/>
    <w:rsid w:val="00175B03"/>
    <w:rsid w:val="00175D20"/>
    <w:rsid w:val="00175D2E"/>
    <w:rsid w:val="00175D71"/>
    <w:rsid w:val="00175EFF"/>
    <w:rsid w:val="00175F0B"/>
    <w:rsid w:val="001761E2"/>
    <w:rsid w:val="001762B4"/>
    <w:rsid w:val="001762EA"/>
    <w:rsid w:val="00176322"/>
    <w:rsid w:val="001763BC"/>
    <w:rsid w:val="001763DD"/>
    <w:rsid w:val="001763E4"/>
    <w:rsid w:val="001764AC"/>
    <w:rsid w:val="001764C0"/>
    <w:rsid w:val="00176552"/>
    <w:rsid w:val="00176640"/>
    <w:rsid w:val="001766ED"/>
    <w:rsid w:val="00176973"/>
    <w:rsid w:val="00176A5F"/>
    <w:rsid w:val="00176E22"/>
    <w:rsid w:val="00176EF5"/>
    <w:rsid w:val="00177056"/>
    <w:rsid w:val="00177098"/>
    <w:rsid w:val="001773F0"/>
    <w:rsid w:val="001775C7"/>
    <w:rsid w:val="0017770C"/>
    <w:rsid w:val="00177867"/>
    <w:rsid w:val="001778A2"/>
    <w:rsid w:val="001778C6"/>
    <w:rsid w:val="001779F2"/>
    <w:rsid w:val="00177A18"/>
    <w:rsid w:val="00177AA3"/>
    <w:rsid w:val="00180019"/>
    <w:rsid w:val="00180142"/>
    <w:rsid w:val="00180171"/>
    <w:rsid w:val="001802C5"/>
    <w:rsid w:val="0018030C"/>
    <w:rsid w:val="001803A3"/>
    <w:rsid w:val="00180535"/>
    <w:rsid w:val="00180654"/>
    <w:rsid w:val="00180679"/>
    <w:rsid w:val="00180802"/>
    <w:rsid w:val="00180811"/>
    <w:rsid w:val="0018099E"/>
    <w:rsid w:val="00180C79"/>
    <w:rsid w:val="00180D0A"/>
    <w:rsid w:val="00180D26"/>
    <w:rsid w:val="00180E83"/>
    <w:rsid w:val="001813D8"/>
    <w:rsid w:val="001817AB"/>
    <w:rsid w:val="00181839"/>
    <w:rsid w:val="001818FA"/>
    <w:rsid w:val="00181C60"/>
    <w:rsid w:val="00181E41"/>
    <w:rsid w:val="00181E79"/>
    <w:rsid w:val="00181FF2"/>
    <w:rsid w:val="00182091"/>
    <w:rsid w:val="00182092"/>
    <w:rsid w:val="00182101"/>
    <w:rsid w:val="00182161"/>
    <w:rsid w:val="0018220C"/>
    <w:rsid w:val="00182299"/>
    <w:rsid w:val="001826E1"/>
    <w:rsid w:val="00182769"/>
    <w:rsid w:val="00182774"/>
    <w:rsid w:val="0018292C"/>
    <w:rsid w:val="00182B75"/>
    <w:rsid w:val="00182BF0"/>
    <w:rsid w:val="00182CF6"/>
    <w:rsid w:val="00182DB9"/>
    <w:rsid w:val="00182F45"/>
    <w:rsid w:val="001830C6"/>
    <w:rsid w:val="001830F4"/>
    <w:rsid w:val="00183396"/>
    <w:rsid w:val="0018359D"/>
    <w:rsid w:val="00183774"/>
    <w:rsid w:val="00183860"/>
    <w:rsid w:val="00183A24"/>
    <w:rsid w:val="00183D47"/>
    <w:rsid w:val="00183D6D"/>
    <w:rsid w:val="00183DD5"/>
    <w:rsid w:val="00183F35"/>
    <w:rsid w:val="0018417A"/>
    <w:rsid w:val="0018422E"/>
    <w:rsid w:val="001843B1"/>
    <w:rsid w:val="00184411"/>
    <w:rsid w:val="0018450E"/>
    <w:rsid w:val="001845A3"/>
    <w:rsid w:val="0018470A"/>
    <w:rsid w:val="00184A7E"/>
    <w:rsid w:val="00184AE7"/>
    <w:rsid w:val="00184B1B"/>
    <w:rsid w:val="00184B49"/>
    <w:rsid w:val="00184B70"/>
    <w:rsid w:val="00184E3E"/>
    <w:rsid w:val="00184E65"/>
    <w:rsid w:val="00184FEC"/>
    <w:rsid w:val="00185050"/>
    <w:rsid w:val="00185339"/>
    <w:rsid w:val="001855AE"/>
    <w:rsid w:val="001855E6"/>
    <w:rsid w:val="0018561D"/>
    <w:rsid w:val="00185A57"/>
    <w:rsid w:val="00185AE7"/>
    <w:rsid w:val="00185B05"/>
    <w:rsid w:val="00185B15"/>
    <w:rsid w:val="00185B1D"/>
    <w:rsid w:val="00185C59"/>
    <w:rsid w:val="00185D5B"/>
    <w:rsid w:val="00185DB1"/>
    <w:rsid w:val="00185E58"/>
    <w:rsid w:val="00185E84"/>
    <w:rsid w:val="00185FF4"/>
    <w:rsid w:val="00186390"/>
    <w:rsid w:val="00186516"/>
    <w:rsid w:val="00186772"/>
    <w:rsid w:val="001867A3"/>
    <w:rsid w:val="001869D1"/>
    <w:rsid w:val="001869F6"/>
    <w:rsid w:val="00186C1E"/>
    <w:rsid w:val="00186CBE"/>
    <w:rsid w:val="00186E9B"/>
    <w:rsid w:val="00186EFD"/>
    <w:rsid w:val="00186F0E"/>
    <w:rsid w:val="001872E7"/>
    <w:rsid w:val="001872E9"/>
    <w:rsid w:val="001873E9"/>
    <w:rsid w:val="0018741E"/>
    <w:rsid w:val="00187716"/>
    <w:rsid w:val="00187744"/>
    <w:rsid w:val="001877B6"/>
    <w:rsid w:val="001877FA"/>
    <w:rsid w:val="0018789F"/>
    <w:rsid w:val="001878E9"/>
    <w:rsid w:val="00187AA5"/>
    <w:rsid w:val="00187B07"/>
    <w:rsid w:val="00187B9B"/>
    <w:rsid w:val="00187D2B"/>
    <w:rsid w:val="00187F51"/>
    <w:rsid w:val="001900F1"/>
    <w:rsid w:val="00190195"/>
    <w:rsid w:val="00190425"/>
    <w:rsid w:val="00190490"/>
    <w:rsid w:val="001904AA"/>
    <w:rsid w:val="001908BF"/>
    <w:rsid w:val="00190A2C"/>
    <w:rsid w:val="00190A70"/>
    <w:rsid w:val="00190B01"/>
    <w:rsid w:val="00190C3A"/>
    <w:rsid w:val="00190C40"/>
    <w:rsid w:val="00190C55"/>
    <w:rsid w:val="00190CDA"/>
    <w:rsid w:val="00190D1C"/>
    <w:rsid w:val="00190D4D"/>
    <w:rsid w:val="00190E83"/>
    <w:rsid w:val="00190E93"/>
    <w:rsid w:val="0019115D"/>
    <w:rsid w:val="00191209"/>
    <w:rsid w:val="001912C5"/>
    <w:rsid w:val="00191318"/>
    <w:rsid w:val="001913A9"/>
    <w:rsid w:val="00191406"/>
    <w:rsid w:val="00191577"/>
    <w:rsid w:val="00191691"/>
    <w:rsid w:val="001916D7"/>
    <w:rsid w:val="00191763"/>
    <w:rsid w:val="00191794"/>
    <w:rsid w:val="00191855"/>
    <w:rsid w:val="00191858"/>
    <w:rsid w:val="00191890"/>
    <w:rsid w:val="0019191A"/>
    <w:rsid w:val="00191994"/>
    <w:rsid w:val="00191A16"/>
    <w:rsid w:val="00191AB6"/>
    <w:rsid w:val="00191B63"/>
    <w:rsid w:val="00191C1B"/>
    <w:rsid w:val="00191C64"/>
    <w:rsid w:val="00191D81"/>
    <w:rsid w:val="00191F44"/>
    <w:rsid w:val="00192079"/>
    <w:rsid w:val="00192197"/>
    <w:rsid w:val="00192220"/>
    <w:rsid w:val="00192279"/>
    <w:rsid w:val="00192317"/>
    <w:rsid w:val="001924D3"/>
    <w:rsid w:val="0019260B"/>
    <w:rsid w:val="00192651"/>
    <w:rsid w:val="001926CC"/>
    <w:rsid w:val="00192873"/>
    <w:rsid w:val="001928B2"/>
    <w:rsid w:val="001928BE"/>
    <w:rsid w:val="00192A91"/>
    <w:rsid w:val="00192ADD"/>
    <w:rsid w:val="00192C27"/>
    <w:rsid w:val="00192D41"/>
    <w:rsid w:val="00192EF6"/>
    <w:rsid w:val="00192F33"/>
    <w:rsid w:val="0019302D"/>
    <w:rsid w:val="001930A4"/>
    <w:rsid w:val="00193289"/>
    <w:rsid w:val="00193299"/>
    <w:rsid w:val="00193426"/>
    <w:rsid w:val="00193713"/>
    <w:rsid w:val="00193A33"/>
    <w:rsid w:val="00193B34"/>
    <w:rsid w:val="00193B84"/>
    <w:rsid w:val="00193C68"/>
    <w:rsid w:val="00193CF0"/>
    <w:rsid w:val="00193D24"/>
    <w:rsid w:val="00193E1A"/>
    <w:rsid w:val="00193E2F"/>
    <w:rsid w:val="00193F45"/>
    <w:rsid w:val="001940BC"/>
    <w:rsid w:val="00194226"/>
    <w:rsid w:val="001944FC"/>
    <w:rsid w:val="0019450A"/>
    <w:rsid w:val="0019457C"/>
    <w:rsid w:val="001947B9"/>
    <w:rsid w:val="0019494A"/>
    <w:rsid w:val="001949AB"/>
    <w:rsid w:val="00194A9F"/>
    <w:rsid w:val="00194AD4"/>
    <w:rsid w:val="00194B33"/>
    <w:rsid w:val="00194B86"/>
    <w:rsid w:val="00194BE1"/>
    <w:rsid w:val="00194CD7"/>
    <w:rsid w:val="00194D03"/>
    <w:rsid w:val="00194D24"/>
    <w:rsid w:val="00194E19"/>
    <w:rsid w:val="00194E32"/>
    <w:rsid w:val="00194E9F"/>
    <w:rsid w:val="00194FB2"/>
    <w:rsid w:val="00194FBE"/>
    <w:rsid w:val="001953F3"/>
    <w:rsid w:val="001958FD"/>
    <w:rsid w:val="00195A0E"/>
    <w:rsid w:val="00195B0E"/>
    <w:rsid w:val="00195B53"/>
    <w:rsid w:val="00195CD2"/>
    <w:rsid w:val="00195D32"/>
    <w:rsid w:val="00195DD5"/>
    <w:rsid w:val="0019603E"/>
    <w:rsid w:val="00196212"/>
    <w:rsid w:val="001962C2"/>
    <w:rsid w:val="0019634B"/>
    <w:rsid w:val="001963A3"/>
    <w:rsid w:val="0019648C"/>
    <w:rsid w:val="001964E1"/>
    <w:rsid w:val="00196608"/>
    <w:rsid w:val="00196694"/>
    <w:rsid w:val="001967E6"/>
    <w:rsid w:val="0019694F"/>
    <w:rsid w:val="00196AF9"/>
    <w:rsid w:val="00196B30"/>
    <w:rsid w:val="00196EC0"/>
    <w:rsid w:val="00196F54"/>
    <w:rsid w:val="00197050"/>
    <w:rsid w:val="0019708C"/>
    <w:rsid w:val="0019726D"/>
    <w:rsid w:val="00197274"/>
    <w:rsid w:val="001973DE"/>
    <w:rsid w:val="00197416"/>
    <w:rsid w:val="001974E5"/>
    <w:rsid w:val="00197539"/>
    <w:rsid w:val="001978ED"/>
    <w:rsid w:val="00197A70"/>
    <w:rsid w:val="00197B9D"/>
    <w:rsid w:val="00197F2F"/>
    <w:rsid w:val="00197F43"/>
    <w:rsid w:val="001A017E"/>
    <w:rsid w:val="001A0245"/>
    <w:rsid w:val="001A02CD"/>
    <w:rsid w:val="001A060B"/>
    <w:rsid w:val="001A06F0"/>
    <w:rsid w:val="001A0772"/>
    <w:rsid w:val="001A0890"/>
    <w:rsid w:val="001A0953"/>
    <w:rsid w:val="001A0B23"/>
    <w:rsid w:val="001A0B3A"/>
    <w:rsid w:val="001A0B4A"/>
    <w:rsid w:val="001A0C8A"/>
    <w:rsid w:val="001A0D13"/>
    <w:rsid w:val="001A1123"/>
    <w:rsid w:val="001A1137"/>
    <w:rsid w:val="001A11DC"/>
    <w:rsid w:val="001A1610"/>
    <w:rsid w:val="001A16BB"/>
    <w:rsid w:val="001A16ED"/>
    <w:rsid w:val="001A181F"/>
    <w:rsid w:val="001A1902"/>
    <w:rsid w:val="001A1A71"/>
    <w:rsid w:val="001A1B07"/>
    <w:rsid w:val="001A1C21"/>
    <w:rsid w:val="001A1D68"/>
    <w:rsid w:val="001A1D85"/>
    <w:rsid w:val="001A1EFD"/>
    <w:rsid w:val="001A2023"/>
    <w:rsid w:val="001A2085"/>
    <w:rsid w:val="001A231F"/>
    <w:rsid w:val="001A2374"/>
    <w:rsid w:val="001A2394"/>
    <w:rsid w:val="001A2455"/>
    <w:rsid w:val="001A2552"/>
    <w:rsid w:val="001A2B00"/>
    <w:rsid w:val="001A2D77"/>
    <w:rsid w:val="001A2E6A"/>
    <w:rsid w:val="001A2F59"/>
    <w:rsid w:val="001A308B"/>
    <w:rsid w:val="001A31DE"/>
    <w:rsid w:val="001A31E8"/>
    <w:rsid w:val="001A3215"/>
    <w:rsid w:val="001A32BD"/>
    <w:rsid w:val="001A32F8"/>
    <w:rsid w:val="001A35BF"/>
    <w:rsid w:val="001A37D1"/>
    <w:rsid w:val="001A38DB"/>
    <w:rsid w:val="001A3A0B"/>
    <w:rsid w:val="001A3BA9"/>
    <w:rsid w:val="001A3BFA"/>
    <w:rsid w:val="001A3F0E"/>
    <w:rsid w:val="001A4016"/>
    <w:rsid w:val="001A402D"/>
    <w:rsid w:val="001A4166"/>
    <w:rsid w:val="001A4254"/>
    <w:rsid w:val="001A43B9"/>
    <w:rsid w:val="001A4693"/>
    <w:rsid w:val="001A47CA"/>
    <w:rsid w:val="001A4891"/>
    <w:rsid w:val="001A48B6"/>
    <w:rsid w:val="001A48D2"/>
    <w:rsid w:val="001A4ADF"/>
    <w:rsid w:val="001A4D3E"/>
    <w:rsid w:val="001A4D53"/>
    <w:rsid w:val="001A4DD5"/>
    <w:rsid w:val="001A4E2C"/>
    <w:rsid w:val="001A4F1C"/>
    <w:rsid w:val="001A5008"/>
    <w:rsid w:val="001A52A7"/>
    <w:rsid w:val="001A540E"/>
    <w:rsid w:val="001A56E1"/>
    <w:rsid w:val="001A5821"/>
    <w:rsid w:val="001A59FD"/>
    <w:rsid w:val="001A5A0D"/>
    <w:rsid w:val="001A5B16"/>
    <w:rsid w:val="001A5BFF"/>
    <w:rsid w:val="001A5D46"/>
    <w:rsid w:val="001A5D77"/>
    <w:rsid w:val="001A5EF7"/>
    <w:rsid w:val="001A5FA2"/>
    <w:rsid w:val="001A5FE8"/>
    <w:rsid w:val="001A6019"/>
    <w:rsid w:val="001A609A"/>
    <w:rsid w:val="001A60DD"/>
    <w:rsid w:val="001A61F3"/>
    <w:rsid w:val="001A6241"/>
    <w:rsid w:val="001A6266"/>
    <w:rsid w:val="001A6449"/>
    <w:rsid w:val="001A6DDE"/>
    <w:rsid w:val="001A705E"/>
    <w:rsid w:val="001A7323"/>
    <w:rsid w:val="001A7347"/>
    <w:rsid w:val="001A7395"/>
    <w:rsid w:val="001A73FF"/>
    <w:rsid w:val="001A7542"/>
    <w:rsid w:val="001A772F"/>
    <w:rsid w:val="001A7865"/>
    <w:rsid w:val="001A7966"/>
    <w:rsid w:val="001A79A1"/>
    <w:rsid w:val="001A7A5E"/>
    <w:rsid w:val="001A7AE8"/>
    <w:rsid w:val="001A7B96"/>
    <w:rsid w:val="001A7C03"/>
    <w:rsid w:val="001A7C1F"/>
    <w:rsid w:val="001A7CFC"/>
    <w:rsid w:val="001A7DA5"/>
    <w:rsid w:val="001A7DC2"/>
    <w:rsid w:val="001A7EB4"/>
    <w:rsid w:val="001A7EC1"/>
    <w:rsid w:val="001A7FE3"/>
    <w:rsid w:val="001B0159"/>
    <w:rsid w:val="001B02B2"/>
    <w:rsid w:val="001B0427"/>
    <w:rsid w:val="001B04D0"/>
    <w:rsid w:val="001B0501"/>
    <w:rsid w:val="001B0650"/>
    <w:rsid w:val="001B06D2"/>
    <w:rsid w:val="001B07AD"/>
    <w:rsid w:val="001B0854"/>
    <w:rsid w:val="001B0878"/>
    <w:rsid w:val="001B08DE"/>
    <w:rsid w:val="001B0ACA"/>
    <w:rsid w:val="001B0B49"/>
    <w:rsid w:val="001B0B4A"/>
    <w:rsid w:val="001B0E53"/>
    <w:rsid w:val="001B105D"/>
    <w:rsid w:val="001B1396"/>
    <w:rsid w:val="001B13D6"/>
    <w:rsid w:val="001B14D4"/>
    <w:rsid w:val="001B1550"/>
    <w:rsid w:val="001B1A11"/>
    <w:rsid w:val="001B1A14"/>
    <w:rsid w:val="001B1CA7"/>
    <w:rsid w:val="001B1CAD"/>
    <w:rsid w:val="001B1E8C"/>
    <w:rsid w:val="001B2008"/>
    <w:rsid w:val="001B2011"/>
    <w:rsid w:val="001B205D"/>
    <w:rsid w:val="001B2110"/>
    <w:rsid w:val="001B2121"/>
    <w:rsid w:val="001B21FA"/>
    <w:rsid w:val="001B2217"/>
    <w:rsid w:val="001B2298"/>
    <w:rsid w:val="001B22AD"/>
    <w:rsid w:val="001B2378"/>
    <w:rsid w:val="001B243D"/>
    <w:rsid w:val="001B246D"/>
    <w:rsid w:val="001B2590"/>
    <w:rsid w:val="001B2920"/>
    <w:rsid w:val="001B29C5"/>
    <w:rsid w:val="001B2A24"/>
    <w:rsid w:val="001B2AC4"/>
    <w:rsid w:val="001B2B0E"/>
    <w:rsid w:val="001B2BC6"/>
    <w:rsid w:val="001B2D2E"/>
    <w:rsid w:val="001B2E4A"/>
    <w:rsid w:val="001B3186"/>
    <w:rsid w:val="001B32B5"/>
    <w:rsid w:val="001B334C"/>
    <w:rsid w:val="001B341F"/>
    <w:rsid w:val="001B348C"/>
    <w:rsid w:val="001B34B6"/>
    <w:rsid w:val="001B35A8"/>
    <w:rsid w:val="001B36BC"/>
    <w:rsid w:val="001B3772"/>
    <w:rsid w:val="001B3917"/>
    <w:rsid w:val="001B3987"/>
    <w:rsid w:val="001B3A01"/>
    <w:rsid w:val="001B3AD6"/>
    <w:rsid w:val="001B3B30"/>
    <w:rsid w:val="001B3D66"/>
    <w:rsid w:val="001B3D8C"/>
    <w:rsid w:val="001B3DB7"/>
    <w:rsid w:val="001B3F28"/>
    <w:rsid w:val="001B3FFD"/>
    <w:rsid w:val="001B40EE"/>
    <w:rsid w:val="001B4375"/>
    <w:rsid w:val="001B4813"/>
    <w:rsid w:val="001B481B"/>
    <w:rsid w:val="001B4879"/>
    <w:rsid w:val="001B4C3D"/>
    <w:rsid w:val="001B4C4E"/>
    <w:rsid w:val="001B4D1E"/>
    <w:rsid w:val="001B4F6F"/>
    <w:rsid w:val="001B504A"/>
    <w:rsid w:val="001B5394"/>
    <w:rsid w:val="001B53DD"/>
    <w:rsid w:val="001B5604"/>
    <w:rsid w:val="001B562A"/>
    <w:rsid w:val="001B565C"/>
    <w:rsid w:val="001B56A2"/>
    <w:rsid w:val="001B5873"/>
    <w:rsid w:val="001B5A15"/>
    <w:rsid w:val="001B5BDE"/>
    <w:rsid w:val="001B5D00"/>
    <w:rsid w:val="001B5DD7"/>
    <w:rsid w:val="001B5E20"/>
    <w:rsid w:val="001B5FAE"/>
    <w:rsid w:val="001B61B3"/>
    <w:rsid w:val="001B6294"/>
    <w:rsid w:val="001B6373"/>
    <w:rsid w:val="001B6389"/>
    <w:rsid w:val="001B63F2"/>
    <w:rsid w:val="001B6486"/>
    <w:rsid w:val="001B6527"/>
    <w:rsid w:val="001B6722"/>
    <w:rsid w:val="001B67E3"/>
    <w:rsid w:val="001B692F"/>
    <w:rsid w:val="001B6A8D"/>
    <w:rsid w:val="001B6BD9"/>
    <w:rsid w:val="001B6C15"/>
    <w:rsid w:val="001B6C3C"/>
    <w:rsid w:val="001B6CFF"/>
    <w:rsid w:val="001B6EAD"/>
    <w:rsid w:val="001B6ED1"/>
    <w:rsid w:val="001B7015"/>
    <w:rsid w:val="001B7068"/>
    <w:rsid w:val="001B70BB"/>
    <w:rsid w:val="001B7296"/>
    <w:rsid w:val="001B7345"/>
    <w:rsid w:val="001B748F"/>
    <w:rsid w:val="001B74B4"/>
    <w:rsid w:val="001B7616"/>
    <w:rsid w:val="001B7787"/>
    <w:rsid w:val="001B7995"/>
    <w:rsid w:val="001B7BD9"/>
    <w:rsid w:val="001B7C36"/>
    <w:rsid w:val="001B7F36"/>
    <w:rsid w:val="001C00B3"/>
    <w:rsid w:val="001C0112"/>
    <w:rsid w:val="001C0203"/>
    <w:rsid w:val="001C02B9"/>
    <w:rsid w:val="001C02E7"/>
    <w:rsid w:val="001C04D7"/>
    <w:rsid w:val="001C0522"/>
    <w:rsid w:val="001C054C"/>
    <w:rsid w:val="001C063C"/>
    <w:rsid w:val="001C0773"/>
    <w:rsid w:val="001C09CA"/>
    <w:rsid w:val="001C0BEC"/>
    <w:rsid w:val="001C0CE8"/>
    <w:rsid w:val="001C0D7E"/>
    <w:rsid w:val="001C0DA2"/>
    <w:rsid w:val="001C106D"/>
    <w:rsid w:val="001C11E4"/>
    <w:rsid w:val="001C11EE"/>
    <w:rsid w:val="001C1460"/>
    <w:rsid w:val="001C1565"/>
    <w:rsid w:val="001C156B"/>
    <w:rsid w:val="001C15C1"/>
    <w:rsid w:val="001C17F0"/>
    <w:rsid w:val="001C1906"/>
    <w:rsid w:val="001C1957"/>
    <w:rsid w:val="001C199C"/>
    <w:rsid w:val="001C19A6"/>
    <w:rsid w:val="001C19AD"/>
    <w:rsid w:val="001C1A16"/>
    <w:rsid w:val="001C1A8E"/>
    <w:rsid w:val="001C1BCB"/>
    <w:rsid w:val="001C1C8D"/>
    <w:rsid w:val="001C1DA1"/>
    <w:rsid w:val="001C1E18"/>
    <w:rsid w:val="001C2083"/>
    <w:rsid w:val="001C2100"/>
    <w:rsid w:val="001C2105"/>
    <w:rsid w:val="001C2257"/>
    <w:rsid w:val="001C2316"/>
    <w:rsid w:val="001C235B"/>
    <w:rsid w:val="001C2382"/>
    <w:rsid w:val="001C2575"/>
    <w:rsid w:val="001C2962"/>
    <w:rsid w:val="001C2A53"/>
    <w:rsid w:val="001C2A73"/>
    <w:rsid w:val="001C2B5A"/>
    <w:rsid w:val="001C2BAD"/>
    <w:rsid w:val="001C2BD7"/>
    <w:rsid w:val="001C2C1B"/>
    <w:rsid w:val="001C2C49"/>
    <w:rsid w:val="001C2E1D"/>
    <w:rsid w:val="001C3114"/>
    <w:rsid w:val="001C3128"/>
    <w:rsid w:val="001C3247"/>
    <w:rsid w:val="001C326E"/>
    <w:rsid w:val="001C3450"/>
    <w:rsid w:val="001C34C2"/>
    <w:rsid w:val="001C362C"/>
    <w:rsid w:val="001C3772"/>
    <w:rsid w:val="001C386D"/>
    <w:rsid w:val="001C3944"/>
    <w:rsid w:val="001C3B82"/>
    <w:rsid w:val="001C3D2C"/>
    <w:rsid w:val="001C3EBA"/>
    <w:rsid w:val="001C3F23"/>
    <w:rsid w:val="001C3F77"/>
    <w:rsid w:val="001C3FCD"/>
    <w:rsid w:val="001C3FE1"/>
    <w:rsid w:val="001C405B"/>
    <w:rsid w:val="001C4318"/>
    <w:rsid w:val="001C437F"/>
    <w:rsid w:val="001C43C9"/>
    <w:rsid w:val="001C4497"/>
    <w:rsid w:val="001C4515"/>
    <w:rsid w:val="001C4538"/>
    <w:rsid w:val="001C461D"/>
    <w:rsid w:val="001C4845"/>
    <w:rsid w:val="001C48A3"/>
    <w:rsid w:val="001C4A3E"/>
    <w:rsid w:val="001C4A99"/>
    <w:rsid w:val="001C4B8C"/>
    <w:rsid w:val="001C4BB2"/>
    <w:rsid w:val="001C4BF7"/>
    <w:rsid w:val="001C4BFC"/>
    <w:rsid w:val="001C4DF0"/>
    <w:rsid w:val="001C4E4F"/>
    <w:rsid w:val="001C4EBF"/>
    <w:rsid w:val="001C508D"/>
    <w:rsid w:val="001C50A6"/>
    <w:rsid w:val="001C51C2"/>
    <w:rsid w:val="001C52D7"/>
    <w:rsid w:val="001C5469"/>
    <w:rsid w:val="001C55DE"/>
    <w:rsid w:val="001C55EE"/>
    <w:rsid w:val="001C5642"/>
    <w:rsid w:val="001C5657"/>
    <w:rsid w:val="001C569B"/>
    <w:rsid w:val="001C571D"/>
    <w:rsid w:val="001C5745"/>
    <w:rsid w:val="001C5A8B"/>
    <w:rsid w:val="001C5AF0"/>
    <w:rsid w:val="001C5B7D"/>
    <w:rsid w:val="001C5C64"/>
    <w:rsid w:val="001C5D01"/>
    <w:rsid w:val="001C5DF9"/>
    <w:rsid w:val="001C5E09"/>
    <w:rsid w:val="001C5F7E"/>
    <w:rsid w:val="001C5FF4"/>
    <w:rsid w:val="001C60EE"/>
    <w:rsid w:val="001C60FF"/>
    <w:rsid w:val="001C616A"/>
    <w:rsid w:val="001C61FA"/>
    <w:rsid w:val="001C6203"/>
    <w:rsid w:val="001C64E2"/>
    <w:rsid w:val="001C66B5"/>
    <w:rsid w:val="001C6723"/>
    <w:rsid w:val="001C67C5"/>
    <w:rsid w:val="001C6824"/>
    <w:rsid w:val="001C6828"/>
    <w:rsid w:val="001C6AE1"/>
    <w:rsid w:val="001C6B41"/>
    <w:rsid w:val="001C6EF6"/>
    <w:rsid w:val="001C6F81"/>
    <w:rsid w:val="001C6FAD"/>
    <w:rsid w:val="001C7025"/>
    <w:rsid w:val="001C70DC"/>
    <w:rsid w:val="001C73CA"/>
    <w:rsid w:val="001C73D6"/>
    <w:rsid w:val="001C741C"/>
    <w:rsid w:val="001C7462"/>
    <w:rsid w:val="001C7707"/>
    <w:rsid w:val="001C77DB"/>
    <w:rsid w:val="001C77DF"/>
    <w:rsid w:val="001C7A38"/>
    <w:rsid w:val="001C7A7E"/>
    <w:rsid w:val="001C7BEC"/>
    <w:rsid w:val="001C7D29"/>
    <w:rsid w:val="001D001D"/>
    <w:rsid w:val="001D00A1"/>
    <w:rsid w:val="001D01EF"/>
    <w:rsid w:val="001D0246"/>
    <w:rsid w:val="001D0313"/>
    <w:rsid w:val="001D0399"/>
    <w:rsid w:val="001D0443"/>
    <w:rsid w:val="001D04E0"/>
    <w:rsid w:val="001D0593"/>
    <w:rsid w:val="001D066F"/>
    <w:rsid w:val="001D0780"/>
    <w:rsid w:val="001D088B"/>
    <w:rsid w:val="001D0970"/>
    <w:rsid w:val="001D0A97"/>
    <w:rsid w:val="001D0CE7"/>
    <w:rsid w:val="001D0DA7"/>
    <w:rsid w:val="001D0E98"/>
    <w:rsid w:val="001D0EF8"/>
    <w:rsid w:val="001D10E2"/>
    <w:rsid w:val="001D1158"/>
    <w:rsid w:val="001D1184"/>
    <w:rsid w:val="001D11E0"/>
    <w:rsid w:val="001D14AF"/>
    <w:rsid w:val="001D154C"/>
    <w:rsid w:val="001D15A2"/>
    <w:rsid w:val="001D1680"/>
    <w:rsid w:val="001D16BD"/>
    <w:rsid w:val="001D1735"/>
    <w:rsid w:val="001D1A3E"/>
    <w:rsid w:val="001D1A9B"/>
    <w:rsid w:val="001D1AAD"/>
    <w:rsid w:val="001D1C53"/>
    <w:rsid w:val="001D1D7A"/>
    <w:rsid w:val="001D20B2"/>
    <w:rsid w:val="001D222D"/>
    <w:rsid w:val="001D2280"/>
    <w:rsid w:val="001D23B4"/>
    <w:rsid w:val="001D2654"/>
    <w:rsid w:val="001D26A3"/>
    <w:rsid w:val="001D26D4"/>
    <w:rsid w:val="001D2861"/>
    <w:rsid w:val="001D2C17"/>
    <w:rsid w:val="001D2EDC"/>
    <w:rsid w:val="001D2F0D"/>
    <w:rsid w:val="001D2FE3"/>
    <w:rsid w:val="001D3136"/>
    <w:rsid w:val="001D3238"/>
    <w:rsid w:val="001D32E7"/>
    <w:rsid w:val="001D354B"/>
    <w:rsid w:val="001D363C"/>
    <w:rsid w:val="001D3721"/>
    <w:rsid w:val="001D3755"/>
    <w:rsid w:val="001D3781"/>
    <w:rsid w:val="001D37BE"/>
    <w:rsid w:val="001D396F"/>
    <w:rsid w:val="001D3A0F"/>
    <w:rsid w:val="001D3A83"/>
    <w:rsid w:val="001D3BA1"/>
    <w:rsid w:val="001D3BB1"/>
    <w:rsid w:val="001D3BCC"/>
    <w:rsid w:val="001D3E20"/>
    <w:rsid w:val="001D407C"/>
    <w:rsid w:val="001D418A"/>
    <w:rsid w:val="001D4509"/>
    <w:rsid w:val="001D4689"/>
    <w:rsid w:val="001D46AC"/>
    <w:rsid w:val="001D49A5"/>
    <w:rsid w:val="001D49E5"/>
    <w:rsid w:val="001D4A5F"/>
    <w:rsid w:val="001D4B22"/>
    <w:rsid w:val="001D4B61"/>
    <w:rsid w:val="001D4BF4"/>
    <w:rsid w:val="001D4CA5"/>
    <w:rsid w:val="001D4D33"/>
    <w:rsid w:val="001D4D7E"/>
    <w:rsid w:val="001D4E1C"/>
    <w:rsid w:val="001D4F53"/>
    <w:rsid w:val="001D4FF3"/>
    <w:rsid w:val="001D50ED"/>
    <w:rsid w:val="001D51A0"/>
    <w:rsid w:val="001D54E1"/>
    <w:rsid w:val="001D5590"/>
    <w:rsid w:val="001D55CC"/>
    <w:rsid w:val="001D57E3"/>
    <w:rsid w:val="001D581C"/>
    <w:rsid w:val="001D5948"/>
    <w:rsid w:val="001D5B22"/>
    <w:rsid w:val="001D5C6B"/>
    <w:rsid w:val="001D5F75"/>
    <w:rsid w:val="001D60B5"/>
    <w:rsid w:val="001D60CD"/>
    <w:rsid w:val="001D611B"/>
    <w:rsid w:val="001D629B"/>
    <w:rsid w:val="001D630F"/>
    <w:rsid w:val="001D63DE"/>
    <w:rsid w:val="001D6591"/>
    <w:rsid w:val="001D6718"/>
    <w:rsid w:val="001D68CD"/>
    <w:rsid w:val="001D69C1"/>
    <w:rsid w:val="001D6A13"/>
    <w:rsid w:val="001D6AEA"/>
    <w:rsid w:val="001D6B0E"/>
    <w:rsid w:val="001D6C32"/>
    <w:rsid w:val="001D6C3C"/>
    <w:rsid w:val="001D6F50"/>
    <w:rsid w:val="001D7045"/>
    <w:rsid w:val="001D704D"/>
    <w:rsid w:val="001D71EA"/>
    <w:rsid w:val="001D7470"/>
    <w:rsid w:val="001D755A"/>
    <w:rsid w:val="001D75CE"/>
    <w:rsid w:val="001D76DB"/>
    <w:rsid w:val="001D76EB"/>
    <w:rsid w:val="001D78F9"/>
    <w:rsid w:val="001D79BE"/>
    <w:rsid w:val="001D7A6A"/>
    <w:rsid w:val="001D7ABC"/>
    <w:rsid w:val="001D7BE5"/>
    <w:rsid w:val="001D7C06"/>
    <w:rsid w:val="001D7D4E"/>
    <w:rsid w:val="001D7D84"/>
    <w:rsid w:val="001E0380"/>
    <w:rsid w:val="001E0398"/>
    <w:rsid w:val="001E03C3"/>
    <w:rsid w:val="001E04FF"/>
    <w:rsid w:val="001E0522"/>
    <w:rsid w:val="001E09C3"/>
    <w:rsid w:val="001E0C26"/>
    <w:rsid w:val="001E0C45"/>
    <w:rsid w:val="001E0D5D"/>
    <w:rsid w:val="001E0EB4"/>
    <w:rsid w:val="001E1035"/>
    <w:rsid w:val="001E10A4"/>
    <w:rsid w:val="001E11EA"/>
    <w:rsid w:val="001E1277"/>
    <w:rsid w:val="001E1419"/>
    <w:rsid w:val="001E14CD"/>
    <w:rsid w:val="001E17EF"/>
    <w:rsid w:val="001E1817"/>
    <w:rsid w:val="001E1857"/>
    <w:rsid w:val="001E189D"/>
    <w:rsid w:val="001E1A4B"/>
    <w:rsid w:val="001E1AA7"/>
    <w:rsid w:val="001E1B14"/>
    <w:rsid w:val="001E1CEC"/>
    <w:rsid w:val="001E1D50"/>
    <w:rsid w:val="001E1DD5"/>
    <w:rsid w:val="001E2091"/>
    <w:rsid w:val="001E2108"/>
    <w:rsid w:val="001E2223"/>
    <w:rsid w:val="001E22F6"/>
    <w:rsid w:val="001E2399"/>
    <w:rsid w:val="001E23E1"/>
    <w:rsid w:val="001E2419"/>
    <w:rsid w:val="001E24CA"/>
    <w:rsid w:val="001E25C0"/>
    <w:rsid w:val="001E2677"/>
    <w:rsid w:val="001E276A"/>
    <w:rsid w:val="001E292F"/>
    <w:rsid w:val="001E297A"/>
    <w:rsid w:val="001E29AA"/>
    <w:rsid w:val="001E29D6"/>
    <w:rsid w:val="001E2A5A"/>
    <w:rsid w:val="001E2C8A"/>
    <w:rsid w:val="001E2CC8"/>
    <w:rsid w:val="001E2F0A"/>
    <w:rsid w:val="001E2F39"/>
    <w:rsid w:val="001E329D"/>
    <w:rsid w:val="001E355D"/>
    <w:rsid w:val="001E376A"/>
    <w:rsid w:val="001E37B9"/>
    <w:rsid w:val="001E3870"/>
    <w:rsid w:val="001E38B3"/>
    <w:rsid w:val="001E3967"/>
    <w:rsid w:val="001E3B6F"/>
    <w:rsid w:val="001E3BC6"/>
    <w:rsid w:val="001E3CC1"/>
    <w:rsid w:val="001E3CE3"/>
    <w:rsid w:val="001E3D0A"/>
    <w:rsid w:val="001E3D46"/>
    <w:rsid w:val="001E3E4C"/>
    <w:rsid w:val="001E3E79"/>
    <w:rsid w:val="001E3FBE"/>
    <w:rsid w:val="001E41E4"/>
    <w:rsid w:val="001E4225"/>
    <w:rsid w:val="001E4328"/>
    <w:rsid w:val="001E43D5"/>
    <w:rsid w:val="001E45B5"/>
    <w:rsid w:val="001E46C7"/>
    <w:rsid w:val="001E4794"/>
    <w:rsid w:val="001E47DB"/>
    <w:rsid w:val="001E47F9"/>
    <w:rsid w:val="001E49B4"/>
    <w:rsid w:val="001E4A30"/>
    <w:rsid w:val="001E4B9F"/>
    <w:rsid w:val="001E4E4A"/>
    <w:rsid w:val="001E4E9E"/>
    <w:rsid w:val="001E50FF"/>
    <w:rsid w:val="001E536D"/>
    <w:rsid w:val="001E54F5"/>
    <w:rsid w:val="001E5503"/>
    <w:rsid w:val="001E5640"/>
    <w:rsid w:val="001E5670"/>
    <w:rsid w:val="001E56CC"/>
    <w:rsid w:val="001E56F5"/>
    <w:rsid w:val="001E574D"/>
    <w:rsid w:val="001E5ABA"/>
    <w:rsid w:val="001E6010"/>
    <w:rsid w:val="001E6281"/>
    <w:rsid w:val="001E6460"/>
    <w:rsid w:val="001E6602"/>
    <w:rsid w:val="001E693A"/>
    <w:rsid w:val="001E6C0B"/>
    <w:rsid w:val="001E6D11"/>
    <w:rsid w:val="001E7087"/>
    <w:rsid w:val="001E7120"/>
    <w:rsid w:val="001E75AD"/>
    <w:rsid w:val="001E7A22"/>
    <w:rsid w:val="001E7A95"/>
    <w:rsid w:val="001E7B8D"/>
    <w:rsid w:val="001E7B90"/>
    <w:rsid w:val="001E7C20"/>
    <w:rsid w:val="001E7CBC"/>
    <w:rsid w:val="001E7CFD"/>
    <w:rsid w:val="001E7D30"/>
    <w:rsid w:val="001E7DCC"/>
    <w:rsid w:val="001E7E1C"/>
    <w:rsid w:val="001E7FFE"/>
    <w:rsid w:val="001F0280"/>
    <w:rsid w:val="001F0294"/>
    <w:rsid w:val="001F043F"/>
    <w:rsid w:val="001F04C5"/>
    <w:rsid w:val="001F0514"/>
    <w:rsid w:val="001F061D"/>
    <w:rsid w:val="001F068F"/>
    <w:rsid w:val="001F0783"/>
    <w:rsid w:val="001F07DA"/>
    <w:rsid w:val="001F0C16"/>
    <w:rsid w:val="001F0D7C"/>
    <w:rsid w:val="001F0E85"/>
    <w:rsid w:val="001F0F5B"/>
    <w:rsid w:val="001F0F82"/>
    <w:rsid w:val="001F1103"/>
    <w:rsid w:val="001F1333"/>
    <w:rsid w:val="001F153E"/>
    <w:rsid w:val="001F16A3"/>
    <w:rsid w:val="001F174A"/>
    <w:rsid w:val="001F1860"/>
    <w:rsid w:val="001F1CA3"/>
    <w:rsid w:val="001F1E69"/>
    <w:rsid w:val="001F1F3F"/>
    <w:rsid w:val="001F1F6B"/>
    <w:rsid w:val="001F1F77"/>
    <w:rsid w:val="001F1FBC"/>
    <w:rsid w:val="001F21B7"/>
    <w:rsid w:val="001F23AD"/>
    <w:rsid w:val="001F23C9"/>
    <w:rsid w:val="001F24B0"/>
    <w:rsid w:val="001F2958"/>
    <w:rsid w:val="001F29D3"/>
    <w:rsid w:val="001F29D8"/>
    <w:rsid w:val="001F2B6B"/>
    <w:rsid w:val="001F2B77"/>
    <w:rsid w:val="001F2BD3"/>
    <w:rsid w:val="001F2CB1"/>
    <w:rsid w:val="001F2F62"/>
    <w:rsid w:val="001F30E6"/>
    <w:rsid w:val="001F3157"/>
    <w:rsid w:val="001F3274"/>
    <w:rsid w:val="001F335A"/>
    <w:rsid w:val="001F3392"/>
    <w:rsid w:val="001F3466"/>
    <w:rsid w:val="001F34C5"/>
    <w:rsid w:val="001F351E"/>
    <w:rsid w:val="001F3621"/>
    <w:rsid w:val="001F370D"/>
    <w:rsid w:val="001F37C7"/>
    <w:rsid w:val="001F37E1"/>
    <w:rsid w:val="001F3892"/>
    <w:rsid w:val="001F39EF"/>
    <w:rsid w:val="001F3AA1"/>
    <w:rsid w:val="001F3CC1"/>
    <w:rsid w:val="001F3F14"/>
    <w:rsid w:val="001F3F49"/>
    <w:rsid w:val="001F3F85"/>
    <w:rsid w:val="001F4010"/>
    <w:rsid w:val="001F4051"/>
    <w:rsid w:val="001F420D"/>
    <w:rsid w:val="001F45BE"/>
    <w:rsid w:val="001F465A"/>
    <w:rsid w:val="001F476C"/>
    <w:rsid w:val="001F4852"/>
    <w:rsid w:val="001F495D"/>
    <w:rsid w:val="001F4C8D"/>
    <w:rsid w:val="001F4D10"/>
    <w:rsid w:val="001F4E7B"/>
    <w:rsid w:val="001F5071"/>
    <w:rsid w:val="001F51F4"/>
    <w:rsid w:val="001F5203"/>
    <w:rsid w:val="001F5284"/>
    <w:rsid w:val="001F531E"/>
    <w:rsid w:val="001F538A"/>
    <w:rsid w:val="001F54CC"/>
    <w:rsid w:val="001F5555"/>
    <w:rsid w:val="001F5683"/>
    <w:rsid w:val="001F56DC"/>
    <w:rsid w:val="001F572E"/>
    <w:rsid w:val="001F57B1"/>
    <w:rsid w:val="001F58F0"/>
    <w:rsid w:val="001F5AA2"/>
    <w:rsid w:val="001F5C20"/>
    <w:rsid w:val="001F5C8A"/>
    <w:rsid w:val="001F5DBC"/>
    <w:rsid w:val="001F5FD6"/>
    <w:rsid w:val="001F6084"/>
    <w:rsid w:val="001F63B5"/>
    <w:rsid w:val="001F6455"/>
    <w:rsid w:val="001F662F"/>
    <w:rsid w:val="001F6677"/>
    <w:rsid w:val="001F66E1"/>
    <w:rsid w:val="001F6861"/>
    <w:rsid w:val="001F689C"/>
    <w:rsid w:val="001F68DB"/>
    <w:rsid w:val="001F6972"/>
    <w:rsid w:val="001F6B10"/>
    <w:rsid w:val="001F6BE2"/>
    <w:rsid w:val="001F6D40"/>
    <w:rsid w:val="001F7060"/>
    <w:rsid w:val="001F7077"/>
    <w:rsid w:val="001F73E0"/>
    <w:rsid w:val="001F7476"/>
    <w:rsid w:val="001F747A"/>
    <w:rsid w:val="001F74E1"/>
    <w:rsid w:val="001F75DF"/>
    <w:rsid w:val="001F76CD"/>
    <w:rsid w:val="001F79FD"/>
    <w:rsid w:val="001F7A0C"/>
    <w:rsid w:val="001F7A55"/>
    <w:rsid w:val="001F7ABA"/>
    <w:rsid w:val="001F7ABB"/>
    <w:rsid w:val="001F7B31"/>
    <w:rsid w:val="001F7C23"/>
    <w:rsid w:val="001F7F36"/>
    <w:rsid w:val="002000DF"/>
    <w:rsid w:val="00200112"/>
    <w:rsid w:val="00200312"/>
    <w:rsid w:val="00200335"/>
    <w:rsid w:val="00200338"/>
    <w:rsid w:val="002003C6"/>
    <w:rsid w:val="00200508"/>
    <w:rsid w:val="00200676"/>
    <w:rsid w:val="0020067B"/>
    <w:rsid w:val="00200AD7"/>
    <w:rsid w:val="00200ADD"/>
    <w:rsid w:val="00200D60"/>
    <w:rsid w:val="00200EC1"/>
    <w:rsid w:val="00200F46"/>
    <w:rsid w:val="00200FCA"/>
    <w:rsid w:val="002010A3"/>
    <w:rsid w:val="002010FB"/>
    <w:rsid w:val="002011A2"/>
    <w:rsid w:val="002011DE"/>
    <w:rsid w:val="0020141D"/>
    <w:rsid w:val="00201515"/>
    <w:rsid w:val="00201839"/>
    <w:rsid w:val="002019B7"/>
    <w:rsid w:val="002019CB"/>
    <w:rsid w:val="002019D2"/>
    <w:rsid w:val="00201B05"/>
    <w:rsid w:val="00201B89"/>
    <w:rsid w:val="00201C07"/>
    <w:rsid w:val="00201C12"/>
    <w:rsid w:val="00201EB5"/>
    <w:rsid w:val="00201ED7"/>
    <w:rsid w:val="0020206B"/>
    <w:rsid w:val="00202193"/>
    <w:rsid w:val="002022E6"/>
    <w:rsid w:val="00202366"/>
    <w:rsid w:val="0020259A"/>
    <w:rsid w:val="0020271A"/>
    <w:rsid w:val="00202A28"/>
    <w:rsid w:val="00202CD0"/>
    <w:rsid w:val="00202CEC"/>
    <w:rsid w:val="00202DDC"/>
    <w:rsid w:val="00202E29"/>
    <w:rsid w:val="00202EE9"/>
    <w:rsid w:val="00202F29"/>
    <w:rsid w:val="00202FFF"/>
    <w:rsid w:val="00203098"/>
    <w:rsid w:val="00203106"/>
    <w:rsid w:val="00203168"/>
    <w:rsid w:val="0020318D"/>
    <w:rsid w:val="002034A3"/>
    <w:rsid w:val="0020356D"/>
    <w:rsid w:val="002035F8"/>
    <w:rsid w:val="002036BD"/>
    <w:rsid w:val="00203736"/>
    <w:rsid w:val="0020376E"/>
    <w:rsid w:val="002037AF"/>
    <w:rsid w:val="002037BA"/>
    <w:rsid w:val="00203A2C"/>
    <w:rsid w:val="00203B0D"/>
    <w:rsid w:val="00203BC2"/>
    <w:rsid w:val="00203BC7"/>
    <w:rsid w:val="002040D6"/>
    <w:rsid w:val="00204274"/>
    <w:rsid w:val="002043B4"/>
    <w:rsid w:val="00204617"/>
    <w:rsid w:val="002046D5"/>
    <w:rsid w:val="002049FB"/>
    <w:rsid w:val="00204A77"/>
    <w:rsid w:val="00204B3D"/>
    <w:rsid w:val="00204BE8"/>
    <w:rsid w:val="00204D40"/>
    <w:rsid w:val="00205024"/>
    <w:rsid w:val="002050F2"/>
    <w:rsid w:val="002052C4"/>
    <w:rsid w:val="00205312"/>
    <w:rsid w:val="00205544"/>
    <w:rsid w:val="00205638"/>
    <w:rsid w:val="002056F9"/>
    <w:rsid w:val="002058AC"/>
    <w:rsid w:val="00205AE7"/>
    <w:rsid w:val="00205B0D"/>
    <w:rsid w:val="00205B47"/>
    <w:rsid w:val="00205B8E"/>
    <w:rsid w:val="00205BAC"/>
    <w:rsid w:val="00205CE7"/>
    <w:rsid w:val="00205D64"/>
    <w:rsid w:val="00205D7A"/>
    <w:rsid w:val="00205F01"/>
    <w:rsid w:val="00205F32"/>
    <w:rsid w:val="00206059"/>
    <w:rsid w:val="002064F8"/>
    <w:rsid w:val="0020657A"/>
    <w:rsid w:val="0020660B"/>
    <w:rsid w:val="0020663C"/>
    <w:rsid w:val="00206C0A"/>
    <w:rsid w:val="00206C81"/>
    <w:rsid w:val="00206DAA"/>
    <w:rsid w:val="00206FE1"/>
    <w:rsid w:val="00207019"/>
    <w:rsid w:val="0020707B"/>
    <w:rsid w:val="00207108"/>
    <w:rsid w:val="00207264"/>
    <w:rsid w:val="002072BD"/>
    <w:rsid w:val="002072D1"/>
    <w:rsid w:val="002072D6"/>
    <w:rsid w:val="00207335"/>
    <w:rsid w:val="0020734B"/>
    <w:rsid w:val="0020741C"/>
    <w:rsid w:val="002074C3"/>
    <w:rsid w:val="002075EF"/>
    <w:rsid w:val="0020793F"/>
    <w:rsid w:val="002079E8"/>
    <w:rsid w:val="00207AFC"/>
    <w:rsid w:val="00207B7A"/>
    <w:rsid w:val="00207F18"/>
    <w:rsid w:val="00207F20"/>
    <w:rsid w:val="0021015D"/>
    <w:rsid w:val="002101F7"/>
    <w:rsid w:val="00210291"/>
    <w:rsid w:val="002102B7"/>
    <w:rsid w:val="002102F1"/>
    <w:rsid w:val="002103CF"/>
    <w:rsid w:val="00210409"/>
    <w:rsid w:val="0021047A"/>
    <w:rsid w:val="002105BE"/>
    <w:rsid w:val="002106C1"/>
    <w:rsid w:val="0021072F"/>
    <w:rsid w:val="00210841"/>
    <w:rsid w:val="0021099F"/>
    <w:rsid w:val="002109AA"/>
    <w:rsid w:val="00210AD4"/>
    <w:rsid w:val="00210B68"/>
    <w:rsid w:val="00210BAE"/>
    <w:rsid w:val="00210C99"/>
    <w:rsid w:val="00210D38"/>
    <w:rsid w:val="00210F5A"/>
    <w:rsid w:val="00210F73"/>
    <w:rsid w:val="0021109E"/>
    <w:rsid w:val="0021121C"/>
    <w:rsid w:val="00211645"/>
    <w:rsid w:val="002116C5"/>
    <w:rsid w:val="002116D0"/>
    <w:rsid w:val="002116EC"/>
    <w:rsid w:val="0021182B"/>
    <w:rsid w:val="00211A26"/>
    <w:rsid w:val="00211B66"/>
    <w:rsid w:val="00211BF5"/>
    <w:rsid w:val="00211C95"/>
    <w:rsid w:val="00211C9B"/>
    <w:rsid w:val="00211CAA"/>
    <w:rsid w:val="00211E8A"/>
    <w:rsid w:val="00211EF3"/>
    <w:rsid w:val="00212466"/>
    <w:rsid w:val="00212589"/>
    <w:rsid w:val="002126E6"/>
    <w:rsid w:val="00212783"/>
    <w:rsid w:val="0021283F"/>
    <w:rsid w:val="00212A04"/>
    <w:rsid w:val="00212AB0"/>
    <w:rsid w:val="00212B8A"/>
    <w:rsid w:val="00212BE9"/>
    <w:rsid w:val="00212C23"/>
    <w:rsid w:val="00213015"/>
    <w:rsid w:val="00213174"/>
    <w:rsid w:val="0021318D"/>
    <w:rsid w:val="00213306"/>
    <w:rsid w:val="002134D3"/>
    <w:rsid w:val="002134E3"/>
    <w:rsid w:val="0021389B"/>
    <w:rsid w:val="002139BC"/>
    <w:rsid w:val="00213A00"/>
    <w:rsid w:val="00213B27"/>
    <w:rsid w:val="00213B71"/>
    <w:rsid w:val="00213C60"/>
    <w:rsid w:val="00213E0A"/>
    <w:rsid w:val="00213F1E"/>
    <w:rsid w:val="00213FBB"/>
    <w:rsid w:val="0021412B"/>
    <w:rsid w:val="002142A4"/>
    <w:rsid w:val="00214437"/>
    <w:rsid w:val="002145FC"/>
    <w:rsid w:val="00214791"/>
    <w:rsid w:val="002148B9"/>
    <w:rsid w:val="00214923"/>
    <w:rsid w:val="00214A58"/>
    <w:rsid w:val="00214AAA"/>
    <w:rsid w:val="00214AB7"/>
    <w:rsid w:val="00214C2E"/>
    <w:rsid w:val="00214FCE"/>
    <w:rsid w:val="00214FE9"/>
    <w:rsid w:val="00215342"/>
    <w:rsid w:val="002153E5"/>
    <w:rsid w:val="00215474"/>
    <w:rsid w:val="002155F3"/>
    <w:rsid w:val="0021564B"/>
    <w:rsid w:val="002156C1"/>
    <w:rsid w:val="00215826"/>
    <w:rsid w:val="002159D4"/>
    <w:rsid w:val="00215A2A"/>
    <w:rsid w:val="00215BD0"/>
    <w:rsid w:val="00215C33"/>
    <w:rsid w:val="00215DB3"/>
    <w:rsid w:val="00215E02"/>
    <w:rsid w:val="00215E2A"/>
    <w:rsid w:val="00215E7B"/>
    <w:rsid w:val="00216013"/>
    <w:rsid w:val="002160A7"/>
    <w:rsid w:val="00216180"/>
    <w:rsid w:val="0021634B"/>
    <w:rsid w:val="00216360"/>
    <w:rsid w:val="002164E1"/>
    <w:rsid w:val="00216641"/>
    <w:rsid w:val="0021668A"/>
    <w:rsid w:val="0021672B"/>
    <w:rsid w:val="002167B8"/>
    <w:rsid w:val="0021687B"/>
    <w:rsid w:val="002168DE"/>
    <w:rsid w:val="00216ADD"/>
    <w:rsid w:val="00216D15"/>
    <w:rsid w:val="00216E34"/>
    <w:rsid w:val="00217064"/>
    <w:rsid w:val="0021728E"/>
    <w:rsid w:val="0021731C"/>
    <w:rsid w:val="002173A8"/>
    <w:rsid w:val="002174CD"/>
    <w:rsid w:val="00217A5A"/>
    <w:rsid w:val="00217A85"/>
    <w:rsid w:val="00217AE6"/>
    <w:rsid w:val="00217AEA"/>
    <w:rsid w:val="00217C54"/>
    <w:rsid w:val="00217DB1"/>
    <w:rsid w:val="00220191"/>
    <w:rsid w:val="0022019B"/>
    <w:rsid w:val="0022022E"/>
    <w:rsid w:val="002204C7"/>
    <w:rsid w:val="0022068C"/>
    <w:rsid w:val="00220794"/>
    <w:rsid w:val="002208DB"/>
    <w:rsid w:val="002208E4"/>
    <w:rsid w:val="0022090A"/>
    <w:rsid w:val="00220910"/>
    <w:rsid w:val="00220AD4"/>
    <w:rsid w:val="00220AFD"/>
    <w:rsid w:val="00220B9D"/>
    <w:rsid w:val="00220C91"/>
    <w:rsid w:val="00220CC1"/>
    <w:rsid w:val="00220CF3"/>
    <w:rsid w:val="00220D15"/>
    <w:rsid w:val="00220D4B"/>
    <w:rsid w:val="00220DB9"/>
    <w:rsid w:val="00220DE6"/>
    <w:rsid w:val="00220F76"/>
    <w:rsid w:val="00220FFA"/>
    <w:rsid w:val="002212E6"/>
    <w:rsid w:val="00221534"/>
    <w:rsid w:val="002219C0"/>
    <w:rsid w:val="00221A13"/>
    <w:rsid w:val="00221A2D"/>
    <w:rsid w:val="00221A54"/>
    <w:rsid w:val="00221CAE"/>
    <w:rsid w:val="00221CFA"/>
    <w:rsid w:val="00221D65"/>
    <w:rsid w:val="00221E2B"/>
    <w:rsid w:val="00221E56"/>
    <w:rsid w:val="00221F1F"/>
    <w:rsid w:val="00222003"/>
    <w:rsid w:val="00222107"/>
    <w:rsid w:val="00222129"/>
    <w:rsid w:val="002221D4"/>
    <w:rsid w:val="00222327"/>
    <w:rsid w:val="0022234F"/>
    <w:rsid w:val="00222459"/>
    <w:rsid w:val="0022257C"/>
    <w:rsid w:val="00222681"/>
    <w:rsid w:val="0022273E"/>
    <w:rsid w:val="00222889"/>
    <w:rsid w:val="0022296E"/>
    <w:rsid w:val="002229EF"/>
    <w:rsid w:val="00222A66"/>
    <w:rsid w:val="00222AA2"/>
    <w:rsid w:val="00222B18"/>
    <w:rsid w:val="00222C9A"/>
    <w:rsid w:val="00222DCE"/>
    <w:rsid w:val="00222E0E"/>
    <w:rsid w:val="00222F3A"/>
    <w:rsid w:val="002230C5"/>
    <w:rsid w:val="002230FE"/>
    <w:rsid w:val="0022317F"/>
    <w:rsid w:val="00223397"/>
    <w:rsid w:val="0022339C"/>
    <w:rsid w:val="00223B6A"/>
    <w:rsid w:val="00223B6B"/>
    <w:rsid w:val="00223C08"/>
    <w:rsid w:val="00223C31"/>
    <w:rsid w:val="00223C44"/>
    <w:rsid w:val="00223CCD"/>
    <w:rsid w:val="00223E7C"/>
    <w:rsid w:val="0022417D"/>
    <w:rsid w:val="002241F4"/>
    <w:rsid w:val="002242D7"/>
    <w:rsid w:val="0022455A"/>
    <w:rsid w:val="0022461C"/>
    <w:rsid w:val="0022463B"/>
    <w:rsid w:val="00224675"/>
    <w:rsid w:val="00224861"/>
    <w:rsid w:val="002249C3"/>
    <w:rsid w:val="00224C0E"/>
    <w:rsid w:val="00224D64"/>
    <w:rsid w:val="00224EDD"/>
    <w:rsid w:val="00225143"/>
    <w:rsid w:val="0022536D"/>
    <w:rsid w:val="0022540A"/>
    <w:rsid w:val="00225434"/>
    <w:rsid w:val="002254D7"/>
    <w:rsid w:val="002254E4"/>
    <w:rsid w:val="0022582B"/>
    <w:rsid w:val="00225883"/>
    <w:rsid w:val="002258EA"/>
    <w:rsid w:val="00225969"/>
    <w:rsid w:val="00225BB9"/>
    <w:rsid w:val="00225BE1"/>
    <w:rsid w:val="00225C0A"/>
    <w:rsid w:val="00225D39"/>
    <w:rsid w:val="00225E80"/>
    <w:rsid w:val="00226176"/>
    <w:rsid w:val="0022617A"/>
    <w:rsid w:val="00226325"/>
    <w:rsid w:val="00226427"/>
    <w:rsid w:val="002264A7"/>
    <w:rsid w:val="002267FC"/>
    <w:rsid w:val="002269C1"/>
    <w:rsid w:val="00226A28"/>
    <w:rsid w:val="00226A66"/>
    <w:rsid w:val="00226ABD"/>
    <w:rsid w:val="00226D4F"/>
    <w:rsid w:val="00226DB1"/>
    <w:rsid w:val="00226E9B"/>
    <w:rsid w:val="00226F4D"/>
    <w:rsid w:val="00226F86"/>
    <w:rsid w:val="00226FAF"/>
    <w:rsid w:val="00227058"/>
    <w:rsid w:val="00227069"/>
    <w:rsid w:val="00227089"/>
    <w:rsid w:val="00227122"/>
    <w:rsid w:val="002273FD"/>
    <w:rsid w:val="0022744D"/>
    <w:rsid w:val="002274A9"/>
    <w:rsid w:val="0022756A"/>
    <w:rsid w:val="00227715"/>
    <w:rsid w:val="002277FE"/>
    <w:rsid w:val="0022783C"/>
    <w:rsid w:val="00227914"/>
    <w:rsid w:val="00227A6E"/>
    <w:rsid w:val="00227B74"/>
    <w:rsid w:val="00227BF6"/>
    <w:rsid w:val="00227D0B"/>
    <w:rsid w:val="00227DF0"/>
    <w:rsid w:val="00230004"/>
    <w:rsid w:val="00230086"/>
    <w:rsid w:val="0023014A"/>
    <w:rsid w:val="002301AB"/>
    <w:rsid w:val="0023024A"/>
    <w:rsid w:val="00230671"/>
    <w:rsid w:val="002306AB"/>
    <w:rsid w:val="002308F3"/>
    <w:rsid w:val="0023094B"/>
    <w:rsid w:val="002309BF"/>
    <w:rsid w:val="00230A4F"/>
    <w:rsid w:val="00230B44"/>
    <w:rsid w:val="00230C2A"/>
    <w:rsid w:val="00230C50"/>
    <w:rsid w:val="00230D01"/>
    <w:rsid w:val="00230E20"/>
    <w:rsid w:val="00230EAB"/>
    <w:rsid w:val="00230EFE"/>
    <w:rsid w:val="00230F0C"/>
    <w:rsid w:val="00230F38"/>
    <w:rsid w:val="0023110B"/>
    <w:rsid w:val="002312CE"/>
    <w:rsid w:val="002312D0"/>
    <w:rsid w:val="002314C1"/>
    <w:rsid w:val="00231532"/>
    <w:rsid w:val="00231604"/>
    <w:rsid w:val="0023177B"/>
    <w:rsid w:val="002317B9"/>
    <w:rsid w:val="0023196A"/>
    <w:rsid w:val="002319B2"/>
    <w:rsid w:val="00231AD1"/>
    <w:rsid w:val="00231B76"/>
    <w:rsid w:val="00231BFD"/>
    <w:rsid w:val="00231CC0"/>
    <w:rsid w:val="00231D55"/>
    <w:rsid w:val="00231EE8"/>
    <w:rsid w:val="00231F39"/>
    <w:rsid w:val="00232119"/>
    <w:rsid w:val="00232218"/>
    <w:rsid w:val="0023229F"/>
    <w:rsid w:val="002325B3"/>
    <w:rsid w:val="0023264B"/>
    <w:rsid w:val="002326BE"/>
    <w:rsid w:val="002327B9"/>
    <w:rsid w:val="002327F9"/>
    <w:rsid w:val="00232A59"/>
    <w:rsid w:val="00232A89"/>
    <w:rsid w:val="00232B8F"/>
    <w:rsid w:val="00232C11"/>
    <w:rsid w:val="00232C6A"/>
    <w:rsid w:val="00232C9E"/>
    <w:rsid w:val="00232CA8"/>
    <w:rsid w:val="00233019"/>
    <w:rsid w:val="002332F9"/>
    <w:rsid w:val="00233465"/>
    <w:rsid w:val="00233655"/>
    <w:rsid w:val="002336C0"/>
    <w:rsid w:val="0023379C"/>
    <w:rsid w:val="00233917"/>
    <w:rsid w:val="002339D2"/>
    <w:rsid w:val="00233B0E"/>
    <w:rsid w:val="00233F20"/>
    <w:rsid w:val="0023424A"/>
    <w:rsid w:val="00234294"/>
    <w:rsid w:val="00234327"/>
    <w:rsid w:val="002343C9"/>
    <w:rsid w:val="002345EF"/>
    <w:rsid w:val="0023486A"/>
    <w:rsid w:val="0023487E"/>
    <w:rsid w:val="00234A37"/>
    <w:rsid w:val="00234A8C"/>
    <w:rsid w:val="00234CA7"/>
    <w:rsid w:val="00234DCA"/>
    <w:rsid w:val="00234E24"/>
    <w:rsid w:val="00234FCB"/>
    <w:rsid w:val="00235000"/>
    <w:rsid w:val="00235116"/>
    <w:rsid w:val="00235389"/>
    <w:rsid w:val="002355A7"/>
    <w:rsid w:val="002357D7"/>
    <w:rsid w:val="00235A99"/>
    <w:rsid w:val="00235B00"/>
    <w:rsid w:val="00235B31"/>
    <w:rsid w:val="00235E77"/>
    <w:rsid w:val="00235EEF"/>
    <w:rsid w:val="00236017"/>
    <w:rsid w:val="00236039"/>
    <w:rsid w:val="00236243"/>
    <w:rsid w:val="00236256"/>
    <w:rsid w:val="00236335"/>
    <w:rsid w:val="002363AC"/>
    <w:rsid w:val="002363B2"/>
    <w:rsid w:val="002363C7"/>
    <w:rsid w:val="002366BB"/>
    <w:rsid w:val="00236735"/>
    <w:rsid w:val="00236775"/>
    <w:rsid w:val="0023677B"/>
    <w:rsid w:val="00236A0D"/>
    <w:rsid w:val="00236B5E"/>
    <w:rsid w:val="00236BB2"/>
    <w:rsid w:val="00236D0F"/>
    <w:rsid w:val="00236D46"/>
    <w:rsid w:val="00236EC7"/>
    <w:rsid w:val="00236F10"/>
    <w:rsid w:val="00236FD0"/>
    <w:rsid w:val="0023706A"/>
    <w:rsid w:val="00237181"/>
    <w:rsid w:val="002371E2"/>
    <w:rsid w:val="002373AF"/>
    <w:rsid w:val="002374FE"/>
    <w:rsid w:val="002375CE"/>
    <w:rsid w:val="002376CD"/>
    <w:rsid w:val="002376EA"/>
    <w:rsid w:val="002376ED"/>
    <w:rsid w:val="00237867"/>
    <w:rsid w:val="002378BB"/>
    <w:rsid w:val="002379E3"/>
    <w:rsid w:val="00237A85"/>
    <w:rsid w:val="00237BA6"/>
    <w:rsid w:val="00237D23"/>
    <w:rsid w:val="00237F7E"/>
    <w:rsid w:val="00237F9B"/>
    <w:rsid w:val="00237FB5"/>
    <w:rsid w:val="00240050"/>
    <w:rsid w:val="0024007F"/>
    <w:rsid w:val="002400E7"/>
    <w:rsid w:val="00240105"/>
    <w:rsid w:val="00240191"/>
    <w:rsid w:val="0024024C"/>
    <w:rsid w:val="0024026F"/>
    <w:rsid w:val="00240857"/>
    <w:rsid w:val="0024086D"/>
    <w:rsid w:val="002408A7"/>
    <w:rsid w:val="002408EB"/>
    <w:rsid w:val="00240930"/>
    <w:rsid w:val="00240B62"/>
    <w:rsid w:val="00240BAA"/>
    <w:rsid w:val="00240CD8"/>
    <w:rsid w:val="00240ED6"/>
    <w:rsid w:val="00241158"/>
    <w:rsid w:val="00241453"/>
    <w:rsid w:val="0024172D"/>
    <w:rsid w:val="00241753"/>
    <w:rsid w:val="0024175B"/>
    <w:rsid w:val="00241772"/>
    <w:rsid w:val="002417F6"/>
    <w:rsid w:val="00241892"/>
    <w:rsid w:val="0024194C"/>
    <w:rsid w:val="00241950"/>
    <w:rsid w:val="00241B16"/>
    <w:rsid w:val="00241B8F"/>
    <w:rsid w:val="00241BD2"/>
    <w:rsid w:val="00241C51"/>
    <w:rsid w:val="00241CDC"/>
    <w:rsid w:val="0024225C"/>
    <w:rsid w:val="002422A8"/>
    <w:rsid w:val="002422EA"/>
    <w:rsid w:val="002423B4"/>
    <w:rsid w:val="00242475"/>
    <w:rsid w:val="00242482"/>
    <w:rsid w:val="002424A0"/>
    <w:rsid w:val="002424BB"/>
    <w:rsid w:val="00242549"/>
    <w:rsid w:val="0024262A"/>
    <w:rsid w:val="00242754"/>
    <w:rsid w:val="00242929"/>
    <w:rsid w:val="002429AE"/>
    <w:rsid w:val="00242B7A"/>
    <w:rsid w:val="00242C65"/>
    <w:rsid w:val="00242CA1"/>
    <w:rsid w:val="00242E2F"/>
    <w:rsid w:val="00242ED0"/>
    <w:rsid w:val="00242F6B"/>
    <w:rsid w:val="00242FEF"/>
    <w:rsid w:val="00243259"/>
    <w:rsid w:val="0024362D"/>
    <w:rsid w:val="002436F7"/>
    <w:rsid w:val="002436FA"/>
    <w:rsid w:val="0024376B"/>
    <w:rsid w:val="00243782"/>
    <w:rsid w:val="0024379D"/>
    <w:rsid w:val="00243821"/>
    <w:rsid w:val="0024383C"/>
    <w:rsid w:val="002439F7"/>
    <w:rsid w:val="00243BE5"/>
    <w:rsid w:val="00243C13"/>
    <w:rsid w:val="002440E3"/>
    <w:rsid w:val="00244279"/>
    <w:rsid w:val="00244330"/>
    <w:rsid w:val="002443DA"/>
    <w:rsid w:val="002443FD"/>
    <w:rsid w:val="0024446F"/>
    <w:rsid w:val="00244481"/>
    <w:rsid w:val="002448FB"/>
    <w:rsid w:val="00244A1D"/>
    <w:rsid w:val="00244C3B"/>
    <w:rsid w:val="00244C53"/>
    <w:rsid w:val="0024506F"/>
    <w:rsid w:val="002451CC"/>
    <w:rsid w:val="002452E2"/>
    <w:rsid w:val="00245376"/>
    <w:rsid w:val="0024538B"/>
    <w:rsid w:val="00245542"/>
    <w:rsid w:val="002455AD"/>
    <w:rsid w:val="00245807"/>
    <w:rsid w:val="0024581B"/>
    <w:rsid w:val="00245998"/>
    <w:rsid w:val="00245C2C"/>
    <w:rsid w:val="00245CC7"/>
    <w:rsid w:val="00245F86"/>
    <w:rsid w:val="00245FAC"/>
    <w:rsid w:val="00246076"/>
    <w:rsid w:val="002460E1"/>
    <w:rsid w:val="002462EA"/>
    <w:rsid w:val="00246386"/>
    <w:rsid w:val="00246515"/>
    <w:rsid w:val="00246523"/>
    <w:rsid w:val="00246593"/>
    <w:rsid w:val="00246601"/>
    <w:rsid w:val="00246764"/>
    <w:rsid w:val="002467E3"/>
    <w:rsid w:val="00246804"/>
    <w:rsid w:val="0024688A"/>
    <w:rsid w:val="0024691D"/>
    <w:rsid w:val="00246B44"/>
    <w:rsid w:val="00246C32"/>
    <w:rsid w:val="00246CE2"/>
    <w:rsid w:val="00246D6B"/>
    <w:rsid w:val="00246DC7"/>
    <w:rsid w:val="00246DCB"/>
    <w:rsid w:val="00246FA7"/>
    <w:rsid w:val="002472A2"/>
    <w:rsid w:val="00247325"/>
    <w:rsid w:val="00247476"/>
    <w:rsid w:val="0024748E"/>
    <w:rsid w:val="00247517"/>
    <w:rsid w:val="0024758C"/>
    <w:rsid w:val="00247657"/>
    <w:rsid w:val="00247682"/>
    <w:rsid w:val="00247687"/>
    <w:rsid w:val="00247765"/>
    <w:rsid w:val="002477BA"/>
    <w:rsid w:val="00247A47"/>
    <w:rsid w:val="00247B2C"/>
    <w:rsid w:val="00247C2D"/>
    <w:rsid w:val="00247D08"/>
    <w:rsid w:val="00247E0F"/>
    <w:rsid w:val="00247EDC"/>
    <w:rsid w:val="00250020"/>
    <w:rsid w:val="00250038"/>
    <w:rsid w:val="00250074"/>
    <w:rsid w:val="00250146"/>
    <w:rsid w:val="00250395"/>
    <w:rsid w:val="0025061B"/>
    <w:rsid w:val="00250631"/>
    <w:rsid w:val="0025063B"/>
    <w:rsid w:val="00250770"/>
    <w:rsid w:val="00250888"/>
    <w:rsid w:val="0025092F"/>
    <w:rsid w:val="00250A44"/>
    <w:rsid w:val="00250A7E"/>
    <w:rsid w:val="00250AD3"/>
    <w:rsid w:val="00250B43"/>
    <w:rsid w:val="00250BE2"/>
    <w:rsid w:val="00250C26"/>
    <w:rsid w:val="00250CBC"/>
    <w:rsid w:val="00250E05"/>
    <w:rsid w:val="00250E4C"/>
    <w:rsid w:val="00251253"/>
    <w:rsid w:val="00251496"/>
    <w:rsid w:val="002515C3"/>
    <w:rsid w:val="002517A2"/>
    <w:rsid w:val="0025185C"/>
    <w:rsid w:val="0025192A"/>
    <w:rsid w:val="002519E7"/>
    <w:rsid w:val="00251A28"/>
    <w:rsid w:val="00251A76"/>
    <w:rsid w:val="00251A80"/>
    <w:rsid w:val="00251B46"/>
    <w:rsid w:val="00251C7E"/>
    <w:rsid w:val="00251D9D"/>
    <w:rsid w:val="00251E5D"/>
    <w:rsid w:val="00251E74"/>
    <w:rsid w:val="00251EF9"/>
    <w:rsid w:val="00251F4A"/>
    <w:rsid w:val="00251FC2"/>
    <w:rsid w:val="00252045"/>
    <w:rsid w:val="0025207D"/>
    <w:rsid w:val="002521FB"/>
    <w:rsid w:val="00252305"/>
    <w:rsid w:val="002523E5"/>
    <w:rsid w:val="00252472"/>
    <w:rsid w:val="00252511"/>
    <w:rsid w:val="00252537"/>
    <w:rsid w:val="00252582"/>
    <w:rsid w:val="002525B8"/>
    <w:rsid w:val="002525D0"/>
    <w:rsid w:val="002525FB"/>
    <w:rsid w:val="00252634"/>
    <w:rsid w:val="0025270A"/>
    <w:rsid w:val="002528D2"/>
    <w:rsid w:val="002529D7"/>
    <w:rsid w:val="00252CBF"/>
    <w:rsid w:val="00252D38"/>
    <w:rsid w:val="00252EDB"/>
    <w:rsid w:val="00253129"/>
    <w:rsid w:val="00253213"/>
    <w:rsid w:val="002532BF"/>
    <w:rsid w:val="00253366"/>
    <w:rsid w:val="002533BF"/>
    <w:rsid w:val="002533D1"/>
    <w:rsid w:val="002534D0"/>
    <w:rsid w:val="0025370D"/>
    <w:rsid w:val="002538A7"/>
    <w:rsid w:val="002538B3"/>
    <w:rsid w:val="002538E5"/>
    <w:rsid w:val="002539DB"/>
    <w:rsid w:val="00253A96"/>
    <w:rsid w:val="00253B8B"/>
    <w:rsid w:val="00253BFA"/>
    <w:rsid w:val="00253CB1"/>
    <w:rsid w:val="00253D17"/>
    <w:rsid w:val="00253D61"/>
    <w:rsid w:val="00253DE0"/>
    <w:rsid w:val="00253F6B"/>
    <w:rsid w:val="00254117"/>
    <w:rsid w:val="002541B0"/>
    <w:rsid w:val="002541DB"/>
    <w:rsid w:val="002544E5"/>
    <w:rsid w:val="0025450A"/>
    <w:rsid w:val="00254827"/>
    <w:rsid w:val="00254AE0"/>
    <w:rsid w:val="00254AF5"/>
    <w:rsid w:val="00254C7C"/>
    <w:rsid w:val="00254DA7"/>
    <w:rsid w:val="00254E6B"/>
    <w:rsid w:val="00254F3C"/>
    <w:rsid w:val="00254FEC"/>
    <w:rsid w:val="002550C3"/>
    <w:rsid w:val="002550FB"/>
    <w:rsid w:val="0025521D"/>
    <w:rsid w:val="00255280"/>
    <w:rsid w:val="0025535A"/>
    <w:rsid w:val="00255396"/>
    <w:rsid w:val="0025543C"/>
    <w:rsid w:val="002554E0"/>
    <w:rsid w:val="002555CC"/>
    <w:rsid w:val="002557AC"/>
    <w:rsid w:val="0025592F"/>
    <w:rsid w:val="00255DCF"/>
    <w:rsid w:val="00255DF6"/>
    <w:rsid w:val="00255E7B"/>
    <w:rsid w:val="00256190"/>
    <w:rsid w:val="002561E5"/>
    <w:rsid w:val="00256309"/>
    <w:rsid w:val="0025652B"/>
    <w:rsid w:val="00256667"/>
    <w:rsid w:val="002567A4"/>
    <w:rsid w:val="002568CB"/>
    <w:rsid w:val="002568F8"/>
    <w:rsid w:val="00256C0D"/>
    <w:rsid w:val="00256CE0"/>
    <w:rsid w:val="00256D85"/>
    <w:rsid w:val="00256E3F"/>
    <w:rsid w:val="00257013"/>
    <w:rsid w:val="002570CA"/>
    <w:rsid w:val="002570F4"/>
    <w:rsid w:val="00257135"/>
    <w:rsid w:val="00257324"/>
    <w:rsid w:val="002574FD"/>
    <w:rsid w:val="0025764A"/>
    <w:rsid w:val="002576AE"/>
    <w:rsid w:val="00257A42"/>
    <w:rsid w:val="00257AA4"/>
    <w:rsid w:val="00257BFB"/>
    <w:rsid w:val="00257CE1"/>
    <w:rsid w:val="0026044B"/>
    <w:rsid w:val="00260475"/>
    <w:rsid w:val="00260534"/>
    <w:rsid w:val="002606E2"/>
    <w:rsid w:val="00260989"/>
    <w:rsid w:val="00260A20"/>
    <w:rsid w:val="00260AF8"/>
    <w:rsid w:val="00260B2F"/>
    <w:rsid w:val="00260B92"/>
    <w:rsid w:val="00260BE6"/>
    <w:rsid w:val="00260C11"/>
    <w:rsid w:val="00260C85"/>
    <w:rsid w:val="00260F5A"/>
    <w:rsid w:val="00260FD0"/>
    <w:rsid w:val="002612D2"/>
    <w:rsid w:val="00261447"/>
    <w:rsid w:val="002614AB"/>
    <w:rsid w:val="00261560"/>
    <w:rsid w:val="002616E5"/>
    <w:rsid w:val="00261732"/>
    <w:rsid w:val="00261781"/>
    <w:rsid w:val="002617F1"/>
    <w:rsid w:val="00261844"/>
    <w:rsid w:val="002618EA"/>
    <w:rsid w:val="00261958"/>
    <w:rsid w:val="00261A82"/>
    <w:rsid w:val="00261AA0"/>
    <w:rsid w:val="00261AAA"/>
    <w:rsid w:val="00261B3C"/>
    <w:rsid w:val="00261B5E"/>
    <w:rsid w:val="00261B66"/>
    <w:rsid w:val="00261E3D"/>
    <w:rsid w:val="00261EA9"/>
    <w:rsid w:val="00261EB5"/>
    <w:rsid w:val="00261F88"/>
    <w:rsid w:val="00261FEB"/>
    <w:rsid w:val="00262186"/>
    <w:rsid w:val="00262218"/>
    <w:rsid w:val="0026227B"/>
    <w:rsid w:val="002623D9"/>
    <w:rsid w:val="002625E1"/>
    <w:rsid w:val="00262603"/>
    <w:rsid w:val="0026261F"/>
    <w:rsid w:val="00262624"/>
    <w:rsid w:val="00262776"/>
    <w:rsid w:val="00262800"/>
    <w:rsid w:val="00262808"/>
    <w:rsid w:val="002629A4"/>
    <w:rsid w:val="002629DD"/>
    <w:rsid w:val="00262B33"/>
    <w:rsid w:val="00262BA6"/>
    <w:rsid w:val="00262BE1"/>
    <w:rsid w:val="00262C4B"/>
    <w:rsid w:val="00262D9D"/>
    <w:rsid w:val="00262DFD"/>
    <w:rsid w:val="00262F2E"/>
    <w:rsid w:val="00262FC8"/>
    <w:rsid w:val="0026305A"/>
    <w:rsid w:val="0026319F"/>
    <w:rsid w:val="002632B3"/>
    <w:rsid w:val="00263350"/>
    <w:rsid w:val="0026352E"/>
    <w:rsid w:val="00263588"/>
    <w:rsid w:val="00263608"/>
    <w:rsid w:val="002636C4"/>
    <w:rsid w:val="002637AC"/>
    <w:rsid w:val="002637C5"/>
    <w:rsid w:val="00263DBA"/>
    <w:rsid w:val="00263DE5"/>
    <w:rsid w:val="00263EDE"/>
    <w:rsid w:val="00263F46"/>
    <w:rsid w:val="00263F94"/>
    <w:rsid w:val="00264063"/>
    <w:rsid w:val="002640C2"/>
    <w:rsid w:val="002641C0"/>
    <w:rsid w:val="00264268"/>
    <w:rsid w:val="00264349"/>
    <w:rsid w:val="0026434E"/>
    <w:rsid w:val="002643A9"/>
    <w:rsid w:val="002645F4"/>
    <w:rsid w:val="00264638"/>
    <w:rsid w:val="00264777"/>
    <w:rsid w:val="00264788"/>
    <w:rsid w:val="00264870"/>
    <w:rsid w:val="00264B39"/>
    <w:rsid w:val="00264DA7"/>
    <w:rsid w:val="00264FA9"/>
    <w:rsid w:val="00265033"/>
    <w:rsid w:val="002650DD"/>
    <w:rsid w:val="00265283"/>
    <w:rsid w:val="0026532C"/>
    <w:rsid w:val="00265447"/>
    <w:rsid w:val="00265452"/>
    <w:rsid w:val="002654A6"/>
    <w:rsid w:val="002654C6"/>
    <w:rsid w:val="0026567B"/>
    <w:rsid w:val="002656BA"/>
    <w:rsid w:val="0026571E"/>
    <w:rsid w:val="00265842"/>
    <w:rsid w:val="00265846"/>
    <w:rsid w:val="00265990"/>
    <w:rsid w:val="00265A2F"/>
    <w:rsid w:val="00265B6F"/>
    <w:rsid w:val="00265BFE"/>
    <w:rsid w:val="00265D97"/>
    <w:rsid w:val="00265D98"/>
    <w:rsid w:val="00265F2A"/>
    <w:rsid w:val="00265F57"/>
    <w:rsid w:val="00266423"/>
    <w:rsid w:val="0026643E"/>
    <w:rsid w:val="00266521"/>
    <w:rsid w:val="00266600"/>
    <w:rsid w:val="002667CD"/>
    <w:rsid w:val="002669AB"/>
    <w:rsid w:val="002669E4"/>
    <w:rsid w:val="00266A88"/>
    <w:rsid w:val="00266AC0"/>
    <w:rsid w:val="00266AC1"/>
    <w:rsid w:val="00266B09"/>
    <w:rsid w:val="00266C60"/>
    <w:rsid w:val="00266E2C"/>
    <w:rsid w:val="00266ED3"/>
    <w:rsid w:val="0026704D"/>
    <w:rsid w:val="00267120"/>
    <w:rsid w:val="00267266"/>
    <w:rsid w:val="00267328"/>
    <w:rsid w:val="0026751B"/>
    <w:rsid w:val="002678F7"/>
    <w:rsid w:val="00267AFA"/>
    <w:rsid w:val="00267B9A"/>
    <w:rsid w:val="00267D90"/>
    <w:rsid w:val="00267DF9"/>
    <w:rsid w:val="00267E25"/>
    <w:rsid w:val="00267FF6"/>
    <w:rsid w:val="00270026"/>
    <w:rsid w:val="00270109"/>
    <w:rsid w:val="0027014E"/>
    <w:rsid w:val="002702D9"/>
    <w:rsid w:val="0027036C"/>
    <w:rsid w:val="00270456"/>
    <w:rsid w:val="002704EB"/>
    <w:rsid w:val="0027053C"/>
    <w:rsid w:val="002706D5"/>
    <w:rsid w:val="00270818"/>
    <w:rsid w:val="002709F4"/>
    <w:rsid w:val="00270A3A"/>
    <w:rsid w:val="00270C5C"/>
    <w:rsid w:val="00270C86"/>
    <w:rsid w:val="00270D6B"/>
    <w:rsid w:val="00270D91"/>
    <w:rsid w:val="0027127B"/>
    <w:rsid w:val="0027139E"/>
    <w:rsid w:val="002714FE"/>
    <w:rsid w:val="00271668"/>
    <w:rsid w:val="002716D6"/>
    <w:rsid w:val="0027172A"/>
    <w:rsid w:val="002717DF"/>
    <w:rsid w:val="00271BF0"/>
    <w:rsid w:val="00271C15"/>
    <w:rsid w:val="00271E56"/>
    <w:rsid w:val="00271EB6"/>
    <w:rsid w:val="00271F31"/>
    <w:rsid w:val="00271F37"/>
    <w:rsid w:val="00271F90"/>
    <w:rsid w:val="00271FD9"/>
    <w:rsid w:val="00272099"/>
    <w:rsid w:val="002720C1"/>
    <w:rsid w:val="002720EA"/>
    <w:rsid w:val="0027229C"/>
    <w:rsid w:val="00272475"/>
    <w:rsid w:val="00272511"/>
    <w:rsid w:val="0027254D"/>
    <w:rsid w:val="002725C3"/>
    <w:rsid w:val="002726AB"/>
    <w:rsid w:val="00272966"/>
    <w:rsid w:val="00272ADE"/>
    <w:rsid w:val="00272AEC"/>
    <w:rsid w:val="00272C9A"/>
    <w:rsid w:val="00272D36"/>
    <w:rsid w:val="00272D8E"/>
    <w:rsid w:val="00272E79"/>
    <w:rsid w:val="00273073"/>
    <w:rsid w:val="0027312A"/>
    <w:rsid w:val="002731F9"/>
    <w:rsid w:val="0027349B"/>
    <w:rsid w:val="002734CD"/>
    <w:rsid w:val="00273569"/>
    <w:rsid w:val="00273612"/>
    <w:rsid w:val="00273762"/>
    <w:rsid w:val="002737CE"/>
    <w:rsid w:val="002737ED"/>
    <w:rsid w:val="00273933"/>
    <w:rsid w:val="00273A6E"/>
    <w:rsid w:val="00273B34"/>
    <w:rsid w:val="00273B6F"/>
    <w:rsid w:val="00273D73"/>
    <w:rsid w:val="0027405F"/>
    <w:rsid w:val="00274338"/>
    <w:rsid w:val="002743E6"/>
    <w:rsid w:val="00274463"/>
    <w:rsid w:val="00274467"/>
    <w:rsid w:val="00274570"/>
    <w:rsid w:val="0027463A"/>
    <w:rsid w:val="00274661"/>
    <w:rsid w:val="00274695"/>
    <w:rsid w:val="002747A8"/>
    <w:rsid w:val="002748AF"/>
    <w:rsid w:val="00274924"/>
    <w:rsid w:val="00274A34"/>
    <w:rsid w:val="00274DFC"/>
    <w:rsid w:val="00274EF3"/>
    <w:rsid w:val="00274F9A"/>
    <w:rsid w:val="002750A2"/>
    <w:rsid w:val="002751FE"/>
    <w:rsid w:val="00275333"/>
    <w:rsid w:val="0027552B"/>
    <w:rsid w:val="00275649"/>
    <w:rsid w:val="002756AA"/>
    <w:rsid w:val="002757F7"/>
    <w:rsid w:val="00275840"/>
    <w:rsid w:val="00275A2A"/>
    <w:rsid w:val="00275A9E"/>
    <w:rsid w:val="00275B51"/>
    <w:rsid w:val="00275BCE"/>
    <w:rsid w:val="00275DA8"/>
    <w:rsid w:val="00275EB4"/>
    <w:rsid w:val="00275F35"/>
    <w:rsid w:val="00275F88"/>
    <w:rsid w:val="00275FFF"/>
    <w:rsid w:val="0027623C"/>
    <w:rsid w:val="00276498"/>
    <w:rsid w:val="0027651C"/>
    <w:rsid w:val="002765A3"/>
    <w:rsid w:val="002765F2"/>
    <w:rsid w:val="0027663C"/>
    <w:rsid w:val="0027673C"/>
    <w:rsid w:val="002767E8"/>
    <w:rsid w:val="00276843"/>
    <w:rsid w:val="002768A9"/>
    <w:rsid w:val="002768AA"/>
    <w:rsid w:val="00276931"/>
    <w:rsid w:val="002769D0"/>
    <w:rsid w:val="00276BBD"/>
    <w:rsid w:val="00276BFE"/>
    <w:rsid w:val="00276CC3"/>
    <w:rsid w:val="00276D88"/>
    <w:rsid w:val="00276DED"/>
    <w:rsid w:val="00276EC1"/>
    <w:rsid w:val="00277352"/>
    <w:rsid w:val="0027765B"/>
    <w:rsid w:val="002776A0"/>
    <w:rsid w:val="002776E0"/>
    <w:rsid w:val="00277BA2"/>
    <w:rsid w:val="00277C25"/>
    <w:rsid w:val="00277C41"/>
    <w:rsid w:val="00277F46"/>
    <w:rsid w:val="00277F5A"/>
    <w:rsid w:val="00277FCB"/>
    <w:rsid w:val="00280118"/>
    <w:rsid w:val="00280141"/>
    <w:rsid w:val="002801EB"/>
    <w:rsid w:val="00280209"/>
    <w:rsid w:val="0028028B"/>
    <w:rsid w:val="002802AB"/>
    <w:rsid w:val="002804CF"/>
    <w:rsid w:val="002804F0"/>
    <w:rsid w:val="002805E5"/>
    <w:rsid w:val="0028063D"/>
    <w:rsid w:val="0028075C"/>
    <w:rsid w:val="00280788"/>
    <w:rsid w:val="002807A9"/>
    <w:rsid w:val="0028082D"/>
    <w:rsid w:val="002811C6"/>
    <w:rsid w:val="002811ED"/>
    <w:rsid w:val="00281290"/>
    <w:rsid w:val="002814AA"/>
    <w:rsid w:val="0028169D"/>
    <w:rsid w:val="00281817"/>
    <w:rsid w:val="0028184B"/>
    <w:rsid w:val="00281A12"/>
    <w:rsid w:val="00281A5E"/>
    <w:rsid w:val="00281A61"/>
    <w:rsid w:val="00281B80"/>
    <w:rsid w:val="00281BF0"/>
    <w:rsid w:val="00281E37"/>
    <w:rsid w:val="00281EAF"/>
    <w:rsid w:val="00281EDA"/>
    <w:rsid w:val="00281EED"/>
    <w:rsid w:val="00281F4C"/>
    <w:rsid w:val="00281F62"/>
    <w:rsid w:val="00282154"/>
    <w:rsid w:val="00282270"/>
    <w:rsid w:val="00282294"/>
    <w:rsid w:val="0028235A"/>
    <w:rsid w:val="002823DA"/>
    <w:rsid w:val="002824BB"/>
    <w:rsid w:val="002826A4"/>
    <w:rsid w:val="00282773"/>
    <w:rsid w:val="00282806"/>
    <w:rsid w:val="00282961"/>
    <w:rsid w:val="00282A9B"/>
    <w:rsid w:val="00282B40"/>
    <w:rsid w:val="00282B8A"/>
    <w:rsid w:val="00282C61"/>
    <w:rsid w:val="00282CAB"/>
    <w:rsid w:val="00282D48"/>
    <w:rsid w:val="00282D64"/>
    <w:rsid w:val="00282E06"/>
    <w:rsid w:val="00282FBC"/>
    <w:rsid w:val="00282FE8"/>
    <w:rsid w:val="002833C4"/>
    <w:rsid w:val="002834A5"/>
    <w:rsid w:val="002834DF"/>
    <w:rsid w:val="00283688"/>
    <w:rsid w:val="002838A9"/>
    <w:rsid w:val="00283B12"/>
    <w:rsid w:val="00283E44"/>
    <w:rsid w:val="00283E48"/>
    <w:rsid w:val="00283EAE"/>
    <w:rsid w:val="00283EC7"/>
    <w:rsid w:val="00283ECF"/>
    <w:rsid w:val="0028410F"/>
    <w:rsid w:val="00284157"/>
    <w:rsid w:val="00284318"/>
    <w:rsid w:val="002844DD"/>
    <w:rsid w:val="0028460D"/>
    <w:rsid w:val="002848C8"/>
    <w:rsid w:val="00284952"/>
    <w:rsid w:val="00284A37"/>
    <w:rsid w:val="00284A9E"/>
    <w:rsid w:val="00284BFA"/>
    <w:rsid w:val="00284DC9"/>
    <w:rsid w:val="00284E65"/>
    <w:rsid w:val="00285027"/>
    <w:rsid w:val="002850C6"/>
    <w:rsid w:val="00285124"/>
    <w:rsid w:val="0028535E"/>
    <w:rsid w:val="002853C3"/>
    <w:rsid w:val="00285421"/>
    <w:rsid w:val="00285692"/>
    <w:rsid w:val="002856F9"/>
    <w:rsid w:val="00285737"/>
    <w:rsid w:val="0028573A"/>
    <w:rsid w:val="002859E1"/>
    <w:rsid w:val="00285A57"/>
    <w:rsid w:val="00285E35"/>
    <w:rsid w:val="00285EE0"/>
    <w:rsid w:val="00285EE5"/>
    <w:rsid w:val="00285F1F"/>
    <w:rsid w:val="00285FDA"/>
    <w:rsid w:val="00285FF2"/>
    <w:rsid w:val="002860B7"/>
    <w:rsid w:val="0028628B"/>
    <w:rsid w:val="00286434"/>
    <w:rsid w:val="0028643A"/>
    <w:rsid w:val="002867EA"/>
    <w:rsid w:val="00286812"/>
    <w:rsid w:val="002868D7"/>
    <w:rsid w:val="002869A9"/>
    <w:rsid w:val="00286A09"/>
    <w:rsid w:val="00286B9C"/>
    <w:rsid w:val="00286BC1"/>
    <w:rsid w:val="00286DD9"/>
    <w:rsid w:val="00286F30"/>
    <w:rsid w:val="00287160"/>
    <w:rsid w:val="002871DF"/>
    <w:rsid w:val="00287212"/>
    <w:rsid w:val="002873F7"/>
    <w:rsid w:val="0028764A"/>
    <w:rsid w:val="00287777"/>
    <w:rsid w:val="0028786A"/>
    <w:rsid w:val="00287A13"/>
    <w:rsid w:val="00287BDF"/>
    <w:rsid w:val="00287BEF"/>
    <w:rsid w:val="00287CD3"/>
    <w:rsid w:val="00287F1F"/>
    <w:rsid w:val="00290147"/>
    <w:rsid w:val="0029025C"/>
    <w:rsid w:val="0029049D"/>
    <w:rsid w:val="002905BD"/>
    <w:rsid w:val="00290727"/>
    <w:rsid w:val="00290865"/>
    <w:rsid w:val="002908FE"/>
    <w:rsid w:val="00290964"/>
    <w:rsid w:val="00290A7E"/>
    <w:rsid w:val="00290B22"/>
    <w:rsid w:val="00290BC9"/>
    <w:rsid w:val="00290D47"/>
    <w:rsid w:val="00290DA0"/>
    <w:rsid w:val="00290E76"/>
    <w:rsid w:val="00290E94"/>
    <w:rsid w:val="00290F65"/>
    <w:rsid w:val="0029100C"/>
    <w:rsid w:val="002912F0"/>
    <w:rsid w:val="0029167D"/>
    <w:rsid w:val="0029174E"/>
    <w:rsid w:val="00291773"/>
    <w:rsid w:val="00291902"/>
    <w:rsid w:val="00291957"/>
    <w:rsid w:val="002919A2"/>
    <w:rsid w:val="00291AB2"/>
    <w:rsid w:val="00291B28"/>
    <w:rsid w:val="00291C4C"/>
    <w:rsid w:val="00291CB5"/>
    <w:rsid w:val="00291CD7"/>
    <w:rsid w:val="00291D15"/>
    <w:rsid w:val="00291EE6"/>
    <w:rsid w:val="00291F1F"/>
    <w:rsid w:val="002920C3"/>
    <w:rsid w:val="002921A5"/>
    <w:rsid w:val="00292297"/>
    <w:rsid w:val="002922D4"/>
    <w:rsid w:val="0029235B"/>
    <w:rsid w:val="002924F4"/>
    <w:rsid w:val="00292526"/>
    <w:rsid w:val="0029254D"/>
    <w:rsid w:val="002927C3"/>
    <w:rsid w:val="00292A15"/>
    <w:rsid w:val="00292D21"/>
    <w:rsid w:val="00292D81"/>
    <w:rsid w:val="00292E17"/>
    <w:rsid w:val="00292ED9"/>
    <w:rsid w:val="00292EF3"/>
    <w:rsid w:val="00292F33"/>
    <w:rsid w:val="00292F52"/>
    <w:rsid w:val="00292FBA"/>
    <w:rsid w:val="002933AA"/>
    <w:rsid w:val="0029351F"/>
    <w:rsid w:val="00293697"/>
    <w:rsid w:val="00293855"/>
    <w:rsid w:val="00293A02"/>
    <w:rsid w:val="00293A3D"/>
    <w:rsid w:val="00293AA1"/>
    <w:rsid w:val="00293B13"/>
    <w:rsid w:val="00293BB1"/>
    <w:rsid w:val="00293E84"/>
    <w:rsid w:val="00293EC5"/>
    <w:rsid w:val="0029403C"/>
    <w:rsid w:val="0029410C"/>
    <w:rsid w:val="002942DE"/>
    <w:rsid w:val="0029435E"/>
    <w:rsid w:val="002944D9"/>
    <w:rsid w:val="002944E6"/>
    <w:rsid w:val="002946A9"/>
    <w:rsid w:val="002946CD"/>
    <w:rsid w:val="002947C4"/>
    <w:rsid w:val="002947FF"/>
    <w:rsid w:val="00294896"/>
    <w:rsid w:val="002948F3"/>
    <w:rsid w:val="002949BD"/>
    <w:rsid w:val="002949DB"/>
    <w:rsid w:val="00294BFA"/>
    <w:rsid w:val="00294C4C"/>
    <w:rsid w:val="00294CEF"/>
    <w:rsid w:val="00294D20"/>
    <w:rsid w:val="00294E50"/>
    <w:rsid w:val="00294F0D"/>
    <w:rsid w:val="00295288"/>
    <w:rsid w:val="0029530B"/>
    <w:rsid w:val="00295394"/>
    <w:rsid w:val="002953A0"/>
    <w:rsid w:val="0029561B"/>
    <w:rsid w:val="0029596B"/>
    <w:rsid w:val="00295B4D"/>
    <w:rsid w:val="00295BEC"/>
    <w:rsid w:val="00295C4B"/>
    <w:rsid w:val="00295DA7"/>
    <w:rsid w:val="00295E2A"/>
    <w:rsid w:val="00295F64"/>
    <w:rsid w:val="0029625E"/>
    <w:rsid w:val="0029638D"/>
    <w:rsid w:val="002965C7"/>
    <w:rsid w:val="0029665B"/>
    <w:rsid w:val="002966DF"/>
    <w:rsid w:val="0029674F"/>
    <w:rsid w:val="002967F2"/>
    <w:rsid w:val="002967F5"/>
    <w:rsid w:val="00296891"/>
    <w:rsid w:val="002968A3"/>
    <w:rsid w:val="00296CFD"/>
    <w:rsid w:val="00296E6D"/>
    <w:rsid w:val="0029729D"/>
    <w:rsid w:val="0029734C"/>
    <w:rsid w:val="002973D8"/>
    <w:rsid w:val="0029740C"/>
    <w:rsid w:val="002974C5"/>
    <w:rsid w:val="00297741"/>
    <w:rsid w:val="00297960"/>
    <w:rsid w:val="00297BFC"/>
    <w:rsid w:val="00297CA4"/>
    <w:rsid w:val="00297DDB"/>
    <w:rsid w:val="00297E59"/>
    <w:rsid w:val="00297E62"/>
    <w:rsid w:val="002A0245"/>
    <w:rsid w:val="002A0288"/>
    <w:rsid w:val="002A0367"/>
    <w:rsid w:val="002A0460"/>
    <w:rsid w:val="002A05DC"/>
    <w:rsid w:val="002A07F7"/>
    <w:rsid w:val="002A0D1F"/>
    <w:rsid w:val="002A0D89"/>
    <w:rsid w:val="002A0E1C"/>
    <w:rsid w:val="002A0F8F"/>
    <w:rsid w:val="002A0F92"/>
    <w:rsid w:val="002A1089"/>
    <w:rsid w:val="002A1171"/>
    <w:rsid w:val="002A1356"/>
    <w:rsid w:val="002A15D6"/>
    <w:rsid w:val="002A161E"/>
    <w:rsid w:val="002A16AA"/>
    <w:rsid w:val="002A16C5"/>
    <w:rsid w:val="002A1707"/>
    <w:rsid w:val="002A1828"/>
    <w:rsid w:val="002A1A5F"/>
    <w:rsid w:val="002A1DB5"/>
    <w:rsid w:val="002A1F77"/>
    <w:rsid w:val="002A1F79"/>
    <w:rsid w:val="002A2074"/>
    <w:rsid w:val="002A2132"/>
    <w:rsid w:val="002A22CF"/>
    <w:rsid w:val="002A248D"/>
    <w:rsid w:val="002A260E"/>
    <w:rsid w:val="002A27B3"/>
    <w:rsid w:val="002A27F3"/>
    <w:rsid w:val="002A280A"/>
    <w:rsid w:val="002A28C1"/>
    <w:rsid w:val="002A298D"/>
    <w:rsid w:val="002A2999"/>
    <w:rsid w:val="002A2A6B"/>
    <w:rsid w:val="002A2B08"/>
    <w:rsid w:val="002A2CDE"/>
    <w:rsid w:val="002A2DDE"/>
    <w:rsid w:val="002A2EF0"/>
    <w:rsid w:val="002A2FBB"/>
    <w:rsid w:val="002A32EA"/>
    <w:rsid w:val="002A3533"/>
    <w:rsid w:val="002A3BA4"/>
    <w:rsid w:val="002A3C11"/>
    <w:rsid w:val="002A40E8"/>
    <w:rsid w:val="002A435F"/>
    <w:rsid w:val="002A447C"/>
    <w:rsid w:val="002A4526"/>
    <w:rsid w:val="002A4544"/>
    <w:rsid w:val="002A470A"/>
    <w:rsid w:val="002A488C"/>
    <w:rsid w:val="002A4B42"/>
    <w:rsid w:val="002A4B48"/>
    <w:rsid w:val="002A4D55"/>
    <w:rsid w:val="002A4DA8"/>
    <w:rsid w:val="002A4DDF"/>
    <w:rsid w:val="002A4DF4"/>
    <w:rsid w:val="002A4F89"/>
    <w:rsid w:val="002A5055"/>
    <w:rsid w:val="002A50A3"/>
    <w:rsid w:val="002A5176"/>
    <w:rsid w:val="002A5177"/>
    <w:rsid w:val="002A527B"/>
    <w:rsid w:val="002A528E"/>
    <w:rsid w:val="002A52F8"/>
    <w:rsid w:val="002A5320"/>
    <w:rsid w:val="002A535C"/>
    <w:rsid w:val="002A5612"/>
    <w:rsid w:val="002A5665"/>
    <w:rsid w:val="002A59DB"/>
    <w:rsid w:val="002A5A24"/>
    <w:rsid w:val="002A5C3A"/>
    <w:rsid w:val="002A5D1D"/>
    <w:rsid w:val="002A5D27"/>
    <w:rsid w:val="002A5EC4"/>
    <w:rsid w:val="002A62CA"/>
    <w:rsid w:val="002A62F0"/>
    <w:rsid w:val="002A63CB"/>
    <w:rsid w:val="002A63FC"/>
    <w:rsid w:val="002A642A"/>
    <w:rsid w:val="002A650A"/>
    <w:rsid w:val="002A65F1"/>
    <w:rsid w:val="002A6607"/>
    <w:rsid w:val="002A6722"/>
    <w:rsid w:val="002A6800"/>
    <w:rsid w:val="002A6839"/>
    <w:rsid w:val="002A6877"/>
    <w:rsid w:val="002A6941"/>
    <w:rsid w:val="002A69A2"/>
    <w:rsid w:val="002A6AEC"/>
    <w:rsid w:val="002A6E68"/>
    <w:rsid w:val="002A7060"/>
    <w:rsid w:val="002A7386"/>
    <w:rsid w:val="002A777F"/>
    <w:rsid w:val="002A791B"/>
    <w:rsid w:val="002A7A40"/>
    <w:rsid w:val="002A7B85"/>
    <w:rsid w:val="002A7C77"/>
    <w:rsid w:val="002A7CDD"/>
    <w:rsid w:val="002A7F1B"/>
    <w:rsid w:val="002B0063"/>
    <w:rsid w:val="002B00FF"/>
    <w:rsid w:val="002B0108"/>
    <w:rsid w:val="002B0510"/>
    <w:rsid w:val="002B058E"/>
    <w:rsid w:val="002B05F0"/>
    <w:rsid w:val="002B05FC"/>
    <w:rsid w:val="002B0600"/>
    <w:rsid w:val="002B0795"/>
    <w:rsid w:val="002B079E"/>
    <w:rsid w:val="002B0808"/>
    <w:rsid w:val="002B08E3"/>
    <w:rsid w:val="002B0A44"/>
    <w:rsid w:val="002B0B80"/>
    <w:rsid w:val="002B0DE5"/>
    <w:rsid w:val="002B0F4D"/>
    <w:rsid w:val="002B0FE1"/>
    <w:rsid w:val="002B0FEC"/>
    <w:rsid w:val="002B10C6"/>
    <w:rsid w:val="002B11FB"/>
    <w:rsid w:val="002B12F9"/>
    <w:rsid w:val="002B14B1"/>
    <w:rsid w:val="002B164C"/>
    <w:rsid w:val="002B1830"/>
    <w:rsid w:val="002B18A4"/>
    <w:rsid w:val="002B1913"/>
    <w:rsid w:val="002B194D"/>
    <w:rsid w:val="002B198F"/>
    <w:rsid w:val="002B1DDD"/>
    <w:rsid w:val="002B1E5F"/>
    <w:rsid w:val="002B1E6F"/>
    <w:rsid w:val="002B1EC7"/>
    <w:rsid w:val="002B1F03"/>
    <w:rsid w:val="002B1F0C"/>
    <w:rsid w:val="002B1F97"/>
    <w:rsid w:val="002B20B3"/>
    <w:rsid w:val="002B20BF"/>
    <w:rsid w:val="002B2178"/>
    <w:rsid w:val="002B221C"/>
    <w:rsid w:val="002B2424"/>
    <w:rsid w:val="002B242A"/>
    <w:rsid w:val="002B25B0"/>
    <w:rsid w:val="002B26F6"/>
    <w:rsid w:val="002B2756"/>
    <w:rsid w:val="002B28AD"/>
    <w:rsid w:val="002B2997"/>
    <w:rsid w:val="002B29D3"/>
    <w:rsid w:val="002B2ABE"/>
    <w:rsid w:val="002B2B89"/>
    <w:rsid w:val="002B2C42"/>
    <w:rsid w:val="002B2E0A"/>
    <w:rsid w:val="002B2EC2"/>
    <w:rsid w:val="002B307F"/>
    <w:rsid w:val="002B3085"/>
    <w:rsid w:val="002B30F7"/>
    <w:rsid w:val="002B3114"/>
    <w:rsid w:val="002B3149"/>
    <w:rsid w:val="002B324C"/>
    <w:rsid w:val="002B334E"/>
    <w:rsid w:val="002B3381"/>
    <w:rsid w:val="002B350C"/>
    <w:rsid w:val="002B3553"/>
    <w:rsid w:val="002B3629"/>
    <w:rsid w:val="002B3801"/>
    <w:rsid w:val="002B38B1"/>
    <w:rsid w:val="002B38CE"/>
    <w:rsid w:val="002B3B81"/>
    <w:rsid w:val="002B3D05"/>
    <w:rsid w:val="002B3E16"/>
    <w:rsid w:val="002B3F55"/>
    <w:rsid w:val="002B42CF"/>
    <w:rsid w:val="002B430F"/>
    <w:rsid w:val="002B442B"/>
    <w:rsid w:val="002B4559"/>
    <w:rsid w:val="002B466E"/>
    <w:rsid w:val="002B4787"/>
    <w:rsid w:val="002B4907"/>
    <w:rsid w:val="002B494A"/>
    <w:rsid w:val="002B4A25"/>
    <w:rsid w:val="002B4ADE"/>
    <w:rsid w:val="002B4BD1"/>
    <w:rsid w:val="002B4C06"/>
    <w:rsid w:val="002B4C54"/>
    <w:rsid w:val="002B4C8E"/>
    <w:rsid w:val="002B4F7A"/>
    <w:rsid w:val="002B5009"/>
    <w:rsid w:val="002B5192"/>
    <w:rsid w:val="002B530A"/>
    <w:rsid w:val="002B53A5"/>
    <w:rsid w:val="002B53FC"/>
    <w:rsid w:val="002B54BB"/>
    <w:rsid w:val="002B5616"/>
    <w:rsid w:val="002B5774"/>
    <w:rsid w:val="002B5A06"/>
    <w:rsid w:val="002B5AAD"/>
    <w:rsid w:val="002B5C1E"/>
    <w:rsid w:val="002B5CBC"/>
    <w:rsid w:val="002B5EBC"/>
    <w:rsid w:val="002B5F48"/>
    <w:rsid w:val="002B5F79"/>
    <w:rsid w:val="002B5FD1"/>
    <w:rsid w:val="002B5FF6"/>
    <w:rsid w:val="002B62AC"/>
    <w:rsid w:val="002B62E1"/>
    <w:rsid w:val="002B63F9"/>
    <w:rsid w:val="002B6649"/>
    <w:rsid w:val="002B66C0"/>
    <w:rsid w:val="002B679A"/>
    <w:rsid w:val="002B6D00"/>
    <w:rsid w:val="002B6E37"/>
    <w:rsid w:val="002B6E59"/>
    <w:rsid w:val="002B7187"/>
    <w:rsid w:val="002B7212"/>
    <w:rsid w:val="002B7248"/>
    <w:rsid w:val="002B7268"/>
    <w:rsid w:val="002B74B1"/>
    <w:rsid w:val="002B7502"/>
    <w:rsid w:val="002B762D"/>
    <w:rsid w:val="002B7791"/>
    <w:rsid w:val="002B7803"/>
    <w:rsid w:val="002B787F"/>
    <w:rsid w:val="002B79B6"/>
    <w:rsid w:val="002B7A81"/>
    <w:rsid w:val="002B7A8B"/>
    <w:rsid w:val="002B7B75"/>
    <w:rsid w:val="002B7C68"/>
    <w:rsid w:val="002B7CDA"/>
    <w:rsid w:val="002B7D5C"/>
    <w:rsid w:val="002C038D"/>
    <w:rsid w:val="002C070C"/>
    <w:rsid w:val="002C0721"/>
    <w:rsid w:val="002C09C4"/>
    <w:rsid w:val="002C0AED"/>
    <w:rsid w:val="002C0C32"/>
    <w:rsid w:val="002C0C55"/>
    <w:rsid w:val="002C0CC9"/>
    <w:rsid w:val="002C1021"/>
    <w:rsid w:val="002C105B"/>
    <w:rsid w:val="002C1256"/>
    <w:rsid w:val="002C1280"/>
    <w:rsid w:val="002C13D7"/>
    <w:rsid w:val="002C1476"/>
    <w:rsid w:val="002C1515"/>
    <w:rsid w:val="002C1896"/>
    <w:rsid w:val="002C18B7"/>
    <w:rsid w:val="002C1A5E"/>
    <w:rsid w:val="002C1A73"/>
    <w:rsid w:val="002C1CFA"/>
    <w:rsid w:val="002C1E2B"/>
    <w:rsid w:val="002C1E8B"/>
    <w:rsid w:val="002C1EE2"/>
    <w:rsid w:val="002C1EE5"/>
    <w:rsid w:val="002C1F20"/>
    <w:rsid w:val="002C1FC8"/>
    <w:rsid w:val="002C2115"/>
    <w:rsid w:val="002C233C"/>
    <w:rsid w:val="002C23D9"/>
    <w:rsid w:val="002C2480"/>
    <w:rsid w:val="002C2718"/>
    <w:rsid w:val="002C28C8"/>
    <w:rsid w:val="002C292D"/>
    <w:rsid w:val="002C2A0A"/>
    <w:rsid w:val="002C2A87"/>
    <w:rsid w:val="002C2A8E"/>
    <w:rsid w:val="002C2D47"/>
    <w:rsid w:val="002C2E2F"/>
    <w:rsid w:val="002C2F68"/>
    <w:rsid w:val="002C3140"/>
    <w:rsid w:val="002C318A"/>
    <w:rsid w:val="002C322D"/>
    <w:rsid w:val="002C3249"/>
    <w:rsid w:val="002C326F"/>
    <w:rsid w:val="002C366C"/>
    <w:rsid w:val="002C36CC"/>
    <w:rsid w:val="002C36D2"/>
    <w:rsid w:val="002C3750"/>
    <w:rsid w:val="002C37AA"/>
    <w:rsid w:val="002C37BF"/>
    <w:rsid w:val="002C3905"/>
    <w:rsid w:val="002C3A3A"/>
    <w:rsid w:val="002C3E20"/>
    <w:rsid w:val="002C43C4"/>
    <w:rsid w:val="002C4504"/>
    <w:rsid w:val="002C4628"/>
    <w:rsid w:val="002C467B"/>
    <w:rsid w:val="002C46E1"/>
    <w:rsid w:val="002C486A"/>
    <w:rsid w:val="002C486C"/>
    <w:rsid w:val="002C487B"/>
    <w:rsid w:val="002C48AE"/>
    <w:rsid w:val="002C4A61"/>
    <w:rsid w:val="002C4B2C"/>
    <w:rsid w:val="002C4B4D"/>
    <w:rsid w:val="002C4C3C"/>
    <w:rsid w:val="002C4E45"/>
    <w:rsid w:val="002C4E95"/>
    <w:rsid w:val="002C4FF1"/>
    <w:rsid w:val="002C5009"/>
    <w:rsid w:val="002C5053"/>
    <w:rsid w:val="002C5158"/>
    <w:rsid w:val="002C5175"/>
    <w:rsid w:val="002C51AB"/>
    <w:rsid w:val="002C51C1"/>
    <w:rsid w:val="002C5513"/>
    <w:rsid w:val="002C56DB"/>
    <w:rsid w:val="002C56E7"/>
    <w:rsid w:val="002C56FD"/>
    <w:rsid w:val="002C5700"/>
    <w:rsid w:val="002C578B"/>
    <w:rsid w:val="002C5826"/>
    <w:rsid w:val="002C5849"/>
    <w:rsid w:val="002C58DA"/>
    <w:rsid w:val="002C593D"/>
    <w:rsid w:val="002C5A04"/>
    <w:rsid w:val="002C5FE9"/>
    <w:rsid w:val="002C6014"/>
    <w:rsid w:val="002C6058"/>
    <w:rsid w:val="002C6064"/>
    <w:rsid w:val="002C614B"/>
    <w:rsid w:val="002C644B"/>
    <w:rsid w:val="002C65B9"/>
    <w:rsid w:val="002C66ED"/>
    <w:rsid w:val="002C66F8"/>
    <w:rsid w:val="002C6711"/>
    <w:rsid w:val="002C67D9"/>
    <w:rsid w:val="002C6976"/>
    <w:rsid w:val="002C697B"/>
    <w:rsid w:val="002C69AD"/>
    <w:rsid w:val="002C6A35"/>
    <w:rsid w:val="002C6A64"/>
    <w:rsid w:val="002C6DF7"/>
    <w:rsid w:val="002C6EA9"/>
    <w:rsid w:val="002C6ECF"/>
    <w:rsid w:val="002C6F9D"/>
    <w:rsid w:val="002C708B"/>
    <w:rsid w:val="002C70D3"/>
    <w:rsid w:val="002C7118"/>
    <w:rsid w:val="002C7277"/>
    <w:rsid w:val="002C7403"/>
    <w:rsid w:val="002C768C"/>
    <w:rsid w:val="002C7711"/>
    <w:rsid w:val="002C7782"/>
    <w:rsid w:val="002C7AB4"/>
    <w:rsid w:val="002C7B14"/>
    <w:rsid w:val="002C7B2E"/>
    <w:rsid w:val="002C7DB6"/>
    <w:rsid w:val="002C7EB1"/>
    <w:rsid w:val="002D021D"/>
    <w:rsid w:val="002D0302"/>
    <w:rsid w:val="002D034E"/>
    <w:rsid w:val="002D03B2"/>
    <w:rsid w:val="002D046A"/>
    <w:rsid w:val="002D04B6"/>
    <w:rsid w:val="002D04E3"/>
    <w:rsid w:val="002D0509"/>
    <w:rsid w:val="002D066F"/>
    <w:rsid w:val="002D071A"/>
    <w:rsid w:val="002D07F1"/>
    <w:rsid w:val="002D082F"/>
    <w:rsid w:val="002D0C17"/>
    <w:rsid w:val="002D0D90"/>
    <w:rsid w:val="002D0DE3"/>
    <w:rsid w:val="002D0FA3"/>
    <w:rsid w:val="002D0FE2"/>
    <w:rsid w:val="002D1053"/>
    <w:rsid w:val="002D1102"/>
    <w:rsid w:val="002D1184"/>
    <w:rsid w:val="002D11F3"/>
    <w:rsid w:val="002D1347"/>
    <w:rsid w:val="002D13DB"/>
    <w:rsid w:val="002D140C"/>
    <w:rsid w:val="002D16BC"/>
    <w:rsid w:val="002D1700"/>
    <w:rsid w:val="002D173E"/>
    <w:rsid w:val="002D176D"/>
    <w:rsid w:val="002D184B"/>
    <w:rsid w:val="002D18EC"/>
    <w:rsid w:val="002D1A3C"/>
    <w:rsid w:val="002D1AC9"/>
    <w:rsid w:val="002D1C5C"/>
    <w:rsid w:val="002D1CE0"/>
    <w:rsid w:val="002D1DEF"/>
    <w:rsid w:val="002D1ED7"/>
    <w:rsid w:val="002D1F0B"/>
    <w:rsid w:val="002D1F1C"/>
    <w:rsid w:val="002D1F87"/>
    <w:rsid w:val="002D201D"/>
    <w:rsid w:val="002D209D"/>
    <w:rsid w:val="002D2112"/>
    <w:rsid w:val="002D213D"/>
    <w:rsid w:val="002D2163"/>
    <w:rsid w:val="002D2315"/>
    <w:rsid w:val="002D23E9"/>
    <w:rsid w:val="002D265B"/>
    <w:rsid w:val="002D2A39"/>
    <w:rsid w:val="002D2BBE"/>
    <w:rsid w:val="002D2BF2"/>
    <w:rsid w:val="002D2BFB"/>
    <w:rsid w:val="002D2C98"/>
    <w:rsid w:val="002D2E1F"/>
    <w:rsid w:val="002D2E2F"/>
    <w:rsid w:val="002D2E46"/>
    <w:rsid w:val="002D2E9A"/>
    <w:rsid w:val="002D2EB0"/>
    <w:rsid w:val="002D303F"/>
    <w:rsid w:val="002D3067"/>
    <w:rsid w:val="002D3178"/>
    <w:rsid w:val="002D3454"/>
    <w:rsid w:val="002D35EA"/>
    <w:rsid w:val="002D3644"/>
    <w:rsid w:val="002D3795"/>
    <w:rsid w:val="002D3862"/>
    <w:rsid w:val="002D3925"/>
    <w:rsid w:val="002D396C"/>
    <w:rsid w:val="002D3ADD"/>
    <w:rsid w:val="002D3BAE"/>
    <w:rsid w:val="002D3BEF"/>
    <w:rsid w:val="002D3C76"/>
    <w:rsid w:val="002D3C87"/>
    <w:rsid w:val="002D3CE9"/>
    <w:rsid w:val="002D3ED8"/>
    <w:rsid w:val="002D416F"/>
    <w:rsid w:val="002D4250"/>
    <w:rsid w:val="002D42F8"/>
    <w:rsid w:val="002D4479"/>
    <w:rsid w:val="002D47AC"/>
    <w:rsid w:val="002D4856"/>
    <w:rsid w:val="002D48AB"/>
    <w:rsid w:val="002D49A0"/>
    <w:rsid w:val="002D49B1"/>
    <w:rsid w:val="002D49DD"/>
    <w:rsid w:val="002D4A6A"/>
    <w:rsid w:val="002D4BCC"/>
    <w:rsid w:val="002D4DCC"/>
    <w:rsid w:val="002D4DD5"/>
    <w:rsid w:val="002D4F2D"/>
    <w:rsid w:val="002D5085"/>
    <w:rsid w:val="002D50E7"/>
    <w:rsid w:val="002D5175"/>
    <w:rsid w:val="002D51A8"/>
    <w:rsid w:val="002D5231"/>
    <w:rsid w:val="002D5373"/>
    <w:rsid w:val="002D56D8"/>
    <w:rsid w:val="002D5755"/>
    <w:rsid w:val="002D5760"/>
    <w:rsid w:val="002D585E"/>
    <w:rsid w:val="002D5AA5"/>
    <w:rsid w:val="002D5BA8"/>
    <w:rsid w:val="002D5C0F"/>
    <w:rsid w:val="002D5C29"/>
    <w:rsid w:val="002D5D60"/>
    <w:rsid w:val="002D5D79"/>
    <w:rsid w:val="002D5DD2"/>
    <w:rsid w:val="002D5FCB"/>
    <w:rsid w:val="002D5FD4"/>
    <w:rsid w:val="002D6050"/>
    <w:rsid w:val="002D60BE"/>
    <w:rsid w:val="002D65C4"/>
    <w:rsid w:val="002D6623"/>
    <w:rsid w:val="002D6716"/>
    <w:rsid w:val="002D673B"/>
    <w:rsid w:val="002D6920"/>
    <w:rsid w:val="002D69C8"/>
    <w:rsid w:val="002D69EF"/>
    <w:rsid w:val="002D6A68"/>
    <w:rsid w:val="002D6A85"/>
    <w:rsid w:val="002D6C0E"/>
    <w:rsid w:val="002D6C90"/>
    <w:rsid w:val="002D6D90"/>
    <w:rsid w:val="002D6DA0"/>
    <w:rsid w:val="002D6E10"/>
    <w:rsid w:val="002D6FB8"/>
    <w:rsid w:val="002D70DC"/>
    <w:rsid w:val="002D7136"/>
    <w:rsid w:val="002D7187"/>
    <w:rsid w:val="002D71D6"/>
    <w:rsid w:val="002D71F6"/>
    <w:rsid w:val="002D72D3"/>
    <w:rsid w:val="002D73E4"/>
    <w:rsid w:val="002D74F1"/>
    <w:rsid w:val="002D7575"/>
    <w:rsid w:val="002D7636"/>
    <w:rsid w:val="002D7678"/>
    <w:rsid w:val="002D76B5"/>
    <w:rsid w:val="002D788E"/>
    <w:rsid w:val="002D7A68"/>
    <w:rsid w:val="002D7CE5"/>
    <w:rsid w:val="002D7D25"/>
    <w:rsid w:val="002D7E31"/>
    <w:rsid w:val="002D7E44"/>
    <w:rsid w:val="002D7E89"/>
    <w:rsid w:val="002D7EC5"/>
    <w:rsid w:val="002D7F2F"/>
    <w:rsid w:val="002D7F96"/>
    <w:rsid w:val="002DB7D7"/>
    <w:rsid w:val="002E007C"/>
    <w:rsid w:val="002E016D"/>
    <w:rsid w:val="002E016E"/>
    <w:rsid w:val="002E01F0"/>
    <w:rsid w:val="002E0241"/>
    <w:rsid w:val="002E0336"/>
    <w:rsid w:val="002E09B4"/>
    <w:rsid w:val="002E0AD3"/>
    <w:rsid w:val="002E0AF9"/>
    <w:rsid w:val="002E0CA5"/>
    <w:rsid w:val="002E0D06"/>
    <w:rsid w:val="002E0DF0"/>
    <w:rsid w:val="002E0E27"/>
    <w:rsid w:val="002E0F07"/>
    <w:rsid w:val="002E109F"/>
    <w:rsid w:val="002E10DC"/>
    <w:rsid w:val="002E121E"/>
    <w:rsid w:val="002E13F7"/>
    <w:rsid w:val="002E16A6"/>
    <w:rsid w:val="002E1A74"/>
    <w:rsid w:val="002E1B00"/>
    <w:rsid w:val="002E1B98"/>
    <w:rsid w:val="002E1C43"/>
    <w:rsid w:val="002E1C4C"/>
    <w:rsid w:val="002E1E79"/>
    <w:rsid w:val="002E1F86"/>
    <w:rsid w:val="002E1FF3"/>
    <w:rsid w:val="002E20AC"/>
    <w:rsid w:val="002E21B4"/>
    <w:rsid w:val="002E220B"/>
    <w:rsid w:val="002E24FC"/>
    <w:rsid w:val="002E256C"/>
    <w:rsid w:val="002E27B9"/>
    <w:rsid w:val="002E282F"/>
    <w:rsid w:val="002E283A"/>
    <w:rsid w:val="002E28C7"/>
    <w:rsid w:val="002E297A"/>
    <w:rsid w:val="002E2989"/>
    <w:rsid w:val="002E2C11"/>
    <w:rsid w:val="002E2C18"/>
    <w:rsid w:val="002E2D24"/>
    <w:rsid w:val="002E30B9"/>
    <w:rsid w:val="002E3193"/>
    <w:rsid w:val="002E320B"/>
    <w:rsid w:val="002E33CE"/>
    <w:rsid w:val="002E353A"/>
    <w:rsid w:val="002E359B"/>
    <w:rsid w:val="002E36E1"/>
    <w:rsid w:val="002E3778"/>
    <w:rsid w:val="002E3939"/>
    <w:rsid w:val="002E3949"/>
    <w:rsid w:val="002E3964"/>
    <w:rsid w:val="002E3A5D"/>
    <w:rsid w:val="002E3B61"/>
    <w:rsid w:val="002E3D4E"/>
    <w:rsid w:val="002E3DC6"/>
    <w:rsid w:val="002E3DE7"/>
    <w:rsid w:val="002E3EBD"/>
    <w:rsid w:val="002E3F56"/>
    <w:rsid w:val="002E41AE"/>
    <w:rsid w:val="002E42F7"/>
    <w:rsid w:val="002E4370"/>
    <w:rsid w:val="002E43DA"/>
    <w:rsid w:val="002E43F2"/>
    <w:rsid w:val="002E45C3"/>
    <w:rsid w:val="002E4836"/>
    <w:rsid w:val="002E488C"/>
    <w:rsid w:val="002E4981"/>
    <w:rsid w:val="002E4BA0"/>
    <w:rsid w:val="002E4BC6"/>
    <w:rsid w:val="002E4C28"/>
    <w:rsid w:val="002E4C8B"/>
    <w:rsid w:val="002E4D49"/>
    <w:rsid w:val="002E5094"/>
    <w:rsid w:val="002E5180"/>
    <w:rsid w:val="002E51A9"/>
    <w:rsid w:val="002E52C7"/>
    <w:rsid w:val="002E5315"/>
    <w:rsid w:val="002E537A"/>
    <w:rsid w:val="002E53E4"/>
    <w:rsid w:val="002E5557"/>
    <w:rsid w:val="002E56F2"/>
    <w:rsid w:val="002E578B"/>
    <w:rsid w:val="002E57AD"/>
    <w:rsid w:val="002E5853"/>
    <w:rsid w:val="002E5CD4"/>
    <w:rsid w:val="002E5DFD"/>
    <w:rsid w:val="002E6099"/>
    <w:rsid w:val="002E61D5"/>
    <w:rsid w:val="002E625F"/>
    <w:rsid w:val="002E631A"/>
    <w:rsid w:val="002E640E"/>
    <w:rsid w:val="002E646B"/>
    <w:rsid w:val="002E64D2"/>
    <w:rsid w:val="002E6630"/>
    <w:rsid w:val="002E666A"/>
    <w:rsid w:val="002E668D"/>
    <w:rsid w:val="002E69B3"/>
    <w:rsid w:val="002E6BC5"/>
    <w:rsid w:val="002E6C5F"/>
    <w:rsid w:val="002E6CD8"/>
    <w:rsid w:val="002E6CE0"/>
    <w:rsid w:val="002E6D9B"/>
    <w:rsid w:val="002E7092"/>
    <w:rsid w:val="002E7125"/>
    <w:rsid w:val="002E7186"/>
    <w:rsid w:val="002E724A"/>
    <w:rsid w:val="002E725F"/>
    <w:rsid w:val="002E744C"/>
    <w:rsid w:val="002E7524"/>
    <w:rsid w:val="002E7574"/>
    <w:rsid w:val="002E76C4"/>
    <w:rsid w:val="002E76E0"/>
    <w:rsid w:val="002E7836"/>
    <w:rsid w:val="002E788E"/>
    <w:rsid w:val="002E7A38"/>
    <w:rsid w:val="002E7A76"/>
    <w:rsid w:val="002E7D75"/>
    <w:rsid w:val="002E7DA8"/>
    <w:rsid w:val="002E7E06"/>
    <w:rsid w:val="002F030F"/>
    <w:rsid w:val="002F0392"/>
    <w:rsid w:val="002F0491"/>
    <w:rsid w:val="002F0857"/>
    <w:rsid w:val="002F0903"/>
    <w:rsid w:val="002F0A54"/>
    <w:rsid w:val="002F134A"/>
    <w:rsid w:val="002F14DB"/>
    <w:rsid w:val="002F14F8"/>
    <w:rsid w:val="002F14FB"/>
    <w:rsid w:val="002F1557"/>
    <w:rsid w:val="002F165B"/>
    <w:rsid w:val="002F1732"/>
    <w:rsid w:val="002F17FD"/>
    <w:rsid w:val="002F1937"/>
    <w:rsid w:val="002F1966"/>
    <w:rsid w:val="002F19BA"/>
    <w:rsid w:val="002F1A2C"/>
    <w:rsid w:val="002F1AC7"/>
    <w:rsid w:val="002F1ADD"/>
    <w:rsid w:val="002F1B56"/>
    <w:rsid w:val="002F1BE6"/>
    <w:rsid w:val="002F1D16"/>
    <w:rsid w:val="002F1D5D"/>
    <w:rsid w:val="002F1E3C"/>
    <w:rsid w:val="002F1F4E"/>
    <w:rsid w:val="002F1FCF"/>
    <w:rsid w:val="002F2000"/>
    <w:rsid w:val="002F2020"/>
    <w:rsid w:val="002F2147"/>
    <w:rsid w:val="002F245E"/>
    <w:rsid w:val="002F255D"/>
    <w:rsid w:val="002F25CA"/>
    <w:rsid w:val="002F2668"/>
    <w:rsid w:val="002F2769"/>
    <w:rsid w:val="002F282A"/>
    <w:rsid w:val="002F285F"/>
    <w:rsid w:val="002F28E9"/>
    <w:rsid w:val="002F28F0"/>
    <w:rsid w:val="002F2DB0"/>
    <w:rsid w:val="002F2E82"/>
    <w:rsid w:val="002F2F03"/>
    <w:rsid w:val="002F3041"/>
    <w:rsid w:val="002F3118"/>
    <w:rsid w:val="002F3140"/>
    <w:rsid w:val="002F3155"/>
    <w:rsid w:val="002F3413"/>
    <w:rsid w:val="002F3506"/>
    <w:rsid w:val="002F3537"/>
    <w:rsid w:val="002F356E"/>
    <w:rsid w:val="002F3688"/>
    <w:rsid w:val="002F3762"/>
    <w:rsid w:val="002F3952"/>
    <w:rsid w:val="002F39C5"/>
    <w:rsid w:val="002F39DB"/>
    <w:rsid w:val="002F3AA6"/>
    <w:rsid w:val="002F3AB9"/>
    <w:rsid w:val="002F3BD0"/>
    <w:rsid w:val="002F3E49"/>
    <w:rsid w:val="002F40C6"/>
    <w:rsid w:val="002F41EE"/>
    <w:rsid w:val="002F4212"/>
    <w:rsid w:val="002F42B7"/>
    <w:rsid w:val="002F44B7"/>
    <w:rsid w:val="002F455D"/>
    <w:rsid w:val="002F456A"/>
    <w:rsid w:val="002F4629"/>
    <w:rsid w:val="002F46EF"/>
    <w:rsid w:val="002F473E"/>
    <w:rsid w:val="002F4760"/>
    <w:rsid w:val="002F47D5"/>
    <w:rsid w:val="002F4875"/>
    <w:rsid w:val="002F49A0"/>
    <w:rsid w:val="002F49D8"/>
    <w:rsid w:val="002F4C8D"/>
    <w:rsid w:val="002F4C9E"/>
    <w:rsid w:val="002F4D45"/>
    <w:rsid w:val="002F4ED3"/>
    <w:rsid w:val="002F4F29"/>
    <w:rsid w:val="002F4FF6"/>
    <w:rsid w:val="002F5017"/>
    <w:rsid w:val="002F50FC"/>
    <w:rsid w:val="002F5316"/>
    <w:rsid w:val="002F5539"/>
    <w:rsid w:val="002F55A9"/>
    <w:rsid w:val="002F58B5"/>
    <w:rsid w:val="002F596E"/>
    <w:rsid w:val="002F59C6"/>
    <w:rsid w:val="002F5A03"/>
    <w:rsid w:val="002F5DB1"/>
    <w:rsid w:val="002F5E81"/>
    <w:rsid w:val="002F5FD4"/>
    <w:rsid w:val="002F604D"/>
    <w:rsid w:val="002F60DC"/>
    <w:rsid w:val="002F60F4"/>
    <w:rsid w:val="002F60FD"/>
    <w:rsid w:val="002F613E"/>
    <w:rsid w:val="002F62C0"/>
    <w:rsid w:val="002F62E9"/>
    <w:rsid w:val="002F64C4"/>
    <w:rsid w:val="002F6565"/>
    <w:rsid w:val="002F6646"/>
    <w:rsid w:val="002F677D"/>
    <w:rsid w:val="002F679C"/>
    <w:rsid w:val="002F6947"/>
    <w:rsid w:val="002F6A21"/>
    <w:rsid w:val="002F6A43"/>
    <w:rsid w:val="002F6ABF"/>
    <w:rsid w:val="002F6AC0"/>
    <w:rsid w:val="002F6B21"/>
    <w:rsid w:val="002F6D23"/>
    <w:rsid w:val="002F6DC2"/>
    <w:rsid w:val="002F72B5"/>
    <w:rsid w:val="002F73AB"/>
    <w:rsid w:val="002F77F0"/>
    <w:rsid w:val="002F78A5"/>
    <w:rsid w:val="002F7935"/>
    <w:rsid w:val="002F7B4B"/>
    <w:rsid w:val="002F7BE9"/>
    <w:rsid w:val="002F7BF7"/>
    <w:rsid w:val="002F7C4E"/>
    <w:rsid w:val="002F7D1D"/>
    <w:rsid w:val="002F7E2E"/>
    <w:rsid w:val="002F7E3A"/>
    <w:rsid w:val="00300104"/>
    <w:rsid w:val="00300248"/>
    <w:rsid w:val="0030045C"/>
    <w:rsid w:val="00300487"/>
    <w:rsid w:val="003004B8"/>
    <w:rsid w:val="00300637"/>
    <w:rsid w:val="00300702"/>
    <w:rsid w:val="003009D1"/>
    <w:rsid w:val="00300AA0"/>
    <w:rsid w:val="00300AAA"/>
    <w:rsid w:val="00300C7C"/>
    <w:rsid w:val="00300CA2"/>
    <w:rsid w:val="00300DA1"/>
    <w:rsid w:val="00300E69"/>
    <w:rsid w:val="00300F51"/>
    <w:rsid w:val="0030102F"/>
    <w:rsid w:val="0030112E"/>
    <w:rsid w:val="00301151"/>
    <w:rsid w:val="00301227"/>
    <w:rsid w:val="00301295"/>
    <w:rsid w:val="00301331"/>
    <w:rsid w:val="00301385"/>
    <w:rsid w:val="00301544"/>
    <w:rsid w:val="00301605"/>
    <w:rsid w:val="003017BB"/>
    <w:rsid w:val="00301843"/>
    <w:rsid w:val="0030189E"/>
    <w:rsid w:val="003018E6"/>
    <w:rsid w:val="00301912"/>
    <w:rsid w:val="00301B39"/>
    <w:rsid w:val="00301B75"/>
    <w:rsid w:val="00301BD0"/>
    <w:rsid w:val="00301F0F"/>
    <w:rsid w:val="00302048"/>
    <w:rsid w:val="003020B1"/>
    <w:rsid w:val="003022BB"/>
    <w:rsid w:val="003023B1"/>
    <w:rsid w:val="00302518"/>
    <w:rsid w:val="00302547"/>
    <w:rsid w:val="00302581"/>
    <w:rsid w:val="003029E0"/>
    <w:rsid w:val="00302AF3"/>
    <w:rsid w:val="00302B2D"/>
    <w:rsid w:val="00302B6B"/>
    <w:rsid w:val="00302C34"/>
    <w:rsid w:val="00302C3F"/>
    <w:rsid w:val="00302CC1"/>
    <w:rsid w:val="00302D37"/>
    <w:rsid w:val="00302D3D"/>
    <w:rsid w:val="00302DAB"/>
    <w:rsid w:val="00303103"/>
    <w:rsid w:val="00303692"/>
    <w:rsid w:val="00303835"/>
    <w:rsid w:val="00303C5B"/>
    <w:rsid w:val="00303C99"/>
    <w:rsid w:val="00303D95"/>
    <w:rsid w:val="00303E7B"/>
    <w:rsid w:val="00303E96"/>
    <w:rsid w:val="00303F36"/>
    <w:rsid w:val="00303FFD"/>
    <w:rsid w:val="003040DB"/>
    <w:rsid w:val="00304263"/>
    <w:rsid w:val="00304268"/>
    <w:rsid w:val="003043D2"/>
    <w:rsid w:val="0030441B"/>
    <w:rsid w:val="00304548"/>
    <w:rsid w:val="003045AC"/>
    <w:rsid w:val="00304623"/>
    <w:rsid w:val="0030463F"/>
    <w:rsid w:val="00304677"/>
    <w:rsid w:val="003047F3"/>
    <w:rsid w:val="00304900"/>
    <w:rsid w:val="00304921"/>
    <w:rsid w:val="00304941"/>
    <w:rsid w:val="00304A85"/>
    <w:rsid w:val="00304B59"/>
    <w:rsid w:val="00304BCB"/>
    <w:rsid w:val="00304C27"/>
    <w:rsid w:val="00304F30"/>
    <w:rsid w:val="00304F8F"/>
    <w:rsid w:val="0030502B"/>
    <w:rsid w:val="003050B3"/>
    <w:rsid w:val="0030518E"/>
    <w:rsid w:val="003051C5"/>
    <w:rsid w:val="0030538F"/>
    <w:rsid w:val="0030541B"/>
    <w:rsid w:val="003056BA"/>
    <w:rsid w:val="00305724"/>
    <w:rsid w:val="00305783"/>
    <w:rsid w:val="003057B5"/>
    <w:rsid w:val="00305891"/>
    <w:rsid w:val="003058C1"/>
    <w:rsid w:val="00305998"/>
    <w:rsid w:val="00305A64"/>
    <w:rsid w:val="00305B8B"/>
    <w:rsid w:val="00305C18"/>
    <w:rsid w:val="00305CE1"/>
    <w:rsid w:val="00305DE8"/>
    <w:rsid w:val="00305E36"/>
    <w:rsid w:val="0030600C"/>
    <w:rsid w:val="003061F6"/>
    <w:rsid w:val="00306298"/>
    <w:rsid w:val="0030636D"/>
    <w:rsid w:val="00306460"/>
    <w:rsid w:val="003064EE"/>
    <w:rsid w:val="0030666C"/>
    <w:rsid w:val="00306B47"/>
    <w:rsid w:val="00306C6F"/>
    <w:rsid w:val="00306C9A"/>
    <w:rsid w:val="00306D1C"/>
    <w:rsid w:val="00307006"/>
    <w:rsid w:val="0030714A"/>
    <w:rsid w:val="003071D9"/>
    <w:rsid w:val="003071E0"/>
    <w:rsid w:val="00307470"/>
    <w:rsid w:val="0030755A"/>
    <w:rsid w:val="00307615"/>
    <w:rsid w:val="00307673"/>
    <w:rsid w:val="0030770A"/>
    <w:rsid w:val="00307914"/>
    <w:rsid w:val="00307A5F"/>
    <w:rsid w:val="00307BF1"/>
    <w:rsid w:val="00307C0B"/>
    <w:rsid w:val="00307C0E"/>
    <w:rsid w:val="00307D30"/>
    <w:rsid w:val="00307FCD"/>
    <w:rsid w:val="003100CB"/>
    <w:rsid w:val="003101F0"/>
    <w:rsid w:val="00310211"/>
    <w:rsid w:val="003102CE"/>
    <w:rsid w:val="00310364"/>
    <w:rsid w:val="00310555"/>
    <w:rsid w:val="0031068E"/>
    <w:rsid w:val="00310702"/>
    <w:rsid w:val="00310714"/>
    <w:rsid w:val="0031076B"/>
    <w:rsid w:val="0031078D"/>
    <w:rsid w:val="003107C8"/>
    <w:rsid w:val="00310801"/>
    <w:rsid w:val="00310825"/>
    <w:rsid w:val="00310866"/>
    <w:rsid w:val="00310930"/>
    <w:rsid w:val="0031096D"/>
    <w:rsid w:val="00310AB9"/>
    <w:rsid w:val="00310ADA"/>
    <w:rsid w:val="00310E8E"/>
    <w:rsid w:val="00310F83"/>
    <w:rsid w:val="00310FDF"/>
    <w:rsid w:val="00311055"/>
    <w:rsid w:val="0031109E"/>
    <w:rsid w:val="00311205"/>
    <w:rsid w:val="00311219"/>
    <w:rsid w:val="00311287"/>
    <w:rsid w:val="003113A5"/>
    <w:rsid w:val="00311680"/>
    <w:rsid w:val="0031172A"/>
    <w:rsid w:val="00311805"/>
    <w:rsid w:val="0031188E"/>
    <w:rsid w:val="003118EE"/>
    <w:rsid w:val="00311A8C"/>
    <w:rsid w:val="00311C8C"/>
    <w:rsid w:val="00311DAE"/>
    <w:rsid w:val="00311F2F"/>
    <w:rsid w:val="00311F4D"/>
    <w:rsid w:val="0031200B"/>
    <w:rsid w:val="003122C6"/>
    <w:rsid w:val="00312338"/>
    <w:rsid w:val="003123EF"/>
    <w:rsid w:val="00312523"/>
    <w:rsid w:val="003125A6"/>
    <w:rsid w:val="003125B0"/>
    <w:rsid w:val="00312683"/>
    <w:rsid w:val="00312AD0"/>
    <w:rsid w:val="00312B59"/>
    <w:rsid w:val="00312BF9"/>
    <w:rsid w:val="00312C71"/>
    <w:rsid w:val="00312C74"/>
    <w:rsid w:val="00312C7F"/>
    <w:rsid w:val="00312CC8"/>
    <w:rsid w:val="00312D26"/>
    <w:rsid w:val="0031300D"/>
    <w:rsid w:val="0031305B"/>
    <w:rsid w:val="003130BF"/>
    <w:rsid w:val="00313121"/>
    <w:rsid w:val="00313160"/>
    <w:rsid w:val="003131C2"/>
    <w:rsid w:val="003132C3"/>
    <w:rsid w:val="003133DA"/>
    <w:rsid w:val="0031357A"/>
    <w:rsid w:val="0031368E"/>
    <w:rsid w:val="00313729"/>
    <w:rsid w:val="00313735"/>
    <w:rsid w:val="0031376C"/>
    <w:rsid w:val="0031390C"/>
    <w:rsid w:val="00313B1B"/>
    <w:rsid w:val="00313C24"/>
    <w:rsid w:val="00313DA8"/>
    <w:rsid w:val="00313DB6"/>
    <w:rsid w:val="00313E30"/>
    <w:rsid w:val="00313E89"/>
    <w:rsid w:val="00313F87"/>
    <w:rsid w:val="0031404D"/>
    <w:rsid w:val="00314052"/>
    <w:rsid w:val="00314226"/>
    <w:rsid w:val="00314273"/>
    <w:rsid w:val="003142CD"/>
    <w:rsid w:val="003142F3"/>
    <w:rsid w:val="003142FE"/>
    <w:rsid w:val="0031439B"/>
    <w:rsid w:val="003145F2"/>
    <w:rsid w:val="00314945"/>
    <w:rsid w:val="00314A89"/>
    <w:rsid w:val="00314B2A"/>
    <w:rsid w:val="00314E93"/>
    <w:rsid w:val="00314FAB"/>
    <w:rsid w:val="0031502E"/>
    <w:rsid w:val="0031505D"/>
    <w:rsid w:val="003150AE"/>
    <w:rsid w:val="00315149"/>
    <w:rsid w:val="00315191"/>
    <w:rsid w:val="003151B1"/>
    <w:rsid w:val="003153D0"/>
    <w:rsid w:val="00315506"/>
    <w:rsid w:val="0031580E"/>
    <w:rsid w:val="00315955"/>
    <w:rsid w:val="003159C2"/>
    <w:rsid w:val="00315A55"/>
    <w:rsid w:val="00315BEC"/>
    <w:rsid w:val="00315C48"/>
    <w:rsid w:val="00315C9F"/>
    <w:rsid w:val="00315CBB"/>
    <w:rsid w:val="00315EB2"/>
    <w:rsid w:val="00315EB4"/>
    <w:rsid w:val="00315F45"/>
    <w:rsid w:val="003160A4"/>
    <w:rsid w:val="003160E6"/>
    <w:rsid w:val="00316151"/>
    <w:rsid w:val="00316197"/>
    <w:rsid w:val="003162BB"/>
    <w:rsid w:val="0031630F"/>
    <w:rsid w:val="003163DB"/>
    <w:rsid w:val="0031642B"/>
    <w:rsid w:val="0031654C"/>
    <w:rsid w:val="00316551"/>
    <w:rsid w:val="0031659D"/>
    <w:rsid w:val="00316743"/>
    <w:rsid w:val="003169E0"/>
    <w:rsid w:val="003169FD"/>
    <w:rsid w:val="00316C1C"/>
    <w:rsid w:val="00316D5C"/>
    <w:rsid w:val="00316D64"/>
    <w:rsid w:val="00316D7E"/>
    <w:rsid w:val="00317123"/>
    <w:rsid w:val="0031714E"/>
    <w:rsid w:val="0031725C"/>
    <w:rsid w:val="003172B0"/>
    <w:rsid w:val="0031734E"/>
    <w:rsid w:val="003175C7"/>
    <w:rsid w:val="0031762F"/>
    <w:rsid w:val="00317673"/>
    <w:rsid w:val="0031767C"/>
    <w:rsid w:val="00317685"/>
    <w:rsid w:val="0031777C"/>
    <w:rsid w:val="00317790"/>
    <w:rsid w:val="003178CB"/>
    <w:rsid w:val="00317939"/>
    <w:rsid w:val="003179D0"/>
    <w:rsid w:val="003179DA"/>
    <w:rsid w:val="00317A78"/>
    <w:rsid w:val="00317B21"/>
    <w:rsid w:val="00317B7F"/>
    <w:rsid w:val="00317B85"/>
    <w:rsid w:val="00317BA2"/>
    <w:rsid w:val="00317C56"/>
    <w:rsid w:val="00317D44"/>
    <w:rsid w:val="00317F6C"/>
    <w:rsid w:val="00320380"/>
    <w:rsid w:val="003203AE"/>
    <w:rsid w:val="00320470"/>
    <w:rsid w:val="00320542"/>
    <w:rsid w:val="0032055F"/>
    <w:rsid w:val="00320599"/>
    <w:rsid w:val="003205F7"/>
    <w:rsid w:val="003206BD"/>
    <w:rsid w:val="0032078D"/>
    <w:rsid w:val="00320924"/>
    <w:rsid w:val="0032092F"/>
    <w:rsid w:val="00320966"/>
    <w:rsid w:val="0032096D"/>
    <w:rsid w:val="003209A8"/>
    <w:rsid w:val="003209E6"/>
    <w:rsid w:val="00320B42"/>
    <w:rsid w:val="00320BC2"/>
    <w:rsid w:val="00320DE3"/>
    <w:rsid w:val="00320E7C"/>
    <w:rsid w:val="00320E80"/>
    <w:rsid w:val="00320FFF"/>
    <w:rsid w:val="0032108A"/>
    <w:rsid w:val="00321124"/>
    <w:rsid w:val="003211D5"/>
    <w:rsid w:val="003211D8"/>
    <w:rsid w:val="0032120A"/>
    <w:rsid w:val="00321248"/>
    <w:rsid w:val="0032133E"/>
    <w:rsid w:val="00321429"/>
    <w:rsid w:val="003215CA"/>
    <w:rsid w:val="003215F3"/>
    <w:rsid w:val="00321665"/>
    <w:rsid w:val="00321794"/>
    <w:rsid w:val="0032182E"/>
    <w:rsid w:val="00321891"/>
    <w:rsid w:val="00321930"/>
    <w:rsid w:val="00321B79"/>
    <w:rsid w:val="00321CCA"/>
    <w:rsid w:val="00321D59"/>
    <w:rsid w:val="00321D82"/>
    <w:rsid w:val="00321E42"/>
    <w:rsid w:val="00321E71"/>
    <w:rsid w:val="00321EE2"/>
    <w:rsid w:val="003221CF"/>
    <w:rsid w:val="00322301"/>
    <w:rsid w:val="00322629"/>
    <w:rsid w:val="00322657"/>
    <w:rsid w:val="00322667"/>
    <w:rsid w:val="0032266E"/>
    <w:rsid w:val="00322738"/>
    <w:rsid w:val="00322917"/>
    <w:rsid w:val="003229FB"/>
    <w:rsid w:val="00322A24"/>
    <w:rsid w:val="00322AE3"/>
    <w:rsid w:val="00322C16"/>
    <w:rsid w:val="00322E52"/>
    <w:rsid w:val="00322F8F"/>
    <w:rsid w:val="003231AC"/>
    <w:rsid w:val="003232E9"/>
    <w:rsid w:val="00323497"/>
    <w:rsid w:val="003235F9"/>
    <w:rsid w:val="003236DF"/>
    <w:rsid w:val="00323768"/>
    <w:rsid w:val="00323998"/>
    <w:rsid w:val="00323A12"/>
    <w:rsid w:val="00323A3B"/>
    <w:rsid w:val="00323B02"/>
    <w:rsid w:val="00323D7F"/>
    <w:rsid w:val="00323E38"/>
    <w:rsid w:val="00323F72"/>
    <w:rsid w:val="00324012"/>
    <w:rsid w:val="00324043"/>
    <w:rsid w:val="00324158"/>
    <w:rsid w:val="0032419D"/>
    <w:rsid w:val="003241EA"/>
    <w:rsid w:val="003242D5"/>
    <w:rsid w:val="003243D2"/>
    <w:rsid w:val="00324481"/>
    <w:rsid w:val="003244AE"/>
    <w:rsid w:val="0032497B"/>
    <w:rsid w:val="00324A2F"/>
    <w:rsid w:val="00324A6F"/>
    <w:rsid w:val="00324C31"/>
    <w:rsid w:val="00324CC3"/>
    <w:rsid w:val="00324D86"/>
    <w:rsid w:val="00324F83"/>
    <w:rsid w:val="00325152"/>
    <w:rsid w:val="003251A5"/>
    <w:rsid w:val="003253EC"/>
    <w:rsid w:val="0032552F"/>
    <w:rsid w:val="00325594"/>
    <w:rsid w:val="003255C6"/>
    <w:rsid w:val="003255F4"/>
    <w:rsid w:val="00325826"/>
    <w:rsid w:val="0032583C"/>
    <w:rsid w:val="00325963"/>
    <w:rsid w:val="00325A19"/>
    <w:rsid w:val="00325AB4"/>
    <w:rsid w:val="00325B1A"/>
    <w:rsid w:val="00325B28"/>
    <w:rsid w:val="00325B55"/>
    <w:rsid w:val="00325C43"/>
    <w:rsid w:val="00325E82"/>
    <w:rsid w:val="00325F19"/>
    <w:rsid w:val="003260D0"/>
    <w:rsid w:val="00326329"/>
    <w:rsid w:val="00326376"/>
    <w:rsid w:val="0032641B"/>
    <w:rsid w:val="0032648E"/>
    <w:rsid w:val="0032650D"/>
    <w:rsid w:val="003266DF"/>
    <w:rsid w:val="003267E4"/>
    <w:rsid w:val="00326A43"/>
    <w:rsid w:val="00326C04"/>
    <w:rsid w:val="00326CB6"/>
    <w:rsid w:val="00326DC9"/>
    <w:rsid w:val="00326E36"/>
    <w:rsid w:val="00326E39"/>
    <w:rsid w:val="0032709A"/>
    <w:rsid w:val="00327222"/>
    <w:rsid w:val="00327275"/>
    <w:rsid w:val="0032763E"/>
    <w:rsid w:val="003276E3"/>
    <w:rsid w:val="003276F6"/>
    <w:rsid w:val="00327701"/>
    <w:rsid w:val="00327773"/>
    <w:rsid w:val="00327B6B"/>
    <w:rsid w:val="00327E35"/>
    <w:rsid w:val="00327E46"/>
    <w:rsid w:val="00327EDB"/>
    <w:rsid w:val="00330006"/>
    <w:rsid w:val="0033004B"/>
    <w:rsid w:val="003301D8"/>
    <w:rsid w:val="00330271"/>
    <w:rsid w:val="003302BA"/>
    <w:rsid w:val="00330372"/>
    <w:rsid w:val="00330474"/>
    <w:rsid w:val="00330499"/>
    <w:rsid w:val="0033076C"/>
    <w:rsid w:val="003308DD"/>
    <w:rsid w:val="00330A0C"/>
    <w:rsid w:val="00330A13"/>
    <w:rsid w:val="00330AD9"/>
    <w:rsid w:val="00330C12"/>
    <w:rsid w:val="00330C45"/>
    <w:rsid w:val="00331009"/>
    <w:rsid w:val="0033126A"/>
    <w:rsid w:val="003312E5"/>
    <w:rsid w:val="00331311"/>
    <w:rsid w:val="00331327"/>
    <w:rsid w:val="0033134B"/>
    <w:rsid w:val="00331518"/>
    <w:rsid w:val="0033167A"/>
    <w:rsid w:val="003316C6"/>
    <w:rsid w:val="00331ABF"/>
    <w:rsid w:val="00331C75"/>
    <w:rsid w:val="00331CE7"/>
    <w:rsid w:val="00331E23"/>
    <w:rsid w:val="00331EA7"/>
    <w:rsid w:val="00331EC7"/>
    <w:rsid w:val="00332060"/>
    <w:rsid w:val="003321B8"/>
    <w:rsid w:val="00332287"/>
    <w:rsid w:val="00332395"/>
    <w:rsid w:val="00332746"/>
    <w:rsid w:val="00332944"/>
    <w:rsid w:val="00332B24"/>
    <w:rsid w:val="00332B27"/>
    <w:rsid w:val="00332BE8"/>
    <w:rsid w:val="00332C33"/>
    <w:rsid w:val="00332E75"/>
    <w:rsid w:val="00332EB8"/>
    <w:rsid w:val="00332F69"/>
    <w:rsid w:val="00332FD3"/>
    <w:rsid w:val="00333110"/>
    <w:rsid w:val="003331CC"/>
    <w:rsid w:val="00333616"/>
    <w:rsid w:val="00333617"/>
    <w:rsid w:val="00333647"/>
    <w:rsid w:val="00333788"/>
    <w:rsid w:val="0033381C"/>
    <w:rsid w:val="00333E11"/>
    <w:rsid w:val="00333FB1"/>
    <w:rsid w:val="00334007"/>
    <w:rsid w:val="0033405A"/>
    <w:rsid w:val="003340CF"/>
    <w:rsid w:val="003340E7"/>
    <w:rsid w:val="00334110"/>
    <w:rsid w:val="0033417E"/>
    <w:rsid w:val="0033438A"/>
    <w:rsid w:val="003346CF"/>
    <w:rsid w:val="0033474C"/>
    <w:rsid w:val="00334821"/>
    <w:rsid w:val="00334845"/>
    <w:rsid w:val="0033491A"/>
    <w:rsid w:val="0033498A"/>
    <w:rsid w:val="00334C01"/>
    <w:rsid w:val="00334C60"/>
    <w:rsid w:val="00335123"/>
    <w:rsid w:val="0033518A"/>
    <w:rsid w:val="003352D9"/>
    <w:rsid w:val="0033534B"/>
    <w:rsid w:val="0033547F"/>
    <w:rsid w:val="003354E8"/>
    <w:rsid w:val="0033552F"/>
    <w:rsid w:val="0033566A"/>
    <w:rsid w:val="00335697"/>
    <w:rsid w:val="003356BF"/>
    <w:rsid w:val="003356F6"/>
    <w:rsid w:val="00335784"/>
    <w:rsid w:val="003359CD"/>
    <w:rsid w:val="00335A54"/>
    <w:rsid w:val="00335E48"/>
    <w:rsid w:val="00335F69"/>
    <w:rsid w:val="00336126"/>
    <w:rsid w:val="003361BE"/>
    <w:rsid w:val="0033622B"/>
    <w:rsid w:val="003362CA"/>
    <w:rsid w:val="0033632B"/>
    <w:rsid w:val="0033635A"/>
    <w:rsid w:val="00336372"/>
    <w:rsid w:val="003364B2"/>
    <w:rsid w:val="003365E4"/>
    <w:rsid w:val="003366BB"/>
    <w:rsid w:val="00336917"/>
    <w:rsid w:val="00336B39"/>
    <w:rsid w:val="00336C84"/>
    <w:rsid w:val="00336C8D"/>
    <w:rsid w:val="00336D1D"/>
    <w:rsid w:val="00336DE8"/>
    <w:rsid w:val="00336E58"/>
    <w:rsid w:val="00336F4B"/>
    <w:rsid w:val="00337045"/>
    <w:rsid w:val="003370D4"/>
    <w:rsid w:val="0033729C"/>
    <w:rsid w:val="0033734F"/>
    <w:rsid w:val="003373AD"/>
    <w:rsid w:val="00337483"/>
    <w:rsid w:val="003377A0"/>
    <w:rsid w:val="003378AE"/>
    <w:rsid w:val="00337991"/>
    <w:rsid w:val="00337B0D"/>
    <w:rsid w:val="00337BCD"/>
    <w:rsid w:val="00337D5B"/>
    <w:rsid w:val="00337E4B"/>
    <w:rsid w:val="00337FCC"/>
    <w:rsid w:val="00337FF3"/>
    <w:rsid w:val="00340096"/>
    <w:rsid w:val="00340324"/>
    <w:rsid w:val="003405D5"/>
    <w:rsid w:val="0034061C"/>
    <w:rsid w:val="0034067D"/>
    <w:rsid w:val="003409F7"/>
    <w:rsid w:val="00340A51"/>
    <w:rsid w:val="00340AE5"/>
    <w:rsid w:val="00340B54"/>
    <w:rsid w:val="00340C19"/>
    <w:rsid w:val="00340ED0"/>
    <w:rsid w:val="00340F3F"/>
    <w:rsid w:val="00340F5C"/>
    <w:rsid w:val="0034112B"/>
    <w:rsid w:val="00341136"/>
    <w:rsid w:val="00341139"/>
    <w:rsid w:val="003411BB"/>
    <w:rsid w:val="00341212"/>
    <w:rsid w:val="0034134A"/>
    <w:rsid w:val="0034139C"/>
    <w:rsid w:val="003414E3"/>
    <w:rsid w:val="003416ED"/>
    <w:rsid w:val="00341938"/>
    <w:rsid w:val="00341999"/>
    <w:rsid w:val="00341B12"/>
    <w:rsid w:val="00341F50"/>
    <w:rsid w:val="00341FAF"/>
    <w:rsid w:val="00342093"/>
    <w:rsid w:val="003421D1"/>
    <w:rsid w:val="003421E0"/>
    <w:rsid w:val="003421F5"/>
    <w:rsid w:val="00342219"/>
    <w:rsid w:val="003423D5"/>
    <w:rsid w:val="0034246F"/>
    <w:rsid w:val="00342550"/>
    <w:rsid w:val="00342579"/>
    <w:rsid w:val="003425CF"/>
    <w:rsid w:val="00342684"/>
    <w:rsid w:val="003426E1"/>
    <w:rsid w:val="00342767"/>
    <w:rsid w:val="003427D0"/>
    <w:rsid w:val="0034293C"/>
    <w:rsid w:val="003429A8"/>
    <w:rsid w:val="00342CD2"/>
    <w:rsid w:val="00342F56"/>
    <w:rsid w:val="00342F5F"/>
    <w:rsid w:val="00343036"/>
    <w:rsid w:val="003430E6"/>
    <w:rsid w:val="00343102"/>
    <w:rsid w:val="003434C2"/>
    <w:rsid w:val="00343581"/>
    <w:rsid w:val="0034363B"/>
    <w:rsid w:val="0034365E"/>
    <w:rsid w:val="00343733"/>
    <w:rsid w:val="003437ED"/>
    <w:rsid w:val="0034388A"/>
    <w:rsid w:val="0034397E"/>
    <w:rsid w:val="00343A9A"/>
    <w:rsid w:val="00343B0A"/>
    <w:rsid w:val="00343B45"/>
    <w:rsid w:val="00343B47"/>
    <w:rsid w:val="00343B92"/>
    <w:rsid w:val="00343C13"/>
    <w:rsid w:val="00343C5F"/>
    <w:rsid w:val="00343CB6"/>
    <w:rsid w:val="00343DF8"/>
    <w:rsid w:val="00343EF5"/>
    <w:rsid w:val="00343FF9"/>
    <w:rsid w:val="00344084"/>
    <w:rsid w:val="00344090"/>
    <w:rsid w:val="00344138"/>
    <w:rsid w:val="00344191"/>
    <w:rsid w:val="003443F9"/>
    <w:rsid w:val="00344453"/>
    <w:rsid w:val="003444E8"/>
    <w:rsid w:val="003444EF"/>
    <w:rsid w:val="003445CB"/>
    <w:rsid w:val="00344626"/>
    <w:rsid w:val="003447CE"/>
    <w:rsid w:val="003447EB"/>
    <w:rsid w:val="003449C2"/>
    <w:rsid w:val="00344A1A"/>
    <w:rsid w:val="00344A28"/>
    <w:rsid w:val="00344A41"/>
    <w:rsid w:val="00344C5D"/>
    <w:rsid w:val="00344CC7"/>
    <w:rsid w:val="00344DBD"/>
    <w:rsid w:val="00344DD1"/>
    <w:rsid w:val="00344DD3"/>
    <w:rsid w:val="0034510B"/>
    <w:rsid w:val="003452C9"/>
    <w:rsid w:val="003452EA"/>
    <w:rsid w:val="00345357"/>
    <w:rsid w:val="00345413"/>
    <w:rsid w:val="0034541F"/>
    <w:rsid w:val="0034565F"/>
    <w:rsid w:val="00345755"/>
    <w:rsid w:val="00345792"/>
    <w:rsid w:val="003457E7"/>
    <w:rsid w:val="003458D1"/>
    <w:rsid w:val="0034594A"/>
    <w:rsid w:val="00345B1F"/>
    <w:rsid w:val="00345B5C"/>
    <w:rsid w:val="00345B9A"/>
    <w:rsid w:val="00345BBD"/>
    <w:rsid w:val="00345C0A"/>
    <w:rsid w:val="00345C85"/>
    <w:rsid w:val="00345C9A"/>
    <w:rsid w:val="00345CFB"/>
    <w:rsid w:val="00345E58"/>
    <w:rsid w:val="003461DD"/>
    <w:rsid w:val="003462AE"/>
    <w:rsid w:val="003462B4"/>
    <w:rsid w:val="003463EF"/>
    <w:rsid w:val="00346486"/>
    <w:rsid w:val="0034653E"/>
    <w:rsid w:val="003465C6"/>
    <w:rsid w:val="003465F0"/>
    <w:rsid w:val="003469D7"/>
    <w:rsid w:val="00346F1B"/>
    <w:rsid w:val="00346F59"/>
    <w:rsid w:val="003470BB"/>
    <w:rsid w:val="00347274"/>
    <w:rsid w:val="003472E0"/>
    <w:rsid w:val="0034736C"/>
    <w:rsid w:val="00347507"/>
    <w:rsid w:val="00347702"/>
    <w:rsid w:val="003478E2"/>
    <w:rsid w:val="0034794A"/>
    <w:rsid w:val="00347B26"/>
    <w:rsid w:val="00347C9F"/>
    <w:rsid w:val="00347D27"/>
    <w:rsid w:val="00347DB6"/>
    <w:rsid w:val="00347EE9"/>
    <w:rsid w:val="00350114"/>
    <w:rsid w:val="003503D7"/>
    <w:rsid w:val="0035062A"/>
    <w:rsid w:val="0035064B"/>
    <w:rsid w:val="003506DE"/>
    <w:rsid w:val="00350845"/>
    <w:rsid w:val="00350873"/>
    <w:rsid w:val="00350892"/>
    <w:rsid w:val="00350A9C"/>
    <w:rsid w:val="00350BDA"/>
    <w:rsid w:val="00350E74"/>
    <w:rsid w:val="00350EC3"/>
    <w:rsid w:val="00350F1B"/>
    <w:rsid w:val="003513A1"/>
    <w:rsid w:val="003513E4"/>
    <w:rsid w:val="00351464"/>
    <w:rsid w:val="00351769"/>
    <w:rsid w:val="0035176D"/>
    <w:rsid w:val="00351892"/>
    <w:rsid w:val="00351978"/>
    <w:rsid w:val="0035197E"/>
    <w:rsid w:val="003519F6"/>
    <w:rsid w:val="00351A0A"/>
    <w:rsid w:val="00351A6E"/>
    <w:rsid w:val="00351CFA"/>
    <w:rsid w:val="00351DF5"/>
    <w:rsid w:val="00351E2D"/>
    <w:rsid w:val="00351E36"/>
    <w:rsid w:val="00351F58"/>
    <w:rsid w:val="00352012"/>
    <w:rsid w:val="003521F5"/>
    <w:rsid w:val="00352471"/>
    <w:rsid w:val="00352644"/>
    <w:rsid w:val="003527E1"/>
    <w:rsid w:val="00352B12"/>
    <w:rsid w:val="00352CD1"/>
    <w:rsid w:val="00352D6E"/>
    <w:rsid w:val="00352EA8"/>
    <w:rsid w:val="00352FDC"/>
    <w:rsid w:val="003530C4"/>
    <w:rsid w:val="003530E7"/>
    <w:rsid w:val="00353119"/>
    <w:rsid w:val="00353145"/>
    <w:rsid w:val="003533C5"/>
    <w:rsid w:val="00353791"/>
    <w:rsid w:val="003537E7"/>
    <w:rsid w:val="0035387D"/>
    <w:rsid w:val="00353978"/>
    <w:rsid w:val="003539D8"/>
    <w:rsid w:val="00353AB0"/>
    <w:rsid w:val="00353B61"/>
    <w:rsid w:val="00353CC3"/>
    <w:rsid w:val="00353DE7"/>
    <w:rsid w:val="00353E04"/>
    <w:rsid w:val="00353F43"/>
    <w:rsid w:val="00353FAE"/>
    <w:rsid w:val="00354284"/>
    <w:rsid w:val="0035429F"/>
    <w:rsid w:val="0035451D"/>
    <w:rsid w:val="00354613"/>
    <w:rsid w:val="0035462D"/>
    <w:rsid w:val="00354682"/>
    <w:rsid w:val="003546B6"/>
    <w:rsid w:val="003548B3"/>
    <w:rsid w:val="00354ACA"/>
    <w:rsid w:val="00354B62"/>
    <w:rsid w:val="00354FD2"/>
    <w:rsid w:val="00354FE4"/>
    <w:rsid w:val="00355068"/>
    <w:rsid w:val="00355144"/>
    <w:rsid w:val="00355547"/>
    <w:rsid w:val="003555F6"/>
    <w:rsid w:val="0035569A"/>
    <w:rsid w:val="00355744"/>
    <w:rsid w:val="003557A9"/>
    <w:rsid w:val="00355840"/>
    <w:rsid w:val="00355A2E"/>
    <w:rsid w:val="00355B8F"/>
    <w:rsid w:val="00355D1C"/>
    <w:rsid w:val="00355D60"/>
    <w:rsid w:val="00355F0D"/>
    <w:rsid w:val="0035602E"/>
    <w:rsid w:val="0035608D"/>
    <w:rsid w:val="00356098"/>
    <w:rsid w:val="003560BE"/>
    <w:rsid w:val="0035620E"/>
    <w:rsid w:val="00356396"/>
    <w:rsid w:val="00356474"/>
    <w:rsid w:val="0035663E"/>
    <w:rsid w:val="003566E7"/>
    <w:rsid w:val="00356793"/>
    <w:rsid w:val="003567CC"/>
    <w:rsid w:val="00356AA8"/>
    <w:rsid w:val="00356AD3"/>
    <w:rsid w:val="00356B4C"/>
    <w:rsid w:val="00356B5B"/>
    <w:rsid w:val="00356C47"/>
    <w:rsid w:val="00356EC3"/>
    <w:rsid w:val="00357497"/>
    <w:rsid w:val="003576C1"/>
    <w:rsid w:val="003577B6"/>
    <w:rsid w:val="00357847"/>
    <w:rsid w:val="00357929"/>
    <w:rsid w:val="00357A43"/>
    <w:rsid w:val="00357A8E"/>
    <w:rsid w:val="00357B9A"/>
    <w:rsid w:val="003601B0"/>
    <w:rsid w:val="003601B6"/>
    <w:rsid w:val="0036023E"/>
    <w:rsid w:val="00360262"/>
    <w:rsid w:val="0036030C"/>
    <w:rsid w:val="00360370"/>
    <w:rsid w:val="00360453"/>
    <w:rsid w:val="003604C6"/>
    <w:rsid w:val="003604F2"/>
    <w:rsid w:val="0036053A"/>
    <w:rsid w:val="0036062F"/>
    <w:rsid w:val="003607C1"/>
    <w:rsid w:val="00360845"/>
    <w:rsid w:val="00360874"/>
    <w:rsid w:val="00360A6A"/>
    <w:rsid w:val="00360D12"/>
    <w:rsid w:val="00360DDE"/>
    <w:rsid w:val="00361055"/>
    <w:rsid w:val="00361257"/>
    <w:rsid w:val="00361279"/>
    <w:rsid w:val="00361316"/>
    <w:rsid w:val="003613ED"/>
    <w:rsid w:val="00361428"/>
    <w:rsid w:val="003616FE"/>
    <w:rsid w:val="0036173E"/>
    <w:rsid w:val="0036174D"/>
    <w:rsid w:val="00361892"/>
    <w:rsid w:val="0036197B"/>
    <w:rsid w:val="00361C8E"/>
    <w:rsid w:val="00361D2A"/>
    <w:rsid w:val="00361E11"/>
    <w:rsid w:val="00361FB8"/>
    <w:rsid w:val="00362178"/>
    <w:rsid w:val="003623CB"/>
    <w:rsid w:val="003624D2"/>
    <w:rsid w:val="003624F5"/>
    <w:rsid w:val="003626A3"/>
    <w:rsid w:val="003626AD"/>
    <w:rsid w:val="00362842"/>
    <w:rsid w:val="00362BCC"/>
    <w:rsid w:val="00362BDE"/>
    <w:rsid w:val="00362BFC"/>
    <w:rsid w:val="00362C67"/>
    <w:rsid w:val="00362E10"/>
    <w:rsid w:val="00362E16"/>
    <w:rsid w:val="003630B8"/>
    <w:rsid w:val="003631CA"/>
    <w:rsid w:val="00363263"/>
    <w:rsid w:val="00363268"/>
    <w:rsid w:val="0036329D"/>
    <w:rsid w:val="003632C6"/>
    <w:rsid w:val="00363403"/>
    <w:rsid w:val="003634CC"/>
    <w:rsid w:val="00363502"/>
    <w:rsid w:val="003635E4"/>
    <w:rsid w:val="003635E9"/>
    <w:rsid w:val="0036366A"/>
    <w:rsid w:val="0036376E"/>
    <w:rsid w:val="003637C2"/>
    <w:rsid w:val="003638AD"/>
    <w:rsid w:val="003639D7"/>
    <w:rsid w:val="00363AAE"/>
    <w:rsid w:val="00363BDD"/>
    <w:rsid w:val="00363C7F"/>
    <w:rsid w:val="00363F1A"/>
    <w:rsid w:val="0036410B"/>
    <w:rsid w:val="00364263"/>
    <w:rsid w:val="003642CE"/>
    <w:rsid w:val="003644A8"/>
    <w:rsid w:val="003644B5"/>
    <w:rsid w:val="00364653"/>
    <w:rsid w:val="003646CF"/>
    <w:rsid w:val="0036481F"/>
    <w:rsid w:val="003648AB"/>
    <w:rsid w:val="00364948"/>
    <w:rsid w:val="00364A8B"/>
    <w:rsid w:val="00364AB9"/>
    <w:rsid w:val="00364C64"/>
    <w:rsid w:val="00364DD2"/>
    <w:rsid w:val="00364E4E"/>
    <w:rsid w:val="0036512C"/>
    <w:rsid w:val="003651AD"/>
    <w:rsid w:val="003653C9"/>
    <w:rsid w:val="00365753"/>
    <w:rsid w:val="00365A48"/>
    <w:rsid w:val="00365B6F"/>
    <w:rsid w:val="00365C0E"/>
    <w:rsid w:val="00365C20"/>
    <w:rsid w:val="00365C8E"/>
    <w:rsid w:val="00365D00"/>
    <w:rsid w:val="00365FC7"/>
    <w:rsid w:val="003660A4"/>
    <w:rsid w:val="003660F9"/>
    <w:rsid w:val="00366266"/>
    <w:rsid w:val="00366312"/>
    <w:rsid w:val="003663FB"/>
    <w:rsid w:val="00366558"/>
    <w:rsid w:val="00366799"/>
    <w:rsid w:val="003668B0"/>
    <w:rsid w:val="00366965"/>
    <w:rsid w:val="00366A99"/>
    <w:rsid w:val="00366AB2"/>
    <w:rsid w:val="00366C93"/>
    <w:rsid w:val="00366CBB"/>
    <w:rsid w:val="00366DF2"/>
    <w:rsid w:val="0036707E"/>
    <w:rsid w:val="00367168"/>
    <w:rsid w:val="0036724A"/>
    <w:rsid w:val="003672D6"/>
    <w:rsid w:val="003672F5"/>
    <w:rsid w:val="0036736F"/>
    <w:rsid w:val="003674EE"/>
    <w:rsid w:val="00367613"/>
    <w:rsid w:val="003676AD"/>
    <w:rsid w:val="0036770F"/>
    <w:rsid w:val="00367768"/>
    <w:rsid w:val="003677B4"/>
    <w:rsid w:val="00367876"/>
    <w:rsid w:val="00367937"/>
    <w:rsid w:val="00367B74"/>
    <w:rsid w:val="00367D61"/>
    <w:rsid w:val="00367D90"/>
    <w:rsid w:val="00367E55"/>
    <w:rsid w:val="0037002C"/>
    <w:rsid w:val="003701DA"/>
    <w:rsid w:val="00370254"/>
    <w:rsid w:val="00370387"/>
    <w:rsid w:val="003705D6"/>
    <w:rsid w:val="00370649"/>
    <w:rsid w:val="003706DE"/>
    <w:rsid w:val="0037075A"/>
    <w:rsid w:val="0037095B"/>
    <w:rsid w:val="003709DC"/>
    <w:rsid w:val="003709E9"/>
    <w:rsid w:val="00370A14"/>
    <w:rsid w:val="00370A26"/>
    <w:rsid w:val="00370A54"/>
    <w:rsid w:val="00370ABA"/>
    <w:rsid w:val="00370C2E"/>
    <w:rsid w:val="003710D7"/>
    <w:rsid w:val="0037112E"/>
    <w:rsid w:val="0037117B"/>
    <w:rsid w:val="003711E2"/>
    <w:rsid w:val="00371290"/>
    <w:rsid w:val="003715CE"/>
    <w:rsid w:val="003715D7"/>
    <w:rsid w:val="003715EE"/>
    <w:rsid w:val="00371691"/>
    <w:rsid w:val="00371701"/>
    <w:rsid w:val="003718B5"/>
    <w:rsid w:val="00371947"/>
    <w:rsid w:val="003719C2"/>
    <w:rsid w:val="003719F2"/>
    <w:rsid w:val="00371A55"/>
    <w:rsid w:val="00371AB5"/>
    <w:rsid w:val="00371C87"/>
    <w:rsid w:val="00371C95"/>
    <w:rsid w:val="00371DC1"/>
    <w:rsid w:val="00371E5D"/>
    <w:rsid w:val="00371E62"/>
    <w:rsid w:val="00371EBB"/>
    <w:rsid w:val="00371EC8"/>
    <w:rsid w:val="00371EFA"/>
    <w:rsid w:val="00371F3C"/>
    <w:rsid w:val="00371FE3"/>
    <w:rsid w:val="00372128"/>
    <w:rsid w:val="00372178"/>
    <w:rsid w:val="00372179"/>
    <w:rsid w:val="003723FF"/>
    <w:rsid w:val="00372465"/>
    <w:rsid w:val="00372646"/>
    <w:rsid w:val="0037264F"/>
    <w:rsid w:val="0037268F"/>
    <w:rsid w:val="003726F5"/>
    <w:rsid w:val="00372740"/>
    <w:rsid w:val="003727CC"/>
    <w:rsid w:val="0037283E"/>
    <w:rsid w:val="00372D24"/>
    <w:rsid w:val="00372D6E"/>
    <w:rsid w:val="00372E97"/>
    <w:rsid w:val="00372F25"/>
    <w:rsid w:val="00372F27"/>
    <w:rsid w:val="00373032"/>
    <w:rsid w:val="003731F4"/>
    <w:rsid w:val="00373286"/>
    <w:rsid w:val="003732AA"/>
    <w:rsid w:val="003733EE"/>
    <w:rsid w:val="00373573"/>
    <w:rsid w:val="0037358D"/>
    <w:rsid w:val="003735A7"/>
    <w:rsid w:val="003735CE"/>
    <w:rsid w:val="003735CF"/>
    <w:rsid w:val="0037367E"/>
    <w:rsid w:val="0037383A"/>
    <w:rsid w:val="00373915"/>
    <w:rsid w:val="00373A28"/>
    <w:rsid w:val="00373B55"/>
    <w:rsid w:val="00373B87"/>
    <w:rsid w:val="00373BE3"/>
    <w:rsid w:val="00373D1A"/>
    <w:rsid w:val="00373DD6"/>
    <w:rsid w:val="00373E98"/>
    <w:rsid w:val="00373EEC"/>
    <w:rsid w:val="00374183"/>
    <w:rsid w:val="00374518"/>
    <w:rsid w:val="003745EC"/>
    <w:rsid w:val="00374607"/>
    <w:rsid w:val="0037462C"/>
    <w:rsid w:val="0037462D"/>
    <w:rsid w:val="00374734"/>
    <w:rsid w:val="00374751"/>
    <w:rsid w:val="00374802"/>
    <w:rsid w:val="00374A0D"/>
    <w:rsid w:val="00374B10"/>
    <w:rsid w:val="00374C18"/>
    <w:rsid w:val="00374DC4"/>
    <w:rsid w:val="00374F9D"/>
    <w:rsid w:val="00374FB0"/>
    <w:rsid w:val="00374FED"/>
    <w:rsid w:val="003751F2"/>
    <w:rsid w:val="003752F2"/>
    <w:rsid w:val="0037535E"/>
    <w:rsid w:val="00375721"/>
    <w:rsid w:val="0037589B"/>
    <w:rsid w:val="003758D8"/>
    <w:rsid w:val="00375B5D"/>
    <w:rsid w:val="00375B69"/>
    <w:rsid w:val="00375BC3"/>
    <w:rsid w:val="00375C85"/>
    <w:rsid w:val="00375CC5"/>
    <w:rsid w:val="00376090"/>
    <w:rsid w:val="00376208"/>
    <w:rsid w:val="0037634E"/>
    <w:rsid w:val="0037658A"/>
    <w:rsid w:val="0037658B"/>
    <w:rsid w:val="0037680E"/>
    <w:rsid w:val="00376970"/>
    <w:rsid w:val="003769D1"/>
    <w:rsid w:val="00376C1B"/>
    <w:rsid w:val="00376F03"/>
    <w:rsid w:val="00376F54"/>
    <w:rsid w:val="00376FAB"/>
    <w:rsid w:val="003770AC"/>
    <w:rsid w:val="003770CA"/>
    <w:rsid w:val="003770EB"/>
    <w:rsid w:val="003770FF"/>
    <w:rsid w:val="00377463"/>
    <w:rsid w:val="003775B5"/>
    <w:rsid w:val="00377688"/>
    <w:rsid w:val="00377761"/>
    <w:rsid w:val="0037778F"/>
    <w:rsid w:val="0037789D"/>
    <w:rsid w:val="0037789E"/>
    <w:rsid w:val="0037790F"/>
    <w:rsid w:val="00377A97"/>
    <w:rsid w:val="00377B4F"/>
    <w:rsid w:val="00377C18"/>
    <w:rsid w:val="00377C1A"/>
    <w:rsid w:val="00377CB9"/>
    <w:rsid w:val="00377D31"/>
    <w:rsid w:val="00377D74"/>
    <w:rsid w:val="00377E0D"/>
    <w:rsid w:val="00377E5E"/>
    <w:rsid w:val="00377EDC"/>
    <w:rsid w:val="003800B9"/>
    <w:rsid w:val="00380146"/>
    <w:rsid w:val="00380167"/>
    <w:rsid w:val="0038031D"/>
    <w:rsid w:val="00380332"/>
    <w:rsid w:val="00380404"/>
    <w:rsid w:val="003804F5"/>
    <w:rsid w:val="003806EB"/>
    <w:rsid w:val="003807E1"/>
    <w:rsid w:val="003807F9"/>
    <w:rsid w:val="00380983"/>
    <w:rsid w:val="00380AE9"/>
    <w:rsid w:val="00380C10"/>
    <w:rsid w:val="00380D5C"/>
    <w:rsid w:val="00380D9A"/>
    <w:rsid w:val="00380FF5"/>
    <w:rsid w:val="00381320"/>
    <w:rsid w:val="00381640"/>
    <w:rsid w:val="00381707"/>
    <w:rsid w:val="00381725"/>
    <w:rsid w:val="00381947"/>
    <w:rsid w:val="00381BE9"/>
    <w:rsid w:val="00381E85"/>
    <w:rsid w:val="0038219F"/>
    <w:rsid w:val="00382232"/>
    <w:rsid w:val="0038249F"/>
    <w:rsid w:val="00382578"/>
    <w:rsid w:val="003825CB"/>
    <w:rsid w:val="0038265B"/>
    <w:rsid w:val="00382C03"/>
    <w:rsid w:val="00382D35"/>
    <w:rsid w:val="00382EE3"/>
    <w:rsid w:val="00383112"/>
    <w:rsid w:val="0038325B"/>
    <w:rsid w:val="00383386"/>
    <w:rsid w:val="0038359C"/>
    <w:rsid w:val="003835EA"/>
    <w:rsid w:val="0038365D"/>
    <w:rsid w:val="00383756"/>
    <w:rsid w:val="003838B6"/>
    <w:rsid w:val="003839B6"/>
    <w:rsid w:val="00383C58"/>
    <w:rsid w:val="00383C9D"/>
    <w:rsid w:val="00383DA8"/>
    <w:rsid w:val="00383DE7"/>
    <w:rsid w:val="00383E34"/>
    <w:rsid w:val="00383ECA"/>
    <w:rsid w:val="00383FB9"/>
    <w:rsid w:val="0038401E"/>
    <w:rsid w:val="003842C3"/>
    <w:rsid w:val="0038451B"/>
    <w:rsid w:val="003845CB"/>
    <w:rsid w:val="00384615"/>
    <w:rsid w:val="0038479A"/>
    <w:rsid w:val="00384836"/>
    <w:rsid w:val="00384F72"/>
    <w:rsid w:val="00384FDD"/>
    <w:rsid w:val="00385082"/>
    <w:rsid w:val="003850F7"/>
    <w:rsid w:val="0038516B"/>
    <w:rsid w:val="0038522B"/>
    <w:rsid w:val="00385298"/>
    <w:rsid w:val="00385343"/>
    <w:rsid w:val="003853DC"/>
    <w:rsid w:val="0038571F"/>
    <w:rsid w:val="0038588C"/>
    <w:rsid w:val="00385910"/>
    <w:rsid w:val="00385B3F"/>
    <w:rsid w:val="00385B98"/>
    <w:rsid w:val="00385C11"/>
    <w:rsid w:val="00385E11"/>
    <w:rsid w:val="00385E73"/>
    <w:rsid w:val="00385F81"/>
    <w:rsid w:val="003862B2"/>
    <w:rsid w:val="003862DF"/>
    <w:rsid w:val="00386304"/>
    <w:rsid w:val="0038638A"/>
    <w:rsid w:val="0038650F"/>
    <w:rsid w:val="0038676E"/>
    <w:rsid w:val="003869C5"/>
    <w:rsid w:val="00386BBA"/>
    <w:rsid w:val="00386CA3"/>
    <w:rsid w:val="00386D76"/>
    <w:rsid w:val="00386DD5"/>
    <w:rsid w:val="00386FA4"/>
    <w:rsid w:val="0038736C"/>
    <w:rsid w:val="0038741C"/>
    <w:rsid w:val="00387675"/>
    <w:rsid w:val="003876B8"/>
    <w:rsid w:val="00387759"/>
    <w:rsid w:val="0038785D"/>
    <w:rsid w:val="003878F5"/>
    <w:rsid w:val="00387901"/>
    <w:rsid w:val="003879B7"/>
    <w:rsid w:val="00387A1D"/>
    <w:rsid w:val="00387A2A"/>
    <w:rsid w:val="00387B44"/>
    <w:rsid w:val="00387B6B"/>
    <w:rsid w:val="00387C53"/>
    <w:rsid w:val="00387CE1"/>
    <w:rsid w:val="00387DA3"/>
    <w:rsid w:val="00387EF0"/>
    <w:rsid w:val="00387F16"/>
    <w:rsid w:val="00387FC3"/>
    <w:rsid w:val="0039003D"/>
    <w:rsid w:val="003900A9"/>
    <w:rsid w:val="003900EF"/>
    <w:rsid w:val="00390257"/>
    <w:rsid w:val="003904CB"/>
    <w:rsid w:val="0039054B"/>
    <w:rsid w:val="003906DD"/>
    <w:rsid w:val="003907F2"/>
    <w:rsid w:val="00390950"/>
    <w:rsid w:val="00390BD9"/>
    <w:rsid w:val="00390BDA"/>
    <w:rsid w:val="00390D7C"/>
    <w:rsid w:val="00390E05"/>
    <w:rsid w:val="00390E74"/>
    <w:rsid w:val="00391148"/>
    <w:rsid w:val="003911F6"/>
    <w:rsid w:val="00391280"/>
    <w:rsid w:val="003913A9"/>
    <w:rsid w:val="003914BA"/>
    <w:rsid w:val="003915A1"/>
    <w:rsid w:val="003917DD"/>
    <w:rsid w:val="003918C8"/>
    <w:rsid w:val="00391B34"/>
    <w:rsid w:val="00391C9A"/>
    <w:rsid w:val="00391D32"/>
    <w:rsid w:val="00391F83"/>
    <w:rsid w:val="003921D2"/>
    <w:rsid w:val="0039225B"/>
    <w:rsid w:val="00392277"/>
    <w:rsid w:val="003922F0"/>
    <w:rsid w:val="0039230A"/>
    <w:rsid w:val="003923C7"/>
    <w:rsid w:val="0039245A"/>
    <w:rsid w:val="003925A9"/>
    <w:rsid w:val="003925B6"/>
    <w:rsid w:val="0039269D"/>
    <w:rsid w:val="003927A6"/>
    <w:rsid w:val="00392852"/>
    <w:rsid w:val="003928C6"/>
    <w:rsid w:val="00392998"/>
    <w:rsid w:val="003929AC"/>
    <w:rsid w:val="00392B95"/>
    <w:rsid w:val="00392CC5"/>
    <w:rsid w:val="00392F33"/>
    <w:rsid w:val="00393043"/>
    <w:rsid w:val="00393125"/>
    <w:rsid w:val="003932EF"/>
    <w:rsid w:val="00393308"/>
    <w:rsid w:val="00393328"/>
    <w:rsid w:val="0039372A"/>
    <w:rsid w:val="00393778"/>
    <w:rsid w:val="003938CA"/>
    <w:rsid w:val="00393918"/>
    <w:rsid w:val="00393A26"/>
    <w:rsid w:val="00393A95"/>
    <w:rsid w:val="00393B39"/>
    <w:rsid w:val="00393B41"/>
    <w:rsid w:val="00393BD7"/>
    <w:rsid w:val="00393C7E"/>
    <w:rsid w:val="00393D03"/>
    <w:rsid w:val="00393E08"/>
    <w:rsid w:val="00393EEC"/>
    <w:rsid w:val="00393F83"/>
    <w:rsid w:val="00394082"/>
    <w:rsid w:val="003940BE"/>
    <w:rsid w:val="00394151"/>
    <w:rsid w:val="0039425B"/>
    <w:rsid w:val="0039435A"/>
    <w:rsid w:val="003946C6"/>
    <w:rsid w:val="003946E2"/>
    <w:rsid w:val="00394755"/>
    <w:rsid w:val="00394771"/>
    <w:rsid w:val="0039477A"/>
    <w:rsid w:val="003947DC"/>
    <w:rsid w:val="00394860"/>
    <w:rsid w:val="003948D8"/>
    <w:rsid w:val="0039494D"/>
    <w:rsid w:val="0039499B"/>
    <w:rsid w:val="003949CD"/>
    <w:rsid w:val="00394B61"/>
    <w:rsid w:val="00394EF1"/>
    <w:rsid w:val="00394FB6"/>
    <w:rsid w:val="003952A7"/>
    <w:rsid w:val="003953A1"/>
    <w:rsid w:val="00395503"/>
    <w:rsid w:val="00395633"/>
    <w:rsid w:val="00395652"/>
    <w:rsid w:val="003956A9"/>
    <w:rsid w:val="003956E2"/>
    <w:rsid w:val="003957A8"/>
    <w:rsid w:val="00395877"/>
    <w:rsid w:val="003958A3"/>
    <w:rsid w:val="003959D6"/>
    <w:rsid w:val="00395A01"/>
    <w:rsid w:val="00395BC2"/>
    <w:rsid w:val="00395C4C"/>
    <w:rsid w:val="00395E35"/>
    <w:rsid w:val="00395E50"/>
    <w:rsid w:val="00395EEE"/>
    <w:rsid w:val="0039623D"/>
    <w:rsid w:val="00396385"/>
    <w:rsid w:val="0039645B"/>
    <w:rsid w:val="003965CB"/>
    <w:rsid w:val="00396772"/>
    <w:rsid w:val="003968AE"/>
    <w:rsid w:val="00396933"/>
    <w:rsid w:val="00396A39"/>
    <w:rsid w:val="00396BF7"/>
    <w:rsid w:val="00396C20"/>
    <w:rsid w:val="00396D12"/>
    <w:rsid w:val="00396D80"/>
    <w:rsid w:val="00396DEA"/>
    <w:rsid w:val="00396E43"/>
    <w:rsid w:val="00396F29"/>
    <w:rsid w:val="0039724F"/>
    <w:rsid w:val="00397262"/>
    <w:rsid w:val="00397549"/>
    <w:rsid w:val="003977E3"/>
    <w:rsid w:val="003978A2"/>
    <w:rsid w:val="003978C7"/>
    <w:rsid w:val="0039794A"/>
    <w:rsid w:val="0039798E"/>
    <w:rsid w:val="00397AB5"/>
    <w:rsid w:val="00397BC6"/>
    <w:rsid w:val="00397D05"/>
    <w:rsid w:val="00397DD2"/>
    <w:rsid w:val="00397DF3"/>
    <w:rsid w:val="00397ED9"/>
    <w:rsid w:val="00397F04"/>
    <w:rsid w:val="003A0146"/>
    <w:rsid w:val="003A0249"/>
    <w:rsid w:val="003A0366"/>
    <w:rsid w:val="003A0470"/>
    <w:rsid w:val="003A0495"/>
    <w:rsid w:val="003A071A"/>
    <w:rsid w:val="003A0843"/>
    <w:rsid w:val="003A08B6"/>
    <w:rsid w:val="003A08C1"/>
    <w:rsid w:val="003A099D"/>
    <w:rsid w:val="003A0A74"/>
    <w:rsid w:val="003A0AC6"/>
    <w:rsid w:val="003A0B44"/>
    <w:rsid w:val="003A0C7C"/>
    <w:rsid w:val="003A0D9E"/>
    <w:rsid w:val="003A0E83"/>
    <w:rsid w:val="003A0F81"/>
    <w:rsid w:val="003A107F"/>
    <w:rsid w:val="003A153D"/>
    <w:rsid w:val="003A15AA"/>
    <w:rsid w:val="003A1632"/>
    <w:rsid w:val="003A163F"/>
    <w:rsid w:val="003A1748"/>
    <w:rsid w:val="003A1750"/>
    <w:rsid w:val="003A18AB"/>
    <w:rsid w:val="003A1A05"/>
    <w:rsid w:val="003A1B67"/>
    <w:rsid w:val="003A1B90"/>
    <w:rsid w:val="003A1CCD"/>
    <w:rsid w:val="003A1DE1"/>
    <w:rsid w:val="003A1FB1"/>
    <w:rsid w:val="003A201C"/>
    <w:rsid w:val="003A22AA"/>
    <w:rsid w:val="003A2302"/>
    <w:rsid w:val="003A25F5"/>
    <w:rsid w:val="003A29D3"/>
    <w:rsid w:val="003A2A13"/>
    <w:rsid w:val="003A2A36"/>
    <w:rsid w:val="003A2ABA"/>
    <w:rsid w:val="003A2ACE"/>
    <w:rsid w:val="003A2BD0"/>
    <w:rsid w:val="003A2BE5"/>
    <w:rsid w:val="003A2C5E"/>
    <w:rsid w:val="003A2CBE"/>
    <w:rsid w:val="003A2E22"/>
    <w:rsid w:val="003A2EDE"/>
    <w:rsid w:val="003A3092"/>
    <w:rsid w:val="003A3098"/>
    <w:rsid w:val="003A3470"/>
    <w:rsid w:val="003A36E6"/>
    <w:rsid w:val="003A39A6"/>
    <w:rsid w:val="003A39F5"/>
    <w:rsid w:val="003A3A1F"/>
    <w:rsid w:val="003A3B32"/>
    <w:rsid w:val="003A3BA6"/>
    <w:rsid w:val="003A3BA8"/>
    <w:rsid w:val="003A3C1C"/>
    <w:rsid w:val="003A3E1C"/>
    <w:rsid w:val="003A4242"/>
    <w:rsid w:val="003A436A"/>
    <w:rsid w:val="003A44C1"/>
    <w:rsid w:val="003A455A"/>
    <w:rsid w:val="003A455B"/>
    <w:rsid w:val="003A4680"/>
    <w:rsid w:val="003A46F1"/>
    <w:rsid w:val="003A4976"/>
    <w:rsid w:val="003A4A74"/>
    <w:rsid w:val="003A4AB0"/>
    <w:rsid w:val="003A4B1B"/>
    <w:rsid w:val="003A4C2D"/>
    <w:rsid w:val="003A4F5A"/>
    <w:rsid w:val="003A4FB4"/>
    <w:rsid w:val="003A5087"/>
    <w:rsid w:val="003A52ED"/>
    <w:rsid w:val="003A5435"/>
    <w:rsid w:val="003A5438"/>
    <w:rsid w:val="003A54A8"/>
    <w:rsid w:val="003A5570"/>
    <w:rsid w:val="003A577B"/>
    <w:rsid w:val="003A5875"/>
    <w:rsid w:val="003A599F"/>
    <w:rsid w:val="003A59FC"/>
    <w:rsid w:val="003A5A24"/>
    <w:rsid w:val="003A5B04"/>
    <w:rsid w:val="003A5BF9"/>
    <w:rsid w:val="003A5C09"/>
    <w:rsid w:val="003A5CCF"/>
    <w:rsid w:val="003A5F8F"/>
    <w:rsid w:val="003A6097"/>
    <w:rsid w:val="003A62B9"/>
    <w:rsid w:val="003A64C5"/>
    <w:rsid w:val="003A6574"/>
    <w:rsid w:val="003A65C8"/>
    <w:rsid w:val="003A67F9"/>
    <w:rsid w:val="003A68C7"/>
    <w:rsid w:val="003A691B"/>
    <w:rsid w:val="003A69C3"/>
    <w:rsid w:val="003A6E5E"/>
    <w:rsid w:val="003A7180"/>
    <w:rsid w:val="003A7277"/>
    <w:rsid w:val="003A72B0"/>
    <w:rsid w:val="003A7301"/>
    <w:rsid w:val="003A7357"/>
    <w:rsid w:val="003A78F8"/>
    <w:rsid w:val="003A7A31"/>
    <w:rsid w:val="003A7ACA"/>
    <w:rsid w:val="003A7C3D"/>
    <w:rsid w:val="003A7D75"/>
    <w:rsid w:val="003A7F66"/>
    <w:rsid w:val="003A7FD8"/>
    <w:rsid w:val="003B02C7"/>
    <w:rsid w:val="003B0398"/>
    <w:rsid w:val="003B052A"/>
    <w:rsid w:val="003B05C4"/>
    <w:rsid w:val="003B0762"/>
    <w:rsid w:val="003B08D4"/>
    <w:rsid w:val="003B0945"/>
    <w:rsid w:val="003B09DF"/>
    <w:rsid w:val="003B0A44"/>
    <w:rsid w:val="003B0A83"/>
    <w:rsid w:val="003B0ADF"/>
    <w:rsid w:val="003B0B7C"/>
    <w:rsid w:val="003B0C36"/>
    <w:rsid w:val="003B0DD4"/>
    <w:rsid w:val="003B0EEA"/>
    <w:rsid w:val="003B1035"/>
    <w:rsid w:val="003B10A7"/>
    <w:rsid w:val="003B118E"/>
    <w:rsid w:val="003B11C7"/>
    <w:rsid w:val="003B1270"/>
    <w:rsid w:val="003B1292"/>
    <w:rsid w:val="003B12C6"/>
    <w:rsid w:val="003B13E7"/>
    <w:rsid w:val="003B140A"/>
    <w:rsid w:val="003B153F"/>
    <w:rsid w:val="003B1615"/>
    <w:rsid w:val="003B16CD"/>
    <w:rsid w:val="003B1744"/>
    <w:rsid w:val="003B17C3"/>
    <w:rsid w:val="003B1831"/>
    <w:rsid w:val="003B1880"/>
    <w:rsid w:val="003B1972"/>
    <w:rsid w:val="003B1A27"/>
    <w:rsid w:val="003B1A33"/>
    <w:rsid w:val="003B1B4C"/>
    <w:rsid w:val="003B1CB1"/>
    <w:rsid w:val="003B1D16"/>
    <w:rsid w:val="003B1F19"/>
    <w:rsid w:val="003B2268"/>
    <w:rsid w:val="003B22F5"/>
    <w:rsid w:val="003B2357"/>
    <w:rsid w:val="003B2373"/>
    <w:rsid w:val="003B2490"/>
    <w:rsid w:val="003B2554"/>
    <w:rsid w:val="003B299F"/>
    <w:rsid w:val="003B2B42"/>
    <w:rsid w:val="003B2BC8"/>
    <w:rsid w:val="003B2C2D"/>
    <w:rsid w:val="003B2C34"/>
    <w:rsid w:val="003B2CA3"/>
    <w:rsid w:val="003B2D8E"/>
    <w:rsid w:val="003B2F66"/>
    <w:rsid w:val="003B2FE2"/>
    <w:rsid w:val="003B2FEB"/>
    <w:rsid w:val="003B3042"/>
    <w:rsid w:val="003B30CD"/>
    <w:rsid w:val="003B3467"/>
    <w:rsid w:val="003B34DE"/>
    <w:rsid w:val="003B3501"/>
    <w:rsid w:val="003B3761"/>
    <w:rsid w:val="003B38F1"/>
    <w:rsid w:val="003B3A3A"/>
    <w:rsid w:val="003B3C47"/>
    <w:rsid w:val="003B41D9"/>
    <w:rsid w:val="003B42FB"/>
    <w:rsid w:val="003B431B"/>
    <w:rsid w:val="003B437B"/>
    <w:rsid w:val="003B43AE"/>
    <w:rsid w:val="003B456B"/>
    <w:rsid w:val="003B4597"/>
    <w:rsid w:val="003B4678"/>
    <w:rsid w:val="003B46E4"/>
    <w:rsid w:val="003B498A"/>
    <w:rsid w:val="003B4A12"/>
    <w:rsid w:val="003B4A49"/>
    <w:rsid w:val="003B4A70"/>
    <w:rsid w:val="003B4A80"/>
    <w:rsid w:val="003B4B82"/>
    <w:rsid w:val="003B4DE1"/>
    <w:rsid w:val="003B4DF3"/>
    <w:rsid w:val="003B4E19"/>
    <w:rsid w:val="003B4E2C"/>
    <w:rsid w:val="003B4E7E"/>
    <w:rsid w:val="003B4FA7"/>
    <w:rsid w:val="003B4FC2"/>
    <w:rsid w:val="003B5028"/>
    <w:rsid w:val="003B50FA"/>
    <w:rsid w:val="003B5283"/>
    <w:rsid w:val="003B5284"/>
    <w:rsid w:val="003B52F8"/>
    <w:rsid w:val="003B5383"/>
    <w:rsid w:val="003B5487"/>
    <w:rsid w:val="003B5531"/>
    <w:rsid w:val="003B55AA"/>
    <w:rsid w:val="003B568C"/>
    <w:rsid w:val="003B56FA"/>
    <w:rsid w:val="003B5752"/>
    <w:rsid w:val="003B57FE"/>
    <w:rsid w:val="003B584C"/>
    <w:rsid w:val="003B5886"/>
    <w:rsid w:val="003B588A"/>
    <w:rsid w:val="003B5C17"/>
    <w:rsid w:val="003B5C9E"/>
    <w:rsid w:val="003B5CBD"/>
    <w:rsid w:val="003B5F57"/>
    <w:rsid w:val="003B5F6A"/>
    <w:rsid w:val="003B5FF3"/>
    <w:rsid w:val="003B60E1"/>
    <w:rsid w:val="003B62A2"/>
    <w:rsid w:val="003B6324"/>
    <w:rsid w:val="003B6548"/>
    <w:rsid w:val="003B6585"/>
    <w:rsid w:val="003B6621"/>
    <w:rsid w:val="003B663A"/>
    <w:rsid w:val="003B69D3"/>
    <w:rsid w:val="003B6A2A"/>
    <w:rsid w:val="003B6A7E"/>
    <w:rsid w:val="003B6B6A"/>
    <w:rsid w:val="003B6C01"/>
    <w:rsid w:val="003B6CF6"/>
    <w:rsid w:val="003B6EAE"/>
    <w:rsid w:val="003B6F78"/>
    <w:rsid w:val="003B6FB4"/>
    <w:rsid w:val="003B7070"/>
    <w:rsid w:val="003B70B5"/>
    <w:rsid w:val="003B7246"/>
    <w:rsid w:val="003B7462"/>
    <w:rsid w:val="003B749C"/>
    <w:rsid w:val="003B74C1"/>
    <w:rsid w:val="003B753A"/>
    <w:rsid w:val="003B75A0"/>
    <w:rsid w:val="003B77A3"/>
    <w:rsid w:val="003B7888"/>
    <w:rsid w:val="003B78B3"/>
    <w:rsid w:val="003B7946"/>
    <w:rsid w:val="003B79E0"/>
    <w:rsid w:val="003B7BD4"/>
    <w:rsid w:val="003B7CF0"/>
    <w:rsid w:val="003B7D5E"/>
    <w:rsid w:val="003B7DEA"/>
    <w:rsid w:val="003B7E42"/>
    <w:rsid w:val="003B7E44"/>
    <w:rsid w:val="003B7F59"/>
    <w:rsid w:val="003B7F80"/>
    <w:rsid w:val="003B7FB1"/>
    <w:rsid w:val="003B7FBB"/>
    <w:rsid w:val="003C022B"/>
    <w:rsid w:val="003C0343"/>
    <w:rsid w:val="003C03FB"/>
    <w:rsid w:val="003C06D9"/>
    <w:rsid w:val="003C0853"/>
    <w:rsid w:val="003C0873"/>
    <w:rsid w:val="003C08CA"/>
    <w:rsid w:val="003C0A96"/>
    <w:rsid w:val="003C0C18"/>
    <w:rsid w:val="003C0C29"/>
    <w:rsid w:val="003C0CEB"/>
    <w:rsid w:val="003C0D4E"/>
    <w:rsid w:val="003C0E27"/>
    <w:rsid w:val="003C109C"/>
    <w:rsid w:val="003C11E5"/>
    <w:rsid w:val="003C12F8"/>
    <w:rsid w:val="003C1314"/>
    <w:rsid w:val="003C164A"/>
    <w:rsid w:val="003C1865"/>
    <w:rsid w:val="003C1948"/>
    <w:rsid w:val="003C1B75"/>
    <w:rsid w:val="003C1C27"/>
    <w:rsid w:val="003C1CCE"/>
    <w:rsid w:val="003C1EBF"/>
    <w:rsid w:val="003C1EC7"/>
    <w:rsid w:val="003C1EF6"/>
    <w:rsid w:val="003C1F2C"/>
    <w:rsid w:val="003C1FE9"/>
    <w:rsid w:val="003C2091"/>
    <w:rsid w:val="003C21BC"/>
    <w:rsid w:val="003C21CE"/>
    <w:rsid w:val="003C22B9"/>
    <w:rsid w:val="003C2389"/>
    <w:rsid w:val="003C246D"/>
    <w:rsid w:val="003C2694"/>
    <w:rsid w:val="003C2727"/>
    <w:rsid w:val="003C290A"/>
    <w:rsid w:val="003C296B"/>
    <w:rsid w:val="003C29C9"/>
    <w:rsid w:val="003C2B60"/>
    <w:rsid w:val="003C2B98"/>
    <w:rsid w:val="003C2C8E"/>
    <w:rsid w:val="003C31ED"/>
    <w:rsid w:val="003C326D"/>
    <w:rsid w:val="003C33AE"/>
    <w:rsid w:val="003C3563"/>
    <w:rsid w:val="003C35C8"/>
    <w:rsid w:val="003C35F9"/>
    <w:rsid w:val="003C3657"/>
    <w:rsid w:val="003C3661"/>
    <w:rsid w:val="003C36DE"/>
    <w:rsid w:val="003C374D"/>
    <w:rsid w:val="003C37F7"/>
    <w:rsid w:val="003C39FC"/>
    <w:rsid w:val="003C3A10"/>
    <w:rsid w:val="003C3A96"/>
    <w:rsid w:val="003C3AAF"/>
    <w:rsid w:val="003C3B0B"/>
    <w:rsid w:val="003C3B7D"/>
    <w:rsid w:val="003C3BAE"/>
    <w:rsid w:val="003C3C2F"/>
    <w:rsid w:val="003C3CFD"/>
    <w:rsid w:val="003C3D2B"/>
    <w:rsid w:val="003C3F1E"/>
    <w:rsid w:val="003C3F21"/>
    <w:rsid w:val="003C3FB8"/>
    <w:rsid w:val="003C417E"/>
    <w:rsid w:val="003C41D1"/>
    <w:rsid w:val="003C41E9"/>
    <w:rsid w:val="003C42BA"/>
    <w:rsid w:val="003C430D"/>
    <w:rsid w:val="003C4378"/>
    <w:rsid w:val="003C43CE"/>
    <w:rsid w:val="003C440F"/>
    <w:rsid w:val="003C4481"/>
    <w:rsid w:val="003C4588"/>
    <w:rsid w:val="003C462E"/>
    <w:rsid w:val="003C469F"/>
    <w:rsid w:val="003C4857"/>
    <w:rsid w:val="003C485C"/>
    <w:rsid w:val="003C499C"/>
    <w:rsid w:val="003C501D"/>
    <w:rsid w:val="003C505B"/>
    <w:rsid w:val="003C537D"/>
    <w:rsid w:val="003C54B8"/>
    <w:rsid w:val="003C577F"/>
    <w:rsid w:val="003C5813"/>
    <w:rsid w:val="003C5928"/>
    <w:rsid w:val="003C592D"/>
    <w:rsid w:val="003C59BA"/>
    <w:rsid w:val="003C5A5B"/>
    <w:rsid w:val="003C5AB1"/>
    <w:rsid w:val="003C5BF8"/>
    <w:rsid w:val="003C5CB8"/>
    <w:rsid w:val="003C5DA2"/>
    <w:rsid w:val="003C5DFE"/>
    <w:rsid w:val="003C5E37"/>
    <w:rsid w:val="003C5E60"/>
    <w:rsid w:val="003C5F1A"/>
    <w:rsid w:val="003C5F27"/>
    <w:rsid w:val="003C5F6E"/>
    <w:rsid w:val="003C604D"/>
    <w:rsid w:val="003C604E"/>
    <w:rsid w:val="003C61BD"/>
    <w:rsid w:val="003C61DC"/>
    <w:rsid w:val="003C650F"/>
    <w:rsid w:val="003C6589"/>
    <w:rsid w:val="003C6913"/>
    <w:rsid w:val="003C6A59"/>
    <w:rsid w:val="003C6AED"/>
    <w:rsid w:val="003C6C0B"/>
    <w:rsid w:val="003C6C12"/>
    <w:rsid w:val="003C6CB9"/>
    <w:rsid w:val="003C6DD6"/>
    <w:rsid w:val="003C6E90"/>
    <w:rsid w:val="003C6EAD"/>
    <w:rsid w:val="003C7074"/>
    <w:rsid w:val="003C70A5"/>
    <w:rsid w:val="003C70EA"/>
    <w:rsid w:val="003C7263"/>
    <w:rsid w:val="003C72A1"/>
    <w:rsid w:val="003C7408"/>
    <w:rsid w:val="003C7C22"/>
    <w:rsid w:val="003C7C25"/>
    <w:rsid w:val="003C7C7E"/>
    <w:rsid w:val="003C7D2D"/>
    <w:rsid w:val="003C7E3A"/>
    <w:rsid w:val="003C7E95"/>
    <w:rsid w:val="003C7F21"/>
    <w:rsid w:val="003D003B"/>
    <w:rsid w:val="003D021B"/>
    <w:rsid w:val="003D06C1"/>
    <w:rsid w:val="003D0932"/>
    <w:rsid w:val="003D09A0"/>
    <w:rsid w:val="003D0B39"/>
    <w:rsid w:val="003D0E94"/>
    <w:rsid w:val="003D10C7"/>
    <w:rsid w:val="003D1175"/>
    <w:rsid w:val="003D1190"/>
    <w:rsid w:val="003D123C"/>
    <w:rsid w:val="003D1288"/>
    <w:rsid w:val="003D1302"/>
    <w:rsid w:val="003D13BA"/>
    <w:rsid w:val="003D13F6"/>
    <w:rsid w:val="003D1532"/>
    <w:rsid w:val="003D1585"/>
    <w:rsid w:val="003D171B"/>
    <w:rsid w:val="003D1821"/>
    <w:rsid w:val="003D1E23"/>
    <w:rsid w:val="003D2052"/>
    <w:rsid w:val="003D2085"/>
    <w:rsid w:val="003D2099"/>
    <w:rsid w:val="003D2185"/>
    <w:rsid w:val="003D22BE"/>
    <w:rsid w:val="003D24A7"/>
    <w:rsid w:val="003D25A1"/>
    <w:rsid w:val="003D2828"/>
    <w:rsid w:val="003D285D"/>
    <w:rsid w:val="003D28E2"/>
    <w:rsid w:val="003D2958"/>
    <w:rsid w:val="003D299F"/>
    <w:rsid w:val="003D2CF1"/>
    <w:rsid w:val="003D2F34"/>
    <w:rsid w:val="003D2F42"/>
    <w:rsid w:val="003D2F8A"/>
    <w:rsid w:val="003D3006"/>
    <w:rsid w:val="003D30B3"/>
    <w:rsid w:val="003D3133"/>
    <w:rsid w:val="003D32A2"/>
    <w:rsid w:val="003D35D0"/>
    <w:rsid w:val="003D35FA"/>
    <w:rsid w:val="003D369B"/>
    <w:rsid w:val="003D38F2"/>
    <w:rsid w:val="003D3A44"/>
    <w:rsid w:val="003D3AD1"/>
    <w:rsid w:val="003D3B4C"/>
    <w:rsid w:val="003D3D8F"/>
    <w:rsid w:val="003D3D99"/>
    <w:rsid w:val="003D406A"/>
    <w:rsid w:val="003D42EB"/>
    <w:rsid w:val="003D43E6"/>
    <w:rsid w:val="003D441A"/>
    <w:rsid w:val="003D44AB"/>
    <w:rsid w:val="003D451B"/>
    <w:rsid w:val="003D45C0"/>
    <w:rsid w:val="003D46ED"/>
    <w:rsid w:val="003D47FD"/>
    <w:rsid w:val="003D48A6"/>
    <w:rsid w:val="003D4A70"/>
    <w:rsid w:val="003D4B03"/>
    <w:rsid w:val="003D4B4E"/>
    <w:rsid w:val="003D4DDC"/>
    <w:rsid w:val="003D4F9A"/>
    <w:rsid w:val="003D4FFC"/>
    <w:rsid w:val="003D5047"/>
    <w:rsid w:val="003D5089"/>
    <w:rsid w:val="003D50BA"/>
    <w:rsid w:val="003D51C5"/>
    <w:rsid w:val="003D52DD"/>
    <w:rsid w:val="003D5474"/>
    <w:rsid w:val="003D54EC"/>
    <w:rsid w:val="003D5598"/>
    <w:rsid w:val="003D5642"/>
    <w:rsid w:val="003D5A00"/>
    <w:rsid w:val="003D5BD2"/>
    <w:rsid w:val="003D5F21"/>
    <w:rsid w:val="003D5FFB"/>
    <w:rsid w:val="003D5FFC"/>
    <w:rsid w:val="003D6009"/>
    <w:rsid w:val="003D6021"/>
    <w:rsid w:val="003D60C3"/>
    <w:rsid w:val="003D6160"/>
    <w:rsid w:val="003D61A2"/>
    <w:rsid w:val="003D61D0"/>
    <w:rsid w:val="003D63B8"/>
    <w:rsid w:val="003D646E"/>
    <w:rsid w:val="003D65D3"/>
    <w:rsid w:val="003D68A9"/>
    <w:rsid w:val="003D69A6"/>
    <w:rsid w:val="003D6A67"/>
    <w:rsid w:val="003D6A9C"/>
    <w:rsid w:val="003D6BAC"/>
    <w:rsid w:val="003D6BF4"/>
    <w:rsid w:val="003D6D41"/>
    <w:rsid w:val="003D6D8E"/>
    <w:rsid w:val="003D703E"/>
    <w:rsid w:val="003D7099"/>
    <w:rsid w:val="003D7128"/>
    <w:rsid w:val="003D7132"/>
    <w:rsid w:val="003D7193"/>
    <w:rsid w:val="003D71E7"/>
    <w:rsid w:val="003D73DF"/>
    <w:rsid w:val="003D7530"/>
    <w:rsid w:val="003D7587"/>
    <w:rsid w:val="003D75BB"/>
    <w:rsid w:val="003D768D"/>
    <w:rsid w:val="003D770D"/>
    <w:rsid w:val="003D7832"/>
    <w:rsid w:val="003D785F"/>
    <w:rsid w:val="003D7953"/>
    <w:rsid w:val="003D7A31"/>
    <w:rsid w:val="003D7BD3"/>
    <w:rsid w:val="003D7C27"/>
    <w:rsid w:val="003D7C44"/>
    <w:rsid w:val="003D7E0C"/>
    <w:rsid w:val="003E0083"/>
    <w:rsid w:val="003E00F4"/>
    <w:rsid w:val="003E0125"/>
    <w:rsid w:val="003E0268"/>
    <w:rsid w:val="003E027C"/>
    <w:rsid w:val="003E030F"/>
    <w:rsid w:val="003E037B"/>
    <w:rsid w:val="003E03E4"/>
    <w:rsid w:val="003E0498"/>
    <w:rsid w:val="003E04E2"/>
    <w:rsid w:val="003E0519"/>
    <w:rsid w:val="003E05F0"/>
    <w:rsid w:val="003E06C7"/>
    <w:rsid w:val="003E0886"/>
    <w:rsid w:val="003E08C2"/>
    <w:rsid w:val="003E094B"/>
    <w:rsid w:val="003E0A34"/>
    <w:rsid w:val="003E0ABE"/>
    <w:rsid w:val="003E0B94"/>
    <w:rsid w:val="003E0BD4"/>
    <w:rsid w:val="003E0C1B"/>
    <w:rsid w:val="003E0C96"/>
    <w:rsid w:val="003E0D2D"/>
    <w:rsid w:val="003E0D35"/>
    <w:rsid w:val="003E0E1B"/>
    <w:rsid w:val="003E0E4D"/>
    <w:rsid w:val="003E0FFF"/>
    <w:rsid w:val="003E100C"/>
    <w:rsid w:val="003E100F"/>
    <w:rsid w:val="003E10D5"/>
    <w:rsid w:val="003E10E8"/>
    <w:rsid w:val="003E1382"/>
    <w:rsid w:val="003E1396"/>
    <w:rsid w:val="003E1660"/>
    <w:rsid w:val="003E198C"/>
    <w:rsid w:val="003E1D4F"/>
    <w:rsid w:val="003E1D80"/>
    <w:rsid w:val="003E1E03"/>
    <w:rsid w:val="003E1E6E"/>
    <w:rsid w:val="003E2153"/>
    <w:rsid w:val="003E2233"/>
    <w:rsid w:val="003E225E"/>
    <w:rsid w:val="003E2275"/>
    <w:rsid w:val="003E25D0"/>
    <w:rsid w:val="003E2651"/>
    <w:rsid w:val="003E26A7"/>
    <w:rsid w:val="003E27F4"/>
    <w:rsid w:val="003E28F8"/>
    <w:rsid w:val="003E298B"/>
    <w:rsid w:val="003E2A59"/>
    <w:rsid w:val="003E2B1C"/>
    <w:rsid w:val="003E2BA2"/>
    <w:rsid w:val="003E2BB8"/>
    <w:rsid w:val="003E2E30"/>
    <w:rsid w:val="003E2ECA"/>
    <w:rsid w:val="003E307E"/>
    <w:rsid w:val="003E3083"/>
    <w:rsid w:val="003E30CB"/>
    <w:rsid w:val="003E3154"/>
    <w:rsid w:val="003E31CF"/>
    <w:rsid w:val="003E335A"/>
    <w:rsid w:val="003E3497"/>
    <w:rsid w:val="003E3764"/>
    <w:rsid w:val="003E3983"/>
    <w:rsid w:val="003E3AFF"/>
    <w:rsid w:val="003E3BCC"/>
    <w:rsid w:val="003E3CE7"/>
    <w:rsid w:val="003E3D79"/>
    <w:rsid w:val="003E400A"/>
    <w:rsid w:val="003E4293"/>
    <w:rsid w:val="003E42D8"/>
    <w:rsid w:val="003E437B"/>
    <w:rsid w:val="003E455B"/>
    <w:rsid w:val="003E457D"/>
    <w:rsid w:val="003E45EF"/>
    <w:rsid w:val="003E47EA"/>
    <w:rsid w:val="003E4960"/>
    <w:rsid w:val="003E4A13"/>
    <w:rsid w:val="003E4AD8"/>
    <w:rsid w:val="003E4C86"/>
    <w:rsid w:val="003E4C9E"/>
    <w:rsid w:val="003E4D19"/>
    <w:rsid w:val="003E4DF5"/>
    <w:rsid w:val="003E4F11"/>
    <w:rsid w:val="003E5052"/>
    <w:rsid w:val="003E50B1"/>
    <w:rsid w:val="003E5241"/>
    <w:rsid w:val="003E5296"/>
    <w:rsid w:val="003E52D2"/>
    <w:rsid w:val="003E5313"/>
    <w:rsid w:val="003E5357"/>
    <w:rsid w:val="003E54D5"/>
    <w:rsid w:val="003E54F8"/>
    <w:rsid w:val="003E553D"/>
    <w:rsid w:val="003E553E"/>
    <w:rsid w:val="003E559A"/>
    <w:rsid w:val="003E576B"/>
    <w:rsid w:val="003E5B76"/>
    <w:rsid w:val="003E5CF0"/>
    <w:rsid w:val="003E5E47"/>
    <w:rsid w:val="003E606A"/>
    <w:rsid w:val="003E609F"/>
    <w:rsid w:val="003E61A9"/>
    <w:rsid w:val="003E6411"/>
    <w:rsid w:val="003E6491"/>
    <w:rsid w:val="003E6531"/>
    <w:rsid w:val="003E6635"/>
    <w:rsid w:val="003E667A"/>
    <w:rsid w:val="003E66BA"/>
    <w:rsid w:val="003E673B"/>
    <w:rsid w:val="003E6B1D"/>
    <w:rsid w:val="003E6CB3"/>
    <w:rsid w:val="003E6D09"/>
    <w:rsid w:val="003E7073"/>
    <w:rsid w:val="003E71EF"/>
    <w:rsid w:val="003E73D6"/>
    <w:rsid w:val="003E73E2"/>
    <w:rsid w:val="003E74E6"/>
    <w:rsid w:val="003E76C1"/>
    <w:rsid w:val="003E778E"/>
    <w:rsid w:val="003E77BB"/>
    <w:rsid w:val="003E787E"/>
    <w:rsid w:val="003E7A92"/>
    <w:rsid w:val="003E7BAA"/>
    <w:rsid w:val="003E7C94"/>
    <w:rsid w:val="003E7D85"/>
    <w:rsid w:val="003E7DF0"/>
    <w:rsid w:val="003F00C8"/>
    <w:rsid w:val="003F00CF"/>
    <w:rsid w:val="003F0144"/>
    <w:rsid w:val="003F02DA"/>
    <w:rsid w:val="003F04F6"/>
    <w:rsid w:val="003F052B"/>
    <w:rsid w:val="003F0668"/>
    <w:rsid w:val="003F06B0"/>
    <w:rsid w:val="003F06E8"/>
    <w:rsid w:val="003F0891"/>
    <w:rsid w:val="003F0A73"/>
    <w:rsid w:val="003F0A9F"/>
    <w:rsid w:val="003F0B0E"/>
    <w:rsid w:val="003F0B60"/>
    <w:rsid w:val="003F0BBB"/>
    <w:rsid w:val="003F0BCC"/>
    <w:rsid w:val="003F0C33"/>
    <w:rsid w:val="003F0C45"/>
    <w:rsid w:val="003F0C54"/>
    <w:rsid w:val="003F0DAC"/>
    <w:rsid w:val="003F0E13"/>
    <w:rsid w:val="003F0F5E"/>
    <w:rsid w:val="003F0F6F"/>
    <w:rsid w:val="003F0FAA"/>
    <w:rsid w:val="003F0FCC"/>
    <w:rsid w:val="003F127D"/>
    <w:rsid w:val="003F13E1"/>
    <w:rsid w:val="003F150D"/>
    <w:rsid w:val="003F154F"/>
    <w:rsid w:val="003F156C"/>
    <w:rsid w:val="003F15D3"/>
    <w:rsid w:val="003F163B"/>
    <w:rsid w:val="003F19C6"/>
    <w:rsid w:val="003F1A3F"/>
    <w:rsid w:val="003F1B47"/>
    <w:rsid w:val="003F1BFE"/>
    <w:rsid w:val="003F1C70"/>
    <w:rsid w:val="003F1DA5"/>
    <w:rsid w:val="003F2271"/>
    <w:rsid w:val="003F22B0"/>
    <w:rsid w:val="003F22D3"/>
    <w:rsid w:val="003F22D8"/>
    <w:rsid w:val="003F2302"/>
    <w:rsid w:val="003F263C"/>
    <w:rsid w:val="003F26F4"/>
    <w:rsid w:val="003F270F"/>
    <w:rsid w:val="003F27EF"/>
    <w:rsid w:val="003F2817"/>
    <w:rsid w:val="003F2843"/>
    <w:rsid w:val="003F2BF8"/>
    <w:rsid w:val="003F2CE7"/>
    <w:rsid w:val="003F2D25"/>
    <w:rsid w:val="003F2EEA"/>
    <w:rsid w:val="003F3099"/>
    <w:rsid w:val="003F30BE"/>
    <w:rsid w:val="003F3254"/>
    <w:rsid w:val="003F3460"/>
    <w:rsid w:val="003F3474"/>
    <w:rsid w:val="003F368D"/>
    <w:rsid w:val="003F3866"/>
    <w:rsid w:val="003F386B"/>
    <w:rsid w:val="003F395A"/>
    <w:rsid w:val="003F395E"/>
    <w:rsid w:val="003F3A4B"/>
    <w:rsid w:val="003F3A50"/>
    <w:rsid w:val="003F3A85"/>
    <w:rsid w:val="003F3ACB"/>
    <w:rsid w:val="003F3B2B"/>
    <w:rsid w:val="003F3CEA"/>
    <w:rsid w:val="003F3D11"/>
    <w:rsid w:val="003F3DF1"/>
    <w:rsid w:val="003F3E72"/>
    <w:rsid w:val="003F3F22"/>
    <w:rsid w:val="003F405D"/>
    <w:rsid w:val="003F417A"/>
    <w:rsid w:val="003F4193"/>
    <w:rsid w:val="003F41C3"/>
    <w:rsid w:val="003F43C1"/>
    <w:rsid w:val="003F43CE"/>
    <w:rsid w:val="003F4515"/>
    <w:rsid w:val="003F454D"/>
    <w:rsid w:val="003F4568"/>
    <w:rsid w:val="003F45AE"/>
    <w:rsid w:val="003F461C"/>
    <w:rsid w:val="003F4755"/>
    <w:rsid w:val="003F47A8"/>
    <w:rsid w:val="003F48B9"/>
    <w:rsid w:val="003F4942"/>
    <w:rsid w:val="003F4AC0"/>
    <w:rsid w:val="003F4B10"/>
    <w:rsid w:val="003F4BE4"/>
    <w:rsid w:val="003F4C44"/>
    <w:rsid w:val="003F4CB5"/>
    <w:rsid w:val="003F4DB7"/>
    <w:rsid w:val="003F4EAD"/>
    <w:rsid w:val="003F4FB9"/>
    <w:rsid w:val="003F50FB"/>
    <w:rsid w:val="003F544D"/>
    <w:rsid w:val="003F547B"/>
    <w:rsid w:val="003F55CE"/>
    <w:rsid w:val="003F5633"/>
    <w:rsid w:val="003F567F"/>
    <w:rsid w:val="003F5715"/>
    <w:rsid w:val="003F58A5"/>
    <w:rsid w:val="003F5B25"/>
    <w:rsid w:val="003F5C2E"/>
    <w:rsid w:val="003F5DC3"/>
    <w:rsid w:val="003F5DEB"/>
    <w:rsid w:val="003F5DEC"/>
    <w:rsid w:val="003F5E82"/>
    <w:rsid w:val="003F5F5E"/>
    <w:rsid w:val="003F5FDC"/>
    <w:rsid w:val="003F6056"/>
    <w:rsid w:val="003F6057"/>
    <w:rsid w:val="003F60D4"/>
    <w:rsid w:val="003F62F4"/>
    <w:rsid w:val="003F6341"/>
    <w:rsid w:val="003F642B"/>
    <w:rsid w:val="003F6902"/>
    <w:rsid w:val="003F6925"/>
    <w:rsid w:val="003F69B5"/>
    <w:rsid w:val="003F69D9"/>
    <w:rsid w:val="003F6B23"/>
    <w:rsid w:val="003F6BC9"/>
    <w:rsid w:val="003F6BD0"/>
    <w:rsid w:val="003F6D84"/>
    <w:rsid w:val="003F6E1C"/>
    <w:rsid w:val="003F7052"/>
    <w:rsid w:val="003F72DA"/>
    <w:rsid w:val="003F74FD"/>
    <w:rsid w:val="003F75FE"/>
    <w:rsid w:val="003F7600"/>
    <w:rsid w:val="003F7691"/>
    <w:rsid w:val="003F771B"/>
    <w:rsid w:val="003F7744"/>
    <w:rsid w:val="003F787E"/>
    <w:rsid w:val="003F7938"/>
    <w:rsid w:val="003F7971"/>
    <w:rsid w:val="003F7AE3"/>
    <w:rsid w:val="003F7C77"/>
    <w:rsid w:val="003F7DD0"/>
    <w:rsid w:val="003F7F3C"/>
    <w:rsid w:val="0040006D"/>
    <w:rsid w:val="0040012E"/>
    <w:rsid w:val="004001C5"/>
    <w:rsid w:val="004003AA"/>
    <w:rsid w:val="004004B4"/>
    <w:rsid w:val="0040053F"/>
    <w:rsid w:val="004008D4"/>
    <w:rsid w:val="00400B45"/>
    <w:rsid w:val="00400EA3"/>
    <w:rsid w:val="00400EA8"/>
    <w:rsid w:val="00400F4E"/>
    <w:rsid w:val="00400FC6"/>
    <w:rsid w:val="00400FE5"/>
    <w:rsid w:val="0040109B"/>
    <w:rsid w:val="004010C1"/>
    <w:rsid w:val="004012D4"/>
    <w:rsid w:val="004013DC"/>
    <w:rsid w:val="00401510"/>
    <w:rsid w:val="00401565"/>
    <w:rsid w:val="00401567"/>
    <w:rsid w:val="00401676"/>
    <w:rsid w:val="00401692"/>
    <w:rsid w:val="004016E4"/>
    <w:rsid w:val="00401809"/>
    <w:rsid w:val="00401A29"/>
    <w:rsid w:val="00401C27"/>
    <w:rsid w:val="00401C8D"/>
    <w:rsid w:val="00401D35"/>
    <w:rsid w:val="00401D8E"/>
    <w:rsid w:val="00401D9E"/>
    <w:rsid w:val="00401E36"/>
    <w:rsid w:val="00401E78"/>
    <w:rsid w:val="00401E9E"/>
    <w:rsid w:val="00401F28"/>
    <w:rsid w:val="00401F68"/>
    <w:rsid w:val="0040200B"/>
    <w:rsid w:val="00402057"/>
    <w:rsid w:val="004023D5"/>
    <w:rsid w:val="0040240D"/>
    <w:rsid w:val="00402536"/>
    <w:rsid w:val="00402621"/>
    <w:rsid w:val="004027F6"/>
    <w:rsid w:val="00402828"/>
    <w:rsid w:val="00402884"/>
    <w:rsid w:val="004028EC"/>
    <w:rsid w:val="00402914"/>
    <w:rsid w:val="00402A4F"/>
    <w:rsid w:val="00402C34"/>
    <w:rsid w:val="00402D7F"/>
    <w:rsid w:val="00402F1A"/>
    <w:rsid w:val="00402FAF"/>
    <w:rsid w:val="00402FE4"/>
    <w:rsid w:val="004030A8"/>
    <w:rsid w:val="004032F6"/>
    <w:rsid w:val="004033E0"/>
    <w:rsid w:val="0040350F"/>
    <w:rsid w:val="0040370A"/>
    <w:rsid w:val="00403768"/>
    <w:rsid w:val="0040393D"/>
    <w:rsid w:val="00403989"/>
    <w:rsid w:val="00403A81"/>
    <w:rsid w:val="00403CB2"/>
    <w:rsid w:val="00403E52"/>
    <w:rsid w:val="00403EAB"/>
    <w:rsid w:val="00403F3F"/>
    <w:rsid w:val="00403F77"/>
    <w:rsid w:val="00404078"/>
    <w:rsid w:val="004040A6"/>
    <w:rsid w:val="004040D4"/>
    <w:rsid w:val="00404297"/>
    <w:rsid w:val="004045DF"/>
    <w:rsid w:val="0040466F"/>
    <w:rsid w:val="0040484C"/>
    <w:rsid w:val="00404969"/>
    <w:rsid w:val="00404B01"/>
    <w:rsid w:val="00404B06"/>
    <w:rsid w:val="00404C19"/>
    <w:rsid w:val="00404CBF"/>
    <w:rsid w:val="00404E87"/>
    <w:rsid w:val="00404F07"/>
    <w:rsid w:val="00404FD5"/>
    <w:rsid w:val="00405025"/>
    <w:rsid w:val="00405051"/>
    <w:rsid w:val="004050FA"/>
    <w:rsid w:val="0040517D"/>
    <w:rsid w:val="0040523F"/>
    <w:rsid w:val="00405263"/>
    <w:rsid w:val="00405541"/>
    <w:rsid w:val="0040556D"/>
    <w:rsid w:val="00405618"/>
    <w:rsid w:val="00405620"/>
    <w:rsid w:val="004056E7"/>
    <w:rsid w:val="00405917"/>
    <w:rsid w:val="00405A59"/>
    <w:rsid w:val="00405B0F"/>
    <w:rsid w:val="00405C46"/>
    <w:rsid w:val="00405D13"/>
    <w:rsid w:val="00405D38"/>
    <w:rsid w:val="00405D84"/>
    <w:rsid w:val="00405E85"/>
    <w:rsid w:val="004060D9"/>
    <w:rsid w:val="00406334"/>
    <w:rsid w:val="004063AC"/>
    <w:rsid w:val="00406463"/>
    <w:rsid w:val="0040646F"/>
    <w:rsid w:val="004064F2"/>
    <w:rsid w:val="00406500"/>
    <w:rsid w:val="004066FB"/>
    <w:rsid w:val="00406925"/>
    <w:rsid w:val="00406942"/>
    <w:rsid w:val="00406AB5"/>
    <w:rsid w:val="00406B0D"/>
    <w:rsid w:val="00406BEA"/>
    <w:rsid w:val="00406BF8"/>
    <w:rsid w:val="00406D3E"/>
    <w:rsid w:val="00406DBD"/>
    <w:rsid w:val="00406F3B"/>
    <w:rsid w:val="00406FB9"/>
    <w:rsid w:val="00406FED"/>
    <w:rsid w:val="00406FF2"/>
    <w:rsid w:val="0040733E"/>
    <w:rsid w:val="0040743D"/>
    <w:rsid w:val="0040760B"/>
    <w:rsid w:val="004076F9"/>
    <w:rsid w:val="004077EC"/>
    <w:rsid w:val="0040784F"/>
    <w:rsid w:val="004078DD"/>
    <w:rsid w:val="00407918"/>
    <w:rsid w:val="00407B0D"/>
    <w:rsid w:val="00407B85"/>
    <w:rsid w:val="00407C75"/>
    <w:rsid w:val="00407DA3"/>
    <w:rsid w:val="00410085"/>
    <w:rsid w:val="004101AB"/>
    <w:rsid w:val="004102A1"/>
    <w:rsid w:val="0041031C"/>
    <w:rsid w:val="0041037A"/>
    <w:rsid w:val="0041043F"/>
    <w:rsid w:val="004104A1"/>
    <w:rsid w:val="004105D0"/>
    <w:rsid w:val="0041060E"/>
    <w:rsid w:val="004108E9"/>
    <w:rsid w:val="00410B4B"/>
    <w:rsid w:val="00410C8E"/>
    <w:rsid w:val="00410DC4"/>
    <w:rsid w:val="0041120A"/>
    <w:rsid w:val="004113CD"/>
    <w:rsid w:val="0041157A"/>
    <w:rsid w:val="004116DF"/>
    <w:rsid w:val="00411933"/>
    <w:rsid w:val="00411ABD"/>
    <w:rsid w:val="00411C21"/>
    <w:rsid w:val="00411D50"/>
    <w:rsid w:val="00411DE8"/>
    <w:rsid w:val="00411E30"/>
    <w:rsid w:val="00411EBE"/>
    <w:rsid w:val="00412374"/>
    <w:rsid w:val="00412432"/>
    <w:rsid w:val="00412433"/>
    <w:rsid w:val="0041249A"/>
    <w:rsid w:val="00412517"/>
    <w:rsid w:val="00412563"/>
    <w:rsid w:val="00412627"/>
    <w:rsid w:val="00412638"/>
    <w:rsid w:val="004127E9"/>
    <w:rsid w:val="0041289D"/>
    <w:rsid w:val="00412954"/>
    <w:rsid w:val="0041299F"/>
    <w:rsid w:val="004129FB"/>
    <w:rsid w:val="00412A31"/>
    <w:rsid w:val="00412CFC"/>
    <w:rsid w:val="00412DF7"/>
    <w:rsid w:val="00412E09"/>
    <w:rsid w:val="00412EA4"/>
    <w:rsid w:val="00412F11"/>
    <w:rsid w:val="0041309D"/>
    <w:rsid w:val="004130E4"/>
    <w:rsid w:val="00413144"/>
    <w:rsid w:val="004131CC"/>
    <w:rsid w:val="004132B5"/>
    <w:rsid w:val="00413372"/>
    <w:rsid w:val="004133EE"/>
    <w:rsid w:val="00413418"/>
    <w:rsid w:val="0041343E"/>
    <w:rsid w:val="0041369D"/>
    <w:rsid w:val="004136E2"/>
    <w:rsid w:val="004136E6"/>
    <w:rsid w:val="00413880"/>
    <w:rsid w:val="0041394C"/>
    <w:rsid w:val="00413A51"/>
    <w:rsid w:val="00413B31"/>
    <w:rsid w:val="00413B7A"/>
    <w:rsid w:val="00413C3C"/>
    <w:rsid w:val="00413C89"/>
    <w:rsid w:val="00413D6E"/>
    <w:rsid w:val="00413DBB"/>
    <w:rsid w:val="00413DF8"/>
    <w:rsid w:val="0041427B"/>
    <w:rsid w:val="004142A4"/>
    <w:rsid w:val="004143B2"/>
    <w:rsid w:val="0041456E"/>
    <w:rsid w:val="00414595"/>
    <w:rsid w:val="0041460A"/>
    <w:rsid w:val="00414671"/>
    <w:rsid w:val="00414696"/>
    <w:rsid w:val="00414874"/>
    <w:rsid w:val="00414A01"/>
    <w:rsid w:val="00414A9C"/>
    <w:rsid w:val="00414CFB"/>
    <w:rsid w:val="00414D80"/>
    <w:rsid w:val="00414DEF"/>
    <w:rsid w:val="00414F2D"/>
    <w:rsid w:val="00414FC9"/>
    <w:rsid w:val="00415017"/>
    <w:rsid w:val="0041503B"/>
    <w:rsid w:val="00415080"/>
    <w:rsid w:val="004150A9"/>
    <w:rsid w:val="004150E4"/>
    <w:rsid w:val="00415180"/>
    <w:rsid w:val="0041529F"/>
    <w:rsid w:val="00415309"/>
    <w:rsid w:val="00415370"/>
    <w:rsid w:val="004154BD"/>
    <w:rsid w:val="0041552D"/>
    <w:rsid w:val="0041559E"/>
    <w:rsid w:val="004155AB"/>
    <w:rsid w:val="004155F9"/>
    <w:rsid w:val="0041578D"/>
    <w:rsid w:val="004157E8"/>
    <w:rsid w:val="0041587D"/>
    <w:rsid w:val="004158CF"/>
    <w:rsid w:val="00415AA3"/>
    <w:rsid w:val="00415B28"/>
    <w:rsid w:val="00415B53"/>
    <w:rsid w:val="00415C13"/>
    <w:rsid w:val="00415D79"/>
    <w:rsid w:val="00415E14"/>
    <w:rsid w:val="00415ED1"/>
    <w:rsid w:val="00415F88"/>
    <w:rsid w:val="00415FCE"/>
    <w:rsid w:val="00416030"/>
    <w:rsid w:val="0041611E"/>
    <w:rsid w:val="004161E9"/>
    <w:rsid w:val="00416458"/>
    <w:rsid w:val="00416628"/>
    <w:rsid w:val="00416897"/>
    <w:rsid w:val="0041692A"/>
    <w:rsid w:val="00416A07"/>
    <w:rsid w:val="00416A66"/>
    <w:rsid w:val="00416B0C"/>
    <w:rsid w:val="00416B0E"/>
    <w:rsid w:val="00416B15"/>
    <w:rsid w:val="00416B47"/>
    <w:rsid w:val="00416BAE"/>
    <w:rsid w:val="00416E51"/>
    <w:rsid w:val="00416E57"/>
    <w:rsid w:val="00416F78"/>
    <w:rsid w:val="00417144"/>
    <w:rsid w:val="00417251"/>
    <w:rsid w:val="004172E6"/>
    <w:rsid w:val="00417346"/>
    <w:rsid w:val="00417348"/>
    <w:rsid w:val="00417354"/>
    <w:rsid w:val="00417420"/>
    <w:rsid w:val="004174B8"/>
    <w:rsid w:val="0041762A"/>
    <w:rsid w:val="004176EE"/>
    <w:rsid w:val="00417931"/>
    <w:rsid w:val="00417972"/>
    <w:rsid w:val="00417A0F"/>
    <w:rsid w:val="00417A89"/>
    <w:rsid w:val="00417B74"/>
    <w:rsid w:val="00417BB7"/>
    <w:rsid w:val="00417BC2"/>
    <w:rsid w:val="00417C6A"/>
    <w:rsid w:val="00417C77"/>
    <w:rsid w:val="00417C92"/>
    <w:rsid w:val="00417D52"/>
    <w:rsid w:val="00417DDE"/>
    <w:rsid w:val="00417E80"/>
    <w:rsid w:val="00417EC6"/>
    <w:rsid w:val="0042009B"/>
    <w:rsid w:val="004200D1"/>
    <w:rsid w:val="004200DF"/>
    <w:rsid w:val="004200EC"/>
    <w:rsid w:val="004201C9"/>
    <w:rsid w:val="004203A0"/>
    <w:rsid w:val="004203B8"/>
    <w:rsid w:val="004203BB"/>
    <w:rsid w:val="004203F0"/>
    <w:rsid w:val="0042047A"/>
    <w:rsid w:val="004204BA"/>
    <w:rsid w:val="0042058D"/>
    <w:rsid w:val="00420731"/>
    <w:rsid w:val="00420737"/>
    <w:rsid w:val="004207D6"/>
    <w:rsid w:val="004207E2"/>
    <w:rsid w:val="004209A8"/>
    <w:rsid w:val="004209C5"/>
    <w:rsid w:val="00420B69"/>
    <w:rsid w:val="00420E59"/>
    <w:rsid w:val="0042100B"/>
    <w:rsid w:val="0042103D"/>
    <w:rsid w:val="004211B5"/>
    <w:rsid w:val="00421665"/>
    <w:rsid w:val="004216E0"/>
    <w:rsid w:val="00421755"/>
    <w:rsid w:val="00421771"/>
    <w:rsid w:val="00421881"/>
    <w:rsid w:val="004218A2"/>
    <w:rsid w:val="004218C7"/>
    <w:rsid w:val="004219A4"/>
    <w:rsid w:val="00421C04"/>
    <w:rsid w:val="00421D14"/>
    <w:rsid w:val="00421E4C"/>
    <w:rsid w:val="00421EDE"/>
    <w:rsid w:val="00421EE1"/>
    <w:rsid w:val="00421EFC"/>
    <w:rsid w:val="00421FFC"/>
    <w:rsid w:val="0042209D"/>
    <w:rsid w:val="00422129"/>
    <w:rsid w:val="00422179"/>
    <w:rsid w:val="004221A3"/>
    <w:rsid w:val="0042232A"/>
    <w:rsid w:val="0042246D"/>
    <w:rsid w:val="00422505"/>
    <w:rsid w:val="004226A8"/>
    <w:rsid w:val="00422895"/>
    <w:rsid w:val="00422987"/>
    <w:rsid w:val="00422A33"/>
    <w:rsid w:val="00422CA6"/>
    <w:rsid w:val="00422E2D"/>
    <w:rsid w:val="00422EF0"/>
    <w:rsid w:val="004230AF"/>
    <w:rsid w:val="004230C6"/>
    <w:rsid w:val="004230DA"/>
    <w:rsid w:val="004230ED"/>
    <w:rsid w:val="004231EB"/>
    <w:rsid w:val="0042323A"/>
    <w:rsid w:val="0042327A"/>
    <w:rsid w:val="00423449"/>
    <w:rsid w:val="00423456"/>
    <w:rsid w:val="0042346C"/>
    <w:rsid w:val="0042347E"/>
    <w:rsid w:val="004234B9"/>
    <w:rsid w:val="004235FA"/>
    <w:rsid w:val="0042362A"/>
    <w:rsid w:val="00423882"/>
    <w:rsid w:val="0042388F"/>
    <w:rsid w:val="004238A0"/>
    <w:rsid w:val="004238DA"/>
    <w:rsid w:val="004238E8"/>
    <w:rsid w:val="00423A35"/>
    <w:rsid w:val="00423F71"/>
    <w:rsid w:val="00423F80"/>
    <w:rsid w:val="00423F99"/>
    <w:rsid w:val="00423FB2"/>
    <w:rsid w:val="004242FF"/>
    <w:rsid w:val="00424459"/>
    <w:rsid w:val="004244C9"/>
    <w:rsid w:val="00424770"/>
    <w:rsid w:val="004247A6"/>
    <w:rsid w:val="004247C3"/>
    <w:rsid w:val="004247ED"/>
    <w:rsid w:val="0042484E"/>
    <w:rsid w:val="004248BF"/>
    <w:rsid w:val="00424956"/>
    <w:rsid w:val="004249B5"/>
    <w:rsid w:val="00424B35"/>
    <w:rsid w:val="00424BE7"/>
    <w:rsid w:val="00424CBF"/>
    <w:rsid w:val="00424E79"/>
    <w:rsid w:val="00424EA5"/>
    <w:rsid w:val="00424EC3"/>
    <w:rsid w:val="00425096"/>
    <w:rsid w:val="00425297"/>
    <w:rsid w:val="004255CE"/>
    <w:rsid w:val="00425814"/>
    <w:rsid w:val="00425907"/>
    <w:rsid w:val="00425B63"/>
    <w:rsid w:val="00425BBA"/>
    <w:rsid w:val="00425D79"/>
    <w:rsid w:val="00425ED7"/>
    <w:rsid w:val="00425F21"/>
    <w:rsid w:val="004260FF"/>
    <w:rsid w:val="0042618F"/>
    <w:rsid w:val="00426194"/>
    <w:rsid w:val="004261E8"/>
    <w:rsid w:val="00426219"/>
    <w:rsid w:val="004264E0"/>
    <w:rsid w:val="00426744"/>
    <w:rsid w:val="00426849"/>
    <w:rsid w:val="00426AE1"/>
    <w:rsid w:val="00426BB4"/>
    <w:rsid w:val="00426C55"/>
    <w:rsid w:val="00426E6C"/>
    <w:rsid w:val="00426E91"/>
    <w:rsid w:val="00426F52"/>
    <w:rsid w:val="00426FB9"/>
    <w:rsid w:val="00427068"/>
    <w:rsid w:val="004273A0"/>
    <w:rsid w:val="0042740B"/>
    <w:rsid w:val="004274A5"/>
    <w:rsid w:val="004274B2"/>
    <w:rsid w:val="0042764A"/>
    <w:rsid w:val="004276F8"/>
    <w:rsid w:val="00427713"/>
    <w:rsid w:val="0042778E"/>
    <w:rsid w:val="004278A1"/>
    <w:rsid w:val="00427D11"/>
    <w:rsid w:val="00427EA9"/>
    <w:rsid w:val="00427FC0"/>
    <w:rsid w:val="00430186"/>
    <w:rsid w:val="004301D6"/>
    <w:rsid w:val="0043061F"/>
    <w:rsid w:val="0043066A"/>
    <w:rsid w:val="00430701"/>
    <w:rsid w:val="00430831"/>
    <w:rsid w:val="00430958"/>
    <w:rsid w:val="00430994"/>
    <w:rsid w:val="00430B59"/>
    <w:rsid w:val="00430B9E"/>
    <w:rsid w:val="00430C5B"/>
    <w:rsid w:val="00430E5C"/>
    <w:rsid w:val="004311B4"/>
    <w:rsid w:val="004316FC"/>
    <w:rsid w:val="0043176B"/>
    <w:rsid w:val="004317A7"/>
    <w:rsid w:val="004319B0"/>
    <w:rsid w:val="004319D8"/>
    <w:rsid w:val="00431A0E"/>
    <w:rsid w:val="00431AEE"/>
    <w:rsid w:val="00431C08"/>
    <w:rsid w:val="00431D48"/>
    <w:rsid w:val="00431DC6"/>
    <w:rsid w:val="00431E85"/>
    <w:rsid w:val="00431F14"/>
    <w:rsid w:val="00432122"/>
    <w:rsid w:val="00432177"/>
    <w:rsid w:val="00432214"/>
    <w:rsid w:val="004322FA"/>
    <w:rsid w:val="0043249B"/>
    <w:rsid w:val="0043251C"/>
    <w:rsid w:val="00432532"/>
    <w:rsid w:val="004326F8"/>
    <w:rsid w:val="0043276B"/>
    <w:rsid w:val="00432A86"/>
    <w:rsid w:val="00432B02"/>
    <w:rsid w:val="00432C84"/>
    <w:rsid w:val="00432DBC"/>
    <w:rsid w:val="00432E17"/>
    <w:rsid w:val="00432EB5"/>
    <w:rsid w:val="00432F5B"/>
    <w:rsid w:val="00433004"/>
    <w:rsid w:val="00433006"/>
    <w:rsid w:val="00433104"/>
    <w:rsid w:val="00433209"/>
    <w:rsid w:val="004334DC"/>
    <w:rsid w:val="004336A8"/>
    <w:rsid w:val="0043372B"/>
    <w:rsid w:val="004337AB"/>
    <w:rsid w:val="004337EC"/>
    <w:rsid w:val="00433B48"/>
    <w:rsid w:val="00433CF3"/>
    <w:rsid w:val="00433D54"/>
    <w:rsid w:val="00433F47"/>
    <w:rsid w:val="00433F76"/>
    <w:rsid w:val="004340B9"/>
    <w:rsid w:val="00434274"/>
    <w:rsid w:val="004342AA"/>
    <w:rsid w:val="004342B1"/>
    <w:rsid w:val="00434356"/>
    <w:rsid w:val="004344DB"/>
    <w:rsid w:val="004346B6"/>
    <w:rsid w:val="004348C8"/>
    <w:rsid w:val="00434B77"/>
    <w:rsid w:val="00434C67"/>
    <w:rsid w:val="00434D1C"/>
    <w:rsid w:val="00434DF3"/>
    <w:rsid w:val="00434F14"/>
    <w:rsid w:val="004350AA"/>
    <w:rsid w:val="0043515B"/>
    <w:rsid w:val="00435336"/>
    <w:rsid w:val="0043535E"/>
    <w:rsid w:val="00435411"/>
    <w:rsid w:val="004354F6"/>
    <w:rsid w:val="0043567D"/>
    <w:rsid w:val="004356A4"/>
    <w:rsid w:val="004356A8"/>
    <w:rsid w:val="004358F7"/>
    <w:rsid w:val="00435A9C"/>
    <w:rsid w:val="00435B45"/>
    <w:rsid w:val="00435B66"/>
    <w:rsid w:val="00435CEE"/>
    <w:rsid w:val="00435D3A"/>
    <w:rsid w:val="00435DCA"/>
    <w:rsid w:val="00435E77"/>
    <w:rsid w:val="00435EE7"/>
    <w:rsid w:val="00435FA1"/>
    <w:rsid w:val="004362A8"/>
    <w:rsid w:val="00436343"/>
    <w:rsid w:val="00436403"/>
    <w:rsid w:val="004364F8"/>
    <w:rsid w:val="0043658E"/>
    <w:rsid w:val="004365C4"/>
    <w:rsid w:val="004368D7"/>
    <w:rsid w:val="004369FB"/>
    <w:rsid w:val="00436A97"/>
    <w:rsid w:val="00436B1B"/>
    <w:rsid w:val="00436C9A"/>
    <w:rsid w:val="00436CC1"/>
    <w:rsid w:val="00436D6A"/>
    <w:rsid w:val="00436D74"/>
    <w:rsid w:val="00436E54"/>
    <w:rsid w:val="00436E60"/>
    <w:rsid w:val="00436FAF"/>
    <w:rsid w:val="004371B1"/>
    <w:rsid w:val="00437241"/>
    <w:rsid w:val="00437280"/>
    <w:rsid w:val="00437292"/>
    <w:rsid w:val="004373FE"/>
    <w:rsid w:val="00437658"/>
    <w:rsid w:val="004377C5"/>
    <w:rsid w:val="00437ABA"/>
    <w:rsid w:val="00437ADE"/>
    <w:rsid w:val="00437B97"/>
    <w:rsid w:val="00437CEC"/>
    <w:rsid w:val="00437D41"/>
    <w:rsid w:val="00437DA1"/>
    <w:rsid w:val="00437DB7"/>
    <w:rsid w:val="00437E86"/>
    <w:rsid w:val="00437F0D"/>
    <w:rsid w:val="00437F81"/>
    <w:rsid w:val="004401FF"/>
    <w:rsid w:val="004402E9"/>
    <w:rsid w:val="00440349"/>
    <w:rsid w:val="004405C2"/>
    <w:rsid w:val="004406B3"/>
    <w:rsid w:val="00440847"/>
    <w:rsid w:val="00440934"/>
    <w:rsid w:val="004409A1"/>
    <w:rsid w:val="00440A01"/>
    <w:rsid w:val="00440AE2"/>
    <w:rsid w:val="00440AF8"/>
    <w:rsid w:val="00440D19"/>
    <w:rsid w:val="00440EAF"/>
    <w:rsid w:val="00440F6B"/>
    <w:rsid w:val="00440F8C"/>
    <w:rsid w:val="004414CF"/>
    <w:rsid w:val="004416FE"/>
    <w:rsid w:val="004417E6"/>
    <w:rsid w:val="00441820"/>
    <w:rsid w:val="00441896"/>
    <w:rsid w:val="004418B0"/>
    <w:rsid w:val="004418CC"/>
    <w:rsid w:val="00441A09"/>
    <w:rsid w:val="00441A50"/>
    <w:rsid w:val="00441BBD"/>
    <w:rsid w:val="00441BD6"/>
    <w:rsid w:val="00441BF3"/>
    <w:rsid w:val="00441E3F"/>
    <w:rsid w:val="00441FDA"/>
    <w:rsid w:val="00442016"/>
    <w:rsid w:val="00442048"/>
    <w:rsid w:val="00442170"/>
    <w:rsid w:val="00442355"/>
    <w:rsid w:val="00442393"/>
    <w:rsid w:val="00442586"/>
    <w:rsid w:val="00442635"/>
    <w:rsid w:val="0044265B"/>
    <w:rsid w:val="00442737"/>
    <w:rsid w:val="00442981"/>
    <w:rsid w:val="00442A18"/>
    <w:rsid w:val="00442C82"/>
    <w:rsid w:val="004430F4"/>
    <w:rsid w:val="0044313F"/>
    <w:rsid w:val="004434ED"/>
    <w:rsid w:val="00443533"/>
    <w:rsid w:val="004437EB"/>
    <w:rsid w:val="0044399F"/>
    <w:rsid w:val="00443A04"/>
    <w:rsid w:val="00443CC9"/>
    <w:rsid w:val="00443D89"/>
    <w:rsid w:val="00443DCC"/>
    <w:rsid w:val="00443DE1"/>
    <w:rsid w:val="00443ECC"/>
    <w:rsid w:val="00443FC5"/>
    <w:rsid w:val="00443FDC"/>
    <w:rsid w:val="0044400D"/>
    <w:rsid w:val="00444209"/>
    <w:rsid w:val="0044439E"/>
    <w:rsid w:val="00444479"/>
    <w:rsid w:val="004444DD"/>
    <w:rsid w:val="00444538"/>
    <w:rsid w:val="00444661"/>
    <w:rsid w:val="004448AF"/>
    <w:rsid w:val="00444917"/>
    <w:rsid w:val="004449D5"/>
    <w:rsid w:val="00444C65"/>
    <w:rsid w:val="00444CC5"/>
    <w:rsid w:val="00444D5C"/>
    <w:rsid w:val="00444E9E"/>
    <w:rsid w:val="00444EB4"/>
    <w:rsid w:val="00444F10"/>
    <w:rsid w:val="0044501D"/>
    <w:rsid w:val="004454C8"/>
    <w:rsid w:val="004454F6"/>
    <w:rsid w:val="00445545"/>
    <w:rsid w:val="00445882"/>
    <w:rsid w:val="0044589D"/>
    <w:rsid w:val="00445941"/>
    <w:rsid w:val="004459D9"/>
    <w:rsid w:val="00445AFD"/>
    <w:rsid w:val="00445CBE"/>
    <w:rsid w:val="00445D2D"/>
    <w:rsid w:val="00445F89"/>
    <w:rsid w:val="00446114"/>
    <w:rsid w:val="00446121"/>
    <w:rsid w:val="0044618C"/>
    <w:rsid w:val="004463E0"/>
    <w:rsid w:val="00446410"/>
    <w:rsid w:val="00446427"/>
    <w:rsid w:val="004464A7"/>
    <w:rsid w:val="004464C3"/>
    <w:rsid w:val="004467D2"/>
    <w:rsid w:val="00446994"/>
    <w:rsid w:val="00446CA5"/>
    <w:rsid w:val="00446D1F"/>
    <w:rsid w:val="00446D31"/>
    <w:rsid w:val="00446F74"/>
    <w:rsid w:val="00446FBE"/>
    <w:rsid w:val="00447004"/>
    <w:rsid w:val="004470DB"/>
    <w:rsid w:val="004472AD"/>
    <w:rsid w:val="00447577"/>
    <w:rsid w:val="004475DB"/>
    <w:rsid w:val="004476F1"/>
    <w:rsid w:val="004477A5"/>
    <w:rsid w:val="0044780C"/>
    <w:rsid w:val="0044783D"/>
    <w:rsid w:val="00447847"/>
    <w:rsid w:val="0044797D"/>
    <w:rsid w:val="00447A24"/>
    <w:rsid w:val="00447BB2"/>
    <w:rsid w:val="00447CA1"/>
    <w:rsid w:val="00447CF3"/>
    <w:rsid w:val="00447D27"/>
    <w:rsid w:val="00447F20"/>
    <w:rsid w:val="0045000E"/>
    <w:rsid w:val="00450074"/>
    <w:rsid w:val="0045007B"/>
    <w:rsid w:val="004501CD"/>
    <w:rsid w:val="00450247"/>
    <w:rsid w:val="004502E9"/>
    <w:rsid w:val="00450351"/>
    <w:rsid w:val="004503E0"/>
    <w:rsid w:val="004503EF"/>
    <w:rsid w:val="00450513"/>
    <w:rsid w:val="004508C7"/>
    <w:rsid w:val="004508CE"/>
    <w:rsid w:val="004508FD"/>
    <w:rsid w:val="0045096A"/>
    <w:rsid w:val="00450AC8"/>
    <w:rsid w:val="00450C6A"/>
    <w:rsid w:val="00450C7C"/>
    <w:rsid w:val="00450E19"/>
    <w:rsid w:val="00450F9C"/>
    <w:rsid w:val="0045118D"/>
    <w:rsid w:val="004512E6"/>
    <w:rsid w:val="00451411"/>
    <w:rsid w:val="004514A1"/>
    <w:rsid w:val="00451528"/>
    <w:rsid w:val="00451709"/>
    <w:rsid w:val="0045176E"/>
    <w:rsid w:val="004517BD"/>
    <w:rsid w:val="004517EB"/>
    <w:rsid w:val="004517F0"/>
    <w:rsid w:val="00451918"/>
    <w:rsid w:val="00451959"/>
    <w:rsid w:val="00451BB4"/>
    <w:rsid w:val="00451D72"/>
    <w:rsid w:val="00451E22"/>
    <w:rsid w:val="00451FE8"/>
    <w:rsid w:val="00452381"/>
    <w:rsid w:val="0045249A"/>
    <w:rsid w:val="00452520"/>
    <w:rsid w:val="0045259F"/>
    <w:rsid w:val="00452693"/>
    <w:rsid w:val="00452938"/>
    <w:rsid w:val="0045298E"/>
    <w:rsid w:val="00452A50"/>
    <w:rsid w:val="00452B89"/>
    <w:rsid w:val="00452C98"/>
    <w:rsid w:val="00452CC1"/>
    <w:rsid w:val="00452D35"/>
    <w:rsid w:val="00452EC4"/>
    <w:rsid w:val="004530B2"/>
    <w:rsid w:val="0045338E"/>
    <w:rsid w:val="00453484"/>
    <w:rsid w:val="004535E3"/>
    <w:rsid w:val="00453826"/>
    <w:rsid w:val="004538C5"/>
    <w:rsid w:val="00453B16"/>
    <w:rsid w:val="00453B3B"/>
    <w:rsid w:val="00453BAC"/>
    <w:rsid w:val="00453D63"/>
    <w:rsid w:val="00453FF1"/>
    <w:rsid w:val="00454004"/>
    <w:rsid w:val="0045407B"/>
    <w:rsid w:val="00454201"/>
    <w:rsid w:val="004542D4"/>
    <w:rsid w:val="0045434E"/>
    <w:rsid w:val="00454356"/>
    <w:rsid w:val="0045440A"/>
    <w:rsid w:val="004545AD"/>
    <w:rsid w:val="004545E3"/>
    <w:rsid w:val="0045469C"/>
    <w:rsid w:val="00454707"/>
    <w:rsid w:val="00454751"/>
    <w:rsid w:val="00454833"/>
    <w:rsid w:val="00454B13"/>
    <w:rsid w:val="00454B76"/>
    <w:rsid w:val="00454DAF"/>
    <w:rsid w:val="00454E54"/>
    <w:rsid w:val="00454FBB"/>
    <w:rsid w:val="0045509C"/>
    <w:rsid w:val="00455225"/>
    <w:rsid w:val="00455297"/>
    <w:rsid w:val="004552A5"/>
    <w:rsid w:val="0045533B"/>
    <w:rsid w:val="00455538"/>
    <w:rsid w:val="004555CD"/>
    <w:rsid w:val="004557EF"/>
    <w:rsid w:val="00455AD1"/>
    <w:rsid w:val="00455AFE"/>
    <w:rsid w:val="00455E3A"/>
    <w:rsid w:val="00455F3D"/>
    <w:rsid w:val="00455F6D"/>
    <w:rsid w:val="00455F7E"/>
    <w:rsid w:val="0045604E"/>
    <w:rsid w:val="00456102"/>
    <w:rsid w:val="00456290"/>
    <w:rsid w:val="004562AB"/>
    <w:rsid w:val="004562DA"/>
    <w:rsid w:val="004565A9"/>
    <w:rsid w:val="0045692D"/>
    <w:rsid w:val="00456962"/>
    <w:rsid w:val="004569CE"/>
    <w:rsid w:val="00456A73"/>
    <w:rsid w:val="00456E92"/>
    <w:rsid w:val="00456F71"/>
    <w:rsid w:val="00457062"/>
    <w:rsid w:val="0045710F"/>
    <w:rsid w:val="00457126"/>
    <w:rsid w:val="00457201"/>
    <w:rsid w:val="00457279"/>
    <w:rsid w:val="00457361"/>
    <w:rsid w:val="0045748A"/>
    <w:rsid w:val="0045752D"/>
    <w:rsid w:val="0045753B"/>
    <w:rsid w:val="0045761C"/>
    <w:rsid w:val="0045765F"/>
    <w:rsid w:val="0045776E"/>
    <w:rsid w:val="0045789B"/>
    <w:rsid w:val="0045799C"/>
    <w:rsid w:val="00457AE9"/>
    <w:rsid w:val="00457BAF"/>
    <w:rsid w:val="00457C89"/>
    <w:rsid w:val="00457F4B"/>
    <w:rsid w:val="00457FA1"/>
    <w:rsid w:val="00460096"/>
    <w:rsid w:val="00460140"/>
    <w:rsid w:val="00460224"/>
    <w:rsid w:val="004602FA"/>
    <w:rsid w:val="0046038A"/>
    <w:rsid w:val="0046040D"/>
    <w:rsid w:val="004604A2"/>
    <w:rsid w:val="004604AF"/>
    <w:rsid w:val="00460574"/>
    <w:rsid w:val="004606A4"/>
    <w:rsid w:val="004606A8"/>
    <w:rsid w:val="0046072F"/>
    <w:rsid w:val="004607F2"/>
    <w:rsid w:val="00460805"/>
    <w:rsid w:val="00460878"/>
    <w:rsid w:val="0046089C"/>
    <w:rsid w:val="0046092A"/>
    <w:rsid w:val="00460958"/>
    <w:rsid w:val="00460B46"/>
    <w:rsid w:val="00460C36"/>
    <w:rsid w:val="00460C90"/>
    <w:rsid w:val="00460C9E"/>
    <w:rsid w:val="00460CAA"/>
    <w:rsid w:val="00460CD5"/>
    <w:rsid w:val="00460D3A"/>
    <w:rsid w:val="00460E41"/>
    <w:rsid w:val="00460E6F"/>
    <w:rsid w:val="00460F07"/>
    <w:rsid w:val="0046115D"/>
    <w:rsid w:val="0046118B"/>
    <w:rsid w:val="004611AF"/>
    <w:rsid w:val="004612F5"/>
    <w:rsid w:val="004612F8"/>
    <w:rsid w:val="0046132F"/>
    <w:rsid w:val="00461789"/>
    <w:rsid w:val="004618B7"/>
    <w:rsid w:val="0046194F"/>
    <w:rsid w:val="00461AAA"/>
    <w:rsid w:val="00461AEB"/>
    <w:rsid w:val="00461BE3"/>
    <w:rsid w:val="00461C01"/>
    <w:rsid w:val="00461C7C"/>
    <w:rsid w:val="00461D43"/>
    <w:rsid w:val="00461FB4"/>
    <w:rsid w:val="00462169"/>
    <w:rsid w:val="00462179"/>
    <w:rsid w:val="004624C9"/>
    <w:rsid w:val="004624FC"/>
    <w:rsid w:val="0046250E"/>
    <w:rsid w:val="00462650"/>
    <w:rsid w:val="0046289D"/>
    <w:rsid w:val="004629ED"/>
    <w:rsid w:val="00462A8A"/>
    <w:rsid w:val="00462C7A"/>
    <w:rsid w:val="00462D4E"/>
    <w:rsid w:val="00462D6E"/>
    <w:rsid w:val="00462D6F"/>
    <w:rsid w:val="00462D7A"/>
    <w:rsid w:val="00462DA9"/>
    <w:rsid w:val="00462EAB"/>
    <w:rsid w:val="00462F8A"/>
    <w:rsid w:val="004630E5"/>
    <w:rsid w:val="00463175"/>
    <w:rsid w:val="004631C8"/>
    <w:rsid w:val="00463200"/>
    <w:rsid w:val="00463309"/>
    <w:rsid w:val="00463379"/>
    <w:rsid w:val="0046348D"/>
    <w:rsid w:val="0046353C"/>
    <w:rsid w:val="00463682"/>
    <w:rsid w:val="004636D6"/>
    <w:rsid w:val="00463757"/>
    <w:rsid w:val="004637D0"/>
    <w:rsid w:val="00463A1F"/>
    <w:rsid w:val="00463A3E"/>
    <w:rsid w:val="00463BA3"/>
    <w:rsid w:val="00463C1F"/>
    <w:rsid w:val="00463D28"/>
    <w:rsid w:val="00463D66"/>
    <w:rsid w:val="00463DBE"/>
    <w:rsid w:val="00463E3E"/>
    <w:rsid w:val="004640C2"/>
    <w:rsid w:val="00464142"/>
    <w:rsid w:val="00464171"/>
    <w:rsid w:val="00464173"/>
    <w:rsid w:val="00464229"/>
    <w:rsid w:val="00464237"/>
    <w:rsid w:val="00464251"/>
    <w:rsid w:val="00464283"/>
    <w:rsid w:val="00464381"/>
    <w:rsid w:val="004644F2"/>
    <w:rsid w:val="00464525"/>
    <w:rsid w:val="0046454B"/>
    <w:rsid w:val="004645F3"/>
    <w:rsid w:val="00464608"/>
    <w:rsid w:val="00464958"/>
    <w:rsid w:val="00464AB6"/>
    <w:rsid w:val="00464B41"/>
    <w:rsid w:val="00464B64"/>
    <w:rsid w:val="00464BA8"/>
    <w:rsid w:val="00464C01"/>
    <w:rsid w:val="00464CEF"/>
    <w:rsid w:val="00464CF2"/>
    <w:rsid w:val="00464D4D"/>
    <w:rsid w:val="00464E16"/>
    <w:rsid w:val="0046533B"/>
    <w:rsid w:val="004653A0"/>
    <w:rsid w:val="0046554A"/>
    <w:rsid w:val="00465563"/>
    <w:rsid w:val="004659E5"/>
    <w:rsid w:val="00465AB0"/>
    <w:rsid w:val="00465AFA"/>
    <w:rsid w:val="00465B09"/>
    <w:rsid w:val="00465CCD"/>
    <w:rsid w:val="00465DCA"/>
    <w:rsid w:val="00465F92"/>
    <w:rsid w:val="00466087"/>
    <w:rsid w:val="004660DD"/>
    <w:rsid w:val="00466100"/>
    <w:rsid w:val="004662A9"/>
    <w:rsid w:val="00466351"/>
    <w:rsid w:val="004663FE"/>
    <w:rsid w:val="00466465"/>
    <w:rsid w:val="00466492"/>
    <w:rsid w:val="00466593"/>
    <w:rsid w:val="004666D1"/>
    <w:rsid w:val="00466793"/>
    <w:rsid w:val="004667AD"/>
    <w:rsid w:val="004667BC"/>
    <w:rsid w:val="004667CB"/>
    <w:rsid w:val="0046695A"/>
    <w:rsid w:val="00466984"/>
    <w:rsid w:val="004669DA"/>
    <w:rsid w:val="00466A16"/>
    <w:rsid w:val="00466A42"/>
    <w:rsid w:val="00466ADD"/>
    <w:rsid w:val="00466C87"/>
    <w:rsid w:val="00466E0D"/>
    <w:rsid w:val="00466EA7"/>
    <w:rsid w:val="00466F6E"/>
    <w:rsid w:val="00466F93"/>
    <w:rsid w:val="00466FB9"/>
    <w:rsid w:val="00466FF9"/>
    <w:rsid w:val="004671DA"/>
    <w:rsid w:val="0046724E"/>
    <w:rsid w:val="0046727F"/>
    <w:rsid w:val="00467357"/>
    <w:rsid w:val="00467419"/>
    <w:rsid w:val="00467434"/>
    <w:rsid w:val="00467447"/>
    <w:rsid w:val="00467587"/>
    <w:rsid w:val="004676D0"/>
    <w:rsid w:val="004677B3"/>
    <w:rsid w:val="004677BD"/>
    <w:rsid w:val="00467806"/>
    <w:rsid w:val="004678CE"/>
    <w:rsid w:val="00467BC0"/>
    <w:rsid w:val="00467C61"/>
    <w:rsid w:val="00467CAF"/>
    <w:rsid w:val="00467CEB"/>
    <w:rsid w:val="00467E12"/>
    <w:rsid w:val="00467E21"/>
    <w:rsid w:val="00467E28"/>
    <w:rsid w:val="00467EDB"/>
    <w:rsid w:val="00467F76"/>
    <w:rsid w:val="00470058"/>
    <w:rsid w:val="0047014C"/>
    <w:rsid w:val="004701FA"/>
    <w:rsid w:val="004702CE"/>
    <w:rsid w:val="00470332"/>
    <w:rsid w:val="00470356"/>
    <w:rsid w:val="0047038D"/>
    <w:rsid w:val="00470519"/>
    <w:rsid w:val="004705F9"/>
    <w:rsid w:val="0047066B"/>
    <w:rsid w:val="00470704"/>
    <w:rsid w:val="00470823"/>
    <w:rsid w:val="00470924"/>
    <w:rsid w:val="004709E8"/>
    <w:rsid w:val="00470BEF"/>
    <w:rsid w:val="00470E52"/>
    <w:rsid w:val="00470FA2"/>
    <w:rsid w:val="00470FF1"/>
    <w:rsid w:val="00471065"/>
    <w:rsid w:val="0047109F"/>
    <w:rsid w:val="00471146"/>
    <w:rsid w:val="00471256"/>
    <w:rsid w:val="00471304"/>
    <w:rsid w:val="0047145B"/>
    <w:rsid w:val="00471485"/>
    <w:rsid w:val="0047150B"/>
    <w:rsid w:val="00471664"/>
    <w:rsid w:val="004716D9"/>
    <w:rsid w:val="004716F2"/>
    <w:rsid w:val="0047174F"/>
    <w:rsid w:val="0047178A"/>
    <w:rsid w:val="004718F5"/>
    <w:rsid w:val="00471AD1"/>
    <w:rsid w:val="00471BF5"/>
    <w:rsid w:val="00471EC0"/>
    <w:rsid w:val="0047217D"/>
    <w:rsid w:val="004721BA"/>
    <w:rsid w:val="004722EC"/>
    <w:rsid w:val="0047233D"/>
    <w:rsid w:val="00472353"/>
    <w:rsid w:val="0047268B"/>
    <w:rsid w:val="00472699"/>
    <w:rsid w:val="0047272F"/>
    <w:rsid w:val="00472816"/>
    <w:rsid w:val="004728DE"/>
    <w:rsid w:val="00472A5B"/>
    <w:rsid w:val="00472A67"/>
    <w:rsid w:val="00472AAB"/>
    <w:rsid w:val="00472BA3"/>
    <w:rsid w:val="00472BAB"/>
    <w:rsid w:val="00472C5E"/>
    <w:rsid w:val="00472D0D"/>
    <w:rsid w:val="00472DDF"/>
    <w:rsid w:val="00472F4D"/>
    <w:rsid w:val="004730D4"/>
    <w:rsid w:val="00473260"/>
    <w:rsid w:val="00473377"/>
    <w:rsid w:val="004733B9"/>
    <w:rsid w:val="00473401"/>
    <w:rsid w:val="004735FA"/>
    <w:rsid w:val="00473787"/>
    <w:rsid w:val="00473919"/>
    <w:rsid w:val="00473B61"/>
    <w:rsid w:val="00473CE6"/>
    <w:rsid w:val="00473D57"/>
    <w:rsid w:val="00473D7D"/>
    <w:rsid w:val="00473E9F"/>
    <w:rsid w:val="00474008"/>
    <w:rsid w:val="00474011"/>
    <w:rsid w:val="004740FE"/>
    <w:rsid w:val="00474136"/>
    <w:rsid w:val="00474146"/>
    <w:rsid w:val="0047414D"/>
    <w:rsid w:val="00474411"/>
    <w:rsid w:val="00474422"/>
    <w:rsid w:val="004744E1"/>
    <w:rsid w:val="00474579"/>
    <w:rsid w:val="0047467C"/>
    <w:rsid w:val="004746C6"/>
    <w:rsid w:val="00474840"/>
    <w:rsid w:val="0047498F"/>
    <w:rsid w:val="00474A4B"/>
    <w:rsid w:val="00474B5A"/>
    <w:rsid w:val="00474C3C"/>
    <w:rsid w:val="00475026"/>
    <w:rsid w:val="004751E2"/>
    <w:rsid w:val="00475358"/>
    <w:rsid w:val="0047548E"/>
    <w:rsid w:val="004754D8"/>
    <w:rsid w:val="00475622"/>
    <w:rsid w:val="004756AD"/>
    <w:rsid w:val="004756E2"/>
    <w:rsid w:val="0047576E"/>
    <w:rsid w:val="00475A85"/>
    <w:rsid w:val="00475AC7"/>
    <w:rsid w:val="00475BAA"/>
    <w:rsid w:val="00475C11"/>
    <w:rsid w:val="00475EA2"/>
    <w:rsid w:val="00475FCF"/>
    <w:rsid w:val="00476070"/>
    <w:rsid w:val="00476317"/>
    <w:rsid w:val="0047660C"/>
    <w:rsid w:val="00476629"/>
    <w:rsid w:val="004767E9"/>
    <w:rsid w:val="004769D6"/>
    <w:rsid w:val="00476B85"/>
    <w:rsid w:val="00476EF8"/>
    <w:rsid w:val="00476F49"/>
    <w:rsid w:val="00476FF0"/>
    <w:rsid w:val="00477151"/>
    <w:rsid w:val="00477188"/>
    <w:rsid w:val="0047741C"/>
    <w:rsid w:val="00477454"/>
    <w:rsid w:val="00477514"/>
    <w:rsid w:val="0047775D"/>
    <w:rsid w:val="00477887"/>
    <w:rsid w:val="004778E0"/>
    <w:rsid w:val="00477B55"/>
    <w:rsid w:val="00477BB3"/>
    <w:rsid w:val="00477C72"/>
    <w:rsid w:val="00477FF3"/>
    <w:rsid w:val="00477FFE"/>
    <w:rsid w:val="0048001F"/>
    <w:rsid w:val="0048008F"/>
    <w:rsid w:val="004801AC"/>
    <w:rsid w:val="004801B0"/>
    <w:rsid w:val="004801B4"/>
    <w:rsid w:val="004803F4"/>
    <w:rsid w:val="00480403"/>
    <w:rsid w:val="00480448"/>
    <w:rsid w:val="00480473"/>
    <w:rsid w:val="0048052D"/>
    <w:rsid w:val="00480632"/>
    <w:rsid w:val="0048064A"/>
    <w:rsid w:val="004806BD"/>
    <w:rsid w:val="004806EF"/>
    <w:rsid w:val="004808B8"/>
    <w:rsid w:val="004808C8"/>
    <w:rsid w:val="00480A20"/>
    <w:rsid w:val="00480AF2"/>
    <w:rsid w:val="00480D10"/>
    <w:rsid w:val="00480D8F"/>
    <w:rsid w:val="00480F0F"/>
    <w:rsid w:val="0048144B"/>
    <w:rsid w:val="004815CB"/>
    <w:rsid w:val="004815FD"/>
    <w:rsid w:val="00481616"/>
    <w:rsid w:val="004816A3"/>
    <w:rsid w:val="004817FA"/>
    <w:rsid w:val="004818F5"/>
    <w:rsid w:val="00481994"/>
    <w:rsid w:val="00481B2C"/>
    <w:rsid w:val="00481C15"/>
    <w:rsid w:val="00481D5A"/>
    <w:rsid w:val="00481D98"/>
    <w:rsid w:val="00481F6D"/>
    <w:rsid w:val="004820DF"/>
    <w:rsid w:val="0048214A"/>
    <w:rsid w:val="004821A6"/>
    <w:rsid w:val="00482426"/>
    <w:rsid w:val="0048272E"/>
    <w:rsid w:val="00482ECF"/>
    <w:rsid w:val="0048312A"/>
    <w:rsid w:val="004831A4"/>
    <w:rsid w:val="004831E1"/>
    <w:rsid w:val="00483230"/>
    <w:rsid w:val="004832F5"/>
    <w:rsid w:val="00483597"/>
    <w:rsid w:val="004837E3"/>
    <w:rsid w:val="004839DF"/>
    <w:rsid w:val="00483A4E"/>
    <w:rsid w:val="00483D1F"/>
    <w:rsid w:val="00483F14"/>
    <w:rsid w:val="00483F37"/>
    <w:rsid w:val="00483F4F"/>
    <w:rsid w:val="00483FA7"/>
    <w:rsid w:val="0048409D"/>
    <w:rsid w:val="00484235"/>
    <w:rsid w:val="004842CE"/>
    <w:rsid w:val="00484353"/>
    <w:rsid w:val="004844FE"/>
    <w:rsid w:val="0048454C"/>
    <w:rsid w:val="00484555"/>
    <w:rsid w:val="00484669"/>
    <w:rsid w:val="00484728"/>
    <w:rsid w:val="0048474D"/>
    <w:rsid w:val="0048474E"/>
    <w:rsid w:val="00484765"/>
    <w:rsid w:val="004847B9"/>
    <w:rsid w:val="004847F0"/>
    <w:rsid w:val="0048495F"/>
    <w:rsid w:val="00484A12"/>
    <w:rsid w:val="00484AF5"/>
    <w:rsid w:val="00484B85"/>
    <w:rsid w:val="00484C78"/>
    <w:rsid w:val="00484D5C"/>
    <w:rsid w:val="00484E5C"/>
    <w:rsid w:val="00484F77"/>
    <w:rsid w:val="0048505B"/>
    <w:rsid w:val="004851A2"/>
    <w:rsid w:val="00485337"/>
    <w:rsid w:val="004853A9"/>
    <w:rsid w:val="004854B9"/>
    <w:rsid w:val="004857C0"/>
    <w:rsid w:val="004858BA"/>
    <w:rsid w:val="0048597E"/>
    <w:rsid w:val="0048599A"/>
    <w:rsid w:val="004859D5"/>
    <w:rsid w:val="004859FA"/>
    <w:rsid w:val="00485B09"/>
    <w:rsid w:val="00485BF9"/>
    <w:rsid w:val="00485CB3"/>
    <w:rsid w:val="00485F49"/>
    <w:rsid w:val="00485FF4"/>
    <w:rsid w:val="00486115"/>
    <w:rsid w:val="004862F8"/>
    <w:rsid w:val="00486319"/>
    <w:rsid w:val="004863C1"/>
    <w:rsid w:val="004863D3"/>
    <w:rsid w:val="004863ED"/>
    <w:rsid w:val="004864F4"/>
    <w:rsid w:val="004864FB"/>
    <w:rsid w:val="004865C1"/>
    <w:rsid w:val="004865E7"/>
    <w:rsid w:val="0048668F"/>
    <w:rsid w:val="00486A88"/>
    <w:rsid w:val="00486C57"/>
    <w:rsid w:val="00486CBB"/>
    <w:rsid w:val="00486F3C"/>
    <w:rsid w:val="00487158"/>
    <w:rsid w:val="00487160"/>
    <w:rsid w:val="0048723A"/>
    <w:rsid w:val="004873E2"/>
    <w:rsid w:val="004873E5"/>
    <w:rsid w:val="004874F2"/>
    <w:rsid w:val="004875BA"/>
    <w:rsid w:val="004875C9"/>
    <w:rsid w:val="004876E0"/>
    <w:rsid w:val="00487877"/>
    <w:rsid w:val="00487880"/>
    <w:rsid w:val="00487AE8"/>
    <w:rsid w:val="00487B8E"/>
    <w:rsid w:val="00487BA9"/>
    <w:rsid w:val="00487CFB"/>
    <w:rsid w:val="00487DC3"/>
    <w:rsid w:val="00487DE8"/>
    <w:rsid w:val="00490114"/>
    <w:rsid w:val="0049021A"/>
    <w:rsid w:val="0049033B"/>
    <w:rsid w:val="00490656"/>
    <w:rsid w:val="00490770"/>
    <w:rsid w:val="004907A8"/>
    <w:rsid w:val="0049087F"/>
    <w:rsid w:val="00490992"/>
    <w:rsid w:val="00490A81"/>
    <w:rsid w:val="00490BD9"/>
    <w:rsid w:val="00490C84"/>
    <w:rsid w:val="00490D2F"/>
    <w:rsid w:val="00490DFC"/>
    <w:rsid w:val="00490E4C"/>
    <w:rsid w:val="00490F03"/>
    <w:rsid w:val="00490F0A"/>
    <w:rsid w:val="00491184"/>
    <w:rsid w:val="004912AD"/>
    <w:rsid w:val="004912C7"/>
    <w:rsid w:val="004913F0"/>
    <w:rsid w:val="004914AF"/>
    <w:rsid w:val="004914D1"/>
    <w:rsid w:val="0049153D"/>
    <w:rsid w:val="004915A9"/>
    <w:rsid w:val="00491639"/>
    <w:rsid w:val="00491648"/>
    <w:rsid w:val="0049167E"/>
    <w:rsid w:val="00491732"/>
    <w:rsid w:val="00491795"/>
    <w:rsid w:val="004918F0"/>
    <w:rsid w:val="00491AC9"/>
    <w:rsid w:val="00491EC2"/>
    <w:rsid w:val="0049227E"/>
    <w:rsid w:val="00492300"/>
    <w:rsid w:val="0049244F"/>
    <w:rsid w:val="00492673"/>
    <w:rsid w:val="00492786"/>
    <w:rsid w:val="00492829"/>
    <w:rsid w:val="00492890"/>
    <w:rsid w:val="00492BD8"/>
    <w:rsid w:val="00492C17"/>
    <w:rsid w:val="00492C29"/>
    <w:rsid w:val="00492C45"/>
    <w:rsid w:val="00492D07"/>
    <w:rsid w:val="00492D49"/>
    <w:rsid w:val="00492D9A"/>
    <w:rsid w:val="00492DA9"/>
    <w:rsid w:val="00492DE5"/>
    <w:rsid w:val="00492E58"/>
    <w:rsid w:val="00492E61"/>
    <w:rsid w:val="00492E67"/>
    <w:rsid w:val="00492EE8"/>
    <w:rsid w:val="00492FE5"/>
    <w:rsid w:val="0049302B"/>
    <w:rsid w:val="0049308E"/>
    <w:rsid w:val="004930D8"/>
    <w:rsid w:val="00493130"/>
    <w:rsid w:val="00493201"/>
    <w:rsid w:val="0049345B"/>
    <w:rsid w:val="0049347F"/>
    <w:rsid w:val="0049351A"/>
    <w:rsid w:val="004935C7"/>
    <w:rsid w:val="00493684"/>
    <w:rsid w:val="0049371B"/>
    <w:rsid w:val="0049374E"/>
    <w:rsid w:val="004939AE"/>
    <w:rsid w:val="00493B1C"/>
    <w:rsid w:val="00493D40"/>
    <w:rsid w:val="00493D66"/>
    <w:rsid w:val="00493DB8"/>
    <w:rsid w:val="00493E09"/>
    <w:rsid w:val="00493F77"/>
    <w:rsid w:val="0049419D"/>
    <w:rsid w:val="0049422B"/>
    <w:rsid w:val="00494241"/>
    <w:rsid w:val="00494311"/>
    <w:rsid w:val="00494330"/>
    <w:rsid w:val="00494374"/>
    <w:rsid w:val="00494379"/>
    <w:rsid w:val="00494395"/>
    <w:rsid w:val="004943BE"/>
    <w:rsid w:val="0049457D"/>
    <w:rsid w:val="00494613"/>
    <w:rsid w:val="00494705"/>
    <w:rsid w:val="0049472C"/>
    <w:rsid w:val="004947CF"/>
    <w:rsid w:val="004947E4"/>
    <w:rsid w:val="0049483A"/>
    <w:rsid w:val="004948C0"/>
    <w:rsid w:val="00494A41"/>
    <w:rsid w:val="00494B59"/>
    <w:rsid w:val="00494B6B"/>
    <w:rsid w:val="00494E55"/>
    <w:rsid w:val="00494ECC"/>
    <w:rsid w:val="00494F3F"/>
    <w:rsid w:val="00494F95"/>
    <w:rsid w:val="0049503D"/>
    <w:rsid w:val="00495164"/>
    <w:rsid w:val="0049520B"/>
    <w:rsid w:val="0049520F"/>
    <w:rsid w:val="00495270"/>
    <w:rsid w:val="00495348"/>
    <w:rsid w:val="004954E6"/>
    <w:rsid w:val="004955B0"/>
    <w:rsid w:val="004956F7"/>
    <w:rsid w:val="004956F8"/>
    <w:rsid w:val="004957CB"/>
    <w:rsid w:val="004958E3"/>
    <w:rsid w:val="00495ABA"/>
    <w:rsid w:val="00495B1D"/>
    <w:rsid w:val="00495C12"/>
    <w:rsid w:val="00495D21"/>
    <w:rsid w:val="00495E32"/>
    <w:rsid w:val="00496065"/>
    <w:rsid w:val="004961CA"/>
    <w:rsid w:val="00496225"/>
    <w:rsid w:val="004963E7"/>
    <w:rsid w:val="00496423"/>
    <w:rsid w:val="00496497"/>
    <w:rsid w:val="0049656A"/>
    <w:rsid w:val="004965D3"/>
    <w:rsid w:val="00496886"/>
    <w:rsid w:val="00496956"/>
    <w:rsid w:val="00496E51"/>
    <w:rsid w:val="00496E65"/>
    <w:rsid w:val="004970B2"/>
    <w:rsid w:val="0049715D"/>
    <w:rsid w:val="00497383"/>
    <w:rsid w:val="00497428"/>
    <w:rsid w:val="004974DD"/>
    <w:rsid w:val="00497535"/>
    <w:rsid w:val="0049756E"/>
    <w:rsid w:val="00497590"/>
    <w:rsid w:val="0049760A"/>
    <w:rsid w:val="004976E2"/>
    <w:rsid w:val="00497816"/>
    <w:rsid w:val="00497827"/>
    <w:rsid w:val="0049782C"/>
    <w:rsid w:val="0049798B"/>
    <w:rsid w:val="00497AA6"/>
    <w:rsid w:val="00497CD0"/>
    <w:rsid w:val="00497D78"/>
    <w:rsid w:val="00497DD2"/>
    <w:rsid w:val="00497F4D"/>
    <w:rsid w:val="00497F54"/>
    <w:rsid w:val="00497FBA"/>
    <w:rsid w:val="004A00B5"/>
    <w:rsid w:val="004A0172"/>
    <w:rsid w:val="004A01AD"/>
    <w:rsid w:val="004A01C5"/>
    <w:rsid w:val="004A0237"/>
    <w:rsid w:val="004A0437"/>
    <w:rsid w:val="004A04C7"/>
    <w:rsid w:val="004A04EE"/>
    <w:rsid w:val="004A0607"/>
    <w:rsid w:val="004A0639"/>
    <w:rsid w:val="004A0818"/>
    <w:rsid w:val="004A0832"/>
    <w:rsid w:val="004A0955"/>
    <w:rsid w:val="004A0A24"/>
    <w:rsid w:val="004A0A40"/>
    <w:rsid w:val="004A0A5F"/>
    <w:rsid w:val="004A0AAC"/>
    <w:rsid w:val="004A0CA6"/>
    <w:rsid w:val="004A0D5B"/>
    <w:rsid w:val="004A0DBE"/>
    <w:rsid w:val="004A0E45"/>
    <w:rsid w:val="004A0EC8"/>
    <w:rsid w:val="004A1139"/>
    <w:rsid w:val="004A1271"/>
    <w:rsid w:val="004A12BD"/>
    <w:rsid w:val="004A1483"/>
    <w:rsid w:val="004A1A54"/>
    <w:rsid w:val="004A1D0D"/>
    <w:rsid w:val="004A1DB2"/>
    <w:rsid w:val="004A1DB3"/>
    <w:rsid w:val="004A1FD9"/>
    <w:rsid w:val="004A2105"/>
    <w:rsid w:val="004A210E"/>
    <w:rsid w:val="004A216E"/>
    <w:rsid w:val="004A2182"/>
    <w:rsid w:val="004A21F9"/>
    <w:rsid w:val="004A2243"/>
    <w:rsid w:val="004A2296"/>
    <w:rsid w:val="004A25D0"/>
    <w:rsid w:val="004A2753"/>
    <w:rsid w:val="004A2902"/>
    <w:rsid w:val="004A2917"/>
    <w:rsid w:val="004A292A"/>
    <w:rsid w:val="004A2B12"/>
    <w:rsid w:val="004A2B3C"/>
    <w:rsid w:val="004A2D07"/>
    <w:rsid w:val="004A2E0C"/>
    <w:rsid w:val="004A2E8F"/>
    <w:rsid w:val="004A2FD1"/>
    <w:rsid w:val="004A3055"/>
    <w:rsid w:val="004A30A8"/>
    <w:rsid w:val="004A30EF"/>
    <w:rsid w:val="004A3126"/>
    <w:rsid w:val="004A336D"/>
    <w:rsid w:val="004A33F6"/>
    <w:rsid w:val="004A342A"/>
    <w:rsid w:val="004A3493"/>
    <w:rsid w:val="004A34DA"/>
    <w:rsid w:val="004A356D"/>
    <w:rsid w:val="004A36FF"/>
    <w:rsid w:val="004A3759"/>
    <w:rsid w:val="004A3873"/>
    <w:rsid w:val="004A389E"/>
    <w:rsid w:val="004A3A62"/>
    <w:rsid w:val="004A3ADE"/>
    <w:rsid w:val="004A3C4A"/>
    <w:rsid w:val="004A3CCC"/>
    <w:rsid w:val="004A3F34"/>
    <w:rsid w:val="004A40C7"/>
    <w:rsid w:val="004A4161"/>
    <w:rsid w:val="004A4200"/>
    <w:rsid w:val="004A4405"/>
    <w:rsid w:val="004A46A8"/>
    <w:rsid w:val="004A4794"/>
    <w:rsid w:val="004A4960"/>
    <w:rsid w:val="004A4973"/>
    <w:rsid w:val="004A49E5"/>
    <w:rsid w:val="004A4A5A"/>
    <w:rsid w:val="004A4B6A"/>
    <w:rsid w:val="004A4C17"/>
    <w:rsid w:val="004A4C2F"/>
    <w:rsid w:val="004A4C4A"/>
    <w:rsid w:val="004A4FB1"/>
    <w:rsid w:val="004A507F"/>
    <w:rsid w:val="004A50D6"/>
    <w:rsid w:val="004A5146"/>
    <w:rsid w:val="004A53EB"/>
    <w:rsid w:val="004A55F8"/>
    <w:rsid w:val="004A5644"/>
    <w:rsid w:val="004A5741"/>
    <w:rsid w:val="004A577A"/>
    <w:rsid w:val="004A5838"/>
    <w:rsid w:val="004A5932"/>
    <w:rsid w:val="004A596E"/>
    <w:rsid w:val="004A5D07"/>
    <w:rsid w:val="004A5F19"/>
    <w:rsid w:val="004A5F4E"/>
    <w:rsid w:val="004A5FEE"/>
    <w:rsid w:val="004A600A"/>
    <w:rsid w:val="004A60B8"/>
    <w:rsid w:val="004A611C"/>
    <w:rsid w:val="004A61B1"/>
    <w:rsid w:val="004A635F"/>
    <w:rsid w:val="004A649F"/>
    <w:rsid w:val="004A6899"/>
    <w:rsid w:val="004A68EC"/>
    <w:rsid w:val="004A6971"/>
    <w:rsid w:val="004A6A07"/>
    <w:rsid w:val="004A6A0B"/>
    <w:rsid w:val="004A6B6E"/>
    <w:rsid w:val="004A6D2C"/>
    <w:rsid w:val="004A6D82"/>
    <w:rsid w:val="004A6E9E"/>
    <w:rsid w:val="004A6EB8"/>
    <w:rsid w:val="004A6F4B"/>
    <w:rsid w:val="004A6F91"/>
    <w:rsid w:val="004A70CE"/>
    <w:rsid w:val="004A77D6"/>
    <w:rsid w:val="004A7802"/>
    <w:rsid w:val="004A780A"/>
    <w:rsid w:val="004A7908"/>
    <w:rsid w:val="004A7A5C"/>
    <w:rsid w:val="004A7DA0"/>
    <w:rsid w:val="004A7E81"/>
    <w:rsid w:val="004A7FFC"/>
    <w:rsid w:val="004B01DA"/>
    <w:rsid w:val="004B0571"/>
    <w:rsid w:val="004B0710"/>
    <w:rsid w:val="004B085A"/>
    <w:rsid w:val="004B0866"/>
    <w:rsid w:val="004B097A"/>
    <w:rsid w:val="004B0A24"/>
    <w:rsid w:val="004B0ACB"/>
    <w:rsid w:val="004B0ACE"/>
    <w:rsid w:val="004B0B5C"/>
    <w:rsid w:val="004B0B63"/>
    <w:rsid w:val="004B0BCF"/>
    <w:rsid w:val="004B0C5F"/>
    <w:rsid w:val="004B0D50"/>
    <w:rsid w:val="004B0F00"/>
    <w:rsid w:val="004B0FE7"/>
    <w:rsid w:val="004B11A8"/>
    <w:rsid w:val="004B1391"/>
    <w:rsid w:val="004B139C"/>
    <w:rsid w:val="004B14E0"/>
    <w:rsid w:val="004B1575"/>
    <w:rsid w:val="004B1618"/>
    <w:rsid w:val="004B16C3"/>
    <w:rsid w:val="004B1793"/>
    <w:rsid w:val="004B17F4"/>
    <w:rsid w:val="004B18CD"/>
    <w:rsid w:val="004B18D5"/>
    <w:rsid w:val="004B1BA1"/>
    <w:rsid w:val="004B1BBB"/>
    <w:rsid w:val="004B1E5F"/>
    <w:rsid w:val="004B1EB4"/>
    <w:rsid w:val="004B1ED5"/>
    <w:rsid w:val="004B1F1E"/>
    <w:rsid w:val="004B20A9"/>
    <w:rsid w:val="004B2120"/>
    <w:rsid w:val="004B216E"/>
    <w:rsid w:val="004B21A6"/>
    <w:rsid w:val="004B2423"/>
    <w:rsid w:val="004B2439"/>
    <w:rsid w:val="004B24A3"/>
    <w:rsid w:val="004B26B3"/>
    <w:rsid w:val="004B26ED"/>
    <w:rsid w:val="004B2706"/>
    <w:rsid w:val="004B27A2"/>
    <w:rsid w:val="004B27CE"/>
    <w:rsid w:val="004B28DA"/>
    <w:rsid w:val="004B298A"/>
    <w:rsid w:val="004B29B5"/>
    <w:rsid w:val="004B2B42"/>
    <w:rsid w:val="004B2C88"/>
    <w:rsid w:val="004B2E91"/>
    <w:rsid w:val="004B2F9A"/>
    <w:rsid w:val="004B2FB9"/>
    <w:rsid w:val="004B2FD8"/>
    <w:rsid w:val="004B30CD"/>
    <w:rsid w:val="004B316D"/>
    <w:rsid w:val="004B31C2"/>
    <w:rsid w:val="004B31EF"/>
    <w:rsid w:val="004B3252"/>
    <w:rsid w:val="004B33A9"/>
    <w:rsid w:val="004B3438"/>
    <w:rsid w:val="004B3497"/>
    <w:rsid w:val="004B3505"/>
    <w:rsid w:val="004B35EB"/>
    <w:rsid w:val="004B36AD"/>
    <w:rsid w:val="004B3910"/>
    <w:rsid w:val="004B394A"/>
    <w:rsid w:val="004B3983"/>
    <w:rsid w:val="004B3B83"/>
    <w:rsid w:val="004B3BF5"/>
    <w:rsid w:val="004B3C3C"/>
    <w:rsid w:val="004B3DC7"/>
    <w:rsid w:val="004B3DDE"/>
    <w:rsid w:val="004B3E78"/>
    <w:rsid w:val="004B3E99"/>
    <w:rsid w:val="004B3F6A"/>
    <w:rsid w:val="004B3F99"/>
    <w:rsid w:val="004B4013"/>
    <w:rsid w:val="004B4182"/>
    <w:rsid w:val="004B4184"/>
    <w:rsid w:val="004B41F1"/>
    <w:rsid w:val="004B42CF"/>
    <w:rsid w:val="004B43D6"/>
    <w:rsid w:val="004B44A0"/>
    <w:rsid w:val="004B460E"/>
    <w:rsid w:val="004B465A"/>
    <w:rsid w:val="004B4687"/>
    <w:rsid w:val="004B482E"/>
    <w:rsid w:val="004B4B00"/>
    <w:rsid w:val="004B4C1E"/>
    <w:rsid w:val="004B4C86"/>
    <w:rsid w:val="004B4EF0"/>
    <w:rsid w:val="004B51E1"/>
    <w:rsid w:val="004B52F2"/>
    <w:rsid w:val="004B54F3"/>
    <w:rsid w:val="004B554D"/>
    <w:rsid w:val="004B555C"/>
    <w:rsid w:val="004B59FB"/>
    <w:rsid w:val="004B5A01"/>
    <w:rsid w:val="004B5AAA"/>
    <w:rsid w:val="004B5AC6"/>
    <w:rsid w:val="004B5ADD"/>
    <w:rsid w:val="004B5C08"/>
    <w:rsid w:val="004B5DBF"/>
    <w:rsid w:val="004B5DE3"/>
    <w:rsid w:val="004B5E4E"/>
    <w:rsid w:val="004B5F31"/>
    <w:rsid w:val="004B5F44"/>
    <w:rsid w:val="004B60CC"/>
    <w:rsid w:val="004B6219"/>
    <w:rsid w:val="004B6248"/>
    <w:rsid w:val="004B626D"/>
    <w:rsid w:val="004B62F2"/>
    <w:rsid w:val="004B62FB"/>
    <w:rsid w:val="004B6387"/>
    <w:rsid w:val="004B64C1"/>
    <w:rsid w:val="004B66A0"/>
    <w:rsid w:val="004B66E6"/>
    <w:rsid w:val="004B6798"/>
    <w:rsid w:val="004B697B"/>
    <w:rsid w:val="004B6BD2"/>
    <w:rsid w:val="004B6CC2"/>
    <w:rsid w:val="004B6DBB"/>
    <w:rsid w:val="004B6DD0"/>
    <w:rsid w:val="004B6E5A"/>
    <w:rsid w:val="004B7113"/>
    <w:rsid w:val="004B7622"/>
    <w:rsid w:val="004B7624"/>
    <w:rsid w:val="004B786D"/>
    <w:rsid w:val="004B787C"/>
    <w:rsid w:val="004B78CC"/>
    <w:rsid w:val="004B7BC6"/>
    <w:rsid w:val="004B7F29"/>
    <w:rsid w:val="004B7FD0"/>
    <w:rsid w:val="004C0019"/>
    <w:rsid w:val="004C0228"/>
    <w:rsid w:val="004C056F"/>
    <w:rsid w:val="004C05DB"/>
    <w:rsid w:val="004C065C"/>
    <w:rsid w:val="004C08E5"/>
    <w:rsid w:val="004C09F1"/>
    <w:rsid w:val="004C0A03"/>
    <w:rsid w:val="004C0ABB"/>
    <w:rsid w:val="004C0B0B"/>
    <w:rsid w:val="004C0C21"/>
    <w:rsid w:val="004C11B4"/>
    <w:rsid w:val="004C1272"/>
    <w:rsid w:val="004C1558"/>
    <w:rsid w:val="004C17CD"/>
    <w:rsid w:val="004C17D9"/>
    <w:rsid w:val="004C19A8"/>
    <w:rsid w:val="004C1CDA"/>
    <w:rsid w:val="004C1CE5"/>
    <w:rsid w:val="004C1D3F"/>
    <w:rsid w:val="004C1EC0"/>
    <w:rsid w:val="004C1F42"/>
    <w:rsid w:val="004C2301"/>
    <w:rsid w:val="004C24DE"/>
    <w:rsid w:val="004C27D7"/>
    <w:rsid w:val="004C283E"/>
    <w:rsid w:val="004C2857"/>
    <w:rsid w:val="004C2A32"/>
    <w:rsid w:val="004C2A4E"/>
    <w:rsid w:val="004C2AB6"/>
    <w:rsid w:val="004C2B6D"/>
    <w:rsid w:val="004C2BCA"/>
    <w:rsid w:val="004C2DDA"/>
    <w:rsid w:val="004C2F42"/>
    <w:rsid w:val="004C307E"/>
    <w:rsid w:val="004C328C"/>
    <w:rsid w:val="004C32C3"/>
    <w:rsid w:val="004C33AE"/>
    <w:rsid w:val="004C33C9"/>
    <w:rsid w:val="004C340C"/>
    <w:rsid w:val="004C3585"/>
    <w:rsid w:val="004C35F3"/>
    <w:rsid w:val="004C38B9"/>
    <w:rsid w:val="004C3909"/>
    <w:rsid w:val="004C3919"/>
    <w:rsid w:val="004C3980"/>
    <w:rsid w:val="004C3A2B"/>
    <w:rsid w:val="004C3B8B"/>
    <w:rsid w:val="004C3C56"/>
    <w:rsid w:val="004C3DAA"/>
    <w:rsid w:val="004C3E63"/>
    <w:rsid w:val="004C3E92"/>
    <w:rsid w:val="004C4165"/>
    <w:rsid w:val="004C4236"/>
    <w:rsid w:val="004C42EB"/>
    <w:rsid w:val="004C442A"/>
    <w:rsid w:val="004C445D"/>
    <w:rsid w:val="004C459D"/>
    <w:rsid w:val="004C4640"/>
    <w:rsid w:val="004C4956"/>
    <w:rsid w:val="004C4A5B"/>
    <w:rsid w:val="004C4B3A"/>
    <w:rsid w:val="004C4C2B"/>
    <w:rsid w:val="004C4CB1"/>
    <w:rsid w:val="004C4D5E"/>
    <w:rsid w:val="004C4DB1"/>
    <w:rsid w:val="004C4EC1"/>
    <w:rsid w:val="004C51AD"/>
    <w:rsid w:val="004C5235"/>
    <w:rsid w:val="004C5276"/>
    <w:rsid w:val="004C52DE"/>
    <w:rsid w:val="004C5410"/>
    <w:rsid w:val="004C5411"/>
    <w:rsid w:val="004C56EA"/>
    <w:rsid w:val="004C5808"/>
    <w:rsid w:val="004C5829"/>
    <w:rsid w:val="004C58B9"/>
    <w:rsid w:val="004C5C12"/>
    <w:rsid w:val="004C5D1F"/>
    <w:rsid w:val="004C5D5A"/>
    <w:rsid w:val="004C5EDF"/>
    <w:rsid w:val="004C5F73"/>
    <w:rsid w:val="004C5FDA"/>
    <w:rsid w:val="004C6002"/>
    <w:rsid w:val="004C6041"/>
    <w:rsid w:val="004C61E4"/>
    <w:rsid w:val="004C6461"/>
    <w:rsid w:val="004C652D"/>
    <w:rsid w:val="004C66F2"/>
    <w:rsid w:val="004C66F5"/>
    <w:rsid w:val="004C6937"/>
    <w:rsid w:val="004C6A9D"/>
    <w:rsid w:val="004C6AB4"/>
    <w:rsid w:val="004C6B64"/>
    <w:rsid w:val="004C6BCC"/>
    <w:rsid w:val="004C6BE5"/>
    <w:rsid w:val="004C6D73"/>
    <w:rsid w:val="004C6DFD"/>
    <w:rsid w:val="004C6E80"/>
    <w:rsid w:val="004C6FAF"/>
    <w:rsid w:val="004C6FE5"/>
    <w:rsid w:val="004C7115"/>
    <w:rsid w:val="004C7279"/>
    <w:rsid w:val="004C7452"/>
    <w:rsid w:val="004C7480"/>
    <w:rsid w:val="004C7485"/>
    <w:rsid w:val="004C77C4"/>
    <w:rsid w:val="004C7978"/>
    <w:rsid w:val="004C7A31"/>
    <w:rsid w:val="004C7AA5"/>
    <w:rsid w:val="004C7E0E"/>
    <w:rsid w:val="004C7E80"/>
    <w:rsid w:val="004D0144"/>
    <w:rsid w:val="004D01CB"/>
    <w:rsid w:val="004D02BF"/>
    <w:rsid w:val="004D05C3"/>
    <w:rsid w:val="004D06D4"/>
    <w:rsid w:val="004D070A"/>
    <w:rsid w:val="004D082E"/>
    <w:rsid w:val="004D0957"/>
    <w:rsid w:val="004D0B59"/>
    <w:rsid w:val="004D0C18"/>
    <w:rsid w:val="004D0D9A"/>
    <w:rsid w:val="004D1015"/>
    <w:rsid w:val="004D10B3"/>
    <w:rsid w:val="004D14F2"/>
    <w:rsid w:val="004D1500"/>
    <w:rsid w:val="004D1533"/>
    <w:rsid w:val="004D1618"/>
    <w:rsid w:val="004D18CE"/>
    <w:rsid w:val="004D1A31"/>
    <w:rsid w:val="004D1C57"/>
    <w:rsid w:val="004D1CA1"/>
    <w:rsid w:val="004D20F0"/>
    <w:rsid w:val="004D229A"/>
    <w:rsid w:val="004D232D"/>
    <w:rsid w:val="004D23DD"/>
    <w:rsid w:val="004D2689"/>
    <w:rsid w:val="004D26AF"/>
    <w:rsid w:val="004D26E5"/>
    <w:rsid w:val="004D285E"/>
    <w:rsid w:val="004D2997"/>
    <w:rsid w:val="004D29BD"/>
    <w:rsid w:val="004D2A9B"/>
    <w:rsid w:val="004D2BA5"/>
    <w:rsid w:val="004D2C8D"/>
    <w:rsid w:val="004D2D99"/>
    <w:rsid w:val="004D2E37"/>
    <w:rsid w:val="004D307E"/>
    <w:rsid w:val="004D3155"/>
    <w:rsid w:val="004D32CC"/>
    <w:rsid w:val="004D3399"/>
    <w:rsid w:val="004D33F3"/>
    <w:rsid w:val="004D35D4"/>
    <w:rsid w:val="004D3609"/>
    <w:rsid w:val="004D369F"/>
    <w:rsid w:val="004D3756"/>
    <w:rsid w:val="004D3779"/>
    <w:rsid w:val="004D3825"/>
    <w:rsid w:val="004D38B0"/>
    <w:rsid w:val="004D39A4"/>
    <w:rsid w:val="004D3B2D"/>
    <w:rsid w:val="004D41E8"/>
    <w:rsid w:val="004D41F6"/>
    <w:rsid w:val="004D4309"/>
    <w:rsid w:val="004D434A"/>
    <w:rsid w:val="004D43CA"/>
    <w:rsid w:val="004D43FC"/>
    <w:rsid w:val="004D4416"/>
    <w:rsid w:val="004D4481"/>
    <w:rsid w:val="004D4616"/>
    <w:rsid w:val="004D48FB"/>
    <w:rsid w:val="004D4955"/>
    <w:rsid w:val="004D4966"/>
    <w:rsid w:val="004D496F"/>
    <w:rsid w:val="004D4B9F"/>
    <w:rsid w:val="004D4C54"/>
    <w:rsid w:val="004D4C7C"/>
    <w:rsid w:val="004D4D1C"/>
    <w:rsid w:val="004D4D46"/>
    <w:rsid w:val="004D4E11"/>
    <w:rsid w:val="004D5285"/>
    <w:rsid w:val="004D544C"/>
    <w:rsid w:val="004D547D"/>
    <w:rsid w:val="004D54C2"/>
    <w:rsid w:val="004D56C5"/>
    <w:rsid w:val="004D5883"/>
    <w:rsid w:val="004D58C5"/>
    <w:rsid w:val="004D5A50"/>
    <w:rsid w:val="004D5C86"/>
    <w:rsid w:val="004D5CC1"/>
    <w:rsid w:val="004D5D4C"/>
    <w:rsid w:val="004D5DA2"/>
    <w:rsid w:val="004D5DCF"/>
    <w:rsid w:val="004D5EA7"/>
    <w:rsid w:val="004D5ED3"/>
    <w:rsid w:val="004D6153"/>
    <w:rsid w:val="004D62DB"/>
    <w:rsid w:val="004D62FA"/>
    <w:rsid w:val="004D65ED"/>
    <w:rsid w:val="004D686F"/>
    <w:rsid w:val="004D6889"/>
    <w:rsid w:val="004D6973"/>
    <w:rsid w:val="004D6CA9"/>
    <w:rsid w:val="004D6D6B"/>
    <w:rsid w:val="004D6DAF"/>
    <w:rsid w:val="004D6E7F"/>
    <w:rsid w:val="004D726B"/>
    <w:rsid w:val="004D7302"/>
    <w:rsid w:val="004D756F"/>
    <w:rsid w:val="004D759D"/>
    <w:rsid w:val="004D765B"/>
    <w:rsid w:val="004D767E"/>
    <w:rsid w:val="004D76D2"/>
    <w:rsid w:val="004D771F"/>
    <w:rsid w:val="004D77D9"/>
    <w:rsid w:val="004D786D"/>
    <w:rsid w:val="004D7886"/>
    <w:rsid w:val="004D78BA"/>
    <w:rsid w:val="004D78E8"/>
    <w:rsid w:val="004D7A18"/>
    <w:rsid w:val="004D7A1F"/>
    <w:rsid w:val="004D7B43"/>
    <w:rsid w:val="004D7B4C"/>
    <w:rsid w:val="004D7B69"/>
    <w:rsid w:val="004D7B85"/>
    <w:rsid w:val="004D7D67"/>
    <w:rsid w:val="004E0162"/>
    <w:rsid w:val="004E01A7"/>
    <w:rsid w:val="004E03E9"/>
    <w:rsid w:val="004E05D5"/>
    <w:rsid w:val="004E0628"/>
    <w:rsid w:val="004E0A30"/>
    <w:rsid w:val="004E0A88"/>
    <w:rsid w:val="004E0AB8"/>
    <w:rsid w:val="004E0B35"/>
    <w:rsid w:val="004E0D83"/>
    <w:rsid w:val="004E0E1A"/>
    <w:rsid w:val="004E0FAD"/>
    <w:rsid w:val="004E1053"/>
    <w:rsid w:val="004E107D"/>
    <w:rsid w:val="004E10E3"/>
    <w:rsid w:val="004E133E"/>
    <w:rsid w:val="004E13BD"/>
    <w:rsid w:val="004E14AA"/>
    <w:rsid w:val="004E14CE"/>
    <w:rsid w:val="004E15E1"/>
    <w:rsid w:val="004E16F2"/>
    <w:rsid w:val="004E1714"/>
    <w:rsid w:val="004E188E"/>
    <w:rsid w:val="004E18F0"/>
    <w:rsid w:val="004E1A44"/>
    <w:rsid w:val="004E1BBE"/>
    <w:rsid w:val="004E1DA4"/>
    <w:rsid w:val="004E1F11"/>
    <w:rsid w:val="004E1F37"/>
    <w:rsid w:val="004E23A8"/>
    <w:rsid w:val="004E24E6"/>
    <w:rsid w:val="004E2900"/>
    <w:rsid w:val="004E29F3"/>
    <w:rsid w:val="004E2A7C"/>
    <w:rsid w:val="004E2A92"/>
    <w:rsid w:val="004E2AB4"/>
    <w:rsid w:val="004E2AC1"/>
    <w:rsid w:val="004E2CDF"/>
    <w:rsid w:val="004E2D08"/>
    <w:rsid w:val="004E2F27"/>
    <w:rsid w:val="004E316C"/>
    <w:rsid w:val="004E3188"/>
    <w:rsid w:val="004E31C8"/>
    <w:rsid w:val="004E3435"/>
    <w:rsid w:val="004E354F"/>
    <w:rsid w:val="004E35E4"/>
    <w:rsid w:val="004E364E"/>
    <w:rsid w:val="004E3695"/>
    <w:rsid w:val="004E3945"/>
    <w:rsid w:val="004E3A04"/>
    <w:rsid w:val="004E3A74"/>
    <w:rsid w:val="004E3C80"/>
    <w:rsid w:val="004E3CA2"/>
    <w:rsid w:val="004E3E84"/>
    <w:rsid w:val="004E3F97"/>
    <w:rsid w:val="004E3FF2"/>
    <w:rsid w:val="004E401A"/>
    <w:rsid w:val="004E437C"/>
    <w:rsid w:val="004E4565"/>
    <w:rsid w:val="004E4598"/>
    <w:rsid w:val="004E46A9"/>
    <w:rsid w:val="004E4888"/>
    <w:rsid w:val="004E4A00"/>
    <w:rsid w:val="004E4A4C"/>
    <w:rsid w:val="004E4B52"/>
    <w:rsid w:val="004E4BD8"/>
    <w:rsid w:val="004E5043"/>
    <w:rsid w:val="004E5054"/>
    <w:rsid w:val="004E5235"/>
    <w:rsid w:val="004E5255"/>
    <w:rsid w:val="004E52B7"/>
    <w:rsid w:val="004E542F"/>
    <w:rsid w:val="004E5514"/>
    <w:rsid w:val="004E551D"/>
    <w:rsid w:val="004E5536"/>
    <w:rsid w:val="004E567F"/>
    <w:rsid w:val="004E56FD"/>
    <w:rsid w:val="004E573F"/>
    <w:rsid w:val="004E5805"/>
    <w:rsid w:val="004E5AE5"/>
    <w:rsid w:val="004E5B19"/>
    <w:rsid w:val="004E5DE3"/>
    <w:rsid w:val="004E5FB2"/>
    <w:rsid w:val="004E5FFD"/>
    <w:rsid w:val="004E605C"/>
    <w:rsid w:val="004E609D"/>
    <w:rsid w:val="004E60B5"/>
    <w:rsid w:val="004E617B"/>
    <w:rsid w:val="004E61B5"/>
    <w:rsid w:val="004E62B2"/>
    <w:rsid w:val="004E65BD"/>
    <w:rsid w:val="004E65C6"/>
    <w:rsid w:val="004E6621"/>
    <w:rsid w:val="004E6634"/>
    <w:rsid w:val="004E669C"/>
    <w:rsid w:val="004E673C"/>
    <w:rsid w:val="004E6781"/>
    <w:rsid w:val="004E67C5"/>
    <w:rsid w:val="004E689D"/>
    <w:rsid w:val="004E6A00"/>
    <w:rsid w:val="004E6B60"/>
    <w:rsid w:val="004E6D5B"/>
    <w:rsid w:val="004E6DCF"/>
    <w:rsid w:val="004E703B"/>
    <w:rsid w:val="004E7172"/>
    <w:rsid w:val="004E71EE"/>
    <w:rsid w:val="004E728E"/>
    <w:rsid w:val="004E73D7"/>
    <w:rsid w:val="004E740D"/>
    <w:rsid w:val="004E745D"/>
    <w:rsid w:val="004E7587"/>
    <w:rsid w:val="004E75F4"/>
    <w:rsid w:val="004E7743"/>
    <w:rsid w:val="004E78CB"/>
    <w:rsid w:val="004E7A37"/>
    <w:rsid w:val="004E7B15"/>
    <w:rsid w:val="004E7BDC"/>
    <w:rsid w:val="004E7CF0"/>
    <w:rsid w:val="004E7E99"/>
    <w:rsid w:val="004E7F10"/>
    <w:rsid w:val="004E7F85"/>
    <w:rsid w:val="004F0214"/>
    <w:rsid w:val="004F0345"/>
    <w:rsid w:val="004F036A"/>
    <w:rsid w:val="004F03DD"/>
    <w:rsid w:val="004F0426"/>
    <w:rsid w:val="004F043A"/>
    <w:rsid w:val="004F04DA"/>
    <w:rsid w:val="004F0593"/>
    <w:rsid w:val="004F06ED"/>
    <w:rsid w:val="004F0711"/>
    <w:rsid w:val="004F072C"/>
    <w:rsid w:val="004F0743"/>
    <w:rsid w:val="004F0758"/>
    <w:rsid w:val="004F0837"/>
    <w:rsid w:val="004F09CF"/>
    <w:rsid w:val="004F09E0"/>
    <w:rsid w:val="004F09E9"/>
    <w:rsid w:val="004F0A32"/>
    <w:rsid w:val="004F0B59"/>
    <w:rsid w:val="004F0C07"/>
    <w:rsid w:val="004F0DB6"/>
    <w:rsid w:val="004F1118"/>
    <w:rsid w:val="004F1163"/>
    <w:rsid w:val="004F15CE"/>
    <w:rsid w:val="004F15CF"/>
    <w:rsid w:val="004F1605"/>
    <w:rsid w:val="004F16DE"/>
    <w:rsid w:val="004F18B7"/>
    <w:rsid w:val="004F18ED"/>
    <w:rsid w:val="004F1A29"/>
    <w:rsid w:val="004F1A63"/>
    <w:rsid w:val="004F1BA3"/>
    <w:rsid w:val="004F1CB3"/>
    <w:rsid w:val="004F1DBF"/>
    <w:rsid w:val="004F1E79"/>
    <w:rsid w:val="004F1F43"/>
    <w:rsid w:val="004F1F55"/>
    <w:rsid w:val="004F2061"/>
    <w:rsid w:val="004F212E"/>
    <w:rsid w:val="004F236C"/>
    <w:rsid w:val="004F24B1"/>
    <w:rsid w:val="004F2565"/>
    <w:rsid w:val="004F2685"/>
    <w:rsid w:val="004F28B8"/>
    <w:rsid w:val="004F2A1D"/>
    <w:rsid w:val="004F2B35"/>
    <w:rsid w:val="004F2B49"/>
    <w:rsid w:val="004F2BA5"/>
    <w:rsid w:val="004F2C01"/>
    <w:rsid w:val="004F2DB1"/>
    <w:rsid w:val="004F2E09"/>
    <w:rsid w:val="004F32B7"/>
    <w:rsid w:val="004F34FC"/>
    <w:rsid w:val="004F354F"/>
    <w:rsid w:val="004F366A"/>
    <w:rsid w:val="004F3830"/>
    <w:rsid w:val="004F3ADB"/>
    <w:rsid w:val="004F3BB3"/>
    <w:rsid w:val="004F3CF7"/>
    <w:rsid w:val="004F3D12"/>
    <w:rsid w:val="004F3D1A"/>
    <w:rsid w:val="004F3F2D"/>
    <w:rsid w:val="004F3F52"/>
    <w:rsid w:val="004F3F58"/>
    <w:rsid w:val="004F4006"/>
    <w:rsid w:val="004F405A"/>
    <w:rsid w:val="004F40B5"/>
    <w:rsid w:val="004F40C5"/>
    <w:rsid w:val="004F4159"/>
    <w:rsid w:val="004F41AC"/>
    <w:rsid w:val="004F4266"/>
    <w:rsid w:val="004F429F"/>
    <w:rsid w:val="004F4388"/>
    <w:rsid w:val="004F4538"/>
    <w:rsid w:val="004F4639"/>
    <w:rsid w:val="004F469F"/>
    <w:rsid w:val="004F4797"/>
    <w:rsid w:val="004F4815"/>
    <w:rsid w:val="004F49EB"/>
    <w:rsid w:val="004F4A2D"/>
    <w:rsid w:val="004F4A62"/>
    <w:rsid w:val="004F4B56"/>
    <w:rsid w:val="004F4E6C"/>
    <w:rsid w:val="004F4ED0"/>
    <w:rsid w:val="004F5186"/>
    <w:rsid w:val="004F51D7"/>
    <w:rsid w:val="004F5335"/>
    <w:rsid w:val="004F5377"/>
    <w:rsid w:val="004F5380"/>
    <w:rsid w:val="004F53CD"/>
    <w:rsid w:val="004F552F"/>
    <w:rsid w:val="004F5539"/>
    <w:rsid w:val="004F5735"/>
    <w:rsid w:val="004F5769"/>
    <w:rsid w:val="004F57D3"/>
    <w:rsid w:val="004F5917"/>
    <w:rsid w:val="004F592E"/>
    <w:rsid w:val="004F5B43"/>
    <w:rsid w:val="004F5C17"/>
    <w:rsid w:val="004F5CEB"/>
    <w:rsid w:val="004F5D64"/>
    <w:rsid w:val="004F5D9F"/>
    <w:rsid w:val="004F5DBA"/>
    <w:rsid w:val="004F5DE3"/>
    <w:rsid w:val="004F5F03"/>
    <w:rsid w:val="004F6240"/>
    <w:rsid w:val="004F628B"/>
    <w:rsid w:val="004F67D0"/>
    <w:rsid w:val="004F68D2"/>
    <w:rsid w:val="004F696E"/>
    <w:rsid w:val="004F69B8"/>
    <w:rsid w:val="004F6BFF"/>
    <w:rsid w:val="004F6C2F"/>
    <w:rsid w:val="004F6C31"/>
    <w:rsid w:val="004F6EA3"/>
    <w:rsid w:val="004F6FDE"/>
    <w:rsid w:val="004F70A7"/>
    <w:rsid w:val="004F7191"/>
    <w:rsid w:val="004F72B8"/>
    <w:rsid w:val="004F72E8"/>
    <w:rsid w:val="004F7324"/>
    <w:rsid w:val="004F750D"/>
    <w:rsid w:val="004F7645"/>
    <w:rsid w:val="004F76B5"/>
    <w:rsid w:val="004F76BC"/>
    <w:rsid w:val="004F7A08"/>
    <w:rsid w:val="004F7BE0"/>
    <w:rsid w:val="004F7BF7"/>
    <w:rsid w:val="004F7C85"/>
    <w:rsid w:val="004F7CD6"/>
    <w:rsid w:val="004F7CD9"/>
    <w:rsid w:val="004F7D82"/>
    <w:rsid w:val="00500050"/>
    <w:rsid w:val="005000AC"/>
    <w:rsid w:val="005001E1"/>
    <w:rsid w:val="00500380"/>
    <w:rsid w:val="005003EB"/>
    <w:rsid w:val="005004F7"/>
    <w:rsid w:val="005006E0"/>
    <w:rsid w:val="005006E9"/>
    <w:rsid w:val="00500713"/>
    <w:rsid w:val="00500830"/>
    <w:rsid w:val="00500882"/>
    <w:rsid w:val="00500928"/>
    <w:rsid w:val="00500A55"/>
    <w:rsid w:val="00500A7C"/>
    <w:rsid w:val="00500A98"/>
    <w:rsid w:val="00500B6E"/>
    <w:rsid w:val="00500CA6"/>
    <w:rsid w:val="00500D43"/>
    <w:rsid w:val="00500D89"/>
    <w:rsid w:val="0050103D"/>
    <w:rsid w:val="00501231"/>
    <w:rsid w:val="00501251"/>
    <w:rsid w:val="00501364"/>
    <w:rsid w:val="0050148B"/>
    <w:rsid w:val="005018CC"/>
    <w:rsid w:val="00501A70"/>
    <w:rsid w:val="00501CFE"/>
    <w:rsid w:val="00501D38"/>
    <w:rsid w:val="00502003"/>
    <w:rsid w:val="00502046"/>
    <w:rsid w:val="005020AF"/>
    <w:rsid w:val="005020E5"/>
    <w:rsid w:val="00502126"/>
    <w:rsid w:val="0050214C"/>
    <w:rsid w:val="005022C5"/>
    <w:rsid w:val="00502722"/>
    <w:rsid w:val="00502748"/>
    <w:rsid w:val="0050285F"/>
    <w:rsid w:val="00502B12"/>
    <w:rsid w:val="00502B17"/>
    <w:rsid w:val="00502C2F"/>
    <w:rsid w:val="00502ED6"/>
    <w:rsid w:val="00502EE6"/>
    <w:rsid w:val="00503287"/>
    <w:rsid w:val="005032E2"/>
    <w:rsid w:val="0050365B"/>
    <w:rsid w:val="00503833"/>
    <w:rsid w:val="00503A02"/>
    <w:rsid w:val="00503B60"/>
    <w:rsid w:val="00503C07"/>
    <w:rsid w:val="00503C60"/>
    <w:rsid w:val="00503D51"/>
    <w:rsid w:val="00503E24"/>
    <w:rsid w:val="00503E25"/>
    <w:rsid w:val="00503FB3"/>
    <w:rsid w:val="00504091"/>
    <w:rsid w:val="0050411A"/>
    <w:rsid w:val="00504124"/>
    <w:rsid w:val="0050486C"/>
    <w:rsid w:val="005048B5"/>
    <w:rsid w:val="005048CD"/>
    <w:rsid w:val="00504A3B"/>
    <w:rsid w:val="00504B2D"/>
    <w:rsid w:val="00504C5E"/>
    <w:rsid w:val="00504DDC"/>
    <w:rsid w:val="00504E16"/>
    <w:rsid w:val="005050F2"/>
    <w:rsid w:val="005052D7"/>
    <w:rsid w:val="005052FF"/>
    <w:rsid w:val="005055B9"/>
    <w:rsid w:val="00505660"/>
    <w:rsid w:val="00505678"/>
    <w:rsid w:val="005057CC"/>
    <w:rsid w:val="005057F9"/>
    <w:rsid w:val="005058AD"/>
    <w:rsid w:val="005058EF"/>
    <w:rsid w:val="00505967"/>
    <w:rsid w:val="0050599B"/>
    <w:rsid w:val="00505CF0"/>
    <w:rsid w:val="00505E8F"/>
    <w:rsid w:val="00506302"/>
    <w:rsid w:val="0050632D"/>
    <w:rsid w:val="005065FD"/>
    <w:rsid w:val="005067CA"/>
    <w:rsid w:val="00506A16"/>
    <w:rsid w:val="00506A9B"/>
    <w:rsid w:val="00506AED"/>
    <w:rsid w:val="00506B4C"/>
    <w:rsid w:val="00506C57"/>
    <w:rsid w:val="00506D34"/>
    <w:rsid w:val="00506E1C"/>
    <w:rsid w:val="00506E91"/>
    <w:rsid w:val="00506EC9"/>
    <w:rsid w:val="00506F89"/>
    <w:rsid w:val="00507038"/>
    <w:rsid w:val="0050722D"/>
    <w:rsid w:val="00507268"/>
    <w:rsid w:val="00507274"/>
    <w:rsid w:val="005074FC"/>
    <w:rsid w:val="00507673"/>
    <w:rsid w:val="0050792F"/>
    <w:rsid w:val="00507AB8"/>
    <w:rsid w:val="00507CE9"/>
    <w:rsid w:val="00507D4C"/>
    <w:rsid w:val="00507D60"/>
    <w:rsid w:val="00507DBD"/>
    <w:rsid w:val="0051000B"/>
    <w:rsid w:val="0051004F"/>
    <w:rsid w:val="00510151"/>
    <w:rsid w:val="0051017E"/>
    <w:rsid w:val="005103A2"/>
    <w:rsid w:val="005103BF"/>
    <w:rsid w:val="005104A2"/>
    <w:rsid w:val="005104C2"/>
    <w:rsid w:val="0051074B"/>
    <w:rsid w:val="00510775"/>
    <w:rsid w:val="005109CA"/>
    <w:rsid w:val="00510A69"/>
    <w:rsid w:val="00510A9C"/>
    <w:rsid w:val="00510C0D"/>
    <w:rsid w:val="00510D69"/>
    <w:rsid w:val="00510EF0"/>
    <w:rsid w:val="00511089"/>
    <w:rsid w:val="005110B9"/>
    <w:rsid w:val="005111A0"/>
    <w:rsid w:val="005111FC"/>
    <w:rsid w:val="005113C8"/>
    <w:rsid w:val="005113FA"/>
    <w:rsid w:val="00511466"/>
    <w:rsid w:val="005114C5"/>
    <w:rsid w:val="00511605"/>
    <w:rsid w:val="005117A8"/>
    <w:rsid w:val="00511847"/>
    <w:rsid w:val="0051187D"/>
    <w:rsid w:val="005118E4"/>
    <w:rsid w:val="005119AD"/>
    <w:rsid w:val="00511A8D"/>
    <w:rsid w:val="00511E55"/>
    <w:rsid w:val="00511E57"/>
    <w:rsid w:val="00511EDB"/>
    <w:rsid w:val="00511EEA"/>
    <w:rsid w:val="00511F84"/>
    <w:rsid w:val="00512017"/>
    <w:rsid w:val="00512239"/>
    <w:rsid w:val="0051240B"/>
    <w:rsid w:val="00512479"/>
    <w:rsid w:val="005124CF"/>
    <w:rsid w:val="005125B0"/>
    <w:rsid w:val="005125C5"/>
    <w:rsid w:val="005125D3"/>
    <w:rsid w:val="00512645"/>
    <w:rsid w:val="0051296E"/>
    <w:rsid w:val="005129BB"/>
    <w:rsid w:val="00512E5F"/>
    <w:rsid w:val="00513018"/>
    <w:rsid w:val="00513264"/>
    <w:rsid w:val="0051326A"/>
    <w:rsid w:val="0051373C"/>
    <w:rsid w:val="0051374A"/>
    <w:rsid w:val="00513768"/>
    <w:rsid w:val="00513784"/>
    <w:rsid w:val="0051389F"/>
    <w:rsid w:val="005138A8"/>
    <w:rsid w:val="005138C8"/>
    <w:rsid w:val="00513A01"/>
    <w:rsid w:val="00513C70"/>
    <w:rsid w:val="00513CBD"/>
    <w:rsid w:val="00513D39"/>
    <w:rsid w:val="00513EAF"/>
    <w:rsid w:val="00514074"/>
    <w:rsid w:val="00514622"/>
    <w:rsid w:val="005146BE"/>
    <w:rsid w:val="005146D4"/>
    <w:rsid w:val="00514749"/>
    <w:rsid w:val="0051483A"/>
    <w:rsid w:val="00514953"/>
    <w:rsid w:val="00514975"/>
    <w:rsid w:val="00514990"/>
    <w:rsid w:val="00514AEB"/>
    <w:rsid w:val="00514B51"/>
    <w:rsid w:val="00514B5F"/>
    <w:rsid w:val="00514E63"/>
    <w:rsid w:val="00514F92"/>
    <w:rsid w:val="00515026"/>
    <w:rsid w:val="0051508D"/>
    <w:rsid w:val="0051517D"/>
    <w:rsid w:val="005153ED"/>
    <w:rsid w:val="00515697"/>
    <w:rsid w:val="0051572B"/>
    <w:rsid w:val="0051573F"/>
    <w:rsid w:val="00515810"/>
    <w:rsid w:val="00515957"/>
    <w:rsid w:val="00515A2C"/>
    <w:rsid w:val="00515AF3"/>
    <w:rsid w:val="00515CB4"/>
    <w:rsid w:val="00515E42"/>
    <w:rsid w:val="00515EC4"/>
    <w:rsid w:val="00515F80"/>
    <w:rsid w:val="00516027"/>
    <w:rsid w:val="005164F4"/>
    <w:rsid w:val="0051650C"/>
    <w:rsid w:val="00516721"/>
    <w:rsid w:val="00516745"/>
    <w:rsid w:val="00516792"/>
    <w:rsid w:val="00516840"/>
    <w:rsid w:val="00516887"/>
    <w:rsid w:val="0051696F"/>
    <w:rsid w:val="00516971"/>
    <w:rsid w:val="005169F0"/>
    <w:rsid w:val="00516AB5"/>
    <w:rsid w:val="00516C84"/>
    <w:rsid w:val="00516EB0"/>
    <w:rsid w:val="00516ECD"/>
    <w:rsid w:val="00516EEF"/>
    <w:rsid w:val="0051713A"/>
    <w:rsid w:val="00517360"/>
    <w:rsid w:val="005173AC"/>
    <w:rsid w:val="005174CD"/>
    <w:rsid w:val="0051766B"/>
    <w:rsid w:val="005176A5"/>
    <w:rsid w:val="005176CD"/>
    <w:rsid w:val="0051770B"/>
    <w:rsid w:val="0051789C"/>
    <w:rsid w:val="00517F4F"/>
    <w:rsid w:val="00517FCC"/>
    <w:rsid w:val="00517FFA"/>
    <w:rsid w:val="0052000C"/>
    <w:rsid w:val="0052007F"/>
    <w:rsid w:val="005200A5"/>
    <w:rsid w:val="005202CB"/>
    <w:rsid w:val="00520565"/>
    <w:rsid w:val="0052059D"/>
    <w:rsid w:val="00520797"/>
    <w:rsid w:val="00520B1C"/>
    <w:rsid w:val="00520B58"/>
    <w:rsid w:val="00520B63"/>
    <w:rsid w:val="00520E03"/>
    <w:rsid w:val="00520E10"/>
    <w:rsid w:val="005212C1"/>
    <w:rsid w:val="00521389"/>
    <w:rsid w:val="00521481"/>
    <w:rsid w:val="0052148B"/>
    <w:rsid w:val="005214EB"/>
    <w:rsid w:val="0052152E"/>
    <w:rsid w:val="005215F6"/>
    <w:rsid w:val="00521662"/>
    <w:rsid w:val="00521932"/>
    <w:rsid w:val="005219A6"/>
    <w:rsid w:val="00521A54"/>
    <w:rsid w:val="00521DF7"/>
    <w:rsid w:val="00521E87"/>
    <w:rsid w:val="00521E96"/>
    <w:rsid w:val="00521EF7"/>
    <w:rsid w:val="00522036"/>
    <w:rsid w:val="00522123"/>
    <w:rsid w:val="00522137"/>
    <w:rsid w:val="00522184"/>
    <w:rsid w:val="00522223"/>
    <w:rsid w:val="005222E0"/>
    <w:rsid w:val="0052241F"/>
    <w:rsid w:val="0052251E"/>
    <w:rsid w:val="00522554"/>
    <w:rsid w:val="00522557"/>
    <w:rsid w:val="00522701"/>
    <w:rsid w:val="005227D0"/>
    <w:rsid w:val="00522885"/>
    <w:rsid w:val="005228B0"/>
    <w:rsid w:val="00522A79"/>
    <w:rsid w:val="00522B07"/>
    <w:rsid w:val="00522BAF"/>
    <w:rsid w:val="00522E01"/>
    <w:rsid w:val="00522EFC"/>
    <w:rsid w:val="0052316E"/>
    <w:rsid w:val="0052318A"/>
    <w:rsid w:val="005231AA"/>
    <w:rsid w:val="005232A4"/>
    <w:rsid w:val="00523357"/>
    <w:rsid w:val="005234CC"/>
    <w:rsid w:val="005234CE"/>
    <w:rsid w:val="005235A2"/>
    <w:rsid w:val="00523607"/>
    <w:rsid w:val="00523638"/>
    <w:rsid w:val="0052373B"/>
    <w:rsid w:val="00523A3B"/>
    <w:rsid w:val="00523ACA"/>
    <w:rsid w:val="00523AE3"/>
    <w:rsid w:val="00523AEF"/>
    <w:rsid w:val="00523B49"/>
    <w:rsid w:val="00523B88"/>
    <w:rsid w:val="00523CEE"/>
    <w:rsid w:val="00523F65"/>
    <w:rsid w:val="00524004"/>
    <w:rsid w:val="0052429B"/>
    <w:rsid w:val="0052433C"/>
    <w:rsid w:val="0052446A"/>
    <w:rsid w:val="005244E4"/>
    <w:rsid w:val="00524534"/>
    <w:rsid w:val="00524670"/>
    <w:rsid w:val="005246B3"/>
    <w:rsid w:val="00524729"/>
    <w:rsid w:val="005249A9"/>
    <w:rsid w:val="00524ACA"/>
    <w:rsid w:val="00524E35"/>
    <w:rsid w:val="00524FF8"/>
    <w:rsid w:val="00525027"/>
    <w:rsid w:val="005254FC"/>
    <w:rsid w:val="00525706"/>
    <w:rsid w:val="00525781"/>
    <w:rsid w:val="00525890"/>
    <w:rsid w:val="00525965"/>
    <w:rsid w:val="005259CA"/>
    <w:rsid w:val="00525A5D"/>
    <w:rsid w:val="00525ACF"/>
    <w:rsid w:val="00525E38"/>
    <w:rsid w:val="00525E40"/>
    <w:rsid w:val="00525F89"/>
    <w:rsid w:val="0052608D"/>
    <w:rsid w:val="0052609E"/>
    <w:rsid w:val="005260CC"/>
    <w:rsid w:val="0052627B"/>
    <w:rsid w:val="0052638C"/>
    <w:rsid w:val="005263AB"/>
    <w:rsid w:val="0052641C"/>
    <w:rsid w:val="00526471"/>
    <w:rsid w:val="005265CD"/>
    <w:rsid w:val="00526753"/>
    <w:rsid w:val="00526824"/>
    <w:rsid w:val="00526900"/>
    <w:rsid w:val="0052693E"/>
    <w:rsid w:val="005269C8"/>
    <w:rsid w:val="00526A67"/>
    <w:rsid w:val="00526A8E"/>
    <w:rsid w:val="00526AD9"/>
    <w:rsid w:val="00526B2F"/>
    <w:rsid w:val="00526EFE"/>
    <w:rsid w:val="00526F98"/>
    <w:rsid w:val="0052704A"/>
    <w:rsid w:val="005270DA"/>
    <w:rsid w:val="005271A7"/>
    <w:rsid w:val="005272CD"/>
    <w:rsid w:val="00527359"/>
    <w:rsid w:val="0052741D"/>
    <w:rsid w:val="005277DB"/>
    <w:rsid w:val="005278D5"/>
    <w:rsid w:val="00527B99"/>
    <w:rsid w:val="00527BD9"/>
    <w:rsid w:val="00527BEF"/>
    <w:rsid w:val="00527BFD"/>
    <w:rsid w:val="00527C51"/>
    <w:rsid w:val="0052C8EB"/>
    <w:rsid w:val="00530046"/>
    <w:rsid w:val="00530093"/>
    <w:rsid w:val="0053013A"/>
    <w:rsid w:val="005301CB"/>
    <w:rsid w:val="005302E3"/>
    <w:rsid w:val="0053055C"/>
    <w:rsid w:val="005306AD"/>
    <w:rsid w:val="005306C1"/>
    <w:rsid w:val="00530870"/>
    <w:rsid w:val="0053098E"/>
    <w:rsid w:val="00530B54"/>
    <w:rsid w:val="00530BAC"/>
    <w:rsid w:val="00530C90"/>
    <w:rsid w:val="00530E4B"/>
    <w:rsid w:val="00530EFE"/>
    <w:rsid w:val="005311F8"/>
    <w:rsid w:val="005313F6"/>
    <w:rsid w:val="00531419"/>
    <w:rsid w:val="005314D2"/>
    <w:rsid w:val="00531555"/>
    <w:rsid w:val="0053159E"/>
    <w:rsid w:val="005316A7"/>
    <w:rsid w:val="0053170C"/>
    <w:rsid w:val="00531742"/>
    <w:rsid w:val="005318F1"/>
    <w:rsid w:val="005319CB"/>
    <w:rsid w:val="00531B87"/>
    <w:rsid w:val="00531CC1"/>
    <w:rsid w:val="00531DAA"/>
    <w:rsid w:val="005321D1"/>
    <w:rsid w:val="0053245D"/>
    <w:rsid w:val="005325C7"/>
    <w:rsid w:val="0053260C"/>
    <w:rsid w:val="00532615"/>
    <w:rsid w:val="00532796"/>
    <w:rsid w:val="0053285A"/>
    <w:rsid w:val="00532891"/>
    <w:rsid w:val="00532946"/>
    <w:rsid w:val="005329F3"/>
    <w:rsid w:val="00532A4C"/>
    <w:rsid w:val="00532C18"/>
    <w:rsid w:val="00532C9B"/>
    <w:rsid w:val="00532F9B"/>
    <w:rsid w:val="00533020"/>
    <w:rsid w:val="005330C8"/>
    <w:rsid w:val="0053310B"/>
    <w:rsid w:val="005332A3"/>
    <w:rsid w:val="005333C2"/>
    <w:rsid w:val="005333EC"/>
    <w:rsid w:val="005334DD"/>
    <w:rsid w:val="00533517"/>
    <w:rsid w:val="00533616"/>
    <w:rsid w:val="00533770"/>
    <w:rsid w:val="00533969"/>
    <w:rsid w:val="00533E05"/>
    <w:rsid w:val="00533F4E"/>
    <w:rsid w:val="00534044"/>
    <w:rsid w:val="00534121"/>
    <w:rsid w:val="005341E1"/>
    <w:rsid w:val="0053420C"/>
    <w:rsid w:val="00534213"/>
    <w:rsid w:val="0053433F"/>
    <w:rsid w:val="00534376"/>
    <w:rsid w:val="00534611"/>
    <w:rsid w:val="00534810"/>
    <w:rsid w:val="00534A32"/>
    <w:rsid w:val="00534A39"/>
    <w:rsid w:val="00534B52"/>
    <w:rsid w:val="00534CC4"/>
    <w:rsid w:val="00534D94"/>
    <w:rsid w:val="00534E68"/>
    <w:rsid w:val="00535017"/>
    <w:rsid w:val="00535021"/>
    <w:rsid w:val="00535140"/>
    <w:rsid w:val="00535281"/>
    <w:rsid w:val="00535357"/>
    <w:rsid w:val="00535369"/>
    <w:rsid w:val="005353A9"/>
    <w:rsid w:val="005353C7"/>
    <w:rsid w:val="00535520"/>
    <w:rsid w:val="00535635"/>
    <w:rsid w:val="005356D7"/>
    <w:rsid w:val="005356F2"/>
    <w:rsid w:val="005357A9"/>
    <w:rsid w:val="005357B9"/>
    <w:rsid w:val="00535859"/>
    <w:rsid w:val="00535B8C"/>
    <w:rsid w:val="00535E15"/>
    <w:rsid w:val="00535E1F"/>
    <w:rsid w:val="00535E42"/>
    <w:rsid w:val="00535F01"/>
    <w:rsid w:val="00535FFB"/>
    <w:rsid w:val="005360C2"/>
    <w:rsid w:val="00536181"/>
    <w:rsid w:val="005361E6"/>
    <w:rsid w:val="005363BC"/>
    <w:rsid w:val="00536412"/>
    <w:rsid w:val="005364CC"/>
    <w:rsid w:val="005366EE"/>
    <w:rsid w:val="0053673B"/>
    <w:rsid w:val="00536835"/>
    <w:rsid w:val="00536939"/>
    <w:rsid w:val="00536A24"/>
    <w:rsid w:val="00536A57"/>
    <w:rsid w:val="00536A70"/>
    <w:rsid w:val="00536BBC"/>
    <w:rsid w:val="00536D93"/>
    <w:rsid w:val="00536F54"/>
    <w:rsid w:val="00536FC8"/>
    <w:rsid w:val="00537118"/>
    <w:rsid w:val="0053725D"/>
    <w:rsid w:val="005372B4"/>
    <w:rsid w:val="005372C5"/>
    <w:rsid w:val="005373F5"/>
    <w:rsid w:val="00537427"/>
    <w:rsid w:val="0053746B"/>
    <w:rsid w:val="0053746E"/>
    <w:rsid w:val="00537484"/>
    <w:rsid w:val="00537896"/>
    <w:rsid w:val="00537908"/>
    <w:rsid w:val="005379A0"/>
    <w:rsid w:val="005379AB"/>
    <w:rsid w:val="005379EA"/>
    <w:rsid w:val="00537AAA"/>
    <w:rsid w:val="00537EA2"/>
    <w:rsid w:val="00537EDD"/>
    <w:rsid w:val="00537F10"/>
    <w:rsid w:val="00537F62"/>
    <w:rsid w:val="00537FA8"/>
    <w:rsid w:val="00540150"/>
    <w:rsid w:val="00540222"/>
    <w:rsid w:val="0054035C"/>
    <w:rsid w:val="00540413"/>
    <w:rsid w:val="00540621"/>
    <w:rsid w:val="0054072F"/>
    <w:rsid w:val="005409D3"/>
    <w:rsid w:val="00540A28"/>
    <w:rsid w:val="00540B3E"/>
    <w:rsid w:val="00540C13"/>
    <w:rsid w:val="00540C7C"/>
    <w:rsid w:val="00540D9B"/>
    <w:rsid w:val="00540E89"/>
    <w:rsid w:val="00541132"/>
    <w:rsid w:val="00541158"/>
    <w:rsid w:val="00541271"/>
    <w:rsid w:val="00541281"/>
    <w:rsid w:val="005412EB"/>
    <w:rsid w:val="0054162F"/>
    <w:rsid w:val="005416E7"/>
    <w:rsid w:val="00541842"/>
    <w:rsid w:val="005418CB"/>
    <w:rsid w:val="00541B8F"/>
    <w:rsid w:val="00541D8D"/>
    <w:rsid w:val="00541E01"/>
    <w:rsid w:val="00541EBF"/>
    <w:rsid w:val="00542322"/>
    <w:rsid w:val="0054256E"/>
    <w:rsid w:val="005426C3"/>
    <w:rsid w:val="0054286B"/>
    <w:rsid w:val="005429E0"/>
    <w:rsid w:val="00542B7D"/>
    <w:rsid w:val="00542BB3"/>
    <w:rsid w:val="00542E24"/>
    <w:rsid w:val="005434C2"/>
    <w:rsid w:val="005434DC"/>
    <w:rsid w:val="005437BF"/>
    <w:rsid w:val="00543853"/>
    <w:rsid w:val="005438EA"/>
    <w:rsid w:val="00543966"/>
    <w:rsid w:val="0054396C"/>
    <w:rsid w:val="00543986"/>
    <w:rsid w:val="00543DDD"/>
    <w:rsid w:val="005440DE"/>
    <w:rsid w:val="00544149"/>
    <w:rsid w:val="0054416C"/>
    <w:rsid w:val="0054417C"/>
    <w:rsid w:val="005443D1"/>
    <w:rsid w:val="00544447"/>
    <w:rsid w:val="00544966"/>
    <w:rsid w:val="00544D1F"/>
    <w:rsid w:val="00544D8D"/>
    <w:rsid w:val="00544DF3"/>
    <w:rsid w:val="00544F21"/>
    <w:rsid w:val="00544F3B"/>
    <w:rsid w:val="00544FCD"/>
    <w:rsid w:val="00545044"/>
    <w:rsid w:val="00545072"/>
    <w:rsid w:val="00545340"/>
    <w:rsid w:val="005454A1"/>
    <w:rsid w:val="005455EB"/>
    <w:rsid w:val="00545665"/>
    <w:rsid w:val="00545824"/>
    <w:rsid w:val="0054585B"/>
    <w:rsid w:val="00545886"/>
    <w:rsid w:val="005458BD"/>
    <w:rsid w:val="00545C38"/>
    <w:rsid w:val="00545E4D"/>
    <w:rsid w:val="00545F15"/>
    <w:rsid w:val="00545F39"/>
    <w:rsid w:val="005460CC"/>
    <w:rsid w:val="00546101"/>
    <w:rsid w:val="0054619D"/>
    <w:rsid w:val="00546271"/>
    <w:rsid w:val="00546314"/>
    <w:rsid w:val="00546329"/>
    <w:rsid w:val="0054633C"/>
    <w:rsid w:val="00546360"/>
    <w:rsid w:val="0054639D"/>
    <w:rsid w:val="005463B5"/>
    <w:rsid w:val="005463C7"/>
    <w:rsid w:val="005464A5"/>
    <w:rsid w:val="0054654F"/>
    <w:rsid w:val="005466A1"/>
    <w:rsid w:val="00546D9F"/>
    <w:rsid w:val="00546DBF"/>
    <w:rsid w:val="00546F4E"/>
    <w:rsid w:val="0054702B"/>
    <w:rsid w:val="00547078"/>
    <w:rsid w:val="005470BC"/>
    <w:rsid w:val="00547139"/>
    <w:rsid w:val="0054714E"/>
    <w:rsid w:val="0054719B"/>
    <w:rsid w:val="00547235"/>
    <w:rsid w:val="0054728C"/>
    <w:rsid w:val="005472DF"/>
    <w:rsid w:val="0054741E"/>
    <w:rsid w:val="005474DD"/>
    <w:rsid w:val="005477B9"/>
    <w:rsid w:val="00547832"/>
    <w:rsid w:val="005478D8"/>
    <w:rsid w:val="005478E2"/>
    <w:rsid w:val="00547922"/>
    <w:rsid w:val="00547949"/>
    <w:rsid w:val="00547B2C"/>
    <w:rsid w:val="00547B2E"/>
    <w:rsid w:val="00547C50"/>
    <w:rsid w:val="00547D58"/>
    <w:rsid w:val="00550212"/>
    <w:rsid w:val="005504C3"/>
    <w:rsid w:val="005505C2"/>
    <w:rsid w:val="00550727"/>
    <w:rsid w:val="005507FA"/>
    <w:rsid w:val="00550B79"/>
    <w:rsid w:val="00550CE4"/>
    <w:rsid w:val="00550E61"/>
    <w:rsid w:val="00550F18"/>
    <w:rsid w:val="00550FCE"/>
    <w:rsid w:val="00551096"/>
    <w:rsid w:val="0055133F"/>
    <w:rsid w:val="00551427"/>
    <w:rsid w:val="005514A0"/>
    <w:rsid w:val="00551584"/>
    <w:rsid w:val="00551610"/>
    <w:rsid w:val="00551668"/>
    <w:rsid w:val="0055169C"/>
    <w:rsid w:val="0055179C"/>
    <w:rsid w:val="0055193C"/>
    <w:rsid w:val="00551A85"/>
    <w:rsid w:val="00551C05"/>
    <w:rsid w:val="00551D5A"/>
    <w:rsid w:val="00551E1F"/>
    <w:rsid w:val="00551EA4"/>
    <w:rsid w:val="00551EE8"/>
    <w:rsid w:val="005520F1"/>
    <w:rsid w:val="005521D8"/>
    <w:rsid w:val="005523CF"/>
    <w:rsid w:val="005523DC"/>
    <w:rsid w:val="00552401"/>
    <w:rsid w:val="005524BD"/>
    <w:rsid w:val="005529E7"/>
    <w:rsid w:val="00552A89"/>
    <w:rsid w:val="00552A94"/>
    <w:rsid w:val="00552AA2"/>
    <w:rsid w:val="00552ABB"/>
    <w:rsid w:val="00552B67"/>
    <w:rsid w:val="00552C4F"/>
    <w:rsid w:val="00552C61"/>
    <w:rsid w:val="00552DD7"/>
    <w:rsid w:val="00552DE0"/>
    <w:rsid w:val="00552E20"/>
    <w:rsid w:val="00552F17"/>
    <w:rsid w:val="00553035"/>
    <w:rsid w:val="005532BA"/>
    <w:rsid w:val="0055332F"/>
    <w:rsid w:val="0055333F"/>
    <w:rsid w:val="005533BD"/>
    <w:rsid w:val="005533DE"/>
    <w:rsid w:val="00553455"/>
    <w:rsid w:val="00553642"/>
    <w:rsid w:val="0055368C"/>
    <w:rsid w:val="0055372A"/>
    <w:rsid w:val="0055373D"/>
    <w:rsid w:val="00553866"/>
    <w:rsid w:val="00553885"/>
    <w:rsid w:val="005539DA"/>
    <w:rsid w:val="00553ABE"/>
    <w:rsid w:val="00553CDB"/>
    <w:rsid w:val="00553D26"/>
    <w:rsid w:val="00553D3C"/>
    <w:rsid w:val="00553E37"/>
    <w:rsid w:val="00554325"/>
    <w:rsid w:val="005543E6"/>
    <w:rsid w:val="005547D5"/>
    <w:rsid w:val="005547EC"/>
    <w:rsid w:val="005549D7"/>
    <w:rsid w:val="00554A7F"/>
    <w:rsid w:val="00554AD3"/>
    <w:rsid w:val="00554B12"/>
    <w:rsid w:val="00554B24"/>
    <w:rsid w:val="00554B57"/>
    <w:rsid w:val="00554BAA"/>
    <w:rsid w:val="00554BDC"/>
    <w:rsid w:val="00554BFF"/>
    <w:rsid w:val="00554C75"/>
    <w:rsid w:val="00554D1C"/>
    <w:rsid w:val="00555077"/>
    <w:rsid w:val="00555114"/>
    <w:rsid w:val="005552EE"/>
    <w:rsid w:val="0055547C"/>
    <w:rsid w:val="0055547E"/>
    <w:rsid w:val="00555744"/>
    <w:rsid w:val="005559D4"/>
    <w:rsid w:val="005559EA"/>
    <w:rsid w:val="00555A7E"/>
    <w:rsid w:val="00555B71"/>
    <w:rsid w:val="00555D33"/>
    <w:rsid w:val="00555E5F"/>
    <w:rsid w:val="005561D7"/>
    <w:rsid w:val="0055629B"/>
    <w:rsid w:val="00556332"/>
    <w:rsid w:val="005563FA"/>
    <w:rsid w:val="00556415"/>
    <w:rsid w:val="0055657D"/>
    <w:rsid w:val="005565D1"/>
    <w:rsid w:val="005565E9"/>
    <w:rsid w:val="00556644"/>
    <w:rsid w:val="005566EC"/>
    <w:rsid w:val="0055677F"/>
    <w:rsid w:val="005567BA"/>
    <w:rsid w:val="00556A26"/>
    <w:rsid w:val="00556B17"/>
    <w:rsid w:val="00556B23"/>
    <w:rsid w:val="00556BB4"/>
    <w:rsid w:val="00556C68"/>
    <w:rsid w:val="00556C77"/>
    <w:rsid w:val="00556CE9"/>
    <w:rsid w:val="00556E35"/>
    <w:rsid w:val="00556EEE"/>
    <w:rsid w:val="0055701C"/>
    <w:rsid w:val="00557027"/>
    <w:rsid w:val="00557166"/>
    <w:rsid w:val="0055719B"/>
    <w:rsid w:val="005571F5"/>
    <w:rsid w:val="005571FF"/>
    <w:rsid w:val="005572AB"/>
    <w:rsid w:val="00557493"/>
    <w:rsid w:val="00557514"/>
    <w:rsid w:val="00557595"/>
    <w:rsid w:val="00557650"/>
    <w:rsid w:val="00557701"/>
    <w:rsid w:val="00557727"/>
    <w:rsid w:val="005577F3"/>
    <w:rsid w:val="00557964"/>
    <w:rsid w:val="005579BD"/>
    <w:rsid w:val="00557B2C"/>
    <w:rsid w:val="00557B68"/>
    <w:rsid w:val="00557D42"/>
    <w:rsid w:val="00557DDB"/>
    <w:rsid w:val="00557E52"/>
    <w:rsid w:val="00557FF5"/>
    <w:rsid w:val="00560080"/>
    <w:rsid w:val="00560083"/>
    <w:rsid w:val="005602E7"/>
    <w:rsid w:val="005604E1"/>
    <w:rsid w:val="005606F7"/>
    <w:rsid w:val="00560745"/>
    <w:rsid w:val="00560755"/>
    <w:rsid w:val="00560981"/>
    <w:rsid w:val="00560B9C"/>
    <w:rsid w:val="00560CFE"/>
    <w:rsid w:val="00560D44"/>
    <w:rsid w:val="00560D59"/>
    <w:rsid w:val="00560DA1"/>
    <w:rsid w:val="00560ED5"/>
    <w:rsid w:val="00560F96"/>
    <w:rsid w:val="00561012"/>
    <w:rsid w:val="00561276"/>
    <w:rsid w:val="005612A9"/>
    <w:rsid w:val="0056132F"/>
    <w:rsid w:val="00561395"/>
    <w:rsid w:val="00561398"/>
    <w:rsid w:val="005613D8"/>
    <w:rsid w:val="005613E7"/>
    <w:rsid w:val="00561624"/>
    <w:rsid w:val="0056163A"/>
    <w:rsid w:val="00561839"/>
    <w:rsid w:val="005619C9"/>
    <w:rsid w:val="00561BCF"/>
    <w:rsid w:val="00561D49"/>
    <w:rsid w:val="00561F31"/>
    <w:rsid w:val="00561F6D"/>
    <w:rsid w:val="00561FD7"/>
    <w:rsid w:val="0056206D"/>
    <w:rsid w:val="00562268"/>
    <w:rsid w:val="0056229D"/>
    <w:rsid w:val="005623CE"/>
    <w:rsid w:val="0056255E"/>
    <w:rsid w:val="00562567"/>
    <w:rsid w:val="005626AC"/>
    <w:rsid w:val="005627EF"/>
    <w:rsid w:val="0056281D"/>
    <w:rsid w:val="005628A6"/>
    <w:rsid w:val="00562974"/>
    <w:rsid w:val="00562C69"/>
    <w:rsid w:val="00562DBD"/>
    <w:rsid w:val="00562F76"/>
    <w:rsid w:val="00562FF9"/>
    <w:rsid w:val="0056305E"/>
    <w:rsid w:val="005630DB"/>
    <w:rsid w:val="00563232"/>
    <w:rsid w:val="0056346F"/>
    <w:rsid w:val="00563723"/>
    <w:rsid w:val="005637E3"/>
    <w:rsid w:val="005639F4"/>
    <w:rsid w:val="00563AD4"/>
    <w:rsid w:val="00563C03"/>
    <w:rsid w:val="00563DB0"/>
    <w:rsid w:val="00563DF2"/>
    <w:rsid w:val="00563EBB"/>
    <w:rsid w:val="00563FA7"/>
    <w:rsid w:val="005640A7"/>
    <w:rsid w:val="005640B4"/>
    <w:rsid w:val="0056421A"/>
    <w:rsid w:val="005643C9"/>
    <w:rsid w:val="005643D6"/>
    <w:rsid w:val="005643FB"/>
    <w:rsid w:val="0056472F"/>
    <w:rsid w:val="0056476E"/>
    <w:rsid w:val="00564797"/>
    <w:rsid w:val="005647BE"/>
    <w:rsid w:val="00564841"/>
    <w:rsid w:val="005649E2"/>
    <w:rsid w:val="00564A5D"/>
    <w:rsid w:val="00564E4D"/>
    <w:rsid w:val="00564E8D"/>
    <w:rsid w:val="00564F34"/>
    <w:rsid w:val="00564F8C"/>
    <w:rsid w:val="0056508E"/>
    <w:rsid w:val="005650A5"/>
    <w:rsid w:val="00565131"/>
    <w:rsid w:val="00565193"/>
    <w:rsid w:val="005651C3"/>
    <w:rsid w:val="0056529A"/>
    <w:rsid w:val="005653EB"/>
    <w:rsid w:val="005656C1"/>
    <w:rsid w:val="005658E3"/>
    <w:rsid w:val="00565C07"/>
    <w:rsid w:val="00565C63"/>
    <w:rsid w:val="00565CD6"/>
    <w:rsid w:val="00565CE1"/>
    <w:rsid w:val="00565D07"/>
    <w:rsid w:val="00565EC7"/>
    <w:rsid w:val="00565F55"/>
    <w:rsid w:val="00565F57"/>
    <w:rsid w:val="00566266"/>
    <w:rsid w:val="0056659D"/>
    <w:rsid w:val="00566995"/>
    <w:rsid w:val="005669A6"/>
    <w:rsid w:val="00566AC1"/>
    <w:rsid w:val="00566C16"/>
    <w:rsid w:val="00566D42"/>
    <w:rsid w:val="00566D6E"/>
    <w:rsid w:val="00566DB6"/>
    <w:rsid w:val="00566EC7"/>
    <w:rsid w:val="00566F82"/>
    <w:rsid w:val="0056703E"/>
    <w:rsid w:val="00567099"/>
    <w:rsid w:val="005672C1"/>
    <w:rsid w:val="00567463"/>
    <w:rsid w:val="005675DB"/>
    <w:rsid w:val="005677BF"/>
    <w:rsid w:val="005677DB"/>
    <w:rsid w:val="0056780C"/>
    <w:rsid w:val="005678DB"/>
    <w:rsid w:val="00567C6B"/>
    <w:rsid w:val="00567CAC"/>
    <w:rsid w:val="005700E7"/>
    <w:rsid w:val="00570173"/>
    <w:rsid w:val="0057034F"/>
    <w:rsid w:val="005703BE"/>
    <w:rsid w:val="0057047A"/>
    <w:rsid w:val="00570699"/>
    <w:rsid w:val="00570759"/>
    <w:rsid w:val="0057076B"/>
    <w:rsid w:val="00570AF7"/>
    <w:rsid w:val="00570D5C"/>
    <w:rsid w:val="00570E67"/>
    <w:rsid w:val="00570E88"/>
    <w:rsid w:val="00570FB0"/>
    <w:rsid w:val="00570FD4"/>
    <w:rsid w:val="00570FFE"/>
    <w:rsid w:val="00571236"/>
    <w:rsid w:val="0057123E"/>
    <w:rsid w:val="0057126D"/>
    <w:rsid w:val="00571626"/>
    <w:rsid w:val="00571904"/>
    <w:rsid w:val="005719A5"/>
    <w:rsid w:val="00571A36"/>
    <w:rsid w:val="00571A7E"/>
    <w:rsid w:val="00571A96"/>
    <w:rsid w:val="00571AC0"/>
    <w:rsid w:val="00571B0B"/>
    <w:rsid w:val="00571BAE"/>
    <w:rsid w:val="00571CCB"/>
    <w:rsid w:val="00571CF2"/>
    <w:rsid w:val="00571D1B"/>
    <w:rsid w:val="00571EE3"/>
    <w:rsid w:val="00571EF3"/>
    <w:rsid w:val="00571F0A"/>
    <w:rsid w:val="00571FD1"/>
    <w:rsid w:val="005726D8"/>
    <w:rsid w:val="00572775"/>
    <w:rsid w:val="0057287F"/>
    <w:rsid w:val="00572D5E"/>
    <w:rsid w:val="00572DBD"/>
    <w:rsid w:val="00572E0E"/>
    <w:rsid w:val="00572E8A"/>
    <w:rsid w:val="00573119"/>
    <w:rsid w:val="00573189"/>
    <w:rsid w:val="005732ED"/>
    <w:rsid w:val="00573322"/>
    <w:rsid w:val="0057341F"/>
    <w:rsid w:val="00573443"/>
    <w:rsid w:val="005734CE"/>
    <w:rsid w:val="005736EF"/>
    <w:rsid w:val="0057372F"/>
    <w:rsid w:val="005737F9"/>
    <w:rsid w:val="0057387C"/>
    <w:rsid w:val="0057390A"/>
    <w:rsid w:val="00573916"/>
    <w:rsid w:val="00573A6D"/>
    <w:rsid w:val="00573B35"/>
    <w:rsid w:val="00574034"/>
    <w:rsid w:val="00574118"/>
    <w:rsid w:val="00574458"/>
    <w:rsid w:val="0057446F"/>
    <w:rsid w:val="0057465C"/>
    <w:rsid w:val="005746E6"/>
    <w:rsid w:val="0057470C"/>
    <w:rsid w:val="00574970"/>
    <w:rsid w:val="00574A54"/>
    <w:rsid w:val="00574B03"/>
    <w:rsid w:val="00574B22"/>
    <w:rsid w:val="00574B73"/>
    <w:rsid w:val="00574C19"/>
    <w:rsid w:val="00574CCF"/>
    <w:rsid w:val="00574D16"/>
    <w:rsid w:val="00574E00"/>
    <w:rsid w:val="00574E17"/>
    <w:rsid w:val="00574E67"/>
    <w:rsid w:val="0057508F"/>
    <w:rsid w:val="00575115"/>
    <w:rsid w:val="00575341"/>
    <w:rsid w:val="005753D9"/>
    <w:rsid w:val="005753F9"/>
    <w:rsid w:val="00575420"/>
    <w:rsid w:val="005754A7"/>
    <w:rsid w:val="005754DD"/>
    <w:rsid w:val="0057560E"/>
    <w:rsid w:val="005756AB"/>
    <w:rsid w:val="0057575D"/>
    <w:rsid w:val="00575778"/>
    <w:rsid w:val="005757BB"/>
    <w:rsid w:val="0057581D"/>
    <w:rsid w:val="005758CB"/>
    <w:rsid w:val="00575993"/>
    <w:rsid w:val="00575A03"/>
    <w:rsid w:val="00575A39"/>
    <w:rsid w:val="00575C83"/>
    <w:rsid w:val="00575D12"/>
    <w:rsid w:val="00575D34"/>
    <w:rsid w:val="00575F0D"/>
    <w:rsid w:val="00576186"/>
    <w:rsid w:val="005761C6"/>
    <w:rsid w:val="005762FB"/>
    <w:rsid w:val="00576341"/>
    <w:rsid w:val="00576351"/>
    <w:rsid w:val="00576527"/>
    <w:rsid w:val="00576589"/>
    <w:rsid w:val="0057658C"/>
    <w:rsid w:val="005765B2"/>
    <w:rsid w:val="0057663E"/>
    <w:rsid w:val="005767B3"/>
    <w:rsid w:val="005768BE"/>
    <w:rsid w:val="00576BF5"/>
    <w:rsid w:val="00576CE2"/>
    <w:rsid w:val="00576CF0"/>
    <w:rsid w:val="00576E42"/>
    <w:rsid w:val="00576FB0"/>
    <w:rsid w:val="005770AE"/>
    <w:rsid w:val="0057720A"/>
    <w:rsid w:val="0057747E"/>
    <w:rsid w:val="00577840"/>
    <w:rsid w:val="00577852"/>
    <w:rsid w:val="005778FA"/>
    <w:rsid w:val="00577987"/>
    <w:rsid w:val="00577A86"/>
    <w:rsid w:val="00577AC7"/>
    <w:rsid w:val="00577D5E"/>
    <w:rsid w:val="00577DA1"/>
    <w:rsid w:val="00577DD0"/>
    <w:rsid w:val="00577DF0"/>
    <w:rsid w:val="00577EA9"/>
    <w:rsid w:val="00577F5A"/>
    <w:rsid w:val="005800B7"/>
    <w:rsid w:val="005802B2"/>
    <w:rsid w:val="00580462"/>
    <w:rsid w:val="005804E8"/>
    <w:rsid w:val="00580608"/>
    <w:rsid w:val="00580890"/>
    <w:rsid w:val="005808F5"/>
    <w:rsid w:val="005809AB"/>
    <w:rsid w:val="005809BA"/>
    <w:rsid w:val="00580ACB"/>
    <w:rsid w:val="00580BA1"/>
    <w:rsid w:val="00580C0D"/>
    <w:rsid w:val="00580E05"/>
    <w:rsid w:val="00580E30"/>
    <w:rsid w:val="00580FE7"/>
    <w:rsid w:val="00581136"/>
    <w:rsid w:val="005811FC"/>
    <w:rsid w:val="005812E1"/>
    <w:rsid w:val="005816AC"/>
    <w:rsid w:val="005816FE"/>
    <w:rsid w:val="005817B6"/>
    <w:rsid w:val="005817D1"/>
    <w:rsid w:val="005817FD"/>
    <w:rsid w:val="0058186E"/>
    <w:rsid w:val="0058188F"/>
    <w:rsid w:val="00581923"/>
    <w:rsid w:val="0058195B"/>
    <w:rsid w:val="00581A1B"/>
    <w:rsid w:val="00581A55"/>
    <w:rsid w:val="00581AD6"/>
    <w:rsid w:val="00581B05"/>
    <w:rsid w:val="00581B51"/>
    <w:rsid w:val="00581FBE"/>
    <w:rsid w:val="00581FDD"/>
    <w:rsid w:val="00582063"/>
    <w:rsid w:val="00582874"/>
    <w:rsid w:val="00582922"/>
    <w:rsid w:val="0058299F"/>
    <w:rsid w:val="005829EE"/>
    <w:rsid w:val="00582C0F"/>
    <w:rsid w:val="00582D1A"/>
    <w:rsid w:val="00582E4E"/>
    <w:rsid w:val="00582FD7"/>
    <w:rsid w:val="00583069"/>
    <w:rsid w:val="0058306F"/>
    <w:rsid w:val="00583089"/>
    <w:rsid w:val="005832C8"/>
    <w:rsid w:val="005833CE"/>
    <w:rsid w:val="005833CF"/>
    <w:rsid w:val="005833D9"/>
    <w:rsid w:val="005833F8"/>
    <w:rsid w:val="00583439"/>
    <w:rsid w:val="00583450"/>
    <w:rsid w:val="0058351A"/>
    <w:rsid w:val="0058351F"/>
    <w:rsid w:val="00583637"/>
    <w:rsid w:val="005836BA"/>
    <w:rsid w:val="005836F3"/>
    <w:rsid w:val="00583784"/>
    <w:rsid w:val="005838C6"/>
    <w:rsid w:val="005839DC"/>
    <w:rsid w:val="005839EE"/>
    <w:rsid w:val="00583A79"/>
    <w:rsid w:val="00583CBE"/>
    <w:rsid w:val="00583E22"/>
    <w:rsid w:val="00583F12"/>
    <w:rsid w:val="0058404A"/>
    <w:rsid w:val="00584122"/>
    <w:rsid w:val="00584246"/>
    <w:rsid w:val="00584309"/>
    <w:rsid w:val="005843FF"/>
    <w:rsid w:val="0058465E"/>
    <w:rsid w:val="005848EF"/>
    <w:rsid w:val="00584CC2"/>
    <w:rsid w:val="00584D46"/>
    <w:rsid w:val="00584D48"/>
    <w:rsid w:val="0058500A"/>
    <w:rsid w:val="00585011"/>
    <w:rsid w:val="00585036"/>
    <w:rsid w:val="00585087"/>
    <w:rsid w:val="00585088"/>
    <w:rsid w:val="005851BF"/>
    <w:rsid w:val="0058520C"/>
    <w:rsid w:val="00585262"/>
    <w:rsid w:val="00585422"/>
    <w:rsid w:val="00585534"/>
    <w:rsid w:val="0058556C"/>
    <w:rsid w:val="005856F2"/>
    <w:rsid w:val="005857F0"/>
    <w:rsid w:val="00585BB4"/>
    <w:rsid w:val="00585C5A"/>
    <w:rsid w:val="00585CD9"/>
    <w:rsid w:val="005860F2"/>
    <w:rsid w:val="00586191"/>
    <w:rsid w:val="005861D3"/>
    <w:rsid w:val="00586432"/>
    <w:rsid w:val="0058652A"/>
    <w:rsid w:val="005865D0"/>
    <w:rsid w:val="00586723"/>
    <w:rsid w:val="00586791"/>
    <w:rsid w:val="005868E3"/>
    <w:rsid w:val="00586997"/>
    <w:rsid w:val="00586A4D"/>
    <w:rsid w:val="00586A79"/>
    <w:rsid w:val="00586AC5"/>
    <w:rsid w:val="00586AE0"/>
    <w:rsid w:val="00586AE1"/>
    <w:rsid w:val="00586AE7"/>
    <w:rsid w:val="00586C4F"/>
    <w:rsid w:val="00586CDB"/>
    <w:rsid w:val="00586D0D"/>
    <w:rsid w:val="00586E1D"/>
    <w:rsid w:val="00587000"/>
    <w:rsid w:val="00587212"/>
    <w:rsid w:val="00587215"/>
    <w:rsid w:val="005872D4"/>
    <w:rsid w:val="00587431"/>
    <w:rsid w:val="00587483"/>
    <w:rsid w:val="0058748F"/>
    <w:rsid w:val="005874D6"/>
    <w:rsid w:val="005874EC"/>
    <w:rsid w:val="00587816"/>
    <w:rsid w:val="005878C2"/>
    <w:rsid w:val="005878DB"/>
    <w:rsid w:val="00587949"/>
    <w:rsid w:val="00587A11"/>
    <w:rsid w:val="00587A13"/>
    <w:rsid w:val="00587A8F"/>
    <w:rsid w:val="00587A9D"/>
    <w:rsid w:val="00587AA2"/>
    <w:rsid w:val="00587B62"/>
    <w:rsid w:val="00587DFC"/>
    <w:rsid w:val="00587E1F"/>
    <w:rsid w:val="00587EF6"/>
    <w:rsid w:val="00587F16"/>
    <w:rsid w:val="00587FDF"/>
    <w:rsid w:val="00590181"/>
    <w:rsid w:val="0059019B"/>
    <w:rsid w:val="005901FB"/>
    <w:rsid w:val="005903AC"/>
    <w:rsid w:val="005903C8"/>
    <w:rsid w:val="00590566"/>
    <w:rsid w:val="005905EB"/>
    <w:rsid w:val="005906E5"/>
    <w:rsid w:val="005907DA"/>
    <w:rsid w:val="00590848"/>
    <w:rsid w:val="0059095D"/>
    <w:rsid w:val="00590979"/>
    <w:rsid w:val="00590A87"/>
    <w:rsid w:val="00590B93"/>
    <w:rsid w:val="00590BF1"/>
    <w:rsid w:val="00590BF8"/>
    <w:rsid w:val="00590CE0"/>
    <w:rsid w:val="00590D2E"/>
    <w:rsid w:val="00590DFA"/>
    <w:rsid w:val="00590E14"/>
    <w:rsid w:val="00590E9C"/>
    <w:rsid w:val="00590F3C"/>
    <w:rsid w:val="00590F5E"/>
    <w:rsid w:val="00590F7D"/>
    <w:rsid w:val="005910BA"/>
    <w:rsid w:val="005911E6"/>
    <w:rsid w:val="00591230"/>
    <w:rsid w:val="0059140A"/>
    <w:rsid w:val="005914EE"/>
    <w:rsid w:val="0059152B"/>
    <w:rsid w:val="005916D3"/>
    <w:rsid w:val="00591762"/>
    <w:rsid w:val="00591782"/>
    <w:rsid w:val="00591B1F"/>
    <w:rsid w:val="00591C2B"/>
    <w:rsid w:val="00591CF0"/>
    <w:rsid w:val="005920F7"/>
    <w:rsid w:val="005921C9"/>
    <w:rsid w:val="005923E6"/>
    <w:rsid w:val="0059250B"/>
    <w:rsid w:val="005925D9"/>
    <w:rsid w:val="00592764"/>
    <w:rsid w:val="005927F6"/>
    <w:rsid w:val="0059298C"/>
    <w:rsid w:val="00592CD1"/>
    <w:rsid w:val="00592CF0"/>
    <w:rsid w:val="00592DD8"/>
    <w:rsid w:val="00592EAC"/>
    <w:rsid w:val="0059303A"/>
    <w:rsid w:val="00593092"/>
    <w:rsid w:val="005930A3"/>
    <w:rsid w:val="005930D5"/>
    <w:rsid w:val="005930E4"/>
    <w:rsid w:val="005930F1"/>
    <w:rsid w:val="005932B6"/>
    <w:rsid w:val="005932C3"/>
    <w:rsid w:val="005932CE"/>
    <w:rsid w:val="005933EC"/>
    <w:rsid w:val="00593449"/>
    <w:rsid w:val="005935B6"/>
    <w:rsid w:val="005935EE"/>
    <w:rsid w:val="00593606"/>
    <w:rsid w:val="00593641"/>
    <w:rsid w:val="005936C2"/>
    <w:rsid w:val="00593741"/>
    <w:rsid w:val="005938A7"/>
    <w:rsid w:val="00593A70"/>
    <w:rsid w:val="00593D7B"/>
    <w:rsid w:val="00593DDB"/>
    <w:rsid w:val="00593E8C"/>
    <w:rsid w:val="00593F15"/>
    <w:rsid w:val="00593FED"/>
    <w:rsid w:val="0059401B"/>
    <w:rsid w:val="00594680"/>
    <w:rsid w:val="005946E7"/>
    <w:rsid w:val="005946EA"/>
    <w:rsid w:val="00594723"/>
    <w:rsid w:val="005947BB"/>
    <w:rsid w:val="00594866"/>
    <w:rsid w:val="00594943"/>
    <w:rsid w:val="00594B8A"/>
    <w:rsid w:val="00594D02"/>
    <w:rsid w:val="00594D14"/>
    <w:rsid w:val="00594E4D"/>
    <w:rsid w:val="005951CC"/>
    <w:rsid w:val="005951DF"/>
    <w:rsid w:val="00595256"/>
    <w:rsid w:val="00595386"/>
    <w:rsid w:val="00595495"/>
    <w:rsid w:val="005955CE"/>
    <w:rsid w:val="0059560C"/>
    <w:rsid w:val="005957C2"/>
    <w:rsid w:val="005959FF"/>
    <w:rsid w:val="00595AB8"/>
    <w:rsid w:val="00595C5D"/>
    <w:rsid w:val="00595CED"/>
    <w:rsid w:val="00595D8E"/>
    <w:rsid w:val="00595DE5"/>
    <w:rsid w:val="00595E41"/>
    <w:rsid w:val="00595EE2"/>
    <w:rsid w:val="005960DD"/>
    <w:rsid w:val="005962A4"/>
    <w:rsid w:val="00596371"/>
    <w:rsid w:val="00596488"/>
    <w:rsid w:val="00596703"/>
    <w:rsid w:val="005967B2"/>
    <w:rsid w:val="0059681B"/>
    <w:rsid w:val="0059687F"/>
    <w:rsid w:val="00596A3A"/>
    <w:rsid w:val="00596AD9"/>
    <w:rsid w:val="00596B12"/>
    <w:rsid w:val="00596B85"/>
    <w:rsid w:val="00596E62"/>
    <w:rsid w:val="00596EB3"/>
    <w:rsid w:val="00596EC4"/>
    <w:rsid w:val="00596F47"/>
    <w:rsid w:val="00596F55"/>
    <w:rsid w:val="00596FA5"/>
    <w:rsid w:val="00597011"/>
    <w:rsid w:val="005970C8"/>
    <w:rsid w:val="00597369"/>
    <w:rsid w:val="005973C2"/>
    <w:rsid w:val="0059744C"/>
    <w:rsid w:val="00597477"/>
    <w:rsid w:val="00597868"/>
    <w:rsid w:val="00597992"/>
    <w:rsid w:val="00597A7B"/>
    <w:rsid w:val="00597ADC"/>
    <w:rsid w:val="00597B36"/>
    <w:rsid w:val="00597BE4"/>
    <w:rsid w:val="00597BF0"/>
    <w:rsid w:val="00597CF1"/>
    <w:rsid w:val="005A00C9"/>
    <w:rsid w:val="005A03DF"/>
    <w:rsid w:val="005A049D"/>
    <w:rsid w:val="005A055D"/>
    <w:rsid w:val="005A083E"/>
    <w:rsid w:val="005A09EF"/>
    <w:rsid w:val="005A0BAF"/>
    <w:rsid w:val="005A0C4F"/>
    <w:rsid w:val="005A0DF4"/>
    <w:rsid w:val="005A0F68"/>
    <w:rsid w:val="005A0FA7"/>
    <w:rsid w:val="005A1005"/>
    <w:rsid w:val="005A1156"/>
    <w:rsid w:val="005A12CB"/>
    <w:rsid w:val="005A1301"/>
    <w:rsid w:val="005A1354"/>
    <w:rsid w:val="005A139D"/>
    <w:rsid w:val="005A13DB"/>
    <w:rsid w:val="005A1541"/>
    <w:rsid w:val="005A1988"/>
    <w:rsid w:val="005A1A36"/>
    <w:rsid w:val="005A1AEC"/>
    <w:rsid w:val="005A1B96"/>
    <w:rsid w:val="005A1BD2"/>
    <w:rsid w:val="005A1F3D"/>
    <w:rsid w:val="005A1F8F"/>
    <w:rsid w:val="005A2383"/>
    <w:rsid w:val="005A248B"/>
    <w:rsid w:val="005A24F6"/>
    <w:rsid w:val="005A252E"/>
    <w:rsid w:val="005A25B3"/>
    <w:rsid w:val="005A25BC"/>
    <w:rsid w:val="005A2609"/>
    <w:rsid w:val="005A288D"/>
    <w:rsid w:val="005A28B8"/>
    <w:rsid w:val="005A2938"/>
    <w:rsid w:val="005A295E"/>
    <w:rsid w:val="005A29AC"/>
    <w:rsid w:val="005A29EA"/>
    <w:rsid w:val="005A2BEC"/>
    <w:rsid w:val="005A2C67"/>
    <w:rsid w:val="005A2CBB"/>
    <w:rsid w:val="005A2D18"/>
    <w:rsid w:val="005A2F7D"/>
    <w:rsid w:val="005A2FBD"/>
    <w:rsid w:val="005A30EA"/>
    <w:rsid w:val="005A313B"/>
    <w:rsid w:val="005A3192"/>
    <w:rsid w:val="005A3249"/>
    <w:rsid w:val="005A328A"/>
    <w:rsid w:val="005A32B5"/>
    <w:rsid w:val="005A32BD"/>
    <w:rsid w:val="005A33A1"/>
    <w:rsid w:val="005A340E"/>
    <w:rsid w:val="005A3415"/>
    <w:rsid w:val="005A3476"/>
    <w:rsid w:val="005A357A"/>
    <w:rsid w:val="005A35E6"/>
    <w:rsid w:val="005A3650"/>
    <w:rsid w:val="005A3688"/>
    <w:rsid w:val="005A3737"/>
    <w:rsid w:val="005A39C3"/>
    <w:rsid w:val="005A3A9D"/>
    <w:rsid w:val="005A403A"/>
    <w:rsid w:val="005A41CB"/>
    <w:rsid w:val="005A4214"/>
    <w:rsid w:val="005A4396"/>
    <w:rsid w:val="005A43D8"/>
    <w:rsid w:val="005A4443"/>
    <w:rsid w:val="005A445C"/>
    <w:rsid w:val="005A448C"/>
    <w:rsid w:val="005A47D9"/>
    <w:rsid w:val="005A49F7"/>
    <w:rsid w:val="005A4AD0"/>
    <w:rsid w:val="005A4B97"/>
    <w:rsid w:val="005A4D70"/>
    <w:rsid w:val="005A4E81"/>
    <w:rsid w:val="005A4F54"/>
    <w:rsid w:val="005A5128"/>
    <w:rsid w:val="005A51F1"/>
    <w:rsid w:val="005A5277"/>
    <w:rsid w:val="005A533A"/>
    <w:rsid w:val="005A53AB"/>
    <w:rsid w:val="005A54C1"/>
    <w:rsid w:val="005A54D9"/>
    <w:rsid w:val="005A568F"/>
    <w:rsid w:val="005A578D"/>
    <w:rsid w:val="005A581A"/>
    <w:rsid w:val="005A5BFE"/>
    <w:rsid w:val="005A5FDB"/>
    <w:rsid w:val="005A6000"/>
    <w:rsid w:val="005A61B7"/>
    <w:rsid w:val="005A6212"/>
    <w:rsid w:val="005A6263"/>
    <w:rsid w:val="005A62FE"/>
    <w:rsid w:val="005A634A"/>
    <w:rsid w:val="005A6620"/>
    <w:rsid w:val="005A671A"/>
    <w:rsid w:val="005A672C"/>
    <w:rsid w:val="005A677E"/>
    <w:rsid w:val="005A68E8"/>
    <w:rsid w:val="005A69A1"/>
    <w:rsid w:val="005A6A00"/>
    <w:rsid w:val="005A6B00"/>
    <w:rsid w:val="005A6B6A"/>
    <w:rsid w:val="005A6D4B"/>
    <w:rsid w:val="005A6D94"/>
    <w:rsid w:val="005A6E59"/>
    <w:rsid w:val="005A6E60"/>
    <w:rsid w:val="005A700A"/>
    <w:rsid w:val="005A7122"/>
    <w:rsid w:val="005A718D"/>
    <w:rsid w:val="005A7279"/>
    <w:rsid w:val="005A7398"/>
    <w:rsid w:val="005A7693"/>
    <w:rsid w:val="005A76BD"/>
    <w:rsid w:val="005A76E1"/>
    <w:rsid w:val="005A779C"/>
    <w:rsid w:val="005A783E"/>
    <w:rsid w:val="005A78B7"/>
    <w:rsid w:val="005A7A1E"/>
    <w:rsid w:val="005A7A61"/>
    <w:rsid w:val="005A7B5A"/>
    <w:rsid w:val="005A7C06"/>
    <w:rsid w:val="005A7C28"/>
    <w:rsid w:val="005A7CCA"/>
    <w:rsid w:val="005A7DCF"/>
    <w:rsid w:val="005A7E30"/>
    <w:rsid w:val="005A7E3F"/>
    <w:rsid w:val="005A7E9A"/>
    <w:rsid w:val="005A7F72"/>
    <w:rsid w:val="005A7FBD"/>
    <w:rsid w:val="005A7FC4"/>
    <w:rsid w:val="005B0070"/>
    <w:rsid w:val="005B0318"/>
    <w:rsid w:val="005B0460"/>
    <w:rsid w:val="005B0571"/>
    <w:rsid w:val="005B05DA"/>
    <w:rsid w:val="005B05F3"/>
    <w:rsid w:val="005B0697"/>
    <w:rsid w:val="005B0863"/>
    <w:rsid w:val="005B090D"/>
    <w:rsid w:val="005B0A06"/>
    <w:rsid w:val="005B0A5F"/>
    <w:rsid w:val="005B0A6E"/>
    <w:rsid w:val="005B0AFA"/>
    <w:rsid w:val="005B0B14"/>
    <w:rsid w:val="005B0B65"/>
    <w:rsid w:val="005B0B7D"/>
    <w:rsid w:val="005B0C76"/>
    <w:rsid w:val="005B1051"/>
    <w:rsid w:val="005B10C5"/>
    <w:rsid w:val="005B121B"/>
    <w:rsid w:val="005B134E"/>
    <w:rsid w:val="005B135F"/>
    <w:rsid w:val="005B1420"/>
    <w:rsid w:val="005B1487"/>
    <w:rsid w:val="005B14A2"/>
    <w:rsid w:val="005B14EC"/>
    <w:rsid w:val="005B1529"/>
    <w:rsid w:val="005B154D"/>
    <w:rsid w:val="005B15B8"/>
    <w:rsid w:val="005B1724"/>
    <w:rsid w:val="005B191D"/>
    <w:rsid w:val="005B197A"/>
    <w:rsid w:val="005B199A"/>
    <w:rsid w:val="005B19CE"/>
    <w:rsid w:val="005B19E3"/>
    <w:rsid w:val="005B1A4C"/>
    <w:rsid w:val="005B1B73"/>
    <w:rsid w:val="005B1D73"/>
    <w:rsid w:val="005B1DA2"/>
    <w:rsid w:val="005B1E82"/>
    <w:rsid w:val="005B1F06"/>
    <w:rsid w:val="005B20E0"/>
    <w:rsid w:val="005B20F1"/>
    <w:rsid w:val="005B213A"/>
    <w:rsid w:val="005B2238"/>
    <w:rsid w:val="005B22D1"/>
    <w:rsid w:val="005B2347"/>
    <w:rsid w:val="005B24AE"/>
    <w:rsid w:val="005B2527"/>
    <w:rsid w:val="005B25AD"/>
    <w:rsid w:val="005B26A3"/>
    <w:rsid w:val="005B26B0"/>
    <w:rsid w:val="005B2A03"/>
    <w:rsid w:val="005B2A7B"/>
    <w:rsid w:val="005B2AA0"/>
    <w:rsid w:val="005B2C3A"/>
    <w:rsid w:val="005B2C3B"/>
    <w:rsid w:val="005B2D7F"/>
    <w:rsid w:val="005B2E18"/>
    <w:rsid w:val="005B2EA2"/>
    <w:rsid w:val="005B3054"/>
    <w:rsid w:val="005B30DD"/>
    <w:rsid w:val="005B3121"/>
    <w:rsid w:val="005B313D"/>
    <w:rsid w:val="005B3160"/>
    <w:rsid w:val="005B3193"/>
    <w:rsid w:val="005B31B8"/>
    <w:rsid w:val="005B3910"/>
    <w:rsid w:val="005B394D"/>
    <w:rsid w:val="005B3990"/>
    <w:rsid w:val="005B39B1"/>
    <w:rsid w:val="005B3B3A"/>
    <w:rsid w:val="005B3C7A"/>
    <w:rsid w:val="005B3F5A"/>
    <w:rsid w:val="005B3FAD"/>
    <w:rsid w:val="005B403A"/>
    <w:rsid w:val="005B4051"/>
    <w:rsid w:val="005B424F"/>
    <w:rsid w:val="005B4320"/>
    <w:rsid w:val="005B4331"/>
    <w:rsid w:val="005B49AD"/>
    <w:rsid w:val="005B49C0"/>
    <w:rsid w:val="005B4A1B"/>
    <w:rsid w:val="005B4B70"/>
    <w:rsid w:val="005B4DC2"/>
    <w:rsid w:val="005B4E81"/>
    <w:rsid w:val="005B50A1"/>
    <w:rsid w:val="005B52C6"/>
    <w:rsid w:val="005B5440"/>
    <w:rsid w:val="005B561C"/>
    <w:rsid w:val="005B5690"/>
    <w:rsid w:val="005B5692"/>
    <w:rsid w:val="005B587B"/>
    <w:rsid w:val="005B58AC"/>
    <w:rsid w:val="005B5B3D"/>
    <w:rsid w:val="005B5B95"/>
    <w:rsid w:val="005B5C48"/>
    <w:rsid w:val="005B5CC6"/>
    <w:rsid w:val="005B60BA"/>
    <w:rsid w:val="005B6201"/>
    <w:rsid w:val="005B623C"/>
    <w:rsid w:val="005B63E1"/>
    <w:rsid w:val="005B6421"/>
    <w:rsid w:val="005B6569"/>
    <w:rsid w:val="005B6678"/>
    <w:rsid w:val="005B68A6"/>
    <w:rsid w:val="005B69DE"/>
    <w:rsid w:val="005B6C34"/>
    <w:rsid w:val="005B6C87"/>
    <w:rsid w:val="005B6C8E"/>
    <w:rsid w:val="005B6D5D"/>
    <w:rsid w:val="005B6E27"/>
    <w:rsid w:val="005B6E76"/>
    <w:rsid w:val="005B6EE4"/>
    <w:rsid w:val="005B6FD3"/>
    <w:rsid w:val="005B7148"/>
    <w:rsid w:val="005B729A"/>
    <w:rsid w:val="005B7668"/>
    <w:rsid w:val="005B780C"/>
    <w:rsid w:val="005B7817"/>
    <w:rsid w:val="005B7920"/>
    <w:rsid w:val="005B7942"/>
    <w:rsid w:val="005B797D"/>
    <w:rsid w:val="005B7A65"/>
    <w:rsid w:val="005B7ABD"/>
    <w:rsid w:val="005B7AE5"/>
    <w:rsid w:val="005B7BC8"/>
    <w:rsid w:val="005B7CFD"/>
    <w:rsid w:val="005B7DE5"/>
    <w:rsid w:val="005B7F0D"/>
    <w:rsid w:val="005B7FDD"/>
    <w:rsid w:val="005C0045"/>
    <w:rsid w:val="005C004A"/>
    <w:rsid w:val="005C0052"/>
    <w:rsid w:val="005C005B"/>
    <w:rsid w:val="005C00E3"/>
    <w:rsid w:val="005C0144"/>
    <w:rsid w:val="005C032B"/>
    <w:rsid w:val="005C03A5"/>
    <w:rsid w:val="005C03B8"/>
    <w:rsid w:val="005C05AF"/>
    <w:rsid w:val="005C05D0"/>
    <w:rsid w:val="005C0626"/>
    <w:rsid w:val="005C0737"/>
    <w:rsid w:val="005C0877"/>
    <w:rsid w:val="005C09F4"/>
    <w:rsid w:val="005C0A0B"/>
    <w:rsid w:val="005C0A13"/>
    <w:rsid w:val="005C0AEC"/>
    <w:rsid w:val="005C0C4E"/>
    <w:rsid w:val="005C0C74"/>
    <w:rsid w:val="005C0E3D"/>
    <w:rsid w:val="005C0E56"/>
    <w:rsid w:val="005C0E5D"/>
    <w:rsid w:val="005C0F6A"/>
    <w:rsid w:val="005C0FB3"/>
    <w:rsid w:val="005C1023"/>
    <w:rsid w:val="005C1285"/>
    <w:rsid w:val="005C14F7"/>
    <w:rsid w:val="005C1604"/>
    <w:rsid w:val="005C166E"/>
    <w:rsid w:val="005C1815"/>
    <w:rsid w:val="005C1AD1"/>
    <w:rsid w:val="005C1AFD"/>
    <w:rsid w:val="005C1B99"/>
    <w:rsid w:val="005C1C6A"/>
    <w:rsid w:val="005C1E31"/>
    <w:rsid w:val="005C1E66"/>
    <w:rsid w:val="005C1E9B"/>
    <w:rsid w:val="005C2117"/>
    <w:rsid w:val="005C21D5"/>
    <w:rsid w:val="005C224F"/>
    <w:rsid w:val="005C22A3"/>
    <w:rsid w:val="005C247B"/>
    <w:rsid w:val="005C24C9"/>
    <w:rsid w:val="005C24EB"/>
    <w:rsid w:val="005C24F1"/>
    <w:rsid w:val="005C255C"/>
    <w:rsid w:val="005C2571"/>
    <w:rsid w:val="005C25A7"/>
    <w:rsid w:val="005C25FB"/>
    <w:rsid w:val="005C276D"/>
    <w:rsid w:val="005C292B"/>
    <w:rsid w:val="005C2A38"/>
    <w:rsid w:val="005C2B51"/>
    <w:rsid w:val="005C2DD2"/>
    <w:rsid w:val="005C2E42"/>
    <w:rsid w:val="005C30C2"/>
    <w:rsid w:val="005C3201"/>
    <w:rsid w:val="005C33CD"/>
    <w:rsid w:val="005C33F8"/>
    <w:rsid w:val="005C33FE"/>
    <w:rsid w:val="005C3535"/>
    <w:rsid w:val="005C366E"/>
    <w:rsid w:val="005C36FB"/>
    <w:rsid w:val="005C3869"/>
    <w:rsid w:val="005C38AD"/>
    <w:rsid w:val="005C38B3"/>
    <w:rsid w:val="005C3949"/>
    <w:rsid w:val="005C3AFB"/>
    <w:rsid w:val="005C3EF9"/>
    <w:rsid w:val="005C42FF"/>
    <w:rsid w:val="005C43B4"/>
    <w:rsid w:val="005C43C0"/>
    <w:rsid w:val="005C43C2"/>
    <w:rsid w:val="005C4439"/>
    <w:rsid w:val="005C4485"/>
    <w:rsid w:val="005C454B"/>
    <w:rsid w:val="005C457C"/>
    <w:rsid w:val="005C4663"/>
    <w:rsid w:val="005C4707"/>
    <w:rsid w:val="005C47B4"/>
    <w:rsid w:val="005C4828"/>
    <w:rsid w:val="005C48D9"/>
    <w:rsid w:val="005C4C03"/>
    <w:rsid w:val="005C4EE6"/>
    <w:rsid w:val="005C5393"/>
    <w:rsid w:val="005C5399"/>
    <w:rsid w:val="005C53DA"/>
    <w:rsid w:val="005C543C"/>
    <w:rsid w:val="005C54DD"/>
    <w:rsid w:val="005C5A27"/>
    <w:rsid w:val="005C5AEB"/>
    <w:rsid w:val="005C5BFE"/>
    <w:rsid w:val="005C5C61"/>
    <w:rsid w:val="005C5DE4"/>
    <w:rsid w:val="005C5E09"/>
    <w:rsid w:val="005C5E32"/>
    <w:rsid w:val="005C5FF5"/>
    <w:rsid w:val="005C605F"/>
    <w:rsid w:val="005C64BC"/>
    <w:rsid w:val="005C650B"/>
    <w:rsid w:val="005C658D"/>
    <w:rsid w:val="005C65E9"/>
    <w:rsid w:val="005C6952"/>
    <w:rsid w:val="005C69E7"/>
    <w:rsid w:val="005C6B4B"/>
    <w:rsid w:val="005C6B88"/>
    <w:rsid w:val="005C6C52"/>
    <w:rsid w:val="005C6D93"/>
    <w:rsid w:val="005C6E33"/>
    <w:rsid w:val="005C6FD8"/>
    <w:rsid w:val="005C7013"/>
    <w:rsid w:val="005C707B"/>
    <w:rsid w:val="005C722C"/>
    <w:rsid w:val="005C7264"/>
    <w:rsid w:val="005C731D"/>
    <w:rsid w:val="005C74A0"/>
    <w:rsid w:val="005C75C0"/>
    <w:rsid w:val="005C793A"/>
    <w:rsid w:val="005C7A25"/>
    <w:rsid w:val="005C7ACF"/>
    <w:rsid w:val="005C7BA3"/>
    <w:rsid w:val="005C7C89"/>
    <w:rsid w:val="005C7CB0"/>
    <w:rsid w:val="005C7D0D"/>
    <w:rsid w:val="005C7DAB"/>
    <w:rsid w:val="005D002F"/>
    <w:rsid w:val="005D031B"/>
    <w:rsid w:val="005D04DF"/>
    <w:rsid w:val="005D0536"/>
    <w:rsid w:val="005D09F8"/>
    <w:rsid w:val="005D0A79"/>
    <w:rsid w:val="005D0AAE"/>
    <w:rsid w:val="005D0AE3"/>
    <w:rsid w:val="005D0C8E"/>
    <w:rsid w:val="005D0CE3"/>
    <w:rsid w:val="005D0DB6"/>
    <w:rsid w:val="005D0DE0"/>
    <w:rsid w:val="005D103D"/>
    <w:rsid w:val="005D143C"/>
    <w:rsid w:val="005D161A"/>
    <w:rsid w:val="005D17DB"/>
    <w:rsid w:val="005D191B"/>
    <w:rsid w:val="005D19C2"/>
    <w:rsid w:val="005D19FC"/>
    <w:rsid w:val="005D1B95"/>
    <w:rsid w:val="005D1E96"/>
    <w:rsid w:val="005D1F1B"/>
    <w:rsid w:val="005D20A9"/>
    <w:rsid w:val="005D211E"/>
    <w:rsid w:val="005D2198"/>
    <w:rsid w:val="005D225F"/>
    <w:rsid w:val="005D22AE"/>
    <w:rsid w:val="005D237C"/>
    <w:rsid w:val="005D23E1"/>
    <w:rsid w:val="005D2548"/>
    <w:rsid w:val="005D2747"/>
    <w:rsid w:val="005D283A"/>
    <w:rsid w:val="005D2907"/>
    <w:rsid w:val="005D2910"/>
    <w:rsid w:val="005D2913"/>
    <w:rsid w:val="005D2933"/>
    <w:rsid w:val="005D29D9"/>
    <w:rsid w:val="005D2A29"/>
    <w:rsid w:val="005D2B7B"/>
    <w:rsid w:val="005D2BE5"/>
    <w:rsid w:val="005D2C2D"/>
    <w:rsid w:val="005D2D26"/>
    <w:rsid w:val="005D2EF6"/>
    <w:rsid w:val="005D2FD8"/>
    <w:rsid w:val="005D3228"/>
    <w:rsid w:val="005D333F"/>
    <w:rsid w:val="005D3389"/>
    <w:rsid w:val="005D3409"/>
    <w:rsid w:val="005D3487"/>
    <w:rsid w:val="005D34B8"/>
    <w:rsid w:val="005D38D3"/>
    <w:rsid w:val="005D391C"/>
    <w:rsid w:val="005D3A7D"/>
    <w:rsid w:val="005D3AB0"/>
    <w:rsid w:val="005D3B5C"/>
    <w:rsid w:val="005D3BA1"/>
    <w:rsid w:val="005D3CA9"/>
    <w:rsid w:val="005D3D3E"/>
    <w:rsid w:val="005D3E19"/>
    <w:rsid w:val="005D3E9F"/>
    <w:rsid w:val="005D3EA6"/>
    <w:rsid w:val="005D3F6C"/>
    <w:rsid w:val="005D40C2"/>
    <w:rsid w:val="005D40CB"/>
    <w:rsid w:val="005D41E1"/>
    <w:rsid w:val="005D41E7"/>
    <w:rsid w:val="005D4247"/>
    <w:rsid w:val="005D4251"/>
    <w:rsid w:val="005D427D"/>
    <w:rsid w:val="005D42A4"/>
    <w:rsid w:val="005D439E"/>
    <w:rsid w:val="005D4650"/>
    <w:rsid w:val="005D4962"/>
    <w:rsid w:val="005D4A58"/>
    <w:rsid w:val="005D4ABF"/>
    <w:rsid w:val="005D4ADC"/>
    <w:rsid w:val="005D4B49"/>
    <w:rsid w:val="005D4BC9"/>
    <w:rsid w:val="005D4BD3"/>
    <w:rsid w:val="005D4C91"/>
    <w:rsid w:val="005D4F11"/>
    <w:rsid w:val="005D51A6"/>
    <w:rsid w:val="005D526B"/>
    <w:rsid w:val="005D52F6"/>
    <w:rsid w:val="005D5425"/>
    <w:rsid w:val="005D5529"/>
    <w:rsid w:val="005D5B1D"/>
    <w:rsid w:val="005D5C3D"/>
    <w:rsid w:val="005D5D62"/>
    <w:rsid w:val="005D5E3A"/>
    <w:rsid w:val="005D5F43"/>
    <w:rsid w:val="005D5F9B"/>
    <w:rsid w:val="005D6066"/>
    <w:rsid w:val="005D6484"/>
    <w:rsid w:val="005D6507"/>
    <w:rsid w:val="005D6523"/>
    <w:rsid w:val="005D6593"/>
    <w:rsid w:val="005D66B9"/>
    <w:rsid w:val="005D6820"/>
    <w:rsid w:val="005D6A03"/>
    <w:rsid w:val="005D6A39"/>
    <w:rsid w:val="005D6AA9"/>
    <w:rsid w:val="005D6AC2"/>
    <w:rsid w:val="005D6AC7"/>
    <w:rsid w:val="005D6B9E"/>
    <w:rsid w:val="005D6C1C"/>
    <w:rsid w:val="005D6C69"/>
    <w:rsid w:val="005D6E3E"/>
    <w:rsid w:val="005D6E7B"/>
    <w:rsid w:val="005D6E9A"/>
    <w:rsid w:val="005D7042"/>
    <w:rsid w:val="005D7175"/>
    <w:rsid w:val="005D75EF"/>
    <w:rsid w:val="005D7625"/>
    <w:rsid w:val="005D775F"/>
    <w:rsid w:val="005D77F8"/>
    <w:rsid w:val="005D782E"/>
    <w:rsid w:val="005D7996"/>
    <w:rsid w:val="005D7ACF"/>
    <w:rsid w:val="005D7BC3"/>
    <w:rsid w:val="005D7C6E"/>
    <w:rsid w:val="005E03E1"/>
    <w:rsid w:val="005E0664"/>
    <w:rsid w:val="005E0685"/>
    <w:rsid w:val="005E06CD"/>
    <w:rsid w:val="005E083A"/>
    <w:rsid w:val="005E0852"/>
    <w:rsid w:val="005E098E"/>
    <w:rsid w:val="005E0B88"/>
    <w:rsid w:val="005E0C21"/>
    <w:rsid w:val="005E0CF8"/>
    <w:rsid w:val="005E0DEB"/>
    <w:rsid w:val="005E0EE9"/>
    <w:rsid w:val="005E10FA"/>
    <w:rsid w:val="005E1163"/>
    <w:rsid w:val="005E12F4"/>
    <w:rsid w:val="005E1545"/>
    <w:rsid w:val="005E178D"/>
    <w:rsid w:val="005E17E7"/>
    <w:rsid w:val="005E184F"/>
    <w:rsid w:val="005E1868"/>
    <w:rsid w:val="005E18CF"/>
    <w:rsid w:val="005E1992"/>
    <w:rsid w:val="005E19F9"/>
    <w:rsid w:val="005E1A1B"/>
    <w:rsid w:val="005E1BD5"/>
    <w:rsid w:val="005E1D5B"/>
    <w:rsid w:val="005E1E47"/>
    <w:rsid w:val="005E1F54"/>
    <w:rsid w:val="005E2026"/>
    <w:rsid w:val="005E213E"/>
    <w:rsid w:val="005E21F1"/>
    <w:rsid w:val="005E2201"/>
    <w:rsid w:val="005E223C"/>
    <w:rsid w:val="005E27B4"/>
    <w:rsid w:val="005E2885"/>
    <w:rsid w:val="005E2A3E"/>
    <w:rsid w:val="005E2A92"/>
    <w:rsid w:val="005E2AD5"/>
    <w:rsid w:val="005E2B45"/>
    <w:rsid w:val="005E2BDA"/>
    <w:rsid w:val="005E2D3A"/>
    <w:rsid w:val="005E2D4D"/>
    <w:rsid w:val="005E2F5D"/>
    <w:rsid w:val="005E308A"/>
    <w:rsid w:val="005E30A8"/>
    <w:rsid w:val="005E3180"/>
    <w:rsid w:val="005E3266"/>
    <w:rsid w:val="005E331E"/>
    <w:rsid w:val="005E337F"/>
    <w:rsid w:val="005E33A5"/>
    <w:rsid w:val="005E33F5"/>
    <w:rsid w:val="005E3410"/>
    <w:rsid w:val="005E37D9"/>
    <w:rsid w:val="005E37EF"/>
    <w:rsid w:val="005E381A"/>
    <w:rsid w:val="005E38B5"/>
    <w:rsid w:val="005E38F5"/>
    <w:rsid w:val="005E39DE"/>
    <w:rsid w:val="005E3A5B"/>
    <w:rsid w:val="005E3B10"/>
    <w:rsid w:val="005E3BD2"/>
    <w:rsid w:val="005E3D76"/>
    <w:rsid w:val="005E3E27"/>
    <w:rsid w:val="005E3E8F"/>
    <w:rsid w:val="005E41BD"/>
    <w:rsid w:val="005E42EA"/>
    <w:rsid w:val="005E4333"/>
    <w:rsid w:val="005E43DE"/>
    <w:rsid w:val="005E44BD"/>
    <w:rsid w:val="005E4649"/>
    <w:rsid w:val="005E487E"/>
    <w:rsid w:val="005E48B5"/>
    <w:rsid w:val="005E4A72"/>
    <w:rsid w:val="005E4A80"/>
    <w:rsid w:val="005E4B42"/>
    <w:rsid w:val="005E4C00"/>
    <w:rsid w:val="005E4C26"/>
    <w:rsid w:val="005E4E7E"/>
    <w:rsid w:val="005E4E8E"/>
    <w:rsid w:val="005E4F29"/>
    <w:rsid w:val="005E5209"/>
    <w:rsid w:val="005E530E"/>
    <w:rsid w:val="005E53FB"/>
    <w:rsid w:val="005E54D6"/>
    <w:rsid w:val="005E5570"/>
    <w:rsid w:val="005E569A"/>
    <w:rsid w:val="005E56F2"/>
    <w:rsid w:val="005E5981"/>
    <w:rsid w:val="005E5A0C"/>
    <w:rsid w:val="005E5B28"/>
    <w:rsid w:val="005E5C56"/>
    <w:rsid w:val="005E5C73"/>
    <w:rsid w:val="005E5D2B"/>
    <w:rsid w:val="005E5FA3"/>
    <w:rsid w:val="005E5FDF"/>
    <w:rsid w:val="005E6088"/>
    <w:rsid w:val="005E6092"/>
    <w:rsid w:val="005E641A"/>
    <w:rsid w:val="005E6445"/>
    <w:rsid w:val="005E64C9"/>
    <w:rsid w:val="005E6526"/>
    <w:rsid w:val="005E6559"/>
    <w:rsid w:val="005E6564"/>
    <w:rsid w:val="005E656D"/>
    <w:rsid w:val="005E66BC"/>
    <w:rsid w:val="005E676B"/>
    <w:rsid w:val="005E678F"/>
    <w:rsid w:val="005E6798"/>
    <w:rsid w:val="005E6869"/>
    <w:rsid w:val="005E6888"/>
    <w:rsid w:val="005E6979"/>
    <w:rsid w:val="005E6B36"/>
    <w:rsid w:val="005E6B6A"/>
    <w:rsid w:val="005E6BC7"/>
    <w:rsid w:val="005E6DEA"/>
    <w:rsid w:val="005E6E9D"/>
    <w:rsid w:val="005E70BA"/>
    <w:rsid w:val="005E70F4"/>
    <w:rsid w:val="005E7157"/>
    <w:rsid w:val="005E7255"/>
    <w:rsid w:val="005E774F"/>
    <w:rsid w:val="005E775D"/>
    <w:rsid w:val="005E77A0"/>
    <w:rsid w:val="005E77C2"/>
    <w:rsid w:val="005E78F2"/>
    <w:rsid w:val="005E7915"/>
    <w:rsid w:val="005E7BF1"/>
    <w:rsid w:val="005E7C8D"/>
    <w:rsid w:val="005E7CB1"/>
    <w:rsid w:val="005E7D1D"/>
    <w:rsid w:val="005E7E45"/>
    <w:rsid w:val="005F0247"/>
    <w:rsid w:val="005F02D2"/>
    <w:rsid w:val="005F03A8"/>
    <w:rsid w:val="005F03F6"/>
    <w:rsid w:val="005F0401"/>
    <w:rsid w:val="005F0914"/>
    <w:rsid w:val="005F0933"/>
    <w:rsid w:val="005F0989"/>
    <w:rsid w:val="005F0A23"/>
    <w:rsid w:val="005F0A7F"/>
    <w:rsid w:val="005F0AE9"/>
    <w:rsid w:val="005F0B8D"/>
    <w:rsid w:val="005F0D45"/>
    <w:rsid w:val="005F101A"/>
    <w:rsid w:val="005F11B9"/>
    <w:rsid w:val="005F139C"/>
    <w:rsid w:val="005F13C3"/>
    <w:rsid w:val="005F14B3"/>
    <w:rsid w:val="005F1526"/>
    <w:rsid w:val="005F166D"/>
    <w:rsid w:val="005F17A4"/>
    <w:rsid w:val="005F18F5"/>
    <w:rsid w:val="005F191D"/>
    <w:rsid w:val="005F1997"/>
    <w:rsid w:val="005F1A00"/>
    <w:rsid w:val="005F1BFC"/>
    <w:rsid w:val="005F1C64"/>
    <w:rsid w:val="005F1CD1"/>
    <w:rsid w:val="005F1D6E"/>
    <w:rsid w:val="005F1DD4"/>
    <w:rsid w:val="005F1F71"/>
    <w:rsid w:val="005F21F7"/>
    <w:rsid w:val="005F225D"/>
    <w:rsid w:val="005F22A5"/>
    <w:rsid w:val="005F239C"/>
    <w:rsid w:val="005F24FE"/>
    <w:rsid w:val="005F25E3"/>
    <w:rsid w:val="005F261A"/>
    <w:rsid w:val="005F2620"/>
    <w:rsid w:val="005F262B"/>
    <w:rsid w:val="005F26D5"/>
    <w:rsid w:val="005F2A4C"/>
    <w:rsid w:val="005F2ACA"/>
    <w:rsid w:val="005F2B36"/>
    <w:rsid w:val="005F2C48"/>
    <w:rsid w:val="005F2DE1"/>
    <w:rsid w:val="005F2F80"/>
    <w:rsid w:val="005F3193"/>
    <w:rsid w:val="005F32E2"/>
    <w:rsid w:val="005F32E4"/>
    <w:rsid w:val="005F3322"/>
    <w:rsid w:val="005F34B3"/>
    <w:rsid w:val="005F34EA"/>
    <w:rsid w:val="005F3556"/>
    <w:rsid w:val="005F357F"/>
    <w:rsid w:val="005F35BB"/>
    <w:rsid w:val="005F3621"/>
    <w:rsid w:val="005F3690"/>
    <w:rsid w:val="005F37CA"/>
    <w:rsid w:val="005F37D5"/>
    <w:rsid w:val="005F3A17"/>
    <w:rsid w:val="005F3C0A"/>
    <w:rsid w:val="005F3C13"/>
    <w:rsid w:val="005F3C45"/>
    <w:rsid w:val="005F3C7A"/>
    <w:rsid w:val="005F3C7E"/>
    <w:rsid w:val="005F3DC4"/>
    <w:rsid w:val="005F3DF2"/>
    <w:rsid w:val="005F3E92"/>
    <w:rsid w:val="005F4109"/>
    <w:rsid w:val="005F42CB"/>
    <w:rsid w:val="005F4482"/>
    <w:rsid w:val="005F4484"/>
    <w:rsid w:val="005F4523"/>
    <w:rsid w:val="005F456E"/>
    <w:rsid w:val="005F4613"/>
    <w:rsid w:val="005F4924"/>
    <w:rsid w:val="005F4D02"/>
    <w:rsid w:val="005F4DB6"/>
    <w:rsid w:val="005F4DC7"/>
    <w:rsid w:val="005F4E24"/>
    <w:rsid w:val="005F4FD8"/>
    <w:rsid w:val="005F509A"/>
    <w:rsid w:val="005F50DD"/>
    <w:rsid w:val="005F5328"/>
    <w:rsid w:val="005F5367"/>
    <w:rsid w:val="005F53DE"/>
    <w:rsid w:val="005F53E0"/>
    <w:rsid w:val="005F56E6"/>
    <w:rsid w:val="005F58E7"/>
    <w:rsid w:val="005F5948"/>
    <w:rsid w:val="005F5BFF"/>
    <w:rsid w:val="005F5ED8"/>
    <w:rsid w:val="005F5F1F"/>
    <w:rsid w:val="005F6114"/>
    <w:rsid w:val="005F619D"/>
    <w:rsid w:val="005F6285"/>
    <w:rsid w:val="005F6328"/>
    <w:rsid w:val="005F67AE"/>
    <w:rsid w:val="005F67BB"/>
    <w:rsid w:val="005F699F"/>
    <w:rsid w:val="005F6B4D"/>
    <w:rsid w:val="005F6BD4"/>
    <w:rsid w:val="005F6C54"/>
    <w:rsid w:val="005F6CB0"/>
    <w:rsid w:val="005F6D39"/>
    <w:rsid w:val="005F6D44"/>
    <w:rsid w:val="005F6E69"/>
    <w:rsid w:val="005F6FAB"/>
    <w:rsid w:val="005F7004"/>
    <w:rsid w:val="005F704C"/>
    <w:rsid w:val="005F70C6"/>
    <w:rsid w:val="005F72CB"/>
    <w:rsid w:val="005F731C"/>
    <w:rsid w:val="005F7520"/>
    <w:rsid w:val="005F7534"/>
    <w:rsid w:val="005F7610"/>
    <w:rsid w:val="005F76A4"/>
    <w:rsid w:val="005F7928"/>
    <w:rsid w:val="005F7A7C"/>
    <w:rsid w:val="005F7CED"/>
    <w:rsid w:val="005F7D47"/>
    <w:rsid w:val="005F7E57"/>
    <w:rsid w:val="005F7E68"/>
    <w:rsid w:val="00600081"/>
    <w:rsid w:val="0060030B"/>
    <w:rsid w:val="0060045C"/>
    <w:rsid w:val="0060047E"/>
    <w:rsid w:val="006005A9"/>
    <w:rsid w:val="00600725"/>
    <w:rsid w:val="0060081B"/>
    <w:rsid w:val="00600889"/>
    <w:rsid w:val="00600942"/>
    <w:rsid w:val="00600A36"/>
    <w:rsid w:val="00600D78"/>
    <w:rsid w:val="00600DD6"/>
    <w:rsid w:val="00600E34"/>
    <w:rsid w:val="00600E83"/>
    <w:rsid w:val="0060113B"/>
    <w:rsid w:val="006011A2"/>
    <w:rsid w:val="006011BE"/>
    <w:rsid w:val="00601591"/>
    <w:rsid w:val="006016CF"/>
    <w:rsid w:val="0060178C"/>
    <w:rsid w:val="006018AA"/>
    <w:rsid w:val="00601921"/>
    <w:rsid w:val="00601CA7"/>
    <w:rsid w:val="00601E7D"/>
    <w:rsid w:val="00601E92"/>
    <w:rsid w:val="00601FB7"/>
    <w:rsid w:val="0060207F"/>
    <w:rsid w:val="00602246"/>
    <w:rsid w:val="0060231F"/>
    <w:rsid w:val="00602349"/>
    <w:rsid w:val="006023A1"/>
    <w:rsid w:val="006024F1"/>
    <w:rsid w:val="00602535"/>
    <w:rsid w:val="00602684"/>
    <w:rsid w:val="006026BF"/>
    <w:rsid w:val="00602753"/>
    <w:rsid w:val="00602ABD"/>
    <w:rsid w:val="00602D12"/>
    <w:rsid w:val="00602ED2"/>
    <w:rsid w:val="00602FAB"/>
    <w:rsid w:val="00602FEE"/>
    <w:rsid w:val="006031A7"/>
    <w:rsid w:val="0060339A"/>
    <w:rsid w:val="006033A5"/>
    <w:rsid w:val="00603459"/>
    <w:rsid w:val="00603528"/>
    <w:rsid w:val="00603544"/>
    <w:rsid w:val="006035E8"/>
    <w:rsid w:val="006036D6"/>
    <w:rsid w:val="00603720"/>
    <w:rsid w:val="0060374A"/>
    <w:rsid w:val="006037E7"/>
    <w:rsid w:val="00603814"/>
    <w:rsid w:val="00603857"/>
    <w:rsid w:val="006039E0"/>
    <w:rsid w:val="00603AC9"/>
    <w:rsid w:val="00603B7D"/>
    <w:rsid w:val="00603BDA"/>
    <w:rsid w:val="00603C73"/>
    <w:rsid w:val="00603C98"/>
    <w:rsid w:val="00603DD2"/>
    <w:rsid w:val="00603DEF"/>
    <w:rsid w:val="00603DFE"/>
    <w:rsid w:val="00603E98"/>
    <w:rsid w:val="00603EC4"/>
    <w:rsid w:val="00603ED0"/>
    <w:rsid w:val="006041D2"/>
    <w:rsid w:val="00604288"/>
    <w:rsid w:val="006042A7"/>
    <w:rsid w:val="006042DA"/>
    <w:rsid w:val="006044DF"/>
    <w:rsid w:val="00604569"/>
    <w:rsid w:val="00604601"/>
    <w:rsid w:val="00604765"/>
    <w:rsid w:val="0060478F"/>
    <w:rsid w:val="00604B97"/>
    <w:rsid w:val="00604DD9"/>
    <w:rsid w:val="00604F4B"/>
    <w:rsid w:val="00604F57"/>
    <w:rsid w:val="00604FF4"/>
    <w:rsid w:val="00605072"/>
    <w:rsid w:val="00605167"/>
    <w:rsid w:val="0060516A"/>
    <w:rsid w:val="00605254"/>
    <w:rsid w:val="00605299"/>
    <w:rsid w:val="00605438"/>
    <w:rsid w:val="00605472"/>
    <w:rsid w:val="006056DA"/>
    <w:rsid w:val="00605889"/>
    <w:rsid w:val="0060589C"/>
    <w:rsid w:val="006058FA"/>
    <w:rsid w:val="00605933"/>
    <w:rsid w:val="00605A68"/>
    <w:rsid w:val="00605DFF"/>
    <w:rsid w:val="00605EFE"/>
    <w:rsid w:val="00605F63"/>
    <w:rsid w:val="00605F9B"/>
    <w:rsid w:val="00605FB7"/>
    <w:rsid w:val="00605FEA"/>
    <w:rsid w:val="00605FEF"/>
    <w:rsid w:val="006061D8"/>
    <w:rsid w:val="006062F2"/>
    <w:rsid w:val="006062F7"/>
    <w:rsid w:val="0060640B"/>
    <w:rsid w:val="00606462"/>
    <w:rsid w:val="00606463"/>
    <w:rsid w:val="006065D3"/>
    <w:rsid w:val="0060663E"/>
    <w:rsid w:val="006066C1"/>
    <w:rsid w:val="00606711"/>
    <w:rsid w:val="00606764"/>
    <w:rsid w:val="00606829"/>
    <w:rsid w:val="00606988"/>
    <w:rsid w:val="006069DC"/>
    <w:rsid w:val="00606DA8"/>
    <w:rsid w:val="00606FFA"/>
    <w:rsid w:val="0060703D"/>
    <w:rsid w:val="00607043"/>
    <w:rsid w:val="00607284"/>
    <w:rsid w:val="006073C9"/>
    <w:rsid w:val="006074EB"/>
    <w:rsid w:val="0060752C"/>
    <w:rsid w:val="00607680"/>
    <w:rsid w:val="00607682"/>
    <w:rsid w:val="0060769E"/>
    <w:rsid w:val="0060785E"/>
    <w:rsid w:val="0060790F"/>
    <w:rsid w:val="0060791E"/>
    <w:rsid w:val="00607937"/>
    <w:rsid w:val="00607970"/>
    <w:rsid w:val="00607AC1"/>
    <w:rsid w:val="00607FE0"/>
    <w:rsid w:val="00610197"/>
    <w:rsid w:val="006101A5"/>
    <w:rsid w:val="006103FF"/>
    <w:rsid w:val="00610577"/>
    <w:rsid w:val="006105FF"/>
    <w:rsid w:val="00610865"/>
    <w:rsid w:val="006108B0"/>
    <w:rsid w:val="006108DB"/>
    <w:rsid w:val="00610A1F"/>
    <w:rsid w:val="00610A77"/>
    <w:rsid w:val="00610AF2"/>
    <w:rsid w:val="00610B04"/>
    <w:rsid w:val="00610E1C"/>
    <w:rsid w:val="00610F14"/>
    <w:rsid w:val="00610F59"/>
    <w:rsid w:val="00611021"/>
    <w:rsid w:val="0061119F"/>
    <w:rsid w:val="006111AF"/>
    <w:rsid w:val="00611296"/>
    <w:rsid w:val="006113EB"/>
    <w:rsid w:val="006118E2"/>
    <w:rsid w:val="0061190B"/>
    <w:rsid w:val="006119EB"/>
    <w:rsid w:val="00611A93"/>
    <w:rsid w:val="00611AEC"/>
    <w:rsid w:val="00611B19"/>
    <w:rsid w:val="00611D1B"/>
    <w:rsid w:val="00611D2E"/>
    <w:rsid w:val="00611DD8"/>
    <w:rsid w:val="00611EDD"/>
    <w:rsid w:val="00612056"/>
    <w:rsid w:val="006121B2"/>
    <w:rsid w:val="00612285"/>
    <w:rsid w:val="006123B7"/>
    <w:rsid w:val="00612516"/>
    <w:rsid w:val="00612556"/>
    <w:rsid w:val="00612725"/>
    <w:rsid w:val="0061288E"/>
    <w:rsid w:val="0061297A"/>
    <w:rsid w:val="006129EF"/>
    <w:rsid w:val="00612C85"/>
    <w:rsid w:val="00612CF3"/>
    <w:rsid w:val="00612CF5"/>
    <w:rsid w:val="00612FCD"/>
    <w:rsid w:val="006130DE"/>
    <w:rsid w:val="006130FB"/>
    <w:rsid w:val="00613148"/>
    <w:rsid w:val="006131B7"/>
    <w:rsid w:val="00613213"/>
    <w:rsid w:val="006132E6"/>
    <w:rsid w:val="006133E4"/>
    <w:rsid w:val="00613529"/>
    <w:rsid w:val="00613568"/>
    <w:rsid w:val="0061361B"/>
    <w:rsid w:val="00613697"/>
    <w:rsid w:val="00613822"/>
    <w:rsid w:val="0061392B"/>
    <w:rsid w:val="00613A81"/>
    <w:rsid w:val="00613B5B"/>
    <w:rsid w:val="00613B7D"/>
    <w:rsid w:val="00613BE6"/>
    <w:rsid w:val="00614000"/>
    <w:rsid w:val="00614015"/>
    <w:rsid w:val="006140C5"/>
    <w:rsid w:val="006142FF"/>
    <w:rsid w:val="006143AC"/>
    <w:rsid w:val="006143F2"/>
    <w:rsid w:val="00614565"/>
    <w:rsid w:val="006148DE"/>
    <w:rsid w:val="00614992"/>
    <w:rsid w:val="006149C9"/>
    <w:rsid w:val="00614A3F"/>
    <w:rsid w:val="00614BCA"/>
    <w:rsid w:val="00614DA8"/>
    <w:rsid w:val="00614E56"/>
    <w:rsid w:val="0061526A"/>
    <w:rsid w:val="006152C2"/>
    <w:rsid w:val="006152FD"/>
    <w:rsid w:val="00615471"/>
    <w:rsid w:val="0061548B"/>
    <w:rsid w:val="00615611"/>
    <w:rsid w:val="006157B3"/>
    <w:rsid w:val="006158D5"/>
    <w:rsid w:val="00615A1E"/>
    <w:rsid w:val="00615A2D"/>
    <w:rsid w:val="00615BF2"/>
    <w:rsid w:val="00615CA0"/>
    <w:rsid w:val="00615D46"/>
    <w:rsid w:val="00615EA3"/>
    <w:rsid w:val="00615EDA"/>
    <w:rsid w:val="006160DB"/>
    <w:rsid w:val="006160DC"/>
    <w:rsid w:val="0061619E"/>
    <w:rsid w:val="00616375"/>
    <w:rsid w:val="00616377"/>
    <w:rsid w:val="00616417"/>
    <w:rsid w:val="00616431"/>
    <w:rsid w:val="00616451"/>
    <w:rsid w:val="0061654D"/>
    <w:rsid w:val="0061660D"/>
    <w:rsid w:val="006167D2"/>
    <w:rsid w:val="006168CB"/>
    <w:rsid w:val="00616B44"/>
    <w:rsid w:val="00616CAA"/>
    <w:rsid w:val="00616CF8"/>
    <w:rsid w:val="00616FEC"/>
    <w:rsid w:val="00617045"/>
    <w:rsid w:val="00617184"/>
    <w:rsid w:val="006173AE"/>
    <w:rsid w:val="0061755D"/>
    <w:rsid w:val="00617A1D"/>
    <w:rsid w:val="00617B6E"/>
    <w:rsid w:val="00617D19"/>
    <w:rsid w:val="00617D29"/>
    <w:rsid w:val="00617E38"/>
    <w:rsid w:val="00617E9E"/>
    <w:rsid w:val="00617F31"/>
    <w:rsid w:val="0062001A"/>
    <w:rsid w:val="00620126"/>
    <w:rsid w:val="0062023E"/>
    <w:rsid w:val="006204C6"/>
    <w:rsid w:val="0062052C"/>
    <w:rsid w:val="00620686"/>
    <w:rsid w:val="006207BF"/>
    <w:rsid w:val="00620A10"/>
    <w:rsid w:val="00620AFF"/>
    <w:rsid w:val="00620C72"/>
    <w:rsid w:val="00620D37"/>
    <w:rsid w:val="00620D74"/>
    <w:rsid w:val="00620DBA"/>
    <w:rsid w:val="00620EA6"/>
    <w:rsid w:val="00620FF1"/>
    <w:rsid w:val="006210CC"/>
    <w:rsid w:val="0062117C"/>
    <w:rsid w:val="006211A2"/>
    <w:rsid w:val="006211DF"/>
    <w:rsid w:val="0062132E"/>
    <w:rsid w:val="0062135C"/>
    <w:rsid w:val="00621377"/>
    <w:rsid w:val="0062144D"/>
    <w:rsid w:val="006214CA"/>
    <w:rsid w:val="00621691"/>
    <w:rsid w:val="006219FF"/>
    <w:rsid w:val="00621AB6"/>
    <w:rsid w:val="00621C08"/>
    <w:rsid w:val="00621FAE"/>
    <w:rsid w:val="0062220F"/>
    <w:rsid w:val="006222AA"/>
    <w:rsid w:val="006223E1"/>
    <w:rsid w:val="0062264E"/>
    <w:rsid w:val="0062271F"/>
    <w:rsid w:val="00622796"/>
    <w:rsid w:val="006228B9"/>
    <w:rsid w:val="00622A61"/>
    <w:rsid w:val="00622B92"/>
    <w:rsid w:val="00622EC7"/>
    <w:rsid w:val="00622F18"/>
    <w:rsid w:val="0062301C"/>
    <w:rsid w:val="006230C0"/>
    <w:rsid w:val="006230FE"/>
    <w:rsid w:val="00623188"/>
    <w:rsid w:val="0062318C"/>
    <w:rsid w:val="00623242"/>
    <w:rsid w:val="0062327F"/>
    <w:rsid w:val="006235B3"/>
    <w:rsid w:val="006236FD"/>
    <w:rsid w:val="006238D8"/>
    <w:rsid w:val="00623945"/>
    <w:rsid w:val="00623AFD"/>
    <w:rsid w:val="00623C9D"/>
    <w:rsid w:val="00623EE0"/>
    <w:rsid w:val="0062404D"/>
    <w:rsid w:val="006240E5"/>
    <w:rsid w:val="0062410C"/>
    <w:rsid w:val="00624129"/>
    <w:rsid w:val="006242D3"/>
    <w:rsid w:val="00624461"/>
    <w:rsid w:val="00624723"/>
    <w:rsid w:val="00624757"/>
    <w:rsid w:val="006248C8"/>
    <w:rsid w:val="00624A50"/>
    <w:rsid w:val="00624B9B"/>
    <w:rsid w:val="00624C73"/>
    <w:rsid w:val="00624CBF"/>
    <w:rsid w:val="00624D74"/>
    <w:rsid w:val="00624EEF"/>
    <w:rsid w:val="00625032"/>
    <w:rsid w:val="00625037"/>
    <w:rsid w:val="006250BB"/>
    <w:rsid w:val="00625406"/>
    <w:rsid w:val="0062541E"/>
    <w:rsid w:val="00625493"/>
    <w:rsid w:val="00625502"/>
    <w:rsid w:val="00625736"/>
    <w:rsid w:val="0062577D"/>
    <w:rsid w:val="00625787"/>
    <w:rsid w:val="006257A8"/>
    <w:rsid w:val="00625834"/>
    <w:rsid w:val="00625B72"/>
    <w:rsid w:val="00625C0D"/>
    <w:rsid w:val="00625D1E"/>
    <w:rsid w:val="00625D42"/>
    <w:rsid w:val="00625DE9"/>
    <w:rsid w:val="00625E0F"/>
    <w:rsid w:val="00625E15"/>
    <w:rsid w:val="00625F74"/>
    <w:rsid w:val="00625FF3"/>
    <w:rsid w:val="00626529"/>
    <w:rsid w:val="00626678"/>
    <w:rsid w:val="00626760"/>
    <w:rsid w:val="00626767"/>
    <w:rsid w:val="00626806"/>
    <w:rsid w:val="0062683E"/>
    <w:rsid w:val="0062686C"/>
    <w:rsid w:val="00626965"/>
    <w:rsid w:val="00626A81"/>
    <w:rsid w:val="00626AC8"/>
    <w:rsid w:val="00626C0A"/>
    <w:rsid w:val="00626FDA"/>
    <w:rsid w:val="006270EF"/>
    <w:rsid w:val="00627195"/>
    <w:rsid w:val="0062719E"/>
    <w:rsid w:val="006273B5"/>
    <w:rsid w:val="006275B6"/>
    <w:rsid w:val="0062772D"/>
    <w:rsid w:val="0062774F"/>
    <w:rsid w:val="00627924"/>
    <w:rsid w:val="00627BED"/>
    <w:rsid w:val="00627C14"/>
    <w:rsid w:val="00630235"/>
    <w:rsid w:val="006302F0"/>
    <w:rsid w:val="0063036F"/>
    <w:rsid w:val="006303F9"/>
    <w:rsid w:val="00630554"/>
    <w:rsid w:val="006307C7"/>
    <w:rsid w:val="006307CD"/>
    <w:rsid w:val="00630823"/>
    <w:rsid w:val="00630859"/>
    <w:rsid w:val="00630A5E"/>
    <w:rsid w:val="00630AE2"/>
    <w:rsid w:val="00630C79"/>
    <w:rsid w:val="00630D66"/>
    <w:rsid w:val="00630D6A"/>
    <w:rsid w:val="00630E7B"/>
    <w:rsid w:val="00630E8B"/>
    <w:rsid w:val="00630F5A"/>
    <w:rsid w:val="006311A9"/>
    <w:rsid w:val="0063122F"/>
    <w:rsid w:val="00631343"/>
    <w:rsid w:val="00631407"/>
    <w:rsid w:val="006314D6"/>
    <w:rsid w:val="006315C6"/>
    <w:rsid w:val="00631642"/>
    <w:rsid w:val="00631886"/>
    <w:rsid w:val="00631B1A"/>
    <w:rsid w:val="00631ED8"/>
    <w:rsid w:val="00631EEF"/>
    <w:rsid w:val="00631FB7"/>
    <w:rsid w:val="006320AD"/>
    <w:rsid w:val="0063221C"/>
    <w:rsid w:val="00632245"/>
    <w:rsid w:val="0063238A"/>
    <w:rsid w:val="006324EB"/>
    <w:rsid w:val="00632555"/>
    <w:rsid w:val="006325C3"/>
    <w:rsid w:val="0063269B"/>
    <w:rsid w:val="00632704"/>
    <w:rsid w:val="006328F8"/>
    <w:rsid w:val="006329C7"/>
    <w:rsid w:val="00632A79"/>
    <w:rsid w:val="00632ADA"/>
    <w:rsid w:val="00632C03"/>
    <w:rsid w:val="00632C61"/>
    <w:rsid w:val="00632D0F"/>
    <w:rsid w:val="00632D48"/>
    <w:rsid w:val="00632D94"/>
    <w:rsid w:val="00632DEF"/>
    <w:rsid w:val="00632E26"/>
    <w:rsid w:val="00632EE2"/>
    <w:rsid w:val="00633196"/>
    <w:rsid w:val="0063319A"/>
    <w:rsid w:val="00633431"/>
    <w:rsid w:val="006335DB"/>
    <w:rsid w:val="006337FF"/>
    <w:rsid w:val="0063381C"/>
    <w:rsid w:val="00633992"/>
    <w:rsid w:val="00633A53"/>
    <w:rsid w:val="00633A54"/>
    <w:rsid w:val="00633B3D"/>
    <w:rsid w:val="00633B4B"/>
    <w:rsid w:val="00633B70"/>
    <w:rsid w:val="00633C9C"/>
    <w:rsid w:val="00633E13"/>
    <w:rsid w:val="006340F8"/>
    <w:rsid w:val="00634106"/>
    <w:rsid w:val="00634274"/>
    <w:rsid w:val="006343BE"/>
    <w:rsid w:val="00634449"/>
    <w:rsid w:val="0063482F"/>
    <w:rsid w:val="00634954"/>
    <w:rsid w:val="00634C65"/>
    <w:rsid w:val="00634C89"/>
    <w:rsid w:val="00634FB5"/>
    <w:rsid w:val="00634FEC"/>
    <w:rsid w:val="0063502E"/>
    <w:rsid w:val="0063503A"/>
    <w:rsid w:val="00635139"/>
    <w:rsid w:val="0063526F"/>
    <w:rsid w:val="00635366"/>
    <w:rsid w:val="00635581"/>
    <w:rsid w:val="006355E1"/>
    <w:rsid w:val="00635A37"/>
    <w:rsid w:val="00635A89"/>
    <w:rsid w:val="00635D8C"/>
    <w:rsid w:val="00635E31"/>
    <w:rsid w:val="00635EA9"/>
    <w:rsid w:val="00635EB6"/>
    <w:rsid w:val="0063618C"/>
    <w:rsid w:val="0063645B"/>
    <w:rsid w:val="0063646B"/>
    <w:rsid w:val="006366C7"/>
    <w:rsid w:val="006366D2"/>
    <w:rsid w:val="00636730"/>
    <w:rsid w:val="006367E0"/>
    <w:rsid w:val="006368BF"/>
    <w:rsid w:val="006368CB"/>
    <w:rsid w:val="00636B3F"/>
    <w:rsid w:val="00636D1A"/>
    <w:rsid w:val="00636DBF"/>
    <w:rsid w:val="00636DCB"/>
    <w:rsid w:val="00636F03"/>
    <w:rsid w:val="00636F7E"/>
    <w:rsid w:val="006371B3"/>
    <w:rsid w:val="00637477"/>
    <w:rsid w:val="006374A0"/>
    <w:rsid w:val="006374FA"/>
    <w:rsid w:val="00637578"/>
    <w:rsid w:val="00637649"/>
    <w:rsid w:val="00637665"/>
    <w:rsid w:val="0063772D"/>
    <w:rsid w:val="00637732"/>
    <w:rsid w:val="006377FA"/>
    <w:rsid w:val="006378DB"/>
    <w:rsid w:val="00637917"/>
    <w:rsid w:val="006379A3"/>
    <w:rsid w:val="00637A87"/>
    <w:rsid w:val="00637AFE"/>
    <w:rsid w:val="00637C66"/>
    <w:rsid w:val="00637DB6"/>
    <w:rsid w:val="00637E4E"/>
    <w:rsid w:val="00637F1D"/>
    <w:rsid w:val="00637F54"/>
    <w:rsid w:val="00637F8A"/>
    <w:rsid w:val="00637FAC"/>
    <w:rsid w:val="00640075"/>
    <w:rsid w:val="00640287"/>
    <w:rsid w:val="006402BB"/>
    <w:rsid w:val="00640575"/>
    <w:rsid w:val="006405AF"/>
    <w:rsid w:val="006406F8"/>
    <w:rsid w:val="00640AB8"/>
    <w:rsid w:val="00640BA0"/>
    <w:rsid w:val="00640C09"/>
    <w:rsid w:val="00640CC0"/>
    <w:rsid w:val="00640CDC"/>
    <w:rsid w:val="00640D00"/>
    <w:rsid w:val="00640EF7"/>
    <w:rsid w:val="00641003"/>
    <w:rsid w:val="00641017"/>
    <w:rsid w:val="006411E1"/>
    <w:rsid w:val="00641240"/>
    <w:rsid w:val="00641242"/>
    <w:rsid w:val="006412D9"/>
    <w:rsid w:val="00641382"/>
    <w:rsid w:val="006413F1"/>
    <w:rsid w:val="006414CC"/>
    <w:rsid w:val="006415C5"/>
    <w:rsid w:val="0064173B"/>
    <w:rsid w:val="006417CA"/>
    <w:rsid w:val="006418EE"/>
    <w:rsid w:val="00641983"/>
    <w:rsid w:val="00641A44"/>
    <w:rsid w:val="00641AFD"/>
    <w:rsid w:val="00641C4C"/>
    <w:rsid w:val="00641CF0"/>
    <w:rsid w:val="00641E08"/>
    <w:rsid w:val="00641E92"/>
    <w:rsid w:val="00641EAD"/>
    <w:rsid w:val="00641EB6"/>
    <w:rsid w:val="00641F4D"/>
    <w:rsid w:val="00641F5B"/>
    <w:rsid w:val="006420A0"/>
    <w:rsid w:val="006422C3"/>
    <w:rsid w:val="006423D4"/>
    <w:rsid w:val="006424EC"/>
    <w:rsid w:val="006427BB"/>
    <w:rsid w:val="006427E8"/>
    <w:rsid w:val="0064292A"/>
    <w:rsid w:val="0064295A"/>
    <w:rsid w:val="00642C6D"/>
    <w:rsid w:val="00642C85"/>
    <w:rsid w:val="00642E04"/>
    <w:rsid w:val="00642E65"/>
    <w:rsid w:val="00643111"/>
    <w:rsid w:val="00643121"/>
    <w:rsid w:val="00643188"/>
    <w:rsid w:val="006431E8"/>
    <w:rsid w:val="0064357D"/>
    <w:rsid w:val="006435B4"/>
    <w:rsid w:val="006435D9"/>
    <w:rsid w:val="0064384E"/>
    <w:rsid w:val="00643869"/>
    <w:rsid w:val="006438FA"/>
    <w:rsid w:val="00643BB1"/>
    <w:rsid w:val="00643C4B"/>
    <w:rsid w:val="00643C86"/>
    <w:rsid w:val="00643CF6"/>
    <w:rsid w:val="00643E4C"/>
    <w:rsid w:val="00643E77"/>
    <w:rsid w:val="00643F13"/>
    <w:rsid w:val="00644112"/>
    <w:rsid w:val="00644191"/>
    <w:rsid w:val="006441B3"/>
    <w:rsid w:val="0064420F"/>
    <w:rsid w:val="006442BA"/>
    <w:rsid w:val="0064432C"/>
    <w:rsid w:val="00644347"/>
    <w:rsid w:val="0064438B"/>
    <w:rsid w:val="006444B2"/>
    <w:rsid w:val="006447F0"/>
    <w:rsid w:val="00644814"/>
    <w:rsid w:val="006449D9"/>
    <w:rsid w:val="00644B68"/>
    <w:rsid w:val="00644BAB"/>
    <w:rsid w:val="00644CB7"/>
    <w:rsid w:val="00644CEB"/>
    <w:rsid w:val="00644E91"/>
    <w:rsid w:val="0064500A"/>
    <w:rsid w:val="00645111"/>
    <w:rsid w:val="00645195"/>
    <w:rsid w:val="00645243"/>
    <w:rsid w:val="0064527F"/>
    <w:rsid w:val="00645354"/>
    <w:rsid w:val="0064552D"/>
    <w:rsid w:val="00645696"/>
    <w:rsid w:val="00645744"/>
    <w:rsid w:val="0064580A"/>
    <w:rsid w:val="00645842"/>
    <w:rsid w:val="006459C7"/>
    <w:rsid w:val="00645A1D"/>
    <w:rsid w:val="00645B7C"/>
    <w:rsid w:val="00645BA7"/>
    <w:rsid w:val="00645D82"/>
    <w:rsid w:val="00645ED7"/>
    <w:rsid w:val="00645EFA"/>
    <w:rsid w:val="00645F33"/>
    <w:rsid w:val="00645FDE"/>
    <w:rsid w:val="0064608E"/>
    <w:rsid w:val="00646108"/>
    <w:rsid w:val="0064624B"/>
    <w:rsid w:val="00646411"/>
    <w:rsid w:val="00646436"/>
    <w:rsid w:val="00646658"/>
    <w:rsid w:val="00646679"/>
    <w:rsid w:val="006467D9"/>
    <w:rsid w:val="00646A6E"/>
    <w:rsid w:val="00646A76"/>
    <w:rsid w:val="00646AAC"/>
    <w:rsid w:val="00646AFA"/>
    <w:rsid w:val="00646BE2"/>
    <w:rsid w:val="00646C9A"/>
    <w:rsid w:val="0064710F"/>
    <w:rsid w:val="006475B5"/>
    <w:rsid w:val="006476DF"/>
    <w:rsid w:val="006477C1"/>
    <w:rsid w:val="0064790F"/>
    <w:rsid w:val="00647AB1"/>
    <w:rsid w:val="00647AF4"/>
    <w:rsid w:val="00647BC5"/>
    <w:rsid w:val="00647C4E"/>
    <w:rsid w:val="00650069"/>
    <w:rsid w:val="006501ED"/>
    <w:rsid w:val="00650693"/>
    <w:rsid w:val="00650801"/>
    <w:rsid w:val="00650A5F"/>
    <w:rsid w:val="00650B8E"/>
    <w:rsid w:val="00650C24"/>
    <w:rsid w:val="00650C4B"/>
    <w:rsid w:val="00650C66"/>
    <w:rsid w:val="00650D66"/>
    <w:rsid w:val="00650E61"/>
    <w:rsid w:val="00650E7C"/>
    <w:rsid w:val="00650EE4"/>
    <w:rsid w:val="00650F84"/>
    <w:rsid w:val="0065101C"/>
    <w:rsid w:val="006510F6"/>
    <w:rsid w:val="00651130"/>
    <w:rsid w:val="0065131E"/>
    <w:rsid w:val="0065140B"/>
    <w:rsid w:val="006515BC"/>
    <w:rsid w:val="0065177E"/>
    <w:rsid w:val="006517DA"/>
    <w:rsid w:val="0065184F"/>
    <w:rsid w:val="00651A95"/>
    <w:rsid w:val="00651B75"/>
    <w:rsid w:val="00651B92"/>
    <w:rsid w:val="00651D0A"/>
    <w:rsid w:val="00651DCC"/>
    <w:rsid w:val="00651E2C"/>
    <w:rsid w:val="00651EF1"/>
    <w:rsid w:val="00651F1F"/>
    <w:rsid w:val="00651F7F"/>
    <w:rsid w:val="006520AB"/>
    <w:rsid w:val="00652102"/>
    <w:rsid w:val="00652254"/>
    <w:rsid w:val="0065240C"/>
    <w:rsid w:val="0065246A"/>
    <w:rsid w:val="00652608"/>
    <w:rsid w:val="00652882"/>
    <w:rsid w:val="00652945"/>
    <w:rsid w:val="00652A8C"/>
    <w:rsid w:val="00652ACB"/>
    <w:rsid w:val="00652B58"/>
    <w:rsid w:val="00652B64"/>
    <w:rsid w:val="00652CC1"/>
    <w:rsid w:val="00652D32"/>
    <w:rsid w:val="00652D9C"/>
    <w:rsid w:val="00652DC7"/>
    <w:rsid w:val="00652E34"/>
    <w:rsid w:val="00653112"/>
    <w:rsid w:val="0065323A"/>
    <w:rsid w:val="006532B2"/>
    <w:rsid w:val="00653348"/>
    <w:rsid w:val="006533E5"/>
    <w:rsid w:val="00653417"/>
    <w:rsid w:val="00653446"/>
    <w:rsid w:val="00653485"/>
    <w:rsid w:val="00653508"/>
    <w:rsid w:val="0065360E"/>
    <w:rsid w:val="0065372A"/>
    <w:rsid w:val="006537BA"/>
    <w:rsid w:val="00653856"/>
    <w:rsid w:val="006538DB"/>
    <w:rsid w:val="00653BA3"/>
    <w:rsid w:val="00653F87"/>
    <w:rsid w:val="00653F8F"/>
    <w:rsid w:val="006540B6"/>
    <w:rsid w:val="006540DA"/>
    <w:rsid w:val="006540FC"/>
    <w:rsid w:val="0065419C"/>
    <w:rsid w:val="006541FC"/>
    <w:rsid w:val="00654233"/>
    <w:rsid w:val="00654238"/>
    <w:rsid w:val="006543B5"/>
    <w:rsid w:val="00654563"/>
    <w:rsid w:val="00654660"/>
    <w:rsid w:val="00654742"/>
    <w:rsid w:val="006547F0"/>
    <w:rsid w:val="00654A56"/>
    <w:rsid w:val="00654A9E"/>
    <w:rsid w:val="00654B3F"/>
    <w:rsid w:val="00654DB0"/>
    <w:rsid w:val="00654E10"/>
    <w:rsid w:val="00654ED1"/>
    <w:rsid w:val="0065536D"/>
    <w:rsid w:val="006553AA"/>
    <w:rsid w:val="006553DD"/>
    <w:rsid w:val="006558C0"/>
    <w:rsid w:val="006559A5"/>
    <w:rsid w:val="00655B15"/>
    <w:rsid w:val="00655BC6"/>
    <w:rsid w:val="00655C06"/>
    <w:rsid w:val="00655C1F"/>
    <w:rsid w:val="00655C3F"/>
    <w:rsid w:val="00655D5A"/>
    <w:rsid w:val="00655F4A"/>
    <w:rsid w:val="0065603E"/>
    <w:rsid w:val="006560EB"/>
    <w:rsid w:val="00656281"/>
    <w:rsid w:val="006562B0"/>
    <w:rsid w:val="006562C5"/>
    <w:rsid w:val="00656433"/>
    <w:rsid w:val="0065648D"/>
    <w:rsid w:val="006564E7"/>
    <w:rsid w:val="00656555"/>
    <w:rsid w:val="00656566"/>
    <w:rsid w:val="006565A2"/>
    <w:rsid w:val="00656742"/>
    <w:rsid w:val="006567AF"/>
    <w:rsid w:val="006567E7"/>
    <w:rsid w:val="006568D9"/>
    <w:rsid w:val="00656D39"/>
    <w:rsid w:val="00656D71"/>
    <w:rsid w:val="00656FCC"/>
    <w:rsid w:val="006570AA"/>
    <w:rsid w:val="00657245"/>
    <w:rsid w:val="006573D6"/>
    <w:rsid w:val="006574F2"/>
    <w:rsid w:val="006576F8"/>
    <w:rsid w:val="00657831"/>
    <w:rsid w:val="0065788F"/>
    <w:rsid w:val="00657982"/>
    <w:rsid w:val="00657B3C"/>
    <w:rsid w:val="00657EA4"/>
    <w:rsid w:val="00657FB7"/>
    <w:rsid w:val="00660030"/>
    <w:rsid w:val="00660045"/>
    <w:rsid w:val="0066017A"/>
    <w:rsid w:val="006602BF"/>
    <w:rsid w:val="0066038C"/>
    <w:rsid w:val="0066042D"/>
    <w:rsid w:val="00660928"/>
    <w:rsid w:val="006609F6"/>
    <w:rsid w:val="00660B1E"/>
    <w:rsid w:val="00660EC6"/>
    <w:rsid w:val="00660F33"/>
    <w:rsid w:val="0066100E"/>
    <w:rsid w:val="0066108B"/>
    <w:rsid w:val="006610EE"/>
    <w:rsid w:val="0066112C"/>
    <w:rsid w:val="006611FF"/>
    <w:rsid w:val="00661253"/>
    <w:rsid w:val="006612D3"/>
    <w:rsid w:val="006613BC"/>
    <w:rsid w:val="00661409"/>
    <w:rsid w:val="00661454"/>
    <w:rsid w:val="0066154C"/>
    <w:rsid w:val="00661830"/>
    <w:rsid w:val="0066196A"/>
    <w:rsid w:val="006619A2"/>
    <w:rsid w:val="00661B3A"/>
    <w:rsid w:val="00661B99"/>
    <w:rsid w:val="00661F0D"/>
    <w:rsid w:val="00661FE8"/>
    <w:rsid w:val="00662026"/>
    <w:rsid w:val="006623F1"/>
    <w:rsid w:val="006624E9"/>
    <w:rsid w:val="00662550"/>
    <w:rsid w:val="006625C4"/>
    <w:rsid w:val="00662638"/>
    <w:rsid w:val="00662764"/>
    <w:rsid w:val="006627EE"/>
    <w:rsid w:val="006627F0"/>
    <w:rsid w:val="00662831"/>
    <w:rsid w:val="0066287D"/>
    <w:rsid w:val="0066289F"/>
    <w:rsid w:val="0066290C"/>
    <w:rsid w:val="00662943"/>
    <w:rsid w:val="00662AA8"/>
    <w:rsid w:val="00662B1A"/>
    <w:rsid w:val="00662B66"/>
    <w:rsid w:val="00662BEE"/>
    <w:rsid w:val="00662D1C"/>
    <w:rsid w:val="00662D8D"/>
    <w:rsid w:val="00662E8B"/>
    <w:rsid w:val="00662EE5"/>
    <w:rsid w:val="00662F4D"/>
    <w:rsid w:val="00662FD6"/>
    <w:rsid w:val="0066323F"/>
    <w:rsid w:val="00663328"/>
    <w:rsid w:val="0066359F"/>
    <w:rsid w:val="006635D9"/>
    <w:rsid w:val="0066367A"/>
    <w:rsid w:val="00663682"/>
    <w:rsid w:val="006638B9"/>
    <w:rsid w:val="00663A34"/>
    <w:rsid w:val="00663C78"/>
    <w:rsid w:val="00663CC8"/>
    <w:rsid w:val="00663D51"/>
    <w:rsid w:val="00663DCB"/>
    <w:rsid w:val="00663E6C"/>
    <w:rsid w:val="00663E76"/>
    <w:rsid w:val="00663F45"/>
    <w:rsid w:val="00664077"/>
    <w:rsid w:val="006640C4"/>
    <w:rsid w:val="006641BB"/>
    <w:rsid w:val="006641D0"/>
    <w:rsid w:val="00664292"/>
    <w:rsid w:val="006643AD"/>
    <w:rsid w:val="006643FB"/>
    <w:rsid w:val="0066441B"/>
    <w:rsid w:val="0066451B"/>
    <w:rsid w:val="00664525"/>
    <w:rsid w:val="006646B6"/>
    <w:rsid w:val="006649FF"/>
    <w:rsid w:val="00664A22"/>
    <w:rsid w:val="00664A83"/>
    <w:rsid w:val="00664C2D"/>
    <w:rsid w:val="00664C7C"/>
    <w:rsid w:val="00664E85"/>
    <w:rsid w:val="00664EEE"/>
    <w:rsid w:val="00665134"/>
    <w:rsid w:val="00665370"/>
    <w:rsid w:val="0066540B"/>
    <w:rsid w:val="00665580"/>
    <w:rsid w:val="006657F2"/>
    <w:rsid w:val="00665825"/>
    <w:rsid w:val="006659FE"/>
    <w:rsid w:val="00665A31"/>
    <w:rsid w:val="00665CC8"/>
    <w:rsid w:val="00665EA7"/>
    <w:rsid w:val="00665F32"/>
    <w:rsid w:val="00665FEB"/>
    <w:rsid w:val="0066603D"/>
    <w:rsid w:val="00666309"/>
    <w:rsid w:val="0066657D"/>
    <w:rsid w:val="006666D2"/>
    <w:rsid w:val="006667A3"/>
    <w:rsid w:val="0066688D"/>
    <w:rsid w:val="00666981"/>
    <w:rsid w:val="00666AF7"/>
    <w:rsid w:val="00666CF1"/>
    <w:rsid w:val="00666D3D"/>
    <w:rsid w:val="00666E84"/>
    <w:rsid w:val="00666FB4"/>
    <w:rsid w:val="00667011"/>
    <w:rsid w:val="006670BB"/>
    <w:rsid w:val="00667241"/>
    <w:rsid w:val="0066724F"/>
    <w:rsid w:val="00667290"/>
    <w:rsid w:val="006674D9"/>
    <w:rsid w:val="00667574"/>
    <w:rsid w:val="0066779F"/>
    <w:rsid w:val="00667869"/>
    <w:rsid w:val="00667A4D"/>
    <w:rsid w:val="00667B01"/>
    <w:rsid w:val="00667BD1"/>
    <w:rsid w:val="00667D30"/>
    <w:rsid w:val="00667D9D"/>
    <w:rsid w:val="00667DB9"/>
    <w:rsid w:val="00667DCC"/>
    <w:rsid w:val="00667F0F"/>
    <w:rsid w:val="00667F30"/>
    <w:rsid w:val="00670187"/>
    <w:rsid w:val="0067028C"/>
    <w:rsid w:val="006702BA"/>
    <w:rsid w:val="006702D8"/>
    <w:rsid w:val="00670313"/>
    <w:rsid w:val="00670356"/>
    <w:rsid w:val="00670391"/>
    <w:rsid w:val="0067043D"/>
    <w:rsid w:val="00670512"/>
    <w:rsid w:val="00670581"/>
    <w:rsid w:val="00670709"/>
    <w:rsid w:val="00670867"/>
    <w:rsid w:val="00670B93"/>
    <w:rsid w:val="00670C05"/>
    <w:rsid w:val="00670C82"/>
    <w:rsid w:val="00670C9D"/>
    <w:rsid w:val="00670CFD"/>
    <w:rsid w:val="00670F62"/>
    <w:rsid w:val="00671050"/>
    <w:rsid w:val="00671510"/>
    <w:rsid w:val="006716CC"/>
    <w:rsid w:val="00671773"/>
    <w:rsid w:val="00671924"/>
    <w:rsid w:val="00671941"/>
    <w:rsid w:val="00671ADF"/>
    <w:rsid w:val="00671B53"/>
    <w:rsid w:val="00671C6B"/>
    <w:rsid w:val="00671CCA"/>
    <w:rsid w:val="00671E9C"/>
    <w:rsid w:val="00671EBF"/>
    <w:rsid w:val="00672275"/>
    <w:rsid w:val="0067232D"/>
    <w:rsid w:val="006723AC"/>
    <w:rsid w:val="00672439"/>
    <w:rsid w:val="006726BF"/>
    <w:rsid w:val="00672C08"/>
    <w:rsid w:val="00672CEE"/>
    <w:rsid w:val="00672D92"/>
    <w:rsid w:val="00672E34"/>
    <w:rsid w:val="00672E43"/>
    <w:rsid w:val="00672F42"/>
    <w:rsid w:val="00672F4A"/>
    <w:rsid w:val="00673058"/>
    <w:rsid w:val="0067312F"/>
    <w:rsid w:val="0067315A"/>
    <w:rsid w:val="0067317E"/>
    <w:rsid w:val="0067349E"/>
    <w:rsid w:val="006735A4"/>
    <w:rsid w:val="00673626"/>
    <w:rsid w:val="00673663"/>
    <w:rsid w:val="0067368A"/>
    <w:rsid w:val="00673A67"/>
    <w:rsid w:val="00673A72"/>
    <w:rsid w:val="00673AE6"/>
    <w:rsid w:val="00673BF7"/>
    <w:rsid w:val="00673D1C"/>
    <w:rsid w:val="00673DCA"/>
    <w:rsid w:val="00673EF5"/>
    <w:rsid w:val="00673FFB"/>
    <w:rsid w:val="006740DA"/>
    <w:rsid w:val="0067421E"/>
    <w:rsid w:val="0067439E"/>
    <w:rsid w:val="0067442A"/>
    <w:rsid w:val="0067457D"/>
    <w:rsid w:val="00674581"/>
    <w:rsid w:val="0067474E"/>
    <w:rsid w:val="00674755"/>
    <w:rsid w:val="0067475C"/>
    <w:rsid w:val="00674A65"/>
    <w:rsid w:val="00674B7A"/>
    <w:rsid w:val="00674B9C"/>
    <w:rsid w:val="00674CEB"/>
    <w:rsid w:val="00674EF8"/>
    <w:rsid w:val="0067510E"/>
    <w:rsid w:val="006752E0"/>
    <w:rsid w:val="0067540D"/>
    <w:rsid w:val="0067551C"/>
    <w:rsid w:val="00675525"/>
    <w:rsid w:val="00675745"/>
    <w:rsid w:val="00675AEF"/>
    <w:rsid w:val="00675B5E"/>
    <w:rsid w:val="00675CB5"/>
    <w:rsid w:val="00675CE1"/>
    <w:rsid w:val="00675DB6"/>
    <w:rsid w:val="00675DEA"/>
    <w:rsid w:val="00675F90"/>
    <w:rsid w:val="00675FD6"/>
    <w:rsid w:val="00675FF2"/>
    <w:rsid w:val="00676001"/>
    <w:rsid w:val="00676009"/>
    <w:rsid w:val="006761B1"/>
    <w:rsid w:val="0067621B"/>
    <w:rsid w:val="006762A3"/>
    <w:rsid w:val="006764FC"/>
    <w:rsid w:val="00676742"/>
    <w:rsid w:val="006767CD"/>
    <w:rsid w:val="00676880"/>
    <w:rsid w:val="006768E4"/>
    <w:rsid w:val="00676992"/>
    <w:rsid w:val="00676B8C"/>
    <w:rsid w:val="00676C9E"/>
    <w:rsid w:val="00676D9F"/>
    <w:rsid w:val="00676DA2"/>
    <w:rsid w:val="00676F33"/>
    <w:rsid w:val="00676FBE"/>
    <w:rsid w:val="0067702B"/>
    <w:rsid w:val="006770CD"/>
    <w:rsid w:val="006772BC"/>
    <w:rsid w:val="006773C7"/>
    <w:rsid w:val="00677695"/>
    <w:rsid w:val="006776C5"/>
    <w:rsid w:val="0067770D"/>
    <w:rsid w:val="00677A8E"/>
    <w:rsid w:val="00677B94"/>
    <w:rsid w:val="00677CBC"/>
    <w:rsid w:val="00677D1B"/>
    <w:rsid w:val="00677D1D"/>
    <w:rsid w:val="00677EC5"/>
    <w:rsid w:val="00680135"/>
    <w:rsid w:val="006801A2"/>
    <w:rsid w:val="006802BA"/>
    <w:rsid w:val="006802EB"/>
    <w:rsid w:val="006804ED"/>
    <w:rsid w:val="0068050E"/>
    <w:rsid w:val="00680525"/>
    <w:rsid w:val="0068058B"/>
    <w:rsid w:val="006805CB"/>
    <w:rsid w:val="006806AB"/>
    <w:rsid w:val="0068071E"/>
    <w:rsid w:val="0068089D"/>
    <w:rsid w:val="00680E11"/>
    <w:rsid w:val="00680F1D"/>
    <w:rsid w:val="006811A4"/>
    <w:rsid w:val="00681266"/>
    <w:rsid w:val="0068136B"/>
    <w:rsid w:val="00681407"/>
    <w:rsid w:val="00681434"/>
    <w:rsid w:val="00681440"/>
    <w:rsid w:val="0068147F"/>
    <w:rsid w:val="00681536"/>
    <w:rsid w:val="00681595"/>
    <w:rsid w:val="006816AF"/>
    <w:rsid w:val="006818D3"/>
    <w:rsid w:val="00681948"/>
    <w:rsid w:val="00681BD8"/>
    <w:rsid w:val="00681E1E"/>
    <w:rsid w:val="00681EAB"/>
    <w:rsid w:val="00681F94"/>
    <w:rsid w:val="0068203B"/>
    <w:rsid w:val="0068206D"/>
    <w:rsid w:val="006820AB"/>
    <w:rsid w:val="006821D6"/>
    <w:rsid w:val="006822E7"/>
    <w:rsid w:val="006823C7"/>
    <w:rsid w:val="006825BB"/>
    <w:rsid w:val="006825E2"/>
    <w:rsid w:val="0068264B"/>
    <w:rsid w:val="006828DE"/>
    <w:rsid w:val="00682992"/>
    <w:rsid w:val="006829F5"/>
    <w:rsid w:val="00682B77"/>
    <w:rsid w:val="00682CE9"/>
    <w:rsid w:val="00682D40"/>
    <w:rsid w:val="00682D8F"/>
    <w:rsid w:val="00683029"/>
    <w:rsid w:val="0068308B"/>
    <w:rsid w:val="006830A3"/>
    <w:rsid w:val="006830C8"/>
    <w:rsid w:val="0068310F"/>
    <w:rsid w:val="00683376"/>
    <w:rsid w:val="006833DF"/>
    <w:rsid w:val="006834DD"/>
    <w:rsid w:val="00683537"/>
    <w:rsid w:val="00683578"/>
    <w:rsid w:val="00683931"/>
    <w:rsid w:val="00683A28"/>
    <w:rsid w:val="00683A38"/>
    <w:rsid w:val="00683BF5"/>
    <w:rsid w:val="00683C1C"/>
    <w:rsid w:val="00683E95"/>
    <w:rsid w:val="00683EFC"/>
    <w:rsid w:val="0068406F"/>
    <w:rsid w:val="006843BA"/>
    <w:rsid w:val="00684709"/>
    <w:rsid w:val="00684782"/>
    <w:rsid w:val="006847E1"/>
    <w:rsid w:val="00684A70"/>
    <w:rsid w:val="00684CB3"/>
    <w:rsid w:val="00684CC2"/>
    <w:rsid w:val="00684E96"/>
    <w:rsid w:val="00684F8A"/>
    <w:rsid w:val="00685055"/>
    <w:rsid w:val="006850A2"/>
    <w:rsid w:val="006850A7"/>
    <w:rsid w:val="006851A3"/>
    <w:rsid w:val="006852FA"/>
    <w:rsid w:val="006854B2"/>
    <w:rsid w:val="006854C5"/>
    <w:rsid w:val="006856B7"/>
    <w:rsid w:val="0068590E"/>
    <w:rsid w:val="00685A73"/>
    <w:rsid w:val="00685AF6"/>
    <w:rsid w:val="00685B26"/>
    <w:rsid w:val="00685BEB"/>
    <w:rsid w:val="00685CA9"/>
    <w:rsid w:val="00685D37"/>
    <w:rsid w:val="00685D77"/>
    <w:rsid w:val="00685EB1"/>
    <w:rsid w:val="00685F41"/>
    <w:rsid w:val="00686205"/>
    <w:rsid w:val="0068631B"/>
    <w:rsid w:val="00686434"/>
    <w:rsid w:val="006864FB"/>
    <w:rsid w:val="00686646"/>
    <w:rsid w:val="0068672E"/>
    <w:rsid w:val="00686762"/>
    <w:rsid w:val="0068687B"/>
    <w:rsid w:val="006869AC"/>
    <w:rsid w:val="00686BEE"/>
    <w:rsid w:val="00686C14"/>
    <w:rsid w:val="00686CB9"/>
    <w:rsid w:val="00687113"/>
    <w:rsid w:val="00687215"/>
    <w:rsid w:val="006872D9"/>
    <w:rsid w:val="00687354"/>
    <w:rsid w:val="00687526"/>
    <w:rsid w:val="00687745"/>
    <w:rsid w:val="006877A4"/>
    <w:rsid w:val="00687819"/>
    <w:rsid w:val="0068783D"/>
    <w:rsid w:val="00687A33"/>
    <w:rsid w:val="00687A75"/>
    <w:rsid w:val="00687AE4"/>
    <w:rsid w:val="00687C85"/>
    <w:rsid w:val="00687FA5"/>
    <w:rsid w:val="00687FF3"/>
    <w:rsid w:val="00690534"/>
    <w:rsid w:val="00690539"/>
    <w:rsid w:val="00690542"/>
    <w:rsid w:val="006905EC"/>
    <w:rsid w:val="00690789"/>
    <w:rsid w:val="006909B2"/>
    <w:rsid w:val="00690ABC"/>
    <w:rsid w:val="00690ABE"/>
    <w:rsid w:val="00690B7C"/>
    <w:rsid w:val="00690FD9"/>
    <w:rsid w:val="006910A7"/>
    <w:rsid w:val="006910FC"/>
    <w:rsid w:val="0069113C"/>
    <w:rsid w:val="006911CF"/>
    <w:rsid w:val="006913F7"/>
    <w:rsid w:val="0069154C"/>
    <w:rsid w:val="00691A8F"/>
    <w:rsid w:val="00691C1B"/>
    <w:rsid w:val="00691CD2"/>
    <w:rsid w:val="00691CF6"/>
    <w:rsid w:val="00691D7A"/>
    <w:rsid w:val="00692030"/>
    <w:rsid w:val="006920F4"/>
    <w:rsid w:val="00692184"/>
    <w:rsid w:val="006921E8"/>
    <w:rsid w:val="006923F1"/>
    <w:rsid w:val="006923F5"/>
    <w:rsid w:val="00692537"/>
    <w:rsid w:val="00692577"/>
    <w:rsid w:val="006925D2"/>
    <w:rsid w:val="006925F2"/>
    <w:rsid w:val="006926F7"/>
    <w:rsid w:val="00692722"/>
    <w:rsid w:val="0069281B"/>
    <w:rsid w:val="00692886"/>
    <w:rsid w:val="00692993"/>
    <w:rsid w:val="006929D9"/>
    <w:rsid w:val="00692B21"/>
    <w:rsid w:val="00692DF8"/>
    <w:rsid w:val="00692E14"/>
    <w:rsid w:val="00692E1D"/>
    <w:rsid w:val="00692E36"/>
    <w:rsid w:val="00692F44"/>
    <w:rsid w:val="006930FB"/>
    <w:rsid w:val="00693131"/>
    <w:rsid w:val="00693168"/>
    <w:rsid w:val="00693184"/>
    <w:rsid w:val="0069321D"/>
    <w:rsid w:val="0069323E"/>
    <w:rsid w:val="006932F6"/>
    <w:rsid w:val="00693354"/>
    <w:rsid w:val="00693577"/>
    <w:rsid w:val="00693586"/>
    <w:rsid w:val="00693B3D"/>
    <w:rsid w:val="00693BBF"/>
    <w:rsid w:val="00693CEA"/>
    <w:rsid w:val="00693DA0"/>
    <w:rsid w:val="00693DB3"/>
    <w:rsid w:val="00694038"/>
    <w:rsid w:val="00694138"/>
    <w:rsid w:val="0069415D"/>
    <w:rsid w:val="00694329"/>
    <w:rsid w:val="006943A8"/>
    <w:rsid w:val="006943A9"/>
    <w:rsid w:val="006943B2"/>
    <w:rsid w:val="00694455"/>
    <w:rsid w:val="00694499"/>
    <w:rsid w:val="00694519"/>
    <w:rsid w:val="006945BF"/>
    <w:rsid w:val="00694601"/>
    <w:rsid w:val="0069479D"/>
    <w:rsid w:val="006948E6"/>
    <w:rsid w:val="006949E2"/>
    <w:rsid w:val="00694A64"/>
    <w:rsid w:val="00694ABF"/>
    <w:rsid w:val="00694B6C"/>
    <w:rsid w:val="00694C5F"/>
    <w:rsid w:val="00694CE1"/>
    <w:rsid w:val="00694E0F"/>
    <w:rsid w:val="0069514E"/>
    <w:rsid w:val="006951F3"/>
    <w:rsid w:val="0069530F"/>
    <w:rsid w:val="006955C5"/>
    <w:rsid w:val="006955CE"/>
    <w:rsid w:val="0069574E"/>
    <w:rsid w:val="00695772"/>
    <w:rsid w:val="0069577A"/>
    <w:rsid w:val="00695816"/>
    <w:rsid w:val="00695992"/>
    <w:rsid w:val="006959E1"/>
    <w:rsid w:val="00695A21"/>
    <w:rsid w:val="00695A28"/>
    <w:rsid w:val="00695A4A"/>
    <w:rsid w:val="00695B17"/>
    <w:rsid w:val="00695BE6"/>
    <w:rsid w:val="00695C20"/>
    <w:rsid w:val="00695C47"/>
    <w:rsid w:val="0069618D"/>
    <w:rsid w:val="00696271"/>
    <w:rsid w:val="0069646F"/>
    <w:rsid w:val="0069650A"/>
    <w:rsid w:val="00696661"/>
    <w:rsid w:val="00696706"/>
    <w:rsid w:val="00696911"/>
    <w:rsid w:val="00696ABB"/>
    <w:rsid w:val="00696AEB"/>
    <w:rsid w:val="00696B72"/>
    <w:rsid w:val="00696B8F"/>
    <w:rsid w:val="00696C65"/>
    <w:rsid w:val="00696C9C"/>
    <w:rsid w:val="00696E95"/>
    <w:rsid w:val="00696F07"/>
    <w:rsid w:val="00697103"/>
    <w:rsid w:val="00697150"/>
    <w:rsid w:val="0069734C"/>
    <w:rsid w:val="006973FB"/>
    <w:rsid w:val="0069748D"/>
    <w:rsid w:val="00697498"/>
    <w:rsid w:val="006978E3"/>
    <w:rsid w:val="006978FF"/>
    <w:rsid w:val="00697A37"/>
    <w:rsid w:val="00697B2F"/>
    <w:rsid w:val="00697B4E"/>
    <w:rsid w:val="00697BB5"/>
    <w:rsid w:val="00697C83"/>
    <w:rsid w:val="00697CB6"/>
    <w:rsid w:val="00697EF8"/>
    <w:rsid w:val="00697F96"/>
    <w:rsid w:val="006A01CE"/>
    <w:rsid w:val="006A0265"/>
    <w:rsid w:val="006A0436"/>
    <w:rsid w:val="006A056D"/>
    <w:rsid w:val="006A069E"/>
    <w:rsid w:val="006A06FF"/>
    <w:rsid w:val="006A07EE"/>
    <w:rsid w:val="006A0902"/>
    <w:rsid w:val="006A09B0"/>
    <w:rsid w:val="006A0AF4"/>
    <w:rsid w:val="006A0BC9"/>
    <w:rsid w:val="006A0BD7"/>
    <w:rsid w:val="006A0C81"/>
    <w:rsid w:val="006A0D44"/>
    <w:rsid w:val="006A0D57"/>
    <w:rsid w:val="006A0DCC"/>
    <w:rsid w:val="006A0F2E"/>
    <w:rsid w:val="006A0FFB"/>
    <w:rsid w:val="006A118E"/>
    <w:rsid w:val="006A1241"/>
    <w:rsid w:val="006A1249"/>
    <w:rsid w:val="006A1522"/>
    <w:rsid w:val="006A187C"/>
    <w:rsid w:val="006A19D8"/>
    <w:rsid w:val="006A1A65"/>
    <w:rsid w:val="006A1B7F"/>
    <w:rsid w:val="006A1BDD"/>
    <w:rsid w:val="006A1C66"/>
    <w:rsid w:val="006A1CD3"/>
    <w:rsid w:val="006A1D2F"/>
    <w:rsid w:val="006A1E34"/>
    <w:rsid w:val="006A1E8E"/>
    <w:rsid w:val="006A2067"/>
    <w:rsid w:val="006A218E"/>
    <w:rsid w:val="006A2303"/>
    <w:rsid w:val="006A23FE"/>
    <w:rsid w:val="006A2454"/>
    <w:rsid w:val="006A265E"/>
    <w:rsid w:val="006A2888"/>
    <w:rsid w:val="006A2961"/>
    <w:rsid w:val="006A29BE"/>
    <w:rsid w:val="006A2B3A"/>
    <w:rsid w:val="006A2BB8"/>
    <w:rsid w:val="006A2C56"/>
    <w:rsid w:val="006A2C67"/>
    <w:rsid w:val="006A2CC2"/>
    <w:rsid w:val="006A2D14"/>
    <w:rsid w:val="006A2E6E"/>
    <w:rsid w:val="006A2E71"/>
    <w:rsid w:val="006A3078"/>
    <w:rsid w:val="006A30D8"/>
    <w:rsid w:val="006A3366"/>
    <w:rsid w:val="006A33DC"/>
    <w:rsid w:val="006A346C"/>
    <w:rsid w:val="006A34F1"/>
    <w:rsid w:val="006A354C"/>
    <w:rsid w:val="006A35B1"/>
    <w:rsid w:val="006A365A"/>
    <w:rsid w:val="006A36F7"/>
    <w:rsid w:val="006A3D72"/>
    <w:rsid w:val="006A3E91"/>
    <w:rsid w:val="006A400A"/>
    <w:rsid w:val="006A4159"/>
    <w:rsid w:val="006A4252"/>
    <w:rsid w:val="006A4355"/>
    <w:rsid w:val="006A4357"/>
    <w:rsid w:val="006A446A"/>
    <w:rsid w:val="006A44C3"/>
    <w:rsid w:val="006A44ED"/>
    <w:rsid w:val="006A47C3"/>
    <w:rsid w:val="006A47FA"/>
    <w:rsid w:val="006A4913"/>
    <w:rsid w:val="006A49E3"/>
    <w:rsid w:val="006A4ABD"/>
    <w:rsid w:val="006A4ABE"/>
    <w:rsid w:val="006A4AD9"/>
    <w:rsid w:val="006A4C9D"/>
    <w:rsid w:val="006A4D22"/>
    <w:rsid w:val="006A4D68"/>
    <w:rsid w:val="006A4E10"/>
    <w:rsid w:val="006A4E14"/>
    <w:rsid w:val="006A4F5E"/>
    <w:rsid w:val="006A4F90"/>
    <w:rsid w:val="006A5265"/>
    <w:rsid w:val="006A5431"/>
    <w:rsid w:val="006A557A"/>
    <w:rsid w:val="006A5786"/>
    <w:rsid w:val="006A57DE"/>
    <w:rsid w:val="006A5911"/>
    <w:rsid w:val="006A59C4"/>
    <w:rsid w:val="006A5BEC"/>
    <w:rsid w:val="006A5D12"/>
    <w:rsid w:val="006A5D30"/>
    <w:rsid w:val="006A5ECC"/>
    <w:rsid w:val="006A5F19"/>
    <w:rsid w:val="006A5F9B"/>
    <w:rsid w:val="006A5FAF"/>
    <w:rsid w:val="006A5FDE"/>
    <w:rsid w:val="006A602A"/>
    <w:rsid w:val="006A60A4"/>
    <w:rsid w:val="006A6161"/>
    <w:rsid w:val="006A63D3"/>
    <w:rsid w:val="006A63E2"/>
    <w:rsid w:val="006A64FC"/>
    <w:rsid w:val="006A6562"/>
    <w:rsid w:val="006A6587"/>
    <w:rsid w:val="006A659F"/>
    <w:rsid w:val="006A680C"/>
    <w:rsid w:val="006A6ABD"/>
    <w:rsid w:val="006A6D65"/>
    <w:rsid w:val="006A6EA8"/>
    <w:rsid w:val="006A6EAF"/>
    <w:rsid w:val="006A6EC7"/>
    <w:rsid w:val="006A7229"/>
    <w:rsid w:val="006A7277"/>
    <w:rsid w:val="006A7564"/>
    <w:rsid w:val="006A75A8"/>
    <w:rsid w:val="006A76B0"/>
    <w:rsid w:val="006A7815"/>
    <w:rsid w:val="006A789B"/>
    <w:rsid w:val="006A7A81"/>
    <w:rsid w:val="006A7B43"/>
    <w:rsid w:val="006A7B45"/>
    <w:rsid w:val="006A7C71"/>
    <w:rsid w:val="006A7E0E"/>
    <w:rsid w:val="006A7E12"/>
    <w:rsid w:val="006A7F0C"/>
    <w:rsid w:val="006A7F3B"/>
    <w:rsid w:val="006A7FA5"/>
    <w:rsid w:val="006A7FA9"/>
    <w:rsid w:val="006B00E8"/>
    <w:rsid w:val="006B0251"/>
    <w:rsid w:val="006B02BB"/>
    <w:rsid w:val="006B032F"/>
    <w:rsid w:val="006B03EA"/>
    <w:rsid w:val="006B0420"/>
    <w:rsid w:val="006B04F5"/>
    <w:rsid w:val="006B0672"/>
    <w:rsid w:val="006B06A7"/>
    <w:rsid w:val="006B06B9"/>
    <w:rsid w:val="006B0A98"/>
    <w:rsid w:val="006B0B59"/>
    <w:rsid w:val="006B0B81"/>
    <w:rsid w:val="006B0C79"/>
    <w:rsid w:val="006B0C87"/>
    <w:rsid w:val="006B0D6B"/>
    <w:rsid w:val="006B0DA3"/>
    <w:rsid w:val="006B0DD6"/>
    <w:rsid w:val="006B10FD"/>
    <w:rsid w:val="006B11D3"/>
    <w:rsid w:val="006B1448"/>
    <w:rsid w:val="006B1474"/>
    <w:rsid w:val="006B1574"/>
    <w:rsid w:val="006B16B2"/>
    <w:rsid w:val="006B1701"/>
    <w:rsid w:val="006B18EF"/>
    <w:rsid w:val="006B1962"/>
    <w:rsid w:val="006B1B43"/>
    <w:rsid w:val="006B1C09"/>
    <w:rsid w:val="006B1DD6"/>
    <w:rsid w:val="006B1FE2"/>
    <w:rsid w:val="006B2038"/>
    <w:rsid w:val="006B21EB"/>
    <w:rsid w:val="006B2222"/>
    <w:rsid w:val="006B22DE"/>
    <w:rsid w:val="006B24F3"/>
    <w:rsid w:val="006B251A"/>
    <w:rsid w:val="006B257B"/>
    <w:rsid w:val="006B259D"/>
    <w:rsid w:val="006B25A2"/>
    <w:rsid w:val="006B25B0"/>
    <w:rsid w:val="006B267F"/>
    <w:rsid w:val="006B271A"/>
    <w:rsid w:val="006B271D"/>
    <w:rsid w:val="006B29BC"/>
    <w:rsid w:val="006B2ADD"/>
    <w:rsid w:val="006B2B74"/>
    <w:rsid w:val="006B2B94"/>
    <w:rsid w:val="006B2D87"/>
    <w:rsid w:val="006B2DCD"/>
    <w:rsid w:val="006B2E96"/>
    <w:rsid w:val="006B3019"/>
    <w:rsid w:val="006B301C"/>
    <w:rsid w:val="006B306A"/>
    <w:rsid w:val="006B306B"/>
    <w:rsid w:val="006B3093"/>
    <w:rsid w:val="006B30D1"/>
    <w:rsid w:val="006B313D"/>
    <w:rsid w:val="006B34D1"/>
    <w:rsid w:val="006B3681"/>
    <w:rsid w:val="006B3730"/>
    <w:rsid w:val="006B374A"/>
    <w:rsid w:val="006B3799"/>
    <w:rsid w:val="006B3813"/>
    <w:rsid w:val="006B38E9"/>
    <w:rsid w:val="006B3A34"/>
    <w:rsid w:val="006B3A73"/>
    <w:rsid w:val="006B3AA1"/>
    <w:rsid w:val="006B3BD1"/>
    <w:rsid w:val="006B3C02"/>
    <w:rsid w:val="006B3CDE"/>
    <w:rsid w:val="006B3F58"/>
    <w:rsid w:val="006B4015"/>
    <w:rsid w:val="006B405B"/>
    <w:rsid w:val="006B4065"/>
    <w:rsid w:val="006B44AC"/>
    <w:rsid w:val="006B450D"/>
    <w:rsid w:val="006B457D"/>
    <w:rsid w:val="006B45DD"/>
    <w:rsid w:val="006B45E2"/>
    <w:rsid w:val="006B46C6"/>
    <w:rsid w:val="006B477D"/>
    <w:rsid w:val="006B47BE"/>
    <w:rsid w:val="006B4CB0"/>
    <w:rsid w:val="006B4D8A"/>
    <w:rsid w:val="006B4DE9"/>
    <w:rsid w:val="006B4F86"/>
    <w:rsid w:val="006B5163"/>
    <w:rsid w:val="006B51FD"/>
    <w:rsid w:val="006B54D6"/>
    <w:rsid w:val="006B54F7"/>
    <w:rsid w:val="006B5637"/>
    <w:rsid w:val="006B56C1"/>
    <w:rsid w:val="006B58A6"/>
    <w:rsid w:val="006B5968"/>
    <w:rsid w:val="006B59BD"/>
    <w:rsid w:val="006B5C39"/>
    <w:rsid w:val="006B5D16"/>
    <w:rsid w:val="006B5F7E"/>
    <w:rsid w:val="006B62D2"/>
    <w:rsid w:val="006B63FC"/>
    <w:rsid w:val="006B6622"/>
    <w:rsid w:val="006B66B6"/>
    <w:rsid w:val="006B6730"/>
    <w:rsid w:val="006B68FA"/>
    <w:rsid w:val="006B6969"/>
    <w:rsid w:val="006B6B3C"/>
    <w:rsid w:val="006B6CAD"/>
    <w:rsid w:val="006B6F71"/>
    <w:rsid w:val="006B70B0"/>
    <w:rsid w:val="006B714F"/>
    <w:rsid w:val="006B71CD"/>
    <w:rsid w:val="006B71D3"/>
    <w:rsid w:val="006B7690"/>
    <w:rsid w:val="006B7977"/>
    <w:rsid w:val="006B79B8"/>
    <w:rsid w:val="006B7B22"/>
    <w:rsid w:val="006B7C93"/>
    <w:rsid w:val="006B7DFE"/>
    <w:rsid w:val="006B7F32"/>
    <w:rsid w:val="006C01DA"/>
    <w:rsid w:val="006C02C5"/>
    <w:rsid w:val="006C02E9"/>
    <w:rsid w:val="006C03CE"/>
    <w:rsid w:val="006C04F8"/>
    <w:rsid w:val="006C05C2"/>
    <w:rsid w:val="006C05E5"/>
    <w:rsid w:val="006C0608"/>
    <w:rsid w:val="006C06F7"/>
    <w:rsid w:val="006C0860"/>
    <w:rsid w:val="006C0880"/>
    <w:rsid w:val="006C08FB"/>
    <w:rsid w:val="006C0B10"/>
    <w:rsid w:val="006C0B35"/>
    <w:rsid w:val="006C0C17"/>
    <w:rsid w:val="006C0FE3"/>
    <w:rsid w:val="006C1079"/>
    <w:rsid w:val="006C117F"/>
    <w:rsid w:val="006C14EF"/>
    <w:rsid w:val="006C15EF"/>
    <w:rsid w:val="006C16E7"/>
    <w:rsid w:val="006C188E"/>
    <w:rsid w:val="006C19E2"/>
    <w:rsid w:val="006C1A88"/>
    <w:rsid w:val="006C1AD1"/>
    <w:rsid w:val="006C1B97"/>
    <w:rsid w:val="006C1C02"/>
    <w:rsid w:val="006C1C40"/>
    <w:rsid w:val="006C1C92"/>
    <w:rsid w:val="006C1CA9"/>
    <w:rsid w:val="006C2035"/>
    <w:rsid w:val="006C20B1"/>
    <w:rsid w:val="006C219D"/>
    <w:rsid w:val="006C22CA"/>
    <w:rsid w:val="006C2469"/>
    <w:rsid w:val="006C2481"/>
    <w:rsid w:val="006C2702"/>
    <w:rsid w:val="006C27BF"/>
    <w:rsid w:val="006C28E6"/>
    <w:rsid w:val="006C2A9C"/>
    <w:rsid w:val="006C2AEE"/>
    <w:rsid w:val="006C2C21"/>
    <w:rsid w:val="006C2C66"/>
    <w:rsid w:val="006C2CFC"/>
    <w:rsid w:val="006C2D3D"/>
    <w:rsid w:val="006C2D55"/>
    <w:rsid w:val="006C2E00"/>
    <w:rsid w:val="006C2E02"/>
    <w:rsid w:val="006C2F09"/>
    <w:rsid w:val="006C2F7C"/>
    <w:rsid w:val="006C31A2"/>
    <w:rsid w:val="006C3221"/>
    <w:rsid w:val="006C3232"/>
    <w:rsid w:val="006C328D"/>
    <w:rsid w:val="006C3367"/>
    <w:rsid w:val="006C33B9"/>
    <w:rsid w:val="006C3406"/>
    <w:rsid w:val="006C345C"/>
    <w:rsid w:val="006C35C6"/>
    <w:rsid w:val="006C3642"/>
    <w:rsid w:val="006C3773"/>
    <w:rsid w:val="006C378C"/>
    <w:rsid w:val="006C3920"/>
    <w:rsid w:val="006C3936"/>
    <w:rsid w:val="006C39C5"/>
    <w:rsid w:val="006C3C3E"/>
    <w:rsid w:val="006C3C48"/>
    <w:rsid w:val="006C3D9B"/>
    <w:rsid w:val="006C3E97"/>
    <w:rsid w:val="006C3F92"/>
    <w:rsid w:val="006C40CA"/>
    <w:rsid w:val="006C41F5"/>
    <w:rsid w:val="006C430F"/>
    <w:rsid w:val="006C4332"/>
    <w:rsid w:val="006C454F"/>
    <w:rsid w:val="006C45BC"/>
    <w:rsid w:val="006C463E"/>
    <w:rsid w:val="006C4814"/>
    <w:rsid w:val="006C4845"/>
    <w:rsid w:val="006C48FA"/>
    <w:rsid w:val="006C492D"/>
    <w:rsid w:val="006C49CB"/>
    <w:rsid w:val="006C4B97"/>
    <w:rsid w:val="006C4DDA"/>
    <w:rsid w:val="006C4E77"/>
    <w:rsid w:val="006C500A"/>
    <w:rsid w:val="006C501B"/>
    <w:rsid w:val="006C50F0"/>
    <w:rsid w:val="006C51CF"/>
    <w:rsid w:val="006C527D"/>
    <w:rsid w:val="006C5373"/>
    <w:rsid w:val="006C5402"/>
    <w:rsid w:val="006C54E9"/>
    <w:rsid w:val="006C5672"/>
    <w:rsid w:val="006C56FD"/>
    <w:rsid w:val="006C5759"/>
    <w:rsid w:val="006C575F"/>
    <w:rsid w:val="006C577E"/>
    <w:rsid w:val="006C5789"/>
    <w:rsid w:val="006C5B27"/>
    <w:rsid w:val="006C5BC7"/>
    <w:rsid w:val="006C5CB2"/>
    <w:rsid w:val="006C5CD4"/>
    <w:rsid w:val="006C6069"/>
    <w:rsid w:val="006C62CF"/>
    <w:rsid w:val="006C6666"/>
    <w:rsid w:val="006C67B2"/>
    <w:rsid w:val="006C6A0A"/>
    <w:rsid w:val="006C6B3A"/>
    <w:rsid w:val="006C6DA8"/>
    <w:rsid w:val="006C6DAD"/>
    <w:rsid w:val="006C6E36"/>
    <w:rsid w:val="006C6F5F"/>
    <w:rsid w:val="006C6F67"/>
    <w:rsid w:val="006C6F7B"/>
    <w:rsid w:val="006C6F9B"/>
    <w:rsid w:val="006C7024"/>
    <w:rsid w:val="006C7276"/>
    <w:rsid w:val="006C7289"/>
    <w:rsid w:val="006C72C1"/>
    <w:rsid w:val="006C7661"/>
    <w:rsid w:val="006C76BC"/>
    <w:rsid w:val="006C7710"/>
    <w:rsid w:val="006C77B3"/>
    <w:rsid w:val="006C77CB"/>
    <w:rsid w:val="006C77D5"/>
    <w:rsid w:val="006C781E"/>
    <w:rsid w:val="006C78BF"/>
    <w:rsid w:val="006C7998"/>
    <w:rsid w:val="006C7A55"/>
    <w:rsid w:val="006C7ABD"/>
    <w:rsid w:val="006C7BD5"/>
    <w:rsid w:val="006C7C1E"/>
    <w:rsid w:val="006C7CEC"/>
    <w:rsid w:val="006C7D0C"/>
    <w:rsid w:val="006C7E77"/>
    <w:rsid w:val="006C7F0A"/>
    <w:rsid w:val="006C7F68"/>
    <w:rsid w:val="006D0053"/>
    <w:rsid w:val="006D022C"/>
    <w:rsid w:val="006D0428"/>
    <w:rsid w:val="006D047A"/>
    <w:rsid w:val="006D04D8"/>
    <w:rsid w:val="006D04E2"/>
    <w:rsid w:val="006D05AD"/>
    <w:rsid w:val="006D0659"/>
    <w:rsid w:val="006D0668"/>
    <w:rsid w:val="006D0896"/>
    <w:rsid w:val="006D0AD0"/>
    <w:rsid w:val="006D0D47"/>
    <w:rsid w:val="006D0DF2"/>
    <w:rsid w:val="006D1015"/>
    <w:rsid w:val="006D1139"/>
    <w:rsid w:val="006D12C8"/>
    <w:rsid w:val="006D1533"/>
    <w:rsid w:val="006D1611"/>
    <w:rsid w:val="006D16FE"/>
    <w:rsid w:val="006D17E8"/>
    <w:rsid w:val="006D18DF"/>
    <w:rsid w:val="006D18E6"/>
    <w:rsid w:val="006D1AA5"/>
    <w:rsid w:val="006D1B0B"/>
    <w:rsid w:val="006D1C25"/>
    <w:rsid w:val="006D1EF3"/>
    <w:rsid w:val="006D2079"/>
    <w:rsid w:val="006D20BF"/>
    <w:rsid w:val="006D2277"/>
    <w:rsid w:val="006D2283"/>
    <w:rsid w:val="006D23FB"/>
    <w:rsid w:val="006D25D8"/>
    <w:rsid w:val="006D275C"/>
    <w:rsid w:val="006D2773"/>
    <w:rsid w:val="006D2A0B"/>
    <w:rsid w:val="006D2A8E"/>
    <w:rsid w:val="006D2C3E"/>
    <w:rsid w:val="006D2D2F"/>
    <w:rsid w:val="006D2EBD"/>
    <w:rsid w:val="006D2EEE"/>
    <w:rsid w:val="006D2F65"/>
    <w:rsid w:val="006D31B8"/>
    <w:rsid w:val="006D326D"/>
    <w:rsid w:val="006D335E"/>
    <w:rsid w:val="006D340C"/>
    <w:rsid w:val="006D363E"/>
    <w:rsid w:val="006D3747"/>
    <w:rsid w:val="006D39A5"/>
    <w:rsid w:val="006D3B52"/>
    <w:rsid w:val="006D3B88"/>
    <w:rsid w:val="006D3C55"/>
    <w:rsid w:val="006D3D22"/>
    <w:rsid w:val="006D3E47"/>
    <w:rsid w:val="006D3F6A"/>
    <w:rsid w:val="006D3F93"/>
    <w:rsid w:val="006D3FAB"/>
    <w:rsid w:val="006D3FCB"/>
    <w:rsid w:val="006D40FE"/>
    <w:rsid w:val="006D41BC"/>
    <w:rsid w:val="006D41E8"/>
    <w:rsid w:val="006D437D"/>
    <w:rsid w:val="006D440B"/>
    <w:rsid w:val="006D4448"/>
    <w:rsid w:val="006D45CB"/>
    <w:rsid w:val="006D475B"/>
    <w:rsid w:val="006D47A9"/>
    <w:rsid w:val="006D47C9"/>
    <w:rsid w:val="006D490D"/>
    <w:rsid w:val="006D49D9"/>
    <w:rsid w:val="006D4A56"/>
    <w:rsid w:val="006D4ADC"/>
    <w:rsid w:val="006D4CF6"/>
    <w:rsid w:val="006D4CFA"/>
    <w:rsid w:val="006D4D09"/>
    <w:rsid w:val="006D4E33"/>
    <w:rsid w:val="006D4E8A"/>
    <w:rsid w:val="006D4F01"/>
    <w:rsid w:val="006D4F06"/>
    <w:rsid w:val="006D4F25"/>
    <w:rsid w:val="006D4F4C"/>
    <w:rsid w:val="006D517C"/>
    <w:rsid w:val="006D52C2"/>
    <w:rsid w:val="006D538D"/>
    <w:rsid w:val="006D5432"/>
    <w:rsid w:val="006D54B4"/>
    <w:rsid w:val="006D5544"/>
    <w:rsid w:val="006D5AB3"/>
    <w:rsid w:val="006D5AC7"/>
    <w:rsid w:val="006D5B3E"/>
    <w:rsid w:val="006D5D5A"/>
    <w:rsid w:val="006D5D66"/>
    <w:rsid w:val="006D5DA2"/>
    <w:rsid w:val="006D5F31"/>
    <w:rsid w:val="006D601A"/>
    <w:rsid w:val="006D622F"/>
    <w:rsid w:val="006D6250"/>
    <w:rsid w:val="006D626F"/>
    <w:rsid w:val="006D6389"/>
    <w:rsid w:val="006D6636"/>
    <w:rsid w:val="006D6781"/>
    <w:rsid w:val="006D6A24"/>
    <w:rsid w:val="006D6A63"/>
    <w:rsid w:val="006D6B34"/>
    <w:rsid w:val="006D6C80"/>
    <w:rsid w:val="006D6E2E"/>
    <w:rsid w:val="006D6FF4"/>
    <w:rsid w:val="006D7007"/>
    <w:rsid w:val="006D7124"/>
    <w:rsid w:val="006D712F"/>
    <w:rsid w:val="006D7146"/>
    <w:rsid w:val="006D7188"/>
    <w:rsid w:val="006D71D3"/>
    <w:rsid w:val="006D7243"/>
    <w:rsid w:val="006D72C0"/>
    <w:rsid w:val="006D73CC"/>
    <w:rsid w:val="006D7527"/>
    <w:rsid w:val="006D7543"/>
    <w:rsid w:val="006D777E"/>
    <w:rsid w:val="006D7849"/>
    <w:rsid w:val="006D7876"/>
    <w:rsid w:val="006D7A57"/>
    <w:rsid w:val="006D7AB4"/>
    <w:rsid w:val="006D7AF1"/>
    <w:rsid w:val="006D7AF5"/>
    <w:rsid w:val="006D7B0A"/>
    <w:rsid w:val="006D7C4C"/>
    <w:rsid w:val="006D7C5B"/>
    <w:rsid w:val="006D7D22"/>
    <w:rsid w:val="006E0229"/>
    <w:rsid w:val="006E0250"/>
    <w:rsid w:val="006E02DD"/>
    <w:rsid w:val="006E047E"/>
    <w:rsid w:val="006E04FA"/>
    <w:rsid w:val="006E0682"/>
    <w:rsid w:val="006E0A07"/>
    <w:rsid w:val="006E0A2C"/>
    <w:rsid w:val="006E0A3C"/>
    <w:rsid w:val="006E0A82"/>
    <w:rsid w:val="006E0ADC"/>
    <w:rsid w:val="006E0C28"/>
    <w:rsid w:val="006E0E3B"/>
    <w:rsid w:val="006E0EB5"/>
    <w:rsid w:val="006E0F67"/>
    <w:rsid w:val="006E0F7E"/>
    <w:rsid w:val="006E0FDA"/>
    <w:rsid w:val="006E107B"/>
    <w:rsid w:val="006E10C1"/>
    <w:rsid w:val="006E1158"/>
    <w:rsid w:val="006E1168"/>
    <w:rsid w:val="006E11F5"/>
    <w:rsid w:val="006E1563"/>
    <w:rsid w:val="006E1663"/>
    <w:rsid w:val="006E170D"/>
    <w:rsid w:val="006E173D"/>
    <w:rsid w:val="006E1780"/>
    <w:rsid w:val="006E188C"/>
    <w:rsid w:val="006E18F5"/>
    <w:rsid w:val="006E190A"/>
    <w:rsid w:val="006E1AC9"/>
    <w:rsid w:val="006E201B"/>
    <w:rsid w:val="006E2055"/>
    <w:rsid w:val="006E206C"/>
    <w:rsid w:val="006E21E0"/>
    <w:rsid w:val="006E24A9"/>
    <w:rsid w:val="006E24DE"/>
    <w:rsid w:val="006E24E0"/>
    <w:rsid w:val="006E25B3"/>
    <w:rsid w:val="006E25ED"/>
    <w:rsid w:val="006E2672"/>
    <w:rsid w:val="006E276B"/>
    <w:rsid w:val="006E28BA"/>
    <w:rsid w:val="006E2B83"/>
    <w:rsid w:val="006E2D2B"/>
    <w:rsid w:val="006E2EF1"/>
    <w:rsid w:val="006E2F2C"/>
    <w:rsid w:val="006E2F97"/>
    <w:rsid w:val="006E3101"/>
    <w:rsid w:val="006E323A"/>
    <w:rsid w:val="006E3270"/>
    <w:rsid w:val="006E339C"/>
    <w:rsid w:val="006E3698"/>
    <w:rsid w:val="006E37FD"/>
    <w:rsid w:val="006E38CF"/>
    <w:rsid w:val="006E3910"/>
    <w:rsid w:val="006E39EE"/>
    <w:rsid w:val="006E3A7A"/>
    <w:rsid w:val="006E3ACD"/>
    <w:rsid w:val="006E3C1B"/>
    <w:rsid w:val="006E3D87"/>
    <w:rsid w:val="006E3E23"/>
    <w:rsid w:val="006E3E2E"/>
    <w:rsid w:val="006E4150"/>
    <w:rsid w:val="006E41A8"/>
    <w:rsid w:val="006E4379"/>
    <w:rsid w:val="006E43B6"/>
    <w:rsid w:val="006E43F3"/>
    <w:rsid w:val="006E4475"/>
    <w:rsid w:val="006E4486"/>
    <w:rsid w:val="006E44B7"/>
    <w:rsid w:val="006E44C2"/>
    <w:rsid w:val="006E4535"/>
    <w:rsid w:val="006E4603"/>
    <w:rsid w:val="006E47D2"/>
    <w:rsid w:val="006E4816"/>
    <w:rsid w:val="006E48AE"/>
    <w:rsid w:val="006E4916"/>
    <w:rsid w:val="006E4962"/>
    <w:rsid w:val="006E4C32"/>
    <w:rsid w:val="006E4CC8"/>
    <w:rsid w:val="006E4CF6"/>
    <w:rsid w:val="006E4D7D"/>
    <w:rsid w:val="006E4E08"/>
    <w:rsid w:val="006E508D"/>
    <w:rsid w:val="006E50B8"/>
    <w:rsid w:val="006E5185"/>
    <w:rsid w:val="006E51E7"/>
    <w:rsid w:val="006E52EA"/>
    <w:rsid w:val="006E5566"/>
    <w:rsid w:val="006E566A"/>
    <w:rsid w:val="006E5750"/>
    <w:rsid w:val="006E580B"/>
    <w:rsid w:val="006E5822"/>
    <w:rsid w:val="006E58E1"/>
    <w:rsid w:val="006E58EE"/>
    <w:rsid w:val="006E590A"/>
    <w:rsid w:val="006E5BE9"/>
    <w:rsid w:val="006E5C0A"/>
    <w:rsid w:val="006E5F84"/>
    <w:rsid w:val="006E5FC4"/>
    <w:rsid w:val="006E6047"/>
    <w:rsid w:val="006E60B4"/>
    <w:rsid w:val="006E6138"/>
    <w:rsid w:val="006E6315"/>
    <w:rsid w:val="006E6317"/>
    <w:rsid w:val="006E67DA"/>
    <w:rsid w:val="006E68D3"/>
    <w:rsid w:val="006E69AB"/>
    <w:rsid w:val="006E69DD"/>
    <w:rsid w:val="006E6A9F"/>
    <w:rsid w:val="006E6B98"/>
    <w:rsid w:val="006E6C55"/>
    <w:rsid w:val="006E6CCC"/>
    <w:rsid w:val="006E6CDB"/>
    <w:rsid w:val="006E6D64"/>
    <w:rsid w:val="006E6E78"/>
    <w:rsid w:val="006E6EA3"/>
    <w:rsid w:val="006E6FB3"/>
    <w:rsid w:val="006E6FBC"/>
    <w:rsid w:val="006E70B7"/>
    <w:rsid w:val="006E70EB"/>
    <w:rsid w:val="006E7102"/>
    <w:rsid w:val="006E7186"/>
    <w:rsid w:val="006E721C"/>
    <w:rsid w:val="006E72B4"/>
    <w:rsid w:val="006E72CE"/>
    <w:rsid w:val="006E750C"/>
    <w:rsid w:val="006E75D1"/>
    <w:rsid w:val="006E7947"/>
    <w:rsid w:val="006E7A82"/>
    <w:rsid w:val="006E7AEA"/>
    <w:rsid w:val="006E7B67"/>
    <w:rsid w:val="006E7C0C"/>
    <w:rsid w:val="006E7D94"/>
    <w:rsid w:val="006E7DEE"/>
    <w:rsid w:val="006F00CD"/>
    <w:rsid w:val="006F01F2"/>
    <w:rsid w:val="006F0238"/>
    <w:rsid w:val="006F0549"/>
    <w:rsid w:val="006F08AA"/>
    <w:rsid w:val="006F08CB"/>
    <w:rsid w:val="006F092A"/>
    <w:rsid w:val="006F09D2"/>
    <w:rsid w:val="006F0A2E"/>
    <w:rsid w:val="006F0B1B"/>
    <w:rsid w:val="006F0B89"/>
    <w:rsid w:val="006F0C26"/>
    <w:rsid w:val="006F0C2F"/>
    <w:rsid w:val="006F0D2C"/>
    <w:rsid w:val="006F0E1E"/>
    <w:rsid w:val="006F0F98"/>
    <w:rsid w:val="006F0FC2"/>
    <w:rsid w:val="006F10C4"/>
    <w:rsid w:val="006F12BC"/>
    <w:rsid w:val="006F1486"/>
    <w:rsid w:val="006F14A3"/>
    <w:rsid w:val="006F16B0"/>
    <w:rsid w:val="006F1836"/>
    <w:rsid w:val="006F185C"/>
    <w:rsid w:val="006F18A2"/>
    <w:rsid w:val="006F194A"/>
    <w:rsid w:val="006F1BD2"/>
    <w:rsid w:val="006F1C36"/>
    <w:rsid w:val="006F1C3E"/>
    <w:rsid w:val="006F1C76"/>
    <w:rsid w:val="006F1F7D"/>
    <w:rsid w:val="006F2258"/>
    <w:rsid w:val="006F23CD"/>
    <w:rsid w:val="006F2484"/>
    <w:rsid w:val="006F251E"/>
    <w:rsid w:val="006F26F3"/>
    <w:rsid w:val="006F286D"/>
    <w:rsid w:val="006F297C"/>
    <w:rsid w:val="006F2AAD"/>
    <w:rsid w:val="006F2C48"/>
    <w:rsid w:val="006F2CB8"/>
    <w:rsid w:val="006F2F83"/>
    <w:rsid w:val="006F313A"/>
    <w:rsid w:val="006F3185"/>
    <w:rsid w:val="006F31ED"/>
    <w:rsid w:val="006F32FB"/>
    <w:rsid w:val="006F3467"/>
    <w:rsid w:val="006F348B"/>
    <w:rsid w:val="006F35C7"/>
    <w:rsid w:val="006F35DC"/>
    <w:rsid w:val="006F35E3"/>
    <w:rsid w:val="006F3600"/>
    <w:rsid w:val="006F3626"/>
    <w:rsid w:val="006F3758"/>
    <w:rsid w:val="006F3A72"/>
    <w:rsid w:val="006F3B36"/>
    <w:rsid w:val="006F3C01"/>
    <w:rsid w:val="006F3C0E"/>
    <w:rsid w:val="006F3CF7"/>
    <w:rsid w:val="006F3F95"/>
    <w:rsid w:val="006F4290"/>
    <w:rsid w:val="006F42E0"/>
    <w:rsid w:val="006F44AC"/>
    <w:rsid w:val="006F45C2"/>
    <w:rsid w:val="006F46CA"/>
    <w:rsid w:val="006F46DE"/>
    <w:rsid w:val="006F48C5"/>
    <w:rsid w:val="006F4956"/>
    <w:rsid w:val="006F4B47"/>
    <w:rsid w:val="006F4BC2"/>
    <w:rsid w:val="006F4CA0"/>
    <w:rsid w:val="006F4CD7"/>
    <w:rsid w:val="006F4D34"/>
    <w:rsid w:val="006F4E47"/>
    <w:rsid w:val="006F4E59"/>
    <w:rsid w:val="006F4EC7"/>
    <w:rsid w:val="006F4FA5"/>
    <w:rsid w:val="006F50FB"/>
    <w:rsid w:val="006F5176"/>
    <w:rsid w:val="006F533E"/>
    <w:rsid w:val="006F5676"/>
    <w:rsid w:val="006F569B"/>
    <w:rsid w:val="006F574D"/>
    <w:rsid w:val="006F5AD3"/>
    <w:rsid w:val="006F5C63"/>
    <w:rsid w:val="006F603F"/>
    <w:rsid w:val="006F6087"/>
    <w:rsid w:val="006F6190"/>
    <w:rsid w:val="006F621B"/>
    <w:rsid w:val="006F62B6"/>
    <w:rsid w:val="006F6357"/>
    <w:rsid w:val="006F63B1"/>
    <w:rsid w:val="006F6421"/>
    <w:rsid w:val="006F6573"/>
    <w:rsid w:val="006F6583"/>
    <w:rsid w:val="006F65D3"/>
    <w:rsid w:val="006F663D"/>
    <w:rsid w:val="006F6680"/>
    <w:rsid w:val="006F66E1"/>
    <w:rsid w:val="006F67FB"/>
    <w:rsid w:val="006F68E6"/>
    <w:rsid w:val="006F691F"/>
    <w:rsid w:val="006F6B05"/>
    <w:rsid w:val="006F6BCC"/>
    <w:rsid w:val="006F6C02"/>
    <w:rsid w:val="006F6C9F"/>
    <w:rsid w:val="006F6D65"/>
    <w:rsid w:val="006F6F7D"/>
    <w:rsid w:val="006F7283"/>
    <w:rsid w:val="006F72E0"/>
    <w:rsid w:val="006F7495"/>
    <w:rsid w:val="006F75C0"/>
    <w:rsid w:val="006F76CC"/>
    <w:rsid w:val="006F76D4"/>
    <w:rsid w:val="006F7764"/>
    <w:rsid w:val="006F77A2"/>
    <w:rsid w:val="006F77AA"/>
    <w:rsid w:val="006F785F"/>
    <w:rsid w:val="006F7A69"/>
    <w:rsid w:val="006F7AB9"/>
    <w:rsid w:val="006F7F6D"/>
    <w:rsid w:val="006F7FE7"/>
    <w:rsid w:val="0070008B"/>
    <w:rsid w:val="00700158"/>
    <w:rsid w:val="00700251"/>
    <w:rsid w:val="007002A7"/>
    <w:rsid w:val="0070054B"/>
    <w:rsid w:val="0070057C"/>
    <w:rsid w:val="007008FF"/>
    <w:rsid w:val="007009C7"/>
    <w:rsid w:val="00700A2D"/>
    <w:rsid w:val="00700C53"/>
    <w:rsid w:val="00700C63"/>
    <w:rsid w:val="00700CC0"/>
    <w:rsid w:val="00700CDE"/>
    <w:rsid w:val="00700D64"/>
    <w:rsid w:val="00700DC0"/>
    <w:rsid w:val="00700F3B"/>
    <w:rsid w:val="0070106C"/>
    <w:rsid w:val="00701082"/>
    <w:rsid w:val="007010A7"/>
    <w:rsid w:val="00701112"/>
    <w:rsid w:val="00701212"/>
    <w:rsid w:val="00701361"/>
    <w:rsid w:val="00701545"/>
    <w:rsid w:val="00701764"/>
    <w:rsid w:val="007017DA"/>
    <w:rsid w:val="00701854"/>
    <w:rsid w:val="00701899"/>
    <w:rsid w:val="00701917"/>
    <w:rsid w:val="00701B2F"/>
    <w:rsid w:val="00701BFA"/>
    <w:rsid w:val="00701C15"/>
    <w:rsid w:val="00701C48"/>
    <w:rsid w:val="00701DF4"/>
    <w:rsid w:val="00701E85"/>
    <w:rsid w:val="00701EA8"/>
    <w:rsid w:val="0070207E"/>
    <w:rsid w:val="0070212E"/>
    <w:rsid w:val="007021CA"/>
    <w:rsid w:val="0070233B"/>
    <w:rsid w:val="00702510"/>
    <w:rsid w:val="00702542"/>
    <w:rsid w:val="007025A0"/>
    <w:rsid w:val="007025CA"/>
    <w:rsid w:val="0070270D"/>
    <w:rsid w:val="00702722"/>
    <w:rsid w:val="007027B0"/>
    <w:rsid w:val="00702843"/>
    <w:rsid w:val="00702A02"/>
    <w:rsid w:val="00702CA8"/>
    <w:rsid w:val="00702D1D"/>
    <w:rsid w:val="00702FC2"/>
    <w:rsid w:val="007031FF"/>
    <w:rsid w:val="00703671"/>
    <w:rsid w:val="00703786"/>
    <w:rsid w:val="00703887"/>
    <w:rsid w:val="007038CD"/>
    <w:rsid w:val="00703943"/>
    <w:rsid w:val="0070399E"/>
    <w:rsid w:val="007039E5"/>
    <w:rsid w:val="00703AC3"/>
    <w:rsid w:val="00703DDC"/>
    <w:rsid w:val="00704128"/>
    <w:rsid w:val="00704193"/>
    <w:rsid w:val="007044F7"/>
    <w:rsid w:val="0070488E"/>
    <w:rsid w:val="00704920"/>
    <w:rsid w:val="00704961"/>
    <w:rsid w:val="00704B75"/>
    <w:rsid w:val="00704C5E"/>
    <w:rsid w:val="00704DBA"/>
    <w:rsid w:val="00704DC0"/>
    <w:rsid w:val="00704DDF"/>
    <w:rsid w:val="00704E35"/>
    <w:rsid w:val="00705126"/>
    <w:rsid w:val="0070517E"/>
    <w:rsid w:val="0070518F"/>
    <w:rsid w:val="007051BE"/>
    <w:rsid w:val="00705385"/>
    <w:rsid w:val="007053E8"/>
    <w:rsid w:val="007053FE"/>
    <w:rsid w:val="00705421"/>
    <w:rsid w:val="0070550E"/>
    <w:rsid w:val="00705580"/>
    <w:rsid w:val="007056DB"/>
    <w:rsid w:val="0070574D"/>
    <w:rsid w:val="00705832"/>
    <w:rsid w:val="00705A2D"/>
    <w:rsid w:val="00705C60"/>
    <w:rsid w:val="00705EA2"/>
    <w:rsid w:val="00705F47"/>
    <w:rsid w:val="007060F2"/>
    <w:rsid w:val="00706166"/>
    <w:rsid w:val="007062F7"/>
    <w:rsid w:val="0070659C"/>
    <w:rsid w:val="007065DB"/>
    <w:rsid w:val="00706660"/>
    <w:rsid w:val="007066D6"/>
    <w:rsid w:val="0070685B"/>
    <w:rsid w:val="007068DB"/>
    <w:rsid w:val="00706AA9"/>
    <w:rsid w:val="00706B45"/>
    <w:rsid w:val="00706B4A"/>
    <w:rsid w:val="00706C88"/>
    <w:rsid w:val="00706E3F"/>
    <w:rsid w:val="00706EB7"/>
    <w:rsid w:val="00706FFC"/>
    <w:rsid w:val="0070701E"/>
    <w:rsid w:val="007070A3"/>
    <w:rsid w:val="007070F0"/>
    <w:rsid w:val="00707105"/>
    <w:rsid w:val="007071B3"/>
    <w:rsid w:val="0070723B"/>
    <w:rsid w:val="00707474"/>
    <w:rsid w:val="0070747F"/>
    <w:rsid w:val="007074C8"/>
    <w:rsid w:val="00707594"/>
    <w:rsid w:val="007076A2"/>
    <w:rsid w:val="007076F1"/>
    <w:rsid w:val="007077BD"/>
    <w:rsid w:val="0070782A"/>
    <w:rsid w:val="007078E2"/>
    <w:rsid w:val="00707A3E"/>
    <w:rsid w:val="00707B22"/>
    <w:rsid w:val="00707BB7"/>
    <w:rsid w:val="00707DA6"/>
    <w:rsid w:val="00707E38"/>
    <w:rsid w:val="00707E57"/>
    <w:rsid w:val="00707EB3"/>
    <w:rsid w:val="00707F8C"/>
    <w:rsid w:val="00710009"/>
    <w:rsid w:val="00710035"/>
    <w:rsid w:val="00710146"/>
    <w:rsid w:val="00710170"/>
    <w:rsid w:val="00710228"/>
    <w:rsid w:val="00710282"/>
    <w:rsid w:val="00710408"/>
    <w:rsid w:val="00710417"/>
    <w:rsid w:val="0071054E"/>
    <w:rsid w:val="00710645"/>
    <w:rsid w:val="00710732"/>
    <w:rsid w:val="007107A0"/>
    <w:rsid w:val="00710A77"/>
    <w:rsid w:val="00710C12"/>
    <w:rsid w:val="00710CA9"/>
    <w:rsid w:val="00710D60"/>
    <w:rsid w:val="00710DF3"/>
    <w:rsid w:val="00710E43"/>
    <w:rsid w:val="007110ED"/>
    <w:rsid w:val="0071113C"/>
    <w:rsid w:val="007111C9"/>
    <w:rsid w:val="00711228"/>
    <w:rsid w:val="00711365"/>
    <w:rsid w:val="00711380"/>
    <w:rsid w:val="007113B5"/>
    <w:rsid w:val="007113FE"/>
    <w:rsid w:val="007114CD"/>
    <w:rsid w:val="0071166A"/>
    <w:rsid w:val="0071193B"/>
    <w:rsid w:val="0071199C"/>
    <w:rsid w:val="00711B47"/>
    <w:rsid w:val="00711D39"/>
    <w:rsid w:val="00711D3A"/>
    <w:rsid w:val="00711DCB"/>
    <w:rsid w:val="00711DE4"/>
    <w:rsid w:val="00711E30"/>
    <w:rsid w:val="00711E33"/>
    <w:rsid w:val="00711F41"/>
    <w:rsid w:val="00711FBB"/>
    <w:rsid w:val="00712140"/>
    <w:rsid w:val="007121A9"/>
    <w:rsid w:val="00712244"/>
    <w:rsid w:val="00712247"/>
    <w:rsid w:val="007122E9"/>
    <w:rsid w:val="00712644"/>
    <w:rsid w:val="0071265E"/>
    <w:rsid w:val="007126DD"/>
    <w:rsid w:val="0071284F"/>
    <w:rsid w:val="0071286B"/>
    <w:rsid w:val="00712AF9"/>
    <w:rsid w:val="00712B0D"/>
    <w:rsid w:val="00712BB5"/>
    <w:rsid w:val="00712CA8"/>
    <w:rsid w:val="00713248"/>
    <w:rsid w:val="0071327E"/>
    <w:rsid w:val="0071331A"/>
    <w:rsid w:val="00713533"/>
    <w:rsid w:val="0071355F"/>
    <w:rsid w:val="00713ADD"/>
    <w:rsid w:val="00713BA3"/>
    <w:rsid w:val="00713C21"/>
    <w:rsid w:val="00713C52"/>
    <w:rsid w:val="00713DFF"/>
    <w:rsid w:val="00713E0A"/>
    <w:rsid w:val="00713EFA"/>
    <w:rsid w:val="00713F11"/>
    <w:rsid w:val="007141A0"/>
    <w:rsid w:val="0071425C"/>
    <w:rsid w:val="007142E5"/>
    <w:rsid w:val="00714348"/>
    <w:rsid w:val="00714447"/>
    <w:rsid w:val="00714666"/>
    <w:rsid w:val="007146B2"/>
    <w:rsid w:val="0071474A"/>
    <w:rsid w:val="00714791"/>
    <w:rsid w:val="007148E5"/>
    <w:rsid w:val="00714980"/>
    <w:rsid w:val="00714A53"/>
    <w:rsid w:val="00714BAC"/>
    <w:rsid w:val="00714CCA"/>
    <w:rsid w:val="00714DCC"/>
    <w:rsid w:val="00714E2D"/>
    <w:rsid w:val="00714E47"/>
    <w:rsid w:val="00714E6C"/>
    <w:rsid w:val="00714F75"/>
    <w:rsid w:val="007151DC"/>
    <w:rsid w:val="00715362"/>
    <w:rsid w:val="00715388"/>
    <w:rsid w:val="007153B4"/>
    <w:rsid w:val="007157A0"/>
    <w:rsid w:val="0071585C"/>
    <w:rsid w:val="007159B4"/>
    <w:rsid w:val="00715CEE"/>
    <w:rsid w:val="00715E47"/>
    <w:rsid w:val="00715FEC"/>
    <w:rsid w:val="007160F7"/>
    <w:rsid w:val="00716265"/>
    <w:rsid w:val="00716291"/>
    <w:rsid w:val="007162FA"/>
    <w:rsid w:val="00716374"/>
    <w:rsid w:val="007163CA"/>
    <w:rsid w:val="007164AD"/>
    <w:rsid w:val="0071656B"/>
    <w:rsid w:val="0071670E"/>
    <w:rsid w:val="00716722"/>
    <w:rsid w:val="00716744"/>
    <w:rsid w:val="0071679A"/>
    <w:rsid w:val="007169F3"/>
    <w:rsid w:val="00716D1F"/>
    <w:rsid w:val="00716D38"/>
    <w:rsid w:val="00716E0A"/>
    <w:rsid w:val="00716FBD"/>
    <w:rsid w:val="0071701F"/>
    <w:rsid w:val="00717029"/>
    <w:rsid w:val="0071703F"/>
    <w:rsid w:val="007170E8"/>
    <w:rsid w:val="00717128"/>
    <w:rsid w:val="007171B6"/>
    <w:rsid w:val="00717336"/>
    <w:rsid w:val="007174BB"/>
    <w:rsid w:val="0071759E"/>
    <w:rsid w:val="0071762A"/>
    <w:rsid w:val="00717652"/>
    <w:rsid w:val="00717738"/>
    <w:rsid w:val="007178D9"/>
    <w:rsid w:val="007178E9"/>
    <w:rsid w:val="0071793E"/>
    <w:rsid w:val="00717D84"/>
    <w:rsid w:val="00717E07"/>
    <w:rsid w:val="00717FFC"/>
    <w:rsid w:val="007201EA"/>
    <w:rsid w:val="007202BF"/>
    <w:rsid w:val="007202FC"/>
    <w:rsid w:val="00720316"/>
    <w:rsid w:val="0072033C"/>
    <w:rsid w:val="007203B9"/>
    <w:rsid w:val="007203C7"/>
    <w:rsid w:val="00720418"/>
    <w:rsid w:val="00720483"/>
    <w:rsid w:val="007204C5"/>
    <w:rsid w:val="0072050A"/>
    <w:rsid w:val="007206F6"/>
    <w:rsid w:val="007207E9"/>
    <w:rsid w:val="00720944"/>
    <w:rsid w:val="00720A09"/>
    <w:rsid w:val="00720B56"/>
    <w:rsid w:val="00720EB2"/>
    <w:rsid w:val="00720EE5"/>
    <w:rsid w:val="00720F94"/>
    <w:rsid w:val="00721032"/>
    <w:rsid w:val="0072115F"/>
    <w:rsid w:val="007211E9"/>
    <w:rsid w:val="0072135E"/>
    <w:rsid w:val="00721441"/>
    <w:rsid w:val="007214AA"/>
    <w:rsid w:val="007217A9"/>
    <w:rsid w:val="007217EF"/>
    <w:rsid w:val="007218A2"/>
    <w:rsid w:val="00721964"/>
    <w:rsid w:val="007219CF"/>
    <w:rsid w:val="00721A8B"/>
    <w:rsid w:val="00721BC9"/>
    <w:rsid w:val="00721CC0"/>
    <w:rsid w:val="00721CDF"/>
    <w:rsid w:val="00721F9D"/>
    <w:rsid w:val="0072205B"/>
    <w:rsid w:val="007222D6"/>
    <w:rsid w:val="007223AC"/>
    <w:rsid w:val="00722433"/>
    <w:rsid w:val="0072243B"/>
    <w:rsid w:val="00722531"/>
    <w:rsid w:val="007225F2"/>
    <w:rsid w:val="00722686"/>
    <w:rsid w:val="007227D4"/>
    <w:rsid w:val="007227FA"/>
    <w:rsid w:val="007228DF"/>
    <w:rsid w:val="00722A8F"/>
    <w:rsid w:val="00722AB6"/>
    <w:rsid w:val="00722AFF"/>
    <w:rsid w:val="00722B16"/>
    <w:rsid w:val="00722B3F"/>
    <w:rsid w:val="00722BFE"/>
    <w:rsid w:val="00722E55"/>
    <w:rsid w:val="0072309F"/>
    <w:rsid w:val="0072326E"/>
    <w:rsid w:val="00723305"/>
    <w:rsid w:val="0072332F"/>
    <w:rsid w:val="007233EE"/>
    <w:rsid w:val="007233FC"/>
    <w:rsid w:val="0072349D"/>
    <w:rsid w:val="00723500"/>
    <w:rsid w:val="00723548"/>
    <w:rsid w:val="00723622"/>
    <w:rsid w:val="007236B3"/>
    <w:rsid w:val="007237F0"/>
    <w:rsid w:val="007238A8"/>
    <w:rsid w:val="007239C7"/>
    <w:rsid w:val="00723A3C"/>
    <w:rsid w:val="00723D03"/>
    <w:rsid w:val="00723F61"/>
    <w:rsid w:val="00724055"/>
    <w:rsid w:val="0072429F"/>
    <w:rsid w:val="0072495B"/>
    <w:rsid w:val="0072498F"/>
    <w:rsid w:val="00724A2B"/>
    <w:rsid w:val="00724A92"/>
    <w:rsid w:val="00724B1F"/>
    <w:rsid w:val="00724D9B"/>
    <w:rsid w:val="00724DBB"/>
    <w:rsid w:val="00724E0F"/>
    <w:rsid w:val="00724E7D"/>
    <w:rsid w:val="00724F0A"/>
    <w:rsid w:val="00724F27"/>
    <w:rsid w:val="007251F5"/>
    <w:rsid w:val="00725240"/>
    <w:rsid w:val="00725299"/>
    <w:rsid w:val="00725815"/>
    <w:rsid w:val="007259D0"/>
    <w:rsid w:val="007259FC"/>
    <w:rsid w:val="00725A8C"/>
    <w:rsid w:val="00725B6A"/>
    <w:rsid w:val="00725C2F"/>
    <w:rsid w:val="00725CC6"/>
    <w:rsid w:val="00726025"/>
    <w:rsid w:val="00726124"/>
    <w:rsid w:val="0072620F"/>
    <w:rsid w:val="00726248"/>
    <w:rsid w:val="007262B2"/>
    <w:rsid w:val="007262E4"/>
    <w:rsid w:val="007262F0"/>
    <w:rsid w:val="0072655F"/>
    <w:rsid w:val="007265D5"/>
    <w:rsid w:val="0072662E"/>
    <w:rsid w:val="0072679B"/>
    <w:rsid w:val="007267DE"/>
    <w:rsid w:val="00726919"/>
    <w:rsid w:val="007269AB"/>
    <w:rsid w:val="007269E7"/>
    <w:rsid w:val="00726CAD"/>
    <w:rsid w:val="00726EE2"/>
    <w:rsid w:val="0072740C"/>
    <w:rsid w:val="007275F3"/>
    <w:rsid w:val="007276BA"/>
    <w:rsid w:val="00727709"/>
    <w:rsid w:val="007277A5"/>
    <w:rsid w:val="00727841"/>
    <w:rsid w:val="00727882"/>
    <w:rsid w:val="007278D0"/>
    <w:rsid w:val="0072799A"/>
    <w:rsid w:val="00727C10"/>
    <w:rsid w:val="00727CE8"/>
    <w:rsid w:val="00727D69"/>
    <w:rsid w:val="00730155"/>
    <w:rsid w:val="00730565"/>
    <w:rsid w:val="007305E1"/>
    <w:rsid w:val="00730A4A"/>
    <w:rsid w:val="00730A62"/>
    <w:rsid w:val="00730B02"/>
    <w:rsid w:val="00730B50"/>
    <w:rsid w:val="00730ED8"/>
    <w:rsid w:val="00730F73"/>
    <w:rsid w:val="00731159"/>
    <w:rsid w:val="007311EC"/>
    <w:rsid w:val="00731255"/>
    <w:rsid w:val="00731371"/>
    <w:rsid w:val="007313E2"/>
    <w:rsid w:val="0073173F"/>
    <w:rsid w:val="007317BD"/>
    <w:rsid w:val="007317C9"/>
    <w:rsid w:val="007317F9"/>
    <w:rsid w:val="00731A30"/>
    <w:rsid w:val="00731CF0"/>
    <w:rsid w:val="00731DEB"/>
    <w:rsid w:val="00732213"/>
    <w:rsid w:val="007322F2"/>
    <w:rsid w:val="0073240D"/>
    <w:rsid w:val="00732457"/>
    <w:rsid w:val="00732540"/>
    <w:rsid w:val="00732639"/>
    <w:rsid w:val="0073283F"/>
    <w:rsid w:val="0073284E"/>
    <w:rsid w:val="00732879"/>
    <w:rsid w:val="0073287F"/>
    <w:rsid w:val="007328D3"/>
    <w:rsid w:val="00732954"/>
    <w:rsid w:val="0073296A"/>
    <w:rsid w:val="00732BD1"/>
    <w:rsid w:val="00732CA5"/>
    <w:rsid w:val="00732DA0"/>
    <w:rsid w:val="00732F79"/>
    <w:rsid w:val="007330A2"/>
    <w:rsid w:val="00733367"/>
    <w:rsid w:val="0073336B"/>
    <w:rsid w:val="007333CE"/>
    <w:rsid w:val="00733DED"/>
    <w:rsid w:val="00733F4D"/>
    <w:rsid w:val="00734379"/>
    <w:rsid w:val="0073437F"/>
    <w:rsid w:val="007343BB"/>
    <w:rsid w:val="0073447D"/>
    <w:rsid w:val="007344B2"/>
    <w:rsid w:val="007345B2"/>
    <w:rsid w:val="007345B5"/>
    <w:rsid w:val="00734837"/>
    <w:rsid w:val="00734A2A"/>
    <w:rsid w:val="00734A70"/>
    <w:rsid w:val="00734BE6"/>
    <w:rsid w:val="00734CAE"/>
    <w:rsid w:val="00734CCB"/>
    <w:rsid w:val="00734D6F"/>
    <w:rsid w:val="00734D95"/>
    <w:rsid w:val="00734F7D"/>
    <w:rsid w:val="00734FDC"/>
    <w:rsid w:val="00735035"/>
    <w:rsid w:val="007352ED"/>
    <w:rsid w:val="0073539A"/>
    <w:rsid w:val="00735469"/>
    <w:rsid w:val="0073555A"/>
    <w:rsid w:val="0073561B"/>
    <w:rsid w:val="0073576E"/>
    <w:rsid w:val="00735871"/>
    <w:rsid w:val="007358F8"/>
    <w:rsid w:val="007359D6"/>
    <w:rsid w:val="00735A4C"/>
    <w:rsid w:val="00735B06"/>
    <w:rsid w:val="00735B21"/>
    <w:rsid w:val="00735B85"/>
    <w:rsid w:val="00735D4F"/>
    <w:rsid w:val="00735D54"/>
    <w:rsid w:val="00735E4A"/>
    <w:rsid w:val="00735F65"/>
    <w:rsid w:val="00735F66"/>
    <w:rsid w:val="00736126"/>
    <w:rsid w:val="0073613B"/>
    <w:rsid w:val="00736293"/>
    <w:rsid w:val="007362C6"/>
    <w:rsid w:val="00736447"/>
    <w:rsid w:val="007364B1"/>
    <w:rsid w:val="00736582"/>
    <w:rsid w:val="007367EC"/>
    <w:rsid w:val="00736834"/>
    <w:rsid w:val="00736A93"/>
    <w:rsid w:val="00736AC1"/>
    <w:rsid w:val="00736C86"/>
    <w:rsid w:val="00736CB3"/>
    <w:rsid w:val="00736CC2"/>
    <w:rsid w:val="00736CD3"/>
    <w:rsid w:val="00736DFC"/>
    <w:rsid w:val="00736FF1"/>
    <w:rsid w:val="007371A2"/>
    <w:rsid w:val="007371BB"/>
    <w:rsid w:val="00737211"/>
    <w:rsid w:val="00737383"/>
    <w:rsid w:val="0073759C"/>
    <w:rsid w:val="007376D9"/>
    <w:rsid w:val="00737701"/>
    <w:rsid w:val="0073797A"/>
    <w:rsid w:val="00737B2A"/>
    <w:rsid w:val="00737E52"/>
    <w:rsid w:val="00737E5E"/>
    <w:rsid w:val="00737EEA"/>
    <w:rsid w:val="0074009C"/>
    <w:rsid w:val="00740276"/>
    <w:rsid w:val="0074030F"/>
    <w:rsid w:val="00740406"/>
    <w:rsid w:val="00740525"/>
    <w:rsid w:val="007406E1"/>
    <w:rsid w:val="0074073D"/>
    <w:rsid w:val="00740831"/>
    <w:rsid w:val="00740AF8"/>
    <w:rsid w:val="00740B61"/>
    <w:rsid w:val="00740BBF"/>
    <w:rsid w:val="0074120F"/>
    <w:rsid w:val="00741217"/>
    <w:rsid w:val="007412F7"/>
    <w:rsid w:val="0074139E"/>
    <w:rsid w:val="0074181C"/>
    <w:rsid w:val="007418AF"/>
    <w:rsid w:val="007419B2"/>
    <w:rsid w:val="00741A4A"/>
    <w:rsid w:val="00741A6A"/>
    <w:rsid w:val="00741AA8"/>
    <w:rsid w:val="00741BE2"/>
    <w:rsid w:val="00741CAA"/>
    <w:rsid w:val="00741CB8"/>
    <w:rsid w:val="00741D7D"/>
    <w:rsid w:val="00741F2B"/>
    <w:rsid w:val="0074211A"/>
    <w:rsid w:val="0074218E"/>
    <w:rsid w:val="007421F2"/>
    <w:rsid w:val="0074239E"/>
    <w:rsid w:val="007423AC"/>
    <w:rsid w:val="007424AA"/>
    <w:rsid w:val="00742520"/>
    <w:rsid w:val="007425E9"/>
    <w:rsid w:val="00742630"/>
    <w:rsid w:val="00742A79"/>
    <w:rsid w:val="00742B19"/>
    <w:rsid w:val="00742B25"/>
    <w:rsid w:val="00742B3C"/>
    <w:rsid w:val="00742B97"/>
    <w:rsid w:val="00742BFC"/>
    <w:rsid w:val="00742C32"/>
    <w:rsid w:val="00742C45"/>
    <w:rsid w:val="00742C57"/>
    <w:rsid w:val="00742D22"/>
    <w:rsid w:val="00742DA1"/>
    <w:rsid w:val="00742FCA"/>
    <w:rsid w:val="00743001"/>
    <w:rsid w:val="00743224"/>
    <w:rsid w:val="00743272"/>
    <w:rsid w:val="00743589"/>
    <w:rsid w:val="007436D8"/>
    <w:rsid w:val="0074380A"/>
    <w:rsid w:val="007438D1"/>
    <w:rsid w:val="00743BF2"/>
    <w:rsid w:val="00743CA4"/>
    <w:rsid w:val="00743CC5"/>
    <w:rsid w:val="00743D23"/>
    <w:rsid w:val="00743D79"/>
    <w:rsid w:val="00743DBE"/>
    <w:rsid w:val="00743EA5"/>
    <w:rsid w:val="00743F25"/>
    <w:rsid w:val="00743FE1"/>
    <w:rsid w:val="00744036"/>
    <w:rsid w:val="0074404F"/>
    <w:rsid w:val="0074415D"/>
    <w:rsid w:val="007443CE"/>
    <w:rsid w:val="00744432"/>
    <w:rsid w:val="00744590"/>
    <w:rsid w:val="007445BE"/>
    <w:rsid w:val="0074494A"/>
    <w:rsid w:val="0074499B"/>
    <w:rsid w:val="007449C4"/>
    <w:rsid w:val="00744A8D"/>
    <w:rsid w:val="00744B23"/>
    <w:rsid w:val="00744B8B"/>
    <w:rsid w:val="00744D47"/>
    <w:rsid w:val="00744D8C"/>
    <w:rsid w:val="0074505E"/>
    <w:rsid w:val="007450B5"/>
    <w:rsid w:val="0074513B"/>
    <w:rsid w:val="007451AF"/>
    <w:rsid w:val="007451F2"/>
    <w:rsid w:val="00745242"/>
    <w:rsid w:val="007452A8"/>
    <w:rsid w:val="00745480"/>
    <w:rsid w:val="007457D0"/>
    <w:rsid w:val="00745AD5"/>
    <w:rsid w:val="00745BA2"/>
    <w:rsid w:val="00745C86"/>
    <w:rsid w:val="00745D08"/>
    <w:rsid w:val="00745D90"/>
    <w:rsid w:val="00745E73"/>
    <w:rsid w:val="00745E74"/>
    <w:rsid w:val="00745E8C"/>
    <w:rsid w:val="00745E96"/>
    <w:rsid w:val="0074605E"/>
    <w:rsid w:val="0074615B"/>
    <w:rsid w:val="0074620A"/>
    <w:rsid w:val="00746234"/>
    <w:rsid w:val="007462F1"/>
    <w:rsid w:val="00746315"/>
    <w:rsid w:val="0074644E"/>
    <w:rsid w:val="00746565"/>
    <w:rsid w:val="00746736"/>
    <w:rsid w:val="0074677C"/>
    <w:rsid w:val="00746805"/>
    <w:rsid w:val="007468FC"/>
    <w:rsid w:val="00746929"/>
    <w:rsid w:val="0074694E"/>
    <w:rsid w:val="00746A63"/>
    <w:rsid w:val="00746B49"/>
    <w:rsid w:val="00746CFF"/>
    <w:rsid w:val="00746E15"/>
    <w:rsid w:val="00746E62"/>
    <w:rsid w:val="00746F25"/>
    <w:rsid w:val="00746FE0"/>
    <w:rsid w:val="00747021"/>
    <w:rsid w:val="00747462"/>
    <w:rsid w:val="007474C6"/>
    <w:rsid w:val="0074750A"/>
    <w:rsid w:val="00747594"/>
    <w:rsid w:val="007475A1"/>
    <w:rsid w:val="007475E4"/>
    <w:rsid w:val="00747658"/>
    <w:rsid w:val="00747692"/>
    <w:rsid w:val="0074769C"/>
    <w:rsid w:val="007476A0"/>
    <w:rsid w:val="00747706"/>
    <w:rsid w:val="00747915"/>
    <w:rsid w:val="007479FA"/>
    <w:rsid w:val="00747B25"/>
    <w:rsid w:val="00747C13"/>
    <w:rsid w:val="00747D50"/>
    <w:rsid w:val="00747FDF"/>
    <w:rsid w:val="0074A120"/>
    <w:rsid w:val="007500EE"/>
    <w:rsid w:val="007501CC"/>
    <w:rsid w:val="0075031B"/>
    <w:rsid w:val="007504D7"/>
    <w:rsid w:val="0075051D"/>
    <w:rsid w:val="007505B0"/>
    <w:rsid w:val="00750670"/>
    <w:rsid w:val="007506B7"/>
    <w:rsid w:val="0075075E"/>
    <w:rsid w:val="00750794"/>
    <w:rsid w:val="007507E0"/>
    <w:rsid w:val="0075085A"/>
    <w:rsid w:val="0075087D"/>
    <w:rsid w:val="00750909"/>
    <w:rsid w:val="00750BDB"/>
    <w:rsid w:val="00750CA8"/>
    <w:rsid w:val="00750F5E"/>
    <w:rsid w:val="00751167"/>
    <w:rsid w:val="0075131B"/>
    <w:rsid w:val="00751365"/>
    <w:rsid w:val="007514A9"/>
    <w:rsid w:val="00751512"/>
    <w:rsid w:val="0075163B"/>
    <w:rsid w:val="0075193A"/>
    <w:rsid w:val="007519D6"/>
    <w:rsid w:val="00751B60"/>
    <w:rsid w:val="00751D47"/>
    <w:rsid w:val="00751E4C"/>
    <w:rsid w:val="00751E8D"/>
    <w:rsid w:val="00751F90"/>
    <w:rsid w:val="00752143"/>
    <w:rsid w:val="00752156"/>
    <w:rsid w:val="0075217A"/>
    <w:rsid w:val="0075221A"/>
    <w:rsid w:val="007522A2"/>
    <w:rsid w:val="007522E6"/>
    <w:rsid w:val="007522F0"/>
    <w:rsid w:val="0075238B"/>
    <w:rsid w:val="0075238E"/>
    <w:rsid w:val="007523E3"/>
    <w:rsid w:val="00752732"/>
    <w:rsid w:val="007527BF"/>
    <w:rsid w:val="0075282A"/>
    <w:rsid w:val="0075282C"/>
    <w:rsid w:val="0075284E"/>
    <w:rsid w:val="0075287E"/>
    <w:rsid w:val="00752882"/>
    <w:rsid w:val="007528F8"/>
    <w:rsid w:val="007529A1"/>
    <w:rsid w:val="007529E8"/>
    <w:rsid w:val="00752A6B"/>
    <w:rsid w:val="00752FE4"/>
    <w:rsid w:val="00753236"/>
    <w:rsid w:val="007535F1"/>
    <w:rsid w:val="007538B2"/>
    <w:rsid w:val="007538FA"/>
    <w:rsid w:val="00753A0F"/>
    <w:rsid w:val="00753A41"/>
    <w:rsid w:val="00753AAC"/>
    <w:rsid w:val="00753AED"/>
    <w:rsid w:val="00753BA5"/>
    <w:rsid w:val="00753C10"/>
    <w:rsid w:val="00753CAE"/>
    <w:rsid w:val="00753CB1"/>
    <w:rsid w:val="00753D45"/>
    <w:rsid w:val="00753DA1"/>
    <w:rsid w:val="00753E0B"/>
    <w:rsid w:val="00753EB0"/>
    <w:rsid w:val="00754059"/>
    <w:rsid w:val="007540FD"/>
    <w:rsid w:val="0075410E"/>
    <w:rsid w:val="00754187"/>
    <w:rsid w:val="007541D1"/>
    <w:rsid w:val="00754345"/>
    <w:rsid w:val="007544D3"/>
    <w:rsid w:val="0075464B"/>
    <w:rsid w:val="00754730"/>
    <w:rsid w:val="00754939"/>
    <w:rsid w:val="0075496D"/>
    <w:rsid w:val="00754A39"/>
    <w:rsid w:val="00754BC3"/>
    <w:rsid w:val="00754C71"/>
    <w:rsid w:val="00754CAC"/>
    <w:rsid w:val="00754CCE"/>
    <w:rsid w:val="00754D8A"/>
    <w:rsid w:val="00754DD4"/>
    <w:rsid w:val="00754E13"/>
    <w:rsid w:val="007551D2"/>
    <w:rsid w:val="007552A9"/>
    <w:rsid w:val="007552BB"/>
    <w:rsid w:val="00755314"/>
    <w:rsid w:val="00755370"/>
    <w:rsid w:val="00755540"/>
    <w:rsid w:val="00755571"/>
    <w:rsid w:val="00755769"/>
    <w:rsid w:val="0075594E"/>
    <w:rsid w:val="00755AFC"/>
    <w:rsid w:val="00755B4D"/>
    <w:rsid w:val="00755B5E"/>
    <w:rsid w:val="00755BDE"/>
    <w:rsid w:val="00755D26"/>
    <w:rsid w:val="00755D9D"/>
    <w:rsid w:val="00755EE9"/>
    <w:rsid w:val="00755FB7"/>
    <w:rsid w:val="00755FC4"/>
    <w:rsid w:val="00756055"/>
    <w:rsid w:val="0075616F"/>
    <w:rsid w:val="007562CB"/>
    <w:rsid w:val="00756368"/>
    <w:rsid w:val="007563B9"/>
    <w:rsid w:val="007564D1"/>
    <w:rsid w:val="00756530"/>
    <w:rsid w:val="007566C6"/>
    <w:rsid w:val="007566CB"/>
    <w:rsid w:val="007569A4"/>
    <w:rsid w:val="00756C83"/>
    <w:rsid w:val="00756D7F"/>
    <w:rsid w:val="00756D99"/>
    <w:rsid w:val="00756E8D"/>
    <w:rsid w:val="00757202"/>
    <w:rsid w:val="00757209"/>
    <w:rsid w:val="0075722F"/>
    <w:rsid w:val="00757366"/>
    <w:rsid w:val="00757448"/>
    <w:rsid w:val="007574D1"/>
    <w:rsid w:val="007574E8"/>
    <w:rsid w:val="00757640"/>
    <w:rsid w:val="007576DA"/>
    <w:rsid w:val="007576F5"/>
    <w:rsid w:val="00757837"/>
    <w:rsid w:val="007578D0"/>
    <w:rsid w:val="00757B58"/>
    <w:rsid w:val="00757BB7"/>
    <w:rsid w:val="00757CA6"/>
    <w:rsid w:val="00757D43"/>
    <w:rsid w:val="00757D5E"/>
    <w:rsid w:val="00757E8F"/>
    <w:rsid w:val="00757F22"/>
    <w:rsid w:val="00757F55"/>
    <w:rsid w:val="00760128"/>
    <w:rsid w:val="007601E3"/>
    <w:rsid w:val="00760244"/>
    <w:rsid w:val="00760490"/>
    <w:rsid w:val="0076052D"/>
    <w:rsid w:val="00760804"/>
    <w:rsid w:val="00760951"/>
    <w:rsid w:val="007609A9"/>
    <w:rsid w:val="00760A86"/>
    <w:rsid w:val="00760AA6"/>
    <w:rsid w:val="00760BE2"/>
    <w:rsid w:val="00760C20"/>
    <w:rsid w:val="00760CBA"/>
    <w:rsid w:val="00760F95"/>
    <w:rsid w:val="00761071"/>
    <w:rsid w:val="007610A6"/>
    <w:rsid w:val="00761181"/>
    <w:rsid w:val="00761227"/>
    <w:rsid w:val="0076126E"/>
    <w:rsid w:val="007613E2"/>
    <w:rsid w:val="007613EE"/>
    <w:rsid w:val="007614D2"/>
    <w:rsid w:val="007614FF"/>
    <w:rsid w:val="00761530"/>
    <w:rsid w:val="0076168A"/>
    <w:rsid w:val="007616DC"/>
    <w:rsid w:val="007616FC"/>
    <w:rsid w:val="00761701"/>
    <w:rsid w:val="007618AF"/>
    <w:rsid w:val="007618D1"/>
    <w:rsid w:val="007619CD"/>
    <w:rsid w:val="00761ABE"/>
    <w:rsid w:val="00761B57"/>
    <w:rsid w:val="00761BB2"/>
    <w:rsid w:val="00761BF9"/>
    <w:rsid w:val="00761CD9"/>
    <w:rsid w:val="00761E2D"/>
    <w:rsid w:val="00761EA9"/>
    <w:rsid w:val="00761F1A"/>
    <w:rsid w:val="00762096"/>
    <w:rsid w:val="007620B6"/>
    <w:rsid w:val="0076222B"/>
    <w:rsid w:val="007622C9"/>
    <w:rsid w:val="007622D1"/>
    <w:rsid w:val="0076251F"/>
    <w:rsid w:val="00762594"/>
    <w:rsid w:val="00762670"/>
    <w:rsid w:val="00762697"/>
    <w:rsid w:val="007626B5"/>
    <w:rsid w:val="007626BF"/>
    <w:rsid w:val="00762714"/>
    <w:rsid w:val="00762849"/>
    <w:rsid w:val="007628D6"/>
    <w:rsid w:val="0076296A"/>
    <w:rsid w:val="00762A50"/>
    <w:rsid w:val="00762AEF"/>
    <w:rsid w:val="00762C7D"/>
    <w:rsid w:val="00762D73"/>
    <w:rsid w:val="00762E7F"/>
    <w:rsid w:val="00762F42"/>
    <w:rsid w:val="00763088"/>
    <w:rsid w:val="0076311D"/>
    <w:rsid w:val="00763145"/>
    <w:rsid w:val="0076322B"/>
    <w:rsid w:val="007634AE"/>
    <w:rsid w:val="00763619"/>
    <w:rsid w:val="007636CC"/>
    <w:rsid w:val="007639B1"/>
    <w:rsid w:val="00763DF9"/>
    <w:rsid w:val="00763FF1"/>
    <w:rsid w:val="00764045"/>
    <w:rsid w:val="0076417B"/>
    <w:rsid w:val="007641A6"/>
    <w:rsid w:val="007641F3"/>
    <w:rsid w:val="007643D9"/>
    <w:rsid w:val="0076440E"/>
    <w:rsid w:val="007644D9"/>
    <w:rsid w:val="007644E5"/>
    <w:rsid w:val="007644EB"/>
    <w:rsid w:val="00764695"/>
    <w:rsid w:val="007646BE"/>
    <w:rsid w:val="007647A4"/>
    <w:rsid w:val="007647DA"/>
    <w:rsid w:val="007647FC"/>
    <w:rsid w:val="0076482C"/>
    <w:rsid w:val="007649B4"/>
    <w:rsid w:val="007649BC"/>
    <w:rsid w:val="00764A4E"/>
    <w:rsid w:val="00764B94"/>
    <w:rsid w:val="00764C2C"/>
    <w:rsid w:val="00764CCA"/>
    <w:rsid w:val="00764CD7"/>
    <w:rsid w:val="00764D99"/>
    <w:rsid w:val="0076509F"/>
    <w:rsid w:val="0076521D"/>
    <w:rsid w:val="00765483"/>
    <w:rsid w:val="007657A4"/>
    <w:rsid w:val="00765835"/>
    <w:rsid w:val="007659A7"/>
    <w:rsid w:val="00765A4A"/>
    <w:rsid w:val="00765E3F"/>
    <w:rsid w:val="00766221"/>
    <w:rsid w:val="0076623A"/>
    <w:rsid w:val="00766294"/>
    <w:rsid w:val="00766345"/>
    <w:rsid w:val="00766469"/>
    <w:rsid w:val="00766483"/>
    <w:rsid w:val="00766541"/>
    <w:rsid w:val="0076668A"/>
    <w:rsid w:val="007667ED"/>
    <w:rsid w:val="007667F7"/>
    <w:rsid w:val="0076692B"/>
    <w:rsid w:val="007669B7"/>
    <w:rsid w:val="00766A68"/>
    <w:rsid w:val="00766B33"/>
    <w:rsid w:val="00766CE7"/>
    <w:rsid w:val="00767142"/>
    <w:rsid w:val="007672ED"/>
    <w:rsid w:val="00767468"/>
    <w:rsid w:val="007675C6"/>
    <w:rsid w:val="007679EF"/>
    <w:rsid w:val="00767A93"/>
    <w:rsid w:val="00767BE6"/>
    <w:rsid w:val="00767E61"/>
    <w:rsid w:val="007700F5"/>
    <w:rsid w:val="00770113"/>
    <w:rsid w:val="00770121"/>
    <w:rsid w:val="007701F9"/>
    <w:rsid w:val="00770458"/>
    <w:rsid w:val="007704E6"/>
    <w:rsid w:val="0077073B"/>
    <w:rsid w:val="0077073E"/>
    <w:rsid w:val="00770799"/>
    <w:rsid w:val="007708A9"/>
    <w:rsid w:val="00770A43"/>
    <w:rsid w:val="00770B8E"/>
    <w:rsid w:val="00770D29"/>
    <w:rsid w:val="00770E94"/>
    <w:rsid w:val="00770ED7"/>
    <w:rsid w:val="00770F56"/>
    <w:rsid w:val="00770F5A"/>
    <w:rsid w:val="0077104D"/>
    <w:rsid w:val="00771066"/>
    <w:rsid w:val="007710E3"/>
    <w:rsid w:val="007711AE"/>
    <w:rsid w:val="007711FD"/>
    <w:rsid w:val="00771314"/>
    <w:rsid w:val="00771569"/>
    <w:rsid w:val="007716A0"/>
    <w:rsid w:val="007718AB"/>
    <w:rsid w:val="007718C8"/>
    <w:rsid w:val="007718CF"/>
    <w:rsid w:val="007718E5"/>
    <w:rsid w:val="007718EC"/>
    <w:rsid w:val="00771911"/>
    <w:rsid w:val="007719C0"/>
    <w:rsid w:val="00771B06"/>
    <w:rsid w:val="00771D0E"/>
    <w:rsid w:val="00771D70"/>
    <w:rsid w:val="00771D85"/>
    <w:rsid w:val="00771F92"/>
    <w:rsid w:val="00771FE4"/>
    <w:rsid w:val="00772111"/>
    <w:rsid w:val="0077234A"/>
    <w:rsid w:val="0077236E"/>
    <w:rsid w:val="00772381"/>
    <w:rsid w:val="0077270D"/>
    <w:rsid w:val="00772754"/>
    <w:rsid w:val="00772BA4"/>
    <w:rsid w:val="00772C59"/>
    <w:rsid w:val="00772C90"/>
    <w:rsid w:val="00772CE7"/>
    <w:rsid w:val="00773030"/>
    <w:rsid w:val="00773166"/>
    <w:rsid w:val="007731E4"/>
    <w:rsid w:val="0077320B"/>
    <w:rsid w:val="007732EF"/>
    <w:rsid w:val="0077333D"/>
    <w:rsid w:val="007735D8"/>
    <w:rsid w:val="007735F2"/>
    <w:rsid w:val="00773624"/>
    <w:rsid w:val="0077368F"/>
    <w:rsid w:val="007736C2"/>
    <w:rsid w:val="00773918"/>
    <w:rsid w:val="007739C3"/>
    <w:rsid w:val="007739FB"/>
    <w:rsid w:val="00773B24"/>
    <w:rsid w:val="00773C04"/>
    <w:rsid w:val="00773D47"/>
    <w:rsid w:val="00773F64"/>
    <w:rsid w:val="00774213"/>
    <w:rsid w:val="0077422D"/>
    <w:rsid w:val="007744A7"/>
    <w:rsid w:val="00774711"/>
    <w:rsid w:val="007748DE"/>
    <w:rsid w:val="0077499C"/>
    <w:rsid w:val="007749AF"/>
    <w:rsid w:val="00774B49"/>
    <w:rsid w:val="00774BA5"/>
    <w:rsid w:val="00774C0D"/>
    <w:rsid w:val="00774CB7"/>
    <w:rsid w:val="00774D35"/>
    <w:rsid w:val="00774D96"/>
    <w:rsid w:val="00774F4D"/>
    <w:rsid w:val="00774F6C"/>
    <w:rsid w:val="0077519C"/>
    <w:rsid w:val="0077519E"/>
    <w:rsid w:val="007751D7"/>
    <w:rsid w:val="00775686"/>
    <w:rsid w:val="0077591F"/>
    <w:rsid w:val="00775C70"/>
    <w:rsid w:val="00775CD9"/>
    <w:rsid w:val="00775DE9"/>
    <w:rsid w:val="00775DFF"/>
    <w:rsid w:val="00775EA3"/>
    <w:rsid w:val="00775F1D"/>
    <w:rsid w:val="007760D1"/>
    <w:rsid w:val="00776185"/>
    <w:rsid w:val="0077622E"/>
    <w:rsid w:val="00776331"/>
    <w:rsid w:val="0077651D"/>
    <w:rsid w:val="00776668"/>
    <w:rsid w:val="007766AF"/>
    <w:rsid w:val="0077677F"/>
    <w:rsid w:val="00776860"/>
    <w:rsid w:val="007769A1"/>
    <w:rsid w:val="00776A6B"/>
    <w:rsid w:val="00776ABD"/>
    <w:rsid w:val="00776BC0"/>
    <w:rsid w:val="00776C5C"/>
    <w:rsid w:val="00777162"/>
    <w:rsid w:val="00777183"/>
    <w:rsid w:val="007773E1"/>
    <w:rsid w:val="00777453"/>
    <w:rsid w:val="00777569"/>
    <w:rsid w:val="0077770D"/>
    <w:rsid w:val="007778F3"/>
    <w:rsid w:val="00777990"/>
    <w:rsid w:val="00777B2C"/>
    <w:rsid w:val="00777B42"/>
    <w:rsid w:val="00777B8E"/>
    <w:rsid w:val="00777BEB"/>
    <w:rsid w:val="00780000"/>
    <w:rsid w:val="007800A2"/>
    <w:rsid w:val="00780158"/>
    <w:rsid w:val="0078045C"/>
    <w:rsid w:val="0078052D"/>
    <w:rsid w:val="007806A1"/>
    <w:rsid w:val="007807D5"/>
    <w:rsid w:val="007808AA"/>
    <w:rsid w:val="00780A76"/>
    <w:rsid w:val="00780A8A"/>
    <w:rsid w:val="00780ADB"/>
    <w:rsid w:val="00780B14"/>
    <w:rsid w:val="00780BB9"/>
    <w:rsid w:val="00780D9A"/>
    <w:rsid w:val="00781180"/>
    <w:rsid w:val="00781285"/>
    <w:rsid w:val="007813DB"/>
    <w:rsid w:val="00781424"/>
    <w:rsid w:val="00781491"/>
    <w:rsid w:val="00781518"/>
    <w:rsid w:val="0078158B"/>
    <w:rsid w:val="00781736"/>
    <w:rsid w:val="00781834"/>
    <w:rsid w:val="007818B0"/>
    <w:rsid w:val="0078198D"/>
    <w:rsid w:val="00781B4E"/>
    <w:rsid w:val="00781C5D"/>
    <w:rsid w:val="00781CAB"/>
    <w:rsid w:val="00781CEB"/>
    <w:rsid w:val="00781F1D"/>
    <w:rsid w:val="00781FFC"/>
    <w:rsid w:val="00782463"/>
    <w:rsid w:val="00782472"/>
    <w:rsid w:val="0078258E"/>
    <w:rsid w:val="007825E3"/>
    <w:rsid w:val="007825FE"/>
    <w:rsid w:val="0078269E"/>
    <w:rsid w:val="007826A4"/>
    <w:rsid w:val="0078273F"/>
    <w:rsid w:val="007827FF"/>
    <w:rsid w:val="00782A04"/>
    <w:rsid w:val="00782A11"/>
    <w:rsid w:val="00782A4B"/>
    <w:rsid w:val="00782B9B"/>
    <w:rsid w:val="00782BDD"/>
    <w:rsid w:val="00782C18"/>
    <w:rsid w:val="00782C27"/>
    <w:rsid w:val="00782C62"/>
    <w:rsid w:val="00782D47"/>
    <w:rsid w:val="00782E37"/>
    <w:rsid w:val="00782F00"/>
    <w:rsid w:val="00782FCB"/>
    <w:rsid w:val="00783012"/>
    <w:rsid w:val="00783046"/>
    <w:rsid w:val="0078305D"/>
    <w:rsid w:val="007830B0"/>
    <w:rsid w:val="00783193"/>
    <w:rsid w:val="0078319C"/>
    <w:rsid w:val="00783207"/>
    <w:rsid w:val="00783211"/>
    <w:rsid w:val="0078323A"/>
    <w:rsid w:val="00783295"/>
    <w:rsid w:val="007833C3"/>
    <w:rsid w:val="0078341A"/>
    <w:rsid w:val="007835E8"/>
    <w:rsid w:val="00783605"/>
    <w:rsid w:val="0078363B"/>
    <w:rsid w:val="00783656"/>
    <w:rsid w:val="0078381E"/>
    <w:rsid w:val="0078391E"/>
    <w:rsid w:val="007839B8"/>
    <w:rsid w:val="007839CA"/>
    <w:rsid w:val="00783AB0"/>
    <w:rsid w:val="00783B76"/>
    <w:rsid w:val="00783D76"/>
    <w:rsid w:val="00783D78"/>
    <w:rsid w:val="00783D8F"/>
    <w:rsid w:val="00783D9D"/>
    <w:rsid w:val="00783E0F"/>
    <w:rsid w:val="00783E86"/>
    <w:rsid w:val="0078408F"/>
    <w:rsid w:val="00784283"/>
    <w:rsid w:val="00784349"/>
    <w:rsid w:val="0078475F"/>
    <w:rsid w:val="007847F8"/>
    <w:rsid w:val="0078481F"/>
    <w:rsid w:val="007848AE"/>
    <w:rsid w:val="007848D8"/>
    <w:rsid w:val="0078491A"/>
    <w:rsid w:val="0078497F"/>
    <w:rsid w:val="0078498E"/>
    <w:rsid w:val="007849A4"/>
    <w:rsid w:val="007849F4"/>
    <w:rsid w:val="00784ACF"/>
    <w:rsid w:val="00784B32"/>
    <w:rsid w:val="00784B71"/>
    <w:rsid w:val="00784B74"/>
    <w:rsid w:val="00785086"/>
    <w:rsid w:val="007850C1"/>
    <w:rsid w:val="0078524A"/>
    <w:rsid w:val="00785282"/>
    <w:rsid w:val="0078530A"/>
    <w:rsid w:val="00785350"/>
    <w:rsid w:val="0078546B"/>
    <w:rsid w:val="0078562F"/>
    <w:rsid w:val="007856C4"/>
    <w:rsid w:val="0078572D"/>
    <w:rsid w:val="00785857"/>
    <w:rsid w:val="00785A20"/>
    <w:rsid w:val="00785AD7"/>
    <w:rsid w:val="00785B60"/>
    <w:rsid w:val="00785CE4"/>
    <w:rsid w:val="00785D63"/>
    <w:rsid w:val="00785DB1"/>
    <w:rsid w:val="00785F23"/>
    <w:rsid w:val="00785FED"/>
    <w:rsid w:val="007861C0"/>
    <w:rsid w:val="00786275"/>
    <w:rsid w:val="00786430"/>
    <w:rsid w:val="00786593"/>
    <w:rsid w:val="0078661C"/>
    <w:rsid w:val="007866F5"/>
    <w:rsid w:val="007868C2"/>
    <w:rsid w:val="00786D79"/>
    <w:rsid w:val="00786D8E"/>
    <w:rsid w:val="00786F86"/>
    <w:rsid w:val="00786FA5"/>
    <w:rsid w:val="007870C1"/>
    <w:rsid w:val="0078725D"/>
    <w:rsid w:val="007872A1"/>
    <w:rsid w:val="00787517"/>
    <w:rsid w:val="007876C5"/>
    <w:rsid w:val="0078775E"/>
    <w:rsid w:val="00787775"/>
    <w:rsid w:val="007877D1"/>
    <w:rsid w:val="00787885"/>
    <w:rsid w:val="007878FA"/>
    <w:rsid w:val="00787CAB"/>
    <w:rsid w:val="00787CD3"/>
    <w:rsid w:val="00787DC8"/>
    <w:rsid w:val="00787E4E"/>
    <w:rsid w:val="00790029"/>
    <w:rsid w:val="007900F0"/>
    <w:rsid w:val="00790169"/>
    <w:rsid w:val="007901F7"/>
    <w:rsid w:val="00790250"/>
    <w:rsid w:val="00790421"/>
    <w:rsid w:val="00790438"/>
    <w:rsid w:val="0079043B"/>
    <w:rsid w:val="007905FD"/>
    <w:rsid w:val="00790688"/>
    <w:rsid w:val="0079072F"/>
    <w:rsid w:val="007907CC"/>
    <w:rsid w:val="007908E8"/>
    <w:rsid w:val="00790962"/>
    <w:rsid w:val="007909FE"/>
    <w:rsid w:val="00790A59"/>
    <w:rsid w:val="00790B24"/>
    <w:rsid w:val="00790C95"/>
    <w:rsid w:val="00790CE7"/>
    <w:rsid w:val="00790DE2"/>
    <w:rsid w:val="007910B1"/>
    <w:rsid w:val="00791632"/>
    <w:rsid w:val="0079168D"/>
    <w:rsid w:val="007916D7"/>
    <w:rsid w:val="0079177E"/>
    <w:rsid w:val="007917B7"/>
    <w:rsid w:val="00791813"/>
    <w:rsid w:val="007919DC"/>
    <w:rsid w:val="00791A74"/>
    <w:rsid w:val="00791AFF"/>
    <w:rsid w:val="00791B3F"/>
    <w:rsid w:val="00791BAC"/>
    <w:rsid w:val="00791C5A"/>
    <w:rsid w:val="00791CB2"/>
    <w:rsid w:val="00791D0A"/>
    <w:rsid w:val="00791F2F"/>
    <w:rsid w:val="00791F5D"/>
    <w:rsid w:val="00791FD4"/>
    <w:rsid w:val="00792009"/>
    <w:rsid w:val="00792125"/>
    <w:rsid w:val="00792346"/>
    <w:rsid w:val="0079239F"/>
    <w:rsid w:val="00792475"/>
    <w:rsid w:val="007925B4"/>
    <w:rsid w:val="00792743"/>
    <w:rsid w:val="007929F7"/>
    <w:rsid w:val="00792ACD"/>
    <w:rsid w:val="00792B10"/>
    <w:rsid w:val="00792D94"/>
    <w:rsid w:val="00792DAD"/>
    <w:rsid w:val="00792F99"/>
    <w:rsid w:val="00792FB8"/>
    <w:rsid w:val="00793111"/>
    <w:rsid w:val="00793233"/>
    <w:rsid w:val="007933CC"/>
    <w:rsid w:val="007933F4"/>
    <w:rsid w:val="00793429"/>
    <w:rsid w:val="0079344B"/>
    <w:rsid w:val="00793462"/>
    <w:rsid w:val="00793484"/>
    <w:rsid w:val="007934B4"/>
    <w:rsid w:val="007934CF"/>
    <w:rsid w:val="0079371E"/>
    <w:rsid w:val="0079373C"/>
    <w:rsid w:val="0079381E"/>
    <w:rsid w:val="007938E2"/>
    <w:rsid w:val="007939BC"/>
    <w:rsid w:val="00793ABB"/>
    <w:rsid w:val="00793C20"/>
    <w:rsid w:val="00793C33"/>
    <w:rsid w:val="00793CA9"/>
    <w:rsid w:val="00793D5A"/>
    <w:rsid w:val="00793EC7"/>
    <w:rsid w:val="00793F11"/>
    <w:rsid w:val="00794099"/>
    <w:rsid w:val="007942B5"/>
    <w:rsid w:val="007942D2"/>
    <w:rsid w:val="00794400"/>
    <w:rsid w:val="00794457"/>
    <w:rsid w:val="007944A2"/>
    <w:rsid w:val="007944DD"/>
    <w:rsid w:val="0079462B"/>
    <w:rsid w:val="0079473F"/>
    <w:rsid w:val="00794888"/>
    <w:rsid w:val="00794965"/>
    <w:rsid w:val="00794AF2"/>
    <w:rsid w:val="00794B21"/>
    <w:rsid w:val="00794CFE"/>
    <w:rsid w:val="00794DF7"/>
    <w:rsid w:val="00794E13"/>
    <w:rsid w:val="00795068"/>
    <w:rsid w:val="00795107"/>
    <w:rsid w:val="0079522B"/>
    <w:rsid w:val="0079526E"/>
    <w:rsid w:val="007953C7"/>
    <w:rsid w:val="007953DA"/>
    <w:rsid w:val="00795418"/>
    <w:rsid w:val="0079578F"/>
    <w:rsid w:val="0079583C"/>
    <w:rsid w:val="007959C8"/>
    <w:rsid w:val="007959FF"/>
    <w:rsid w:val="00795AB3"/>
    <w:rsid w:val="00795B16"/>
    <w:rsid w:val="00795B18"/>
    <w:rsid w:val="00795C30"/>
    <w:rsid w:val="00795C56"/>
    <w:rsid w:val="00795C83"/>
    <w:rsid w:val="00795C8D"/>
    <w:rsid w:val="00795DE3"/>
    <w:rsid w:val="00795E4C"/>
    <w:rsid w:val="00795F33"/>
    <w:rsid w:val="00795FD9"/>
    <w:rsid w:val="00795FF7"/>
    <w:rsid w:val="0079601C"/>
    <w:rsid w:val="00796494"/>
    <w:rsid w:val="007964F2"/>
    <w:rsid w:val="00796619"/>
    <w:rsid w:val="00796834"/>
    <w:rsid w:val="007969A9"/>
    <w:rsid w:val="00796A47"/>
    <w:rsid w:val="00796AAE"/>
    <w:rsid w:val="00796ABC"/>
    <w:rsid w:val="00796BEA"/>
    <w:rsid w:val="00796D18"/>
    <w:rsid w:val="00796FBE"/>
    <w:rsid w:val="007971A7"/>
    <w:rsid w:val="00797215"/>
    <w:rsid w:val="0079721D"/>
    <w:rsid w:val="007974D8"/>
    <w:rsid w:val="007975CC"/>
    <w:rsid w:val="00797673"/>
    <w:rsid w:val="00797760"/>
    <w:rsid w:val="00797777"/>
    <w:rsid w:val="0079785E"/>
    <w:rsid w:val="007978EE"/>
    <w:rsid w:val="00797965"/>
    <w:rsid w:val="007979D1"/>
    <w:rsid w:val="00797AF9"/>
    <w:rsid w:val="00797B10"/>
    <w:rsid w:val="00797CA1"/>
    <w:rsid w:val="00797CAC"/>
    <w:rsid w:val="00797CF1"/>
    <w:rsid w:val="00797D14"/>
    <w:rsid w:val="00797D62"/>
    <w:rsid w:val="00797DC3"/>
    <w:rsid w:val="007A0391"/>
    <w:rsid w:val="007A0425"/>
    <w:rsid w:val="007A053D"/>
    <w:rsid w:val="007A05A1"/>
    <w:rsid w:val="007A0603"/>
    <w:rsid w:val="007A065D"/>
    <w:rsid w:val="007A0678"/>
    <w:rsid w:val="007A07BC"/>
    <w:rsid w:val="007A0992"/>
    <w:rsid w:val="007A0CA2"/>
    <w:rsid w:val="007A0CC4"/>
    <w:rsid w:val="007A0CD8"/>
    <w:rsid w:val="007A0D2A"/>
    <w:rsid w:val="007A0DCC"/>
    <w:rsid w:val="007A0E30"/>
    <w:rsid w:val="007A0F4B"/>
    <w:rsid w:val="007A0F8A"/>
    <w:rsid w:val="007A1083"/>
    <w:rsid w:val="007A10E8"/>
    <w:rsid w:val="007A1130"/>
    <w:rsid w:val="007A13FE"/>
    <w:rsid w:val="007A15DD"/>
    <w:rsid w:val="007A16C2"/>
    <w:rsid w:val="007A195B"/>
    <w:rsid w:val="007A1A15"/>
    <w:rsid w:val="007A1C98"/>
    <w:rsid w:val="007A1D62"/>
    <w:rsid w:val="007A1D66"/>
    <w:rsid w:val="007A1DAA"/>
    <w:rsid w:val="007A1DD6"/>
    <w:rsid w:val="007A1E14"/>
    <w:rsid w:val="007A1EBA"/>
    <w:rsid w:val="007A1F2B"/>
    <w:rsid w:val="007A2043"/>
    <w:rsid w:val="007A21E3"/>
    <w:rsid w:val="007A2339"/>
    <w:rsid w:val="007A2445"/>
    <w:rsid w:val="007A246F"/>
    <w:rsid w:val="007A252B"/>
    <w:rsid w:val="007A2535"/>
    <w:rsid w:val="007A254C"/>
    <w:rsid w:val="007A2551"/>
    <w:rsid w:val="007A27A0"/>
    <w:rsid w:val="007A27EF"/>
    <w:rsid w:val="007A2B3E"/>
    <w:rsid w:val="007A2C16"/>
    <w:rsid w:val="007A2D7A"/>
    <w:rsid w:val="007A2DC0"/>
    <w:rsid w:val="007A2E4F"/>
    <w:rsid w:val="007A2FAB"/>
    <w:rsid w:val="007A3284"/>
    <w:rsid w:val="007A332F"/>
    <w:rsid w:val="007A338D"/>
    <w:rsid w:val="007A338F"/>
    <w:rsid w:val="007A33E7"/>
    <w:rsid w:val="007A33EF"/>
    <w:rsid w:val="007A33F9"/>
    <w:rsid w:val="007A3461"/>
    <w:rsid w:val="007A38D2"/>
    <w:rsid w:val="007A3A04"/>
    <w:rsid w:val="007A3AD9"/>
    <w:rsid w:val="007A3C13"/>
    <w:rsid w:val="007A3DE4"/>
    <w:rsid w:val="007A3DF0"/>
    <w:rsid w:val="007A3EBC"/>
    <w:rsid w:val="007A3F2A"/>
    <w:rsid w:val="007A3F2B"/>
    <w:rsid w:val="007A3FB7"/>
    <w:rsid w:val="007A3FEB"/>
    <w:rsid w:val="007A4447"/>
    <w:rsid w:val="007A4671"/>
    <w:rsid w:val="007A46F9"/>
    <w:rsid w:val="007A472B"/>
    <w:rsid w:val="007A48D6"/>
    <w:rsid w:val="007A49D7"/>
    <w:rsid w:val="007A4A51"/>
    <w:rsid w:val="007A4ACB"/>
    <w:rsid w:val="007A4BCD"/>
    <w:rsid w:val="007A4C15"/>
    <w:rsid w:val="007A4D40"/>
    <w:rsid w:val="007A4E41"/>
    <w:rsid w:val="007A4E94"/>
    <w:rsid w:val="007A5088"/>
    <w:rsid w:val="007A50CE"/>
    <w:rsid w:val="007A5189"/>
    <w:rsid w:val="007A5379"/>
    <w:rsid w:val="007A53BD"/>
    <w:rsid w:val="007A555A"/>
    <w:rsid w:val="007A5675"/>
    <w:rsid w:val="007A56A8"/>
    <w:rsid w:val="007A5A71"/>
    <w:rsid w:val="007A5B58"/>
    <w:rsid w:val="007A5C14"/>
    <w:rsid w:val="007A5FAF"/>
    <w:rsid w:val="007A6264"/>
    <w:rsid w:val="007A62EE"/>
    <w:rsid w:val="007A6387"/>
    <w:rsid w:val="007A64E0"/>
    <w:rsid w:val="007A65D2"/>
    <w:rsid w:val="007A6690"/>
    <w:rsid w:val="007A69D2"/>
    <w:rsid w:val="007A6B51"/>
    <w:rsid w:val="007A6B5E"/>
    <w:rsid w:val="007A6B96"/>
    <w:rsid w:val="007A6C0A"/>
    <w:rsid w:val="007A6C22"/>
    <w:rsid w:val="007A6CBF"/>
    <w:rsid w:val="007A6D09"/>
    <w:rsid w:val="007A6D29"/>
    <w:rsid w:val="007A6D98"/>
    <w:rsid w:val="007A6F4F"/>
    <w:rsid w:val="007A6FE4"/>
    <w:rsid w:val="007A7099"/>
    <w:rsid w:val="007A713B"/>
    <w:rsid w:val="007A71E9"/>
    <w:rsid w:val="007A7443"/>
    <w:rsid w:val="007A7477"/>
    <w:rsid w:val="007A75C0"/>
    <w:rsid w:val="007A75F6"/>
    <w:rsid w:val="007A776B"/>
    <w:rsid w:val="007A7880"/>
    <w:rsid w:val="007A78BF"/>
    <w:rsid w:val="007A7BC2"/>
    <w:rsid w:val="007A7C1D"/>
    <w:rsid w:val="007A7C23"/>
    <w:rsid w:val="007A7CFB"/>
    <w:rsid w:val="007AE948"/>
    <w:rsid w:val="007B0140"/>
    <w:rsid w:val="007B02C0"/>
    <w:rsid w:val="007B047C"/>
    <w:rsid w:val="007B05FF"/>
    <w:rsid w:val="007B06C9"/>
    <w:rsid w:val="007B0807"/>
    <w:rsid w:val="007B0893"/>
    <w:rsid w:val="007B08A7"/>
    <w:rsid w:val="007B08DA"/>
    <w:rsid w:val="007B094C"/>
    <w:rsid w:val="007B0AB9"/>
    <w:rsid w:val="007B0AFE"/>
    <w:rsid w:val="007B0FE3"/>
    <w:rsid w:val="007B11D1"/>
    <w:rsid w:val="007B1288"/>
    <w:rsid w:val="007B12EC"/>
    <w:rsid w:val="007B1341"/>
    <w:rsid w:val="007B1380"/>
    <w:rsid w:val="007B16CC"/>
    <w:rsid w:val="007B1733"/>
    <w:rsid w:val="007B1814"/>
    <w:rsid w:val="007B1954"/>
    <w:rsid w:val="007B1B24"/>
    <w:rsid w:val="007B1BBB"/>
    <w:rsid w:val="007B1DA5"/>
    <w:rsid w:val="007B1E65"/>
    <w:rsid w:val="007B1ECF"/>
    <w:rsid w:val="007B1EE2"/>
    <w:rsid w:val="007B1FEC"/>
    <w:rsid w:val="007B21AE"/>
    <w:rsid w:val="007B229A"/>
    <w:rsid w:val="007B244F"/>
    <w:rsid w:val="007B263F"/>
    <w:rsid w:val="007B2684"/>
    <w:rsid w:val="007B26DA"/>
    <w:rsid w:val="007B2AF8"/>
    <w:rsid w:val="007B2C8B"/>
    <w:rsid w:val="007B2D20"/>
    <w:rsid w:val="007B2E3A"/>
    <w:rsid w:val="007B2EC0"/>
    <w:rsid w:val="007B2EC2"/>
    <w:rsid w:val="007B30A8"/>
    <w:rsid w:val="007B331F"/>
    <w:rsid w:val="007B3384"/>
    <w:rsid w:val="007B3443"/>
    <w:rsid w:val="007B34B4"/>
    <w:rsid w:val="007B3628"/>
    <w:rsid w:val="007B369F"/>
    <w:rsid w:val="007B38B2"/>
    <w:rsid w:val="007B391F"/>
    <w:rsid w:val="007B393B"/>
    <w:rsid w:val="007B396E"/>
    <w:rsid w:val="007B3AA3"/>
    <w:rsid w:val="007B3AEB"/>
    <w:rsid w:val="007B3B3C"/>
    <w:rsid w:val="007B3B45"/>
    <w:rsid w:val="007B3B8E"/>
    <w:rsid w:val="007B3D0B"/>
    <w:rsid w:val="007B3D9B"/>
    <w:rsid w:val="007B3E27"/>
    <w:rsid w:val="007B423B"/>
    <w:rsid w:val="007B43C7"/>
    <w:rsid w:val="007B45C4"/>
    <w:rsid w:val="007B487C"/>
    <w:rsid w:val="007B48B9"/>
    <w:rsid w:val="007B4A0B"/>
    <w:rsid w:val="007B4B4A"/>
    <w:rsid w:val="007B4D26"/>
    <w:rsid w:val="007B4D99"/>
    <w:rsid w:val="007B4F1B"/>
    <w:rsid w:val="007B4FF2"/>
    <w:rsid w:val="007B517A"/>
    <w:rsid w:val="007B528C"/>
    <w:rsid w:val="007B53E0"/>
    <w:rsid w:val="007B556F"/>
    <w:rsid w:val="007B557D"/>
    <w:rsid w:val="007B55CB"/>
    <w:rsid w:val="007B56F4"/>
    <w:rsid w:val="007B5767"/>
    <w:rsid w:val="007B5797"/>
    <w:rsid w:val="007B589E"/>
    <w:rsid w:val="007B58B5"/>
    <w:rsid w:val="007B598D"/>
    <w:rsid w:val="007B5C5E"/>
    <w:rsid w:val="007B5D58"/>
    <w:rsid w:val="007B5E82"/>
    <w:rsid w:val="007B5ECD"/>
    <w:rsid w:val="007B6060"/>
    <w:rsid w:val="007B606B"/>
    <w:rsid w:val="007B6121"/>
    <w:rsid w:val="007B615E"/>
    <w:rsid w:val="007B6179"/>
    <w:rsid w:val="007B61F6"/>
    <w:rsid w:val="007B641B"/>
    <w:rsid w:val="007B64CE"/>
    <w:rsid w:val="007B65E2"/>
    <w:rsid w:val="007B6793"/>
    <w:rsid w:val="007B6A6B"/>
    <w:rsid w:val="007B6AAC"/>
    <w:rsid w:val="007B6B24"/>
    <w:rsid w:val="007B6B2D"/>
    <w:rsid w:val="007B6B6E"/>
    <w:rsid w:val="007B6B7A"/>
    <w:rsid w:val="007B6CC3"/>
    <w:rsid w:val="007B6D75"/>
    <w:rsid w:val="007B6DCB"/>
    <w:rsid w:val="007B6DCF"/>
    <w:rsid w:val="007B6E66"/>
    <w:rsid w:val="007B7037"/>
    <w:rsid w:val="007B714B"/>
    <w:rsid w:val="007B71CF"/>
    <w:rsid w:val="007B71F5"/>
    <w:rsid w:val="007B724A"/>
    <w:rsid w:val="007B72D3"/>
    <w:rsid w:val="007B73CE"/>
    <w:rsid w:val="007B7426"/>
    <w:rsid w:val="007B7476"/>
    <w:rsid w:val="007B74FB"/>
    <w:rsid w:val="007B7558"/>
    <w:rsid w:val="007B7858"/>
    <w:rsid w:val="007B785A"/>
    <w:rsid w:val="007B7884"/>
    <w:rsid w:val="007B7889"/>
    <w:rsid w:val="007B7AEB"/>
    <w:rsid w:val="007B7B39"/>
    <w:rsid w:val="007B7C66"/>
    <w:rsid w:val="007B7DD1"/>
    <w:rsid w:val="007C01B5"/>
    <w:rsid w:val="007C03A6"/>
    <w:rsid w:val="007C03B4"/>
    <w:rsid w:val="007C04EE"/>
    <w:rsid w:val="007C0810"/>
    <w:rsid w:val="007C0B41"/>
    <w:rsid w:val="007C0B6A"/>
    <w:rsid w:val="007C0C77"/>
    <w:rsid w:val="007C0F22"/>
    <w:rsid w:val="007C1266"/>
    <w:rsid w:val="007C1424"/>
    <w:rsid w:val="007C1451"/>
    <w:rsid w:val="007C1949"/>
    <w:rsid w:val="007C1A17"/>
    <w:rsid w:val="007C1C00"/>
    <w:rsid w:val="007C1E3D"/>
    <w:rsid w:val="007C1FEF"/>
    <w:rsid w:val="007C2093"/>
    <w:rsid w:val="007C20D6"/>
    <w:rsid w:val="007C231A"/>
    <w:rsid w:val="007C2331"/>
    <w:rsid w:val="007C238D"/>
    <w:rsid w:val="007C2437"/>
    <w:rsid w:val="007C26DF"/>
    <w:rsid w:val="007C2AEA"/>
    <w:rsid w:val="007C2B61"/>
    <w:rsid w:val="007C2C21"/>
    <w:rsid w:val="007C2E0E"/>
    <w:rsid w:val="007C30A3"/>
    <w:rsid w:val="007C31C8"/>
    <w:rsid w:val="007C31FB"/>
    <w:rsid w:val="007C3395"/>
    <w:rsid w:val="007C346E"/>
    <w:rsid w:val="007C3506"/>
    <w:rsid w:val="007C351C"/>
    <w:rsid w:val="007C35B8"/>
    <w:rsid w:val="007C3694"/>
    <w:rsid w:val="007C36A4"/>
    <w:rsid w:val="007C381B"/>
    <w:rsid w:val="007C3BA7"/>
    <w:rsid w:val="007C3EC7"/>
    <w:rsid w:val="007C3EE5"/>
    <w:rsid w:val="007C3F98"/>
    <w:rsid w:val="007C3FDE"/>
    <w:rsid w:val="007C40DF"/>
    <w:rsid w:val="007C4122"/>
    <w:rsid w:val="007C42B6"/>
    <w:rsid w:val="007C4395"/>
    <w:rsid w:val="007C45D6"/>
    <w:rsid w:val="007C45E9"/>
    <w:rsid w:val="007C45FF"/>
    <w:rsid w:val="007C472D"/>
    <w:rsid w:val="007C47F9"/>
    <w:rsid w:val="007C4889"/>
    <w:rsid w:val="007C4923"/>
    <w:rsid w:val="007C4BB8"/>
    <w:rsid w:val="007C4CF3"/>
    <w:rsid w:val="007C4D3E"/>
    <w:rsid w:val="007C4DBE"/>
    <w:rsid w:val="007C4DE1"/>
    <w:rsid w:val="007C50BA"/>
    <w:rsid w:val="007C5234"/>
    <w:rsid w:val="007C537E"/>
    <w:rsid w:val="007C5431"/>
    <w:rsid w:val="007C54D6"/>
    <w:rsid w:val="007C5525"/>
    <w:rsid w:val="007C5666"/>
    <w:rsid w:val="007C56C3"/>
    <w:rsid w:val="007C57B6"/>
    <w:rsid w:val="007C5834"/>
    <w:rsid w:val="007C5865"/>
    <w:rsid w:val="007C58EA"/>
    <w:rsid w:val="007C59C8"/>
    <w:rsid w:val="007C59F4"/>
    <w:rsid w:val="007C5A91"/>
    <w:rsid w:val="007C5AF7"/>
    <w:rsid w:val="007C5B94"/>
    <w:rsid w:val="007C5BBB"/>
    <w:rsid w:val="007C5C85"/>
    <w:rsid w:val="007C5CD2"/>
    <w:rsid w:val="007C5D45"/>
    <w:rsid w:val="007C5EDB"/>
    <w:rsid w:val="007C5FFD"/>
    <w:rsid w:val="007C6131"/>
    <w:rsid w:val="007C6271"/>
    <w:rsid w:val="007C644B"/>
    <w:rsid w:val="007C6453"/>
    <w:rsid w:val="007C65AB"/>
    <w:rsid w:val="007C6681"/>
    <w:rsid w:val="007C66E0"/>
    <w:rsid w:val="007C6728"/>
    <w:rsid w:val="007C69FC"/>
    <w:rsid w:val="007C6A7C"/>
    <w:rsid w:val="007C6AFF"/>
    <w:rsid w:val="007C6C2E"/>
    <w:rsid w:val="007C6DB7"/>
    <w:rsid w:val="007C715E"/>
    <w:rsid w:val="007C7211"/>
    <w:rsid w:val="007C7218"/>
    <w:rsid w:val="007C72E8"/>
    <w:rsid w:val="007C730B"/>
    <w:rsid w:val="007C7318"/>
    <w:rsid w:val="007C731B"/>
    <w:rsid w:val="007C7339"/>
    <w:rsid w:val="007C74F7"/>
    <w:rsid w:val="007C7628"/>
    <w:rsid w:val="007C76A4"/>
    <w:rsid w:val="007C77CC"/>
    <w:rsid w:val="007C787A"/>
    <w:rsid w:val="007C790A"/>
    <w:rsid w:val="007C7AFD"/>
    <w:rsid w:val="007C7DEB"/>
    <w:rsid w:val="007C7FBE"/>
    <w:rsid w:val="007D0102"/>
    <w:rsid w:val="007D03CC"/>
    <w:rsid w:val="007D0424"/>
    <w:rsid w:val="007D0428"/>
    <w:rsid w:val="007D055D"/>
    <w:rsid w:val="007D07A6"/>
    <w:rsid w:val="007D0BD6"/>
    <w:rsid w:val="007D0C8A"/>
    <w:rsid w:val="007D0D06"/>
    <w:rsid w:val="007D0F96"/>
    <w:rsid w:val="007D11D0"/>
    <w:rsid w:val="007D11EA"/>
    <w:rsid w:val="007D122C"/>
    <w:rsid w:val="007D1249"/>
    <w:rsid w:val="007D1317"/>
    <w:rsid w:val="007D148C"/>
    <w:rsid w:val="007D1566"/>
    <w:rsid w:val="007D1686"/>
    <w:rsid w:val="007D179E"/>
    <w:rsid w:val="007D199C"/>
    <w:rsid w:val="007D1A1A"/>
    <w:rsid w:val="007D1B15"/>
    <w:rsid w:val="007D1B49"/>
    <w:rsid w:val="007D1B4C"/>
    <w:rsid w:val="007D1B5C"/>
    <w:rsid w:val="007D1B6F"/>
    <w:rsid w:val="007D1BAB"/>
    <w:rsid w:val="007D1C62"/>
    <w:rsid w:val="007D1C8E"/>
    <w:rsid w:val="007D1EA1"/>
    <w:rsid w:val="007D203B"/>
    <w:rsid w:val="007D21A4"/>
    <w:rsid w:val="007D2207"/>
    <w:rsid w:val="007D2284"/>
    <w:rsid w:val="007D23F9"/>
    <w:rsid w:val="007D2400"/>
    <w:rsid w:val="007D25FE"/>
    <w:rsid w:val="007D2642"/>
    <w:rsid w:val="007D2CC8"/>
    <w:rsid w:val="007D2D67"/>
    <w:rsid w:val="007D2DB2"/>
    <w:rsid w:val="007D2DF9"/>
    <w:rsid w:val="007D2E60"/>
    <w:rsid w:val="007D321E"/>
    <w:rsid w:val="007D3335"/>
    <w:rsid w:val="007D33FC"/>
    <w:rsid w:val="007D341E"/>
    <w:rsid w:val="007D356C"/>
    <w:rsid w:val="007D3672"/>
    <w:rsid w:val="007D3834"/>
    <w:rsid w:val="007D38D5"/>
    <w:rsid w:val="007D39C0"/>
    <w:rsid w:val="007D3A17"/>
    <w:rsid w:val="007D3A58"/>
    <w:rsid w:val="007D3A80"/>
    <w:rsid w:val="007D3AE4"/>
    <w:rsid w:val="007D3C69"/>
    <w:rsid w:val="007D3D75"/>
    <w:rsid w:val="007D3EA8"/>
    <w:rsid w:val="007D3FC2"/>
    <w:rsid w:val="007D4063"/>
    <w:rsid w:val="007D42E8"/>
    <w:rsid w:val="007D4432"/>
    <w:rsid w:val="007D46DE"/>
    <w:rsid w:val="007D46E7"/>
    <w:rsid w:val="007D4BC9"/>
    <w:rsid w:val="007D4C05"/>
    <w:rsid w:val="007D4C56"/>
    <w:rsid w:val="007D4D07"/>
    <w:rsid w:val="007D4EA5"/>
    <w:rsid w:val="007D4F4E"/>
    <w:rsid w:val="007D5167"/>
    <w:rsid w:val="007D51AB"/>
    <w:rsid w:val="007D531E"/>
    <w:rsid w:val="007D534B"/>
    <w:rsid w:val="007D549E"/>
    <w:rsid w:val="007D55D6"/>
    <w:rsid w:val="007D5631"/>
    <w:rsid w:val="007D565A"/>
    <w:rsid w:val="007D566B"/>
    <w:rsid w:val="007D56BF"/>
    <w:rsid w:val="007D5713"/>
    <w:rsid w:val="007D58D5"/>
    <w:rsid w:val="007D5C12"/>
    <w:rsid w:val="007D5E59"/>
    <w:rsid w:val="007D60B0"/>
    <w:rsid w:val="007D60EE"/>
    <w:rsid w:val="007D61E8"/>
    <w:rsid w:val="007D626C"/>
    <w:rsid w:val="007D62EF"/>
    <w:rsid w:val="007D638B"/>
    <w:rsid w:val="007D6659"/>
    <w:rsid w:val="007D6770"/>
    <w:rsid w:val="007D68CE"/>
    <w:rsid w:val="007D691C"/>
    <w:rsid w:val="007D6A68"/>
    <w:rsid w:val="007D6D46"/>
    <w:rsid w:val="007D6D4E"/>
    <w:rsid w:val="007D6EB4"/>
    <w:rsid w:val="007D70BD"/>
    <w:rsid w:val="007D7196"/>
    <w:rsid w:val="007D73B6"/>
    <w:rsid w:val="007D7733"/>
    <w:rsid w:val="007D7734"/>
    <w:rsid w:val="007D7739"/>
    <w:rsid w:val="007D774F"/>
    <w:rsid w:val="007D7813"/>
    <w:rsid w:val="007D7956"/>
    <w:rsid w:val="007D7989"/>
    <w:rsid w:val="007D79E3"/>
    <w:rsid w:val="007D7C6D"/>
    <w:rsid w:val="007D7D14"/>
    <w:rsid w:val="007D7D52"/>
    <w:rsid w:val="007D7F80"/>
    <w:rsid w:val="007E0097"/>
    <w:rsid w:val="007E02F1"/>
    <w:rsid w:val="007E03DD"/>
    <w:rsid w:val="007E04BA"/>
    <w:rsid w:val="007E04FA"/>
    <w:rsid w:val="007E053C"/>
    <w:rsid w:val="007E06A5"/>
    <w:rsid w:val="007E073A"/>
    <w:rsid w:val="007E0741"/>
    <w:rsid w:val="007E0986"/>
    <w:rsid w:val="007E0992"/>
    <w:rsid w:val="007E09B2"/>
    <w:rsid w:val="007E0B53"/>
    <w:rsid w:val="007E0D7D"/>
    <w:rsid w:val="007E0E28"/>
    <w:rsid w:val="007E0ECB"/>
    <w:rsid w:val="007E0F86"/>
    <w:rsid w:val="007E15A7"/>
    <w:rsid w:val="007E16A5"/>
    <w:rsid w:val="007E16B0"/>
    <w:rsid w:val="007E1875"/>
    <w:rsid w:val="007E1935"/>
    <w:rsid w:val="007E1A45"/>
    <w:rsid w:val="007E1C1B"/>
    <w:rsid w:val="007E1E5F"/>
    <w:rsid w:val="007E1E90"/>
    <w:rsid w:val="007E1EAB"/>
    <w:rsid w:val="007E2032"/>
    <w:rsid w:val="007E2119"/>
    <w:rsid w:val="007E2142"/>
    <w:rsid w:val="007E2241"/>
    <w:rsid w:val="007E2248"/>
    <w:rsid w:val="007E229D"/>
    <w:rsid w:val="007E2458"/>
    <w:rsid w:val="007E24C5"/>
    <w:rsid w:val="007E26C3"/>
    <w:rsid w:val="007E27D8"/>
    <w:rsid w:val="007E2935"/>
    <w:rsid w:val="007E29A4"/>
    <w:rsid w:val="007E2B90"/>
    <w:rsid w:val="007E2BD5"/>
    <w:rsid w:val="007E2C43"/>
    <w:rsid w:val="007E2CEF"/>
    <w:rsid w:val="007E2CFD"/>
    <w:rsid w:val="007E2F39"/>
    <w:rsid w:val="007E2F44"/>
    <w:rsid w:val="007E2F52"/>
    <w:rsid w:val="007E30D8"/>
    <w:rsid w:val="007E3281"/>
    <w:rsid w:val="007E3309"/>
    <w:rsid w:val="007E34A0"/>
    <w:rsid w:val="007E3524"/>
    <w:rsid w:val="007E35C1"/>
    <w:rsid w:val="007E3642"/>
    <w:rsid w:val="007E3721"/>
    <w:rsid w:val="007E39F3"/>
    <w:rsid w:val="007E3B64"/>
    <w:rsid w:val="007E3B6C"/>
    <w:rsid w:val="007E3B86"/>
    <w:rsid w:val="007E3D8C"/>
    <w:rsid w:val="007E3DB2"/>
    <w:rsid w:val="007E3EFD"/>
    <w:rsid w:val="007E40C2"/>
    <w:rsid w:val="007E41C5"/>
    <w:rsid w:val="007E41D4"/>
    <w:rsid w:val="007E4222"/>
    <w:rsid w:val="007E433F"/>
    <w:rsid w:val="007E45C3"/>
    <w:rsid w:val="007E46AB"/>
    <w:rsid w:val="007E46C9"/>
    <w:rsid w:val="007E470F"/>
    <w:rsid w:val="007E4729"/>
    <w:rsid w:val="007E4823"/>
    <w:rsid w:val="007E4855"/>
    <w:rsid w:val="007E48BD"/>
    <w:rsid w:val="007E4937"/>
    <w:rsid w:val="007E4A97"/>
    <w:rsid w:val="007E4C1E"/>
    <w:rsid w:val="007E4C4E"/>
    <w:rsid w:val="007E4C95"/>
    <w:rsid w:val="007E4D53"/>
    <w:rsid w:val="007E4F1A"/>
    <w:rsid w:val="007E5069"/>
    <w:rsid w:val="007E51A0"/>
    <w:rsid w:val="007E5233"/>
    <w:rsid w:val="007E528B"/>
    <w:rsid w:val="007E52C0"/>
    <w:rsid w:val="007E534D"/>
    <w:rsid w:val="007E53AB"/>
    <w:rsid w:val="007E5417"/>
    <w:rsid w:val="007E5447"/>
    <w:rsid w:val="007E5472"/>
    <w:rsid w:val="007E5485"/>
    <w:rsid w:val="007E54C0"/>
    <w:rsid w:val="007E54EA"/>
    <w:rsid w:val="007E5660"/>
    <w:rsid w:val="007E5810"/>
    <w:rsid w:val="007E595C"/>
    <w:rsid w:val="007E59CE"/>
    <w:rsid w:val="007E5A75"/>
    <w:rsid w:val="007E5ACD"/>
    <w:rsid w:val="007E5B47"/>
    <w:rsid w:val="007E5C26"/>
    <w:rsid w:val="007E5DB8"/>
    <w:rsid w:val="007E5E8C"/>
    <w:rsid w:val="007E5EAF"/>
    <w:rsid w:val="007E6020"/>
    <w:rsid w:val="007E6239"/>
    <w:rsid w:val="007E62D5"/>
    <w:rsid w:val="007E63BE"/>
    <w:rsid w:val="007E6489"/>
    <w:rsid w:val="007E672D"/>
    <w:rsid w:val="007E688E"/>
    <w:rsid w:val="007E691C"/>
    <w:rsid w:val="007E6B30"/>
    <w:rsid w:val="007E6D83"/>
    <w:rsid w:val="007E6DD6"/>
    <w:rsid w:val="007E6EB9"/>
    <w:rsid w:val="007E6EDD"/>
    <w:rsid w:val="007E6F35"/>
    <w:rsid w:val="007E709E"/>
    <w:rsid w:val="007E71DA"/>
    <w:rsid w:val="007E73C0"/>
    <w:rsid w:val="007E74FC"/>
    <w:rsid w:val="007E753B"/>
    <w:rsid w:val="007E7562"/>
    <w:rsid w:val="007E758F"/>
    <w:rsid w:val="007E75A1"/>
    <w:rsid w:val="007E7669"/>
    <w:rsid w:val="007E76CC"/>
    <w:rsid w:val="007E773E"/>
    <w:rsid w:val="007E7849"/>
    <w:rsid w:val="007E7B4B"/>
    <w:rsid w:val="007E7B73"/>
    <w:rsid w:val="007E7CA6"/>
    <w:rsid w:val="007E7D22"/>
    <w:rsid w:val="007E7DF4"/>
    <w:rsid w:val="007E7F51"/>
    <w:rsid w:val="007E7F92"/>
    <w:rsid w:val="007E7FB7"/>
    <w:rsid w:val="007F0031"/>
    <w:rsid w:val="007F0125"/>
    <w:rsid w:val="007F0156"/>
    <w:rsid w:val="007F0222"/>
    <w:rsid w:val="007F029C"/>
    <w:rsid w:val="007F0393"/>
    <w:rsid w:val="007F0440"/>
    <w:rsid w:val="007F0654"/>
    <w:rsid w:val="007F0A0F"/>
    <w:rsid w:val="007F0BBD"/>
    <w:rsid w:val="007F0C42"/>
    <w:rsid w:val="007F0DCD"/>
    <w:rsid w:val="007F0E22"/>
    <w:rsid w:val="007F12CE"/>
    <w:rsid w:val="007F1397"/>
    <w:rsid w:val="007F16AA"/>
    <w:rsid w:val="007F1777"/>
    <w:rsid w:val="007F1862"/>
    <w:rsid w:val="007F195D"/>
    <w:rsid w:val="007F19A5"/>
    <w:rsid w:val="007F1ABC"/>
    <w:rsid w:val="007F1BA8"/>
    <w:rsid w:val="007F1C0D"/>
    <w:rsid w:val="007F1DAF"/>
    <w:rsid w:val="007F1E0F"/>
    <w:rsid w:val="007F1EE3"/>
    <w:rsid w:val="007F1F3E"/>
    <w:rsid w:val="007F1FCA"/>
    <w:rsid w:val="007F2072"/>
    <w:rsid w:val="007F2156"/>
    <w:rsid w:val="007F217C"/>
    <w:rsid w:val="007F224B"/>
    <w:rsid w:val="007F23E0"/>
    <w:rsid w:val="007F2411"/>
    <w:rsid w:val="007F241A"/>
    <w:rsid w:val="007F24B2"/>
    <w:rsid w:val="007F2515"/>
    <w:rsid w:val="007F2679"/>
    <w:rsid w:val="007F268F"/>
    <w:rsid w:val="007F27DB"/>
    <w:rsid w:val="007F27EB"/>
    <w:rsid w:val="007F2805"/>
    <w:rsid w:val="007F29DB"/>
    <w:rsid w:val="007F2B13"/>
    <w:rsid w:val="007F2BCF"/>
    <w:rsid w:val="007F2CBA"/>
    <w:rsid w:val="007F2CCB"/>
    <w:rsid w:val="007F2D08"/>
    <w:rsid w:val="007F2D4E"/>
    <w:rsid w:val="007F2D58"/>
    <w:rsid w:val="007F2F92"/>
    <w:rsid w:val="007F3045"/>
    <w:rsid w:val="007F305F"/>
    <w:rsid w:val="007F3060"/>
    <w:rsid w:val="007F337F"/>
    <w:rsid w:val="007F358D"/>
    <w:rsid w:val="007F362E"/>
    <w:rsid w:val="007F3876"/>
    <w:rsid w:val="007F38A6"/>
    <w:rsid w:val="007F3A20"/>
    <w:rsid w:val="007F3B16"/>
    <w:rsid w:val="007F3BFE"/>
    <w:rsid w:val="007F3CDA"/>
    <w:rsid w:val="007F3CF4"/>
    <w:rsid w:val="007F3D4F"/>
    <w:rsid w:val="007F3DEE"/>
    <w:rsid w:val="007F3E29"/>
    <w:rsid w:val="007F3E31"/>
    <w:rsid w:val="007F3F51"/>
    <w:rsid w:val="007F3FF0"/>
    <w:rsid w:val="007F4025"/>
    <w:rsid w:val="007F4102"/>
    <w:rsid w:val="007F41F8"/>
    <w:rsid w:val="007F42C4"/>
    <w:rsid w:val="007F43D2"/>
    <w:rsid w:val="007F449D"/>
    <w:rsid w:val="007F4552"/>
    <w:rsid w:val="007F467B"/>
    <w:rsid w:val="007F4685"/>
    <w:rsid w:val="007F4699"/>
    <w:rsid w:val="007F4B5A"/>
    <w:rsid w:val="007F4B87"/>
    <w:rsid w:val="007F4C25"/>
    <w:rsid w:val="007F4D71"/>
    <w:rsid w:val="007F4D75"/>
    <w:rsid w:val="007F4ED2"/>
    <w:rsid w:val="007F4F23"/>
    <w:rsid w:val="007F4FCC"/>
    <w:rsid w:val="007F501C"/>
    <w:rsid w:val="007F5045"/>
    <w:rsid w:val="007F50AB"/>
    <w:rsid w:val="007F5235"/>
    <w:rsid w:val="007F5477"/>
    <w:rsid w:val="007F548D"/>
    <w:rsid w:val="007F553A"/>
    <w:rsid w:val="007F55A3"/>
    <w:rsid w:val="007F56C5"/>
    <w:rsid w:val="007F5741"/>
    <w:rsid w:val="007F58A1"/>
    <w:rsid w:val="007F591C"/>
    <w:rsid w:val="007F5A3F"/>
    <w:rsid w:val="007F5C0A"/>
    <w:rsid w:val="007F5CF8"/>
    <w:rsid w:val="007F600A"/>
    <w:rsid w:val="007F619C"/>
    <w:rsid w:val="007F61FB"/>
    <w:rsid w:val="007F621F"/>
    <w:rsid w:val="007F64F0"/>
    <w:rsid w:val="007F65C3"/>
    <w:rsid w:val="007F6632"/>
    <w:rsid w:val="007F664D"/>
    <w:rsid w:val="007F669A"/>
    <w:rsid w:val="007F67A7"/>
    <w:rsid w:val="007F68FB"/>
    <w:rsid w:val="007F6A37"/>
    <w:rsid w:val="007F6BF3"/>
    <w:rsid w:val="007F6C81"/>
    <w:rsid w:val="007F6D6D"/>
    <w:rsid w:val="007F6DB8"/>
    <w:rsid w:val="007F6EF8"/>
    <w:rsid w:val="007F7008"/>
    <w:rsid w:val="007F700D"/>
    <w:rsid w:val="007F7010"/>
    <w:rsid w:val="007F708B"/>
    <w:rsid w:val="007F71EA"/>
    <w:rsid w:val="007F7324"/>
    <w:rsid w:val="007F73FA"/>
    <w:rsid w:val="007F7AC6"/>
    <w:rsid w:val="007F7B1C"/>
    <w:rsid w:val="007F7CD0"/>
    <w:rsid w:val="007F7D69"/>
    <w:rsid w:val="007F7E80"/>
    <w:rsid w:val="008002D8"/>
    <w:rsid w:val="00800387"/>
    <w:rsid w:val="0080090C"/>
    <w:rsid w:val="008009EA"/>
    <w:rsid w:val="00800C08"/>
    <w:rsid w:val="00800C16"/>
    <w:rsid w:val="00800C84"/>
    <w:rsid w:val="00800CB5"/>
    <w:rsid w:val="00800E71"/>
    <w:rsid w:val="00800EE4"/>
    <w:rsid w:val="008010C3"/>
    <w:rsid w:val="0080111A"/>
    <w:rsid w:val="00801269"/>
    <w:rsid w:val="0080126F"/>
    <w:rsid w:val="00801305"/>
    <w:rsid w:val="00801330"/>
    <w:rsid w:val="00801490"/>
    <w:rsid w:val="00801573"/>
    <w:rsid w:val="008015A0"/>
    <w:rsid w:val="008015B9"/>
    <w:rsid w:val="0080170F"/>
    <w:rsid w:val="00801717"/>
    <w:rsid w:val="008017D9"/>
    <w:rsid w:val="0080196C"/>
    <w:rsid w:val="00801B1F"/>
    <w:rsid w:val="00801C5E"/>
    <w:rsid w:val="00801CFF"/>
    <w:rsid w:val="00801DAE"/>
    <w:rsid w:val="00801E7B"/>
    <w:rsid w:val="00801F55"/>
    <w:rsid w:val="00801F5F"/>
    <w:rsid w:val="00801FBA"/>
    <w:rsid w:val="008021A3"/>
    <w:rsid w:val="00802302"/>
    <w:rsid w:val="00802605"/>
    <w:rsid w:val="00802612"/>
    <w:rsid w:val="00802641"/>
    <w:rsid w:val="00802720"/>
    <w:rsid w:val="0080283E"/>
    <w:rsid w:val="0080284A"/>
    <w:rsid w:val="0080287F"/>
    <w:rsid w:val="00802917"/>
    <w:rsid w:val="00802C6A"/>
    <w:rsid w:val="00802CA3"/>
    <w:rsid w:val="00802CAF"/>
    <w:rsid w:val="00802CB0"/>
    <w:rsid w:val="00802D06"/>
    <w:rsid w:val="00802D8D"/>
    <w:rsid w:val="00802F93"/>
    <w:rsid w:val="00802FBE"/>
    <w:rsid w:val="0080305F"/>
    <w:rsid w:val="00803197"/>
    <w:rsid w:val="008033C9"/>
    <w:rsid w:val="00803457"/>
    <w:rsid w:val="008034CF"/>
    <w:rsid w:val="008034F6"/>
    <w:rsid w:val="0080363E"/>
    <w:rsid w:val="00803643"/>
    <w:rsid w:val="00803734"/>
    <w:rsid w:val="00803817"/>
    <w:rsid w:val="008038DF"/>
    <w:rsid w:val="00803A86"/>
    <w:rsid w:val="00803B20"/>
    <w:rsid w:val="00803B4A"/>
    <w:rsid w:val="00803C14"/>
    <w:rsid w:val="00803DB3"/>
    <w:rsid w:val="00803EF8"/>
    <w:rsid w:val="00803F3A"/>
    <w:rsid w:val="00803F6A"/>
    <w:rsid w:val="00804078"/>
    <w:rsid w:val="0080409C"/>
    <w:rsid w:val="0080415D"/>
    <w:rsid w:val="00804323"/>
    <w:rsid w:val="008043F8"/>
    <w:rsid w:val="00804550"/>
    <w:rsid w:val="0080462D"/>
    <w:rsid w:val="008046A3"/>
    <w:rsid w:val="008047AE"/>
    <w:rsid w:val="00804818"/>
    <w:rsid w:val="00804819"/>
    <w:rsid w:val="008048BD"/>
    <w:rsid w:val="00804946"/>
    <w:rsid w:val="0080494B"/>
    <w:rsid w:val="00804963"/>
    <w:rsid w:val="00804AA0"/>
    <w:rsid w:val="00804BD3"/>
    <w:rsid w:val="00804BD8"/>
    <w:rsid w:val="00804CDC"/>
    <w:rsid w:val="00804D5A"/>
    <w:rsid w:val="00804D70"/>
    <w:rsid w:val="00804D83"/>
    <w:rsid w:val="0080515E"/>
    <w:rsid w:val="008051C3"/>
    <w:rsid w:val="008052CE"/>
    <w:rsid w:val="008052F5"/>
    <w:rsid w:val="00805432"/>
    <w:rsid w:val="0080544A"/>
    <w:rsid w:val="00805500"/>
    <w:rsid w:val="008057AA"/>
    <w:rsid w:val="008057EE"/>
    <w:rsid w:val="008058E4"/>
    <w:rsid w:val="0080599C"/>
    <w:rsid w:val="008059AD"/>
    <w:rsid w:val="00805D16"/>
    <w:rsid w:val="00805E9B"/>
    <w:rsid w:val="0080604F"/>
    <w:rsid w:val="0080636B"/>
    <w:rsid w:val="008063D5"/>
    <w:rsid w:val="0080644C"/>
    <w:rsid w:val="008064F6"/>
    <w:rsid w:val="008065AD"/>
    <w:rsid w:val="0080673D"/>
    <w:rsid w:val="008068C0"/>
    <w:rsid w:val="00806990"/>
    <w:rsid w:val="00806A28"/>
    <w:rsid w:val="00806B4F"/>
    <w:rsid w:val="00806C11"/>
    <w:rsid w:val="00806C67"/>
    <w:rsid w:val="00806FFB"/>
    <w:rsid w:val="008071C4"/>
    <w:rsid w:val="0080737A"/>
    <w:rsid w:val="008073B2"/>
    <w:rsid w:val="008073CA"/>
    <w:rsid w:val="008073F1"/>
    <w:rsid w:val="008074E3"/>
    <w:rsid w:val="0080786C"/>
    <w:rsid w:val="008078EA"/>
    <w:rsid w:val="0080796C"/>
    <w:rsid w:val="008079C8"/>
    <w:rsid w:val="00807B03"/>
    <w:rsid w:val="00807C30"/>
    <w:rsid w:val="00807C34"/>
    <w:rsid w:val="00807D62"/>
    <w:rsid w:val="00807E6F"/>
    <w:rsid w:val="00807EB9"/>
    <w:rsid w:val="00807F3B"/>
    <w:rsid w:val="0081005F"/>
    <w:rsid w:val="00810187"/>
    <w:rsid w:val="008101F1"/>
    <w:rsid w:val="00810264"/>
    <w:rsid w:val="00810269"/>
    <w:rsid w:val="008102FC"/>
    <w:rsid w:val="00810496"/>
    <w:rsid w:val="008104A5"/>
    <w:rsid w:val="00810695"/>
    <w:rsid w:val="00810788"/>
    <w:rsid w:val="008107FF"/>
    <w:rsid w:val="00810844"/>
    <w:rsid w:val="00810955"/>
    <w:rsid w:val="008109DB"/>
    <w:rsid w:val="00810AA8"/>
    <w:rsid w:val="00810AFF"/>
    <w:rsid w:val="00810B66"/>
    <w:rsid w:val="00810C8F"/>
    <w:rsid w:val="00810D63"/>
    <w:rsid w:val="00810D88"/>
    <w:rsid w:val="00810F7E"/>
    <w:rsid w:val="00811283"/>
    <w:rsid w:val="008112AD"/>
    <w:rsid w:val="008112B9"/>
    <w:rsid w:val="008113A0"/>
    <w:rsid w:val="00811511"/>
    <w:rsid w:val="00811568"/>
    <w:rsid w:val="008115D5"/>
    <w:rsid w:val="008116B4"/>
    <w:rsid w:val="0081179C"/>
    <w:rsid w:val="00811988"/>
    <w:rsid w:val="00811A8B"/>
    <w:rsid w:val="00811BA4"/>
    <w:rsid w:val="00811BDD"/>
    <w:rsid w:val="00811CD3"/>
    <w:rsid w:val="00811D20"/>
    <w:rsid w:val="00811E65"/>
    <w:rsid w:val="00811F8E"/>
    <w:rsid w:val="00812144"/>
    <w:rsid w:val="0081232A"/>
    <w:rsid w:val="0081251D"/>
    <w:rsid w:val="00812641"/>
    <w:rsid w:val="0081265A"/>
    <w:rsid w:val="0081269E"/>
    <w:rsid w:val="00812953"/>
    <w:rsid w:val="0081297B"/>
    <w:rsid w:val="00812A33"/>
    <w:rsid w:val="00812A64"/>
    <w:rsid w:val="00812A67"/>
    <w:rsid w:val="00812B9B"/>
    <w:rsid w:val="00812C50"/>
    <w:rsid w:val="00812C5A"/>
    <w:rsid w:val="00812D86"/>
    <w:rsid w:val="00812DF4"/>
    <w:rsid w:val="00812E43"/>
    <w:rsid w:val="00812E71"/>
    <w:rsid w:val="00812ED7"/>
    <w:rsid w:val="00812F43"/>
    <w:rsid w:val="008130EB"/>
    <w:rsid w:val="0081317E"/>
    <w:rsid w:val="00813231"/>
    <w:rsid w:val="0081324B"/>
    <w:rsid w:val="008132D1"/>
    <w:rsid w:val="00813361"/>
    <w:rsid w:val="00813378"/>
    <w:rsid w:val="008133D1"/>
    <w:rsid w:val="008134C1"/>
    <w:rsid w:val="008134D3"/>
    <w:rsid w:val="008135AC"/>
    <w:rsid w:val="00813793"/>
    <w:rsid w:val="008138E1"/>
    <w:rsid w:val="00813B0C"/>
    <w:rsid w:val="00813B2E"/>
    <w:rsid w:val="00813B79"/>
    <w:rsid w:val="00813D3C"/>
    <w:rsid w:val="00813D67"/>
    <w:rsid w:val="00813D89"/>
    <w:rsid w:val="008142EE"/>
    <w:rsid w:val="0081430A"/>
    <w:rsid w:val="00814498"/>
    <w:rsid w:val="008145DE"/>
    <w:rsid w:val="008145F2"/>
    <w:rsid w:val="00814677"/>
    <w:rsid w:val="008146FB"/>
    <w:rsid w:val="00814761"/>
    <w:rsid w:val="00814878"/>
    <w:rsid w:val="00814935"/>
    <w:rsid w:val="0081493B"/>
    <w:rsid w:val="0081498D"/>
    <w:rsid w:val="00814A9D"/>
    <w:rsid w:val="00814BC1"/>
    <w:rsid w:val="00814E54"/>
    <w:rsid w:val="00814F22"/>
    <w:rsid w:val="00814F30"/>
    <w:rsid w:val="00814FFB"/>
    <w:rsid w:val="00815131"/>
    <w:rsid w:val="008151A7"/>
    <w:rsid w:val="008151E8"/>
    <w:rsid w:val="008152BB"/>
    <w:rsid w:val="00815425"/>
    <w:rsid w:val="00815652"/>
    <w:rsid w:val="00815776"/>
    <w:rsid w:val="00815F08"/>
    <w:rsid w:val="00815F63"/>
    <w:rsid w:val="00815F87"/>
    <w:rsid w:val="0081614D"/>
    <w:rsid w:val="0081619E"/>
    <w:rsid w:val="0081628D"/>
    <w:rsid w:val="008163B6"/>
    <w:rsid w:val="00816445"/>
    <w:rsid w:val="0081644D"/>
    <w:rsid w:val="00816478"/>
    <w:rsid w:val="00816619"/>
    <w:rsid w:val="00816642"/>
    <w:rsid w:val="00816759"/>
    <w:rsid w:val="008167B9"/>
    <w:rsid w:val="0081693A"/>
    <w:rsid w:val="00816943"/>
    <w:rsid w:val="008170C8"/>
    <w:rsid w:val="008170EA"/>
    <w:rsid w:val="0081712D"/>
    <w:rsid w:val="008171CE"/>
    <w:rsid w:val="008173B7"/>
    <w:rsid w:val="008174F7"/>
    <w:rsid w:val="0081750F"/>
    <w:rsid w:val="00817771"/>
    <w:rsid w:val="008177BE"/>
    <w:rsid w:val="00817904"/>
    <w:rsid w:val="00817965"/>
    <w:rsid w:val="00817AC0"/>
    <w:rsid w:val="00817B26"/>
    <w:rsid w:val="00817CAF"/>
    <w:rsid w:val="00817CC6"/>
    <w:rsid w:val="00817FA3"/>
    <w:rsid w:val="008200D0"/>
    <w:rsid w:val="008201C4"/>
    <w:rsid w:val="00820266"/>
    <w:rsid w:val="0082038F"/>
    <w:rsid w:val="00820539"/>
    <w:rsid w:val="008205C1"/>
    <w:rsid w:val="008205DD"/>
    <w:rsid w:val="008206BA"/>
    <w:rsid w:val="008207FC"/>
    <w:rsid w:val="00820822"/>
    <w:rsid w:val="00820852"/>
    <w:rsid w:val="00820891"/>
    <w:rsid w:val="008208C7"/>
    <w:rsid w:val="0082099B"/>
    <w:rsid w:val="00820BA2"/>
    <w:rsid w:val="00820BC6"/>
    <w:rsid w:val="00820F58"/>
    <w:rsid w:val="008210D5"/>
    <w:rsid w:val="008211B7"/>
    <w:rsid w:val="0082131A"/>
    <w:rsid w:val="0082140E"/>
    <w:rsid w:val="008214A3"/>
    <w:rsid w:val="0082165F"/>
    <w:rsid w:val="0082171D"/>
    <w:rsid w:val="00821755"/>
    <w:rsid w:val="008218C3"/>
    <w:rsid w:val="008219F8"/>
    <w:rsid w:val="00821B45"/>
    <w:rsid w:val="00821BCB"/>
    <w:rsid w:val="00821BEB"/>
    <w:rsid w:val="00821C80"/>
    <w:rsid w:val="00821DD1"/>
    <w:rsid w:val="00821E0E"/>
    <w:rsid w:val="00821F1C"/>
    <w:rsid w:val="00821F63"/>
    <w:rsid w:val="00822014"/>
    <w:rsid w:val="0082218C"/>
    <w:rsid w:val="008222B7"/>
    <w:rsid w:val="00822379"/>
    <w:rsid w:val="008223D3"/>
    <w:rsid w:val="008224C8"/>
    <w:rsid w:val="008224CF"/>
    <w:rsid w:val="008225CC"/>
    <w:rsid w:val="008225F0"/>
    <w:rsid w:val="008225F7"/>
    <w:rsid w:val="00822696"/>
    <w:rsid w:val="008227BB"/>
    <w:rsid w:val="008229B4"/>
    <w:rsid w:val="008229BE"/>
    <w:rsid w:val="00822CF0"/>
    <w:rsid w:val="00822D28"/>
    <w:rsid w:val="00822D63"/>
    <w:rsid w:val="00822E17"/>
    <w:rsid w:val="0082305A"/>
    <w:rsid w:val="008231D8"/>
    <w:rsid w:val="0082324E"/>
    <w:rsid w:val="00823268"/>
    <w:rsid w:val="00823335"/>
    <w:rsid w:val="008233F5"/>
    <w:rsid w:val="00823556"/>
    <w:rsid w:val="00823575"/>
    <w:rsid w:val="0082367E"/>
    <w:rsid w:val="008238B9"/>
    <w:rsid w:val="00823965"/>
    <w:rsid w:val="0082397C"/>
    <w:rsid w:val="0082398D"/>
    <w:rsid w:val="008239DB"/>
    <w:rsid w:val="00823A00"/>
    <w:rsid w:val="00823A26"/>
    <w:rsid w:val="00823B03"/>
    <w:rsid w:val="00823DA8"/>
    <w:rsid w:val="00823E7E"/>
    <w:rsid w:val="00823E9A"/>
    <w:rsid w:val="0082424B"/>
    <w:rsid w:val="0082428F"/>
    <w:rsid w:val="008242F6"/>
    <w:rsid w:val="0082469E"/>
    <w:rsid w:val="0082488E"/>
    <w:rsid w:val="0082495D"/>
    <w:rsid w:val="008249CB"/>
    <w:rsid w:val="00824A09"/>
    <w:rsid w:val="00824C60"/>
    <w:rsid w:val="00824D51"/>
    <w:rsid w:val="00824F40"/>
    <w:rsid w:val="00824F4D"/>
    <w:rsid w:val="00824F73"/>
    <w:rsid w:val="00824FB2"/>
    <w:rsid w:val="00824FBB"/>
    <w:rsid w:val="008250F3"/>
    <w:rsid w:val="008251CC"/>
    <w:rsid w:val="008251D0"/>
    <w:rsid w:val="008252D2"/>
    <w:rsid w:val="008255B3"/>
    <w:rsid w:val="0082585E"/>
    <w:rsid w:val="00825D6E"/>
    <w:rsid w:val="00825E3A"/>
    <w:rsid w:val="00825E53"/>
    <w:rsid w:val="00825E73"/>
    <w:rsid w:val="00825F19"/>
    <w:rsid w:val="00826056"/>
    <w:rsid w:val="00826164"/>
    <w:rsid w:val="00826282"/>
    <w:rsid w:val="008262ED"/>
    <w:rsid w:val="00826396"/>
    <w:rsid w:val="00826539"/>
    <w:rsid w:val="008266C1"/>
    <w:rsid w:val="0082675B"/>
    <w:rsid w:val="0082692E"/>
    <w:rsid w:val="008269BB"/>
    <w:rsid w:val="008269F4"/>
    <w:rsid w:val="00826B08"/>
    <w:rsid w:val="00826C21"/>
    <w:rsid w:val="00826D3A"/>
    <w:rsid w:val="00826D79"/>
    <w:rsid w:val="00826E7E"/>
    <w:rsid w:val="00826E94"/>
    <w:rsid w:val="00826F06"/>
    <w:rsid w:val="00827088"/>
    <w:rsid w:val="00827199"/>
    <w:rsid w:val="00827288"/>
    <w:rsid w:val="0082729A"/>
    <w:rsid w:val="00827446"/>
    <w:rsid w:val="00827459"/>
    <w:rsid w:val="008275E0"/>
    <w:rsid w:val="00827617"/>
    <w:rsid w:val="00827730"/>
    <w:rsid w:val="0082785F"/>
    <w:rsid w:val="0082786D"/>
    <w:rsid w:val="008278E4"/>
    <w:rsid w:val="00827A55"/>
    <w:rsid w:val="00827B33"/>
    <w:rsid w:val="00827B5E"/>
    <w:rsid w:val="00827D16"/>
    <w:rsid w:val="00827E0A"/>
    <w:rsid w:val="00827EB5"/>
    <w:rsid w:val="00827F7E"/>
    <w:rsid w:val="00827F9C"/>
    <w:rsid w:val="0083013C"/>
    <w:rsid w:val="0083016E"/>
    <w:rsid w:val="00830265"/>
    <w:rsid w:val="00830285"/>
    <w:rsid w:val="008303D4"/>
    <w:rsid w:val="008303FB"/>
    <w:rsid w:val="0083066F"/>
    <w:rsid w:val="00830819"/>
    <w:rsid w:val="008308AD"/>
    <w:rsid w:val="008308B7"/>
    <w:rsid w:val="008308FA"/>
    <w:rsid w:val="00830949"/>
    <w:rsid w:val="00830BC6"/>
    <w:rsid w:val="00830C2B"/>
    <w:rsid w:val="00830C5C"/>
    <w:rsid w:val="00830DA7"/>
    <w:rsid w:val="00830F1C"/>
    <w:rsid w:val="00830F8E"/>
    <w:rsid w:val="0083105D"/>
    <w:rsid w:val="0083119E"/>
    <w:rsid w:val="00831243"/>
    <w:rsid w:val="0083129B"/>
    <w:rsid w:val="0083130F"/>
    <w:rsid w:val="00831372"/>
    <w:rsid w:val="00831431"/>
    <w:rsid w:val="008316FC"/>
    <w:rsid w:val="00831834"/>
    <w:rsid w:val="0083187E"/>
    <w:rsid w:val="008319C6"/>
    <w:rsid w:val="00831B51"/>
    <w:rsid w:val="00831CBB"/>
    <w:rsid w:val="00831D7F"/>
    <w:rsid w:val="00831DC1"/>
    <w:rsid w:val="00831DF6"/>
    <w:rsid w:val="00831EC7"/>
    <w:rsid w:val="00831F3A"/>
    <w:rsid w:val="00831FED"/>
    <w:rsid w:val="008322EE"/>
    <w:rsid w:val="00832300"/>
    <w:rsid w:val="00832430"/>
    <w:rsid w:val="00832470"/>
    <w:rsid w:val="008324AB"/>
    <w:rsid w:val="008324C3"/>
    <w:rsid w:val="008324D9"/>
    <w:rsid w:val="008325CB"/>
    <w:rsid w:val="008325F0"/>
    <w:rsid w:val="008325FC"/>
    <w:rsid w:val="008326E6"/>
    <w:rsid w:val="008327A2"/>
    <w:rsid w:val="0083292B"/>
    <w:rsid w:val="008329A5"/>
    <w:rsid w:val="00832A17"/>
    <w:rsid w:val="00832B80"/>
    <w:rsid w:val="00832BBE"/>
    <w:rsid w:val="00832C53"/>
    <w:rsid w:val="00832D38"/>
    <w:rsid w:val="00832E2C"/>
    <w:rsid w:val="00832E52"/>
    <w:rsid w:val="00832F79"/>
    <w:rsid w:val="00833145"/>
    <w:rsid w:val="0083327B"/>
    <w:rsid w:val="00833313"/>
    <w:rsid w:val="0083342F"/>
    <w:rsid w:val="00833473"/>
    <w:rsid w:val="00833474"/>
    <w:rsid w:val="008335BC"/>
    <w:rsid w:val="00833611"/>
    <w:rsid w:val="00833812"/>
    <w:rsid w:val="008338C9"/>
    <w:rsid w:val="0083395A"/>
    <w:rsid w:val="00833A5B"/>
    <w:rsid w:val="00833A92"/>
    <w:rsid w:val="00833AFC"/>
    <w:rsid w:val="00833BD4"/>
    <w:rsid w:val="00833E34"/>
    <w:rsid w:val="00833F28"/>
    <w:rsid w:val="00833F7C"/>
    <w:rsid w:val="00834094"/>
    <w:rsid w:val="008340DB"/>
    <w:rsid w:val="0083419F"/>
    <w:rsid w:val="0083425A"/>
    <w:rsid w:val="008342AF"/>
    <w:rsid w:val="008343D5"/>
    <w:rsid w:val="008344DA"/>
    <w:rsid w:val="00834567"/>
    <w:rsid w:val="0083457E"/>
    <w:rsid w:val="008345AB"/>
    <w:rsid w:val="008346E1"/>
    <w:rsid w:val="00834878"/>
    <w:rsid w:val="00834905"/>
    <w:rsid w:val="00834AA2"/>
    <w:rsid w:val="00834B1B"/>
    <w:rsid w:val="00834C85"/>
    <w:rsid w:val="00834E07"/>
    <w:rsid w:val="00834E4E"/>
    <w:rsid w:val="00834E8A"/>
    <w:rsid w:val="00834EBF"/>
    <w:rsid w:val="00834FBF"/>
    <w:rsid w:val="00835107"/>
    <w:rsid w:val="00835414"/>
    <w:rsid w:val="00835508"/>
    <w:rsid w:val="008357DD"/>
    <w:rsid w:val="0083582A"/>
    <w:rsid w:val="008358F1"/>
    <w:rsid w:val="00835A90"/>
    <w:rsid w:val="00835B00"/>
    <w:rsid w:val="00835C46"/>
    <w:rsid w:val="00835CC5"/>
    <w:rsid w:val="00835CE2"/>
    <w:rsid w:val="00835D86"/>
    <w:rsid w:val="00835FC9"/>
    <w:rsid w:val="00836129"/>
    <w:rsid w:val="0083613D"/>
    <w:rsid w:val="008361A1"/>
    <w:rsid w:val="0083635F"/>
    <w:rsid w:val="0083639B"/>
    <w:rsid w:val="008366DD"/>
    <w:rsid w:val="00836714"/>
    <w:rsid w:val="00836932"/>
    <w:rsid w:val="00836A00"/>
    <w:rsid w:val="00836A70"/>
    <w:rsid w:val="00836B6F"/>
    <w:rsid w:val="00836D5C"/>
    <w:rsid w:val="00836D9F"/>
    <w:rsid w:val="00836F4D"/>
    <w:rsid w:val="00837254"/>
    <w:rsid w:val="008376F4"/>
    <w:rsid w:val="00837760"/>
    <w:rsid w:val="008377E6"/>
    <w:rsid w:val="0083787C"/>
    <w:rsid w:val="00837B08"/>
    <w:rsid w:val="00837C05"/>
    <w:rsid w:val="00837D31"/>
    <w:rsid w:val="00837D4E"/>
    <w:rsid w:val="00837EB9"/>
    <w:rsid w:val="00837F07"/>
    <w:rsid w:val="00837F8A"/>
    <w:rsid w:val="00837FC7"/>
    <w:rsid w:val="0084008E"/>
    <w:rsid w:val="0084020C"/>
    <w:rsid w:val="008404FD"/>
    <w:rsid w:val="0084059C"/>
    <w:rsid w:val="008407EB"/>
    <w:rsid w:val="00840800"/>
    <w:rsid w:val="00840961"/>
    <w:rsid w:val="008409FF"/>
    <w:rsid w:val="00840A47"/>
    <w:rsid w:val="00840C01"/>
    <w:rsid w:val="00840CFF"/>
    <w:rsid w:val="00840D26"/>
    <w:rsid w:val="00840DDF"/>
    <w:rsid w:val="00840FAE"/>
    <w:rsid w:val="008412D1"/>
    <w:rsid w:val="00841457"/>
    <w:rsid w:val="008417FF"/>
    <w:rsid w:val="00841927"/>
    <w:rsid w:val="00841968"/>
    <w:rsid w:val="0084199F"/>
    <w:rsid w:val="00841A28"/>
    <w:rsid w:val="00841A5E"/>
    <w:rsid w:val="00841AD4"/>
    <w:rsid w:val="00841AFD"/>
    <w:rsid w:val="00841B7A"/>
    <w:rsid w:val="00841C36"/>
    <w:rsid w:val="00841E01"/>
    <w:rsid w:val="00841E4E"/>
    <w:rsid w:val="008420B8"/>
    <w:rsid w:val="0084212B"/>
    <w:rsid w:val="00842158"/>
    <w:rsid w:val="0084224B"/>
    <w:rsid w:val="008422C2"/>
    <w:rsid w:val="008422FE"/>
    <w:rsid w:val="00842378"/>
    <w:rsid w:val="00842610"/>
    <w:rsid w:val="00842952"/>
    <w:rsid w:val="00842B0F"/>
    <w:rsid w:val="00842CA8"/>
    <w:rsid w:val="00842CDF"/>
    <w:rsid w:val="00842CF7"/>
    <w:rsid w:val="00842F69"/>
    <w:rsid w:val="00843034"/>
    <w:rsid w:val="00843051"/>
    <w:rsid w:val="008430C0"/>
    <w:rsid w:val="0084334E"/>
    <w:rsid w:val="008433E5"/>
    <w:rsid w:val="0084370C"/>
    <w:rsid w:val="0084373E"/>
    <w:rsid w:val="00843916"/>
    <w:rsid w:val="00843BBC"/>
    <w:rsid w:val="00843C36"/>
    <w:rsid w:val="00843CAB"/>
    <w:rsid w:val="00843DE7"/>
    <w:rsid w:val="00843E84"/>
    <w:rsid w:val="0084402A"/>
    <w:rsid w:val="008440A1"/>
    <w:rsid w:val="00844284"/>
    <w:rsid w:val="00844337"/>
    <w:rsid w:val="008443DD"/>
    <w:rsid w:val="00844507"/>
    <w:rsid w:val="008445BD"/>
    <w:rsid w:val="00844689"/>
    <w:rsid w:val="008447C2"/>
    <w:rsid w:val="00844825"/>
    <w:rsid w:val="0084488A"/>
    <w:rsid w:val="0084491E"/>
    <w:rsid w:val="00844983"/>
    <w:rsid w:val="00844AB2"/>
    <w:rsid w:val="00844AFC"/>
    <w:rsid w:val="00844C69"/>
    <w:rsid w:val="00844D80"/>
    <w:rsid w:val="00844DB3"/>
    <w:rsid w:val="00844EE8"/>
    <w:rsid w:val="00845021"/>
    <w:rsid w:val="008451FF"/>
    <w:rsid w:val="0084522E"/>
    <w:rsid w:val="008454B9"/>
    <w:rsid w:val="008454DF"/>
    <w:rsid w:val="0084553E"/>
    <w:rsid w:val="0084556C"/>
    <w:rsid w:val="00845A12"/>
    <w:rsid w:val="00845A8D"/>
    <w:rsid w:val="00845AB5"/>
    <w:rsid w:val="00845B97"/>
    <w:rsid w:val="00845BCB"/>
    <w:rsid w:val="00845FB9"/>
    <w:rsid w:val="00845FBD"/>
    <w:rsid w:val="00845FD6"/>
    <w:rsid w:val="00845FEC"/>
    <w:rsid w:val="0084608F"/>
    <w:rsid w:val="00846259"/>
    <w:rsid w:val="008462FD"/>
    <w:rsid w:val="00846608"/>
    <w:rsid w:val="00846763"/>
    <w:rsid w:val="008468A1"/>
    <w:rsid w:val="008468E8"/>
    <w:rsid w:val="00846954"/>
    <w:rsid w:val="00846993"/>
    <w:rsid w:val="00846A84"/>
    <w:rsid w:val="00846AC1"/>
    <w:rsid w:val="00846C31"/>
    <w:rsid w:val="00846C7C"/>
    <w:rsid w:val="00846CC3"/>
    <w:rsid w:val="00846ECF"/>
    <w:rsid w:val="00847118"/>
    <w:rsid w:val="008473F1"/>
    <w:rsid w:val="0084778A"/>
    <w:rsid w:val="008479B4"/>
    <w:rsid w:val="00847BA4"/>
    <w:rsid w:val="00847C23"/>
    <w:rsid w:val="00847E88"/>
    <w:rsid w:val="00847ED5"/>
    <w:rsid w:val="00850047"/>
    <w:rsid w:val="0085008A"/>
    <w:rsid w:val="00850145"/>
    <w:rsid w:val="008502FD"/>
    <w:rsid w:val="00850432"/>
    <w:rsid w:val="00850659"/>
    <w:rsid w:val="00850794"/>
    <w:rsid w:val="00850854"/>
    <w:rsid w:val="00850916"/>
    <w:rsid w:val="0085094D"/>
    <w:rsid w:val="0085097B"/>
    <w:rsid w:val="00850AA1"/>
    <w:rsid w:val="00850C94"/>
    <w:rsid w:val="00850E03"/>
    <w:rsid w:val="00850F2C"/>
    <w:rsid w:val="00851191"/>
    <w:rsid w:val="008512CF"/>
    <w:rsid w:val="0085130F"/>
    <w:rsid w:val="008513AD"/>
    <w:rsid w:val="00851419"/>
    <w:rsid w:val="008514C5"/>
    <w:rsid w:val="008514C6"/>
    <w:rsid w:val="00851634"/>
    <w:rsid w:val="00851704"/>
    <w:rsid w:val="008517BD"/>
    <w:rsid w:val="008517D9"/>
    <w:rsid w:val="00851814"/>
    <w:rsid w:val="008519D0"/>
    <w:rsid w:val="00851C3D"/>
    <w:rsid w:val="00851CAA"/>
    <w:rsid w:val="00851D0E"/>
    <w:rsid w:val="00851DAF"/>
    <w:rsid w:val="00851DE9"/>
    <w:rsid w:val="00851E09"/>
    <w:rsid w:val="00851EE1"/>
    <w:rsid w:val="00851F61"/>
    <w:rsid w:val="00852092"/>
    <w:rsid w:val="008520D2"/>
    <w:rsid w:val="00852117"/>
    <w:rsid w:val="0085212C"/>
    <w:rsid w:val="008521CB"/>
    <w:rsid w:val="00852202"/>
    <w:rsid w:val="008525F8"/>
    <w:rsid w:val="008528C9"/>
    <w:rsid w:val="00852975"/>
    <w:rsid w:val="00852BC2"/>
    <w:rsid w:val="00852C38"/>
    <w:rsid w:val="00852F64"/>
    <w:rsid w:val="0085302B"/>
    <w:rsid w:val="0085306C"/>
    <w:rsid w:val="008533E0"/>
    <w:rsid w:val="0085344B"/>
    <w:rsid w:val="0085346E"/>
    <w:rsid w:val="008534C3"/>
    <w:rsid w:val="00853629"/>
    <w:rsid w:val="0085383E"/>
    <w:rsid w:val="00853C0B"/>
    <w:rsid w:val="00853C63"/>
    <w:rsid w:val="00853C9B"/>
    <w:rsid w:val="00853CF8"/>
    <w:rsid w:val="00853DFB"/>
    <w:rsid w:val="00853E44"/>
    <w:rsid w:val="00853F2A"/>
    <w:rsid w:val="0085400C"/>
    <w:rsid w:val="0085403B"/>
    <w:rsid w:val="00854140"/>
    <w:rsid w:val="008541BD"/>
    <w:rsid w:val="008543DA"/>
    <w:rsid w:val="008544C0"/>
    <w:rsid w:val="008546E9"/>
    <w:rsid w:val="008546EF"/>
    <w:rsid w:val="008549D0"/>
    <w:rsid w:val="008549F6"/>
    <w:rsid w:val="00854B0A"/>
    <w:rsid w:val="00854E35"/>
    <w:rsid w:val="0085512A"/>
    <w:rsid w:val="008552DE"/>
    <w:rsid w:val="00855360"/>
    <w:rsid w:val="0085572E"/>
    <w:rsid w:val="00855800"/>
    <w:rsid w:val="00855866"/>
    <w:rsid w:val="008558E5"/>
    <w:rsid w:val="00855BA0"/>
    <w:rsid w:val="00855D3E"/>
    <w:rsid w:val="00855D54"/>
    <w:rsid w:val="00855D7F"/>
    <w:rsid w:val="00855EF4"/>
    <w:rsid w:val="00855F5A"/>
    <w:rsid w:val="00855F76"/>
    <w:rsid w:val="00855FB5"/>
    <w:rsid w:val="008561B6"/>
    <w:rsid w:val="00856241"/>
    <w:rsid w:val="00856316"/>
    <w:rsid w:val="00856428"/>
    <w:rsid w:val="008564D9"/>
    <w:rsid w:val="00856528"/>
    <w:rsid w:val="0085679D"/>
    <w:rsid w:val="008567DD"/>
    <w:rsid w:val="0085691C"/>
    <w:rsid w:val="0085697F"/>
    <w:rsid w:val="008569C8"/>
    <w:rsid w:val="008569EE"/>
    <w:rsid w:val="00856A5F"/>
    <w:rsid w:val="00856A81"/>
    <w:rsid w:val="00856B6B"/>
    <w:rsid w:val="00856E1E"/>
    <w:rsid w:val="00856FEB"/>
    <w:rsid w:val="00857044"/>
    <w:rsid w:val="008570BE"/>
    <w:rsid w:val="0085731F"/>
    <w:rsid w:val="008574A6"/>
    <w:rsid w:val="00857520"/>
    <w:rsid w:val="00857648"/>
    <w:rsid w:val="008577F7"/>
    <w:rsid w:val="00857869"/>
    <w:rsid w:val="008578D2"/>
    <w:rsid w:val="00857913"/>
    <w:rsid w:val="00857A80"/>
    <w:rsid w:val="00857C78"/>
    <w:rsid w:val="00857E00"/>
    <w:rsid w:val="00857E77"/>
    <w:rsid w:val="00857ECE"/>
    <w:rsid w:val="00857F70"/>
    <w:rsid w:val="00857FC7"/>
    <w:rsid w:val="0086008B"/>
    <w:rsid w:val="008600EA"/>
    <w:rsid w:val="00860292"/>
    <w:rsid w:val="00860376"/>
    <w:rsid w:val="008607F1"/>
    <w:rsid w:val="0086091A"/>
    <w:rsid w:val="00860C45"/>
    <w:rsid w:val="00861023"/>
    <w:rsid w:val="008610A5"/>
    <w:rsid w:val="00861163"/>
    <w:rsid w:val="0086117F"/>
    <w:rsid w:val="008611AF"/>
    <w:rsid w:val="00861309"/>
    <w:rsid w:val="0086153F"/>
    <w:rsid w:val="0086162C"/>
    <w:rsid w:val="00861631"/>
    <w:rsid w:val="0086179D"/>
    <w:rsid w:val="00861841"/>
    <w:rsid w:val="008619E0"/>
    <w:rsid w:val="00861AF9"/>
    <w:rsid w:val="00861B70"/>
    <w:rsid w:val="00861CEA"/>
    <w:rsid w:val="00861D80"/>
    <w:rsid w:val="00861F35"/>
    <w:rsid w:val="00861F88"/>
    <w:rsid w:val="00861FAC"/>
    <w:rsid w:val="008620BB"/>
    <w:rsid w:val="00862305"/>
    <w:rsid w:val="0086239C"/>
    <w:rsid w:val="00862518"/>
    <w:rsid w:val="008625C4"/>
    <w:rsid w:val="008627E0"/>
    <w:rsid w:val="00862855"/>
    <w:rsid w:val="00862A2A"/>
    <w:rsid w:val="00862A97"/>
    <w:rsid w:val="0086334A"/>
    <w:rsid w:val="0086338A"/>
    <w:rsid w:val="008633A4"/>
    <w:rsid w:val="008633F5"/>
    <w:rsid w:val="00863506"/>
    <w:rsid w:val="0086362F"/>
    <w:rsid w:val="00863744"/>
    <w:rsid w:val="008638A3"/>
    <w:rsid w:val="0086397A"/>
    <w:rsid w:val="00863A08"/>
    <w:rsid w:val="00863A3A"/>
    <w:rsid w:val="00863A8A"/>
    <w:rsid w:val="00863B0E"/>
    <w:rsid w:val="00863D95"/>
    <w:rsid w:val="00863DD6"/>
    <w:rsid w:val="00863FCA"/>
    <w:rsid w:val="00863FE3"/>
    <w:rsid w:val="00863FF0"/>
    <w:rsid w:val="00864058"/>
    <w:rsid w:val="00864105"/>
    <w:rsid w:val="008641A6"/>
    <w:rsid w:val="0086434B"/>
    <w:rsid w:val="008646F0"/>
    <w:rsid w:val="00864784"/>
    <w:rsid w:val="008647D7"/>
    <w:rsid w:val="00864804"/>
    <w:rsid w:val="00864A55"/>
    <w:rsid w:val="00864AD4"/>
    <w:rsid w:val="00864B11"/>
    <w:rsid w:val="00864E34"/>
    <w:rsid w:val="00864EF6"/>
    <w:rsid w:val="00864F93"/>
    <w:rsid w:val="00864FD9"/>
    <w:rsid w:val="008651D3"/>
    <w:rsid w:val="008653AE"/>
    <w:rsid w:val="0086544E"/>
    <w:rsid w:val="008654CE"/>
    <w:rsid w:val="00865853"/>
    <w:rsid w:val="00865877"/>
    <w:rsid w:val="00865891"/>
    <w:rsid w:val="0086595B"/>
    <w:rsid w:val="008659BB"/>
    <w:rsid w:val="008660F7"/>
    <w:rsid w:val="00866135"/>
    <w:rsid w:val="008661D1"/>
    <w:rsid w:val="00866785"/>
    <w:rsid w:val="00866A44"/>
    <w:rsid w:val="00866BE7"/>
    <w:rsid w:val="00866C46"/>
    <w:rsid w:val="00866C64"/>
    <w:rsid w:val="00866CB8"/>
    <w:rsid w:val="00866EF6"/>
    <w:rsid w:val="0086704F"/>
    <w:rsid w:val="00867089"/>
    <w:rsid w:val="008670C9"/>
    <w:rsid w:val="008671C6"/>
    <w:rsid w:val="008673FA"/>
    <w:rsid w:val="00867576"/>
    <w:rsid w:val="008675A1"/>
    <w:rsid w:val="008677F7"/>
    <w:rsid w:val="008678AC"/>
    <w:rsid w:val="00867A07"/>
    <w:rsid w:val="00867A0B"/>
    <w:rsid w:val="00867EBA"/>
    <w:rsid w:val="00867FAA"/>
    <w:rsid w:val="00870247"/>
    <w:rsid w:val="008702B6"/>
    <w:rsid w:val="008704C1"/>
    <w:rsid w:val="008704D1"/>
    <w:rsid w:val="0087081E"/>
    <w:rsid w:val="00870875"/>
    <w:rsid w:val="00870889"/>
    <w:rsid w:val="0087089B"/>
    <w:rsid w:val="008709BC"/>
    <w:rsid w:val="00870CD1"/>
    <w:rsid w:val="00870CD2"/>
    <w:rsid w:val="00870D3B"/>
    <w:rsid w:val="00870D8C"/>
    <w:rsid w:val="00870DC0"/>
    <w:rsid w:val="00870FE3"/>
    <w:rsid w:val="00871089"/>
    <w:rsid w:val="008710FA"/>
    <w:rsid w:val="008711BE"/>
    <w:rsid w:val="0087131C"/>
    <w:rsid w:val="008713B0"/>
    <w:rsid w:val="008716B3"/>
    <w:rsid w:val="00871772"/>
    <w:rsid w:val="0087185C"/>
    <w:rsid w:val="00871896"/>
    <w:rsid w:val="00871976"/>
    <w:rsid w:val="0087197D"/>
    <w:rsid w:val="00871A6E"/>
    <w:rsid w:val="00871B57"/>
    <w:rsid w:val="00871C1B"/>
    <w:rsid w:val="00871C55"/>
    <w:rsid w:val="00871C98"/>
    <w:rsid w:val="00871D09"/>
    <w:rsid w:val="00871F03"/>
    <w:rsid w:val="008720A5"/>
    <w:rsid w:val="00872164"/>
    <w:rsid w:val="00872175"/>
    <w:rsid w:val="00872235"/>
    <w:rsid w:val="008722C6"/>
    <w:rsid w:val="008722D8"/>
    <w:rsid w:val="00872687"/>
    <w:rsid w:val="0087274E"/>
    <w:rsid w:val="008727B1"/>
    <w:rsid w:val="008727EF"/>
    <w:rsid w:val="0087284A"/>
    <w:rsid w:val="0087289B"/>
    <w:rsid w:val="008728C4"/>
    <w:rsid w:val="008728D4"/>
    <w:rsid w:val="008728DD"/>
    <w:rsid w:val="00872B0F"/>
    <w:rsid w:val="00872C07"/>
    <w:rsid w:val="00872CEF"/>
    <w:rsid w:val="00872D11"/>
    <w:rsid w:val="00872DAF"/>
    <w:rsid w:val="00872EF8"/>
    <w:rsid w:val="008731A4"/>
    <w:rsid w:val="0087324C"/>
    <w:rsid w:val="00873256"/>
    <w:rsid w:val="00873312"/>
    <w:rsid w:val="00873335"/>
    <w:rsid w:val="0087347A"/>
    <w:rsid w:val="008734F0"/>
    <w:rsid w:val="00873AB9"/>
    <w:rsid w:val="00873B29"/>
    <w:rsid w:val="00873B4F"/>
    <w:rsid w:val="00873C6D"/>
    <w:rsid w:val="00873F27"/>
    <w:rsid w:val="00873F8F"/>
    <w:rsid w:val="0087402C"/>
    <w:rsid w:val="0087402E"/>
    <w:rsid w:val="008740B0"/>
    <w:rsid w:val="008740F2"/>
    <w:rsid w:val="008741B7"/>
    <w:rsid w:val="008741CE"/>
    <w:rsid w:val="008744B7"/>
    <w:rsid w:val="00874980"/>
    <w:rsid w:val="008749CA"/>
    <w:rsid w:val="008749F8"/>
    <w:rsid w:val="00874A6F"/>
    <w:rsid w:val="00874A92"/>
    <w:rsid w:val="00874B23"/>
    <w:rsid w:val="00874B7B"/>
    <w:rsid w:val="00874B9E"/>
    <w:rsid w:val="00874BB1"/>
    <w:rsid w:val="00874F3B"/>
    <w:rsid w:val="00875485"/>
    <w:rsid w:val="008757C2"/>
    <w:rsid w:val="00875952"/>
    <w:rsid w:val="00875A8C"/>
    <w:rsid w:val="00875B89"/>
    <w:rsid w:val="00875C45"/>
    <w:rsid w:val="00875D86"/>
    <w:rsid w:val="00875EB4"/>
    <w:rsid w:val="00875F32"/>
    <w:rsid w:val="00876057"/>
    <w:rsid w:val="008761E9"/>
    <w:rsid w:val="0087623E"/>
    <w:rsid w:val="00876328"/>
    <w:rsid w:val="00876374"/>
    <w:rsid w:val="008763AB"/>
    <w:rsid w:val="00876440"/>
    <w:rsid w:val="0087680C"/>
    <w:rsid w:val="00876842"/>
    <w:rsid w:val="0087685B"/>
    <w:rsid w:val="00876976"/>
    <w:rsid w:val="008769A9"/>
    <w:rsid w:val="00876E11"/>
    <w:rsid w:val="00876FD5"/>
    <w:rsid w:val="00877103"/>
    <w:rsid w:val="008771F3"/>
    <w:rsid w:val="008772F7"/>
    <w:rsid w:val="008773DE"/>
    <w:rsid w:val="00877488"/>
    <w:rsid w:val="00877619"/>
    <w:rsid w:val="00877734"/>
    <w:rsid w:val="00877763"/>
    <w:rsid w:val="008778BF"/>
    <w:rsid w:val="00877A84"/>
    <w:rsid w:val="00877ABA"/>
    <w:rsid w:val="00877B1E"/>
    <w:rsid w:val="00877CE7"/>
    <w:rsid w:val="00877DF9"/>
    <w:rsid w:val="00877E6B"/>
    <w:rsid w:val="00877F03"/>
    <w:rsid w:val="00877FD3"/>
    <w:rsid w:val="0088002C"/>
    <w:rsid w:val="00880129"/>
    <w:rsid w:val="008803D0"/>
    <w:rsid w:val="00880429"/>
    <w:rsid w:val="0088055B"/>
    <w:rsid w:val="0088087C"/>
    <w:rsid w:val="00880914"/>
    <w:rsid w:val="00880927"/>
    <w:rsid w:val="008809EA"/>
    <w:rsid w:val="00880A82"/>
    <w:rsid w:val="00880BB3"/>
    <w:rsid w:val="00880C19"/>
    <w:rsid w:val="00880C7C"/>
    <w:rsid w:val="00880CD8"/>
    <w:rsid w:val="00880CE2"/>
    <w:rsid w:val="00880F3C"/>
    <w:rsid w:val="00881163"/>
    <w:rsid w:val="0088128B"/>
    <w:rsid w:val="008814EB"/>
    <w:rsid w:val="00881504"/>
    <w:rsid w:val="00881553"/>
    <w:rsid w:val="00881834"/>
    <w:rsid w:val="008818FD"/>
    <w:rsid w:val="0088191D"/>
    <w:rsid w:val="008819D1"/>
    <w:rsid w:val="00881A71"/>
    <w:rsid w:val="00881C3F"/>
    <w:rsid w:val="00881C70"/>
    <w:rsid w:val="00881D21"/>
    <w:rsid w:val="00881D76"/>
    <w:rsid w:val="00881E74"/>
    <w:rsid w:val="00881EEE"/>
    <w:rsid w:val="00882492"/>
    <w:rsid w:val="0088251E"/>
    <w:rsid w:val="00882557"/>
    <w:rsid w:val="0088257E"/>
    <w:rsid w:val="0088270D"/>
    <w:rsid w:val="00882790"/>
    <w:rsid w:val="008827E2"/>
    <w:rsid w:val="008828E9"/>
    <w:rsid w:val="00882C11"/>
    <w:rsid w:val="00882CD3"/>
    <w:rsid w:val="008830C0"/>
    <w:rsid w:val="008830E9"/>
    <w:rsid w:val="00883285"/>
    <w:rsid w:val="008832C0"/>
    <w:rsid w:val="008833A5"/>
    <w:rsid w:val="00883405"/>
    <w:rsid w:val="008834A1"/>
    <w:rsid w:val="008834F6"/>
    <w:rsid w:val="008835AA"/>
    <w:rsid w:val="00883948"/>
    <w:rsid w:val="00883A80"/>
    <w:rsid w:val="00883ABD"/>
    <w:rsid w:val="00883AEB"/>
    <w:rsid w:val="00883BAF"/>
    <w:rsid w:val="00883D04"/>
    <w:rsid w:val="00883E70"/>
    <w:rsid w:val="00884046"/>
    <w:rsid w:val="00884049"/>
    <w:rsid w:val="00884178"/>
    <w:rsid w:val="00884263"/>
    <w:rsid w:val="00884271"/>
    <w:rsid w:val="00884330"/>
    <w:rsid w:val="00884402"/>
    <w:rsid w:val="008845B1"/>
    <w:rsid w:val="008845E4"/>
    <w:rsid w:val="0088462F"/>
    <w:rsid w:val="0088464A"/>
    <w:rsid w:val="00884B32"/>
    <w:rsid w:val="00884C88"/>
    <w:rsid w:val="00884CE1"/>
    <w:rsid w:val="00884D4A"/>
    <w:rsid w:val="00884EA4"/>
    <w:rsid w:val="00884F57"/>
    <w:rsid w:val="00884F6E"/>
    <w:rsid w:val="00885225"/>
    <w:rsid w:val="00885227"/>
    <w:rsid w:val="00885283"/>
    <w:rsid w:val="00885285"/>
    <w:rsid w:val="0088528C"/>
    <w:rsid w:val="0088548E"/>
    <w:rsid w:val="008855D0"/>
    <w:rsid w:val="0088584D"/>
    <w:rsid w:val="008858F1"/>
    <w:rsid w:val="00885904"/>
    <w:rsid w:val="00885AE5"/>
    <w:rsid w:val="00885BED"/>
    <w:rsid w:val="00885BEE"/>
    <w:rsid w:val="00885C13"/>
    <w:rsid w:val="00885CBE"/>
    <w:rsid w:val="00885CBF"/>
    <w:rsid w:val="00885E33"/>
    <w:rsid w:val="00885F90"/>
    <w:rsid w:val="00885FFE"/>
    <w:rsid w:val="00886011"/>
    <w:rsid w:val="0088620A"/>
    <w:rsid w:val="00886344"/>
    <w:rsid w:val="008863F0"/>
    <w:rsid w:val="008864D4"/>
    <w:rsid w:val="00886735"/>
    <w:rsid w:val="008867F2"/>
    <w:rsid w:val="0088680F"/>
    <w:rsid w:val="00886A30"/>
    <w:rsid w:val="00886B30"/>
    <w:rsid w:val="00886C2E"/>
    <w:rsid w:val="00886D31"/>
    <w:rsid w:val="00887403"/>
    <w:rsid w:val="008874E7"/>
    <w:rsid w:val="0088760A"/>
    <w:rsid w:val="0088762F"/>
    <w:rsid w:val="00887948"/>
    <w:rsid w:val="008879E3"/>
    <w:rsid w:val="00887A22"/>
    <w:rsid w:val="00887A2D"/>
    <w:rsid w:val="00887B83"/>
    <w:rsid w:val="00887B93"/>
    <w:rsid w:val="00887BDD"/>
    <w:rsid w:val="00887C97"/>
    <w:rsid w:val="00887CA8"/>
    <w:rsid w:val="00887D12"/>
    <w:rsid w:val="00887E6F"/>
    <w:rsid w:val="00887F3A"/>
    <w:rsid w:val="00887FA0"/>
    <w:rsid w:val="00890046"/>
    <w:rsid w:val="00890075"/>
    <w:rsid w:val="0089008E"/>
    <w:rsid w:val="0089009C"/>
    <w:rsid w:val="00890150"/>
    <w:rsid w:val="008903EE"/>
    <w:rsid w:val="0089053E"/>
    <w:rsid w:val="00890769"/>
    <w:rsid w:val="00890908"/>
    <w:rsid w:val="00890918"/>
    <w:rsid w:val="008909D6"/>
    <w:rsid w:val="00890A9B"/>
    <w:rsid w:val="00890D27"/>
    <w:rsid w:val="00890E9B"/>
    <w:rsid w:val="00890EA4"/>
    <w:rsid w:val="00890EA5"/>
    <w:rsid w:val="00890F1F"/>
    <w:rsid w:val="0089110D"/>
    <w:rsid w:val="008911FD"/>
    <w:rsid w:val="00891309"/>
    <w:rsid w:val="00891321"/>
    <w:rsid w:val="0089149C"/>
    <w:rsid w:val="008914A0"/>
    <w:rsid w:val="0089167C"/>
    <w:rsid w:val="008918B6"/>
    <w:rsid w:val="00891912"/>
    <w:rsid w:val="0089191D"/>
    <w:rsid w:val="00891937"/>
    <w:rsid w:val="008919B8"/>
    <w:rsid w:val="00891C5F"/>
    <w:rsid w:val="00891D79"/>
    <w:rsid w:val="00891D7E"/>
    <w:rsid w:val="00891DC3"/>
    <w:rsid w:val="00891EB1"/>
    <w:rsid w:val="00891FA8"/>
    <w:rsid w:val="00892027"/>
    <w:rsid w:val="0089204C"/>
    <w:rsid w:val="00892068"/>
    <w:rsid w:val="00892103"/>
    <w:rsid w:val="00892293"/>
    <w:rsid w:val="00892348"/>
    <w:rsid w:val="008925DA"/>
    <w:rsid w:val="00892702"/>
    <w:rsid w:val="00892797"/>
    <w:rsid w:val="0089280F"/>
    <w:rsid w:val="00892833"/>
    <w:rsid w:val="00892849"/>
    <w:rsid w:val="0089294B"/>
    <w:rsid w:val="00892B61"/>
    <w:rsid w:val="00892BF1"/>
    <w:rsid w:val="00892D74"/>
    <w:rsid w:val="00892DE9"/>
    <w:rsid w:val="00892DEB"/>
    <w:rsid w:val="0089300C"/>
    <w:rsid w:val="00893059"/>
    <w:rsid w:val="0089305C"/>
    <w:rsid w:val="0089307E"/>
    <w:rsid w:val="00893118"/>
    <w:rsid w:val="008931A2"/>
    <w:rsid w:val="00893234"/>
    <w:rsid w:val="008933AF"/>
    <w:rsid w:val="008933D6"/>
    <w:rsid w:val="0089342B"/>
    <w:rsid w:val="0089357D"/>
    <w:rsid w:val="0089363D"/>
    <w:rsid w:val="0089374C"/>
    <w:rsid w:val="00893847"/>
    <w:rsid w:val="0089386D"/>
    <w:rsid w:val="008938AF"/>
    <w:rsid w:val="00893952"/>
    <w:rsid w:val="0089399B"/>
    <w:rsid w:val="008939CB"/>
    <w:rsid w:val="008939F0"/>
    <w:rsid w:val="00893AA7"/>
    <w:rsid w:val="00893D5A"/>
    <w:rsid w:val="00893D9B"/>
    <w:rsid w:val="00893DD3"/>
    <w:rsid w:val="00893E2B"/>
    <w:rsid w:val="00894288"/>
    <w:rsid w:val="008943F3"/>
    <w:rsid w:val="008944C7"/>
    <w:rsid w:val="00894582"/>
    <w:rsid w:val="00894672"/>
    <w:rsid w:val="00894903"/>
    <w:rsid w:val="00894AC9"/>
    <w:rsid w:val="00894BC8"/>
    <w:rsid w:val="00894C70"/>
    <w:rsid w:val="00894D34"/>
    <w:rsid w:val="00894D56"/>
    <w:rsid w:val="00894E52"/>
    <w:rsid w:val="00894E82"/>
    <w:rsid w:val="00894FC2"/>
    <w:rsid w:val="00895368"/>
    <w:rsid w:val="00895414"/>
    <w:rsid w:val="008954E3"/>
    <w:rsid w:val="008955D8"/>
    <w:rsid w:val="008957F7"/>
    <w:rsid w:val="0089583D"/>
    <w:rsid w:val="0089584F"/>
    <w:rsid w:val="008958F2"/>
    <w:rsid w:val="00895990"/>
    <w:rsid w:val="00895A48"/>
    <w:rsid w:val="00895B8A"/>
    <w:rsid w:val="00895BC0"/>
    <w:rsid w:val="00895D4C"/>
    <w:rsid w:val="00895FCD"/>
    <w:rsid w:val="00896085"/>
    <w:rsid w:val="008960A0"/>
    <w:rsid w:val="0089610B"/>
    <w:rsid w:val="0089623C"/>
    <w:rsid w:val="008962DB"/>
    <w:rsid w:val="008962F0"/>
    <w:rsid w:val="00896302"/>
    <w:rsid w:val="00896358"/>
    <w:rsid w:val="008963AF"/>
    <w:rsid w:val="008965C7"/>
    <w:rsid w:val="00896647"/>
    <w:rsid w:val="0089669F"/>
    <w:rsid w:val="00896788"/>
    <w:rsid w:val="0089686E"/>
    <w:rsid w:val="008968D3"/>
    <w:rsid w:val="008968F5"/>
    <w:rsid w:val="00896A37"/>
    <w:rsid w:val="00896D5D"/>
    <w:rsid w:val="00896D84"/>
    <w:rsid w:val="00896DA3"/>
    <w:rsid w:val="00896EBD"/>
    <w:rsid w:val="00896F1F"/>
    <w:rsid w:val="00897012"/>
    <w:rsid w:val="008971C2"/>
    <w:rsid w:val="00897803"/>
    <w:rsid w:val="0089782B"/>
    <w:rsid w:val="008978C8"/>
    <w:rsid w:val="00897975"/>
    <w:rsid w:val="00897BD2"/>
    <w:rsid w:val="00897D2C"/>
    <w:rsid w:val="00897DFA"/>
    <w:rsid w:val="00897E7B"/>
    <w:rsid w:val="00897E7D"/>
    <w:rsid w:val="00897FED"/>
    <w:rsid w:val="008A0083"/>
    <w:rsid w:val="008A00D3"/>
    <w:rsid w:val="008A0271"/>
    <w:rsid w:val="008A0278"/>
    <w:rsid w:val="008A02AC"/>
    <w:rsid w:val="008A02AF"/>
    <w:rsid w:val="008A0336"/>
    <w:rsid w:val="008A0464"/>
    <w:rsid w:val="008A0653"/>
    <w:rsid w:val="008A06B5"/>
    <w:rsid w:val="008A07D8"/>
    <w:rsid w:val="008A08D7"/>
    <w:rsid w:val="008A08FF"/>
    <w:rsid w:val="008A091A"/>
    <w:rsid w:val="008A0B07"/>
    <w:rsid w:val="008A112A"/>
    <w:rsid w:val="008A14F9"/>
    <w:rsid w:val="008A1538"/>
    <w:rsid w:val="008A15DA"/>
    <w:rsid w:val="008A15DD"/>
    <w:rsid w:val="008A17EA"/>
    <w:rsid w:val="008A1830"/>
    <w:rsid w:val="008A1934"/>
    <w:rsid w:val="008A19F1"/>
    <w:rsid w:val="008A1AAA"/>
    <w:rsid w:val="008A1AAD"/>
    <w:rsid w:val="008A1BE1"/>
    <w:rsid w:val="008A1C0E"/>
    <w:rsid w:val="008A1CEC"/>
    <w:rsid w:val="008A1E62"/>
    <w:rsid w:val="008A1F04"/>
    <w:rsid w:val="008A20C4"/>
    <w:rsid w:val="008A2108"/>
    <w:rsid w:val="008A220A"/>
    <w:rsid w:val="008A233A"/>
    <w:rsid w:val="008A2516"/>
    <w:rsid w:val="008A282E"/>
    <w:rsid w:val="008A28CA"/>
    <w:rsid w:val="008A28F1"/>
    <w:rsid w:val="008A2987"/>
    <w:rsid w:val="008A29CA"/>
    <w:rsid w:val="008A2AB0"/>
    <w:rsid w:val="008A2BCA"/>
    <w:rsid w:val="008A2BDD"/>
    <w:rsid w:val="008A2D88"/>
    <w:rsid w:val="008A2E79"/>
    <w:rsid w:val="008A2F4D"/>
    <w:rsid w:val="008A3580"/>
    <w:rsid w:val="008A35AE"/>
    <w:rsid w:val="008A367D"/>
    <w:rsid w:val="008A369D"/>
    <w:rsid w:val="008A36BD"/>
    <w:rsid w:val="008A36BE"/>
    <w:rsid w:val="008A3828"/>
    <w:rsid w:val="008A391B"/>
    <w:rsid w:val="008A395A"/>
    <w:rsid w:val="008A3B3F"/>
    <w:rsid w:val="008A3C12"/>
    <w:rsid w:val="008A3CE2"/>
    <w:rsid w:val="008A3EC1"/>
    <w:rsid w:val="008A40EC"/>
    <w:rsid w:val="008A4232"/>
    <w:rsid w:val="008A4394"/>
    <w:rsid w:val="008A4444"/>
    <w:rsid w:val="008A451F"/>
    <w:rsid w:val="008A4526"/>
    <w:rsid w:val="008A4607"/>
    <w:rsid w:val="008A47E7"/>
    <w:rsid w:val="008A4805"/>
    <w:rsid w:val="008A48CD"/>
    <w:rsid w:val="008A49BB"/>
    <w:rsid w:val="008A49C7"/>
    <w:rsid w:val="008A4EB5"/>
    <w:rsid w:val="008A4FB1"/>
    <w:rsid w:val="008A500F"/>
    <w:rsid w:val="008A5181"/>
    <w:rsid w:val="008A51AF"/>
    <w:rsid w:val="008A51CF"/>
    <w:rsid w:val="008A5285"/>
    <w:rsid w:val="008A5601"/>
    <w:rsid w:val="008A570D"/>
    <w:rsid w:val="008A57AD"/>
    <w:rsid w:val="008A586F"/>
    <w:rsid w:val="008A594C"/>
    <w:rsid w:val="008A5A4C"/>
    <w:rsid w:val="008A5AD9"/>
    <w:rsid w:val="008A5B39"/>
    <w:rsid w:val="008A5C26"/>
    <w:rsid w:val="008A5C7D"/>
    <w:rsid w:val="008A5E6A"/>
    <w:rsid w:val="008A5EEB"/>
    <w:rsid w:val="008A5F71"/>
    <w:rsid w:val="008A5FD4"/>
    <w:rsid w:val="008A6057"/>
    <w:rsid w:val="008A609E"/>
    <w:rsid w:val="008A60A7"/>
    <w:rsid w:val="008A621B"/>
    <w:rsid w:val="008A622F"/>
    <w:rsid w:val="008A62CA"/>
    <w:rsid w:val="008A62E3"/>
    <w:rsid w:val="008A6322"/>
    <w:rsid w:val="008A65A2"/>
    <w:rsid w:val="008A6612"/>
    <w:rsid w:val="008A66DC"/>
    <w:rsid w:val="008A6827"/>
    <w:rsid w:val="008A6831"/>
    <w:rsid w:val="008A69EA"/>
    <w:rsid w:val="008A6A7A"/>
    <w:rsid w:val="008A6B54"/>
    <w:rsid w:val="008A6C4B"/>
    <w:rsid w:val="008A6CAF"/>
    <w:rsid w:val="008A6CB0"/>
    <w:rsid w:val="008A6E26"/>
    <w:rsid w:val="008A6E57"/>
    <w:rsid w:val="008A70CC"/>
    <w:rsid w:val="008A7133"/>
    <w:rsid w:val="008A7194"/>
    <w:rsid w:val="008A7270"/>
    <w:rsid w:val="008A75FB"/>
    <w:rsid w:val="008A761B"/>
    <w:rsid w:val="008A7675"/>
    <w:rsid w:val="008A767A"/>
    <w:rsid w:val="008A76F3"/>
    <w:rsid w:val="008A781E"/>
    <w:rsid w:val="008A7902"/>
    <w:rsid w:val="008A7AB2"/>
    <w:rsid w:val="008A7AC3"/>
    <w:rsid w:val="008A7B3C"/>
    <w:rsid w:val="008A7BB9"/>
    <w:rsid w:val="008A7D1D"/>
    <w:rsid w:val="008A7F00"/>
    <w:rsid w:val="008A7F5A"/>
    <w:rsid w:val="008B01BE"/>
    <w:rsid w:val="008B0258"/>
    <w:rsid w:val="008B027B"/>
    <w:rsid w:val="008B03E4"/>
    <w:rsid w:val="008B04DA"/>
    <w:rsid w:val="008B0644"/>
    <w:rsid w:val="008B0819"/>
    <w:rsid w:val="008B09CF"/>
    <w:rsid w:val="008B0B7C"/>
    <w:rsid w:val="008B0CD9"/>
    <w:rsid w:val="008B0FF9"/>
    <w:rsid w:val="008B105E"/>
    <w:rsid w:val="008B118E"/>
    <w:rsid w:val="008B11AA"/>
    <w:rsid w:val="008B1215"/>
    <w:rsid w:val="008B12E9"/>
    <w:rsid w:val="008B1368"/>
    <w:rsid w:val="008B153A"/>
    <w:rsid w:val="008B1608"/>
    <w:rsid w:val="008B1642"/>
    <w:rsid w:val="008B19E5"/>
    <w:rsid w:val="008B1A82"/>
    <w:rsid w:val="008B1B80"/>
    <w:rsid w:val="008B1C06"/>
    <w:rsid w:val="008B1EA6"/>
    <w:rsid w:val="008B1EDB"/>
    <w:rsid w:val="008B1F28"/>
    <w:rsid w:val="008B20ED"/>
    <w:rsid w:val="008B20FA"/>
    <w:rsid w:val="008B21A0"/>
    <w:rsid w:val="008B2206"/>
    <w:rsid w:val="008B2207"/>
    <w:rsid w:val="008B23DC"/>
    <w:rsid w:val="008B2658"/>
    <w:rsid w:val="008B268C"/>
    <w:rsid w:val="008B2783"/>
    <w:rsid w:val="008B28BF"/>
    <w:rsid w:val="008B2A50"/>
    <w:rsid w:val="008B2BD9"/>
    <w:rsid w:val="008B2C04"/>
    <w:rsid w:val="008B2C8A"/>
    <w:rsid w:val="008B2C97"/>
    <w:rsid w:val="008B2D71"/>
    <w:rsid w:val="008B2F31"/>
    <w:rsid w:val="008B303E"/>
    <w:rsid w:val="008B3066"/>
    <w:rsid w:val="008B342B"/>
    <w:rsid w:val="008B36AC"/>
    <w:rsid w:val="008B39FE"/>
    <w:rsid w:val="008B3A13"/>
    <w:rsid w:val="008B3BCF"/>
    <w:rsid w:val="008B3BF7"/>
    <w:rsid w:val="008B3DF4"/>
    <w:rsid w:val="008B3F13"/>
    <w:rsid w:val="008B4101"/>
    <w:rsid w:val="008B42C3"/>
    <w:rsid w:val="008B431D"/>
    <w:rsid w:val="008B43E1"/>
    <w:rsid w:val="008B45F4"/>
    <w:rsid w:val="008B4716"/>
    <w:rsid w:val="008B47CB"/>
    <w:rsid w:val="008B4BDE"/>
    <w:rsid w:val="008B4C7C"/>
    <w:rsid w:val="008B4C83"/>
    <w:rsid w:val="008B4D86"/>
    <w:rsid w:val="008B4D90"/>
    <w:rsid w:val="008B4D9F"/>
    <w:rsid w:val="008B4DBD"/>
    <w:rsid w:val="008B4EDB"/>
    <w:rsid w:val="008B4F0B"/>
    <w:rsid w:val="008B4F5D"/>
    <w:rsid w:val="008B51A4"/>
    <w:rsid w:val="008B528B"/>
    <w:rsid w:val="008B52EF"/>
    <w:rsid w:val="008B58CB"/>
    <w:rsid w:val="008B58E1"/>
    <w:rsid w:val="008B5D12"/>
    <w:rsid w:val="008B5E7D"/>
    <w:rsid w:val="008B5F0F"/>
    <w:rsid w:val="008B6091"/>
    <w:rsid w:val="008B61D8"/>
    <w:rsid w:val="008B6208"/>
    <w:rsid w:val="008B626D"/>
    <w:rsid w:val="008B64AA"/>
    <w:rsid w:val="008B6510"/>
    <w:rsid w:val="008B6576"/>
    <w:rsid w:val="008B6591"/>
    <w:rsid w:val="008B66B0"/>
    <w:rsid w:val="008B66B7"/>
    <w:rsid w:val="008B6727"/>
    <w:rsid w:val="008B6832"/>
    <w:rsid w:val="008B688A"/>
    <w:rsid w:val="008B6912"/>
    <w:rsid w:val="008B6975"/>
    <w:rsid w:val="008B69BE"/>
    <w:rsid w:val="008B6AE9"/>
    <w:rsid w:val="008B6B7E"/>
    <w:rsid w:val="008B6C5F"/>
    <w:rsid w:val="008B6CB3"/>
    <w:rsid w:val="008B6E7F"/>
    <w:rsid w:val="008B6EEF"/>
    <w:rsid w:val="008B6EF0"/>
    <w:rsid w:val="008B6F1A"/>
    <w:rsid w:val="008B723E"/>
    <w:rsid w:val="008B74CC"/>
    <w:rsid w:val="008B7652"/>
    <w:rsid w:val="008B76DC"/>
    <w:rsid w:val="008B7908"/>
    <w:rsid w:val="008B7977"/>
    <w:rsid w:val="008B7A15"/>
    <w:rsid w:val="008B7A4B"/>
    <w:rsid w:val="008B7BA1"/>
    <w:rsid w:val="008B7C3A"/>
    <w:rsid w:val="008B7DEF"/>
    <w:rsid w:val="008B7EBB"/>
    <w:rsid w:val="008B7FF2"/>
    <w:rsid w:val="008C0006"/>
    <w:rsid w:val="008C0053"/>
    <w:rsid w:val="008C01F9"/>
    <w:rsid w:val="008C0212"/>
    <w:rsid w:val="008C0213"/>
    <w:rsid w:val="008C02FE"/>
    <w:rsid w:val="008C03EA"/>
    <w:rsid w:val="008C041E"/>
    <w:rsid w:val="008C0449"/>
    <w:rsid w:val="008C04C0"/>
    <w:rsid w:val="008C0B94"/>
    <w:rsid w:val="008C0BD5"/>
    <w:rsid w:val="008C0C8E"/>
    <w:rsid w:val="008C0D07"/>
    <w:rsid w:val="008C0E5A"/>
    <w:rsid w:val="008C1026"/>
    <w:rsid w:val="008C11E6"/>
    <w:rsid w:val="008C1467"/>
    <w:rsid w:val="008C1489"/>
    <w:rsid w:val="008C14C9"/>
    <w:rsid w:val="008C1550"/>
    <w:rsid w:val="008C1567"/>
    <w:rsid w:val="008C17E8"/>
    <w:rsid w:val="008C193C"/>
    <w:rsid w:val="008C1BAB"/>
    <w:rsid w:val="008C1C05"/>
    <w:rsid w:val="008C1C24"/>
    <w:rsid w:val="008C1EDD"/>
    <w:rsid w:val="008C1EE2"/>
    <w:rsid w:val="008C20ED"/>
    <w:rsid w:val="008C266D"/>
    <w:rsid w:val="008C2734"/>
    <w:rsid w:val="008C2885"/>
    <w:rsid w:val="008C295F"/>
    <w:rsid w:val="008C2ABB"/>
    <w:rsid w:val="008C2B93"/>
    <w:rsid w:val="008C2C0D"/>
    <w:rsid w:val="008C2D78"/>
    <w:rsid w:val="008C2DB6"/>
    <w:rsid w:val="008C2E3C"/>
    <w:rsid w:val="008C2E95"/>
    <w:rsid w:val="008C2F49"/>
    <w:rsid w:val="008C2FC1"/>
    <w:rsid w:val="008C2FC6"/>
    <w:rsid w:val="008C32FE"/>
    <w:rsid w:val="008C3586"/>
    <w:rsid w:val="008C375A"/>
    <w:rsid w:val="008C384F"/>
    <w:rsid w:val="008C388D"/>
    <w:rsid w:val="008C399D"/>
    <w:rsid w:val="008C39D9"/>
    <w:rsid w:val="008C39E2"/>
    <w:rsid w:val="008C3A77"/>
    <w:rsid w:val="008C3AD5"/>
    <w:rsid w:val="008C3C82"/>
    <w:rsid w:val="008C3D0B"/>
    <w:rsid w:val="008C3F43"/>
    <w:rsid w:val="008C3F54"/>
    <w:rsid w:val="008C3FF1"/>
    <w:rsid w:val="008C405C"/>
    <w:rsid w:val="008C4066"/>
    <w:rsid w:val="008C4163"/>
    <w:rsid w:val="008C41A3"/>
    <w:rsid w:val="008C41BD"/>
    <w:rsid w:val="008C41F0"/>
    <w:rsid w:val="008C421F"/>
    <w:rsid w:val="008C42C3"/>
    <w:rsid w:val="008C43AE"/>
    <w:rsid w:val="008C4440"/>
    <w:rsid w:val="008C45F0"/>
    <w:rsid w:val="008C4649"/>
    <w:rsid w:val="008C4A72"/>
    <w:rsid w:val="008C4AA9"/>
    <w:rsid w:val="008C4BFC"/>
    <w:rsid w:val="008C4C5B"/>
    <w:rsid w:val="008C4D20"/>
    <w:rsid w:val="008C4D8D"/>
    <w:rsid w:val="008C4DB1"/>
    <w:rsid w:val="008C4DEE"/>
    <w:rsid w:val="008C4E14"/>
    <w:rsid w:val="008C4F71"/>
    <w:rsid w:val="008C52EA"/>
    <w:rsid w:val="008C559C"/>
    <w:rsid w:val="008C55BF"/>
    <w:rsid w:val="008C5796"/>
    <w:rsid w:val="008C5A42"/>
    <w:rsid w:val="008C5A72"/>
    <w:rsid w:val="008C5C48"/>
    <w:rsid w:val="008C5E3D"/>
    <w:rsid w:val="008C5EC1"/>
    <w:rsid w:val="008C6159"/>
    <w:rsid w:val="008C62B7"/>
    <w:rsid w:val="008C62C3"/>
    <w:rsid w:val="008C640E"/>
    <w:rsid w:val="008C646D"/>
    <w:rsid w:val="008C67C0"/>
    <w:rsid w:val="008C68EA"/>
    <w:rsid w:val="008C6AD5"/>
    <w:rsid w:val="008C6B7F"/>
    <w:rsid w:val="008C6B83"/>
    <w:rsid w:val="008C6BF1"/>
    <w:rsid w:val="008C6C00"/>
    <w:rsid w:val="008C6CAD"/>
    <w:rsid w:val="008C6D6E"/>
    <w:rsid w:val="008C6E2E"/>
    <w:rsid w:val="008C6F61"/>
    <w:rsid w:val="008C6FF8"/>
    <w:rsid w:val="008C7210"/>
    <w:rsid w:val="008C723C"/>
    <w:rsid w:val="008C7390"/>
    <w:rsid w:val="008C753E"/>
    <w:rsid w:val="008C755D"/>
    <w:rsid w:val="008C75F7"/>
    <w:rsid w:val="008C768F"/>
    <w:rsid w:val="008C76BE"/>
    <w:rsid w:val="008C78B7"/>
    <w:rsid w:val="008C79DA"/>
    <w:rsid w:val="008C7BEF"/>
    <w:rsid w:val="008C7BF8"/>
    <w:rsid w:val="008C7D53"/>
    <w:rsid w:val="008C7DC1"/>
    <w:rsid w:val="008C7EAB"/>
    <w:rsid w:val="008C7EEA"/>
    <w:rsid w:val="008D003A"/>
    <w:rsid w:val="008D0072"/>
    <w:rsid w:val="008D00E3"/>
    <w:rsid w:val="008D0184"/>
    <w:rsid w:val="008D01E6"/>
    <w:rsid w:val="008D02C1"/>
    <w:rsid w:val="008D0366"/>
    <w:rsid w:val="008D0402"/>
    <w:rsid w:val="008D0732"/>
    <w:rsid w:val="008D078E"/>
    <w:rsid w:val="008D07A0"/>
    <w:rsid w:val="008D0826"/>
    <w:rsid w:val="008D08A9"/>
    <w:rsid w:val="008D0B9D"/>
    <w:rsid w:val="008D0EC5"/>
    <w:rsid w:val="008D0FAF"/>
    <w:rsid w:val="008D1370"/>
    <w:rsid w:val="008D1894"/>
    <w:rsid w:val="008D189E"/>
    <w:rsid w:val="008D19DB"/>
    <w:rsid w:val="008D1B4E"/>
    <w:rsid w:val="008D1C0A"/>
    <w:rsid w:val="008D1C27"/>
    <w:rsid w:val="008D1D30"/>
    <w:rsid w:val="008D1D6E"/>
    <w:rsid w:val="008D1E57"/>
    <w:rsid w:val="008D1EF8"/>
    <w:rsid w:val="008D1F17"/>
    <w:rsid w:val="008D2001"/>
    <w:rsid w:val="008D21F8"/>
    <w:rsid w:val="008D23B1"/>
    <w:rsid w:val="008D245C"/>
    <w:rsid w:val="008D2742"/>
    <w:rsid w:val="008D2778"/>
    <w:rsid w:val="008D2848"/>
    <w:rsid w:val="008D2A1E"/>
    <w:rsid w:val="008D2AF0"/>
    <w:rsid w:val="008D2BD4"/>
    <w:rsid w:val="008D2C0B"/>
    <w:rsid w:val="008D2CF4"/>
    <w:rsid w:val="008D2D17"/>
    <w:rsid w:val="008D2D7C"/>
    <w:rsid w:val="008D2F15"/>
    <w:rsid w:val="008D2FD7"/>
    <w:rsid w:val="008D3017"/>
    <w:rsid w:val="008D30FF"/>
    <w:rsid w:val="008D36B7"/>
    <w:rsid w:val="008D36D9"/>
    <w:rsid w:val="008D3778"/>
    <w:rsid w:val="008D3826"/>
    <w:rsid w:val="008D393C"/>
    <w:rsid w:val="008D399B"/>
    <w:rsid w:val="008D39F1"/>
    <w:rsid w:val="008D3A77"/>
    <w:rsid w:val="008D3B6E"/>
    <w:rsid w:val="008D40C5"/>
    <w:rsid w:val="008D40F1"/>
    <w:rsid w:val="008D43A3"/>
    <w:rsid w:val="008D47C6"/>
    <w:rsid w:val="008D49F3"/>
    <w:rsid w:val="008D4A20"/>
    <w:rsid w:val="008D4AAB"/>
    <w:rsid w:val="008D4C40"/>
    <w:rsid w:val="008D4CC7"/>
    <w:rsid w:val="008D4D53"/>
    <w:rsid w:val="008D4D83"/>
    <w:rsid w:val="008D4E14"/>
    <w:rsid w:val="008D4ED6"/>
    <w:rsid w:val="008D4FB9"/>
    <w:rsid w:val="008D5149"/>
    <w:rsid w:val="008D5365"/>
    <w:rsid w:val="008D53D8"/>
    <w:rsid w:val="008D5517"/>
    <w:rsid w:val="008D55B6"/>
    <w:rsid w:val="008D55E6"/>
    <w:rsid w:val="008D5664"/>
    <w:rsid w:val="008D5919"/>
    <w:rsid w:val="008D59BD"/>
    <w:rsid w:val="008D5C51"/>
    <w:rsid w:val="008D5D16"/>
    <w:rsid w:val="008D5D3E"/>
    <w:rsid w:val="008D6029"/>
    <w:rsid w:val="008D634C"/>
    <w:rsid w:val="008D6356"/>
    <w:rsid w:val="008D63A3"/>
    <w:rsid w:val="008D6B57"/>
    <w:rsid w:val="008D6C59"/>
    <w:rsid w:val="008D6D15"/>
    <w:rsid w:val="008D6D2E"/>
    <w:rsid w:val="008D6ED4"/>
    <w:rsid w:val="008D6FEB"/>
    <w:rsid w:val="008D715E"/>
    <w:rsid w:val="008D716F"/>
    <w:rsid w:val="008D73F7"/>
    <w:rsid w:val="008D740B"/>
    <w:rsid w:val="008D765C"/>
    <w:rsid w:val="008D77B6"/>
    <w:rsid w:val="008D7802"/>
    <w:rsid w:val="008D7901"/>
    <w:rsid w:val="008D791E"/>
    <w:rsid w:val="008D794A"/>
    <w:rsid w:val="008D7AC7"/>
    <w:rsid w:val="008D7B0F"/>
    <w:rsid w:val="008D7F99"/>
    <w:rsid w:val="008E01C1"/>
    <w:rsid w:val="008E0303"/>
    <w:rsid w:val="008E049E"/>
    <w:rsid w:val="008E05B8"/>
    <w:rsid w:val="008E0704"/>
    <w:rsid w:val="008E0772"/>
    <w:rsid w:val="008E07B7"/>
    <w:rsid w:val="008E0937"/>
    <w:rsid w:val="008E096E"/>
    <w:rsid w:val="008E0A1D"/>
    <w:rsid w:val="008E0AEC"/>
    <w:rsid w:val="008E0B57"/>
    <w:rsid w:val="008E0BEA"/>
    <w:rsid w:val="008E0C35"/>
    <w:rsid w:val="008E0D89"/>
    <w:rsid w:val="008E0F5D"/>
    <w:rsid w:val="008E0F70"/>
    <w:rsid w:val="008E0FCD"/>
    <w:rsid w:val="008E0FF6"/>
    <w:rsid w:val="008E12AC"/>
    <w:rsid w:val="008E13A3"/>
    <w:rsid w:val="008E159F"/>
    <w:rsid w:val="008E1726"/>
    <w:rsid w:val="008E199A"/>
    <w:rsid w:val="008E1A05"/>
    <w:rsid w:val="008E1B1F"/>
    <w:rsid w:val="008E1F18"/>
    <w:rsid w:val="008E1FB2"/>
    <w:rsid w:val="008E2013"/>
    <w:rsid w:val="008E225F"/>
    <w:rsid w:val="008E2389"/>
    <w:rsid w:val="008E23AA"/>
    <w:rsid w:val="008E2524"/>
    <w:rsid w:val="008E2739"/>
    <w:rsid w:val="008E290C"/>
    <w:rsid w:val="008E291A"/>
    <w:rsid w:val="008E2A53"/>
    <w:rsid w:val="008E2A78"/>
    <w:rsid w:val="008E2AE0"/>
    <w:rsid w:val="008E2BA9"/>
    <w:rsid w:val="008E2E3A"/>
    <w:rsid w:val="008E3015"/>
    <w:rsid w:val="008E30AC"/>
    <w:rsid w:val="008E31CD"/>
    <w:rsid w:val="008E321C"/>
    <w:rsid w:val="008E321D"/>
    <w:rsid w:val="008E326E"/>
    <w:rsid w:val="008E329C"/>
    <w:rsid w:val="008E3365"/>
    <w:rsid w:val="008E33A4"/>
    <w:rsid w:val="008E3516"/>
    <w:rsid w:val="008E35E6"/>
    <w:rsid w:val="008E3640"/>
    <w:rsid w:val="008E3693"/>
    <w:rsid w:val="008E3894"/>
    <w:rsid w:val="008E395B"/>
    <w:rsid w:val="008E39CC"/>
    <w:rsid w:val="008E3A99"/>
    <w:rsid w:val="008E3BEB"/>
    <w:rsid w:val="008E3D88"/>
    <w:rsid w:val="008E3DA9"/>
    <w:rsid w:val="008E3DBC"/>
    <w:rsid w:val="008E3E27"/>
    <w:rsid w:val="008E3E2E"/>
    <w:rsid w:val="008E3EF3"/>
    <w:rsid w:val="008E3F97"/>
    <w:rsid w:val="008E4029"/>
    <w:rsid w:val="008E4278"/>
    <w:rsid w:val="008E442C"/>
    <w:rsid w:val="008E447B"/>
    <w:rsid w:val="008E46D6"/>
    <w:rsid w:val="008E472E"/>
    <w:rsid w:val="008E4C71"/>
    <w:rsid w:val="008E4C7C"/>
    <w:rsid w:val="008E4CB6"/>
    <w:rsid w:val="008E4EA4"/>
    <w:rsid w:val="008E4EE8"/>
    <w:rsid w:val="008E505B"/>
    <w:rsid w:val="008E5153"/>
    <w:rsid w:val="008E517B"/>
    <w:rsid w:val="008E52D8"/>
    <w:rsid w:val="008E53CB"/>
    <w:rsid w:val="008E541D"/>
    <w:rsid w:val="008E561D"/>
    <w:rsid w:val="008E5781"/>
    <w:rsid w:val="008E5A04"/>
    <w:rsid w:val="008E5AC5"/>
    <w:rsid w:val="008E5B2A"/>
    <w:rsid w:val="008E5BA6"/>
    <w:rsid w:val="008E5CE2"/>
    <w:rsid w:val="008E5F31"/>
    <w:rsid w:val="008E615D"/>
    <w:rsid w:val="008E61F7"/>
    <w:rsid w:val="008E626A"/>
    <w:rsid w:val="008E63E2"/>
    <w:rsid w:val="008E655A"/>
    <w:rsid w:val="008E66D6"/>
    <w:rsid w:val="008E6738"/>
    <w:rsid w:val="008E68E7"/>
    <w:rsid w:val="008E68FC"/>
    <w:rsid w:val="008E6C92"/>
    <w:rsid w:val="008E6CDD"/>
    <w:rsid w:val="008E6D89"/>
    <w:rsid w:val="008E6DC3"/>
    <w:rsid w:val="008E6E3E"/>
    <w:rsid w:val="008E6F98"/>
    <w:rsid w:val="008E7168"/>
    <w:rsid w:val="008E719B"/>
    <w:rsid w:val="008E7286"/>
    <w:rsid w:val="008E7563"/>
    <w:rsid w:val="008E7622"/>
    <w:rsid w:val="008E786D"/>
    <w:rsid w:val="008E78DE"/>
    <w:rsid w:val="008E7DB3"/>
    <w:rsid w:val="008E7F89"/>
    <w:rsid w:val="008F0043"/>
    <w:rsid w:val="008F0225"/>
    <w:rsid w:val="008F0323"/>
    <w:rsid w:val="008F036D"/>
    <w:rsid w:val="008F0420"/>
    <w:rsid w:val="008F06D3"/>
    <w:rsid w:val="008F07C3"/>
    <w:rsid w:val="008F0844"/>
    <w:rsid w:val="008F088C"/>
    <w:rsid w:val="008F08CF"/>
    <w:rsid w:val="008F08DF"/>
    <w:rsid w:val="008F0AEB"/>
    <w:rsid w:val="008F0E51"/>
    <w:rsid w:val="008F105E"/>
    <w:rsid w:val="008F107D"/>
    <w:rsid w:val="008F11E9"/>
    <w:rsid w:val="008F1218"/>
    <w:rsid w:val="008F12F9"/>
    <w:rsid w:val="008F1557"/>
    <w:rsid w:val="008F1874"/>
    <w:rsid w:val="008F1920"/>
    <w:rsid w:val="008F1A4F"/>
    <w:rsid w:val="008F1A9C"/>
    <w:rsid w:val="008F1B0D"/>
    <w:rsid w:val="008F1BC7"/>
    <w:rsid w:val="008F1C86"/>
    <w:rsid w:val="008F1D75"/>
    <w:rsid w:val="008F1E58"/>
    <w:rsid w:val="008F1EB0"/>
    <w:rsid w:val="008F1F24"/>
    <w:rsid w:val="008F210A"/>
    <w:rsid w:val="008F2178"/>
    <w:rsid w:val="008F21A4"/>
    <w:rsid w:val="008F21AA"/>
    <w:rsid w:val="008F222B"/>
    <w:rsid w:val="008F2238"/>
    <w:rsid w:val="008F2263"/>
    <w:rsid w:val="008F22DA"/>
    <w:rsid w:val="008F2379"/>
    <w:rsid w:val="008F23C4"/>
    <w:rsid w:val="008F24CF"/>
    <w:rsid w:val="008F254C"/>
    <w:rsid w:val="008F2567"/>
    <w:rsid w:val="008F26DF"/>
    <w:rsid w:val="008F28B5"/>
    <w:rsid w:val="008F29D8"/>
    <w:rsid w:val="008F2A1B"/>
    <w:rsid w:val="008F2B04"/>
    <w:rsid w:val="008F2B44"/>
    <w:rsid w:val="008F2BF6"/>
    <w:rsid w:val="008F2F23"/>
    <w:rsid w:val="008F2FE2"/>
    <w:rsid w:val="008F302E"/>
    <w:rsid w:val="008F311B"/>
    <w:rsid w:val="008F3148"/>
    <w:rsid w:val="008F31BA"/>
    <w:rsid w:val="008F3278"/>
    <w:rsid w:val="008F3568"/>
    <w:rsid w:val="008F357D"/>
    <w:rsid w:val="008F3637"/>
    <w:rsid w:val="008F36B2"/>
    <w:rsid w:val="008F39B6"/>
    <w:rsid w:val="008F3A59"/>
    <w:rsid w:val="008F3A64"/>
    <w:rsid w:val="008F3AAC"/>
    <w:rsid w:val="008F3B5E"/>
    <w:rsid w:val="008F3C0B"/>
    <w:rsid w:val="008F3C9E"/>
    <w:rsid w:val="008F3CC8"/>
    <w:rsid w:val="008F3D0B"/>
    <w:rsid w:val="008F3D39"/>
    <w:rsid w:val="008F3DA1"/>
    <w:rsid w:val="008F3FE4"/>
    <w:rsid w:val="008F4143"/>
    <w:rsid w:val="008F4223"/>
    <w:rsid w:val="008F44BD"/>
    <w:rsid w:val="008F4665"/>
    <w:rsid w:val="008F469B"/>
    <w:rsid w:val="008F4729"/>
    <w:rsid w:val="008F4787"/>
    <w:rsid w:val="008F483E"/>
    <w:rsid w:val="008F4929"/>
    <w:rsid w:val="008F49BA"/>
    <w:rsid w:val="008F4A6D"/>
    <w:rsid w:val="008F4AAB"/>
    <w:rsid w:val="008F4AC2"/>
    <w:rsid w:val="008F4CC7"/>
    <w:rsid w:val="008F4D6C"/>
    <w:rsid w:val="008F4DE0"/>
    <w:rsid w:val="008F4E35"/>
    <w:rsid w:val="008F4F45"/>
    <w:rsid w:val="008F50AC"/>
    <w:rsid w:val="008F51AA"/>
    <w:rsid w:val="008F527F"/>
    <w:rsid w:val="008F56B6"/>
    <w:rsid w:val="008F5769"/>
    <w:rsid w:val="008F57C1"/>
    <w:rsid w:val="008F57FA"/>
    <w:rsid w:val="008F58C0"/>
    <w:rsid w:val="008F5994"/>
    <w:rsid w:val="008F5AE7"/>
    <w:rsid w:val="008F5B1B"/>
    <w:rsid w:val="008F5D12"/>
    <w:rsid w:val="008F5D1D"/>
    <w:rsid w:val="008F5D36"/>
    <w:rsid w:val="008F5D64"/>
    <w:rsid w:val="008F5F6E"/>
    <w:rsid w:val="008F600B"/>
    <w:rsid w:val="008F605B"/>
    <w:rsid w:val="008F60D2"/>
    <w:rsid w:val="008F610D"/>
    <w:rsid w:val="008F61FA"/>
    <w:rsid w:val="008F6269"/>
    <w:rsid w:val="008F6389"/>
    <w:rsid w:val="008F63B9"/>
    <w:rsid w:val="008F6543"/>
    <w:rsid w:val="008F6617"/>
    <w:rsid w:val="008F6716"/>
    <w:rsid w:val="008F6BE1"/>
    <w:rsid w:val="008F6C20"/>
    <w:rsid w:val="008F6EA2"/>
    <w:rsid w:val="008F6F52"/>
    <w:rsid w:val="008F7006"/>
    <w:rsid w:val="008F70BE"/>
    <w:rsid w:val="008F711D"/>
    <w:rsid w:val="008F7152"/>
    <w:rsid w:val="008F71F2"/>
    <w:rsid w:val="008F7290"/>
    <w:rsid w:val="008F74C7"/>
    <w:rsid w:val="008F7590"/>
    <w:rsid w:val="008F762B"/>
    <w:rsid w:val="008F7763"/>
    <w:rsid w:val="008F7825"/>
    <w:rsid w:val="008F7E39"/>
    <w:rsid w:val="008F7F1A"/>
    <w:rsid w:val="00900045"/>
    <w:rsid w:val="00900301"/>
    <w:rsid w:val="00900321"/>
    <w:rsid w:val="00900415"/>
    <w:rsid w:val="00900518"/>
    <w:rsid w:val="0090097D"/>
    <w:rsid w:val="00900A76"/>
    <w:rsid w:val="00900B65"/>
    <w:rsid w:val="00900C30"/>
    <w:rsid w:val="00900C7A"/>
    <w:rsid w:val="00900D83"/>
    <w:rsid w:val="009010D3"/>
    <w:rsid w:val="0090111B"/>
    <w:rsid w:val="009012BC"/>
    <w:rsid w:val="00901550"/>
    <w:rsid w:val="00901563"/>
    <w:rsid w:val="00901751"/>
    <w:rsid w:val="0090178C"/>
    <w:rsid w:val="009018C0"/>
    <w:rsid w:val="00901934"/>
    <w:rsid w:val="009019D3"/>
    <w:rsid w:val="00901AD8"/>
    <w:rsid w:val="00901B7E"/>
    <w:rsid w:val="00901D52"/>
    <w:rsid w:val="00901DC2"/>
    <w:rsid w:val="00901F76"/>
    <w:rsid w:val="0090215E"/>
    <w:rsid w:val="009022A8"/>
    <w:rsid w:val="009023BE"/>
    <w:rsid w:val="00902422"/>
    <w:rsid w:val="00902538"/>
    <w:rsid w:val="00902572"/>
    <w:rsid w:val="009025F1"/>
    <w:rsid w:val="009026F1"/>
    <w:rsid w:val="0090285F"/>
    <w:rsid w:val="00902A17"/>
    <w:rsid w:val="00902BCF"/>
    <w:rsid w:val="00902BF4"/>
    <w:rsid w:val="00902CD8"/>
    <w:rsid w:val="00902D30"/>
    <w:rsid w:val="00902D4E"/>
    <w:rsid w:val="00902E04"/>
    <w:rsid w:val="00902EF7"/>
    <w:rsid w:val="00902F21"/>
    <w:rsid w:val="009032D8"/>
    <w:rsid w:val="0090339B"/>
    <w:rsid w:val="0090340B"/>
    <w:rsid w:val="0090359C"/>
    <w:rsid w:val="00903751"/>
    <w:rsid w:val="00903E8B"/>
    <w:rsid w:val="00903FB7"/>
    <w:rsid w:val="00903FB9"/>
    <w:rsid w:val="00903FC1"/>
    <w:rsid w:val="009042A5"/>
    <w:rsid w:val="009042D8"/>
    <w:rsid w:val="0090440E"/>
    <w:rsid w:val="0090444A"/>
    <w:rsid w:val="0090449C"/>
    <w:rsid w:val="0090450B"/>
    <w:rsid w:val="009045BE"/>
    <w:rsid w:val="009045C9"/>
    <w:rsid w:val="00904621"/>
    <w:rsid w:val="009047AF"/>
    <w:rsid w:val="00904884"/>
    <w:rsid w:val="00904953"/>
    <w:rsid w:val="00904978"/>
    <w:rsid w:val="00904A05"/>
    <w:rsid w:val="00904A7F"/>
    <w:rsid w:val="00904C89"/>
    <w:rsid w:val="00904D77"/>
    <w:rsid w:val="00904F0B"/>
    <w:rsid w:val="009050E3"/>
    <w:rsid w:val="0090516C"/>
    <w:rsid w:val="0090535F"/>
    <w:rsid w:val="009053E3"/>
    <w:rsid w:val="0090545E"/>
    <w:rsid w:val="0090563D"/>
    <w:rsid w:val="009056D4"/>
    <w:rsid w:val="009056DD"/>
    <w:rsid w:val="0090584E"/>
    <w:rsid w:val="0090590F"/>
    <w:rsid w:val="00905DF1"/>
    <w:rsid w:val="00905EC4"/>
    <w:rsid w:val="009060EF"/>
    <w:rsid w:val="009060F7"/>
    <w:rsid w:val="009061DB"/>
    <w:rsid w:val="009062B9"/>
    <w:rsid w:val="009062D1"/>
    <w:rsid w:val="009062FE"/>
    <w:rsid w:val="0090631E"/>
    <w:rsid w:val="0090633A"/>
    <w:rsid w:val="0090643C"/>
    <w:rsid w:val="0090649D"/>
    <w:rsid w:val="00906515"/>
    <w:rsid w:val="00906649"/>
    <w:rsid w:val="009067C2"/>
    <w:rsid w:val="00906844"/>
    <w:rsid w:val="00906853"/>
    <w:rsid w:val="009068FF"/>
    <w:rsid w:val="00906C2B"/>
    <w:rsid w:val="00906CF1"/>
    <w:rsid w:val="00906D04"/>
    <w:rsid w:val="00906E0B"/>
    <w:rsid w:val="00906F18"/>
    <w:rsid w:val="009070D8"/>
    <w:rsid w:val="009070E0"/>
    <w:rsid w:val="00907252"/>
    <w:rsid w:val="00907381"/>
    <w:rsid w:val="009075C5"/>
    <w:rsid w:val="009077D7"/>
    <w:rsid w:val="00907A3C"/>
    <w:rsid w:val="00907B48"/>
    <w:rsid w:val="00907B73"/>
    <w:rsid w:val="00907BD6"/>
    <w:rsid w:val="00907D49"/>
    <w:rsid w:val="00907F1A"/>
    <w:rsid w:val="0091002E"/>
    <w:rsid w:val="00910270"/>
    <w:rsid w:val="009102B1"/>
    <w:rsid w:val="00910456"/>
    <w:rsid w:val="009104C9"/>
    <w:rsid w:val="00910577"/>
    <w:rsid w:val="0091057D"/>
    <w:rsid w:val="0091090F"/>
    <w:rsid w:val="00910AEA"/>
    <w:rsid w:val="00910B07"/>
    <w:rsid w:val="00910B3A"/>
    <w:rsid w:val="00910CC0"/>
    <w:rsid w:val="00911071"/>
    <w:rsid w:val="00911099"/>
    <w:rsid w:val="00911423"/>
    <w:rsid w:val="00911661"/>
    <w:rsid w:val="00911675"/>
    <w:rsid w:val="0091190B"/>
    <w:rsid w:val="00911915"/>
    <w:rsid w:val="009119EB"/>
    <w:rsid w:val="00911A1D"/>
    <w:rsid w:val="00911ACE"/>
    <w:rsid w:val="00911B01"/>
    <w:rsid w:val="00911C13"/>
    <w:rsid w:val="00911C7A"/>
    <w:rsid w:val="00911D15"/>
    <w:rsid w:val="00911DCA"/>
    <w:rsid w:val="00911E54"/>
    <w:rsid w:val="00911ED5"/>
    <w:rsid w:val="00911F2E"/>
    <w:rsid w:val="00911FB0"/>
    <w:rsid w:val="009121B5"/>
    <w:rsid w:val="00912224"/>
    <w:rsid w:val="00912263"/>
    <w:rsid w:val="009122D4"/>
    <w:rsid w:val="00912582"/>
    <w:rsid w:val="00912680"/>
    <w:rsid w:val="0091294A"/>
    <w:rsid w:val="00912B02"/>
    <w:rsid w:val="00912BB1"/>
    <w:rsid w:val="00912CA8"/>
    <w:rsid w:val="00912CFB"/>
    <w:rsid w:val="00912E4F"/>
    <w:rsid w:val="00913155"/>
    <w:rsid w:val="00913211"/>
    <w:rsid w:val="009132F9"/>
    <w:rsid w:val="0091341A"/>
    <w:rsid w:val="009134BC"/>
    <w:rsid w:val="0091365F"/>
    <w:rsid w:val="0091373C"/>
    <w:rsid w:val="0091381F"/>
    <w:rsid w:val="009138D6"/>
    <w:rsid w:val="00913B91"/>
    <w:rsid w:val="00913CCB"/>
    <w:rsid w:val="00913E34"/>
    <w:rsid w:val="00913F52"/>
    <w:rsid w:val="00914068"/>
    <w:rsid w:val="009140FC"/>
    <w:rsid w:val="00914120"/>
    <w:rsid w:val="00914173"/>
    <w:rsid w:val="009141A5"/>
    <w:rsid w:val="009142D2"/>
    <w:rsid w:val="00914580"/>
    <w:rsid w:val="009145BF"/>
    <w:rsid w:val="009145EB"/>
    <w:rsid w:val="00914C70"/>
    <w:rsid w:val="00914C74"/>
    <w:rsid w:val="00914C88"/>
    <w:rsid w:val="00914CE5"/>
    <w:rsid w:val="00914DC7"/>
    <w:rsid w:val="00914EE4"/>
    <w:rsid w:val="00914FA7"/>
    <w:rsid w:val="009151DF"/>
    <w:rsid w:val="00915230"/>
    <w:rsid w:val="00915276"/>
    <w:rsid w:val="009152A7"/>
    <w:rsid w:val="009153D1"/>
    <w:rsid w:val="00915452"/>
    <w:rsid w:val="009155CC"/>
    <w:rsid w:val="00915636"/>
    <w:rsid w:val="00915677"/>
    <w:rsid w:val="009157D1"/>
    <w:rsid w:val="0091581B"/>
    <w:rsid w:val="009159E2"/>
    <w:rsid w:val="00915C30"/>
    <w:rsid w:val="00915D20"/>
    <w:rsid w:val="009162BD"/>
    <w:rsid w:val="009163FD"/>
    <w:rsid w:val="0091642D"/>
    <w:rsid w:val="009166AE"/>
    <w:rsid w:val="00916885"/>
    <w:rsid w:val="00916A01"/>
    <w:rsid w:val="00916A2A"/>
    <w:rsid w:val="00916AD0"/>
    <w:rsid w:val="00916F37"/>
    <w:rsid w:val="0091714B"/>
    <w:rsid w:val="00917369"/>
    <w:rsid w:val="0091759F"/>
    <w:rsid w:val="00917700"/>
    <w:rsid w:val="0091781C"/>
    <w:rsid w:val="00917850"/>
    <w:rsid w:val="0091790A"/>
    <w:rsid w:val="00917929"/>
    <w:rsid w:val="00917C67"/>
    <w:rsid w:val="00917D02"/>
    <w:rsid w:val="00917D1C"/>
    <w:rsid w:val="0092012C"/>
    <w:rsid w:val="00920155"/>
    <w:rsid w:val="009203E5"/>
    <w:rsid w:val="009206C5"/>
    <w:rsid w:val="009206CD"/>
    <w:rsid w:val="0092077F"/>
    <w:rsid w:val="0092099B"/>
    <w:rsid w:val="0092099E"/>
    <w:rsid w:val="009209F3"/>
    <w:rsid w:val="00920A50"/>
    <w:rsid w:val="00920B51"/>
    <w:rsid w:val="00920C2B"/>
    <w:rsid w:val="00920DFE"/>
    <w:rsid w:val="00920E62"/>
    <w:rsid w:val="0092109E"/>
    <w:rsid w:val="0092111E"/>
    <w:rsid w:val="0092115C"/>
    <w:rsid w:val="0092122D"/>
    <w:rsid w:val="009212BD"/>
    <w:rsid w:val="00921584"/>
    <w:rsid w:val="0092177D"/>
    <w:rsid w:val="00921805"/>
    <w:rsid w:val="00921963"/>
    <w:rsid w:val="0092198B"/>
    <w:rsid w:val="00921A26"/>
    <w:rsid w:val="00921AD9"/>
    <w:rsid w:val="00921B7A"/>
    <w:rsid w:val="00921D14"/>
    <w:rsid w:val="00921DB1"/>
    <w:rsid w:val="00921DFF"/>
    <w:rsid w:val="009220AB"/>
    <w:rsid w:val="0092213A"/>
    <w:rsid w:val="009221CB"/>
    <w:rsid w:val="0092221A"/>
    <w:rsid w:val="009224BA"/>
    <w:rsid w:val="0092260F"/>
    <w:rsid w:val="00922675"/>
    <w:rsid w:val="009227C8"/>
    <w:rsid w:val="00922A51"/>
    <w:rsid w:val="00922BA9"/>
    <w:rsid w:val="00922DF1"/>
    <w:rsid w:val="00922DFC"/>
    <w:rsid w:val="00922E3F"/>
    <w:rsid w:val="00922EF4"/>
    <w:rsid w:val="00922F49"/>
    <w:rsid w:val="00922FDF"/>
    <w:rsid w:val="009230A8"/>
    <w:rsid w:val="0092320E"/>
    <w:rsid w:val="00923327"/>
    <w:rsid w:val="009233D7"/>
    <w:rsid w:val="00923560"/>
    <w:rsid w:val="009236FC"/>
    <w:rsid w:val="00923805"/>
    <w:rsid w:val="00923980"/>
    <w:rsid w:val="00923ACF"/>
    <w:rsid w:val="00923AEA"/>
    <w:rsid w:val="00923B5A"/>
    <w:rsid w:val="00923C35"/>
    <w:rsid w:val="00923DC0"/>
    <w:rsid w:val="00923DFB"/>
    <w:rsid w:val="009240BD"/>
    <w:rsid w:val="009240DF"/>
    <w:rsid w:val="009241D8"/>
    <w:rsid w:val="009241FD"/>
    <w:rsid w:val="00924252"/>
    <w:rsid w:val="00924493"/>
    <w:rsid w:val="00924518"/>
    <w:rsid w:val="00924582"/>
    <w:rsid w:val="00924590"/>
    <w:rsid w:val="009245EA"/>
    <w:rsid w:val="0092461D"/>
    <w:rsid w:val="0092486C"/>
    <w:rsid w:val="0092489C"/>
    <w:rsid w:val="009248B8"/>
    <w:rsid w:val="009248D2"/>
    <w:rsid w:val="009249A9"/>
    <w:rsid w:val="00924AC5"/>
    <w:rsid w:val="00924B9D"/>
    <w:rsid w:val="00924BA3"/>
    <w:rsid w:val="00924D0B"/>
    <w:rsid w:val="00924D2B"/>
    <w:rsid w:val="00924E92"/>
    <w:rsid w:val="00924F58"/>
    <w:rsid w:val="0092524F"/>
    <w:rsid w:val="009253D7"/>
    <w:rsid w:val="00925479"/>
    <w:rsid w:val="0092548D"/>
    <w:rsid w:val="009256C9"/>
    <w:rsid w:val="0092598C"/>
    <w:rsid w:val="009259FF"/>
    <w:rsid w:val="00925A9B"/>
    <w:rsid w:val="00925AC9"/>
    <w:rsid w:val="00925AE7"/>
    <w:rsid w:val="00925B1F"/>
    <w:rsid w:val="00925B41"/>
    <w:rsid w:val="00925B51"/>
    <w:rsid w:val="00925C31"/>
    <w:rsid w:val="00925C62"/>
    <w:rsid w:val="00925CC7"/>
    <w:rsid w:val="00925CE0"/>
    <w:rsid w:val="00925DA6"/>
    <w:rsid w:val="00925E5A"/>
    <w:rsid w:val="00925FE2"/>
    <w:rsid w:val="0092614B"/>
    <w:rsid w:val="0092619E"/>
    <w:rsid w:val="0092622A"/>
    <w:rsid w:val="009262D8"/>
    <w:rsid w:val="009263BB"/>
    <w:rsid w:val="00926452"/>
    <w:rsid w:val="009265DE"/>
    <w:rsid w:val="009266F6"/>
    <w:rsid w:val="00926892"/>
    <w:rsid w:val="00926A57"/>
    <w:rsid w:val="00926D43"/>
    <w:rsid w:val="00926F2F"/>
    <w:rsid w:val="00926FAA"/>
    <w:rsid w:val="009270BF"/>
    <w:rsid w:val="0092734C"/>
    <w:rsid w:val="00927356"/>
    <w:rsid w:val="00927358"/>
    <w:rsid w:val="00927366"/>
    <w:rsid w:val="00927368"/>
    <w:rsid w:val="00927489"/>
    <w:rsid w:val="009274CC"/>
    <w:rsid w:val="0092758B"/>
    <w:rsid w:val="00927661"/>
    <w:rsid w:val="009276F8"/>
    <w:rsid w:val="009277B1"/>
    <w:rsid w:val="00927878"/>
    <w:rsid w:val="00927C7F"/>
    <w:rsid w:val="00927E6C"/>
    <w:rsid w:val="00930038"/>
    <w:rsid w:val="00930145"/>
    <w:rsid w:val="009301E0"/>
    <w:rsid w:val="009301FE"/>
    <w:rsid w:val="00930224"/>
    <w:rsid w:val="00930236"/>
    <w:rsid w:val="00930239"/>
    <w:rsid w:val="009305ED"/>
    <w:rsid w:val="009306B2"/>
    <w:rsid w:val="00930A59"/>
    <w:rsid w:val="00930A9B"/>
    <w:rsid w:val="00930BAD"/>
    <w:rsid w:val="00930E1C"/>
    <w:rsid w:val="009311EA"/>
    <w:rsid w:val="00931476"/>
    <w:rsid w:val="0093153F"/>
    <w:rsid w:val="009317CA"/>
    <w:rsid w:val="00931823"/>
    <w:rsid w:val="00931970"/>
    <w:rsid w:val="009319B4"/>
    <w:rsid w:val="009319BF"/>
    <w:rsid w:val="00931A83"/>
    <w:rsid w:val="00931ABB"/>
    <w:rsid w:val="00931AD3"/>
    <w:rsid w:val="00931B07"/>
    <w:rsid w:val="00931CD5"/>
    <w:rsid w:val="00931DEA"/>
    <w:rsid w:val="00931E57"/>
    <w:rsid w:val="00931E80"/>
    <w:rsid w:val="0093206E"/>
    <w:rsid w:val="009321D8"/>
    <w:rsid w:val="00932317"/>
    <w:rsid w:val="00932470"/>
    <w:rsid w:val="009324B6"/>
    <w:rsid w:val="00932522"/>
    <w:rsid w:val="0093286F"/>
    <w:rsid w:val="00932951"/>
    <w:rsid w:val="00932954"/>
    <w:rsid w:val="00932B88"/>
    <w:rsid w:val="00932D25"/>
    <w:rsid w:val="00932ED4"/>
    <w:rsid w:val="0093312D"/>
    <w:rsid w:val="00933131"/>
    <w:rsid w:val="00933170"/>
    <w:rsid w:val="009332AD"/>
    <w:rsid w:val="00933395"/>
    <w:rsid w:val="009333ED"/>
    <w:rsid w:val="009333F7"/>
    <w:rsid w:val="009334A0"/>
    <w:rsid w:val="0093358C"/>
    <w:rsid w:val="009337CE"/>
    <w:rsid w:val="009337E8"/>
    <w:rsid w:val="009339EA"/>
    <w:rsid w:val="00933C0F"/>
    <w:rsid w:val="00933C91"/>
    <w:rsid w:val="00933D2F"/>
    <w:rsid w:val="00933D4A"/>
    <w:rsid w:val="00933DE3"/>
    <w:rsid w:val="00933E68"/>
    <w:rsid w:val="0093400F"/>
    <w:rsid w:val="00934034"/>
    <w:rsid w:val="009340E4"/>
    <w:rsid w:val="009343A0"/>
    <w:rsid w:val="009343B6"/>
    <w:rsid w:val="0093441A"/>
    <w:rsid w:val="009344A6"/>
    <w:rsid w:val="00934515"/>
    <w:rsid w:val="00934612"/>
    <w:rsid w:val="009346F0"/>
    <w:rsid w:val="009348CB"/>
    <w:rsid w:val="009348F1"/>
    <w:rsid w:val="009349F8"/>
    <w:rsid w:val="00934D4B"/>
    <w:rsid w:val="00934E3D"/>
    <w:rsid w:val="00935010"/>
    <w:rsid w:val="0093517D"/>
    <w:rsid w:val="00935199"/>
    <w:rsid w:val="00935356"/>
    <w:rsid w:val="0093536B"/>
    <w:rsid w:val="009354EA"/>
    <w:rsid w:val="009356DF"/>
    <w:rsid w:val="009357FC"/>
    <w:rsid w:val="00935A5F"/>
    <w:rsid w:val="00935A6A"/>
    <w:rsid w:val="00935AB2"/>
    <w:rsid w:val="00935C87"/>
    <w:rsid w:val="00935E27"/>
    <w:rsid w:val="00935EED"/>
    <w:rsid w:val="00935F32"/>
    <w:rsid w:val="00935F36"/>
    <w:rsid w:val="00935F83"/>
    <w:rsid w:val="00936035"/>
    <w:rsid w:val="009362BC"/>
    <w:rsid w:val="009362C3"/>
    <w:rsid w:val="0093638A"/>
    <w:rsid w:val="009366AC"/>
    <w:rsid w:val="009366D5"/>
    <w:rsid w:val="009366D6"/>
    <w:rsid w:val="009366EB"/>
    <w:rsid w:val="00936737"/>
    <w:rsid w:val="00936779"/>
    <w:rsid w:val="0093681C"/>
    <w:rsid w:val="00936961"/>
    <w:rsid w:val="009369C4"/>
    <w:rsid w:val="00936B4B"/>
    <w:rsid w:val="00936BE2"/>
    <w:rsid w:val="00936CCB"/>
    <w:rsid w:val="00936EA0"/>
    <w:rsid w:val="00936F45"/>
    <w:rsid w:val="00937005"/>
    <w:rsid w:val="0093742B"/>
    <w:rsid w:val="00937492"/>
    <w:rsid w:val="009377BB"/>
    <w:rsid w:val="00937816"/>
    <w:rsid w:val="009378DE"/>
    <w:rsid w:val="0093791A"/>
    <w:rsid w:val="00937A97"/>
    <w:rsid w:val="00937B57"/>
    <w:rsid w:val="00937C22"/>
    <w:rsid w:val="00937D4C"/>
    <w:rsid w:val="00937EF4"/>
    <w:rsid w:val="0094009C"/>
    <w:rsid w:val="00940139"/>
    <w:rsid w:val="00940196"/>
    <w:rsid w:val="00940468"/>
    <w:rsid w:val="009404BA"/>
    <w:rsid w:val="0094063A"/>
    <w:rsid w:val="009408DB"/>
    <w:rsid w:val="009408DF"/>
    <w:rsid w:val="00940AF7"/>
    <w:rsid w:val="00940B8F"/>
    <w:rsid w:val="00940D4C"/>
    <w:rsid w:val="00940DDF"/>
    <w:rsid w:val="00940F0F"/>
    <w:rsid w:val="00941126"/>
    <w:rsid w:val="009412FE"/>
    <w:rsid w:val="0094156B"/>
    <w:rsid w:val="009415ED"/>
    <w:rsid w:val="0094163F"/>
    <w:rsid w:val="0094166D"/>
    <w:rsid w:val="00941733"/>
    <w:rsid w:val="00941735"/>
    <w:rsid w:val="00941764"/>
    <w:rsid w:val="009417E7"/>
    <w:rsid w:val="00941800"/>
    <w:rsid w:val="009418E6"/>
    <w:rsid w:val="00941D21"/>
    <w:rsid w:val="00941DDB"/>
    <w:rsid w:val="00942003"/>
    <w:rsid w:val="009420F3"/>
    <w:rsid w:val="009421ED"/>
    <w:rsid w:val="00942259"/>
    <w:rsid w:val="00942290"/>
    <w:rsid w:val="0094229D"/>
    <w:rsid w:val="00942322"/>
    <w:rsid w:val="009423C1"/>
    <w:rsid w:val="009423E8"/>
    <w:rsid w:val="009423F0"/>
    <w:rsid w:val="009423FF"/>
    <w:rsid w:val="009425AE"/>
    <w:rsid w:val="00942642"/>
    <w:rsid w:val="009426D7"/>
    <w:rsid w:val="0094272B"/>
    <w:rsid w:val="00942751"/>
    <w:rsid w:val="0094280D"/>
    <w:rsid w:val="00942827"/>
    <w:rsid w:val="009428FD"/>
    <w:rsid w:val="00942AC2"/>
    <w:rsid w:val="00942B0D"/>
    <w:rsid w:val="00942DA2"/>
    <w:rsid w:val="00942DBD"/>
    <w:rsid w:val="00942F9F"/>
    <w:rsid w:val="00943067"/>
    <w:rsid w:val="0094316D"/>
    <w:rsid w:val="00943176"/>
    <w:rsid w:val="009431D8"/>
    <w:rsid w:val="0094348F"/>
    <w:rsid w:val="009436A3"/>
    <w:rsid w:val="00943AE7"/>
    <w:rsid w:val="00943CF0"/>
    <w:rsid w:val="00943DB8"/>
    <w:rsid w:val="00943E2A"/>
    <w:rsid w:val="00943EA2"/>
    <w:rsid w:val="00943EFC"/>
    <w:rsid w:val="00943FFA"/>
    <w:rsid w:val="009441CB"/>
    <w:rsid w:val="00944209"/>
    <w:rsid w:val="00944256"/>
    <w:rsid w:val="0094435D"/>
    <w:rsid w:val="00944361"/>
    <w:rsid w:val="00944398"/>
    <w:rsid w:val="00944619"/>
    <w:rsid w:val="009446AF"/>
    <w:rsid w:val="0094475E"/>
    <w:rsid w:val="00944A8B"/>
    <w:rsid w:val="00944D8E"/>
    <w:rsid w:val="00944DCC"/>
    <w:rsid w:val="00944E66"/>
    <w:rsid w:val="00944E75"/>
    <w:rsid w:val="00944EA1"/>
    <w:rsid w:val="00944EC2"/>
    <w:rsid w:val="00944F17"/>
    <w:rsid w:val="00944F8F"/>
    <w:rsid w:val="009450A9"/>
    <w:rsid w:val="0094512C"/>
    <w:rsid w:val="00945328"/>
    <w:rsid w:val="00945413"/>
    <w:rsid w:val="0094543C"/>
    <w:rsid w:val="009454BD"/>
    <w:rsid w:val="00945639"/>
    <w:rsid w:val="00945793"/>
    <w:rsid w:val="009457F0"/>
    <w:rsid w:val="00945895"/>
    <w:rsid w:val="00945C77"/>
    <w:rsid w:val="00945CB9"/>
    <w:rsid w:val="00945E40"/>
    <w:rsid w:val="00945EFE"/>
    <w:rsid w:val="0094607F"/>
    <w:rsid w:val="00946209"/>
    <w:rsid w:val="0094622A"/>
    <w:rsid w:val="009462B6"/>
    <w:rsid w:val="009462C6"/>
    <w:rsid w:val="00946407"/>
    <w:rsid w:val="009466AC"/>
    <w:rsid w:val="009467AC"/>
    <w:rsid w:val="009467FF"/>
    <w:rsid w:val="00946925"/>
    <w:rsid w:val="00946979"/>
    <w:rsid w:val="00946A69"/>
    <w:rsid w:val="00946D6F"/>
    <w:rsid w:val="00946DD3"/>
    <w:rsid w:val="00946E67"/>
    <w:rsid w:val="00946F0E"/>
    <w:rsid w:val="00947199"/>
    <w:rsid w:val="009471C6"/>
    <w:rsid w:val="009472BC"/>
    <w:rsid w:val="0094732A"/>
    <w:rsid w:val="00947502"/>
    <w:rsid w:val="0094769C"/>
    <w:rsid w:val="00947793"/>
    <w:rsid w:val="009477A2"/>
    <w:rsid w:val="009478A3"/>
    <w:rsid w:val="00947959"/>
    <w:rsid w:val="00947A5B"/>
    <w:rsid w:val="00947B4F"/>
    <w:rsid w:val="00947BEB"/>
    <w:rsid w:val="00947C03"/>
    <w:rsid w:val="00947D30"/>
    <w:rsid w:val="00947DAA"/>
    <w:rsid w:val="00947DD8"/>
    <w:rsid w:val="00947EF9"/>
    <w:rsid w:val="00947F5D"/>
    <w:rsid w:val="00950116"/>
    <w:rsid w:val="00950132"/>
    <w:rsid w:val="009501BD"/>
    <w:rsid w:val="00950286"/>
    <w:rsid w:val="00950467"/>
    <w:rsid w:val="00950484"/>
    <w:rsid w:val="009505C0"/>
    <w:rsid w:val="00950888"/>
    <w:rsid w:val="00950998"/>
    <w:rsid w:val="009509D0"/>
    <w:rsid w:val="00950A88"/>
    <w:rsid w:val="00950A90"/>
    <w:rsid w:val="00950AC8"/>
    <w:rsid w:val="00950AD0"/>
    <w:rsid w:val="00950BF0"/>
    <w:rsid w:val="00950EA0"/>
    <w:rsid w:val="00950F20"/>
    <w:rsid w:val="00950F4E"/>
    <w:rsid w:val="00950F59"/>
    <w:rsid w:val="0095100B"/>
    <w:rsid w:val="00951030"/>
    <w:rsid w:val="009510D9"/>
    <w:rsid w:val="00951108"/>
    <w:rsid w:val="0095113E"/>
    <w:rsid w:val="00951155"/>
    <w:rsid w:val="0095129E"/>
    <w:rsid w:val="00951423"/>
    <w:rsid w:val="0095146F"/>
    <w:rsid w:val="009514BD"/>
    <w:rsid w:val="009515D7"/>
    <w:rsid w:val="009515F0"/>
    <w:rsid w:val="0095171A"/>
    <w:rsid w:val="00951832"/>
    <w:rsid w:val="00951AAD"/>
    <w:rsid w:val="00951B59"/>
    <w:rsid w:val="00951CCB"/>
    <w:rsid w:val="00951E78"/>
    <w:rsid w:val="00952096"/>
    <w:rsid w:val="00952117"/>
    <w:rsid w:val="00952142"/>
    <w:rsid w:val="009522FC"/>
    <w:rsid w:val="00952599"/>
    <w:rsid w:val="00952978"/>
    <w:rsid w:val="00952A13"/>
    <w:rsid w:val="00952A8C"/>
    <w:rsid w:val="00952E81"/>
    <w:rsid w:val="00952F99"/>
    <w:rsid w:val="00953025"/>
    <w:rsid w:val="009530C7"/>
    <w:rsid w:val="009530D8"/>
    <w:rsid w:val="0095313E"/>
    <w:rsid w:val="00953168"/>
    <w:rsid w:val="009531F7"/>
    <w:rsid w:val="009532AC"/>
    <w:rsid w:val="009533FC"/>
    <w:rsid w:val="00953464"/>
    <w:rsid w:val="00953633"/>
    <w:rsid w:val="00953635"/>
    <w:rsid w:val="00953A44"/>
    <w:rsid w:val="00953A53"/>
    <w:rsid w:val="00953B6C"/>
    <w:rsid w:val="00953D2E"/>
    <w:rsid w:val="00953E09"/>
    <w:rsid w:val="00953E48"/>
    <w:rsid w:val="009543B3"/>
    <w:rsid w:val="009545A3"/>
    <w:rsid w:val="00954603"/>
    <w:rsid w:val="00954728"/>
    <w:rsid w:val="00954753"/>
    <w:rsid w:val="009548B0"/>
    <w:rsid w:val="009548C5"/>
    <w:rsid w:val="00954D5A"/>
    <w:rsid w:val="00954DB9"/>
    <w:rsid w:val="00954ECB"/>
    <w:rsid w:val="00954F9F"/>
    <w:rsid w:val="0095521E"/>
    <w:rsid w:val="00955282"/>
    <w:rsid w:val="009553FE"/>
    <w:rsid w:val="009554CD"/>
    <w:rsid w:val="0095568B"/>
    <w:rsid w:val="00955897"/>
    <w:rsid w:val="00955A39"/>
    <w:rsid w:val="00955AE1"/>
    <w:rsid w:val="00955BC6"/>
    <w:rsid w:val="00955C40"/>
    <w:rsid w:val="00955D0D"/>
    <w:rsid w:val="00955DF2"/>
    <w:rsid w:val="00956059"/>
    <w:rsid w:val="00956266"/>
    <w:rsid w:val="0095636B"/>
    <w:rsid w:val="0095698D"/>
    <w:rsid w:val="0095698F"/>
    <w:rsid w:val="00956995"/>
    <w:rsid w:val="009569B9"/>
    <w:rsid w:val="00956A3D"/>
    <w:rsid w:val="00956A9D"/>
    <w:rsid w:val="00956CC3"/>
    <w:rsid w:val="00956CEE"/>
    <w:rsid w:val="00956D1A"/>
    <w:rsid w:val="00956D7E"/>
    <w:rsid w:val="00956E67"/>
    <w:rsid w:val="00956EAC"/>
    <w:rsid w:val="00956F4D"/>
    <w:rsid w:val="00957022"/>
    <w:rsid w:val="009570ED"/>
    <w:rsid w:val="00957202"/>
    <w:rsid w:val="0095721E"/>
    <w:rsid w:val="00957250"/>
    <w:rsid w:val="0095728F"/>
    <w:rsid w:val="00957643"/>
    <w:rsid w:val="00957742"/>
    <w:rsid w:val="0095781F"/>
    <w:rsid w:val="009579EF"/>
    <w:rsid w:val="00957A5B"/>
    <w:rsid w:val="00957B13"/>
    <w:rsid w:val="00957C50"/>
    <w:rsid w:val="00957CF2"/>
    <w:rsid w:val="00957D70"/>
    <w:rsid w:val="00957DC4"/>
    <w:rsid w:val="00960016"/>
    <w:rsid w:val="009600C5"/>
    <w:rsid w:val="009600F1"/>
    <w:rsid w:val="00960204"/>
    <w:rsid w:val="00960281"/>
    <w:rsid w:val="0096032D"/>
    <w:rsid w:val="00960377"/>
    <w:rsid w:val="009604BA"/>
    <w:rsid w:val="00960729"/>
    <w:rsid w:val="00960940"/>
    <w:rsid w:val="00960954"/>
    <w:rsid w:val="0096097D"/>
    <w:rsid w:val="00960985"/>
    <w:rsid w:val="009609BF"/>
    <w:rsid w:val="00960AB0"/>
    <w:rsid w:val="00960B4C"/>
    <w:rsid w:val="00960B75"/>
    <w:rsid w:val="00960D73"/>
    <w:rsid w:val="00960E3A"/>
    <w:rsid w:val="00960E3F"/>
    <w:rsid w:val="00960E94"/>
    <w:rsid w:val="00960F71"/>
    <w:rsid w:val="00960F73"/>
    <w:rsid w:val="0096117B"/>
    <w:rsid w:val="009611A8"/>
    <w:rsid w:val="0096124F"/>
    <w:rsid w:val="009615C3"/>
    <w:rsid w:val="009615CE"/>
    <w:rsid w:val="009615DD"/>
    <w:rsid w:val="009619C7"/>
    <w:rsid w:val="00961A69"/>
    <w:rsid w:val="00961AC1"/>
    <w:rsid w:val="00961B2F"/>
    <w:rsid w:val="00961B7E"/>
    <w:rsid w:val="00961B81"/>
    <w:rsid w:val="00961C89"/>
    <w:rsid w:val="00961CA0"/>
    <w:rsid w:val="00961D01"/>
    <w:rsid w:val="00961DA4"/>
    <w:rsid w:val="00961FEE"/>
    <w:rsid w:val="00962081"/>
    <w:rsid w:val="0096276A"/>
    <w:rsid w:val="009628D6"/>
    <w:rsid w:val="00962D78"/>
    <w:rsid w:val="00962F46"/>
    <w:rsid w:val="00962F4B"/>
    <w:rsid w:val="00963013"/>
    <w:rsid w:val="00963018"/>
    <w:rsid w:val="00963033"/>
    <w:rsid w:val="00963124"/>
    <w:rsid w:val="009632DE"/>
    <w:rsid w:val="009639BD"/>
    <w:rsid w:val="00963A60"/>
    <w:rsid w:val="00963DE0"/>
    <w:rsid w:val="00963E64"/>
    <w:rsid w:val="00963F10"/>
    <w:rsid w:val="00963F2A"/>
    <w:rsid w:val="00963F76"/>
    <w:rsid w:val="00964076"/>
    <w:rsid w:val="009640DB"/>
    <w:rsid w:val="00964325"/>
    <w:rsid w:val="0096456A"/>
    <w:rsid w:val="009645E1"/>
    <w:rsid w:val="00964747"/>
    <w:rsid w:val="009647DB"/>
    <w:rsid w:val="00964997"/>
    <w:rsid w:val="00964A42"/>
    <w:rsid w:val="00964AC0"/>
    <w:rsid w:val="00964B69"/>
    <w:rsid w:val="00964B82"/>
    <w:rsid w:val="00964DA3"/>
    <w:rsid w:val="00964FC5"/>
    <w:rsid w:val="009650AE"/>
    <w:rsid w:val="009650EA"/>
    <w:rsid w:val="009651F2"/>
    <w:rsid w:val="009655A0"/>
    <w:rsid w:val="00965624"/>
    <w:rsid w:val="009656E3"/>
    <w:rsid w:val="00965748"/>
    <w:rsid w:val="00965948"/>
    <w:rsid w:val="0096599A"/>
    <w:rsid w:val="009659C2"/>
    <w:rsid w:val="00965A3D"/>
    <w:rsid w:val="00965CBE"/>
    <w:rsid w:val="00965D35"/>
    <w:rsid w:val="00965DAA"/>
    <w:rsid w:val="00965E23"/>
    <w:rsid w:val="00965FF2"/>
    <w:rsid w:val="00966055"/>
    <w:rsid w:val="009665D2"/>
    <w:rsid w:val="00966620"/>
    <w:rsid w:val="00966690"/>
    <w:rsid w:val="009668A2"/>
    <w:rsid w:val="009668C5"/>
    <w:rsid w:val="00966A41"/>
    <w:rsid w:val="00966AC6"/>
    <w:rsid w:val="00966B0A"/>
    <w:rsid w:val="00966D4A"/>
    <w:rsid w:val="00966E58"/>
    <w:rsid w:val="00966FC5"/>
    <w:rsid w:val="00966FD0"/>
    <w:rsid w:val="009670B2"/>
    <w:rsid w:val="00967634"/>
    <w:rsid w:val="009676A2"/>
    <w:rsid w:val="009676FF"/>
    <w:rsid w:val="0096773E"/>
    <w:rsid w:val="00967962"/>
    <w:rsid w:val="009679F1"/>
    <w:rsid w:val="009679F5"/>
    <w:rsid w:val="00967A74"/>
    <w:rsid w:val="00967B27"/>
    <w:rsid w:val="00967DF1"/>
    <w:rsid w:val="00967F42"/>
    <w:rsid w:val="00967FA4"/>
    <w:rsid w:val="00967FDA"/>
    <w:rsid w:val="00970339"/>
    <w:rsid w:val="009703A1"/>
    <w:rsid w:val="00970468"/>
    <w:rsid w:val="009704F3"/>
    <w:rsid w:val="00970500"/>
    <w:rsid w:val="00970502"/>
    <w:rsid w:val="009706AA"/>
    <w:rsid w:val="0097071D"/>
    <w:rsid w:val="0097077C"/>
    <w:rsid w:val="009708C3"/>
    <w:rsid w:val="00970915"/>
    <w:rsid w:val="0097097D"/>
    <w:rsid w:val="009709C4"/>
    <w:rsid w:val="00970A83"/>
    <w:rsid w:val="00970C32"/>
    <w:rsid w:val="00970C5A"/>
    <w:rsid w:val="00970ED6"/>
    <w:rsid w:val="0097103F"/>
    <w:rsid w:val="00971055"/>
    <w:rsid w:val="0097110F"/>
    <w:rsid w:val="00971315"/>
    <w:rsid w:val="0097152D"/>
    <w:rsid w:val="0097159B"/>
    <w:rsid w:val="0097161C"/>
    <w:rsid w:val="0097186F"/>
    <w:rsid w:val="00971871"/>
    <w:rsid w:val="00971A4E"/>
    <w:rsid w:val="00971AA7"/>
    <w:rsid w:val="00971C26"/>
    <w:rsid w:val="00971C3A"/>
    <w:rsid w:val="00971C85"/>
    <w:rsid w:val="00971CCA"/>
    <w:rsid w:val="00971D1C"/>
    <w:rsid w:val="00971E76"/>
    <w:rsid w:val="00971EF6"/>
    <w:rsid w:val="00971F34"/>
    <w:rsid w:val="00972029"/>
    <w:rsid w:val="009721ED"/>
    <w:rsid w:val="009725E8"/>
    <w:rsid w:val="009725F0"/>
    <w:rsid w:val="00972624"/>
    <w:rsid w:val="00972739"/>
    <w:rsid w:val="00972775"/>
    <w:rsid w:val="00972814"/>
    <w:rsid w:val="00972842"/>
    <w:rsid w:val="00972A44"/>
    <w:rsid w:val="00972BCE"/>
    <w:rsid w:val="00972CC7"/>
    <w:rsid w:val="00972FA2"/>
    <w:rsid w:val="0097324A"/>
    <w:rsid w:val="009732E3"/>
    <w:rsid w:val="009734E4"/>
    <w:rsid w:val="009734FD"/>
    <w:rsid w:val="0097354F"/>
    <w:rsid w:val="0097357B"/>
    <w:rsid w:val="009735AC"/>
    <w:rsid w:val="009735D4"/>
    <w:rsid w:val="009735FC"/>
    <w:rsid w:val="0097362C"/>
    <w:rsid w:val="009736C2"/>
    <w:rsid w:val="009739FF"/>
    <w:rsid w:val="00973A9E"/>
    <w:rsid w:val="00973BB7"/>
    <w:rsid w:val="00973C15"/>
    <w:rsid w:val="00973D3B"/>
    <w:rsid w:val="00973E43"/>
    <w:rsid w:val="00973EDF"/>
    <w:rsid w:val="00974009"/>
    <w:rsid w:val="0097400C"/>
    <w:rsid w:val="009740C9"/>
    <w:rsid w:val="00974175"/>
    <w:rsid w:val="009747C6"/>
    <w:rsid w:val="00974923"/>
    <w:rsid w:val="0097497E"/>
    <w:rsid w:val="009749B7"/>
    <w:rsid w:val="009749D7"/>
    <w:rsid w:val="00974B02"/>
    <w:rsid w:val="00974C9B"/>
    <w:rsid w:val="00974DBF"/>
    <w:rsid w:val="00974DE2"/>
    <w:rsid w:val="00974E6D"/>
    <w:rsid w:val="00975120"/>
    <w:rsid w:val="00975267"/>
    <w:rsid w:val="00975463"/>
    <w:rsid w:val="00975534"/>
    <w:rsid w:val="00975560"/>
    <w:rsid w:val="009755E1"/>
    <w:rsid w:val="0097584A"/>
    <w:rsid w:val="0097584E"/>
    <w:rsid w:val="009758A9"/>
    <w:rsid w:val="009759A1"/>
    <w:rsid w:val="00975A4D"/>
    <w:rsid w:val="00975C0B"/>
    <w:rsid w:val="00975C31"/>
    <w:rsid w:val="00975C34"/>
    <w:rsid w:val="00975C6B"/>
    <w:rsid w:val="00975D10"/>
    <w:rsid w:val="00975DB9"/>
    <w:rsid w:val="00975DC7"/>
    <w:rsid w:val="0097603E"/>
    <w:rsid w:val="00976113"/>
    <w:rsid w:val="0097634A"/>
    <w:rsid w:val="009764A2"/>
    <w:rsid w:val="0097655B"/>
    <w:rsid w:val="009765BD"/>
    <w:rsid w:val="009765EF"/>
    <w:rsid w:val="009766A1"/>
    <w:rsid w:val="009766E9"/>
    <w:rsid w:val="0097673B"/>
    <w:rsid w:val="00976996"/>
    <w:rsid w:val="00976A3D"/>
    <w:rsid w:val="00976AEE"/>
    <w:rsid w:val="00976CE2"/>
    <w:rsid w:val="00976D1D"/>
    <w:rsid w:val="00976D21"/>
    <w:rsid w:val="00976EFF"/>
    <w:rsid w:val="00976F3D"/>
    <w:rsid w:val="00976F59"/>
    <w:rsid w:val="0097701E"/>
    <w:rsid w:val="00977100"/>
    <w:rsid w:val="009772E5"/>
    <w:rsid w:val="0097733E"/>
    <w:rsid w:val="0097755D"/>
    <w:rsid w:val="009775CA"/>
    <w:rsid w:val="00977626"/>
    <w:rsid w:val="009777A6"/>
    <w:rsid w:val="009777B0"/>
    <w:rsid w:val="00977915"/>
    <w:rsid w:val="009779C2"/>
    <w:rsid w:val="009779ED"/>
    <w:rsid w:val="00977A91"/>
    <w:rsid w:val="00977B9A"/>
    <w:rsid w:val="00977E5B"/>
    <w:rsid w:val="00977ED0"/>
    <w:rsid w:val="00977FE2"/>
    <w:rsid w:val="0097F295"/>
    <w:rsid w:val="0098000A"/>
    <w:rsid w:val="009800FD"/>
    <w:rsid w:val="0098020B"/>
    <w:rsid w:val="009802E6"/>
    <w:rsid w:val="009805B8"/>
    <w:rsid w:val="009805C2"/>
    <w:rsid w:val="00980761"/>
    <w:rsid w:val="00980778"/>
    <w:rsid w:val="009808F7"/>
    <w:rsid w:val="00980ED3"/>
    <w:rsid w:val="00980F54"/>
    <w:rsid w:val="00980FC9"/>
    <w:rsid w:val="009810DE"/>
    <w:rsid w:val="009812FC"/>
    <w:rsid w:val="009813CD"/>
    <w:rsid w:val="0098143C"/>
    <w:rsid w:val="0098150F"/>
    <w:rsid w:val="009815F3"/>
    <w:rsid w:val="00981960"/>
    <w:rsid w:val="00981E9D"/>
    <w:rsid w:val="00981EB8"/>
    <w:rsid w:val="00981EEF"/>
    <w:rsid w:val="00981F6E"/>
    <w:rsid w:val="00981FED"/>
    <w:rsid w:val="0098221F"/>
    <w:rsid w:val="00982383"/>
    <w:rsid w:val="009823AE"/>
    <w:rsid w:val="009823E6"/>
    <w:rsid w:val="009827C1"/>
    <w:rsid w:val="00982862"/>
    <w:rsid w:val="009828FC"/>
    <w:rsid w:val="0098292F"/>
    <w:rsid w:val="00982ACF"/>
    <w:rsid w:val="00982ADB"/>
    <w:rsid w:val="00982B6A"/>
    <w:rsid w:val="00982C23"/>
    <w:rsid w:val="00982C71"/>
    <w:rsid w:val="00982EB1"/>
    <w:rsid w:val="009830F4"/>
    <w:rsid w:val="009831C9"/>
    <w:rsid w:val="00983275"/>
    <w:rsid w:val="009833C6"/>
    <w:rsid w:val="00983557"/>
    <w:rsid w:val="009835CB"/>
    <w:rsid w:val="00983905"/>
    <w:rsid w:val="00983AF4"/>
    <w:rsid w:val="00983B30"/>
    <w:rsid w:val="00983B7F"/>
    <w:rsid w:val="00983CCF"/>
    <w:rsid w:val="00983E4F"/>
    <w:rsid w:val="00983E63"/>
    <w:rsid w:val="00983FA4"/>
    <w:rsid w:val="00983FB5"/>
    <w:rsid w:val="0098447F"/>
    <w:rsid w:val="009846A0"/>
    <w:rsid w:val="0098473D"/>
    <w:rsid w:val="0098485C"/>
    <w:rsid w:val="00984A1A"/>
    <w:rsid w:val="00984A4A"/>
    <w:rsid w:val="00984DFF"/>
    <w:rsid w:val="00984F96"/>
    <w:rsid w:val="00984FAC"/>
    <w:rsid w:val="00984FE6"/>
    <w:rsid w:val="00985026"/>
    <w:rsid w:val="009851FB"/>
    <w:rsid w:val="00985376"/>
    <w:rsid w:val="009854CB"/>
    <w:rsid w:val="009857AA"/>
    <w:rsid w:val="0098580A"/>
    <w:rsid w:val="00985881"/>
    <w:rsid w:val="00985A96"/>
    <w:rsid w:val="00985BE2"/>
    <w:rsid w:val="00985DC5"/>
    <w:rsid w:val="00985F77"/>
    <w:rsid w:val="00986106"/>
    <w:rsid w:val="00986195"/>
    <w:rsid w:val="00986247"/>
    <w:rsid w:val="00986269"/>
    <w:rsid w:val="0098637C"/>
    <w:rsid w:val="00986492"/>
    <w:rsid w:val="0098665A"/>
    <w:rsid w:val="009869FB"/>
    <w:rsid w:val="00986AC2"/>
    <w:rsid w:val="00986B7C"/>
    <w:rsid w:val="00986E83"/>
    <w:rsid w:val="00986E94"/>
    <w:rsid w:val="00986F0A"/>
    <w:rsid w:val="00986F8E"/>
    <w:rsid w:val="009870D5"/>
    <w:rsid w:val="00987159"/>
    <w:rsid w:val="009872CC"/>
    <w:rsid w:val="00987300"/>
    <w:rsid w:val="0098731F"/>
    <w:rsid w:val="00987347"/>
    <w:rsid w:val="0098734E"/>
    <w:rsid w:val="00987503"/>
    <w:rsid w:val="009875D6"/>
    <w:rsid w:val="00987795"/>
    <w:rsid w:val="00987796"/>
    <w:rsid w:val="00987985"/>
    <w:rsid w:val="00987CBA"/>
    <w:rsid w:val="00987D4C"/>
    <w:rsid w:val="00987D85"/>
    <w:rsid w:val="00987E78"/>
    <w:rsid w:val="00987E83"/>
    <w:rsid w:val="00987F6C"/>
    <w:rsid w:val="00987FC1"/>
    <w:rsid w:val="00990114"/>
    <w:rsid w:val="0099023B"/>
    <w:rsid w:val="0099024A"/>
    <w:rsid w:val="009902F9"/>
    <w:rsid w:val="009904C7"/>
    <w:rsid w:val="0099059D"/>
    <w:rsid w:val="0099060E"/>
    <w:rsid w:val="0099068D"/>
    <w:rsid w:val="00990739"/>
    <w:rsid w:val="00990956"/>
    <w:rsid w:val="0099097F"/>
    <w:rsid w:val="0099099C"/>
    <w:rsid w:val="009909AA"/>
    <w:rsid w:val="00990A9D"/>
    <w:rsid w:val="00990AAC"/>
    <w:rsid w:val="00990B1B"/>
    <w:rsid w:val="00990BBC"/>
    <w:rsid w:val="00990BDF"/>
    <w:rsid w:val="00990CB9"/>
    <w:rsid w:val="00990DF5"/>
    <w:rsid w:val="00990E64"/>
    <w:rsid w:val="00990E7F"/>
    <w:rsid w:val="0099103B"/>
    <w:rsid w:val="0099109C"/>
    <w:rsid w:val="00991124"/>
    <w:rsid w:val="009912A9"/>
    <w:rsid w:val="0099138D"/>
    <w:rsid w:val="009914A6"/>
    <w:rsid w:val="00991539"/>
    <w:rsid w:val="00991587"/>
    <w:rsid w:val="00991717"/>
    <w:rsid w:val="00991869"/>
    <w:rsid w:val="00991991"/>
    <w:rsid w:val="00991994"/>
    <w:rsid w:val="00991A6C"/>
    <w:rsid w:val="00991A72"/>
    <w:rsid w:val="00991B0D"/>
    <w:rsid w:val="00991B5D"/>
    <w:rsid w:val="00991D6B"/>
    <w:rsid w:val="00991DCB"/>
    <w:rsid w:val="00991DE0"/>
    <w:rsid w:val="00991E76"/>
    <w:rsid w:val="00991EA0"/>
    <w:rsid w:val="00991F6D"/>
    <w:rsid w:val="009920AA"/>
    <w:rsid w:val="0099234F"/>
    <w:rsid w:val="00992570"/>
    <w:rsid w:val="00992578"/>
    <w:rsid w:val="00992628"/>
    <w:rsid w:val="009926C0"/>
    <w:rsid w:val="0099276B"/>
    <w:rsid w:val="009927C3"/>
    <w:rsid w:val="009928B4"/>
    <w:rsid w:val="00992902"/>
    <w:rsid w:val="00992AAF"/>
    <w:rsid w:val="00992AF9"/>
    <w:rsid w:val="00992BCC"/>
    <w:rsid w:val="00992E16"/>
    <w:rsid w:val="00992EA9"/>
    <w:rsid w:val="00993014"/>
    <w:rsid w:val="00993066"/>
    <w:rsid w:val="0099318A"/>
    <w:rsid w:val="00993200"/>
    <w:rsid w:val="009934F7"/>
    <w:rsid w:val="009935E2"/>
    <w:rsid w:val="0099360D"/>
    <w:rsid w:val="009936E6"/>
    <w:rsid w:val="009939EC"/>
    <w:rsid w:val="00993A8D"/>
    <w:rsid w:val="00993CB1"/>
    <w:rsid w:val="00993CFF"/>
    <w:rsid w:val="00993E45"/>
    <w:rsid w:val="00993E95"/>
    <w:rsid w:val="00993F4D"/>
    <w:rsid w:val="00994075"/>
    <w:rsid w:val="009941AD"/>
    <w:rsid w:val="0099434F"/>
    <w:rsid w:val="009943D2"/>
    <w:rsid w:val="009943FF"/>
    <w:rsid w:val="009944FC"/>
    <w:rsid w:val="00994582"/>
    <w:rsid w:val="00994589"/>
    <w:rsid w:val="009945D1"/>
    <w:rsid w:val="0099469E"/>
    <w:rsid w:val="0099481D"/>
    <w:rsid w:val="009948C1"/>
    <w:rsid w:val="00994952"/>
    <w:rsid w:val="009949D9"/>
    <w:rsid w:val="00994BB0"/>
    <w:rsid w:val="00994C1D"/>
    <w:rsid w:val="00994C5A"/>
    <w:rsid w:val="00994CE9"/>
    <w:rsid w:val="00994FCA"/>
    <w:rsid w:val="00994FF0"/>
    <w:rsid w:val="00995006"/>
    <w:rsid w:val="00995058"/>
    <w:rsid w:val="00995086"/>
    <w:rsid w:val="0099513E"/>
    <w:rsid w:val="00995242"/>
    <w:rsid w:val="00995487"/>
    <w:rsid w:val="00995504"/>
    <w:rsid w:val="009955B2"/>
    <w:rsid w:val="009955E0"/>
    <w:rsid w:val="0099574B"/>
    <w:rsid w:val="00995796"/>
    <w:rsid w:val="009957F0"/>
    <w:rsid w:val="009958F7"/>
    <w:rsid w:val="00995970"/>
    <w:rsid w:val="00995AA8"/>
    <w:rsid w:val="00995AEA"/>
    <w:rsid w:val="00995C70"/>
    <w:rsid w:val="00995D21"/>
    <w:rsid w:val="00995D5E"/>
    <w:rsid w:val="00995D86"/>
    <w:rsid w:val="00995F47"/>
    <w:rsid w:val="00996042"/>
    <w:rsid w:val="009960F8"/>
    <w:rsid w:val="009961E0"/>
    <w:rsid w:val="009962A1"/>
    <w:rsid w:val="00996306"/>
    <w:rsid w:val="00996554"/>
    <w:rsid w:val="00996563"/>
    <w:rsid w:val="009965BA"/>
    <w:rsid w:val="009965E9"/>
    <w:rsid w:val="009967C4"/>
    <w:rsid w:val="009968CD"/>
    <w:rsid w:val="00996905"/>
    <w:rsid w:val="00996928"/>
    <w:rsid w:val="00996AFE"/>
    <w:rsid w:val="00996C39"/>
    <w:rsid w:val="00996CB4"/>
    <w:rsid w:val="00996D24"/>
    <w:rsid w:val="00996D25"/>
    <w:rsid w:val="00996D8D"/>
    <w:rsid w:val="00996E24"/>
    <w:rsid w:val="009970DC"/>
    <w:rsid w:val="00997248"/>
    <w:rsid w:val="0099726F"/>
    <w:rsid w:val="009972EF"/>
    <w:rsid w:val="009975E3"/>
    <w:rsid w:val="00997691"/>
    <w:rsid w:val="009976B7"/>
    <w:rsid w:val="00997A80"/>
    <w:rsid w:val="00997BBF"/>
    <w:rsid w:val="00997CB5"/>
    <w:rsid w:val="00997D7B"/>
    <w:rsid w:val="00997E8E"/>
    <w:rsid w:val="009A0286"/>
    <w:rsid w:val="009A0314"/>
    <w:rsid w:val="009A0334"/>
    <w:rsid w:val="009A03FF"/>
    <w:rsid w:val="009A051B"/>
    <w:rsid w:val="009A0541"/>
    <w:rsid w:val="009A0543"/>
    <w:rsid w:val="009A05EF"/>
    <w:rsid w:val="009A06B2"/>
    <w:rsid w:val="009A07F9"/>
    <w:rsid w:val="009A0857"/>
    <w:rsid w:val="009A08F0"/>
    <w:rsid w:val="009A092D"/>
    <w:rsid w:val="009A0A65"/>
    <w:rsid w:val="009A0BA3"/>
    <w:rsid w:val="009A0CD4"/>
    <w:rsid w:val="009A0D47"/>
    <w:rsid w:val="009A0EAF"/>
    <w:rsid w:val="009A0F7A"/>
    <w:rsid w:val="009A110E"/>
    <w:rsid w:val="009A1203"/>
    <w:rsid w:val="009A1318"/>
    <w:rsid w:val="009A133C"/>
    <w:rsid w:val="009A1460"/>
    <w:rsid w:val="009A18BD"/>
    <w:rsid w:val="009A196E"/>
    <w:rsid w:val="009A1B76"/>
    <w:rsid w:val="009A1CEF"/>
    <w:rsid w:val="009A1DE5"/>
    <w:rsid w:val="009A1E33"/>
    <w:rsid w:val="009A1F86"/>
    <w:rsid w:val="009A1FAC"/>
    <w:rsid w:val="009A1FEC"/>
    <w:rsid w:val="009A23CD"/>
    <w:rsid w:val="009A248D"/>
    <w:rsid w:val="009A24EC"/>
    <w:rsid w:val="009A2554"/>
    <w:rsid w:val="009A2728"/>
    <w:rsid w:val="009A272B"/>
    <w:rsid w:val="009A27B8"/>
    <w:rsid w:val="009A2A04"/>
    <w:rsid w:val="009A2B25"/>
    <w:rsid w:val="009A2C65"/>
    <w:rsid w:val="009A2DF1"/>
    <w:rsid w:val="009A2EC4"/>
    <w:rsid w:val="009A30F2"/>
    <w:rsid w:val="009A33ED"/>
    <w:rsid w:val="009A3514"/>
    <w:rsid w:val="009A354C"/>
    <w:rsid w:val="009A3710"/>
    <w:rsid w:val="009A3EC3"/>
    <w:rsid w:val="009A3F7E"/>
    <w:rsid w:val="009A40FF"/>
    <w:rsid w:val="009A428E"/>
    <w:rsid w:val="009A42E2"/>
    <w:rsid w:val="009A430B"/>
    <w:rsid w:val="009A44BB"/>
    <w:rsid w:val="009A45EA"/>
    <w:rsid w:val="009A461A"/>
    <w:rsid w:val="009A46CA"/>
    <w:rsid w:val="009A46D7"/>
    <w:rsid w:val="009A4747"/>
    <w:rsid w:val="009A476A"/>
    <w:rsid w:val="009A4862"/>
    <w:rsid w:val="009A4919"/>
    <w:rsid w:val="009A4954"/>
    <w:rsid w:val="009A4A94"/>
    <w:rsid w:val="009A4BD0"/>
    <w:rsid w:val="009A4C66"/>
    <w:rsid w:val="009A4DBC"/>
    <w:rsid w:val="009A4E97"/>
    <w:rsid w:val="009A528B"/>
    <w:rsid w:val="009A539E"/>
    <w:rsid w:val="009A5512"/>
    <w:rsid w:val="009A56E2"/>
    <w:rsid w:val="009A58C1"/>
    <w:rsid w:val="009A5971"/>
    <w:rsid w:val="009A5C14"/>
    <w:rsid w:val="009A5D6C"/>
    <w:rsid w:val="009A627C"/>
    <w:rsid w:val="009A6480"/>
    <w:rsid w:val="009A67B3"/>
    <w:rsid w:val="009A68A0"/>
    <w:rsid w:val="009A691C"/>
    <w:rsid w:val="009A6A87"/>
    <w:rsid w:val="009A6A8F"/>
    <w:rsid w:val="009A6AC3"/>
    <w:rsid w:val="009A6B9C"/>
    <w:rsid w:val="009A6CEB"/>
    <w:rsid w:val="009A6F51"/>
    <w:rsid w:val="009A6FBA"/>
    <w:rsid w:val="009A723E"/>
    <w:rsid w:val="009A72FE"/>
    <w:rsid w:val="009A7363"/>
    <w:rsid w:val="009A739F"/>
    <w:rsid w:val="009A73BE"/>
    <w:rsid w:val="009A740C"/>
    <w:rsid w:val="009A756B"/>
    <w:rsid w:val="009A75DD"/>
    <w:rsid w:val="009A75E0"/>
    <w:rsid w:val="009A7629"/>
    <w:rsid w:val="009A7648"/>
    <w:rsid w:val="009A7686"/>
    <w:rsid w:val="009A76F9"/>
    <w:rsid w:val="009A772C"/>
    <w:rsid w:val="009A7743"/>
    <w:rsid w:val="009A7991"/>
    <w:rsid w:val="009A7C43"/>
    <w:rsid w:val="009A7D6A"/>
    <w:rsid w:val="009A7EDB"/>
    <w:rsid w:val="009A7F53"/>
    <w:rsid w:val="009B003E"/>
    <w:rsid w:val="009B0169"/>
    <w:rsid w:val="009B01F3"/>
    <w:rsid w:val="009B0296"/>
    <w:rsid w:val="009B0418"/>
    <w:rsid w:val="009B087F"/>
    <w:rsid w:val="009B0944"/>
    <w:rsid w:val="009B098E"/>
    <w:rsid w:val="009B09D9"/>
    <w:rsid w:val="009B0AEF"/>
    <w:rsid w:val="009B0B36"/>
    <w:rsid w:val="009B0BA3"/>
    <w:rsid w:val="009B0BB3"/>
    <w:rsid w:val="009B0C81"/>
    <w:rsid w:val="009B0D19"/>
    <w:rsid w:val="009B0D23"/>
    <w:rsid w:val="009B0EE1"/>
    <w:rsid w:val="009B0FB4"/>
    <w:rsid w:val="009B10F7"/>
    <w:rsid w:val="009B112B"/>
    <w:rsid w:val="009B12B5"/>
    <w:rsid w:val="009B13A0"/>
    <w:rsid w:val="009B146E"/>
    <w:rsid w:val="009B148C"/>
    <w:rsid w:val="009B155C"/>
    <w:rsid w:val="009B174F"/>
    <w:rsid w:val="009B1A29"/>
    <w:rsid w:val="009B1AF1"/>
    <w:rsid w:val="009B1BF2"/>
    <w:rsid w:val="009B1C13"/>
    <w:rsid w:val="009B1C98"/>
    <w:rsid w:val="009B1CD4"/>
    <w:rsid w:val="009B1EEA"/>
    <w:rsid w:val="009B2039"/>
    <w:rsid w:val="009B2377"/>
    <w:rsid w:val="009B24C6"/>
    <w:rsid w:val="009B250E"/>
    <w:rsid w:val="009B256B"/>
    <w:rsid w:val="009B2652"/>
    <w:rsid w:val="009B26A8"/>
    <w:rsid w:val="009B270E"/>
    <w:rsid w:val="009B2743"/>
    <w:rsid w:val="009B2787"/>
    <w:rsid w:val="009B27D0"/>
    <w:rsid w:val="009B28C9"/>
    <w:rsid w:val="009B2AB5"/>
    <w:rsid w:val="009B2E5F"/>
    <w:rsid w:val="009B2E6D"/>
    <w:rsid w:val="009B2E90"/>
    <w:rsid w:val="009B31A9"/>
    <w:rsid w:val="009B3341"/>
    <w:rsid w:val="009B33D2"/>
    <w:rsid w:val="009B3414"/>
    <w:rsid w:val="009B341A"/>
    <w:rsid w:val="009B349C"/>
    <w:rsid w:val="009B352F"/>
    <w:rsid w:val="009B35AB"/>
    <w:rsid w:val="009B36B3"/>
    <w:rsid w:val="009B380C"/>
    <w:rsid w:val="009B3841"/>
    <w:rsid w:val="009B38EC"/>
    <w:rsid w:val="009B39DE"/>
    <w:rsid w:val="009B3A09"/>
    <w:rsid w:val="009B3A2E"/>
    <w:rsid w:val="009B3C60"/>
    <w:rsid w:val="009B3C72"/>
    <w:rsid w:val="009B3CDC"/>
    <w:rsid w:val="009B3D54"/>
    <w:rsid w:val="009B3E8A"/>
    <w:rsid w:val="009B3EE5"/>
    <w:rsid w:val="009B3F38"/>
    <w:rsid w:val="009B3F70"/>
    <w:rsid w:val="009B422B"/>
    <w:rsid w:val="009B4358"/>
    <w:rsid w:val="009B4442"/>
    <w:rsid w:val="009B44C8"/>
    <w:rsid w:val="009B450C"/>
    <w:rsid w:val="009B4585"/>
    <w:rsid w:val="009B45EB"/>
    <w:rsid w:val="009B46A7"/>
    <w:rsid w:val="009B476A"/>
    <w:rsid w:val="009B47BC"/>
    <w:rsid w:val="009B4943"/>
    <w:rsid w:val="009B496D"/>
    <w:rsid w:val="009B4BFA"/>
    <w:rsid w:val="009B4C5A"/>
    <w:rsid w:val="009B4D63"/>
    <w:rsid w:val="009B4E0B"/>
    <w:rsid w:val="009B4E84"/>
    <w:rsid w:val="009B4E92"/>
    <w:rsid w:val="009B507D"/>
    <w:rsid w:val="009B517D"/>
    <w:rsid w:val="009B522E"/>
    <w:rsid w:val="009B5276"/>
    <w:rsid w:val="009B5279"/>
    <w:rsid w:val="009B5308"/>
    <w:rsid w:val="009B53B9"/>
    <w:rsid w:val="009B53F6"/>
    <w:rsid w:val="009B541E"/>
    <w:rsid w:val="009B54C9"/>
    <w:rsid w:val="009B5528"/>
    <w:rsid w:val="009B55DE"/>
    <w:rsid w:val="009B5724"/>
    <w:rsid w:val="009B5768"/>
    <w:rsid w:val="009B57ED"/>
    <w:rsid w:val="009B58F7"/>
    <w:rsid w:val="009B5E77"/>
    <w:rsid w:val="009B6096"/>
    <w:rsid w:val="009B65CE"/>
    <w:rsid w:val="009B69A0"/>
    <w:rsid w:val="009B6A90"/>
    <w:rsid w:val="009B6D09"/>
    <w:rsid w:val="009B6D36"/>
    <w:rsid w:val="009B6D5B"/>
    <w:rsid w:val="009B6EBC"/>
    <w:rsid w:val="009B71F4"/>
    <w:rsid w:val="009B7386"/>
    <w:rsid w:val="009B7444"/>
    <w:rsid w:val="009B74EA"/>
    <w:rsid w:val="009B7551"/>
    <w:rsid w:val="009B7675"/>
    <w:rsid w:val="009B76C1"/>
    <w:rsid w:val="009B7893"/>
    <w:rsid w:val="009B793A"/>
    <w:rsid w:val="009B7F1F"/>
    <w:rsid w:val="009C0165"/>
    <w:rsid w:val="009C028A"/>
    <w:rsid w:val="009C0459"/>
    <w:rsid w:val="009C0470"/>
    <w:rsid w:val="009C05E4"/>
    <w:rsid w:val="009C094F"/>
    <w:rsid w:val="009C096B"/>
    <w:rsid w:val="009C0A7C"/>
    <w:rsid w:val="009C0B81"/>
    <w:rsid w:val="009C111F"/>
    <w:rsid w:val="009C1193"/>
    <w:rsid w:val="009C11B8"/>
    <w:rsid w:val="009C152F"/>
    <w:rsid w:val="009C15D4"/>
    <w:rsid w:val="009C15DA"/>
    <w:rsid w:val="009C16E5"/>
    <w:rsid w:val="009C1713"/>
    <w:rsid w:val="009C17AD"/>
    <w:rsid w:val="009C17B7"/>
    <w:rsid w:val="009C1A1D"/>
    <w:rsid w:val="009C1A8E"/>
    <w:rsid w:val="009C1B53"/>
    <w:rsid w:val="009C1BA1"/>
    <w:rsid w:val="009C1C30"/>
    <w:rsid w:val="009C1D80"/>
    <w:rsid w:val="009C2032"/>
    <w:rsid w:val="009C2033"/>
    <w:rsid w:val="009C2037"/>
    <w:rsid w:val="009C231E"/>
    <w:rsid w:val="009C2360"/>
    <w:rsid w:val="009C245F"/>
    <w:rsid w:val="009C253D"/>
    <w:rsid w:val="009C266D"/>
    <w:rsid w:val="009C2A66"/>
    <w:rsid w:val="009C2C44"/>
    <w:rsid w:val="009C2C8A"/>
    <w:rsid w:val="009C2D12"/>
    <w:rsid w:val="009C31A1"/>
    <w:rsid w:val="009C31C1"/>
    <w:rsid w:val="009C33B1"/>
    <w:rsid w:val="009C3925"/>
    <w:rsid w:val="009C394B"/>
    <w:rsid w:val="009C399E"/>
    <w:rsid w:val="009C3B28"/>
    <w:rsid w:val="009C3E4A"/>
    <w:rsid w:val="009C3E94"/>
    <w:rsid w:val="009C3EBE"/>
    <w:rsid w:val="009C41EA"/>
    <w:rsid w:val="009C4295"/>
    <w:rsid w:val="009C4312"/>
    <w:rsid w:val="009C43A3"/>
    <w:rsid w:val="009C44B3"/>
    <w:rsid w:val="009C4574"/>
    <w:rsid w:val="009C4585"/>
    <w:rsid w:val="009C45CF"/>
    <w:rsid w:val="009C45D9"/>
    <w:rsid w:val="009C46D3"/>
    <w:rsid w:val="009C477F"/>
    <w:rsid w:val="009C4953"/>
    <w:rsid w:val="009C4C0E"/>
    <w:rsid w:val="009C4C8E"/>
    <w:rsid w:val="009C4C92"/>
    <w:rsid w:val="009C4CFD"/>
    <w:rsid w:val="009C4DD6"/>
    <w:rsid w:val="009C4F17"/>
    <w:rsid w:val="009C4F80"/>
    <w:rsid w:val="009C50E4"/>
    <w:rsid w:val="009C520F"/>
    <w:rsid w:val="009C52A3"/>
    <w:rsid w:val="009C5358"/>
    <w:rsid w:val="009C5375"/>
    <w:rsid w:val="009C538D"/>
    <w:rsid w:val="009C5486"/>
    <w:rsid w:val="009C5509"/>
    <w:rsid w:val="009C5519"/>
    <w:rsid w:val="009C5556"/>
    <w:rsid w:val="009C555F"/>
    <w:rsid w:val="009C56A1"/>
    <w:rsid w:val="009C5826"/>
    <w:rsid w:val="009C5873"/>
    <w:rsid w:val="009C58B5"/>
    <w:rsid w:val="009C5920"/>
    <w:rsid w:val="009C5BAA"/>
    <w:rsid w:val="009C5BF7"/>
    <w:rsid w:val="009C5C07"/>
    <w:rsid w:val="009C5D8D"/>
    <w:rsid w:val="009C5EAA"/>
    <w:rsid w:val="009C5F55"/>
    <w:rsid w:val="009C6050"/>
    <w:rsid w:val="009C6077"/>
    <w:rsid w:val="009C662F"/>
    <w:rsid w:val="009C686E"/>
    <w:rsid w:val="009C69F5"/>
    <w:rsid w:val="009C6A39"/>
    <w:rsid w:val="009C6A5C"/>
    <w:rsid w:val="009C6BDD"/>
    <w:rsid w:val="009C6E0E"/>
    <w:rsid w:val="009C6E39"/>
    <w:rsid w:val="009C6E3B"/>
    <w:rsid w:val="009C7253"/>
    <w:rsid w:val="009C73BE"/>
    <w:rsid w:val="009C7469"/>
    <w:rsid w:val="009C7605"/>
    <w:rsid w:val="009C760E"/>
    <w:rsid w:val="009C768A"/>
    <w:rsid w:val="009C76E6"/>
    <w:rsid w:val="009C7701"/>
    <w:rsid w:val="009C77D1"/>
    <w:rsid w:val="009C781A"/>
    <w:rsid w:val="009C78FD"/>
    <w:rsid w:val="009C79DF"/>
    <w:rsid w:val="009C7AAB"/>
    <w:rsid w:val="009C7B17"/>
    <w:rsid w:val="009C7C7C"/>
    <w:rsid w:val="009C7F25"/>
    <w:rsid w:val="009C7F64"/>
    <w:rsid w:val="009D0054"/>
    <w:rsid w:val="009D00CD"/>
    <w:rsid w:val="009D0116"/>
    <w:rsid w:val="009D0262"/>
    <w:rsid w:val="009D03A2"/>
    <w:rsid w:val="009D04AE"/>
    <w:rsid w:val="009D0666"/>
    <w:rsid w:val="009D074F"/>
    <w:rsid w:val="009D082B"/>
    <w:rsid w:val="009D0969"/>
    <w:rsid w:val="009D09A4"/>
    <w:rsid w:val="009D09B5"/>
    <w:rsid w:val="009D0A86"/>
    <w:rsid w:val="009D0B4D"/>
    <w:rsid w:val="009D0BFA"/>
    <w:rsid w:val="009D0CC9"/>
    <w:rsid w:val="009D0E59"/>
    <w:rsid w:val="009D11A1"/>
    <w:rsid w:val="009D11D7"/>
    <w:rsid w:val="009D1328"/>
    <w:rsid w:val="009D1498"/>
    <w:rsid w:val="009D15A8"/>
    <w:rsid w:val="009D15B0"/>
    <w:rsid w:val="009D15F2"/>
    <w:rsid w:val="009D167F"/>
    <w:rsid w:val="009D196D"/>
    <w:rsid w:val="009D19CC"/>
    <w:rsid w:val="009D1AD6"/>
    <w:rsid w:val="009D1B71"/>
    <w:rsid w:val="009D1C80"/>
    <w:rsid w:val="009D1DA9"/>
    <w:rsid w:val="009D1E7E"/>
    <w:rsid w:val="009D1E85"/>
    <w:rsid w:val="009D1F6E"/>
    <w:rsid w:val="009D1FA4"/>
    <w:rsid w:val="009D2022"/>
    <w:rsid w:val="009D20C1"/>
    <w:rsid w:val="009D22A7"/>
    <w:rsid w:val="009D231D"/>
    <w:rsid w:val="009D2525"/>
    <w:rsid w:val="009D258A"/>
    <w:rsid w:val="009D259F"/>
    <w:rsid w:val="009D2638"/>
    <w:rsid w:val="009D26A9"/>
    <w:rsid w:val="009D272D"/>
    <w:rsid w:val="009D2745"/>
    <w:rsid w:val="009D2787"/>
    <w:rsid w:val="009D2795"/>
    <w:rsid w:val="009D2898"/>
    <w:rsid w:val="009D28C3"/>
    <w:rsid w:val="009D2946"/>
    <w:rsid w:val="009D2A1F"/>
    <w:rsid w:val="009D2C0C"/>
    <w:rsid w:val="009D2CFF"/>
    <w:rsid w:val="009D2F54"/>
    <w:rsid w:val="009D2FF4"/>
    <w:rsid w:val="009D30EA"/>
    <w:rsid w:val="009D3168"/>
    <w:rsid w:val="009D323C"/>
    <w:rsid w:val="009D3245"/>
    <w:rsid w:val="009D3318"/>
    <w:rsid w:val="009D3396"/>
    <w:rsid w:val="009D33A2"/>
    <w:rsid w:val="009D3463"/>
    <w:rsid w:val="009D350E"/>
    <w:rsid w:val="009D355A"/>
    <w:rsid w:val="009D359F"/>
    <w:rsid w:val="009D3642"/>
    <w:rsid w:val="009D3717"/>
    <w:rsid w:val="009D3832"/>
    <w:rsid w:val="009D3848"/>
    <w:rsid w:val="009D38C6"/>
    <w:rsid w:val="009D3AB3"/>
    <w:rsid w:val="009D3CF9"/>
    <w:rsid w:val="009D3D6D"/>
    <w:rsid w:val="009D3E15"/>
    <w:rsid w:val="009D3E88"/>
    <w:rsid w:val="009D3EB9"/>
    <w:rsid w:val="009D41EC"/>
    <w:rsid w:val="009D430A"/>
    <w:rsid w:val="009D43C3"/>
    <w:rsid w:val="009D4538"/>
    <w:rsid w:val="009D45B3"/>
    <w:rsid w:val="009D4666"/>
    <w:rsid w:val="009D4676"/>
    <w:rsid w:val="009D46C9"/>
    <w:rsid w:val="009D46FC"/>
    <w:rsid w:val="009D476D"/>
    <w:rsid w:val="009D4801"/>
    <w:rsid w:val="009D49B8"/>
    <w:rsid w:val="009D4B24"/>
    <w:rsid w:val="009D4B44"/>
    <w:rsid w:val="009D4B59"/>
    <w:rsid w:val="009D4DAA"/>
    <w:rsid w:val="009D4DAE"/>
    <w:rsid w:val="009D4E08"/>
    <w:rsid w:val="009D4F24"/>
    <w:rsid w:val="009D5048"/>
    <w:rsid w:val="009D511D"/>
    <w:rsid w:val="009D5268"/>
    <w:rsid w:val="009D527F"/>
    <w:rsid w:val="009D5289"/>
    <w:rsid w:val="009D5329"/>
    <w:rsid w:val="009D53F1"/>
    <w:rsid w:val="009D53FD"/>
    <w:rsid w:val="009D545B"/>
    <w:rsid w:val="009D54A2"/>
    <w:rsid w:val="009D54F9"/>
    <w:rsid w:val="009D55C6"/>
    <w:rsid w:val="009D55D9"/>
    <w:rsid w:val="009D55E1"/>
    <w:rsid w:val="009D5709"/>
    <w:rsid w:val="009D587C"/>
    <w:rsid w:val="009D58D1"/>
    <w:rsid w:val="009D595F"/>
    <w:rsid w:val="009D59C5"/>
    <w:rsid w:val="009D5A4A"/>
    <w:rsid w:val="009D5D4F"/>
    <w:rsid w:val="009D5F0B"/>
    <w:rsid w:val="009D60FA"/>
    <w:rsid w:val="009D61EC"/>
    <w:rsid w:val="009D6267"/>
    <w:rsid w:val="009D6303"/>
    <w:rsid w:val="009D64BD"/>
    <w:rsid w:val="009D6614"/>
    <w:rsid w:val="009D671C"/>
    <w:rsid w:val="009D67A2"/>
    <w:rsid w:val="009D67FD"/>
    <w:rsid w:val="009D6930"/>
    <w:rsid w:val="009D6A87"/>
    <w:rsid w:val="009D6B14"/>
    <w:rsid w:val="009D6B4D"/>
    <w:rsid w:val="009D6B54"/>
    <w:rsid w:val="009D6B6D"/>
    <w:rsid w:val="009D6CDB"/>
    <w:rsid w:val="009D6D71"/>
    <w:rsid w:val="009D6DA4"/>
    <w:rsid w:val="009D6F81"/>
    <w:rsid w:val="009D6FC0"/>
    <w:rsid w:val="009D7082"/>
    <w:rsid w:val="009D71D8"/>
    <w:rsid w:val="009D71E6"/>
    <w:rsid w:val="009D7210"/>
    <w:rsid w:val="009D73D5"/>
    <w:rsid w:val="009D7422"/>
    <w:rsid w:val="009D74F7"/>
    <w:rsid w:val="009D76D6"/>
    <w:rsid w:val="009D76F1"/>
    <w:rsid w:val="009D7851"/>
    <w:rsid w:val="009D7B7E"/>
    <w:rsid w:val="009D7BA6"/>
    <w:rsid w:val="009D7BC1"/>
    <w:rsid w:val="009D7D7F"/>
    <w:rsid w:val="009D7DA0"/>
    <w:rsid w:val="009D7F52"/>
    <w:rsid w:val="009D7FC0"/>
    <w:rsid w:val="009E018A"/>
    <w:rsid w:val="009E01C7"/>
    <w:rsid w:val="009E032B"/>
    <w:rsid w:val="009E0556"/>
    <w:rsid w:val="009E0668"/>
    <w:rsid w:val="009E06B0"/>
    <w:rsid w:val="009E0704"/>
    <w:rsid w:val="009E0747"/>
    <w:rsid w:val="009E07B7"/>
    <w:rsid w:val="009E07F1"/>
    <w:rsid w:val="009E080F"/>
    <w:rsid w:val="009E096E"/>
    <w:rsid w:val="009E0AFB"/>
    <w:rsid w:val="009E0FD9"/>
    <w:rsid w:val="009E10F9"/>
    <w:rsid w:val="009E1102"/>
    <w:rsid w:val="009E14F3"/>
    <w:rsid w:val="009E154C"/>
    <w:rsid w:val="009E181A"/>
    <w:rsid w:val="009E183C"/>
    <w:rsid w:val="009E18F6"/>
    <w:rsid w:val="009E1A98"/>
    <w:rsid w:val="009E1AE1"/>
    <w:rsid w:val="009E1E4B"/>
    <w:rsid w:val="009E1EA5"/>
    <w:rsid w:val="009E1F87"/>
    <w:rsid w:val="009E2013"/>
    <w:rsid w:val="009E2072"/>
    <w:rsid w:val="009E20EE"/>
    <w:rsid w:val="009E211F"/>
    <w:rsid w:val="009E2443"/>
    <w:rsid w:val="009E252E"/>
    <w:rsid w:val="009E2623"/>
    <w:rsid w:val="009E2677"/>
    <w:rsid w:val="009E26B1"/>
    <w:rsid w:val="009E2799"/>
    <w:rsid w:val="009E28E3"/>
    <w:rsid w:val="009E2B48"/>
    <w:rsid w:val="009E2BB6"/>
    <w:rsid w:val="009E2D49"/>
    <w:rsid w:val="009E2E9A"/>
    <w:rsid w:val="009E2EF3"/>
    <w:rsid w:val="009E30DE"/>
    <w:rsid w:val="009E3162"/>
    <w:rsid w:val="009E32CC"/>
    <w:rsid w:val="009E3414"/>
    <w:rsid w:val="009E35F1"/>
    <w:rsid w:val="009E37EC"/>
    <w:rsid w:val="009E3823"/>
    <w:rsid w:val="009E38E1"/>
    <w:rsid w:val="009E38F8"/>
    <w:rsid w:val="009E3926"/>
    <w:rsid w:val="009E39BE"/>
    <w:rsid w:val="009E3A46"/>
    <w:rsid w:val="009E3BC7"/>
    <w:rsid w:val="009E3BFF"/>
    <w:rsid w:val="009E3D37"/>
    <w:rsid w:val="009E3D66"/>
    <w:rsid w:val="009E3D8F"/>
    <w:rsid w:val="009E3DA5"/>
    <w:rsid w:val="009E3DFC"/>
    <w:rsid w:val="009E3E90"/>
    <w:rsid w:val="009E3EB1"/>
    <w:rsid w:val="009E3F40"/>
    <w:rsid w:val="009E3F6A"/>
    <w:rsid w:val="009E4067"/>
    <w:rsid w:val="009E4073"/>
    <w:rsid w:val="009E4093"/>
    <w:rsid w:val="009E4178"/>
    <w:rsid w:val="009E41DF"/>
    <w:rsid w:val="009E41E0"/>
    <w:rsid w:val="009E4316"/>
    <w:rsid w:val="009E46E2"/>
    <w:rsid w:val="009E46E8"/>
    <w:rsid w:val="009E49A8"/>
    <w:rsid w:val="009E49B3"/>
    <w:rsid w:val="009E4A4C"/>
    <w:rsid w:val="009E4F29"/>
    <w:rsid w:val="009E5246"/>
    <w:rsid w:val="009E527F"/>
    <w:rsid w:val="009E54EB"/>
    <w:rsid w:val="009E54EF"/>
    <w:rsid w:val="009E55D6"/>
    <w:rsid w:val="009E55DC"/>
    <w:rsid w:val="009E5623"/>
    <w:rsid w:val="009E575C"/>
    <w:rsid w:val="009E5969"/>
    <w:rsid w:val="009E599A"/>
    <w:rsid w:val="009E5AD7"/>
    <w:rsid w:val="009E5B48"/>
    <w:rsid w:val="009E5B5B"/>
    <w:rsid w:val="009E5BBC"/>
    <w:rsid w:val="009E5C5B"/>
    <w:rsid w:val="009E5E44"/>
    <w:rsid w:val="009E62D0"/>
    <w:rsid w:val="009E62E8"/>
    <w:rsid w:val="009E62FC"/>
    <w:rsid w:val="009E6444"/>
    <w:rsid w:val="009E6461"/>
    <w:rsid w:val="009E6BEC"/>
    <w:rsid w:val="009E6C88"/>
    <w:rsid w:val="009E6D53"/>
    <w:rsid w:val="009E6F35"/>
    <w:rsid w:val="009E7040"/>
    <w:rsid w:val="009E7228"/>
    <w:rsid w:val="009E7330"/>
    <w:rsid w:val="009E73D6"/>
    <w:rsid w:val="009E7545"/>
    <w:rsid w:val="009E789F"/>
    <w:rsid w:val="009E7B60"/>
    <w:rsid w:val="009E7BB8"/>
    <w:rsid w:val="009E7DD4"/>
    <w:rsid w:val="009E7E5A"/>
    <w:rsid w:val="009E7F41"/>
    <w:rsid w:val="009E7FD7"/>
    <w:rsid w:val="009F0094"/>
    <w:rsid w:val="009F01A4"/>
    <w:rsid w:val="009F01D2"/>
    <w:rsid w:val="009F0398"/>
    <w:rsid w:val="009F03CC"/>
    <w:rsid w:val="009F0679"/>
    <w:rsid w:val="009F07BF"/>
    <w:rsid w:val="009F08E6"/>
    <w:rsid w:val="009F0904"/>
    <w:rsid w:val="009F09CD"/>
    <w:rsid w:val="009F0A5C"/>
    <w:rsid w:val="009F0A69"/>
    <w:rsid w:val="009F0A8B"/>
    <w:rsid w:val="009F0C22"/>
    <w:rsid w:val="009F0CA4"/>
    <w:rsid w:val="009F0EF6"/>
    <w:rsid w:val="009F1016"/>
    <w:rsid w:val="009F1047"/>
    <w:rsid w:val="009F10E4"/>
    <w:rsid w:val="009F11A8"/>
    <w:rsid w:val="009F1465"/>
    <w:rsid w:val="009F1556"/>
    <w:rsid w:val="009F1592"/>
    <w:rsid w:val="009F15B9"/>
    <w:rsid w:val="009F15C4"/>
    <w:rsid w:val="009F15DF"/>
    <w:rsid w:val="009F1823"/>
    <w:rsid w:val="009F191C"/>
    <w:rsid w:val="009F1924"/>
    <w:rsid w:val="009F1982"/>
    <w:rsid w:val="009F1AAE"/>
    <w:rsid w:val="009F1B23"/>
    <w:rsid w:val="009F1BFA"/>
    <w:rsid w:val="009F1C68"/>
    <w:rsid w:val="009F1C8E"/>
    <w:rsid w:val="009F1DD9"/>
    <w:rsid w:val="009F20EB"/>
    <w:rsid w:val="009F21C0"/>
    <w:rsid w:val="009F22AD"/>
    <w:rsid w:val="009F2386"/>
    <w:rsid w:val="009F23AC"/>
    <w:rsid w:val="009F26C4"/>
    <w:rsid w:val="009F27DD"/>
    <w:rsid w:val="009F2809"/>
    <w:rsid w:val="009F2843"/>
    <w:rsid w:val="009F2913"/>
    <w:rsid w:val="009F296C"/>
    <w:rsid w:val="009F298C"/>
    <w:rsid w:val="009F2C50"/>
    <w:rsid w:val="009F2D95"/>
    <w:rsid w:val="009F2EEB"/>
    <w:rsid w:val="009F2F36"/>
    <w:rsid w:val="009F30D2"/>
    <w:rsid w:val="009F31AB"/>
    <w:rsid w:val="009F31BE"/>
    <w:rsid w:val="009F31E7"/>
    <w:rsid w:val="009F3318"/>
    <w:rsid w:val="009F340A"/>
    <w:rsid w:val="009F343E"/>
    <w:rsid w:val="009F361A"/>
    <w:rsid w:val="009F362A"/>
    <w:rsid w:val="009F363F"/>
    <w:rsid w:val="009F36A3"/>
    <w:rsid w:val="009F38A4"/>
    <w:rsid w:val="009F394B"/>
    <w:rsid w:val="009F3B4A"/>
    <w:rsid w:val="009F3BDA"/>
    <w:rsid w:val="009F3C19"/>
    <w:rsid w:val="009F3CE5"/>
    <w:rsid w:val="009F3DBC"/>
    <w:rsid w:val="009F3E95"/>
    <w:rsid w:val="009F3F66"/>
    <w:rsid w:val="009F3F98"/>
    <w:rsid w:val="009F40D4"/>
    <w:rsid w:val="009F410B"/>
    <w:rsid w:val="009F4556"/>
    <w:rsid w:val="009F45D0"/>
    <w:rsid w:val="009F497B"/>
    <w:rsid w:val="009F49D1"/>
    <w:rsid w:val="009F4ACF"/>
    <w:rsid w:val="009F4C67"/>
    <w:rsid w:val="009F4D4C"/>
    <w:rsid w:val="009F503A"/>
    <w:rsid w:val="009F5156"/>
    <w:rsid w:val="009F5217"/>
    <w:rsid w:val="009F52FD"/>
    <w:rsid w:val="009F536A"/>
    <w:rsid w:val="009F5623"/>
    <w:rsid w:val="009F563B"/>
    <w:rsid w:val="009F56DD"/>
    <w:rsid w:val="009F5932"/>
    <w:rsid w:val="009F5B0C"/>
    <w:rsid w:val="009F5C16"/>
    <w:rsid w:val="009F5D06"/>
    <w:rsid w:val="009F5D36"/>
    <w:rsid w:val="009F5D8F"/>
    <w:rsid w:val="009F5DD4"/>
    <w:rsid w:val="009F5EA9"/>
    <w:rsid w:val="009F5F41"/>
    <w:rsid w:val="009F5F84"/>
    <w:rsid w:val="009F5FAA"/>
    <w:rsid w:val="009F636B"/>
    <w:rsid w:val="009F6392"/>
    <w:rsid w:val="009F65A6"/>
    <w:rsid w:val="009F6650"/>
    <w:rsid w:val="009F67B8"/>
    <w:rsid w:val="009F67DA"/>
    <w:rsid w:val="009F689C"/>
    <w:rsid w:val="009F6AA9"/>
    <w:rsid w:val="009F6CB4"/>
    <w:rsid w:val="009F70A4"/>
    <w:rsid w:val="009F70BB"/>
    <w:rsid w:val="009F70EC"/>
    <w:rsid w:val="009F72FE"/>
    <w:rsid w:val="009F74D1"/>
    <w:rsid w:val="009F750B"/>
    <w:rsid w:val="009F769C"/>
    <w:rsid w:val="009F7852"/>
    <w:rsid w:val="009F7872"/>
    <w:rsid w:val="009F792D"/>
    <w:rsid w:val="009F7A2B"/>
    <w:rsid w:val="009F7B7E"/>
    <w:rsid w:val="009F7BAF"/>
    <w:rsid w:val="009F7C24"/>
    <w:rsid w:val="009F7C5F"/>
    <w:rsid w:val="009F7E1C"/>
    <w:rsid w:val="009F7FDB"/>
    <w:rsid w:val="009F7FEA"/>
    <w:rsid w:val="00A00039"/>
    <w:rsid w:val="00A00046"/>
    <w:rsid w:val="00A000CC"/>
    <w:rsid w:val="00A001AB"/>
    <w:rsid w:val="00A002A3"/>
    <w:rsid w:val="00A0031D"/>
    <w:rsid w:val="00A00367"/>
    <w:rsid w:val="00A00567"/>
    <w:rsid w:val="00A005DB"/>
    <w:rsid w:val="00A005FF"/>
    <w:rsid w:val="00A006B8"/>
    <w:rsid w:val="00A00732"/>
    <w:rsid w:val="00A0073F"/>
    <w:rsid w:val="00A00888"/>
    <w:rsid w:val="00A00966"/>
    <w:rsid w:val="00A009CC"/>
    <w:rsid w:val="00A00BF9"/>
    <w:rsid w:val="00A00C76"/>
    <w:rsid w:val="00A00F8F"/>
    <w:rsid w:val="00A01360"/>
    <w:rsid w:val="00A01586"/>
    <w:rsid w:val="00A015D8"/>
    <w:rsid w:val="00A0167B"/>
    <w:rsid w:val="00A0174E"/>
    <w:rsid w:val="00A01A79"/>
    <w:rsid w:val="00A01BC5"/>
    <w:rsid w:val="00A01C07"/>
    <w:rsid w:val="00A01CE4"/>
    <w:rsid w:val="00A01D01"/>
    <w:rsid w:val="00A01D91"/>
    <w:rsid w:val="00A020BC"/>
    <w:rsid w:val="00A020D4"/>
    <w:rsid w:val="00A022AE"/>
    <w:rsid w:val="00A02599"/>
    <w:rsid w:val="00A02816"/>
    <w:rsid w:val="00A02925"/>
    <w:rsid w:val="00A02A77"/>
    <w:rsid w:val="00A02ADD"/>
    <w:rsid w:val="00A02AFF"/>
    <w:rsid w:val="00A02B31"/>
    <w:rsid w:val="00A02D67"/>
    <w:rsid w:val="00A02DD5"/>
    <w:rsid w:val="00A02E28"/>
    <w:rsid w:val="00A02F94"/>
    <w:rsid w:val="00A03158"/>
    <w:rsid w:val="00A033E5"/>
    <w:rsid w:val="00A0346E"/>
    <w:rsid w:val="00A03858"/>
    <w:rsid w:val="00A0388A"/>
    <w:rsid w:val="00A038C1"/>
    <w:rsid w:val="00A038FE"/>
    <w:rsid w:val="00A03AB6"/>
    <w:rsid w:val="00A03D77"/>
    <w:rsid w:val="00A03F75"/>
    <w:rsid w:val="00A040D0"/>
    <w:rsid w:val="00A040DF"/>
    <w:rsid w:val="00A0410D"/>
    <w:rsid w:val="00A04112"/>
    <w:rsid w:val="00A04255"/>
    <w:rsid w:val="00A04380"/>
    <w:rsid w:val="00A04440"/>
    <w:rsid w:val="00A044CA"/>
    <w:rsid w:val="00A045D7"/>
    <w:rsid w:val="00A046D8"/>
    <w:rsid w:val="00A0477F"/>
    <w:rsid w:val="00A047FB"/>
    <w:rsid w:val="00A04800"/>
    <w:rsid w:val="00A0480E"/>
    <w:rsid w:val="00A0487F"/>
    <w:rsid w:val="00A048D5"/>
    <w:rsid w:val="00A04915"/>
    <w:rsid w:val="00A04AD0"/>
    <w:rsid w:val="00A04B1E"/>
    <w:rsid w:val="00A04B43"/>
    <w:rsid w:val="00A04B6C"/>
    <w:rsid w:val="00A04BA9"/>
    <w:rsid w:val="00A04D06"/>
    <w:rsid w:val="00A04E24"/>
    <w:rsid w:val="00A04EBE"/>
    <w:rsid w:val="00A04FEF"/>
    <w:rsid w:val="00A05084"/>
    <w:rsid w:val="00A054CC"/>
    <w:rsid w:val="00A055BD"/>
    <w:rsid w:val="00A055C4"/>
    <w:rsid w:val="00A05755"/>
    <w:rsid w:val="00A057A7"/>
    <w:rsid w:val="00A057BE"/>
    <w:rsid w:val="00A05806"/>
    <w:rsid w:val="00A058C0"/>
    <w:rsid w:val="00A05929"/>
    <w:rsid w:val="00A05B85"/>
    <w:rsid w:val="00A05CC3"/>
    <w:rsid w:val="00A05F34"/>
    <w:rsid w:val="00A05F42"/>
    <w:rsid w:val="00A05F6B"/>
    <w:rsid w:val="00A05F6D"/>
    <w:rsid w:val="00A05FDA"/>
    <w:rsid w:val="00A0603E"/>
    <w:rsid w:val="00A060B7"/>
    <w:rsid w:val="00A0614B"/>
    <w:rsid w:val="00A0638D"/>
    <w:rsid w:val="00A0662D"/>
    <w:rsid w:val="00A066DE"/>
    <w:rsid w:val="00A06793"/>
    <w:rsid w:val="00A06892"/>
    <w:rsid w:val="00A068F3"/>
    <w:rsid w:val="00A069C2"/>
    <w:rsid w:val="00A06ABC"/>
    <w:rsid w:val="00A06B21"/>
    <w:rsid w:val="00A07197"/>
    <w:rsid w:val="00A07237"/>
    <w:rsid w:val="00A07586"/>
    <w:rsid w:val="00A075B4"/>
    <w:rsid w:val="00A0766F"/>
    <w:rsid w:val="00A076A8"/>
    <w:rsid w:val="00A076C0"/>
    <w:rsid w:val="00A07906"/>
    <w:rsid w:val="00A0796B"/>
    <w:rsid w:val="00A07A15"/>
    <w:rsid w:val="00A07B87"/>
    <w:rsid w:val="00A07D2F"/>
    <w:rsid w:val="00A07D5D"/>
    <w:rsid w:val="00A07EF0"/>
    <w:rsid w:val="00A07FB2"/>
    <w:rsid w:val="00A1028B"/>
    <w:rsid w:val="00A1035D"/>
    <w:rsid w:val="00A103CD"/>
    <w:rsid w:val="00A103EA"/>
    <w:rsid w:val="00A104C3"/>
    <w:rsid w:val="00A10548"/>
    <w:rsid w:val="00A105D8"/>
    <w:rsid w:val="00A10671"/>
    <w:rsid w:val="00A1076F"/>
    <w:rsid w:val="00A1084B"/>
    <w:rsid w:val="00A109DC"/>
    <w:rsid w:val="00A10A3C"/>
    <w:rsid w:val="00A10A3D"/>
    <w:rsid w:val="00A10B77"/>
    <w:rsid w:val="00A10B7B"/>
    <w:rsid w:val="00A10D0B"/>
    <w:rsid w:val="00A10F9B"/>
    <w:rsid w:val="00A10FDD"/>
    <w:rsid w:val="00A11015"/>
    <w:rsid w:val="00A1101B"/>
    <w:rsid w:val="00A11039"/>
    <w:rsid w:val="00A110A6"/>
    <w:rsid w:val="00A110C4"/>
    <w:rsid w:val="00A110E8"/>
    <w:rsid w:val="00A1115D"/>
    <w:rsid w:val="00A1138B"/>
    <w:rsid w:val="00A113B9"/>
    <w:rsid w:val="00A11505"/>
    <w:rsid w:val="00A116FA"/>
    <w:rsid w:val="00A11720"/>
    <w:rsid w:val="00A11860"/>
    <w:rsid w:val="00A11988"/>
    <w:rsid w:val="00A119D2"/>
    <w:rsid w:val="00A119E0"/>
    <w:rsid w:val="00A11AC9"/>
    <w:rsid w:val="00A11B1A"/>
    <w:rsid w:val="00A11B22"/>
    <w:rsid w:val="00A11B2B"/>
    <w:rsid w:val="00A11C49"/>
    <w:rsid w:val="00A11C7E"/>
    <w:rsid w:val="00A11E6E"/>
    <w:rsid w:val="00A1211B"/>
    <w:rsid w:val="00A12165"/>
    <w:rsid w:val="00A1217A"/>
    <w:rsid w:val="00A121B7"/>
    <w:rsid w:val="00A123C2"/>
    <w:rsid w:val="00A123EE"/>
    <w:rsid w:val="00A12483"/>
    <w:rsid w:val="00A124D6"/>
    <w:rsid w:val="00A12596"/>
    <w:rsid w:val="00A12759"/>
    <w:rsid w:val="00A12B3B"/>
    <w:rsid w:val="00A12B6B"/>
    <w:rsid w:val="00A12DBE"/>
    <w:rsid w:val="00A13063"/>
    <w:rsid w:val="00A13370"/>
    <w:rsid w:val="00A135C7"/>
    <w:rsid w:val="00A136C1"/>
    <w:rsid w:val="00A137E5"/>
    <w:rsid w:val="00A13855"/>
    <w:rsid w:val="00A138BA"/>
    <w:rsid w:val="00A13AAE"/>
    <w:rsid w:val="00A13C82"/>
    <w:rsid w:val="00A13E42"/>
    <w:rsid w:val="00A13ED2"/>
    <w:rsid w:val="00A13F5F"/>
    <w:rsid w:val="00A13F8C"/>
    <w:rsid w:val="00A13FF5"/>
    <w:rsid w:val="00A14221"/>
    <w:rsid w:val="00A1430D"/>
    <w:rsid w:val="00A14395"/>
    <w:rsid w:val="00A149ED"/>
    <w:rsid w:val="00A14C65"/>
    <w:rsid w:val="00A14F7C"/>
    <w:rsid w:val="00A151C2"/>
    <w:rsid w:val="00A15239"/>
    <w:rsid w:val="00A152D9"/>
    <w:rsid w:val="00A15379"/>
    <w:rsid w:val="00A15697"/>
    <w:rsid w:val="00A1578D"/>
    <w:rsid w:val="00A1585E"/>
    <w:rsid w:val="00A1588D"/>
    <w:rsid w:val="00A15C9D"/>
    <w:rsid w:val="00A15DAD"/>
    <w:rsid w:val="00A15ED6"/>
    <w:rsid w:val="00A15EEC"/>
    <w:rsid w:val="00A15EFA"/>
    <w:rsid w:val="00A15FAD"/>
    <w:rsid w:val="00A1608C"/>
    <w:rsid w:val="00A1609F"/>
    <w:rsid w:val="00A16152"/>
    <w:rsid w:val="00A16176"/>
    <w:rsid w:val="00A16377"/>
    <w:rsid w:val="00A1640F"/>
    <w:rsid w:val="00A16442"/>
    <w:rsid w:val="00A1660F"/>
    <w:rsid w:val="00A1667A"/>
    <w:rsid w:val="00A167C6"/>
    <w:rsid w:val="00A16910"/>
    <w:rsid w:val="00A16A3E"/>
    <w:rsid w:val="00A16B53"/>
    <w:rsid w:val="00A16D1F"/>
    <w:rsid w:val="00A16E63"/>
    <w:rsid w:val="00A16EF4"/>
    <w:rsid w:val="00A16F29"/>
    <w:rsid w:val="00A16F2A"/>
    <w:rsid w:val="00A16F38"/>
    <w:rsid w:val="00A1707E"/>
    <w:rsid w:val="00A173EF"/>
    <w:rsid w:val="00A17419"/>
    <w:rsid w:val="00A17650"/>
    <w:rsid w:val="00A177AD"/>
    <w:rsid w:val="00A177BA"/>
    <w:rsid w:val="00A177DA"/>
    <w:rsid w:val="00A1786B"/>
    <w:rsid w:val="00A17923"/>
    <w:rsid w:val="00A179DF"/>
    <w:rsid w:val="00A17A13"/>
    <w:rsid w:val="00A17A53"/>
    <w:rsid w:val="00A17C20"/>
    <w:rsid w:val="00A17D87"/>
    <w:rsid w:val="00A17E31"/>
    <w:rsid w:val="00A17E82"/>
    <w:rsid w:val="00A17EA4"/>
    <w:rsid w:val="00A20189"/>
    <w:rsid w:val="00A201C6"/>
    <w:rsid w:val="00A2039F"/>
    <w:rsid w:val="00A204A5"/>
    <w:rsid w:val="00A204C3"/>
    <w:rsid w:val="00A204DF"/>
    <w:rsid w:val="00A2051C"/>
    <w:rsid w:val="00A20920"/>
    <w:rsid w:val="00A20968"/>
    <w:rsid w:val="00A20CA5"/>
    <w:rsid w:val="00A20CB3"/>
    <w:rsid w:val="00A20D26"/>
    <w:rsid w:val="00A20DF8"/>
    <w:rsid w:val="00A20E2E"/>
    <w:rsid w:val="00A20FED"/>
    <w:rsid w:val="00A2107A"/>
    <w:rsid w:val="00A210AD"/>
    <w:rsid w:val="00A210CE"/>
    <w:rsid w:val="00A21161"/>
    <w:rsid w:val="00A21258"/>
    <w:rsid w:val="00A21269"/>
    <w:rsid w:val="00A213B9"/>
    <w:rsid w:val="00A213E0"/>
    <w:rsid w:val="00A21496"/>
    <w:rsid w:val="00A21744"/>
    <w:rsid w:val="00A217EB"/>
    <w:rsid w:val="00A21830"/>
    <w:rsid w:val="00A2185F"/>
    <w:rsid w:val="00A21867"/>
    <w:rsid w:val="00A21A6F"/>
    <w:rsid w:val="00A21AEF"/>
    <w:rsid w:val="00A21BC2"/>
    <w:rsid w:val="00A21C0B"/>
    <w:rsid w:val="00A21C6C"/>
    <w:rsid w:val="00A21D95"/>
    <w:rsid w:val="00A21EF3"/>
    <w:rsid w:val="00A21F11"/>
    <w:rsid w:val="00A21F3A"/>
    <w:rsid w:val="00A221FB"/>
    <w:rsid w:val="00A222A2"/>
    <w:rsid w:val="00A222E6"/>
    <w:rsid w:val="00A223DD"/>
    <w:rsid w:val="00A223E5"/>
    <w:rsid w:val="00A22505"/>
    <w:rsid w:val="00A2250D"/>
    <w:rsid w:val="00A22553"/>
    <w:rsid w:val="00A22569"/>
    <w:rsid w:val="00A225CD"/>
    <w:rsid w:val="00A22779"/>
    <w:rsid w:val="00A229FB"/>
    <w:rsid w:val="00A22B70"/>
    <w:rsid w:val="00A22CB5"/>
    <w:rsid w:val="00A22E5B"/>
    <w:rsid w:val="00A22E89"/>
    <w:rsid w:val="00A2313B"/>
    <w:rsid w:val="00A231CE"/>
    <w:rsid w:val="00A23248"/>
    <w:rsid w:val="00A2365F"/>
    <w:rsid w:val="00A23819"/>
    <w:rsid w:val="00A23849"/>
    <w:rsid w:val="00A239D6"/>
    <w:rsid w:val="00A23A15"/>
    <w:rsid w:val="00A23AAA"/>
    <w:rsid w:val="00A23AF6"/>
    <w:rsid w:val="00A23B1A"/>
    <w:rsid w:val="00A23BF8"/>
    <w:rsid w:val="00A23D13"/>
    <w:rsid w:val="00A23F91"/>
    <w:rsid w:val="00A240A2"/>
    <w:rsid w:val="00A240C3"/>
    <w:rsid w:val="00A241EF"/>
    <w:rsid w:val="00A242D0"/>
    <w:rsid w:val="00A24579"/>
    <w:rsid w:val="00A2459D"/>
    <w:rsid w:val="00A24688"/>
    <w:rsid w:val="00A2479A"/>
    <w:rsid w:val="00A247B6"/>
    <w:rsid w:val="00A2490D"/>
    <w:rsid w:val="00A24E7C"/>
    <w:rsid w:val="00A25010"/>
    <w:rsid w:val="00A255E3"/>
    <w:rsid w:val="00A259D2"/>
    <w:rsid w:val="00A25BF7"/>
    <w:rsid w:val="00A25C06"/>
    <w:rsid w:val="00A25CB8"/>
    <w:rsid w:val="00A25D06"/>
    <w:rsid w:val="00A25DF6"/>
    <w:rsid w:val="00A25EB4"/>
    <w:rsid w:val="00A25F54"/>
    <w:rsid w:val="00A26055"/>
    <w:rsid w:val="00A26091"/>
    <w:rsid w:val="00A26095"/>
    <w:rsid w:val="00A26123"/>
    <w:rsid w:val="00A2636D"/>
    <w:rsid w:val="00A263DC"/>
    <w:rsid w:val="00A26591"/>
    <w:rsid w:val="00A26615"/>
    <w:rsid w:val="00A2667C"/>
    <w:rsid w:val="00A266DA"/>
    <w:rsid w:val="00A26789"/>
    <w:rsid w:val="00A2679F"/>
    <w:rsid w:val="00A26934"/>
    <w:rsid w:val="00A26AAD"/>
    <w:rsid w:val="00A26ABF"/>
    <w:rsid w:val="00A26AC2"/>
    <w:rsid w:val="00A26ADD"/>
    <w:rsid w:val="00A26C0E"/>
    <w:rsid w:val="00A26FB1"/>
    <w:rsid w:val="00A274DB"/>
    <w:rsid w:val="00A2752F"/>
    <w:rsid w:val="00A27545"/>
    <w:rsid w:val="00A27548"/>
    <w:rsid w:val="00A2756D"/>
    <w:rsid w:val="00A275A1"/>
    <w:rsid w:val="00A276AD"/>
    <w:rsid w:val="00A27704"/>
    <w:rsid w:val="00A277B5"/>
    <w:rsid w:val="00A278FD"/>
    <w:rsid w:val="00A27A08"/>
    <w:rsid w:val="00A27A3F"/>
    <w:rsid w:val="00A27AF7"/>
    <w:rsid w:val="00A27BEE"/>
    <w:rsid w:val="00A27D75"/>
    <w:rsid w:val="00A27E08"/>
    <w:rsid w:val="00A27E70"/>
    <w:rsid w:val="00A27EC6"/>
    <w:rsid w:val="00A27FFA"/>
    <w:rsid w:val="00A3024D"/>
    <w:rsid w:val="00A30315"/>
    <w:rsid w:val="00A303B3"/>
    <w:rsid w:val="00A304FA"/>
    <w:rsid w:val="00A30663"/>
    <w:rsid w:val="00A30724"/>
    <w:rsid w:val="00A307BA"/>
    <w:rsid w:val="00A3084E"/>
    <w:rsid w:val="00A30958"/>
    <w:rsid w:val="00A30A05"/>
    <w:rsid w:val="00A30C02"/>
    <w:rsid w:val="00A30C8D"/>
    <w:rsid w:val="00A30CD5"/>
    <w:rsid w:val="00A30D2F"/>
    <w:rsid w:val="00A30E87"/>
    <w:rsid w:val="00A310EF"/>
    <w:rsid w:val="00A31119"/>
    <w:rsid w:val="00A311BC"/>
    <w:rsid w:val="00A311E8"/>
    <w:rsid w:val="00A3125D"/>
    <w:rsid w:val="00A3130D"/>
    <w:rsid w:val="00A31835"/>
    <w:rsid w:val="00A3183F"/>
    <w:rsid w:val="00A31864"/>
    <w:rsid w:val="00A31876"/>
    <w:rsid w:val="00A318F2"/>
    <w:rsid w:val="00A31A34"/>
    <w:rsid w:val="00A31A62"/>
    <w:rsid w:val="00A31B94"/>
    <w:rsid w:val="00A31CC5"/>
    <w:rsid w:val="00A31E5E"/>
    <w:rsid w:val="00A31E9F"/>
    <w:rsid w:val="00A31EF5"/>
    <w:rsid w:val="00A31F11"/>
    <w:rsid w:val="00A320B0"/>
    <w:rsid w:val="00A32215"/>
    <w:rsid w:val="00A3231F"/>
    <w:rsid w:val="00A32463"/>
    <w:rsid w:val="00A3256D"/>
    <w:rsid w:val="00A326C2"/>
    <w:rsid w:val="00A326CB"/>
    <w:rsid w:val="00A3274B"/>
    <w:rsid w:val="00A32857"/>
    <w:rsid w:val="00A328A2"/>
    <w:rsid w:val="00A32C65"/>
    <w:rsid w:val="00A32E91"/>
    <w:rsid w:val="00A3310E"/>
    <w:rsid w:val="00A3340D"/>
    <w:rsid w:val="00A33435"/>
    <w:rsid w:val="00A334BD"/>
    <w:rsid w:val="00A33523"/>
    <w:rsid w:val="00A33751"/>
    <w:rsid w:val="00A3396D"/>
    <w:rsid w:val="00A33AC5"/>
    <w:rsid w:val="00A33B4F"/>
    <w:rsid w:val="00A33D56"/>
    <w:rsid w:val="00A341F5"/>
    <w:rsid w:val="00A34276"/>
    <w:rsid w:val="00A3429E"/>
    <w:rsid w:val="00A3432A"/>
    <w:rsid w:val="00A344E0"/>
    <w:rsid w:val="00A3460D"/>
    <w:rsid w:val="00A34663"/>
    <w:rsid w:val="00A34A24"/>
    <w:rsid w:val="00A34A70"/>
    <w:rsid w:val="00A34BD6"/>
    <w:rsid w:val="00A34EF5"/>
    <w:rsid w:val="00A34F65"/>
    <w:rsid w:val="00A34F78"/>
    <w:rsid w:val="00A3502F"/>
    <w:rsid w:val="00A3512F"/>
    <w:rsid w:val="00A351E0"/>
    <w:rsid w:val="00A3522A"/>
    <w:rsid w:val="00A352FB"/>
    <w:rsid w:val="00A35905"/>
    <w:rsid w:val="00A359AB"/>
    <w:rsid w:val="00A35A80"/>
    <w:rsid w:val="00A35AA1"/>
    <w:rsid w:val="00A35BB0"/>
    <w:rsid w:val="00A35C37"/>
    <w:rsid w:val="00A35C4C"/>
    <w:rsid w:val="00A35DCF"/>
    <w:rsid w:val="00A35FA3"/>
    <w:rsid w:val="00A35FA6"/>
    <w:rsid w:val="00A36079"/>
    <w:rsid w:val="00A36091"/>
    <w:rsid w:val="00A36296"/>
    <w:rsid w:val="00A36306"/>
    <w:rsid w:val="00A3658A"/>
    <w:rsid w:val="00A365C4"/>
    <w:rsid w:val="00A365FF"/>
    <w:rsid w:val="00A366EF"/>
    <w:rsid w:val="00A36942"/>
    <w:rsid w:val="00A369E2"/>
    <w:rsid w:val="00A36A1B"/>
    <w:rsid w:val="00A36AD1"/>
    <w:rsid w:val="00A36BBB"/>
    <w:rsid w:val="00A36D44"/>
    <w:rsid w:val="00A37050"/>
    <w:rsid w:val="00A3705B"/>
    <w:rsid w:val="00A37128"/>
    <w:rsid w:val="00A371B2"/>
    <w:rsid w:val="00A37354"/>
    <w:rsid w:val="00A373D3"/>
    <w:rsid w:val="00A37488"/>
    <w:rsid w:val="00A3748F"/>
    <w:rsid w:val="00A374CB"/>
    <w:rsid w:val="00A374DA"/>
    <w:rsid w:val="00A374E7"/>
    <w:rsid w:val="00A376B5"/>
    <w:rsid w:val="00A378B1"/>
    <w:rsid w:val="00A378F8"/>
    <w:rsid w:val="00A37BE9"/>
    <w:rsid w:val="00A37D1E"/>
    <w:rsid w:val="00A400B0"/>
    <w:rsid w:val="00A40123"/>
    <w:rsid w:val="00A40149"/>
    <w:rsid w:val="00A402CB"/>
    <w:rsid w:val="00A40326"/>
    <w:rsid w:val="00A4042D"/>
    <w:rsid w:val="00A40443"/>
    <w:rsid w:val="00A404F7"/>
    <w:rsid w:val="00A40563"/>
    <w:rsid w:val="00A40573"/>
    <w:rsid w:val="00A4081E"/>
    <w:rsid w:val="00A408E3"/>
    <w:rsid w:val="00A40952"/>
    <w:rsid w:val="00A409F8"/>
    <w:rsid w:val="00A40C32"/>
    <w:rsid w:val="00A40C48"/>
    <w:rsid w:val="00A40D15"/>
    <w:rsid w:val="00A410B7"/>
    <w:rsid w:val="00A41169"/>
    <w:rsid w:val="00A4121E"/>
    <w:rsid w:val="00A412A4"/>
    <w:rsid w:val="00A41418"/>
    <w:rsid w:val="00A41454"/>
    <w:rsid w:val="00A41590"/>
    <w:rsid w:val="00A417E6"/>
    <w:rsid w:val="00A41935"/>
    <w:rsid w:val="00A41A73"/>
    <w:rsid w:val="00A41AFC"/>
    <w:rsid w:val="00A41E81"/>
    <w:rsid w:val="00A42159"/>
    <w:rsid w:val="00A4216F"/>
    <w:rsid w:val="00A421B3"/>
    <w:rsid w:val="00A423D8"/>
    <w:rsid w:val="00A42733"/>
    <w:rsid w:val="00A42778"/>
    <w:rsid w:val="00A42840"/>
    <w:rsid w:val="00A42844"/>
    <w:rsid w:val="00A428B7"/>
    <w:rsid w:val="00A42B45"/>
    <w:rsid w:val="00A42BD3"/>
    <w:rsid w:val="00A42C67"/>
    <w:rsid w:val="00A42F13"/>
    <w:rsid w:val="00A42F57"/>
    <w:rsid w:val="00A42F94"/>
    <w:rsid w:val="00A431E4"/>
    <w:rsid w:val="00A431FE"/>
    <w:rsid w:val="00A43428"/>
    <w:rsid w:val="00A435FC"/>
    <w:rsid w:val="00A4366D"/>
    <w:rsid w:val="00A436F8"/>
    <w:rsid w:val="00A437A1"/>
    <w:rsid w:val="00A437F9"/>
    <w:rsid w:val="00A43908"/>
    <w:rsid w:val="00A439C9"/>
    <w:rsid w:val="00A43C9C"/>
    <w:rsid w:val="00A43D87"/>
    <w:rsid w:val="00A43DFB"/>
    <w:rsid w:val="00A43EA0"/>
    <w:rsid w:val="00A43FB0"/>
    <w:rsid w:val="00A4461C"/>
    <w:rsid w:val="00A4464E"/>
    <w:rsid w:val="00A44846"/>
    <w:rsid w:val="00A44993"/>
    <w:rsid w:val="00A44A0D"/>
    <w:rsid w:val="00A44A41"/>
    <w:rsid w:val="00A44AA8"/>
    <w:rsid w:val="00A44CAE"/>
    <w:rsid w:val="00A44D58"/>
    <w:rsid w:val="00A44E02"/>
    <w:rsid w:val="00A44F9A"/>
    <w:rsid w:val="00A450C4"/>
    <w:rsid w:val="00A45149"/>
    <w:rsid w:val="00A45161"/>
    <w:rsid w:val="00A45207"/>
    <w:rsid w:val="00A452C5"/>
    <w:rsid w:val="00A453F8"/>
    <w:rsid w:val="00A454A0"/>
    <w:rsid w:val="00A45501"/>
    <w:rsid w:val="00A4553F"/>
    <w:rsid w:val="00A45634"/>
    <w:rsid w:val="00A4570E"/>
    <w:rsid w:val="00A457C7"/>
    <w:rsid w:val="00A4595E"/>
    <w:rsid w:val="00A45A9E"/>
    <w:rsid w:val="00A45B52"/>
    <w:rsid w:val="00A45C97"/>
    <w:rsid w:val="00A45C99"/>
    <w:rsid w:val="00A45CCB"/>
    <w:rsid w:val="00A45D6A"/>
    <w:rsid w:val="00A45D91"/>
    <w:rsid w:val="00A45E16"/>
    <w:rsid w:val="00A4600C"/>
    <w:rsid w:val="00A4602F"/>
    <w:rsid w:val="00A46530"/>
    <w:rsid w:val="00A4654E"/>
    <w:rsid w:val="00A46579"/>
    <w:rsid w:val="00A466E0"/>
    <w:rsid w:val="00A467E3"/>
    <w:rsid w:val="00A468CC"/>
    <w:rsid w:val="00A46B19"/>
    <w:rsid w:val="00A46B92"/>
    <w:rsid w:val="00A46BEA"/>
    <w:rsid w:val="00A46C53"/>
    <w:rsid w:val="00A46D27"/>
    <w:rsid w:val="00A46D81"/>
    <w:rsid w:val="00A46FA2"/>
    <w:rsid w:val="00A47460"/>
    <w:rsid w:val="00A47570"/>
    <w:rsid w:val="00A475C8"/>
    <w:rsid w:val="00A475EB"/>
    <w:rsid w:val="00A476A8"/>
    <w:rsid w:val="00A47790"/>
    <w:rsid w:val="00A47811"/>
    <w:rsid w:val="00A47990"/>
    <w:rsid w:val="00A479DE"/>
    <w:rsid w:val="00A479E6"/>
    <w:rsid w:val="00A47A8C"/>
    <w:rsid w:val="00A47AA8"/>
    <w:rsid w:val="00A47B48"/>
    <w:rsid w:val="00A47CBA"/>
    <w:rsid w:val="00A47E3E"/>
    <w:rsid w:val="00A47E77"/>
    <w:rsid w:val="00A47E9D"/>
    <w:rsid w:val="00A47FAC"/>
    <w:rsid w:val="00A5002C"/>
    <w:rsid w:val="00A500F5"/>
    <w:rsid w:val="00A50213"/>
    <w:rsid w:val="00A502BC"/>
    <w:rsid w:val="00A50463"/>
    <w:rsid w:val="00A50676"/>
    <w:rsid w:val="00A5068D"/>
    <w:rsid w:val="00A508EA"/>
    <w:rsid w:val="00A5094C"/>
    <w:rsid w:val="00A50A46"/>
    <w:rsid w:val="00A50B13"/>
    <w:rsid w:val="00A50BB3"/>
    <w:rsid w:val="00A50C04"/>
    <w:rsid w:val="00A50C6F"/>
    <w:rsid w:val="00A50E90"/>
    <w:rsid w:val="00A50EED"/>
    <w:rsid w:val="00A50F09"/>
    <w:rsid w:val="00A50F77"/>
    <w:rsid w:val="00A50FEC"/>
    <w:rsid w:val="00A5126A"/>
    <w:rsid w:val="00A51285"/>
    <w:rsid w:val="00A513FE"/>
    <w:rsid w:val="00A5148C"/>
    <w:rsid w:val="00A516AF"/>
    <w:rsid w:val="00A516D1"/>
    <w:rsid w:val="00A5190D"/>
    <w:rsid w:val="00A51939"/>
    <w:rsid w:val="00A51E41"/>
    <w:rsid w:val="00A51F61"/>
    <w:rsid w:val="00A5218B"/>
    <w:rsid w:val="00A52295"/>
    <w:rsid w:val="00A52407"/>
    <w:rsid w:val="00A5254D"/>
    <w:rsid w:val="00A52581"/>
    <w:rsid w:val="00A5261F"/>
    <w:rsid w:val="00A52641"/>
    <w:rsid w:val="00A527A3"/>
    <w:rsid w:val="00A527CF"/>
    <w:rsid w:val="00A527E5"/>
    <w:rsid w:val="00A528F5"/>
    <w:rsid w:val="00A52931"/>
    <w:rsid w:val="00A5294D"/>
    <w:rsid w:val="00A529E9"/>
    <w:rsid w:val="00A52C00"/>
    <w:rsid w:val="00A52C1C"/>
    <w:rsid w:val="00A52D0B"/>
    <w:rsid w:val="00A52DA0"/>
    <w:rsid w:val="00A52E2D"/>
    <w:rsid w:val="00A52E7D"/>
    <w:rsid w:val="00A52F19"/>
    <w:rsid w:val="00A52F59"/>
    <w:rsid w:val="00A52F93"/>
    <w:rsid w:val="00A5319A"/>
    <w:rsid w:val="00A531A0"/>
    <w:rsid w:val="00A53230"/>
    <w:rsid w:val="00A534BC"/>
    <w:rsid w:val="00A53587"/>
    <w:rsid w:val="00A536A0"/>
    <w:rsid w:val="00A536A8"/>
    <w:rsid w:val="00A53711"/>
    <w:rsid w:val="00A538B6"/>
    <w:rsid w:val="00A53AB4"/>
    <w:rsid w:val="00A53AB9"/>
    <w:rsid w:val="00A53B15"/>
    <w:rsid w:val="00A53B17"/>
    <w:rsid w:val="00A53C02"/>
    <w:rsid w:val="00A53C92"/>
    <w:rsid w:val="00A53D3D"/>
    <w:rsid w:val="00A53E80"/>
    <w:rsid w:val="00A541A0"/>
    <w:rsid w:val="00A54201"/>
    <w:rsid w:val="00A5426A"/>
    <w:rsid w:val="00A546A6"/>
    <w:rsid w:val="00A5477C"/>
    <w:rsid w:val="00A547C1"/>
    <w:rsid w:val="00A547D0"/>
    <w:rsid w:val="00A547E1"/>
    <w:rsid w:val="00A54982"/>
    <w:rsid w:val="00A54B4B"/>
    <w:rsid w:val="00A54B8F"/>
    <w:rsid w:val="00A54BD8"/>
    <w:rsid w:val="00A54C2A"/>
    <w:rsid w:val="00A54EB4"/>
    <w:rsid w:val="00A5528F"/>
    <w:rsid w:val="00A55495"/>
    <w:rsid w:val="00A55558"/>
    <w:rsid w:val="00A555BA"/>
    <w:rsid w:val="00A555BC"/>
    <w:rsid w:val="00A55640"/>
    <w:rsid w:val="00A55A47"/>
    <w:rsid w:val="00A55ABB"/>
    <w:rsid w:val="00A55D27"/>
    <w:rsid w:val="00A55E08"/>
    <w:rsid w:val="00A55E12"/>
    <w:rsid w:val="00A5604A"/>
    <w:rsid w:val="00A56405"/>
    <w:rsid w:val="00A564B3"/>
    <w:rsid w:val="00A565BE"/>
    <w:rsid w:val="00A565CB"/>
    <w:rsid w:val="00A5667B"/>
    <w:rsid w:val="00A568F1"/>
    <w:rsid w:val="00A56B4B"/>
    <w:rsid w:val="00A56C85"/>
    <w:rsid w:val="00A56EEA"/>
    <w:rsid w:val="00A56EF8"/>
    <w:rsid w:val="00A56F58"/>
    <w:rsid w:val="00A56F8F"/>
    <w:rsid w:val="00A57328"/>
    <w:rsid w:val="00A5733E"/>
    <w:rsid w:val="00A575F7"/>
    <w:rsid w:val="00A57637"/>
    <w:rsid w:val="00A57809"/>
    <w:rsid w:val="00A5789B"/>
    <w:rsid w:val="00A578F4"/>
    <w:rsid w:val="00A57A3B"/>
    <w:rsid w:val="00A57C11"/>
    <w:rsid w:val="00A57ECA"/>
    <w:rsid w:val="00A57F6D"/>
    <w:rsid w:val="00A57F70"/>
    <w:rsid w:val="00A57F88"/>
    <w:rsid w:val="00A600F6"/>
    <w:rsid w:val="00A601EA"/>
    <w:rsid w:val="00A6038C"/>
    <w:rsid w:val="00A60407"/>
    <w:rsid w:val="00A606DE"/>
    <w:rsid w:val="00A60778"/>
    <w:rsid w:val="00A60886"/>
    <w:rsid w:val="00A608BB"/>
    <w:rsid w:val="00A608D4"/>
    <w:rsid w:val="00A60A65"/>
    <w:rsid w:val="00A60BF5"/>
    <w:rsid w:val="00A60DC4"/>
    <w:rsid w:val="00A60DDC"/>
    <w:rsid w:val="00A60F14"/>
    <w:rsid w:val="00A60F5D"/>
    <w:rsid w:val="00A60F73"/>
    <w:rsid w:val="00A60F80"/>
    <w:rsid w:val="00A61081"/>
    <w:rsid w:val="00A610F4"/>
    <w:rsid w:val="00A613B9"/>
    <w:rsid w:val="00A6146D"/>
    <w:rsid w:val="00A614D4"/>
    <w:rsid w:val="00A6161D"/>
    <w:rsid w:val="00A616E4"/>
    <w:rsid w:val="00A61AD9"/>
    <w:rsid w:val="00A61B31"/>
    <w:rsid w:val="00A61D8F"/>
    <w:rsid w:val="00A61E24"/>
    <w:rsid w:val="00A61E34"/>
    <w:rsid w:val="00A61EE0"/>
    <w:rsid w:val="00A61F49"/>
    <w:rsid w:val="00A62045"/>
    <w:rsid w:val="00A6206B"/>
    <w:rsid w:val="00A621F6"/>
    <w:rsid w:val="00A62232"/>
    <w:rsid w:val="00A622B8"/>
    <w:rsid w:val="00A62328"/>
    <w:rsid w:val="00A62485"/>
    <w:rsid w:val="00A625EA"/>
    <w:rsid w:val="00A62627"/>
    <w:rsid w:val="00A6265E"/>
    <w:rsid w:val="00A627FE"/>
    <w:rsid w:val="00A629D2"/>
    <w:rsid w:val="00A62C9D"/>
    <w:rsid w:val="00A62DB4"/>
    <w:rsid w:val="00A62DDE"/>
    <w:rsid w:val="00A62E2F"/>
    <w:rsid w:val="00A62E47"/>
    <w:rsid w:val="00A62F5E"/>
    <w:rsid w:val="00A6303E"/>
    <w:rsid w:val="00A63129"/>
    <w:rsid w:val="00A63421"/>
    <w:rsid w:val="00A63478"/>
    <w:rsid w:val="00A635B7"/>
    <w:rsid w:val="00A6364B"/>
    <w:rsid w:val="00A63762"/>
    <w:rsid w:val="00A63D59"/>
    <w:rsid w:val="00A63DBF"/>
    <w:rsid w:val="00A63EA2"/>
    <w:rsid w:val="00A642B7"/>
    <w:rsid w:val="00A64318"/>
    <w:rsid w:val="00A64357"/>
    <w:rsid w:val="00A64590"/>
    <w:rsid w:val="00A645FF"/>
    <w:rsid w:val="00A64634"/>
    <w:rsid w:val="00A6468C"/>
    <w:rsid w:val="00A64B1D"/>
    <w:rsid w:val="00A64C0F"/>
    <w:rsid w:val="00A64C6A"/>
    <w:rsid w:val="00A64C8A"/>
    <w:rsid w:val="00A64C8D"/>
    <w:rsid w:val="00A64CED"/>
    <w:rsid w:val="00A64DBE"/>
    <w:rsid w:val="00A64E35"/>
    <w:rsid w:val="00A64F4F"/>
    <w:rsid w:val="00A64FA7"/>
    <w:rsid w:val="00A65065"/>
    <w:rsid w:val="00A6513E"/>
    <w:rsid w:val="00A65165"/>
    <w:rsid w:val="00A651AA"/>
    <w:rsid w:val="00A65250"/>
    <w:rsid w:val="00A6528A"/>
    <w:rsid w:val="00A6532A"/>
    <w:rsid w:val="00A65451"/>
    <w:rsid w:val="00A65484"/>
    <w:rsid w:val="00A654E0"/>
    <w:rsid w:val="00A65638"/>
    <w:rsid w:val="00A65753"/>
    <w:rsid w:val="00A65812"/>
    <w:rsid w:val="00A6588C"/>
    <w:rsid w:val="00A659BC"/>
    <w:rsid w:val="00A65B18"/>
    <w:rsid w:val="00A65B65"/>
    <w:rsid w:val="00A65CF0"/>
    <w:rsid w:val="00A65D54"/>
    <w:rsid w:val="00A65DB4"/>
    <w:rsid w:val="00A65DBB"/>
    <w:rsid w:val="00A65E20"/>
    <w:rsid w:val="00A65E7A"/>
    <w:rsid w:val="00A6611C"/>
    <w:rsid w:val="00A6621B"/>
    <w:rsid w:val="00A66285"/>
    <w:rsid w:val="00A6635B"/>
    <w:rsid w:val="00A66533"/>
    <w:rsid w:val="00A665B0"/>
    <w:rsid w:val="00A66736"/>
    <w:rsid w:val="00A66875"/>
    <w:rsid w:val="00A668E9"/>
    <w:rsid w:val="00A6697B"/>
    <w:rsid w:val="00A66A05"/>
    <w:rsid w:val="00A66E4A"/>
    <w:rsid w:val="00A671D6"/>
    <w:rsid w:val="00A67221"/>
    <w:rsid w:val="00A67346"/>
    <w:rsid w:val="00A67359"/>
    <w:rsid w:val="00A676DD"/>
    <w:rsid w:val="00A67743"/>
    <w:rsid w:val="00A677AA"/>
    <w:rsid w:val="00A677FD"/>
    <w:rsid w:val="00A678A6"/>
    <w:rsid w:val="00A67AC6"/>
    <w:rsid w:val="00A67B49"/>
    <w:rsid w:val="00A67C18"/>
    <w:rsid w:val="00A67D33"/>
    <w:rsid w:val="00A67EB1"/>
    <w:rsid w:val="00A700F3"/>
    <w:rsid w:val="00A7028F"/>
    <w:rsid w:val="00A7060C"/>
    <w:rsid w:val="00A7090A"/>
    <w:rsid w:val="00A70B3A"/>
    <w:rsid w:val="00A70E2E"/>
    <w:rsid w:val="00A70E55"/>
    <w:rsid w:val="00A71175"/>
    <w:rsid w:val="00A71254"/>
    <w:rsid w:val="00A7129C"/>
    <w:rsid w:val="00A712C2"/>
    <w:rsid w:val="00A7136F"/>
    <w:rsid w:val="00A71445"/>
    <w:rsid w:val="00A71464"/>
    <w:rsid w:val="00A71505"/>
    <w:rsid w:val="00A71622"/>
    <w:rsid w:val="00A717F2"/>
    <w:rsid w:val="00A71929"/>
    <w:rsid w:val="00A7196C"/>
    <w:rsid w:val="00A71ACC"/>
    <w:rsid w:val="00A71C34"/>
    <w:rsid w:val="00A71E88"/>
    <w:rsid w:val="00A721D4"/>
    <w:rsid w:val="00A722B9"/>
    <w:rsid w:val="00A726D1"/>
    <w:rsid w:val="00A72712"/>
    <w:rsid w:val="00A727AD"/>
    <w:rsid w:val="00A728C1"/>
    <w:rsid w:val="00A728E1"/>
    <w:rsid w:val="00A7295C"/>
    <w:rsid w:val="00A72960"/>
    <w:rsid w:val="00A72963"/>
    <w:rsid w:val="00A72A07"/>
    <w:rsid w:val="00A72A44"/>
    <w:rsid w:val="00A72A4D"/>
    <w:rsid w:val="00A72B19"/>
    <w:rsid w:val="00A72D92"/>
    <w:rsid w:val="00A730C0"/>
    <w:rsid w:val="00A7316C"/>
    <w:rsid w:val="00A731EE"/>
    <w:rsid w:val="00A735AA"/>
    <w:rsid w:val="00A736AD"/>
    <w:rsid w:val="00A7384D"/>
    <w:rsid w:val="00A738B2"/>
    <w:rsid w:val="00A738D2"/>
    <w:rsid w:val="00A739FF"/>
    <w:rsid w:val="00A73A61"/>
    <w:rsid w:val="00A73B10"/>
    <w:rsid w:val="00A73B18"/>
    <w:rsid w:val="00A73B2F"/>
    <w:rsid w:val="00A73BB9"/>
    <w:rsid w:val="00A73C0B"/>
    <w:rsid w:val="00A73C23"/>
    <w:rsid w:val="00A73DCF"/>
    <w:rsid w:val="00A73EDB"/>
    <w:rsid w:val="00A7400C"/>
    <w:rsid w:val="00A740E4"/>
    <w:rsid w:val="00A74257"/>
    <w:rsid w:val="00A743C8"/>
    <w:rsid w:val="00A744E6"/>
    <w:rsid w:val="00A74570"/>
    <w:rsid w:val="00A74737"/>
    <w:rsid w:val="00A74794"/>
    <w:rsid w:val="00A7486F"/>
    <w:rsid w:val="00A74923"/>
    <w:rsid w:val="00A7493D"/>
    <w:rsid w:val="00A74A72"/>
    <w:rsid w:val="00A74B15"/>
    <w:rsid w:val="00A74D31"/>
    <w:rsid w:val="00A74D3B"/>
    <w:rsid w:val="00A74F26"/>
    <w:rsid w:val="00A750FB"/>
    <w:rsid w:val="00A7515E"/>
    <w:rsid w:val="00A75195"/>
    <w:rsid w:val="00A752E0"/>
    <w:rsid w:val="00A753DD"/>
    <w:rsid w:val="00A75669"/>
    <w:rsid w:val="00A756E4"/>
    <w:rsid w:val="00A7585F"/>
    <w:rsid w:val="00A75BEA"/>
    <w:rsid w:val="00A75CE6"/>
    <w:rsid w:val="00A75E11"/>
    <w:rsid w:val="00A75F92"/>
    <w:rsid w:val="00A76122"/>
    <w:rsid w:val="00A76186"/>
    <w:rsid w:val="00A761E9"/>
    <w:rsid w:val="00A764FD"/>
    <w:rsid w:val="00A765AC"/>
    <w:rsid w:val="00A765EE"/>
    <w:rsid w:val="00A76624"/>
    <w:rsid w:val="00A76632"/>
    <w:rsid w:val="00A76C8A"/>
    <w:rsid w:val="00A76DA4"/>
    <w:rsid w:val="00A76DC2"/>
    <w:rsid w:val="00A76ECD"/>
    <w:rsid w:val="00A77213"/>
    <w:rsid w:val="00A7726C"/>
    <w:rsid w:val="00A7733D"/>
    <w:rsid w:val="00A77401"/>
    <w:rsid w:val="00A774DD"/>
    <w:rsid w:val="00A7755C"/>
    <w:rsid w:val="00A7759A"/>
    <w:rsid w:val="00A777EF"/>
    <w:rsid w:val="00A777F8"/>
    <w:rsid w:val="00A77800"/>
    <w:rsid w:val="00A7790F"/>
    <w:rsid w:val="00A77967"/>
    <w:rsid w:val="00A779EA"/>
    <w:rsid w:val="00A77AED"/>
    <w:rsid w:val="00A77BDF"/>
    <w:rsid w:val="00A77CCB"/>
    <w:rsid w:val="00A77E55"/>
    <w:rsid w:val="00A80071"/>
    <w:rsid w:val="00A801B3"/>
    <w:rsid w:val="00A80302"/>
    <w:rsid w:val="00A804A5"/>
    <w:rsid w:val="00A804C2"/>
    <w:rsid w:val="00A80506"/>
    <w:rsid w:val="00A8064E"/>
    <w:rsid w:val="00A8076D"/>
    <w:rsid w:val="00A80855"/>
    <w:rsid w:val="00A80868"/>
    <w:rsid w:val="00A80874"/>
    <w:rsid w:val="00A808F9"/>
    <w:rsid w:val="00A80936"/>
    <w:rsid w:val="00A80CF7"/>
    <w:rsid w:val="00A80E7D"/>
    <w:rsid w:val="00A80F2C"/>
    <w:rsid w:val="00A80FD5"/>
    <w:rsid w:val="00A8104B"/>
    <w:rsid w:val="00A81075"/>
    <w:rsid w:val="00A8116A"/>
    <w:rsid w:val="00A811AD"/>
    <w:rsid w:val="00A8125E"/>
    <w:rsid w:val="00A812E6"/>
    <w:rsid w:val="00A8143E"/>
    <w:rsid w:val="00A814A0"/>
    <w:rsid w:val="00A81598"/>
    <w:rsid w:val="00A81771"/>
    <w:rsid w:val="00A8180D"/>
    <w:rsid w:val="00A818C1"/>
    <w:rsid w:val="00A81A85"/>
    <w:rsid w:val="00A81B6F"/>
    <w:rsid w:val="00A81B8C"/>
    <w:rsid w:val="00A81C76"/>
    <w:rsid w:val="00A81E6E"/>
    <w:rsid w:val="00A81FAE"/>
    <w:rsid w:val="00A82165"/>
    <w:rsid w:val="00A821AB"/>
    <w:rsid w:val="00A822F7"/>
    <w:rsid w:val="00A82488"/>
    <w:rsid w:val="00A8259E"/>
    <w:rsid w:val="00A827A8"/>
    <w:rsid w:val="00A827C6"/>
    <w:rsid w:val="00A827C7"/>
    <w:rsid w:val="00A82A2B"/>
    <w:rsid w:val="00A82AB4"/>
    <w:rsid w:val="00A82B35"/>
    <w:rsid w:val="00A82C03"/>
    <w:rsid w:val="00A82F4A"/>
    <w:rsid w:val="00A82F67"/>
    <w:rsid w:val="00A82F81"/>
    <w:rsid w:val="00A82F9D"/>
    <w:rsid w:val="00A83131"/>
    <w:rsid w:val="00A8313B"/>
    <w:rsid w:val="00A831F8"/>
    <w:rsid w:val="00A8334D"/>
    <w:rsid w:val="00A83388"/>
    <w:rsid w:val="00A8354B"/>
    <w:rsid w:val="00A83574"/>
    <w:rsid w:val="00A83675"/>
    <w:rsid w:val="00A83935"/>
    <w:rsid w:val="00A83957"/>
    <w:rsid w:val="00A839F9"/>
    <w:rsid w:val="00A83BB5"/>
    <w:rsid w:val="00A83C5D"/>
    <w:rsid w:val="00A83C6C"/>
    <w:rsid w:val="00A83D38"/>
    <w:rsid w:val="00A83EF4"/>
    <w:rsid w:val="00A84214"/>
    <w:rsid w:val="00A84219"/>
    <w:rsid w:val="00A84496"/>
    <w:rsid w:val="00A845C9"/>
    <w:rsid w:val="00A8474C"/>
    <w:rsid w:val="00A849D7"/>
    <w:rsid w:val="00A84B29"/>
    <w:rsid w:val="00A84B59"/>
    <w:rsid w:val="00A84CF2"/>
    <w:rsid w:val="00A84D2F"/>
    <w:rsid w:val="00A84E77"/>
    <w:rsid w:val="00A84ED8"/>
    <w:rsid w:val="00A84F85"/>
    <w:rsid w:val="00A85035"/>
    <w:rsid w:val="00A8530C"/>
    <w:rsid w:val="00A85372"/>
    <w:rsid w:val="00A85377"/>
    <w:rsid w:val="00A8547F"/>
    <w:rsid w:val="00A8554E"/>
    <w:rsid w:val="00A8554F"/>
    <w:rsid w:val="00A857FE"/>
    <w:rsid w:val="00A858B5"/>
    <w:rsid w:val="00A85930"/>
    <w:rsid w:val="00A859C9"/>
    <w:rsid w:val="00A85A47"/>
    <w:rsid w:val="00A85A52"/>
    <w:rsid w:val="00A85A74"/>
    <w:rsid w:val="00A85B9F"/>
    <w:rsid w:val="00A85CFC"/>
    <w:rsid w:val="00A85DEC"/>
    <w:rsid w:val="00A85E67"/>
    <w:rsid w:val="00A85F9D"/>
    <w:rsid w:val="00A862F0"/>
    <w:rsid w:val="00A86647"/>
    <w:rsid w:val="00A86745"/>
    <w:rsid w:val="00A867EB"/>
    <w:rsid w:val="00A867F0"/>
    <w:rsid w:val="00A869AB"/>
    <w:rsid w:val="00A86C76"/>
    <w:rsid w:val="00A86ECB"/>
    <w:rsid w:val="00A87065"/>
    <w:rsid w:val="00A87364"/>
    <w:rsid w:val="00A873B4"/>
    <w:rsid w:val="00A87473"/>
    <w:rsid w:val="00A8759D"/>
    <w:rsid w:val="00A876C2"/>
    <w:rsid w:val="00A877F8"/>
    <w:rsid w:val="00A8782E"/>
    <w:rsid w:val="00A8793C"/>
    <w:rsid w:val="00A8797A"/>
    <w:rsid w:val="00A87ABF"/>
    <w:rsid w:val="00A87C0E"/>
    <w:rsid w:val="00A87C48"/>
    <w:rsid w:val="00A87DDD"/>
    <w:rsid w:val="00A87E2A"/>
    <w:rsid w:val="00A87ED1"/>
    <w:rsid w:val="00A87EDA"/>
    <w:rsid w:val="00A900B1"/>
    <w:rsid w:val="00A90105"/>
    <w:rsid w:val="00A9038F"/>
    <w:rsid w:val="00A90436"/>
    <w:rsid w:val="00A906BE"/>
    <w:rsid w:val="00A9094D"/>
    <w:rsid w:val="00A909DA"/>
    <w:rsid w:val="00A90AA8"/>
    <w:rsid w:val="00A90EDB"/>
    <w:rsid w:val="00A90F77"/>
    <w:rsid w:val="00A90F88"/>
    <w:rsid w:val="00A90FF3"/>
    <w:rsid w:val="00A91126"/>
    <w:rsid w:val="00A91243"/>
    <w:rsid w:val="00A91375"/>
    <w:rsid w:val="00A91396"/>
    <w:rsid w:val="00A9143E"/>
    <w:rsid w:val="00A916CC"/>
    <w:rsid w:val="00A91789"/>
    <w:rsid w:val="00A9182D"/>
    <w:rsid w:val="00A919A4"/>
    <w:rsid w:val="00A91B6F"/>
    <w:rsid w:val="00A91D7D"/>
    <w:rsid w:val="00A91E1C"/>
    <w:rsid w:val="00A91FF7"/>
    <w:rsid w:val="00A9235B"/>
    <w:rsid w:val="00A923E6"/>
    <w:rsid w:val="00A92440"/>
    <w:rsid w:val="00A9244E"/>
    <w:rsid w:val="00A924A5"/>
    <w:rsid w:val="00A926F1"/>
    <w:rsid w:val="00A92705"/>
    <w:rsid w:val="00A9273B"/>
    <w:rsid w:val="00A92945"/>
    <w:rsid w:val="00A929B0"/>
    <w:rsid w:val="00A92E53"/>
    <w:rsid w:val="00A9315D"/>
    <w:rsid w:val="00A9316C"/>
    <w:rsid w:val="00A933DD"/>
    <w:rsid w:val="00A93510"/>
    <w:rsid w:val="00A93616"/>
    <w:rsid w:val="00A936B0"/>
    <w:rsid w:val="00A9384F"/>
    <w:rsid w:val="00A938B2"/>
    <w:rsid w:val="00A938C9"/>
    <w:rsid w:val="00A93ABC"/>
    <w:rsid w:val="00A93D02"/>
    <w:rsid w:val="00A93E50"/>
    <w:rsid w:val="00A93F0B"/>
    <w:rsid w:val="00A93F13"/>
    <w:rsid w:val="00A94060"/>
    <w:rsid w:val="00A941F8"/>
    <w:rsid w:val="00A94205"/>
    <w:rsid w:val="00A9420A"/>
    <w:rsid w:val="00A942AC"/>
    <w:rsid w:val="00A943C7"/>
    <w:rsid w:val="00A943D3"/>
    <w:rsid w:val="00A944B0"/>
    <w:rsid w:val="00A9457A"/>
    <w:rsid w:val="00A946B2"/>
    <w:rsid w:val="00A946B8"/>
    <w:rsid w:val="00A94933"/>
    <w:rsid w:val="00A94AA8"/>
    <w:rsid w:val="00A94AE8"/>
    <w:rsid w:val="00A94C69"/>
    <w:rsid w:val="00A94D12"/>
    <w:rsid w:val="00A94DA3"/>
    <w:rsid w:val="00A94DCD"/>
    <w:rsid w:val="00A95035"/>
    <w:rsid w:val="00A950EF"/>
    <w:rsid w:val="00A95155"/>
    <w:rsid w:val="00A95303"/>
    <w:rsid w:val="00A9540D"/>
    <w:rsid w:val="00A95417"/>
    <w:rsid w:val="00A95475"/>
    <w:rsid w:val="00A95514"/>
    <w:rsid w:val="00A95722"/>
    <w:rsid w:val="00A95835"/>
    <w:rsid w:val="00A9597C"/>
    <w:rsid w:val="00A95A1C"/>
    <w:rsid w:val="00A95A6E"/>
    <w:rsid w:val="00A95CDA"/>
    <w:rsid w:val="00A95EC1"/>
    <w:rsid w:val="00A96076"/>
    <w:rsid w:val="00A961F1"/>
    <w:rsid w:val="00A96285"/>
    <w:rsid w:val="00A962AF"/>
    <w:rsid w:val="00A96300"/>
    <w:rsid w:val="00A96395"/>
    <w:rsid w:val="00A963D9"/>
    <w:rsid w:val="00A9656B"/>
    <w:rsid w:val="00A966DE"/>
    <w:rsid w:val="00A968E6"/>
    <w:rsid w:val="00A968ED"/>
    <w:rsid w:val="00A9699C"/>
    <w:rsid w:val="00A96A63"/>
    <w:rsid w:val="00A96BA8"/>
    <w:rsid w:val="00A96BDA"/>
    <w:rsid w:val="00A96E59"/>
    <w:rsid w:val="00A96E5C"/>
    <w:rsid w:val="00A96F25"/>
    <w:rsid w:val="00A9717D"/>
    <w:rsid w:val="00A972B9"/>
    <w:rsid w:val="00A97395"/>
    <w:rsid w:val="00A973CD"/>
    <w:rsid w:val="00A974B1"/>
    <w:rsid w:val="00A97596"/>
    <w:rsid w:val="00A976C8"/>
    <w:rsid w:val="00A97961"/>
    <w:rsid w:val="00A97AA7"/>
    <w:rsid w:val="00A97B61"/>
    <w:rsid w:val="00A97B74"/>
    <w:rsid w:val="00A97C48"/>
    <w:rsid w:val="00A97CF0"/>
    <w:rsid w:val="00A97D41"/>
    <w:rsid w:val="00A97DDA"/>
    <w:rsid w:val="00A97E6D"/>
    <w:rsid w:val="00A97EC8"/>
    <w:rsid w:val="00A97F59"/>
    <w:rsid w:val="00A97FA8"/>
    <w:rsid w:val="00A97FB9"/>
    <w:rsid w:val="00AA0074"/>
    <w:rsid w:val="00AA02DB"/>
    <w:rsid w:val="00AA0329"/>
    <w:rsid w:val="00AA0391"/>
    <w:rsid w:val="00AA0408"/>
    <w:rsid w:val="00AA0424"/>
    <w:rsid w:val="00AA04BF"/>
    <w:rsid w:val="00AA0B98"/>
    <w:rsid w:val="00AA0CD8"/>
    <w:rsid w:val="00AA0F2E"/>
    <w:rsid w:val="00AA0F3B"/>
    <w:rsid w:val="00AA0F57"/>
    <w:rsid w:val="00AA0FC4"/>
    <w:rsid w:val="00AA114D"/>
    <w:rsid w:val="00AA1242"/>
    <w:rsid w:val="00AA126C"/>
    <w:rsid w:val="00AA1398"/>
    <w:rsid w:val="00AA14DB"/>
    <w:rsid w:val="00AA155E"/>
    <w:rsid w:val="00AA1634"/>
    <w:rsid w:val="00AA1794"/>
    <w:rsid w:val="00AA1801"/>
    <w:rsid w:val="00AA182E"/>
    <w:rsid w:val="00AA1C65"/>
    <w:rsid w:val="00AA1CE2"/>
    <w:rsid w:val="00AA1DB6"/>
    <w:rsid w:val="00AA1F6B"/>
    <w:rsid w:val="00AA211C"/>
    <w:rsid w:val="00AA22AA"/>
    <w:rsid w:val="00AA23C4"/>
    <w:rsid w:val="00AA24FA"/>
    <w:rsid w:val="00AA2547"/>
    <w:rsid w:val="00AA28F4"/>
    <w:rsid w:val="00AA2ABA"/>
    <w:rsid w:val="00AA2B8F"/>
    <w:rsid w:val="00AA2BD3"/>
    <w:rsid w:val="00AA2D14"/>
    <w:rsid w:val="00AA2D77"/>
    <w:rsid w:val="00AA2F34"/>
    <w:rsid w:val="00AA2FBC"/>
    <w:rsid w:val="00AA2FC6"/>
    <w:rsid w:val="00AA3034"/>
    <w:rsid w:val="00AA311A"/>
    <w:rsid w:val="00AA316C"/>
    <w:rsid w:val="00AA31A3"/>
    <w:rsid w:val="00AA31A4"/>
    <w:rsid w:val="00AA32A1"/>
    <w:rsid w:val="00AA3377"/>
    <w:rsid w:val="00AA33D7"/>
    <w:rsid w:val="00AA3452"/>
    <w:rsid w:val="00AA363F"/>
    <w:rsid w:val="00AA37A4"/>
    <w:rsid w:val="00AA3934"/>
    <w:rsid w:val="00AA394F"/>
    <w:rsid w:val="00AA39C2"/>
    <w:rsid w:val="00AA3A2E"/>
    <w:rsid w:val="00AA3A75"/>
    <w:rsid w:val="00AA3D7A"/>
    <w:rsid w:val="00AA4026"/>
    <w:rsid w:val="00AA4212"/>
    <w:rsid w:val="00AA4330"/>
    <w:rsid w:val="00AA4348"/>
    <w:rsid w:val="00AA44B2"/>
    <w:rsid w:val="00AA47AB"/>
    <w:rsid w:val="00AA49BC"/>
    <w:rsid w:val="00AA49EC"/>
    <w:rsid w:val="00AA4B27"/>
    <w:rsid w:val="00AA4BF8"/>
    <w:rsid w:val="00AA4C7B"/>
    <w:rsid w:val="00AA4CAA"/>
    <w:rsid w:val="00AA4D1B"/>
    <w:rsid w:val="00AA4D4B"/>
    <w:rsid w:val="00AA4F0C"/>
    <w:rsid w:val="00AA4FAE"/>
    <w:rsid w:val="00AA508A"/>
    <w:rsid w:val="00AA50C7"/>
    <w:rsid w:val="00AA50DC"/>
    <w:rsid w:val="00AA5143"/>
    <w:rsid w:val="00AA51A0"/>
    <w:rsid w:val="00AA53BC"/>
    <w:rsid w:val="00AA53EA"/>
    <w:rsid w:val="00AA53F0"/>
    <w:rsid w:val="00AA556A"/>
    <w:rsid w:val="00AA558B"/>
    <w:rsid w:val="00AA55BE"/>
    <w:rsid w:val="00AA56CD"/>
    <w:rsid w:val="00AA56D4"/>
    <w:rsid w:val="00AA58C0"/>
    <w:rsid w:val="00AA5C31"/>
    <w:rsid w:val="00AA5C70"/>
    <w:rsid w:val="00AA5C85"/>
    <w:rsid w:val="00AA6024"/>
    <w:rsid w:val="00AA60B4"/>
    <w:rsid w:val="00AA60BB"/>
    <w:rsid w:val="00AA6276"/>
    <w:rsid w:val="00AA6391"/>
    <w:rsid w:val="00AA647E"/>
    <w:rsid w:val="00AA664A"/>
    <w:rsid w:val="00AA66B1"/>
    <w:rsid w:val="00AA68DC"/>
    <w:rsid w:val="00AA6C11"/>
    <w:rsid w:val="00AA6CB1"/>
    <w:rsid w:val="00AA6D49"/>
    <w:rsid w:val="00AA7181"/>
    <w:rsid w:val="00AA728A"/>
    <w:rsid w:val="00AA7614"/>
    <w:rsid w:val="00AA763A"/>
    <w:rsid w:val="00AA7650"/>
    <w:rsid w:val="00AA76DC"/>
    <w:rsid w:val="00AA770C"/>
    <w:rsid w:val="00AA772E"/>
    <w:rsid w:val="00AA7855"/>
    <w:rsid w:val="00AA7939"/>
    <w:rsid w:val="00AA7ADA"/>
    <w:rsid w:val="00AA7B29"/>
    <w:rsid w:val="00AA7C89"/>
    <w:rsid w:val="00AA7CEC"/>
    <w:rsid w:val="00AA7D82"/>
    <w:rsid w:val="00AA7E66"/>
    <w:rsid w:val="00AA7EFB"/>
    <w:rsid w:val="00AA7F86"/>
    <w:rsid w:val="00AB002F"/>
    <w:rsid w:val="00AB00B0"/>
    <w:rsid w:val="00AB01B0"/>
    <w:rsid w:val="00AB01EA"/>
    <w:rsid w:val="00AB02EF"/>
    <w:rsid w:val="00AB0346"/>
    <w:rsid w:val="00AB03D7"/>
    <w:rsid w:val="00AB047E"/>
    <w:rsid w:val="00AB0557"/>
    <w:rsid w:val="00AB0594"/>
    <w:rsid w:val="00AB080A"/>
    <w:rsid w:val="00AB091B"/>
    <w:rsid w:val="00AB097F"/>
    <w:rsid w:val="00AB09C3"/>
    <w:rsid w:val="00AB0A8A"/>
    <w:rsid w:val="00AB0B0F"/>
    <w:rsid w:val="00AB0B5E"/>
    <w:rsid w:val="00AB0DB0"/>
    <w:rsid w:val="00AB0F66"/>
    <w:rsid w:val="00AB0F69"/>
    <w:rsid w:val="00AB0FDE"/>
    <w:rsid w:val="00AB10E0"/>
    <w:rsid w:val="00AB11CE"/>
    <w:rsid w:val="00AB1408"/>
    <w:rsid w:val="00AB1693"/>
    <w:rsid w:val="00AB18C1"/>
    <w:rsid w:val="00AB1A51"/>
    <w:rsid w:val="00AB1AA0"/>
    <w:rsid w:val="00AB1C83"/>
    <w:rsid w:val="00AB1C8A"/>
    <w:rsid w:val="00AB1D8D"/>
    <w:rsid w:val="00AB1DA1"/>
    <w:rsid w:val="00AB1E6B"/>
    <w:rsid w:val="00AB1E90"/>
    <w:rsid w:val="00AB1FC0"/>
    <w:rsid w:val="00AB1FC6"/>
    <w:rsid w:val="00AB1FD0"/>
    <w:rsid w:val="00AB2088"/>
    <w:rsid w:val="00AB20A5"/>
    <w:rsid w:val="00AB2247"/>
    <w:rsid w:val="00AB23A1"/>
    <w:rsid w:val="00AB2429"/>
    <w:rsid w:val="00AB2476"/>
    <w:rsid w:val="00AB25F1"/>
    <w:rsid w:val="00AB2640"/>
    <w:rsid w:val="00AB26A9"/>
    <w:rsid w:val="00AB2805"/>
    <w:rsid w:val="00AB2AE2"/>
    <w:rsid w:val="00AB2C5A"/>
    <w:rsid w:val="00AB2E57"/>
    <w:rsid w:val="00AB30A2"/>
    <w:rsid w:val="00AB3197"/>
    <w:rsid w:val="00AB349A"/>
    <w:rsid w:val="00AB34F1"/>
    <w:rsid w:val="00AB3558"/>
    <w:rsid w:val="00AB3A03"/>
    <w:rsid w:val="00AB3A45"/>
    <w:rsid w:val="00AB3C44"/>
    <w:rsid w:val="00AB3D02"/>
    <w:rsid w:val="00AB3DAB"/>
    <w:rsid w:val="00AB4191"/>
    <w:rsid w:val="00AB42A4"/>
    <w:rsid w:val="00AB42A9"/>
    <w:rsid w:val="00AB4301"/>
    <w:rsid w:val="00AB4347"/>
    <w:rsid w:val="00AB4563"/>
    <w:rsid w:val="00AB48CF"/>
    <w:rsid w:val="00AB4966"/>
    <w:rsid w:val="00AB4B1E"/>
    <w:rsid w:val="00AB4BF2"/>
    <w:rsid w:val="00AB4C54"/>
    <w:rsid w:val="00AB4E53"/>
    <w:rsid w:val="00AB4EDC"/>
    <w:rsid w:val="00AB4FB1"/>
    <w:rsid w:val="00AB5046"/>
    <w:rsid w:val="00AB513C"/>
    <w:rsid w:val="00AB52A4"/>
    <w:rsid w:val="00AB53BB"/>
    <w:rsid w:val="00AB54CA"/>
    <w:rsid w:val="00AB555F"/>
    <w:rsid w:val="00AB595D"/>
    <w:rsid w:val="00AB5B2D"/>
    <w:rsid w:val="00AB5B8E"/>
    <w:rsid w:val="00AB5CF5"/>
    <w:rsid w:val="00AB5EE5"/>
    <w:rsid w:val="00AB5EF2"/>
    <w:rsid w:val="00AB5F93"/>
    <w:rsid w:val="00AB5FE2"/>
    <w:rsid w:val="00AB617E"/>
    <w:rsid w:val="00AB624C"/>
    <w:rsid w:val="00AB62B4"/>
    <w:rsid w:val="00AB62DF"/>
    <w:rsid w:val="00AB63EB"/>
    <w:rsid w:val="00AB6437"/>
    <w:rsid w:val="00AB66F0"/>
    <w:rsid w:val="00AB67E4"/>
    <w:rsid w:val="00AB68D2"/>
    <w:rsid w:val="00AB68D5"/>
    <w:rsid w:val="00AB69AB"/>
    <w:rsid w:val="00AB69AD"/>
    <w:rsid w:val="00AB6A7E"/>
    <w:rsid w:val="00AB6AA7"/>
    <w:rsid w:val="00AB7006"/>
    <w:rsid w:val="00AB7019"/>
    <w:rsid w:val="00AB705E"/>
    <w:rsid w:val="00AB7138"/>
    <w:rsid w:val="00AB7226"/>
    <w:rsid w:val="00AB72D5"/>
    <w:rsid w:val="00AB7406"/>
    <w:rsid w:val="00AB74F6"/>
    <w:rsid w:val="00AB7578"/>
    <w:rsid w:val="00AB75EB"/>
    <w:rsid w:val="00AB767C"/>
    <w:rsid w:val="00AB771F"/>
    <w:rsid w:val="00AB78B2"/>
    <w:rsid w:val="00AB795C"/>
    <w:rsid w:val="00AB7C01"/>
    <w:rsid w:val="00AB7D5F"/>
    <w:rsid w:val="00AB7DA2"/>
    <w:rsid w:val="00AB7E02"/>
    <w:rsid w:val="00AB7E26"/>
    <w:rsid w:val="00AB7F87"/>
    <w:rsid w:val="00AC0141"/>
    <w:rsid w:val="00AC017A"/>
    <w:rsid w:val="00AC01F1"/>
    <w:rsid w:val="00AC0206"/>
    <w:rsid w:val="00AC023F"/>
    <w:rsid w:val="00AC0348"/>
    <w:rsid w:val="00AC0506"/>
    <w:rsid w:val="00AC056A"/>
    <w:rsid w:val="00AC084A"/>
    <w:rsid w:val="00AC0898"/>
    <w:rsid w:val="00AC08C5"/>
    <w:rsid w:val="00AC0910"/>
    <w:rsid w:val="00AC0A08"/>
    <w:rsid w:val="00AC0C97"/>
    <w:rsid w:val="00AC0D3C"/>
    <w:rsid w:val="00AC0D83"/>
    <w:rsid w:val="00AC0EE3"/>
    <w:rsid w:val="00AC0FDF"/>
    <w:rsid w:val="00AC11CF"/>
    <w:rsid w:val="00AC132F"/>
    <w:rsid w:val="00AC134F"/>
    <w:rsid w:val="00AC13FF"/>
    <w:rsid w:val="00AC144A"/>
    <w:rsid w:val="00AC14B2"/>
    <w:rsid w:val="00AC1543"/>
    <w:rsid w:val="00AC1628"/>
    <w:rsid w:val="00AC1649"/>
    <w:rsid w:val="00AC176E"/>
    <w:rsid w:val="00AC1782"/>
    <w:rsid w:val="00AC1ACA"/>
    <w:rsid w:val="00AC1AD2"/>
    <w:rsid w:val="00AC1CCC"/>
    <w:rsid w:val="00AC1D0A"/>
    <w:rsid w:val="00AC1F59"/>
    <w:rsid w:val="00AC2000"/>
    <w:rsid w:val="00AC24B7"/>
    <w:rsid w:val="00AC2587"/>
    <w:rsid w:val="00AC267C"/>
    <w:rsid w:val="00AC2978"/>
    <w:rsid w:val="00AC2A04"/>
    <w:rsid w:val="00AC2A51"/>
    <w:rsid w:val="00AC2AD4"/>
    <w:rsid w:val="00AC2BBC"/>
    <w:rsid w:val="00AC2CC6"/>
    <w:rsid w:val="00AC2D8D"/>
    <w:rsid w:val="00AC2ED2"/>
    <w:rsid w:val="00AC2EE1"/>
    <w:rsid w:val="00AC2F0E"/>
    <w:rsid w:val="00AC2F4E"/>
    <w:rsid w:val="00AC306C"/>
    <w:rsid w:val="00AC30ED"/>
    <w:rsid w:val="00AC3188"/>
    <w:rsid w:val="00AC3351"/>
    <w:rsid w:val="00AC3359"/>
    <w:rsid w:val="00AC3393"/>
    <w:rsid w:val="00AC3397"/>
    <w:rsid w:val="00AC357F"/>
    <w:rsid w:val="00AC36FA"/>
    <w:rsid w:val="00AC3776"/>
    <w:rsid w:val="00AC38A0"/>
    <w:rsid w:val="00AC38AB"/>
    <w:rsid w:val="00AC3A07"/>
    <w:rsid w:val="00AC3BF0"/>
    <w:rsid w:val="00AC3C53"/>
    <w:rsid w:val="00AC3C8F"/>
    <w:rsid w:val="00AC3C93"/>
    <w:rsid w:val="00AC3D6B"/>
    <w:rsid w:val="00AC3F29"/>
    <w:rsid w:val="00AC3F8C"/>
    <w:rsid w:val="00AC4018"/>
    <w:rsid w:val="00AC4106"/>
    <w:rsid w:val="00AC42B3"/>
    <w:rsid w:val="00AC46B0"/>
    <w:rsid w:val="00AC46C0"/>
    <w:rsid w:val="00AC471F"/>
    <w:rsid w:val="00AC4759"/>
    <w:rsid w:val="00AC48EC"/>
    <w:rsid w:val="00AC4A2A"/>
    <w:rsid w:val="00AC4AC2"/>
    <w:rsid w:val="00AC4AD3"/>
    <w:rsid w:val="00AC4AE4"/>
    <w:rsid w:val="00AC4B52"/>
    <w:rsid w:val="00AC4C93"/>
    <w:rsid w:val="00AC4D7C"/>
    <w:rsid w:val="00AC4DD6"/>
    <w:rsid w:val="00AC4F14"/>
    <w:rsid w:val="00AC5131"/>
    <w:rsid w:val="00AC522B"/>
    <w:rsid w:val="00AC5230"/>
    <w:rsid w:val="00AC52B2"/>
    <w:rsid w:val="00AC54E4"/>
    <w:rsid w:val="00AC560A"/>
    <w:rsid w:val="00AC583B"/>
    <w:rsid w:val="00AC584E"/>
    <w:rsid w:val="00AC58F9"/>
    <w:rsid w:val="00AC5912"/>
    <w:rsid w:val="00AC5A6F"/>
    <w:rsid w:val="00AC5A88"/>
    <w:rsid w:val="00AC5B49"/>
    <w:rsid w:val="00AC5D57"/>
    <w:rsid w:val="00AC5DF2"/>
    <w:rsid w:val="00AC5E8E"/>
    <w:rsid w:val="00AC5F6F"/>
    <w:rsid w:val="00AC5F7B"/>
    <w:rsid w:val="00AC607C"/>
    <w:rsid w:val="00AC629D"/>
    <w:rsid w:val="00AC641A"/>
    <w:rsid w:val="00AC655D"/>
    <w:rsid w:val="00AC6637"/>
    <w:rsid w:val="00AC6639"/>
    <w:rsid w:val="00AC6642"/>
    <w:rsid w:val="00AC6775"/>
    <w:rsid w:val="00AC6818"/>
    <w:rsid w:val="00AC694D"/>
    <w:rsid w:val="00AC6AA4"/>
    <w:rsid w:val="00AC6C38"/>
    <w:rsid w:val="00AC6D64"/>
    <w:rsid w:val="00AC6E0F"/>
    <w:rsid w:val="00AC6E4C"/>
    <w:rsid w:val="00AC6FB8"/>
    <w:rsid w:val="00AC700C"/>
    <w:rsid w:val="00AC70A5"/>
    <w:rsid w:val="00AC7153"/>
    <w:rsid w:val="00AC7248"/>
    <w:rsid w:val="00AC736E"/>
    <w:rsid w:val="00AC7459"/>
    <w:rsid w:val="00AC75B8"/>
    <w:rsid w:val="00AC75D8"/>
    <w:rsid w:val="00AC7702"/>
    <w:rsid w:val="00AC777B"/>
    <w:rsid w:val="00AC7942"/>
    <w:rsid w:val="00AC7981"/>
    <w:rsid w:val="00AC7B33"/>
    <w:rsid w:val="00AC7B7A"/>
    <w:rsid w:val="00AC7C11"/>
    <w:rsid w:val="00AC7CDA"/>
    <w:rsid w:val="00AC7D1A"/>
    <w:rsid w:val="00AC7D6F"/>
    <w:rsid w:val="00AC7DD0"/>
    <w:rsid w:val="00AC7E53"/>
    <w:rsid w:val="00AC7F27"/>
    <w:rsid w:val="00ACD760"/>
    <w:rsid w:val="00AD005B"/>
    <w:rsid w:val="00AD01BE"/>
    <w:rsid w:val="00AD01D6"/>
    <w:rsid w:val="00AD025A"/>
    <w:rsid w:val="00AD0280"/>
    <w:rsid w:val="00AD031C"/>
    <w:rsid w:val="00AD034F"/>
    <w:rsid w:val="00AD0393"/>
    <w:rsid w:val="00AD03B6"/>
    <w:rsid w:val="00AD040C"/>
    <w:rsid w:val="00AD05D3"/>
    <w:rsid w:val="00AD0710"/>
    <w:rsid w:val="00AD092D"/>
    <w:rsid w:val="00AD0974"/>
    <w:rsid w:val="00AD0AF7"/>
    <w:rsid w:val="00AD0B08"/>
    <w:rsid w:val="00AD0DE7"/>
    <w:rsid w:val="00AD0EA7"/>
    <w:rsid w:val="00AD0F92"/>
    <w:rsid w:val="00AD1054"/>
    <w:rsid w:val="00AD10D9"/>
    <w:rsid w:val="00AD11EE"/>
    <w:rsid w:val="00AD12A2"/>
    <w:rsid w:val="00AD1308"/>
    <w:rsid w:val="00AD13E9"/>
    <w:rsid w:val="00AD1461"/>
    <w:rsid w:val="00AD1495"/>
    <w:rsid w:val="00AD1534"/>
    <w:rsid w:val="00AD15D4"/>
    <w:rsid w:val="00AD172A"/>
    <w:rsid w:val="00AD1748"/>
    <w:rsid w:val="00AD1949"/>
    <w:rsid w:val="00AD198A"/>
    <w:rsid w:val="00AD1A4A"/>
    <w:rsid w:val="00AD1C29"/>
    <w:rsid w:val="00AD1D1A"/>
    <w:rsid w:val="00AD1D8D"/>
    <w:rsid w:val="00AD1E3A"/>
    <w:rsid w:val="00AD1EA1"/>
    <w:rsid w:val="00AD1EF8"/>
    <w:rsid w:val="00AD1F27"/>
    <w:rsid w:val="00AD1F87"/>
    <w:rsid w:val="00AD1FD9"/>
    <w:rsid w:val="00AD2000"/>
    <w:rsid w:val="00AD2036"/>
    <w:rsid w:val="00AD2096"/>
    <w:rsid w:val="00AD20AA"/>
    <w:rsid w:val="00AD20FA"/>
    <w:rsid w:val="00AD2108"/>
    <w:rsid w:val="00AD236F"/>
    <w:rsid w:val="00AD2438"/>
    <w:rsid w:val="00AD2511"/>
    <w:rsid w:val="00AD2665"/>
    <w:rsid w:val="00AD27EF"/>
    <w:rsid w:val="00AD2948"/>
    <w:rsid w:val="00AD2AF3"/>
    <w:rsid w:val="00AD2B17"/>
    <w:rsid w:val="00AD2BD2"/>
    <w:rsid w:val="00AD2C2F"/>
    <w:rsid w:val="00AD2D2A"/>
    <w:rsid w:val="00AD2E56"/>
    <w:rsid w:val="00AD2F19"/>
    <w:rsid w:val="00AD2F6A"/>
    <w:rsid w:val="00AD2FB5"/>
    <w:rsid w:val="00AD3128"/>
    <w:rsid w:val="00AD31C1"/>
    <w:rsid w:val="00AD3211"/>
    <w:rsid w:val="00AD3366"/>
    <w:rsid w:val="00AD33DC"/>
    <w:rsid w:val="00AD33F4"/>
    <w:rsid w:val="00AD36EE"/>
    <w:rsid w:val="00AD3728"/>
    <w:rsid w:val="00AD3769"/>
    <w:rsid w:val="00AD378A"/>
    <w:rsid w:val="00AD3816"/>
    <w:rsid w:val="00AD3853"/>
    <w:rsid w:val="00AD390E"/>
    <w:rsid w:val="00AD392F"/>
    <w:rsid w:val="00AD3975"/>
    <w:rsid w:val="00AD3A9F"/>
    <w:rsid w:val="00AD3BD3"/>
    <w:rsid w:val="00AD3BD9"/>
    <w:rsid w:val="00AD3BED"/>
    <w:rsid w:val="00AD3F84"/>
    <w:rsid w:val="00AD415D"/>
    <w:rsid w:val="00AD43C4"/>
    <w:rsid w:val="00AD43CC"/>
    <w:rsid w:val="00AD4492"/>
    <w:rsid w:val="00AD4518"/>
    <w:rsid w:val="00AD4557"/>
    <w:rsid w:val="00AD4679"/>
    <w:rsid w:val="00AD46D8"/>
    <w:rsid w:val="00AD46FE"/>
    <w:rsid w:val="00AD48A2"/>
    <w:rsid w:val="00AD4951"/>
    <w:rsid w:val="00AD4B1C"/>
    <w:rsid w:val="00AD4C90"/>
    <w:rsid w:val="00AD4CB5"/>
    <w:rsid w:val="00AD4CBF"/>
    <w:rsid w:val="00AD4ED8"/>
    <w:rsid w:val="00AD51B1"/>
    <w:rsid w:val="00AD527E"/>
    <w:rsid w:val="00AD54B5"/>
    <w:rsid w:val="00AD54B6"/>
    <w:rsid w:val="00AD5557"/>
    <w:rsid w:val="00AD559C"/>
    <w:rsid w:val="00AD57C0"/>
    <w:rsid w:val="00AD58A6"/>
    <w:rsid w:val="00AD5C99"/>
    <w:rsid w:val="00AD5CDD"/>
    <w:rsid w:val="00AD5DAB"/>
    <w:rsid w:val="00AD5ED0"/>
    <w:rsid w:val="00AD607A"/>
    <w:rsid w:val="00AD6276"/>
    <w:rsid w:val="00AD63A3"/>
    <w:rsid w:val="00AD6516"/>
    <w:rsid w:val="00AD66EF"/>
    <w:rsid w:val="00AD6910"/>
    <w:rsid w:val="00AD6A65"/>
    <w:rsid w:val="00AD6B78"/>
    <w:rsid w:val="00AD6D51"/>
    <w:rsid w:val="00AD715A"/>
    <w:rsid w:val="00AD748E"/>
    <w:rsid w:val="00AD754C"/>
    <w:rsid w:val="00AD75B0"/>
    <w:rsid w:val="00AD75DB"/>
    <w:rsid w:val="00AD77B5"/>
    <w:rsid w:val="00AD7830"/>
    <w:rsid w:val="00AD788D"/>
    <w:rsid w:val="00AD7967"/>
    <w:rsid w:val="00AD7C56"/>
    <w:rsid w:val="00AD7C67"/>
    <w:rsid w:val="00AD7CD6"/>
    <w:rsid w:val="00AD7EA8"/>
    <w:rsid w:val="00AD7F20"/>
    <w:rsid w:val="00AE00DE"/>
    <w:rsid w:val="00AE027A"/>
    <w:rsid w:val="00AE03BF"/>
    <w:rsid w:val="00AE03C5"/>
    <w:rsid w:val="00AE03E2"/>
    <w:rsid w:val="00AE0B98"/>
    <w:rsid w:val="00AE0BBE"/>
    <w:rsid w:val="00AE0D92"/>
    <w:rsid w:val="00AE0E0C"/>
    <w:rsid w:val="00AE0EA0"/>
    <w:rsid w:val="00AE0F19"/>
    <w:rsid w:val="00AE1067"/>
    <w:rsid w:val="00AE1187"/>
    <w:rsid w:val="00AE11BB"/>
    <w:rsid w:val="00AE14A0"/>
    <w:rsid w:val="00AE14DB"/>
    <w:rsid w:val="00AE15BA"/>
    <w:rsid w:val="00AE15CE"/>
    <w:rsid w:val="00AE16B2"/>
    <w:rsid w:val="00AE1835"/>
    <w:rsid w:val="00AE189C"/>
    <w:rsid w:val="00AE18CE"/>
    <w:rsid w:val="00AE195C"/>
    <w:rsid w:val="00AE1AAF"/>
    <w:rsid w:val="00AE1AC2"/>
    <w:rsid w:val="00AE1AE4"/>
    <w:rsid w:val="00AE1AF9"/>
    <w:rsid w:val="00AE1C30"/>
    <w:rsid w:val="00AE1D66"/>
    <w:rsid w:val="00AE1D8A"/>
    <w:rsid w:val="00AE1FE7"/>
    <w:rsid w:val="00AE2008"/>
    <w:rsid w:val="00AE20BD"/>
    <w:rsid w:val="00AE23AF"/>
    <w:rsid w:val="00AE23DF"/>
    <w:rsid w:val="00AE259A"/>
    <w:rsid w:val="00AE25F3"/>
    <w:rsid w:val="00AE2645"/>
    <w:rsid w:val="00AE27BA"/>
    <w:rsid w:val="00AE27F6"/>
    <w:rsid w:val="00AE2950"/>
    <w:rsid w:val="00AE2976"/>
    <w:rsid w:val="00AE2A8E"/>
    <w:rsid w:val="00AE2ACB"/>
    <w:rsid w:val="00AE2BB5"/>
    <w:rsid w:val="00AE2CE0"/>
    <w:rsid w:val="00AE2CE8"/>
    <w:rsid w:val="00AE2F1E"/>
    <w:rsid w:val="00AE3171"/>
    <w:rsid w:val="00AE31B3"/>
    <w:rsid w:val="00AE3327"/>
    <w:rsid w:val="00AE33CF"/>
    <w:rsid w:val="00AE33E3"/>
    <w:rsid w:val="00AE344C"/>
    <w:rsid w:val="00AE34D3"/>
    <w:rsid w:val="00AE35D7"/>
    <w:rsid w:val="00AE3948"/>
    <w:rsid w:val="00AE3A27"/>
    <w:rsid w:val="00AE3BBA"/>
    <w:rsid w:val="00AE3BE0"/>
    <w:rsid w:val="00AE3C0D"/>
    <w:rsid w:val="00AE3F39"/>
    <w:rsid w:val="00AE3F9C"/>
    <w:rsid w:val="00AE4007"/>
    <w:rsid w:val="00AE4074"/>
    <w:rsid w:val="00AE424D"/>
    <w:rsid w:val="00AE44A5"/>
    <w:rsid w:val="00AE44E6"/>
    <w:rsid w:val="00AE4600"/>
    <w:rsid w:val="00AE4620"/>
    <w:rsid w:val="00AE46F8"/>
    <w:rsid w:val="00AE4A42"/>
    <w:rsid w:val="00AE4BD5"/>
    <w:rsid w:val="00AE4C96"/>
    <w:rsid w:val="00AE4F2E"/>
    <w:rsid w:val="00AE4FEC"/>
    <w:rsid w:val="00AE5291"/>
    <w:rsid w:val="00AE5326"/>
    <w:rsid w:val="00AE556D"/>
    <w:rsid w:val="00AE55CF"/>
    <w:rsid w:val="00AE55E5"/>
    <w:rsid w:val="00AE568D"/>
    <w:rsid w:val="00AE582F"/>
    <w:rsid w:val="00AE589D"/>
    <w:rsid w:val="00AE5989"/>
    <w:rsid w:val="00AE5AF9"/>
    <w:rsid w:val="00AE5BEF"/>
    <w:rsid w:val="00AE5D2D"/>
    <w:rsid w:val="00AE5D8E"/>
    <w:rsid w:val="00AE5F65"/>
    <w:rsid w:val="00AE5FD6"/>
    <w:rsid w:val="00AE61DE"/>
    <w:rsid w:val="00AE62AC"/>
    <w:rsid w:val="00AE64CE"/>
    <w:rsid w:val="00AE66A0"/>
    <w:rsid w:val="00AE677F"/>
    <w:rsid w:val="00AE6801"/>
    <w:rsid w:val="00AE6833"/>
    <w:rsid w:val="00AE685B"/>
    <w:rsid w:val="00AE68B0"/>
    <w:rsid w:val="00AE6A91"/>
    <w:rsid w:val="00AE6AD9"/>
    <w:rsid w:val="00AE6AE3"/>
    <w:rsid w:val="00AE6B5D"/>
    <w:rsid w:val="00AE6C1E"/>
    <w:rsid w:val="00AE6CD6"/>
    <w:rsid w:val="00AE6E55"/>
    <w:rsid w:val="00AE6EE9"/>
    <w:rsid w:val="00AE7094"/>
    <w:rsid w:val="00AE714B"/>
    <w:rsid w:val="00AE74C4"/>
    <w:rsid w:val="00AE75A5"/>
    <w:rsid w:val="00AE7619"/>
    <w:rsid w:val="00AE7683"/>
    <w:rsid w:val="00AE7865"/>
    <w:rsid w:val="00AE796B"/>
    <w:rsid w:val="00AE79E1"/>
    <w:rsid w:val="00AE7AEC"/>
    <w:rsid w:val="00AE7C1E"/>
    <w:rsid w:val="00AE7CF7"/>
    <w:rsid w:val="00AE7D31"/>
    <w:rsid w:val="00AE7D41"/>
    <w:rsid w:val="00AE7DDE"/>
    <w:rsid w:val="00AE7F20"/>
    <w:rsid w:val="00AF0327"/>
    <w:rsid w:val="00AF039D"/>
    <w:rsid w:val="00AF03D0"/>
    <w:rsid w:val="00AF07BD"/>
    <w:rsid w:val="00AF0C6A"/>
    <w:rsid w:val="00AF0C96"/>
    <w:rsid w:val="00AF0CBB"/>
    <w:rsid w:val="00AF0D41"/>
    <w:rsid w:val="00AF0DCA"/>
    <w:rsid w:val="00AF0DD7"/>
    <w:rsid w:val="00AF0E36"/>
    <w:rsid w:val="00AF0E66"/>
    <w:rsid w:val="00AF0EB9"/>
    <w:rsid w:val="00AF0F3C"/>
    <w:rsid w:val="00AF0F81"/>
    <w:rsid w:val="00AF10FB"/>
    <w:rsid w:val="00AF127E"/>
    <w:rsid w:val="00AF1389"/>
    <w:rsid w:val="00AF13AD"/>
    <w:rsid w:val="00AF13D5"/>
    <w:rsid w:val="00AF1467"/>
    <w:rsid w:val="00AF1657"/>
    <w:rsid w:val="00AF178B"/>
    <w:rsid w:val="00AF17A6"/>
    <w:rsid w:val="00AF1882"/>
    <w:rsid w:val="00AF1B17"/>
    <w:rsid w:val="00AF1CFF"/>
    <w:rsid w:val="00AF1D3A"/>
    <w:rsid w:val="00AF1DA1"/>
    <w:rsid w:val="00AF1EE7"/>
    <w:rsid w:val="00AF203E"/>
    <w:rsid w:val="00AF20EB"/>
    <w:rsid w:val="00AF2126"/>
    <w:rsid w:val="00AF2222"/>
    <w:rsid w:val="00AF2306"/>
    <w:rsid w:val="00AF23D9"/>
    <w:rsid w:val="00AF2425"/>
    <w:rsid w:val="00AF274E"/>
    <w:rsid w:val="00AF27B0"/>
    <w:rsid w:val="00AF289C"/>
    <w:rsid w:val="00AF2A92"/>
    <w:rsid w:val="00AF2BF1"/>
    <w:rsid w:val="00AF2C34"/>
    <w:rsid w:val="00AF2E7C"/>
    <w:rsid w:val="00AF2F76"/>
    <w:rsid w:val="00AF32B0"/>
    <w:rsid w:val="00AF33B6"/>
    <w:rsid w:val="00AF3498"/>
    <w:rsid w:val="00AF35A5"/>
    <w:rsid w:val="00AF3938"/>
    <w:rsid w:val="00AF3BE8"/>
    <w:rsid w:val="00AF3BE9"/>
    <w:rsid w:val="00AF3CE4"/>
    <w:rsid w:val="00AF3D4C"/>
    <w:rsid w:val="00AF3DAC"/>
    <w:rsid w:val="00AF3DDF"/>
    <w:rsid w:val="00AF3E83"/>
    <w:rsid w:val="00AF4013"/>
    <w:rsid w:val="00AF40C7"/>
    <w:rsid w:val="00AF43F2"/>
    <w:rsid w:val="00AF4413"/>
    <w:rsid w:val="00AF450B"/>
    <w:rsid w:val="00AF455A"/>
    <w:rsid w:val="00AF476B"/>
    <w:rsid w:val="00AF47DA"/>
    <w:rsid w:val="00AF47EF"/>
    <w:rsid w:val="00AF48AC"/>
    <w:rsid w:val="00AF48EA"/>
    <w:rsid w:val="00AF49E6"/>
    <w:rsid w:val="00AF4A48"/>
    <w:rsid w:val="00AF4B17"/>
    <w:rsid w:val="00AF4C66"/>
    <w:rsid w:val="00AF4D28"/>
    <w:rsid w:val="00AF4D2A"/>
    <w:rsid w:val="00AF4DD9"/>
    <w:rsid w:val="00AF4E2C"/>
    <w:rsid w:val="00AF4EB0"/>
    <w:rsid w:val="00AF506F"/>
    <w:rsid w:val="00AF50C0"/>
    <w:rsid w:val="00AF5187"/>
    <w:rsid w:val="00AF5229"/>
    <w:rsid w:val="00AF5901"/>
    <w:rsid w:val="00AF5A0A"/>
    <w:rsid w:val="00AF5A58"/>
    <w:rsid w:val="00AF5AB5"/>
    <w:rsid w:val="00AF5E78"/>
    <w:rsid w:val="00AF5F51"/>
    <w:rsid w:val="00AF6151"/>
    <w:rsid w:val="00AF62EF"/>
    <w:rsid w:val="00AF62F4"/>
    <w:rsid w:val="00AF6578"/>
    <w:rsid w:val="00AF661B"/>
    <w:rsid w:val="00AF6784"/>
    <w:rsid w:val="00AF68E5"/>
    <w:rsid w:val="00AF68EF"/>
    <w:rsid w:val="00AF694E"/>
    <w:rsid w:val="00AF6AD5"/>
    <w:rsid w:val="00AF6BB5"/>
    <w:rsid w:val="00AF6C03"/>
    <w:rsid w:val="00AF6CBC"/>
    <w:rsid w:val="00AF6EEF"/>
    <w:rsid w:val="00AF6F4B"/>
    <w:rsid w:val="00AF706B"/>
    <w:rsid w:val="00AF7071"/>
    <w:rsid w:val="00AF71D0"/>
    <w:rsid w:val="00AF7200"/>
    <w:rsid w:val="00AF7534"/>
    <w:rsid w:val="00AF7749"/>
    <w:rsid w:val="00AF78BE"/>
    <w:rsid w:val="00AF79A7"/>
    <w:rsid w:val="00AF7C27"/>
    <w:rsid w:val="00AF7C77"/>
    <w:rsid w:val="00AF7CAA"/>
    <w:rsid w:val="00AF7CFD"/>
    <w:rsid w:val="00AF7E40"/>
    <w:rsid w:val="00B00039"/>
    <w:rsid w:val="00B0021B"/>
    <w:rsid w:val="00B00297"/>
    <w:rsid w:val="00B003A3"/>
    <w:rsid w:val="00B003F2"/>
    <w:rsid w:val="00B0050C"/>
    <w:rsid w:val="00B00634"/>
    <w:rsid w:val="00B0066E"/>
    <w:rsid w:val="00B006CB"/>
    <w:rsid w:val="00B0074C"/>
    <w:rsid w:val="00B0079A"/>
    <w:rsid w:val="00B008FB"/>
    <w:rsid w:val="00B00964"/>
    <w:rsid w:val="00B009D1"/>
    <w:rsid w:val="00B00A25"/>
    <w:rsid w:val="00B00CBE"/>
    <w:rsid w:val="00B00D31"/>
    <w:rsid w:val="00B00D72"/>
    <w:rsid w:val="00B00E38"/>
    <w:rsid w:val="00B00EEC"/>
    <w:rsid w:val="00B00EED"/>
    <w:rsid w:val="00B00F16"/>
    <w:rsid w:val="00B00F2C"/>
    <w:rsid w:val="00B00F45"/>
    <w:rsid w:val="00B01079"/>
    <w:rsid w:val="00B01263"/>
    <w:rsid w:val="00B012F9"/>
    <w:rsid w:val="00B013C3"/>
    <w:rsid w:val="00B01598"/>
    <w:rsid w:val="00B01697"/>
    <w:rsid w:val="00B017DC"/>
    <w:rsid w:val="00B01BD5"/>
    <w:rsid w:val="00B01CAB"/>
    <w:rsid w:val="00B01D21"/>
    <w:rsid w:val="00B01D94"/>
    <w:rsid w:val="00B01E72"/>
    <w:rsid w:val="00B01E95"/>
    <w:rsid w:val="00B01F1A"/>
    <w:rsid w:val="00B020AF"/>
    <w:rsid w:val="00B021B4"/>
    <w:rsid w:val="00B02225"/>
    <w:rsid w:val="00B0230C"/>
    <w:rsid w:val="00B0233B"/>
    <w:rsid w:val="00B0235F"/>
    <w:rsid w:val="00B02374"/>
    <w:rsid w:val="00B0237E"/>
    <w:rsid w:val="00B02539"/>
    <w:rsid w:val="00B025B2"/>
    <w:rsid w:val="00B0275C"/>
    <w:rsid w:val="00B02760"/>
    <w:rsid w:val="00B0289B"/>
    <w:rsid w:val="00B0298D"/>
    <w:rsid w:val="00B02B21"/>
    <w:rsid w:val="00B02B23"/>
    <w:rsid w:val="00B02B88"/>
    <w:rsid w:val="00B02C2E"/>
    <w:rsid w:val="00B02C49"/>
    <w:rsid w:val="00B02C58"/>
    <w:rsid w:val="00B02C8B"/>
    <w:rsid w:val="00B02E4C"/>
    <w:rsid w:val="00B02E55"/>
    <w:rsid w:val="00B02EAB"/>
    <w:rsid w:val="00B02FFF"/>
    <w:rsid w:val="00B03031"/>
    <w:rsid w:val="00B03310"/>
    <w:rsid w:val="00B03781"/>
    <w:rsid w:val="00B037F7"/>
    <w:rsid w:val="00B0390A"/>
    <w:rsid w:val="00B03963"/>
    <w:rsid w:val="00B03A0C"/>
    <w:rsid w:val="00B03A3B"/>
    <w:rsid w:val="00B03A7D"/>
    <w:rsid w:val="00B03A81"/>
    <w:rsid w:val="00B03B30"/>
    <w:rsid w:val="00B03BEA"/>
    <w:rsid w:val="00B03CC7"/>
    <w:rsid w:val="00B03E67"/>
    <w:rsid w:val="00B03FDE"/>
    <w:rsid w:val="00B0404B"/>
    <w:rsid w:val="00B04183"/>
    <w:rsid w:val="00B044B2"/>
    <w:rsid w:val="00B04573"/>
    <w:rsid w:val="00B04733"/>
    <w:rsid w:val="00B047B3"/>
    <w:rsid w:val="00B0480B"/>
    <w:rsid w:val="00B04989"/>
    <w:rsid w:val="00B049ED"/>
    <w:rsid w:val="00B04B0F"/>
    <w:rsid w:val="00B04C10"/>
    <w:rsid w:val="00B04C73"/>
    <w:rsid w:val="00B04D2F"/>
    <w:rsid w:val="00B04D89"/>
    <w:rsid w:val="00B050E4"/>
    <w:rsid w:val="00B051C4"/>
    <w:rsid w:val="00B052FB"/>
    <w:rsid w:val="00B05343"/>
    <w:rsid w:val="00B053AF"/>
    <w:rsid w:val="00B05438"/>
    <w:rsid w:val="00B054E5"/>
    <w:rsid w:val="00B055C1"/>
    <w:rsid w:val="00B05669"/>
    <w:rsid w:val="00B0567D"/>
    <w:rsid w:val="00B05933"/>
    <w:rsid w:val="00B05999"/>
    <w:rsid w:val="00B05C03"/>
    <w:rsid w:val="00B05C1D"/>
    <w:rsid w:val="00B05D38"/>
    <w:rsid w:val="00B05D3E"/>
    <w:rsid w:val="00B05E13"/>
    <w:rsid w:val="00B05E15"/>
    <w:rsid w:val="00B06166"/>
    <w:rsid w:val="00B062DE"/>
    <w:rsid w:val="00B063E3"/>
    <w:rsid w:val="00B0646A"/>
    <w:rsid w:val="00B066CF"/>
    <w:rsid w:val="00B067C9"/>
    <w:rsid w:val="00B06837"/>
    <w:rsid w:val="00B06A6A"/>
    <w:rsid w:val="00B06EDD"/>
    <w:rsid w:val="00B070A0"/>
    <w:rsid w:val="00B07128"/>
    <w:rsid w:val="00B07148"/>
    <w:rsid w:val="00B0730B"/>
    <w:rsid w:val="00B07377"/>
    <w:rsid w:val="00B07CB6"/>
    <w:rsid w:val="00B07EB2"/>
    <w:rsid w:val="00B07F41"/>
    <w:rsid w:val="00B10026"/>
    <w:rsid w:val="00B10098"/>
    <w:rsid w:val="00B10103"/>
    <w:rsid w:val="00B10207"/>
    <w:rsid w:val="00B10396"/>
    <w:rsid w:val="00B103DD"/>
    <w:rsid w:val="00B104A6"/>
    <w:rsid w:val="00B105E5"/>
    <w:rsid w:val="00B10635"/>
    <w:rsid w:val="00B1064C"/>
    <w:rsid w:val="00B10AFD"/>
    <w:rsid w:val="00B10B7C"/>
    <w:rsid w:val="00B10DB9"/>
    <w:rsid w:val="00B11097"/>
    <w:rsid w:val="00B1117E"/>
    <w:rsid w:val="00B112A8"/>
    <w:rsid w:val="00B1144B"/>
    <w:rsid w:val="00B114AC"/>
    <w:rsid w:val="00B116EA"/>
    <w:rsid w:val="00B116FD"/>
    <w:rsid w:val="00B1177E"/>
    <w:rsid w:val="00B11896"/>
    <w:rsid w:val="00B118A1"/>
    <w:rsid w:val="00B11C07"/>
    <w:rsid w:val="00B11C12"/>
    <w:rsid w:val="00B11CB2"/>
    <w:rsid w:val="00B11D4E"/>
    <w:rsid w:val="00B11D6C"/>
    <w:rsid w:val="00B11E2C"/>
    <w:rsid w:val="00B11FA5"/>
    <w:rsid w:val="00B12040"/>
    <w:rsid w:val="00B12044"/>
    <w:rsid w:val="00B12066"/>
    <w:rsid w:val="00B1215E"/>
    <w:rsid w:val="00B121F8"/>
    <w:rsid w:val="00B12312"/>
    <w:rsid w:val="00B123CE"/>
    <w:rsid w:val="00B12463"/>
    <w:rsid w:val="00B12509"/>
    <w:rsid w:val="00B1250D"/>
    <w:rsid w:val="00B12A7B"/>
    <w:rsid w:val="00B12D39"/>
    <w:rsid w:val="00B13043"/>
    <w:rsid w:val="00B13173"/>
    <w:rsid w:val="00B1322F"/>
    <w:rsid w:val="00B1339B"/>
    <w:rsid w:val="00B134F2"/>
    <w:rsid w:val="00B137D0"/>
    <w:rsid w:val="00B137D7"/>
    <w:rsid w:val="00B139C8"/>
    <w:rsid w:val="00B13A8F"/>
    <w:rsid w:val="00B13CA9"/>
    <w:rsid w:val="00B1401C"/>
    <w:rsid w:val="00B1405C"/>
    <w:rsid w:val="00B1444E"/>
    <w:rsid w:val="00B1447D"/>
    <w:rsid w:val="00B1458D"/>
    <w:rsid w:val="00B145CD"/>
    <w:rsid w:val="00B14790"/>
    <w:rsid w:val="00B14833"/>
    <w:rsid w:val="00B14A15"/>
    <w:rsid w:val="00B14A93"/>
    <w:rsid w:val="00B14AD0"/>
    <w:rsid w:val="00B14C66"/>
    <w:rsid w:val="00B14D40"/>
    <w:rsid w:val="00B14F7E"/>
    <w:rsid w:val="00B15229"/>
    <w:rsid w:val="00B1523E"/>
    <w:rsid w:val="00B152AA"/>
    <w:rsid w:val="00B152E9"/>
    <w:rsid w:val="00B153B3"/>
    <w:rsid w:val="00B154B4"/>
    <w:rsid w:val="00B15595"/>
    <w:rsid w:val="00B1559E"/>
    <w:rsid w:val="00B15626"/>
    <w:rsid w:val="00B15642"/>
    <w:rsid w:val="00B15651"/>
    <w:rsid w:val="00B15795"/>
    <w:rsid w:val="00B158E4"/>
    <w:rsid w:val="00B159B6"/>
    <w:rsid w:val="00B15AF9"/>
    <w:rsid w:val="00B15B71"/>
    <w:rsid w:val="00B15C60"/>
    <w:rsid w:val="00B15CFC"/>
    <w:rsid w:val="00B16054"/>
    <w:rsid w:val="00B160D0"/>
    <w:rsid w:val="00B16463"/>
    <w:rsid w:val="00B1692B"/>
    <w:rsid w:val="00B16985"/>
    <w:rsid w:val="00B16A59"/>
    <w:rsid w:val="00B16AF5"/>
    <w:rsid w:val="00B16CD3"/>
    <w:rsid w:val="00B16DA9"/>
    <w:rsid w:val="00B16E9D"/>
    <w:rsid w:val="00B16F60"/>
    <w:rsid w:val="00B171B5"/>
    <w:rsid w:val="00B17334"/>
    <w:rsid w:val="00B17366"/>
    <w:rsid w:val="00B173B1"/>
    <w:rsid w:val="00B174C5"/>
    <w:rsid w:val="00B176EB"/>
    <w:rsid w:val="00B17701"/>
    <w:rsid w:val="00B1772C"/>
    <w:rsid w:val="00B17815"/>
    <w:rsid w:val="00B1792A"/>
    <w:rsid w:val="00B17A71"/>
    <w:rsid w:val="00B17BA7"/>
    <w:rsid w:val="00B17DCA"/>
    <w:rsid w:val="00B17DD3"/>
    <w:rsid w:val="00B17E45"/>
    <w:rsid w:val="00B20064"/>
    <w:rsid w:val="00B200B4"/>
    <w:rsid w:val="00B20222"/>
    <w:rsid w:val="00B20261"/>
    <w:rsid w:val="00B20284"/>
    <w:rsid w:val="00B20373"/>
    <w:rsid w:val="00B20476"/>
    <w:rsid w:val="00B206FC"/>
    <w:rsid w:val="00B20996"/>
    <w:rsid w:val="00B20A08"/>
    <w:rsid w:val="00B20C63"/>
    <w:rsid w:val="00B20FDE"/>
    <w:rsid w:val="00B21112"/>
    <w:rsid w:val="00B2113B"/>
    <w:rsid w:val="00B21182"/>
    <w:rsid w:val="00B2118D"/>
    <w:rsid w:val="00B21429"/>
    <w:rsid w:val="00B2168E"/>
    <w:rsid w:val="00B216D2"/>
    <w:rsid w:val="00B2188B"/>
    <w:rsid w:val="00B218CE"/>
    <w:rsid w:val="00B21A3B"/>
    <w:rsid w:val="00B21AD7"/>
    <w:rsid w:val="00B21B64"/>
    <w:rsid w:val="00B21E02"/>
    <w:rsid w:val="00B21EDD"/>
    <w:rsid w:val="00B21EF7"/>
    <w:rsid w:val="00B2213F"/>
    <w:rsid w:val="00B221F6"/>
    <w:rsid w:val="00B22280"/>
    <w:rsid w:val="00B22283"/>
    <w:rsid w:val="00B222C7"/>
    <w:rsid w:val="00B223EB"/>
    <w:rsid w:val="00B2264B"/>
    <w:rsid w:val="00B228BB"/>
    <w:rsid w:val="00B22910"/>
    <w:rsid w:val="00B22B54"/>
    <w:rsid w:val="00B22B95"/>
    <w:rsid w:val="00B22BB8"/>
    <w:rsid w:val="00B22C34"/>
    <w:rsid w:val="00B22CDA"/>
    <w:rsid w:val="00B22E07"/>
    <w:rsid w:val="00B22F57"/>
    <w:rsid w:val="00B23022"/>
    <w:rsid w:val="00B230EE"/>
    <w:rsid w:val="00B230F7"/>
    <w:rsid w:val="00B232BF"/>
    <w:rsid w:val="00B233D2"/>
    <w:rsid w:val="00B2344C"/>
    <w:rsid w:val="00B23702"/>
    <w:rsid w:val="00B23853"/>
    <w:rsid w:val="00B238E9"/>
    <w:rsid w:val="00B23994"/>
    <w:rsid w:val="00B239AD"/>
    <w:rsid w:val="00B23CCE"/>
    <w:rsid w:val="00B23D94"/>
    <w:rsid w:val="00B23DC7"/>
    <w:rsid w:val="00B23E52"/>
    <w:rsid w:val="00B23F1B"/>
    <w:rsid w:val="00B2410D"/>
    <w:rsid w:val="00B241C6"/>
    <w:rsid w:val="00B24249"/>
    <w:rsid w:val="00B242A0"/>
    <w:rsid w:val="00B24314"/>
    <w:rsid w:val="00B2439B"/>
    <w:rsid w:val="00B24418"/>
    <w:rsid w:val="00B244FA"/>
    <w:rsid w:val="00B2452D"/>
    <w:rsid w:val="00B24721"/>
    <w:rsid w:val="00B24742"/>
    <w:rsid w:val="00B24916"/>
    <w:rsid w:val="00B24A59"/>
    <w:rsid w:val="00B24C17"/>
    <w:rsid w:val="00B24D0F"/>
    <w:rsid w:val="00B24D3E"/>
    <w:rsid w:val="00B24F4A"/>
    <w:rsid w:val="00B25120"/>
    <w:rsid w:val="00B25269"/>
    <w:rsid w:val="00B252C9"/>
    <w:rsid w:val="00B2531E"/>
    <w:rsid w:val="00B2535F"/>
    <w:rsid w:val="00B25568"/>
    <w:rsid w:val="00B25755"/>
    <w:rsid w:val="00B25907"/>
    <w:rsid w:val="00B25976"/>
    <w:rsid w:val="00B259EF"/>
    <w:rsid w:val="00B25A73"/>
    <w:rsid w:val="00B25AF3"/>
    <w:rsid w:val="00B25B2D"/>
    <w:rsid w:val="00B25BD4"/>
    <w:rsid w:val="00B25CDE"/>
    <w:rsid w:val="00B25E52"/>
    <w:rsid w:val="00B25E84"/>
    <w:rsid w:val="00B2622E"/>
    <w:rsid w:val="00B264A0"/>
    <w:rsid w:val="00B265B7"/>
    <w:rsid w:val="00B2681B"/>
    <w:rsid w:val="00B2683E"/>
    <w:rsid w:val="00B2687D"/>
    <w:rsid w:val="00B2688A"/>
    <w:rsid w:val="00B268B2"/>
    <w:rsid w:val="00B26A1E"/>
    <w:rsid w:val="00B26BFB"/>
    <w:rsid w:val="00B26E6F"/>
    <w:rsid w:val="00B26F58"/>
    <w:rsid w:val="00B26FB6"/>
    <w:rsid w:val="00B27026"/>
    <w:rsid w:val="00B2704A"/>
    <w:rsid w:val="00B271D2"/>
    <w:rsid w:val="00B27225"/>
    <w:rsid w:val="00B27257"/>
    <w:rsid w:val="00B272A3"/>
    <w:rsid w:val="00B2739C"/>
    <w:rsid w:val="00B274AE"/>
    <w:rsid w:val="00B2769E"/>
    <w:rsid w:val="00B27783"/>
    <w:rsid w:val="00B27843"/>
    <w:rsid w:val="00B278E4"/>
    <w:rsid w:val="00B278F4"/>
    <w:rsid w:val="00B278FC"/>
    <w:rsid w:val="00B27952"/>
    <w:rsid w:val="00B27B22"/>
    <w:rsid w:val="00B27BED"/>
    <w:rsid w:val="00B27C15"/>
    <w:rsid w:val="00B27C33"/>
    <w:rsid w:val="00B27C42"/>
    <w:rsid w:val="00B27D77"/>
    <w:rsid w:val="00B27F93"/>
    <w:rsid w:val="00B27FAD"/>
    <w:rsid w:val="00B27FF7"/>
    <w:rsid w:val="00B3000E"/>
    <w:rsid w:val="00B30320"/>
    <w:rsid w:val="00B3037D"/>
    <w:rsid w:val="00B30533"/>
    <w:rsid w:val="00B3060B"/>
    <w:rsid w:val="00B30610"/>
    <w:rsid w:val="00B306AA"/>
    <w:rsid w:val="00B307CF"/>
    <w:rsid w:val="00B30849"/>
    <w:rsid w:val="00B308D2"/>
    <w:rsid w:val="00B30981"/>
    <w:rsid w:val="00B309CD"/>
    <w:rsid w:val="00B30A7E"/>
    <w:rsid w:val="00B30AFC"/>
    <w:rsid w:val="00B30D54"/>
    <w:rsid w:val="00B30EA1"/>
    <w:rsid w:val="00B313B7"/>
    <w:rsid w:val="00B314B2"/>
    <w:rsid w:val="00B314EE"/>
    <w:rsid w:val="00B31659"/>
    <w:rsid w:val="00B31926"/>
    <w:rsid w:val="00B319B1"/>
    <w:rsid w:val="00B31ABF"/>
    <w:rsid w:val="00B31C57"/>
    <w:rsid w:val="00B31D6E"/>
    <w:rsid w:val="00B31F0C"/>
    <w:rsid w:val="00B31F66"/>
    <w:rsid w:val="00B31FDB"/>
    <w:rsid w:val="00B3213D"/>
    <w:rsid w:val="00B32159"/>
    <w:rsid w:val="00B323BB"/>
    <w:rsid w:val="00B323CF"/>
    <w:rsid w:val="00B324A6"/>
    <w:rsid w:val="00B3279A"/>
    <w:rsid w:val="00B3288B"/>
    <w:rsid w:val="00B32894"/>
    <w:rsid w:val="00B328B5"/>
    <w:rsid w:val="00B32913"/>
    <w:rsid w:val="00B32B6C"/>
    <w:rsid w:val="00B32BFC"/>
    <w:rsid w:val="00B32E7E"/>
    <w:rsid w:val="00B32E81"/>
    <w:rsid w:val="00B33030"/>
    <w:rsid w:val="00B33032"/>
    <w:rsid w:val="00B3306D"/>
    <w:rsid w:val="00B33346"/>
    <w:rsid w:val="00B33359"/>
    <w:rsid w:val="00B336BC"/>
    <w:rsid w:val="00B33706"/>
    <w:rsid w:val="00B33742"/>
    <w:rsid w:val="00B337A5"/>
    <w:rsid w:val="00B338D2"/>
    <w:rsid w:val="00B338F8"/>
    <w:rsid w:val="00B339F8"/>
    <w:rsid w:val="00B33A53"/>
    <w:rsid w:val="00B33A87"/>
    <w:rsid w:val="00B33ACB"/>
    <w:rsid w:val="00B33B59"/>
    <w:rsid w:val="00B33BFB"/>
    <w:rsid w:val="00B33C14"/>
    <w:rsid w:val="00B33E97"/>
    <w:rsid w:val="00B33EAE"/>
    <w:rsid w:val="00B33EC7"/>
    <w:rsid w:val="00B33EDB"/>
    <w:rsid w:val="00B33FAE"/>
    <w:rsid w:val="00B3413A"/>
    <w:rsid w:val="00B3440A"/>
    <w:rsid w:val="00B34461"/>
    <w:rsid w:val="00B3452E"/>
    <w:rsid w:val="00B34588"/>
    <w:rsid w:val="00B3465D"/>
    <w:rsid w:val="00B3470B"/>
    <w:rsid w:val="00B34764"/>
    <w:rsid w:val="00B347D9"/>
    <w:rsid w:val="00B348F7"/>
    <w:rsid w:val="00B3496B"/>
    <w:rsid w:val="00B34A26"/>
    <w:rsid w:val="00B34B0A"/>
    <w:rsid w:val="00B34EBC"/>
    <w:rsid w:val="00B35193"/>
    <w:rsid w:val="00B351FF"/>
    <w:rsid w:val="00B35240"/>
    <w:rsid w:val="00B35343"/>
    <w:rsid w:val="00B353C4"/>
    <w:rsid w:val="00B35466"/>
    <w:rsid w:val="00B3549E"/>
    <w:rsid w:val="00B355F6"/>
    <w:rsid w:val="00B35626"/>
    <w:rsid w:val="00B356DE"/>
    <w:rsid w:val="00B35782"/>
    <w:rsid w:val="00B35795"/>
    <w:rsid w:val="00B357E2"/>
    <w:rsid w:val="00B3591D"/>
    <w:rsid w:val="00B35960"/>
    <w:rsid w:val="00B3596D"/>
    <w:rsid w:val="00B359F0"/>
    <w:rsid w:val="00B35A3F"/>
    <w:rsid w:val="00B35AFE"/>
    <w:rsid w:val="00B35B26"/>
    <w:rsid w:val="00B35B2C"/>
    <w:rsid w:val="00B35CB4"/>
    <w:rsid w:val="00B35D5C"/>
    <w:rsid w:val="00B35DE1"/>
    <w:rsid w:val="00B35E47"/>
    <w:rsid w:val="00B35E57"/>
    <w:rsid w:val="00B35F88"/>
    <w:rsid w:val="00B35FF9"/>
    <w:rsid w:val="00B36008"/>
    <w:rsid w:val="00B3619B"/>
    <w:rsid w:val="00B362CF"/>
    <w:rsid w:val="00B362F9"/>
    <w:rsid w:val="00B3640C"/>
    <w:rsid w:val="00B36527"/>
    <w:rsid w:val="00B367C2"/>
    <w:rsid w:val="00B3693D"/>
    <w:rsid w:val="00B36ADA"/>
    <w:rsid w:val="00B36AF7"/>
    <w:rsid w:val="00B36B38"/>
    <w:rsid w:val="00B36C4E"/>
    <w:rsid w:val="00B36C88"/>
    <w:rsid w:val="00B36D91"/>
    <w:rsid w:val="00B37066"/>
    <w:rsid w:val="00B371E4"/>
    <w:rsid w:val="00B3727C"/>
    <w:rsid w:val="00B3732F"/>
    <w:rsid w:val="00B37413"/>
    <w:rsid w:val="00B374F0"/>
    <w:rsid w:val="00B3752C"/>
    <w:rsid w:val="00B3785E"/>
    <w:rsid w:val="00B378A5"/>
    <w:rsid w:val="00B37AA1"/>
    <w:rsid w:val="00B37AC9"/>
    <w:rsid w:val="00B37ADD"/>
    <w:rsid w:val="00B37B36"/>
    <w:rsid w:val="00B37BC4"/>
    <w:rsid w:val="00B37CD9"/>
    <w:rsid w:val="00B37E10"/>
    <w:rsid w:val="00B37F0D"/>
    <w:rsid w:val="00B400AF"/>
    <w:rsid w:val="00B4026D"/>
    <w:rsid w:val="00B402AA"/>
    <w:rsid w:val="00B402D0"/>
    <w:rsid w:val="00B402EF"/>
    <w:rsid w:val="00B402F9"/>
    <w:rsid w:val="00B40562"/>
    <w:rsid w:val="00B405B9"/>
    <w:rsid w:val="00B4068F"/>
    <w:rsid w:val="00B4069E"/>
    <w:rsid w:val="00B40750"/>
    <w:rsid w:val="00B40823"/>
    <w:rsid w:val="00B4095F"/>
    <w:rsid w:val="00B40986"/>
    <w:rsid w:val="00B40A53"/>
    <w:rsid w:val="00B40B24"/>
    <w:rsid w:val="00B40CFF"/>
    <w:rsid w:val="00B40DBC"/>
    <w:rsid w:val="00B40E69"/>
    <w:rsid w:val="00B40F7F"/>
    <w:rsid w:val="00B40FD9"/>
    <w:rsid w:val="00B411EF"/>
    <w:rsid w:val="00B41265"/>
    <w:rsid w:val="00B412F8"/>
    <w:rsid w:val="00B413DB"/>
    <w:rsid w:val="00B415CE"/>
    <w:rsid w:val="00B4162F"/>
    <w:rsid w:val="00B416A1"/>
    <w:rsid w:val="00B419B8"/>
    <w:rsid w:val="00B41B63"/>
    <w:rsid w:val="00B41D31"/>
    <w:rsid w:val="00B41E4C"/>
    <w:rsid w:val="00B41E7C"/>
    <w:rsid w:val="00B41F32"/>
    <w:rsid w:val="00B42153"/>
    <w:rsid w:val="00B42312"/>
    <w:rsid w:val="00B4253A"/>
    <w:rsid w:val="00B42698"/>
    <w:rsid w:val="00B42753"/>
    <w:rsid w:val="00B427C1"/>
    <w:rsid w:val="00B429E3"/>
    <w:rsid w:val="00B42A0D"/>
    <w:rsid w:val="00B42BBA"/>
    <w:rsid w:val="00B42C95"/>
    <w:rsid w:val="00B42DE4"/>
    <w:rsid w:val="00B42DE7"/>
    <w:rsid w:val="00B430F2"/>
    <w:rsid w:val="00B4329D"/>
    <w:rsid w:val="00B43310"/>
    <w:rsid w:val="00B434BE"/>
    <w:rsid w:val="00B434D2"/>
    <w:rsid w:val="00B435AA"/>
    <w:rsid w:val="00B43606"/>
    <w:rsid w:val="00B436C9"/>
    <w:rsid w:val="00B436DC"/>
    <w:rsid w:val="00B437A9"/>
    <w:rsid w:val="00B43887"/>
    <w:rsid w:val="00B43A96"/>
    <w:rsid w:val="00B43AEB"/>
    <w:rsid w:val="00B43B74"/>
    <w:rsid w:val="00B43BD1"/>
    <w:rsid w:val="00B43D07"/>
    <w:rsid w:val="00B4401C"/>
    <w:rsid w:val="00B440A2"/>
    <w:rsid w:val="00B4415B"/>
    <w:rsid w:val="00B44519"/>
    <w:rsid w:val="00B44531"/>
    <w:rsid w:val="00B44543"/>
    <w:rsid w:val="00B4466D"/>
    <w:rsid w:val="00B44887"/>
    <w:rsid w:val="00B448FC"/>
    <w:rsid w:val="00B44ACE"/>
    <w:rsid w:val="00B44B82"/>
    <w:rsid w:val="00B44BA9"/>
    <w:rsid w:val="00B44CD2"/>
    <w:rsid w:val="00B44D8E"/>
    <w:rsid w:val="00B4503D"/>
    <w:rsid w:val="00B450BB"/>
    <w:rsid w:val="00B45249"/>
    <w:rsid w:val="00B45390"/>
    <w:rsid w:val="00B453D8"/>
    <w:rsid w:val="00B45421"/>
    <w:rsid w:val="00B454CC"/>
    <w:rsid w:val="00B4552A"/>
    <w:rsid w:val="00B45548"/>
    <w:rsid w:val="00B456BE"/>
    <w:rsid w:val="00B45951"/>
    <w:rsid w:val="00B459BE"/>
    <w:rsid w:val="00B459CF"/>
    <w:rsid w:val="00B45A4B"/>
    <w:rsid w:val="00B45A61"/>
    <w:rsid w:val="00B45AFC"/>
    <w:rsid w:val="00B45C62"/>
    <w:rsid w:val="00B45CFF"/>
    <w:rsid w:val="00B45D43"/>
    <w:rsid w:val="00B45DAE"/>
    <w:rsid w:val="00B45E23"/>
    <w:rsid w:val="00B46054"/>
    <w:rsid w:val="00B4635D"/>
    <w:rsid w:val="00B4635E"/>
    <w:rsid w:val="00B46410"/>
    <w:rsid w:val="00B46478"/>
    <w:rsid w:val="00B4648F"/>
    <w:rsid w:val="00B464B9"/>
    <w:rsid w:val="00B464F2"/>
    <w:rsid w:val="00B465D8"/>
    <w:rsid w:val="00B4661A"/>
    <w:rsid w:val="00B468E5"/>
    <w:rsid w:val="00B46988"/>
    <w:rsid w:val="00B469A5"/>
    <w:rsid w:val="00B46A66"/>
    <w:rsid w:val="00B46BAC"/>
    <w:rsid w:val="00B46D5D"/>
    <w:rsid w:val="00B46F32"/>
    <w:rsid w:val="00B46F72"/>
    <w:rsid w:val="00B46F91"/>
    <w:rsid w:val="00B46FA5"/>
    <w:rsid w:val="00B47153"/>
    <w:rsid w:val="00B47196"/>
    <w:rsid w:val="00B471C4"/>
    <w:rsid w:val="00B47275"/>
    <w:rsid w:val="00B47435"/>
    <w:rsid w:val="00B4749A"/>
    <w:rsid w:val="00B47526"/>
    <w:rsid w:val="00B475AB"/>
    <w:rsid w:val="00B475F8"/>
    <w:rsid w:val="00B477C9"/>
    <w:rsid w:val="00B47A00"/>
    <w:rsid w:val="00B47A35"/>
    <w:rsid w:val="00B47A65"/>
    <w:rsid w:val="00B47A9C"/>
    <w:rsid w:val="00B47AB4"/>
    <w:rsid w:val="00B47B22"/>
    <w:rsid w:val="00B47BD3"/>
    <w:rsid w:val="00B47C61"/>
    <w:rsid w:val="00B47D01"/>
    <w:rsid w:val="00B47D98"/>
    <w:rsid w:val="00B47DA1"/>
    <w:rsid w:val="00B47DB3"/>
    <w:rsid w:val="00B47E96"/>
    <w:rsid w:val="00B47F30"/>
    <w:rsid w:val="00B50032"/>
    <w:rsid w:val="00B50190"/>
    <w:rsid w:val="00B50376"/>
    <w:rsid w:val="00B5052F"/>
    <w:rsid w:val="00B5054B"/>
    <w:rsid w:val="00B50592"/>
    <w:rsid w:val="00B5085F"/>
    <w:rsid w:val="00B508B1"/>
    <w:rsid w:val="00B508E9"/>
    <w:rsid w:val="00B5099D"/>
    <w:rsid w:val="00B50A4B"/>
    <w:rsid w:val="00B50C0B"/>
    <w:rsid w:val="00B50CD3"/>
    <w:rsid w:val="00B50FCB"/>
    <w:rsid w:val="00B50FD9"/>
    <w:rsid w:val="00B51002"/>
    <w:rsid w:val="00B51054"/>
    <w:rsid w:val="00B510AD"/>
    <w:rsid w:val="00B51227"/>
    <w:rsid w:val="00B512C5"/>
    <w:rsid w:val="00B513F8"/>
    <w:rsid w:val="00B51439"/>
    <w:rsid w:val="00B514EA"/>
    <w:rsid w:val="00B514F9"/>
    <w:rsid w:val="00B515D0"/>
    <w:rsid w:val="00B517F0"/>
    <w:rsid w:val="00B51853"/>
    <w:rsid w:val="00B51933"/>
    <w:rsid w:val="00B51D9A"/>
    <w:rsid w:val="00B51E54"/>
    <w:rsid w:val="00B51F70"/>
    <w:rsid w:val="00B520FE"/>
    <w:rsid w:val="00B521D3"/>
    <w:rsid w:val="00B52373"/>
    <w:rsid w:val="00B525D9"/>
    <w:rsid w:val="00B525F3"/>
    <w:rsid w:val="00B52629"/>
    <w:rsid w:val="00B52AE9"/>
    <w:rsid w:val="00B52B59"/>
    <w:rsid w:val="00B52BFB"/>
    <w:rsid w:val="00B52CE4"/>
    <w:rsid w:val="00B52F5F"/>
    <w:rsid w:val="00B53321"/>
    <w:rsid w:val="00B5349C"/>
    <w:rsid w:val="00B53753"/>
    <w:rsid w:val="00B53772"/>
    <w:rsid w:val="00B53977"/>
    <w:rsid w:val="00B53B5C"/>
    <w:rsid w:val="00B53D09"/>
    <w:rsid w:val="00B53E45"/>
    <w:rsid w:val="00B53FE8"/>
    <w:rsid w:val="00B54272"/>
    <w:rsid w:val="00B5433B"/>
    <w:rsid w:val="00B5448D"/>
    <w:rsid w:val="00B5456F"/>
    <w:rsid w:val="00B545A8"/>
    <w:rsid w:val="00B545C7"/>
    <w:rsid w:val="00B546EB"/>
    <w:rsid w:val="00B548B7"/>
    <w:rsid w:val="00B54A0C"/>
    <w:rsid w:val="00B54AC5"/>
    <w:rsid w:val="00B54AE9"/>
    <w:rsid w:val="00B54B25"/>
    <w:rsid w:val="00B54CA2"/>
    <w:rsid w:val="00B54D02"/>
    <w:rsid w:val="00B54E7C"/>
    <w:rsid w:val="00B55224"/>
    <w:rsid w:val="00B554F4"/>
    <w:rsid w:val="00B55580"/>
    <w:rsid w:val="00B555F7"/>
    <w:rsid w:val="00B5561D"/>
    <w:rsid w:val="00B5565E"/>
    <w:rsid w:val="00B556A0"/>
    <w:rsid w:val="00B556B2"/>
    <w:rsid w:val="00B556B9"/>
    <w:rsid w:val="00B55756"/>
    <w:rsid w:val="00B55837"/>
    <w:rsid w:val="00B5585B"/>
    <w:rsid w:val="00B55949"/>
    <w:rsid w:val="00B55A66"/>
    <w:rsid w:val="00B55AAF"/>
    <w:rsid w:val="00B55BAD"/>
    <w:rsid w:val="00B55F23"/>
    <w:rsid w:val="00B55FAF"/>
    <w:rsid w:val="00B56132"/>
    <w:rsid w:val="00B562C4"/>
    <w:rsid w:val="00B56460"/>
    <w:rsid w:val="00B56512"/>
    <w:rsid w:val="00B567B8"/>
    <w:rsid w:val="00B568F3"/>
    <w:rsid w:val="00B56A60"/>
    <w:rsid w:val="00B56AAA"/>
    <w:rsid w:val="00B56B35"/>
    <w:rsid w:val="00B56B57"/>
    <w:rsid w:val="00B56CCC"/>
    <w:rsid w:val="00B56DB4"/>
    <w:rsid w:val="00B56E35"/>
    <w:rsid w:val="00B57127"/>
    <w:rsid w:val="00B57592"/>
    <w:rsid w:val="00B5761A"/>
    <w:rsid w:val="00B5769D"/>
    <w:rsid w:val="00B576A7"/>
    <w:rsid w:val="00B576A9"/>
    <w:rsid w:val="00B577A5"/>
    <w:rsid w:val="00B579B5"/>
    <w:rsid w:val="00B57AA9"/>
    <w:rsid w:val="00B57B32"/>
    <w:rsid w:val="00B57B47"/>
    <w:rsid w:val="00B57B8A"/>
    <w:rsid w:val="00B57BF3"/>
    <w:rsid w:val="00B57C73"/>
    <w:rsid w:val="00B57D37"/>
    <w:rsid w:val="00B57EF7"/>
    <w:rsid w:val="00B57F80"/>
    <w:rsid w:val="00B60383"/>
    <w:rsid w:val="00B603C8"/>
    <w:rsid w:val="00B60408"/>
    <w:rsid w:val="00B604E4"/>
    <w:rsid w:val="00B6051D"/>
    <w:rsid w:val="00B6055C"/>
    <w:rsid w:val="00B60568"/>
    <w:rsid w:val="00B60578"/>
    <w:rsid w:val="00B60594"/>
    <w:rsid w:val="00B6091D"/>
    <w:rsid w:val="00B60A93"/>
    <w:rsid w:val="00B60B61"/>
    <w:rsid w:val="00B60C13"/>
    <w:rsid w:val="00B60C28"/>
    <w:rsid w:val="00B60C97"/>
    <w:rsid w:val="00B60F0B"/>
    <w:rsid w:val="00B60F23"/>
    <w:rsid w:val="00B61059"/>
    <w:rsid w:val="00B610A1"/>
    <w:rsid w:val="00B612B0"/>
    <w:rsid w:val="00B612EF"/>
    <w:rsid w:val="00B613E4"/>
    <w:rsid w:val="00B61492"/>
    <w:rsid w:val="00B615EB"/>
    <w:rsid w:val="00B61604"/>
    <w:rsid w:val="00B616B5"/>
    <w:rsid w:val="00B616BA"/>
    <w:rsid w:val="00B616C3"/>
    <w:rsid w:val="00B617A1"/>
    <w:rsid w:val="00B61B14"/>
    <w:rsid w:val="00B6221A"/>
    <w:rsid w:val="00B622FF"/>
    <w:rsid w:val="00B624A3"/>
    <w:rsid w:val="00B624ED"/>
    <w:rsid w:val="00B625BC"/>
    <w:rsid w:val="00B62610"/>
    <w:rsid w:val="00B6262A"/>
    <w:rsid w:val="00B62687"/>
    <w:rsid w:val="00B62A2A"/>
    <w:rsid w:val="00B62A83"/>
    <w:rsid w:val="00B62BDC"/>
    <w:rsid w:val="00B63052"/>
    <w:rsid w:val="00B63344"/>
    <w:rsid w:val="00B633B0"/>
    <w:rsid w:val="00B6354F"/>
    <w:rsid w:val="00B63651"/>
    <w:rsid w:val="00B6367D"/>
    <w:rsid w:val="00B637E4"/>
    <w:rsid w:val="00B637F2"/>
    <w:rsid w:val="00B6383D"/>
    <w:rsid w:val="00B639A0"/>
    <w:rsid w:val="00B63AAB"/>
    <w:rsid w:val="00B63B87"/>
    <w:rsid w:val="00B63BE7"/>
    <w:rsid w:val="00B63D6B"/>
    <w:rsid w:val="00B63DED"/>
    <w:rsid w:val="00B63F71"/>
    <w:rsid w:val="00B63F84"/>
    <w:rsid w:val="00B6406B"/>
    <w:rsid w:val="00B64076"/>
    <w:rsid w:val="00B640F2"/>
    <w:rsid w:val="00B6416E"/>
    <w:rsid w:val="00B64358"/>
    <w:rsid w:val="00B64369"/>
    <w:rsid w:val="00B64479"/>
    <w:rsid w:val="00B644C6"/>
    <w:rsid w:val="00B64A32"/>
    <w:rsid w:val="00B64A39"/>
    <w:rsid w:val="00B64DA9"/>
    <w:rsid w:val="00B64EBC"/>
    <w:rsid w:val="00B64F8E"/>
    <w:rsid w:val="00B64F9B"/>
    <w:rsid w:val="00B65023"/>
    <w:rsid w:val="00B6508E"/>
    <w:rsid w:val="00B650DC"/>
    <w:rsid w:val="00B65208"/>
    <w:rsid w:val="00B6531F"/>
    <w:rsid w:val="00B6536E"/>
    <w:rsid w:val="00B654C4"/>
    <w:rsid w:val="00B655E1"/>
    <w:rsid w:val="00B6565D"/>
    <w:rsid w:val="00B657BC"/>
    <w:rsid w:val="00B65819"/>
    <w:rsid w:val="00B65944"/>
    <w:rsid w:val="00B6597A"/>
    <w:rsid w:val="00B65A6F"/>
    <w:rsid w:val="00B65B10"/>
    <w:rsid w:val="00B65BD1"/>
    <w:rsid w:val="00B65C14"/>
    <w:rsid w:val="00B6602E"/>
    <w:rsid w:val="00B660D3"/>
    <w:rsid w:val="00B660E5"/>
    <w:rsid w:val="00B660EF"/>
    <w:rsid w:val="00B6623D"/>
    <w:rsid w:val="00B664C8"/>
    <w:rsid w:val="00B66817"/>
    <w:rsid w:val="00B6692C"/>
    <w:rsid w:val="00B66973"/>
    <w:rsid w:val="00B66AE1"/>
    <w:rsid w:val="00B66B67"/>
    <w:rsid w:val="00B66C27"/>
    <w:rsid w:val="00B66C50"/>
    <w:rsid w:val="00B66D17"/>
    <w:rsid w:val="00B66D2D"/>
    <w:rsid w:val="00B66DED"/>
    <w:rsid w:val="00B671EE"/>
    <w:rsid w:val="00B67258"/>
    <w:rsid w:val="00B6725B"/>
    <w:rsid w:val="00B672E7"/>
    <w:rsid w:val="00B672EC"/>
    <w:rsid w:val="00B67476"/>
    <w:rsid w:val="00B6758F"/>
    <w:rsid w:val="00B67687"/>
    <w:rsid w:val="00B67698"/>
    <w:rsid w:val="00B677FA"/>
    <w:rsid w:val="00B6788C"/>
    <w:rsid w:val="00B678E4"/>
    <w:rsid w:val="00B67948"/>
    <w:rsid w:val="00B67A85"/>
    <w:rsid w:val="00B67B29"/>
    <w:rsid w:val="00B67BB0"/>
    <w:rsid w:val="00B67CD0"/>
    <w:rsid w:val="00B67ED4"/>
    <w:rsid w:val="00B67F45"/>
    <w:rsid w:val="00B70120"/>
    <w:rsid w:val="00B702F4"/>
    <w:rsid w:val="00B70379"/>
    <w:rsid w:val="00B703DA"/>
    <w:rsid w:val="00B704CA"/>
    <w:rsid w:val="00B70528"/>
    <w:rsid w:val="00B70541"/>
    <w:rsid w:val="00B706D1"/>
    <w:rsid w:val="00B70759"/>
    <w:rsid w:val="00B7078A"/>
    <w:rsid w:val="00B70900"/>
    <w:rsid w:val="00B70909"/>
    <w:rsid w:val="00B70A17"/>
    <w:rsid w:val="00B70D01"/>
    <w:rsid w:val="00B70D82"/>
    <w:rsid w:val="00B70F29"/>
    <w:rsid w:val="00B70F83"/>
    <w:rsid w:val="00B7100E"/>
    <w:rsid w:val="00B7124E"/>
    <w:rsid w:val="00B7132B"/>
    <w:rsid w:val="00B71600"/>
    <w:rsid w:val="00B719A5"/>
    <w:rsid w:val="00B71A9B"/>
    <w:rsid w:val="00B71AD0"/>
    <w:rsid w:val="00B71FB1"/>
    <w:rsid w:val="00B72212"/>
    <w:rsid w:val="00B72282"/>
    <w:rsid w:val="00B722AA"/>
    <w:rsid w:val="00B7232A"/>
    <w:rsid w:val="00B7248C"/>
    <w:rsid w:val="00B72699"/>
    <w:rsid w:val="00B7272B"/>
    <w:rsid w:val="00B728CB"/>
    <w:rsid w:val="00B72B79"/>
    <w:rsid w:val="00B73049"/>
    <w:rsid w:val="00B73125"/>
    <w:rsid w:val="00B7316F"/>
    <w:rsid w:val="00B732AA"/>
    <w:rsid w:val="00B7334F"/>
    <w:rsid w:val="00B73374"/>
    <w:rsid w:val="00B733F5"/>
    <w:rsid w:val="00B7353F"/>
    <w:rsid w:val="00B73662"/>
    <w:rsid w:val="00B7382C"/>
    <w:rsid w:val="00B73911"/>
    <w:rsid w:val="00B73936"/>
    <w:rsid w:val="00B73ABB"/>
    <w:rsid w:val="00B73AD1"/>
    <w:rsid w:val="00B73B6D"/>
    <w:rsid w:val="00B73CC9"/>
    <w:rsid w:val="00B73E86"/>
    <w:rsid w:val="00B73FC3"/>
    <w:rsid w:val="00B7409D"/>
    <w:rsid w:val="00B7412A"/>
    <w:rsid w:val="00B74164"/>
    <w:rsid w:val="00B74294"/>
    <w:rsid w:val="00B74356"/>
    <w:rsid w:val="00B7437A"/>
    <w:rsid w:val="00B7440C"/>
    <w:rsid w:val="00B74469"/>
    <w:rsid w:val="00B7448D"/>
    <w:rsid w:val="00B744B6"/>
    <w:rsid w:val="00B74528"/>
    <w:rsid w:val="00B7463C"/>
    <w:rsid w:val="00B7475C"/>
    <w:rsid w:val="00B748CF"/>
    <w:rsid w:val="00B748D3"/>
    <w:rsid w:val="00B74B3F"/>
    <w:rsid w:val="00B74BF7"/>
    <w:rsid w:val="00B74C75"/>
    <w:rsid w:val="00B74D20"/>
    <w:rsid w:val="00B74FE1"/>
    <w:rsid w:val="00B75211"/>
    <w:rsid w:val="00B752C1"/>
    <w:rsid w:val="00B7550B"/>
    <w:rsid w:val="00B75541"/>
    <w:rsid w:val="00B756C0"/>
    <w:rsid w:val="00B75701"/>
    <w:rsid w:val="00B7575F"/>
    <w:rsid w:val="00B75978"/>
    <w:rsid w:val="00B759D5"/>
    <w:rsid w:val="00B75AAE"/>
    <w:rsid w:val="00B75B0F"/>
    <w:rsid w:val="00B75BC9"/>
    <w:rsid w:val="00B75BE2"/>
    <w:rsid w:val="00B75CFA"/>
    <w:rsid w:val="00B75E61"/>
    <w:rsid w:val="00B75ECC"/>
    <w:rsid w:val="00B75F24"/>
    <w:rsid w:val="00B75F54"/>
    <w:rsid w:val="00B75FCC"/>
    <w:rsid w:val="00B75FD6"/>
    <w:rsid w:val="00B760B8"/>
    <w:rsid w:val="00B760D7"/>
    <w:rsid w:val="00B762C0"/>
    <w:rsid w:val="00B76332"/>
    <w:rsid w:val="00B764AE"/>
    <w:rsid w:val="00B764E1"/>
    <w:rsid w:val="00B7657A"/>
    <w:rsid w:val="00B7658F"/>
    <w:rsid w:val="00B76A66"/>
    <w:rsid w:val="00B76AAF"/>
    <w:rsid w:val="00B76C06"/>
    <w:rsid w:val="00B76C77"/>
    <w:rsid w:val="00B76D52"/>
    <w:rsid w:val="00B76DB6"/>
    <w:rsid w:val="00B76EC9"/>
    <w:rsid w:val="00B76EE0"/>
    <w:rsid w:val="00B76EF5"/>
    <w:rsid w:val="00B76F0F"/>
    <w:rsid w:val="00B7719E"/>
    <w:rsid w:val="00B77200"/>
    <w:rsid w:val="00B77212"/>
    <w:rsid w:val="00B772CD"/>
    <w:rsid w:val="00B77392"/>
    <w:rsid w:val="00B77460"/>
    <w:rsid w:val="00B77A21"/>
    <w:rsid w:val="00B77A48"/>
    <w:rsid w:val="00B77A70"/>
    <w:rsid w:val="00B77C70"/>
    <w:rsid w:val="00B77D26"/>
    <w:rsid w:val="00B77D97"/>
    <w:rsid w:val="00B77EE0"/>
    <w:rsid w:val="00B80026"/>
    <w:rsid w:val="00B800A4"/>
    <w:rsid w:val="00B800E6"/>
    <w:rsid w:val="00B800F5"/>
    <w:rsid w:val="00B8017B"/>
    <w:rsid w:val="00B802BE"/>
    <w:rsid w:val="00B80337"/>
    <w:rsid w:val="00B805E1"/>
    <w:rsid w:val="00B807EC"/>
    <w:rsid w:val="00B808DB"/>
    <w:rsid w:val="00B809D8"/>
    <w:rsid w:val="00B80B19"/>
    <w:rsid w:val="00B80B66"/>
    <w:rsid w:val="00B80C85"/>
    <w:rsid w:val="00B80EA5"/>
    <w:rsid w:val="00B80FFE"/>
    <w:rsid w:val="00B81011"/>
    <w:rsid w:val="00B810E5"/>
    <w:rsid w:val="00B8117E"/>
    <w:rsid w:val="00B81215"/>
    <w:rsid w:val="00B8123F"/>
    <w:rsid w:val="00B81286"/>
    <w:rsid w:val="00B8131D"/>
    <w:rsid w:val="00B81427"/>
    <w:rsid w:val="00B814BD"/>
    <w:rsid w:val="00B8152A"/>
    <w:rsid w:val="00B815CE"/>
    <w:rsid w:val="00B81639"/>
    <w:rsid w:val="00B816C5"/>
    <w:rsid w:val="00B819AD"/>
    <w:rsid w:val="00B81A73"/>
    <w:rsid w:val="00B81B24"/>
    <w:rsid w:val="00B81B40"/>
    <w:rsid w:val="00B81D7F"/>
    <w:rsid w:val="00B81E31"/>
    <w:rsid w:val="00B81ED8"/>
    <w:rsid w:val="00B821FE"/>
    <w:rsid w:val="00B82202"/>
    <w:rsid w:val="00B822E0"/>
    <w:rsid w:val="00B824A9"/>
    <w:rsid w:val="00B824D1"/>
    <w:rsid w:val="00B82713"/>
    <w:rsid w:val="00B82826"/>
    <w:rsid w:val="00B82AEC"/>
    <w:rsid w:val="00B82BE8"/>
    <w:rsid w:val="00B82C40"/>
    <w:rsid w:val="00B82CCE"/>
    <w:rsid w:val="00B82CF8"/>
    <w:rsid w:val="00B82D74"/>
    <w:rsid w:val="00B82D92"/>
    <w:rsid w:val="00B82F93"/>
    <w:rsid w:val="00B8305F"/>
    <w:rsid w:val="00B830A1"/>
    <w:rsid w:val="00B8316B"/>
    <w:rsid w:val="00B83387"/>
    <w:rsid w:val="00B83429"/>
    <w:rsid w:val="00B8355B"/>
    <w:rsid w:val="00B835D3"/>
    <w:rsid w:val="00B83656"/>
    <w:rsid w:val="00B836B8"/>
    <w:rsid w:val="00B838EA"/>
    <w:rsid w:val="00B838FA"/>
    <w:rsid w:val="00B83910"/>
    <w:rsid w:val="00B83B32"/>
    <w:rsid w:val="00B83BA0"/>
    <w:rsid w:val="00B83CA2"/>
    <w:rsid w:val="00B83D69"/>
    <w:rsid w:val="00B83DEB"/>
    <w:rsid w:val="00B83EE5"/>
    <w:rsid w:val="00B83F50"/>
    <w:rsid w:val="00B83F9F"/>
    <w:rsid w:val="00B83FA4"/>
    <w:rsid w:val="00B83FB8"/>
    <w:rsid w:val="00B8410B"/>
    <w:rsid w:val="00B8417D"/>
    <w:rsid w:val="00B841DC"/>
    <w:rsid w:val="00B8427B"/>
    <w:rsid w:val="00B84430"/>
    <w:rsid w:val="00B845DD"/>
    <w:rsid w:val="00B846A8"/>
    <w:rsid w:val="00B846B5"/>
    <w:rsid w:val="00B846CC"/>
    <w:rsid w:val="00B84A52"/>
    <w:rsid w:val="00B84ACE"/>
    <w:rsid w:val="00B84B6E"/>
    <w:rsid w:val="00B84BF4"/>
    <w:rsid w:val="00B84D84"/>
    <w:rsid w:val="00B84E76"/>
    <w:rsid w:val="00B850D6"/>
    <w:rsid w:val="00B85134"/>
    <w:rsid w:val="00B853EA"/>
    <w:rsid w:val="00B85518"/>
    <w:rsid w:val="00B855E4"/>
    <w:rsid w:val="00B8565C"/>
    <w:rsid w:val="00B858D6"/>
    <w:rsid w:val="00B85A42"/>
    <w:rsid w:val="00B85B51"/>
    <w:rsid w:val="00B85D8F"/>
    <w:rsid w:val="00B85FA3"/>
    <w:rsid w:val="00B86041"/>
    <w:rsid w:val="00B860F9"/>
    <w:rsid w:val="00B86206"/>
    <w:rsid w:val="00B862A2"/>
    <w:rsid w:val="00B86314"/>
    <w:rsid w:val="00B86345"/>
    <w:rsid w:val="00B863BA"/>
    <w:rsid w:val="00B863DB"/>
    <w:rsid w:val="00B86514"/>
    <w:rsid w:val="00B865A7"/>
    <w:rsid w:val="00B86619"/>
    <w:rsid w:val="00B866CB"/>
    <w:rsid w:val="00B866DC"/>
    <w:rsid w:val="00B86779"/>
    <w:rsid w:val="00B867BD"/>
    <w:rsid w:val="00B86848"/>
    <w:rsid w:val="00B869D2"/>
    <w:rsid w:val="00B86A2C"/>
    <w:rsid w:val="00B86A36"/>
    <w:rsid w:val="00B86A6B"/>
    <w:rsid w:val="00B86B03"/>
    <w:rsid w:val="00B86BA7"/>
    <w:rsid w:val="00B86BF4"/>
    <w:rsid w:val="00B86D81"/>
    <w:rsid w:val="00B86DF0"/>
    <w:rsid w:val="00B86FC5"/>
    <w:rsid w:val="00B86FF5"/>
    <w:rsid w:val="00B87098"/>
    <w:rsid w:val="00B87117"/>
    <w:rsid w:val="00B8718F"/>
    <w:rsid w:val="00B871E6"/>
    <w:rsid w:val="00B87610"/>
    <w:rsid w:val="00B8761D"/>
    <w:rsid w:val="00B87788"/>
    <w:rsid w:val="00B87A3B"/>
    <w:rsid w:val="00B87B46"/>
    <w:rsid w:val="00B87CB8"/>
    <w:rsid w:val="00B87CF9"/>
    <w:rsid w:val="00B87D23"/>
    <w:rsid w:val="00B87FD0"/>
    <w:rsid w:val="00B90184"/>
    <w:rsid w:val="00B904B7"/>
    <w:rsid w:val="00B90511"/>
    <w:rsid w:val="00B90592"/>
    <w:rsid w:val="00B906E2"/>
    <w:rsid w:val="00B907AA"/>
    <w:rsid w:val="00B90906"/>
    <w:rsid w:val="00B90D1D"/>
    <w:rsid w:val="00B90D4C"/>
    <w:rsid w:val="00B90E89"/>
    <w:rsid w:val="00B90FFD"/>
    <w:rsid w:val="00B913C1"/>
    <w:rsid w:val="00B91549"/>
    <w:rsid w:val="00B91685"/>
    <w:rsid w:val="00B91688"/>
    <w:rsid w:val="00B91720"/>
    <w:rsid w:val="00B9179D"/>
    <w:rsid w:val="00B91A04"/>
    <w:rsid w:val="00B91CFC"/>
    <w:rsid w:val="00B92001"/>
    <w:rsid w:val="00B920BB"/>
    <w:rsid w:val="00B9221E"/>
    <w:rsid w:val="00B9224B"/>
    <w:rsid w:val="00B9229D"/>
    <w:rsid w:val="00B9230A"/>
    <w:rsid w:val="00B92426"/>
    <w:rsid w:val="00B92762"/>
    <w:rsid w:val="00B92808"/>
    <w:rsid w:val="00B928D3"/>
    <w:rsid w:val="00B92C63"/>
    <w:rsid w:val="00B92EAB"/>
    <w:rsid w:val="00B92F17"/>
    <w:rsid w:val="00B930B4"/>
    <w:rsid w:val="00B930FB"/>
    <w:rsid w:val="00B9368B"/>
    <w:rsid w:val="00B936A9"/>
    <w:rsid w:val="00B93741"/>
    <w:rsid w:val="00B9376B"/>
    <w:rsid w:val="00B93782"/>
    <w:rsid w:val="00B938D1"/>
    <w:rsid w:val="00B93919"/>
    <w:rsid w:val="00B93C8C"/>
    <w:rsid w:val="00B93CA2"/>
    <w:rsid w:val="00B93CD6"/>
    <w:rsid w:val="00B93CE6"/>
    <w:rsid w:val="00B93E3D"/>
    <w:rsid w:val="00B93F03"/>
    <w:rsid w:val="00B93FCC"/>
    <w:rsid w:val="00B94138"/>
    <w:rsid w:val="00B9415C"/>
    <w:rsid w:val="00B9429D"/>
    <w:rsid w:val="00B94586"/>
    <w:rsid w:val="00B94A14"/>
    <w:rsid w:val="00B94C6C"/>
    <w:rsid w:val="00B94C7D"/>
    <w:rsid w:val="00B94DE1"/>
    <w:rsid w:val="00B94DEA"/>
    <w:rsid w:val="00B94E09"/>
    <w:rsid w:val="00B94EBF"/>
    <w:rsid w:val="00B95079"/>
    <w:rsid w:val="00B950CE"/>
    <w:rsid w:val="00B950F3"/>
    <w:rsid w:val="00B951C3"/>
    <w:rsid w:val="00B95449"/>
    <w:rsid w:val="00B9545F"/>
    <w:rsid w:val="00B9546A"/>
    <w:rsid w:val="00B954EA"/>
    <w:rsid w:val="00B9560F"/>
    <w:rsid w:val="00B95639"/>
    <w:rsid w:val="00B95662"/>
    <w:rsid w:val="00B95696"/>
    <w:rsid w:val="00B957C5"/>
    <w:rsid w:val="00B95955"/>
    <w:rsid w:val="00B95A8A"/>
    <w:rsid w:val="00B95B1B"/>
    <w:rsid w:val="00B95B68"/>
    <w:rsid w:val="00B95BE3"/>
    <w:rsid w:val="00B95CB1"/>
    <w:rsid w:val="00B95D74"/>
    <w:rsid w:val="00B95F82"/>
    <w:rsid w:val="00B95FB3"/>
    <w:rsid w:val="00B960F2"/>
    <w:rsid w:val="00B96117"/>
    <w:rsid w:val="00B9647E"/>
    <w:rsid w:val="00B964AB"/>
    <w:rsid w:val="00B96651"/>
    <w:rsid w:val="00B9665C"/>
    <w:rsid w:val="00B96701"/>
    <w:rsid w:val="00B9673F"/>
    <w:rsid w:val="00B96945"/>
    <w:rsid w:val="00B96B8A"/>
    <w:rsid w:val="00B96CD1"/>
    <w:rsid w:val="00B96DD8"/>
    <w:rsid w:val="00B96E11"/>
    <w:rsid w:val="00B96E9F"/>
    <w:rsid w:val="00B96EB0"/>
    <w:rsid w:val="00B970AE"/>
    <w:rsid w:val="00B97190"/>
    <w:rsid w:val="00B971FA"/>
    <w:rsid w:val="00B97420"/>
    <w:rsid w:val="00B9745E"/>
    <w:rsid w:val="00B9751B"/>
    <w:rsid w:val="00B97621"/>
    <w:rsid w:val="00B9763A"/>
    <w:rsid w:val="00B97662"/>
    <w:rsid w:val="00B976B9"/>
    <w:rsid w:val="00B976FE"/>
    <w:rsid w:val="00B977AB"/>
    <w:rsid w:val="00B977DF"/>
    <w:rsid w:val="00B9789A"/>
    <w:rsid w:val="00B9793C"/>
    <w:rsid w:val="00B97C5A"/>
    <w:rsid w:val="00B97CC3"/>
    <w:rsid w:val="00B97D05"/>
    <w:rsid w:val="00B97D98"/>
    <w:rsid w:val="00B97F90"/>
    <w:rsid w:val="00B97FC6"/>
    <w:rsid w:val="00BA0042"/>
    <w:rsid w:val="00BA0084"/>
    <w:rsid w:val="00BA0096"/>
    <w:rsid w:val="00BA00FE"/>
    <w:rsid w:val="00BA01D5"/>
    <w:rsid w:val="00BA01DA"/>
    <w:rsid w:val="00BA0259"/>
    <w:rsid w:val="00BA0280"/>
    <w:rsid w:val="00BA03BE"/>
    <w:rsid w:val="00BA0621"/>
    <w:rsid w:val="00BA066E"/>
    <w:rsid w:val="00BA0A7E"/>
    <w:rsid w:val="00BA0AC9"/>
    <w:rsid w:val="00BA0BDD"/>
    <w:rsid w:val="00BA0ED9"/>
    <w:rsid w:val="00BA107B"/>
    <w:rsid w:val="00BA108A"/>
    <w:rsid w:val="00BA10F3"/>
    <w:rsid w:val="00BA10F9"/>
    <w:rsid w:val="00BA12DE"/>
    <w:rsid w:val="00BA13AE"/>
    <w:rsid w:val="00BA13F9"/>
    <w:rsid w:val="00BA1477"/>
    <w:rsid w:val="00BA1694"/>
    <w:rsid w:val="00BA16C6"/>
    <w:rsid w:val="00BA1841"/>
    <w:rsid w:val="00BA18B5"/>
    <w:rsid w:val="00BA1A6D"/>
    <w:rsid w:val="00BA1B66"/>
    <w:rsid w:val="00BA1BF7"/>
    <w:rsid w:val="00BA1D43"/>
    <w:rsid w:val="00BA1E64"/>
    <w:rsid w:val="00BA1F0E"/>
    <w:rsid w:val="00BA1FB5"/>
    <w:rsid w:val="00BA2047"/>
    <w:rsid w:val="00BA2350"/>
    <w:rsid w:val="00BA23AD"/>
    <w:rsid w:val="00BA2441"/>
    <w:rsid w:val="00BA2584"/>
    <w:rsid w:val="00BA25C1"/>
    <w:rsid w:val="00BA262F"/>
    <w:rsid w:val="00BA26C0"/>
    <w:rsid w:val="00BA2870"/>
    <w:rsid w:val="00BA28C5"/>
    <w:rsid w:val="00BA28F7"/>
    <w:rsid w:val="00BA2921"/>
    <w:rsid w:val="00BA2958"/>
    <w:rsid w:val="00BA29CF"/>
    <w:rsid w:val="00BA2A52"/>
    <w:rsid w:val="00BA2AB6"/>
    <w:rsid w:val="00BA2F15"/>
    <w:rsid w:val="00BA309E"/>
    <w:rsid w:val="00BA30DF"/>
    <w:rsid w:val="00BA312C"/>
    <w:rsid w:val="00BA3232"/>
    <w:rsid w:val="00BA329D"/>
    <w:rsid w:val="00BA3575"/>
    <w:rsid w:val="00BA374C"/>
    <w:rsid w:val="00BA3783"/>
    <w:rsid w:val="00BA38C4"/>
    <w:rsid w:val="00BA3A77"/>
    <w:rsid w:val="00BA3DCA"/>
    <w:rsid w:val="00BA3F47"/>
    <w:rsid w:val="00BA3F83"/>
    <w:rsid w:val="00BA41CF"/>
    <w:rsid w:val="00BA421B"/>
    <w:rsid w:val="00BA42F1"/>
    <w:rsid w:val="00BA43D7"/>
    <w:rsid w:val="00BA4504"/>
    <w:rsid w:val="00BA4623"/>
    <w:rsid w:val="00BA474D"/>
    <w:rsid w:val="00BA47B4"/>
    <w:rsid w:val="00BA4B08"/>
    <w:rsid w:val="00BA4BB1"/>
    <w:rsid w:val="00BA4E44"/>
    <w:rsid w:val="00BA4E91"/>
    <w:rsid w:val="00BA4F2E"/>
    <w:rsid w:val="00BA4FDA"/>
    <w:rsid w:val="00BA50DA"/>
    <w:rsid w:val="00BA511F"/>
    <w:rsid w:val="00BA5195"/>
    <w:rsid w:val="00BA5459"/>
    <w:rsid w:val="00BA547F"/>
    <w:rsid w:val="00BA54D9"/>
    <w:rsid w:val="00BA551F"/>
    <w:rsid w:val="00BA56AF"/>
    <w:rsid w:val="00BA56CF"/>
    <w:rsid w:val="00BA56F3"/>
    <w:rsid w:val="00BA57BA"/>
    <w:rsid w:val="00BA57DC"/>
    <w:rsid w:val="00BA584C"/>
    <w:rsid w:val="00BA58BA"/>
    <w:rsid w:val="00BA5AE2"/>
    <w:rsid w:val="00BA5BEA"/>
    <w:rsid w:val="00BA5BEC"/>
    <w:rsid w:val="00BA5C23"/>
    <w:rsid w:val="00BA5EEF"/>
    <w:rsid w:val="00BA5F40"/>
    <w:rsid w:val="00BA6117"/>
    <w:rsid w:val="00BA6133"/>
    <w:rsid w:val="00BA61CC"/>
    <w:rsid w:val="00BA61F5"/>
    <w:rsid w:val="00BA630F"/>
    <w:rsid w:val="00BA65F4"/>
    <w:rsid w:val="00BA67BF"/>
    <w:rsid w:val="00BA680E"/>
    <w:rsid w:val="00BA696C"/>
    <w:rsid w:val="00BA6A60"/>
    <w:rsid w:val="00BA6B28"/>
    <w:rsid w:val="00BA6B29"/>
    <w:rsid w:val="00BA6BFD"/>
    <w:rsid w:val="00BA6D06"/>
    <w:rsid w:val="00BA6E77"/>
    <w:rsid w:val="00BA6FC3"/>
    <w:rsid w:val="00BA6FC5"/>
    <w:rsid w:val="00BA71BA"/>
    <w:rsid w:val="00BA725B"/>
    <w:rsid w:val="00BA7366"/>
    <w:rsid w:val="00BA75AF"/>
    <w:rsid w:val="00BA75E5"/>
    <w:rsid w:val="00BA760A"/>
    <w:rsid w:val="00BA76E4"/>
    <w:rsid w:val="00BA7797"/>
    <w:rsid w:val="00BA7857"/>
    <w:rsid w:val="00BA78DF"/>
    <w:rsid w:val="00BA793E"/>
    <w:rsid w:val="00BA7976"/>
    <w:rsid w:val="00BA79FE"/>
    <w:rsid w:val="00BA7ADE"/>
    <w:rsid w:val="00BA7B36"/>
    <w:rsid w:val="00BA7B46"/>
    <w:rsid w:val="00BA7BD0"/>
    <w:rsid w:val="00BA7CB5"/>
    <w:rsid w:val="00BA7E7A"/>
    <w:rsid w:val="00BA7F39"/>
    <w:rsid w:val="00BA7F3E"/>
    <w:rsid w:val="00BB018B"/>
    <w:rsid w:val="00BB0488"/>
    <w:rsid w:val="00BB053F"/>
    <w:rsid w:val="00BB0571"/>
    <w:rsid w:val="00BB057C"/>
    <w:rsid w:val="00BB05A1"/>
    <w:rsid w:val="00BB0798"/>
    <w:rsid w:val="00BB0845"/>
    <w:rsid w:val="00BB093E"/>
    <w:rsid w:val="00BB09F4"/>
    <w:rsid w:val="00BB0A3D"/>
    <w:rsid w:val="00BB0A82"/>
    <w:rsid w:val="00BB0B3A"/>
    <w:rsid w:val="00BB0BFC"/>
    <w:rsid w:val="00BB0CE8"/>
    <w:rsid w:val="00BB0D14"/>
    <w:rsid w:val="00BB0E81"/>
    <w:rsid w:val="00BB112E"/>
    <w:rsid w:val="00BB1147"/>
    <w:rsid w:val="00BB13FA"/>
    <w:rsid w:val="00BB14A0"/>
    <w:rsid w:val="00BB1555"/>
    <w:rsid w:val="00BB1707"/>
    <w:rsid w:val="00BB17C3"/>
    <w:rsid w:val="00BB183B"/>
    <w:rsid w:val="00BB191C"/>
    <w:rsid w:val="00BB1958"/>
    <w:rsid w:val="00BB1993"/>
    <w:rsid w:val="00BB1B2A"/>
    <w:rsid w:val="00BB1B42"/>
    <w:rsid w:val="00BB1B57"/>
    <w:rsid w:val="00BB1B58"/>
    <w:rsid w:val="00BB1B8E"/>
    <w:rsid w:val="00BB1C30"/>
    <w:rsid w:val="00BB1D71"/>
    <w:rsid w:val="00BB1E0C"/>
    <w:rsid w:val="00BB1E22"/>
    <w:rsid w:val="00BB1E29"/>
    <w:rsid w:val="00BB1E34"/>
    <w:rsid w:val="00BB1EA4"/>
    <w:rsid w:val="00BB2393"/>
    <w:rsid w:val="00BB247D"/>
    <w:rsid w:val="00BB28FB"/>
    <w:rsid w:val="00BB2923"/>
    <w:rsid w:val="00BB29C8"/>
    <w:rsid w:val="00BB2BAD"/>
    <w:rsid w:val="00BB2DBE"/>
    <w:rsid w:val="00BB2DC2"/>
    <w:rsid w:val="00BB2DEF"/>
    <w:rsid w:val="00BB2E2A"/>
    <w:rsid w:val="00BB3047"/>
    <w:rsid w:val="00BB3284"/>
    <w:rsid w:val="00BB32E7"/>
    <w:rsid w:val="00BB333B"/>
    <w:rsid w:val="00BB3468"/>
    <w:rsid w:val="00BB354C"/>
    <w:rsid w:val="00BB356A"/>
    <w:rsid w:val="00BB3A0B"/>
    <w:rsid w:val="00BB3B36"/>
    <w:rsid w:val="00BB3BAD"/>
    <w:rsid w:val="00BB3BDB"/>
    <w:rsid w:val="00BB3CC6"/>
    <w:rsid w:val="00BB3CE0"/>
    <w:rsid w:val="00BB3DA2"/>
    <w:rsid w:val="00BB3FE6"/>
    <w:rsid w:val="00BB4207"/>
    <w:rsid w:val="00BB422A"/>
    <w:rsid w:val="00BB43F3"/>
    <w:rsid w:val="00BB443E"/>
    <w:rsid w:val="00BB44EB"/>
    <w:rsid w:val="00BB44EC"/>
    <w:rsid w:val="00BB4977"/>
    <w:rsid w:val="00BB4A1B"/>
    <w:rsid w:val="00BB4A4D"/>
    <w:rsid w:val="00BB4A95"/>
    <w:rsid w:val="00BB4B98"/>
    <w:rsid w:val="00BB4BD8"/>
    <w:rsid w:val="00BB4CEB"/>
    <w:rsid w:val="00BB4D32"/>
    <w:rsid w:val="00BB4EB0"/>
    <w:rsid w:val="00BB4F22"/>
    <w:rsid w:val="00BB4F5A"/>
    <w:rsid w:val="00BB51B3"/>
    <w:rsid w:val="00BB52F2"/>
    <w:rsid w:val="00BB53CC"/>
    <w:rsid w:val="00BB5560"/>
    <w:rsid w:val="00BB55D0"/>
    <w:rsid w:val="00BB57D9"/>
    <w:rsid w:val="00BB58A3"/>
    <w:rsid w:val="00BB5971"/>
    <w:rsid w:val="00BB5A5D"/>
    <w:rsid w:val="00BB5AAF"/>
    <w:rsid w:val="00BB5B86"/>
    <w:rsid w:val="00BB5FF6"/>
    <w:rsid w:val="00BB6098"/>
    <w:rsid w:val="00BB612B"/>
    <w:rsid w:val="00BB6193"/>
    <w:rsid w:val="00BB61B0"/>
    <w:rsid w:val="00BB61CB"/>
    <w:rsid w:val="00BB6233"/>
    <w:rsid w:val="00BB627A"/>
    <w:rsid w:val="00BB63B0"/>
    <w:rsid w:val="00BB64C6"/>
    <w:rsid w:val="00BB64C9"/>
    <w:rsid w:val="00BB6554"/>
    <w:rsid w:val="00BB656F"/>
    <w:rsid w:val="00BB65F1"/>
    <w:rsid w:val="00BB660E"/>
    <w:rsid w:val="00BB6770"/>
    <w:rsid w:val="00BB692E"/>
    <w:rsid w:val="00BB6987"/>
    <w:rsid w:val="00BB6D76"/>
    <w:rsid w:val="00BB6D90"/>
    <w:rsid w:val="00BB6D9D"/>
    <w:rsid w:val="00BB6EA7"/>
    <w:rsid w:val="00BB6F34"/>
    <w:rsid w:val="00BB7015"/>
    <w:rsid w:val="00BB718D"/>
    <w:rsid w:val="00BB735B"/>
    <w:rsid w:val="00BB7502"/>
    <w:rsid w:val="00BB77F0"/>
    <w:rsid w:val="00BB78B9"/>
    <w:rsid w:val="00BB7916"/>
    <w:rsid w:val="00BB79A3"/>
    <w:rsid w:val="00BB79B9"/>
    <w:rsid w:val="00BB7A27"/>
    <w:rsid w:val="00BB7BAE"/>
    <w:rsid w:val="00BB7D74"/>
    <w:rsid w:val="00BB7F67"/>
    <w:rsid w:val="00BC00F3"/>
    <w:rsid w:val="00BC024A"/>
    <w:rsid w:val="00BC0295"/>
    <w:rsid w:val="00BC033B"/>
    <w:rsid w:val="00BC0380"/>
    <w:rsid w:val="00BC0451"/>
    <w:rsid w:val="00BC0525"/>
    <w:rsid w:val="00BC0528"/>
    <w:rsid w:val="00BC05D4"/>
    <w:rsid w:val="00BC06AE"/>
    <w:rsid w:val="00BC06BD"/>
    <w:rsid w:val="00BC0BA4"/>
    <w:rsid w:val="00BC0BC5"/>
    <w:rsid w:val="00BC0C6C"/>
    <w:rsid w:val="00BC0D61"/>
    <w:rsid w:val="00BC0DC1"/>
    <w:rsid w:val="00BC100A"/>
    <w:rsid w:val="00BC10F8"/>
    <w:rsid w:val="00BC1515"/>
    <w:rsid w:val="00BC156E"/>
    <w:rsid w:val="00BC158A"/>
    <w:rsid w:val="00BC162A"/>
    <w:rsid w:val="00BC178F"/>
    <w:rsid w:val="00BC1816"/>
    <w:rsid w:val="00BC1A6D"/>
    <w:rsid w:val="00BC1A96"/>
    <w:rsid w:val="00BC1B6E"/>
    <w:rsid w:val="00BC1BF8"/>
    <w:rsid w:val="00BC1C00"/>
    <w:rsid w:val="00BC1C85"/>
    <w:rsid w:val="00BC1D68"/>
    <w:rsid w:val="00BC1DFE"/>
    <w:rsid w:val="00BC1E4A"/>
    <w:rsid w:val="00BC20FA"/>
    <w:rsid w:val="00BC21BC"/>
    <w:rsid w:val="00BC21C6"/>
    <w:rsid w:val="00BC2312"/>
    <w:rsid w:val="00BC2432"/>
    <w:rsid w:val="00BC24AB"/>
    <w:rsid w:val="00BC2828"/>
    <w:rsid w:val="00BC2869"/>
    <w:rsid w:val="00BC2980"/>
    <w:rsid w:val="00BC29E9"/>
    <w:rsid w:val="00BC2D53"/>
    <w:rsid w:val="00BC2ED7"/>
    <w:rsid w:val="00BC3115"/>
    <w:rsid w:val="00BC326F"/>
    <w:rsid w:val="00BC34C0"/>
    <w:rsid w:val="00BC34DB"/>
    <w:rsid w:val="00BC36EC"/>
    <w:rsid w:val="00BC37A5"/>
    <w:rsid w:val="00BC37A9"/>
    <w:rsid w:val="00BC3866"/>
    <w:rsid w:val="00BC3A66"/>
    <w:rsid w:val="00BC3B1B"/>
    <w:rsid w:val="00BC3B38"/>
    <w:rsid w:val="00BC3B45"/>
    <w:rsid w:val="00BC3B74"/>
    <w:rsid w:val="00BC3B83"/>
    <w:rsid w:val="00BC3D33"/>
    <w:rsid w:val="00BC3DBD"/>
    <w:rsid w:val="00BC3E0E"/>
    <w:rsid w:val="00BC3F8A"/>
    <w:rsid w:val="00BC4149"/>
    <w:rsid w:val="00BC4268"/>
    <w:rsid w:val="00BC42F6"/>
    <w:rsid w:val="00BC4359"/>
    <w:rsid w:val="00BC455E"/>
    <w:rsid w:val="00BC469A"/>
    <w:rsid w:val="00BC47EE"/>
    <w:rsid w:val="00BC48A0"/>
    <w:rsid w:val="00BC48F8"/>
    <w:rsid w:val="00BC4B68"/>
    <w:rsid w:val="00BC4BBA"/>
    <w:rsid w:val="00BC4DCF"/>
    <w:rsid w:val="00BC4DDA"/>
    <w:rsid w:val="00BC4E57"/>
    <w:rsid w:val="00BC4E76"/>
    <w:rsid w:val="00BC4FD4"/>
    <w:rsid w:val="00BC512B"/>
    <w:rsid w:val="00BC514E"/>
    <w:rsid w:val="00BC5192"/>
    <w:rsid w:val="00BC526D"/>
    <w:rsid w:val="00BC5294"/>
    <w:rsid w:val="00BC530E"/>
    <w:rsid w:val="00BC5412"/>
    <w:rsid w:val="00BC557B"/>
    <w:rsid w:val="00BC5598"/>
    <w:rsid w:val="00BC55F5"/>
    <w:rsid w:val="00BC5608"/>
    <w:rsid w:val="00BC57A1"/>
    <w:rsid w:val="00BC5830"/>
    <w:rsid w:val="00BC58D6"/>
    <w:rsid w:val="00BC5D9A"/>
    <w:rsid w:val="00BC5DB3"/>
    <w:rsid w:val="00BC5E7C"/>
    <w:rsid w:val="00BC5E8F"/>
    <w:rsid w:val="00BC609B"/>
    <w:rsid w:val="00BC61AF"/>
    <w:rsid w:val="00BC61BA"/>
    <w:rsid w:val="00BC68A6"/>
    <w:rsid w:val="00BC68C0"/>
    <w:rsid w:val="00BC690D"/>
    <w:rsid w:val="00BC69DB"/>
    <w:rsid w:val="00BC6AE2"/>
    <w:rsid w:val="00BC6C2B"/>
    <w:rsid w:val="00BC6D00"/>
    <w:rsid w:val="00BC6D12"/>
    <w:rsid w:val="00BC6E13"/>
    <w:rsid w:val="00BC6F7C"/>
    <w:rsid w:val="00BC71E7"/>
    <w:rsid w:val="00BC759D"/>
    <w:rsid w:val="00BC780A"/>
    <w:rsid w:val="00BC7A4F"/>
    <w:rsid w:val="00BC7B1D"/>
    <w:rsid w:val="00BC7F90"/>
    <w:rsid w:val="00BD000D"/>
    <w:rsid w:val="00BD028B"/>
    <w:rsid w:val="00BD02A7"/>
    <w:rsid w:val="00BD034E"/>
    <w:rsid w:val="00BD054B"/>
    <w:rsid w:val="00BD0779"/>
    <w:rsid w:val="00BD07BF"/>
    <w:rsid w:val="00BD083A"/>
    <w:rsid w:val="00BD0A5E"/>
    <w:rsid w:val="00BD0B67"/>
    <w:rsid w:val="00BD0C8A"/>
    <w:rsid w:val="00BD0D48"/>
    <w:rsid w:val="00BD0DEE"/>
    <w:rsid w:val="00BD0F47"/>
    <w:rsid w:val="00BD114A"/>
    <w:rsid w:val="00BD11EF"/>
    <w:rsid w:val="00BD121B"/>
    <w:rsid w:val="00BD121C"/>
    <w:rsid w:val="00BD14B4"/>
    <w:rsid w:val="00BD15C4"/>
    <w:rsid w:val="00BD161F"/>
    <w:rsid w:val="00BD182E"/>
    <w:rsid w:val="00BD1857"/>
    <w:rsid w:val="00BD19E8"/>
    <w:rsid w:val="00BD19F0"/>
    <w:rsid w:val="00BD1C04"/>
    <w:rsid w:val="00BD1E08"/>
    <w:rsid w:val="00BD1ECA"/>
    <w:rsid w:val="00BD1F4E"/>
    <w:rsid w:val="00BD1F88"/>
    <w:rsid w:val="00BD1FB7"/>
    <w:rsid w:val="00BD2034"/>
    <w:rsid w:val="00BD2209"/>
    <w:rsid w:val="00BD2446"/>
    <w:rsid w:val="00BD25DA"/>
    <w:rsid w:val="00BD27E7"/>
    <w:rsid w:val="00BD28C2"/>
    <w:rsid w:val="00BD2901"/>
    <w:rsid w:val="00BD2932"/>
    <w:rsid w:val="00BD2987"/>
    <w:rsid w:val="00BD2989"/>
    <w:rsid w:val="00BD2AED"/>
    <w:rsid w:val="00BD2B03"/>
    <w:rsid w:val="00BD2B2D"/>
    <w:rsid w:val="00BD2B7D"/>
    <w:rsid w:val="00BD2B93"/>
    <w:rsid w:val="00BD2BCD"/>
    <w:rsid w:val="00BD2CB5"/>
    <w:rsid w:val="00BD2F0E"/>
    <w:rsid w:val="00BD30C6"/>
    <w:rsid w:val="00BD3109"/>
    <w:rsid w:val="00BD3134"/>
    <w:rsid w:val="00BD3175"/>
    <w:rsid w:val="00BD31EB"/>
    <w:rsid w:val="00BD325A"/>
    <w:rsid w:val="00BD32A6"/>
    <w:rsid w:val="00BD3341"/>
    <w:rsid w:val="00BD3356"/>
    <w:rsid w:val="00BD348A"/>
    <w:rsid w:val="00BD351C"/>
    <w:rsid w:val="00BD3574"/>
    <w:rsid w:val="00BD36EF"/>
    <w:rsid w:val="00BD37F8"/>
    <w:rsid w:val="00BD3814"/>
    <w:rsid w:val="00BD389E"/>
    <w:rsid w:val="00BD394E"/>
    <w:rsid w:val="00BD3A2E"/>
    <w:rsid w:val="00BD3B93"/>
    <w:rsid w:val="00BD3D6B"/>
    <w:rsid w:val="00BD42A2"/>
    <w:rsid w:val="00BD42B4"/>
    <w:rsid w:val="00BD42B9"/>
    <w:rsid w:val="00BD444A"/>
    <w:rsid w:val="00BD46A3"/>
    <w:rsid w:val="00BD47B2"/>
    <w:rsid w:val="00BD487F"/>
    <w:rsid w:val="00BD48C9"/>
    <w:rsid w:val="00BD4984"/>
    <w:rsid w:val="00BD4BA9"/>
    <w:rsid w:val="00BD4BB6"/>
    <w:rsid w:val="00BD5024"/>
    <w:rsid w:val="00BD516E"/>
    <w:rsid w:val="00BD5246"/>
    <w:rsid w:val="00BD52FA"/>
    <w:rsid w:val="00BD53E9"/>
    <w:rsid w:val="00BD5420"/>
    <w:rsid w:val="00BD57EF"/>
    <w:rsid w:val="00BD5806"/>
    <w:rsid w:val="00BD592E"/>
    <w:rsid w:val="00BD59C4"/>
    <w:rsid w:val="00BD5A97"/>
    <w:rsid w:val="00BD5B0E"/>
    <w:rsid w:val="00BD5BAB"/>
    <w:rsid w:val="00BD5C92"/>
    <w:rsid w:val="00BD5C98"/>
    <w:rsid w:val="00BD5D00"/>
    <w:rsid w:val="00BD5F26"/>
    <w:rsid w:val="00BD5F54"/>
    <w:rsid w:val="00BD63FC"/>
    <w:rsid w:val="00BD64FC"/>
    <w:rsid w:val="00BD6538"/>
    <w:rsid w:val="00BD6720"/>
    <w:rsid w:val="00BD67B6"/>
    <w:rsid w:val="00BD6893"/>
    <w:rsid w:val="00BD6A81"/>
    <w:rsid w:val="00BD6CE9"/>
    <w:rsid w:val="00BD6E76"/>
    <w:rsid w:val="00BD6ECF"/>
    <w:rsid w:val="00BD6F76"/>
    <w:rsid w:val="00BD704E"/>
    <w:rsid w:val="00BD70CE"/>
    <w:rsid w:val="00BD715F"/>
    <w:rsid w:val="00BD7293"/>
    <w:rsid w:val="00BD7297"/>
    <w:rsid w:val="00BD733A"/>
    <w:rsid w:val="00BD73ED"/>
    <w:rsid w:val="00BD7665"/>
    <w:rsid w:val="00BD78C9"/>
    <w:rsid w:val="00BD78DE"/>
    <w:rsid w:val="00BD7981"/>
    <w:rsid w:val="00BD7A3A"/>
    <w:rsid w:val="00BD7A51"/>
    <w:rsid w:val="00BD7AF8"/>
    <w:rsid w:val="00BD7BD7"/>
    <w:rsid w:val="00BD7EDB"/>
    <w:rsid w:val="00BD7EF5"/>
    <w:rsid w:val="00BD7F13"/>
    <w:rsid w:val="00BD7F33"/>
    <w:rsid w:val="00BD7F83"/>
    <w:rsid w:val="00BD7FDD"/>
    <w:rsid w:val="00BD7FFC"/>
    <w:rsid w:val="00BE01BE"/>
    <w:rsid w:val="00BE027A"/>
    <w:rsid w:val="00BE027D"/>
    <w:rsid w:val="00BE02FE"/>
    <w:rsid w:val="00BE0362"/>
    <w:rsid w:val="00BE03B2"/>
    <w:rsid w:val="00BE042F"/>
    <w:rsid w:val="00BE0439"/>
    <w:rsid w:val="00BE0645"/>
    <w:rsid w:val="00BE06D5"/>
    <w:rsid w:val="00BE089A"/>
    <w:rsid w:val="00BE09FB"/>
    <w:rsid w:val="00BE0F4C"/>
    <w:rsid w:val="00BE106B"/>
    <w:rsid w:val="00BE135B"/>
    <w:rsid w:val="00BE1390"/>
    <w:rsid w:val="00BE13AA"/>
    <w:rsid w:val="00BE13AE"/>
    <w:rsid w:val="00BE1590"/>
    <w:rsid w:val="00BE1757"/>
    <w:rsid w:val="00BE17CC"/>
    <w:rsid w:val="00BE1A26"/>
    <w:rsid w:val="00BE1AA0"/>
    <w:rsid w:val="00BE1AD5"/>
    <w:rsid w:val="00BE1D11"/>
    <w:rsid w:val="00BE1D60"/>
    <w:rsid w:val="00BE1E61"/>
    <w:rsid w:val="00BE1F48"/>
    <w:rsid w:val="00BE2007"/>
    <w:rsid w:val="00BE20A9"/>
    <w:rsid w:val="00BE20DA"/>
    <w:rsid w:val="00BE2188"/>
    <w:rsid w:val="00BE21A3"/>
    <w:rsid w:val="00BE2208"/>
    <w:rsid w:val="00BE238F"/>
    <w:rsid w:val="00BE24A1"/>
    <w:rsid w:val="00BE2506"/>
    <w:rsid w:val="00BE263E"/>
    <w:rsid w:val="00BE263F"/>
    <w:rsid w:val="00BE26B5"/>
    <w:rsid w:val="00BE272E"/>
    <w:rsid w:val="00BE2994"/>
    <w:rsid w:val="00BE2B78"/>
    <w:rsid w:val="00BE2C99"/>
    <w:rsid w:val="00BE2CC5"/>
    <w:rsid w:val="00BE2F69"/>
    <w:rsid w:val="00BE2FC2"/>
    <w:rsid w:val="00BE2FF5"/>
    <w:rsid w:val="00BE303B"/>
    <w:rsid w:val="00BE3078"/>
    <w:rsid w:val="00BE30C8"/>
    <w:rsid w:val="00BE3108"/>
    <w:rsid w:val="00BE3240"/>
    <w:rsid w:val="00BE348D"/>
    <w:rsid w:val="00BE349B"/>
    <w:rsid w:val="00BE35E4"/>
    <w:rsid w:val="00BE36FC"/>
    <w:rsid w:val="00BE38FA"/>
    <w:rsid w:val="00BE399E"/>
    <w:rsid w:val="00BE3A98"/>
    <w:rsid w:val="00BE3C00"/>
    <w:rsid w:val="00BE4037"/>
    <w:rsid w:val="00BE416A"/>
    <w:rsid w:val="00BE41E0"/>
    <w:rsid w:val="00BE4544"/>
    <w:rsid w:val="00BE46C2"/>
    <w:rsid w:val="00BE46D1"/>
    <w:rsid w:val="00BE473B"/>
    <w:rsid w:val="00BE47A1"/>
    <w:rsid w:val="00BE47E1"/>
    <w:rsid w:val="00BE4849"/>
    <w:rsid w:val="00BE4966"/>
    <w:rsid w:val="00BE496E"/>
    <w:rsid w:val="00BE4BD7"/>
    <w:rsid w:val="00BE4C01"/>
    <w:rsid w:val="00BE4C37"/>
    <w:rsid w:val="00BE4CD1"/>
    <w:rsid w:val="00BE4CE0"/>
    <w:rsid w:val="00BE4D6C"/>
    <w:rsid w:val="00BE4E36"/>
    <w:rsid w:val="00BE4EC4"/>
    <w:rsid w:val="00BE4FC5"/>
    <w:rsid w:val="00BE50E9"/>
    <w:rsid w:val="00BE5160"/>
    <w:rsid w:val="00BE5221"/>
    <w:rsid w:val="00BE52CB"/>
    <w:rsid w:val="00BE54BE"/>
    <w:rsid w:val="00BE5522"/>
    <w:rsid w:val="00BE55B3"/>
    <w:rsid w:val="00BE5612"/>
    <w:rsid w:val="00BE56A9"/>
    <w:rsid w:val="00BE5949"/>
    <w:rsid w:val="00BE597C"/>
    <w:rsid w:val="00BE59C2"/>
    <w:rsid w:val="00BE5A48"/>
    <w:rsid w:val="00BE5B2B"/>
    <w:rsid w:val="00BE5B31"/>
    <w:rsid w:val="00BE5B7B"/>
    <w:rsid w:val="00BE5CC2"/>
    <w:rsid w:val="00BE5DA7"/>
    <w:rsid w:val="00BE5FC6"/>
    <w:rsid w:val="00BE5FD7"/>
    <w:rsid w:val="00BE61BF"/>
    <w:rsid w:val="00BE628C"/>
    <w:rsid w:val="00BE62BF"/>
    <w:rsid w:val="00BE6375"/>
    <w:rsid w:val="00BE6423"/>
    <w:rsid w:val="00BE643D"/>
    <w:rsid w:val="00BE64C7"/>
    <w:rsid w:val="00BE667D"/>
    <w:rsid w:val="00BE6746"/>
    <w:rsid w:val="00BE6917"/>
    <w:rsid w:val="00BE6933"/>
    <w:rsid w:val="00BE69B0"/>
    <w:rsid w:val="00BE69B2"/>
    <w:rsid w:val="00BE6A15"/>
    <w:rsid w:val="00BE6B25"/>
    <w:rsid w:val="00BE6BED"/>
    <w:rsid w:val="00BE6C42"/>
    <w:rsid w:val="00BE6CE4"/>
    <w:rsid w:val="00BE6D60"/>
    <w:rsid w:val="00BE6EBF"/>
    <w:rsid w:val="00BE6FE0"/>
    <w:rsid w:val="00BE6FEB"/>
    <w:rsid w:val="00BE71F4"/>
    <w:rsid w:val="00BE72E8"/>
    <w:rsid w:val="00BE734A"/>
    <w:rsid w:val="00BE738F"/>
    <w:rsid w:val="00BE7404"/>
    <w:rsid w:val="00BE7432"/>
    <w:rsid w:val="00BE74E7"/>
    <w:rsid w:val="00BE75BC"/>
    <w:rsid w:val="00BE7637"/>
    <w:rsid w:val="00BE77ED"/>
    <w:rsid w:val="00BE781B"/>
    <w:rsid w:val="00BE78D2"/>
    <w:rsid w:val="00BE7973"/>
    <w:rsid w:val="00BE79A2"/>
    <w:rsid w:val="00BE79CD"/>
    <w:rsid w:val="00BE7AE8"/>
    <w:rsid w:val="00BE7B47"/>
    <w:rsid w:val="00BE7C5E"/>
    <w:rsid w:val="00BE7CF1"/>
    <w:rsid w:val="00BE7D41"/>
    <w:rsid w:val="00BE7E30"/>
    <w:rsid w:val="00BF0081"/>
    <w:rsid w:val="00BF00F5"/>
    <w:rsid w:val="00BF011E"/>
    <w:rsid w:val="00BF04E3"/>
    <w:rsid w:val="00BF0539"/>
    <w:rsid w:val="00BF05CA"/>
    <w:rsid w:val="00BF0618"/>
    <w:rsid w:val="00BF07D0"/>
    <w:rsid w:val="00BF0858"/>
    <w:rsid w:val="00BF09C2"/>
    <w:rsid w:val="00BF0B30"/>
    <w:rsid w:val="00BF0B8C"/>
    <w:rsid w:val="00BF0C6D"/>
    <w:rsid w:val="00BF0E27"/>
    <w:rsid w:val="00BF0E2B"/>
    <w:rsid w:val="00BF0E2E"/>
    <w:rsid w:val="00BF0EE1"/>
    <w:rsid w:val="00BF0F0F"/>
    <w:rsid w:val="00BF1049"/>
    <w:rsid w:val="00BF10B9"/>
    <w:rsid w:val="00BF118B"/>
    <w:rsid w:val="00BF1209"/>
    <w:rsid w:val="00BF120C"/>
    <w:rsid w:val="00BF12A0"/>
    <w:rsid w:val="00BF13E5"/>
    <w:rsid w:val="00BF146F"/>
    <w:rsid w:val="00BF1520"/>
    <w:rsid w:val="00BF19A8"/>
    <w:rsid w:val="00BF1B45"/>
    <w:rsid w:val="00BF1B81"/>
    <w:rsid w:val="00BF1BD2"/>
    <w:rsid w:val="00BF1E31"/>
    <w:rsid w:val="00BF1E45"/>
    <w:rsid w:val="00BF1EE5"/>
    <w:rsid w:val="00BF1F48"/>
    <w:rsid w:val="00BF1F96"/>
    <w:rsid w:val="00BF2031"/>
    <w:rsid w:val="00BF20E4"/>
    <w:rsid w:val="00BF2181"/>
    <w:rsid w:val="00BF21FC"/>
    <w:rsid w:val="00BF220A"/>
    <w:rsid w:val="00BF233C"/>
    <w:rsid w:val="00BF23DC"/>
    <w:rsid w:val="00BF2420"/>
    <w:rsid w:val="00BF2687"/>
    <w:rsid w:val="00BF297F"/>
    <w:rsid w:val="00BF2994"/>
    <w:rsid w:val="00BF2997"/>
    <w:rsid w:val="00BF2A1C"/>
    <w:rsid w:val="00BF2B40"/>
    <w:rsid w:val="00BF2B49"/>
    <w:rsid w:val="00BF2C15"/>
    <w:rsid w:val="00BF2C3A"/>
    <w:rsid w:val="00BF2C58"/>
    <w:rsid w:val="00BF2CE0"/>
    <w:rsid w:val="00BF2DF3"/>
    <w:rsid w:val="00BF2E66"/>
    <w:rsid w:val="00BF2E8E"/>
    <w:rsid w:val="00BF2EF5"/>
    <w:rsid w:val="00BF2F6E"/>
    <w:rsid w:val="00BF3127"/>
    <w:rsid w:val="00BF33A7"/>
    <w:rsid w:val="00BF3539"/>
    <w:rsid w:val="00BF356A"/>
    <w:rsid w:val="00BF3717"/>
    <w:rsid w:val="00BF38E8"/>
    <w:rsid w:val="00BF39AF"/>
    <w:rsid w:val="00BF3B0C"/>
    <w:rsid w:val="00BF3B0E"/>
    <w:rsid w:val="00BF3CB9"/>
    <w:rsid w:val="00BF3D94"/>
    <w:rsid w:val="00BF3E22"/>
    <w:rsid w:val="00BF3E93"/>
    <w:rsid w:val="00BF3FEB"/>
    <w:rsid w:val="00BF3FF7"/>
    <w:rsid w:val="00BF40AF"/>
    <w:rsid w:val="00BF41B0"/>
    <w:rsid w:val="00BF4579"/>
    <w:rsid w:val="00BF4619"/>
    <w:rsid w:val="00BF4644"/>
    <w:rsid w:val="00BF4847"/>
    <w:rsid w:val="00BF49F4"/>
    <w:rsid w:val="00BF4B89"/>
    <w:rsid w:val="00BF4B9A"/>
    <w:rsid w:val="00BF4C1A"/>
    <w:rsid w:val="00BF4C1E"/>
    <w:rsid w:val="00BF4FA6"/>
    <w:rsid w:val="00BF502D"/>
    <w:rsid w:val="00BF514E"/>
    <w:rsid w:val="00BF51CC"/>
    <w:rsid w:val="00BF5259"/>
    <w:rsid w:val="00BF5306"/>
    <w:rsid w:val="00BF5375"/>
    <w:rsid w:val="00BF5414"/>
    <w:rsid w:val="00BF541B"/>
    <w:rsid w:val="00BF54A6"/>
    <w:rsid w:val="00BF54CE"/>
    <w:rsid w:val="00BF565B"/>
    <w:rsid w:val="00BF5716"/>
    <w:rsid w:val="00BF58AF"/>
    <w:rsid w:val="00BF59AE"/>
    <w:rsid w:val="00BF59E1"/>
    <w:rsid w:val="00BF5C9C"/>
    <w:rsid w:val="00BF5D3F"/>
    <w:rsid w:val="00BF5E0C"/>
    <w:rsid w:val="00BF5E48"/>
    <w:rsid w:val="00BF5EF6"/>
    <w:rsid w:val="00BF5F7D"/>
    <w:rsid w:val="00BF613B"/>
    <w:rsid w:val="00BF615F"/>
    <w:rsid w:val="00BF61F7"/>
    <w:rsid w:val="00BF61FB"/>
    <w:rsid w:val="00BF6459"/>
    <w:rsid w:val="00BF6484"/>
    <w:rsid w:val="00BF64A8"/>
    <w:rsid w:val="00BF65E7"/>
    <w:rsid w:val="00BF66AF"/>
    <w:rsid w:val="00BF6738"/>
    <w:rsid w:val="00BF68A8"/>
    <w:rsid w:val="00BF6A1D"/>
    <w:rsid w:val="00BF6ABD"/>
    <w:rsid w:val="00BF6B04"/>
    <w:rsid w:val="00BF6BCE"/>
    <w:rsid w:val="00BF6BEC"/>
    <w:rsid w:val="00BF6C35"/>
    <w:rsid w:val="00BF6D34"/>
    <w:rsid w:val="00BF6E9E"/>
    <w:rsid w:val="00BF6F67"/>
    <w:rsid w:val="00BF7184"/>
    <w:rsid w:val="00BF72E4"/>
    <w:rsid w:val="00BF735B"/>
    <w:rsid w:val="00BF7559"/>
    <w:rsid w:val="00BF76FE"/>
    <w:rsid w:val="00BF79F1"/>
    <w:rsid w:val="00BF7BEB"/>
    <w:rsid w:val="00BF7CA5"/>
    <w:rsid w:val="00BF7CCA"/>
    <w:rsid w:val="00BF7D1C"/>
    <w:rsid w:val="00BF7DBA"/>
    <w:rsid w:val="00BF7E2A"/>
    <w:rsid w:val="00BF7E2E"/>
    <w:rsid w:val="00BF7E64"/>
    <w:rsid w:val="00BF7EE0"/>
    <w:rsid w:val="00C000AA"/>
    <w:rsid w:val="00C00338"/>
    <w:rsid w:val="00C0044D"/>
    <w:rsid w:val="00C0056A"/>
    <w:rsid w:val="00C005B7"/>
    <w:rsid w:val="00C00887"/>
    <w:rsid w:val="00C00975"/>
    <w:rsid w:val="00C00A8C"/>
    <w:rsid w:val="00C00DA9"/>
    <w:rsid w:val="00C00F38"/>
    <w:rsid w:val="00C00FE2"/>
    <w:rsid w:val="00C010F9"/>
    <w:rsid w:val="00C01172"/>
    <w:rsid w:val="00C011F6"/>
    <w:rsid w:val="00C01218"/>
    <w:rsid w:val="00C012AE"/>
    <w:rsid w:val="00C013D7"/>
    <w:rsid w:val="00C01414"/>
    <w:rsid w:val="00C01512"/>
    <w:rsid w:val="00C016C2"/>
    <w:rsid w:val="00C0183E"/>
    <w:rsid w:val="00C01878"/>
    <w:rsid w:val="00C018D8"/>
    <w:rsid w:val="00C01C4E"/>
    <w:rsid w:val="00C01C7C"/>
    <w:rsid w:val="00C01CD7"/>
    <w:rsid w:val="00C01D52"/>
    <w:rsid w:val="00C01DB1"/>
    <w:rsid w:val="00C01E27"/>
    <w:rsid w:val="00C020EA"/>
    <w:rsid w:val="00C02314"/>
    <w:rsid w:val="00C023A9"/>
    <w:rsid w:val="00C02439"/>
    <w:rsid w:val="00C0243E"/>
    <w:rsid w:val="00C02556"/>
    <w:rsid w:val="00C02592"/>
    <w:rsid w:val="00C0267A"/>
    <w:rsid w:val="00C02717"/>
    <w:rsid w:val="00C027F5"/>
    <w:rsid w:val="00C02834"/>
    <w:rsid w:val="00C029C2"/>
    <w:rsid w:val="00C02A15"/>
    <w:rsid w:val="00C02A45"/>
    <w:rsid w:val="00C02B16"/>
    <w:rsid w:val="00C02BBA"/>
    <w:rsid w:val="00C02BF6"/>
    <w:rsid w:val="00C02F74"/>
    <w:rsid w:val="00C02FA4"/>
    <w:rsid w:val="00C0305F"/>
    <w:rsid w:val="00C03084"/>
    <w:rsid w:val="00C030A3"/>
    <w:rsid w:val="00C030D2"/>
    <w:rsid w:val="00C032ED"/>
    <w:rsid w:val="00C034F2"/>
    <w:rsid w:val="00C034FF"/>
    <w:rsid w:val="00C03553"/>
    <w:rsid w:val="00C03729"/>
    <w:rsid w:val="00C03805"/>
    <w:rsid w:val="00C03AF5"/>
    <w:rsid w:val="00C03B86"/>
    <w:rsid w:val="00C03BCB"/>
    <w:rsid w:val="00C03BFF"/>
    <w:rsid w:val="00C03DD9"/>
    <w:rsid w:val="00C03DEF"/>
    <w:rsid w:val="00C03F1B"/>
    <w:rsid w:val="00C03F32"/>
    <w:rsid w:val="00C0416C"/>
    <w:rsid w:val="00C0422C"/>
    <w:rsid w:val="00C04251"/>
    <w:rsid w:val="00C0443E"/>
    <w:rsid w:val="00C0454C"/>
    <w:rsid w:val="00C0463A"/>
    <w:rsid w:val="00C0471D"/>
    <w:rsid w:val="00C04808"/>
    <w:rsid w:val="00C04822"/>
    <w:rsid w:val="00C04888"/>
    <w:rsid w:val="00C048A5"/>
    <w:rsid w:val="00C048CB"/>
    <w:rsid w:val="00C04959"/>
    <w:rsid w:val="00C049CF"/>
    <w:rsid w:val="00C04DC9"/>
    <w:rsid w:val="00C04E0B"/>
    <w:rsid w:val="00C04E9C"/>
    <w:rsid w:val="00C0515A"/>
    <w:rsid w:val="00C051E3"/>
    <w:rsid w:val="00C051E5"/>
    <w:rsid w:val="00C052F7"/>
    <w:rsid w:val="00C058D0"/>
    <w:rsid w:val="00C059C4"/>
    <w:rsid w:val="00C05DB0"/>
    <w:rsid w:val="00C05E3C"/>
    <w:rsid w:val="00C05E3D"/>
    <w:rsid w:val="00C06016"/>
    <w:rsid w:val="00C0604B"/>
    <w:rsid w:val="00C0614F"/>
    <w:rsid w:val="00C0625A"/>
    <w:rsid w:val="00C062EA"/>
    <w:rsid w:val="00C0639A"/>
    <w:rsid w:val="00C064D2"/>
    <w:rsid w:val="00C0650D"/>
    <w:rsid w:val="00C06542"/>
    <w:rsid w:val="00C0676D"/>
    <w:rsid w:val="00C06786"/>
    <w:rsid w:val="00C067F7"/>
    <w:rsid w:val="00C06896"/>
    <w:rsid w:val="00C068F4"/>
    <w:rsid w:val="00C0697A"/>
    <w:rsid w:val="00C06CC7"/>
    <w:rsid w:val="00C06D2B"/>
    <w:rsid w:val="00C06DAD"/>
    <w:rsid w:val="00C070E2"/>
    <w:rsid w:val="00C071FE"/>
    <w:rsid w:val="00C073FE"/>
    <w:rsid w:val="00C074D5"/>
    <w:rsid w:val="00C07634"/>
    <w:rsid w:val="00C07706"/>
    <w:rsid w:val="00C077AB"/>
    <w:rsid w:val="00C077B2"/>
    <w:rsid w:val="00C07883"/>
    <w:rsid w:val="00C0789C"/>
    <w:rsid w:val="00C07AB7"/>
    <w:rsid w:val="00C07BD9"/>
    <w:rsid w:val="00C07BDE"/>
    <w:rsid w:val="00C07C0B"/>
    <w:rsid w:val="00C07CBA"/>
    <w:rsid w:val="00C10023"/>
    <w:rsid w:val="00C10147"/>
    <w:rsid w:val="00C1021A"/>
    <w:rsid w:val="00C102AA"/>
    <w:rsid w:val="00C10358"/>
    <w:rsid w:val="00C103E3"/>
    <w:rsid w:val="00C105E4"/>
    <w:rsid w:val="00C107BE"/>
    <w:rsid w:val="00C1084E"/>
    <w:rsid w:val="00C108E8"/>
    <w:rsid w:val="00C10B27"/>
    <w:rsid w:val="00C10B28"/>
    <w:rsid w:val="00C10C69"/>
    <w:rsid w:val="00C10CAB"/>
    <w:rsid w:val="00C10FA5"/>
    <w:rsid w:val="00C1154C"/>
    <w:rsid w:val="00C11559"/>
    <w:rsid w:val="00C115BC"/>
    <w:rsid w:val="00C11666"/>
    <w:rsid w:val="00C11757"/>
    <w:rsid w:val="00C1182D"/>
    <w:rsid w:val="00C118B5"/>
    <w:rsid w:val="00C1195C"/>
    <w:rsid w:val="00C11B6C"/>
    <w:rsid w:val="00C11B70"/>
    <w:rsid w:val="00C11C1A"/>
    <w:rsid w:val="00C11C6E"/>
    <w:rsid w:val="00C11C92"/>
    <w:rsid w:val="00C11FD5"/>
    <w:rsid w:val="00C12002"/>
    <w:rsid w:val="00C1202D"/>
    <w:rsid w:val="00C123AB"/>
    <w:rsid w:val="00C12407"/>
    <w:rsid w:val="00C12504"/>
    <w:rsid w:val="00C12538"/>
    <w:rsid w:val="00C12563"/>
    <w:rsid w:val="00C125DC"/>
    <w:rsid w:val="00C1262A"/>
    <w:rsid w:val="00C1273B"/>
    <w:rsid w:val="00C12A4F"/>
    <w:rsid w:val="00C12AA2"/>
    <w:rsid w:val="00C12C53"/>
    <w:rsid w:val="00C12DA6"/>
    <w:rsid w:val="00C12F6F"/>
    <w:rsid w:val="00C12FB9"/>
    <w:rsid w:val="00C131E2"/>
    <w:rsid w:val="00C1336C"/>
    <w:rsid w:val="00C133A9"/>
    <w:rsid w:val="00C134B6"/>
    <w:rsid w:val="00C13655"/>
    <w:rsid w:val="00C138D1"/>
    <w:rsid w:val="00C139A3"/>
    <w:rsid w:val="00C13AE3"/>
    <w:rsid w:val="00C13AF1"/>
    <w:rsid w:val="00C13B23"/>
    <w:rsid w:val="00C13D33"/>
    <w:rsid w:val="00C13D9D"/>
    <w:rsid w:val="00C13E16"/>
    <w:rsid w:val="00C13EA3"/>
    <w:rsid w:val="00C13F37"/>
    <w:rsid w:val="00C140B3"/>
    <w:rsid w:val="00C1425B"/>
    <w:rsid w:val="00C143D3"/>
    <w:rsid w:val="00C1460E"/>
    <w:rsid w:val="00C1474B"/>
    <w:rsid w:val="00C148AE"/>
    <w:rsid w:val="00C1496E"/>
    <w:rsid w:val="00C149A9"/>
    <w:rsid w:val="00C14A04"/>
    <w:rsid w:val="00C14AE7"/>
    <w:rsid w:val="00C14C3F"/>
    <w:rsid w:val="00C14DBF"/>
    <w:rsid w:val="00C14E06"/>
    <w:rsid w:val="00C15091"/>
    <w:rsid w:val="00C150CA"/>
    <w:rsid w:val="00C1524F"/>
    <w:rsid w:val="00C152B0"/>
    <w:rsid w:val="00C15326"/>
    <w:rsid w:val="00C15337"/>
    <w:rsid w:val="00C153E3"/>
    <w:rsid w:val="00C156E7"/>
    <w:rsid w:val="00C15882"/>
    <w:rsid w:val="00C158B5"/>
    <w:rsid w:val="00C15905"/>
    <w:rsid w:val="00C15970"/>
    <w:rsid w:val="00C1597B"/>
    <w:rsid w:val="00C159A7"/>
    <w:rsid w:val="00C15D60"/>
    <w:rsid w:val="00C15ECF"/>
    <w:rsid w:val="00C15FBE"/>
    <w:rsid w:val="00C1601B"/>
    <w:rsid w:val="00C16229"/>
    <w:rsid w:val="00C165FE"/>
    <w:rsid w:val="00C166E5"/>
    <w:rsid w:val="00C16749"/>
    <w:rsid w:val="00C1674F"/>
    <w:rsid w:val="00C167F0"/>
    <w:rsid w:val="00C1696F"/>
    <w:rsid w:val="00C16A89"/>
    <w:rsid w:val="00C16AD6"/>
    <w:rsid w:val="00C16BF2"/>
    <w:rsid w:val="00C16CB0"/>
    <w:rsid w:val="00C16CF4"/>
    <w:rsid w:val="00C16D19"/>
    <w:rsid w:val="00C16DEF"/>
    <w:rsid w:val="00C16F66"/>
    <w:rsid w:val="00C1720A"/>
    <w:rsid w:val="00C17321"/>
    <w:rsid w:val="00C17396"/>
    <w:rsid w:val="00C173E3"/>
    <w:rsid w:val="00C174E8"/>
    <w:rsid w:val="00C176B2"/>
    <w:rsid w:val="00C1795D"/>
    <w:rsid w:val="00C17ADB"/>
    <w:rsid w:val="00C17B3D"/>
    <w:rsid w:val="00C17D5F"/>
    <w:rsid w:val="00C17D85"/>
    <w:rsid w:val="00C17DBF"/>
    <w:rsid w:val="00C17E1B"/>
    <w:rsid w:val="00C17E87"/>
    <w:rsid w:val="00C17F6E"/>
    <w:rsid w:val="00C20026"/>
    <w:rsid w:val="00C20109"/>
    <w:rsid w:val="00C2021A"/>
    <w:rsid w:val="00C202E4"/>
    <w:rsid w:val="00C203BF"/>
    <w:rsid w:val="00C203D5"/>
    <w:rsid w:val="00C20907"/>
    <w:rsid w:val="00C20920"/>
    <w:rsid w:val="00C209F7"/>
    <w:rsid w:val="00C20B49"/>
    <w:rsid w:val="00C20CA5"/>
    <w:rsid w:val="00C20D8D"/>
    <w:rsid w:val="00C20D9B"/>
    <w:rsid w:val="00C20E20"/>
    <w:rsid w:val="00C20E98"/>
    <w:rsid w:val="00C20EFD"/>
    <w:rsid w:val="00C21031"/>
    <w:rsid w:val="00C21068"/>
    <w:rsid w:val="00C210BB"/>
    <w:rsid w:val="00C21373"/>
    <w:rsid w:val="00C2142F"/>
    <w:rsid w:val="00C2159F"/>
    <w:rsid w:val="00C21613"/>
    <w:rsid w:val="00C21846"/>
    <w:rsid w:val="00C21A0F"/>
    <w:rsid w:val="00C21E1F"/>
    <w:rsid w:val="00C2226F"/>
    <w:rsid w:val="00C223F7"/>
    <w:rsid w:val="00C223F9"/>
    <w:rsid w:val="00C22543"/>
    <w:rsid w:val="00C225A1"/>
    <w:rsid w:val="00C227E4"/>
    <w:rsid w:val="00C229C6"/>
    <w:rsid w:val="00C22A2B"/>
    <w:rsid w:val="00C22DF8"/>
    <w:rsid w:val="00C22FF4"/>
    <w:rsid w:val="00C2357E"/>
    <w:rsid w:val="00C239D5"/>
    <w:rsid w:val="00C23C99"/>
    <w:rsid w:val="00C24125"/>
    <w:rsid w:val="00C2419E"/>
    <w:rsid w:val="00C242C3"/>
    <w:rsid w:val="00C2453D"/>
    <w:rsid w:val="00C24635"/>
    <w:rsid w:val="00C2465E"/>
    <w:rsid w:val="00C246AF"/>
    <w:rsid w:val="00C246C7"/>
    <w:rsid w:val="00C24796"/>
    <w:rsid w:val="00C247FF"/>
    <w:rsid w:val="00C249FD"/>
    <w:rsid w:val="00C24A29"/>
    <w:rsid w:val="00C24AB2"/>
    <w:rsid w:val="00C24BE9"/>
    <w:rsid w:val="00C24C37"/>
    <w:rsid w:val="00C24C91"/>
    <w:rsid w:val="00C24F51"/>
    <w:rsid w:val="00C24FCB"/>
    <w:rsid w:val="00C251C9"/>
    <w:rsid w:val="00C2525B"/>
    <w:rsid w:val="00C2536C"/>
    <w:rsid w:val="00C2551C"/>
    <w:rsid w:val="00C255F2"/>
    <w:rsid w:val="00C255FB"/>
    <w:rsid w:val="00C25769"/>
    <w:rsid w:val="00C2584B"/>
    <w:rsid w:val="00C25986"/>
    <w:rsid w:val="00C25A83"/>
    <w:rsid w:val="00C25B31"/>
    <w:rsid w:val="00C25D3E"/>
    <w:rsid w:val="00C25EF7"/>
    <w:rsid w:val="00C26029"/>
    <w:rsid w:val="00C262D8"/>
    <w:rsid w:val="00C26353"/>
    <w:rsid w:val="00C263F3"/>
    <w:rsid w:val="00C26405"/>
    <w:rsid w:val="00C2651A"/>
    <w:rsid w:val="00C26674"/>
    <w:rsid w:val="00C26823"/>
    <w:rsid w:val="00C268D6"/>
    <w:rsid w:val="00C26DBB"/>
    <w:rsid w:val="00C26DE8"/>
    <w:rsid w:val="00C26EDD"/>
    <w:rsid w:val="00C2710B"/>
    <w:rsid w:val="00C27283"/>
    <w:rsid w:val="00C27328"/>
    <w:rsid w:val="00C273A3"/>
    <w:rsid w:val="00C273B1"/>
    <w:rsid w:val="00C27427"/>
    <w:rsid w:val="00C27534"/>
    <w:rsid w:val="00C27552"/>
    <w:rsid w:val="00C275EE"/>
    <w:rsid w:val="00C2768F"/>
    <w:rsid w:val="00C276EC"/>
    <w:rsid w:val="00C27979"/>
    <w:rsid w:val="00C27B46"/>
    <w:rsid w:val="00C27C0B"/>
    <w:rsid w:val="00C27CD9"/>
    <w:rsid w:val="00C27D48"/>
    <w:rsid w:val="00C27D6C"/>
    <w:rsid w:val="00C27DBF"/>
    <w:rsid w:val="00C3007E"/>
    <w:rsid w:val="00C30109"/>
    <w:rsid w:val="00C3018F"/>
    <w:rsid w:val="00C30306"/>
    <w:rsid w:val="00C30315"/>
    <w:rsid w:val="00C3069D"/>
    <w:rsid w:val="00C307A5"/>
    <w:rsid w:val="00C307C8"/>
    <w:rsid w:val="00C30ACA"/>
    <w:rsid w:val="00C30ACF"/>
    <w:rsid w:val="00C30B6E"/>
    <w:rsid w:val="00C30C0F"/>
    <w:rsid w:val="00C30C29"/>
    <w:rsid w:val="00C30D3A"/>
    <w:rsid w:val="00C30DE0"/>
    <w:rsid w:val="00C30FA2"/>
    <w:rsid w:val="00C30FF2"/>
    <w:rsid w:val="00C31017"/>
    <w:rsid w:val="00C31447"/>
    <w:rsid w:val="00C31620"/>
    <w:rsid w:val="00C31638"/>
    <w:rsid w:val="00C31676"/>
    <w:rsid w:val="00C31868"/>
    <w:rsid w:val="00C31A4E"/>
    <w:rsid w:val="00C31D75"/>
    <w:rsid w:val="00C31D7F"/>
    <w:rsid w:val="00C31DCE"/>
    <w:rsid w:val="00C31E21"/>
    <w:rsid w:val="00C31FFC"/>
    <w:rsid w:val="00C3219F"/>
    <w:rsid w:val="00C3222C"/>
    <w:rsid w:val="00C32396"/>
    <w:rsid w:val="00C323B7"/>
    <w:rsid w:val="00C323D7"/>
    <w:rsid w:val="00C324F8"/>
    <w:rsid w:val="00C32592"/>
    <w:rsid w:val="00C326FE"/>
    <w:rsid w:val="00C3281E"/>
    <w:rsid w:val="00C328BB"/>
    <w:rsid w:val="00C3290D"/>
    <w:rsid w:val="00C32954"/>
    <w:rsid w:val="00C32AED"/>
    <w:rsid w:val="00C32BB8"/>
    <w:rsid w:val="00C32CC0"/>
    <w:rsid w:val="00C32E04"/>
    <w:rsid w:val="00C32E32"/>
    <w:rsid w:val="00C32F53"/>
    <w:rsid w:val="00C33191"/>
    <w:rsid w:val="00C3345E"/>
    <w:rsid w:val="00C33518"/>
    <w:rsid w:val="00C3356B"/>
    <w:rsid w:val="00C33592"/>
    <w:rsid w:val="00C33600"/>
    <w:rsid w:val="00C3372C"/>
    <w:rsid w:val="00C33776"/>
    <w:rsid w:val="00C33829"/>
    <w:rsid w:val="00C3389D"/>
    <w:rsid w:val="00C338B6"/>
    <w:rsid w:val="00C33A20"/>
    <w:rsid w:val="00C33A61"/>
    <w:rsid w:val="00C33B9F"/>
    <w:rsid w:val="00C33C05"/>
    <w:rsid w:val="00C33C4A"/>
    <w:rsid w:val="00C33D19"/>
    <w:rsid w:val="00C33DA9"/>
    <w:rsid w:val="00C33E15"/>
    <w:rsid w:val="00C33EF9"/>
    <w:rsid w:val="00C342B7"/>
    <w:rsid w:val="00C34388"/>
    <w:rsid w:val="00C344A6"/>
    <w:rsid w:val="00C34570"/>
    <w:rsid w:val="00C345D8"/>
    <w:rsid w:val="00C346F4"/>
    <w:rsid w:val="00C34730"/>
    <w:rsid w:val="00C34835"/>
    <w:rsid w:val="00C34878"/>
    <w:rsid w:val="00C34BD4"/>
    <w:rsid w:val="00C34C28"/>
    <w:rsid w:val="00C34DFA"/>
    <w:rsid w:val="00C34E46"/>
    <w:rsid w:val="00C34ECB"/>
    <w:rsid w:val="00C3504E"/>
    <w:rsid w:val="00C35203"/>
    <w:rsid w:val="00C3566A"/>
    <w:rsid w:val="00C356F9"/>
    <w:rsid w:val="00C35784"/>
    <w:rsid w:val="00C3582F"/>
    <w:rsid w:val="00C35861"/>
    <w:rsid w:val="00C3590E"/>
    <w:rsid w:val="00C359AE"/>
    <w:rsid w:val="00C359F6"/>
    <w:rsid w:val="00C35A34"/>
    <w:rsid w:val="00C35D21"/>
    <w:rsid w:val="00C35E35"/>
    <w:rsid w:val="00C35EC5"/>
    <w:rsid w:val="00C35F59"/>
    <w:rsid w:val="00C35FB5"/>
    <w:rsid w:val="00C36421"/>
    <w:rsid w:val="00C3675E"/>
    <w:rsid w:val="00C369BD"/>
    <w:rsid w:val="00C36A31"/>
    <w:rsid w:val="00C36AB2"/>
    <w:rsid w:val="00C36AD8"/>
    <w:rsid w:val="00C36AF4"/>
    <w:rsid w:val="00C36BC0"/>
    <w:rsid w:val="00C36C6A"/>
    <w:rsid w:val="00C36D5F"/>
    <w:rsid w:val="00C36E47"/>
    <w:rsid w:val="00C3737F"/>
    <w:rsid w:val="00C3747B"/>
    <w:rsid w:val="00C374D1"/>
    <w:rsid w:val="00C37515"/>
    <w:rsid w:val="00C3754C"/>
    <w:rsid w:val="00C375A6"/>
    <w:rsid w:val="00C375B6"/>
    <w:rsid w:val="00C375D1"/>
    <w:rsid w:val="00C3760A"/>
    <w:rsid w:val="00C376E8"/>
    <w:rsid w:val="00C377BF"/>
    <w:rsid w:val="00C37916"/>
    <w:rsid w:val="00C37961"/>
    <w:rsid w:val="00C37996"/>
    <w:rsid w:val="00C379D5"/>
    <w:rsid w:val="00C379D7"/>
    <w:rsid w:val="00C379DB"/>
    <w:rsid w:val="00C379F9"/>
    <w:rsid w:val="00C37AEA"/>
    <w:rsid w:val="00C4034D"/>
    <w:rsid w:val="00C40372"/>
    <w:rsid w:val="00C403CB"/>
    <w:rsid w:val="00C404D1"/>
    <w:rsid w:val="00C406B3"/>
    <w:rsid w:val="00C4076F"/>
    <w:rsid w:val="00C40963"/>
    <w:rsid w:val="00C40B0E"/>
    <w:rsid w:val="00C40B60"/>
    <w:rsid w:val="00C40C6A"/>
    <w:rsid w:val="00C40E67"/>
    <w:rsid w:val="00C40FE0"/>
    <w:rsid w:val="00C41084"/>
    <w:rsid w:val="00C410FE"/>
    <w:rsid w:val="00C4114F"/>
    <w:rsid w:val="00C4117C"/>
    <w:rsid w:val="00C41286"/>
    <w:rsid w:val="00C4128B"/>
    <w:rsid w:val="00C412AE"/>
    <w:rsid w:val="00C41430"/>
    <w:rsid w:val="00C4146C"/>
    <w:rsid w:val="00C4155D"/>
    <w:rsid w:val="00C41602"/>
    <w:rsid w:val="00C4177C"/>
    <w:rsid w:val="00C41925"/>
    <w:rsid w:val="00C41A4F"/>
    <w:rsid w:val="00C41B90"/>
    <w:rsid w:val="00C41BF8"/>
    <w:rsid w:val="00C41C97"/>
    <w:rsid w:val="00C41D43"/>
    <w:rsid w:val="00C42017"/>
    <w:rsid w:val="00C420C9"/>
    <w:rsid w:val="00C4220B"/>
    <w:rsid w:val="00C422E7"/>
    <w:rsid w:val="00C42364"/>
    <w:rsid w:val="00C4239D"/>
    <w:rsid w:val="00C423BF"/>
    <w:rsid w:val="00C4252B"/>
    <w:rsid w:val="00C42616"/>
    <w:rsid w:val="00C42652"/>
    <w:rsid w:val="00C42732"/>
    <w:rsid w:val="00C428EA"/>
    <w:rsid w:val="00C42BC6"/>
    <w:rsid w:val="00C42E4A"/>
    <w:rsid w:val="00C42E9F"/>
    <w:rsid w:val="00C42EA4"/>
    <w:rsid w:val="00C42FCD"/>
    <w:rsid w:val="00C431B7"/>
    <w:rsid w:val="00C43281"/>
    <w:rsid w:val="00C4328F"/>
    <w:rsid w:val="00C432CE"/>
    <w:rsid w:val="00C4348A"/>
    <w:rsid w:val="00C43504"/>
    <w:rsid w:val="00C43506"/>
    <w:rsid w:val="00C4355B"/>
    <w:rsid w:val="00C43606"/>
    <w:rsid w:val="00C436C3"/>
    <w:rsid w:val="00C4380A"/>
    <w:rsid w:val="00C439AC"/>
    <w:rsid w:val="00C43BEC"/>
    <w:rsid w:val="00C43C54"/>
    <w:rsid w:val="00C43D78"/>
    <w:rsid w:val="00C43E2F"/>
    <w:rsid w:val="00C43EFD"/>
    <w:rsid w:val="00C43F8F"/>
    <w:rsid w:val="00C44072"/>
    <w:rsid w:val="00C440F7"/>
    <w:rsid w:val="00C44327"/>
    <w:rsid w:val="00C443F3"/>
    <w:rsid w:val="00C445EF"/>
    <w:rsid w:val="00C4487D"/>
    <w:rsid w:val="00C44886"/>
    <w:rsid w:val="00C4492E"/>
    <w:rsid w:val="00C449FD"/>
    <w:rsid w:val="00C44AA4"/>
    <w:rsid w:val="00C44B99"/>
    <w:rsid w:val="00C44FB3"/>
    <w:rsid w:val="00C44FCD"/>
    <w:rsid w:val="00C45000"/>
    <w:rsid w:val="00C451C6"/>
    <w:rsid w:val="00C45298"/>
    <w:rsid w:val="00C452C9"/>
    <w:rsid w:val="00C453CA"/>
    <w:rsid w:val="00C45496"/>
    <w:rsid w:val="00C45524"/>
    <w:rsid w:val="00C45602"/>
    <w:rsid w:val="00C45757"/>
    <w:rsid w:val="00C4575D"/>
    <w:rsid w:val="00C4577E"/>
    <w:rsid w:val="00C45781"/>
    <w:rsid w:val="00C4584C"/>
    <w:rsid w:val="00C458B1"/>
    <w:rsid w:val="00C45932"/>
    <w:rsid w:val="00C459F8"/>
    <w:rsid w:val="00C45D7F"/>
    <w:rsid w:val="00C45F48"/>
    <w:rsid w:val="00C45F6A"/>
    <w:rsid w:val="00C46248"/>
    <w:rsid w:val="00C46277"/>
    <w:rsid w:val="00C46284"/>
    <w:rsid w:val="00C463FA"/>
    <w:rsid w:val="00C46535"/>
    <w:rsid w:val="00C4655E"/>
    <w:rsid w:val="00C465E9"/>
    <w:rsid w:val="00C46627"/>
    <w:rsid w:val="00C46661"/>
    <w:rsid w:val="00C466E4"/>
    <w:rsid w:val="00C46706"/>
    <w:rsid w:val="00C46712"/>
    <w:rsid w:val="00C4679C"/>
    <w:rsid w:val="00C468DA"/>
    <w:rsid w:val="00C469DE"/>
    <w:rsid w:val="00C46A8E"/>
    <w:rsid w:val="00C46D08"/>
    <w:rsid w:val="00C46D14"/>
    <w:rsid w:val="00C46E36"/>
    <w:rsid w:val="00C46FD7"/>
    <w:rsid w:val="00C4701C"/>
    <w:rsid w:val="00C470AC"/>
    <w:rsid w:val="00C470BB"/>
    <w:rsid w:val="00C470D5"/>
    <w:rsid w:val="00C471C1"/>
    <w:rsid w:val="00C47506"/>
    <w:rsid w:val="00C475EB"/>
    <w:rsid w:val="00C47686"/>
    <w:rsid w:val="00C47744"/>
    <w:rsid w:val="00C4787F"/>
    <w:rsid w:val="00C479A9"/>
    <w:rsid w:val="00C479CD"/>
    <w:rsid w:val="00C47A83"/>
    <w:rsid w:val="00C47BE8"/>
    <w:rsid w:val="00C47BFF"/>
    <w:rsid w:val="00C47D32"/>
    <w:rsid w:val="00C47D92"/>
    <w:rsid w:val="00C47EBC"/>
    <w:rsid w:val="00C47F56"/>
    <w:rsid w:val="00C47FA7"/>
    <w:rsid w:val="00C500FC"/>
    <w:rsid w:val="00C502F9"/>
    <w:rsid w:val="00C503DE"/>
    <w:rsid w:val="00C50499"/>
    <w:rsid w:val="00C5072B"/>
    <w:rsid w:val="00C50836"/>
    <w:rsid w:val="00C508E2"/>
    <w:rsid w:val="00C5097D"/>
    <w:rsid w:val="00C50A51"/>
    <w:rsid w:val="00C50A6E"/>
    <w:rsid w:val="00C50CA7"/>
    <w:rsid w:val="00C50CFC"/>
    <w:rsid w:val="00C50FD8"/>
    <w:rsid w:val="00C5101D"/>
    <w:rsid w:val="00C510F0"/>
    <w:rsid w:val="00C5113F"/>
    <w:rsid w:val="00C5119B"/>
    <w:rsid w:val="00C51239"/>
    <w:rsid w:val="00C512E5"/>
    <w:rsid w:val="00C515C1"/>
    <w:rsid w:val="00C515C2"/>
    <w:rsid w:val="00C515C8"/>
    <w:rsid w:val="00C516B3"/>
    <w:rsid w:val="00C517C8"/>
    <w:rsid w:val="00C51867"/>
    <w:rsid w:val="00C518B8"/>
    <w:rsid w:val="00C519D2"/>
    <w:rsid w:val="00C51A5F"/>
    <w:rsid w:val="00C51C7B"/>
    <w:rsid w:val="00C51CE2"/>
    <w:rsid w:val="00C51D13"/>
    <w:rsid w:val="00C51D47"/>
    <w:rsid w:val="00C51D70"/>
    <w:rsid w:val="00C51F88"/>
    <w:rsid w:val="00C51F97"/>
    <w:rsid w:val="00C51FE3"/>
    <w:rsid w:val="00C51FF0"/>
    <w:rsid w:val="00C51FFD"/>
    <w:rsid w:val="00C52450"/>
    <w:rsid w:val="00C5262F"/>
    <w:rsid w:val="00C5265C"/>
    <w:rsid w:val="00C528B3"/>
    <w:rsid w:val="00C52916"/>
    <w:rsid w:val="00C52A90"/>
    <w:rsid w:val="00C52DE9"/>
    <w:rsid w:val="00C52E94"/>
    <w:rsid w:val="00C52FF5"/>
    <w:rsid w:val="00C530D7"/>
    <w:rsid w:val="00C531B8"/>
    <w:rsid w:val="00C531FB"/>
    <w:rsid w:val="00C533B5"/>
    <w:rsid w:val="00C53629"/>
    <w:rsid w:val="00C53A89"/>
    <w:rsid w:val="00C53AD1"/>
    <w:rsid w:val="00C53C8B"/>
    <w:rsid w:val="00C53CD8"/>
    <w:rsid w:val="00C53F42"/>
    <w:rsid w:val="00C54210"/>
    <w:rsid w:val="00C5437F"/>
    <w:rsid w:val="00C543E2"/>
    <w:rsid w:val="00C544F2"/>
    <w:rsid w:val="00C545E0"/>
    <w:rsid w:val="00C546C9"/>
    <w:rsid w:val="00C548DC"/>
    <w:rsid w:val="00C54A58"/>
    <w:rsid w:val="00C55043"/>
    <w:rsid w:val="00C550FE"/>
    <w:rsid w:val="00C551EB"/>
    <w:rsid w:val="00C55215"/>
    <w:rsid w:val="00C5526E"/>
    <w:rsid w:val="00C5537A"/>
    <w:rsid w:val="00C555A7"/>
    <w:rsid w:val="00C5599A"/>
    <w:rsid w:val="00C55CB7"/>
    <w:rsid w:val="00C55D30"/>
    <w:rsid w:val="00C55EBB"/>
    <w:rsid w:val="00C56031"/>
    <w:rsid w:val="00C5604D"/>
    <w:rsid w:val="00C56104"/>
    <w:rsid w:val="00C56211"/>
    <w:rsid w:val="00C563F0"/>
    <w:rsid w:val="00C565AE"/>
    <w:rsid w:val="00C56656"/>
    <w:rsid w:val="00C566E8"/>
    <w:rsid w:val="00C567A6"/>
    <w:rsid w:val="00C56BCA"/>
    <w:rsid w:val="00C56C3A"/>
    <w:rsid w:val="00C56D3B"/>
    <w:rsid w:val="00C56D82"/>
    <w:rsid w:val="00C56E37"/>
    <w:rsid w:val="00C56E98"/>
    <w:rsid w:val="00C56EDF"/>
    <w:rsid w:val="00C56F14"/>
    <w:rsid w:val="00C56FBF"/>
    <w:rsid w:val="00C5710A"/>
    <w:rsid w:val="00C57138"/>
    <w:rsid w:val="00C571C1"/>
    <w:rsid w:val="00C57272"/>
    <w:rsid w:val="00C573F9"/>
    <w:rsid w:val="00C57510"/>
    <w:rsid w:val="00C57658"/>
    <w:rsid w:val="00C577ED"/>
    <w:rsid w:val="00C57A79"/>
    <w:rsid w:val="00C57B19"/>
    <w:rsid w:val="00C57B44"/>
    <w:rsid w:val="00C57B81"/>
    <w:rsid w:val="00C57C0E"/>
    <w:rsid w:val="00C57D29"/>
    <w:rsid w:val="00C57DA2"/>
    <w:rsid w:val="00C57DFF"/>
    <w:rsid w:val="00C57E43"/>
    <w:rsid w:val="00C57EF9"/>
    <w:rsid w:val="00C57FC2"/>
    <w:rsid w:val="00C60084"/>
    <w:rsid w:val="00C60104"/>
    <w:rsid w:val="00C6038C"/>
    <w:rsid w:val="00C60748"/>
    <w:rsid w:val="00C608CC"/>
    <w:rsid w:val="00C608DE"/>
    <w:rsid w:val="00C60A3B"/>
    <w:rsid w:val="00C60A6E"/>
    <w:rsid w:val="00C60C7A"/>
    <w:rsid w:val="00C60D79"/>
    <w:rsid w:val="00C61111"/>
    <w:rsid w:val="00C613A4"/>
    <w:rsid w:val="00C61548"/>
    <w:rsid w:val="00C61759"/>
    <w:rsid w:val="00C6179D"/>
    <w:rsid w:val="00C617F4"/>
    <w:rsid w:val="00C618A4"/>
    <w:rsid w:val="00C61C9F"/>
    <w:rsid w:val="00C61DDB"/>
    <w:rsid w:val="00C61E9F"/>
    <w:rsid w:val="00C61F4E"/>
    <w:rsid w:val="00C61F8C"/>
    <w:rsid w:val="00C61F90"/>
    <w:rsid w:val="00C6200A"/>
    <w:rsid w:val="00C620A4"/>
    <w:rsid w:val="00C62252"/>
    <w:rsid w:val="00C6232F"/>
    <w:rsid w:val="00C62370"/>
    <w:rsid w:val="00C62377"/>
    <w:rsid w:val="00C623AC"/>
    <w:rsid w:val="00C623C6"/>
    <w:rsid w:val="00C62460"/>
    <w:rsid w:val="00C62521"/>
    <w:rsid w:val="00C625EE"/>
    <w:rsid w:val="00C62632"/>
    <w:rsid w:val="00C626F1"/>
    <w:rsid w:val="00C6293F"/>
    <w:rsid w:val="00C62A08"/>
    <w:rsid w:val="00C62A27"/>
    <w:rsid w:val="00C62BD5"/>
    <w:rsid w:val="00C62D6B"/>
    <w:rsid w:val="00C62F44"/>
    <w:rsid w:val="00C6313E"/>
    <w:rsid w:val="00C636B2"/>
    <w:rsid w:val="00C636F1"/>
    <w:rsid w:val="00C63805"/>
    <w:rsid w:val="00C63831"/>
    <w:rsid w:val="00C6397C"/>
    <w:rsid w:val="00C63B47"/>
    <w:rsid w:val="00C63B6E"/>
    <w:rsid w:val="00C63C34"/>
    <w:rsid w:val="00C63D7D"/>
    <w:rsid w:val="00C63E7C"/>
    <w:rsid w:val="00C63FB7"/>
    <w:rsid w:val="00C64014"/>
    <w:rsid w:val="00C64084"/>
    <w:rsid w:val="00C64110"/>
    <w:rsid w:val="00C6486E"/>
    <w:rsid w:val="00C64F8D"/>
    <w:rsid w:val="00C650E7"/>
    <w:rsid w:val="00C65229"/>
    <w:rsid w:val="00C652BE"/>
    <w:rsid w:val="00C653D2"/>
    <w:rsid w:val="00C653E8"/>
    <w:rsid w:val="00C65539"/>
    <w:rsid w:val="00C65556"/>
    <w:rsid w:val="00C6573C"/>
    <w:rsid w:val="00C657C5"/>
    <w:rsid w:val="00C65817"/>
    <w:rsid w:val="00C65A56"/>
    <w:rsid w:val="00C65AC6"/>
    <w:rsid w:val="00C65F6A"/>
    <w:rsid w:val="00C66128"/>
    <w:rsid w:val="00C66226"/>
    <w:rsid w:val="00C6646D"/>
    <w:rsid w:val="00C66615"/>
    <w:rsid w:val="00C66825"/>
    <w:rsid w:val="00C6697A"/>
    <w:rsid w:val="00C66C26"/>
    <w:rsid w:val="00C66C7C"/>
    <w:rsid w:val="00C67041"/>
    <w:rsid w:val="00C67149"/>
    <w:rsid w:val="00C672BF"/>
    <w:rsid w:val="00C67351"/>
    <w:rsid w:val="00C67659"/>
    <w:rsid w:val="00C67661"/>
    <w:rsid w:val="00C6783A"/>
    <w:rsid w:val="00C678E9"/>
    <w:rsid w:val="00C6798A"/>
    <w:rsid w:val="00C6799B"/>
    <w:rsid w:val="00C679AE"/>
    <w:rsid w:val="00C67A32"/>
    <w:rsid w:val="00C67DB1"/>
    <w:rsid w:val="00C67F84"/>
    <w:rsid w:val="00C70135"/>
    <w:rsid w:val="00C70142"/>
    <w:rsid w:val="00C70356"/>
    <w:rsid w:val="00C703F1"/>
    <w:rsid w:val="00C704BD"/>
    <w:rsid w:val="00C7062A"/>
    <w:rsid w:val="00C70659"/>
    <w:rsid w:val="00C7069C"/>
    <w:rsid w:val="00C706D1"/>
    <w:rsid w:val="00C7082B"/>
    <w:rsid w:val="00C70885"/>
    <w:rsid w:val="00C70A4B"/>
    <w:rsid w:val="00C70AB1"/>
    <w:rsid w:val="00C70BB5"/>
    <w:rsid w:val="00C70D25"/>
    <w:rsid w:val="00C70E19"/>
    <w:rsid w:val="00C70E29"/>
    <w:rsid w:val="00C70F48"/>
    <w:rsid w:val="00C71156"/>
    <w:rsid w:val="00C7115F"/>
    <w:rsid w:val="00C71350"/>
    <w:rsid w:val="00C714CB"/>
    <w:rsid w:val="00C716D7"/>
    <w:rsid w:val="00C719F9"/>
    <w:rsid w:val="00C71B09"/>
    <w:rsid w:val="00C71C80"/>
    <w:rsid w:val="00C71D82"/>
    <w:rsid w:val="00C71D93"/>
    <w:rsid w:val="00C71DA0"/>
    <w:rsid w:val="00C71ED3"/>
    <w:rsid w:val="00C71F49"/>
    <w:rsid w:val="00C71FE1"/>
    <w:rsid w:val="00C720CF"/>
    <w:rsid w:val="00C72154"/>
    <w:rsid w:val="00C721B9"/>
    <w:rsid w:val="00C72245"/>
    <w:rsid w:val="00C72274"/>
    <w:rsid w:val="00C722A9"/>
    <w:rsid w:val="00C722D1"/>
    <w:rsid w:val="00C723AD"/>
    <w:rsid w:val="00C726EF"/>
    <w:rsid w:val="00C72705"/>
    <w:rsid w:val="00C72798"/>
    <w:rsid w:val="00C72815"/>
    <w:rsid w:val="00C72900"/>
    <w:rsid w:val="00C72946"/>
    <w:rsid w:val="00C72AD7"/>
    <w:rsid w:val="00C72BB6"/>
    <w:rsid w:val="00C72C52"/>
    <w:rsid w:val="00C72E9B"/>
    <w:rsid w:val="00C7308C"/>
    <w:rsid w:val="00C732BD"/>
    <w:rsid w:val="00C732E9"/>
    <w:rsid w:val="00C7332B"/>
    <w:rsid w:val="00C7337A"/>
    <w:rsid w:val="00C733E4"/>
    <w:rsid w:val="00C7344E"/>
    <w:rsid w:val="00C735D8"/>
    <w:rsid w:val="00C73618"/>
    <w:rsid w:val="00C73743"/>
    <w:rsid w:val="00C73846"/>
    <w:rsid w:val="00C7387A"/>
    <w:rsid w:val="00C73897"/>
    <w:rsid w:val="00C738A2"/>
    <w:rsid w:val="00C73D14"/>
    <w:rsid w:val="00C73E4E"/>
    <w:rsid w:val="00C73F23"/>
    <w:rsid w:val="00C7412A"/>
    <w:rsid w:val="00C74136"/>
    <w:rsid w:val="00C74258"/>
    <w:rsid w:val="00C7442D"/>
    <w:rsid w:val="00C745EB"/>
    <w:rsid w:val="00C74615"/>
    <w:rsid w:val="00C74712"/>
    <w:rsid w:val="00C74784"/>
    <w:rsid w:val="00C747B1"/>
    <w:rsid w:val="00C74B5C"/>
    <w:rsid w:val="00C74DF0"/>
    <w:rsid w:val="00C74F7D"/>
    <w:rsid w:val="00C75045"/>
    <w:rsid w:val="00C7510A"/>
    <w:rsid w:val="00C7520D"/>
    <w:rsid w:val="00C7520F"/>
    <w:rsid w:val="00C752FF"/>
    <w:rsid w:val="00C7530D"/>
    <w:rsid w:val="00C7556A"/>
    <w:rsid w:val="00C75571"/>
    <w:rsid w:val="00C756F3"/>
    <w:rsid w:val="00C756FD"/>
    <w:rsid w:val="00C75764"/>
    <w:rsid w:val="00C75853"/>
    <w:rsid w:val="00C75912"/>
    <w:rsid w:val="00C75AC2"/>
    <w:rsid w:val="00C75ADB"/>
    <w:rsid w:val="00C75B88"/>
    <w:rsid w:val="00C75FCC"/>
    <w:rsid w:val="00C7602A"/>
    <w:rsid w:val="00C76030"/>
    <w:rsid w:val="00C760D0"/>
    <w:rsid w:val="00C761DC"/>
    <w:rsid w:val="00C7637B"/>
    <w:rsid w:val="00C765C7"/>
    <w:rsid w:val="00C7669C"/>
    <w:rsid w:val="00C766A8"/>
    <w:rsid w:val="00C76868"/>
    <w:rsid w:val="00C76935"/>
    <w:rsid w:val="00C76982"/>
    <w:rsid w:val="00C76B17"/>
    <w:rsid w:val="00C76BA8"/>
    <w:rsid w:val="00C76BAE"/>
    <w:rsid w:val="00C76E70"/>
    <w:rsid w:val="00C770E8"/>
    <w:rsid w:val="00C770FA"/>
    <w:rsid w:val="00C771E1"/>
    <w:rsid w:val="00C773DC"/>
    <w:rsid w:val="00C77429"/>
    <w:rsid w:val="00C77490"/>
    <w:rsid w:val="00C7758D"/>
    <w:rsid w:val="00C7759F"/>
    <w:rsid w:val="00C775C7"/>
    <w:rsid w:val="00C7766A"/>
    <w:rsid w:val="00C776A4"/>
    <w:rsid w:val="00C776F6"/>
    <w:rsid w:val="00C77745"/>
    <w:rsid w:val="00C7780B"/>
    <w:rsid w:val="00C77858"/>
    <w:rsid w:val="00C7787A"/>
    <w:rsid w:val="00C77B8B"/>
    <w:rsid w:val="00C77C8E"/>
    <w:rsid w:val="00C77D7F"/>
    <w:rsid w:val="00C77DDF"/>
    <w:rsid w:val="00C77E57"/>
    <w:rsid w:val="00C800A0"/>
    <w:rsid w:val="00C800C2"/>
    <w:rsid w:val="00C800E6"/>
    <w:rsid w:val="00C80139"/>
    <w:rsid w:val="00C8035D"/>
    <w:rsid w:val="00C8039E"/>
    <w:rsid w:val="00C803AF"/>
    <w:rsid w:val="00C803B2"/>
    <w:rsid w:val="00C8042C"/>
    <w:rsid w:val="00C8045B"/>
    <w:rsid w:val="00C8049C"/>
    <w:rsid w:val="00C8058D"/>
    <w:rsid w:val="00C8083A"/>
    <w:rsid w:val="00C8096C"/>
    <w:rsid w:val="00C80980"/>
    <w:rsid w:val="00C809A0"/>
    <w:rsid w:val="00C809F8"/>
    <w:rsid w:val="00C80AC0"/>
    <w:rsid w:val="00C80B7C"/>
    <w:rsid w:val="00C80D36"/>
    <w:rsid w:val="00C80DEA"/>
    <w:rsid w:val="00C8111A"/>
    <w:rsid w:val="00C811C7"/>
    <w:rsid w:val="00C8128B"/>
    <w:rsid w:val="00C8142C"/>
    <w:rsid w:val="00C81489"/>
    <w:rsid w:val="00C814CE"/>
    <w:rsid w:val="00C816F6"/>
    <w:rsid w:val="00C81AA8"/>
    <w:rsid w:val="00C81DFF"/>
    <w:rsid w:val="00C821F5"/>
    <w:rsid w:val="00C82253"/>
    <w:rsid w:val="00C8225E"/>
    <w:rsid w:val="00C823F7"/>
    <w:rsid w:val="00C823F8"/>
    <w:rsid w:val="00C826FD"/>
    <w:rsid w:val="00C82713"/>
    <w:rsid w:val="00C82775"/>
    <w:rsid w:val="00C82963"/>
    <w:rsid w:val="00C82A38"/>
    <w:rsid w:val="00C82C96"/>
    <w:rsid w:val="00C82CC2"/>
    <w:rsid w:val="00C82D01"/>
    <w:rsid w:val="00C82E72"/>
    <w:rsid w:val="00C82EAD"/>
    <w:rsid w:val="00C83034"/>
    <w:rsid w:val="00C83094"/>
    <w:rsid w:val="00C831F7"/>
    <w:rsid w:val="00C8342E"/>
    <w:rsid w:val="00C834EF"/>
    <w:rsid w:val="00C83741"/>
    <w:rsid w:val="00C8376A"/>
    <w:rsid w:val="00C8384D"/>
    <w:rsid w:val="00C839E3"/>
    <w:rsid w:val="00C83A07"/>
    <w:rsid w:val="00C83B2E"/>
    <w:rsid w:val="00C83C1C"/>
    <w:rsid w:val="00C83CB3"/>
    <w:rsid w:val="00C83E55"/>
    <w:rsid w:val="00C842B0"/>
    <w:rsid w:val="00C84301"/>
    <w:rsid w:val="00C843E1"/>
    <w:rsid w:val="00C8444D"/>
    <w:rsid w:val="00C84479"/>
    <w:rsid w:val="00C844E7"/>
    <w:rsid w:val="00C845CF"/>
    <w:rsid w:val="00C845F2"/>
    <w:rsid w:val="00C84617"/>
    <w:rsid w:val="00C848F5"/>
    <w:rsid w:val="00C8499B"/>
    <w:rsid w:val="00C84BC7"/>
    <w:rsid w:val="00C84BE3"/>
    <w:rsid w:val="00C84C90"/>
    <w:rsid w:val="00C84F67"/>
    <w:rsid w:val="00C8503F"/>
    <w:rsid w:val="00C8535C"/>
    <w:rsid w:val="00C8540D"/>
    <w:rsid w:val="00C854E0"/>
    <w:rsid w:val="00C85508"/>
    <w:rsid w:val="00C8552E"/>
    <w:rsid w:val="00C85549"/>
    <w:rsid w:val="00C855FE"/>
    <w:rsid w:val="00C8574F"/>
    <w:rsid w:val="00C857B1"/>
    <w:rsid w:val="00C857CD"/>
    <w:rsid w:val="00C8591C"/>
    <w:rsid w:val="00C85947"/>
    <w:rsid w:val="00C85A39"/>
    <w:rsid w:val="00C85A54"/>
    <w:rsid w:val="00C85A60"/>
    <w:rsid w:val="00C85B4E"/>
    <w:rsid w:val="00C85D52"/>
    <w:rsid w:val="00C85D54"/>
    <w:rsid w:val="00C85FE1"/>
    <w:rsid w:val="00C861EF"/>
    <w:rsid w:val="00C86299"/>
    <w:rsid w:val="00C862BB"/>
    <w:rsid w:val="00C862FE"/>
    <w:rsid w:val="00C86487"/>
    <w:rsid w:val="00C864ED"/>
    <w:rsid w:val="00C864FD"/>
    <w:rsid w:val="00C864FE"/>
    <w:rsid w:val="00C86543"/>
    <w:rsid w:val="00C86613"/>
    <w:rsid w:val="00C8687C"/>
    <w:rsid w:val="00C869B9"/>
    <w:rsid w:val="00C86CD9"/>
    <w:rsid w:val="00C86DE7"/>
    <w:rsid w:val="00C86DF4"/>
    <w:rsid w:val="00C86E32"/>
    <w:rsid w:val="00C86F29"/>
    <w:rsid w:val="00C87149"/>
    <w:rsid w:val="00C872B9"/>
    <w:rsid w:val="00C87310"/>
    <w:rsid w:val="00C87392"/>
    <w:rsid w:val="00C8739D"/>
    <w:rsid w:val="00C8750A"/>
    <w:rsid w:val="00C8752B"/>
    <w:rsid w:val="00C87890"/>
    <w:rsid w:val="00C878BD"/>
    <w:rsid w:val="00C87908"/>
    <w:rsid w:val="00C87957"/>
    <w:rsid w:val="00C87A11"/>
    <w:rsid w:val="00C87AAA"/>
    <w:rsid w:val="00C87B61"/>
    <w:rsid w:val="00C87C16"/>
    <w:rsid w:val="00C87C67"/>
    <w:rsid w:val="00C87C76"/>
    <w:rsid w:val="00C87D64"/>
    <w:rsid w:val="00C87DE5"/>
    <w:rsid w:val="00C87FD4"/>
    <w:rsid w:val="00C900FC"/>
    <w:rsid w:val="00C90461"/>
    <w:rsid w:val="00C905EB"/>
    <w:rsid w:val="00C90628"/>
    <w:rsid w:val="00C90646"/>
    <w:rsid w:val="00C906AF"/>
    <w:rsid w:val="00C907FB"/>
    <w:rsid w:val="00C90A2B"/>
    <w:rsid w:val="00C90A81"/>
    <w:rsid w:val="00C90AF5"/>
    <w:rsid w:val="00C90B09"/>
    <w:rsid w:val="00C90D97"/>
    <w:rsid w:val="00C90DA0"/>
    <w:rsid w:val="00C9104A"/>
    <w:rsid w:val="00C91194"/>
    <w:rsid w:val="00C9137E"/>
    <w:rsid w:val="00C9149D"/>
    <w:rsid w:val="00C914A9"/>
    <w:rsid w:val="00C916C4"/>
    <w:rsid w:val="00C916FC"/>
    <w:rsid w:val="00C9171D"/>
    <w:rsid w:val="00C91769"/>
    <w:rsid w:val="00C9190B"/>
    <w:rsid w:val="00C91923"/>
    <w:rsid w:val="00C9199B"/>
    <w:rsid w:val="00C91A0D"/>
    <w:rsid w:val="00C91A45"/>
    <w:rsid w:val="00C91A4F"/>
    <w:rsid w:val="00C91D69"/>
    <w:rsid w:val="00C91DB6"/>
    <w:rsid w:val="00C91E21"/>
    <w:rsid w:val="00C91E2F"/>
    <w:rsid w:val="00C91E3C"/>
    <w:rsid w:val="00C91E74"/>
    <w:rsid w:val="00C91E76"/>
    <w:rsid w:val="00C91F92"/>
    <w:rsid w:val="00C922A6"/>
    <w:rsid w:val="00C92333"/>
    <w:rsid w:val="00C923C7"/>
    <w:rsid w:val="00C923D7"/>
    <w:rsid w:val="00C92510"/>
    <w:rsid w:val="00C925F4"/>
    <w:rsid w:val="00C92674"/>
    <w:rsid w:val="00C926DE"/>
    <w:rsid w:val="00C92724"/>
    <w:rsid w:val="00C92941"/>
    <w:rsid w:val="00C92B9F"/>
    <w:rsid w:val="00C92BBA"/>
    <w:rsid w:val="00C92BD3"/>
    <w:rsid w:val="00C92BD7"/>
    <w:rsid w:val="00C92C2F"/>
    <w:rsid w:val="00C92CCC"/>
    <w:rsid w:val="00C92D3A"/>
    <w:rsid w:val="00C92D5F"/>
    <w:rsid w:val="00C92F00"/>
    <w:rsid w:val="00C92F19"/>
    <w:rsid w:val="00C930F2"/>
    <w:rsid w:val="00C935C3"/>
    <w:rsid w:val="00C93633"/>
    <w:rsid w:val="00C93829"/>
    <w:rsid w:val="00C93859"/>
    <w:rsid w:val="00C939B4"/>
    <w:rsid w:val="00C93A7D"/>
    <w:rsid w:val="00C93B68"/>
    <w:rsid w:val="00C93B78"/>
    <w:rsid w:val="00C93C07"/>
    <w:rsid w:val="00C93C8C"/>
    <w:rsid w:val="00C93D43"/>
    <w:rsid w:val="00C93D79"/>
    <w:rsid w:val="00C93DCC"/>
    <w:rsid w:val="00C93E1B"/>
    <w:rsid w:val="00C9413A"/>
    <w:rsid w:val="00C94509"/>
    <w:rsid w:val="00C945BB"/>
    <w:rsid w:val="00C9474C"/>
    <w:rsid w:val="00C94764"/>
    <w:rsid w:val="00C947D7"/>
    <w:rsid w:val="00C94A05"/>
    <w:rsid w:val="00C94B0F"/>
    <w:rsid w:val="00C94BE4"/>
    <w:rsid w:val="00C94CB8"/>
    <w:rsid w:val="00C94D4F"/>
    <w:rsid w:val="00C94EBB"/>
    <w:rsid w:val="00C95116"/>
    <w:rsid w:val="00C95432"/>
    <w:rsid w:val="00C9544F"/>
    <w:rsid w:val="00C954F4"/>
    <w:rsid w:val="00C954FB"/>
    <w:rsid w:val="00C9558E"/>
    <w:rsid w:val="00C955C8"/>
    <w:rsid w:val="00C95749"/>
    <w:rsid w:val="00C959E7"/>
    <w:rsid w:val="00C95A63"/>
    <w:rsid w:val="00C95A9C"/>
    <w:rsid w:val="00C95B7C"/>
    <w:rsid w:val="00C95B92"/>
    <w:rsid w:val="00C95B99"/>
    <w:rsid w:val="00C95CA4"/>
    <w:rsid w:val="00C95DFB"/>
    <w:rsid w:val="00C95DFC"/>
    <w:rsid w:val="00C95E91"/>
    <w:rsid w:val="00C95EAC"/>
    <w:rsid w:val="00C95ED1"/>
    <w:rsid w:val="00C95F44"/>
    <w:rsid w:val="00C95FCA"/>
    <w:rsid w:val="00C96137"/>
    <w:rsid w:val="00C96145"/>
    <w:rsid w:val="00C9616A"/>
    <w:rsid w:val="00C962E1"/>
    <w:rsid w:val="00C9645E"/>
    <w:rsid w:val="00C96477"/>
    <w:rsid w:val="00C965A6"/>
    <w:rsid w:val="00C966A0"/>
    <w:rsid w:val="00C967B2"/>
    <w:rsid w:val="00C96AFA"/>
    <w:rsid w:val="00C96C98"/>
    <w:rsid w:val="00C96D65"/>
    <w:rsid w:val="00C96E84"/>
    <w:rsid w:val="00C9703C"/>
    <w:rsid w:val="00C972AF"/>
    <w:rsid w:val="00C97314"/>
    <w:rsid w:val="00C9735E"/>
    <w:rsid w:val="00C97375"/>
    <w:rsid w:val="00C97584"/>
    <w:rsid w:val="00C9758A"/>
    <w:rsid w:val="00C975E8"/>
    <w:rsid w:val="00C97606"/>
    <w:rsid w:val="00C976B1"/>
    <w:rsid w:val="00C97777"/>
    <w:rsid w:val="00C978EA"/>
    <w:rsid w:val="00C9792C"/>
    <w:rsid w:val="00C97AA3"/>
    <w:rsid w:val="00C97AA6"/>
    <w:rsid w:val="00C97AC2"/>
    <w:rsid w:val="00C97C68"/>
    <w:rsid w:val="00C97EA9"/>
    <w:rsid w:val="00C97F0A"/>
    <w:rsid w:val="00CA0264"/>
    <w:rsid w:val="00CA02B5"/>
    <w:rsid w:val="00CA0330"/>
    <w:rsid w:val="00CA036F"/>
    <w:rsid w:val="00CA055D"/>
    <w:rsid w:val="00CA059D"/>
    <w:rsid w:val="00CA05F3"/>
    <w:rsid w:val="00CA0914"/>
    <w:rsid w:val="00CA09DD"/>
    <w:rsid w:val="00CA0C31"/>
    <w:rsid w:val="00CA0D47"/>
    <w:rsid w:val="00CA0DD5"/>
    <w:rsid w:val="00CA0EF8"/>
    <w:rsid w:val="00CA0F1D"/>
    <w:rsid w:val="00CA1027"/>
    <w:rsid w:val="00CA104D"/>
    <w:rsid w:val="00CA1072"/>
    <w:rsid w:val="00CA128D"/>
    <w:rsid w:val="00CA132C"/>
    <w:rsid w:val="00CA1340"/>
    <w:rsid w:val="00CA1402"/>
    <w:rsid w:val="00CA163A"/>
    <w:rsid w:val="00CA16B2"/>
    <w:rsid w:val="00CA1897"/>
    <w:rsid w:val="00CA1A02"/>
    <w:rsid w:val="00CA1B07"/>
    <w:rsid w:val="00CA1B65"/>
    <w:rsid w:val="00CA1C36"/>
    <w:rsid w:val="00CA1C4C"/>
    <w:rsid w:val="00CA1EB0"/>
    <w:rsid w:val="00CA1F05"/>
    <w:rsid w:val="00CA207A"/>
    <w:rsid w:val="00CA2239"/>
    <w:rsid w:val="00CA22FB"/>
    <w:rsid w:val="00CA2338"/>
    <w:rsid w:val="00CA240E"/>
    <w:rsid w:val="00CA245B"/>
    <w:rsid w:val="00CA2949"/>
    <w:rsid w:val="00CA29A4"/>
    <w:rsid w:val="00CA2A34"/>
    <w:rsid w:val="00CA2A8D"/>
    <w:rsid w:val="00CA2AF7"/>
    <w:rsid w:val="00CA2B1C"/>
    <w:rsid w:val="00CA2BDA"/>
    <w:rsid w:val="00CA2C28"/>
    <w:rsid w:val="00CA2CDE"/>
    <w:rsid w:val="00CA2E9A"/>
    <w:rsid w:val="00CA2F05"/>
    <w:rsid w:val="00CA3014"/>
    <w:rsid w:val="00CA3216"/>
    <w:rsid w:val="00CA32AD"/>
    <w:rsid w:val="00CA3347"/>
    <w:rsid w:val="00CA3362"/>
    <w:rsid w:val="00CA3567"/>
    <w:rsid w:val="00CA3612"/>
    <w:rsid w:val="00CA3623"/>
    <w:rsid w:val="00CA36A5"/>
    <w:rsid w:val="00CA3769"/>
    <w:rsid w:val="00CA379A"/>
    <w:rsid w:val="00CA38D7"/>
    <w:rsid w:val="00CA392D"/>
    <w:rsid w:val="00CA3AB2"/>
    <w:rsid w:val="00CA3C10"/>
    <w:rsid w:val="00CA40AD"/>
    <w:rsid w:val="00CA415A"/>
    <w:rsid w:val="00CA4244"/>
    <w:rsid w:val="00CA42D4"/>
    <w:rsid w:val="00CA42EF"/>
    <w:rsid w:val="00CA432D"/>
    <w:rsid w:val="00CA4592"/>
    <w:rsid w:val="00CA4644"/>
    <w:rsid w:val="00CA473B"/>
    <w:rsid w:val="00CA4786"/>
    <w:rsid w:val="00CA485C"/>
    <w:rsid w:val="00CA48AE"/>
    <w:rsid w:val="00CA4B0A"/>
    <w:rsid w:val="00CA4B28"/>
    <w:rsid w:val="00CA4B29"/>
    <w:rsid w:val="00CA4C48"/>
    <w:rsid w:val="00CA52F4"/>
    <w:rsid w:val="00CA53AD"/>
    <w:rsid w:val="00CA546C"/>
    <w:rsid w:val="00CA55D8"/>
    <w:rsid w:val="00CA55F2"/>
    <w:rsid w:val="00CA55FA"/>
    <w:rsid w:val="00CA5787"/>
    <w:rsid w:val="00CA5941"/>
    <w:rsid w:val="00CA5B25"/>
    <w:rsid w:val="00CA5D0B"/>
    <w:rsid w:val="00CA5D4C"/>
    <w:rsid w:val="00CA5FDC"/>
    <w:rsid w:val="00CA6409"/>
    <w:rsid w:val="00CA64B1"/>
    <w:rsid w:val="00CA6500"/>
    <w:rsid w:val="00CA66E0"/>
    <w:rsid w:val="00CA6729"/>
    <w:rsid w:val="00CA678B"/>
    <w:rsid w:val="00CA678E"/>
    <w:rsid w:val="00CA68DE"/>
    <w:rsid w:val="00CA6A9F"/>
    <w:rsid w:val="00CA6B53"/>
    <w:rsid w:val="00CA6BD3"/>
    <w:rsid w:val="00CA6CB3"/>
    <w:rsid w:val="00CA6D4C"/>
    <w:rsid w:val="00CA6D83"/>
    <w:rsid w:val="00CA701D"/>
    <w:rsid w:val="00CA70A2"/>
    <w:rsid w:val="00CA713F"/>
    <w:rsid w:val="00CA7231"/>
    <w:rsid w:val="00CA734D"/>
    <w:rsid w:val="00CA73EE"/>
    <w:rsid w:val="00CA7408"/>
    <w:rsid w:val="00CA743C"/>
    <w:rsid w:val="00CA7452"/>
    <w:rsid w:val="00CA762B"/>
    <w:rsid w:val="00CA76AE"/>
    <w:rsid w:val="00CA7799"/>
    <w:rsid w:val="00CA77A5"/>
    <w:rsid w:val="00CA78B0"/>
    <w:rsid w:val="00CA797E"/>
    <w:rsid w:val="00CA7B13"/>
    <w:rsid w:val="00CA7B51"/>
    <w:rsid w:val="00CA7B98"/>
    <w:rsid w:val="00CA7F08"/>
    <w:rsid w:val="00CB00DC"/>
    <w:rsid w:val="00CB00E5"/>
    <w:rsid w:val="00CB01C2"/>
    <w:rsid w:val="00CB01D5"/>
    <w:rsid w:val="00CB01F7"/>
    <w:rsid w:val="00CB03A5"/>
    <w:rsid w:val="00CB040D"/>
    <w:rsid w:val="00CB052C"/>
    <w:rsid w:val="00CB05B6"/>
    <w:rsid w:val="00CB062C"/>
    <w:rsid w:val="00CB07B7"/>
    <w:rsid w:val="00CB07FA"/>
    <w:rsid w:val="00CB08C2"/>
    <w:rsid w:val="00CB0922"/>
    <w:rsid w:val="00CB0948"/>
    <w:rsid w:val="00CB09D8"/>
    <w:rsid w:val="00CB0B65"/>
    <w:rsid w:val="00CB0B94"/>
    <w:rsid w:val="00CB0C08"/>
    <w:rsid w:val="00CB0EE5"/>
    <w:rsid w:val="00CB0F0C"/>
    <w:rsid w:val="00CB101E"/>
    <w:rsid w:val="00CB1038"/>
    <w:rsid w:val="00CB107A"/>
    <w:rsid w:val="00CB1333"/>
    <w:rsid w:val="00CB1426"/>
    <w:rsid w:val="00CB14E6"/>
    <w:rsid w:val="00CB1507"/>
    <w:rsid w:val="00CB1AD4"/>
    <w:rsid w:val="00CB1AD9"/>
    <w:rsid w:val="00CB20FB"/>
    <w:rsid w:val="00CB21CF"/>
    <w:rsid w:val="00CB2299"/>
    <w:rsid w:val="00CB2455"/>
    <w:rsid w:val="00CB25A9"/>
    <w:rsid w:val="00CB25C5"/>
    <w:rsid w:val="00CB2639"/>
    <w:rsid w:val="00CB27C7"/>
    <w:rsid w:val="00CB27D4"/>
    <w:rsid w:val="00CB285D"/>
    <w:rsid w:val="00CB285E"/>
    <w:rsid w:val="00CB2AE5"/>
    <w:rsid w:val="00CB2CA0"/>
    <w:rsid w:val="00CB2CF7"/>
    <w:rsid w:val="00CB2D64"/>
    <w:rsid w:val="00CB2E2E"/>
    <w:rsid w:val="00CB2EF3"/>
    <w:rsid w:val="00CB2F16"/>
    <w:rsid w:val="00CB2F28"/>
    <w:rsid w:val="00CB2FD2"/>
    <w:rsid w:val="00CB2FF2"/>
    <w:rsid w:val="00CB307A"/>
    <w:rsid w:val="00CB30C2"/>
    <w:rsid w:val="00CB30C5"/>
    <w:rsid w:val="00CB3178"/>
    <w:rsid w:val="00CB31E4"/>
    <w:rsid w:val="00CB3207"/>
    <w:rsid w:val="00CB322C"/>
    <w:rsid w:val="00CB381C"/>
    <w:rsid w:val="00CB3843"/>
    <w:rsid w:val="00CB3BFB"/>
    <w:rsid w:val="00CB40D6"/>
    <w:rsid w:val="00CB41CA"/>
    <w:rsid w:val="00CB433A"/>
    <w:rsid w:val="00CB4386"/>
    <w:rsid w:val="00CB439D"/>
    <w:rsid w:val="00CB45E1"/>
    <w:rsid w:val="00CB46A7"/>
    <w:rsid w:val="00CB48FD"/>
    <w:rsid w:val="00CB490A"/>
    <w:rsid w:val="00CB4B6B"/>
    <w:rsid w:val="00CB4C2D"/>
    <w:rsid w:val="00CB4C62"/>
    <w:rsid w:val="00CB4CA7"/>
    <w:rsid w:val="00CB4CAE"/>
    <w:rsid w:val="00CB4CFF"/>
    <w:rsid w:val="00CB4D8D"/>
    <w:rsid w:val="00CB4DA2"/>
    <w:rsid w:val="00CB4E37"/>
    <w:rsid w:val="00CB4F33"/>
    <w:rsid w:val="00CB5028"/>
    <w:rsid w:val="00CB53DD"/>
    <w:rsid w:val="00CB5415"/>
    <w:rsid w:val="00CB57EF"/>
    <w:rsid w:val="00CB5810"/>
    <w:rsid w:val="00CB5A54"/>
    <w:rsid w:val="00CB5C0E"/>
    <w:rsid w:val="00CB5D35"/>
    <w:rsid w:val="00CB5D72"/>
    <w:rsid w:val="00CB5DE2"/>
    <w:rsid w:val="00CB5F49"/>
    <w:rsid w:val="00CB5F63"/>
    <w:rsid w:val="00CB603B"/>
    <w:rsid w:val="00CB613D"/>
    <w:rsid w:val="00CB6414"/>
    <w:rsid w:val="00CB64CF"/>
    <w:rsid w:val="00CB65A7"/>
    <w:rsid w:val="00CB6639"/>
    <w:rsid w:val="00CB66A4"/>
    <w:rsid w:val="00CB66C9"/>
    <w:rsid w:val="00CB67C4"/>
    <w:rsid w:val="00CB6835"/>
    <w:rsid w:val="00CB689F"/>
    <w:rsid w:val="00CB6985"/>
    <w:rsid w:val="00CB6A05"/>
    <w:rsid w:val="00CB6AB2"/>
    <w:rsid w:val="00CB6B4C"/>
    <w:rsid w:val="00CB6CC0"/>
    <w:rsid w:val="00CB6CDE"/>
    <w:rsid w:val="00CB6D12"/>
    <w:rsid w:val="00CB6D7E"/>
    <w:rsid w:val="00CB6E03"/>
    <w:rsid w:val="00CB6EDD"/>
    <w:rsid w:val="00CB6FC3"/>
    <w:rsid w:val="00CB710F"/>
    <w:rsid w:val="00CB71BB"/>
    <w:rsid w:val="00CB7247"/>
    <w:rsid w:val="00CB731E"/>
    <w:rsid w:val="00CB7573"/>
    <w:rsid w:val="00CB769B"/>
    <w:rsid w:val="00CB781A"/>
    <w:rsid w:val="00CB7A4B"/>
    <w:rsid w:val="00CB7A92"/>
    <w:rsid w:val="00CB7B54"/>
    <w:rsid w:val="00CB7C07"/>
    <w:rsid w:val="00CB7C66"/>
    <w:rsid w:val="00CB7CC3"/>
    <w:rsid w:val="00CB7DC4"/>
    <w:rsid w:val="00CB7DF2"/>
    <w:rsid w:val="00CB7F53"/>
    <w:rsid w:val="00CC0105"/>
    <w:rsid w:val="00CC0240"/>
    <w:rsid w:val="00CC0260"/>
    <w:rsid w:val="00CC0366"/>
    <w:rsid w:val="00CC0445"/>
    <w:rsid w:val="00CC04E3"/>
    <w:rsid w:val="00CC0541"/>
    <w:rsid w:val="00CC0825"/>
    <w:rsid w:val="00CC0859"/>
    <w:rsid w:val="00CC085F"/>
    <w:rsid w:val="00CC0AAD"/>
    <w:rsid w:val="00CC0B00"/>
    <w:rsid w:val="00CC0BA2"/>
    <w:rsid w:val="00CC0BEE"/>
    <w:rsid w:val="00CC0CB6"/>
    <w:rsid w:val="00CC0E1B"/>
    <w:rsid w:val="00CC1227"/>
    <w:rsid w:val="00CC1586"/>
    <w:rsid w:val="00CC15AA"/>
    <w:rsid w:val="00CC1600"/>
    <w:rsid w:val="00CC163E"/>
    <w:rsid w:val="00CC18DD"/>
    <w:rsid w:val="00CC19E2"/>
    <w:rsid w:val="00CC1B20"/>
    <w:rsid w:val="00CC1B28"/>
    <w:rsid w:val="00CC1BB8"/>
    <w:rsid w:val="00CC1BDF"/>
    <w:rsid w:val="00CC1CD0"/>
    <w:rsid w:val="00CC1D1F"/>
    <w:rsid w:val="00CC21B4"/>
    <w:rsid w:val="00CC2203"/>
    <w:rsid w:val="00CC223E"/>
    <w:rsid w:val="00CC22CE"/>
    <w:rsid w:val="00CC22FF"/>
    <w:rsid w:val="00CC245A"/>
    <w:rsid w:val="00CC2519"/>
    <w:rsid w:val="00CC2694"/>
    <w:rsid w:val="00CC27CC"/>
    <w:rsid w:val="00CC289B"/>
    <w:rsid w:val="00CC28AF"/>
    <w:rsid w:val="00CC2998"/>
    <w:rsid w:val="00CC29BF"/>
    <w:rsid w:val="00CC29C5"/>
    <w:rsid w:val="00CC2A05"/>
    <w:rsid w:val="00CC2A80"/>
    <w:rsid w:val="00CC2B4E"/>
    <w:rsid w:val="00CC2CAE"/>
    <w:rsid w:val="00CC2D7F"/>
    <w:rsid w:val="00CC32B1"/>
    <w:rsid w:val="00CC32CC"/>
    <w:rsid w:val="00CC3309"/>
    <w:rsid w:val="00CC3374"/>
    <w:rsid w:val="00CC35BA"/>
    <w:rsid w:val="00CC3684"/>
    <w:rsid w:val="00CC3832"/>
    <w:rsid w:val="00CC3ABD"/>
    <w:rsid w:val="00CC3ACC"/>
    <w:rsid w:val="00CC3DDE"/>
    <w:rsid w:val="00CC3F86"/>
    <w:rsid w:val="00CC406B"/>
    <w:rsid w:val="00CC40F4"/>
    <w:rsid w:val="00CC41D9"/>
    <w:rsid w:val="00CC4257"/>
    <w:rsid w:val="00CC4285"/>
    <w:rsid w:val="00CC4295"/>
    <w:rsid w:val="00CC42A9"/>
    <w:rsid w:val="00CC42CD"/>
    <w:rsid w:val="00CC4602"/>
    <w:rsid w:val="00CC47B0"/>
    <w:rsid w:val="00CC4829"/>
    <w:rsid w:val="00CC4AA2"/>
    <w:rsid w:val="00CC4B42"/>
    <w:rsid w:val="00CC4EC7"/>
    <w:rsid w:val="00CC4FB8"/>
    <w:rsid w:val="00CC5202"/>
    <w:rsid w:val="00CC5261"/>
    <w:rsid w:val="00CC52CD"/>
    <w:rsid w:val="00CC55C1"/>
    <w:rsid w:val="00CC56CF"/>
    <w:rsid w:val="00CC5913"/>
    <w:rsid w:val="00CC5A54"/>
    <w:rsid w:val="00CC5AF0"/>
    <w:rsid w:val="00CC5C77"/>
    <w:rsid w:val="00CC5F0F"/>
    <w:rsid w:val="00CC5FB3"/>
    <w:rsid w:val="00CC5FBB"/>
    <w:rsid w:val="00CC5FE0"/>
    <w:rsid w:val="00CC6122"/>
    <w:rsid w:val="00CC6279"/>
    <w:rsid w:val="00CC62AA"/>
    <w:rsid w:val="00CC6304"/>
    <w:rsid w:val="00CC642D"/>
    <w:rsid w:val="00CC6500"/>
    <w:rsid w:val="00CC66A9"/>
    <w:rsid w:val="00CC66DC"/>
    <w:rsid w:val="00CC6701"/>
    <w:rsid w:val="00CC68EC"/>
    <w:rsid w:val="00CC6A45"/>
    <w:rsid w:val="00CC6A8E"/>
    <w:rsid w:val="00CC6AF9"/>
    <w:rsid w:val="00CC6B34"/>
    <w:rsid w:val="00CC6BC6"/>
    <w:rsid w:val="00CC6CE5"/>
    <w:rsid w:val="00CC6D02"/>
    <w:rsid w:val="00CC6D49"/>
    <w:rsid w:val="00CC6D8B"/>
    <w:rsid w:val="00CC7031"/>
    <w:rsid w:val="00CC72D1"/>
    <w:rsid w:val="00CC7322"/>
    <w:rsid w:val="00CC7399"/>
    <w:rsid w:val="00CC7434"/>
    <w:rsid w:val="00CC7615"/>
    <w:rsid w:val="00CC7747"/>
    <w:rsid w:val="00CC7AE6"/>
    <w:rsid w:val="00CC7B6C"/>
    <w:rsid w:val="00CC7B82"/>
    <w:rsid w:val="00CC7CB4"/>
    <w:rsid w:val="00CC7D9F"/>
    <w:rsid w:val="00CC7DDB"/>
    <w:rsid w:val="00CC7DEB"/>
    <w:rsid w:val="00CC7E68"/>
    <w:rsid w:val="00CD0139"/>
    <w:rsid w:val="00CD0176"/>
    <w:rsid w:val="00CD026D"/>
    <w:rsid w:val="00CD0545"/>
    <w:rsid w:val="00CD057E"/>
    <w:rsid w:val="00CD0598"/>
    <w:rsid w:val="00CD082F"/>
    <w:rsid w:val="00CD084C"/>
    <w:rsid w:val="00CD0961"/>
    <w:rsid w:val="00CD0977"/>
    <w:rsid w:val="00CD0AEB"/>
    <w:rsid w:val="00CD0B4F"/>
    <w:rsid w:val="00CD0B7D"/>
    <w:rsid w:val="00CD0C23"/>
    <w:rsid w:val="00CD0C58"/>
    <w:rsid w:val="00CD0DAA"/>
    <w:rsid w:val="00CD0EC5"/>
    <w:rsid w:val="00CD0F9F"/>
    <w:rsid w:val="00CD12DB"/>
    <w:rsid w:val="00CD12ED"/>
    <w:rsid w:val="00CD14CF"/>
    <w:rsid w:val="00CD14D4"/>
    <w:rsid w:val="00CD15D0"/>
    <w:rsid w:val="00CD169C"/>
    <w:rsid w:val="00CD1711"/>
    <w:rsid w:val="00CD19FA"/>
    <w:rsid w:val="00CD1A49"/>
    <w:rsid w:val="00CD1A6A"/>
    <w:rsid w:val="00CD1A72"/>
    <w:rsid w:val="00CD1AD8"/>
    <w:rsid w:val="00CD1C7F"/>
    <w:rsid w:val="00CD1DE5"/>
    <w:rsid w:val="00CD1E21"/>
    <w:rsid w:val="00CD1EE9"/>
    <w:rsid w:val="00CD208D"/>
    <w:rsid w:val="00CD21B6"/>
    <w:rsid w:val="00CD21E3"/>
    <w:rsid w:val="00CD22C4"/>
    <w:rsid w:val="00CD23C1"/>
    <w:rsid w:val="00CD23E6"/>
    <w:rsid w:val="00CD2481"/>
    <w:rsid w:val="00CD24E3"/>
    <w:rsid w:val="00CD2610"/>
    <w:rsid w:val="00CD2752"/>
    <w:rsid w:val="00CD2822"/>
    <w:rsid w:val="00CD293D"/>
    <w:rsid w:val="00CD2A61"/>
    <w:rsid w:val="00CD2A87"/>
    <w:rsid w:val="00CD2AE0"/>
    <w:rsid w:val="00CD2B26"/>
    <w:rsid w:val="00CD2B81"/>
    <w:rsid w:val="00CD2B89"/>
    <w:rsid w:val="00CD2BF9"/>
    <w:rsid w:val="00CD2CB7"/>
    <w:rsid w:val="00CD2CFE"/>
    <w:rsid w:val="00CD2EDC"/>
    <w:rsid w:val="00CD2EF2"/>
    <w:rsid w:val="00CD2F2A"/>
    <w:rsid w:val="00CD30E0"/>
    <w:rsid w:val="00CD30FB"/>
    <w:rsid w:val="00CD3475"/>
    <w:rsid w:val="00CD35F7"/>
    <w:rsid w:val="00CD362B"/>
    <w:rsid w:val="00CD37BF"/>
    <w:rsid w:val="00CD39CC"/>
    <w:rsid w:val="00CD4055"/>
    <w:rsid w:val="00CD4286"/>
    <w:rsid w:val="00CD4383"/>
    <w:rsid w:val="00CD44D4"/>
    <w:rsid w:val="00CD4551"/>
    <w:rsid w:val="00CD4578"/>
    <w:rsid w:val="00CD46A2"/>
    <w:rsid w:val="00CD477C"/>
    <w:rsid w:val="00CD47D1"/>
    <w:rsid w:val="00CD47ED"/>
    <w:rsid w:val="00CD491B"/>
    <w:rsid w:val="00CD4974"/>
    <w:rsid w:val="00CD49E4"/>
    <w:rsid w:val="00CD4B66"/>
    <w:rsid w:val="00CD4C63"/>
    <w:rsid w:val="00CD4C7E"/>
    <w:rsid w:val="00CD4CEE"/>
    <w:rsid w:val="00CD4F47"/>
    <w:rsid w:val="00CD5089"/>
    <w:rsid w:val="00CD53DA"/>
    <w:rsid w:val="00CD542A"/>
    <w:rsid w:val="00CD561B"/>
    <w:rsid w:val="00CD563E"/>
    <w:rsid w:val="00CD56CD"/>
    <w:rsid w:val="00CD581A"/>
    <w:rsid w:val="00CD58B7"/>
    <w:rsid w:val="00CD58E8"/>
    <w:rsid w:val="00CD5963"/>
    <w:rsid w:val="00CD5B7F"/>
    <w:rsid w:val="00CD5D79"/>
    <w:rsid w:val="00CD5DBA"/>
    <w:rsid w:val="00CD5E89"/>
    <w:rsid w:val="00CD6078"/>
    <w:rsid w:val="00CD66BC"/>
    <w:rsid w:val="00CD6733"/>
    <w:rsid w:val="00CD67E3"/>
    <w:rsid w:val="00CD6BFC"/>
    <w:rsid w:val="00CD6C7B"/>
    <w:rsid w:val="00CD6CA1"/>
    <w:rsid w:val="00CD6CEB"/>
    <w:rsid w:val="00CD6DA9"/>
    <w:rsid w:val="00CD6E59"/>
    <w:rsid w:val="00CD6EDC"/>
    <w:rsid w:val="00CD6F40"/>
    <w:rsid w:val="00CD7176"/>
    <w:rsid w:val="00CD717C"/>
    <w:rsid w:val="00CD7270"/>
    <w:rsid w:val="00CD72CE"/>
    <w:rsid w:val="00CD7678"/>
    <w:rsid w:val="00CD78A9"/>
    <w:rsid w:val="00CD7919"/>
    <w:rsid w:val="00CD79F9"/>
    <w:rsid w:val="00CD7BA9"/>
    <w:rsid w:val="00CD7DA8"/>
    <w:rsid w:val="00CD7E75"/>
    <w:rsid w:val="00CD7E90"/>
    <w:rsid w:val="00CD7EEC"/>
    <w:rsid w:val="00CD7FBE"/>
    <w:rsid w:val="00CD7FCD"/>
    <w:rsid w:val="00CE004C"/>
    <w:rsid w:val="00CE0135"/>
    <w:rsid w:val="00CE0277"/>
    <w:rsid w:val="00CE044B"/>
    <w:rsid w:val="00CE04D2"/>
    <w:rsid w:val="00CE04FB"/>
    <w:rsid w:val="00CE05AA"/>
    <w:rsid w:val="00CE0617"/>
    <w:rsid w:val="00CE0724"/>
    <w:rsid w:val="00CE07BB"/>
    <w:rsid w:val="00CE07C4"/>
    <w:rsid w:val="00CE080A"/>
    <w:rsid w:val="00CE096B"/>
    <w:rsid w:val="00CE09F4"/>
    <w:rsid w:val="00CE0A5E"/>
    <w:rsid w:val="00CE0C5C"/>
    <w:rsid w:val="00CE0CAC"/>
    <w:rsid w:val="00CE0D37"/>
    <w:rsid w:val="00CE0FB3"/>
    <w:rsid w:val="00CE1210"/>
    <w:rsid w:val="00CE1303"/>
    <w:rsid w:val="00CE14F0"/>
    <w:rsid w:val="00CE169D"/>
    <w:rsid w:val="00CE16BE"/>
    <w:rsid w:val="00CE1714"/>
    <w:rsid w:val="00CE17AF"/>
    <w:rsid w:val="00CE17B3"/>
    <w:rsid w:val="00CE187B"/>
    <w:rsid w:val="00CE1992"/>
    <w:rsid w:val="00CE1A9F"/>
    <w:rsid w:val="00CE1BF6"/>
    <w:rsid w:val="00CE1CA2"/>
    <w:rsid w:val="00CE1D7B"/>
    <w:rsid w:val="00CE1ED3"/>
    <w:rsid w:val="00CE1FEF"/>
    <w:rsid w:val="00CE20C8"/>
    <w:rsid w:val="00CE22BB"/>
    <w:rsid w:val="00CE232A"/>
    <w:rsid w:val="00CE235D"/>
    <w:rsid w:val="00CE2882"/>
    <w:rsid w:val="00CE28CA"/>
    <w:rsid w:val="00CE2903"/>
    <w:rsid w:val="00CE2A4D"/>
    <w:rsid w:val="00CE2ABD"/>
    <w:rsid w:val="00CE2BB3"/>
    <w:rsid w:val="00CE2C19"/>
    <w:rsid w:val="00CE2C87"/>
    <w:rsid w:val="00CE2D59"/>
    <w:rsid w:val="00CE2DEB"/>
    <w:rsid w:val="00CE2ED4"/>
    <w:rsid w:val="00CE2EF8"/>
    <w:rsid w:val="00CE30DF"/>
    <w:rsid w:val="00CE325A"/>
    <w:rsid w:val="00CE330D"/>
    <w:rsid w:val="00CE34E2"/>
    <w:rsid w:val="00CE36C6"/>
    <w:rsid w:val="00CE37DD"/>
    <w:rsid w:val="00CE37E2"/>
    <w:rsid w:val="00CE38A4"/>
    <w:rsid w:val="00CE3992"/>
    <w:rsid w:val="00CE3A27"/>
    <w:rsid w:val="00CE3B88"/>
    <w:rsid w:val="00CE3BEA"/>
    <w:rsid w:val="00CE3D3A"/>
    <w:rsid w:val="00CE3E80"/>
    <w:rsid w:val="00CE402E"/>
    <w:rsid w:val="00CE4056"/>
    <w:rsid w:val="00CE4544"/>
    <w:rsid w:val="00CE4563"/>
    <w:rsid w:val="00CE46C4"/>
    <w:rsid w:val="00CE4772"/>
    <w:rsid w:val="00CE4781"/>
    <w:rsid w:val="00CE4989"/>
    <w:rsid w:val="00CE4A41"/>
    <w:rsid w:val="00CE4A7D"/>
    <w:rsid w:val="00CE4C90"/>
    <w:rsid w:val="00CE4D23"/>
    <w:rsid w:val="00CE4F1D"/>
    <w:rsid w:val="00CE5041"/>
    <w:rsid w:val="00CE508D"/>
    <w:rsid w:val="00CE5091"/>
    <w:rsid w:val="00CE5163"/>
    <w:rsid w:val="00CE542B"/>
    <w:rsid w:val="00CE54C7"/>
    <w:rsid w:val="00CE5639"/>
    <w:rsid w:val="00CE56E8"/>
    <w:rsid w:val="00CE5714"/>
    <w:rsid w:val="00CE5872"/>
    <w:rsid w:val="00CE5AEF"/>
    <w:rsid w:val="00CE5B2C"/>
    <w:rsid w:val="00CE5C21"/>
    <w:rsid w:val="00CE5F35"/>
    <w:rsid w:val="00CE5FBC"/>
    <w:rsid w:val="00CE6293"/>
    <w:rsid w:val="00CE62B2"/>
    <w:rsid w:val="00CE639C"/>
    <w:rsid w:val="00CE644F"/>
    <w:rsid w:val="00CE652E"/>
    <w:rsid w:val="00CE65CF"/>
    <w:rsid w:val="00CE6882"/>
    <w:rsid w:val="00CE68AD"/>
    <w:rsid w:val="00CE6984"/>
    <w:rsid w:val="00CE6A84"/>
    <w:rsid w:val="00CE6B18"/>
    <w:rsid w:val="00CE6B7C"/>
    <w:rsid w:val="00CE6D81"/>
    <w:rsid w:val="00CE6DBE"/>
    <w:rsid w:val="00CE6F11"/>
    <w:rsid w:val="00CE70F9"/>
    <w:rsid w:val="00CE7196"/>
    <w:rsid w:val="00CE72AB"/>
    <w:rsid w:val="00CE7486"/>
    <w:rsid w:val="00CE7537"/>
    <w:rsid w:val="00CE759D"/>
    <w:rsid w:val="00CE75CD"/>
    <w:rsid w:val="00CE77D7"/>
    <w:rsid w:val="00CE798F"/>
    <w:rsid w:val="00CE7A48"/>
    <w:rsid w:val="00CE7AF8"/>
    <w:rsid w:val="00CE7B74"/>
    <w:rsid w:val="00CE7C2C"/>
    <w:rsid w:val="00CE7C55"/>
    <w:rsid w:val="00CE7C61"/>
    <w:rsid w:val="00CE7CA3"/>
    <w:rsid w:val="00CE7CAD"/>
    <w:rsid w:val="00CE7CAF"/>
    <w:rsid w:val="00CF0025"/>
    <w:rsid w:val="00CF0192"/>
    <w:rsid w:val="00CF022B"/>
    <w:rsid w:val="00CF05A0"/>
    <w:rsid w:val="00CF066C"/>
    <w:rsid w:val="00CF072D"/>
    <w:rsid w:val="00CF08A3"/>
    <w:rsid w:val="00CF09E9"/>
    <w:rsid w:val="00CF0A26"/>
    <w:rsid w:val="00CF0A43"/>
    <w:rsid w:val="00CF0AF2"/>
    <w:rsid w:val="00CF0B0D"/>
    <w:rsid w:val="00CF0BFD"/>
    <w:rsid w:val="00CF0ECD"/>
    <w:rsid w:val="00CF1007"/>
    <w:rsid w:val="00CF10D6"/>
    <w:rsid w:val="00CF12F9"/>
    <w:rsid w:val="00CF1387"/>
    <w:rsid w:val="00CF13E4"/>
    <w:rsid w:val="00CF1863"/>
    <w:rsid w:val="00CF1939"/>
    <w:rsid w:val="00CF198E"/>
    <w:rsid w:val="00CF1A21"/>
    <w:rsid w:val="00CF1D76"/>
    <w:rsid w:val="00CF1E00"/>
    <w:rsid w:val="00CF1EF7"/>
    <w:rsid w:val="00CF1F2A"/>
    <w:rsid w:val="00CF203B"/>
    <w:rsid w:val="00CF20D2"/>
    <w:rsid w:val="00CF214C"/>
    <w:rsid w:val="00CF24F0"/>
    <w:rsid w:val="00CF25E4"/>
    <w:rsid w:val="00CF2708"/>
    <w:rsid w:val="00CF2877"/>
    <w:rsid w:val="00CF296E"/>
    <w:rsid w:val="00CF29AC"/>
    <w:rsid w:val="00CF2A83"/>
    <w:rsid w:val="00CF2A8C"/>
    <w:rsid w:val="00CF2B85"/>
    <w:rsid w:val="00CF2C0C"/>
    <w:rsid w:val="00CF2DC2"/>
    <w:rsid w:val="00CF2FE0"/>
    <w:rsid w:val="00CF3153"/>
    <w:rsid w:val="00CF3206"/>
    <w:rsid w:val="00CF3270"/>
    <w:rsid w:val="00CF32B4"/>
    <w:rsid w:val="00CF32B8"/>
    <w:rsid w:val="00CF32ED"/>
    <w:rsid w:val="00CF333D"/>
    <w:rsid w:val="00CF33CB"/>
    <w:rsid w:val="00CF3592"/>
    <w:rsid w:val="00CF3823"/>
    <w:rsid w:val="00CF3894"/>
    <w:rsid w:val="00CF38A7"/>
    <w:rsid w:val="00CF3925"/>
    <w:rsid w:val="00CF3B29"/>
    <w:rsid w:val="00CF3B8D"/>
    <w:rsid w:val="00CF3B8E"/>
    <w:rsid w:val="00CF3C8B"/>
    <w:rsid w:val="00CF3D7D"/>
    <w:rsid w:val="00CF3EB6"/>
    <w:rsid w:val="00CF3EE9"/>
    <w:rsid w:val="00CF3FB8"/>
    <w:rsid w:val="00CF409F"/>
    <w:rsid w:val="00CF40BA"/>
    <w:rsid w:val="00CF43EA"/>
    <w:rsid w:val="00CF440F"/>
    <w:rsid w:val="00CF4499"/>
    <w:rsid w:val="00CF44BB"/>
    <w:rsid w:val="00CF4693"/>
    <w:rsid w:val="00CF47DF"/>
    <w:rsid w:val="00CF493E"/>
    <w:rsid w:val="00CF4970"/>
    <w:rsid w:val="00CF4A26"/>
    <w:rsid w:val="00CF4ACC"/>
    <w:rsid w:val="00CF4DF8"/>
    <w:rsid w:val="00CF4E68"/>
    <w:rsid w:val="00CF4E6B"/>
    <w:rsid w:val="00CF4E91"/>
    <w:rsid w:val="00CF5041"/>
    <w:rsid w:val="00CF5297"/>
    <w:rsid w:val="00CF5432"/>
    <w:rsid w:val="00CF5669"/>
    <w:rsid w:val="00CF56E7"/>
    <w:rsid w:val="00CF571C"/>
    <w:rsid w:val="00CF5772"/>
    <w:rsid w:val="00CF5902"/>
    <w:rsid w:val="00CF5982"/>
    <w:rsid w:val="00CF5983"/>
    <w:rsid w:val="00CF5C64"/>
    <w:rsid w:val="00CF5CE9"/>
    <w:rsid w:val="00CF5D9C"/>
    <w:rsid w:val="00CF5E20"/>
    <w:rsid w:val="00CF5E8B"/>
    <w:rsid w:val="00CF5F85"/>
    <w:rsid w:val="00CF6153"/>
    <w:rsid w:val="00CF61F2"/>
    <w:rsid w:val="00CF64C3"/>
    <w:rsid w:val="00CF6565"/>
    <w:rsid w:val="00CF675D"/>
    <w:rsid w:val="00CF6760"/>
    <w:rsid w:val="00CF6816"/>
    <w:rsid w:val="00CF68E2"/>
    <w:rsid w:val="00CF68FC"/>
    <w:rsid w:val="00CF69BC"/>
    <w:rsid w:val="00CF6B30"/>
    <w:rsid w:val="00CF6E4E"/>
    <w:rsid w:val="00CF6E75"/>
    <w:rsid w:val="00CF7383"/>
    <w:rsid w:val="00CF7497"/>
    <w:rsid w:val="00CF7503"/>
    <w:rsid w:val="00CF75D1"/>
    <w:rsid w:val="00CF764E"/>
    <w:rsid w:val="00CF7741"/>
    <w:rsid w:val="00CF776E"/>
    <w:rsid w:val="00CF7A25"/>
    <w:rsid w:val="00CF7A89"/>
    <w:rsid w:val="00CF7B73"/>
    <w:rsid w:val="00CF7CFD"/>
    <w:rsid w:val="00CF7D57"/>
    <w:rsid w:val="00CF7D85"/>
    <w:rsid w:val="00CF7E3E"/>
    <w:rsid w:val="00CF7F0D"/>
    <w:rsid w:val="00CF7F55"/>
    <w:rsid w:val="00D00405"/>
    <w:rsid w:val="00D0046E"/>
    <w:rsid w:val="00D00490"/>
    <w:rsid w:val="00D00525"/>
    <w:rsid w:val="00D00551"/>
    <w:rsid w:val="00D0080A"/>
    <w:rsid w:val="00D0083B"/>
    <w:rsid w:val="00D00A08"/>
    <w:rsid w:val="00D00AEB"/>
    <w:rsid w:val="00D00B1E"/>
    <w:rsid w:val="00D00D75"/>
    <w:rsid w:val="00D00DF4"/>
    <w:rsid w:val="00D00EC9"/>
    <w:rsid w:val="00D00ECA"/>
    <w:rsid w:val="00D00ECB"/>
    <w:rsid w:val="00D00F20"/>
    <w:rsid w:val="00D01017"/>
    <w:rsid w:val="00D010D7"/>
    <w:rsid w:val="00D011A9"/>
    <w:rsid w:val="00D011CB"/>
    <w:rsid w:val="00D012DB"/>
    <w:rsid w:val="00D01346"/>
    <w:rsid w:val="00D0138D"/>
    <w:rsid w:val="00D013F5"/>
    <w:rsid w:val="00D01646"/>
    <w:rsid w:val="00D01668"/>
    <w:rsid w:val="00D01806"/>
    <w:rsid w:val="00D01837"/>
    <w:rsid w:val="00D01845"/>
    <w:rsid w:val="00D01BBC"/>
    <w:rsid w:val="00D01C9C"/>
    <w:rsid w:val="00D01D9A"/>
    <w:rsid w:val="00D01F48"/>
    <w:rsid w:val="00D0203C"/>
    <w:rsid w:val="00D0211F"/>
    <w:rsid w:val="00D021A4"/>
    <w:rsid w:val="00D02206"/>
    <w:rsid w:val="00D024DB"/>
    <w:rsid w:val="00D024EB"/>
    <w:rsid w:val="00D02742"/>
    <w:rsid w:val="00D0278A"/>
    <w:rsid w:val="00D027A3"/>
    <w:rsid w:val="00D0281A"/>
    <w:rsid w:val="00D02841"/>
    <w:rsid w:val="00D028F8"/>
    <w:rsid w:val="00D02A01"/>
    <w:rsid w:val="00D02A9F"/>
    <w:rsid w:val="00D02BDA"/>
    <w:rsid w:val="00D02D3D"/>
    <w:rsid w:val="00D02EC0"/>
    <w:rsid w:val="00D030DF"/>
    <w:rsid w:val="00D03282"/>
    <w:rsid w:val="00D033B1"/>
    <w:rsid w:val="00D03413"/>
    <w:rsid w:val="00D0347A"/>
    <w:rsid w:val="00D034F5"/>
    <w:rsid w:val="00D03501"/>
    <w:rsid w:val="00D03A4C"/>
    <w:rsid w:val="00D03ABB"/>
    <w:rsid w:val="00D03C8B"/>
    <w:rsid w:val="00D03D36"/>
    <w:rsid w:val="00D03D4C"/>
    <w:rsid w:val="00D03DA8"/>
    <w:rsid w:val="00D03DDA"/>
    <w:rsid w:val="00D03EB4"/>
    <w:rsid w:val="00D03FB6"/>
    <w:rsid w:val="00D040A8"/>
    <w:rsid w:val="00D040E6"/>
    <w:rsid w:val="00D0412C"/>
    <w:rsid w:val="00D04210"/>
    <w:rsid w:val="00D042FC"/>
    <w:rsid w:val="00D04487"/>
    <w:rsid w:val="00D04502"/>
    <w:rsid w:val="00D04632"/>
    <w:rsid w:val="00D0463E"/>
    <w:rsid w:val="00D0475D"/>
    <w:rsid w:val="00D047C1"/>
    <w:rsid w:val="00D0485C"/>
    <w:rsid w:val="00D04A21"/>
    <w:rsid w:val="00D04B31"/>
    <w:rsid w:val="00D04C2F"/>
    <w:rsid w:val="00D04D11"/>
    <w:rsid w:val="00D04D12"/>
    <w:rsid w:val="00D04D3D"/>
    <w:rsid w:val="00D04E75"/>
    <w:rsid w:val="00D050BE"/>
    <w:rsid w:val="00D0534B"/>
    <w:rsid w:val="00D0563F"/>
    <w:rsid w:val="00D056C7"/>
    <w:rsid w:val="00D05756"/>
    <w:rsid w:val="00D057AF"/>
    <w:rsid w:val="00D0597E"/>
    <w:rsid w:val="00D059B0"/>
    <w:rsid w:val="00D05ADA"/>
    <w:rsid w:val="00D05B2C"/>
    <w:rsid w:val="00D05C71"/>
    <w:rsid w:val="00D05EDE"/>
    <w:rsid w:val="00D05F8C"/>
    <w:rsid w:val="00D05FFA"/>
    <w:rsid w:val="00D06068"/>
    <w:rsid w:val="00D06069"/>
    <w:rsid w:val="00D0618C"/>
    <w:rsid w:val="00D061A7"/>
    <w:rsid w:val="00D0620A"/>
    <w:rsid w:val="00D0622E"/>
    <w:rsid w:val="00D06484"/>
    <w:rsid w:val="00D06775"/>
    <w:rsid w:val="00D0677E"/>
    <w:rsid w:val="00D067F6"/>
    <w:rsid w:val="00D06862"/>
    <w:rsid w:val="00D069A6"/>
    <w:rsid w:val="00D06A57"/>
    <w:rsid w:val="00D06B62"/>
    <w:rsid w:val="00D06BC0"/>
    <w:rsid w:val="00D06CD0"/>
    <w:rsid w:val="00D06DAB"/>
    <w:rsid w:val="00D06EA8"/>
    <w:rsid w:val="00D06EFB"/>
    <w:rsid w:val="00D0710D"/>
    <w:rsid w:val="00D0717A"/>
    <w:rsid w:val="00D0724F"/>
    <w:rsid w:val="00D07251"/>
    <w:rsid w:val="00D073BB"/>
    <w:rsid w:val="00D073FC"/>
    <w:rsid w:val="00D074EF"/>
    <w:rsid w:val="00D07566"/>
    <w:rsid w:val="00D076CE"/>
    <w:rsid w:val="00D07757"/>
    <w:rsid w:val="00D077AC"/>
    <w:rsid w:val="00D07964"/>
    <w:rsid w:val="00D079B2"/>
    <w:rsid w:val="00D07CFF"/>
    <w:rsid w:val="00D07E06"/>
    <w:rsid w:val="00D07FCA"/>
    <w:rsid w:val="00D10093"/>
    <w:rsid w:val="00D100AC"/>
    <w:rsid w:val="00D10151"/>
    <w:rsid w:val="00D10280"/>
    <w:rsid w:val="00D1034B"/>
    <w:rsid w:val="00D1037C"/>
    <w:rsid w:val="00D1071E"/>
    <w:rsid w:val="00D1076A"/>
    <w:rsid w:val="00D1082E"/>
    <w:rsid w:val="00D1087E"/>
    <w:rsid w:val="00D108BE"/>
    <w:rsid w:val="00D108DA"/>
    <w:rsid w:val="00D1094E"/>
    <w:rsid w:val="00D10D38"/>
    <w:rsid w:val="00D10E19"/>
    <w:rsid w:val="00D10E41"/>
    <w:rsid w:val="00D10E82"/>
    <w:rsid w:val="00D10E9C"/>
    <w:rsid w:val="00D10FF1"/>
    <w:rsid w:val="00D111F5"/>
    <w:rsid w:val="00D1128C"/>
    <w:rsid w:val="00D1129F"/>
    <w:rsid w:val="00D11391"/>
    <w:rsid w:val="00D11455"/>
    <w:rsid w:val="00D114FD"/>
    <w:rsid w:val="00D1152D"/>
    <w:rsid w:val="00D11583"/>
    <w:rsid w:val="00D11815"/>
    <w:rsid w:val="00D1185D"/>
    <w:rsid w:val="00D11A24"/>
    <w:rsid w:val="00D11A52"/>
    <w:rsid w:val="00D11A55"/>
    <w:rsid w:val="00D11AEC"/>
    <w:rsid w:val="00D11B2C"/>
    <w:rsid w:val="00D11B2D"/>
    <w:rsid w:val="00D11BCE"/>
    <w:rsid w:val="00D11D25"/>
    <w:rsid w:val="00D11F12"/>
    <w:rsid w:val="00D11FC7"/>
    <w:rsid w:val="00D12002"/>
    <w:rsid w:val="00D1215F"/>
    <w:rsid w:val="00D12359"/>
    <w:rsid w:val="00D124AE"/>
    <w:rsid w:val="00D12877"/>
    <w:rsid w:val="00D12982"/>
    <w:rsid w:val="00D129EE"/>
    <w:rsid w:val="00D12A9F"/>
    <w:rsid w:val="00D12C32"/>
    <w:rsid w:val="00D12CFE"/>
    <w:rsid w:val="00D12D49"/>
    <w:rsid w:val="00D1311B"/>
    <w:rsid w:val="00D13252"/>
    <w:rsid w:val="00D132DF"/>
    <w:rsid w:val="00D13416"/>
    <w:rsid w:val="00D1345B"/>
    <w:rsid w:val="00D13475"/>
    <w:rsid w:val="00D134CE"/>
    <w:rsid w:val="00D1388D"/>
    <w:rsid w:val="00D139CE"/>
    <w:rsid w:val="00D13A4A"/>
    <w:rsid w:val="00D13AAD"/>
    <w:rsid w:val="00D13B9D"/>
    <w:rsid w:val="00D13CFE"/>
    <w:rsid w:val="00D13E15"/>
    <w:rsid w:val="00D13E51"/>
    <w:rsid w:val="00D13E80"/>
    <w:rsid w:val="00D13EE9"/>
    <w:rsid w:val="00D13F2D"/>
    <w:rsid w:val="00D13F99"/>
    <w:rsid w:val="00D141A3"/>
    <w:rsid w:val="00D1430C"/>
    <w:rsid w:val="00D14351"/>
    <w:rsid w:val="00D14613"/>
    <w:rsid w:val="00D14838"/>
    <w:rsid w:val="00D14A1A"/>
    <w:rsid w:val="00D14A60"/>
    <w:rsid w:val="00D14B1E"/>
    <w:rsid w:val="00D14B36"/>
    <w:rsid w:val="00D14BB1"/>
    <w:rsid w:val="00D14C00"/>
    <w:rsid w:val="00D14C81"/>
    <w:rsid w:val="00D14CDB"/>
    <w:rsid w:val="00D14FE4"/>
    <w:rsid w:val="00D1551D"/>
    <w:rsid w:val="00D156D1"/>
    <w:rsid w:val="00D15860"/>
    <w:rsid w:val="00D1590C"/>
    <w:rsid w:val="00D15A09"/>
    <w:rsid w:val="00D15ABC"/>
    <w:rsid w:val="00D15B18"/>
    <w:rsid w:val="00D15BB6"/>
    <w:rsid w:val="00D15C17"/>
    <w:rsid w:val="00D15CB3"/>
    <w:rsid w:val="00D15D75"/>
    <w:rsid w:val="00D162FB"/>
    <w:rsid w:val="00D1646C"/>
    <w:rsid w:val="00D1650E"/>
    <w:rsid w:val="00D1654C"/>
    <w:rsid w:val="00D16613"/>
    <w:rsid w:val="00D16653"/>
    <w:rsid w:val="00D16688"/>
    <w:rsid w:val="00D16AE2"/>
    <w:rsid w:val="00D16B91"/>
    <w:rsid w:val="00D16C77"/>
    <w:rsid w:val="00D16C7A"/>
    <w:rsid w:val="00D16CB1"/>
    <w:rsid w:val="00D16CC1"/>
    <w:rsid w:val="00D16D82"/>
    <w:rsid w:val="00D16E31"/>
    <w:rsid w:val="00D16FCB"/>
    <w:rsid w:val="00D173E5"/>
    <w:rsid w:val="00D173FA"/>
    <w:rsid w:val="00D17404"/>
    <w:rsid w:val="00D1741C"/>
    <w:rsid w:val="00D1751E"/>
    <w:rsid w:val="00D1758D"/>
    <w:rsid w:val="00D177A6"/>
    <w:rsid w:val="00D177D7"/>
    <w:rsid w:val="00D178CD"/>
    <w:rsid w:val="00D17A65"/>
    <w:rsid w:val="00D17AF5"/>
    <w:rsid w:val="00D17C1A"/>
    <w:rsid w:val="00D17EFC"/>
    <w:rsid w:val="00D20076"/>
    <w:rsid w:val="00D201F3"/>
    <w:rsid w:val="00D2022E"/>
    <w:rsid w:val="00D20385"/>
    <w:rsid w:val="00D203B9"/>
    <w:rsid w:val="00D20455"/>
    <w:rsid w:val="00D206FB"/>
    <w:rsid w:val="00D2076D"/>
    <w:rsid w:val="00D20787"/>
    <w:rsid w:val="00D207A2"/>
    <w:rsid w:val="00D20893"/>
    <w:rsid w:val="00D208AA"/>
    <w:rsid w:val="00D208EE"/>
    <w:rsid w:val="00D20C28"/>
    <w:rsid w:val="00D20DC0"/>
    <w:rsid w:val="00D2124B"/>
    <w:rsid w:val="00D21369"/>
    <w:rsid w:val="00D21448"/>
    <w:rsid w:val="00D21520"/>
    <w:rsid w:val="00D21756"/>
    <w:rsid w:val="00D217C1"/>
    <w:rsid w:val="00D21A05"/>
    <w:rsid w:val="00D21A13"/>
    <w:rsid w:val="00D21A54"/>
    <w:rsid w:val="00D21A8F"/>
    <w:rsid w:val="00D21BAF"/>
    <w:rsid w:val="00D21BE7"/>
    <w:rsid w:val="00D21C29"/>
    <w:rsid w:val="00D21D52"/>
    <w:rsid w:val="00D21DB8"/>
    <w:rsid w:val="00D21F3D"/>
    <w:rsid w:val="00D220E8"/>
    <w:rsid w:val="00D220F9"/>
    <w:rsid w:val="00D2210D"/>
    <w:rsid w:val="00D2211D"/>
    <w:rsid w:val="00D22357"/>
    <w:rsid w:val="00D225D8"/>
    <w:rsid w:val="00D22691"/>
    <w:rsid w:val="00D22828"/>
    <w:rsid w:val="00D228C5"/>
    <w:rsid w:val="00D22951"/>
    <w:rsid w:val="00D229DA"/>
    <w:rsid w:val="00D22ACD"/>
    <w:rsid w:val="00D22AEB"/>
    <w:rsid w:val="00D22B3C"/>
    <w:rsid w:val="00D22CD0"/>
    <w:rsid w:val="00D230B2"/>
    <w:rsid w:val="00D2314B"/>
    <w:rsid w:val="00D23251"/>
    <w:rsid w:val="00D2332E"/>
    <w:rsid w:val="00D23392"/>
    <w:rsid w:val="00D233C9"/>
    <w:rsid w:val="00D233F7"/>
    <w:rsid w:val="00D2356A"/>
    <w:rsid w:val="00D2356B"/>
    <w:rsid w:val="00D2357E"/>
    <w:rsid w:val="00D237C7"/>
    <w:rsid w:val="00D238ED"/>
    <w:rsid w:val="00D23A78"/>
    <w:rsid w:val="00D23B08"/>
    <w:rsid w:val="00D23C4C"/>
    <w:rsid w:val="00D23D50"/>
    <w:rsid w:val="00D23DFF"/>
    <w:rsid w:val="00D23EF0"/>
    <w:rsid w:val="00D2401E"/>
    <w:rsid w:val="00D2402B"/>
    <w:rsid w:val="00D24162"/>
    <w:rsid w:val="00D2431C"/>
    <w:rsid w:val="00D24429"/>
    <w:rsid w:val="00D24487"/>
    <w:rsid w:val="00D244AA"/>
    <w:rsid w:val="00D244F5"/>
    <w:rsid w:val="00D2453E"/>
    <w:rsid w:val="00D245D0"/>
    <w:rsid w:val="00D246CC"/>
    <w:rsid w:val="00D246D5"/>
    <w:rsid w:val="00D24928"/>
    <w:rsid w:val="00D24B94"/>
    <w:rsid w:val="00D24DFC"/>
    <w:rsid w:val="00D24F7B"/>
    <w:rsid w:val="00D2517A"/>
    <w:rsid w:val="00D25479"/>
    <w:rsid w:val="00D25489"/>
    <w:rsid w:val="00D2556D"/>
    <w:rsid w:val="00D255E8"/>
    <w:rsid w:val="00D2560E"/>
    <w:rsid w:val="00D256CA"/>
    <w:rsid w:val="00D256D8"/>
    <w:rsid w:val="00D257D1"/>
    <w:rsid w:val="00D258C1"/>
    <w:rsid w:val="00D259B2"/>
    <w:rsid w:val="00D25A97"/>
    <w:rsid w:val="00D25DC5"/>
    <w:rsid w:val="00D25E1B"/>
    <w:rsid w:val="00D25F3F"/>
    <w:rsid w:val="00D263A1"/>
    <w:rsid w:val="00D26443"/>
    <w:rsid w:val="00D265CF"/>
    <w:rsid w:val="00D26771"/>
    <w:rsid w:val="00D26A09"/>
    <w:rsid w:val="00D26AB5"/>
    <w:rsid w:val="00D26B4A"/>
    <w:rsid w:val="00D26CBF"/>
    <w:rsid w:val="00D27091"/>
    <w:rsid w:val="00D270B1"/>
    <w:rsid w:val="00D2729D"/>
    <w:rsid w:val="00D2736A"/>
    <w:rsid w:val="00D2767B"/>
    <w:rsid w:val="00D276B5"/>
    <w:rsid w:val="00D276EF"/>
    <w:rsid w:val="00D278C5"/>
    <w:rsid w:val="00D278F6"/>
    <w:rsid w:val="00D2799A"/>
    <w:rsid w:val="00D279AD"/>
    <w:rsid w:val="00D27A14"/>
    <w:rsid w:val="00D27C23"/>
    <w:rsid w:val="00D27D1C"/>
    <w:rsid w:val="00D27E8D"/>
    <w:rsid w:val="00D27EFD"/>
    <w:rsid w:val="00D27F2D"/>
    <w:rsid w:val="00D27F34"/>
    <w:rsid w:val="00D27F3E"/>
    <w:rsid w:val="00D27FF9"/>
    <w:rsid w:val="00D30138"/>
    <w:rsid w:val="00D30262"/>
    <w:rsid w:val="00D302FB"/>
    <w:rsid w:val="00D30345"/>
    <w:rsid w:val="00D303DE"/>
    <w:rsid w:val="00D3064C"/>
    <w:rsid w:val="00D30670"/>
    <w:rsid w:val="00D30872"/>
    <w:rsid w:val="00D30A52"/>
    <w:rsid w:val="00D30A68"/>
    <w:rsid w:val="00D30BCF"/>
    <w:rsid w:val="00D30BD5"/>
    <w:rsid w:val="00D30D3D"/>
    <w:rsid w:val="00D30E2E"/>
    <w:rsid w:val="00D30E44"/>
    <w:rsid w:val="00D30EE8"/>
    <w:rsid w:val="00D30F1C"/>
    <w:rsid w:val="00D30F49"/>
    <w:rsid w:val="00D31075"/>
    <w:rsid w:val="00D311C0"/>
    <w:rsid w:val="00D313A8"/>
    <w:rsid w:val="00D3149C"/>
    <w:rsid w:val="00D31545"/>
    <w:rsid w:val="00D3163E"/>
    <w:rsid w:val="00D316D5"/>
    <w:rsid w:val="00D31769"/>
    <w:rsid w:val="00D318B6"/>
    <w:rsid w:val="00D31BE1"/>
    <w:rsid w:val="00D31C8D"/>
    <w:rsid w:val="00D31CAD"/>
    <w:rsid w:val="00D31CEC"/>
    <w:rsid w:val="00D321E3"/>
    <w:rsid w:val="00D3224C"/>
    <w:rsid w:val="00D3248C"/>
    <w:rsid w:val="00D32644"/>
    <w:rsid w:val="00D32698"/>
    <w:rsid w:val="00D3279F"/>
    <w:rsid w:val="00D32869"/>
    <w:rsid w:val="00D3288E"/>
    <w:rsid w:val="00D32C18"/>
    <w:rsid w:val="00D32C50"/>
    <w:rsid w:val="00D32D4C"/>
    <w:rsid w:val="00D32E65"/>
    <w:rsid w:val="00D32EAA"/>
    <w:rsid w:val="00D3302B"/>
    <w:rsid w:val="00D33051"/>
    <w:rsid w:val="00D3305A"/>
    <w:rsid w:val="00D332B0"/>
    <w:rsid w:val="00D33372"/>
    <w:rsid w:val="00D33445"/>
    <w:rsid w:val="00D337F3"/>
    <w:rsid w:val="00D33971"/>
    <w:rsid w:val="00D3398D"/>
    <w:rsid w:val="00D33AB5"/>
    <w:rsid w:val="00D34012"/>
    <w:rsid w:val="00D34018"/>
    <w:rsid w:val="00D341C5"/>
    <w:rsid w:val="00D34244"/>
    <w:rsid w:val="00D343E0"/>
    <w:rsid w:val="00D34532"/>
    <w:rsid w:val="00D3475E"/>
    <w:rsid w:val="00D3481A"/>
    <w:rsid w:val="00D3488F"/>
    <w:rsid w:val="00D348FF"/>
    <w:rsid w:val="00D3495E"/>
    <w:rsid w:val="00D34967"/>
    <w:rsid w:val="00D349AA"/>
    <w:rsid w:val="00D349E5"/>
    <w:rsid w:val="00D34A04"/>
    <w:rsid w:val="00D34C63"/>
    <w:rsid w:val="00D34C7F"/>
    <w:rsid w:val="00D34D5A"/>
    <w:rsid w:val="00D34EEA"/>
    <w:rsid w:val="00D34F04"/>
    <w:rsid w:val="00D34F98"/>
    <w:rsid w:val="00D34F9D"/>
    <w:rsid w:val="00D35195"/>
    <w:rsid w:val="00D352A4"/>
    <w:rsid w:val="00D3535F"/>
    <w:rsid w:val="00D353D7"/>
    <w:rsid w:val="00D356A2"/>
    <w:rsid w:val="00D35877"/>
    <w:rsid w:val="00D35991"/>
    <w:rsid w:val="00D359DC"/>
    <w:rsid w:val="00D35B21"/>
    <w:rsid w:val="00D35BE1"/>
    <w:rsid w:val="00D35DB2"/>
    <w:rsid w:val="00D35DF4"/>
    <w:rsid w:val="00D35E0F"/>
    <w:rsid w:val="00D35E42"/>
    <w:rsid w:val="00D35E58"/>
    <w:rsid w:val="00D35EF4"/>
    <w:rsid w:val="00D35F8D"/>
    <w:rsid w:val="00D36089"/>
    <w:rsid w:val="00D360A1"/>
    <w:rsid w:val="00D361E2"/>
    <w:rsid w:val="00D36226"/>
    <w:rsid w:val="00D3628D"/>
    <w:rsid w:val="00D36391"/>
    <w:rsid w:val="00D364F2"/>
    <w:rsid w:val="00D36520"/>
    <w:rsid w:val="00D3666F"/>
    <w:rsid w:val="00D36746"/>
    <w:rsid w:val="00D367ED"/>
    <w:rsid w:val="00D3685D"/>
    <w:rsid w:val="00D36AE0"/>
    <w:rsid w:val="00D36CAF"/>
    <w:rsid w:val="00D373F6"/>
    <w:rsid w:val="00D3754F"/>
    <w:rsid w:val="00D37810"/>
    <w:rsid w:val="00D378B1"/>
    <w:rsid w:val="00D37928"/>
    <w:rsid w:val="00D37BA5"/>
    <w:rsid w:val="00D37DB1"/>
    <w:rsid w:val="00D37DDF"/>
    <w:rsid w:val="00D37EEA"/>
    <w:rsid w:val="00D400AE"/>
    <w:rsid w:val="00D40619"/>
    <w:rsid w:val="00D40763"/>
    <w:rsid w:val="00D4080D"/>
    <w:rsid w:val="00D408C6"/>
    <w:rsid w:val="00D409D6"/>
    <w:rsid w:val="00D40AA9"/>
    <w:rsid w:val="00D40B73"/>
    <w:rsid w:val="00D40C48"/>
    <w:rsid w:val="00D40E96"/>
    <w:rsid w:val="00D40F21"/>
    <w:rsid w:val="00D40FF0"/>
    <w:rsid w:val="00D411FC"/>
    <w:rsid w:val="00D412BE"/>
    <w:rsid w:val="00D412DF"/>
    <w:rsid w:val="00D412F9"/>
    <w:rsid w:val="00D41377"/>
    <w:rsid w:val="00D41531"/>
    <w:rsid w:val="00D41578"/>
    <w:rsid w:val="00D4158E"/>
    <w:rsid w:val="00D415D5"/>
    <w:rsid w:val="00D4192F"/>
    <w:rsid w:val="00D4193F"/>
    <w:rsid w:val="00D41A48"/>
    <w:rsid w:val="00D41AFD"/>
    <w:rsid w:val="00D41E8F"/>
    <w:rsid w:val="00D41F76"/>
    <w:rsid w:val="00D420F7"/>
    <w:rsid w:val="00D42308"/>
    <w:rsid w:val="00D4235F"/>
    <w:rsid w:val="00D42389"/>
    <w:rsid w:val="00D423B4"/>
    <w:rsid w:val="00D425B8"/>
    <w:rsid w:val="00D425D4"/>
    <w:rsid w:val="00D425E5"/>
    <w:rsid w:val="00D4262B"/>
    <w:rsid w:val="00D42792"/>
    <w:rsid w:val="00D428B6"/>
    <w:rsid w:val="00D42B3F"/>
    <w:rsid w:val="00D42CAB"/>
    <w:rsid w:val="00D42CB5"/>
    <w:rsid w:val="00D42D81"/>
    <w:rsid w:val="00D42F67"/>
    <w:rsid w:val="00D42F9F"/>
    <w:rsid w:val="00D42FAA"/>
    <w:rsid w:val="00D4308D"/>
    <w:rsid w:val="00D430E8"/>
    <w:rsid w:val="00D4328F"/>
    <w:rsid w:val="00D433F9"/>
    <w:rsid w:val="00D4345B"/>
    <w:rsid w:val="00D434C4"/>
    <w:rsid w:val="00D435F3"/>
    <w:rsid w:val="00D43619"/>
    <w:rsid w:val="00D436C8"/>
    <w:rsid w:val="00D4374A"/>
    <w:rsid w:val="00D43758"/>
    <w:rsid w:val="00D437B6"/>
    <w:rsid w:val="00D437F1"/>
    <w:rsid w:val="00D43878"/>
    <w:rsid w:val="00D43A00"/>
    <w:rsid w:val="00D43B7D"/>
    <w:rsid w:val="00D43CB5"/>
    <w:rsid w:val="00D43F56"/>
    <w:rsid w:val="00D43F98"/>
    <w:rsid w:val="00D440F3"/>
    <w:rsid w:val="00D4413A"/>
    <w:rsid w:val="00D44174"/>
    <w:rsid w:val="00D44337"/>
    <w:rsid w:val="00D444C5"/>
    <w:rsid w:val="00D44681"/>
    <w:rsid w:val="00D449E8"/>
    <w:rsid w:val="00D44A74"/>
    <w:rsid w:val="00D44BE3"/>
    <w:rsid w:val="00D44C27"/>
    <w:rsid w:val="00D44C45"/>
    <w:rsid w:val="00D44F26"/>
    <w:rsid w:val="00D4500B"/>
    <w:rsid w:val="00D450B4"/>
    <w:rsid w:val="00D45129"/>
    <w:rsid w:val="00D451F5"/>
    <w:rsid w:val="00D453C8"/>
    <w:rsid w:val="00D45442"/>
    <w:rsid w:val="00D455C7"/>
    <w:rsid w:val="00D45785"/>
    <w:rsid w:val="00D457AA"/>
    <w:rsid w:val="00D457FF"/>
    <w:rsid w:val="00D4587F"/>
    <w:rsid w:val="00D45C6B"/>
    <w:rsid w:val="00D45C94"/>
    <w:rsid w:val="00D45E68"/>
    <w:rsid w:val="00D45EBA"/>
    <w:rsid w:val="00D46106"/>
    <w:rsid w:val="00D4620E"/>
    <w:rsid w:val="00D46372"/>
    <w:rsid w:val="00D463EF"/>
    <w:rsid w:val="00D46426"/>
    <w:rsid w:val="00D46474"/>
    <w:rsid w:val="00D46478"/>
    <w:rsid w:val="00D46A3E"/>
    <w:rsid w:val="00D46A66"/>
    <w:rsid w:val="00D46DB9"/>
    <w:rsid w:val="00D46E1F"/>
    <w:rsid w:val="00D46E84"/>
    <w:rsid w:val="00D470FC"/>
    <w:rsid w:val="00D472CA"/>
    <w:rsid w:val="00D473EC"/>
    <w:rsid w:val="00D4757E"/>
    <w:rsid w:val="00D475C5"/>
    <w:rsid w:val="00D4773D"/>
    <w:rsid w:val="00D4777F"/>
    <w:rsid w:val="00D4785A"/>
    <w:rsid w:val="00D47863"/>
    <w:rsid w:val="00D478F4"/>
    <w:rsid w:val="00D47B09"/>
    <w:rsid w:val="00D47BB6"/>
    <w:rsid w:val="00D47C5F"/>
    <w:rsid w:val="00D47CC6"/>
    <w:rsid w:val="00D47D1E"/>
    <w:rsid w:val="00D47D24"/>
    <w:rsid w:val="00D47DA9"/>
    <w:rsid w:val="00D47E00"/>
    <w:rsid w:val="00D47E49"/>
    <w:rsid w:val="00D47EE3"/>
    <w:rsid w:val="00D47F65"/>
    <w:rsid w:val="00D5020A"/>
    <w:rsid w:val="00D502BB"/>
    <w:rsid w:val="00D502E7"/>
    <w:rsid w:val="00D50307"/>
    <w:rsid w:val="00D50357"/>
    <w:rsid w:val="00D505BA"/>
    <w:rsid w:val="00D50825"/>
    <w:rsid w:val="00D509FD"/>
    <w:rsid w:val="00D50A05"/>
    <w:rsid w:val="00D50AC2"/>
    <w:rsid w:val="00D50C6B"/>
    <w:rsid w:val="00D50CDA"/>
    <w:rsid w:val="00D50CEC"/>
    <w:rsid w:val="00D50DB1"/>
    <w:rsid w:val="00D50E63"/>
    <w:rsid w:val="00D51071"/>
    <w:rsid w:val="00D510C8"/>
    <w:rsid w:val="00D5113C"/>
    <w:rsid w:val="00D5136C"/>
    <w:rsid w:val="00D51389"/>
    <w:rsid w:val="00D514A2"/>
    <w:rsid w:val="00D5154C"/>
    <w:rsid w:val="00D51690"/>
    <w:rsid w:val="00D51826"/>
    <w:rsid w:val="00D51895"/>
    <w:rsid w:val="00D518A8"/>
    <w:rsid w:val="00D519A3"/>
    <w:rsid w:val="00D519B3"/>
    <w:rsid w:val="00D51BD3"/>
    <w:rsid w:val="00D51C36"/>
    <w:rsid w:val="00D51C62"/>
    <w:rsid w:val="00D51DED"/>
    <w:rsid w:val="00D51EC3"/>
    <w:rsid w:val="00D51F26"/>
    <w:rsid w:val="00D51F87"/>
    <w:rsid w:val="00D51FB8"/>
    <w:rsid w:val="00D52054"/>
    <w:rsid w:val="00D52303"/>
    <w:rsid w:val="00D523D7"/>
    <w:rsid w:val="00D52667"/>
    <w:rsid w:val="00D526F1"/>
    <w:rsid w:val="00D52795"/>
    <w:rsid w:val="00D52A05"/>
    <w:rsid w:val="00D52B85"/>
    <w:rsid w:val="00D52CD9"/>
    <w:rsid w:val="00D52D65"/>
    <w:rsid w:val="00D52D7C"/>
    <w:rsid w:val="00D52D8A"/>
    <w:rsid w:val="00D52E71"/>
    <w:rsid w:val="00D52EA4"/>
    <w:rsid w:val="00D52EC3"/>
    <w:rsid w:val="00D530C5"/>
    <w:rsid w:val="00D53186"/>
    <w:rsid w:val="00D532D6"/>
    <w:rsid w:val="00D53303"/>
    <w:rsid w:val="00D533F3"/>
    <w:rsid w:val="00D53660"/>
    <w:rsid w:val="00D53670"/>
    <w:rsid w:val="00D5368C"/>
    <w:rsid w:val="00D539D4"/>
    <w:rsid w:val="00D53AEE"/>
    <w:rsid w:val="00D53BA2"/>
    <w:rsid w:val="00D53BB9"/>
    <w:rsid w:val="00D53C5F"/>
    <w:rsid w:val="00D53EB5"/>
    <w:rsid w:val="00D53EEC"/>
    <w:rsid w:val="00D53FFB"/>
    <w:rsid w:val="00D54132"/>
    <w:rsid w:val="00D542DE"/>
    <w:rsid w:val="00D542E9"/>
    <w:rsid w:val="00D54395"/>
    <w:rsid w:val="00D5452A"/>
    <w:rsid w:val="00D5473E"/>
    <w:rsid w:val="00D549B8"/>
    <w:rsid w:val="00D54B68"/>
    <w:rsid w:val="00D54B9F"/>
    <w:rsid w:val="00D54C66"/>
    <w:rsid w:val="00D54DF3"/>
    <w:rsid w:val="00D54E68"/>
    <w:rsid w:val="00D54F9E"/>
    <w:rsid w:val="00D550E6"/>
    <w:rsid w:val="00D55230"/>
    <w:rsid w:val="00D55239"/>
    <w:rsid w:val="00D55292"/>
    <w:rsid w:val="00D5550B"/>
    <w:rsid w:val="00D55544"/>
    <w:rsid w:val="00D55761"/>
    <w:rsid w:val="00D5586B"/>
    <w:rsid w:val="00D55965"/>
    <w:rsid w:val="00D559CE"/>
    <w:rsid w:val="00D55A7B"/>
    <w:rsid w:val="00D55A7C"/>
    <w:rsid w:val="00D55AD6"/>
    <w:rsid w:val="00D55B2C"/>
    <w:rsid w:val="00D5621C"/>
    <w:rsid w:val="00D5650E"/>
    <w:rsid w:val="00D56A2E"/>
    <w:rsid w:val="00D56B18"/>
    <w:rsid w:val="00D56B65"/>
    <w:rsid w:val="00D56EB4"/>
    <w:rsid w:val="00D570B3"/>
    <w:rsid w:val="00D5726E"/>
    <w:rsid w:val="00D573B1"/>
    <w:rsid w:val="00D573C6"/>
    <w:rsid w:val="00D573FA"/>
    <w:rsid w:val="00D5748D"/>
    <w:rsid w:val="00D57685"/>
    <w:rsid w:val="00D57835"/>
    <w:rsid w:val="00D57947"/>
    <w:rsid w:val="00D57966"/>
    <w:rsid w:val="00D57968"/>
    <w:rsid w:val="00D57A98"/>
    <w:rsid w:val="00D57B0C"/>
    <w:rsid w:val="00D57CC5"/>
    <w:rsid w:val="00D57D79"/>
    <w:rsid w:val="00D57DAE"/>
    <w:rsid w:val="00D57DE4"/>
    <w:rsid w:val="00D57F53"/>
    <w:rsid w:val="00D57F8C"/>
    <w:rsid w:val="00D57FD3"/>
    <w:rsid w:val="00D60020"/>
    <w:rsid w:val="00D60066"/>
    <w:rsid w:val="00D6026B"/>
    <w:rsid w:val="00D603AC"/>
    <w:rsid w:val="00D603DB"/>
    <w:rsid w:val="00D60527"/>
    <w:rsid w:val="00D60540"/>
    <w:rsid w:val="00D60630"/>
    <w:rsid w:val="00D606E6"/>
    <w:rsid w:val="00D60797"/>
    <w:rsid w:val="00D607AE"/>
    <w:rsid w:val="00D60823"/>
    <w:rsid w:val="00D60867"/>
    <w:rsid w:val="00D60900"/>
    <w:rsid w:val="00D6094B"/>
    <w:rsid w:val="00D609F3"/>
    <w:rsid w:val="00D60A6E"/>
    <w:rsid w:val="00D60B01"/>
    <w:rsid w:val="00D60C64"/>
    <w:rsid w:val="00D60CDE"/>
    <w:rsid w:val="00D60D7D"/>
    <w:rsid w:val="00D60E08"/>
    <w:rsid w:val="00D60FA5"/>
    <w:rsid w:val="00D61370"/>
    <w:rsid w:val="00D613EF"/>
    <w:rsid w:val="00D6154F"/>
    <w:rsid w:val="00D61589"/>
    <w:rsid w:val="00D6163B"/>
    <w:rsid w:val="00D61874"/>
    <w:rsid w:val="00D61B78"/>
    <w:rsid w:val="00D61ECA"/>
    <w:rsid w:val="00D62248"/>
    <w:rsid w:val="00D62347"/>
    <w:rsid w:val="00D62493"/>
    <w:rsid w:val="00D6257A"/>
    <w:rsid w:val="00D628C6"/>
    <w:rsid w:val="00D62CC6"/>
    <w:rsid w:val="00D62D02"/>
    <w:rsid w:val="00D62D5D"/>
    <w:rsid w:val="00D6307F"/>
    <w:rsid w:val="00D63187"/>
    <w:rsid w:val="00D63565"/>
    <w:rsid w:val="00D6359C"/>
    <w:rsid w:val="00D63627"/>
    <w:rsid w:val="00D637CA"/>
    <w:rsid w:val="00D638C1"/>
    <w:rsid w:val="00D644E8"/>
    <w:rsid w:val="00D6452D"/>
    <w:rsid w:val="00D6464D"/>
    <w:rsid w:val="00D646C8"/>
    <w:rsid w:val="00D646F3"/>
    <w:rsid w:val="00D64798"/>
    <w:rsid w:val="00D64850"/>
    <w:rsid w:val="00D64881"/>
    <w:rsid w:val="00D649B1"/>
    <w:rsid w:val="00D64ABE"/>
    <w:rsid w:val="00D64AF9"/>
    <w:rsid w:val="00D64CC8"/>
    <w:rsid w:val="00D64E26"/>
    <w:rsid w:val="00D64E57"/>
    <w:rsid w:val="00D64F08"/>
    <w:rsid w:val="00D64F41"/>
    <w:rsid w:val="00D64FC1"/>
    <w:rsid w:val="00D65058"/>
    <w:rsid w:val="00D650D0"/>
    <w:rsid w:val="00D65918"/>
    <w:rsid w:val="00D65945"/>
    <w:rsid w:val="00D659C3"/>
    <w:rsid w:val="00D659E8"/>
    <w:rsid w:val="00D65B68"/>
    <w:rsid w:val="00D65C5B"/>
    <w:rsid w:val="00D65DBF"/>
    <w:rsid w:val="00D65E07"/>
    <w:rsid w:val="00D65EA2"/>
    <w:rsid w:val="00D661CB"/>
    <w:rsid w:val="00D662D9"/>
    <w:rsid w:val="00D669B3"/>
    <w:rsid w:val="00D66B37"/>
    <w:rsid w:val="00D66BD5"/>
    <w:rsid w:val="00D66DB2"/>
    <w:rsid w:val="00D66E0C"/>
    <w:rsid w:val="00D66F19"/>
    <w:rsid w:val="00D66F69"/>
    <w:rsid w:val="00D67002"/>
    <w:rsid w:val="00D6700A"/>
    <w:rsid w:val="00D6712A"/>
    <w:rsid w:val="00D67262"/>
    <w:rsid w:val="00D67518"/>
    <w:rsid w:val="00D6752F"/>
    <w:rsid w:val="00D675E9"/>
    <w:rsid w:val="00D676AC"/>
    <w:rsid w:val="00D67890"/>
    <w:rsid w:val="00D67A7B"/>
    <w:rsid w:val="00D67CCD"/>
    <w:rsid w:val="00D67D62"/>
    <w:rsid w:val="00D67F3C"/>
    <w:rsid w:val="00D70162"/>
    <w:rsid w:val="00D70414"/>
    <w:rsid w:val="00D706E8"/>
    <w:rsid w:val="00D70801"/>
    <w:rsid w:val="00D7090F"/>
    <w:rsid w:val="00D709B6"/>
    <w:rsid w:val="00D709C6"/>
    <w:rsid w:val="00D70FE1"/>
    <w:rsid w:val="00D7108B"/>
    <w:rsid w:val="00D710AF"/>
    <w:rsid w:val="00D711F2"/>
    <w:rsid w:val="00D71303"/>
    <w:rsid w:val="00D71449"/>
    <w:rsid w:val="00D71490"/>
    <w:rsid w:val="00D71591"/>
    <w:rsid w:val="00D71679"/>
    <w:rsid w:val="00D718DD"/>
    <w:rsid w:val="00D719C3"/>
    <w:rsid w:val="00D71A55"/>
    <w:rsid w:val="00D71C61"/>
    <w:rsid w:val="00D71F9C"/>
    <w:rsid w:val="00D71FC9"/>
    <w:rsid w:val="00D72087"/>
    <w:rsid w:val="00D72091"/>
    <w:rsid w:val="00D720ED"/>
    <w:rsid w:val="00D7212E"/>
    <w:rsid w:val="00D7235A"/>
    <w:rsid w:val="00D7238E"/>
    <w:rsid w:val="00D724FE"/>
    <w:rsid w:val="00D72546"/>
    <w:rsid w:val="00D72657"/>
    <w:rsid w:val="00D727A1"/>
    <w:rsid w:val="00D72803"/>
    <w:rsid w:val="00D72815"/>
    <w:rsid w:val="00D728F6"/>
    <w:rsid w:val="00D7293B"/>
    <w:rsid w:val="00D72A74"/>
    <w:rsid w:val="00D72B98"/>
    <w:rsid w:val="00D72BE0"/>
    <w:rsid w:val="00D72BF6"/>
    <w:rsid w:val="00D72CEC"/>
    <w:rsid w:val="00D72DE0"/>
    <w:rsid w:val="00D72E27"/>
    <w:rsid w:val="00D72EAA"/>
    <w:rsid w:val="00D730DF"/>
    <w:rsid w:val="00D731E4"/>
    <w:rsid w:val="00D73504"/>
    <w:rsid w:val="00D7351E"/>
    <w:rsid w:val="00D73557"/>
    <w:rsid w:val="00D7355F"/>
    <w:rsid w:val="00D73566"/>
    <w:rsid w:val="00D7374B"/>
    <w:rsid w:val="00D7389D"/>
    <w:rsid w:val="00D73A59"/>
    <w:rsid w:val="00D73B14"/>
    <w:rsid w:val="00D73B73"/>
    <w:rsid w:val="00D73BE9"/>
    <w:rsid w:val="00D73BED"/>
    <w:rsid w:val="00D73DCC"/>
    <w:rsid w:val="00D73E2A"/>
    <w:rsid w:val="00D73F2E"/>
    <w:rsid w:val="00D7404E"/>
    <w:rsid w:val="00D742E2"/>
    <w:rsid w:val="00D74362"/>
    <w:rsid w:val="00D744DF"/>
    <w:rsid w:val="00D74679"/>
    <w:rsid w:val="00D746A9"/>
    <w:rsid w:val="00D748AE"/>
    <w:rsid w:val="00D748B5"/>
    <w:rsid w:val="00D74A2A"/>
    <w:rsid w:val="00D74BC6"/>
    <w:rsid w:val="00D74CE0"/>
    <w:rsid w:val="00D74CFE"/>
    <w:rsid w:val="00D74D6C"/>
    <w:rsid w:val="00D74E91"/>
    <w:rsid w:val="00D74ED9"/>
    <w:rsid w:val="00D74EFC"/>
    <w:rsid w:val="00D74F3C"/>
    <w:rsid w:val="00D74FA6"/>
    <w:rsid w:val="00D75091"/>
    <w:rsid w:val="00D750D8"/>
    <w:rsid w:val="00D75111"/>
    <w:rsid w:val="00D75292"/>
    <w:rsid w:val="00D752AA"/>
    <w:rsid w:val="00D753D6"/>
    <w:rsid w:val="00D7544D"/>
    <w:rsid w:val="00D754BF"/>
    <w:rsid w:val="00D7552B"/>
    <w:rsid w:val="00D755DB"/>
    <w:rsid w:val="00D755F9"/>
    <w:rsid w:val="00D75650"/>
    <w:rsid w:val="00D75694"/>
    <w:rsid w:val="00D756FF"/>
    <w:rsid w:val="00D75736"/>
    <w:rsid w:val="00D75744"/>
    <w:rsid w:val="00D75800"/>
    <w:rsid w:val="00D75856"/>
    <w:rsid w:val="00D75992"/>
    <w:rsid w:val="00D75A27"/>
    <w:rsid w:val="00D75A81"/>
    <w:rsid w:val="00D75B82"/>
    <w:rsid w:val="00D75BD7"/>
    <w:rsid w:val="00D75CAA"/>
    <w:rsid w:val="00D75D5A"/>
    <w:rsid w:val="00D75F0B"/>
    <w:rsid w:val="00D76169"/>
    <w:rsid w:val="00D76339"/>
    <w:rsid w:val="00D76349"/>
    <w:rsid w:val="00D76403"/>
    <w:rsid w:val="00D76577"/>
    <w:rsid w:val="00D76604"/>
    <w:rsid w:val="00D7665A"/>
    <w:rsid w:val="00D7682A"/>
    <w:rsid w:val="00D768D3"/>
    <w:rsid w:val="00D76992"/>
    <w:rsid w:val="00D7699A"/>
    <w:rsid w:val="00D769CB"/>
    <w:rsid w:val="00D76AA9"/>
    <w:rsid w:val="00D76D0F"/>
    <w:rsid w:val="00D76D14"/>
    <w:rsid w:val="00D76DE4"/>
    <w:rsid w:val="00D76DEA"/>
    <w:rsid w:val="00D76EA4"/>
    <w:rsid w:val="00D77088"/>
    <w:rsid w:val="00D77189"/>
    <w:rsid w:val="00D773CC"/>
    <w:rsid w:val="00D779B5"/>
    <w:rsid w:val="00D77A17"/>
    <w:rsid w:val="00D77A97"/>
    <w:rsid w:val="00D77AC8"/>
    <w:rsid w:val="00D77D1A"/>
    <w:rsid w:val="00D77D35"/>
    <w:rsid w:val="00D77EB5"/>
    <w:rsid w:val="00D77F62"/>
    <w:rsid w:val="00D77FBD"/>
    <w:rsid w:val="00D77FE3"/>
    <w:rsid w:val="00D80210"/>
    <w:rsid w:val="00D804A2"/>
    <w:rsid w:val="00D804CC"/>
    <w:rsid w:val="00D80536"/>
    <w:rsid w:val="00D806CD"/>
    <w:rsid w:val="00D809E7"/>
    <w:rsid w:val="00D80E2A"/>
    <w:rsid w:val="00D80E2D"/>
    <w:rsid w:val="00D8105B"/>
    <w:rsid w:val="00D81199"/>
    <w:rsid w:val="00D811CF"/>
    <w:rsid w:val="00D8130A"/>
    <w:rsid w:val="00D81436"/>
    <w:rsid w:val="00D81536"/>
    <w:rsid w:val="00D815F4"/>
    <w:rsid w:val="00D81866"/>
    <w:rsid w:val="00D81919"/>
    <w:rsid w:val="00D81A2F"/>
    <w:rsid w:val="00D81A51"/>
    <w:rsid w:val="00D81B62"/>
    <w:rsid w:val="00D81B99"/>
    <w:rsid w:val="00D8242B"/>
    <w:rsid w:val="00D8246E"/>
    <w:rsid w:val="00D824A6"/>
    <w:rsid w:val="00D8251C"/>
    <w:rsid w:val="00D8276F"/>
    <w:rsid w:val="00D82858"/>
    <w:rsid w:val="00D8289B"/>
    <w:rsid w:val="00D82923"/>
    <w:rsid w:val="00D829C6"/>
    <w:rsid w:val="00D82A89"/>
    <w:rsid w:val="00D82C72"/>
    <w:rsid w:val="00D82DE8"/>
    <w:rsid w:val="00D834DB"/>
    <w:rsid w:val="00D837FF"/>
    <w:rsid w:val="00D8386F"/>
    <w:rsid w:val="00D83995"/>
    <w:rsid w:val="00D839AD"/>
    <w:rsid w:val="00D83A7B"/>
    <w:rsid w:val="00D83FFA"/>
    <w:rsid w:val="00D840A9"/>
    <w:rsid w:val="00D840B9"/>
    <w:rsid w:val="00D84177"/>
    <w:rsid w:val="00D84287"/>
    <w:rsid w:val="00D842F4"/>
    <w:rsid w:val="00D842FD"/>
    <w:rsid w:val="00D843DA"/>
    <w:rsid w:val="00D843E3"/>
    <w:rsid w:val="00D8442A"/>
    <w:rsid w:val="00D8461A"/>
    <w:rsid w:val="00D848F4"/>
    <w:rsid w:val="00D84A6C"/>
    <w:rsid w:val="00D84B26"/>
    <w:rsid w:val="00D84BF2"/>
    <w:rsid w:val="00D84C13"/>
    <w:rsid w:val="00D84D31"/>
    <w:rsid w:val="00D84E16"/>
    <w:rsid w:val="00D84EDE"/>
    <w:rsid w:val="00D850C7"/>
    <w:rsid w:val="00D851CD"/>
    <w:rsid w:val="00D85256"/>
    <w:rsid w:val="00D8532B"/>
    <w:rsid w:val="00D85439"/>
    <w:rsid w:val="00D857C3"/>
    <w:rsid w:val="00D858A7"/>
    <w:rsid w:val="00D85B11"/>
    <w:rsid w:val="00D85C3E"/>
    <w:rsid w:val="00D86233"/>
    <w:rsid w:val="00D863A4"/>
    <w:rsid w:val="00D8648B"/>
    <w:rsid w:val="00D8659F"/>
    <w:rsid w:val="00D8664E"/>
    <w:rsid w:val="00D866CD"/>
    <w:rsid w:val="00D8676E"/>
    <w:rsid w:val="00D868CB"/>
    <w:rsid w:val="00D86A81"/>
    <w:rsid w:val="00D86B7A"/>
    <w:rsid w:val="00D86EA6"/>
    <w:rsid w:val="00D870AD"/>
    <w:rsid w:val="00D8716E"/>
    <w:rsid w:val="00D87191"/>
    <w:rsid w:val="00D8732C"/>
    <w:rsid w:val="00D873D0"/>
    <w:rsid w:val="00D873F1"/>
    <w:rsid w:val="00D8743A"/>
    <w:rsid w:val="00D8744D"/>
    <w:rsid w:val="00D87483"/>
    <w:rsid w:val="00D8785A"/>
    <w:rsid w:val="00D87AEC"/>
    <w:rsid w:val="00D87B03"/>
    <w:rsid w:val="00D87B23"/>
    <w:rsid w:val="00D87DB5"/>
    <w:rsid w:val="00D87EB9"/>
    <w:rsid w:val="00D87F04"/>
    <w:rsid w:val="00D87F1E"/>
    <w:rsid w:val="00D87FC2"/>
    <w:rsid w:val="00D87FCE"/>
    <w:rsid w:val="00D87FDC"/>
    <w:rsid w:val="00D901BD"/>
    <w:rsid w:val="00D90408"/>
    <w:rsid w:val="00D90528"/>
    <w:rsid w:val="00D9056A"/>
    <w:rsid w:val="00D90844"/>
    <w:rsid w:val="00D90870"/>
    <w:rsid w:val="00D9087F"/>
    <w:rsid w:val="00D90A99"/>
    <w:rsid w:val="00D90B3D"/>
    <w:rsid w:val="00D90BDF"/>
    <w:rsid w:val="00D90C6C"/>
    <w:rsid w:val="00D90E58"/>
    <w:rsid w:val="00D90E70"/>
    <w:rsid w:val="00D90EA9"/>
    <w:rsid w:val="00D90FC0"/>
    <w:rsid w:val="00D912D4"/>
    <w:rsid w:val="00D91378"/>
    <w:rsid w:val="00D91387"/>
    <w:rsid w:val="00D913EF"/>
    <w:rsid w:val="00D91443"/>
    <w:rsid w:val="00D91511"/>
    <w:rsid w:val="00D9155C"/>
    <w:rsid w:val="00D9158A"/>
    <w:rsid w:val="00D916A7"/>
    <w:rsid w:val="00D9197F"/>
    <w:rsid w:val="00D91BA4"/>
    <w:rsid w:val="00D91BDD"/>
    <w:rsid w:val="00D91C9E"/>
    <w:rsid w:val="00D91D5B"/>
    <w:rsid w:val="00D91FC2"/>
    <w:rsid w:val="00D91FF8"/>
    <w:rsid w:val="00D92011"/>
    <w:rsid w:val="00D9202E"/>
    <w:rsid w:val="00D9208D"/>
    <w:rsid w:val="00D92393"/>
    <w:rsid w:val="00D924DA"/>
    <w:rsid w:val="00D925EB"/>
    <w:rsid w:val="00D92670"/>
    <w:rsid w:val="00D92708"/>
    <w:rsid w:val="00D92862"/>
    <w:rsid w:val="00D928B7"/>
    <w:rsid w:val="00D92A91"/>
    <w:rsid w:val="00D92AC6"/>
    <w:rsid w:val="00D92B96"/>
    <w:rsid w:val="00D92C5D"/>
    <w:rsid w:val="00D92E04"/>
    <w:rsid w:val="00D92E27"/>
    <w:rsid w:val="00D92ECD"/>
    <w:rsid w:val="00D92F92"/>
    <w:rsid w:val="00D92F98"/>
    <w:rsid w:val="00D92FBA"/>
    <w:rsid w:val="00D92FF6"/>
    <w:rsid w:val="00D93066"/>
    <w:rsid w:val="00D932B8"/>
    <w:rsid w:val="00D9336F"/>
    <w:rsid w:val="00D93380"/>
    <w:rsid w:val="00D93511"/>
    <w:rsid w:val="00D9365C"/>
    <w:rsid w:val="00D93873"/>
    <w:rsid w:val="00D93942"/>
    <w:rsid w:val="00D93A87"/>
    <w:rsid w:val="00D93BB0"/>
    <w:rsid w:val="00D93CC0"/>
    <w:rsid w:val="00D93D6D"/>
    <w:rsid w:val="00D93E6A"/>
    <w:rsid w:val="00D93F31"/>
    <w:rsid w:val="00D9407B"/>
    <w:rsid w:val="00D940EE"/>
    <w:rsid w:val="00D9425C"/>
    <w:rsid w:val="00D94441"/>
    <w:rsid w:val="00D94477"/>
    <w:rsid w:val="00D945D4"/>
    <w:rsid w:val="00D9479D"/>
    <w:rsid w:val="00D947A8"/>
    <w:rsid w:val="00D94851"/>
    <w:rsid w:val="00D94881"/>
    <w:rsid w:val="00D9489D"/>
    <w:rsid w:val="00D94911"/>
    <w:rsid w:val="00D94A79"/>
    <w:rsid w:val="00D94ABE"/>
    <w:rsid w:val="00D94CF1"/>
    <w:rsid w:val="00D94E40"/>
    <w:rsid w:val="00D94E70"/>
    <w:rsid w:val="00D94E73"/>
    <w:rsid w:val="00D95029"/>
    <w:rsid w:val="00D950F5"/>
    <w:rsid w:val="00D95233"/>
    <w:rsid w:val="00D952EF"/>
    <w:rsid w:val="00D9540C"/>
    <w:rsid w:val="00D95455"/>
    <w:rsid w:val="00D956A9"/>
    <w:rsid w:val="00D9586E"/>
    <w:rsid w:val="00D95895"/>
    <w:rsid w:val="00D9589D"/>
    <w:rsid w:val="00D95922"/>
    <w:rsid w:val="00D959EB"/>
    <w:rsid w:val="00D95B57"/>
    <w:rsid w:val="00D95C44"/>
    <w:rsid w:val="00D95D2D"/>
    <w:rsid w:val="00D95D2E"/>
    <w:rsid w:val="00D95FE0"/>
    <w:rsid w:val="00D960CE"/>
    <w:rsid w:val="00D9637E"/>
    <w:rsid w:val="00D96494"/>
    <w:rsid w:val="00D9655F"/>
    <w:rsid w:val="00D96632"/>
    <w:rsid w:val="00D96754"/>
    <w:rsid w:val="00D9693F"/>
    <w:rsid w:val="00D96AD2"/>
    <w:rsid w:val="00D96B8A"/>
    <w:rsid w:val="00D96CA8"/>
    <w:rsid w:val="00D96FB9"/>
    <w:rsid w:val="00D96FDD"/>
    <w:rsid w:val="00D9702F"/>
    <w:rsid w:val="00D9709C"/>
    <w:rsid w:val="00D970B4"/>
    <w:rsid w:val="00D97147"/>
    <w:rsid w:val="00D97244"/>
    <w:rsid w:val="00D97369"/>
    <w:rsid w:val="00D97377"/>
    <w:rsid w:val="00D974E3"/>
    <w:rsid w:val="00D975B3"/>
    <w:rsid w:val="00D975D6"/>
    <w:rsid w:val="00D975FF"/>
    <w:rsid w:val="00D977C0"/>
    <w:rsid w:val="00D97A51"/>
    <w:rsid w:val="00D97ABE"/>
    <w:rsid w:val="00D97B02"/>
    <w:rsid w:val="00D97B16"/>
    <w:rsid w:val="00D97B3E"/>
    <w:rsid w:val="00D97BE5"/>
    <w:rsid w:val="00D97CFF"/>
    <w:rsid w:val="00D97F23"/>
    <w:rsid w:val="00D97F75"/>
    <w:rsid w:val="00DA02D9"/>
    <w:rsid w:val="00DA038C"/>
    <w:rsid w:val="00DA049B"/>
    <w:rsid w:val="00DA04BF"/>
    <w:rsid w:val="00DA07B1"/>
    <w:rsid w:val="00DA08E2"/>
    <w:rsid w:val="00DA09EC"/>
    <w:rsid w:val="00DA0A59"/>
    <w:rsid w:val="00DA0AB9"/>
    <w:rsid w:val="00DA0AF9"/>
    <w:rsid w:val="00DA0D91"/>
    <w:rsid w:val="00DA0DCA"/>
    <w:rsid w:val="00DA1001"/>
    <w:rsid w:val="00DA1149"/>
    <w:rsid w:val="00DA114D"/>
    <w:rsid w:val="00DA11C1"/>
    <w:rsid w:val="00DA1294"/>
    <w:rsid w:val="00DA13AE"/>
    <w:rsid w:val="00DA150F"/>
    <w:rsid w:val="00DA1621"/>
    <w:rsid w:val="00DA1780"/>
    <w:rsid w:val="00DA18CC"/>
    <w:rsid w:val="00DA19B3"/>
    <w:rsid w:val="00DA19BA"/>
    <w:rsid w:val="00DA1A21"/>
    <w:rsid w:val="00DA1B27"/>
    <w:rsid w:val="00DA1BBD"/>
    <w:rsid w:val="00DA1CE0"/>
    <w:rsid w:val="00DA1E33"/>
    <w:rsid w:val="00DA1E67"/>
    <w:rsid w:val="00DA1E91"/>
    <w:rsid w:val="00DA1EF2"/>
    <w:rsid w:val="00DA2187"/>
    <w:rsid w:val="00DA22E9"/>
    <w:rsid w:val="00DA2454"/>
    <w:rsid w:val="00DA2646"/>
    <w:rsid w:val="00DA278C"/>
    <w:rsid w:val="00DA27EA"/>
    <w:rsid w:val="00DA28B0"/>
    <w:rsid w:val="00DA2C59"/>
    <w:rsid w:val="00DA2D8D"/>
    <w:rsid w:val="00DA30C4"/>
    <w:rsid w:val="00DA316F"/>
    <w:rsid w:val="00DA32CF"/>
    <w:rsid w:val="00DA330E"/>
    <w:rsid w:val="00DA330F"/>
    <w:rsid w:val="00DA339E"/>
    <w:rsid w:val="00DA3505"/>
    <w:rsid w:val="00DA3620"/>
    <w:rsid w:val="00DA366B"/>
    <w:rsid w:val="00DA37E9"/>
    <w:rsid w:val="00DA382A"/>
    <w:rsid w:val="00DA3A49"/>
    <w:rsid w:val="00DA3B4F"/>
    <w:rsid w:val="00DA3B73"/>
    <w:rsid w:val="00DA3C06"/>
    <w:rsid w:val="00DA3D2A"/>
    <w:rsid w:val="00DA3F27"/>
    <w:rsid w:val="00DA40B6"/>
    <w:rsid w:val="00DA4347"/>
    <w:rsid w:val="00DA43F3"/>
    <w:rsid w:val="00DA43FB"/>
    <w:rsid w:val="00DA4480"/>
    <w:rsid w:val="00DA4514"/>
    <w:rsid w:val="00DA459E"/>
    <w:rsid w:val="00DA462A"/>
    <w:rsid w:val="00DA465E"/>
    <w:rsid w:val="00DA47A1"/>
    <w:rsid w:val="00DA485F"/>
    <w:rsid w:val="00DA4C07"/>
    <w:rsid w:val="00DA4D93"/>
    <w:rsid w:val="00DA4DCD"/>
    <w:rsid w:val="00DA4ED4"/>
    <w:rsid w:val="00DA5005"/>
    <w:rsid w:val="00DA501D"/>
    <w:rsid w:val="00DA5122"/>
    <w:rsid w:val="00DA5225"/>
    <w:rsid w:val="00DA52EA"/>
    <w:rsid w:val="00DA53C2"/>
    <w:rsid w:val="00DA56A0"/>
    <w:rsid w:val="00DA5869"/>
    <w:rsid w:val="00DA5A9C"/>
    <w:rsid w:val="00DA5AD2"/>
    <w:rsid w:val="00DA5B47"/>
    <w:rsid w:val="00DA5E72"/>
    <w:rsid w:val="00DA5EF1"/>
    <w:rsid w:val="00DA5FA7"/>
    <w:rsid w:val="00DA600B"/>
    <w:rsid w:val="00DA6029"/>
    <w:rsid w:val="00DA6050"/>
    <w:rsid w:val="00DA6137"/>
    <w:rsid w:val="00DA61F4"/>
    <w:rsid w:val="00DA620C"/>
    <w:rsid w:val="00DA6269"/>
    <w:rsid w:val="00DA63C1"/>
    <w:rsid w:val="00DA6533"/>
    <w:rsid w:val="00DA6963"/>
    <w:rsid w:val="00DA69A3"/>
    <w:rsid w:val="00DA6ACD"/>
    <w:rsid w:val="00DA6B70"/>
    <w:rsid w:val="00DA6CE5"/>
    <w:rsid w:val="00DA6D2E"/>
    <w:rsid w:val="00DA6F19"/>
    <w:rsid w:val="00DA7008"/>
    <w:rsid w:val="00DA7139"/>
    <w:rsid w:val="00DA71E7"/>
    <w:rsid w:val="00DA734E"/>
    <w:rsid w:val="00DA7365"/>
    <w:rsid w:val="00DA7428"/>
    <w:rsid w:val="00DA76E4"/>
    <w:rsid w:val="00DA78AA"/>
    <w:rsid w:val="00DA7907"/>
    <w:rsid w:val="00DA7A42"/>
    <w:rsid w:val="00DA7A4C"/>
    <w:rsid w:val="00DA7CBE"/>
    <w:rsid w:val="00DA7D6D"/>
    <w:rsid w:val="00DA7DEB"/>
    <w:rsid w:val="00DA7E8D"/>
    <w:rsid w:val="00DA7F3C"/>
    <w:rsid w:val="00DB0047"/>
    <w:rsid w:val="00DB01AC"/>
    <w:rsid w:val="00DB01DF"/>
    <w:rsid w:val="00DB0220"/>
    <w:rsid w:val="00DB02F6"/>
    <w:rsid w:val="00DB03C0"/>
    <w:rsid w:val="00DB0589"/>
    <w:rsid w:val="00DB05AA"/>
    <w:rsid w:val="00DB06D4"/>
    <w:rsid w:val="00DB06D5"/>
    <w:rsid w:val="00DB0708"/>
    <w:rsid w:val="00DB076F"/>
    <w:rsid w:val="00DB0A09"/>
    <w:rsid w:val="00DB0D2D"/>
    <w:rsid w:val="00DB0D31"/>
    <w:rsid w:val="00DB0E0E"/>
    <w:rsid w:val="00DB0E32"/>
    <w:rsid w:val="00DB0E82"/>
    <w:rsid w:val="00DB0F17"/>
    <w:rsid w:val="00DB0F49"/>
    <w:rsid w:val="00DB0F93"/>
    <w:rsid w:val="00DB1241"/>
    <w:rsid w:val="00DB135F"/>
    <w:rsid w:val="00DB1420"/>
    <w:rsid w:val="00DB14DC"/>
    <w:rsid w:val="00DB1709"/>
    <w:rsid w:val="00DB17B5"/>
    <w:rsid w:val="00DB19EE"/>
    <w:rsid w:val="00DB1C4C"/>
    <w:rsid w:val="00DB1D08"/>
    <w:rsid w:val="00DB1D6C"/>
    <w:rsid w:val="00DB1DBE"/>
    <w:rsid w:val="00DB1EB3"/>
    <w:rsid w:val="00DB1F1A"/>
    <w:rsid w:val="00DB1F42"/>
    <w:rsid w:val="00DB1FA4"/>
    <w:rsid w:val="00DB212A"/>
    <w:rsid w:val="00DB21B9"/>
    <w:rsid w:val="00DB22DE"/>
    <w:rsid w:val="00DB244E"/>
    <w:rsid w:val="00DB25ED"/>
    <w:rsid w:val="00DB26CF"/>
    <w:rsid w:val="00DB2714"/>
    <w:rsid w:val="00DB2754"/>
    <w:rsid w:val="00DB27E6"/>
    <w:rsid w:val="00DB27F5"/>
    <w:rsid w:val="00DB292E"/>
    <w:rsid w:val="00DB2A86"/>
    <w:rsid w:val="00DB2C45"/>
    <w:rsid w:val="00DB2CBB"/>
    <w:rsid w:val="00DB2FC1"/>
    <w:rsid w:val="00DB2FC9"/>
    <w:rsid w:val="00DB3055"/>
    <w:rsid w:val="00DB3404"/>
    <w:rsid w:val="00DB34C0"/>
    <w:rsid w:val="00DB3697"/>
    <w:rsid w:val="00DB36AA"/>
    <w:rsid w:val="00DB3720"/>
    <w:rsid w:val="00DB37F1"/>
    <w:rsid w:val="00DB388F"/>
    <w:rsid w:val="00DB38AF"/>
    <w:rsid w:val="00DB396E"/>
    <w:rsid w:val="00DB3A2B"/>
    <w:rsid w:val="00DB3A48"/>
    <w:rsid w:val="00DB3A50"/>
    <w:rsid w:val="00DB3B92"/>
    <w:rsid w:val="00DB3C56"/>
    <w:rsid w:val="00DB3D70"/>
    <w:rsid w:val="00DB3DB4"/>
    <w:rsid w:val="00DB3E1A"/>
    <w:rsid w:val="00DB3EA1"/>
    <w:rsid w:val="00DB3F74"/>
    <w:rsid w:val="00DB3FCB"/>
    <w:rsid w:val="00DB403F"/>
    <w:rsid w:val="00DB417B"/>
    <w:rsid w:val="00DB428B"/>
    <w:rsid w:val="00DB4297"/>
    <w:rsid w:val="00DB430A"/>
    <w:rsid w:val="00DB434E"/>
    <w:rsid w:val="00DB459E"/>
    <w:rsid w:val="00DB48B4"/>
    <w:rsid w:val="00DB4A6F"/>
    <w:rsid w:val="00DB4B93"/>
    <w:rsid w:val="00DB4BA0"/>
    <w:rsid w:val="00DB4CB5"/>
    <w:rsid w:val="00DB4CCC"/>
    <w:rsid w:val="00DB4F35"/>
    <w:rsid w:val="00DB4F8A"/>
    <w:rsid w:val="00DB5022"/>
    <w:rsid w:val="00DB5206"/>
    <w:rsid w:val="00DB5290"/>
    <w:rsid w:val="00DB535E"/>
    <w:rsid w:val="00DB53CA"/>
    <w:rsid w:val="00DB5434"/>
    <w:rsid w:val="00DB5507"/>
    <w:rsid w:val="00DB5673"/>
    <w:rsid w:val="00DB56F7"/>
    <w:rsid w:val="00DB5820"/>
    <w:rsid w:val="00DB5888"/>
    <w:rsid w:val="00DB5A97"/>
    <w:rsid w:val="00DB5F2E"/>
    <w:rsid w:val="00DB657E"/>
    <w:rsid w:val="00DB65AE"/>
    <w:rsid w:val="00DB6655"/>
    <w:rsid w:val="00DB6656"/>
    <w:rsid w:val="00DB6778"/>
    <w:rsid w:val="00DB6830"/>
    <w:rsid w:val="00DB68AD"/>
    <w:rsid w:val="00DB69F9"/>
    <w:rsid w:val="00DB6AC2"/>
    <w:rsid w:val="00DB6C3A"/>
    <w:rsid w:val="00DB6C93"/>
    <w:rsid w:val="00DB6DA5"/>
    <w:rsid w:val="00DB6E2F"/>
    <w:rsid w:val="00DB6E68"/>
    <w:rsid w:val="00DB6EF4"/>
    <w:rsid w:val="00DB70AC"/>
    <w:rsid w:val="00DB70BD"/>
    <w:rsid w:val="00DB7175"/>
    <w:rsid w:val="00DB7429"/>
    <w:rsid w:val="00DB747B"/>
    <w:rsid w:val="00DB76B9"/>
    <w:rsid w:val="00DB7709"/>
    <w:rsid w:val="00DB7778"/>
    <w:rsid w:val="00DB778A"/>
    <w:rsid w:val="00DB77E1"/>
    <w:rsid w:val="00DB7D15"/>
    <w:rsid w:val="00DB7DBD"/>
    <w:rsid w:val="00DB7F15"/>
    <w:rsid w:val="00DC016B"/>
    <w:rsid w:val="00DC01AE"/>
    <w:rsid w:val="00DC01E0"/>
    <w:rsid w:val="00DC021C"/>
    <w:rsid w:val="00DC021F"/>
    <w:rsid w:val="00DC02C1"/>
    <w:rsid w:val="00DC0377"/>
    <w:rsid w:val="00DC03FD"/>
    <w:rsid w:val="00DC0625"/>
    <w:rsid w:val="00DC072F"/>
    <w:rsid w:val="00DC0969"/>
    <w:rsid w:val="00DC09FF"/>
    <w:rsid w:val="00DC0BA6"/>
    <w:rsid w:val="00DC0C18"/>
    <w:rsid w:val="00DC0EB9"/>
    <w:rsid w:val="00DC0F44"/>
    <w:rsid w:val="00DC0FD6"/>
    <w:rsid w:val="00DC1021"/>
    <w:rsid w:val="00DC135D"/>
    <w:rsid w:val="00DC1361"/>
    <w:rsid w:val="00DC1373"/>
    <w:rsid w:val="00DC144A"/>
    <w:rsid w:val="00DC14BB"/>
    <w:rsid w:val="00DC1569"/>
    <w:rsid w:val="00DC1593"/>
    <w:rsid w:val="00DC15AF"/>
    <w:rsid w:val="00DC1600"/>
    <w:rsid w:val="00DC1744"/>
    <w:rsid w:val="00DC183C"/>
    <w:rsid w:val="00DC1D05"/>
    <w:rsid w:val="00DC1F24"/>
    <w:rsid w:val="00DC1F4D"/>
    <w:rsid w:val="00DC2048"/>
    <w:rsid w:val="00DC223B"/>
    <w:rsid w:val="00DC2243"/>
    <w:rsid w:val="00DC238B"/>
    <w:rsid w:val="00DC26CC"/>
    <w:rsid w:val="00DC2758"/>
    <w:rsid w:val="00DC28BD"/>
    <w:rsid w:val="00DC2921"/>
    <w:rsid w:val="00DC2A39"/>
    <w:rsid w:val="00DC2A55"/>
    <w:rsid w:val="00DC2B26"/>
    <w:rsid w:val="00DC2CD1"/>
    <w:rsid w:val="00DC31F8"/>
    <w:rsid w:val="00DC324B"/>
    <w:rsid w:val="00DC330B"/>
    <w:rsid w:val="00DC3430"/>
    <w:rsid w:val="00DC34CD"/>
    <w:rsid w:val="00DC3571"/>
    <w:rsid w:val="00DC36E4"/>
    <w:rsid w:val="00DC36F3"/>
    <w:rsid w:val="00DC3706"/>
    <w:rsid w:val="00DC37FC"/>
    <w:rsid w:val="00DC3A05"/>
    <w:rsid w:val="00DC3C16"/>
    <w:rsid w:val="00DC3D53"/>
    <w:rsid w:val="00DC3D61"/>
    <w:rsid w:val="00DC3E36"/>
    <w:rsid w:val="00DC3F0F"/>
    <w:rsid w:val="00DC4000"/>
    <w:rsid w:val="00DC4077"/>
    <w:rsid w:val="00DC40BA"/>
    <w:rsid w:val="00DC41DA"/>
    <w:rsid w:val="00DC41F6"/>
    <w:rsid w:val="00DC420A"/>
    <w:rsid w:val="00DC4282"/>
    <w:rsid w:val="00DC435C"/>
    <w:rsid w:val="00DC437B"/>
    <w:rsid w:val="00DC43B9"/>
    <w:rsid w:val="00DC4439"/>
    <w:rsid w:val="00DC444F"/>
    <w:rsid w:val="00DC44E3"/>
    <w:rsid w:val="00DC45A3"/>
    <w:rsid w:val="00DC4823"/>
    <w:rsid w:val="00DC483E"/>
    <w:rsid w:val="00DC4857"/>
    <w:rsid w:val="00DC48D9"/>
    <w:rsid w:val="00DC499C"/>
    <w:rsid w:val="00DC49C8"/>
    <w:rsid w:val="00DC49F8"/>
    <w:rsid w:val="00DC4BAE"/>
    <w:rsid w:val="00DC4C63"/>
    <w:rsid w:val="00DC4D13"/>
    <w:rsid w:val="00DC4D62"/>
    <w:rsid w:val="00DC4EB1"/>
    <w:rsid w:val="00DC4FE7"/>
    <w:rsid w:val="00DC51CA"/>
    <w:rsid w:val="00DC51ED"/>
    <w:rsid w:val="00DC578D"/>
    <w:rsid w:val="00DC59B2"/>
    <w:rsid w:val="00DC5B89"/>
    <w:rsid w:val="00DC5C52"/>
    <w:rsid w:val="00DC5DD3"/>
    <w:rsid w:val="00DC5F49"/>
    <w:rsid w:val="00DC5F93"/>
    <w:rsid w:val="00DC60D8"/>
    <w:rsid w:val="00DC6811"/>
    <w:rsid w:val="00DC6870"/>
    <w:rsid w:val="00DC68B4"/>
    <w:rsid w:val="00DC69C1"/>
    <w:rsid w:val="00DC6BE9"/>
    <w:rsid w:val="00DC6C26"/>
    <w:rsid w:val="00DC6CA9"/>
    <w:rsid w:val="00DC6CCA"/>
    <w:rsid w:val="00DC6CEC"/>
    <w:rsid w:val="00DC6DC9"/>
    <w:rsid w:val="00DC701D"/>
    <w:rsid w:val="00DC70EB"/>
    <w:rsid w:val="00DC7272"/>
    <w:rsid w:val="00DC736F"/>
    <w:rsid w:val="00DC7539"/>
    <w:rsid w:val="00DC763D"/>
    <w:rsid w:val="00DC77FC"/>
    <w:rsid w:val="00DC7897"/>
    <w:rsid w:val="00DC78E6"/>
    <w:rsid w:val="00DC7917"/>
    <w:rsid w:val="00DC795E"/>
    <w:rsid w:val="00DC79F6"/>
    <w:rsid w:val="00DC7A4A"/>
    <w:rsid w:val="00DC7CD4"/>
    <w:rsid w:val="00DC7DBE"/>
    <w:rsid w:val="00DC7F6E"/>
    <w:rsid w:val="00DD0047"/>
    <w:rsid w:val="00DD0118"/>
    <w:rsid w:val="00DD0169"/>
    <w:rsid w:val="00DD021D"/>
    <w:rsid w:val="00DD027D"/>
    <w:rsid w:val="00DD0399"/>
    <w:rsid w:val="00DD039A"/>
    <w:rsid w:val="00DD0480"/>
    <w:rsid w:val="00DD04E2"/>
    <w:rsid w:val="00DD04F2"/>
    <w:rsid w:val="00DD0577"/>
    <w:rsid w:val="00DD0586"/>
    <w:rsid w:val="00DD060E"/>
    <w:rsid w:val="00DD06ED"/>
    <w:rsid w:val="00DD077C"/>
    <w:rsid w:val="00DD07EB"/>
    <w:rsid w:val="00DD0A58"/>
    <w:rsid w:val="00DD0A9C"/>
    <w:rsid w:val="00DD0CC5"/>
    <w:rsid w:val="00DD0E35"/>
    <w:rsid w:val="00DD10FB"/>
    <w:rsid w:val="00DD1147"/>
    <w:rsid w:val="00DD11AF"/>
    <w:rsid w:val="00DD11FE"/>
    <w:rsid w:val="00DD1276"/>
    <w:rsid w:val="00DD12E4"/>
    <w:rsid w:val="00DD14BC"/>
    <w:rsid w:val="00DD1525"/>
    <w:rsid w:val="00DD159E"/>
    <w:rsid w:val="00DD168F"/>
    <w:rsid w:val="00DD171E"/>
    <w:rsid w:val="00DD17AA"/>
    <w:rsid w:val="00DD18B9"/>
    <w:rsid w:val="00DD1915"/>
    <w:rsid w:val="00DD1926"/>
    <w:rsid w:val="00DD1AA0"/>
    <w:rsid w:val="00DD1B73"/>
    <w:rsid w:val="00DD1BCB"/>
    <w:rsid w:val="00DD1E28"/>
    <w:rsid w:val="00DD1EB3"/>
    <w:rsid w:val="00DD1ECE"/>
    <w:rsid w:val="00DD2096"/>
    <w:rsid w:val="00DD20AE"/>
    <w:rsid w:val="00DD240B"/>
    <w:rsid w:val="00DD25A8"/>
    <w:rsid w:val="00DD25E9"/>
    <w:rsid w:val="00DD268E"/>
    <w:rsid w:val="00DD275F"/>
    <w:rsid w:val="00DD27AB"/>
    <w:rsid w:val="00DD2895"/>
    <w:rsid w:val="00DD28FC"/>
    <w:rsid w:val="00DD2A57"/>
    <w:rsid w:val="00DD2C31"/>
    <w:rsid w:val="00DD2C43"/>
    <w:rsid w:val="00DD2EC4"/>
    <w:rsid w:val="00DD2F8B"/>
    <w:rsid w:val="00DD2FA5"/>
    <w:rsid w:val="00DD30ED"/>
    <w:rsid w:val="00DD311E"/>
    <w:rsid w:val="00DD314B"/>
    <w:rsid w:val="00DD3256"/>
    <w:rsid w:val="00DD33CF"/>
    <w:rsid w:val="00DD3433"/>
    <w:rsid w:val="00DD36B6"/>
    <w:rsid w:val="00DD37FE"/>
    <w:rsid w:val="00DD38AF"/>
    <w:rsid w:val="00DD3BB6"/>
    <w:rsid w:val="00DD3BEA"/>
    <w:rsid w:val="00DD3C75"/>
    <w:rsid w:val="00DD3CF7"/>
    <w:rsid w:val="00DD3D89"/>
    <w:rsid w:val="00DD3DBA"/>
    <w:rsid w:val="00DD3EA6"/>
    <w:rsid w:val="00DD3EED"/>
    <w:rsid w:val="00DD3F55"/>
    <w:rsid w:val="00DD3F6B"/>
    <w:rsid w:val="00DD3FA5"/>
    <w:rsid w:val="00DD4041"/>
    <w:rsid w:val="00DD4059"/>
    <w:rsid w:val="00DD415B"/>
    <w:rsid w:val="00DD424A"/>
    <w:rsid w:val="00DD4298"/>
    <w:rsid w:val="00DD43A7"/>
    <w:rsid w:val="00DD465A"/>
    <w:rsid w:val="00DD47F0"/>
    <w:rsid w:val="00DD481C"/>
    <w:rsid w:val="00DD4960"/>
    <w:rsid w:val="00DD4C4F"/>
    <w:rsid w:val="00DD4CC0"/>
    <w:rsid w:val="00DD4CC7"/>
    <w:rsid w:val="00DD4D36"/>
    <w:rsid w:val="00DD4DCC"/>
    <w:rsid w:val="00DD4E24"/>
    <w:rsid w:val="00DD4F92"/>
    <w:rsid w:val="00DD50A4"/>
    <w:rsid w:val="00DD516B"/>
    <w:rsid w:val="00DD5234"/>
    <w:rsid w:val="00DD5252"/>
    <w:rsid w:val="00DD5293"/>
    <w:rsid w:val="00DD52B6"/>
    <w:rsid w:val="00DD54A1"/>
    <w:rsid w:val="00DD550D"/>
    <w:rsid w:val="00DD55CF"/>
    <w:rsid w:val="00DD56B7"/>
    <w:rsid w:val="00DD5786"/>
    <w:rsid w:val="00DD579C"/>
    <w:rsid w:val="00DD57EB"/>
    <w:rsid w:val="00DD59A9"/>
    <w:rsid w:val="00DD5ADA"/>
    <w:rsid w:val="00DD5BB8"/>
    <w:rsid w:val="00DD5CE8"/>
    <w:rsid w:val="00DD5CF3"/>
    <w:rsid w:val="00DD5F6E"/>
    <w:rsid w:val="00DD60E4"/>
    <w:rsid w:val="00DD6124"/>
    <w:rsid w:val="00DD61A1"/>
    <w:rsid w:val="00DD6255"/>
    <w:rsid w:val="00DD62A0"/>
    <w:rsid w:val="00DD66BE"/>
    <w:rsid w:val="00DD6897"/>
    <w:rsid w:val="00DD6981"/>
    <w:rsid w:val="00DD6A4F"/>
    <w:rsid w:val="00DD6AF8"/>
    <w:rsid w:val="00DD6B9A"/>
    <w:rsid w:val="00DD6BD4"/>
    <w:rsid w:val="00DD6C53"/>
    <w:rsid w:val="00DD6D0A"/>
    <w:rsid w:val="00DD6F43"/>
    <w:rsid w:val="00DD6FAF"/>
    <w:rsid w:val="00DD7051"/>
    <w:rsid w:val="00DD71CD"/>
    <w:rsid w:val="00DD723F"/>
    <w:rsid w:val="00DD730C"/>
    <w:rsid w:val="00DD7336"/>
    <w:rsid w:val="00DD782B"/>
    <w:rsid w:val="00DD7A6E"/>
    <w:rsid w:val="00DD7AF6"/>
    <w:rsid w:val="00DD7D44"/>
    <w:rsid w:val="00DD7DA3"/>
    <w:rsid w:val="00DD7E2D"/>
    <w:rsid w:val="00DD7E49"/>
    <w:rsid w:val="00DD7E79"/>
    <w:rsid w:val="00DD7E91"/>
    <w:rsid w:val="00DD7F34"/>
    <w:rsid w:val="00DD7FB1"/>
    <w:rsid w:val="00DD7FB8"/>
    <w:rsid w:val="00DE01D6"/>
    <w:rsid w:val="00DE0288"/>
    <w:rsid w:val="00DE02D3"/>
    <w:rsid w:val="00DE02E0"/>
    <w:rsid w:val="00DE03C7"/>
    <w:rsid w:val="00DE0692"/>
    <w:rsid w:val="00DE077D"/>
    <w:rsid w:val="00DE084A"/>
    <w:rsid w:val="00DE086B"/>
    <w:rsid w:val="00DE087C"/>
    <w:rsid w:val="00DE0888"/>
    <w:rsid w:val="00DE089F"/>
    <w:rsid w:val="00DE0BF5"/>
    <w:rsid w:val="00DE0D05"/>
    <w:rsid w:val="00DE0EA0"/>
    <w:rsid w:val="00DE0F88"/>
    <w:rsid w:val="00DE103F"/>
    <w:rsid w:val="00DE1439"/>
    <w:rsid w:val="00DE16D0"/>
    <w:rsid w:val="00DE1703"/>
    <w:rsid w:val="00DE1766"/>
    <w:rsid w:val="00DE179E"/>
    <w:rsid w:val="00DE17EE"/>
    <w:rsid w:val="00DE18A0"/>
    <w:rsid w:val="00DE1AE1"/>
    <w:rsid w:val="00DE1AF0"/>
    <w:rsid w:val="00DE1BC5"/>
    <w:rsid w:val="00DE1DBC"/>
    <w:rsid w:val="00DE1E1B"/>
    <w:rsid w:val="00DE1E21"/>
    <w:rsid w:val="00DE1ED8"/>
    <w:rsid w:val="00DE1F3A"/>
    <w:rsid w:val="00DE205F"/>
    <w:rsid w:val="00DE21FF"/>
    <w:rsid w:val="00DE222B"/>
    <w:rsid w:val="00DE253D"/>
    <w:rsid w:val="00DE262E"/>
    <w:rsid w:val="00DE26BE"/>
    <w:rsid w:val="00DE26FA"/>
    <w:rsid w:val="00DE271C"/>
    <w:rsid w:val="00DE27FD"/>
    <w:rsid w:val="00DE28F9"/>
    <w:rsid w:val="00DE296E"/>
    <w:rsid w:val="00DE2A95"/>
    <w:rsid w:val="00DE2BC7"/>
    <w:rsid w:val="00DE2D0F"/>
    <w:rsid w:val="00DE2D66"/>
    <w:rsid w:val="00DE2D7D"/>
    <w:rsid w:val="00DE2EEF"/>
    <w:rsid w:val="00DE2FD2"/>
    <w:rsid w:val="00DE2FFD"/>
    <w:rsid w:val="00DE3002"/>
    <w:rsid w:val="00DE3037"/>
    <w:rsid w:val="00DE33C7"/>
    <w:rsid w:val="00DE3523"/>
    <w:rsid w:val="00DE3538"/>
    <w:rsid w:val="00DE3568"/>
    <w:rsid w:val="00DE3719"/>
    <w:rsid w:val="00DE37D0"/>
    <w:rsid w:val="00DE3806"/>
    <w:rsid w:val="00DE3826"/>
    <w:rsid w:val="00DE3BCB"/>
    <w:rsid w:val="00DE3C67"/>
    <w:rsid w:val="00DE3D13"/>
    <w:rsid w:val="00DE3E36"/>
    <w:rsid w:val="00DE3EFF"/>
    <w:rsid w:val="00DE404C"/>
    <w:rsid w:val="00DE4114"/>
    <w:rsid w:val="00DE42CF"/>
    <w:rsid w:val="00DE45D2"/>
    <w:rsid w:val="00DE4714"/>
    <w:rsid w:val="00DE4777"/>
    <w:rsid w:val="00DE4894"/>
    <w:rsid w:val="00DE48E9"/>
    <w:rsid w:val="00DE4929"/>
    <w:rsid w:val="00DE492C"/>
    <w:rsid w:val="00DE4947"/>
    <w:rsid w:val="00DE49CA"/>
    <w:rsid w:val="00DE4AD2"/>
    <w:rsid w:val="00DE4C01"/>
    <w:rsid w:val="00DE4C1E"/>
    <w:rsid w:val="00DE4C49"/>
    <w:rsid w:val="00DE4CBF"/>
    <w:rsid w:val="00DE4F01"/>
    <w:rsid w:val="00DE503F"/>
    <w:rsid w:val="00DE5118"/>
    <w:rsid w:val="00DE5152"/>
    <w:rsid w:val="00DE5330"/>
    <w:rsid w:val="00DE537E"/>
    <w:rsid w:val="00DE53EB"/>
    <w:rsid w:val="00DE5481"/>
    <w:rsid w:val="00DE56EC"/>
    <w:rsid w:val="00DE5737"/>
    <w:rsid w:val="00DE58BB"/>
    <w:rsid w:val="00DE58F3"/>
    <w:rsid w:val="00DE5A10"/>
    <w:rsid w:val="00DE5A5F"/>
    <w:rsid w:val="00DE5C3C"/>
    <w:rsid w:val="00DE5D12"/>
    <w:rsid w:val="00DE5DE4"/>
    <w:rsid w:val="00DE5E15"/>
    <w:rsid w:val="00DE5EC6"/>
    <w:rsid w:val="00DE5FC1"/>
    <w:rsid w:val="00DE6036"/>
    <w:rsid w:val="00DE607A"/>
    <w:rsid w:val="00DE6129"/>
    <w:rsid w:val="00DE6152"/>
    <w:rsid w:val="00DE6277"/>
    <w:rsid w:val="00DE64D4"/>
    <w:rsid w:val="00DE64E9"/>
    <w:rsid w:val="00DE65DA"/>
    <w:rsid w:val="00DE66C5"/>
    <w:rsid w:val="00DE69D8"/>
    <w:rsid w:val="00DE6A1F"/>
    <w:rsid w:val="00DE6A6C"/>
    <w:rsid w:val="00DE6BF8"/>
    <w:rsid w:val="00DE6C47"/>
    <w:rsid w:val="00DE6DD3"/>
    <w:rsid w:val="00DE6EE8"/>
    <w:rsid w:val="00DE6EFD"/>
    <w:rsid w:val="00DE7022"/>
    <w:rsid w:val="00DE7049"/>
    <w:rsid w:val="00DE7084"/>
    <w:rsid w:val="00DE7087"/>
    <w:rsid w:val="00DE70BF"/>
    <w:rsid w:val="00DE714C"/>
    <w:rsid w:val="00DE723D"/>
    <w:rsid w:val="00DE7415"/>
    <w:rsid w:val="00DE7430"/>
    <w:rsid w:val="00DE75A3"/>
    <w:rsid w:val="00DE770E"/>
    <w:rsid w:val="00DE7848"/>
    <w:rsid w:val="00DE7AD2"/>
    <w:rsid w:val="00DE7CE1"/>
    <w:rsid w:val="00DE7E49"/>
    <w:rsid w:val="00DE7E70"/>
    <w:rsid w:val="00DE9ADF"/>
    <w:rsid w:val="00DF01E1"/>
    <w:rsid w:val="00DF0243"/>
    <w:rsid w:val="00DF0411"/>
    <w:rsid w:val="00DF0485"/>
    <w:rsid w:val="00DF04F1"/>
    <w:rsid w:val="00DF0528"/>
    <w:rsid w:val="00DF05EA"/>
    <w:rsid w:val="00DF061B"/>
    <w:rsid w:val="00DF06DB"/>
    <w:rsid w:val="00DF0746"/>
    <w:rsid w:val="00DF082A"/>
    <w:rsid w:val="00DF0878"/>
    <w:rsid w:val="00DF08AF"/>
    <w:rsid w:val="00DF09FC"/>
    <w:rsid w:val="00DF0ABA"/>
    <w:rsid w:val="00DF0B6E"/>
    <w:rsid w:val="00DF0BE7"/>
    <w:rsid w:val="00DF0BE8"/>
    <w:rsid w:val="00DF0DF6"/>
    <w:rsid w:val="00DF0E63"/>
    <w:rsid w:val="00DF1007"/>
    <w:rsid w:val="00DF100E"/>
    <w:rsid w:val="00DF1057"/>
    <w:rsid w:val="00DF10B7"/>
    <w:rsid w:val="00DF10BC"/>
    <w:rsid w:val="00DF10D8"/>
    <w:rsid w:val="00DF1229"/>
    <w:rsid w:val="00DF1432"/>
    <w:rsid w:val="00DF147B"/>
    <w:rsid w:val="00DF154F"/>
    <w:rsid w:val="00DF16E3"/>
    <w:rsid w:val="00DF182C"/>
    <w:rsid w:val="00DF18FD"/>
    <w:rsid w:val="00DF195B"/>
    <w:rsid w:val="00DF1AA4"/>
    <w:rsid w:val="00DF1B39"/>
    <w:rsid w:val="00DF1D92"/>
    <w:rsid w:val="00DF1EA4"/>
    <w:rsid w:val="00DF1F67"/>
    <w:rsid w:val="00DF23B5"/>
    <w:rsid w:val="00DF253C"/>
    <w:rsid w:val="00DF25CB"/>
    <w:rsid w:val="00DF2636"/>
    <w:rsid w:val="00DF269C"/>
    <w:rsid w:val="00DF280A"/>
    <w:rsid w:val="00DF28AA"/>
    <w:rsid w:val="00DF2B29"/>
    <w:rsid w:val="00DF2B3A"/>
    <w:rsid w:val="00DF2C21"/>
    <w:rsid w:val="00DF2C6A"/>
    <w:rsid w:val="00DF2D9D"/>
    <w:rsid w:val="00DF2EE7"/>
    <w:rsid w:val="00DF3208"/>
    <w:rsid w:val="00DF3257"/>
    <w:rsid w:val="00DF348E"/>
    <w:rsid w:val="00DF3845"/>
    <w:rsid w:val="00DF39BD"/>
    <w:rsid w:val="00DF39C3"/>
    <w:rsid w:val="00DF3A08"/>
    <w:rsid w:val="00DF3AC5"/>
    <w:rsid w:val="00DF3C93"/>
    <w:rsid w:val="00DF3CA1"/>
    <w:rsid w:val="00DF4072"/>
    <w:rsid w:val="00DF409A"/>
    <w:rsid w:val="00DF4415"/>
    <w:rsid w:val="00DF45FC"/>
    <w:rsid w:val="00DF47FE"/>
    <w:rsid w:val="00DF49AE"/>
    <w:rsid w:val="00DF4A68"/>
    <w:rsid w:val="00DF4B33"/>
    <w:rsid w:val="00DF4D8D"/>
    <w:rsid w:val="00DF4DFB"/>
    <w:rsid w:val="00DF4E55"/>
    <w:rsid w:val="00DF500D"/>
    <w:rsid w:val="00DF527E"/>
    <w:rsid w:val="00DF5369"/>
    <w:rsid w:val="00DF539F"/>
    <w:rsid w:val="00DF54C0"/>
    <w:rsid w:val="00DF5740"/>
    <w:rsid w:val="00DF5762"/>
    <w:rsid w:val="00DF59CA"/>
    <w:rsid w:val="00DF59F8"/>
    <w:rsid w:val="00DF5A60"/>
    <w:rsid w:val="00DF5B40"/>
    <w:rsid w:val="00DF5BDA"/>
    <w:rsid w:val="00DF5C06"/>
    <w:rsid w:val="00DF5C0D"/>
    <w:rsid w:val="00DF5CFE"/>
    <w:rsid w:val="00DF5DAF"/>
    <w:rsid w:val="00DF5E84"/>
    <w:rsid w:val="00DF5F0E"/>
    <w:rsid w:val="00DF608C"/>
    <w:rsid w:val="00DF6112"/>
    <w:rsid w:val="00DF61CB"/>
    <w:rsid w:val="00DF62CE"/>
    <w:rsid w:val="00DF639A"/>
    <w:rsid w:val="00DF64A0"/>
    <w:rsid w:val="00DF650D"/>
    <w:rsid w:val="00DF6842"/>
    <w:rsid w:val="00DF68FA"/>
    <w:rsid w:val="00DF69A8"/>
    <w:rsid w:val="00DF6A3D"/>
    <w:rsid w:val="00DF6B13"/>
    <w:rsid w:val="00DF6C26"/>
    <w:rsid w:val="00DF6C59"/>
    <w:rsid w:val="00DF6CDD"/>
    <w:rsid w:val="00DF6E61"/>
    <w:rsid w:val="00DF701A"/>
    <w:rsid w:val="00DF7051"/>
    <w:rsid w:val="00DF7087"/>
    <w:rsid w:val="00DF7168"/>
    <w:rsid w:val="00DF728F"/>
    <w:rsid w:val="00DF72F1"/>
    <w:rsid w:val="00DF7375"/>
    <w:rsid w:val="00DF739A"/>
    <w:rsid w:val="00DF740E"/>
    <w:rsid w:val="00DF7506"/>
    <w:rsid w:val="00DF7517"/>
    <w:rsid w:val="00DF7610"/>
    <w:rsid w:val="00DF767E"/>
    <w:rsid w:val="00DF76A9"/>
    <w:rsid w:val="00DF77A7"/>
    <w:rsid w:val="00DF780D"/>
    <w:rsid w:val="00DF7854"/>
    <w:rsid w:val="00DF78B8"/>
    <w:rsid w:val="00DF7B42"/>
    <w:rsid w:val="00DF7D69"/>
    <w:rsid w:val="00DF7F2C"/>
    <w:rsid w:val="00DF7F98"/>
    <w:rsid w:val="00E000F1"/>
    <w:rsid w:val="00E00185"/>
    <w:rsid w:val="00E0042F"/>
    <w:rsid w:val="00E0085B"/>
    <w:rsid w:val="00E00AE8"/>
    <w:rsid w:val="00E00CCB"/>
    <w:rsid w:val="00E00CDC"/>
    <w:rsid w:val="00E00DE2"/>
    <w:rsid w:val="00E010B7"/>
    <w:rsid w:val="00E010E9"/>
    <w:rsid w:val="00E01128"/>
    <w:rsid w:val="00E01231"/>
    <w:rsid w:val="00E01357"/>
    <w:rsid w:val="00E01464"/>
    <w:rsid w:val="00E014C9"/>
    <w:rsid w:val="00E017E7"/>
    <w:rsid w:val="00E01816"/>
    <w:rsid w:val="00E018D9"/>
    <w:rsid w:val="00E01A3A"/>
    <w:rsid w:val="00E01A8C"/>
    <w:rsid w:val="00E01AA7"/>
    <w:rsid w:val="00E01ADF"/>
    <w:rsid w:val="00E01B9C"/>
    <w:rsid w:val="00E01CE7"/>
    <w:rsid w:val="00E01EEC"/>
    <w:rsid w:val="00E01FCD"/>
    <w:rsid w:val="00E0204C"/>
    <w:rsid w:val="00E020A8"/>
    <w:rsid w:val="00E02124"/>
    <w:rsid w:val="00E023FB"/>
    <w:rsid w:val="00E02471"/>
    <w:rsid w:val="00E027BB"/>
    <w:rsid w:val="00E027D9"/>
    <w:rsid w:val="00E029D7"/>
    <w:rsid w:val="00E02B5B"/>
    <w:rsid w:val="00E02C2C"/>
    <w:rsid w:val="00E02CA9"/>
    <w:rsid w:val="00E02DD5"/>
    <w:rsid w:val="00E02DEF"/>
    <w:rsid w:val="00E02E24"/>
    <w:rsid w:val="00E03047"/>
    <w:rsid w:val="00E03327"/>
    <w:rsid w:val="00E03396"/>
    <w:rsid w:val="00E0367F"/>
    <w:rsid w:val="00E0373F"/>
    <w:rsid w:val="00E037C8"/>
    <w:rsid w:val="00E03834"/>
    <w:rsid w:val="00E0383B"/>
    <w:rsid w:val="00E03884"/>
    <w:rsid w:val="00E039FA"/>
    <w:rsid w:val="00E03A1A"/>
    <w:rsid w:val="00E03C8E"/>
    <w:rsid w:val="00E03D41"/>
    <w:rsid w:val="00E03EA3"/>
    <w:rsid w:val="00E043B4"/>
    <w:rsid w:val="00E044BC"/>
    <w:rsid w:val="00E04657"/>
    <w:rsid w:val="00E046BC"/>
    <w:rsid w:val="00E0471F"/>
    <w:rsid w:val="00E04BD3"/>
    <w:rsid w:val="00E04CA6"/>
    <w:rsid w:val="00E04CB2"/>
    <w:rsid w:val="00E050A8"/>
    <w:rsid w:val="00E050EB"/>
    <w:rsid w:val="00E05272"/>
    <w:rsid w:val="00E054FC"/>
    <w:rsid w:val="00E05539"/>
    <w:rsid w:val="00E056A9"/>
    <w:rsid w:val="00E056FF"/>
    <w:rsid w:val="00E0579B"/>
    <w:rsid w:val="00E057DC"/>
    <w:rsid w:val="00E05908"/>
    <w:rsid w:val="00E05A89"/>
    <w:rsid w:val="00E05E0C"/>
    <w:rsid w:val="00E062F6"/>
    <w:rsid w:val="00E06434"/>
    <w:rsid w:val="00E0644D"/>
    <w:rsid w:val="00E06524"/>
    <w:rsid w:val="00E06869"/>
    <w:rsid w:val="00E06876"/>
    <w:rsid w:val="00E06A23"/>
    <w:rsid w:val="00E06AB4"/>
    <w:rsid w:val="00E06BFA"/>
    <w:rsid w:val="00E06D3D"/>
    <w:rsid w:val="00E06D58"/>
    <w:rsid w:val="00E06DF6"/>
    <w:rsid w:val="00E07457"/>
    <w:rsid w:val="00E07577"/>
    <w:rsid w:val="00E07611"/>
    <w:rsid w:val="00E076A2"/>
    <w:rsid w:val="00E076D1"/>
    <w:rsid w:val="00E07701"/>
    <w:rsid w:val="00E078EB"/>
    <w:rsid w:val="00E0792A"/>
    <w:rsid w:val="00E079E8"/>
    <w:rsid w:val="00E07A54"/>
    <w:rsid w:val="00E07A6F"/>
    <w:rsid w:val="00E07A78"/>
    <w:rsid w:val="00E07B72"/>
    <w:rsid w:val="00E07BB7"/>
    <w:rsid w:val="00E07C93"/>
    <w:rsid w:val="00E07D6D"/>
    <w:rsid w:val="00E07E51"/>
    <w:rsid w:val="00E10054"/>
    <w:rsid w:val="00E100E6"/>
    <w:rsid w:val="00E10182"/>
    <w:rsid w:val="00E1020D"/>
    <w:rsid w:val="00E105F1"/>
    <w:rsid w:val="00E10756"/>
    <w:rsid w:val="00E108ED"/>
    <w:rsid w:val="00E10987"/>
    <w:rsid w:val="00E1099B"/>
    <w:rsid w:val="00E109EA"/>
    <w:rsid w:val="00E10A5B"/>
    <w:rsid w:val="00E10B8D"/>
    <w:rsid w:val="00E10C7A"/>
    <w:rsid w:val="00E10C80"/>
    <w:rsid w:val="00E10E38"/>
    <w:rsid w:val="00E1114B"/>
    <w:rsid w:val="00E1122B"/>
    <w:rsid w:val="00E112D0"/>
    <w:rsid w:val="00E11396"/>
    <w:rsid w:val="00E1140B"/>
    <w:rsid w:val="00E1147A"/>
    <w:rsid w:val="00E11595"/>
    <w:rsid w:val="00E115CE"/>
    <w:rsid w:val="00E116E4"/>
    <w:rsid w:val="00E1171D"/>
    <w:rsid w:val="00E118FA"/>
    <w:rsid w:val="00E11905"/>
    <w:rsid w:val="00E1190A"/>
    <w:rsid w:val="00E11933"/>
    <w:rsid w:val="00E119D8"/>
    <w:rsid w:val="00E11C92"/>
    <w:rsid w:val="00E11D3A"/>
    <w:rsid w:val="00E11E9E"/>
    <w:rsid w:val="00E11EFF"/>
    <w:rsid w:val="00E11F00"/>
    <w:rsid w:val="00E11F4E"/>
    <w:rsid w:val="00E12067"/>
    <w:rsid w:val="00E120CA"/>
    <w:rsid w:val="00E1220C"/>
    <w:rsid w:val="00E122DF"/>
    <w:rsid w:val="00E124DD"/>
    <w:rsid w:val="00E124FB"/>
    <w:rsid w:val="00E1260B"/>
    <w:rsid w:val="00E12647"/>
    <w:rsid w:val="00E12765"/>
    <w:rsid w:val="00E1292E"/>
    <w:rsid w:val="00E12D32"/>
    <w:rsid w:val="00E12DA8"/>
    <w:rsid w:val="00E12F08"/>
    <w:rsid w:val="00E1302A"/>
    <w:rsid w:val="00E131E0"/>
    <w:rsid w:val="00E13219"/>
    <w:rsid w:val="00E135F4"/>
    <w:rsid w:val="00E1362E"/>
    <w:rsid w:val="00E13667"/>
    <w:rsid w:val="00E1380D"/>
    <w:rsid w:val="00E13949"/>
    <w:rsid w:val="00E13AE5"/>
    <w:rsid w:val="00E13C51"/>
    <w:rsid w:val="00E13DA8"/>
    <w:rsid w:val="00E13E00"/>
    <w:rsid w:val="00E13FCF"/>
    <w:rsid w:val="00E13FD9"/>
    <w:rsid w:val="00E140BB"/>
    <w:rsid w:val="00E14101"/>
    <w:rsid w:val="00E1419D"/>
    <w:rsid w:val="00E142AF"/>
    <w:rsid w:val="00E144D4"/>
    <w:rsid w:val="00E145F4"/>
    <w:rsid w:val="00E14678"/>
    <w:rsid w:val="00E146AA"/>
    <w:rsid w:val="00E146B3"/>
    <w:rsid w:val="00E14752"/>
    <w:rsid w:val="00E1483A"/>
    <w:rsid w:val="00E14B8C"/>
    <w:rsid w:val="00E14C42"/>
    <w:rsid w:val="00E14CC6"/>
    <w:rsid w:val="00E14CF8"/>
    <w:rsid w:val="00E14DA8"/>
    <w:rsid w:val="00E14E03"/>
    <w:rsid w:val="00E14E78"/>
    <w:rsid w:val="00E151AC"/>
    <w:rsid w:val="00E155E8"/>
    <w:rsid w:val="00E1582C"/>
    <w:rsid w:val="00E159AA"/>
    <w:rsid w:val="00E15A1E"/>
    <w:rsid w:val="00E15C81"/>
    <w:rsid w:val="00E15DAA"/>
    <w:rsid w:val="00E15EF2"/>
    <w:rsid w:val="00E15F30"/>
    <w:rsid w:val="00E16001"/>
    <w:rsid w:val="00E16147"/>
    <w:rsid w:val="00E1617D"/>
    <w:rsid w:val="00E161BC"/>
    <w:rsid w:val="00E163BF"/>
    <w:rsid w:val="00E1655D"/>
    <w:rsid w:val="00E16801"/>
    <w:rsid w:val="00E16A98"/>
    <w:rsid w:val="00E16BAE"/>
    <w:rsid w:val="00E16C01"/>
    <w:rsid w:val="00E16D04"/>
    <w:rsid w:val="00E16DDB"/>
    <w:rsid w:val="00E1702B"/>
    <w:rsid w:val="00E1705F"/>
    <w:rsid w:val="00E170A8"/>
    <w:rsid w:val="00E17136"/>
    <w:rsid w:val="00E1726D"/>
    <w:rsid w:val="00E174B0"/>
    <w:rsid w:val="00E1771E"/>
    <w:rsid w:val="00E17822"/>
    <w:rsid w:val="00E1782A"/>
    <w:rsid w:val="00E17971"/>
    <w:rsid w:val="00E179BD"/>
    <w:rsid w:val="00E17B64"/>
    <w:rsid w:val="00E17BCA"/>
    <w:rsid w:val="00E17DAC"/>
    <w:rsid w:val="00E17DC2"/>
    <w:rsid w:val="00E17DE9"/>
    <w:rsid w:val="00E17EC1"/>
    <w:rsid w:val="00E17EE9"/>
    <w:rsid w:val="00E17EEA"/>
    <w:rsid w:val="00E2005A"/>
    <w:rsid w:val="00E20520"/>
    <w:rsid w:val="00E20566"/>
    <w:rsid w:val="00E2064A"/>
    <w:rsid w:val="00E2064E"/>
    <w:rsid w:val="00E206A1"/>
    <w:rsid w:val="00E20865"/>
    <w:rsid w:val="00E20867"/>
    <w:rsid w:val="00E20A48"/>
    <w:rsid w:val="00E20C22"/>
    <w:rsid w:val="00E20C26"/>
    <w:rsid w:val="00E20C56"/>
    <w:rsid w:val="00E20C69"/>
    <w:rsid w:val="00E20C88"/>
    <w:rsid w:val="00E20D16"/>
    <w:rsid w:val="00E20D8C"/>
    <w:rsid w:val="00E20D91"/>
    <w:rsid w:val="00E20D97"/>
    <w:rsid w:val="00E20F84"/>
    <w:rsid w:val="00E21043"/>
    <w:rsid w:val="00E210FD"/>
    <w:rsid w:val="00E21122"/>
    <w:rsid w:val="00E212E7"/>
    <w:rsid w:val="00E214A2"/>
    <w:rsid w:val="00E214F7"/>
    <w:rsid w:val="00E21581"/>
    <w:rsid w:val="00E21596"/>
    <w:rsid w:val="00E2159D"/>
    <w:rsid w:val="00E21952"/>
    <w:rsid w:val="00E219AE"/>
    <w:rsid w:val="00E21C89"/>
    <w:rsid w:val="00E21E8C"/>
    <w:rsid w:val="00E21F94"/>
    <w:rsid w:val="00E22112"/>
    <w:rsid w:val="00E2223D"/>
    <w:rsid w:val="00E22393"/>
    <w:rsid w:val="00E223E9"/>
    <w:rsid w:val="00E22559"/>
    <w:rsid w:val="00E225E2"/>
    <w:rsid w:val="00E22846"/>
    <w:rsid w:val="00E229B8"/>
    <w:rsid w:val="00E229FB"/>
    <w:rsid w:val="00E22A1E"/>
    <w:rsid w:val="00E22ADF"/>
    <w:rsid w:val="00E22BD5"/>
    <w:rsid w:val="00E22CF2"/>
    <w:rsid w:val="00E22D0F"/>
    <w:rsid w:val="00E22FB5"/>
    <w:rsid w:val="00E23015"/>
    <w:rsid w:val="00E23225"/>
    <w:rsid w:val="00E23345"/>
    <w:rsid w:val="00E234DC"/>
    <w:rsid w:val="00E23670"/>
    <w:rsid w:val="00E2369A"/>
    <w:rsid w:val="00E23AE6"/>
    <w:rsid w:val="00E23B9A"/>
    <w:rsid w:val="00E23C9E"/>
    <w:rsid w:val="00E23CA6"/>
    <w:rsid w:val="00E23E69"/>
    <w:rsid w:val="00E23E70"/>
    <w:rsid w:val="00E23E93"/>
    <w:rsid w:val="00E240A7"/>
    <w:rsid w:val="00E24763"/>
    <w:rsid w:val="00E2483A"/>
    <w:rsid w:val="00E24A97"/>
    <w:rsid w:val="00E24AE9"/>
    <w:rsid w:val="00E24B11"/>
    <w:rsid w:val="00E24C74"/>
    <w:rsid w:val="00E24CA9"/>
    <w:rsid w:val="00E24D03"/>
    <w:rsid w:val="00E250A2"/>
    <w:rsid w:val="00E2510B"/>
    <w:rsid w:val="00E25185"/>
    <w:rsid w:val="00E25190"/>
    <w:rsid w:val="00E252D3"/>
    <w:rsid w:val="00E254BA"/>
    <w:rsid w:val="00E2569D"/>
    <w:rsid w:val="00E25823"/>
    <w:rsid w:val="00E25894"/>
    <w:rsid w:val="00E258AD"/>
    <w:rsid w:val="00E259FC"/>
    <w:rsid w:val="00E25BC5"/>
    <w:rsid w:val="00E25BC8"/>
    <w:rsid w:val="00E25CBC"/>
    <w:rsid w:val="00E25CC1"/>
    <w:rsid w:val="00E25EAB"/>
    <w:rsid w:val="00E25F54"/>
    <w:rsid w:val="00E262F3"/>
    <w:rsid w:val="00E263B1"/>
    <w:rsid w:val="00E2645F"/>
    <w:rsid w:val="00E2662B"/>
    <w:rsid w:val="00E266CB"/>
    <w:rsid w:val="00E26769"/>
    <w:rsid w:val="00E267E4"/>
    <w:rsid w:val="00E26919"/>
    <w:rsid w:val="00E26941"/>
    <w:rsid w:val="00E26A46"/>
    <w:rsid w:val="00E26A47"/>
    <w:rsid w:val="00E26AB5"/>
    <w:rsid w:val="00E26B16"/>
    <w:rsid w:val="00E26B1C"/>
    <w:rsid w:val="00E26BA2"/>
    <w:rsid w:val="00E26BE7"/>
    <w:rsid w:val="00E26BFB"/>
    <w:rsid w:val="00E26C78"/>
    <w:rsid w:val="00E26EE9"/>
    <w:rsid w:val="00E271C7"/>
    <w:rsid w:val="00E271FC"/>
    <w:rsid w:val="00E27202"/>
    <w:rsid w:val="00E2723E"/>
    <w:rsid w:val="00E2727C"/>
    <w:rsid w:val="00E273E8"/>
    <w:rsid w:val="00E27440"/>
    <w:rsid w:val="00E2744A"/>
    <w:rsid w:val="00E27694"/>
    <w:rsid w:val="00E276B4"/>
    <w:rsid w:val="00E277C4"/>
    <w:rsid w:val="00E27929"/>
    <w:rsid w:val="00E27B23"/>
    <w:rsid w:val="00E27B49"/>
    <w:rsid w:val="00E27C77"/>
    <w:rsid w:val="00E27D5C"/>
    <w:rsid w:val="00E27D84"/>
    <w:rsid w:val="00E27D9B"/>
    <w:rsid w:val="00E27E8D"/>
    <w:rsid w:val="00E27FC4"/>
    <w:rsid w:val="00E300B1"/>
    <w:rsid w:val="00E300D0"/>
    <w:rsid w:val="00E30134"/>
    <w:rsid w:val="00E30173"/>
    <w:rsid w:val="00E301D5"/>
    <w:rsid w:val="00E302E6"/>
    <w:rsid w:val="00E304E6"/>
    <w:rsid w:val="00E304FA"/>
    <w:rsid w:val="00E3065B"/>
    <w:rsid w:val="00E306F5"/>
    <w:rsid w:val="00E30703"/>
    <w:rsid w:val="00E3070F"/>
    <w:rsid w:val="00E3074A"/>
    <w:rsid w:val="00E30A16"/>
    <w:rsid w:val="00E30A67"/>
    <w:rsid w:val="00E30A90"/>
    <w:rsid w:val="00E30C0B"/>
    <w:rsid w:val="00E30C22"/>
    <w:rsid w:val="00E30C3C"/>
    <w:rsid w:val="00E30D71"/>
    <w:rsid w:val="00E31066"/>
    <w:rsid w:val="00E3131A"/>
    <w:rsid w:val="00E313AE"/>
    <w:rsid w:val="00E3150B"/>
    <w:rsid w:val="00E3150D"/>
    <w:rsid w:val="00E3164F"/>
    <w:rsid w:val="00E3184D"/>
    <w:rsid w:val="00E3189A"/>
    <w:rsid w:val="00E31AEA"/>
    <w:rsid w:val="00E31CDC"/>
    <w:rsid w:val="00E31D2E"/>
    <w:rsid w:val="00E31E6D"/>
    <w:rsid w:val="00E31FCA"/>
    <w:rsid w:val="00E3201B"/>
    <w:rsid w:val="00E32068"/>
    <w:rsid w:val="00E320AF"/>
    <w:rsid w:val="00E321D4"/>
    <w:rsid w:val="00E3231E"/>
    <w:rsid w:val="00E3242F"/>
    <w:rsid w:val="00E32466"/>
    <w:rsid w:val="00E324B4"/>
    <w:rsid w:val="00E324CE"/>
    <w:rsid w:val="00E326B3"/>
    <w:rsid w:val="00E3275C"/>
    <w:rsid w:val="00E32810"/>
    <w:rsid w:val="00E32D1D"/>
    <w:rsid w:val="00E32DD0"/>
    <w:rsid w:val="00E32E41"/>
    <w:rsid w:val="00E32ED0"/>
    <w:rsid w:val="00E32ED1"/>
    <w:rsid w:val="00E32FFA"/>
    <w:rsid w:val="00E33196"/>
    <w:rsid w:val="00E331DA"/>
    <w:rsid w:val="00E33239"/>
    <w:rsid w:val="00E33419"/>
    <w:rsid w:val="00E3347D"/>
    <w:rsid w:val="00E3368F"/>
    <w:rsid w:val="00E336BB"/>
    <w:rsid w:val="00E3376D"/>
    <w:rsid w:val="00E339CA"/>
    <w:rsid w:val="00E33A2D"/>
    <w:rsid w:val="00E33A37"/>
    <w:rsid w:val="00E33A9F"/>
    <w:rsid w:val="00E33AD8"/>
    <w:rsid w:val="00E33BD9"/>
    <w:rsid w:val="00E33D17"/>
    <w:rsid w:val="00E33D1B"/>
    <w:rsid w:val="00E33D7B"/>
    <w:rsid w:val="00E33E0B"/>
    <w:rsid w:val="00E33ECE"/>
    <w:rsid w:val="00E33EDB"/>
    <w:rsid w:val="00E34009"/>
    <w:rsid w:val="00E3401D"/>
    <w:rsid w:val="00E34123"/>
    <w:rsid w:val="00E3419B"/>
    <w:rsid w:val="00E34209"/>
    <w:rsid w:val="00E3431A"/>
    <w:rsid w:val="00E3442D"/>
    <w:rsid w:val="00E34453"/>
    <w:rsid w:val="00E344CF"/>
    <w:rsid w:val="00E345D1"/>
    <w:rsid w:val="00E3486D"/>
    <w:rsid w:val="00E3498F"/>
    <w:rsid w:val="00E34A1A"/>
    <w:rsid w:val="00E34BB8"/>
    <w:rsid w:val="00E34DCA"/>
    <w:rsid w:val="00E35001"/>
    <w:rsid w:val="00E354FE"/>
    <w:rsid w:val="00E3551F"/>
    <w:rsid w:val="00E35594"/>
    <w:rsid w:val="00E356C9"/>
    <w:rsid w:val="00E3578A"/>
    <w:rsid w:val="00E3578B"/>
    <w:rsid w:val="00E3582A"/>
    <w:rsid w:val="00E35A5B"/>
    <w:rsid w:val="00E35B72"/>
    <w:rsid w:val="00E35C4F"/>
    <w:rsid w:val="00E35D1C"/>
    <w:rsid w:val="00E35D48"/>
    <w:rsid w:val="00E35DA2"/>
    <w:rsid w:val="00E35E5B"/>
    <w:rsid w:val="00E35E65"/>
    <w:rsid w:val="00E35ED2"/>
    <w:rsid w:val="00E361DA"/>
    <w:rsid w:val="00E36241"/>
    <w:rsid w:val="00E3637B"/>
    <w:rsid w:val="00E36436"/>
    <w:rsid w:val="00E36464"/>
    <w:rsid w:val="00E364BA"/>
    <w:rsid w:val="00E36860"/>
    <w:rsid w:val="00E368D1"/>
    <w:rsid w:val="00E3697E"/>
    <w:rsid w:val="00E36B14"/>
    <w:rsid w:val="00E36B92"/>
    <w:rsid w:val="00E36BC6"/>
    <w:rsid w:val="00E36C74"/>
    <w:rsid w:val="00E36E6C"/>
    <w:rsid w:val="00E3719D"/>
    <w:rsid w:val="00E37610"/>
    <w:rsid w:val="00E3776F"/>
    <w:rsid w:val="00E37B9F"/>
    <w:rsid w:val="00E37BF6"/>
    <w:rsid w:val="00E40054"/>
    <w:rsid w:val="00E40186"/>
    <w:rsid w:val="00E4019B"/>
    <w:rsid w:val="00E4020F"/>
    <w:rsid w:val="00E404BB"/>
    <w:rsid w:val="00E40606"/>
    <w:rsid w:val="00E4078F"/>
    <w:rsid w:val="00E40860"/>
    <w:rsid w:val="00E4093D"/>
    <w:rsid w:val="00E40AB9"/>
    <w:rsid w:val="00E40B6A"/>
    <w:rsid w:val="00E40D37"/>
    <w:rsid w:val="00E40DFA"/>
    <w:rsid w:val="00E40E1B"/>
    <w:rsid w:val="00E40EDE"/>
    <w:rsid w:val="00E41063"/>
    <w:rsid w:val="00E41114"/>
    <w:rsid w:val="00E411E4"/>
    <w:rsid w:val="00E41268"/>
    <w:rsid w:val="00E4149F"/>
    <w:rsid w:val="00E4156B"/>
    <w:rsid w:val="00E4163E"/>
    <w:rsid w:val="00E41725"/>
    <w:rsid w:val="00E417F3"/>
    <w:rsid w:val="00E41852"/>
    <w:rsid w:val="00E4189B"/>
    <w:rsid w:val="00E419E4"/>
    <w:rsid w:val="00E41A02"/>
    <w:rsid w:val="00E41B3F"/>
    <w:rsid w:val="00E41BB3"/>
    <w:rsid w:val="00E41C7E"/>
    <w:rsid w:val="00E422B1"/>
    <w:rsid w:val="00E42385"/>
    <w:rsid w:val="00E42463"/>
    <w:rsid w:val="00E425DF"/>
    <w:rsid w:val="00E4263F"/>
    <w:rsid w:val="00E4277E"/>
    <w:rsid w:val="00E42822"/>
    <w:rsid w:val="00E42873"/>
    <w:rsid w:val="00E42915"/>
    <w:rsid w:val="00E42977"/>
    <w:rsid w:val="00E429FE"/>
    <w:rsid w:val="00E429FF"/>
    <w:rsid w:val="00E42A7D"/>
    <w:rsid w:val="00E42B52"/>
    <w:rsid w:val="00E42BD8"/>
    <w:rsid w:val="00E42D26"/>
    <w:rsid w:val="00E42E16"/>
    <w:rsid w:val="00E43035"/>
    <w:rsid w:val="00E43051"/>
    <w:rsid w:val="00E43085"/>
    <w:rsid w:val="00E43282"/>
    <w:rsid w:val="00E432C9"/>
    <w:rsid w:val="00E432CB"/>
    <w:rsid w:val="00E435AD"/>
    <w:rsid w:val="00E4371C"/>
    <w:rsid w:val="00E43905"/>
    <w:rsid w:val="00E4395A"/>
    <w:rsid w:val="00E43974"/>
    <w:rsid w:val="00E43C49"/>
    <w:rsid w:val="00E43C90"/>
    <w:rsid w:val="00E43CBF"/>
    <w:rsid w:val="00E43D56"/>
    <w:rsid w:val="00E43E0F"/>
    <w:rsid w:val="00E43E12"/>
    <w:rsid w:val="00E43E44"/>
    <w:rsid w:val="00E43EDE"/>
    <w:rsid w:val="00E43F5F"/>
    <w:rsid w:val="00E43F6C"/>
    <w:rsid w:val="00E44068"/>
    <w:rsid w:val="00E440DC"/>
    <w:rsid w:val="00E440F0"/>
    <w:rsid w:val="00E441C4"/>
    <w:rsid w:val="00E441D4"/>
    <w:rsid w:val="00E44448"/>
    <w:rsid w:val="00E44591"/>
    <w:rsid w:val="00E44662"/>
    <w:rsid w:val="00E446D4"/>
    <w:rsid w:val="00E447A1"/>
    <w:rsid w:val="00E44844"/>
    <w:rsid w:val="00E449FF"/>
    <w:rsid w:val="00E44B6C"/>
    <w:rsid w:val="00E44C6C"/>
    <w:rsid w:val="00E44DF5"/>
    <w:rsid w:val="00E45049"/>
    <w:rsid w:val="00E45152"/>
    <w:rsid w:val="00E453DB"/>
    <w:rsid w:val="00E45440"/>
    <w:rsid w:val="00E45485"/>
    <w:rsid w:val="00E454E3"/>
    <w:rsid w:val="00E454F0"/>
    <w:rsid w:val="00E45551"/>
    <w:rsid w:val="00E455A7"/>
    <w:rsid w:val="00E45920"/>
    <w:rsid w:val="00E45946"/>
    <w:rsid w:val="00E45B31"/>
    <w:rsid w:val="00E45C10"/>
    <w:rsid w:val="00E45C45"/>
    <w:rsid w:val="00E45C92"/>
    <w:rsid w:val="00E45ED2"/>
    <w:rsid w:val="00E45F76"/>
    <w:rsid w:val="00E46211"/>
    <w:rsid w:val="00E462B2"/>
    <w:rsid w:val="00E4630B"/>
    <w:rsid w:val="00E4642C"/>
    <w:rsid w:val="00E465F0"/>
    <w:rsid w:val="00E4662D"/>
    <w:rsid w:val="00E467E2"/>
    <w:rsid w:val="00E4684E"/>
    <w:rsid w:val="00E46871"/>
    <w:rsid w:val="00E46A48"/>
    <w:rsid w:val="00E46A78"/>
    <w:rsid w:val="00E46B1B"/>
    <w:rsid w:val="00E46B4F"/>
    <w:rsid w:val="00E46B99"/>
    <w:rsid w:val="00E46C8F"/>
    <w:rsid w:val="00E46DBE"/>
    <w:rsid w:val="00E471DA"/>
    <w:rsid w:val="00E472A0"/>
    <w:rsid w:val="00E47526"/>
    <w:rsid w:val="00E475C1"/>
    <w:rsid w:val="00E475E1"/>
    <w:rsid w:val="00E4776B"/>
    <w:rsid w:val="00E478EE"/>
    <w:rsid w:val="00E4794B"/>
    <w:rsid w:val="00E4798E"/>
    <w:rsid w:val="00E47B44"/>
    <w:rsid w:val="00E47CD6"/>
    <w:rsid w:val="00E47D70"/>
    <w:rsid w:val="00E47F21"/>
    <w:rsid w:val="00E5005A"/>
    <w:rsid w:val="00E5010D"/>
    <w:rsid w:val="00E502DB"/>
    <w:rsid w:val="00E50345"/>
    <w:rsid w:val="00E504AE"/>
    <w:rsid w:val="00E504BC"/>
    <w:rsid w:val="00E507C2"/>
    <w:rsid w:val="00E507E5"/>
    <w:rsid w:val="00E50805"/>
    <w:rsid w:val="00E50856"/>
    <w:rsid w:val="00E5088A"/>
    <w:rsid w:val="00E50AAE"/>
    <w:rsid w:val="00E50C1F"/>
    <w:rsid w:val="00E50DCC"/>
    <w:rsid w:val="00E50E41"/>
    <w:rsid w:val="00E510ED"/>
    <w:rsid w:val="00E51400"/>
    <w:rsid w:val="00E51428"/>
    <w:rsid w:val="00E5150E"/>
    <w:rsid w:val="00E51622"/>
    <w:rsid w:val="00E51623"/>
    <w:rsid w:val="00E5179F"/>
    <w:rsid w:val="00E51848"/>
    <w:rsid w:val="00E5198E"/>
    <w:rsid w:val="00E51A8C"/>
    <w:rsid w:val="00E51AA2"/>
    <w:rsid w:val="00E51B22"/>
    <w:rsid w:val="00E51B56"/>
    <w:rsid w:val="00E51B71"/>
    <w:rsid w:val="00E51BF4"/>
    <w:rsid w:val="00E51C00"/>
    <w:rsid w:val="00E51D3B"/>
    <w:rsid w:val="00E51DF3"/>
    <w:rsid w:val="00E521BE"/>
    <w:rsid w:val="00E52462"/>
    <w:rsid w:val="00E52508"/>
    <w:rsid w:val="00E52566"/>
    <w:rsid w:val="00E5259E"/>
    <w:rsid w:val="00E5277A"/>
    <w:rsid w:val="00E527DA"/>
    <w:rsid w:val="00E52914"/>
    <w:rsid w:val="00E52956"/>
    <w:rsid w:val="00E5299C"/>
    <w:rsid w:val="00E52CF8"/>
    <w:rsid w:val="00E52E8A"/>
    <w:rsid w:val="00E52F7A"/>
    <w:rsid w:val="00E530DB"/>
    <w:rsid w:val="00E53174"/>
    <w:rsid w:val="00E531CA"/>
    <w:rsid w:val="00E5324A"/>
    <w:rsid w:val="00E53361"/>
    <w:rsid w:val="00E5340A"/>
    <w:rsid w:val="00E5346B"/>
    <w:rsid w:val="00E53545"/>
    <w:rsid w:val="00E53595"/>
    <w:rsid w:val="00E536D0"/>
    <w:rsid w:val="00E53749"/>
    <w:rsid w:val="00E53821"/>
    <w:rsid w:val="00E53914"/>
    <w:rsid w:val="00E53993"/>
    <w:rsid w:val="00E53B5C"/>
    <w:rsid w:val="00E53BDE"/>
    <w:rsid w:val="00E53E7C"/>
    <w:rsid w:val="00E5402C"/>
    <w:rsid w:val="00E5416E"/>
    <w:rsid w:val="00E5429A"/>
    <w:rsid w:val="00E5434A"/>
    <w:rsid w:val="00E54359"/>
    <w:rsid w:val="00E543C6"/>
    <w:rsid w:val="00E54725"/>
    <w:rsid w:val="00E54781"/>
    <w:rsid w:val="00E54857"/>
    <w:rsid w:val="00E548DE"/>
    <w:rsid w:val="00E548F2"/>
    <w:rsid w:val="00E54A94"/>
    <w:rsid w:val="00E54B3B"/>
    <w:rsid w:val="00E54BFF"/>
    <w:rsid w:val="00E54CAA"/>
    <w:rsid w:val="00E54D2C"/>
    <w:rsid w:val="00E54E25"/>
    <w:rsid w:val="00E55011"/>
    <w:rsid w:val="00E5506A"/>
    <w:rsid w:val="00E55123"/>
    <w:rsid w:val="00E551F9"/>
    <w:rsid w:val="00E55224"/>
    <w:rsid w:val="00E553AB"/>
    <w:rsid w:val="00E55486"/>
    <w:rsid w:val="00E555C6"/>
    <w:rsid w:val="00E5563C"/>
    <w:rsid w:val="00E55675"/>
    <w:rsid w:val="00E5568A"/>
    <w:rsid w:val="00E55760"/>
    <w:rsid w:val="00E55B03"/>
    <w:rsid w:val="00E55B10"/>
    <w:rsid w:val="00E55BD7"/>
    <w:rsid w:val="00E55C1C"/>
    <w:rsid w:val="00E55CE1"/>
    <w:rsid w:val="00E560A0"/>
    <w:rsid w:val="00E560A7"/>
    <w:rsid w:val="00E560C4"/>
    <w:rsid w:val="00E562E7"/>
    <w:rsid w:val="00E5631B"/>
    <w:rsid w:val="00E563EA"/>
    <w:rsid w:val="00E56540"/>
    <w:rsid w:val="00E56657"/>
    <w:rsid w:val="00E567E9"/>
    <w:rsid w:val="00E568AC"/>
    <w:rsid w:val="00E568D9"/>
    <w:rsid w:val="00E56963"/>
    <w:rsid w:val="00E56A72"/>
    <w:rsid w:val="00E56AE7"/>
    <w:rsid w:val="00E56B9E"/>
    <w:rsid w:val="00E56BF7"/>
    <w:rsid w:val="00E56C47"/>
    <w:rsid w:val="00E56CE2"/>
    <w:rsid w:val="00E56D4A"/>
    <w:rsid w:val="00E56E63"/>
    <w:rsid w:val="00E56EB1"/>
    <w:rsid w:val="00E56ED8"/>
    <w:rsid w:val="00E56EE5"/>
    <w:rsid w:val="00E56F83"/>
    <w:rsid w:val="00E57178"/>
    <w:rsid w:val="00E57544"/>
    <w:rsid w:val="00E575A6"/>
    <w:rsid w:val="00E5765C"/>
    <w:rsid w:val="00E57748"/>
    <w:rsid w:val="00E57812"/>
    <w:rsid w:val="00E5797E"/>
    <w:rsid w:val="00E57A3B"/>
    <w:rsid w:val="00E57AF2"/>
    <w:rsid w:val="00E57C0E"/>
    <w:rsid w:val="00E57CF6"/>
    <w:rsid w:val="00E57D34"/>
    <w:rsid w:val="00E57DD9"/>
    <w:rsid w:val="00E57DEE"/>
    <w:rsid w:val="00E57EF3"/>
    <w:rsid w:val="00E57EF4"/>
    <w:rsid w:val="00E57FA3"/>
    <w:rsid w:val="00E57FA8"/>
    <w:rsid w:val="00E6006D"/>
    <w:rsid w:val="00E60080"/>
    <w:rsid w:val="00E600E0"/>
    <w:rsid w:val="00E600FC"/>
    <w:rsid w:val="00E60163"/>
    <w:rsid w:val="00E60298"/>
    <w:rsid w:val="00E603A4"/>
    <w:rsid w:val="00E60626"/>
    <w:rsid w:val="00E606AF"/>
    <w:rsid w:val="00E60752"/>
    <w:rsid w:val="00E609F6"/>
    <w:rsid w:val="00E60A21"/>
    <w:rsid w:val="00E60A26"/>
    <w:rsid w:val="00E60AAB"/>
    <w:rsid w:val="00E60C5E"/>
    <w:rsid w:val="00E60DAD"/>
    <w:rsid w:val="00E60F20"/>
    <w:rsid w:val="00E60F65"/>
    <w:rsid w:val="00E60F71"/>
    <w:rsid w:val="00E60F7B"/>
    <w:rsid w:val="00E60FFE"/>
    <w:rsid w:val="00E61019"/>
    <w:rsid w:val="00E611C8"/>
    <w:rsid w:val="00E6122F"/>
    <w:rsid w:val="00E61318"/>
    <w:rsid w:val="00E61378"/>
    <w:rsid w:val="00E61930"/>
    <w:rsid w:val="00E61A28"/>
    <w:rsid w:val="00E61A34"/>
    <w:rsid w:val="00E61ABE"/>
    <w:rsid w:val="00E61B14"/>
    <w:rsid w:val="00E61B33"/>
    <w:rsid w:val="00E61C01"/>
    <w:rsid w:val="00E61C75"/>
    <w:rsid w:val="00E61C8B"/>
    <w:rsid w:val="00E61DEE"/>
    <w:rsid w:val="00E61F99"/>
    <w:rsid w:val="00E622B3"/>
    <w:rsid w:val="00E62388"/>
    <w:rsid w:val="00E6244A"/>
    <w:rsid w:val="00E624E5"/>
    <w:rsid w:val="00E62525"/>
    <w:rsid w:val="00E62567"/>
    <w:rsid w:val="00E625D2"/>
    <w:rsid w:val="00E6267A"/>
    <w:rsid w:val="00E6269B"/>
    <w:rsid w:val="00E626DD"/>
    <w:rsid w:val="00E62875"/>
    <w:rsid w:val="00E628EF"/>
    <w:rsid w:val="00E62A4A"/>
    <w:rsid w:val="00E62C45"/>
    <w:rsid w:val="00E62CA7"/>
    <w:rsid w:val="00E62CCC"/>
    <w:rsid w:val="00E62F0A"/>
    <w:rsid w:val="00E62F61"/>
    <w:rsid w:val="00E6304A"/>
    <w:rsid w:val="00E631FF"/>
    <w:rsid w:val="00E63381"/>
    <w:rsid w:val="00E6378C"/>
    <w:rsid w:val="00E63917"/>
    <w:rsid w:val="00E63AD1"/>
    <w:rsid w:val="00E63B0D"/>
    <w:rsid w:val="00E63B22"/>
    <w:rsid w:val="00E63B61"/>
    <w:rsid w:val="00E63CD1"/>
    <w:rsid w:val="00E63D62"/>
    <w:rsid w:val="00E63F0E"/>
    <w:rsid w:val="00E63FDC"/>
    <w:rsid w:val="00E640CD"/>
    <w:rsid w:val="00E640E3"/>
    <w:rsid w:val="00E64140"/>
    <w:rsid w:val="00E641F1"/>
    <w:rsid w:val="00E64224"/>
    <w:rsid w:val="00E6422F"/>
    <w:rsid w:val="00E6430D"/>
    <w:rsid w:val="00E644E0"/>
    <w:rsid w:val="00E6454E"/>
    <w:rsid w:val="00E6456D"/>
    <w:rsid w:val="00E64575"/>
    <w:rsid w:val="00E6461F"/>
    <w:rsid w:val="00E64691"/>
    <w:rsid w:val="00E6494F"/>
    <w:rsid w:val="00E64A05"/>
    <w:rsid w:val="00E64A6D"/>
    <w:rsid w:val="00E64EF9"/>
    <w:rsid w:val="00E652D7"/>
    <w:rsid w:val="00E653FC"/>
    <w:rsid w:val="00E655F7"/>
    <w:rsid w:val="00E6578C"/>
    <w:rsid w:val="00E65A84"/>
    <w:rsid w:val="00E65AAD"/>
    <w:rsid w:val="00E65B47"/>
    <w:rsid w:val="00E65BEC"/>
    <w:rsid w:val="00E65D3D"/>
    <w:rsid w:val="00E65D7E"/>
    <w:rsid w:val="00E65DF2"/>
    <w:rsid w:val="00E65F91"/>
    <w:rsid w:val="00E65FC5"/>
    <w:rsid w:val="00E65FE4"/>
    <w:rsid w:val="00E65FFA"/>
    <w:rsid w:val="00E6615F"/>
    <w:rsid w:val="00E66198"/>
    <w:rsid w:val="00E6620E"/>
    <w:rsid w:val="00E663B4"/>
    <w:rsid w:val="00E6643E"/>
    <w:rsid w:val="00E66476"/>
    <w:rsid w:val="00E66513"/>
    <w:rsid w:val="00E66729"/>
    <w:rsid w:val="00E667C8"/>
    <w:rsid w:val="00E668F3"/>
    <w:rsid w:val="00E66930"/>
    <w:rsid w:val="00E66C5C"/>
    <w:rsid w:val="00E66C74"/>
    <w:rsid w:val="00E66EBD"/>
    <w:rsid w:val="00E66FFF"/>
    <w:rsid w:val="00E6708E"/>
    <w:rsid w:val="00E670FC"/>
    <w:rsid w:val="00E671D5"/>
    <w:rsid w:val="00E67200"/>
    <w:rsid w:val="00E674E9"/>
    <w:rsid w:val="00E675DF"/>
    <w:rsid w:val="00E6765E"/>
    <w:rsid w:val="00E676E7"/>
    <w:rsid w:val="00E67722"/>
    <w:rsid w:val="00E67792"/>
    <w:rsid w:val="00E67838"/>
    <w:rsid w:val="00E6791C"/>
    <w:rsid w:val="00E67A0B"/>
    <w:rsid w:val="00E67A66"/>
    <w:rsid w:val="00E67CA2"/>
    <w:rsid w:val="00E67EDD"/>
    <w:rsid w:val="00E6A52F"/>
    <w:rsid w:val="00E70280"/>
    <w:rsid w:val="00E7029F"/>
    <w:rsid w:val="00E702C9"/>
    <w:rsid w:val="00E70A24"/>
    <w:rsid w:val="00E70A75"/>
    <w:rsid w:val="00E70B57"/>
    <w:rsid w:val="00E70B95"/>
    <w:rsid w:val="00E70D02"/>
    <w:rsid w:val="00E70D08"/>
    <w:rsid w:val="00E70E06"/>
    <w:rsid w:val="00E70E57"/>
    <w:rsid w:val="00E70EF8"/>
    <w:rsid w:val="00E70EF9"/>
    <w:rsid w:val="00E70F7E"/>
    <w:rsid w:val="00E71131"/>
    <w:rsid w:val="00E711B5"/>
    <w:rsid w:val="00E71225"/>
    <w:rsid w:val="00E71302"/>
    <w:rsid w:val="00E71566"/>
    <w:rsid w:val="00E715A3"/>
    <w:rsid w:val="00E7171D"/>
    <w:rsid w:val="00E7193B"/>
    <w:rsid w:val="00E71956"/>
    <w:rsid w:val="00E71AD6"/>
    <w:rsid w:val="00E71B05"/>
    <w:rsid w:val="00E71CC1"/>
    <w:rsid w:val="00E71CF5"/>
    <w:rsid w:val="00E71D36"/>
    <w:rsid w:val="00E71D5E"/>
    <w:rsid w:val="00E71D62"/>
    <w:rsid w:val="00E71F2D"/>
    <w:rsid w:val="00E71FE2"/>
    <w:rsid w:val="00E72024"/>
    <w:rsid w:val="00E7208D"/>
    <w:rsid w:val="00E72111"/>
    <w:rsid w:val="00E7221E"/>
    <w:rsid w:val="00E722FF"/>
    <w:rsid w:val="00E723B4"/>
    <w:rsid w:val="00E723F1"/>
    <w:rsid w:val="00E72570"/>
    <w:rsid w:val="00E7283F"/>
    <w:rsid w:val="00E72B17"/>
    <w:rsid w:val="00E72CC9"/>
    <w:rsid w:val="00E72CCD"/>
    <w:rsid w:val="00E72D12"/>
    <w:rsid w:val="00E72D5F"/>
    <w:rsid w:val="00E72EAA"/>
    <w:rsid w:val="00E72FA0"/>
    <w:rsid w:val="00E72FC6"/>
    <w:rsid w:val="00E73031"/>
    <w:rsid w:val="00E73302"/>
    <w:rsid w:val="00E7342D"/>
    <w:rsid w:val="00E734B0"/>
    <w:rsid w:val="00E73504"/>
    <w:rsid w:val="00E73561"/>
    <w:rsid w:val="00E737C9"/>
    <w:rsid w:val="00E73802"/>
    <w:rsid w:val="00E738FC"/>
    <w:rsid w:val="00E73A40"/>
    <w:rsid w:val="00E73AEB"/>
    <w:rsid w:val="00E73BF8"/>
    <w:rsid w:val="00E73D0B"/>
    <w:rsid w:val="00E73E25"/>
    <w:rsid w:val="00E73FA9"/>
    <w:rsid w:val="00E74023"/>
    <w:rsid w:val="00E7406F"/>
    <w:rsid w:val="00E740A6"/>
    <w:rsid w:val="00E741F5"/>
    <w:rsid w:val="00E7422C"/>
    <w:rsid w:val="00E742BB"/>
    <w:rsid w:val="00E743B1"/>
    <w:rsid w:val="00E74535"/>
    <w:rsid w:val="00E7468B"/>
    <w:rsid w:val="00E746A2"/>
    <w:rsid w:val="00E74716"/>
    <w:rsid w:val="00E74766"/>
    <w:rsid w:val="00E74779"/>
    <w:rsid w:val="00E7477E"/>
    <w:rsid w:val="00E747B7"/>
    <w:rsid w:val="00E748C7"/>
    <w:rsid w:val="00E748E6"/>
    <w:rsid w:val="00E74B78"/>
    <w:rsid w:val="00E74B8C"/>
    <w:rsid w:val="00E74D6C"/>
    <w:rsid w:val="00E74F05"/>
    <w:rsid w:val="00E74F57"/>
    <w:rsid w:val="00E754C4"/>
    <w:rsid w:val="00E75640"/>
    <w:rsid w:val="00E75880"/>
    <w:rsid w:val="00E7596A"/>
    <w:rsid w:val="00E759E4"/>
    <w:rsid w:val="00E75A94"/>
    <w:rsid w:val="00E75AC3"/>
    <w:rsid w:val="00E75B5C"/>
    <w:rsid w:val="00E75D30"/>
    <w:rsid w:val="00E75DC8"/>
    <w:rsid w:val="00E75F2D"/>
    <w:rsid w:val="00E75FAB"/>
    <w:rsid w:val="00E7608E"/>
    <w:rsid w:val="00E7612A"/>
    <w:rsid w:val="00E761E2"/>
    <w:rsid w:val="00E762F4"/>
    <w:rsid w:val="00E76367"/>
    <w:rsid w:val="00E763DC"/>
    <w:rsid w:val="00E764CC"/>
    <w:rsid w:val="00E765AC"/>
    <w:rsid w:val="00E7665C"/>
    <w:rsid w:val="00E76801"/>
    <w:rsid w:val="00E76A9C"/>
    <w:rsid w:val="00E76C24"/>
    <w:rsid w:val="00E76D4D"/>
    <w:rsid w:val="00E76F1D"/>
    <w:rsid w:val="00E76F78"/>
    <w:rsid w:val="00E77120"/>
    <w:rsid w:val="00E77549"/>
    <w:rsid w:val="00E77559"/>
    <w:rsid w:val="00E77895"/>
    <w:rsid w:val="00E778AC"/>
    <w:rsid w:val="00E779CE"/>
    <w:rsid w:val="00E77A8E"/>
    <w:rsid w:val="00E77AE5"/>
    <w:rsid w:val="00E77B28"/>
    <w:rsid w:val="00E77B6E"/>
    <w:rsid w:val="00E77DE3"/>
    <w:rsid w:val="00E77E09"/>
    <w:rsid w:val="00E77E52"/>
    <w:rsid w:val="00E77F04"/>
    <w:rsid w:val="00E80018"/>
    <w:rsid w:val="00E8009B"/>
    <w:rsid w:val="00E801D8"/>
    <w:rsid w:val="00E806AF"/>
    <w:rsid w:val="00E806B4"/>
    <w:rsid w:val="00E8084D"/>
    <w:rsid w:val="00E80989"/>
    <w:rsid w:val="00E809E1"/>
    <w:rsid w:val="00E80E5A"/>
    <w:rsid w:val="00E80F36"/>
    <w:rsid w:val="00E80F6A"/>
    <w:rsid w:val="00E81078"/>
    <w:rsid w:val="00E8107B"/>
    <w:rsid w:val="00E81300"/>
    <w:rsid w:val="00E8156B"/>
    <w:rsid w:val="00E8169E"/>
    <w:rsid w:val="00E81722"/>
    <w:rsid w:val="00E81865"/>
    <w:rsid w:val="00E8187B"/>
    <w:rsid w:val="00E81887"/>
    <w:rsid w:val="00E81A90"/>
    <w:rsid w:val="00E81B44"/>
    <w:rsid w:val="00E81BD8"/>
    <w:rsid w:val="00E81CBA"/>
    <w:rsid w:val="00E81CC5"/>
    <w:rsid w:val="00E81CCE"/>
    <w:rsid w:val="00E81E7E"/>
    <w:rsid w:val="00E8209E"/>
    <w:rsid w:val="00E821C8"/>
    <w:rsid w:val="00E82282"/>
    <w:rsid w:val="00E82633"/>
    <w:rsid w:val="00E826BF"/>
    <w:rsid w:val="00E82727"/>
    <w:rsid w:val="00E82861"/>
    <w:rsid w:val="00E82EC1"/>
    <w:rsid w:val="00E82F36"/>
    <w:rsid w:val="00E830AC"/>
    <w:rsid w:val="00E830FC"/>
    <w:rsid w:val="00E83136"/>
    <w:rsid w:val="00E83177"/>
    <w:rsid w:val="00E8322A"/>
    <w:rsid w:val="00E833D2"/>
    <w:rsid w:val="00E833FD"/>
    <w:rsid w:val="00E83493"/>
    <w:rsid w:val="00E8364B"/>
    <w:rsid w:val="00E837A9"/>
    <w:rsid w:val="00E837EE"/>
    <w:rsid w:val="00E8382F"/>
    <w:rsid w:val="00E83BA2"/>
    <w:rsid w:val="00E83BCC"/>
    <w:rsid w:val="00E83CCB"/>
    <w:rsid w:val="00E83F68"/>
    <w:rsid w:val="00E83FA7"/>
    <w:rsid w:val="00E8406D"/>
    <w:rsid w:val="00E84093"/>
    <w:rsid w:val="00E8415B"/>
    <w:rsid w:val="00E84253"/>
    <w:rsid w:val="00E84271"/>
    <w:rsid w:val="00E842F2"/>
    <w:rsid w:val="00E84429"/>
    <w:rsid w:val="00E8455F"/>
    <w:rsid w:val="00E8467F"/>
    <w:rsid w:val="00E84757"/>
    <w:rsid w:val="00E84866"/>
    <w:rsid w:val="00E848E6"/>
    <w:rsid w:val="00E84B89"/>
    <w:rsid w:val="00E84B9E"/>
    <w:rsid w:val="00E84BC3"/>
    <w:rsid w:val="00E84C1D"/>
    <w:rsid w:val="00E84CC5"/>
    <w:rsid w:val="00E84E65"/>
    <w:rsid w:val="00E84E86"/>
    <w:rsid w:val="00E84EB7"/>
    <w:rsid w:val="00E855CC"/>
    <w:rsid w:val="00E856B5"/>
    <w:rsid w:val="00E85770"/>
    <w:rsid w:val="00E85796"/>
    <w:rsid w:val="00E8582A"/>
    <w:rsid w:val="00E858E9"/>
    <w:rsid w:val="00E859DD"/>
    <w:rsid w:val="00E859F4"/>
    <w:rsid w:val="00E85CBB"/>
    <w:rsid w:val="00E85D28"/>
    <w:rsid w:val="00E85D3A"/>
    <w:rsid w:val="00E85DD4"/>
    <w:rsid w:val="00E85E17"/>
    <w:rsid w:val="00E85EBD"/>
    <w:rsid w:val="00E8612F"/>
    <w:rsid w:val="00E8614C"/>
    <w:rsid w:val="00E862DD"/>
    <w:rsid w:val="00E86349"/>
    <w:rsid w:val="00E863D4"/>
    <w:rsid w:val="00E864D5"/>
    <w:rsid w:val="00E86539"/>
    <w:rsid w:val="00E8667C"/>
    <w:rsid w:val="00E86681"/>
    <w:rsid w:val="00E866B3"/>
    <w:rsid w:val="00E86700"/>
    <w:rsid w:val="00E8670D"/>
    <w:rsid w:val="00E86864"/>
    <w:rsid w:val="00E86BE4"/>
    <w:rsid w:val="00E86D7C"/>
    <w:rsid w:val="00E86E70"/>
    <w:rsid w:val="00E86EA2"/>
    <w:rsid w:val="00E8710A"/>
    <w:rsid w:val="00E87482"/>
    <w:rsid w:val="00E8757E"/>
    <w:rsid w:val="00E87613"/>
    <w:rsid w:val="00E87622"/>
    <w:rsid w:val="00E8765C"/>
    <w:rsid w:val="00E876ED"/>
    <w:rsid w:val="00E8772D"/>
    <w:rsid w:val="00E87890"/>
    <w:rsid w:val="00E878C4"/>
    <w:rsid w:val="00E878F0"/>
    <w:rsid w:val="00E8791A"/>
    <w:rsid w:val="00E879CA"/>
    <w:rsid w:val="00E87AAE"/>
    <w:rsid w:val="00E87C86"/>
    <w:rsid w:val="00E87CD2"/>
    <w:rsid w:val="00E87D48"/>
    <w:rsid w:val="00E87DE0"/>
    <w:rsid w:val="00E87EB9"/>
    <w:rsid w:val="00E901E1"/>
    <w:rsid w:val="00E90291"/>
    <w:rsid w:val="00E90391"/>
    <w:rsid w:val="00E9050B"/>
    <w:rsid w:val="00E90673"/>
    <w:rsid w:val="00E90805"/>
    <w:rsid w:val="00E90850"/>
    <w:rsid w:val="00E908DD"/>
    <w:rsid w:val="00E90AD6"/>
    <w:rsid w:val="00E90C75"/>
    <w:rsid w:val="00E90C89"/>
    <w:rsid w:val="00E90D12"/>
    <w:rsid w:val="00E90DA7"/>
    <w:rsid w:val="00E90DB1"/>
    <w:rsid w:val="00E90EDF"/>
    <w:rsid w:val="00E90EEB"/>
    <w:rsid w:val="00E91002"/>
    <w:rsid w:val="00E91044"/>
    <w:rsid w:val="00E910BF"/>
    <w:rsid w:val="00E9125A"/>
    <w:rsid w:val="00E9130B"/>
    <w:rsid w:val="00E91326"/>
    <w:rsid w:val="00E91370"/>
    <w:rsid w:val="00E91484"/>
    <w:rsid w:val="00E914EB"/>
    <w:rsid w:val="00E915A1"/>
    <w:rsid w:val="00E915DA"/>
    <w:rsid w:val="00E91692"/>
    <w:rsid w:val="00E916EB"/>
    <w:rsid w:val="00E9171F"/>
    <w:rsid w:val="00E9177D"/>
    <w:rsid w:val="00E917DB"/>
    <w:rsid w:val="00E917E7"/>
    <w:rsid w:val="00E917FB"/>
    <w:rsid w:val="00E91888"/>
    <w:rsid w:val="00E91968"/>
    <w:rsid w:val="00E91BA3"/>
    <w:rsid w:val="00E91BD6"/>
    <w:rsid w:val="00E91C1C"/>
    <w:rsid w:val="00E91DBC"/>
    <w:rsid w:val="00E91E44"/>
    <w:rsid w:val="00E91F0A"/>
    <w:rsid w:val="00E91FA4"/>
    <w:rsid w:val="00E92097"/>
    <w:rsid w:val="00E92136"/>
    <w:rsid w:val="00E9226E"/>
    <w:rsid w:val="00E92391"/>
    <w:rsid w:val="00E92769"/>
    <w:rsid w:val="00E92786"/>
    <w:rsid w:val="00E9293E"/>
    <w:rsid w:val="00E9299E"/>
    <w:rsid w:val="00E92A42"/>
    <w:rsid w:val="00E92ADE"/>
    <w:rsid w:val="00E92E2F"/>
    <w:rsid w:val="00E92FE0"/>
    <w:rsid w:val="00E930AA"/>
    <w:rsid w:val="00E931EC"/>
    <w:rsid w:val="00E93307"/>
    <w:rsid w:val="00E93643"/>
    <w:rsid w:val="00E93712"/>
    <w:rsid w:val="00E93843"/>
    <w:rsid w:val="00E9389D"/>
    <w:rsid w:val="00E938E6"/>
    <w:rsid w:val="00E93977"/>
    <w:rsid w:val="00E939F6"/>
    <w:rsid w:val="00E93BA0"/>
    <w:rsid w:val="00E93CF2"/>
    <w:rsid w:val="00E93DFD"/>
    <w:rsid w:val="00E93E5F"/>
    <w:rsid w:val="00E94209"/>
    <w:rsid w:val="00E94329"/>
    <w:rsid w:val="00E94465"/>
    <w:rsid w:val="00E945B7"/>
    <w:rsid w:val="00E9468D"/>
    <w:rsid w:val="00E94815"/>
    <w:rsid w:val="00E94832"/>
    <w:rsid w:val="00E948BB"/>
    <w:rsid w:val="00E948C3"/>
    <w:rsid w:val="00E94ABB"/>
    <w:rsid w:val="00E94AD1"/>
    <w:rsid w:val="00E94C7A"/>
    <w:rsid w:val="00E94CAC"/>
    <w:rsid w:val="00E94D0C"/>
    <w:rsid w:val="00E94E67"/>
    <w:rsid w:val="00E94EB9"/>
    <w:rsid w:val="00E94F01"/>
    <w:rsid w:val="00E94F32"/>
    <w:rsid w:val="00E94F7C"/>
    <w:rsid w:val="00E94FE2"/>
    <w:rsid w:val="00E95021"/>
    <w:rsid w:val="00E9502D"/>
    <w:rsid w:val="00E95043"/>
    <w:rsid w:val="00E950A0"/>
    <w:rsid w:val="00E950F7"/>
    <w:rsid w:val="00E95132"/>
    <w:rsid w:val="00E95135"/>
    <w:rsid w:val="00E95152"/>
    <w:rsid w:val="00E95159"/>
    <w:rsid w:val="00E9520F"/>
    <w:rsid w:val="00E953D2"/>
    <w:rsid w:val="00E955B5"/>
    <w:rsid w:val="00E95616"/>
    <w:rsid w:val="00E958A1"/>
    <w:rsid w:val="00E95A04"/>
    <w:rsid w:val="00E95BD8"/>
    <w:rsid w:val="00E95E30"/>
    <w:rsid w:val="00E95E78"/>
    <w:rsid w:val="00E95E9A"/>
    <w:rsid w:val="00E95E9E"/>
    <w:rsid w:val="00E95F4A"/>
    <w:rsid w:val="00E95FC2"/>
    <w:rsid w:val="00E9602D"/>
    <w:rsid w:val="00E960CD"/>
    <w:rsid w:val="00E9618B"/>
    <w:rsid w:val="00E961A7"/>
    <w:rsid w:val="00E96247"/>
    <w:rsid w:val="00E9627F"/>
    <w:rsid w:val="00E962D9"/>
    <w:rsid w:val="00E9637D"/>
    <w:rsid w:val="00E963AF"/>
    <w:rsid w:val="00E96667"/>
    <w:rsid w:val="00E96702"/>
    <w:rsid w:val="00E9676F"/>
    <w:rsid w:val="00E96786"/>
    <w:rsid w:val="00E968DA"/>
    <w:rsid w:val="00E96A0D"/>
    <w:rsid w:val="00E96BC3"/>
    <w:rsid w:val="00E96E9F"/>
    <w:rsid w:val="00E97015"/>
    <w:rsid w:val="00E9717D"/>
    <w:rsid w:val="00E97289"/>
    <w:rsid w:val="00E97305"/>
    <w:rsid w:val="00E97358"/>
    <w:rsid w:val="00E973C1"/>
    <w:rsid w:val="00E97497"/>
    <w:rsid w:val="00E974A1"/>
    <w:rsid w:val="00E97520"/>
    <w:rsid w:val="00E97616"/>
    <w:rsid w:val="00E97664"/>
    <w:rsid w:val="00E97679"/>
    <w:rsid w:val="00E97729"/>
    <w:rsid w:val="00E97983"/>
    <w:rsid w:val="00E979CD"/>
    <w:rsid w:val="00E97A67"/>
    <w:rsid w:val="00E97ACD"/>
    <w:rsid w:val="00E97D12"/>
    <w:rsid w:val="00E97D72"/>
    <w:rsid w:val="00E97DDF"/>
    <w:rsid w:val="00E97E99"/>
    <w:rsid w:val="00EA02A4"/>
    <w:rsid w:val="00EA02BE"/>
    <w:rsid w:val="00EA02FD"/>
    <w:rsid w:val="00EA0309"/>
    <w:rsid w:val="00EA0695"/>
    <w:rsid w:val="00EA0803"/>
    <w:rsid w:val="00EA0AF1"/>
    <w:rsid w:val="00EA0C87"/>
    <w:rsid w:val="00EA0D0A"/>
    <w:rsid w:val="00EA0D24"/>
    <w:rsid w:val="00EA0E51"/>
    <w:rsid w:val="00EA0ED2"/>
    <w:rsid w:val="00EA0F2B"/>
    <w:rsid w:val="00EA0F72"/>
    <w:rsid w:val="00EA1101"/>
    <w:rsid w:val="00EA11C9"/>
    <w:rsid w:val="00EA13B9"/>
    <w:rsid w:val="00EA1502"/>
    <w:rsid w:val="00EA1528"/>
    <w:rsid w:val="00EA15A2"/>
    <w:rsid w:val="00EA1876"/>
    <w:rsid w:val="00EA1931"/>
    <w:rsid w:val="00EA1D6D"/>
    <w:rsid w:val="00EA2047"/>
    <w:rsid w:val="00EA2075"/>
    <w:rsid w:val="00EA20FD"/>
    <w:rsid w:val="00EA210C"/>
    <w:rsid w:val="00EA2174"/>
    <w:rsid w:val="00EA22AD"/>
    <w:rsid w:val="00EA23D6"/>
    <w:rsid w:val="00EA24CB"/>
    <w:rsid w:val="00EA26EE"/>
    <w:rsid w:val="00EA26F7"/>
    <w:rsid w:val="00EA281C"/>
    <w:rsid w:val="00EA2880"/>
    <w:rsid w:val="00EA2894"/>
    <w:rsid w:val="00EA2971"/>
    <w:rsid w:val="00EA2997"/>
    <w:rsid w:val="00EA2B90"/>
    <w:rsid w:val="00EA2BF9"/>
    <w:rsid w:val="00EA2CC7"/>
    <w:rsid w:val="00EA2D92"/>
    <w:rsid w:val="00EA2DBD"/>
    <w:rsid w:val="00EA2EFD"/>
    <w:rsid w:val="00EA2F04"/>
    <w:rsid w:val="00EA2F25"/>
    <w:rsid w:val="00EA302D"/>
    <w:rsid w:val="00EA3199"/>
    <w:rsid w:val="00EA31F4"/>
    <w:rsid w:val="00EA3291"/>
    <w:rsid w:val="00EA32D0"/>
    <w:rsid w:val="00EA332C"/>
    <w:rsid w:val="00EA350B"/>
    <w:rsid w:val="00EA36B6"/>
    <w:rsid w:val="00EA3828"/>
    <w:rsid w:val="00EA3855"/>
    <w:rsid w:val="00EA3A07"/>
    <w:rsid w:val="00EA3BDB"/>
    <w:rsid w:val="00EA3E5D"/>
    <w:rsid w:val="00EA3E8A"/>
    <w:rsid w:val="00EA3EF7"/>
    <w:rsid w:val="00EA3F23"/>
    <w:rsid w:val="00EA40F1"/>
    <w:rsid w:val="00EA4276"/>
    <w:rsid w:val="00EA44F3"/>
    <w:rsid w:val="00EA45BE"/>
    <w:rsid w:val="00EA45F9"/>
    <w:rsid w:val="00EA4958"/>
    <w:rsid w:val="00EA49FC"/>
    <w:rsid w:val="00EA49FF"/>
    <w:rsid w:val="00EA4B7E"/>
    <w:rsid w:val="00EA4C14"/>
    <w:rsid w:val="00EA4D84"/>
    <w:rsid w:val="00EA4E74"/>
    <w:rsid w:val="00EA4F24"/>
    <w:rsid w:val="00EA52EC"/>
    <w:rsid w:val="00EA53EE"/>
    <w:rsid w:val="00EA546E"/>
    <w:rsid w:val="00EA54E6"/>
    <w:rsid w:val="00EA5650"/>
    <w:rsid w:val="00EA56AE"/>
    <w:rsid w:val="00EA56E5"/>
    <w:rsid w:val="00EA573D"/>
    <w:rsid w:val="00EA57A4"/>
    <w:rsid w:val="00EA57DB"/>
    <w:rsid w:val="00EA57ED"/>
    <w:rsid w:val="00EA5823"/>
    <w:rsid w:val="00EA595C"/>
    <w:rsid w:val="00EA5A6B"/>
    <w:rsid w:val="00EA5BBF"/>
    <w:rsid w:val="00EA5C76"/>
    <w:rsid w:val="00EA5CBA"/>
    <w:rsid w:val="00EA5D77"/>
    <w:rsid w:val="00EA5EBA"/>
    <w:rsid w:val="00EA6037"/>
    <w:rsid w:val="00EA623F"/>
    <w:rsid w:val="00EA6288"/>
    <w:rsid w:val="00EA62E8"/>
    <w:rsid w:val="00EA632F"/>
    <w:rsid w:val="00EA63CF"/>
    <w:rsid w:val="00EA6460"/>
    <w:rsid w:val="00EA65AA"/>
    <w:rsid w:val="00EA65CB"/>
    <w:rsid w:val="00EA65EE"/>
    <w:rsid w:val="00EA66F6"/>
    <w:rsid w:val="00EA68BA"/>
    <w:rsid w:val="00EA696A"/>
    <w:rsid w:val="00EA6ADF"/>
    <w:rsid w:val="00EA6B88"/>
    <w:rsid w:val="00EA6C01"/>
    <w:rsid w:val="00EA6CDB"/>
    <w:rsid w:val="00EA6DB8"/>
    <w:rsid w:val="00EA6DD8"/>
    <w:rsid w:val="00EA6E32"/>
    <w:rsid w:val="00EA6E38"/>
    <w:rsid w:val="00EA703B"/>
    <w:rsid w:val="00EA70ED"/>
    <w:rsid w:val="00EA7162"/>
    <w:rsid w:val="00EA71AB"/>
    <w:rsid w:val="00EA7225"/>
    <w:rsid w:val="00EA72E4"/>
    <w:rsid w:val="00EA72ED"/>
    <w:rsid w:val="00EA76A3"/>
    <w:rsid w:val="00EA799D"/>
    <w:rsid w:val="00EA7ABB"/>
    <w:rsid w:val="00EA7C35"/>
    <w:rsid w:val="00EA7CEC"/>
    <w:rsid w:val="00EA7E2E"/>
    <w:rsid w:val="00EA7EC8"/>
    <w:rsid w:val="00EA7F29"/>
    <w:rsid w:val="00EA7FE0"/>
    <w:rsid w:val="00EB0128"/>
    <w:rsid w:val="00EB0255"/>
    <w:rsid w:val="00EB0271"/>
    <w:rsid w:val="00EB0377"/>
    <w:rsid w:val="00EB03A9"/>
    <w:rsid w:val="00EB041A"/>
    <w:rsid w:val="00EB0573"/>
    <w:rsid w:val="00EB0587"/>
    <w:rsid w:val="00EB0662"/>
    <w:rsid w:val="00EB074A"/>
    <w:rsid w:val="00EB07F8"/>
    <w:rsid w:val="00EB0859"/>
    <w:rsid w:val="00EB0958"/>
    <w:rsid w:val="00EB0B5F"/>
    <w:rsid w:val="00EB0C65"/>
    <w:rsid w:val="00EB0C79"/>
    <w:rsid w:val="00EB0D95"/>
    <w:rsid w:val="00EB0ED5"/>
    <w:rsid w:val="00EB0EFC"/>
    <w:rsid w:val="00EB1048"/>
    <w:rsid w:val="00EB1273"/>
    <w:rsid w:val="00EB16B4"/>
    <w:rsid w:val="00EB16BE"/>
    <w:rsid w:val="00EB17B0"/>
    <w:rsid w:val="00EB18AD"/>
    <w:rsid w:val="00EB1A5A"/>
    <w:rsid w:val="00EB1ACA"/>
    <w:rsid w:val="00EB1AE8"/>
    <w:rsid w:val="00EB1B38"/>
    <w:rsid w:val="00EB1BC0"/>
    <w:rsid w:val="00EB1C16"/>
    <w:rsid w:val="00EB1C40"/>
    <w:rsid w:val="00EB1CE9"/>
    <w:rsid w:val="00EB1CF8"/>
    <w:rsid w:val="00EB1F53"/>
    <w:rsid w:val="00EB2056"/>
    <w:rsid w:val="00EB20C4"/>
    <w:rsid w:val="00EB20E4"/>
    <w:rsid w:val="00EB214D"/>
    <w:rsid w:val="00EB2196"/>
    <w:rsid w:val="00EB25A9"/>
    <w:rsid w:val="00EB2768"/>
    <w:rsid w:val="00EB2895"/>
    <w:rsid w:val="00EB28DA"/>
    <w:rsid w:val="00EB2907"/>
    <w:rsid w:val="00EB2A47"/>
    <w:rsid w:val="00EB2AFE"/>
    <w:rsid w:val="00EB2B7D"/>
    <w:rsid w:val="00EB2CA3"/>
    <w:rsid w:val="00EB32D5"/>
    <w:rsid w:val="00EB33C0"/>
    <w:rsid w:val="00EB33EC"/>
    <w:rsid w:val="00EB357D"/>
    <w:rsid w:val="00EB38A7"/>
    <w:rsid w:val="00EB3A26"/>
    <w:rsid w:val="00EB3B57"/>
    <w:rsid w:val="00EB3BFC"/>
    <w:rsid w:val="00EB3C3C"/>
    <w:rsid w:val="00EB3DCB"/>
    <w:rsid w:val="00EB3DE1"/>
    <w:rsid w:val="00EB3E78"/>
    <w:rsid w:val="00EB3EB6"/>
    <w:rsid w:val="00EB41A3"/>
    <w:rsid w:val="00EB43C8"/>
    <w:rsid w:val="00EB43E3"/>
    <w:rsid w:val="00EB4537"/>
    <w:rsid w:val="00EB463C"/>
    <w:rsid w:val="00EB4788"/>
    <w:rsid w:val="00EB49A1"/>
    <w:rsid w:val="00EB4A32"/>
    <w:rsid w:val="00EB4A9E"/>
    <w:rsid w:val="00EB4AD9"/>
    <w:rsid w:val="00EB4B95"/>
    <w:rsid w:val="00EB4CC6"/>
    <w:rsid w:val="00EB4CE3"/>
    <w:rsid w:val="00EB4E31"/>
    <w:rsid w:val="00EB5008"/>
    <w:rsid w:val="00EB5118"/>
    <w:rsid w:val="00EB516F"/>
    <w:rsid w:val="00EB5193"/>
    <w:rsid w:val="00EB51EE"/>
    <w:rsid w:val="00EB5305"/>
    <w:rsid w:val="00EB536F"/>
    <w:rsid w:val="00EB5469"/>
    <w:rsid w:val="00EB5474"/>
    <w:rsid w:val="00EB58BB"/>
    <w:rsid w:val="00EB58C0"/>
    <w:rsid w:val="00EB5957"/>
    <w:rsid w:val="00EB5A35"/>
    <w:rsid w:val="00EB5A66"/>
    <w:rsid w:val="00EB5C30"/>
    <w:rsid w:val="00EB5C6E"/>
    <w:rsid w:val="00EB5D80"/>
    <w:rsid w:val="00EB5DDB"/>
    <w:rsid w:val="00EB5E47"/>
    <w:rsid w:val="00EB5F13"/>
    <w:rsid w:val="00EB5F18"/>
    <w:rsid w:val="00EB6067"/>
    <w:rsid w:val="00EB60DB"/>
    <w:rsid w:val="00EB6112"/>
    <w:rsid w:val="00EB6148"/>
    <w:rsid w:val="00EB6315"/>
    <w:rsid w:val="00EB6327"/>
    <w:rsid w:val="00EB63AC"/>
    <w:rsid w:val="00EB63B7"/>
    <w:rsid w:val="00EB63C9"/>
    <w:rsid w:val="00EB6415"/>
    <w:rsid w:val="00EB642F"/>
    <w:rsid w:val="00EB646B"/>
    <w:rsid w:val="00EB6780"/>
    <w:rsid w:val="00EB6902"/>
    <w:rsid w:val="00EB6949"/>
    <w:rsid w:val="00EB699E"/>
    <w:rsid w:val="00EB6C39"/>
    <w:rsid w:val="00EB6D4A"/>
    <w:rsid w:val="00EB6D70"/>
    <w:rsid w:val="00EB6D93"/>
    <w:rsid w:val="00EB6DF6"/>
    <w:rsid w:val="00EB6F79"/>
    <w:rsid w:val="00EB719B"/>
    <w:rsid w:val="00EB719C"/>
    <w:rsid w:val="00EB726F"/>
    <w:rsid w:val="00EB7321"/>
    <w:rsid w:val="00EB74A8"/>
    <w:rsid w:val="00EB750D"/>
    <w:rsid w:val="00EB75DE"/>
    <w:rsid w:val="00EB770F"/>
    <w:rsid w:val="00EB7AEF"/>
    <w:rsid w:val="00EB7BC3"/>
    <w:rsid w:val="00EB7BC7"/>
    <w:rsid w:val="00EB7D7A"/>
    <w:rsid w:val="00EB7F17"/>
    <w:rsid w:val="00EB7F20"/>
    <w:rsid w:val="00EB7F6F"/>
    <w:rsid w:val="00EC00E9"/>
    <w:rsid w:val="00EC00EA"/>
    <w:rsid w:val="00EC024C"/>
    <w:rsid w:val="00EC02E3"/>
    <w:rsid w:val="00EC032C"/>
    <w:rsid w:val="00EC04F5"/>
    <w:rsid w:val="00EC05C7"/>
    <w:rsid w:val="00EC0634"/>
    <w:rsid w:val="00EC0712"/>
    <w:rsid w:val="00EC0776"/>
    <w:rsid w:val="00EC07F7"/>
    <w:rsid w:val="00EC0BDB"/>
    <w:rsid w:val="00EC0CEA"/>
    <w:rsid w:val="00EC0D09"/>
    <w:rsid w:val="00EC0D21"/>
    <w:rsid w:val="00EC0D31"/>
    <w:rsid w:val="00EC0EA0"/>
    <w:rsid w:val="00EC0F92"/>
    <w:rsid w:val="00EC1095"/>
    <w:rsid w:val="00EC10A3"/>
    <w:rsid w:val="00EC11AD"/>
    <w:rsid w:val="00EC1206"/>
    <w:rsid w:val="00EC120F"/>
    <w:rsid w:val="00EC1415"/>
    <w:rsid w:val="00EC1471"/>
    <w:rsid w:val="00EC1507"/>
    <w:rsid w:val="00EC1574"/>
    <w:rsid w:val="00EC16D6"/>
    <w:rsid w:val="00EC16E8"/>
    <w:rsid w:val="00EC16F3"/>
    <w:rsid w:val="00EC18FA"/>
    <w:rsid w:val="00EC1A36"/>
    <w:rsid w:val="00EC1AD9"/>
    <w:rsid w:val="00EC1BCB"/>
    <w:rsid w:val="00EC1C64"/>
    <w:rsid w:val="00EC1D1F"/>
    <w:rsid w:val="00EC1E71"/>
    <w:rsid w:val="00EC1EDF"/>
    <w:rsid w:val="00EC22D2"/>
    <w:rsid w:val="00EC2376"/>
    <w:rsid w:val="00EC2467"/>
    <w:rsid w:val="00EC24BE"/>
    <w:rsid w:val="00EC2511"/>
    <w:rsid w:val="00EC2578"/>
    <w:rsid w:val="00EC25BA"/>
    <w:rsid w:val="00EC25DA"/>
    <w:rsid w:val="00EC2882"/>
    <w:rsid w:val="00EC2A4D"/>
    <w:rsid w:val="00EC2AAF"/>
    <w:rsid w:val="00EC2BFB"/>
    <w:rsid w:val="00EC301D"/>
    <w:rsid w:val="00EC3093"/>
    <w:rsid w:val="00EC3207"/>
    <w:rsid w:val="00EC32FA"/>
    <w:rsid w:val="00EC385C"/>
    <w:rsid w:val="00EC38EB"/>
    <w:rsid w:val="00EC39C3"/>
    <w:rsid w:val="00EC3AFB"/>
    <w:rsid w:val="00EC3BC2"/>
    <w:rsid w:val="00EC3C75"/>
    <w:rsid w:val="00EC3DF3"/>
    <w:rsid w:val="00EC41CE"/>
    <w:rsid w:val="00EC41E9"/>
    <w:rsid w:val="00EC425F"/>
    <w:rsid w:val="00EC449C"/>
    <w:rsid w:val="00EC4701"/>
    <w:rsid w:val="00EC4974"/>
    <w:rsid w:val="00EC4987"/>
    <w:rsid w:val="00EC4A01"/>
    <w:rsid w:val="00EC4A1E"/>
    <w:rsid w:val="00EC4A9F"/>
    <w:rsid w:val="00EC4C18"/>
    <w:rsid w:val="00EC506F"/>
    <w:rsid w:val="00EC50CE"/>
    <w:rsid w:val="00EC5118"/>
    <w:rsid w:val="00EC5292"/>
    <w:rsid w:val="00EC5306"/>
    <w:rsid w:val="00EC539A"/>
    <w:rsid w:val="00EC5423"/>
    <w:rsid w:val="00EC54AA"/>
    <w:rsid w:val="00EC5813"/>
    <w:rsid w:val="00EC5903"/>
    <w:rsid w:val="00EC5A9B"/>
    <w:rsid w:val="00EC5B14"/>
    <w:rsid w:val="00EC5C9C"/>
    <w:rsid w:val="00EC5E5A"/>
    <w:rsid w:val="00EC5EDD"/>
    <w:rsid w:val="00EC5F12"/>
    <w:rsid w:val="00EC6347"/>
    <w:rsid w:val="00EC6415"/>
    <w:rsid w:val="00EC641A"/>
    <w:rsid w:val="00EC6A22"/>
    <w:rsid w:val="00EC6A89"/>
    <w:rsid w:val="00EC6ABE"/>
    <w:rsid w:val="00EC6B05"/>
    <w:rsid w:val="00EC6C0B"/>
    <w:rsid w:val="00EC6C15"/>
    <w:rsid w:val="00EC6C62"/>
    <w:rsid w:val="00EC6E24"/>
    <w:rsid w:val="00EC6E77"/>
    <w:rsid w:val="00EC717E"/>
    <w:rsid w:val="00EC7233"/>
    <w:rsid w:val="00EC7297"/>
    <w:rsid w:val="00EC72FD"/>
    <w:rsid w:val="00EC730A"/>
    <w:rsid w:val="00EC732B"/>
    <w:rsid w:val="00EC7340"/>
    <w:rsid w:val="00EC757E"/>
    <w:rsid w:val="00EC7789"/>
    <w:rsid w:val="00EC779C"/>
    <w:rsid w:val="00EC77EC"/>
    <w:rsid w:val="00EC7834"/>
    <w:rsid w:val="00EC788F"/>
    <w:rsid w:val="00EC7A0C"/>
    <w:rsid w:val="00EC7A16"/>
    <w:rsid w:val="00EC7A49"/>
    <w:rsid w:val="00EC7B2B"/>
    <w:rsid w:val="00EC7C8B"/>
    <w:rsid w:val="00EC7E31"/>
    <w:rsid w:val="00EC7EFC"/>
    <w:rsid w:val="00ED006D"/>
    <w:rsid w:val="00ED01D9"/>
    <w:rsid w:val="00ED0283"/>
    <w:rsid w:val="00ED0388"/>
    <w:rsid w:val="00ED039D"/>
    <w:rsid w:val="00ED03CA"/>
    <w:rsid w:val="00ED03F0"/>
    <w:rsid w:val="00ED0586"/>
    <w:rsid w:val="00ED0606"/>
    <w:rsid w:val="00ED078C"/>
    <w:rsid w:val="00ED09C0"/>
    <w:rsid w:val="00ED0AB3"/>
    <w:rsid w:val="00ED0C63"/>
    <w:rsid w:val="00ED0CC4"/>
    <w:rsid w:val="00ED0DAA"/>
    <w:rsid w:val="00ED0F86"/>
    <w:rsid w:val="00ED104E"/>
    <w:rsid w:val="00ED1211"/>
    <w:rsid w:val="00ED12D1"/>
    <w:rsid w:val="00ED1485"/>
    <w:rsid w:val="00ED1491"/>
    <w:rsid w:val="00ED14E2"/>
    <w:rsid w:val="00ED15FE"/>
    <w:rsid w:val="00ED1681"/>
    <w:rsid w:val="00ED1704"/>
    <w:rsid w:val="00ED192A"/>
    <w:rsid w:val="00ED1B2F"/>
    <w:rsid w:val="00ED1CEB"/>
    <w:rsid w:val="00ED1D28"/>
    <w:rsid w:val="00ED1D2A"/>
    <w:rsid w:val="00ED1D9A"/>
    <w:rsid w:val="00ED1DD4"/>
    <w:rsid w:val="00ED1F63"/>
    <w:rsid w:val="00ED208C"/>
    <w:rsid w:val="00ED2460"/>
    <w:rsid w:val="00ED24CC"/>
    <w:rsid w:val="00ED24EE"/>
    <w:rsid w:val="00ED260B"/>
    <w:rsid w:val="00ED2632"/>
    <w:rsid w:val="00ED2903"/>
    <w:rsid w:val="00ED2912"/>
    <w:rsid w:val="00ED2949"/>
    <w:rsid w:val="00ED294E"/>
    <w:rsid w:val="00ED29E3"/>
    <w:rsid w:val="00ED2AE3"/>
    <w:rsid w:val="00ED2D01"/>
    <w:rsid w:val="00ED2F71"/>
    <w:rsid w:val="00ED309A"/>
    <w:rsid w:val="00ED3213"/>
    <w:rsid w:val="00ED33C6"/>
    <w:rsid w:val="00ED34A2"/>
    <w:rsid w:val="00ED34CB"/>
    <w:rsid w:val="00ED35DB"/>
    <w:rsid w:val="00ED3670"/>
    <w:rsid w:val="00ED376F"/>
    <w:rsid w:val="00ED3928"/>
    <w:rsid w:val="00ED3A58"/>
    <w:rsid w:val="00ED3ACC"/>
    <w:rsid w:val="00ED3B34"/>
    <w:rsid w:val="00ED3B72"/>
    <w:rsid w:val="00ED3C1C"/>
    <w:rsid w:val="00ED405B"/>
    <w:rsid w:val="00ED4090"/>
    <w:rsid w:val="00ED414F"/>
    <w:rsid w:val="00ED433D"/>
    <w:rsid w:val="00ED435F"/>
    <w:rsid w:val="00ED440D"/>
    <w:rsid w:val="00ED45CA"/>
    <w:rsid w:val="00ED4628"/>
    <w:rsid w:val="00ED46DC"/>
    <w:rsid w:val="00ED4840"/>
    <w:rsid w:val="00ED4976"/>
    <w:rsid w:val="00ED4A06"/>
    <w:rsid w:val="00ED4A62"/>
    <w:rsid w:val="00ED4F86"/>
    <w:rsid w:val="00ED4FCA"/>
    <w:rsid w:val="00ED512C"/>
    <w:rsid w:val="00ED513F"/>
    <w:rsid w:val="00ED5143"/>
    <w:rsid w:val="00ED5155"/>
    <w:rsid w:val="00ED51BB"/>
    <w:rsid w:val="00ED5254"/>
    <w:rsid w:val="00ED554E"/>
    <w:rsid w:val="00ED5613"/>
    <w:rsid w:val="00ED5747"/>
    <w:rsid w:val="00ED58BE"/>
    <w:rsid w:val="00ED5A1B"/>
    <w:rsid w:val="00ED5BCC"/>
    <w:rsid w:val="00ED5C64"/>
    <w:rsid w:val="00ED5CA0"/>
    <w:rsid w:val="00ED5D15"/>
    <w:rsid w:val="00ED5DC6"/>
    <w:rsid w:val="00ED5F79"/>
    <w:rsid w:val="00ED605B"/>
    <w:rsid w:val="00ED6229"/>
    <w:rsid w:val="00ED631D"/>
    <w:rsid w:val="00ED6328"/>
    <w:rsid w:val="00ED6387"/>
    <w:rsid w:val="00ED63E3"/>
    <w:rsid w:val="00ED64B4"/>
    <w:rsid w:val="00ED65D0"/>
    <w:rsid w:val="00ED6625"/>
    <w:rsid w:val="00ED666B"/>
    <w:rsid w:val="00ED66AA"/>
    <w:rsid w:val="00ED6780"/>
    <w:rsid w:val="00ED67E5"/>
    <w:rsid w:val="00ED696C"/>
    <w:rsid w:val="00ED69AA"/>
    <w:rsid w:val="00ED6A5E"/>
    <w:rsid w:val="00ED6B64"/>
    <w:rsid w:val="00ED6CB3"/>
    <w:rsid w:val="00ED6F3B"/>
    <w:rsid w:val="00ED6F89"/>
    <w:rsid w:val="00ED6FA5"/>
    <w:rsid w:val="00ED6FCE"/>
    <w:rsid w:val="00ED7128"/>
    <w:rsid w:val="00ED72ED"/>
    <w:rsid w:val="00ED7303"/>
    <w:rsid w:val="00ED7306"/>
    <w:rsid w:val="00ED758B"/>
    <w:rsid w:val="00ED7598"/>
    <w:rsid w:val="00ED75F6"/>
    <w:rsid w:val="00ED7665"/>
    <w:rsid w:val="00ED7788"/>
    <w:rsid w:val="00ED78AA"/>
    <w:rsid w:val="00ED7A56"/>
    <w:rsid w:val="00ED7AE8"/>
    <w:rsid w:val="00ED7CAD"/>
    <w:rsid w:val="00ED7D20"/>
    <w:rsid w:val="00ED7E60"/>
    <w:rsid w:val="00ED7EE5"/>
    <w:rsid w:val="00ED7F13"/>
    <w:rsid w:val="00ED7F26"/>
    <w:rsid w:val="00ED7F63"/>
    <w:rsid w:val="00EE0109"/>
    <w:rsid w:val="00EE02E4"/>
    <w:rsid w:val="00EE038C"/>
    <w:rsid w:val="00EE038D"/>
    <w:rsid w:val="00EE03F6"/>
    <w:rsid w:val="00EE0454"/>
    <w:rsid w:val="00EE0455"/>
    <w:rsid w:val="00EE046D"/>
    <w:rsid w:val="00EE04EF"/>
    <w:rsid w:val="00EE06D6"/>
    <w:rsid w:val="00EE09B6"/>
    <w:rsid w:val="00EE0AC1"/>
    <w:rsid w:val="00EE0F96"/>
    <w:rsid w:val="00EE106E"/>
    <w:rsid w:val="00EE10B3"/>
    <w:rsid w:val="00EE10F9"/>
    <w:rsid w:val="00EE12AA"/>
    <w:rsid w:val="00EE1A4D"/>
    <w:rsid w:val="00EE1A76"/>
    <w:rsid w:val="00EE1B45"/>
    <w:rsid w:val="00EE1B8D"/>
    <w:rsid w:val="00EE1C9D"/>
    <w:rsid w:val="00EE1FE3"/>
    <w:rsid w:val="00EE20EF"/>
    <w:rsid w:val="00EE2226"/>
    <w:rsid w:val="00EE2348"/>
    <w:rsid w:val="00EE2366"/>
    <w:rsid w:val="00EE23B5"/>
    <w:rsid w:val="00EE24B0"/>
    <w:rsid w:val="00EE27F3"/>
    <w:rsid w:val="00EE285A"/>
    <w:rsid w:val="00EE2B9A"/>
    <w:rsid w:val="00EE2C26"/>
    <w:rsid w:val="00EE2C3B"/>
    <w:rsid w:val="00EE2D9C"/>
    <w:rsid w:val="00EE2E6B"/>
    <w:rsid w:val="00EE2FD1"/>
    <w:rsid w:val="00EE3004"/>
    <w:rsid w:val="00EE31B8"/>
    <w:rsid w:val="00EE331A"/>
    <w:rsid w:val="00EE357C"/>
    <w:rsid w:val="00EE357F"/>
    <w:rsid w:val="00EE3675"/>
    <w:rsid w:val="00EE37E9"/>
    <w:rsid w:val="00EE387E"/>
    <w:rsid w:val="00EE3916"/>
    <w:rsid w:val="00EE3990"/>
    <w:rsid w:val="00EE3AB3"/>
    <w:rsid w:val="00EE3B66"/>
    <w:rsid w:val="00EE3DE6"/>
    <w:rsid w:val="00EE3E88"/>
    <w:rsid w:val="00EE3F06"/>
    <w:rsid w:val="00EE4102"/>
    <w:rsid w:val="00EE41DE"/>
    <w:rsid w:val="00EE4214"/>
    <w:rsid w:val="00EE4263"/>
    <w:rsid w:val="00EE4286"/>
    <w:rsid w:val="00EE4573"/>
    <w:rsid w:val="00EE4574"/>
    <w:rsid w:val="00EE465D"/>
    <w:rsid w:val="00EE4693"/>
    <w:rsid w:val="00EE47FA"/>
    <w:rsid w:val="00EE4864"/>
    <w:rsid w:val="00EE49E5"/>
    <w:rsid w:val="00EE4BBF"/>
    <w:rsid w:val="00EE4FBE"/>
    <w:rsid w:val="00EE4FF7"/>
    <w:rsid w:val="00EE53E7"/>
    <w:rsid w:val="00EE5551"/>
    <w:rsid w:val="00EE55D6"/>
    <w:rsid w:val="00EE573F"/>
    <w:rsid w:val="00EE59A1"/>
    <w:rsid w:val="00EE5C2C"/>
    <w:rsid w:val="00EE5C3B"/>
    <w:rsid w:val="00EE5C68"/>
    <w:rsid w:val="00EE5C95"/>
    <w:rsid w:val="00EE5D4D"/>
    <w:rsid w:val="00EE5DB2"/>
    <w:rsid w:val="00EE5E82"/>
    <w:rsid w:val="00EE5FFD"/>
    <w:rsid w:val="00EE6050"/>
    <w:rsid w:val="00EE61CD"/>
    <w:rsid w:val="00EE621D"/>
    <w:rsid w:val="00EE628E"/>
    <w:rsid w:val="00EE636B"/>
    <w:rsid w:val="00EE647A"/>
    <w:rsid w:val="00EE663A"/>
    <w:rsid w:val="00EE6689"/>
    <w:rsid w:val="00EE669D"/>
    <w:rsid w:val="00EE66FC"/>
    <w:rsid w:val="00EE68FE"/>
    <w:rsid w:val="00EE6BD0"/>
    <w:rsid w:val="00EE6CCF"/>
    <w:rsid w:val="00EE6E85"/>
    <w:rsid w:val="00EE6F4A"/>
    <w:rsid w:val="00EE6FC8"/>
    <w:rsid w:val="00EE701A"/>
    <w:rsid w:val="00EE70CC"/>
    <w:rsid w:val="00EE70E2"/>
    <w:rsid w:val="00EE7149"/>
    <w:rsid w:val="00EE742B"/>
    <w:rsid w:val="00EE7588"/>
    <w:rsid w:val="00EE76E4"/>
    <w:rsid w:val="00EE7703"/>
    <w:rsid w:val="00EE7761"/>
    <w:rsid w:val="00EE7794"/>
    <w:rsid w:val="00EE7832"/>
    <w:rsid w:val="00EE784D"/>
    <w:rsid w:val="00EE78C3"/>
    <w:rsid w:val="00EE7A60"/>
    <w:rsid w:val="00EE7B21"/>
    <w:rsid w:val="00EE7B40"/>
    <w:rsid w:val="00EE7B95"/>
    <w:rsid w:val="00EE7D87"/>
    <w:rsid w:val="00EE7E3D"/>
    <w:rsid w:val="00EE7F56"/>
    <w:rsid w:val="00EF0107"/>
    <w:rsid w:val="00EF030D"/>
    <w:rsid w:val="00EF037C"/>
    <w:rsid w:val="00EF0407"/>
    <w:rsid w:val="00EF041F"/>
    <w:rsid w:val="00EF047A"/>
    <w:rsid w:val="00EF089C"/>
    <w:rsid w:val="00EF094E"/>
    <w:rsid w:val="00EF09DA"/>
    <w:rsid w:val="00EF0A22"/>
    <w:rsid w:val="00EF0A75"/>
    <w:rsid w:val="00EF0C89"/>
    <w:rsid w:val="00EF0D6A"/>
    <w:rsid w:val="00EF0DA6"/>
    <w:rsid w:val="00EF0E7C"/>
    <w:rsid w:val="00EF106F"/>
    <w:rsid w:val="00EF117E"/>
    <w:rsid w:val="00EF123E"/>
    <w:rsid w:val="00EF12E4"/>
    <w:rsid w:val="00EF13E4"/>
    <w:rsid w:val="00EF1556"/>
    <w:rsid w:val="00EF15EB"/>
    <w:rsid w:val="00EF15ED"/>
    <w:rsid w:val="00EF16FA"/>
    <w:rsid w:val="00EF1860"/>
    <w:rsid w:val="00EF19C6"/>
    <w:rsid w:val="00EF1ADD"/>
    <w:rsid w:val="00EF1B30"/>
    <w:rsid w:val="00EF1B57"/>
    <w:rsid w:val="00EF1C38"/>
    <w:rsid w:val="00EF1C73"/>
    <w:rsid w:val="00EF1E8A"/>
    <w:rsid w:val="00EF1FC0"/>
    <w:rsid w:val="00EF2102"/>
    <w:rsid w:val="00EF2462"/>
    <w:rsid w:val="00EF276A"/>
    <w:rsid w:val="00EF28AB"/>
    <w:rsid w:val="00EF2924"/>
    <w:rsid w:val="00EF293E"/>
    <w:rsid w:val="00EF2D52"/>
    <w:rsid w:val="00EF2D73"/>
    <w:rsid w:val="00EF2EA8"/>
    <w:rsid w:val="00EF2F89"/>
    <w:rsid w:val="00EF30B1"/>
    <w:rsid w:val="00EF3133"/>
    <w:rsid w:val="00EF31FA"/>
    <w:rsid w:val="00EF3413"/>
    <w:rsid w:val="00EF355B"/>
    <w:rsid w:val="00EF369D"/>
    <w:rsid w:val="00EF36E2"/>
    <w:rsid w:val="00EF374C"/>
    <w:rsid w:val="00EF39C0"/>
    <w:rsid w:val="00EF3BAC"/>
    <w:rsid w:val="00EF3BD3"/>
    <w:rsid w:val="00EF3BD8"/>
    <w:rsid w:val="00EF3F47"/>
    <w:rsid w:val="00EF4229"/>
    <w:rsid w:val="00EF43A2"/>
    <w:rsid w:val="00EF44CC"/>
    <w:rsid w:val="00EF4642"/>
    <w:rsid w:val="00EF49CF"/>
    <w:rsid w:val="00EF4AF0"/>
    <w:rsid w:val="00EF4B1D"/>
    <w:rsid w:val="00EF4B50"/>
    <w:rsid w:val="00EF4C76"/>
    <w:rsid w:val="00EF4C99"/>
    <w:rsid w:val="00EF4DF4"/>
    <w:rsid w:val="00EF4DF9"/>
    <w:rsid w:val="00EF4E91"/>
    <w:rsid w:val="00EF4F4D"/>
    <w:rsid w:val="00EF4F8E"/>
    <w:rsid w:val="00EF500C"/>
    <w:rsid w:val="00EF525D"/>
    <w:rsid w:val="00EF542D"/>
    <w:rsid w:val="00EF5538"/>
    <w:rsid w:val="00EF558A"/>
    <w:rsid w:val="00EF5CCD"/>
    <w:rsid w:val="00EF60C7"/>
    <w:rsid w:val="00EF63D2"/>
    <w:rsid w:val="00EF65F4"/>
    <w:rsid w:val="00EF661A"/>
    <w:rsid w:val="00EF66FA"/>
    <w:rsid w:val="00EF6733"/>
    <w:rsid w:val="00EF678C"/>
    <w:rsid w:val="00EF695D"/>
    <w:rsid w:val="00EF6C6B"/>
    <w:rsid w:val="00EF6D90"/>
    <w:rsid w:val="00EF6E1B"/>
    <w:rsid w:val="00EF6FFF"/>
    <w:rsid w:val="00EF71E1"/>
    <w:rsid w:val="00EF74C1"/>
    <w:rsid w:val="00EF7711"/>
    <w:rsid w:val="00EF792A"/>
    <w:rsid w:val="00EF79E3"/>
    <w:rsid w:val="00EF7C2C"/>
    <w:rsid w:val="00EF7D49"/>
    <w:rsid w:val="00EF7D91"/>
    <w:rsid w:val="00EF7E29"/>
    <w:rsid w:val="00EF7ED2"/>
    <w:rsid w:val="00EF7F01"/>
    <w:rsid w:val="00F000F5"/>
    <w:rsid w:val="00F0013C"/>
    <w:rsid w:val="00F00290"/>
    <w:rsid w:val="00F002A5"/>
    <w:rsid w:val="00F00312"/>
    <w:rsid w:val="00F00345"/>
    <w:rsid w:val="00F00438"/>
    <w:rsid w:val="00F004D9"/>
    <w:rsid w:val="00F00510"/>
    <w:rsid w:val="00F0057A"/>
    <w:rsid w:val="00F0088A"/>
    <w:rsid w:val="00F00BB4"/>
    <w:rsid w:val="00F00C90"/>
    <w:rsid w:val="00F00D28"/>
    <w:rsid w:val="00F00F1C"/>
    <w:rsid w:val="00F00F72"/>
    <w:rsid w:val="00F01048"/>
    <w:rsid w:val="00F013FE"/>
    <w:rsid w:val="00F01456"/>
    <w:rsid w:val="00F01874"/>
    <w:rsid w:val="00F01A47"/>
    <w:rsid w:val="00F01AFC"/>
    <w:rsid w:val="00F01B33"/>
    <w:rsid w:val="00F01B70"/>
    <w:rsid w:val="00F01BB8"/>
    <w:rsid w:val="00F01C21"/>
    <w:rsid w:val="00F01CA7"/>
    <w:rsid w:val="00F01DC4"/>
    <w:rsid w:val="00F01DF1"/>
    <w:rsid w:val="00F01E1C"/>
    <w:rsid w:val="00F01ED3"/>
    <w:rsid w:val="00F0202C"/>
    <w:rsid w:val="00F02220"/>
    <w:rsid w:val="00F023B5"/>
    <w:rsid w:val="00F02422"/>
    <w:rsid w:val="00F02872"/>
    <w:rsid w:val="00F02AAD"/>
    <w:rsid w:val="00F02BA3"/>
    <w:rsid w:val="00F02BD7"/>
    <w:rsid w:val="00F02E9E"/>
    <w:rsid w:val="00F03049"/>
    <w:rsid w:val="00F030BE"/>
    <w:rsid w:val="00F0312D"/>
    <w:rsid w:val="00F031CE"/>
    <w:rsid w:val="00F033C4"/>
    <w:rsid w:val="00F03474"/>
    <w:rsid w:val="00F035DA"/>
    <w:rsid w:val="00F03694"/>
    <w:rsid w:val="00F03859"/>
    <w:rsid w:val="00F039B6"/>
    <w:rsid w:val="00F03DA5"/>
    <w:rsid w:val="00F03EAC"/>
    <w:rsid w:val="00F03F29"/>
    <w:rsid w:val="00F03F4C"/>
    <w:rsid w:val="00F04154"/>
    <w:rsid w:val="00F0425D"/>
    <w:rsid w:val="00F042B8"/>
    <w:rsid w:val="00F043E2"/>
    <w:rsid w:val="00F043FA"/>
    <w:rsid w:val="00F044D0"/>
    <w:rsid w:val="00F044E1"/>
    <w:rsid w:val="00F04572"/>
    <w:rsid w:val="00F0477F"/>
    <w:rsid w:val="00F0479B"/>
    <w:rsid w:val="00F04859"/>
    <w:rsid w:val="00F048B8"/>
    <w:rsid w:val="00F048E6"/>
    <w:rsid w:val="00F04AA1"/>
    <w:rsid w:val="00F04B30"/>
    <w:rsid w:val="00F04C89"/>
    <w:rsid w:val="00F04D4E"/>
    <w:rsid w:val="00F04D72"/>
    <w:rsid w:val="00F04F29"/>
    <w:rsid w:val="00F04FA4"/>
    <w:rsid w:val="00F04FE7"/>
    <w:rsid w:val="00F05038"/>
    <w:rsid w:val="00F0509F"/>
    <w:rsid w:val="00F0510B"/>
    <w:rsid w:val="00F05220"/>
    <w:rsid w:val="00F052D2"/>
    <w:rsid w:val="00F05305"/>
    <w:rsid w:val="00F05308"/>
    <w:rsid w:val="00F05334"/>
    <w:rsid w:val="00F05470"/>
    <w:rsid w:val="00F055BF"/>
    <w:rsid w:val="00F0577F"/>
    <w:rsid w:val="00F0581D"/>
    <w:rsid w:val="00F05837"/>
    <w:rsid w:val="00F05898"/>
    <w:rsid w:val="00F0597E"/>
    <w:rsid w:val="00F05A38"/>
    <w:rsid w:val="00F05AAD"/>
    <w:rsid w:val="00F05B74"/>
    <w:rsid w:val="00F05BA5"/>
    <w:rsid w:val="00F05BBE"/>
    <w:rsid w:val="00F05C7B"/>
    <w:rsid w:val="00F05D42"/>
    <w:rsid w:val="00F05E8D"/>
    <w:rsid w:val="00F06292"/>
    <w:rsid w:val="00F0629D"/>
    <w:rsid w:val="00F062C7"/>
    <w:rsid w:val="00F062CE"/>
    <w:rsid w:val="00F0648A"/>
    <w:rsid w:val="00F067D0"/>
    <w:rsid w:val="00F067E6"/>
    <w:rsid w:val="00F0682A"/>
    <w:rsid w:val="00F06A37"/>
    <w:rsid w:val="00F06C64"/>
    <w:rsid w:val="00F06EA4"/>
    <w:rsid w:val="00F07057"/>
    <w:rsid w:val="00F070FB"/>
    <w:rsid w:val="00F07176"/>
    <w:rsid w:val="00F07177"/>
    <w:rsid w:val="00F071BB"/>
    <w:rsid w:val="00F071BD"/>
    <w:rsid w:val="00F07465"/>
    <w:rsid w:val="00F074A0"/>
    <w:rsid w:val="00F07655"/>
    <w:rsid w:val="00F0783A"/>
    <w:rsid w:val="00F07920"/>
    <w:rsid w:val="00F07C83"/>
    <w:rsid w:val="00F07D04"/>
    <w:rsid w:val="00F07D06"/>
    <w:rsid w:val="00F07E7E"/>
    <w:rsid w:val="00F07F9E"/>
    <w:rsid w:val="00F10063"/>
    <w:rsid w:val="00F100B5"/>
    <w:rsid w:val="00F1012B"/>
    <w:rsid w:val="00F1024C"/>
    <w:rsid w:val="00F103FF"/>
    <w:rsid w:val="00F10468"/>
    <w:rsid w:val="00F107BE"/>
    <w:rsid w:val="00F10859"/>
    <w:rsid w:val="00F1086A"/>
    <w:rsid w:val="00F1092A"/>
    <w:rsid w:val="00F1095B"/>
    <w:rsid w:val="00F10998"/>
    <w:rsid w:val="00F10A18"/>
    <w:rsid w:val="00F10A37"/>
    <w:rsid w:val="00F10CED"/>
    <w:rsid w:val="00F10F39"/>
    <w:rsid w:val="00F10F9D"/>
    <w:rsid w:val="00F11132"/>
    <w:rsid w:val="00F111BD"/>
    <w:rsid w:val="00F11214"/>
    <w:rsid w:val="00F113A0"/>
    <w:rsid w:val="00F11509"/>
    <w:rsid w:val="00F11869"/>
    <w:rsid w:val="00F1197E"/>
    <w:rsid w:val="00F11B7C"/>
    <w:rsid w:val="00F11CE7"/>
    <w:rsid w:val="00F11DA5"/>
    <w:rsid w:val="00F11DE8"/>
    <w:rsid w:val="00F12081"/>
    <w:rsid w:val="00F120A7"/>
    <w:rsid w:val="00F122AF"/>
    <w:rsid w:val="00F1248A"/>
    <w:rsid w:val="00F124A8"/>
    <w:rsid w:val="00F125F3"/>
    <w:rsid w:val="00F1266E"/>
    <w:rsid w:val="00F1278D"/>
    <w:rsid w:val="00F12899"/>
    <w:rsid w:val="00F128C7"/>
    <w:rsid w:val="00F128E3"/>
    <w:rsid w:val="00F12922"/>
    <w:rsid w:val="00F129F1"/>
    <w:rsid w:val="00F12A9B"/>
    <w:rsid w:val="00F12BB1"/>
    <w:rsid w:val="00F12BEA"/>
    <w:rsid w:val="00F12C08"/>
    <w:rsid w:val="00F12D6E"/>
    <w:rsid w:val="00F12E49"/>
    <w:rsid w:val="00F12E67"/>
    <w:rsid w:val="00F12F21"/>
    <w:rsid w:val="00F12F30"/>
    <w:rsid w:val="00F13178"/>
    <w:rsid w:val="00F1349B"/>
    <w:rsid w:val="00F134D5"/>
    <w:rsid w:val="00F135D9"/>
    <w:rsid w:val="00F1362B"/>
    <w:rsid w:val="00F1387E"/>
    <w:rsid w:val="00F139C6"/>
    <w:rsid w:val="00F13AA5"/>
    <w:rsid w:val="00F13CE4"/>
    <w:rsid w:val="00F13E09"/>
    <w:rsid w:val="00F14125"/>
    <w:rsid w:val="00F1415D"/>
    <w:rsid w:val="00F1422E"/>
    <w:rsid w:val="00F14247"/>
    <w:rsid w:val="00F1424A"/>
    <w:rsid w:val="00F1460A"/>
    <w:rsid w:val="00F14729"/>
    <w:rsid w:val="00F1482C"/>
    <w:rsid w:val="00F148C8"/>
    <w:rsid w:val="00F14A44"/>
    <w:rsid w:val="00F14CC3"/>
    <w:rsid w:val="00F14D1F"/>
    <w:rsid w:val="00F14E93"/>
    <w:rsid w:val="00F151AE"/>
    <w:rsid w:val="00F15242"/>
    <w:rsid w:val="00F15258"/>
    <w:rsid w:val="00F152C8"/>
    <w:rsid w:val="00F154B7"/>
    <w:rsid w:val="00F15526"/>
    <w:rsid w:val="00F1555F"/>
    <w:rsid w:val="00F155B6"/>
    <w:rsid w:val="00F1572A"/>
    <w:rsid w:val="00F157EF"/>
    <w:rsid w:val="00F158BE"/>
    <w:rsid w:val="00F15A45"/>
    <w:rsid w:val="00F15B6B"/>
    <w:rsid w:val="00F16067"/>
    <w:rsid w:val="00F161FE"/>
    <w:rsid w:val="00F162AC"/>
    <w:rsid w:val="00F166BD"/>
    <w:rsid w:val="00F16868"/>
    <w:rsid w:val="00F16980"/>
    <w:rsid w:val="00F169E2"/>
    <w:rsid w:val="00F16BD9"/>
    <w:rsid w:val="00F16CF2"/>
    <w:rsid w:val="00F16D73"/>
    <w:rsid w:val="00F16DD7"/>
    <w:rsid w:val="00F16DE0"/>
    <w:rsid w:val="00F16EA1"/>
    <w:rsid w:val="00F16FA8"/>
    <w:rsid w:val="00F1707F"/>
    <w:rsid w:val="00F17101"/>
    <w:rsid w:val="00F17112"/>
    <w:rsid w:val="00F17161"/>
    <w:rsid w:val="00F17177"/>
    <w:rsid w:val="00F1734D"/>
    <w:rsid w:val="00F173F1"/>
    <w:rsid w:val="00F17505"/>
    <w:rsid w:val="00F17634"/>
    <w:rsid w:val="00F17666"/>
    <w:rsid w:val="00F176A4"/>
    <w:rsid w:val="00F17969"/>
    <w:rsid w:val="00F1796A"/>
    <w:rsid w:val="00F17984"/>
    <w:rsid w:val="00F1798B"/>
    <w:rsid w:val="00F17A6D"/>
    <w:rsid w:val="00F17A7D"/>
    <w:rsid w:val="00F17AB7"/>
    <w:rsid w:val="00F17AF9"/>
    <w:rsid w:val="00F17B8D"/>
    <w:rsid w:val="00F17BA1"/>
    <w:rsid w:val="00F17CD1"/>
    <w:rsid w:val="00F17D2D"/>
    <w:rsid w:val="00F17E8A"/>
    <w:rsid w:val="00F20008"/>
    <w:rsid w:val="00F20056"/>
    <w:rsid w:val="00F200BB"/>
    <w:rsid w:val="00F20123"/>
    <w:rsid w:val="00F20168"/>
    <w:rsid w:val="00F2025A"/>
    <w:rsid w:val="00F202C4"/>
    <w:rsid w:val="00F2041C"/>
    <w:rsid w:val="00F20490"/>
    <w:rsid w:val="00F205C0"/>
    <w:rsid w:val="00F20697"/>
    <w:rsid w:val="00F207F8"/>
    <w:rsid w:val="00F208C1"/>
    <w:rsid w:val="00F20983"/>
    <w:rsid w:val="00F20B96"/>
    <w:rsid w:val="00F20BE5"/>
    <w:rsid w:val="00F20F60"/>
    <w:rsid w:val="00F20F65"/>
    <w:rsid w:val="00F21175"/>
    <w:rsid w:val="00F211FE"/>
    <w:rsid w:val="00F2129F"/>
    <w:rsid w:val="00F21386"/>
    <w:rsid w:val="00F21498"/>
    <w:rsid w:val="00F215DC"/>
    <w:rsid w:val="00F21641"/>
    <w:rsid w:val="00F21642"/>
    <w:rsid w:val="00F217B3"/>
    <w:rsid w:val="00F2180D"/>
    <w:rsid w:val="00F21819"/>
    <w:rsid w:val="00F2195B"/>
    <w:rsid w:val="00F21A9D"/>
    <w:rsid w:val="00F21B39"/>
    <w:rsid w:val="00F21BE0"/>
    <w:rsid w:val="00F21BFC"/>
    <w:rsid w:val="00F21C3F"/>
    <w:rsid w:val="00F21D4A"/>
    <w:rsid w:val="00F21D58"/>
    <w:rsid w:val="00F21E34"/>
    <w:rsid w:val="00F21EF6"/>
    <w:rsid w:val="00F220B2"/>
    <w:rsid w:val="00F220C2"/>
    <w:rsid w:val="00F221E1"/>
    <w:rsid w:val="00F22396"/>
    <w:rsid w:val="00F2247E"/>
    <w:rsid w:val="00F22486"/>
    <w:rsid w:val="00F225C7"/>
    <w:rsid w:val="00F22662"/>
    <w:rsid w:val="00F22776"/>
    <w:rsid w:val="00F227B5"/>
    <w:rsid w:val="00F227E5"/>
    <w:rsid w:val="00F228DE"/>
    <w:rsid w:val="00F22B3B"/>
    <w:rsid w:val="00F22BAB"/>
    <w:rsid w:val="00F22D81"/>
    <w:rsid w:val="00F22ECC"/>
    <w:rsid w:val="00F22F1C"/>
    <w:rsid w:val="00F22F37"/>
    <w:rsid w:val="00F230EB"/>
    <w:rsid w:val="00F231C6"/>
    <w:rsid w:val="00F23276"/>
    <w:rsid w:val="00F23404"/>
    <w:rsid w:val="00F23696"/>
    <w:rsid w:val="00F23A2F"/>
    <w:rsid w:val="00F23C2C"/>
    <w:rsid w:val="00F23D14"/>
    <w:rsid w:val="00F24107"/>
    <w:rsid w:val="00F24359"/>
    <w:rsid w:val="00F244BF"/>
    <w:rsid w:val="00F2467A"/>
    <w:rsid w:val="00F24691"/>
    <w:rsid w:val="00F24696"/>
    <w:rsid w:val="00F246BE"/>
    <w:rsid w:val="00F24732"/>
    <w:rsid w:val="00F24734"/>
    <w:rsid w:val="00F247CB"/>
    <w:rsid w:val="00F247DE"/>
    <w:rsid w:val="00F2484B"/>
    <w:rsid w:val="00F24931"/>
    <w:rsid w:val="00F24BAB"/>
    <w:rsid w:val="00F24C8A"/>
    <w:rsid w:val="00F24D44"/>
    <w:rsid w:val="00F24F75"/>
    <w:rsid w:val="00F250AA"/>
    <w:rsid w:val="00F2524B"/>
    <w:rsid w:val="00F25260"/>
    <w:rsid w:val="00F252B1"/>
    <w:rsid w:val="00F2531C"/>
    <w:rsid w:val="00F25584"/>
    <w:rsid w:val="00F25C43"/>
    <w:rsid w:val="00F25C6B"/>
    <w:rsid w:val="00F25D94"/>
    <w:rsid w:val="00F25FE0"/>
    <w:rsid w:val="00F2602B"/>
    <w:rsid w:val="00F2603A"/>
    <w:rsid w:val="00F26168"/>
    <w:rsid w:val="00F26234"/>
    <w:rsid w:val="00F2624C"/>
    <w:rsid w:val="00F2626A"/>
    <w:rsid w:val="00F263D6"/>
    <w:rsid w:val="00F263FF"/>
    <w:rsid w:val="00F264C0"/>
    <w:rsid w:val="00F266D8"/>
    <w:rsid w:val="00F266E6"/>
    <w:rsid w:val="00F2676A"/>
    <w:rsid w:val="00F268D2"/>
    <w:rsid w:val="00F26912"/>
    <w:rsid w:val="00F26C2F"/>
    <w:rsid w:val="00F26E82"/>
    <w:rsid w:val="00F26EA7"/>
    <w:rsid w:val="00F26EE0"/>
    <w:rsid w:val="00F26F42"/>
    <w:rsid w:val="00F26FC8"/>
    <w:rsid w:val="00F26FD6"/>
    <w:rsid w:val="00F270CB"/>
    <w:rsid w:val="00F27219"/>
    <w:rsid w:val="00F27322"/>
    <w:rsid w:val="00F2739C"/>
    <w:rsid w:val="00F279F5"/>
    <w:rsid w:val="00F27C66"/>
    <w:rsid w:val="00F27D2F"/>
    <w:rsid w:val="00F27D61"/>
    <w:rsid w:val="00F300D8"/>
    <w:rsid w:val="00F302D3"/>
    <w:rsid w:val="00F30456"/>
    <w:rsid w:val="00F30473"/>
    <w:rsid w:val="00F305EF"/>
    <w:rsid w:val="00F30815"/>
    <w:rsid w:val="00F30818"/>
    <w:rsid w:val="00F30981"/>
    <w:rsid w:val="00F30A4A"/>
    <w:rsid w:val="00F30B2E"/>
    <w:rsid w:val="00F30BB3"/>
    <w:rsid w:val="00F30BDC"/>
    <w:rsid w:val="00F30C29"/>
    <w:rsid w:val="00F30DCD"/>
    <w:rsid w:val="00F30E28"/>
    <w:rsid w:val="00F30ED3"/>
    <w:rsid w:val="00F30F2C"/>
    <w:rsid w:val="00F311EF"/>
    <w:rsid w:val="00F312E6"/>
    <w:rsid w:val="00F3140E"/>
    <w:rsid w:val="00F314AA"/>
    <w:rsid w:val="00F3169D"/>
    <w:rsid w:val="00F31769"/>
    <w:rsid w:val="00F317E7"/>
    <w:rsid w:val="00F317F1"/>
    <w:rsid w:val="00F31937"/>
    <w:rsid w:val="00F3199A"/>
    <w:rsid w:val="00F31AEB"/>
    <w:rsid w:val="00F31E7F"/>
    <w:rsid w:val="00F31EBF"/>
    <w:rsid w:val="00F3205B"/>
    <w:rsid w:val="00F32084"/>
    <w:rsid w:val="00F321A2"/>
    <w:rsid w:val="00F3225C"/>
    <w:rsid w:val="00F322C7"/>
    <w:rsid w:val="00F3243D"/>
    <w:rsid w:val="00F32507"/>
    <w:rsid w:val="00F325AC"/>
    <w:rsid w:val="00F3276A"/>
    <w:rsid w:val="00F327D8"/>
    <w:rsid w:val="00F32819"/>
    <w:rsid w:val="00F32EDE"/>
    <w:rsid w:val="00F3301F"/>
    <w:rsid w:val="00F333CA"/>
    <w:rsid w:val="00F33592"/>
    <w:rsid w:val="00F3360D"/>
    <w:rsid w:val="00F33631"/>
    <w:rsid w:val="00F33A16"/>
    <w:rsid w:val="00F33A55"/>
    <w:rsid w:val="00F33AF2"/>
    <w:rsid w:val="00F33B11"/>
    <w:rsid w:val="00F33B44"/>
    <w:rsid w:val="00F33B89"/>
    <w:rsid w:val="00F33D62"/>
    <w:rsid w:val="00F342CB"/>
    <w:rsid w:val="00F343A6"/>
    <w:rsid w:val="00F34605"/>
    <w:rsid w:val="00F34687"/>
    <w:rsid w:val="00F3478A"/>
    <w:rsid w:val="00F34853"/>
    <w:rsid w:val="00F34913"/>
    <w:rsid w:val="00F34920"/>
    <w:rsid w:val="00F34B39"/>
    <w:rsid w:val="00F34B53"/>
    <w:rsid w:val="00F34D00"/>
    <w:rsid w:val="00F34D33"/>
    <w:rsid w:val="00F34F3B"/>
    <w:rsid w:val="00F35064"/>
    <w:rsid w:val="00F351D7"/>
    <w:rsid w:val="00F352EE"/>
    <w:rsid w:val="00F35486"/>
    <w:rsid w:val="00F355B1"/>
    <w:rsid w:val="00F35615"/>
    <w:rsid w:val="00F357D6"/>
    <w:rsid w:val="00F357E3"/>
    <w:rsid w:val="00F359B7"/>
    <w:rsid w:val="00F359C4"/>
    <w:rsid w:val="00F35A56"/>
    <w:rsid w:val="00F35D05"/>
    <w:rsid w:val="00F35D58"/>
    <w:rsid w:val="00F35D70"/>
    <w:rsid w:val="00F35D73"/>
    <w:rsid w:val="00F35D76"/>
    <w:rsid w:val="00F35DF1"/>
    <w:rsid w:val="00F35E61"/>
    <w:rsid w:val="00F35F26"/>
    <w:rsid w:val="00F35F27"/>
    <w:rsid w:val="00F36402"/>
    <w:rsid w:val="00F36585"/>
    <w:rsid w:val="00F3661C"/>
    <w:rsid w:val="00F36728"/>
    <w:rsid w:val="00F3678C"/>
    <w:rsid w:val="00F3682C"/>
    <w:rsid w:val="00F36A8E"/>
    <w:rsid w:val="00F36CB3"/>
    <w:rsid w:val="00F36E5D"/>
    <w:rsid w:val="00F3728C"/>
    <w:rsid w:val="00F378E4"/>
    <w:rsid w:val="00F37A0D"/>
    <w:rsid w:val="00F37B2B"/>
    <w:rsid w:val="00F37CE5"/>
    <w:rsid w:val="00F40081"/>
    <w:rsid w:val="00F4026A"/>
    <w:rsid w:val="00F40288"/>
    <w:rsid w:val="00F402FA"/>
    <w:rsid w:val="00F40360"/>
    <w:rsid w:val="00F403EC"/>
    <w:rsid w:val="00F403F5"/>
    <w:rsid w:val="00F404B8"/>
    <w:rsid w:val="00F406C6"/>
    <w:rsid w:val="00F40830"/>
    <w:rsid w:val="00F408B5"/>
    <w:rsid w:val="00F408BA"/>
    <w:rsid w:val="00F4094F"/>
    <w:rsid w:val="00F409C3"/>
    <w:rsid w:val="00F40AE3"/>
    <w:rsid w:val="00F40BAF"/>
    <w:rsid w:val="00F40BCE"/>
    <w:rsid w:val="00F40D01"/>
    <w:rsid w:val="00F40D11"/>
    <w:rsid w:val="00F40F66"/>
    <w:rsid w:val="00F40F89"/>
    <w:rsid w:val="00F41059"/>
    <w:rsid w:val="00F410BF"/>
    <w:rsid w:val="00F410C5"/>
    <w:rsid w:val="00F4111A"/>
    <w:rsid w:val="00F415CD"/>
    <w:rsid w:val="00F41760"/>
    <w:rsid w:val="00F41777"/>
    <w:rsid w:val="00F419D5"/>
    <w:rsid w:val="00F419F4"/>
    <w:rsid w:val="00F41AAA"/>
    <w:rsid w:val="00F41AD4"/>
    <w:rsid w:val="00F41B7E"/>
    <w:rsid w:val="00F41BE9"/>
    <w:rsid w:val="00F41CBA"/>
    <w:rsid w:val="00F41D59"/>
    <w:rsid w:val="00F41E67"/>
    <w:rsid w:val="00F4200F"/>
    <w:rsid w:val="00F422F7"/>
    <w:rsid w:val="00F423B9"/>
    <w:rsid w:val="00F423F7"/>
    <w:rsid w:val="00F425E6"/>
    <w:rsid w:val="00F4267B"/>
    <w:rsid w:val="00F4274A"/>
    <w:rsid w:val="00F4282C"/>
    <w:rsid w:val="00F428B1"/>
    <w:rsid w:val="00F42A66"/>
    <w:rsid w:val="00F42B31"/>
    <w:rsid w:val="00F42C24"/>
    <w:rsid w:val="00F42C72"/>
    <w:rsid w:val="00F42D16"/>
    <w:rsid w:val="00F42D83"/>
    <w:rsid w:val="00F42EDF"/>
    <w:rsid w:val="00F42F7A"/>
    <w:rsid w:val="00F43120"/>
    <w:rsid w:val="00F432EE"/>
    <w:rsid w:val="00F43352"/>
    <w:rsid w:val="00F43379"/>
    <w:rsid w:val="00F4345D"/>
    <w:rsid w:val="00F4352E"/>
    <w:rsid w:val="00F43637"/>
    <w:rsid w:val="00F4387A"/>
    <w:rsid w:val="00F43884"/>
    <w:rsid w:val="00F438A6"/>
    <w:rsid w:val="00F438C8"/>
    <w:rsid w:val="00F43A65"/>
    <w:rsid w:val="00F43A8D"/>
    <w:rsid w:val="00F43B1D"/>
    <w:rsid w:val="00F43B51"/>
    <w:rsid w:val="00F43B6E"/>
    <w:rsid w:val="00F43CC7"/>
    <w:rsid w:val="00F43D25"/>
    <w:rsid w:val="00F43E1A"/>
    <w:rsid w:val="00F43F09"/>
    <w:rsid w:val="00F43F0D"/>
    <w:rsid w:val="00F44298"/>
    <w:rsid w:val="00F44347"/>
    <w:rsid w:val="00F44358"/>
    <w:rsid w:val="00F44387"/>
    <w:rsid w:val="00F446BF"/>
    <w:rsid w:val="00F4481B"/>
    <w:rsid w:val="00F448BC"/>
    <w:rsid w:val="00F44920"/>
    <w:rsid w:val="00F4497C"/>
    <w:rsid w:val="00F449DE"/>
    <w:rsid w:val="00F44C84"/>
    <w:rsid w:val="00F44DDA"/>
    <w:rsid w:val="00F44E28"/>
    <w:rsid w:val="00F44ED5"/>
    <w:rsid w:val="00F44F42"/>
    <w:rsid w:val="00F4509D"/>
    <w:rsid w:val="00F4540F"/>
    <w:rsid w:val="00F454A4"/>
    <w:rsid w:val="00F456DF"/>
    <w:rsid w:val="00F45839"/>
    <w:rsid w:val="00F4587B"/>
    <w:rsid w:val="00F45A1B"/>
    <w:rsid w:val="00F45A84"/>
    <w:rsid w:val="00F45BD3"/>
    <w:rsid w:val="00F45C4C"/>
    <w:rsid w:val="00F45D47"/>
    <w:rsid w:val="00F45E4C"/>
    <w:rsid w:val="00F45F70"/>
    <w:rsid w:val="00F4609C"/>
    <w:rsid w:val="00F4621C"/>
    <w:rsid w:val="00F4627D"/>
    <w:rsid w:val="00F4640C"/>
    <w:rsid w:val="00F46636"/>
    <w:rsid w:val="00F46727"/>
    <w:rsid w:val="00F46792"/>
    <w:rsid w:val="00F467E2"/>
    <w:rsid w:val="00F46947"/>
    <w:rsid w:val="00F469AA"/>
    <w:rsid w:val="00F469DC"/>
    <w:rsid w:val="00F46A95"/>
    <w:rsid w:val="00F46B58"/>
    <w:rsid w:val="00F46B6C"/>
    <w:rsid w:val="00F46C1E"/>
    <w:rsid w:val="00F46CE5"/>
    <w:rsid w:val="00F46CF2"/>
    <w:rsid w:val="00F46D9C"/>
    <w:rsid w:val="00F46DCA"/>
    <w:rsid w:val="00F4718B"/>
    <w:rsid w:val="00F471AA"/>
    <w:rsid w:val="00F47219"/>
    <w:rsid w:val="00F47302"/>
    <w:rsid w:val="00F47362"/>
    <w:rsid w:val="00F4737D"/>
    <w:rsid w:val="00F475A4"/>
    <w:rsid w:val="00F475E8"/>
    <w:rsid w:val="00F476A4"/>
    <w:rsid w:val="00F47774"/>
    <w:rsid w:val="00F4777B"/>
    <w:rsid w:val="00F47871"/>
    <w:rsid w:val="00F478E0"/>
    <w:rsid w:val="00F47A05"/>
    <w:rsid w:val="00F47AEB"/>
    <w:rsid w:val="00F47BAC"/>
    <w:rsid w:val="00F47C0A"/>
    <w:rsid w:val="00F47F23"/>
    <w:rsid w:val="00F47F85"/>
    <w:rsid w:val="00F50191"/>
    <w:rsid w:val="00F501D4"/>
    <w:rsid w:val="00F50273"/>
    <w:rsid w:val="00F504F8"/>
    <w:rsid w:val="00F505EC"/>
    <w:rsid w:val="00F50735"/>
    <w:rsid w:val="00F50843"/>
    <w:rsid w:val="00F509A6"/>
    <w:rsid w:val="00F50A1B"/>
    <w:rsid w:val="00F50B42"/>
    <w:rsid w:val="00F50D87"/>
    <w:rsid w:val="00F50ECC"/>
    <w:rsid w:val="00F51128"/>
    <w:rsid w:val="00F511D4"/>
    <w:rsid w:val="00F51225"/>
    <w:rsid w:val="00F512DB"/>
    <w:rsid w:val="00F514C0"/>
    <w:rsid w:val="00F51561"/>
    <w:rsid w:val="00F51636"/>
    <w:rsid w:val="00F51672"/>
    <w:rsid w:val="00F5171C"/>
    <w:rsid w:val="00F51843"/>
    <w:rsid w:val="00F51964"/>
    <w:rsid w:val="00F51D9C"/>
    <w:rsid w:val="00F51DBF"/>
    <w:rsid w:val="00F51E62"/>
    <w:rsid w:val="00F51FA2"/>
    <w:rsid w:val="00F5211C"/>
    <w:rsid w:val="00F5216D"/>
    <w:rsid w:val="00F5219E"/>
    <w:rsid w:val="00F522E2"/>
    <w:rsid w:val="00F524D5"/>
    <w:rsid w:val="00F5263F"/>
    <w:rsid w:val="00F526C0"/>
    <w:rsid w:val="00F527EA"/>
    <w:rsid w:val="00F52831"/>
    <w:rsid w:val="00F5291B"/>
    <w:rsid w:val="00F529A5"/>
    <w:rsid w:val="00F52ACD"/>
    <w:rsid w:val="00F52B9D"/>
    <w:rsid w:val="00F52C32"/>
    <w:rsid w:val="00F52D37"/>
    <w:rsid w:val="00F52E94"/>
    <w:rsid w:val="00F52E9D"/>
    <w:rsid w:val="00F52EC2"/>
    <w:rsid w:val="00F52F37"/>
    <w:rsid w:val="00F5312A"/>
    <w:rsid w:val="00F53164"/>
    <w:rsid w:val="00F53194"/>
    <w:rsid w:val="00F53268"/>
    <w:rsid w:val="00F5337F"/>
    <w:rsid w:val="00F53380"/>
    <w:rsid w:val="00F533B6"/>
    <w:rsid w:val="00F5342C"/>
    <w:rsid w:val="00F53485"/>
    <w:rsid w:val="00F53558"/>
    <w:rsid w:val="00F53592"/>
    <w:rsid w:val="00F53614"/>
    <w:rsid w:val="00F536FE"/>
    <w:rsid w:val="00F53719"/>
    <w:rsid w:val="00F53A22"/>
    <w:rsid w:val="00F53B64"/>
    <w:rsid w:val="00F53C0D"/>
    <w:rsid w:val="00F53DFE"/>
    <w:rsid w:val="00F53E48"/>
    <w:rsid w:val="00F53F39"/>
    <w:rsid w:val="00F53FA9"/>
    <w:rsid w:val="00F53FBF"/>
    <w:rsid w:val="00F540AC"/>
    <w:rsid w:val="00F540AF"/>
    <w:rsid w:val="00F541A0"/>
    <w:rsid w:val="00F545D7"/>
    <w:rsid w:val="00F545E5"/>
    <w:rsid w:val="00F547AF"/>
    <w:rsid w:val="00F5485C"/>
    <w:rsid w:val="00F54967"/>
    <w:rsid w:val="00F54B0D"/>
    <w:rsid w:val="00F54B5B"/>
    <w:rsid w:val="00F54C34"/>
    <w:rsid w:val="00F55109"/>
    <w:rsid w:val="00F55120"/>
    <w:rsid w:val="00F55191"/>
    <w:rsid w:val="00F55404"/>
    <w:rsid w:val="00F557E4"/>
    <w:rsid w:val="00F55889"/>
    <w:rsid w:val="00F5593B"/>
    <w:rsid w:val="00F55B66"/>
    <w:rsid w:val="00F55BCC"/>
    <w:rsid w:val="00F55ED1"/>
    <w:rsid w:val="00F55EFB"/>
    <w:rsid w:val="00F55F70"/>
    <w:rsid w:val="00F55FA6"/>
    <w:rsid w:val="00F5625B"/>
    <w:rsid w:val="00F56262"/>
    <w:rsid w:val="00F56337"/>
    <w:rsid w:val="00F56616"/>
    <w:rsid w:val="00F567AD"/>
    <w:rsid w:val="00F567EF"/>
    <w:rsid w:val="00F5685B"/>
    <w:rsid w:val="00F56966"/>
    <w:rsid w:val="00F56998"/>
    <w:rsid w:val="00F569C8"/>
    <w:rsid w:val="00F56AA6"/>
    <w:rsid w:val="00F56BDE"/>
    <w:rsid w:val="00F56DEF"/>
    <w:rsid w:val="00F56E54"/>
    <w:rsid w:val="00F5711D"/>
    <w:rsid w:val="00F57299"/>
    <w:rsid w:val="00F573D8"/>
    <w:rsid w:val="00F5781F"/>
    <w:rsid w:val="00F5784F"/>
    <w:rsid w:val="00F57942"/>
    <w:rsid w:val="00F57A3F"/>
    <w:rsid w:val="00F57A82"/>
    <w:rsid w:val="00F57AFE"/>
    <w:rsid w:val="00F57C1F"/>
    <w:rsid w:val="00F57CB5"/>
    <w:rsid w:val="00F57E13"/>
    <w:rsid w:val="00F57EF0"/>
    <w:rsid w:val="00F60101"/>
    <w:rsid w:val="00F60180"/>
    <w:rsid w:val="00F601D9"/>
    <w:rsid w:val="00F602CF"/>
    <w:rsid w:val="00F60520"/>
    <w:rsid w:val="00F6073A"/>
    <w:rsid w:val="00F60923"/>
    <w:rsid w:val="00F60C6B"/>
    <w:rsid w:val="00F60D81"/>
    <w:rsid w:val="00F60F8C"/>
    <w:rsid w:val="00F6102D"/>
    <w:rsid w:val="00F611D7"/>
    <w:rsid w:val="00F611F8"/>
    <w:rsid w:val="00F6148D"/>
    <w:rsid w:val="00F61785"/>
    <w:rsid w:val="00F61A7D"/>
    <w:rsid w:val="00F61B34"/>
    <w:rsid w:val="00F61BE9"/>
    <w:rsid w:val="00F61D35"/>
    <w:rsid w:val="00F61D49"/>
    <w:rsid w:val="00F61D8E"/>
    <w:rsid w:val="00F61E35"/>
    <w:rsid w:val="00F61F13"/>
    <w:rsid w:val="00F61F5B"/>
    <w:rsid w:val="00F6200F"/>
    <w:rsid w:val="00F6205C"/>
    <w:rsid w:val="00F62390"/>
    <w:rsid w:val="00F624B3"/>
    <w:rsid w:val="00F624DE"/>
    <w:rsid w:val="00F62509"/>
    <w:rsid w:val="00F625B9"/>
    <w:rsid w:val="00F626FD"/>
    <w:rsid w:val="00F6289B"/>
    <w:rsid w:val="00F62911"/>
    <w:rsid w:val="00F62967"/>
    <w:rsid w:val="00F629AB"/>
    <w:rsid w:val="00F629F1"/>
    <w:rsid w:val="00F62AEB"/>
    <w:rsid w:val="00F62BC0"/>
    <w:rsid w:val="00F62DC2"/>
    <w:rsid w:val="00F62DD9"/>
    <w:rsid w:val="00F62E8D"/>
    <w:rsid w:val="00F62EAB"/>
    <w:rsid w:val="00F62F4C"/>
    <w:rsid w:val="00F6304C"/>
    <w:rsid w:val="00F6305F"/>
    <w:rsid w:val="00F63179"/>
    <w:rsid w:val="00F63189"/>
    <w:rsid w:val="00F63275"/>
    <w:rsid w:val="00F63373"/>
    <w:rsid w:val="00F63428"/>
    <w:rsid w:val="00F63433"/>
    <w:rsid w:val="00F6349F"/>
    <w:rsid w:val="00F635BF"/>
    <w:rsid w:val="00F6382B"/>
    <w:rsid w:val="00F63A94"/>
    <w:rsid w:val="00F63C76"/>
    <w:rsid w:val="00F63E29"/>
    <w:rsid w:val="00F63E44"/>
    <w:rsid w:val="00F6402B"/>
    <w:rsid w:val="00F64073"/>
    <w:rsid w:val="00F6408D"/>
    <w:rsid w:val="00F6417C"/>
    <w:rsid w:val="00F642CC"/>
    <w:rsid w:val="00F64334"/>
    <w:rsid w:val="00F6442D"/>
    <w:rsid w:val="00F644B1"/>
    <w:rsid w:val="00F644DC"/>
    <w:rsid w:val="00F646A2"/>
    <w:rsid w:val="00F64896"/>
    <w:rsid w:val="00F64944"/>
    <w:rsid w:val="00F64966"/>
    <w:rsid w:val="00F64B08"/>
    <w:rsid w:val="00F64E96"/>
    <w:rsid w:val="00F64F73"/>
    <w:rsid w:val="00F64F99"/>
    <w:rsid w:val="00F64FA0"/>
    <w:rsid w:val="00F650BE"/>
    <w:rsid w:val="00F65158"/>
    <w:rsid w:val="00F6523D"/>
    <w:rsid w:val="00F652A5"/>
    <w:rsid w:val="00F652D5"/>
    <w:rsid w:val="00F65540"/>
    <w:rsid w:val="00F65627"/>
    <w:rsid w:val="00F65638"/>
    <w:rsid w:val="00F656C6"/>
    <w:rsid w:val="00F6573B"/>
    <w:rsid w:val="00F65890"/>
    <w:rsid w:val="00F6590B"/>
    <w:rsid w:val="00F6592B"/>
    <w:rsid w:val="00F65A73"/>
    <w:rsid w:val="00F65B31"/>
    <w:rsid w:val="00F65BBF"/>
    <w:rsid w:val="00F65C1F"/>
    <w:rsid w:val="00F65C72"/>
    <w:rsid w:val="00F65CD1"/>
    <w:rsid w:val="00F65E4F"/>
    <w:rsid w:val="00F65FCE"/>
    <w:rsid w:val="00F660F2"/>
    <w:rsid w:val="00F66100"/>
    <w:rsid w:val="00F6612C"/>
    <w:rsid w:val="00F66387"/>
    <w:rsid w:val="00F6651D"/>
    <w:rsid w:val="00F666BA"/>
    <w:rsid w:val="00F66923"/>
    <w:rsid w:val="00F66A18"/>
    <w:rsid w:val="00F66BE3"/>
    <w:rsid w:val="00F66D86"/>
    <w:rsid w:val="00F66DFF"/>
    <w:rsid w:val="00F66E0E"/>
    <w:rsid w:val="00F66F34"/>
    <w:rsid w:val="00F67025"/>
    <w:rsid w:val="00F675EB"/>
    <w:rsid w:val="00F6771C"/>
    <w:rsid w:val="00F6785F"/>
    <w:rsid w:val="00F67A61"/>
    <w:rsid w:val="00F67B80"/>
    <w:rsid w:val="00F67DC0"/>
    <w:rsid w:val="00F67EF5"/>
    <w:rsid w:val="00F67FEC"/>
    <w:rsid w:val="00F70119"/>
    <w:rsid w:val="00F70295"/>
    <w:rsid w:val="00F703B3"/>
    <w:rsid w:val="00F704E1"/>
    <w:rsid w:val="00F704E2"/>
    <w:rsid w:val="00F7065B"/>
    <w:rsid w:val="00F7081F"/>
    <w:rsid w:val="00F708C7"/>
    <w:rsid w:val="00F709AE"/>
    <w:rsid w:val="00F709E2"/>
    <w:rsid w:val="00F70A6C"/>
    <w:rsid w:val="00F70B88"/>
    <w:rsid w:val="00F70D1F"/>
    <w:rsid w:val="00F70E43"/>
    <w:rsid w:val="00F70E53"/>
    <w:rsid w:val="00F70FB6"/>
    <w:rsid w:val="00F71159"/>
    <w:rsid w:val="00F712EF"/>
    <w:rsid w:val="00F714B1"/>
    <w:rsid w:val="00F715CC"/>
    <w:rsid w:val="00F716A9"/>
    <w:rsid w:val="00F71738"/>
    <w:rsid w:val="00F717F4"/>
    <w:rsid w:val="00F7189B"/>
    <w:rsid w:val="00F718B5"/>
    <w:rsid w:val="00F7193F"/>
    <w:rsid w:val="00F71A5A"/>
    <w:rsid w:val="00F71BD7"/>
    <w:rsid w:val="00F71EEB"/>
    <w:rsid w:val="00F72032"/>
    <w:rsid w:val="00F72055"/>
    <w:rsid w:val="00F72095"/>
    <w:rsid w:val="00F720BB"/>
    <w:rsid w:val="00F7223C"/>
    <w:rsid w:val="00F722E9"/>
    <w:rsid w:val="00F723E5"/>
    <w:rsid w:val="00F724F6"/>
    <w:rsid w:val="00F72587"/>
    <w:rsid w:val="00F726FA"/>
    <w:rsid w:val="00F72736"/>
    <w:rsid w:val="00F7286C"/>
    <w:rsid w:val="00F7291A"/>
    <w:rsid w:val="00F72B18"/>
    <w:rsid w:val="00F72B76"/>
    <w:rsid w:val="00F72C28"/>
    <w:rsid w:val="00F72CE7"/>
    <w:rsid w:val="00F72EA1"/>
    <w:rsid w:val="00F72F42"/>
    <w:rsid w:val="00F73189"/>
    <w:rsid w:val="00F734B3"/>
    <w:rsid w:val="00F73569"/>
    <w:rsid w:val="00F735CA"/>
    <w:rsid w:val="00F7362E"/>
    <w:rsid w:val="00F737BD"/>
    <w:rsid w:val="00F737FF"/>
    <w:rsid w:val="00F73804"/>
    <w:rsid w:val="00F73B2C"/>
    <w:rsid w:val="00F73BBA"/>
    <w:rsid w:val="00F73C3E"/>
    <w:rsid w:val="00F73C4F"/>
    <w:rsid w:val="00F73C5D"/>
    <w:rsid w:val="00F73C82"/>
    <w:rsid w:val="00F73D21"/>
    <w:rsid w:val="00F73EBA"/>
    <w:rsid w:val="00F73FAA"/>
    <w:rsid w:val="00F74011"/>
    <w:rsid w:val="00F742A7"/>
    <w:rsid w:val="00F742F2"/>
    <w:rsid w:val="00F74350"/>
    <w:rsid w:val="00F74513"/>
    <w:rsid w:val="00F74560"/>
    <w:rsid w:val="00F745D5"/>
    <w:rsid w:val="00F74600"/>
    <w:rsid w:val="00F74741"/>
    <w:rsid w:val="00F74941"/>
    <w:rsid w:val="00F74AA1"/>
    <w:rsid w:val="00F74BD9"/>
    <w:rsid w:val="00F74E61"/>
    <w:rsid w:val="00F74ED9"/>
    <w:rsid w:val="00F74FEB"/>
    <w:rsid w:val="00F74FEE"/>
    <w:rsid w:val="00F75020"/>
    <w:rsid w:val="00F750BB"/>
    <w:rsid w:val="00F750C8"/>
    <w:rsid w:val="00F75138"/>
    <w:rsid w:val="00F75188"/>
    <w:rsid w:val="00F751D5"/>
    <w:rsid w:val="00F753D0"/>
    <w:rsid w:val="00F755D4"/>
    <w:rsid w:val="00F75878"/>
    <w:rsid w:val="00F75920"/>
    <w:rsid w:val="00F75ADD"/>
    <w:rsid w:val="00F75B02"/>
    <w:rsid w:val="00F75C2C"/>
    <w:rsid w:val="00F75CEE"/>
    <w:rsid w:val="00F75D68"/>
    <w:rsid w:val="00F75DBF"/>
    <w:rsid w:val="00F75DE8"/>
    <w:rsid w:val="00F75E5B"/>
    <w:rsid w:val="00F75EF3"/>
    <w:rsid w:val="00F75F53"/>
    <w:rsid w:val="00F75F5D"/>
    <w:rsid w:val="00F7605E"/>
    <w:rsid w:val="00F760AD"/>
    <w:rsid w:val="00F76496"/>
    <w:rsid w:val="00F76667"/>
    <w:rsid w:val="00F76768"/>
    <w:rsid w:val="00F76798"/>
    <w:rsid w:val="00F7691C"/>
    <w:rsid w:val="00F76A05"/>
    <w:rsid w:val="00F76B8E"/>
    <w:rsid w:val="00F76BED"/>
    <w:rsid w:val="00F76C9A"/>
    <w:rsid w:val="00F76D59"/>
    <w:rsid w:val="00F76DE6"/>
    <w:rsid w:val="00F76EFE"/>
    <w:rsid w:val="00F76F1C"/>
    <w:rsid w:val="00F76F68"/>
    <w:rsid w:val="00F7704F"/>
    <w:rsid w:val="00F772AE"/>
    <w:rsid w:val="00F772F0"/>
    <w:rsid w:val="00F7735B"/>
    <w:rsid w:val="00F773D9"/>
    <w:rsid w:val="00F77704"/>
    <w:rsid w:val="00F77738"/>
    <w:rsid w:val="00F7791A"/>
    <w:rsid w:val="00F77ACC"/>
    <w:rsid w:val="00F77C61"/>
    <w:rsid w:val="00F77CED"/>
    <w:rsid w:val="00F77F09"/>
    <w:rsid w:val="00F77FD6"/>
    <w:rsid w:val="00F800D6"/>
    <w:rsid w:val="00F80108"/>
    <w:rsid w:val="00F801D0"/>
    <w:rsid w:val="00F801D7"/>
    <w:rsid w:val="00F80439"/>
    <w:rsid w:val="00F80622"/>
    <w:rsid w:val="00F80729"/>
    <w:rsid w:val="00F80786"/>
    <w:rsid w:val="00F807F9"/>
    <w:rsid w:val="00F8084F"/>
    <w:rsid w:val="00F80A1B"/>
    <w:rsid w:val="00F80BE3"/>
    <w:rsid w:val="00F80F03"/>
    <w:rsid w:val="00F81063"/>
    <w:rsid w:val="00F811F7"/>
    <w:rsid w:val="00F81221"/>
    <w:rsid w:val="00F812C4"/>
    <w:rsid w:val="00F81355"/>
    <w:rsid w:val="00F81379"/>
    <w:rsid w:val="00F8143A"/>
    <w:rsid w:val="00F81527"/>
    <w:rsid w:val="00F8155B"/>
    <w:rsid w:val="00F8179A"/>
    <w:rsid w:val="00F81937"/>
    <w:rsid w:val="00F81AAB"/>
    <w:rsid w:val="00F8218F"/>
    <w:rsid w:val="00F82196"/>
    <w:rsid w:val="00F82236"/>
    <w:rsid w:val="00F82385"/>
    <w:rsid w:val="00F82450"/>
    <w:rsid w:val="00F824C8"/>
    <w:rsid w:val="00F825BE"/>
    <w:rsid w:val="00F825F6"/>
    <w:rsid w:val="00F828F7"/>
    <w:rsid w:val="00F82A1F"/>
    <w:rsid w:val="00F82BDC"/>
    <w:rsid w:val="00F82CD8"/>
    <w:rsid w:val="00F82E11"/>
    <w:rsid w:val="00F82ECB"/>
    <w:rsid w:val="00F82F8F"/>
    <w:rsid w:val="00F830C1"/>
    <w:rsid w:val="00F833AF"/>
    <w:rsid w:val="00F83402"/>
    <w:rsid w:val="00F834C0"/>
    <w:rsid w:val="00F83510"/>
    <w:rsid w:val="00F83730"/>
    <w:rsid w:val="00F8389E"/>
    <w:rsid w:val="00F83955"/>
    <w:rsid w:val="00F83A78"/>
    <w:rsid w:val="00F83AA5"/>
    <w:rsid w:val="00F83C5F"/>
    <w:rsid w:val="00F83FEF"/>
    <w:rsid w:val="00F8400D"/>
    <w:rsid w:val="00F84141"/>
    <w:rsid w:val="00F84284"/>
    <w:rsid w:val="00F84398"/>
    <w:rsid w:val="00F84400"/>
    <w:rsid w:val="00F8441B"/>
    <w:rsid w:val="00F8445D"/>
    <w:rsid w:val="00F8447C"/>
    <w:rsid w:val="00F846DF"/>
    <w:rsid w:val="00F84819"/>
    <w:rsid w:val="00F8486A"/>
    <w:rsid w:val="00F849A2"/>
    <w:rsid w:val="00F84A93"/>
    <w:rsid w:val="00F84AC3"/>
    <w:rsid w:val="00F84C7A"/>
    <w:rsid w:val="00F850C3"/>
    <w:rsid w:val="00F85142"/>
    <w:rsid w:val="00F851F9"/>
    <w:rsid w:val="00F85466"/>
    <w:rsid w:val="00F854FF"/>
    <w:rsid w:val="00F85504"/>
    <w:rsid w:val="00F85548"/>
    <w:rsid w:val="00F856EB"/>
    <w:rsid w:val="00F8573C"/>
    <w:rsid w:val="00F85989"/>
    <w:rsid w:val="00F859A6"/>
    <w:rsid w:val="00F85B1B"/>
    <w:rsid w:val="00F85BE1"/>
    <w:rsid w:val="00F85CC5"/>
    <w:rsid w:val="00F85CF7"/>
    <w:rsid w:val="00F85E96"/>
    <w:rsid w:val="00F85F9E"/>
    <w:rsid w:val="00F86369"/>
    <w:rsid w:val="00F865F5"/>
    <w:rsid w:val="00F86633"/>
    <w:rsid w:val="00F866FD"/>
    <w:rsid w:val="00F867EA"/>
    <w:rsid w:val="00F8681F"/>
    <w:rsid w:val="00F86981"/>
    <w:rsid w:val="00F869C5"/>
    <w:rsid w:val="00F86A15"/>
    <w:rsid w:val="00F86B40"/>
    <w:rsid w:val="00F86BD0"/>
    <w:rsid w:val="00F86C89"/>
    <w:rsid w:val="00F8704F"/>
    <w:rsid w:val="00F87281"/>
    <w:rsid w:val="00F87296"/>
    <w:rsid w:val="00F8749C"/>
    <w:rsid w:val="00F87520"/>
    <w:rsid w:val="00F875BC"/>
    <w:rsid w:val="00F87663"/>
    <w:rsid w:val="00F8769F"/>
    <w:rsid w:val="00F8781B"/>
    <w:rsid w:val="00F8797C"/>
    <w:rsid w:val="00F87DC9"/>
    <w:rsid w:val="00F87F7B"/>
    <w:rsid w:val="00F87FBF"/>
    <w:rsid w:val="00F87FC9"/>
    <w:rsid w:val="00F9003F"/>
    <w:rsid w:val="00F9008C"/>
    <w:rsid w:val="00F90137"/>
    <w:rsid w:val="00F90255"/>
    <w:rsid w:val="00F90304"/>
    <w:rsid w:val="00F90426"/>
    <w:rsid w:val="00F90438"/>
    <w:rsid w:val="00F904F1"/>
    <w:rsid w:val="00F9068D"/>
    <w:rsid w:val="00F906B0"/>
    <w:rsid w:val="00F906FE"/>
    <w:rsid w:val="00F907EE"/>
    <w:rsid w:val="00F9083F"/>
    <w:rsid w:val="00F90920"/>
    <w:rsid w:val="00F90933"/>
    <w:rsid w:val="00F90A02"/>
    <w:rsid w:val="00F90A66"/>
    <w:rsid w:val="00F90C07"/>
    <w:rsid w:val="00F90C1B"/>
    <w:rsid w:val="00F90F15"/>
    <w:rsid w:val="00F90FCB"/>
    <w:rsid w:val="00F91365"/>
    <w:rsid w:val="00F913BC"/>
    <w:rsid w:val="00F9144A"/>
    <w:rsid w:val="00F91488"/>
    <w:rsid w:val="00F9148B"/>
    <w:rsid w:val="00F914DA"/>
    <w:rsid w:val="00F91537"/>
    <w:rsid w:val="00F91827"/>
    <w:rsid w:val="00F91955"/>
    <w:rsid w:val="00F919C1"/>
    <w:rsid w:val="00F91AE2"/>
    <w:rsid w:val="00F91B1F"/>
    <w:rsid w:val="00F91CBF"/>
    <w:rsid w:val="00F91E41"/>
    <w:rsid w:val="00F91FCD"/>
    <w:rsid w:val="00F921BA"/>
    <w:rsid w:val="00F922EC"/>
    <w:rsid w:val="00F922FC"/>
    <w:rsid w:val="00F9233B"/>
    <w:rsid w:val="00F92371"/>
    <w:rsid w:val="00F923FB"/>
    <w:rsid w:val="00F92474"/>
    <w:rsid w:val="00F927E1"/>
    <w:rsid w:val="00F928B1"/>
    <w:rsid w:val="00F9294C"/>
    <w:rsid w:val="00F92A6B"/>
    <w:rsid w:val="00F92AD4"/>
    <w:rsid w:val="00F92CE1"/>
    <w:rsid w:val="00F92EBF"/>
    <w:rsid w:val="00F92F0D"/>
    <w:rsid w:val="00F92F98"/>
    <w:rsid w:val="00F92FB9"/>
    <w:rsid w:val="00F930E0"/>
    <w:rsid w:val="00F932B9"/>
    <w:rsid w:val="00F932F0"/>
    <w:rsid w:val="00F932FF"/>
    <w:rsid w:val="00F93382"/>
    <w:rsid w:val="00F93420"/>
    <w:rsid w:val="00F9344F"/>
    <w:rsid w:val="00F93528"/>
    <w:rsid w:val="00F93559"/>
    <w:rsid w:val="00F93562"/>
    <w:rsid w:val="00F93579"/>
    <w:rsid w:val="00F9366E"/>
    <w:rsid w:val="00F93744"/>
    <w:rsid w:val="00F937C1"/>
    <w:rsid w:val="00F93805"/>
    <w:rsid w:val="00F93825"/>
    <w:rsid w:val="00F93B40"/>
    <w:rsid w:val="00F93BCF"/>
    <w:rsid w:val="00F93E40"/>
    <w:rsid w:val="00F9407B"/>
    <w:rsid w:val="00F940F6"/>
    <w:rsid w:val="00F9414A"/>
    <w:rsid w:val="00F94452"/>
    <w:rsid w:val="00F944C2"/>
    <w:rsid w:val="00F94623"/>
    <w:rsid w:val="00F94997"/>
    <w:rsid w:val="00F94AC1"/>
    <w:rsid w:val="00F94DC1"/>
    <w:rsid w:val="00F94F98"/>
    <w:rsid w:val="00F9508C"/>
    <w:rsid w:val="00F9517B"/>
    <w:rsid w:val="00F951C4"/>
    <w:rsid w:val="00F951EF"/>
    <w:rsid w:val="00F9534F"/>
    <w:rsid w:val="00F95392"/>
    <w:rsid w:val="00F953CF"/>
    <w:rsid w:val="00F954A2"/>
    <w:rsid w:val="00F954D4"/>
    <w:rsid w:val="00F9551E"/>
    <w:rsid w:val="00F95554"/>
    <w:rsid w:val="00F95580"/>
    <w:rsid w:val="00F9560E"/>
    <w:rsid w:val="00F95632"/>
    <w:rsid w:val="00F9598B"/>
    <w:rsid w:val="00F959BF"/>
    <w:rsid w:val="00F95B7F"/>
    <w:rsid w:val="00F95B96"/>
    <w:rsid w:val="00F95BF5"/>
    <w:rsid w:val="00F95CF0"/>
    <w:rsid w:val="00F95D1C"/>
    <w:rsid w:val="00F95F0C"/>
    <w:rsid w:val="00F95FD9"/>
    <w:rsid w:val="00F95FE2"/>
    <w:rsid w:val="00F96044"/>
    <w:rsid w:val="00F96233"/>
    <w:rsid w:val="00F96356"/>
    <w:rsid w:val="00F96AE0"/>
    <w:rsid w:val="00F96E33"/>
    <w:rsid w:val="00F97004"/>
    <w:rsid w:val="00F971E4"/>
    <w:rsid w:val="00F97257"/>
    <w:rsid w:val="00F9725C"/>
    <w:rsid w:val="00F9726C"/>
    <w:rsid w:val="00F972B8"/>
    <w:rsid w:val="00F97329"/>
    <w:rsid w:val="00F97330"/>
    <w:rsid w:val="00F97381"/>
    <w:rsid w:val="00F9748C"/>
    <w:rsid w:val="00F97601"/>
    <w:rsid w:val="00F97617"/>
    <w:rsid w:val="00F97702"/>
    <w:rsid w:val="00F97764"/>
    <w:rsid w:val="00F9779A"/>
    <w:rsid w:val="00F97891"/>
    <w:rsid w:val="00F97A32"/>
    <w:rsid w:val="00F97AC5"/>
    <w:rsid w:val="00F97B35"/>
    <w:rsid w:val="00F97B3F"/>
    <w:rsid w:val="00F97B79"/>
    <w:rsid w:val="00F97C38"/>
    <w:rsid w:val="00F97CF3"/>
    <w:rsid w:val="00F97F0A"/>
    <w:rsid w:val="00F97F4A"/>
    <w:rsid w:val="00FA002B"/>
    <w:rsid w:val="00FA00BB"/>
    <w:rsid w:val="00FA014B"/>
    <w:rsid w:val="00FA01A8"/>
    <w:rsid w:val="00FA0229"/>
    <w:rsid w:val="00FA02C7"/>
    <w:rsid w:val="00FA037E"/>
    <w:rsid w:val="00FA0484"/>
    <w:rsid w:val="00FA048B"/>
    <w:rsid w:val="00FA0667"/>
    <w:rsid w:val="00FA0708"/>
    <w:rsid w:val="00FA0955"/>
    <w:rsid w:val="00FA0A9D"/>
    <w:rsid w:val="00FA0C61"/>
    <w:rsid w:val="00FA0D8F"/>
    <w:rsid w:val="00FA0E42"/>
    <w:rsid w:val="00FA0E78"/>
    <w:rsid w:val="00FA120B"/>
    <w:rsid w:val="00FA123C"/>
    <w:rsid w:val="00FA1560"/>
    <w:rsid w:val="00FA15C7"/>
    <w:rsid w:val="00FA15F3"/>
    <w:rsid w:val="00FA16EF"/>
    <w:rsid w:val="00FA1BDE"/>
    <w:rsid w:val="00FA1D5D"/>
    <w:rsid w:val="00FA1D85"/>
    <w:rsid w:val="00FA1D8D"/>
    <w:rsid w:val="00FA1E30"/>
    <w:rsid w:val="00FA20D1"/>
    <w:rsid w:val="00FA2103"/>
    <w:rsid w:val="00FA21AC"/>
    <w:rsid w:val="00FA2258"/>
    <w:rsid w:val="00FA2330"/>
    <w:rsid w:val="00FA254F"/>
    <w:rsid w:val="00FA25F3"/>
    <w:rsid w:val="00FA2659"/>
    <w:rsid w:val="00FA2677"/>
    <w:rsid w:val="00FA2708"/>
    <w:rsid w:val="00FA287C"/>
    <w:rsid w:val="00FA29A7"/>
    <w:rsid w:val="00FA29F2"/>
    <w:rsid w:val="00FA2ABF"/>
    <w:rsid w:val="00FA2CF7"/>
    <w:rsid w:val="00FA2EC3"/>
    <w:rsid w:val="00FA2F3E"/>
    <w:rsid w:val="00FA30E2"/>
    <w:rsid w:val="00FA31D2"/>
    <w:rsid w:val="00FA332C"/>
    <w:rsid w:val="00FA3384"/>
    <w:rsid w:val="00FA345F"/>
    <w:rsid w:val="00FA34F3"/>
    <w:rsid w:val="00FA3766"/>
    <w:rsid w:val="00FA38D3"/>
    <w:rsid w:val="00FA397B"/>
    <w:rsid w:val="00FA3A1F"/>
    <w:rsid w:val="00FA3A20"/>
    <w:rsid w:val="00FA3A23"/>
    <w:rsid w:val="00FA3B32"/>
    <w:rsid w:val="00FA3DCA"/>
    <w:rsid w:val="00FA3F58"/>
    <w:rsid w:val="00FA3F63"/>
    <w:rsid w:val="00FA401F"/>
    <w:rsid w:val="00FA416C"/>
    <w:rsid w:val="00FA420F"/>
    <w:rsid w:val="00FA4279"/>
    <w:rsid w:val="00FA42F4"/>
    <w:rsid w:val="00FA4323"/>
    <w:rsid w:val="00FA452C"/>
    <w:rsid w:val="00FA459C"/>
    <w:rsid w:val="00FA45B7"/>
    <w:rsid w:val="00FA4817"/>
    <w:rsid w:val="00FA4905"/>
    <w:rsid w:val="00FA4948"/>
    <w:rsid w:val="00FA4A5F"/>
    <w:rsid w:val="00FA4BB6"/>
    <w:rsid w:val="00FA4C58"/>
    <w:rsid w:val="00FA4E34"/>
    <w:rsid w:val="00FA4F4C"/>
    <w:rsid w:val="00FA4FAE"/>
    <w:rsid w:val="00FA5314"/>
    <w:rsid w:val="00FA5422"/>
    <w:rsid w:val="00FA5439"/>
    <w:rsid w:val="00FA54A1"/>
    <w:rsid w:val="00FA5571"/>
    <w:rsid w:val="00FA55A6"/>
    <w:rsid w:val="00FA55BC"/>
    <w:rsid w:val="00FA55E1"/>
    <w:rsid w:val="00FA58EC"/>
    <w:rsid w:val="00FA5A0E"/>
    <w:rsid w:val="00FA5B47"/>
    <w:rsid w:val="00FA5BE8"/>
    <w:rsid w:val="00FA5D12"/>
    <w:rsid w:val="00FA5D54"/>
    <w:rsid w:val="00FA5D6C"/>
    <w:rsid w:val="00FA5EA7"/>
    <w:rsid w:val="00FA5F03"/>
    <w:rsid w:val="00FA5F72"/>
    <w:rsid w:val="00FA5FD7"/>
    <w:rsid w:val="00FA6013"/>
    <w:rsid w:val="00FA6130"/>
    <w:rsid w:val="00FA618E"/>
    <w:rsid w:val="00FA6532"/>
    <w:rsid w:val="00FA65AA"/>
    <w:rsid w:val="00FA65AB"/>
    <w:rsid w:val="00FA65FD"/>
    <w:rsid w:val="00FA6621"/>
    <w:rsid w:val="00FA6701"/>
    <w:rsid w:val="00FA67B5"/>
    <w:rsid w:val="00FA6907"/>
    <w:rsid w:val="00FA6BA9"/>
    <w:rsid w:val="00FA6BD5"/>
    <w:rsid w:val="00FA6C81"/>
    <w:rsid w:val="00FA6ECD"/>
    <w:rsid w:val="00FA6F25"/>
    <w:rsid w:val="00FA6F31"/>
    <w:rsid w:val="00FA700E"/>
    <w:rsid w:val="00FA701E"/>
    <w:rsid w:val="00FA7080"/>
    <w:rsid w:val="00FA717D"/>
    <w:rsid w:val="00FA71AC"/>
    <w:rsid w:val="00FA7251"/>
    <w:rsid w:val="00FA755E"/>
    <w:rsid w:val="00FA75A7"/>
    <w:rsid w:val="00FA7600"/>
    <w:rsid w:val="00FA76FC"/>
    <w:rsid w:val="00FA7796"/>
    <w:rsid w:val="00FA78B8"/>
    <w:rsid w:val="00FA7A11"/>
    <w:rsid w:val="00FA7A42"/>
    <w:rsid w:val="00FA7BC4"/>
    <w:rsid w:val="00FA7D59"/>
    <w:rsid w:val="00FA7EF6"/>
    <w:rsid w:val="00FA7F90"/>
    <w:rsid w:val="00FB0206"/>
    <w:rsid w:val="00FB04EE"/>
    <w:rsid w:val="00FB058C"/>
    <w:rsid w:val="00FB060D"/>
    <w:rsid w:val="00FB0617"/>
    <w:rsid w:val="00FB076F"/>
    <w:rsid w:val="00FB09E6"/>
    <w:rsid w:val="00FB0A6C"/>
    <w:rsid w:val="00FB0B64"/>
    <w:rsid w:val="00FB0C2A"/>
    <w:rsid w:val="00FB0CD6"/>
    <w:rsid w:val="00FB0D33"/>
    <w:rsid w:val="00FB0DA8"/>
    <w:rsid w:val="00FB0F36"/>
    <w:rsid w:val="00FB0FA6"/>
    <w:rsid w:val="00FB0FD7"/>
    <w:rsid w:val="00FB106B"/>
    <w:rsid w:val="00FB1298"/>
    <w:rsid w:val="00FB1416"/>
    <w:rsid w:val="00FB1491"/>
    <w:rsid w:val="00FB162F"/>
    <w:rsid w:val="00FB189C"/>
    <w:rsid w:val="00FB18EA"/>
    <w:rsid w:val="00FB18EC"/>
    <w:rsid w:val="00FB1903"/>
    <w:rsid w:val="00FB1A6E"/>
    <w:rsid w:val="00FB1D76"/>
    <w:rsid w:val="00FB1E65"/>
    <w:rsid w:val="00FB1F0E"/>
    <w:rsid w:val="00FB1FB3"/>
    <w:rsid w:val="00FB1FFF"/>
    <w:rsid w:val="00FB202F"/>
    <w:rsid w:val="00FB20D1"/>
    <w:rsid w:val="00FB2167"/>
    <w:rsid w:val="00FB24CB"/>
    <w:rsid w:val="00FB2524"/>
    <w:rsid w:val="00FB28A5"/>
    <w:rsid w:val="00FB29BE"/>
    <w:rsid w:val="00FB2AE3"/>
    <w:rsid w:val="00FB2C98"/>
    <w:rsid w:val="00FB2CE9"/>
    <w:rsid w:val="00FB2E13"/>
    <w:rsid w:val="00FB32B9"/>
    <w:rsid w:val="00FB32E5"/>
    <w:rsid w:val="00FB32F7"/>
    <w:rsid w:val="00FB330B"/>
    <w:rsid w:val="00FB350B"/>
    <w:rsid w:val="00FB3773"/>
    <w:rsid w:val="00FB378A"/>
    <w:rsid w:val="00FB382E"/>
    <w:rsid w:val="00FB3834"/>
    <w:rsid w:val="00FB3892"/>
    <w:rsid w:val="00FB38D1"/>
    <w:rsid w:val="00FB3CEA"/>
    <w:rsid w:val="00FB3E8D"/>
    <w:rsid w:val="00FB3FDA"/>
    <w:rsid w:val="00FB4161"/>
    <w:rsid w:val="00FB4172"/>
    <w:rsid w:val="00FB41EC"/>
    <w:rsid w:val="00FB4363"/>
    <w:rsid w:val="00FB437A"/>
    <w:rsid w:val="00FB44A2"/>
    <w:rsid w:val="00FB47B4"/>
    <w:rsid w:val="00FB47D8"/>
    <w:rsid w:val="00FB4804"/>
    <w:rsid w:val="00FB4999"/>
    <w:rsid w:val="00FB4BB5"/>
    <w:rsid w:val="00FB4BFD"/>
    <w:rsid w:val="00FB4C75"/>
    <w:rsid w:val="00FB4CD3"/>
    <w:rsid w:val="00FB4D23"/>
    <w:rsid w:val="00FB4F63"/>
    <w:rsid w:val="00FB4F64"/>
    <w:rsid w:val="00FB50B5"/>
    <w:rsid w:val="00FB52A3"/>
    <w:rsid w:val="00FB53A4"/>
    <w:rsid w:val="00FB5503"/>
    <w:rsid w:val="00FB56C2"/>
    <w:rsid w:val="00FB5908"/>
    <w:rsid w:val="00FB59CF"/>
    <w:rsid w:val="00FB5A0B"/>
    <w:rsid w:val="00FB5AB0"/>
    <w:rsid w:val="00FB5C60"/>
    <w:rsid w:val="00FB5CA8"/>
    <w:rsid w:val="00FB5DCC"/>
    <w:rsid w:val="00FB5E71"/>
    <w:rsid w:val="00FB5F14"/>
    <w:rsid w:val="00FB61B7"/>
    <w:rsid w:val="00FB6205"/>
    <w:rsid w:val="00FB6232"/>
    <w:rsid w:val="00FB6347"/>
    <w:rsid w:val="00FB64E9"/>
    <w:rsid w:val="00FB6768"/>
    <w:rsid w:val="00FB678E"/>
    <w:rsid w:val="00FB67CE"/>
    <w:rsid w:val="00FB685A"/>
    <w:rsid w:val="00FB6958"/>
    <w:rsid w:val="00FB6B82"/>
    <w:rsid w:val="00FB6D74"/>
    <w:rsid w:val="00FB6EF8"/>
    <w:rsid w:val="00FB6F8C"/>
    <w:rsid w:val="00FB6FF3"/>
    <w:rsid w:val="00FB70BF"/>
    <w:rsid w:val="00FB71C1"/>
    <w:rsid w:val="00FB71F0"/>
    <w:rsid w:val="00FB72CA"/>
    <w:rsid w:val="00FB7475"/>
    <w:rsid w:val="00FB7564"/>
    <w:rsid w:val="00FB75DA"/>
    <w:rsid w:val="00FB76B6"/>
    <w:rsid w:val="00FB78D9"/>
    <w:rsid w:val="00FB78DE"/>
    <w:rsid w:val="00FB7935"/>
    <w:rsid w:val="00FB7B0A"/>
    <w:rsid w:val="00FB7B38"/>
    <w:rsid w:val="00FB7CED"/>
    <w:rsid w:val="00FC00E4"/>
    <w:rsid w:val="00FC0111"/>
    <w:rsid w:val="00FC01E2"/>
    <w:rsid w:val="00FC0256"/>
    <w:rsid w:val="00FC0318"/>
    <w:rsid w:val="00FC048F"/>
    <w:rsid w:val="00FC06A8"/>
    <w:rsid w:val="00FC06F0"/>
    <w:rsid w:val="00FC0808"/>
    <w:rsid w:val="00FC0855"/>
    <w:rsid w:val="00FC091B"/>
    <w:rsid w:val="00FC0A0D"/>
    <w:rsid w:val="00FC0B4E"/>
    <w:rsid w:val="00FC0B72"/>
    <w:rsid w:val="00FC0E55"/>
    <w:rsid w:val="00FC100D"/>
    <w:rsid w:val="00FC1056"/>
    <w:rsid w:val="00FC1105"/>
    <w:rsid w:val="00FC11C7"/>
    <w:rsid w:val="00FC1346"/>
    <w:rsid w:val="00FC13FF"/>
    <w:rsid w:val="00FC1435"/>
    <w:rsid w:val="00FC15AB"/>
    <w:rsid w:val="00FC15B0"/>
    <w:rsid w:val="00FC171F"/>
    <w:rsid w:val="00FC18F2"/>
    <w:rsid w:val="00FC1BF4"/>
    <w:rsid w:val="00FC1E1D"/>
    <w:rsid w:val="00FC1E38"/>
    <w:rsid w:val="00FC1ED9"/>
    <w:rsid w:val="00FC1F55"/>
    <w:rsid w:val="00FC204F"/>
    <w:rsid w:val="00FC2311"/>
    <w:rsid w:val="00FC2364"/>
    <w:rsid w:val="00FC2630"/>
    <w:rsid w:val="00FC26A1"/>
    <w:rsid w:val="00FC28A3"/>
    <w:rsid w:val="00FC2996"/>
    <w:rsid w:val="00FC2A54"/>
    <w:rsid w:val="00FC2A8E"/>
    <w:rsid w:val="00FC2DA1"/>
    <w:rsid w:val="00FC2DD7"/>
    <w:rsid w:val="00FC2EBE"/>
    <w:rsid w:val="00FC2EC3"/>
    <w:rsid w:val="00FC3030"/>
    <w:rsid w:val="00FC3034"/>
    <w:rsid w:val="00FC3082"/>
    <w:rsid w:val="00FC30F2"/>
    <w:rsid w:val="00FC326B"/>
    <w:rsid w:val="00FC328B"/>
    <w:rsid w:val="00FC3395"/>
    <w:rsid w:val="00FC33AD"/>
    <w:rsid w:val="00FC344B"/>
    <w:rsid w:val="00FC3464"/>
    <w:rsid w:val="00FC350E"/>
    <w:rsid w:val="00FC3687"/>
    <w:rsid w:val="00FC393B"/>
    <w:rsid w:val="00FC397A"/>
    <w:rsid w:val="00FC398D"/>
    <w:rsid w:val="00FC3B12"/>
    <w:rsid w:val="00FC3C39"/>
    <w:rsid w:val="00FC3CC9"/>
    <w:rsid w:val="00FC3D17"/>
    <w:rsid w:val="00FC3D9F"/>
    <w:rsid w:val="00FC3EC6"/>
    <w:rsid w:val="00FC3F89"/>
    <w:rsid w:val="00FC40FA"/>
    <w:rsid w:val="00FC4185"/>
    <w:rsid w:val="00FC41C6"/>
    <w:rsid w:val="00FC420F"/>
    <w:rsid w:val="00FC4315"/>
    <w:rsid w:val="00FC43C1"/>
    <w:rsid w:val="00FC4415"/>
    <w:rsid w:val="00FC441B"/>
    <w:rsid w:val="00FC4422"/>
    <w:rsid w:val="00FC442D"/>
    <w:rsid w:val="00FC451F"/>
    <w:rsid w:val="00FC45AC"/>
    <w:rsid w:val="00FC4651"/>
    <w:rsid w:val="00FC4755"/>
    <w:rsid w:val="00FC4769"/>
    <w:rsid w:val="00FC4923"/>
    <w:rsid w:val="00FC4AF1"/>
    <w:rsid w:val="00FC4BF2"/>
    <w:rsid w:val="00FC4C24"/>
    <w:rsid w:val="00FC4EE2"/>
    <w:rsid w:val="00FC513E"/>
    <w:rsid w:val="00FC5177"/>
    <w:rsid w:val="00FC559A"/>
    <w:rsid w:val="00FC55BB"/>
    <w:rsid w:val="00FC55FC"/>
    <w:rsid w:val="00FC563A"/>
    <w:rsid w:val="00FC5733"/>
    <w:rsid w:val="00FC57DB"/>
    <w:rsid w:val="00FC583E"/>
    <w:rsid w:val="00FC5B4B"/>
    <w:rsid w:val="00FC5B5A"/>
    <w:rsid w:val="00FC5C13"/>
    <w:rsid w:val="00FC5D2C"/>
    <w:rsid w:val="00FC5E2F"/>
    <w:rsid w:val="00FC61E5"/>
    <w:rsid w:val="00FC62EF"/>
    <w:rsid w:val="00FC6397"/>
    <w:rsid w:val="00FC6556"/>
    <w:rsid w:val="00FC6602"/>
    <w:rsid w:val="00FC6632"/>
    <w:rsid w:val="00FC6639"/>
    <w:rsid w:val="00FC663C"/>
    <w:rsid w:val="00FC6666"/>
    <w:rsid w:val="00FC671B"/>
    <w:rsid w:val="00FC6796"/>
    <w:rsid w:val="00FC67FD"/>
    <w:rsid w:val="00FC6C6E"/>
    <w:rsid w:val="00FC6D36"/>
    <w:rsid w:val="00FC6D3B"/>
    <w:rsid w:val="00FC6DA8"/>
    <w:rsid w:val="00FC6E34"/>
    <w:rsid w:val="00FC6F6B"/>
    <w:rsid w:val="00FC6FBE"/>
    <w:rsid w:val="00FC733B"/>
    <w:rsid w:val="00FC736E"/>
    <w:rsid w:val="00FC73B8"/>
    <w:rsid w:val="00FC767A"/>
    <w:rsid w:val="00FC76A1"/>
    <w:rsid w:val="00FC78C5"/>
    <w:rsid w:val="00FC7914"/>
    <w:rsid w:val="00FC7A8D"/>
    <w:rsid w:val="00FC7F1A"/>
    <w:rsid w:val="00FC7F52"/>
    <w:rsid w:val="00FD0245"/>
    <w:rsid w:val="00FD05F2"/>
    <w:rsid w:val="00FD0622"/>
    <w:rsid w:val="00FD0686"/>
    <w:rsid w:val="00FD077E"/>
    <w:rsid w:val="00FD07C8"/>
    <w:rsid w:val="00FD0AC8"/>
    <w:rsid w:val="00FD0C1C"/>
    <w:rsid w:val="00FD0CC2"/>
    <w:rsid w:val="00FD0D64"/>
    <w:rsid w:val="00FD0F0F"/>
    <w:rsid w:val="00FD0F20"/>
    <w:rsid w:val="00FD10C6"/>
    <w:rsid w:val="00FD1142"/>
    <w:rsid w:val="00FD1226"/>
    <w:rsid w:val="00FD1244"/>
    <w:rsid w:val="00FD127E"/>
    <w:rsid w:val="00FD129F"/>
    <w:rsid w:val="00FD12B8"/>
    <w:rsid w:val="00FD13AC"/>
    <w:rsid w:val="00FD1522"/>
    <w:rsid w:val="00FD1565"/>
    <w:rsid w:val="00FD1581"/>
    <w:rsid w:val="00FD19ED"/>
    <w:rsid w:val="00FD1B1A"/>
    <w:rsid w:val="00FD1B6D"/>
    <w:rsid w:val="00FD1BD5"/>
    <w:rsid w:val="00FD2071"/>
    <w:rsid w:val="00FD2189"/>
    <w:rsid w:val="00FD232D"/>
    <w:rsid w:val="00FD2603"/>
    <w:rsid w:val="00FD2662"/>
    <w:rsid w:val="00FD271A"/>
    <w:rsid w:val="00FD2842"/>
    <w:rsid w:val="00FD285F"/>
    <w:rsid w:val="00FD2894"/>
    <w:rsid w:val="00FD29C6"/>
    <w:rsid w:val="00FD29F1"/>
    <w:rsid w:val="00FD2AB0"/>
    <w:rsid w:val="00FD2B9C"/>
    <w:rsid w:val="00FD2BA4"/>
    <w:rsid w:val="00FD2D71"/>
    <w:rsid w:val="00FD2E31"/>
    <w:rsid w:val="00FD2F50"/>
    <w:rsid w:val="00FD3095"/>
    <w:rsid w:val="00FD30F0"/>
    <w:rsid w:val="00FD30FC"/>
    <w:rsid w:val="00FD3120"/>
    <w:rsid w:val="00FD31E2"/>
    <w:rsid w:val="00FD32A0"/>
    <w:rsid w:val="00FD32BE"/>
    <w:rsid w:val="00FD32C2"/>
    <w:rsid w:val="00FD3547"/>
    <w:rsid w:val="00FD371D"/>
    <w:rsid w:val="00FD389E"/>
    <w:rsid w:val="00FD38EA"/>
    <w:rsid w:val="00FD391C"/>
    <w:rsid w:val="00FD3937"/>
    <w:rsid w:val="00FD3941"/>
    <w:rsid w:val="00FD39F2"/>
    <w:rsid w:val="00FD3E67"/>
    <w:rsid w:val="00FD3EC4"/>
    <w:rsid w:val="00FD3EC9"/>
    <w:rsid w:val="00FD4150"/>
    <w:rsid w:val="00FD41CA"/>
    <w:rsid w:val="00FD41D5"/>
    <w:rsid w:val="00FD42EA"/>
    <w:rsid w:val="00FD4362"/>
    <w:rsid w:val="00FD452B"/>
    <w:rsid w:val="00FD4559"/>
    <w:rsid w:val="00FD456E"/>
    <w:rsid w:val="00FD476E"/>
    <w:rsid w:val="00FD4842"/>
    <w:rsid w:val="00FD4852"/>
    <w:rsid w:val="00FD48C4"/>
    <w:rsid w:val="00FD495A"/>
    <w:rsid w:val="00FD4ACF"/>
    <w:rsid w:val="00FD4B0D"/>
    <w:rsid w:val="00FD4B1B"/>
    <w:rsid w:val="00FD4D10"/>
    <w:rsid w:val="00FD4E46"/>
    <w:rsid w:val="00FD4ED4"/>
    <w:rsid w:val="00FD4F09"/>
    <w:rsid w:val="00FD5037"/>
    <w:rsid w:val="00FD505B"/>
    <w:rsid w:val="00FD50A3"/>
    <w:rsid w:val="00FD50F0"/>
    <w:rsid w:val="00FD5306"/>
    <w:rsid w:val="00FD542E"/>
    <w:rsid w:val="00FD558C"/>
    <w:rsid w:val="00FD558F"/>
    <w:rsid w:val="00FD55AB"/>
    <w:rsid w:val="00FD55C1"/>
    <w:rsid w:val="00FD568C"/>
    <w:rsid w:val="00FD56FC"/>
    <w:rsid w:val="00FD572D"/>
    <w:rsid w:val="00FD5769"/>
    <w:rsid w:val="00FD5842"/>
    <w:rsid w:val="00FD58B0"/>
    <w:rsid w:val="00FD5966"/>
    <w:rsid w:val="00FD5A31"/>
    <w:rsid w:val="00FD5A68"/>
    <w:rsid w:val="00FD5B20"/>
    <w:rsid w:val="00FD5BF5"/>
    <w:rsid w:val="00FD5E01"/>
    <w:rsid w:val="00FD5EA7"/>
    <w:rsid w:val="00FD6315"/>
    <w:rsid w:val="00FD635D"/>
    <w:rsid w:val="00FD649C"/>
    <w:rsid w:val="00FD6687"/>
    <w:rsid w:val="00FD676E"/>
    <w:rsid w:val="00FD686D"/>
    <w:rsid w:val="00FD68AD"/>
    <w:rsid w:val="00FD69A2"/>
    <w:rsid w:val="00FD6A86"/>
    <w:rsid w:val="00FD6AA0"/>
    <w:rsid w:val="00FD6AA1"/>
    <w:rsid w:val="00FD6AD6"/>
    <w:rsid w:val="00FD6B13"/>
    <w:rsid w:val="00FD6B1E"/>
    <w:rsid w:val="00FD6B6B"/>
    <w:rsid w:val="00FD6CB4"/>
    <w:rsid w:val="00FD6CCC"/>
    <w:rsid w:val="00FD6DCD"/>
    <w:rsid w:val="00FD6E0D"/>
    <w:rsid w:val="00FD6EEE"/>
    <w:rsid w:val="00FD6F35"/>
    <w:rsid w:val="00FD6F5C"/>
    <w:rsid w:val="00FD718F"/>
    <w:rsid w:val="00FD724A"/>
    <w:rsid w:val="00FD726D"/>
    <w:rsid w:val="00FD72EB"/>
    <w:rsid w:val="00FD730C"/>
    <w:rsid w:val="00FD737D"/>
    <w:rsid w:val="00FD7578"/>
    <w:rsid w:val="00FD75A4"/>
    <w:rsid w:val="00FD762C"/>
    <w:rsid w:val="00FD76D1"/>
    <w:rsid w:val="00FD77F0"/>
    <w:rsid w:val="00FD7949"/>
    <w:rsid w:val="00FD7A5A"/>
    <w:rsid w:val="00FD7CB9"/>
    <w:rsid w:val="00FD7DBC"/>
    <w:rsid w:val="00FD7E19"/>
    <w:rsid w:val="00FD7F60"/>
    <w:rsid w:val="00FD7F74"/>
    <w:rsid w:val="00FE0072"/>
    <w:rsid w:val="00FE0094"/>
    <w:rsid w:val="00FE00B2"/>
    <w:rsid w:val="00FE0109"/>
    <w:rsid w:val="00FE0124"/>
    <w:rsid w:val="00FE020D"/>
    <w:rsid w:val="00FE0248"/>
    <w:rsid w:val="00FE024A"/>
    <w:rsid w:val="00FE0279"/>
    <w:rsid w:val="00FE02C4"/>
    <w:rsid w:val="00FE0474"/>
    <w:rsid w:val="00FE05C0"/>
    <w:rsid w:val="00FE0601"/>
    <w:rsid w:val="00FE07C6"/>
    <w:rsid w:val="00FE08AB"/>
    <w:rsid w:val="00FE08E7"/>
    <w:rsid w:val="00FE0A45"/>
    <w:rsid w:val="00FE0B2E"/>
    <w:rsid w:val="00FE0C00"/>
    <w:rsid w:val="00FE1100"/>
    <w:rsid w:val="00FE11CD"/>
    <w:rsid w:val="00FE125F"/>
    <w:rsid w:val="00FE131E"/>
    <w:rsid w:val="00FE1337"/>
    <w:rsid w:val="00FE1459"/>
    <w:rsid w:val="00FE15A4"/>
    <w:rsid w:val="00FE16A7"/>
    <w:rsid w:val="00FE16B5"/>
    <w:rsid w:val="00FE18A9"/>
    <w:rsid w:val="00FE197A"/>
    <w:rsid w:val="00FE1AAD"/>
    <w:rsid w:val="00FE1BA4"/>
    <w:rsid w:val="00FE1BDE"/>
    <w:rsid w:val="00FE1C3A"/>
    <w:rsid w:val="00FE2043"/>
    <w:rsid w:val="00FE20A2"/>
    <w:rsid w:val="00FE20EC"/>
    <w:rsid w:val="00FE210A"/>
    <w:rsid w:val="00FE219F"/>
    <w:rsid w:val="00FE22F6"/>
    <w:rsid w:val="00FE230C"/>
    <w:rsid w:val="00FE238E"/>
    <w:rsid w:val="00FE26EB"/>
    <w:rsid w:val="00FE28CA"/>
    <w:rsid w:val="00FE2954"/>
    <w:rsid w:val="00FE2A66"/>
    <w:rsid w:val="00FE2B25"/>
    <w:rsid w:val="00FE2C49"/>
    <w:rsid w:val="00FE2CDC"/>
    <w:rsid w:val="00FE2EFD"/>
    <w:rsid w:val="00FE32AF"/>
    <w:rsid w:val="00FE34AD"/>
    <w:rsid w:val="00FE36CC"/>
    <w:rsid w:val="00FE36EB"/>
    <w:rsid w:val="00FE3733"/>
    <w:rsid w:val="00FE37CA"/>
    <w:rsid w:val="00FE37D3"/>
    <w:rsid w:val="00FE3810"/>
    <w:rsid w:val="00FE38EC"/>
    <w:rsid w:val="00FE3989"/>
    <w:rsid w:val="00FE3AC6"/>
    <w:rsid w:val="00FE3C8E"/>
    <w:rsid w:val="00FE3CFA"/>
    <w:rsid w:val="00FE3D23"/>
    <w:rsid w:val="00FE3F0E"/>
    <w:rsid w:val="00FE3F15"/>
    <w:rsid w:val="00FE3FBC"/>
    <w:rsid w:val="00FE4012"/>
    <w:rsid w:val="00FE4208"/>
    <w:rsid w:val="00FE4359"/>
    <w:rsid w:val="00FE43DE"/>
    <w:rsid w:val="00FE4453"/>
    <w:rsid w:val="00FE44A4"/>
    <w:rsid w:val="00FE44AF"/>
    <w:rsid w:val="00FE454F"/>
    <w:rsid w:val="00FE457C"/>
    <w:rsid w:val="00FE4584"/>
    <w:rsid w:val="00FE45B1"/>
    <w:rsid w:val="00FE45FA"/>
    <w:rsid w:val="00FE4659"/>
    <w:rsid w:val="00FE46A6"/>
    <w:rsid w:val="00FE46E3"/>
    <w:rsid w:val="00FE4848"/>
    <w:rsid w:val="00FE4898"/>
    <w:rsid w:val="00FE49FF"/>
    <w:rsid w:val="00FE4B01"/>
    <w:rsid w:val="00FE4CCB"/>
    <w:rsid w:val="00FE4D76"/>
    <w:rsid w:val="00FE5042"/>
    <w:rsid w:val="00FE5093"/>
    <w:rsid w:val="00FE50CB"/>
    <w:rsid w:val="00FE518A"/>
    <w:rsid w:val="00FE51DF"/>
    <w:rsid w:val="00FE5232"/>
    <w:rsid w:val="00FE52B0"/>
    <w:rsid w:val="00FE5383"/>
    <w:rsid w:val="00FE5472"/>
    <w:rsid w:val="00FE54B9"/>
    <w:rsid w:val="00FE5607"/>
    <w:rsid w:val="00FE560C"/>
    <w:rsid w:val="00FE560D"/>
    <w:rsid w:val="00FE56A8"/>
    <w:rsid w:val="00FE579A"/>
    <w:rsid w:val="00FE5908"/>
    <w:rsid w:val="00FE59A1"/>
    <w:rsid w:val="00FE59EB"/>
    <w:rsid w:val="00FE5A8F"/>
    <w:rsid w:val="00FE5AA7"/>
    <w:rsid w:val="00FE5BEB"/>
    <w:rsid w:val="00FE5F60"/>
    <w:rsid w:val="00FE6031"/>
    <w:rsid w:val="00FE61DC"/>
    <w:rsid w:val="00FE63B9"/>
    <w:rsid w:val="00FE64A8"/>
    <w:rsid w:val="00FE665C"/>
    <w:rsid w:val="00FE6687"/>
    <w:rsid w:val="00FE690D"/>
    <w:rsid w:val="00FE69D1"/>
    <w:rsid w:val="00FE6D43"/>
    <w:rsid w:val="00FE7060"/>
    <w:rsid w:val="00FE71F5"/>
    <w:rsid w:val="00FE7265"/>
    <w:rsid w:val="00FE7310"/>
    <w:rsid w:val="00FE739F"/>
    <w:rsid w:val="00FE747A"/>
    <w:rsid w:val="00FE77D8"/>
    <w:rsid w:val="00FE7AE6"/>
    <w:rsid w:val="00FE7C3E"/>
    <w:rsid w:val="00FE7C7E"/>
    <w:rsid w:val="00FE7C99"/>
    <w:rsid w:val="00FE7EBF"/>
    <w:rsid w:val="00FE7FFB"/>
    <w:rsid w:val="00FF0080"/>
    <w:rsid w:val="00FF01ED"/>
    <w:rsid w:val="00FF044A"/>
    <w:rsid w:val="00FF054A"/>
    <w:rsid w:val="00FF0690"/>
    <w:rsid w:val="00FF0A63"/>
    <w:rsid w:val="00FF0AFF"/>
    <w:rsid w:val="00FF0BF5"/>
    <w:rsid w:val="00FF0D7D"/>
    <w:rsid w:val="00FF1181"/>
    <w:rsid w:val="00FF11F9"/>
    <w:rsid w:val="00FF1419"/>
    <w:rsid w:val="00FF1617"/>
    <w:rsid w:val="00FF17EB"/>
    <w:rsid w:val="00FF1870"/>
    <w:rsid w:val="00FF18F1"/>
    <w:rsid w:val="00FF1959"/>
    <w:rsid w:val="00FF195F"/>
    <w:rsid w:val="00FF19B5"/>
    <w:rsid w:val="00FF1A32"/>
    <w:rsid w:val="00FF1AFB"/>
    <w:rsid w:val="00FF1B30"/>
    <w:rsid w:val="00FF1F02"/>
    <w:rsid w:val="00FF1F86"/>
    <w:rsid w:val="00FF226F"/>
    <w:rsid w:val="00FF22B5"/>
    <w:rsid w:val="00FF2385"/>
    <w:rsid w:val="00FF244B"/>
    <w:rsid w:val="00FF2482"/>
    <w:rsid w:val="00FF2488"/>
    <w:rsid w:val="00FF27E1"/>
    <w:rsid w:val="00FF28B0"/>
    <w:rsid w:val="00FF2B7A"/>
    <w:rsid w:val="00FF2B8F"/>
    <w:rsid w:val="00FF2C7A"/>
    <w:rsid w:val="00FF2CEA"/>
    <w:rsid w:val="00FF2D6E"/>
    <w:rsid w:val="00FF2F39"/>
    <w:rsid w:val="00FF3116"/>
    <w:rsid w:val="00FF3173"/>
    <w:rsid w:val="00FF31B2"/>
    <w:rsid w:val="00FF32F5"/>
    <w:rsid w:val="00FF3324"/>
    <w:rsid w:val="00FF33DE"/>
    <w:rsid w:val="00FF3421"/>
    <w:rsid w:val="00FF346B"/>
    <w:rsid w:val="00FF36CF"/>
    <w:rsid w:val="00FF3813"/>
    <w:rsid w:val="00FF3823"/>
    <w:rsid w:val="00FF3889"/>
    <w:rsid w:val="00FF3A25"/>
    <w:rsid w:val="00FF3BFB"/>
    <w:rsid w:val="00FF3CAF"/>
    <w:rsid w:val="00FF3D2B"/>
    <w:rsid w:val="00FF3D5E"/>
    <w:rsid w:val="00FF3E1E"/>
    <w:rsid w:val="00FF3EAC"/>
    <w:rsid w:val="00FF3F3C"/>
    <w:rsid w:val="00FF3F7B"/>
    <w:rsid w:val="00FF4093"/>
    <w:rsid w:val="00FF40F2"/>
    <w:rsid w:val="00FF40FF"/>
    <w:rsid w:val="00FF4196"/>
    <w:rsid w:val="00FF431A"/>
    <w:rsid w:val="00FF44D6"/>
    <w:rsid w:val="00FF44DC"/>
    <w:rsid w:val="00FF46D0"/>
    <w:rsid w:val="00FF48B0"/>
    <w:rsid w:val="00FF498F"/>
    <w:rsid w:val="00FF49D2"/>
    <w:rsid w:val="00FF4A92"/>
    <w:rsid w:val="00FF4B5B"/>
    <w:rsid w:val="00FF4B84"/>
    <w:rsid w:val="00FF4BB9"/>
    <w:rsid w:val="00FF4C5F"/>
    <w:rsid w:val="00FF4FC7"/>
    <w:rsid w:val="00FF5222"/>
    <w:rsid w:val="00FF539E"/>
    <w:rsid w:val="00FF53A2"/>
    <w:rsid w:val="00FF5536"/>
    <w:rsid w:val="00FF557A"/>
    <w:rsid w:val="00FF567F"/>
    <w:rsid w:val="00FF5697"/>
    <w:rsid w:val="00FF56AB"/>
    <w:rsid w:val="00FF575B"/>
    <w:rsid w:val="00FF586F"/>
    <w:rsid w:val="00FF58EB"/>
    <w:rsid w:val="00FF59A0"/>
    <w:rsid w:val="00FF5A2A"/>
    <w:rsid w:val="00FF5BFE"/>
    <w:rsid w:val="00FF5CDC"/>
    <w:rsid w:val="00FF5D37"/>
    <w:rsid w:val="00FF5E0D"/>
    <w:rsid w:val="00FF5E96"/>
    <w:rsid w:val="00FF60EC"/>
    <w:rsid w:val="00FF6179"/>
    <w:rsid w:val="00FF62D0"/>
    <w:rsid w:val="00FF6322"/>
    <w:rsid w:val="00FF63F2"/>
    <w:rsid w:val="00FF64A0"/>
    <w:rsid w:val="00FF6640"/>
    <w:rsid w:val="00FF666E"/>
    <w:rsid w:val="00FF6AEF"/>
    <w:rsid w:val="00FF6CEB"/>
    <w:rsid w:val="00FF6FB5"/>
    <w:rsid w:val="00FF6FE8"/>
    <w:rsid w:val="00FF712B"/>
    <w:rsid w:val="00FF717A"/>
    <w:rsid w:val="00FF724C"/>
    <w:rsid w:val="00FF7412"/>
    <w:rsid w:val="00FF7496"/>
    <w:rsid w:val="00FF758D"/>
    <w:rsid w:val="00FF77C1"/>
    <w:rsid w:val="00FF780C"/>
    <w:rsid w:val="00FF7815"/>
    <w:rsid w:val="00FF7C06"/>
    <w:rsid w:val="00FF7C44"/>
    <w:rsid w:val="00FF7D03"/>
    <w:rsid w:val="01038548"/>
    <w:rsid w:val="01051BB6"/>
    <w:rsid w:val="0109EE09"/>
    <w:rsid w:val="0116D69A"/>
    <w:rsid w:val="01208625"/>
    <w:rsid w:val="013DF787"/>
    <w:rsid w:val="014A1B32"/>
    <w:rsid w:val="0169ACE3"/>
    <w:rsid w:val="016A50EA"/>
    <w:rsid w:val="0173A424"/>
    <w:rsid w:val="017DD710"/>
    <w:rsid w:val="01894681"/>
    <w:rsid w:val="01A10124"/>
    <w:rsid w:val="01A60BFB"/>
    <w:rsid w:val="01C2A716"/>
    <w:rsid w:val="01F4BD10"/>
    <w:rsid w:val="0229AD52"/>
    <w:rsid w:val="023264C0"/>
    <w:rsid w:val="023E23D8"/>
    <w:rsid w:val="02524B1A"/>
    <w:rsid w:val="026134EA"/>
    <w:rsid w:val="029070B1"/>
    <w:rsid w:val="02A18125"/>
    <w:rsid w:val="02A61F6D"/>
    <w:rsid w:val="02A936C2"/>
    <w:rsid w:val="02AFE6FB"/>
    <w:rsid w:val="02FF242F"/>
    <w:rsid w:val="0311DAFA"/>
    <w:rsid w:val="0343D1C6"/>
    <w:rsid w:val="035526DC"/>
    <w:rsid w:val="036658AB"/>
    <w:rsid w:val="03698A2F"/>
    <w:rsid w:val="036CFB3B"/>
    <w:rsid w:val="037E7C0C"/>
    <w:rsid w:val="0381D78D"/>
    <w:rsid w:val="03C03DFC"/>
    <w:rsid w:val="03EE3CD2"/>
    <w:rsid w:val="03EE84E4"/>
    <w:rsid w:val="0400FA80"/>
    <w:rsid w:val="040229FC"/>
    <w:rsid w:val="043263A6"/>
    <w:rsid w:val="0433AF0D"/>
    <w:rsid w:val="045C33CE"/>
    <w:rsid w:val="045F9C17"/>
    <w:rsid w:val="0469D2F1"/>
    <w:rsid w:val="046E8D03"/>
    <w:rsid w:val="0482AE7A"/>
    <w:rsid w:val="04927B9C"/>
    <w:rsid w:val="049ED90D"/>
    <w:rsid w:val="04A415C3"/>
    <w:rsid w:val="04ADB6C5"/>
    <w:rsid w:val="04C0EE82"/>
    <w:rsid w:val="04CD47A3"/>
    <w:rsid w:val="04D7AD2B"/>
    <w:rsid w:val="04E19E5A"/>
    <w:rsid w:val="04E2865F"/>
    <w:rsid w:val="04F8A1F2"/>
    <w:rsid w:val="05022B1D"/>
    <w:rsid w:val="050F621A"/>
    <w:rsid w:val="0510C14E"/>
    <w:rsid w:val="05182193"/>
    <w:rsid w:val="052B8148"/>
    <w:rsid w:val="05358AF4"/>
    <w:rsid w:val="0539A73D"/>
    <w:rsid w:val="05483AE7"/>
    <w:rsid w:val="0556746C"/>
    <w:rsid w:val="055E9E2D"/>
    <w:rsid w:val="057571C6"/>
    <w:rsid w:val="05AC2BD0"/>
    <w:rsid w:val="05F548CA"/>
    <w:rsid w:val="06101A5A"/>
    <w:rsid w:val="06222C55"/>
    <w:rsid w:val="06349595"/>
    <w:rsid w:val="0650C78E"/>
    <w:rsid w:val="0663EC6B"/>
    <w:rsid w:val="06725182"/>
    <w:rsid w:val="067281DB"/>
    <w:rsid w:val="0685CF5E"/>
    <w:rsid w:val="068BDD74"/>
    <w:rsid w:val="06A4EC88"/>
    <w:rsid w:val="06CD74A5"/>
    <w:rsid w:val="06D31B6E"/>
    <w:rsid w:val="06ED7F9C"/>
    <w:rsid w:val="06F1DF08"/>
    <w:rsid w:val="06F7DF4F"/>
    <w:rsid w:val="06F8F8E9"/>
    <w:rsid w:val="06FDC16E"/>
    <w:rsid w:val="0716C4DC"/>
    <w:rsid w:val="071DF3CD"/>
    <w:rsid w:val="07280DB8"/>
    <w:rsid w:val="07295F15"/>
    <w:rsid w:val="072BB42A"/>
    <w:rsid w:val="072C5342"/>
    <w:rsid w:val="07355EB4"/>
    <w:rsid w:val="073DEC39"/>
    <w:rsid w:val="0759558A"/>
    <w:rsid w:val="075EA8F9"/>
    <w:rsid w:val="0768FB2B"/>
    <w:rsid w:val="0773DB2D"/>
    <w:rsid w:val="0780FE3F"/>
    <w:rsid w:val="07926F21"/>
    <w:rsid w:val="0799B6BB"/>
    <w:rsid w:val="07BA6945"/>
    <w:rsid w:val="07EC97C3"/>
    <w:rsid w:val="07FDBDE6"/>
    <w:rsid w:val="07FF5C06"/>
    <w:rsid w:val="08096EC2"/>
    <w:rsid w:val="0854F670"/>
    <w:rsid w:val="0870268C"/>
    <w:rsid w:val="0879ABFC"/>
    <w:rsid w:val="0899C8A8"/>
    <w:rsid w:val="089E89E0"/>
    <w:rsid w:val="089FE891"/>
    <w:rsid w:val="08AB186B"/>
    <w:rsid w:val="08B11026"/>
    <w:rsid w:val="08B2D23B"/>
    <w:rsid w:val="08B6B5A6"/>
    <w:rsid w:val="08CF9E46"/>
    <w:rsid w:val="08E9475D"/>
    <w:rsid w:val="08F9A0AB"/>
    <w:rsid w:val="0904619C"/>
    <w:rsid w:val="09126EF1"/>
    <w:rsid w:val="092103A6"/>
    <w:rsid w:val="09244A7D"/>
    <w:rsid w:val="092985CF"/>
    <w:rsid w:val="0949609F"/>
    <w:rsid w:val="09580462"/>
    <w:rsid w:val="095E3E15"/>
    <w:rsid w:val="095FFEBA"/>
    <w:rsid w:val="09616B42"/>
    <w:rsid w:val="097AE2EE"/>
    <w:rsid w:val="09897FD4"/>
    <w:rsid w:val="0993A40C"/>
    <w:rsid w:val="099D6849"/>
    <w:rsid w:val="09A0B5FF"/>
    <w:rsid w:val="09D0920C"/>
    <w:rsid w:val="09E1065D"/>
    <w:rsid w:val="09EB6A38"/>
    <w:rsid w:val="09ECC666"/>
    <w:rsid w:val="09ED9BB7"/>
    <w:rsid w:val="09FE9CDA"/>
    <w:rsid w:val="09FE9ECF"/>
    <w:rsid w:val="0A1A9629"/>
    <w:rsid w:val="0A1AF5B9"/>
    <w:rsid w:val="0A21DC3E"/>
    <w:rsid w:val="0A41DCD7"/>
    <w:rsid w:val="0A424DBE"/>
    <w:rsid w:val="0A4BA9F5"/>
    <w:rsid w:val="0A6066CC"/>
    <w:rsid w:val="0A606DD8"/>
    <w:rsid w:val="0A722662"/>
    <w:rsid w:val="0A811AF9"/>
    <w:rsid w:val="0A859315"/>
    <w:rsid w:val="0A8BE98C"/>
    <w:rsid w:val="0A8F5BB4"/>
    <w:rsid w:val="0A9D9A36"/>
    <w:rsid w:val="0AA0AD0A"/>
    <w:rsid w:val="0AA40618"/>
    <w:rsid w:val="0AAD9A3A"/>
    <w:rsid w:val="0AD17058"/>
    <w:rsid w:val="0AE41170"/>
    <w:rsid w:val="0AF2C9DB"/>
    <w:rsid w:val="0B392A09"/>
    <w:rsid w:val="0B6D0D20"/>
    <w:rsid w:val="0B7E7E97"/>
    <w:rsid w:val="0B80C80E"/>
    <w:rsid w:val="0B91E2D8"/>
    <w:rsid w:val="0BA8AAA5"/>
    <w:rsid w:val="0BA8BE22"/>
    <w:rsid w:val="0BABE094"/>
    <w:rsid w:val="0BD1D261"/>
    <w:rsid w:val="0BDB9885"/>
    <w:rsid w:val="0BDCB2FF"/>
    <w:rsid w:val="0C041059"/>
    <w:rsid w:val="0C33C16E"/>
    <w:rsid w:val="0C49C94C"/>
    <w:rsid w:val="0C70C846"/>
    <w:rsid w:val="0C791E55"/>
    <w:rsid w:val="0C8438D5"/>
    <w:rsid w:val="0C9C0881"/>
    <w:rsid w:val="0C9C6530"/>
    <w:rsid w:val="0CA1C2AD"/>
    <w:rsid w:val="0CA72810"/>
    <w:rsid w:val="0CB5C632"/>
    <w:rsid w:val="0CD6C697"/>
    <w:rsid w:val="0CD8792C"/>
    <w:rsid w:val="0CE00BF5"/>
    <w:rsid w:val="0CE481CB"/>
    <w:rsid w:val="0CEE3EF5"/>
    <w:rsid w:val="0D018F8C"/>
    <w:rsid w:val="0D129435"/>
    <w:rsid w:val="0D18F573"/>
    <w:rsid w:val="0D2B56B1"/>
    <w:rsid w:val="0D2BBE62"/>
    <w:rsid w:val="0D31109C"/>
    <w:rsid w:val="0D3BFC74"/>
    <w:rsid w:val="0D4BFFC1"/>
    <w:rsid w:val="0D54AA99"/>
    <w:rsid w:val="0D64516E"/>
    <w:rsid w:val="0D75379C"/>
    <w:rsid w:val="0D776C60"/>
    <w:rsid w:val="0D7A6C69"/>
    <w:rsid w:val="0D7C5CD6"/>
    <w:rsid w:val="0D7DECB5"/>
    <w:rsid w:val="0DD8189C"/>
    <w:rsid w:val="0DDB19A3"/>
    <w:rsid w:val="0DDE8BDC"/>
    <w:rsid w:val="0DED35C1"/>
    <w:rsid w:val="0DED74F6"/>
    <w:rsid w:val="0DFB5331"/>
    <w:rsid w:val="0E396968"/>
    <w:rsid w:val="0E4C4584"/>
    <w:rsid w:val="0E4C566E"/>
    <w:rsid w:val="0E532A15"/>
    <w:rsid w:val="0E53D6B8"/>
    <w:rsid w:val="0E60096D"/>
    <w:rsid w:val="0E6D8BE9"/>
    <w:rsid w:val="0E80FB4D"/>
    <w:rsid w:val="0E85F9F6"/>
    <w:rsid w:val="0E86C3C5"/>
    <w:rsid w:val="0EA81064"/>
    <w:rsid w:val="0EB900F2"/>
    <w:rsid w:val="0EB98EE4"/>
    <w:rsid w:val="0EC372F4"/>
    <w:rsid w:val="0EC397AC"/>
    <w:rsid w:val="0ECE9D87"/>
    <w:rsid w:val="0ED53B2B"/>
    <w:rsid w:val="0EF9D1E1"/>
    <w:rsid w:val="0F0952C9"/>
    <w:rsid w:val="0F0B77B5"/>
    <w:rsid w:val="0F0F775D"/>
    <w:rsid w:val="0F2ED366"/>
    <w:rsid w:val="0F2F3DE2"/>
    <w:rsid w:val="0F36F6FE"/>
    <w:rsid w:val="0F407861"/>
    <w:rsid w:val="0F47F7F1"/>
    <w:rsid w:val="0F61C1D2"/>
    <w:rsid w:val="0F85F0BE"/>
    <w:rsid w:val="0F873122"/>
    <w:rsid w:val="0FB46797"/>
    <w:rsid w:val="0FB8B2FF"/>
    <w:rsid w:val="0FD0621B"/>
    <w:rsid w:val="0FD14B84"/>
    <w:rsid w:val="0FE83BCC"/>
    <w:rsid w:val="0FE8452F"/>
    <w:rsid w:val="0FEAD648"/>
    <w:rsid w:val="0FF13E4B"/>
    <w:rsid w:val="0FF5AB85"/>
    <w:rsid w:val="0FF7F826"/>
    <w:rsid w:val="10087161"/>
    <w:rsid w:val="1009BD4D"/>
    <w:rsid w:val="1019AB10"/>
    <w:rsid w:val="103649D7"/>
    <w:rsid w:val="103825A8"/>
    <w:rsid w:val="103866DE"/>
    <w:rsid w:val="104E7E39"/>
    <w:rsid w:val="10558A9B"/>
    <w:rsid w:val="105C780F"/>
    <w:rsid w:val="105F28D0"/>
    <w:rsid w:val="1063F352"/>
    <w:rsid w:val="1065A057"/>
    <w:rsid w:val="107BC35D"/>
    <w:rsid w:val="10894DA9"/>
    <w:rsid w:val="1091AE3F"/>
    <w:rsid w:val="1097036B"/>
    <w:rsid w:val="10A81C3B"/>
    <w:rsid w:val="10AA1F39"/>
    <w:rsid w:val="10AB8D06"/>
    <w:rsid w:val="10C96EE9"/>
    <w:rsid w:val="10DEC3EF"/>
    <w:rsid w:val="10E2A6AB"/>
    <w:rsid w:val="1101981C"/>
    <w:rsid w:val="111AB3AA"/>
    <w:rsid w:val="114E2EA1"/>
    <w:rsid w:val="1168D02D"/>
    <w:rsid w:val="1170B7A9"/>
    <w:rsid w:val="1178FD86"/>
    <w:rsid w:val="1189E49B"/>
    <w:rsid w:val="1198AF0A"/>
    <w:rsid w:val="119B07DA"/>
    <w:rsid w:val="11A4293D"/>
    <w:rsid w:val="11AB3600"/>
    <w:rsid w:val="11AF749A"/>
    <w:rsid w:val="11B231BD"/>
    <w:rsid w:val="11B54EF7"/>
    <w:rsid w:val="11C8DADA"/>
    <w:rsid w:val="11CF3820"/>
    <w:rsid w:val="11CFB53B"/>
    <w:rsid w:val="11E8FD49"/>
    <w:rsid w:val="11F23E7D"/>
    <w:rsid w:val="120172BB"/>
    <w:rsid w:val="122CC9B1"/>
    <w:rsid w:val="124458D8"/>
    <w:rsid w:val="12463614"/>
    <w:rsid w:val="124FA4CC"/>
    <w:rsid w:val="12694FBD"/>
    <w:rsid w:val="126E246B"/>
    <w:rsid w:val="1275E642"/>
    <w:rsid w:val="128A02BD"/>
    <w:rsid w:val="128B162E"/>
    <w:rsid w:val="128C9CB4"/>
    <w:rsid w:val="12978A25"/>
    <w:rsid w:val="129F6CBC"/>
    <w:rsid w:val="12A5809C"/>
    <w:rsid w:val="12ACE885"/>
    <w:rsid w:val="12CF1172"/>
    <w:rsid w:val="12E50953"/>
    <w:rsid w:val="12EFF322"/>
    <w:rsid w:val="13062161"/>
    <w:rsid w:val="13143EDE"/>
    <w:rsid w:val="13151D6A"/>
    <w:rsid w:val="13214B36"/>
    <w:rsid w:val="134BF88F"/>
    <w:rsid w:val="134E502B"/>
    <w:rsid w:val="13501A3E"/>
    <w:rsid w:val="135CD91F"/>
    <w:rsid w:val="13821B87"/>
    <w:rsid w:val="13998755"/>
    <w:rsid w:val="139C8CB3"/>
    <w:rsid w:val="139E7A22"/>
    <w:rsid w:val="13AF1458"/>
    <w:rsid w:val="13B06E10"/>
    <w:rsid w:val="13B5925B"/>
    <w:rsid w:val="13BDFA8F"/>
    <w:rsid w:val="13C1E880"/>
    <w:rsid w:val="13E49778"/>
    <w:rsid w:val="13EC80C7"/>
    <w:rsid w:val="13F9298D"/>
    <w:rsid w:val="13FB32AD"/>
    <w:rsid w:val="1410535F"/>
    <w:rsid w:val="1414BD91"/>
    <w:rsid w:val="141DFFC9"/>
    <w:rsid w:val="14234C5F"/>
    <w:rsid w:val="143D4569"/>
    <w:rsid w:val="1450B2E4"/>
    <w:rsid w:val="14557F2E"/>
    <w:rsid w:val="14775DFA"/>
    <w:rsid w:val="147884E0"/>
    <w:rsid w:val="1481A159"/>
    <w:rsid w:val="14930DC6"/>
    <w:rsid w:val="14A5F849"/>
    <w:rsid w:val="14B58881"/>
    <w:rsid w:val="14D10C27"/>
    <w:rsid w:val="14D30335"/>
    <w:rsid w:val="14E7FBD3"/>
    <w:rsid w:val="14F28041"/>
    <w:rsid w:val="14FD8AD5"/>
    <w:rsid w:val="151C2CBD"/>
    <w:rsid w:val="1529A7A6"/>
    <w:rsid w:val="153F7958"/>
    <w:rsid w:val="1555D506"/>
    <w:rsid w:val="15578E75"/>
    <w:rsid w:val="157AD625"/>
    <w:rsid w:val="157FE2C7"/>
    <w:rsid w:val="1587B718"/>
    <w:rsid w:val="158C6F1D"/>
    <w:rsid w:val="158E04ED"/>
    <w:rsid w:val="1595CA14"/>
    <w:rsid w:val="1597ECEC"/>
    <w:rsid w:val="159852AE"/>
    <w:rsid w:val="159E7329"/>
    <w:rsid w:val="15A2ACAB"/>
    <w:rsid w:val="15BAFB81"/>
    <w:rsid w:val="15C0CDDE"/>
    <w:rsid w:val="15D65A30"/>
    <w:rsid w:val="15D8C450"/>
    <w:rsid w:val="15F6F36A"/>
    <w:rsid w:val="162A630E"/>
    <w:rsid w:val="162BE5CF"/>
    <w:rsid w:val="16428B5C"/>
    <w:rsid w:val="16496BCF"/>
    <w:rsid w:val="1675F8E0"/>
    <w:rsid w:val="167EECCE"/>
    <w:rsid w:val="168D98A3"/>
    <w:rsid w:val="16A86408"/>
    <w:rsid w:val="16AB7BE7"/>
    <w:rsid w:val="16B79C33"/>
    <w:rsid w:val="16C1FC10"/>
    <w:rsid w:val="16C61E37"/>
    <w:rsid w:val="16EE1253"/>
    <w:rsid w:val="16F56677"/>
    <w:rsid w:val="1704B839"/>
    <w:rsid w:val="17106CC7"/>
    <w:rsid w:val="17459D1E"/>
    <w:rsid w:val="174A7920"/>
    <w:rsid w:val="175E84B9"/>
    <w:rsid w:val="176CA81E"/>
    <w:rsid w:val="177D7461"/>
    <w:rsid w:val="179760AB"/>
    <w:rsid w:val="17A5083F"/>
    <w:rsid w:val="17E06A07"/>
    <w:rsid w:val="17E3A779"/>
    <w:rsid w:val="17E65733"/>
    <w:rsid w:val="17E7DCF3"/>
    <w:rsid w:val="180C4CF5"/>
    <w:rsid w:val="181F4E73"/>
    <w:rsid w:val="1821CC5C"/>
    <w:rsid w:val="18276F48"/>
    <w:rsid w:val="184A3DF6"/>
    <w:rsid w:val="185FF9CD"/>
    <w:rsid w:val="186A666B"/>
    <w:rsid w:val="1871290A"/>
    <w:rsid w:val="18848916"/>
    <w:rsid w:val="18A1E5FB"/>
    <w:rsid w:val="18AB3D20"/>
    <w:rsid w:val="18BA5E31"/>
    <w:rsid w:val="18CCB230"/>
    <w:rsid w:val="18E0A525"/>
    <w:rsid w:val="18E2D81C"/>
    <w:rsid w:val="18E93147"/>
    <w:rsid w:val="18F29204"/>
    <w:rsid w:val="18FFAB9E"/>
    <w:rsid w:val="191C83EF"/>
    <w:rsid w:val="194DF429"/>
    <w:rsid w:val="195079D3"/>
    <w:rsid w:val="196659BC"/>
    <w:rsid w:val="196837ED"/>
    <w:rsid w:val="196B4E08"/>
    <w:rsid w:val="19721943"/>
    <w:rsid w:val="1979B0D7"/>
    <w:rsid w:val="19889C0C"/>
    <w:rsid w:val="19925748"/>
    <w:rsid w:val="199CE792"/>
    <w:rsid w:val="199FFF09"/>
    <w:rsid w:val="19A294C5"/>
    <w:rsid w:val="19B30877"/>
    <w:rsid w:val="19B6DCBA"/>
    <w:rsid w:val="19C1C4FA"/>
    <w:rsid w:val="19C65166"/>
    <w:rsid w:val="19C7F3AF"/>
    <w:rsid w:val="19C84786"/>
    <w:rsid w:val="19CEFDB4"/>
    <w:rsid w:val="19F1C449"/>
    <w:rsid w:val="19F5CE49"/>
    <w:rsid w:val="1A068C15"/>
    <w:rsid w:val="1A2E74A4"/>
    <w:rsid w:val="1A395DD2"/>
    <w:rsid w:val="1A501118"/>
    <w:rsid w:val="1A55BF26"/>
    <w:rsid w:val="1A639C83"/>
    <w:rsid w:val="1A71255E"/>
    <w:rsid w:val="1A7DE333"/>
    <w:rsid w:val="1A7EFFF0"/>
    <w:rsid w:val="1A8D02BC"/>
    <w:rsid w:val="1A8F2481"/>
    <w:rsid w:val="1A918F23"/>
    <w:rsid w:val="1ABB5BA5"/>
    <w:rsid w:val="1AC1FDDA"/>
    <w:rsid w:val="1AD6B90D"/>
    <w:rsid w:val="1AF594CC"/>
    <w:rsid w:val="1AF86F3D"/>
    <w:rsid w:val="1B028931"/>
    <w:rsid w:val="1B06FB86"/>
    <w:rsid w:val="1B0AA06F"/>
    <w:rsid w:val="1B2E7C51"/>
    <w:rsid w:val="1B58CB0B"/>
    <w:rsid w:val="1B5D469B"/>
    <w:rsid w:val="1B625D20"/>
    <w:rsid w:val="1B692A6E"/>
    <w:rsid w:val="1B6AA317"/>
    <w:rsid w:val="1B6D8A16"/>
    <w:rsid w:val="1B6DB692"/>
    <w:rsid w:val="1B9E4CA6"/>
    <w:rsid w:val="1B9E593E"/>
    <w:rsid w:val="1BA8AD19"/>
    <w:rsid w:val="1BB00195"/>
    <w:rsid w:val="1BBE4886"/>
    <w:rsid w:val="1BC4382D"/>
    <w:rsid w:val="1BCD99DC"/>
    <w:rsid w:val="1BCDEFEE"/>
    <w:rsid w:val="1BCF8AF5"/>
    <w:rsid w:val="1BD7B044"/>
    <w:rsid w:val="1BEA5535"/>
    <w:rsid w:val="1BF89343"/>
    <w:rsid w:val="1C009C89"/>
    <w:rsid w:val="1C028D40"/>
    <w:rsid w:val="1C1CFDCC"/>
    <w:rsid w:val="1C2F4D1E"/>
    <w:rsid w:val="1C325ED4"/>
    <w:rsid w:val="1C503D39"/>
    <w:rsid w:val="1C6267C5"/>
    <w:rsid w:val="1C67810F"/>
    <w:rsid w:val="1C69BF3A"/>
    <w:rsid w:val="1C6B4334"/>
    <w:rsid w:val="1C6BA248"/>
    <w:rsid w:val="1C6C2AE9"/>
    <w:rsid w:val="1C81B2B7"/>
    <w:rsid w:val="1C97FA6A"/>
    <w:rsid w:val="1C99C033"/>
    <w:rsid w:val="1CA1C32C"/>
    <w:rsid w:val="1CA44C24"/>
    <w:rsid w:val="1CB1D97F"/>
    <w:rsid w:val="1CD52646"/>
    <w:rsid w:val="1CE4C6F8"/>
    <w:rsid w:val="1CE6BF13"/>
    <w:rsid w:val="1CEB2646"/>
    <w:rsid w:val="1CED6754"/>
    <w:rsid w:val="1CF90C04"/>
    <w:rsid w:val="1CFDF936"/>
    <w:rsid w:val="1D089B0E"/>
    <w:rsid w:val="1D0CA0F1"/>
    <w:rsid w:val="1D3825B5"/>
    <w:rsid w:val="1D624EFE"/>
    <w:rsid w:val="1D6C2B65"/>
    <w:rsid w:val="1D728DA5"/>
    <w:rsid w:val="1D7297C0"/>
    <w:rsid w:val="1D9DCF36"/>
    <w:rsid w:val="1DC5995F"/>
    <w:rsid w:val="1DC9499B"/>
    <w:rsid w:val="1DD5F864"/>
    <w:rsid w:val="1DD96538"/>
    <w:rsid w:val="1DDC20FD"/>
    <w:rsid w:val="1DE34E30"/>
    <w:rsid w:val="1DF97EAA"/>
    <w:rsid w:val="1DFF3A25"/>
    <w:rsid w:val="1E0002A3"/>
    <w:rsid w:val="1E04309F"/>
    <w:rsid w:val="1E290C5E"/>
    <w:rsid w:val="1E3333F5"/>
    <w:rsid w:val="1E37FD6E"/>
    <w:rsid w:val="1E3B71CD"/>
    <w:rsid w:val="1E65C1E6"/>
    <w:rsid w:val="1E6C324C"/>
    <w:rsid w:val="1E6DCF1B"/>
    <w:rsid w:val="1E91F388"/>
    <w:rsid w:val="1EAB72BE"/>
    <w:rsid w:val="1EB77D37"/>
    <w:rsid w:val="1ECAF0F6"/>
    <w:rsid w:val="1ED83B10"/>
    <w:rsid w:val="1F01D485"/>
    <w:rsid w:val="1F04DAB8"/>
    <w:rsid w:val="1F05C4B2"/>
    <w:rsid w:val="1F285C5A"/>
    <w:rsid w:val="1F34649A"/>
    <w:rsid w:val="1F39548A"/>
    <w:rsid w:val="1F3DC705"/>
    <w:rsid w:val="1F4D3C16"/>
    <w:rsid w:val="1F4EBBD1"/>
    <w:rsid w:val="1F65876D"/>
    <w:rsid w:val="1F6BE2E8"/>
    <w:rsid w:val="1F70B05E"/>
    <w:rsid w:val="1F855669"/>
    <w:rsid w:val="1F8E3C1E"/>
    <w:rsid w:val="1FA8A501"/>
    <w:rsid w:val="1FAAE6C1"/>
    <w:rsid w:val="1FAD44E2"/>
    <w:rsid w:val="1FD360BF"/>
    <w:rsid w:val="2015C82F"/>
    <w:rsid w:val="2028DB00"/>
    <w:rsid w:val="203DF6A7"/>
    <w:rsid w:val="2050D8FA"/>
    <w:rsid w:val="2075B6F2"/>
    <w:rsid w:val="2086821E"/>
    <w:rsid w:val="208E7D41"/>
    <w:rsid w:val="20962981"/>
    <w:rsid w:val="20B322CC"/>
    <w:rsid w:val="20CF6B9F"/>
    <w:rsid w:val="20EAEA2D"/>
    <w:rsid w:val="21022159"/>
    <w:rsid w:val="2129164A"/>
    <w:rsid w:val="21338DB7"/>
    <w:rsid w:val="213CC379"/>
    <w:rsid w:val="214C9610"/>
    <w:rsid w:val="2166E6FB"/>
    <w:rsid w:val="2178203D"/>
    <w:rsid w:val="217DFEE1"/>
    <w:rsid w:val="219D1DDC"/>
    <w:rsid w:val="21A9DA0E"/>
    <w:rsid w:val="21B5B6E1"/>
    <w:rsid w:val="21B6196E"/>
    <w:rsid w:val="21C4FF5E"/>
    <w:rsid w:val="21C58845"/>
    <w:rsid w:val="21C6EBB5"/>
    <w:rsid w:val="21EA77AC"/>
    <w:rsid w:val="21ED1C24"/>
    <w:rsid w:val="2210133B"/>
    <w:rsid w:val="221470BA"/>
    <w:rsid w:val="224ADE1B"/>
    <w:rsid w:val="2253A61E"/>
    <w:rsid w:val="22540710"/>
    <w:rsid w:val="225463FA"/>
    <w:rsid w:val="2257BDC1"/>
    <w:rsid w:val="226199E6"/>
    <w:rsid w:val="22651712"/>
    <w:rsid w:val="227428F6"/>
    <w:rsid w:val="22A777DA"/>
    <w:rsid w:val="22B7989E"/>
    <w:rsid w:val="22CC3B69"/>
    <w:rsid w:val="22E02375"/>
    <w:rsid w:val="22E103C2"/>
    <w:rsid w:val="22E65CE7"/>
    <w:rsid w:val="230E9A6B"/>
    <w:rsid w:val="232A503A"/>
    <w:rsid w:val="2346F24D"/>
    <w:rsid w:val="2377C38F"/>
    <w:rsid w:val="23780F60"/>
    <w:rsid w:val="23895E0C"/>
    <w:rsid w:val="23A2BEB6"/>
    <w:rsid w:val="23A6C678"/>
    <w:rsid w:val="23B3DD40"/>
    <w:rsid w:val="23BB752A"/>
    <w:rsid w:val="23D0EB00"/>
    <w:rsid w:val="23D5E977"/>
    <w:rsid w:val="23D7D31C"/>
    <w:rsid w:val="23D818D8"/>
    <w:rsid w:val="23DAFF9F"/>
    <w:rsid w:val="23E06401"/>
    <w:rsid w:val="23E59CCB"/>
    <w:rsid w:val="24071B57"/>
    <w:rsid w:val="240CCE11"/>
    <w:rsid w:val="24109C80"/>
    <w:rsid w:val="2415661F"/>
    <w:rsid w:val="241B388D"/>
    <w:rsid w:val="242B0F4B"/>
    <w:rsid w:val="242E0159"/>
    <w:rsid w:val="24636728"/>
    <w:rsid w:val="2464BA12"/>
    <w:rsid w:val="2467C3EF"/>
    <w:rsid w:val="24699796"/>
    <w:rsid w:val="247BFDBC"/>
    <w:rsid w:val="249710EA"/>
    <w:rsid w:val="249B52AA"/>
    <w:rsid w:val="24B68172"/>
    <w:rsid w:val="24B9402E"/>
    <w:rsid w:val="24BDDB2B"/>
    <w:rsid w:val="24C67A85"/>
    <w:rsid w:val="24EAC2AC"/>
    <w:rsid w:val="25033DD0"/>
    <w:rsid w:val="25173468"/>
    <w:rsid w:val="251BAE04"/>
    <w:rsid w:val="25250052"/>
    <w:rsid w:val="25413091"/>
    <w:rsid w:val="25428C30"/>
    <w:rsid w:val="2560619F"/>
    <w:rsid w:val="2571DA9F"/>
    <w:rsid w:val="25726036"/>
    <w:rsid w:val="258C059E"/>
    <w:rsid w:val="25BC132A"/>
    <w:rsid w:val="25C1253F"/>
    <w:rsid w:val="25DA4E34"/>
    <w:rsid w:val="25DEC59A"/>
    <w:rsid w:val="261FC9A1"/>
    <w:rsid w:val="2621D5F2"/>
    <w:rsid w:val="26243C8D"/>
    <w:rsid w:val="262768D8"/>
    <w:rsid w:val="26427DAE"/>
    <w:rsid w:val="26485C5E"/>
    <w:rsid w:val="26552A93"/>
    <w:rsid w:val="265A543D"/>
    <w:rsid w:val="265CDD6E"/>
    <w:rsid w:val="266DB706"/>
    <w:rsid w:val="266F5455"/>
    <w:rsid w:val="2689B231"/>
    <w:rsid w:val="268CA34A"/>
    <w:rsid w:val="26950DC3"/>
    <w:rsid w:val="2696A717"/>
    <w:rsid w:val="26ADCA66"/>
    <w:rsid w:val="26D08A10"/>
    <w:rsid w:val="26EC1BFC"/>
    <w:rsid w:val="2704343B"/>
    <w:rsid w:val="27055231"/>
    <w:rsid w:val="27080D51"/>
    <w:rsid w:val="270D1F9C"/>
    <w:rsid w:val="270E0A41"/>
    <w:rsid w:val="272C9F74"/>
    <w:rsid w:val="273665D4"/>
    <w:rsid w:val="273B708C"/>
    <w:rsid w:val="273BD578"/>
    <w:rsid w:val="2740D618"/>
    <w:rsid w:val="2749F20F"/>
    <w:rsid w:val="274AC160"/>
    <w:rsid w:val="27567A74"/>
    <w:rsid w:val="2757E433"/>
    <w:rsid w:val="278D73D3"/>
    <w:rsid w:val="27920069"/>
    <w:rsid w:val="27ACC9B6"/>
    <w:rsid w:val="27B2E75E"/>
    <w:rsid w:val="27E0BFC8"/>
    <w:rsid w:val="27EB7F53"/>
    <w:rsid w:val="27FA3F18"/>
    <w:rsid w:val="2805F594"/>
    <w:rsid w:val="283C2FC1"/>
    <w:rsid w:val="283F6972"/>
    <w:rsid w:val="284C5699"/>
    <w:rsid w:val="2852BCD1"/>
    <w:rsid w:val="2859AD5F"/>
    <w:rsid w:val="286790D1"/>
    <w:rsid w:val="2867F894"/>
    <w:rsid w:val="2869DA8D"/>
    <w:rsid w:val="2875A829"/>
    <w:rsid w:val="28A65576"/>
    <w:rsid w:val="28A7AE94"/>
    <w:rsid w:val="28A82CB0"/>
    <w:rsid w:val="28AF74ED"/>
    <w:rsid w:val="28B1A969"/>
    <w:rsid w:val="28D30167"/>
    <w:rsid w:val="28D97F4B"/>
    <w:rsid w:val="28E62644"/>
    <w:rsid w:val="28FEEBE2"/>
    <w:rsid w:val="2903DA77"/>
    <w:rsid w:val="290D3458"/>
    <w:rsid w:val="2924345C"/>
    <w:rsid w:val="29432214"/>
    <w:rsid w:val="29473B2B"/>
    <w:rsid w:val="29627474"/>
    <w:rsid w:val="297AF1CD"/>
    <w:rsid w:val="2994710B"/>
    <w:rsid w:val="29982231"/>
    <w:rsid w:val="299B8329"/>
    <w:rsid w:val="29A79276"/>
    <w:rsid w:val="29D7FE11"/>
    <w:rsid w:val="29E32006"/>
    <w:rsid w:val="2A1B4C7D"/>
    <w:rsid w:val="2A1D0A09"/>
    <w:rsid w:val="2A319CAE"/>
    <w:rsid w:val="2A3A2E31"/>
    <w:rsid w:val="2A4FFB0D"/>
    <w:rsid w:val="2A51FB17"/>
    <w:rsid w:val="2A6D3A8F"/>
    <w:rsid w:val="2A85BBAC"/>
    <w:rsid w:val="2A901359"/>
    <w:rsid w:val="2A94F149"/>
    <w:rsid w:val="2AAFC131"/>
    <w:rsid w:val="2AF3AEBD"/>
    <w:rsid w:val="2AF5ED8D"/>
    <w:rsid w:val="2AFF06B6"/>
    <w:rsid w:val="2B012FCD"/>
    <w:rsid w:val="2B0C10C6"/>
    <w:rsid w:val="2B0D1DD8"/>
    <w:rsid w:val="2B24D346"/>
    <w:rsid w:val="2B25686F"/>
    <w:rsid w:val="2B27921C"/>
    <w:rsid w:val="2B299E51"/>
    <w:rsid w:val="2B2EAB3B"/>
    <w:rsid w:val="2B3A24EA"/>
    <w:rsid w:val="2B62B84F"/>
    <w:rsid w:val="2B7A9EDC"/>
    <w:rsid w:val="2B87F213"/>
    <w:rsid w:val="2B922396"/>
    <w:rsid w:val="2B98CA58"/>
    <w:rsid w:val="2B9B6C3C"/>
    <w:rsid w:val="2BA89942"/>
    <w:rsid w:val="2BB853FD"/>
    <w:rsid w:val="2BB9B092"/>
    <w:rsid w:val="2BB9D10D"/>
    <w:rsid w:val="2BBC44DE"/>
    <w:rsid w:val="2BC598A0"/>
    <w:rsid w:val="2BD85898"/>
    <w:rsid w:val="2C1BF732"/>
    <w:rsid w:val="2C2BEDF1"/>
    <w:rsid w:val="2C30E8BA"/>
    <w:rsid w:val="2C4FB2CB"/>
    <w:rsid w:val="2C59FD06"/>
    <w:rsid w:val="2C63FC36"/>
    <w:rsid w:val="2C686EA1"/>
    <w:rsid w:val="2C6B2B8C"/>
    <w:rsid w:val="2C6EADF9"/>
    <w:rsid w:val="2C755D4F"/>
    <w:rsid w:val="2C7D0EDA"/>
    <w:rsid w:val="2C8A4D31"/>
    <w:rsid w:val="2C8CFC70"/>
    <w:rsid w:val="2C8D9516"/>
    <w:rsid w:val="2C91443E"/>
    <w:rsid w:val="2CB1B886"/>
    <w:rsid w:val="2CBB0DC1"/>
    <w:rsid w:val="2CC5C2D7"/>
    <w:rsid w:val="2CEA437F"/>
    <w:rsid w:val="2CEA82E9"/>
    <w:rsid w:val="2CEED662"/>
    <w:rsid w:val="2CF6C1A0"/>
    <w:rsid w:val="2CFDE1BC"/>
    <w:rsid w:val="2D105D5C"/>
    <w:rsid w:val="2D308738"/>
    <w:rsid w:val="2D4BDC8A"/>
    <w:rsid w:val="2D4D7602"/>
    <w:rsid w:val="2D59928F"/>
    <w:rsid w:val="2D61B40F"/>
    <w:rsid w:val="2D677EBF"/>
    <w:rsid w:val="2D7413E2"/>
    <w:rsid w:val="2D786E7D"/>
    <w:rsid w:val="2D8724EA"/>
    <w:rsid w:val="2D930D5F"/>
    <w:rsid w:val="2DA337EE"/>
    <w:rsid w:val="2DAA17F7"/>
    <w:rsid w:val="2DB0C2DA"/>
    <w:rsid w:val="2DB8DE16"/>
    <w:rsid w:val="2DD2F228"/>
    <w:rsid w:val="2DD32621"/>
    <w:rsid w:val="2DD92ACE"/>
    <w:rsid w:val="2DDAE1E7"/>
    <w:rsid w:val="2E0B97F6"/>
    <w:rsid w:val="2E42935E"/>
    <w:rsid w:val="2E48E96D"/>
    <w:rsid w:val="2E48F1A5"/>
    <w:rsid w:val="2E5EA286"/>
    <w:rsid w:val="2E7350C2"/>
    <w:rsid w:val="2E7CCEB1"/>
    <w:rsid w:val="2E7ECE25"/>
    <w:rsid w:val="2E826ADB"/>
    <w:rsid w:val="2E8866F3"/>
    <w:rsid w:val="2E9F721F"/>
    <w:rsid w:val="2EA0A8CE"/>
    <w:rsid w:val="2EA5A2CE"/>
    <w:rsid w:val="2EA610E0"/>
    <w:rsid w:val="2EAFF218"/>
    <w:rsid w:val="2EBDD936"/>
    <w:rsid w:val="2ECFEF3F"/>
    <w:rsid w:val="2ED13D73"/>
    <w:rsid w:val="2EDA8EA9"/>
    <w:rsid w:val="2F16F517"/>
    <w:rsid w:val="2F248D52"/>
    <w:rsid w:val="2F2A842F"/>
    <w:rsid w:val="2F3CA8F9"/>
    <w:rsid w:val="2F463D79"/>
    <w:rsid w:val="2F6D6F1D"/>
    <w:rsid w:val="2F78E57B"/>
    <w:rsid w:val="2F7AD2C9"/>
    <w:rsid w:val="2F7C6A62"/>
    <w:rsid w:val="2F7F93EF"/>
    <w:rsid w:val="2F83ED94"/>
    <w:rsid w:val="2F8491CC"/>
    <w:rsid w:val="2F85337F"/>
    <w:rsid w:val="2F8E2E0A"/>
    <w:rsid w:val="2FA3D9E7"/>
    <w:rsid w:val="2FAA0231"/>
    <w:rsid w:val="2FAAD296"/>
    <w:rsid w:val="2FBE6A5F"/>
    <w:rsid w:val="2FC0FD76"/>
    <w:rsid w:val="2FD45753"/>
    <w:rsid w:val="2FDE1744"/>
    <w:rsid w:val="2FFCCEA8"/>
    <w:rsid w:val="3016AB8F"/>
    <w:rsid w:val="30254690"/>
    <w:rsid w:val="30294DF4"/>
    <w:rsid w:val="30587B29"/>
    <w:rsid w:val="305F0554"/>
    <w:rsid w:val="306E9A7D"/>
    <w:rsid w:val="3083BBBE"/>
    <w:rsid w:val="30A1C5F7"/>
    <w:rsid w:val="30B481DC"/>
    <w:rsid w:val="30C24E1D"/>
    <w:rsid w:val="30EA223D"/>
    <w:rsid w:val="30F7B02F"/>
    <w:rsid w:val="30FB3737"/>
    <w:rsid w:val="31598E42"/>
    <w:rsid w:val="3178A4B4"/>
    <w:rsid w:val="31893ABB"/>
    <w:rsid w:val="318EF735"/>
    <w:rsid w:val="31AC853F"/>
    <w:rsid w:val="31BF6752"/>
    <w:rsid w:val="31CC1AC3"/>
    <w:rsid w:val="31ECC9FE"/>
    <w:rsid w:val="31ECDA4C"/>
    <w:rsid w:val="31ED1467"/>
    <w:rsid w:val="31F4572E"/>
    <w:rsid w:val="31FF2E2E"/>
    <w:rsid w:val="322022E3"/>
    <w:rsid w:val="3232FB8F"/>
    <w:rsid w:val="324121E3"/>
    <w:rsid w:val="3245F73A"/>
    <w:rsid w:val="324D756D"/>
    <w:rsid w:val="32521A83"/>
    <w:rsid w:val="32522577"/>
    <w:rsid w:val="32556327"/>
    <w:rsid w:val="32750D96"/>
    <w:rsid w:val="3299C1EF"/>
    <w:rsid w:val="32B1CEFD"/>
    <w:rsid w:val="32C4C3A5"/>
    <w:rsid w:val="32C4E6C9"/>
    <w:rsid w:val="32CAE622"/>
    <w:rsid w:val="32D18586"/>
    <w:rsid w:val="32DCEC83"/>
    <w:rsid w:val="32E4D81F"/>
    <w:rsid w:val="33118FBE"/>
    <w:rsid w:val="332E107E"/>
    <w:rsid w:val="333031B6"/>
    <w:rsid w:val="3342478B"/>
    <w:rsid w:val="33442B92"/>
    <w:rsid w:val="334C065A"/>
    <w:rsid w:val="33537163"/>
    <w:rsid w:val="338B8491"/>
    <w:rsid w:val="338DC8AB"/>
    <w:rsid w:val="338EBC66"/>
    <w:rsid w:val="33B7D339"/>
    <w:rsid w:val="33BE4FD3"/>
    <w:rsid w:val="33C61A27"/>
    <w:rsid w:val="33ED159D"/>
    <w:rsid w:val="343B3CC3"/>
    <w:rsid w:val="343D095F"/>
    <w:rsid w:val="345DB8F2"/>
    <w:rsid w:val="346318DD"/>
    <w:rsid w:val="346C5A7C"/>
    <w:rsid w:val="348A9751"/>
    <w:rsid w:val="349678B3"/>
    <w:rsid w:val="349A1B63"/>
    <w:rsid w:val="349A8E8D"/>
    <w:rsid w:val="349B0AA6"/>
    <w:rsid w:val="349D4B4D"/>
    <w:rsid w:val="34A80D9A"/>
    <w:rsid w:val="34CA2093"/>
    <w:rsid w:val="34D200B1"/>
    <w:rsid w:val="34D90AC1"/>
    <w:rsid w:val="34DC068A"/>
    <w:rsid w:val="34EF7250"/>
    <w:rsid w:val="34EF93F7"/>
    <w:rsid w:val="34FE4F8C"/>
    <w:rsid w:val="3513BF7E"/>
    <w:rsid w:val="3522AD40"/>
    <w:rsid w:val="352BDC3A"/>
    <w:rsid w:val="3542DD3E"/>
    <w:rsid w:val="3552D7A1"/>
    <w:rsid w:val="3572D2AC"/>
    <w:rsid w:val="3575F8B8"/>
    <w:rsid w:val="3588D1AF"/>
    <w:rsid w:val="35AED3A6"/>
    <w:rsid w:val="35B85366"/>
    <w:rsid w:val="35BC730F"/>
    <w:rsid w:val="35C3E8B6"/>
    <w:rsid w:val="35C9B73E"/>
    <w:rsid w:val="35E11C1F"/>
    <w:rsid w:val="3601B360"/>
    <w:rsid w:val="3608195D"/>
    <w:rsid w:val="360C2A94"/>
    <w:rsid w:val="361000CA"/>
    <w:rsid w:val="361AE76A"/>
    <w:rsid w:val="36582A69"/>
    <w:rsid w:val="3669CAF2"/>
    <w:rsid w:val="3687FF6E"/>
    <w:rsid w:val="368DE843"/>
    <w:rsid w:val="3699E384"/>
    <w:rsid w:val="36A6DE7B"/>
    <w:rsid w:val="36D1FCC1"/>
    <w:rsid w:val="36E6E068"/>
    <w:rsid w:val="36EC6EF6"/>
    <w:rsid w:val="36EF4CF6"/>
    <w:rsid w:val="36FED9EC"/>
    <w:rsid w:val="3718BADA"/>
    <w:rsid w:val="371DCC63"/>
    <w:rsid w:val="3721FA64"/>
    <w:rsid w:val="37222AF0"/>
    <w:rsid w:val="3732E147"/>
    <w:rsid w:val="374BE48A"/>
    <w:rsid w:val="3784F12B"/>
    <w:rsid w:val="3785952B"/>
    <w:rsid w:val="3785C5C8"/>
    <w:rsid w:val="378CA094"/>
    <w:rsid w:val="37946836"/>
    <w:rsid w:val="379BA8CD"/>
    <w:rsid w:val="37B041B1"/>
    <w:rsid w:val="37B75B08"/>
    <w:rsid w:val="37BF204E"/>
    <w:rsid w:val="37CCFC16"/>
    <w:rsid w:val="37CFB964"/>
    <w:rsid w:val="37D3857E"/>
    <w:rsid w:val="37D65907"/>
    <w:rsid w:val="37E2584D"/>
    <w:rsid w:val="37FE8D8B"/>
    <w:rsid w:val="38088224"/>
    <w:rsid w:val="380C6431"/>
    <w:rsid w:val="3845E7BE"/>
    <w:rsid w:val="38568B2C"/>
    <w:rsid w:val="38626124"/>
    <w:rsid w:val="386A126E"/>
    <w:rsid w:val="386CDB00"/>
    <w:rsid w:val="388FD06E"/>
    <w:rsid w:val="38986949"/>
    <w:rsid w:val="38B0B98D"/>
    <w:rsid w:val="38CB2BC5"/>
    <w:rsid w:val="38DFA0E2"/>
    <w:rsid w:val="38E4D0AB"/>
    <w:rsid w:val="38F65C03"/>
    <w:rsid w:val="38F67282"/>
    <w:rsid w:val="3900922A"/>
    <w:rsid w:val="3906A892"/>
    <w:rsid w:val="390EE7D3"/>
    <w:rsid w:val="39189353"/>
    <w:rsid w:val="39192920"/>
    <w:rsid w:val="3922946F"/>
    <w:rsid w:val="3930548C"/>
    <w:rsid w:val="3940B3B6"/>
    <w:rsid w:val="39506568"/>
    <w:rsid w:val="395887B4"/>
    <w:rsid w:val="395F3887"/>
    <w:rsid w:val="395F8835"/>
    <w:rsid w:val="39714F91"/>
    <w:rsid w:val="39790702"/>
    <w:rsid w:val="397ECDDE"/>
    <w:rsid w:val="399815D1"/>
    <w:rsid w:val="39A16E1F"/>
    <w:rsid w:val="39A82BE1"/>
    <w:rsid w:val="39F09B02"/>
    <w:rsid w:val="3A1A11E4"/>
    <w:rsid w:val="3A2B983E"/>
    <w:rsid w:val="3A2D154D"/>
    <w:rsid w:val="3A335E91"/>
    <w:rsid w:val="3A5281BE"/>
    <w:rsid w:val="3A5C486C"/>
    <w:rsid w:val="3A65D96F"/>
    <w:rsid w:val="3A83D4E8"/>
    <w:rsid w:val="3AB7526A"/>
    <w:rsid w:val="3AC3568C"/>
    <w:rsid w:val="3AD59384"/>
    <w:rsid w:val="3AE0FFD4"/>
    <w:rsid w:val="3AF0E254"/>
    <w:rsid w:val="3B0A1BF0"/>
    <w:rsid w:val="3B0BFA3A"/>
    <w:rsid w:val="3B19D645"/>
    <w:rsid w:val="3B2AEFC2"/>
    <w:rsid w:val="3B2DDFF6"/>
    <w:rsid w:val="3B496EAE"/>
    <w:rsid w:val="3B5E8080"/>
    <w:rsid w:val="3B76BFC0"/>
    <w:rsid w:val="3B7F3091"/>
    <w:rsid w:val="3B8A9FEF"/>
    <w:rsid w:val="3B9FBB4D"/>
    <w:rsid w:val="3BF239E5"/>
    <w:rsid w:val="3C007E56"/>
    <w:rsid w:val="3C200B6C"/>
    <w:rsid w:val="3C45EAB1"/>
    <w:rsid w:val="3C4A94D5"/>
    <w:rsid w:val="3C5B2AB7"/>
    <w:rsid w:val="3C5D3A26"/>
    <w:rsid w:val="3C71C98C"/>
    <w:rsid w:val="3C9AFC00"/>
    <w:rsid w:val="3CBBBB7A"/>
    <w:rsid w:val="3CC4C914"/>
    <w:rsid w:val="3CD44AF2"/>
    <w:rsid w:val="3CD44CA0"/>
    <w:rsid w:val="3CD50AB0"/>
    <w:rsid w:val="3CD65C3C"/>
    <w:rsid w:val="3CD8F002"/>
    <w:rsid w:val="3CE2FCEA"/>
    <w:rsid w:val="3CF3196D"/>
    <w:rsid w:val="3D1030B3"/>
    <w:rsid w:val="3D26FB53"/>
    <w:rsid w:val="3D38FA5A"/>
    <w:rsid w:val="3D42DEA5"/>
    <w:rsid w:val="3D464367"/>
    <w:rsid w:val="3D53388D"/>
    <w:rsid w:val="3D604586"/>
    <w:rsid w:val="3D6588BE"/>
    <w:rsid w:val="3D6D87DC"/>
    <w:rsid w:val="3D78B7DC"/>
    <w:rsid w:val="3D826744"/>
    <w:rsid w:val="3D8DA010"/>
    <w:rsid w:val="3D9D109F"/>
    <w:rsid w:val="3DA2666F"/>
    <w:rsid w:val="3DAD42B1"/>
    <w:rsid w:val="3DD6EE62"/>
    <w:rsid w:val="3DD84B02"/>
    <w:rsid w:val="3DF30E9B"/>
    <w:rsid w:val="3E2455A8"/>
    <w:rsid w:val="3E36A50A"/>
    <w:rsid w:val="3E4E3B7A"/>
    <w:rsid w:val="3E4E7914"/>
    <w:rsid w:val="3E5B10F4"/>
    <w:rsid w:val="3E814C14"/>
    <w:rsid w:val="3E83D640"/>
    <w:rsid w:val="3EB1BF64"/>
    <w:rsid w:val="3EB84964"/>
    <w:rsid w:val="3EC5532B"/>
    <w:rsid w:val="3ECAFECD"/>
    <w:rsid w:val="3ECE49D3"/>
    <w:rsid w:val="3ED71B81"/>
    <w:rsid w:val="3EE72642"/>
    <w:rsid w:val="3F0FA738"/>
    <w:rsid w:val="3F125004"/>
    <w:rsid w:val="3F2EA775"/>
    <w:rsid w:val="3F5C890F"/>
    <w:rsid w:val="3F6B06FC"/>
    <w:rsid w:val="3F6E57E0"/>
    <w:rsid w:val="3F769576"/>
    <w:rsid w:val="3F923ADA"/>
    <w:rsid w:val="3FA101B4"/>
    <w:rsid w:val="3FA56D80"/>
    <w:rsid w:val="3FAB0A5C"/>
    <w:rsid w:val="3FAE17A5"/>
    <w:rsid w:val="3FD03C71"/>
    <w:rsid w:val="3FD3790A"/>
    <w:rsid w:val="3FFBFA1B"/>
    <w:rsid w:val="40020ED3"/>
    <w:rsid w:val="4014062C"/>
    <w:rsid w:val="4024BEB5"/>
    <w:rsid w:val="4030EEAE"/>
    <w:rsid w:val="4042F7E1"/>
    <w:rsid w:val="4057105B"/>
    <w:rsid w:val="4066E918"/>
    <w:rsid w:val="406C8DEF"/>
    <w:rsid w:val="40840EC1"/>
    <w:rsid w:val="40A4327E"/>
    <w:rsid w:val="40BFD2E6"/>
    <w:rsid w:val="40C90F32"/>
    <w:rsid w:val="40CFBFDA"/>
    <w:rsid w:val="40ED0B91"/>
    <w:rsid w:val="410B61F3"/>
    <w:rsid w:val="410E3F79"/>
    <w:rsid w:val="412828C7"/>
    <w:rsid w:val="413FC487"/>
    <w:rsid w:val="414E9962"/>
    <w:rsid w:val="4155D1C0"/>
    <w:rsid w:val="416217D8"/>
    <w:rsid w:val="416A656A"/>
    <w:rsid w:val="416CEF07"/>
    <w:rsid w:val="4171BFFC"/>
    <w:rsid w:val="417C32D9"/>
    <w:rsid w:val="4182B870"/>
    <w:rsid w:val="4184908B"/>
    <w:rsid w:val="419A8202"/>
    <w:rsid w:val="41C3A710"/>
    <w:rsid w:val="41F6D02C"/>
    <w:rsid w:val="41FBDC8B"/>
    <w:rsid w:val="41FD742B"/>
    <w:rsid w:val="42153578"/>
    <w:rsid w:val="4243D107"/>
    <w:rsid w:val="4252FC4D"/>
    <w:rsid w:val="42673F6C"/>
    <w:rsid w:val="42763585"/>
    <w:rsid w:val="42782757"/>
    <w:rsid w:val="4279EFFA"/>
    <w:rsid w:val="4280932D"/>
    <w:rsid w:val="42894755"/>
    <w:rsid w:val="4290665E"/>
    <w:rsid w:val="4292E422"/>
    <w:rsid w:val="429EFF8F"/>
    <w:rsid w:val="42A11D13"/>
    <w:rsid w:val="42A9D15D"/>
    <w:rsid w:val="42B9DFD8"/>
    <w:rsid w:val="42C35BDA"/>
    <w:rsid w:val="42CC86CD"/>
    <w:rsid w:val="42CE0A47"/>
    <w:rsid w:val="42D2F685"/>
    <w:rsid w:val="42EDD8EC"/>
    <w:rsid w:val="43073DBA"/>
    <w:rsid w:val="431C5DAE"/>
    <w:rsid w:val="43410A32"/>
    <w:rsid w:val="434AE59C"/>
    <w:rsid w:val="434AF9A2"/>
    <w:rsid w:val="434D80E0"/>
    <w:rsid w:val="434EC812"/>
    <w:rsid w:val="434ED0B9"/>
    <w:rsid w:val="4376B4CA"/>
    <w:rsid w:val="43AEF005"/>
    <w:rsid w:val="43B93801"/>
    <w:rsid w:val="43BDF895"/>
    <w:rsid w:val="43C00DC5"/>
    <w:rsid w:val="43CAD672"/>
    <w:rsid w:val="43EA5E2D"/>
    <w:rsid w:val="43F44D72"/>
    <w:rsid w:val="43F6A820"/>
    <w:rsid w:val="43FF4D9E"/>
    <w:rsid w:val="44232548"/>
    <w:rsid w:val="4423D9D5"/>
    <w:rsid w:val="4427B1CC"/>
    <w:rsid w:val="44420E30"/>
    <w:rsid w:val="4458B731"/>
    <w:rsid w:val="44641C62"/>
    <w:rsid w:val="4468CA7F"/>
    <w:rsid w:val="447CCBF9"/>
    <w:rsid w:val="44807F09"/>
    <w:rsid w:val="4481AEDA"/>
    <w:rsid w:val="44DC9654"/>
    <w:rsid w:val="44E5D507"/>
    <w:rsid w:val="44EA8812"/>
    <w:rsid w:val="45127E85"/>
    <w:rsid w:val="4516EA17"/>
    <w:rsid w:val="45367F1A"/>
    <w:rsid w:val="453DDD8A"/>
    <w:rsid w:val="454469B8"/>
    <w:rsid w:val="45649903"/>
    <w:rsid w:val="457F95A6"/>
    <w:rsid w:val="4585A9A7"/>
    <w:rsid w:val="45898F82"/>
    <w:rsid w:val="45932A38"/>
    <w:rsid w:val="45AB36E9"/>
    <w:rsid w:val="45B7E673"/>
    <w:rsid w:val="45B906DA"/>
    <w:rsid w:val="45D4E8C6"/>
    <w:rsid w:val="45DFC49B"/>
    <w:rsid w:val="46005B24"/>
    <w:rsid w:val="4602A1DF"/>
    <w:rsid w:val="46094FDE"/>
    <w:rsid w:val="460E65A6"/>
    <w:rsid w:val="460EB21F"/>
    <w:rsid w:val="461A15DF"/>
    <w:rsid w:val="461D3637"/>
    <w:rsid w:val="4626C782"/>
    <w:rsid w:val="462D7FEC"/>
    <w:rsid w:val="463144EA"/>
    <w:rsid w:val="46511145"/>
    <w:rsid w:val="4653B187"/>
    <w:rsid w:val="465BA64D"/>
    <w:rsid w:val="466C591A"/>
    <w:rsid w:val="4696C5B4"/>
    <w:rsid w:val="469813FB"/>
    <w:rsid w:val="46A31ED1"/>
    <w:rsid w:val="46D1001D"/>
    <w:rsid w:val="46E9A3CB"/>
    <w:rsid w:val="46FC0553"/>
    <w:rsid w:val="4703D039"/>
    <w:rsid w:val="471D3B98"/>
    <w:rsid w:val="47354AD9"/>
    <w:rsid w:val="47413C2B"/>
    <w:rsid w:val="4741F9E6"/>
    <w:rsid w:val="4744B4F6"/>
    <w:rsid w:val="47506B09"/>
    <w:rsid w:val="475841CF"/>
    <w:rsid w:val="4765EDFF"/>
    <w:rsid w:val="476F03CF"/>
    <w:rsid w:val="477503E3"/>
    <w:rsid w:val="47B053F9"/>
    <w:rsid w:val="47B54BDB"/>
    <w:rsid w:val="47B554D4"/>
    <w:rsid w:val="47BC30E6"/>
    <w:rsid w:val="47CDAA09"/>
    <w:rsid w:val="47EBDBB8"/>
    <w:rsid w:val="4802288C"/>
    <w:rsid w:val="480D474C"/>
    <w:rsid w:val="480E73FD"/>
    <w:rsid w:val="4815E62A"/>
    <w:rsid w:val="483D37C0"/>
    <w:rsid w:val="4840E5A0"/>
    <w:rsid w:val="484143A5"/>
    <w:rsid w:val="4846E9EB"/>
    <w:rsid w:val="484D260F"/>
    <w:rsid w:val="485AC207"/>
    <w:rsid w:val="4860F36E"/>
    <w:rsid w:val="486F895F"/>
    <w:rsid w:val="486F9A92"/>
    <w:rsid w:val="48A55B0F"/>
    <w:rsid w:val="48CB97CC"/>
    <w:rsid w:val="48D0A00A"/>
    <w:rsid w:val="48D8E1FA"/>
    <w:rsid w:val="48F39781"/>
    <w:rsid w:val="48FFEBCC"/>
    <w:rsid w:val="490EA1D7"/>
    <w:rsid w:val="491C2653"/>
    <w:rsid w:val="49281846"/>
    <w:rsid w:val="493B9563"/>
    <w:rsid w:val="49413FD4"/>
    <w:rsid w:val="4964A51A"/>
    <w:rsid w:val="49675581"/>
    <w:rsid w:val="49714D69"/>
    <w:rsid w:val="498B8054"/>
    <w:rsid w:val="4996187D"/>
    <w:rsid w:val="4996AF9B"/>
    <w:rsid w:val="49975CBF"/>
    <w:rsid w:val="499ABFFB"/>
    <w:rsid w:val="499EEA7D"/>
    <w:rsid w:val="49A5F802"/>
    <w:rsid w:val="49AEC27C"/>
    <w:rsid w:val="49BBB8DF"/>
    <w:rsid w:val="49D6B970"/>
    <w:rsid w:val="49DFD2B3"/>
    <w:rsid w:val="49E8B41B"/>
    <w:rsid w:val="49EBA553"/>
    <w:rsid w:val="49F6E55B"/>
    <w:rsid w:val="4A08E17E"/>
    <w:rsid w:val="4A177435"/>
    <w:rsid w:val="4A204700"/>
    <w:rsid w:val="4A2C3FB4"/>
    <w:rsid w:val="4A2F69A2"/>
    <w:rsid w:val="4A3360B9"/>
    <w:rsid w:val="4A388271"/>
    <w:rsid w:val="4A4134B7"/>
    <w:rsid w:val="4A440F15"/>
    <w:rsid w:val="4A4FD049"/>
    <w:rsid w:val="4A56491F"/>
    <w:rsid w:val="4A605D62"/>
    <w:rsid w:val="4A69A056"/>
    <w:rsid w:val="4A72B1B0"/>
    <w:rsid w:val="4A7AB651"/>
    <w:rsid w:val="4A855EB2"/>
    <w:rsid w:val="4A9058F1"/>
    <w:rsid w:val="4AA3C8A2"/>
    <w:rsid w:val="4AA87B5C"/>
    <w:rsid w:val="4AC44548"/>
    <w:rsid w:val="4ACA3E0E"/>
    <w:rsid w:val="4AE6AAEC"/>
    <w:rsid w:val="4B227A64"/>
    <w:rsid w:val="4B2CA704"/>
    <w:rsid w:val="4B3674AB"/>
    <w:rsid w:val="4B388EA4"/>
    <w:rsid w:val="4B39BDD1"/>
    <w:rsid w:val="4B3AB6F6"/>
    <w:rsid w:val="4B41A372"/>
    <w:rsid w:val="4B631259"/>
    <w:rsid w:val="4B918F4C"/>
    <w:rsid w:val="4BA7C89E"/>
    <w:rsid w:val="4BD5BF38"/>
    <w:rsid w:val="4BD97466"/>
    <w:rsid w:val="4BDC2393"/>
    <w:rsid w:val="4BDF130D"/>
    <w:rsid w:val="4BE96E60"/>
    <w:rsid w:val="4C0FC6C1"/>
    <w:rsid w:val="4C2A1649"/>
    <w:rsid w:val="4C2FB07F"/>
    <w:rsid w:val="4C3C2434"/>
    <w:rsid w:val="4C7A5138"/>
    <w:rsid w:val="4CA7C038"/>
    <w:rsid w:val="4CAAF729"/>
    <w:rsid w:val="4CAC7DC1"/>
    <w:rsid w:val="4CAFD124"/>
    <w:rsid w:val="4CBAE722"/>
    <w:rsid w:val="4CC5CDC5"/>
    <w:rsid w:val="4CC65D4B"/>
    <w:rsid w:val="4CC73137"/>
    <w:rsid w:val="4CE10D39"/>
    <w:rsid w:val="4CEA3A83"/>
    <w:rsid w:val="4CEDA98E"/>
    <w:rsid w:val="4D286173"/>
    <w:rsid w:val="4D2B3F4A"/>
    <w:rsid w:val="4D2E4060"/>
    <w:rsid w:val="4D35E40F"/>
    <w:rsid w:val="4D68C959"/>
    <w:rsid w:val="4D87B4F3"/>
    <w:rsid w:val="4D8E8790"/>
    <w:rsid w:val="4D9528EC"/>
    <w:rsid w:val="4DA7E344"/>
    <w:rsid w:val="4DA931E2"/>
    <w:rsid w:val="4DB96C99"/>
    <w:rsid w:val="4DBE2EC4"/>
    <w:rsid w:val="4DD33E1F"/>
    <w:rsid w:val="4DEF74EA"/>
    <w:rsid w:val="4E015E0F"/>
    <w:rsid w:val="4E190A88"/>
    <w:rsid w:val="4E307788"/>
    <w:rsid w:val="4E39C1A0"/>
    <w:rsid w:val="4E43D753"/>
    <w:rsid w:val="4E459197"/>
    <w:rsid w:val="4E55AC72"/>
    <w:rsid w:val="4E61FCE1"/>
    <w:rsid w:val="4E7011C6"/>
    <w:rsid w:val="4E7DB29E"/>
    <w:rsid w:val="4E7FB8F4"/>
    <w:rsid w:val="4E8560BC"/>
    <w:rsid w:val="4E8B3046"/>
    <w:rsid w:val="4E8B5EBF"/>
    <w:rsid w:val="4E8FA25A"/>
    <w:rsid w:val="4E913DCF"/>
    <w:rsid w:val="4E996F31"/>
    <w:rsid w:val="4E9B2C3F"/>
    <w:rsid w:val="4EA90122"/>
    <w:rsid w:val="4EACFD47"/>
    <w:rsid w:val="4EB17102"/>
    <w:rsid w:val="4EC5F84B"/>
    <w:rsid w:val="4ECC5B78"/>
    <w:rsid w:val="4EE06586"/>
    <w:rsid w:val="4EE1B9BA"/>
    <w:rsid w:val="4EE9EAAA"/>
    <w:rsid w:val="4EF640EB"/>
    <w:rsid w:val="4EF95157"/>
    <w:rsid w:val="4EFAA7AB"/>
    <w:rsid w:val="4F300C11"/>
    <w:rsid w:val="4F42E94D"/>
    <w:rsid w:val="4F4ED364"/>
    <w:rsid w:val="4F4FF1EF"/>
    <w:rsid w:val="4F60C8AD"/>
    <w:rsid w:val="4F696C86"/>
    <w:rsid w:val="4F79E99C"/>
    <w:rsid w:val="4F82CDC7"/>
    <w:rsid w:val="4F842B14"/>
    <w:rsid w:val="4F9172F2"/>
    <w:rsid w:val="4F95031C"/>
    <w:rsid w:val="4F9C2C49"/>
    <w:rsid w:val="4F9D5ED8"/>
    <w:rsid w:val="4F9E9D71"/>
    <w:rsid w:val="4FA83B0D"/>
    <w:rsid w:val="4FABE611"/>
    <w:rsid w:val="4FC6DAC3"/>
    <w:rsid w:val="4FCE76D5"/>
    <w:rsid w:val="4FEC7C54"/>
    <w:rsid w:val="4FFF3DCD"/>
    <w:rsid w:val="5007EC03"/>
    <w:rsid w:val="500A6266"/>
    <w:rsid w:val="500F0394"/>
    <w:rsid w:val="500F5A05"/>
    <w:rsid w:val="5014AB8F"/>
    <w:rsid w:val="501A6A63"/>
    <w:rsid w:val="5040B3E9"/>
    <w:rsid w:val="5046E0F5"/>
    <w:rsid w:val="504AAD0F"/>
    <w:rsid w:val="5051930E"/>
    <w:rsid w:val="50536340"/>
    <w:rsid w:val="50671276"/>
    <w:rsid w:val="5081A6CE"/>
    <w:rsid w:val="5087C218"/>
    <w:rsid w:val="50900879"/>
    <w:rsid w:val="509E6682"/>
    <w:rsid w:val="50AE1122"/>
    <w:rsid w:val="50AEBE10"/>
    <w:rsid w:val="50BC94D1"/>
    <w:rsid w:val="50C1C456"/>
    <w:rsid w:val="50CFD408"/>
    <w:rsid w:val="50D01B2F"/>
    <w:rsid w:val="50D6BB63"/>
    <w:rsid w:val="50DE1EB5"/>
    <w:rsid w:val="50EAE165"/>
    <w:rsid w:val="50EDC99F"/>
    <w:rsid w:val="50EF8D22"/>
    <w:rsid w:val="50F7B3A0"/>
    <w:rsid w:val="50FD83ED"/>
    <w:rsid w:val="510B72E8"/>
    <w:rsid w:val="5111F746"/>
    <w:rsid w:val="511B2C77"/>
    <w:rsid w:val="511C1C9D"/>
    <w:rsid w:val="51259863"/>
    <w:rsid w:val="51416EBE"/>
    <w:rsid w:val="5142333A"/>
    <w:rsid w:val="514415C2"/>
    <w:rsid w:val="51457174"/>
    <w:rsid w:val="51458622"/>
    <w:rsid w:val="5146F621"/>
    <w:rsid w:val="514DE257"/>
    <w:rsid w:val="515F767F"/>
    <w:rsid w:val="51689675"/>
    <w:rsid w:val="51869542"/>
    <w:rsid w:val="5197C18F"/>
    <w:rsid w:val="51A2C01E"/>
    <w:rsid w:val="51AD84FB"/>
    <w:rsid w:val="51AE8FA8"/>
    <w:rsid w:val="51B03844"/>
    <w:rsid w:val="51B55DC0"/>
    <w:rsid w:val="51B6107A"/>
    <w:rsid w:val="51CBAFFC"/>
    <w:rsid w:val="5209099B"/>
    <w:rsid w:val="5209902B"/>
    <w:rsid w:val="522E75CD"/>
    <w:rsid w:val="525587CE"/>
    <w:rsid w:val="526829D4"/>
    <w:rsid w:val="526DDD05"/>
    <w:rsid w:val="526F9B4B"/>
    <w:rsid w:val="52721128"/>
    <w:rsid w:val="52811265"/>
    <w:rsid w:val="52A5CE84"/>
    <w:rsid w:val="52C45625"/>
    <w:rsid w:val="52DA1DEF"/>
    <w:rsid w:val="52DDC3BF"/>
    <w:rsid w:val="52EA51E0"/>
    <w:rsid w:val="52F3B116"/>
    <w:rsid w:val="53003239"/>
    <w:rsid w:val="53005F46"/>
    <w:rsid w:val="530FE8DC"/>
    <w:rsid w:val="531F1639"/>
    <w:rsid w:val="53233E65"/>
    <w:rsid w:val="5346D4AB"/>
    <w:rsid w:val="5353DDA5"/>
    <w:rsid w:val="535CF5F6"/>
    <w:rsid w:val="536261AA"/>
    <w:rsid w:val="5363D181"/>
    <w:rsid w:val="53781191"/>
    <w:rsid w:val="538797EA"/>
    <w:rsid w:val="53B15EF3"/>
    <w:rsid w:val="53B54FA8"/>
    <w:rsid w:val="53BE99A4"/>
    <w:rsid w:val="53DF19DF"/>
    <w:rsid w:val="53E28057"/>
    <w:rsid w:val="53EA5423"/>
    <w:rsid w:val="54023505"/>
    <w:rsid w:val="540794CE"/>
    <w:rsid w:val="540B4AC7"/>
    <w:rsid w:val="540F120A"/>
    <w:rsid w:val="541A877D"/>
    <w:rsid w:val="541EC026"/>
    <w:rsid w:val="542677C9"/>
    <w:rsid w:val="542E62C2"/>
    <w:rsid w:val="5433BC8F"/>
    <w:rsid w:val="54446302"/>
    <w:rsid w:val="54448914"/>
    <w:rsid w:val="5458570F"/>
    <w:rsid w:val="548742D2"/>
    <w:rsid w:val="548850B7"/>
    <w:rsid w:val="5492349E"/>
    <w:rsid w:val="5496B6FE"/>
    <w:rsid w:val="549F43E1"/>
    <w:rsid w:val="54A069B7"/>
    <w:rsid w:val="54A77BD8"/>
    <w:rsid w:val="54B74E43"/>
    <w:rsid w:val="54BF13D6"/>
    <w:rsid w:val="54C4F2A9"/>
    <w:rsid w:val="54EF3154"/>
    <w:rsid w:val="54F49E6E"/>
    <w:rsid w:val="54F53D51"/>
    <w:rsid w:val="550054DA"/>
    <w:rsid w:val="5505CCD8"/>
    <w:rsid w:val="552083B5"/>
    <w:rsid w:val="5537B65C"/>
    <w:rsid w:val="5540B458"/>
    <w:rsid w:val="555320F8"/>
    <w:rsid w:val="555456AC"/>
    <w:rsid w:val="5556C3EF"/>
    <w:rsid w:val="555AF093"/>
    <w:rsid w:val="5562FE0A"/>
    <w:rsid w:val="556BDBA8"/>
    <w:rsid w:val="557046AF"/>
    <w:rsid w:val="55A5977B"/>
    <w:rsid w:val="55B0C337"/>
    <w:rsid w:val="55B78DE3"/>
    <w:rsid w:val="55BDF370"/>
    <w:rsid w:val="55CB43F9"/>
    <w:rsid w:val="55EAA5AF"/>
    <w:rsid w:val="55EB90D9"/>
    <w:rsid w:val="55F53806"/>
    <w:rsid w:val="55FAC182"/>
    <w:rsid w:val="561C38FF"/>
    <w:rsid w:val="5622B28A"/>
    <w:rsid w:val="563911DE"/>
    <w:rsid w:val="564099D0"/>
    <w:rsid w:val="56445F0E"/>
    <w:rsid w:val="565C2DE3"/>
    <w:rsid w:val="565DE550"/>
    <w:rsid w:val="566D60EF"/>
    <w:rsid w:val="567537BF"/>
    <w:rsid w:val="568C6740"/>
    <w:rsid w:val="5699B09C"/>
    <w:rsid w:val="56A55E72"/>
    <w:rsid w:val="56B0F8F5"/>
    <w:rsid w:val="56B64594"/>
    <w:rsid w:val="56C6A4D8"/>
    <w:rsid w:val="56E25FB1"/>
    <w:rsid w:val="56E7A0EA"/>
    <w:rsid w:val="56E83487"/>
    <w:rsid w:val="56E8FF4F"/>
    <w:rsid w:val="56EFBDFA"/>
    <w:rsid w:val="57088AB6"/>
    <w:rsid w:val="5722D8EE"/>
    <w:rsid w:val="572CF204"/>
    <w:rsid w:val="573321FE"/>
    <w:rsid w:val="573AAAED"/>
    <w:rsid w:val="57483CE0"/>
    <w:rsid w:val="5748D714"/>
    <w:rsid w:val="57502356"/>
    <w:rsid w:val="57620DBE"/>
    <w:rsid w:val="57788F44"/>
    <w:rsid w:val="578101C1"/>
    <w:rsid w:val="57938AF6"/>
    <w:rsid w:val="579D88EE"/>
    <w:rsid w:val="57A96DE6"/>
    <w:rsid w:val="57B2D170"/>
    <w:rsid w:val="57CA16C3"/>
    <w:rsid w:val="57D8D04D"/>
    <w:rsid w:val="57E8190C"/>
    <w:rsid w:val="57F1E837"/>
    <w:rsid w:val="58215CA2"/>
    <w:rsid w:val="5832BEDF"/>
    <w:rsid w:val="58495A1F"/>
    <w:rsid w:val="584D60A8"/>
    <w:rsid w:val="5856D4DE"/>
    <w:rsid w:val="5878975F"/>
    <w:rsid w:val="587BD01C"/>
    <w:rsid w:val="5888C4E5"/>
    <w:rsid w:val="5892F19C"/>
    <w:rsid w:val="58A51B18"/>
    <w:rsid w:val="58BAC8CE"/>
    <w:rsid w:val="58C61C7B"/>
    <w:rsid w:val="58D0D890"/>
    <w:rsid w:val="58D442C3"/>
    <w:rsid w:val="58D5DA11"/>
    <w:rsid w:val="58E36C55"/>
    <w:rsid w:val="591A2164"/>
    <w:rsid w:val="59512527"/>
    <w:rsid w:val="5951BCB5"/>
    <w:rsid w:val="59590376"/>
    <w:rsid w:val="59597AD7"/>
    <w:rsid w:val="595CE21B"/>
    <w:rsid w:val="595E673B"/>
    <w:rsid w:val="5972D4D0"/>
    <w:rsid w:val="5974BA7F"/>
    <w:rsid w:val="59759C27"/>
    <w:rsid w:val="59912A20"/>
    <w:rsid w:val="59938185"/>
    <w:rsid w:val="59938346"/>
    <w:rsid w:val="59A2ED18"/>
    <w:rsid w:val="59A96E33"/>
    <w:rsid w:val="59C49C2D"/>
    <w:rsid w:val="59C4E2EB"/>
    <w:rsid w:val="59CCDED4"/>
    <w:rsid w:val="59ED3A84"/>
    <w:rsid w:val="59F68101"/>
    <w:rsid w:val="5A057B00"/>
    <w:rsid w:val="5A080F17"/>
    <w:rsid w:val="5A15A214"/>
    <w:rsid w:val="5A170293"/>
    <w:rsid w:val="5A1D240A"/>
    <w:rsid w:val="5A22B51F"/>
    <w:rsid w:val="5A44A4AF"/>
    <w:rsid w:val="5A46DAF2"/>
    <w:rsid w:val="5A543C9B"/>
    <w:rsid w:val="5A596EC6"/>
    <w:rsid w:val="5A5E3092"/>
    <w:rsid w:val="5A9E40B5"/>
    <w:rsid w:val="5ABEA4C2"/>
    <w:rsid w:val="5ACE73D2"/>
    <w:rsid w:val="5AE1AA33"/>
    <w:rsid w:val="5AE9AD01"/>
    <w:rsid w:val="5AFC450A"/>
    <w:rsid w:val="5B0BE37D"/>
    <w:rsid w:val="5B0FE259"/>
    <w:rsid w:val="5B104C40"/>
    <w:rsid w:val="5B1766AB"/>
    <w:rsid w:val="5B291C08"/>
    <w:rsid w:val="5B2BE7BF"/>
    <w:rsid w:val="5B3069A7"/>
    <w:rsid w:val="5B5EFE47"/>
    <w:rsid w:val="5B68FD03"/>
    <w:rsid w:val="5B730AF1"/>
    <w:rsid w:val="5B78E139"/>
    <w:rsid w:val="5B7A3570"/>
    <w:rsid w:val="5B8A4B09"/>
    <w:rsid w:val="5B8BFEAF"/>
    <w:rsid w:val="5BA5F41D"/>
    <w:rsid w:val="5BD0607C"/>
    <w:rsid w:val="5BE75B0B"/>
    <w:rsid w:val="5BF670C8"/>
    <w:rsid w:val="5C03FE2A"/>
    <w:rsid w:val="5C1739E1"/>
    <w:rsid w:val="5C1AD0DC"/>
    <w:rsid w:val="5C29997F"/>
    <w:rsid w:val="5C4159E9"/>
    <w:rsid w:val="5C55F76D"/>
    <w:rsid w:val="5C5CDE62"/>
    <w:rsid w:val="5C655A8D"/>
    <w:rsid w:val="5C849A1F"/>
    <w:rsid w:val="5C9AAA99"/>
    <w:rsid w:val="5CBA036B"/>
    <w:rsid w:val="5CD159CF"/>
    <w:rsid w:val="5CDBD622"/>
    <w:rsid w:val="5CF23877"/>
    <w:rsid w:val="5CF27D7C"/>
    <w:rsid w:val="5CFF3986"/>
    <w:rsid w:val="5CFF8263"/>
    <w:rsid w:val="5D00CD7F"/>
    <w:rsid w:val="5D04DE92"/>
    <w:rsid w:val="5D10D0E0"/>
    <w:rsid w:val="5D121657"/>
    <w:rsid w:val="5D1C5691"/>
    <w:rsid w:val="5D1D69F8"/>
    <w:rsid w:val="5D3395E0"/>
    <w:rsid w:val="5D4230A7"/>
    <w:rsid w:val="5D4C9B67"/>
    <w:rsid w:val="5D7A0751"/>
    <w:rsid w:val="5DA8BF83"/>
    <w:rsid w:val="5DAEBF77"/>
    <w:rsid w:val="5DB337C1"/>
    <w:rsid w:val="5DB3C811"/>
    <w:rsid w:val="5DC76BCF"/>
    <w:rsid w:val="5DD21C32"/>
    <w:rsid w:val="5DEB81D1"/>
    <w:rsid w:val="5DF27CF4"/>
    <w:rsid w:val="5E0BC5E4"/>
    <w:rsid w:val="5E1AD68E"/>
    <w:rsid w:val="5E218499"/>
    <w:rsid w:val="5E2EA523"/>
    <w:rsid w:val="5E373925"/>
    <w:rsid w:val="5E3F8E0B"/>
    <w:rsid w:val="5E46950D"/>
    <w:rsid w:val="5E58EAC4"/>
    <w:rsid w:val="5E61F7B6"/>
    <w:rsid w:val="5E634C6F"/>
    <w:rsid w:val="5E69DC25"/>
    <w:rsid w:val="5E6EBD5C"/>
    <w:rsid w:val="5E76755A"/>
    <w:rsid w:val="5E7C14F6"/>
    <w:rsid w:val="5E997BC0"/>
    <w:rsid w:val="5EA70BE1"/>
    <w:rsid w:val="5EABB0F7"/>
    <w:rsid w:val="5EB338C6"/>
    <w:rsid w:val="5EB75FAD"/>
    <w:rsid w:val="5EE10FAA"/>
    <w:rsid w:val="5EE8A20B"/>
    <w:rsid w:val="5EEDE2D6"/>
    <w:rsid w:val="5EEFAD69"/>
    <w:rsid w:val="5EF0285B"/>
    <w:rsid w:val="5EF856F4"/>
    <w:rsid w:val="5F0FE392"/>
    <w:rsid w:val="5F141816"/>
    <w:rsid w:val="5F147516"/>
    <w:rsid w:val="5F2C0F23"/>
    <w:rsid w:val="5F2F8FBA"/>
    <w:rsid w:val="5F3881BC"/>
    <w:rsid w:val="5F551E34"/>
    <w:rsid w:val="5F98D319"/>
    <w:rsid w:val="5F98D5F9"/>
    <w:rsid w:val="5FA70FF2"/>
    <w:rsid w:val="5FAE3C66"/>
    <w:rsid w:val="5FBB002B"/>
    <w:rsid w:val="5FBF7DD8"/>
    <w:rsid w:val="5FDD2819"/>
    <w:rsid w:val="5FE74CB8"/>
    <w:rsid w:val="5FEEFC62"/>
    <w:rsid w:val="6003838F"/>
    <w:rsid w:val="601AA598"/>
    <w:rsid w:val="60500DDF"/>
    <w:rsid w:val="605A3C78"/>
    <w:rsid w:val="605BA997"/>
    <w:rsid w:val="60790C80"/>
    <w:rsid w:val="607F45B5"/>
    <w:rsid w:val="607F6A26"/>
    <w:rsid w:val="6080258F"/>
    <w:rsid w:val="60985A72"/>
    <w:rsid w:val="609B5031"/>
    <w:rsid w:val="609EC375"/>
    <w:rsid w:val="60E15ADA"/>
    <w:rsid w:val="610EF081"/>
    <w:rsid w:val="61143827"/>
    <w:rsid w:val="612A27D8"/>
    <w:rsid w:val="612BCCCA"/>
    <w:rsid w:val="6130A16A"/>
    <w:rsid w:val="61344B77"/>
    <w:rsid w:val="6145CBEB"/>
    <w:rsid w:val="614CED64"/>
    <w:rsid w:val="614E7EAC"/>
    <w:rsid w:val="615114EA"/>
    <w:rsid w:val="615ABDC1"/>
    <w:rsid w:val="61626706"/>
    <w:rsid w:val="616401F9"/>
    <w:rsid w:val="61B6F523"/>
    <w:rsid w:val="61CAE1A3"/>
    <w:rsid w:val="61E1B139"/>
    <w:rsid w:val="61EA6CA0"/>
    <w:rsid w:val="61EBB4EF"/>
    <w:rsid w:val="61EC0CDA"/>
    <w:rsid w:val="61FFAAA3"/>
    <w:rsid w:val="620C390D"/>
    <w:rsid w:val="621E3A2A"/>
    <w:rsid w:val="6228C49C"/>
    <w:rsid w:val="622F9D2B"/>
    <w:rsid w:val="623696CA"/>
    <w:rsid w:val="6237D13C"/>
    <w:rsid w:val="6240C198"/>
    <w:rsid w:val="6252CFB5"/>
    <w:rsid w:val="6259B869"/>
    <w:rsid w:val="625E89C2"/>
    <w:rsid w:val="62672949"/>
    <w:rsid w:val="62723710"/>
    <w:rsid w:val="6283B619"/>
    <w:rsid w:val="62951462"/>
    <w:rsid w:val="629ED82C"/>
    <w:rsid w:val="62A93355"/>
    <w:rsid w:val="62A9C0C5"/>
    <w:rsid w:val="62B72FFC"/>
    <w:rsid w:val="62B76E30"/>
    <w:rsid w:val="62BB255F"/>
    <w:rsid w:val="62DD561B"/>
    <w:rsid w:val="632033BA"/>
    <w:rsid w:val="634B671B"/>
    <w:rsid w:val="635AEEF6"/>
    <w:rsid w:val="6363EDE0"/>
    <w:rsid w:val="636AA801"/>
    <w:rsid w:val="636FA7FB"/>
    <w:rsid w:val="637A09DB"/>
    <w:rsid w:val="639A4646"/>
    <w:rsid w:val="639C9114"/>
    <w:rsid w:val="63A1E9B3"/>
    <w:rsid w:val="63A3856C"/>
    <w:rsid w:val="63B66406"/>
    <w:rsid w:val="63D15EA2"/>
    <w:rsid w:val="63E66A60"/>
    <w:rsid w:val="63F0D89A"/>
    <w:rsid w:val="64042669"/>
    <w:rsid w:val="640D4951"/>
    <w:rsid w:val="641E3CFB"/>
    <w:rsid w:val="6422E102"/>
    <w:rsid w:val="642B8F33"/>
    <w:rsid w:val="6462361C"/>
    <w:rsid w:val="6463D4C4"/>
    <w:rsid w:val="647C1617"/>
    <w:rsid w:val="647E2832"/>
    <w:rsid w:val="6480C8AA"/>
    <w:rsid w:val="64877758"/>
    <w:rsid w:val="649A3B7A"/>
    <w:rsid w:val="64AEFF1E"/>
    <w:rsid w:val="64B4764A"/>
    <w:rsid w:val="64B74BD0"/>
    <w:rsid w:val="64C46803"/>
    <w:rsid w:val="64D0E1A5"/>
    <w:rsid w:val="64D308CA"/>
    <w:rsid w:val="64E6056B"/>
    <w:rsid w:val="64E888A5"/>
    <w:rsid w:val="64EC1175"/>
    <w:rsid w:val="64FC820C"/>
    <w:rsid w:val="6501848D"/>
    <w:rsid w:val="651DB5D3"/>
    <w:rsid w:val="65649915"/>
    <w:rsid w:val="656EE62B"/>
    <w:rsid w:val="6572401D"/>
    <w:rsid w:val="65753FC4"/>
    <w:rsid w:val="657E53C2"/>
    <w:rsid w:val="6580ADBC"/>
    <w:rsid w:val="6582AA12"/>
    <w:rsid w:val="658F70A6"/>
    <w:rsid w:val="6591ED11"/>
    <w:rsid w:val="6599C469"/>
    <w:rsid w:val="659D9ECD"/>
    <w:rsid w:val="65B958C0"/>
    <w:rsid w:val="65DAEDD6"/>
    <w:rsid w:val="65EE3D0A"/>
    <w:rsid w:val="65F58FEE"/>
    <w:rsid w:val="65F934B0"/>
    <w:rsid w:val="66030B60"/>
    <w:rsid w:val="661955DF"/>
    <w:rsid w:val="661EA8B4"/>
    <w:rsid w:val="66270841"/>
    <w:rsid w:val="6647937F"/>
    <w:rsid w:val="6652B44F"/>
    <w:rsid w:val="66801348"/>
    <w:rsid w:val="6688F9DF"/>
    <w:rsid w:val="66A5A76B"/>
    <w:rsid w:val="66B6704B"/>
    <w:rsid w:val="66B8BB42"/>
    <w:rsid w:val="6703EC85"/>
    <w:rsid w:val="67082B0E"/>
    <w:rsid w:val="670C1D83"/>
    <w:rsid w:val="671220A7"/>
    <w:rsid w:val="671FA9ED"/>
    <w:rsid w:val="67207DA7"/>
    <w:rsid w:val="67252BF5"/>
    <w:rsid w:val="67360E19"/>
    <w:rsid w:val="6761E5DD"/>
    <w:rsid w:val="6768BA22"/>
    <w:rsid w:val="677382C4"/>
    <w:rsid w:val="6778C902"/>
    <w:rsid w:val="67877CD1"/>
    <w:rsid w:val="678958A5"/>
    <w:rsid w:val="678BB00F"/>
    <w:rsid w:val="679A29C9"/>
    <w:rsid w:val="67EB7AA9"/>
    <w:rsid w:val="67FE5B00"/>
    <w:rsid w:val="68047621"/>
    <w:rsid w:val="6813E2A8"/>
    <w:rsid w:val="68140C9E"/>
    <w:rsid w:val="6826D7D1"/>
    <w:rsid w:val="683711F1"/>
    <w:rsid w:val="686262E0"/>
    <w:rsid w:val="68750C90"/>
    <w:rsid w:val="688D2679"/>
    <w:rsid w:val="6896691A"/>
    <w:rsid w:val="68985BC8"/>
    <w:rsid w:val="68BF28BF"/>
    <w:rsid w:val="68C97D9F"/>
    <w:rsid w:val="68CBD5D6"/>
    <w:rsid w:val="68F0E0B3"/>
    <w:rsid w:val="68F2D691"/>
    <w:rsid w:val="68FAA234"/>
    <w:rsid w:val="69006B03"/>
    <w:rsid w:val="6901EC77"/>
    <w:rsid w:val="690FC2B7"/>
    <w:rsid w:val="6927C5EB"/>
    <w:rsid w:val="692A6F31"/>
    <w:rsid w:val="69336AF8"/>
    <w:rsid w:val="693C103E"/>
    <w:rsid w:val="6945CFB1"/>
    <w:rsid w:val="694F2AFB"/>
    <w:rsid w:val="69585E42"/>
    <w:rsid w:val="6959ADF0"/>
    <w:rsid w:val="695FD31D"/>
    <w:rsid w:val="69686E8A"/>
    <w:rsid w:val="698A7F10"/>
    <w:rsid w:val="69A24730"/>
    <w:rsid w:val="69B79516"/>
    <w:rsid w:val="69C0ED42"/>
    <w:rsid w:val="69CDE6C9"/>
    <w:rsid w:val="69E5AC91"/>
    <w:rsid w:val="6A03AFF7"/>
    <w:rsid w:val="6A06CFC9"/>
    <w:rsid w:val="6A138FA3"/>
    <w:rsid w:val="6A15C1B0"/>
    <w:rsid w:val="6A2870D4"/>
    <w:rsid w:val="6A28995F"/>
    <w:rsid w:val="6A2ECB55"/>
    <w:rsid w:val="6A3FE10E"/>
    <w:rsid w:val="6A430CAC"/>
    <w:rsid w:val="6A580E42"/>
    <w:rsid w:val="6A74BD7E"/>
    <w:rsid w:val="6A7BBC23"/>
    <w:rsid w:val="6A8531B9"/>
    <w:rsid w:val="6A8F3244"/>
    <w:rsid w:val="6A9A1845"/>
    <w:rsid w:val="6AAF92B0"/>
    <w:rsid w:val="6AC7982A"/>
    <w:rsid w:val="6AC96628"/>
    <w:rsid w:val="6ADE5FA2"/>
    <w:rsid w:val="6AE17E7D"/>
    <w:rsid w:val="6AED2010"/>
    <w:rsid w:val="6AF3F46A"/>
    <w:rsid w:val="6AF755F7"/>
    <w:rsid w:val="6B169CDD"/>
    <w:rsid w:val="6B277F62"/>
    <w:rsid w:val="6B3C650A"/>
    <w:rsid w:val="6B4086B7"/>
    <w:rsid w:val="6B41E20A"/>
    <w:rsid w:val="6B4FD6CD"/>
    <w:rsid w:val="6B59B5AB"/>
    <w:rsid w:val="6B67B6F7"/>
    <w:rsid w:val="6B731865"/>
    <w:rsid w:val="6B793C37"/>
    <w:rsid w:val="6B7E36CE"/>
    <w:rsid w:val="6B8069AA"/>
    <w:rsid w:val="6B81E312"/>
    <w:rsid w:val="6B97B3ED"/>
    <w:rsid w:val="6BA4B30F"/>
    <w:rsid w:val="6BC276CB"/>
    <w:rsid w:val="6BD29203"/>
    <w:rsid w:val="6BDFA0A0"/>
    <w:rsid w:val="6BE1541E"/>
    <w:rsid w:val="6C0CE55A"/>
    <w:rsid w:val="6C2D783B"/>
    <w:rsid w:val="6C2FA580"/>
    <w:rsid w:val="6C342CD4"/>
    <w:rsid w:val="6C48BD42"/>
    <w:rsid w:val="6C4DC481"/>
    <w:rsid w:val="6C608809"/>
    <w:rsid w:val="6C827172"/>
    <w:rsid w:val="6C8C74CE"/>
    <w:rsid w:val="6CA62A9C"/>
    <w:rsid w:val="6CA8B76D"/>
    <w:rsid w:val="6CA903D6"/>
    <w:rsid w:val="6CB972E1"/>
    <w:rsid w:val="6CD5B37D"/>
    <w:rsid w:val="6CDB849D"/>
    <w:rsid w:val="6CE3BC28"/>
    <w:rsid w:val="6CE83A97"/>
    <w:rsid w:val="6CF1EE4D"/>
    <w:rsid w:val="6CFF41BB"/>
    <w:rsid w:val="6D116001"/>
    <w:rsid w:val="6D142100"/>
    <w:rsid w:val="6D5A8942"/>
    <w:rsid w:val="6D7CC69D"/>
    <w:rsid w:val="6D817BA7"/>
    <w:rsid w:val="6D9188C3"/>
    <w:rsid w:val="6DA31B63"/>
    <w:rsid w:val="6DA61CE5"/>
    <w:rsid w:val="6DB41193"/>
    <w:rsid w:val="6DB65080"/>
    <w:rsid w:val="6DBE55C7"/>
    <w:rsid w:val="6DCB38B8"/>
    <w:rsid w:val="6DD07677"/>
    <w:rsid w:val="6DED9C88"/>
    <w:rsid w:val="6DFF9CFB"/>
    <w:rsid w:val="6E17AC72"/>
    <w:rsid w:val="6E180DA5"/>
    <w:rsid w:val="6E1CF39C"/>
    <w:rsid w:val="6E351930"/>
    <w:rsid w:val="6E394F63"/>
    <w:rsid w:val="6E460E66"/>
    <w:rsid w:val="6E4BEA04"/>
    <w:rsid w:val="6E53A6F6"/>
    <w:rsid w:val="6E55507A"/>
    <w:rsid w:val="6E763714"/>
    <w:rsid w:val="6E974838"/>
    <w:rsid w:val="6EA8ABB2"/>
    <w:rsid w:val="6EB8A090"/>
    <w:rsid w:val="6EB9E5C3"/>
    <w:rsid w:val="6EBF244F"/>
    <w:rsid w:val="6EBFB665"/>
    <w:rsid w:val="6EC279C9"/>
    <w:rsid w:val="6ED41B29"/>
    <w:rsid w:val="6ED543D0"/>
    <w:rsid w:val="6F01FF59"/>
    <w:rsid w:val="6F03BF4D"/>
    <w:rsid w:val="6F03CA83"/>
    <w:rsid w:val="6F04494B"/>
    <w:rsid w:val="6F132C0C"/>
    <w:rsid w:val="6F1A67E7"/>
    <w:rsid w:val="6F2D22B8"/>
    <w:rsid w:val="6F39C7C1"/>
    <w:rsid w:val="6F3A6006"/>
    <w:rsid w:val="6F3F1C4D"/>
    <w:rsid w:val="6F49AE76"/>
    <w:rsid w:val="6F49D1EE"/>
    <w:rsid w:val="6F4C8899"/>
    <w:rsid w:val="6F528C83"/>
    <w:rsid w:val="6F69847D"/>
    <w:rsid w:val="6F74C5B1"/>
    <w:rsid w:val="6F77E19D"/>
    <w:rsid w:val="6F78C113"/>
    <w:rsid w:val="6F7DFF5B"/>
    <w:rsid w:val="6F90592C"/>
    <w:rsid w:val="6FACB453"/>
    <w:rsid w:val="6FC16DF4"/>
    <w:rsid w:val="6FC7CEB4"/>
    <w:rsid w:val="6FC9E980"/>
    <w:rsid w:val="6FE0702D"/>
    <w:rsid w:val="6FF8533D"/>
    <w:rsid w:val="7006F2E5"/>
    <w:rsid w:val="70079D92"/>
    <w:rsid w:val="70103A79"/>
    <w:rsid w:val="7013DFA7"/>
    <w:rsid w:val="70172481"/>
    <w:rsid w:val="702F704C"/>
    <w:rsid w:val="703B1224"/>
    <w:rsid w:val="70545C3C"/>
    <w:rsid w:val="7065F3A3"/>
    <w:rsid w:val="70673EF0"/>
    <w:rsid w:val="709083A9"/>
    <w:rsid w:val="70937633"/>
    <w:rsid w:val="70958D57"/>
    <w:rsid w:val="709DD8FA"/>
    <w:rsid w:val="70B280B8"/>
    <w:rsid w:val="70C98388"/>
    <w:rsid w:val="70D1ED30"/>
    <w:rsid w:val="70D96BD1"/>
    <w:rsid w:val="70EACF1E"/>
    <w:rsid w:val="70F8887E"/>
    <w:rsid w:val="70FD3116"/>
    <w:rsid w:val="71036854"/>
    <w:rsid w:val="710A25CB"/>
    <w:rsid w:val="71124282"/>
    <w:rsid w:val="71223EA4"/>
    <w:rsid w:val="7127CE9C"/>
    <w:rsid w:val="712A61C5"/>
    <w:rsid w:val="71539EDC"/>
    <w:rsid w:val="715D26C0"/>
    <w:rsid w:val="7163AEF6"/>
    <w:rsid w:val="71716AF4"/>
    <w:rsid w:val="719DED52"/>
    <w:rsid w:val="719FDC12"/>
    <w:rsid w:val="71AE4B24"/>
    <w:rsid w:val="71B4559D"/>
    <w:rsid w:val="71C3ACAD"/>
    <w:rsid w:val="71D4B5B0"/>
    <w:rsid w:val="71D7499A"/>
    <w:rsid w:val="71F8F169"/>
    <w:rsid w:val="7201B05B"/>
    <w:rsid w:val="7208A5FB"/>
    <w:rsid w:val="72242DAA"/>
    <w:rsid w:val="72301228"/>
    <w:rsid w:val="723BC6DB"/>
    <w:rsid w:val="7249037F"/>
    <w:rsid w:val="72586608"/>
    <w:rsid w:val="725F9136"/>
    <w:rsid w:val="72645BA9"/>
    <w:rsid w:val="727014D8"/>
    <w:rsid w:val="727148E0"/>
    <w:rsid w:val="728F1F2A"/>
    <w:rsid w:val="72A9A14F"/>
    <w:rsid w:val="72B4E458"/>
    <w:rsid w:val="72BD459C"/>
    <w:rsid w:val="72BD522B"/>
    <w:rsid w:val="72E17617"/>
    <w:rsid w:val="72E72BD2"/>
    <w:rsid w:val="72E8DBE9"/>
    <w:rsid w:val="730A4C05"/>
    <w:rsid w:val="73199D68"/>
    <w:rsid w:val="731DCAE0"/>
    <w:rsid w:val="7320C952"/>
    <w:rsid w:val="7322636E"/>
    <w:rsid w:val="7324ED52"/>
    <w:rsid w:val="735A6609"/>
    <w:rsid w:val="735AD303"/>
    <w:rsid w:val="735D103C"/>
    <w:rsid w:val="738A4A22"/>
    <w:rsid w:val="739EDEAC"/>
    <w:rsid w:val="73AB685B"/>
    <w:rsid w:val="73AE2306"/>
    <w:rsid w:val="73B30352"/>
    <w:rsid w:val="73BF54CB"/>
    <w:rsid w:val="73E408DA"/>
    <w:rsid w:val="73F8FF43"/>
    <w:rsid w:val="73FBF762"/>
    <w:rsid w:val="74017066"/>
    <w:rsid w:val="7404F786"/>
    <w:rsid w:val="7413CC5E"/>
    <w:rsid w:val="7421C7D8"/>
    <w:rsid w:val="7422290F"/>
    <w:rsid w:val="743FEF7D"/>
    <w:rsid w:val="74A30F7B"/>
    <w:rsid w:val="74C01BCB"/>
    <w:rsid w:val="74C7FE1C"/>
    <w:rsid w:val="74D5A848"/>
    <w:rsid w:val="74E2CBE6"/>
    <w:rsid w:val="74F2E326"/>
    <w:rsid w:val="74F72F63"/>
    <w:rsid w:val="7508F648"/>
    <w:rsid w:val="75274562"/>
    <w:rsid w:val="75584065"/>
    <w:rsid w:val="7573E38A"/>
    <w:rsid w:val="7577A691"/>
    <w:rsid w:val="75854037"/>
    <w:rsid w:val="758A23D8"/>
    <w:rsid w:val="758A9678"/>
    <w:rsid w:val="75AF91C7"/>
    <w:rsid w:val="75EB4393"/>
    <w:rsid w:val="7612369B"/>
    <w:rsid w:val="7619BC4E"/>
    <w:rsid w:val="761D1AC1"/>
    <w:rsid w:val="7642CC7A"/>
    <w:rsid w:val="766C3E63"/>
    <w:rsid w:val="7672DBE1"/>
    <w:rsid w:val="767DB1D3"/>
    <w:rsid w:val="767ED143"/>
    <w:rsid w:val="76941768"/>
    <w:rsid w:val="76999A60"/>
    <w:rsid w:val="76A265E3"/>
    <w:rsid w:val="76A391DE"/>
    <w:rsid w:val="76A9672F"/>
    <w:rsid w:val="76AEC1E8"/>
    <w:rsid w:val="76B2ADC7"/>
    <w:rsid w:val="76BA5B1B"/>
    <w:rsid w:val="76BB468F"/>
    <w:rsid w:val="76CB207E"/>
    <w:rsid w:val="76D2FF71"/>
    <w:rsid w:val="76D97FC4"/>
    <w:rsid w:val="76E18E8B"/>
    <w:rsid w:val="76E3D14A"/>
    <w:rsid w:val="76F526FE"/>
    <w:rsid w:val="76F63F1F"/>
    <w:rsid w:val="77133844"/>
    <w:rsid w:val="771F0F2D"/>
    <w:rsid w:val="772B3FBB"/>
    <w:rsid w:val="7733F167"/>
    <w:rsid w:val="7761FFFA"/>
    <w:rsid w:val="777DF2C9"/>
    <w:rsid w:val="77923701"/>
    <w:rsid w:val="77B011FC"/>
    <w:rsid w:val="77B2AB9B"/>
    <w:rsid w:val="77B83E26"/>
    <w:rsid w:val="77C5BDDC"/>
    <w:rsid w:val="77D92282"/>
    <w:rsid w:val="77F52245"/>
    <w:rsid w:val="77F54B4D"/>
    <w:rsid w:val="77FBFE23"/>
    <w:rsid w:val="78002AF5"/>
    <w:rsid w:val="7807F8C7"/>
    <w:rsid w:val="780BE84E"/>
    <w:rsid w:val="782DE75D"/>
    <w:rsid w:val="783C3B37"/>
    <w:rsid w:val="783DDBE7"/>
    <w:rsid w:val="783E3AB9"/>
    <w:rsid w:val="78418A09"/>
    <w:rsid w:val="7851FD04"/>
    <w:rsid w:val="786EDA70"/>
    <w:rsid w:val="789A62C0"/>
    <w:rsid w:val="78AC9B2F"/>
    <w:rsid w:val="78CFC3BB"/>
    <w:rsid w:val="78D49035"/>
    <w:rsid w:val="78FDC336"/>
    <w:rsid w:val="792570CC"/>
    <w:rsid w:val="793CF723"/>
    <w:rsid w:val="795A4FAA"/>
    <w:rsid w:val="796084C3"/>
    <w:rsid w:val="79776F13"/>
    <w:rsid w:val="79967F4D"/>
    <w:rsid w:val="79992A8F"/>
    <w:rsid w:val="79BEF779"/>
    <w:rsid w:val="79C28135"/>
    <w:rsid w:val="79D19BF8"/>
    <w:rsid w:val="79D7FBA2"/>
    <w:rsid w:val="79DFC30A"/>
    <w:rsid w:val="79F977D1"/>
    <w:rsid w:val="79FFF278"/>
    <w:rsid w:val="7A024B09"/>
    <w:rsid w:val="7A0DA8B6"/>
    <w:rsid w:val="7A0FC690"/>
    <w:rsid w:val="7A2B713D"/>
    <w:rsid w:val="7A2D5D74"/>
    <w:rsid w:val="7A32EB5B"/>
    <w:rsid w:val="7A3F79AF"/>
    <w:rsid w:val="7A4AABA7"/>
    <w:rsid w:val="7A5C80D9"/>
    <w:rsid w:val="7A6554B0"/>
    <w:rsid w:val="7A6D2241"/>
    <w:rsid w:val="7A6D2D9D"/>
    <w:rsid w:val="7A9702B3"/>
    <w:rsid w:val="7A97EDD3"/>
    <w:rsid w:val="7AC799BD"/>
    <w:rsid w:val="7ADCEC88"/>
    <w:rsid w:val="7AE1204E"/>
    <w:rsid w:val="7AE70E5C"/>
    <w:rsid w:val="7AE99640"/>
    <w:rsid w:val="7AF8B21D"/>
    <w:rsid w:val="7B0F3372"/>
    <w:rsid w:val="7B1CDDAF"/>
    <w:rsid w:val="7B31D10B"/>
    <w:rsid w:val="7B3E549E"/>
    <w:rsid w:val="7B3F2688"/>
    <w:rsid w:val="7B4D37FF"/>
    <w:rsid w:val="7B52DDF3"/>
    <w:rsid w:val="7B5B1948"/>
    <w:rsid w:val="7B6A07AC"/>
    <w:rsid w:val="7B7D5A70"/>
    <w:rsid w:val="7B9AE896"/>
    <w:rsid w:val="7BA07A1B"/>
    <w:rsid w:val="7BA269C9"/>
    <w:rsid w:val="7BB89246"/>
    <w:rsid w:val="7BCE045A"/>
    <w:rsid w:val="7BD9E604"/>
    <w:rsid w:val="7BE19B37"/>
    <w:rsid w:val="7C1926F9"/>
    <w:rsid w:val="7C2D9B37"/>
    <w:rsid w:val="7C2E0828"/>
    <w:rsid w:val="7C324C1C"/>
    <w:rsid w:val="7C48DA6D"/>
    <w:rsid w:val="7C6217D7"/>
    <w:rsid w:val="7C669509"/>
    <w:rsid w:val="7C6F98BC"/>
    <w:rsid w:val="7C778CE1"/>
    <w:rsid w:val="7C78746C"/>
    <w:rsid w:val="7C84A689"/>
    <w:rsid w:val="7CA3EA46"/>
    <w:rsid w:val="7CAC971F"/>
    <w:rsid w:val="7CB2C367"/>
    <w:rsid w:val="7CB3FA10"/>
    <w:rsid w:val="7CBEFB1A"/>
    <w:rsid w:val="7CC0AF6B"/>
    <w:rsid w:val="7CC26D73"/>
    <w:rsid w:val="7CCCACD5"/>
    <w:rsid w:val="7CD1ACB5"/>
    <w:rsid w:val="7CD6AF50"/>
    <w:rsid w:val="7CE0F93D"/>
    <w:rsid w:val="7D11403C"/>
    <w:rsid w:val="7D185D13"/>
    <w:rsid w:val="7D2F4A2F"/>
    <w:rsid w:val="7D3B41F9"/>
    <w:rsid w:val="7D4C5493"/>
    <w:rsid w:val="7D5A1664"/>
    <w:rsid w:val="7D6EDC9C"/>
    <w:rsid w:val="7D7433C5"/>
    <w:rsid w:val="7D78D79D"/>
    <w:rsid w:val="7DA8EC3F"/>
    <w:rsid w:val="7DB5A36F"/>
    <w:rsid w:val="7DD98846"/>
    <w:rsid w:val="7DDA9814"/>
    <w:rsid w:val="7DE4EDD0"/>
    <w:rsid w:val="7DE990E7"/>
    <w:rsid w:val="7DF5ABBC"/>
    <w:rsid w:val="7DFF4445"/>
    <w:rsid w:val="7DFFFA48"/>
    <w:rsid w:val="7E1CE250"/>
    <w:rsid w:val="7E1F3E37"/>
    <w:rsid w:val="7E292669"/>
    <w:rsid w:val="7E523287"/>
    <w:rsid w:val="7E5AF98A"/>
    <w:rsid w:val="7E5FCEB6"/>
    <w:rsid w:val="7E5FE7D6"/>
    <w:rsid w:val="7E66FC34"/>
    <w:rsid w:val="7E76B9A6"/>
    <w:rsid w:val="7E9BA608"/>
    <w:rsid w:val="7E9C3246"/>
    <w:rsid w:val="7E9F26D2"/>
    <w:rsid w:val="7EBD5397"/>
    <w:rsid w:val="7EC8F866"/>
    <w:rsid w:val="7ED5BF96"/>
    <w:rsid w:val="7ED65745"/>
    <w:rsid w:val="7EEBDD49"/>
    <w:rsid w:val="7F0E17CB"/>
    <w:rsid w:val="7F12934F"/>
    <w:rsid w:val="7F2E929A"/>
    <w:rsid w:val="7F319FBB"/>
    <w:rsid w:val="7F33E326"/>
    <w:rsid w:val="7F3562A6"/>
    <w:rsid w:val="7F5704FD"/>
    <w:rsid w:val="7F58E02B"/>
    <w:rsid w:val="7F5F557E"/>
    <w:rsid w:val="7F63F73F"/>
    <w:rsid w:val="7F671B15"/>
    <w:rsid w:val="7F8A6D97"/>
    <w:rsid w:val="7F97DC79"/>
    <w:rsid w:val="7FADD35C"/>
    <w:rsid w:val="7FADDA9F"/>
    <w:rsid w:val="7FBA0706"/>
    <w:rsid w:val="7FD133ED"/>
    <w:rsid w:val="7FDFD4C6"/>
    <w:rsid w:val="7FECAE40"/>
    <w:rsid w:val="7FF7183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E445DA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rPr>
  </w:style>
  <w:style w:type="paragraph" w:styleId="Heading1">
    <w:name w:val="heading 1"/>
    <w:basedOn w:val="Normal"/>
    <w:next w:val="Normal"/>
    <w:link w:val="Heading1Char"/>
    <w:uiPriority w:val="9"/>
    <w:qFormat/>
    <w:rsid w:val="00776668"/>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776668"/>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unhideWhenUsed/>
    <w:qFormat/>
    <w:rsid w:val="00776668"/>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776668"/>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776668"/>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77666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7666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7666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7666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6668"/>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776668"/>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rsid w:val="00776668"/>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776668"/>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776668"/>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7766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766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766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76668"/>
    <w:rPr>
      <w:rFonts w:eastAsiaTheme="majorEastAsia" w:cstheme="majorBidi"/>
      <w:color w:val="272727" w:themeColor="text1" w:themeTint="D8"/>
    </w:rPr>
  </w:style>
  <w:style w:type="paragraph" w:styleId="Title">
    <w:name w:val="Title"/>
    <w:basedOn w:val="Normal"/>
    <w:next w:val="Normal"/>
    <w:link w:val="TitleChar"/>
    <w:uiPriority w:val="10"/>
    <w:qFormat/>
    <w:rsid w:val="007766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766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7666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766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7666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76668"/>
    <w:rPr>
      <w:i/>
      <w:iCs/>
      <w:color w:val="404040" w:themeColor="text1" w:themeTint="BF"/>
    </w:rPr>
  </w:style>
  <w:style w:type="paragraph" w:styleId="ListParagraph">
    <w:name w:val="List Paragraph"/>
    <w:basedOn w:val="Normal"/>
    <w:uiPriority w:val="34"/>
    <w:qFormat/>
    <w:rsid w:val="00776668"/>
    <w:pPr>
      <w:ind w:left="720"/>
      <w:contextualSpacing/>
    </w:pPr>
  </w:style>
  <w:style w:type="character" w:styleId="IntenseEmphasis">
    <w:name w:val="Intense Emphasis"/>
    <w:basedOn w:val="DefaultParagraphFont"/>
    <w:uiPriority w:val="21"/>
    <w:qFormat/>
    <w:rsid w:val="00776668"/>
    <w:rPr>
      <w:i/>
      <w:iCs/>
      <w:color w:val="365F91" w:themeColor="accent1" w:themeShade="BF"/>
    </w:rPr>
  </w:style>
  <w:style w:type="paragraph" w:styleId="IntenseQuote">
    <w:name w:val="Intense Quote"/>
    <w:basedOn w:val="Normal"/>
    <w:next w:val="Normal"/>
    <w:link w:val="IntenseQuoteChar"/>
    <w:uiPriority w:val="30"/>
    <w:qFormat/>
    <w:rsid w:val="00776668"/>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776668"/>
    <w:rPr>
      <w:i/>
      <w:iCs/>
      <w:color w:val="365F91" w:themeColor="accent1" w:themeShade="BF"/>
    </w:rPr>
  </w:style>
  <w:style w:type="character" w:styleId="IntenseReference">
    <w:name w:val="Intense Reference"/>
    <w:basedOn w:val="DefaultParagraphFont"/>
    <w:uiPriority w:val="32"/>
    <w:qFormat/>
    <w:rsid w:val="00776668"/>
    <w:rPr>
      <w:b/>
      <w:bCs/>
      <w:smallCaps/>
      <w:color w:val="365F91" w:themeColor="accent1" w:themeShade="BF"/>
      <w:spacing w:val="5"/>
    </w:rPr>
  </w:style>
  <w:style w:type="character" w:styleId="CommentReference">
    <w:name w:val="annotation reference"/>
    <w:basedOn w:val="DefaultParagraphFont"/>
    <w:uiPriority w:val="99"/>
    <w:semiHidden/>
    <w:unhideWhenUsed/>
    <w:rsid w:val="00BD7297"/>
    <w:rPr>
      <w:sz w:val="16"/>
      <w:szCs w:val="16"/>
    </w:rPr>
  </w:style>
  <w:style w:type="paragraph" w:styleId="CommentText">
    <w:name w:val="annotation text"/>
    <w:basedOn w:val="Normal"/>
    <w:link w:val="CommentTextChar"/>
    <w:uiPriority w:val="99"/>
    <w:unhideWhenUsed/>
    <w:rsid w:val="00BD7297"/>
    <w:pPr>
      <w:spacing w:line="240" w:lineRule="auto"/>
    </w:pPr>
    <w:rPr>
      <w:sz w:val="20"/>
      <w:szCs w:val="20"/>
    </w:rPr>
  </w:style>
  <w:style w:type="character" w:customStyle="1" w:styleId="CommentTextChar">
    <w:name w:val="Comment Text Char"/>
    <w:basedOn w:val="DefaultParagraphFont"/>
    <w:link w:val="CommentText"/>
    <w:uiPriority w:val="99"/>
    <w:rsid w:val="00BD7297"/>
    <w:rPr>
      <w:sz w:val="20"/>
      <w:szCs w:val="20"/>
    </w:rPr>
  </w:style>
  <w:style w:type="paragraph" w:styleId="CommentSubject">
    <w:name w:val="annotation subject"/>
    <w:basedOn w:val="CommentText"/>
    <w:next w:val="CommentText"/>
    <w:link w:val="CommentSubjectChar"/>
    <w:uiPriority w:val="99"/>
    <w:semiHidden/>
    <w:unhideWhenUsed/>
    <w:rsid w:val="00BD7297"/>
    <w:rPr>
      <w:b/>
      <w:bCs/>
    </w:rPr>
  </w:style>
  <w:style w:type="character" w:customStyle="1" w:styleId="CommentSubjectChar">
    <w:name w:val="Comment Subject Char"/>
    <w:basedOn w:val="CommentTextChar"/>
    <w:link w:val="CommentSubject"/>
    <w:uiPriority w:val="99"/>
    <w:semiHidden/>
    <w:rsid w:val="00BD7297"/>
    <w:rPr>
      <w:b/>
      <w:bCs/>
      <w:sz w:val="20"/>
      <w:szCs w:val="20"/>
    </w:rPr>
  </w:style>
  <w:style w:type="paragraph" w:styleId="Revision">
    <w:name w:val="Revision"/>
    <w:hidden/>
    <w:uiPriority w:val="99"/>
    <w:semiHidden/>
    <w:rsid w:val="00BD7297"/>
    <w:pPr>
      <w:spacing w:after="0" w:line="240" w:lineRule="auto"/>
    </w:pPr>
  </w:style>
  <w:style w:type="table" w:styleId="TableGrid">
    <w:name w:val="Table Grid"/>
    <w:basedOn w:val="TableNormal"/>
    <w:uiPriority w:val="59"/>
    <w:rsid w:val="00676992"/>
    <w:pPr>
      <w:spacing w:after="0" w:line="240" w:lineRule="auto"/>
    </w:pPr>
    <w:tblPr/>
  </w:style>
  <w:style w:type="paragraph" w:styleId="FootnoteText">
    <w:name w:val="footnote text"/>
    <w:basedOn w:val="Normal"/>
    <w:link w:val="FootnoteTextChar"/>
    <w:uiPriority w:val="99"/>
    <w:semiHidden/>
    <w:unhideWhenUsed/>
    <w:rsid w:val="007A0DC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A0DCC"/>
    <w:rPr>
      <w:sz w:val="20"/>
      <w:szCs w:val="20"/>
    </w:rPr>
  </w:style>
  <w:style w:type="character" w:styleId="FootnoteReference">
    <w:name w:val="footnote reference"/>
    <w:basedOn w:val="DefaultParagraphFont"/>
    <w:uiPriority w:val="99"/>
    <w:semiHidden/>
    <w:unhideWhenUsed/>
    <w:rsid w:val="007A0DCC"/>
    <w:rPr>
      <w:vertAlign w:val="superscript"/>
    </w:rPr>
  </w:style>
  <w:style w:type="paragraph" w:styleId="Header">
    <w:name w:val="header"/>
    <w:basedOn w:val="Normal"/>
    <w:link w:val="HeaderChar"/>
    <w:uiPriority w:val="99"/>
    <w:unhideWhenUsed/>
    <w:rsid w:val="005946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5946E7"/>
  </w:style>
  <w:style w:type="paragraph" w:styleId="Footer">
    <w:name w:val="footer"/>
    <w:basedOn w:val="Normal"/>
    <w:link w:val="FooterChar"/>
    <w:uiPriority w:val="99"/>
    <w:unhideWhenUsed/>
    <w:rsid w:val="005946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5946E7"/>
  </w:style>
  <w:style w:type="character" w:customStyle="1" w:styleId="Mention1">
    <w:name w:val="Mention1"/>
    <w:basedOn w:val="DefaultParagraphFont"/>
    <w:uiPriority w:val="99"/>
    <w:unhideWhenUsed/>
    <w:rsid w:val="00BA6BFD"/>
    <w:rPr>
      <w:color w:val="2B579A"/>
      <w:shd w:val="clear" w:color="auto" w:fill="E1DFDD"/>
    </w:rPr>
  </w:style>
  <w:style w:type="character" w:customStyle="1" w:styleId="normaltextrun">
    <w:name w:val="normaltextrun"/>
    <w:basedOn w:val="DefaultParagraphFont"/>
    <w:rsid w:val="001D7A6A"/>
  </w:style>
  <w:style w:type="character" w:customStyle="1" w:styleId="eop">
    <w:name w:val="eop"/>
    <w:basedOn w:val="DefaultParagraphFont"/>
    <w:rsid w:val="00F650BE"/>
  </w:style>
  <w:style w:type="character" w:styleId="Hyperlink">
    <w:name w:val="Hyperlink"/>
    <w:basedOn w:val="DefaultParagraphFont"/>
    <w:uiPriority w:val="99"/>
    <w:unhideWhenUsed/>
    <w:rsid w:val="00F650BE"/>
    <w:rPr>
      <w:color w:val="0000FF" w:themeColor="hyperlink"/>
      <w:u w:val="single"/>
    </w:rPr>
  </w:style>
  <w:style w:type="character" w:styleId="FollowedHyperlink">
    <w:name w:val="FollowedHyperlink"/>
    <w:basedOn w:val="DefaultParagraphFont"/>
    <w:uiPriority w:val="99"/>
    <w:semiHidden/>
    <w:unhideWhenUsed/>
    <w:rsid w:val="00F650BE"/>
    <w:rPr>
      <w:color w:val="800080" w:themeColor="followedHyperlink"/>
      <w:u w:val="single"/>
    </w:rPr>
  </w:style>
  <w:style w:type="character" w:customStyle="1" w:styleId="UnresolvedMention1">
    <w:name w:val="Unresolved Mention1"/>
    <w:basedOn w:val="DefaultParagraphFont"/>
    <w:uiPriority w:val="99"/>
    <w:semiHidden/>
    <w:unhideWhenUsed/>
    <w:rsid w:val="008E12AC"/>
    <w:rPr>
      <w:color w:val="605E5C"/>
      <w:shd w:val="clear" w:color="auto" w:fill="E1DFDD"/>
    </w:rPr>
  </w:style>
  <w:style w:type="character" w:customStyle="1" w:styleId="Marker">
    <w:name w:val="Marker"/>
    <w:basedOn w:val="DefaultParagraphFont"/>
    <w:rsid w:val="004B2E91"/>
    <w:rPr>
      <w:color w:val="0000FF"/>
      <w:shd w:val="clear" w:color="auto" w:fill="auto"/>
    </w:rPr>
  </w:style>
  <w:style w:type="paragraph" w:customStyle="1" w:styleId="Pagedecouverture">
    <w:name w:val="Page de couverture"/>
    <w:basedOn w:val="Normal"/>
    <w:next w:val="Normal"/>
    <w:rsid w:val="008F254C"/>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8E7563"/>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8E7563"/>
    <w:rPr>
      <w:rFonts w:ascii="Times New Roman" w:hAnsi="Times New Roman" w:cs="Times New Roman"/>
      <w:noProof/>
      <w:sz w:val="24"/>
    </w:rPr>
  </w:style>
  <w:style w:type="paragraph" w:customStyle="1" w:styleId="FooterSensitivity">
    <w:name w:val="Footer Sensitivity"/>
    <w:basedOn w:val="Normal"/>
    <w:link w:val="FooterSensitivityChar"/>
    <w:rsid w:val="008E7563"/>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8E7563"/>
    <w:rPr>
      <w:rFonts w:ascii="Times New Roman" w:hAnsi="Times New Roman" w:cs="Times New Roman"/>
      <w:b/>
      <w:noProof/>
      <w:sz w:val="32"/>
    </w:rPr>
  </w:style>
  <w:style w:type="paragraph" w:customStyle="1" w:styleId="HeaderCoverPage">
    <w:name w:val="Header Cover Page"/>
    <w:basedOn w:val="Normal"/>
    <w:link w:val="HeaderCoverPageChar"/>
    <w:rsid w:val="008E7563"/>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8E7563"/>
    <w:rPr>
      <w:rFonts w:ascii="Times New Roman" w:hAnsi="Times New Roman" w:cs="Times New Roman"/>
      <w:noProof/>
      <w:sz w:val="24"/>
    </w:rPr>
  </w:style>
  <w:style w:type="paragraph" w:customStyle="1" w:styleId="HeaderSensitivity">
    <w:name w:val="Header Sensitivity"/>
    <w:basedOn w:val="Normal"/>
    <w:link w:val="HeaderSensitivityChar"/>
    <w:rsid w:val="008E7563"/>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8E7563"/>
    <w:rPr>
      <w:rFonts w:ascii="Times New Roman" w:hAnsi="Times New Roman" w:cs="Times New Roman"/>
      <w:b/>
      <w:noProof/>
      <w:sz w:val="32"/>
    </w:rPr>
  </w:style>
  <w:style w:type="paragraph" w:customStyle="1" w:styleId="HeaderSensitivityRight">
    <w:name w:val="Header Sensitivity Right"/>
    <w:basedOn w:val="Normal"/>
    <w:link w:val="HeaderSensitivityRightChar"/>
    <w:rsid w:val="008E7563"/>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8E7563"/>
    <w:rPr>
      <w:rFonts w:ascii="Times New Roman" w:hAnsi="Times New Roman" w:cs="Times New Roman"/>
      <w:noProof/>
      <w:sz w:val="28"/>
    </w:rPr>
  </w:style>
  <w:style w:type="paragraph" w:styleId="HTMLPreformatted">
    <w:name w:val="HTML Preformatted"/>
    <w:basedOn w:val="Normal"/>
    <w:link w:val="HTMLPreformattedChar"/>
    <w:uiPriority w:val="99"/>
    <w:semiHidden/>
    <w:unhideWhenUsed/>
    <w:rsid w:val="00786F86"/>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786F86"/>
    <w:rPr>
      <w:rFonts w:ascii="Consolas" w:hAnsi="Consolas"/>
      <w:sz w:val="20"/>
      <w:szCs w:val="20"/>
    </w:rPr>
  </w:style>
  <w:style w:type="paragraph" w:styleId="NormalWeb">
    <w:name w:val="Normal (Web)"/>
    <w:basedOn w:val="Normal"/>
    <w:uiPriority w:val="99"/>
    <w:semiHidden/>
    <w:unhideWhenUsed/>
    <w:rsid w:val="00172D07"/>
    <w:rPr>
      <w:rFonts w:ascii="Times New Roman" w:hAnsi="Times New Roman" w:cs="Times New Roman"/>
      <w:sz w:val="24"/>
      <w:szCs w:val="24"/>
    </w:rPr>
  </w:style>
  <w:style w:type="character" w:styleId="Strong">
    <w:name w:val="Strong"/>
    <w:basedOn w:val="DefaultParagraphFont"/>
    <w:uiPriority w:val="22"/>
    <w:qFormat/>
    <w:rsid w:val="00B36C88"/>
    <w:rPr>
      <w:b/>
      <w:bCs/>
    </w:rPr>
  </w:style>
  <w:style w:type="paragraph" w:customStyle="1" w:styleId="Languesfaisantfoi">
    <w:name w:val="Langues faisant foi"/>
    <w:basedOn w:val="Normal"/>
    <w:next w:val="Normal"/>
    <w:rsid w:val="00A61D8F"/>
    <w:pPr>
      <w:spacing w:before="360" w:after="240" w:line="240" w:lineRule="auto"/>
      <w:jc w:val="center"/>
    </w:pPr>
    <w:rPr>
      <w:rFonts w:ascii="Times New Roman" w:hAnsi="Times New Roman" w:cs="Times New Roman"/>
      <w:sz w:val="24"/>
    </w:rPr>
  </w:style>
  <w:style w:type="paragraph" w:customStyle="1" w:styleId="LanguesfaisantfoiPagedecouverture">
    <w:name w:val="Langues faisant foi (Page de couverture)"/>
    <w:basedOn w:val="Normal"/>
    <w:next w:val="Normal"/>
    <w:rsid w:val="00A61D8F"/>
    <w:pPr>
      <w:spacing w:before="360" w:after="240" w:line="240" w:lineRule="auto"/>
      <w:jc w:val="center"/>
    </w:pPr>
    <w:rPr>
      <w:rFonts w:ascii="Times New Roman" w:hAnsi="Times New Roman" w:cs="Times New Roman"/>
      <w:sz w:val="24"/>
    </w:rPr>
  </w:style>
  <w:style w:type="paragraph" w:customStyle="1" w:styleId="IntrtEEE">
    <w:name w:val="Intérêt EEE"/>
    <w:basedOn w:val="Languesfaisantfoi"/>
    <w:next w:val="Normal"/>
    <w:rsid w:val="00A61D8F"/>
    <w:pPr>
      <w:spacing w:after="0"/>
    </w:pPr>
  </w:style>
  <w:style w:type="paragraph" w:customStyle="1" w:styleId="IntrtEEEPagedecouverture">
    <w:name w:val="Intérêt EEE (Page de couverture)"/>
    <w:basedOn w:val="IntrtEEE"/>
    <w:next w:val="Normal"/>
    <w:rsid w:val="00A61D8F"/>
  </w:style>
  <w:style w:type="paragraph" w:styleId="EndnoteText">
    <w:name w:val="endnote text"/>
    <w:basedOn w:val="Normal"/>
    <w:link w:val="EndnoteTextChar"/>
    <w:uiPriority w:val="99"/>
    <w:semiHidden/>
    <w:unhideWhenUsed/>
    <w:rsid w:val="00002C5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02C57"/>
    <w:rPr>
      <w:sz w:val="20"/>
      <w:szCs w:val="20"/>
    </w:rPr>
  </w:style>
  <w:style w:type="character" w:styleId="EndnoteReference">
    <w:name w:val="endnote reference"/>
    <w:basedOn w:val="DefaultParagraphFont"/>
    <w:uiPriority w:val="99"/>
    <w:semiHidden/>
    <w:unhideWhenUsed/>
    <w:rsid w:val="00002C57"/>
    <w:rPr>
      <w:vertAlign w:val="superscript"/>
    </w:rPr>
  </w:style>
  <w:style w:type="character" w:customStyle="1" w:styleId="Mention2">
    <w:name w:val="Mention2"/>
    <w:basedOn w:val="DefaultParagraphFont"/>
    <w:uiPriority w:val="99"/>
    <w:unhideWhenUsed/>
    <w:rsid w:val="002654C6"/>
    <w:rPr>
      <w:color w:val="2B579A"/>
      <w:shd w:val="clear" w:color="auto" w:fill="E1DFDD"/>
    </w:rPr>
  </w:style>
  <w:style w:type="character" w:customStyle="1" w:styleId="UnresolvedMention2">
    <w:name w:val="Unresolved Mention2"/>
    <w:basedOn w:val="DefaultParagraphFont"/>
    <w:uiPriority w:val="99"/>
    <w:semiHidden/>
    <w:unhideWhenUsed/>
    <w:rsid w:val="003F27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4513">
      <w:bodyDiv w:val="1"/>
      <w:marLeft w:val="0"/>
      <w:marRight w:val="0"/>
      <w:marTop w:val="0"/>
      <w:marBottom w:val="0"/>
      <w:divBdr>
        <w:top w:val="none" w:sz="0" w:space="0" w:color="auto"/>
        <w:left w:val="none" w:sz="0" w:space="0" w:color="auto"/>
        <w:bottom w:val="none" w:sz="0" w:space="0" w:color="auto"/>
        <w:right w:val="none" w:sz="0" w:space="0" w:color="auto"/>
      </w:divBdr>
    </w:div>
    <w:div w:id="5640867">
      <w:bodyDiv w:val="1"/>
      <w:marLeft w:val="0"/>
      <w:marRight w:val="0"/>
      <w:marTop w:val="0"/>
      <w:marBottom w:val="0"/>
      <w:divBdr>
        <w:top w:val="none" w:sz="0" w:space="0" w:color="auto"/>
        <w:left w:val="none" w:sz="0" w:space="0" w:color="auto"/>
        <w:bottom w:val="none" w:sz="0" w:space="0" w:color="auto"/>
        <w:right w:val="none" w:sz="0" w:space="0" w:color="auto"/>
      </w:divBdr>
    </w:div>
    <w:div w:id="6754631">
      <w:bodyDiv w:val="1"/>
      <w:marLeft w:val="0"/>
      <w:marRight w:val="0"/>
      <w:marTop w:val="0"/>
      <w:marBottom w:val="0"/>
      <w:divBdr>
        <w:top w:val="none" w:sz="0" w:space="0" w:color="auto"/>
        <w:left w:val="none" w:sz="0" w:space="0" w:color="auto"/>
        <w:bottom w:val="none" w:sz="0" w:space="0" w:color="auto"/>
        <w:right w:val="none" w:sz="0" w:space="0" w:color="auto"/>
      </w:divBdr>
    </w:div>
    <w:div w:id="7023527">
      <w:bodyDiv w:val="1"/>
      <w:marLeft w:val="0"/>
      <w:marRight w:val="0"/>
      <w:marTop w:val="0"/>
      <w:marBottom w:val="0"/>
      <w:divBdr>
        <w:top w:val="none" w:sz="0" w:space="0" w:color="auto"/>
        <w:left w:val="none" w:sz="0" w:space="0" w:color="auto"/>
        <w:bottom w:val="none" w:sz="0" w:space="0" w:color="auto"/>
        <w:right w:val="none" w:sz="0" w:space="0" w:color="auto"/>
      </w:divBdr>
    </w:div>
    <w:div w:id="7755818">
      <w:bodyDiv w:val="1"/>
      <w:marLeft w:val="0"/>
      <w:marRight w:val="0"/>
      <w:marTop w:val="0"/>
      <w:marBottom w:val="0"/>
      <w:divBdr>
        <w:top w:val="none" w:sz="0" w:space="0" w:color="auto"/>
        <w:left w:val="none" w:sz="0" w:space="0" w:color="auto"/>
        <w:bottom w:val="none" w:sz="0" w:space="0" w:color="auto"/>
        <w:right w:val="none" w:sz="0" w:space="0" w:color="auto"/>
      </w:divBdr>
    </w:div>
    <w:div w:id="16516150">
      <w:bodyDiv w:val="1"/>
      <w:marLeft w:val="0"/>
      <w:marRight w:val="0"/>
      <w:marTop w:val="0"/>
      <w:marBottom w:val="0"/>
      <w:divBdr>
        <w:top w:val="none" w:sz="0" w:space="0" w:color="auto"/>
        <w:left w:val="none" w:sz="0" w:space="0" w:color="auto"/>
        <w:bottom w:val="none" w:sz="0" w:space="0" w:color="auto"/>
        <w:right w:val="none" w:sz="0" w:space="0" w:color="auto"/>
      </w:divBdr>
    </w:div>
    <w:div w:id="20329671">
      <w:bodyDiv w:val="1"/>
      <w:marLeft w:val="0"/>
      <w:marRight w:val="0"/>
      <w:marTop w:val="0"/>
      <w:marBottom w:val="0"/>
      <w:divBdr>
        <w:top w:val="none" w:sz="0" w:space="0" w:color="auto"/>
        <w:left w:val="none" w:sz="0" w:space="0" w:color="auto"/>
        <w:bottom w:val="none" w:sz="0" w:space="0" w:color="auto"/>
        <w:right w:val="none" w:sz="0" w:space="0" w:color="auto"/>
      </w:divBdr>
    </w:div>
    <w:div w:id="21825089">
      <w:bodyDiv w:val="1"/>
      <w:marLeft w:val="0"/>
      <w:marRight w:val="0"/>
      <w:marTop w:val="0"/>
      <w:marBottom w:val="0"/>
      <w:divBdr>
        <w:top w:val="none" w:sz="0" w:space="0" w:color="auto"/>
        <w:left w:val="none" w:sz="0" w:space="0" w:color="auto"/>
        <w:bottom w:val="none" w:sz="0" w:space="0" w:color="auto"/>
        <w:right w:val="none" w:sz="0" w:space="0" w:color="auto"/>
      </w:divBdr>
    </w:div>
    <w:div w:id="22563836">
      <w:bodyDiv w:val="1"/>
      <w:marLeft w:val="0"/>
      <w:marRight w:val="0"/>
      <w:marTop w:val="0"/>
      <w:marBottom w:val="0"/>
      <w:divBdr>
        <w:top w:val="none" w:sz="0" w:space="0" w:color="auto"/>
        <w:left w:val="none" w:sz="0" w:space="0" w:color="auto"/>
        <w:bottom w:val="none" w:sz="0" w:space="0" w:color="auto"/>
        <w:right w:val="none" w:sz="0" w:space="0" w:color="auto"/>
      </w:divBdr>
    </w:div>
    <w:div w:id="38673359">
      <w:bodyDiv w:val="1"/>
      <w:marLeft w:val="0"/>
      <w:marRight w:val="0"/>
      <w:marTop w:val="0"/>
      <w:marBottom w:val="0"/>
      <w:divBdr>
        <w:top w:val="none" w:sz="0" w:space="0" w:color="auto"/>
        <w:left w:val="none" w:sz="0" w:space="0" w:color="auto"/>
        <w:bottom w:val="none" w:sz="0" w:space="0" w:color="auto"/>
        <w:right w:val="none" w:sz="0" w:space="0" w:color="auto"/>
      </w:divBdr>
    </w:div>
    <w:div w:id="54133724">
      <w:bodyDiv w:val="1"/>
      <w:marLeft w:val="0"/>
      <w:marRight w:val="0"/>
      <w:marTop w:val="0"/>
      <w:marBottom w:val="0"/>
      <w:divBdr>
        <w:top w:val="none" w:sz="0" w:space="0" w:color="auto"/>
        <w:left w:val="none" w:sz="0" w:space="0" w:color="auto"/>
        <w:bottom w:val="none" w:sz="0" w:space="0" w:color="auto"/>
        <w:right w:val="none" w:sz="0" w:space="0" w:color="auto"/>
      </w:divBdr>
    </w:div>
    <w:div w:id="54352287">
      <w:bodyDiv w:val="1"/>
      <w:marLeft w:val="0"/>
      <w:marRight w:val="0"/>
      <w:marTop w:val="0"/>
      <w:marBottom w:val="0"/>
      <w:divBdr>
        <w:top w:val="none" w:sz="0" w:space="0" w:color="auto"/>
        <w:left w:val="none" w:sz="0" w:space="0" w:color="auto"/>
        <w:bottom w:val="none" w:sz="0" w:space="0" w:color="auto"/>
        <w:right w:val="none" w:sz="0" w:space="0" w:color="auto"/>
      </w:divBdr>
    </w:div>
    <w:div w:id="55595348">
      <w:bodyDiv w:val="1"/>
      <w:marLeft w:val="0"/>
      <w:marRight w:val="0"/>
      <w:marTop w:val="0"/>
      <w:marBottom w:val="0"/>
      <w:divBdr>
        <w:top w:val="none" w:sz="0" w:space="0" w:color="auto"/>
        <w:left w:val="none" w:sz="0" w:space="0" w:color="auto"/>
        <w:bottom w:val="none" w:sz="0" w:space="0" w:color="auto"/>
        <w:right w:val="none" w:sz="0" w:space="0" w:color="auto"/>
      </w:divBdr>
    </w:div>
    <w:div w:id="78867836">
      <w:bodyDiv w:val="1"/>
      <w:marLeft w:val="0"/>
      <w:marRight w:val="0"/>
      <w:marTop w:val="0"/>
      <w:marBottom w:val="0"/>
      <w:divBdr>
        <w:top w:val="none" w:sz="0" w:space="0" w:color="auto"/>
        <w:left w:val="none" w:sz="0" w:space="0" w:color="auto"/>
        <w:bottom w:val="none" w:sz="0" w:space="0" w:color="auto"/>
        <w:right w:val="none" w:sz="0" w:space="0" w:color="auto"/>
      </w:divBdr>
    </w:div>
    <w:div w:id="83768679">
      <w:bodyDiv w:val="1"/>
      <w:marLeft w:val="0"/>
      <w:marRight w:val="0"/>
      <w:marTop w:val="0"/>
      <w:marBottom w:val="0"/>
      <w:divBdr>
        <w:top w:val="none" w:sz="0" w:space="0" w:color="auto"/>
        <w:left w:val="none" w:sz="0" w:space="0" w:color="auto"/>
        <w:bottom w:val="none" w:sz="0" w:space="0" w:color="auto"/>
        <w:right w:val="none" w:sz="0" w:space="0" w:color="auto"/>
      </w:divBdr>
    </w:div>
    <w:div w:id="92365777">
      <w:bodyDiv w:val="1"/>
      <w:marLeft w:val="0"/>
      <w:marRight w:val="0"/>
      <w:marTop w:val="0"/>
      <w:marBottom w:val="0"/>
      <w:divBdr>
        <w:top w:val="none" w:sz="0" w:space="0" w:color="auto"/>
        <w:left w:val="none" w:sz="0" w:space="0" w:color="auto"/>
        <w:bottom w:val="none" w:sz="0" w:space="0" w:color="auto"/>
        <w:right w:val="none" w:sz="0" w:space="0" w:color="auto"/>
      </w:divBdr>
    </w:div>
    <w:div w:id="95639310">
      <w:bodyDiv w:val="1"/>
      <w:marLeft w:val="0"/>
      <w:marRight w:val="0"/>
      <w:marTop w:val="0"/>
      <w:marBottom w:val="0"/>
      <w:divBdr>
        <w:top w:val="none" w:sz="0" w:space="0" w:color="auto"/>
        <w:left w:val="none" w:sz="0" w:space="0" w:color="auto"/>
        <w:bottom w:val="none" w:sz="0" w:space="0" w:color="auto"/>
        <w:right w:val="none" w:sz="0" w:space="0" w:color="auto"/>
      </w:divBdr>
    </w:div>
    <w:div w:id="115873058">
      <w:bodyDiv w:val="1"/>
      <w:marLeft w:val="0"/>
      <w:marRight w:val="0"/>
      <w:marTop w:val="0"/>
      <w:marBottom w:val="0"/>
      <w:divBdr>
        <w:top w:val="none" w:sz="0" w:space="0" w:color="auto"/>
        <w:left w:val="none" w:sz="0" w:space="0" w:color="auto"/>
        <w:bottom w:val="none" w:sz="0" w:space="0" w:color="auto"/>
        <w:right w:val="none" w:sz="0" w:space="0" w:color="auto"/>
      </w:divBdr>
    </w:div>
    <w:div w:id="128058001">
      <w:bodyDiv w:val="1"/>
      <w:marLeft w:val="0"/>
      <w:marRight w:val="0"/>
      <w:marTop w:val="0"/>
      <w:marBottom w:val="0"/>
      <w:divBdr>
        <w:top w:val="none" w:sz="0" w:space="0" w:color="auto"/>
        <w:left w:val="none" w:sz="0" w:space="0" w:color="auto"/>
        <w:bottom w:val="none" w:sz="0" w:space="0" w:color="auto"/>
        <w:right w:val="none" w:sz="0" w:space="0" w:color="auto"/>
      </w:divBdr>
    </w:div>
    <w:div w:id="133913024">
      <w:bodyDiv w:val="1"/>
      <w:marLeft w:val="0"/>
      <w:marRight w:val="0"/>
      <w:marTop w:val="0"/>
      <w:marBottom w:val="0"/>
      <w:divBdr>
        <w:top w:val="none" w:sz="0" w:space="0" w:color="auto"/>
        <w:left w:val="none" w:sz="0" w:space="0" w:color="auto"/>
        <w:bottom w:val="none" w:sz="0" w:space="0" w:color="auto"/>
        <w:right w:val="none" w:sz="0" w:space="0" w:color="auto"/>
      </w:divBdr>
    </w:div>
    <w:div w:id="141895294">
      <w:bodyDiv w:val="1"/>
      <w:marLeft w:val="0"/>
      <w:marRight w:val="0"/>
      <w:marTop w:val="0"/>
      <w:marBottom w:val="0"/>
      <w:divBdr>
        <w:top w:val="none" w:sz="0" w:space="0" w:color="auto"/>
        <w:left w:val="none" w:sz="0" w:space="0" w:color="auto"/>
        <w:bottom w:val="none" w:sz="0" w:space="0" w:color="auto"/>
        <w:right w:val="none" w:sz="0" w:space="0" w:color="auto"/>
      </w:divBdr>
    </w:div>
    <w:div w:id="151457924">
      <w:bodyDiv w:val="1"/>
      <w:marLeft w:val="0"/>
      <w:marRight w:val="0"/>
      <w:marTop w:val="0"/>
      <w:marBottom w:val="0"/>
      <w:divBdr>
        <w:top w:val="none" w:sz="0" w:space="0" w:color="auto"/>
        <w:left w:val="none" w:sz="0" w:space="0" w:color="auto"/>
        <w:bottom w:val="none" w:sz="0" w:space="0" w:color="auto"/>
        <w:right w:val="none" w:sz="0" w:space="0" w:color="auto"/>
      </w:divBdr>
    </w:div>
    <w:div w:id="174997742">
      <w:bodyDiv w:val="1"/>
      <w:marLeft w:val="0"/>
      <w:marRight w:val="0"/>
      <w:marTop w:val="0"/>
      <w:marBottom w:val="0"/>
      <w:divBdr>
        <w:top w:val="none" w:sz="0" w:space="0" w:color="auto"/>
        <w:left w:val="none" w:sz="0" w:space="0" w:color="auto"/>
        <w:bottom w:val="none" w:sz="0" w:space="0" w:color="auto"/>
        <w:right w:val="none" w:sz="0" w:space="0" w:color="auto"/>
      </w:divBdr>
    </w:div>
    <w:div w:id="177080573">
      <w:bodyDiv w:val="1"/>
      <w:marLeft w:val="0"/>
      <w:marRight w:val="0"/>
      <w:marTop w:val="0"/>
      <w:marBottom w:val="0"/>
      <w:divBdr>
        <w:top w:val="none" w:sz="0" w:space="0" w:color="auto"/>
        <w:left w:val="none" w:sz="0" w:space="0" w:color="auto"/>
        <w:bottom w:val="none" w:sz="0" w:space="0" w:color="auto"/>
        <w:right w:val="none" w:sz="0" w:space="0" w:color="auto"/>
      </w:divBdr>
    </w:div>
    <w:div w:id="179782760">
      <w:bodyDiv w:val="1"/>
      <w:marLeft w:val="0"/>
      <w:marRight w:val="0"/>
      <w:marTop w:val="0"/>
      <w:marBottom w:val="0"/>
      <w:divBdr>
        <w:top w:val="none" w:sz="0" w:space="0" w:color="auto"/>
        <w:left w:val="none" w:sz="0" w:space="0" w:color="auto"/>
        <w:bottom w:val="none" w:sz="0" w:space="0" w:color="auto"/>
        <w:right w:val="none" w:sz="0" w:space="0" w:color="auto"/>
      </w:divBdr>
      <w:divsChild>
        <w:div w:id="1804998251">
          <w:marLeft w:val="0"/>
          <w:marRight w:val="0"/>
          <w:marTop w:val="0"/>
          <w:marBottom w:val="0"/>
          <w:divBdr>
            <w:top w:val="none" w:sz="0" w:space="0" w:color="auto"/>
            <w:left w:val="none" w:sz="0" w:space="0" w:color="auto"/>
            <w:bottom w:val="none" w:sz="0" w:space="0" w:color="auto"/>
            <w:right w:val="none" w:sz="0" w:space="0" w:color="auto"/>
          </w:divBdr>
          <w:divsChild>
            <w:div w:id="1302345618">
              <w:marLeft w:val="0"/>
              <w:marRight w:val="0"/>
              <w:marTop w:val="0"/>
              <w:marBottom w:val="0"/>
              <w:divBdr>
                <w:top w:val="none" w:sz="0" w:space="0" w:color="auto"/>
                <w:left w:val="none" w:sz="0" w:space="0" w:color="auto"/>
                <w:bottom w:val="none" w:sz="0" w:space="0" w:color="auto"/>
                <w:right w:val="none" w:sz="0" w:space="0" w:color="auto"/>
              </w:divBdr>
              <w:divsChild>
                <w:div w:id="2120028590">
                  <w:marLeft w:val="0"/>
                  <w:marRight w:val="0"/>
                  <w:marTop w:val="0"/>
                  <w:marBottom w:val="0"/>
                  <w:divBdr>
                    <w:top w:val="none" w:sz="0" w:space="0" w:color="auto"/>
                    <w:left w:val="none" w:sz="0" w:space="0" w:color="auto"/>
                    <w:bottom w:val="none" w:sz="0" w:space="0" w:color="auto"/>
                    <w:right w:val="none" w:sz="0" w:space="0" w:color="auto"/>
                  </w:divBdr>
                  <w:divsChild>
                    <w:div w:id="1365790946">
                      <w:marLeft w:val="0"/>
                      <w:marRight w:val="0"/>
                      <w:marTop w:val="0"/>
                      <w:marBottom w:val="0"/>
                      <w:divBdr>
                        <w:top w:val="none" w:sz="0" w:space="0" w:color="auto"/>
                        <w:left w:val="none" w:sz="0" w:space="0" w:color="auto"/>
                        <w:bottom w:val="none" w:sz="0" w:space="0" w:color="auto"/>
                        <w:right w:val="none" w:sz="0" w:space="0" w:color="auto"/>
                      </w:divBdr>
                      <w:divsChild>
                        <w:div w:id="177429983">
                          <w:marLeft w:val="0"/>
                          <w:marRight w:val="0"/>
                          <w:marTop w:val="0"/>
                          <w:marBottom w:val="0"/>
                          <w:divBdr>
                            <w:top w:val="none" w:sz="0" w:space="0" w:color="auto"/>
                            <w:left w:val="none" w:sz="0" w:space="0" w:color="auto"/>
                            <w:bottom w:val="none" w:sz="0" w:space="0" w:color="auto"/>
                            <w:right w:val="none" w:sz="0" w:space="0" w:color="auto"/>
                          </w:divBdr>
                          <w:divsChild>
                            <w:div w:id="1797992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573565">
      <w:bodyDiv w:val="1"/>
      <w:marLeft w:val="0"/>
      <w:marRight w:val="0"/>
      <w:marTop w:val="0"/>
      <w:marBottom w:val="0"/>
      <w:divBdr>
        <w:top w:val="none" w:sz="0" w:space="0" w:color="auto"/>
        <w:left w:val="none" w:sz="0" w:space="0" w:color="auto"/>
        <w:bottom w:val="none" w:sz="0" w:space="0" w:color="auto"/>
        <w:right w:val="none" w:sz="0" w:space="0" w:color="auto"/>
      </w:divBdr>
    </w:div>
    <w:div w:id="198862933">
      <w:bodyDiv w:val="1"/>
      <w:marLeft w:val="0"/>
      <w:marRight w:val="0"/>
      <w:marTop w:val="0"/>
      <w:marBottom w:val="0"/>
      <w:divBdr>
        <w:top w:val="none" w:sz="0" w:space="0" w:color="auto"/>
        <w:left w:val="none" w:sz="0" w:space="0" w:color="auto"/>
        <w:bottom w:val="none" w:sz="0" w:space="0" w:color="auto"/>
        <w:right w:val="none" w:sz="0" w:space="0" w:color="auto"/>
      </w:divBdr>
    </w:div>
    <w:div w:id="201406331">
      <w:bodyDiv w:val="1"/>
      <w:marLeft w:val="0"/>
      <w:marRight w:val="0"/>
      <w:marTop w:val="0"/>
      <w:marBottom w:val="0"/>
      <w:divBdr>
        <w:top w:val="none" w:sz="0" w:space="0" w:color="auto"/>
        <w:left w:val="none" w:sz="0" w:space="0" w:color="auto"/>
        <w:bottom w:val="none" w:sz="0" w:space="0" w:color="auto"/>
        <w:right w:val="none" w:sz="0" w:space="0" w:color="auto"/>
      </w:divBdr>
    </w:div>
    <w:div w:id="201598885">
      <w:bodyDiv w:val="1"/>
      <w:marLeft w:val="0"/>
      <w:marRight w:val="0"/>
      <w:marTop w:val="0"/>
      <w:marBottom w:val="0"/>
      <w:divBdr>
        <w:top w:val="none" w:sz="0" w:space="0" w:color="auto"/>
        <w:left w:val="none" w:sz="0" w:space="0" w:color="auto"/>
        <w:bottom w:val="none" w:sz="0" w:space="0" w:color="auto"/>
        <w:right w:val="none" w:sz="0" w:space="0" w:color="auto"/>
      </w:divBdr>
    </w:div>
    <w:div w:id="206573116">
      <w:bodyDiv w:val="1"/>
      <w:marLeft w:val="0"/>
      <w:marRight w:val="0"/>
      <w:marTop w:val="0"/>
      <w:marBottom w:val="0"/>
      <w:divBdr>
        <w:top w:val="none" w:sz="0" w:space="0" w:color="auto"/>
        <w:left w:val="none" w:sz="0" w:space="0" w:color="auto"/>
        <w:bottom w:val="none" w:sz="0" w:space="0" w:color="auto"/>
        <w:right w:val="none" w:sz="0" w:space="0" w:color="auto"/>
      </w:divBdr>
    </w:div>
    <w:div w:id="208343519">
      <w:bodyDiv w:val="1"/>
      <w:marLeft w:val="0"/>
      <w:marRight w:val="0"/>
      <w:marTop w:val="0"/>
      <w:marBottom w:val="0"/>
      <w:divBdr>
        <w:top w:val="none" w:sz="0" w:space="0" w:color="auto"/>
        <w:left w:val="none" w:sz="0" w:space="0" w:color="auto"/>
        <w:bottom w:val="none" w:sz="0" w:space="0" w:color="auto"/>
        <w:right w:val="none" w:sz="0" w:space="0" w:color="auto"/>
      </w:divBdr>
    </w:div>
    <w:div w:id="213274398">
      <w:bodyDiv w:val="1"/>
      <w:marLeft w:val="0"/>
      <w:marRight w:val="0"/>
      <w:marTop w:val="0"/>
      <w:marBottom w:val="0"/>
      <w:divBdr>
        <w:top w:val="none" w:sz="0" w:space="0" w:color="auto"/>
        <w:left w:val="none" w:sz="0" w:space="0" w:color="auto"/>
        <w:bottom w:val="none" w:sz="0" w:space="0" w:color="auto"/>
        <w:right w:val="none" w:sz="0" w:space="0" w:color="auto"/>
      </w:divBdr>
    </w:div>
    <w:div w:id="219754100">
      <w:bodyDiv w:val="1"/>
      <w:marLeft w:val="0"/>
      <w:marRight w:val="0"/>
      <w:marTop w:val="0"/>
      <w:marBottom w:val="0"/>
      <w:divBdr>
        <w:top w:val="none" w:sz="0" w:space="0" w:color="auto"/>
        <w:left w:val="none" w:sz="0" w:space="0" w:color="auto"/>
        <w:bottom w:val="none" w:sz="0" w:space="0" w:color="auto"/>
        <w:right w:val="none" w:sz="0" w:space="0" w:color="auto"/>
      </w:divBdr>
    </w:div>
    <w:div w:id="220799749">
      <w:bodyDiv w:val="1"/>
      <w:marLeft w:val="0"/>
      <w:marRight w:val="0"/>
      <w:marTop w:val="0"/>
      <w:marBottom w:val="0"/>
      <w:divBdr>
        <w:top w:val="none" w:sz="0" w:space="0" w:color="auto"/>
        <w:left w:val="none" w:sz="0" w:space="0" w:color="auto"/>
        <w:bottom w:val="none" w:sz="0" w:space="0" w:color="auto"/>
        <w:right w:val="none" w:sz="0" w:space="0" w:color="auto"/>
      </w:divBdr>
    </w:div>
    <w:div w:id="235865839">
      <w:bodyDiv w:val="1"/>
      <w:marLeft w:val="0"/>
      <w:marRight w:val="0"/>
      <w:marTop w:val="0"/>
      <w:marBottom w:val="0"/>
      <w:divBdr>
        <w:top w:val="none" w:sz="0" w:space="0" w:color="auto"/>
        <w:left w:val="none" w:sz="0" w:space="0" w:color="auto"/>
        <w:bottom w:val="none" w:sz="0" w:space="0" w:color="auto"/>
        <w:right w:val="none" w:sz="0" w:space="0" w:color="auto"/>
      </w:divBdr>
    </w:div>
    <w:div w:id="236205564">
      <w:bodyDiv w:val="1"/>
      <w:marLeft w:val="0"/>
      <w:marRight w:val="0"/>
      <w:marTop w:val="0"/>
      <w:marBottom w:val="0"/>
      <w:divBdr>
        <w:top w:val="none" w:sz="0" w:space="0" w:color="auto"/>
        <w:left w:val="none" w:sz="0" w:space="0" w:color="auto"/>
        <w:bottom w:val="none" w:sz="0" w:space="0" w:color="auto"/>
        <w:right w:val="none" w:sz="0" w:space="0" w:color="auto"/>
      </w:divBdr>
    </w:div>
    <w:div w:id="238444055">
      <w:bodyDiv w:val="1"/>
      <w:marLeft w:val="0"/>
      <w:marRight w:val="0"/>
      <w:marTop w:val="0"/>
      <w:marBottom w:val="0"/>
      <w:divBdr>
        <w:top w:val="none" w:sz="0" w:space="0" w:color="auto"/>
        <w:left w:val="none" w:sz="0" w:space="0" w:color="auto"/>
        <w:bottom w:val="none" w:sz="0" w:space="0" w:color="auto"/>
        <w:right w:val="none" w:sz="0" w:space="0" w:color="auto"/>
      </w:divBdr>
    </w:div>
    <w:div w:id="248999853">
      <w:bodyDiv w:val="1"/>
      <w:marLeft w:val="0"/>
      <w:marRight w:val="0"/>
      <w:marTop w:val="0"/>
      <w:marBottom w:val="0"/>
      <w:divBdr>
        <w:top w:val="none" w:sz="0" w:space="0" w:color="auto"/>
        <w:left w:val="none" w:sz="0" w:space="0" w:color="auto"/>
        <w:bottom w:val="none" w:sz="0" w:space="0" w:color="auto"/>
        <w:right w:val="none" w:sz="0" w:space="0" w:color="auto"/>
      </w:divBdr>
    </w:div>
    <w:div w:id="258293538">
      <w:bodyDiv w:val="1"/>
      <w:marLeft w:val="0"/>
      <w:marRight w:val="0"/>
      <w:marTop w:val="0"/>
      <w:marBottom w:val="0"/>
      <w:divBdr>
        <w:top w:val="none" w:sz="0" w:space="0" w:color="auto"/>
        <w:left w:val="none" w:sz="0" w:space="0" w:color="auto"/>
        <w:bottom w:val="none" w:sz="0" w:space="0" w:color="auto"/>
        <w:right w:val="none" w:sz="0" w:space="0" w:color="auto"/>
      </w:divBdr>
    </w:div>
    <w:div w:id="262609375">
      <w:bodyDiv w:val="1"/>
      <w:marLeft w:val="0"/>
      <w:marRight w:val="0"/>
      <w:marTop w:val="0"/>
      <w:marBottom w:val="0"/>
      <w:divBdr>
        <w:top w:val="none" w:sz="0" w:space="0" w:color="auto"/>
        <w:left w:val="none" w:sz="0" w:space="0" w:color="auto"/>
        <w:bottom w:val="none" w:sz="0" w:space="0" w:color="auto"/>
        <w:right w:val="none" w:sz="0" w:space="0" w:color="auto"/>
      </w:divBdr>
    </w:div>
    <w:div w:id="269899195">
      <w:bodyDiv w:val="1"/>
      <w:marLeft w:val="0"/>
      <w:marRight w:val="0"/>
      <w:marTop w:val="0"/>
      <w:marBottom w:val="0"/>
      <w:divBdr>
        <w:top w:val="none" w:sz="0" w:space="0" w:color="auto"/>
        <w:left w:val="none" w:sz="0" w:space="0" w:color="auto"/>
        <w:bottom w:val="none" w:sz="0" w:space="0" w:color="auto"/>
        <w:right w:val="none" w:sz="0" w:space="0" w:color="auto"/>
      </w:divBdr>
    </w:div>
    <w:div w:id="279533791">
      <w:bodyDiv w:val="1"/>
      <w:marLeft w:val="0"/>
      <w:marRight w:val="0"/>
      <w:marTop w:val="0"/>
      <w:marBottom w:val="0"/>
      <w:divBdr>
        <w:top w:val="none" w:sz="0" w:space="0" w:color="auto"/>
        <w:left w:val="none" w:sz="0" w:space="0" w:color="auto"/>
        <w:bottom w:val="none" w:sz="0" w:space="0" w:color="auto"/>
        <w:right w:val="none" w:sz="0" w:space="0" w:color="auto"/>
      </w:divBdr>
    </w:div>
    <w:div w:id="293602323">
      <w:bodyDiv w:val="1"/>
      <w:marLeft w:val="0"/>
      <w:marRight w:val="0"/>
      <w:marTop w:val="0"/>
      <w:marBottom w:val="0"/>
      <w:divBdr>
        <w:top w:val="none" w:sz="0" w:space="0" w:color="auto"/>
        <w:left w:val="none" w:sz="0" w:space="0" w:color="auto"/>
        <w:bottom w:val="none" w:sz="0" w:space="0" w:color="auto"/>
        <w:right w:val="none" w:sz="0" w:space="0" w:color="auto"/>
      </w:divBdr>
    </w:div>
    <w:div w:id="308901013">
      <w:bodyDiv w:val="1"/>
      <w:marLeft w:val="0"/>
      <w:marRight w:val="0"/>
      <w:marTop w:val="0"/>
      <w:marBottom w:val="0"/>
      <w:divBdr>
        <w:top w:val="none" w:sz="0" w:space="0" w:color="auto"/>
        <w:left w:val="none" w:sz="0" w:space="0" w:color="auto"/>
        <w:bottom w:val="none" w:sz="0" w:space="0" w:color="auto"/>
        <w:right w:val="none" w:sz="0" w:space="0" w:color="auto"/>
      </w:divBdr>
    </w:div>
    <w:div w:id="313030004">
      <w:bodyDiv w:val="1"/>
      <w:marLeft w:val="0"/>
      <w:marRight w:val="0"/>
      <w:marTop w:val="0"/>
      <w:marBottom w:val="0"/>
      <w:divBdr>
        <w:top w:val="none" w:sz="0" w:space="0" w:color="auto"/>
        <w:left w:val="none" w:sz="0" w:space="0" w:color="auto"/>
        <w:bottom w:val="none" w:sz="0" w:space="0" w:color="auto"/>
        <w:right w:val="none" w:sz="0" w:space="0" w:color="auto"/>
      </w:divBdr>
    </w:div>
    <w:div w:id="315842206">
      <w:bodyDiv w:val="1"/>
      <w:marLeft w:val="0"/>
      <w:marRight w:val="0"/>
      <w:marTop w:val="0"/>
      <w:marBottom w:val="0"/>
      <w:divBdr>
        <w:top w:val="none" w:sz="0" w:space="0" w:color="auto"/>
        <w:left w:val="none" w:sz="0" w:space="0" w:color="auto"/>
        <w:bottom w:val="none" w:sz="0" w:space="0" w:color="auto"/>
        <w:right w:val="none" w:sz="0" w:space="0" w:color="auto"/>
      </w:divBdr>
    </w:div>
    <w:div w:id="324431637">
      <w:bodyDiv w:val="1"/>
      <w:marLeft w:val="0"/>
      <w:marRight w:val="0"/>
      <w:marTop w:val="0"/>
      <w:marBottom w:val="0"/>
      <w:divBdr>
        <w:top w:val="none" w:sz="0" w:space="0" w:color="auto"/>
        <w:left w:val="none" w:sz="0" w:space="0" w:color="auto"/>
        <w:bottom w:val="none" w:sz="0" w:space="0" w:color="auto"/>
        <w:right w:val="none" w:sz="0" w:space="0" w:color="auto"/>
      </w:divBdr>
    </w:div>
    <w:div w:id="342391625">
      <w:bodyDiv w:val="1"/>
      <w:marLeft w:val="0"/>
      <w:marRight w:val="0"/>
      <w:marTop w:val="0"/>
      <w:marBottom w:val="0"/>
      <w:divBdr>
        <w:top w:val="none" w:sz="0" w:space="0" w:color="auto"/>
        <w:left w:val="none" w:sz="0" w:space="0" w:color="auto"/>
        <w:bottom w:val="none" w:sz="0" w:space="0" w:color="auto"/>
        <w:right w:val="none" w:sz="0" w:space="0" w:color="auto"/>
      </w:divBdr>
    </w:div>
    <w:div w:id="345906586">
      <w:bodyDiv w:val="1"/>
      <w:marLeft w:val="0"/>
      <w:marRight w:val="0"/>
      <w:marTop w:val="0"/>
      <w:marBottom w:val="0"/>
      <w:divBdr>
        <w:top w:val="none" w:sz="0" w:space="0" w:color="auto"/>
        <w:left w:val="none" w:sz="0" w:space="0" w:color="auto"/>
        <w:bottom w:val="none" w:sz="0" w:space="0" w:color="auto"/>
        <w:right w:val="none" w:sz="0" w:space="0" w:color="auto"/>
      </w:divBdr>
    </w:div>
    <w:div w:id="351952429">
      <w:bodyDiv w:val="1"/>
      <w:marLeft w:val="0"/>
      <w:marRight w:val="0"/>
      <w:marTop w:val="0"/>
      <w:marBottom w:val="0"/>
      <w:divBdr>
        <w:top w:val="none" w:sz="0" w:space="0" w:color="auto"/>
        <w:left w:val="none" w:sz="0" w:space="0" w:color="auto"/>
        <w:bottom w:val="none" w:sz="0" w:space="0" w:color="auto"/>
        <w:right w:val="none" w:sz="0" w:space="0" w:color="auto"/>
      </w:divBdr>
    </w:div>
    <w:div w:id="354623282">
      <w:bodyDiv w:val="1"/>
      <w:marLeft w:val="0"/>
      <w:marRight w:val="0"/>
      <w:marTop w:val="0"/>
      <w:marBottom w:val="0"/>
      <w:divBdr>
        <w:top w:val="none" w:sz="0" w:space="0" w:color="auto"/>
        <w:left w:val="none" w:sz="0" w:space="0" w:color="auto"/>
        <w:bottom w:val="none" w:sz="0" w:space="0" w:color="auto"/>
        <w:right w:val="none" w:sz="0" w:space="0" w:color="auto"/>
      </w:divBdr>
    </w:div>
    <w:div w:id="360129135">
      <w:bodyDiv w:val="1"/>
      <w:marLeft w:val="0"/>
      <w:marRight w:val="0"/>
      <w:marTop w:val="0"/>
      <w:marBottom w:val="0"/>
      <w:divBdr>
        <w:top w:val="none" w:sz="0" w:space="0" w:color="auto"/>
        <w:left w:val="none" w:sz="0" w:space="0" w:color="auto"/>
        <w:bottom w:val="none" w:sz="0" w:space="0" w:color="auto"/>
        <w:right w:val="none" w:sz="0" w:space="0" w:color="auto"/>
      </w:divBdr>
    </w:div>
    <w:div w:id="370570117">
      <w:bodyDiv w:val="1"/>
      <w:marLeft w:val="0"/>
      <w:marRight w:val="0"/>
      <w:marTop w:val="0"/>
      <w:marBottom w:val="0"/>
      <w:divBdr>
        <w:top w:val="none" w:sz="0" w:space="0" w:color="auto"/>
        <w:left w:val="none" w:sz="0" w:space="0" w:color="auto"/>
        <w:bottom w:val="none" w:sz="0" w:space="0" w:color="auto"/>
        <w:right w:val="none" w:sz="0" w:space="0" w:color="auto"/>
      </w:divBdr>
    </w:div>
    <w:div w:id="382145710">
      <w:bodyDiv w:val="1"/>
      <w:marLeft w:val="0"/>
      <w:marRight w:val="0"/>
      <w:marTop w:val="0"/>
      <w:marBottom w:val="0"/>
      <w:divBdr>
        <w:top w:val="none" w:sz="0" w:space="0" w:color="auto"/>
        <w:left w:val="none" w:sz="0" w:space="0" w:color="auto"/>
        <w:bottom w:val="none" w:sz="0" w:space="0" w:color="auto"/>
        <w:right w:val="none" w:sz="0" w:space="0" w:color="auto"/>
      </w:divBdr>
    </w:div>
    <w:div w:id="390422734">
      <w:bodyDiv w:val="1"/>
      <w:marLeft w:val="0"/>
      <w:marRight w:val="0"/>
      <w:marTop w:val="0"/>
      <w:marBottom w:val="0"/>
      <w:divBdr>
        <w:top w:val="none" w:sz="0" w:space="0" w:color="auto"/>
        <w:left w:val="none" w:sz="0" w:space="0" w:color="auto"/>
        <w:bottom w:val="none" w:sz="0" w:space="0" w:color="auto"/>
        <w:right w:val="none" w:sz="0" w:space="0" w:color="auto"/>
      </w:divBdr>
    </w:div>
    <w:div w:id="396249252">
      <w:bodyDiv w:val="1"/>
      <w:marLeft w:val="0"/>
      <w:marRight w:val="0"/>
      <w:marTop w:val="0"/>
      <w:marBottom w:val="0"/>
      <w:divBdr>
        <w:top w:val="none" w:sz="0" w:space="0" w:color="auto"/>
        <w:left w:val="none" w:sz="0" w:space="0" w:color="auto"/>
        <w:bottom w:val="none" w:sz="0" w:space="0" w:color="auto"/>
        <w:right w:val="none" w:sz="0" w:space="0" w:color="auto"/>
      </w:divBdr>
    </w:div>
    <w:div w:id="398671898">
      <w:bodyDiv w:val="1"/>
      <w:marLeft w:val="0"/>
      <w:marRight w:val="0"/>
      <w:marTop w:val="0"/>
      <w:marBottom w:val="0"/>
      <w:divBdr>
        <w:top w:val="none" w:sz="0" w:space="0" w:color="auto"/>
        <w:left w:val="none" w:sz="0" w:space="0" w:color="auto"/>
        <w:bottom w:val="none" w:sz="0" w:space="0" w:color="auto"/>
        <w:right w:val="none" w:sz="0" w:space="0" w:color="auto"/>
      </w:divBdr>
      <w:divsChild>
        <w:div w:id="1099525829">
          <w:marLeft w:val="547"/>
          <w:marRight w:val="0"/>
          <w:marTop w:val="0"/>
          <w:marBottom w:val="0"/>
          <w:divBdr>
            <w:top w:val="none" w:sz="0" w:space="0" w:color="auto"/>
            <w:left w:val="none" w:sz="0" w:space="0" w:color="auto"/>
            <w:bottom w:val="none" w:sz="0" w:space="0" w:color="auto"/>
            <w:right w:val="none" w:sz="0" w:space="0" w:color="auto"/>
          </w:divBdr>
        </w:div>
      </w:divsChild>
    </w:div>
    <w:div w:id="398985878">
      <w:bodyDiv w:val="1"/>
      <w:marLeft w:val="0"/>
      <w:marRight w:val="0"/>
      <w:marTop w:val="0"/>
      <w:marBottom w:val="0"/>
      <w:divBdr>
        <w:top w:val="none" w:sz="0" w:space="0" w:color="auto"/>
        <w:left w:val="none" w:sz="0" w:space="0" w:color="auto"/>
        <w:bottom w:val="none" w:sz="0" w:space="0" w:color="auto"/>
        <w:right w:val="none" w:sz="0" w:space="0" w:color="auto"/>
      </w:divBdr>
    </w:div>
    <w:div w:id="429395100">
      <w:bodyDiv w:val="1"/>
      <w:marLeft w:val="0"/>
      <w:marRight w:val="0"/>
      <w:marTop w:val="0"/>
      <w:marBottom w:val="0"/>
      <w:divBdr>
        <w:top w:val="none" w:sz="0" w:space="0" w:color="auto"/>
        <w:left w:val="none" w:sz="0" w:space="0" w:color="auto"/>
        <w:bottom w:val="none" w:sz="0" w:space="0" w:color="auto"/>
        <w:right w:val="none" w:sz="0" w:space="0" w:color="auto"/>
      </w:divBdr>
    </w:div>
    <w:div w:id="431435515">
      <w:bodyDiv w:val="1"/>
      <w:marLeft w:val="0"/>
      <w:marRight w:val="0"/>
      <w:marTop w:val="0"/>
      <w:marBottom w:val="0"/>
      <w:divBdr>
        <w:top w:val="none" w:sz="0" w:space="0" w:color="auto"/>
        <w:left w:val="none" w:sz="0" w:space="0" w:color="auto"/>
        <w:bottom w:val="none" w:sz="0" w:space="0" w:color="auto"/>
        <w:right w:val="none" w:sz="0" w:space="0" w:color="auto"/>
      </w:divBdr>
    </w:div>
    <w:div w:id="431825873">
      <w:bodyDiv w:val="1"/>
      <w:marLeft w:val="0"/>
      <w:marRight w:val="0"/>
      <w:marTop w:val="0"/>
      <w:marBottom w:val="0"/>
      <w:divBdr>
        <w:top w:val="none" w:sz="0" w:space="0" w:color="auto"/>
        <w:left w:val="none" w:sz="0" w:space="0" w:color="auto"/>
        <w:bottom w:val="none" w:sz="0" w:space="0" w:color="auto"/>
        <w:right w:val="none" w:sz="0" w:space="0" w:color="auto"/>
      </w:divBdr>
    </w:div>
    <w:div w:id="432014365">
      <w:bodyDiv w:val="1"/>
      <w:marLeft w:val="0"/>
      <w:marRight w:val="0"/>
      <w:marTop w:val="0"/>
      <w:marBottom w:val="0"/>
      <w:divBdr>
        <w:top w:val="none" w:sz="0" w:space="0" w:color="auto"/>
        <w:left w:val="none" w:sz="0" w:space="0" w:color="auto"/>
        <w:bottom w:val="none" w:sz="0" w:space="0" w:color="auto"/>
        <w:right w:val="none" w:sz="0" w:space="0" w:color="auto"/>
      </w:divBdr>
    </w:div>
    <w:div w:id="437528514">
      <w:bodyDiv w:val="1"/>
      <w:marLeft w:val="0"/>
      <w:marRight w:val="0"/>
      <w:marTop w:val="0"/>
      <w:marBottom w:val="0"/>
      <w:divBdr>
        <w:top w:val="none" w:sz="0" w:space="0" w:color="auto"/>
        <w:left w:val="none" w:sz="0" w:space="0" w:color="auto"/>
        <w:bottom w:val="none" w:sz="0" w:space="0" w:color="auto"/>
        <w:right w:val="none" w:sz="0" w:space="0" w:color="auto"/>
      </w:divBdr>
    </w:div>
    <w:div w:id="443230822">
      <w:bodyDiv w:val="1"/>
      <w:marLeft w:val="0"/>
      <w:marRight w:val="0"/>
      <w:marTop w:val="0"/>
      <w:marBottom w:val="0"/>
      <w:divBdr>
        <w:top w:val="none" w:sz="0" w:space="0" w:color="auto"/>
        <w:left w:val="none" w:sz="0" w:space="0" w:color="auto"/>
        <w:bottom w:val="none" w:sz="0" w:space="0" w:color="auto"/>
        <w:right w:val="none" w:sz="0" w:space="0" w:color="auto"/>
      </w:divBdr>
    </w:div>
    <w:div w:id="443961885">
      <w:bodyDiv w:val="1"/>
      <w:marLeft w:val="0"/>
      <w:marRight w:val="0"/>
      <w:marTop w:val="0"/>
      <w:marBottom w:val="0"/>
      <w:divBdr>
        <w:top w:val="none" w:sz="0" w:space="0" w:color="auto"/>
        <w:left w:val="none" w:sz="0" w:space="0" w:color="auto"/>
        <w:bottom w:val="none" w:sz="0" w:space="0" w:color="auto"/>
        <w:right w:val="none" w:sz="0" w:space="0" w:color="auto"/>
      </w:divBdr>
    </w:div>
    <w:div w:id="478037084">
      <w:bodyDiv w:val="1"/>
      <w:marLeft w:val="0"/>
      <w:marRight w:val="0"/>
      <w:marTop w:val="0"/>
      <w:marBottom w:val="0"/>
      <w:divBdr>
        <w:top w:val="none" w:sz="0" w:space="0" w:color="auto"/>
        <w:left w:val="none" w:sz="0" w:space="0" w:color="auto"/>
        <w:bottom w:val="none" w:sz="0" w:space="0" w:color="auto"/>
        <w:right w:val="none" w:sz="0" w:space="0" w:color="auto"/>
      </w:divBdr>
    </w:div>
    <w:div w:id="497425804">
      <w:bodyDiv w:val="1"/>
      <w:marLeft w:val="0"/>
      <w:marRight w:val="0"/>
      <w:marTop w:val="0"/>
      <w:marBottom w:val="0"/>
      <w:divBdr>
        <w:top w:val="none" w:sz="0" w:space="0" w:color="auto"/>
        <w:left w:val="none" w:sz="0" w:space="0" w:color="auto"/>
        <w:bottom w:val="none" w:sz="0" w:space="0" w:color="auto"/>
        <w:right w:val="none" w:sz="0" w:space="0" w:color="auto"/>
      </w:divBdr>
    </w:div>
    <w:div w:id="504130802">
      <w:bodyDiv w:val="1"/>
      <w:marLeft w:val="0"/>
      <w:marRight w:val="0"/>
      <w:marTop w:val="0"/>
      <w:marBottom w:val="0"/>
      <w:divBdr>
        <w:top w:val="none" w:sz="0" w:space="0" w:color="auto"/>
        <w:left w:val="none" w:sz="0" w:space="0" w:color="auto"/>
        <w:bottom w:val="none" w:sz="0" w:space="0" w:color="auto"/>
        <w:right w:val="none" w:sz="0" w:space="0" w:color="auto"/>
      </w:divBdr>
    </w:div>
    <w:div w:id="507644093">
      <w:bodyDiv w:val="1"/>
      <w:marLeft w:val="0"/>
      <w:marRight w:val="0"/>
      <w:marTop w:val="0"/>
      <w:marBottom w:val="0"/>
      <w:divBdr>
        <w:top w:val="none" w:sz="0" w:space="0" w:color="auto"/>
        <w:left w:val="none" w:sz="0" w:space="0" w:color="auto"/>
        <w:bottom w:val="none" w:sz="0" w:space="0" w:color="auto"/>
        <w:right w:val="none" w:sz="0" w:space="0" w:color="auto"/>
      </w:divBdr>
    </w:div>
    <w:div w:id="508713348">
      <w:bodyDiv w:val="1"/>
      <w:marLeft w:val="0"/>
      <w:marRight w:val="0"/>
      <w:marTop w:val="0"/>
      <w:marBottom w:val="0"/>
      <w:divBdr>
        <w:top w:val="none" w:sz="0" w:space="0" w:color="auto"/>
        <w:left w:val="none" w:sz="0" w:space="0" w:color="auto"/>
        <w:bottom w:val="none" w:sz="0" w:space="0" w:color="auto"/>
        <w:right w:val="none" w:sz="0" w:space="0" w:color="auto"/>
      </w:divBdr>
    </w:div>
    <w:div w:id="511333596">
      <w:bodyDiv w:val="1"/>
      <w:marLeft w:val="0"/>
      <w:marRight w:val="0"/>
      <w:marTop w:val="0"/>
      <w:marBottom w:val="0"/>
      <w:divBdr>
        <w:top w:val="none" w:sz="0" w:space="0" w:color="auto"/>
        <w:left w:val="none" w:sz="0" w:space="0" w:color="auto"/>
        <w:bottom w:val="none" w:sz="0" w:space="0" w:color="auto"/>
        <w:right w:val="none" w:sz="0" w:space="0" w:color="auto"/>
      </w:divBdr>
    </w:div>
    <w:div w:id="517159825">
      <w:bodyDiv w:val="1"/>
      <w:marLeft w:val="0"/>
      <w:marRight w:val="0"/>
      <w:marTop w:val="0"/>
      <w:marBottom w:val="0"/>
      <w:divBdr>
        <w:top w:val="none" w:sz="0" w:space="0" w:color="auto"/>
        <w:left w:val="none" w:sz="0" w:space="0" w:color="auto"/>
        <w:bottom w:val="none" w:sz="0" w:space="0" w:color="auto"/>
        <w:right w:val="none" w:sz="0" w:space="0" w:color="auto"/>
      </w:divBdr>
    </w:div>
    <w:div w:id="523904018">
      <w:bodyDiv w:val="1"/>
      <w:marLeft w:val="0"/>
      <w:marRight w:val="0"/>
      <w:marTop w:val="0"/>
      <w:marBottom w:val="0"/>
      <w:divBdr>
        <w:top w:val="none" w:sz="0" w:space="0" w:color="auto"/>
        <w:left w:val="none" w:sz="0" w:space="0" w:color="auto"/>
        <w:bottom w:val="none" w:sz="0" w:space="0" w:color="auto"/>
        <w:right w:val="none" w:sz="0" w:space="0" w:color="auto"/>
      </w:divBdr>
    </w:div>
    <w:div w:id="530145218">
      <w:bodyDiv w:val="1"/>
      <w:marLeft w:val="0"/>
      <w:marRight w:val="0"/>
      <w:marTop w:val="0"/>
      <w:marBottom w:val="0"/>
      <w:divBdr>
        <w:top w:val="none" w:sz="0" w:space="0" w:color="auto"/>
        <w:left w:val="none" w:sz="0" w:space="0" w:color="auto"/>
        <w:bottom w:val="none" w:sz="0" w:space="0" w:color="auto"/>
        <w:right w:val="none" w:sz="0" w:space="0" w:color="auto"/>
      </w:divBdr>
    </w:div>
    <w:div w:id="530193516">
      <w:bodyDiv w:val="1"/>
      <w:marLeft w:val="0"/>
      <w:marRight w:val="0"/>
      <w:marTop w:val="0"/>
      <w:marBottom w:val="0"/>
      <w:divBdr>
        <w:top w:val="none" w:sz="0" w:space="0" w:color="auto"/>
        <w:left w:val="none" w:sz="0" w:space="0" w:color="auto"/>
        <w:bottom w:val="none" w:sz="0" w:space="0" w:color="auto"/>
        <w:right w:val="none" w:sz="0" w:space="0" w:color="auto"/>
      </w:divBdr>
    </w:div>
    <w:div w:id="543175371">
      <w:bodyDiv w:val="1"/>
      <w:marLeft w:val="0"/>
      <w:marRight w:val="0"/>
      <w:marTop w:val="0"/>
      <w:marBottom w:val="0"/>
      <w:divBdr>
        <w:top w:val="none" w:sz="0" w:space="0" w:color="auto"/>
        <w:left w:val="none" w:sz="0" w:space="0" w:color="auto"/>
        <w:bottom w:val="none" w:sz="0" w:space="0" w:color="auto"/>
        <w:right w:val="none" w:sz="0" w:space="0" w:color="auto"/>
      </w:divBdr>
    </w:div>
    <w:div w:id="554390301">
      <w:bodyDiv w:val="1"/>
      <w:marLeft w:val="0"/>
      <w:marRight w:val="0"/>
      <w:marTop w:val="0"/>
      <w:marBottom w:val="0"/>
      <w:divBdr>
        <w:top w:val="none" w:sz="0" w:space="0" w:color="auto"/>
        <w:left w:val="none" w:sz="0" w:space="0" w:color="auto"/>
        <w:bottom w:val="none" w:sz="0" w:space="0" w:color="auto"/>
        <w:right w:val="none" w:sz="0" w:space="0" w:color="auto"/>
      </w:divBdr>
    </w:div>
    <w:div w:id="554776807">
      <w:bodyDiv w:val="1"/>
      <w:marLeft w:val="0"/>
      <w:marRight w:val="0"/>
      <w:marTop w:val="0"/>
      <w:marBottom w:val="0"/>
      <w:divBdr>
        <w:top w:val="none" w:sz="0" w:space="0" w:color="auto"/>
        <w:left w:val="none" w:sz="0" w:space="0" w:color="auto"/>
        <w:bottom w:val="none" w:sz="0" w:space="0" w:color="auto"/>
        <w:right w:val="none" w:sz="0" w:space="0" w:color="auto"/>
      </w:divBdr>
    </w:div>
    <w:div w:id="556815604">
      <w:bodyDiv w:val="1"/>
      <w:marLeft w:val="0"/>
      <w:marRight w:val="0"/>
      <w:marTop w:val="0"/>
      <w:marBottom w:val="0"/>
      <w:divBdr>
        <w:top w:val="none" w:sz="0" w:space="0" w:color="auto"/>
        <w:left w:val="none" w:sz="0" w:space="0" w:color="auto"/>
        <w:bottom w:val="none" w:sz="0" w:space="0" w:color="auto"/>
        <w:right w:val="none" w:sz="0" w:space="0" w:color="auto"/>
      </w:divBdr>
    </w:div>
    <w:div w:id="558058246">
      <w:bodyDiv w:val="1"/>
      <w:marLeft w:val="0"/>
      <w:marRight w:val="0"/>
      <w:marTop w:val="0"/>
      <w:marBottom w:val="0"/>
      <w:divBdr>
        <w:top w:val="none" w:sz="0" w:space="0" w:color="auto"/>
        <w:left w:val="none" w:sz="0" w:space="0" w:color="auto"/>
        <w:bottom w:val="none" w:sz="0" w:space="0" w:color="auto"/>
        <w:right w:val="none" w:sz="0" w:space="0" w:color="auto"/>
      </w:divBdr>
    </w:div>
    <w:div w:id="564070191">
      <w:bodyDiv w:val="1"/>
      <w:marLeft w:val="0"/>
      <w:marRight w:val="0"/>
      <w:marTop w:val="0"/>
      <w:marBottom w:val="0"/>
      <w:divBdr>
        <w:top w:val="none" w:sz="0" w:space="0" w:color="auto"/>
        <w:left w:val="none" w:sz="0" w:space="0" w:color="auto"/>
        <w:bottom w:val="none" w:sz="0" w:space="0" w:color="auto"/>
        <w:right w:val="none" w:sz="0" w:space="0" w:color="auto"/>
      </w:divBdr>
    </w:div>
    <w:div w:id="565334513">
      <w:bodyDiv w:val="1"/>
      <w:marLeft w:val="0"/>
      <w:marRight w:val="0"/>
      <w:marTop w:val="0"/>
      <w:marBottom w:val="0"/>
      <w:divBdr>
        <w:top w:val="none" w:sz="0" w:space="0" w:color="auto"/>
        <w:left w:val="none" w:sz="0" w:space="0" w:color="auto"/>
        <w:bottom w:val="none" w:sz="0" w:space="0" w:color="auto"/>
        <w:right w:val="none" w:sz="0" w:space="0" w:color="auto"/>
      </w:divBdr>
      <w:divsChild>
        <w:div w:id="1638802966">
          <w:marLeft w:val="547"/>
          <w:marRight w:val="0"/>
          <w:marTop w:val="0"/>
          <w:marBottom w:val="0"/>
          <w:divBdr>
            <w:top w:val="none" w:sz="0" w:space="0" w:color="auto"/>
            <w:left w:val="none" w:sz="0" w:space="0" w:color="auto"/>
            <w:bottom w:val="none" w:sz="0" w:space="0" w:color="auto"/>
            <w:right w:val="none" w:sz="0" w:space="0" w:color="auto"/>
          </w:divBdr>
        </w:div>
      </w:divsChild>
    </w:div>
    <w:div w:id="570769173">
      <w:bodyDiv w:val="1"/>
      <w:marLeft w:val="0"/>
      <w:marRight w:val="0"/>
      <w:marTop w:val="0"/>
      <w:marBottom w:val="0"/>
      <w:divBdr>
        <w:top w:val="none" w:sz="0" w:space="0" w:color="auto"/>
        <w:left w:val="none" w:sz="0" w:space="0" w:color="auto"/>
        <w:bottom w:val="none" w:sz="0" w:space="0" w:color="auto"/>
        <w:right w:val="none" w:sz="0" w:space="0" w:color="auto"/>
      </w:divBdr>
    </w:div>
    <w:div w:id="581913031">
      <w:bodyDiv w:val="1"/>
      <w:marLeft w:val="0"/>
      <w:marRight w:val="0"/>
      <w:marTop w:val="0"/>
      <w:marBottom w:val="0"/>
      <w:divBdr>
        <w:top w:val="none" w:sz="0" w:space="0" w:color="auto"/>
        <w:left w:val="none" w:sz="0" w:space="0" w:color="auto"/>
        <w:bottom w:val="none" w:sz="0" w:space="0" w:color="auto"/>
        <w:right w:val="none" w:sz="0" w:space="0" w:color="auto"/>
      </w:divBdr>
    </w:div>
    <w:div w:id="588589069">
      <w:bodyDiv w:val="1"/>
      <w:marLeft w:val="0"/>
      <w:marRight w:val="0"/>
      <w:marTop w:val="0"/>
      <w:marBottom w:val="0"/>
      <w:divBdr>
        <w:top w:val="none" w:sz="0" w:space="0" w:color="auto"/>
        <w:left w:val="none" w:sz="0" w:space="0" w:color="auto"/>
        <w:bottom w:val="none" w:sz="0" w:space="0" w:color="auto"/>
        <w:right w:val="none" w:sz="0" w:space="0" w:color="auto"/>
      </w:divBdr>
    </w:div>
    <w:div w:id="598678146">
      <w:bodyDiv w:val="1"/>
      <w:marLeft w:val="0"/>
      <w:marRight w:val="0"/>
      <w:marTop w:val="0"/>
      <w:marBottom w:val="0"/>
      <w:divBdr>
        <w:top w:val="none" w:sz="0" w:space="0" w:color="auto"/>
        <w:left w:val="none" w:sz="0" w:space="0" w:color="auto"/>
        <w:bottom w:val="none" w:sz="0" w:space="0" w:color="auto"/>
        <w:right w:val="none" w:sz="0" w:space="0" w:color="auto"/>
      </w:divBdr>
    </w:div>
    <w:div w:id="606273597">
      <w:bodyDiv w:val="1"/>
      <w:marLeft w:val="0"/>
      <w:marRight w:val="0"/>
      <w:marTop w:val="0"/>
      <w:marBottom w:val="0"/>
      <w:divBdr>
        <w:top w:val="none" w:sz="0" w:space="0" w:color="auto"/>
        <w:left w:val="none" w:sz="0" w:space="0" w:color="auto"/>
        <w:bottom w:val="none" w:sz="0" w:space="0" w:color="auto"/>
        <w:right w:val="none" w:sz="0" w:space="0" w:color="auto"/>
      </w:divBdr>
    </w:div>
    <w:div w:id="614950157">
      <w:bodyDiv w:val="1"/>
      <w:marLeft w:val="0"/>
      <w:marRight w:val="0"/>
      <w:marTop w:val="0"/>
      <w:marBottom w:val="0"/>
      <w:divBdr>
        <w:top w:val="none" w:sz="0" w:space="0" w:color="auto"/>
        <w:left w:val="none" w:sz="0" w:space="0" w:color="auto"/>
        <w:bottom w:val="none" w:sz="0" w:space="0" w:color="auto"/>
        <w:right w:val="none" w:sz="0" w:space="0" w:color="auto"/>
      </w:divBdr>
    </w:div>
    <w:div w:id="616254857">
      <w:bodyDiv w:val="1"/>
      <w:marLeft w:val="0"/>
      <w:marRight w:val="0"/>
      <w:marTop w:val="0"/>
      <w:marBottom w:val="0"/>
      <w:divBdr>
        <w:top w:val="none" w:sz="0" w:space="0" w:color="auto"/>
        <w:left w:val="none" w:sz="0" w:space="0" w:color="auto"/>
        <w:bottom w:val="none" w:sz="0" w:space="0" w:color="auto"/>
        <w:right w:val="none" w:sz="0" w:space="0" w:color="auto"/>
      </w:divBdr>
    </w:div>
    <w:div w:id="624696254">
      <w:bodyDiv w:val="1"/>
      <w:marLeft w:val="0"/>
      <w:marRight w:val="0"/>
      <w:marTop w:val="0"/>
      <w:marBottom w:val="0"/>
      <w:divBdr>
        <w:top w:val="none" w:sz="0" w:space="0" w:color="auto"/>
        <w:left w:val="none" w:sz="0" w:space="0" w:color="auto"/>
        <w:bottom w:val="none" w:sz="0" w:space="0" w:color="auto"/>
        <w:right w:val="none" w:sz="0" w:space="0" w:color="auto"/>
      </w:divBdr>
    </w:div>
    <w:div w:id="626930226">
      <w:bodyDiv w:val="1"/>
      <w:marLeft w:val="0"/>
      <w:marRight w:val="0"/>
      <w:marTop w:val="0"/>
      <w:marBottom w:val="0"/>
      <w:divBdr>
        <w:top w:val="none" w:sz="0" w:space="0" w:color="auto"/>
        <w:left w:val="none" w:sz="0" w:space="0" w:color="auto"/>
        <w:bottom w:val="none" w:sz="0" w:space="0" w:color="auto"/>
        <w:right w:val="none" w:sz="0" w:space="0" w:color="auto"/>
      </w:divBdr>
    </w:div>
    <w:div w:id="629819095">
      <w:bodyDiv w:val="1"/>
      <w:marLeft w:val="0"/>
      <w:marRight w:val="0"/>
      <w:marTop w:val="0"/>
      <w:marBottom w:val="0"/>
      <w:divBdr>
        <w:top w:val="none" w:sz="0" w:space="0" w:color="auto"/>
        <w:left w:val="none" w:sz="0" w:space="0" w:color="auto"/>
        <w:bottom w:val="none" w:sz="0" w:space="0" w:color="auto"/>
        <w:right w:val="none" w:sz="0" w:space="0" w:color="auto"/>
      </w:divBdr>
    </w:div>
    <w:div w:id="632323026">
      <w:bodyDiv w:val="1"/>
      <w:marLeft w:val="0"/>
      <w:marRight w:val="0"/>
      <w:marTop w:val="0"/>
      <w:marBottom w:val="0"/>
      <w:divBdr>
        <w:top w:val="none" w:sz="0" w:space="0" w:color="auto"/>
        <w:left w:val="none" w:sz="0" w:space="0" w:color="auto"/>
        <w:bottom w:val="none" w:sz="0" w:space="0" w:color="auto"/>
        <w:right w:val="none" w:sz="0" w:space="0" w:color="auto"/>
      </w:divBdr>
    </w:div>
    <w:div w:id="632446237">
      <w:bodyDiv w:val="1"/>
      <w:marLeft w:val="0"/>
      <w:marRight w:val="0"/>
      <w:marTop w:val="0"/>
      <w:marBottom w:val="0"/>
      <w:divBdr>
        <w:top w:val="none" w:sz="0" w:space="0" w:color="auto"/>
        <w:left w:val="none" w:sz="0" w:space="0" w:color="auto"/>
        <w:bottom w:val="none" w:sz="0" w:space="0" w:color="auto"/>
        <w:right w:val="none" w:sz="0" w:space="0" w:color="auto"/>
      </w:divBdr>
    </w:div>
    <w:div w:id="639191722">
      <w:bodyDiv w:val="1"/>
      <w:marLeft w:val="0"/>
      <w:marRight w:val="0"/>
      <w:marTop w:val="0"/>
      <w:marBottom w:val="0"/>
      <w:divBdr>
        <w:top w:val="none" w:sz="0" w:space="0" w:color="auto"/>
        <w:left w:val="none" w:sz="0" w:space="0" w:color="auto"/>
        <w:bottom w:val="none" w:sz="0" w:space="0" w:color="auto"/>
        <w:right w:val="none" w:sz="0" w:space="0" w:color="auto"/>
      </w:divBdr>
    </w:div>
    <w:div w:id="641010038">
      <w:bodyDiv w:val="1"/>
      <w:marLeft w:val="0"/>
      <w:marRight w:val="0"/>
      <w:marTop w:val="0"/>
      <w:marBottom w:val="0"/>
      <w:divBdr>
        <w:top w:val="none" w:sz="0" w:space="0" w:color="auto"/>
        <w:left w:val="none" w:sz="0" w:space="0" w:color="auto"/>
        <w:bottom w:val="none" w:sz="0" w:space="0" w:color="auto"/>
        <w:right w:val="none" w:sz="0" w:space="0" w:color="auto"/>
      </w:divBdr>
    </w:div>
    <w:div w:id="656225479">
      <w:bodyDiv w:val="1"/>
      <w:marLeft w:val="0"/>
      <w:marRight w:val="0"/>
      <w:marTop w:val="0"/>
      <w:marBottom w:val="0"/>
      <w:divBdr>
        <w:top w:val="none" w:sz="0" w:space="0" w:color="auto"/>
        <w:left w:val="none" w:sz="0" w:space="0" w:color="auto"/>
        <w:bottom w:val="none" w:sz="0" w:space="0" w:color="auto"/>
        <w:right w:val="none" w:sz="0" w:space="0" w:color="auto"/>
      </w:divBdr>
    </w:div>
    <w:div w:id="672682353">
      <w:bodyDiv w:val="1"/>
      <w:marLeft w:val="0"/>
      <w:marRight w:val="0"/>
      <w:marTop w:val="0"/>
      <w:marBottom w:val="0"/>
      <w:divBdr>
        <w:top w:val="none" w:sz="0" w:space="0" w:color="auto"/>
        <w:left w:val="none" w:sz="0" w:space="0" w:color="auto"/>
        <w:bottom w:val="none" w:sz="0" w:space="0" w:color="auto"/>
        <w:right w:val="none" w:sz="0" w:space="0" w:color="auto"/>
      </w:divBdr>
    </w:div>
    <w:div w:id="673145784">
      <w:bodyDiv w:val="1"/>
      <w:marLeft w:val="0"/>
      <w:marRight w:val="0"/>
      <w:marTop w:val="0"/>
      <w:marBottom w:val="0"/>
      <w:divBdr>
        <w:top w:val="none" w:sz="0" w:space="0" w:color="auto"/>
        <w:left w:val="none" w:sz="0" w:space="0" w:color="auto"/>
        <w:bottom w:val="none" w:sz="0" w:space="0" w:color="auto"/>
        <w:right w:val="none" w:sz="0" w:space="0" w:color="auto"/>
      </w:divBdr>
    </w:div>
    <w:div w:id="678696171">
      <w:bodyDiv w:val="1"/>
      <w:marLeft w:val="0"/>
      <w:marRight w:val="0"/>
      <w:marTop w:val="0"/>
      <w:marBottom w:val="0"/>
      <w:divBdr>
        <w:top w:val="none" w:sz="0" w:space="0" w:color="auto"/>
        <w:left w:val="none" w:sz="0" w:space="0" w:color="auto"/>
        <w:bottom w:val="none" w:sz="0" w:space="0" w:color="auto"/>
        <w:right w:val="none" w:sz="0" w:space="0" w:color="auto"/>
      </w:divBdr>
    </w:div>
    <w:div w:id="694964445">
      <w:bodyDiv w:val="1"/>
      <w:marLeft w:val="0"/>
      <w:marRight w:val="0"/>
      <w:marTop w:val="0"/>
      <w:marBottom w:val="0"/>
      <w:divBdr>
        <w:top w:val="none" w:sz="0" w:space="0" w:color="auto"/>
        <w:left w:val="none" w:sz="0" w:space="0" w:color="auto"/>
        <w:bottom w:val="none" w:sz="0" w:space="0" w:color="auto"/>
        <w:right w:val="none" w:sz="0" w:space="0" w:color="auto"/>
      </w:divBdr>
    </w:div>
    <w:div w:id="701366952">
      <w:bodyDiv w:val="1"/>
      <w:marLeft w:val="0"/>
      <w:marRight w:val="0"/>
      <w:marTop w:val="0"/>
      <w:marBottom w:val="0"/>
      <w:divBdr>
        <w:top w:val="none" w:sz="0" w:space="0" w:color="auto"/>
        <w:left w:val="none" w:sz="0" w:space="0" w:color="auto"/>
        <w:bottom w:val="none" w:sz="0" w:space="0" w:color="auto"/>
        <w:right w:val="none" w:sz="0" w:space="0" w:color="auto"/>
      </w:divBdr>
    </w:div>
    <w:div w:id="704719812">
      <w:bodyDiv w:val="1"/>
      <w:marLeft w:val="0"/>
      <w:marRight w:val="0"/>
      <w:marTop w:val="0"/>
      <w:marBottom w:val="0"/>
      <w:divBdr>
        <w:top w:val="none" w:sz="0" w:space="0" w:color="auto"/>
        <w:left w:val="none" w:sz="0" w:space="0" w:color="auto"/>
        <w:bottom w:val="none" w:sz="0" w:space="0" w:color="auto"/>
        <w:right w:val="none" w:sz="0" w:space="0" w:color="auto"/>
      </w:divBdr>
    </w:div>
    <w:div w:id="707218881">
      <w:bodyDiv w:val="1"/>
      <w:marLeft w:val="0"/>
      <w:marRight w:val="0"/>
      <w:marTop w:val="0"/>
      <w:marBottom w:val="0"/>
      <w:divBdr>
        <w:top w:val="none" w:sz="0" w:space="0" w:color="auto"/>
        <w:left w:val="none" w:sz="0" w:space="0" w:color="auto"/>
        <w:bottom w:val="none" w:sz="0" w:space="0" w:color="auto"/>
        <w:right w:val="none" w:sz="0" w:space="0" w:color="auto"/>
      </w:divBdr>
    </w:div>
    <w:div w:id="712585525">
      <w:bodyDiv w:val="1"/>
      <w:marLeft w:val="0"/>
      <w:marRight w:val="0"/>
      <w:marTop w:val="0"/>
      <w:marBottom w:val="0"/>
      <w:divBdr>
        <w:top w:val="none" w:sz="0" w:space="0" w:color="auto"/>
        <w:left w:val="none" w:sz="0" w:space="0" w:color="auto"/>
        <w:bottom w:val="none" w:sz="0" w:space="0" w:color="auto"/>
        <w:right w:val="none" w:sz="0" w:space="0" w:color="auto"/>
      </w:divBdr>
      <w:divsChild>
        <w:div w:id="816652733">
          <w:marLeft w:val="0"/>
          <w:marRight w:val="0"/>
          <w:marTop w:val="0"/>
          <w:marBottom w:val="0"/>
          <w:divBdr>
            <w:top w:val="none" w:sz="0" w:space="0" w:color="auto"/>
            <w:left w:val="none" w:sz="0" w:space="0" w:color="auto"/>
            <w:bottom w:val="none" w:sz="0" w:space="0" w:color="auto"/>
            <w:right w:val="none" w:sz="0" w:space="0" w:color="auto"/>
          </w:divBdr>
        </w:div>
        <w:div w:id="895363152">
          <w:marLeft w:val="0"/>
          <w:marRight w:val="0"/>
          <w:marTop w:val="0"/>
          <w:marBottom w:val="0"/>
          <w:divBdr>
            <w:top w:val="none" w:sz="0" w:space="0" w:color="auto"/>
            <w:left w:val="none" w:sz="0" w:space="0" w:color="auto"/>
            <w:bottom w:val="none" w:sz="0" w:space="0" w:color="auto"/>
            <w:right w:val="none" w:sz="0" w:space="0" w:color="auto"/>
          </w:divBdr>
        </w:div>
        <w:div w:id="1870146885">
          <w:marLeft w:val="0"/>
          <w:marRight w:val="0"/>
          <w:marTop w:val="0"/>
          <w:marBottom w:val="0"/>
          <w:divBdr>
            <w:top w:val="none" w:sz="0" w:space="0" w:color="auto"/>
            <w:left w:val="none" w:sz="0" w:space="0" w:color="auto"/>
            <w:bottom w:val="none" w:sz="0" w:space="0" w:color="auto"/>
            <w:right w:val="none" w:sz="0" w:space="0" w:color="auto"/>
          </w:divBdr>
        </w:div>
      </w:divsChild>
    </w:div>
    <w:div w:id="712654686">
      <w:bodyDiv w:val="1"/>
      <w:marLeft w:val="0"/>
      <w:marRight w:val="0"/>
      <w:marTop w:val="0"/>
      <w:marBottom w:val="0"/>
      <w:divBdr>
        <w:top w:val="none" w:sz="0" w:space="0" w:color="auto"/>
        <w:left w:val="none" w:sz="0" w:space="0" w:color="auto"/>
        <w:bottom w:val="none" w:sz="0" w:space="0" w:color="auto"/>
        <w:right w:val="none" w:sz="0" w:space="0" w:color="auto"/>
      </w:divBdr>
    </w:div>
    <w:div w:id="727147137">
      <w:bodyDiv w:val="1"/>
      <w:marLeft w:val="0"/>
      <w:marRight w:val="0"/>
      <w:marTop w:val="0"/>
      <w:marBottom w:val="0"/>
      <w:divBdr>
        <w:top w:val="none" w:sz="0" w:space="0" w:color="auto"/>
        <w:left w:val="none" w:sz="0" w:space="0" w:color="auto"/>
        <w:bottom w:val="none" w:sz="0" w:space="0" w:color="auto"/>
        <w:right w:val="none" w:sz="0" w:space="0" w:color="auto"/>
      </w:divBdr>
    </w:div>
    <w:div w:id="732196815">
      <w:bodyDiv w:val="1"/>
      <w:marLeft w:val="0"/>
      <w:marRight w:val="0"/>
      <w:marTop w:val="0"/>
      <w:marBottom w:val="0"/>
      <w:divBdr>
        <w:top w:val="none" w:sz="0" w:space="0" w:color="auto"/>
        <w:left w:val="none" w:sz="0" w:space="0" w:color="auto"/>
        <w:bottom w:val="none" w:sz="0" w:space="0" w:color="auto"/>
        <w:right w:val="none" w:sz="0" w:space="0" w:color="auto"/>
      </w:divBdr>
    </w:div>
    <w:div w:id="734858163">
      <w:bodyDiv w:val="1"/>
      <w:marLeft w:val="0"/>
      <w:marRight w:val="0"/>
      <w:marTop w:val="0"/>
      <w:marBottom w:val="0"/>
      <w:divBdr>
        <w:top w:val="none" w:sz="0" w:space="0" w:color="auto"/>
        <w:left w:val="none" w:sz="0" w:space="0" w:color="auto"/>
        <w:bottom w:val="none" w:sz="0" w:space="0" w:color="auto"/>
        <w:right w:val="none" w:sz="0" w:space="0" w:color="auto"/>
      </w:divBdr>
    </w:div>
    <w:div w:id="749035491">
      <w:bodyDiv w:val="1"/>
      <w:marLeft w:val="0"/>
      <w:marRight w:val="0"/>
      <w:marTop w:val="0"/>
      <w:marBottom w:val="0"/>
      <w:divBdr>
        <w:top w:val="none" w:sz="0" w:space="0" w:color="auto"/>
        <w:left w:val="none" w:sz="0" w:space="0" w:color="auto"/>
        <w:bottom w:val="none" w:sz="0" w:space="0" w:color="auto"/>
        <w:right w:val="none" w:sz="0" w:space="0" w:color="auto"/>
      </w:divBdr>
    </w:div>
    <w:div w:id="769161852">
      <w:bodyDiv w:val="1"/>
      <w:marLeft w:val="0"/>
      <w:marRight w:val="0"/>
      <w:marTop w:val="0"/>
      <w:marBottom w:val="0"/>
      <w:divBdr>
        <w:top w:val="none" w:sz="0" w:space="0" w:color="auto"/>
        <w:left w:val="none" w:sz="0" w:space="0" w:color="auto"/>
        <w:bottom w:val="none" w:sz="0" w:space="0" w:color="auto"/>
        <w:right w:val="none" w:sz="0" w:space="0" w:color="auto"/>
      </w:divBdr>
    </w:div>
    <w:div w:id="773020493">
      <w:bodyDiv w:val="1"/>
      <w:marLeft w:val="0"/>
      <w:marRight w:val="0"/>
      <w:marTop w:val="0"/>
      <w:marBottom w:val="0"/>
      <w:divBdr>
        <w:top w:val="none" w:sz="0" w:space="0" w:color="auto"/>
        <w:left w:val="none" w:sz="0" w:space="0" w:color="auto"/>
        <w:bottom w:val="none" w:sz="0" w:space="0" w:color="auto"/>
        <w:right w:val="none" w:sz="0" w:space="0" w:color="auto"/>
      </w:divBdr>
    </w:div>
    <w:div w:id="777794892">
      <w:bodyDiv w:val="1"/>
      <w:marLeft w:val="0"/>
      <w:marRight w:val="0"/>
      <w:marTop w:val="0"/>
      <w:marBottom w:val="0"/>
      <w:divBdr>
        <w:top w:val="none" w:sz="0" w:space="0" w:color="auto"/>
        <w:left w:val="none" w:sz="0" w:space="0" w:color="auto"/>
        <w:bottom w:val="none" w:sz="0" w:space="0" w:color="auto"/>
        <w:right w:val="none" w:sz="0" w:space="0" w:color="auto"/>
      </w:divBdr>
    </w:div>
    <w:div w:id="780998399">
      <w:bodyDiv w:val="1"/>
      <w:marLeft w:val="0"/>
      <w:marRight w:val="0"/>
      <w:marTop w:val="0"/>
      <w:marBottom w:val="0"/>
      <w:divBdr>
        <w:top w:val="none" w:sz="0" w:space="0" w:color="auto"/>
        <w:left w:val="none" w:sz="0" w:space="0" w:color="auto"/>
        <w:bottom w:val="none" w:sz="0" w:space="0" w:color="auto"/>
        <w:right w:val="none" w:sz="0" w:space="0" w:color="auto"/>
      </w:divBdr>
    </w:div>
    <w:div w:id="787089096">
      <w:bodyDiv w:val="1"/>
      <w:marLeft w:val="0"/>
      <w:marRight w:val="0"/>
      <w:marTop w:val="0"/>
      <w:marBottom w:val="0"/>
      <w:divBdr>
        <w:top w:val="none" w:sz="0" w:space="0" w:color="auto"/>
        <w:left w:val="none" w:sz="0" w:space="0" w:color="auto"/>
        <w:bottom w:val="none" w:sz="0" w:space="0" w:color="auto"/>
        <w:right w:val="none" w:sz="0" w:space="0" w:color="auto"/>
      </w:divBdr>
      <w:divsChild>
        <w:div w:id="110977626">
          <w:marLeft w:val="0"/>
          <w:marRight w:val="0"/>
          <w:marTop w:val="0"/>
          <w:marBottom w:val="0"/>
          <w:divBdr>
            <w:top w:val="none" w:sz="0" w:space="0" w:color="auto"/>
            <w:left w:val="none" w:sz="0" w:space="0" w:color="auto"/>
            <w:bottom w:val="none" w:sz="0" w:space="0" w:color="auto"/>
            <w:right w:val="none" w:sz="0" w:space="0" w:color="auto"/>
          </w:divBdr>
        </w:div>
        <w:div w:id="155079322">
          <w:marLeft w:val="0"/>
          <w:marRight w:val="0"/>
          <w:marTop w:val="0"/>
          <w:marBottom w:val="0"/>
          <w:divBdr>
            <w:top w:val="none" w:sz="0" w:space="0" w:color="auto"/>
            <w:left w:val="none" w:sz="0" w:space="0" w:color="auto"/>
            <w:bottom w:val="none" w:sz="0" w:space="0" w:color="auto"/>
            <w:right w:val="none" w:sz="0" w:space="0" w:color="auto"/>
          </w:divBdr>
        </w:div>
        <w:div w:id="1057508902">
          <w:marLeft w:val="0"/>
          <w:marRight w:val="0"/>
          <w:marTop w:val="0"/>
          <w:marBottom w:val="0"/>
          <w:divBdr>
            <w:top w:val="none" w:sz="0" w:space="0" w:color="auto"/>
            <w:left w:val="none" w:sz="0" w:space="0" w:color="auto"/>
            <w:bottom w:val="none" w:sz="0" w:space="0" w:color="auto"/>
            <w:right w:val="none" w:sz="0" w:space="0" w:color="auto"/>
          </w:divBdr>
        </w:div>
      </w:divsChild>
    </w:div>
    <w:div w:id="787436761">
      <w:bodyDiv w:val="1"/>
      <w:marLeft w:val="0"/>
      <w:marRight w:val="0"/>
      <w:marTop w:val="0"/>
      <w:marBottom w:val="0"/>
      <w:divBdr>
        <w:top w:val="none" w:sz="0" w:space="0" w:color="auto"/>
        <w:left w:val="none" w:sz="0" w:space="0" w:color="auto"/>
        <w:bottom w:val="none" w:sz="0" w:space="0" w:color="auto"/>
        <w:right w:val="none" w:sz="0" w:space="0" w:color="auto"/>
      </w:divBdr>
    </w:div>
    <w:div w:id="789781623">
      <w:bodyDiv w:val="1"/>
      <w:marLeft w:val="0"/>
      <w:marRight w:val="0"/>
      <w:marTop w:val="0"/>
      <w:marBottom w:val="0"/>
      <w:divBdr>
        <w:top w:val="none" w:sz="0" w:space="0" w:color="auto"/>
        <w:left w:val="none" w:sz="0" w:space="0" w:color="auto"/>
        <w:bottom w:val="none" w:sz="0" w:space="0" w:color="auto"/>
        <w:right w:val="none" w:sz="0" w:space="0" w:color="auto"/>
      </w:divBdr>
    </w:div>
    <w:div w:id="790051595">
      <w:bodyDiv w:val="1"/>
      <w:marLeft w:val="0"/>
      <w:marRight w:val="0"/>
      <w:marTop w:val="0"/>
      <w:marBottom w:val="0"/>
      <w:divBdr>
        <w:top w:val="none" w:sz="0" w:space="0" w:color="auto"/>
        <w:left w:val="none" w:sz="0" w:space="0" w:color="auto"/>
        <w:bottom w:val="none" w:sz="0" w:space="0" w:color="auto"/>
        <w:right w:val="none" w:sz="0" w:space="0" w:color="auto"/>
      </w:divBdr>
    </w:div>
    <w:div w:id="793061458">
      <w:bodyDiv w:val="1"/>
      <w:marLeft w:val="0"/>
      <w:marRight w:val="0"/>
      <w:marTop w:val="0"/>
      <w:marBottom w:val="0"/>
      <w:divBdr>
        <w:top w:val="none" w:sz="0" w:space="0" w:color="auto"/>
        <w:left w:val="none" w:sz="0" w:space="0" w:color="auto"/>
        <w:bottom w:val="none" w:sz="0" w:space="0" w:color="auto"/>
        <w:right w:val="none" w:sz="0" w:space="0" w:color="auto"/>
      </w:divBdr>
    </w:div>
    <w:div w:id="804661790">
      <w:bodyDiv w:val="1"/>
      <w:marLeft w:val="0"/>
      <w:marRight w:val="0"/>
      <w:marTop w:val="0"/>
      <w:marBottom w:val="0"/>
      <w:divBdr>
        <w:top w:val="none" w:sz="0" w:space="0" w:color="auto"/>
        <w:left w:val="none" w:sz="0" w:space="0" w:color="auto"/>
        <w:bottom w:val="none" w:sz="0" w:space="0" w:color="auto"/>
        <w:right w:val="none" w:sz="0" w:space="0" w:color="auto"/>
      </w:divBdr>
    </w:div>
    <w:div w:id="804852466">
      <w:bodyDiv w:val="1"/>
      <w:marLeft w:val="0"/>
      <w:marRight w:val="0"/>
      <w:marTop w:val="0"/>
      <w:marBottom w:val="0"/>
      <w:divBdr>
        <w:top w:val="none" w:sz="0" w:space="0" w:color="auto"/>
        <w:left w:val="none" w:sz="0" w:space="0" w:color="auto"/>
        <w:bottom w:val="none" w:sz="0" w:space="0" w:color="auto"/>
        <w:right w:val="none" w:sz="0" w:space="0" w:color="auto"/>
      </w:divBdr>
    </w:div>
    <w:div w:id="808017322">
      <w:bodyDiv w:val="1"/>
      <w:marLeft w:val="0"/>
      <w:marRight w:val="0"/>
      <w:marTop w:val="0"/>
      <w:marBottom w:val="0"/>
      <w:divBdr>
        <w:top w:val="none" w:sz="0" w:space="0" w:color="auto"/>
        <w:left w:val="none" w:sz="0" w:space="0" w:color="auto"/>
        <w:bottom w:val="none" w:sz="0" w:space="0" w:color="auto"/>
        <w:right w:val="none" w:sz="0" w:space="0" w:color="auto"/>
      </w:divBdr>
    </w:div>
    <w:div w:id="812059116">
      <w:bodyDiv w:val="1"/>
      <w:marLeft w:val="0"/>
      <w:marRight w:val="0"/>
      <w:marTop w:val="0"/>
      <w:marBottom w:val="0"/>
      <w:divBdr>
        <w:top w:val="none" w:sz="0" w:space="0" w:color="auto"/>
        <w:left w:val="none" w:sz="0" w:space="0" w:color="auto"/>
        <w:bottom w:val="none" w:sz="0" w:space="0" w:color="auto"/>
        <w:right w:val="none" w:sz="0" w:space="0" w:color="auto"/>
      </w:divBdr>
    </w:div>
    <w:div w:id="837305105">
      <w:bodyDiv w:val="1"/>
      <w:marLeft w:val="0"/>
      <w:marRight w:val="0"/>
      <w:marTop w:val="0"/>
      <w:marBottom w:val="0"/>
      <w:divBdr>
        <w:top w:val="none" w:sz="0" w:space="0" w:color="auto"/>
        <w:left w:val="none" w:sz="0" w:space="0" w:color="auto"/>
        <w:bottom w:val="none" w:sz="0" w:space="0" w:color="auto"/>
        <w:right w:val="none" w:sz="0" w:space="0" w:color="auto"/>
      </w:divBdr>
    </w:div>
    <w:div w:id="842166396">
      <w:bodyDiv w:val="1"/>
      <w:marLeft w:val="0"/>
      <w:marRight w:val="0"/>
      <w:marTop w:val="0"/>
      <w:marBottom w:val="0"/>
      <w:divBdr>
        <w:top w:val="none" w:sz="0" w:space="0" w:color="auto"/>
        <w:left w:val="none" w:sz="0" w:space="0" w:color="auto"/>
        <w:bottom w:val="none" w:sz="0" w:space="0" w:color="auto"/>
        <w:right w:val="none" w:sz="0" w:space="0" w:color="auto"/>
      </w:divBdr>
    </w:div>
    <w:div w:id="863372091">
      <w:bodyDiv w:val="1"/>
      <w:marLeft w:val="0"/>
      <w:marRight w:val="0"/>
      <w:marTop w:val="0"/>
      <w:marBottom w:val="0"/>
      <w:divBdr>
        <w:top w:val="none" w:sz="0" w:space="0" w:color="auto"/>
        <w:left w:val="none" w:sz="0" w:space="0" w:color="auto"/>
        <w:bottom w:val="none" w:sz="0" w:space="0" w:color="auto"/>
        <w:right w:val="none" w:sz="0" w:space="0" w:color="auto"/>
      </w:divBdr>
    </w:div>
    <w:div w:id="865100292">
      <w:bodyDiv w:val="1"/>
      <w:marLeft w:val="0"/>
      <w:marRight w:val="0"/>
      <w:marTop w:val="0"/>
      <w:marBottom w:val="0"/>
      <w:divBdr>
        <w:top w:val="none" w:sz="0" w:space="0" w:color="auto"/>
        <w:left w:val="none" w:sz="0" w:space="0" w:color="auto"/>
        <w:bottom w:val="none" w:sz="0" w:space="0" w:color="auto"/>
        <w:right w:val="none" w:sz="0" w:space="0" w:color="auto"/>
      </w:divBdr>
    </w:div>
    <w:div w:id="869142994">
      <w:bodyDiv w:val="1"/>
      <w:marLeft w:val="0"/>
      <w:marRight w:val="0"/>
      <w:marTop w:val="0"/>
      <w:marBottom w:val="0"/>
      <w:divBdr>
        <w:top w:val="none" w:sz="0" w:space="0" w:color="auto"/>
        <w:left w:val="none" w:sz="0" w:space="0" w:color="auto"/>
        <w:bottom w:val="none" w:sz="0" w:space="0" w:color="auto"/>
        <w:right w:val="none" w:sz="0" w:space="0" w:color="auto"/>
      </w:divBdr>
    </w:div>
    <w:div w:id="875242208">
      <w:bodyDiv w:val="1"/>
      <w:marLeft w:val="0"/>
      <w:marRight w:val="0"/>
      <w:marTop w:val="0"/>
      <w:marBottom w:val="0"/>
      <w:divBdr>
        <w:top w:val="none" w:sz="0" w:space="0" w:color="auto"/>
        <w:left w:val="none" w:sz="0" w:space="0" w:color="auto"/>
        <w:bottom w:val="none" w:sz="0" w:space="0" w:color="auto"/>
        <w:right w:val="none" w:sz="0" w:space="0" w:color="auto"/>
      </w:divBdr>
    </w:div>
    <w:div w:id="879130517">
      <w:bodyDiv w:val="1"/>
      <w:marLeft w:val="0"/>
      <w:marRight w:val="0"/>
      <w:marTop w:val="0"/>
      <w:marBottom w:val="0"/>
      <w:divBdr>
        <w:top w:val="none" w:sz="0" w:space="0" w:color="auto"/>
        <w:left w:val="none" w:sz="0" w:space="0" w:color="auto"/>
        <w:bottom w:val="none" w:sz="0" w:space="0" w:color="auto"/>
        <w:right w:val="none" w:sz="0" w:space="0" w:color="auto"/>
      </w:divBdr>
    </w:div>
    <w:div w:id="881215839">
      <w:bodyDiv w:val="1"/>
      <w:marLeft w:val="0"/>
      <w:marRight w:val="0"/>
      <w:marTop w:val="0"/>
      <w:marBottom w:val="0"/>
      <w:divBdr>
        <w:top w:val="none" w:sz="0" w:space="0" w:color="auto"/>
        <w:left w:val="none" w:sz="0" w:space="0" w:color="auto"/>
        <w:bottom w:val="none" w:sz="0" w:space="0" w:color="auto"/>
        <w:right w:val="none" w:sz="0" w:space="0" w:color="auto"/>
      </w:divBdr>
    </w:div>
    <w:div w:id="892233048">
      <w:bodyDiv w:val="1"/>
      <w:marLeft w:val="0"/>
      <w:marRight w:val="0"/>
      <w:marTop w:val="0"/>
      <w:marBottom w:val="0"/>
      <w:divBdr>
        <w:top w:val="none" w:sz="0" w:space="0" w:color="auto"/>
        <w:left w:val="none" w:sz="0" w:space="0" w:color="auto"/>
        <w:bottom w:val="none" w:sz="0" w:space="0" w:color="auto"/>
        <w:right w:val="none" w:sz="0" w:space="0" w:color="auto"/>
      </w:divBdr>
    </w:div>
    <w:div w:id="892345986">
      <w:bodyDiv w:val="1"/>
      <w:marLeft w:val="0"/>
      <w:marRight w:val="0"/>
      <w:marTop w:val="0"/>
      <w:marBottom w:val="0"/>
      <w:divBdr>
        <w:top w:val="none" w:sz="0" w:space="0" w:color="auto"/>
        <w:left w:val="none" w:sz="0" w:space="0" w:color="auto"/>
        <w:bottom w:val="none" w:sz="0" w:space="0" w:color="auto"/>
        <w:right w:val="none" w:sz="0" w:space="0" w:color="auto"/>
      </w:divBdr>
    </w:div>
    <w:div w:id="893394202">
      <w:bodyDiv w:val="1"/>
      <w:marLeft w:val="0"/>
      <w:marRight w:val="0"/>
      <w:marTop w:val="0"/>
      <w:marBottom w:val="0"/>
      <w:divBdr>
        <w:top w:val="none" w:sz="0" w:space="0" w:color="auto"/>
        <w:left w:val="none" w:sz="0" w:space="0" w:color="auto"/>
        <w:bottom w:val="none" w:sz="0" w:space="0" w:color="auto"/>
        <w:right w:val="none" w:sz="0" w:space="0" w:color="auto"/>
      </w:divBdr>
    </w:div>
    <w:div w:id="901256204">
      <w:bodyDiv w:val="1"/>
      <w:marLeft w:val="0"/>
      <w:marRight w:val="0"/>
      <w:marTop w:val="0"/>
      <w:marBottom w:val="0"/>
      <w:divBdr>
        <w:top w:val="none" w:sz="0" w:space="0" w:color="auto"/>
        <w:left w:val="none" w:sz="0" w:space="0" w:color="auto"/>
        <w:bottom w:val="none" w:sz="0" w:space="0" w:color="auto"/>
        <w:right w:val="none" w:sz="0" w:space="0" w:color="auto"/>
      </w:divBdr>
    </w:div>
    <w:div w:id="902106055">
      <w:bodyDiv w:val="1"/>
      <w:marLeft w:val="0"/>
      <w:marRight w:val="0"/>
      <w:marTop w:val="0"/>
      <w:marBottom w:val="0"/>
      <w:divBdr>
        <w:top w:val="none" w:sz="0" w:space="0" w:color="auto"/>
        <w:left w:val="none" w:sz="0" w:space="0" w:color="auto"/>
        <w:bottom w:val="none" w:sz="0" w:space="0" w:color="auto"/>
        <w:right w:val="none" w:sz="0" w:space="0" w:color="auto"/>
      </w:divBdr>
    </w:div>
    <w:div w:id="911037856">
      <w:bodyDiv w:val="1"/>
      <w:marLeft w:val="0"/>
      <w:marRight w:val="0"/>
      <w:marTop w:val="0"/>
      <w:marBottom w:val="0"/>
      <w:divBdr>
        <w:top w:val="none" w:sz="0" w:space="0" w:color="auto"/>
        <w:left w:val="none" w:sz="0" w:space="0" w:color="auto"/>
        <w:bottom w:val="none" w:sz="0" w:space="0" w:color="auto"/>
        <w:right w:val="none" w:sz="0" w:space="0" w:color="auto"/>
      </w:divBdr>
    </w:div>
    <w:div w:id="918834724">
      <w:bodyDiv w:val="1"/>
      <w:marLeft w:val="0"/>
      <w:marRight w:val="0"/>
      <w:marTop w:val="0"/>
      <w:marBottom w:val="0"/>
      <w:divBdr>
        <w:top w:val="none" w:sz="0" w:space="0" w:color="auto"/>
        <w:left w:val="none" w:sz="0" w:space="0" w:color="auto"/>
        <w:bottom w:val="none" w:sz="0" w:space="0" w:color="auto"/>
        <w:right w:val="none" w:sz="0" w:space="0" w:color="auto"/>
      </w:divBdr>
    </w:div>
    <w:div w:id="919749111">
      <w:bodyDiv w:val="1"/>
      <w:marLeft w:val="0"/>
      <w:marRight w:val="0"/>
      <w:marTop w:val="0"/>
      <w:marBottom w:val="0"/>
      <w:divBdr>
        <w:top w:val="none" w:sz="0" w:space="0" w:color="auto"/>
        <w:left w:val="none" w:sz="0" w:space="0" w:color="auto"/>
        <w:bottom w:val="none" w:sz="0" w:space="0" w:color="auto"/>
        <w:right w:val="none" w:sz="0" w:space="0" w:color="auto"/>
      </w:divBdr>
    </w:div>
    <w:div w:id="920717199">
      <w:bodyDiv w:val="1"/>
      <w:marLeft w:val="0"/>
      <w:marRight w:val="0"/>
      <w:marTop w:val="0"/>
      <w:marBottom w:val="0"/>
      <w:divBdr>
        <w:top w:val="none" w:sz="0" w:space="0" w:color="auto"/>
        <w:left w:val="none" w:sz="0" w:space="0" w:color="auto"/>
        <w:bottom w:val="none" w:sz="0" w:space="0" w:color="auto"/>
        <w:right w:val="none" w:sz="0" w:space="0" w:color="auto"/>
      </w:divBdr>
    </w:div>
    <w:div w:id="924844522">
      <w:bodyDiv w:val="1"/>
      <w:marLeft w:val="0"/>
      <w:marRight w:val="0"/>
      <w:marTop w:val="0"/>
      <w:marBottom w:val="0"/>
      <w:divBdr>
        <w:top w:val="none" w:sz="0" w:space="0" w:color="auto"/>
        <w:left w:val="none" w:sz="0" w:space="0" w:color="auto"/>
        <w:bottom w:val="none" w:sz="0" w:space="0" w:color="auto"/>
        <w:right w:val="none" w:sz="0" w:space="0" w:color="auto"/>
      </w:divBdr>
    </w:div>
    <w:div w:id="925961590">
      <w:bodyDiv w:val="1"/>
      <w:marLeft w:val="0"/>
      <w:marRight w:val="0"/>
      <w:marTop w:val="0"/>
      <w:marBottom w:val="0"/>
      <w:divBdr>
        <w:top w:val="none" w:sz="0" w:space="0" w:color="auto"/>
        <w:left w:val="none" w:sz="0" w:space="0" w:color="auto"/>
        <w:bottom w:val="none" w:sz="0" w:space="0" w:color="auto"/>
        <w:right w:val="none" w:sz="0" w:space="0" w:color="auto"/>
      </w:divBdr>
    </w:div>
    <w:div w:id="928350010">
      <w:bodyDiv w:val="1"/>
      <w:marLeft w:val="0"/>
      <w:marRight w:val="0"/>
      <w:marTop w:val="0"/>
      <w:marBottom w:val="0"/>
      <w:divBdr>
        <w:top w:val="none" w:sz="0" w:space="0" w:color="auto"/>
        <w:left w:val="none" w:sz="0" w:space="0" w:color="auto"/>
        <w:bottom w:val="none" w:sz="0" w:space="0" w:color="auto"/>
        <w:right w:val="none" w:sz="0" w:space="0" w:color="auto"/>
      </w:divBdr>
      <w:divsChild>
        <w:div w:id="447117899">
          <w:marLeft w:val="0"/>
          <w:marRight w:val="0"/>
          <w:marTop w:val="0"/>
          <w:marBottom w:val="0"/>
          <w:divBdr>
            <w:top w:val="none" w:sz="0" w:space="0" w:color="auto"/>
            <w:left w:val="none" w:sz="0" w:space="0" w:color="auto"/>
            <w:bottom w:val="none" w:sz="0" w:space="0" w:color="auto"/>
            <w:right w:val="none" w:sz="0" w:space="0" w:color="auto"/>
          </w:divBdr>
        </w:div>
        <w:div w:id="1842038175">
          <w:marLeft w:val="0"/>
          <w:marRight w:val="0"/>
          <w:marTop w:val="0"/>
          <w:marBottom w:val="0"/>
          <w:divBdr>
            <w:top w:val="none" w:sz="0" w:space="0" w:color="auto"/>
            <w:left w:val="none" w:sz="0" w:space="0" w:color="auto"/>
            <w:bottom w:val="none" w:sz="0" w:space="0" w:color="auto"/>
            <w:right w:val="none" w:sz="0" w:space="0" w:color="auto"/>
          </w:divBdr>
        </w:div>
        <w:div w:id="2146777566">
          <w:marLeft w:val="0"/>
          <w:marRight w:val="0"/>
          <w:marTop w:val="0"/>
          <w:marBottom w:val="0"/>
          <w:divBdr>
            <w:top w:val="none" w:sz="0" w:space="0" w:color="auto"/>
            <w:left w:val="none" w:sz="0" w:space="0" w:color="auto"/>
            <w:bottom w:val="none" w:sz="0" w:space="0" w:color="auto"/>
            <w:right w:val="none" w:sz="0" w:space="0" w:color="auto"/>
          </w:divBdr>
        </w:div>
      </w:divsChild>
    </w:div>
    <w:div w:id="932862176">
      <w:bodyDiv w:val="1"/>
      <w:marLeft w:val="0"/>
      <w:marRight w:val="0"/>
      <w:marTop w:val="0"/>
      <w:marBottom w:val="0"/>
      <w:divBdr>
        <w:top w:val="none" w:sz="0" w:space="0" w:color="auto"/>
        <w:left w:val="none" w:sz="0" w:space="0" w:color="auto"/>
        <w:bottom w:val="none" w:sz="0" w:space="0" w:color="auto"/>
        <w:right w:val="none" w:sz="0" w:space="0" w:color="auto"/>
      </w:divBdr>
    </w:div>
    <w:div w:id="940259933">
      <w:bodyDiv w:val="1"/>
      <w:marLeft w:val="0"/>
      <w:marRight w:val="0"/>
      <w:marTop w:val="0"/>
      <w:marBottom w:val="0"/>
      <w:divBdr>
        <w:top w:val="none" w:sz="0" w:space="0" w:color="auto"/>
        <w:left w:val="none" w:sz="0" w:space="0" w:color="auto"/>
        <w:bottom w:val="none" w:sz="0" w:space="0" w:color="auto"/>
        <w:right w:val="none" w:sz="0" w:space="0" w:color="auto"/>
      </w:divBdr>
    </w:div>
    <w:div w:id="940530459">
      <w:bodyDiv w:val="1"/>
      <w:marLeft w:val="0"/>
      <w:marRight w:val="0"/>
      <w:marTop w:val="0"/>
      <w:marBottom w:val="0"/>
      <w:divBdr>
        <w:top w:val="none" w:sz="0" w:space="0" w:color="auto"/>
        <w:left w:val="none" w:sz="0" w:space="0" w:color="auto"/>
        <w:bottom w:val="none" w:sz="0" w:space="0" w:color="auto"/>
        <w:right w:val="none" w:sz="0" w:space="0" w:color="auto"/>
      </w:divBdr>
    </w:div>
    <w:div w:id="945576205">
      <w:bodyDiv w:val="1"/>
      <w:marLeft w:val="0"/>
      <w:marRight w:val="0"/>
      <w:marTop w:val="0"/>
      <w:marBottom w:val="0"/>
      <w:divBdr>
        <w:top w:val="none" w:sz="0" w:space="0" w:color="auto"/>
        <w:left w:val="none" w:sz="0" w:space="0" w:color="auto"/>
        <w:bottom w:val="none" w:sz="0" w:space="0" w:color="auto"/>
        <w:right w:val="none" w:sz="0" w:space="0" w:color="auto"/>
      </w:divBdr>
    </w:div>
    <w:div w:id="946087239">
      <w:bodyDiv w:val="1"/>
      <w:marLeft w:val="0"/>
      <w:marRight w:val="0"/>
      <w:marTop w:val="0"/>
      <w:marBottom w:val="0"/>
      <w:divBdr>
        <w:top w:val="none" w:sz="0" w:space="0" w:color="auto"/>
        <w:left w:val="none" w:sz="0" w:space="0" w:color="auto"/>
        <w:bottom w:val="none" w:sz="0" w:space="0" w:color="auto"/>
        <w:right w:val="none" w:sz="0" w:space="0" w:color="auto"/>
      </w:divBdr>
    </w:div>
    <w:div w:id="947128065">
      <w:bodyDiv w:val="1"/>
      <w:marLeft w:val="0"/>
      <w:marRight w:val="0"/>
      <w:marTop w:val="0"/>
      <w:marBottom w:val="0"/>
      <w:divBdr>
        <w:top w:val="none" w:sz="0" w:space="0" w:color="auto"/>
        <w:left w:val="none" w:sz="0" w:space="0" w:color="auto"/>
        <w:bottom w:val="none" w:sz="0" w:space="0" w:color="auto"/>
        <w:right w:val="none" w:sz="0" w:space="0" w:color="auto"/>
      </w:divBdr>
    </w:div>
    <w:div w:id="952250577">
      <w:bodyDiv w:val="1"/>
      <w:marLeft w:val="0"/>
      <w:marRight w:val="0"/>
      <w:marTop w:val="0"/>
      <w:marBottom w:val="0"/>
      <w:divBdr>
        <w:top w:val="none" w:sz="0" w:space="0" w:color="auto"/>
        <w:left w:val="none" w:sz="0" w:space="0" w:color="auto"/>
        <w:bottom w:val="none" w:sz="0" w:space="0" w:color="auto"/>
        <w:right w:val="none" w:sz="0" w:space="0" w:color="auto"/>
      </w:divBdr>
    </w:div>
    <w:div w:id="957445902">
      <w:bodyDiv w:val="1"/>
      <w:marLeft w:val="0"/>
      <w:marRight w:val="0"/>
      <w:marTop w:val="0"/>
      <w:marBottom w:val="0"/>
      <w:divBdr>
        <w:top w:val="none" w:sz="0" w:space="0" w:color="auto"/>
        <w:left w:val="none" w:sz="0" w:space="0" w:color="auto"/>
        <w:bottom w:val="none" w:sz="0" w:space="0" w:color="auto"/>
        <w:right w:val="none" w:sz="0" w:space="0" w:color="auto"/>
      </w:divBdr>
    </w:div>
    <w:div w:id="961813531">
      <w:bodyDiv w:val="1"/>
      <w:marLeft w:val="0"/>
      <w:marRight w:val="0"/>
      <w:marTop w:val="0"/>
      <w:marBottom w:val="0"/>
      <w:divBdr>
        <w:top w:val="none" w:sz="0" w:space="0" w:color="auto"/>
        <w:left w:val="none" w:sz="0" w:space="0" w:color="auto"/>
        <w:bottom w:val="none" w:sz="0" w:space="0" w:color="auto"/>
        <w:right w:val="none" w:sz="0" w:space="0" w:color="auto"/>
      </w:divBdr>
    </w:div>
    <w:div w:id="964776317">
      <w:bodyDiv w:val="1"/>
      <w:marLeft w:val="0"/>
      <w:marRight w:val="0"/>
      <w:marTop w:val="0"/>
      <w:marBottom w:val="0"/>
      <w:divBdr>
        <w:top w:val="none" w:sz="0" w:space="0" w:color="auto"/>
        <w:left w:val="none" w:sz="0" w:space="0" w:color="auto"/>
        <w:bottom w:val="none" w:sz="0" w:space="0" w:color="auto"/>
        <w:right w:val="none" w:sz="0" w:space="0" w:color="auto"/>
      </w:divBdr>
    </w:div>
    <w:div w:id="965812958">
      <w:bodyDiv w:val="1"/>
      <w:marLeft w:val="0"/>
      <w:marRight w:val="0"/>
      <w:marTop w:val="0"/>
      <w:marBottom w:val="0"/>
      <w:divBdr>
        <w:top w:val="none" w:sz="0" w:space="0" w:color="auto"/>
        <w:left w:val="none" w:sz="0" w:space="0" w:color="auto"/>
        <w:bottom w:val="none" w:sz="0" w:space="0" w:color="auto"/>
        <w:right w:val="none" w:sz="0" w:space="0" w:color="auto"/>
      </w:divBdr>
      <w:divsChild>
        <w:div w:id="327752134">
          <w:marLeft w:val="0"/>
          <w:marRight w:val="0"/>
          <w:marTop w:val="0"/>
          <w:marBottom w:val="0"/>
          <w:divBdr>
            <w:top w:val="none" w:sz="0" w:space="0" w:color="auto"/>
            <w:left w:val="none" w:sz="0" w:space="0" w:color="auto"/>
            <w:bottom w:val="none" w:sz="0" w:space="0" w:color="auto"/>
            <w:right w:val="none" w:sz="0" w:space="0" w:color="auto"/>
          </w:divBdr>
        </w:div>
        <w:div w:id="1443644342">
          <w:marLeft w:val="0"/>
          <w:marRight w:val="0"/>
          <w:marTop w:val="0"/>
          <w:marBottom w:val="0"/>
          <w:divBdr>
            <w:top w:val="none" w:sz="0" w:space="0" w:color="auto"/>
            <w:left w:val="none" w:sz="0" w:space="0" w:color="auto"/>
            <w:bottom w:val="none" w:sz="0" w:space="0" w:color="auto"/>
            <w:right w:val="none" w:sz="0" w:space="0" w:color="auto"/>
          </w:divBdr>
        </w:div>
        <w:div w:id="1498762940">
          <w:marLeft w:val="0"/>
          <w:marRight w:val="0"/>
          <w:marTop w:val="0"/>
          <w:marBottom w:val="0"/>
          <w:divBdr>
            <w:top w:val="none" w:sz="0" w:space="0" w:color="auto"/>
            <w:left w:val="none" w:sz="0" w:space="0" w:color="auto"/>
            <w:bottom w:val="none" w:sz="0" w:space="0" w:color="auto"/>
            <w:right w:val="none" w:sz="0" w:space="0" w:color="auto"/>
          </w:divBdr>
        </w:div>
      </w:divsChild>
    </w:div>
    <w:div w:id="973752554">
      <w:bodyDiv w:val="1"/>
      <w:marLeft w:val="0"/>
      <w:marRight w:val="0"/>
      <w:marTop w:val="0"/>
      <w:marBottom w:val="0"/>
      <w:divBdr>
        <w:top w:val="none" w:sz="0" w:space="0" w:color="auto"/>
        <w:left w:val="none" w:sz="0" w:space="0" w:color="auto"/>
        <w:bottom w:val="none" w:sz="0" w:space="0" w:color="auto"/>
        <w:right w:val="none" w:sz="0" w:space="0" w:color="auto"/>
      </w:divBdr>
    </w:div>
    <w:div w:id="990524551">
      <w:bodyDiv w:val="1"/>
      <w:marLeft w:val="0"/>
      <w:marRight w:val="0"/>
      <w:marTop w:val="0"/>
      <w:marBottom w:val="0"/>
      <w:divBdr>
        <w:top w:val="none" w:sz="0" w:space="0" w:color="auto"/>
        <w:left w:val="none" w:sz="0" w:space="0" w:color="auto"/>
        <w:bottom w:val="none" w:sz="0" w:space="0" w:color="auto"/>
        <w:right w:val="none" w:sz="0" w:space="0" w:color="auto"/>
      </w:divBdr>
    </w:div>
    <w:div w:id="998077366">
      <w:bodyDiv w:val="1"/>
      <w:marLeft w:val="0"/>
      <w:marRight w:val="0"/>
      <w:marTop w:val="0"/>
      <w:marBottom w:val="0"/>
      <w:divBdr>
        <w:top w:val="none" w:sz="0" w:space="0" w:color="auto"/>
        <w:left w:val="none" w:sz="0" w:space="0" w:color="auto"/>
        <w:bottom w:val="none" w:sz="0" w:space="0" w:color="auto"/>
        <w:right w:val="none" w:sz="0" w:space="0" w:color="auto"/>
      </w:divBdr>
    </w:div>
    <w:div w:id="1003124102">
      <w:bodyDiv w:val="1"/>
      <w:marLeft w:val="0"/>
      <w:marRight w:val="0"/>
      <w:marTop w:val="0"/>
      <w:marBottom w:val="0"/>
      <w:divBdr>
        <w:top w:val="none" w:sz="0" w:space="0" w:color="auto"/>
        <w:left w:val="none" w:sz="0" w:space="0" w:color="auto"/>
        <w:bottom w:val="none" w:sz="0" w:space="0" w:color="auto"/>
        <w:right w:val="none" w:sz="0" w:space="0" w:color="auto"/>
      </w:divBdr>
    </w:div>
    <w:div w:id="1012490842">
      <w:bodyDiv w:val="1"/>
      <w:marLeft w:val="0"/>
      <w:marRight w:val="0"/>
      <w:marTop w:val="0"/>
      <w:marBottom w:val="0"/>
      <w:divBdr>
        <w:top w:val="none" w:sz="0" w:space="0" w:color="auto"/>
        <w:left w:val="none" w:sz="0" w:space="0" w:color="auto"/>
        <w:bottom w:val="none" w:sz="0" w:space="0" w:color="auto"/>
        <w:right w:val="none" w:sz="0" w:space="0" w:color="auto"/>
      </w:divBdr>
    </w:div>
    <w:div w:id="1019548550">
      <w:bodyDiv w:val="1"/>
      <w:marLeft w:val="0"/>
      <w:marRight w:val="0"/>
      <w:marTop w:val="0"/>
      <w:marBottom w:val="0"/>
      <w:divBdr>
        <w:top w:val="none" w:sz="0" w:space="0" w:color="auto"/>
        <w:left w:val="none" w:sz="0" w:space="0" w:color="auto"/>
        <w:bottom w:val="none" w:sz="0" w:space="0" w:color="auto"/>
        <w:right w:val="none" w:sz="0" w:space="0" w:color="auto"/>
      </w:divBdr>
    </w:div>
    <w:div w:id="1019702355">
      <w:bodyDiv w:val="1"/>
      <w:marLeft w:val="0"/>
      <w:marRight w:val="0"/>
      <w:marTop w:val="0"/>
      <w:marBottom w:val="0"/>
      <w:divBdr>
        <w:top w:val="none" w:sz="0" w:space="0" w:color="auto"/>
        <w:left w:val="none" w:sz="0" w:space="0" w:color="auto"/>
        <w:bottom w:val="none" w:sz="0" w:space="0" w:color="auto"/>
        <w:right w:val="none" w:sz="0" w:space="0" w:color="auto"/>
      </w:divBdr>
      <w:divsChild>
        <w:div w:id="1188569529">
          <w:marLeft w:val="0"/>
          <w:marRight w:val="0"/>
          <w:marTop w:val="0"/>
          <w:marBottom w:val="0"/>
          <w:divBdr>
            <w:top w:val="none" w:sz="0" w:space="0" w:color="auto"/>
            <w:left w:val="none" w:sz="0" w:space="0" w:color="auto"/>
            <w:bottom w:val="none" w:sz="0" w:space="0" w:color="auto"/>
            <w:right w:val="none" w:sz="0" w:space="0" w:color="auto"/>
          </w:divBdr>
          <w:divsChild>
            <w:div w:id="1031759834">
              <w:marLeft w:val="0"/>
              <w:marRight w:val="0"/>
              <w:marTop w:val="0"/>
              <w:marBottom w:val="0"/>
              <w:divBdr>
                <w:top w:val="none" w:sz="0" w:space="0" w:color="auto"/>
                <w:left w:val="none" w:sz="0" w:space="0" w:color="auto"/>
                <w:bottom w:val="none" w:sz="0" w:space="0" w:color="auto"/>
                <w:right w:val="none" w:sz="0" w:space="0" w:color="auto"/>
              </w:divBdr>
              <w:divsChild>
                <w:div w:id="1773936383">
                  <w:marLeft w:val="0"/>
                  <w:marRight w:val="0"/>
                  <w:marTop w:val="0"/>
                  <w:marBottom w:val="0"/>
                  <w:divBdr>
                    <w:top w:val="none" w:sz="0" w:space="0" w:color="auto"/>
                    <w:left w:val="none" w:sz="0" w:space="0" w:color="auto"/>
                    <w:bottom w:val="none" w:sz="0" w:space="0" w:color="auto"/>
                    <w:right w:val="none" w:sz="0" w:space="0" w:color="auto"/>
                  </w:divBdr>
                  <w:divsChild>
                    <w:div w:id="658195987">
                      <w:marLeft w:val="0"/>
                      <w:marRight w:val="0"/>
                      <w:marTop w:val="0"/>
                      <w:marBottom w:val="0"/>
                      <w:divBdr>
                        <w:top w:val="none" w:sz="0" w:space="0" w:color="auto"/>
                        <w:left w:val="none" w:sz="0" w:space="0" w:color="auto"/>
                        <w:bottom w:val="none" w:sz="0" w:space="0" w:color="auto"/>
                        <w:right w:val="none" w:sz="0" w:space="0" w:color="auto"/>
                      </w:divBdr>
                      <w:divsChild>
                        <w:div w:id="622611666">
                          <w:marLeft w:val="0"/>
                          <w:marRight w:val="0"/>
                          <w:marTop w:val="0"/>
                          <w:marBottom w:val="0"/>
                          <w:divBdr>
                            <w:top w:val="none" w:sz="0" w:space="0" w:color="auto"/>
                            <w:left w:val="none" w:sz="0" w:space="0" w:color="auto"/>
                            <w:bottom w:val="none" w:sz="0" w:space="0" w:color="auto"/>
                            <w:right w:val="none" w:sz="0" w:space="0" w:color="auto"/>
                          </w:divBdr>
                          <w:divsChild>
                            <w:div w:id="1471635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9182255">
      <w:bodyDiv w:val="1"/>
      <w:marLeft w:val="0"/>
      <w:marRight w:val="0"/>
      <w:marTop w:val="0"/>
      <w:marBottom w:val="0"/>
      <w:divBdr>
        <w:top w:val="none" w:sz="0" w:space="0" w:color="auto"/>
        <w:left w:val="none" w:sz="0" w:space="0" w:color="auto"/>
        <w:bottom w:val="none" w:sz="0" w:space="0" w:color="auto"/>
        <w:right w:val="none" w:sz="0" w:space="0" w:color="auto"/>
      </w:divBdr>
    </w:div>
    <w:div w:id="1029339047">
      <w:bodyDiv w:val="1"/>
      <w:marLeft w:val="0"/>
      <w:marRight w:val="0"/>
      <w:marTop w:val="0"/>
      <w:marBottom w:val="0"/>
      <w:divBdr>
        <w:top w:val="none" w:sz="0" w:space="0" w:color="auto"/>
        <w:left w:val="none" w:sz="0" w:space="0" w:color="auto"/>
        <w:bottom w:val="none" w:sz="0" w:space="0" w:color="auto"/>
        <w:right w:val="none" w:sz="0" w:space="0" w:color="auto"/>
      </w:divBdr>
    </w:div>
    <w:div w:id="1029406321">
      <w:bodyDiv w:val="1"/>
      <w:marLeft w:val="0"/>
      <w:marRight w:val="0"/>
      <w:marTop w:val="0"/>
      <w:marBottom w:val="0"/>
      <w:divBdr>
        <w:top w:val="none" w:sz="0" w:space="0" w:color="auto"/>
        <w:left w:val="none" w:sz="0" w:space="0" w:color="auto"/>
        <w:bottom w:val="none" w:sz="0" w:space="0" w:color="auto"/>
        <w:right w:val="none" w:sz="0" w:space="0" w:color="auto"/>
      </w:divBdr>
    </w:div>
    <w:div w:id="1029842940">
      <w:bodyDiv w:val="1"/>
      <w:marLeft w:val="0"/>
      <w:marRight w:val="0"/>
      <w:marTop w:val="0"/>
      <w:marBottom w:val="0"/>
      <w:divBdr>
        <w:top w:val="none" w:sz="0" w:space="0" w:color="auto"/>
        <w:left w:val="none" w:sz="0" w:space="0" w:color="auto"/>
        <w:bottom w:val="none" w:sz="0" w:space="0" w:color="auto"/>
        <w:right w:val="none" w:sz="0" w:space="0" w:color="auto"/>
      </w:divBdr>
    </w:div>
    <w:div w:id="1034378684">
      <w:bodyDiv w:val="1"/>
      <w:marLeft w:val="0"/>
      <w:marRight w:val="0"/>
      <w:marTop w:val="0"/>
      <w:marBottom w:val="0"/>
      <w:divBdr>
        <w:top w:val="none" w:sz="0" w:space="0" w:color="auto"/>
        <w:left w:val="none" w:sz="0" w:space="0" w:color="auto"/>
        <w:bottom w:val="none" w:sz="0" w:space="0" w:color="auto"/>
        <w:right w:val="none" w:sz="0" w:space="0" w:color="auto"/>
      </w:divBdr>
    </w:div>
    <w:div w:id="1036854104">
      <w:bodyDiv w:val="1"/>
      <w:marLeft w:val="0"/>
      <w:marRight w:val="0"/>
      <w:marTop w:val="0"/>
      <w:marBottom w:val="0"/>
      <w:divBdr>
        <w:top w:val="none" w:sz="0" w:space="0" w:color="auto"/>
        <w:left w:val="none" w:sz="0" w:space="0" w:color="auto"/>
        <w:bottom w:val="none" w:sz="0" w:space="0" w:color="auto"/>
        <w:right w:val="none" w:sz="0" w:space="0" w:color="auto"/>
      </w:divBdr>
    </w:div>
    <w:div w:id="1039159706">
      <w:bodyDiv w:val="1"/>
      <w:marLeft w:val="0"/>
      <w:marRight w:val="0"/>
      <w:marTop w:val="0"/>
      <w:marBottom w:val="0"/>
      <w:divBdr>
        <w:top w:val="none" w:sz="0" w:space="0" w:color="auto"/>
        <w:left w:val="none" w:sz="0" w:space="0" w:color="auto"/>
        <w:bottom w:val="none" w:sz="0" w:space="0" w:color="auto"/>
        <w:right w:val="none" w:sz="0" w:space="0" w:color="auto"/>
      </w:divBdr>
    </w:div>
    <w:div w:id="1045058472">
      <w:bodyDiv w:val="1"/>
      <w:marLeft w:val="0"/>
      <w:marRight w:val="0"/>
      <w:marTop w:val="0"/>
      <w:marBottom w:val="0"/>
      <w:divBdr>
        <w:top w:val="none" w:sz="0" w:space="0" w:color="auto"/>
        <w:left w:val="none" w:sz="0" w:space="0" w:color="auto"/>
        <w:bottom w:val="none" w:sz="0" w:space="0" w:color="auto"/>
        <w:right w:val="none" w:sz="0" w:space="0" w:color="auto"/>
      </w:divBdr>
    </w:div>
    <w:div w:id="1061059999">
      <w:bodyDiv w:val="1"/>
      <w:marLeft w:val="0"/>
      <w:marRight w:val="0"/>
      <w:marTop w:val="0"/>
      <w:marBottom w:val="0"/>
      <w:divBdr>
        <w:top w:val="none" w:sz="0" w:space="0" w:color="auto"/>
        <w:left w:val="none" w:sz="0" w:space="0" w:color="auto"/>
        <w:bottom w:val="none" w:sz="0" w:space="0" w:color="auto"/>
        <w:right w:val="none" w:sz="0" w:space="0" w:color="auto"/>
      </w:divBdr>
    </w:div>
    <w:div w:id="1062487431">
      <w:bodyDiv w:val="1"/>
      <w:marLeft w:val="0"/>
      <w:marRight w:val="0"/>
      <w:marTop w:val="0"/>
      <w:marBottom w:val="0"/>
      <w:divBdr>
        <w:top w:val="none" w:sz="0" w:space="0" w:color="auto"/>
        <w:left w:val="none" w:sz="0" w:space="0" w:color="auto"/>
        <w:bottom w:val="none" w:sz="0" w:space="0" w:color="auto"/>
        <w:right w:val="none" w:sz="0" w:space="0" w:color="auto"/>
      </w:divBdr>
    </w:div>
    <w:div w:id="1074468528">
      <w:bodyDiv w:val="1"/>
      <w:marLeft w:val="0"/>
      <w:marRight w:val="0"/>
      <w:marTop w:val="0"/>
      <w:marBottom w:val="0"/>
      <w:divBdr>
        <w:top w:val="none" w:sz="0" w:space="0" w:color="auto"/>
        <w:left w:val="none" w:sz="0" w:space="0" w:color="auto"/>
        <w:bottom w:val="none" w:sz="0" w:space="0" w:color="auto"/>
        <w:right w:val="none" w:sz="0" w:space="0" w:color="auto"/>
      </w:divBdr>
    </w:div>
    <w:div w:id="1080951176">
      <w:bodyDiv w:val="1"/>
      <w:marLeft w:val="0"/>
      <w:marRight w:val="0"/>
      <w:marTop w:val="0"/>
      <w:marBottom w:val="0"/>
      <w:divBdr>
        <w:top w:val="none" w:sz="0" w:space="0" w:color="auto"/>
        <w:left w:val="none" w:sz="0" w:space="0" w:color="auto"/>
        <w:bottom w:val="none" w:sz="0" w:space="0" w:color="auto"/>
        <w:right w:val="none" w:sz="0" w:space="0" w:color="auto"/>
      </w:divBdr>
    </w:div>
    <w:div w:id="1087075132">
      <w:bodyDiv w:val="1"/>
      <w:marLeft w:val="0"/>
      <w:marRight w:val="0"/>
      <w:marTop w:val="0"/>
      <w:marBottom w:val="0"/>
      <w:divBdr>
        <w:top w:val="none" w:sz="0" w:space="0" w:color="auto"/>
        <w:left w:val="none" w:sz="0" w:space="0" w:color="auto"/>
        <w:bottom w:val="none" w:sz="0" w:space="0" w:color="auto"/>
        <w:right w:val="none" w:sz="0" w:space="0" w:color="auto"/>
      </w:divBdr>
    </w:div>
    <w:div w:id="1099254791">
      <w:bodyDiv w:val="1"/>
      <w:marLeft w:val="0"/>
      <w:marRight w:val="0"/>
      <w:marTop w:val="0"/>
      <w:marBottom w:val="0"/>
      <w:divBdr>
        <w:top w:val="none" w:sz="0" w:space="0" w:color="auto"/>
        <w:left w:val="none" w:sz="0" w:space="0" w:color="auto"/>
        <w:bottom w:val="none" w:sz="0" w:space="0" w:color="auto"/>
        <w:right w:val="none" w:sz="0" w:space="0" w:color="auto"/>
      </w:divBdr>
    </w:div>
    <w:div w:id="1107503655">
      <w:bodyDiv w:val="1"/>
      <w:marLeft w:val="0"/>
      <w:marRight w:val="0"/>
      <w:marTop w:val="0"/>
      <w:marBottom w:val="0"/>
      <w:divBdr>
        <w:top w:val="none" w:sz="0" w:space="0" w:color="auto"/>
        <w:left w:val="none" w:sz="0" w:space="0" w:color="auto"/>
        <w:bottom w:val="none" w:sz="0" w:space="0" w:color="auto"/>
        <w:right w:val="none" w:sz="0" w:space="0" w:color="auto"/>
      </w:divBdr>
    </w:div>
    <w:div w:id="1107624366">
      <w:bodyDiv w:val="1"/>
      <w:marLeft w:val="0"/>
      <w:marRight w:val="0"/>
      <w:marTop w:val="0"/>
      <w:marBottom w:val="0"/>
      <w:divBdr>
        <w:top w:val="none" w:sz="0" w:space="0" w:color="auto"/>
        <w:left w:val="none" w:sz="0" w:space="0" w:color="auto"/>
        <w:bottom w:val="none" w:sz="0" w:space="0" w:color="auto"/>
        <w:right w:val="none" w:sz="0" w:space="0" w:color="auto"/>
      </w:divBdr>
    </w:div>
    <w:div w:id="1111121261">
      <w:bodyDiv w:val="1"/>
      <w:marLeft w:val="0"/>
      <w:marRight w:val="0"/>
      <w:marTop w:val="0"/>
      <w:marBottom w:val="0"/>
      <w:divBdr>
        <w:top w:val="none" w:sz="0" w:space="0" w:color="auto"/>
        <w:left w:val="none" w:sz="0" w:space="0" w:color="auto"/>
        <w:bottom w:val="none" w:sz="0" w:space="0" w:color="auto"/>
        <w:right w:val="none" w:sz="0" w:space="0" w:color="auto"/>
      </w:divBdr>
    </w:div>
    <w:div w:id="1111632794">
      <w:bodyDiv w:val="1"/>
      <w:marLeft w:val="0"/>
      <w:marRight w:val="0"/>
      <w:marTop w:val="0"/>
      <w:marBottom w:val="0"/>
      <w:divBdr>
        <w:top w:val="none" w:sz="0" w:space="0" w:color="auto"/>
        <w:left w:val="none" w:sz="0" w:space="0" w:color="auto"/>
        <w:bottom w:val="none" w:sz="0" w:space="0" w:color="auto"/>
        <w:right w:val="none" w:sz="0" w:space="0" w:color="auto"/>
      </w:divBdr>
    </w:div>
    <w:div w:id="1113093788">
      <w:bodyDiv w:val="1"/>
      <w:marLeft w:val="0"/>
      <w:marRight w:val="0"/>
      <w:marTop w:val="0"/>
      <w:marBottom w:val="0"/>
      <w:divBdr>
        <w:top w:val="none" w:sz="0" w:space="0" w:color="auto"/>
        <w:left w:val="none" w:sz="0" w:space="0" w:color="auto"/>
        <w:bottom w:val="none" w:sz="0" w:space="0" w:color="auto"/>
        <w:right w:val="none" w:sz="0" w:space="0" w:color="auto"/>
      </w:divBdr>
    </w:div>
    <w:div w:id="1114710883">
      <w:bodyDiv w:val="1"/>
      <w:marLeft w:val="0"/>
      <w:marRight w:val="0"/>
      <w:marTop w:val="0"/>
      <w:marBottom w:val="0"/>
      <w:divBdr>
        <w:top w:val="none" w:sz="0" w:space="0" w:color="auto"/>
        <w:left w:val="none" w:sz="0" w:space="0" w:color="auto"/>
        <w:bottom w:val="none" w:sz="0" w:space="0" w:color="auto"/>
        <w:right w:val="none" w:sz="0" w:space="0" w:color="auto"/>
      </w:divBdr>
    </w:div>
    <w:div w:id="1115564746">
      <w:bodyDiv w:val="1"/>
      <w:marLeft w:val="0"/>
      <w:marRight w:val="0"/>
      <w:marTop w:val="0"/>
      <w:marBottom w:val="0"/>
      <w:divBdr>
        <w:top w:val="none" w:sz="0" w:space="0" w:color="auto"/>
        <w:left w:val="none" w:sz="0" w:space="0" w:color="auto"/>
        <w:bottom w:val="none" w:sz="0" w:space="0" w:color="auto"/>
        <w:right w:val="none" w:sz="0" w:space="0" w:color="auto"/>
      </w:divBdr>
    </w:div>
    <w:div w:id="1116143663">
      <w:bodyDiv w:val="1"/>
      <w:marLeft w:val="0"/>
      <w:marRight w:val="0"/>
      <w:marTop w:val="0"/>
      <w:marBottom w:val="0"/>
      <w:divBdr>
        <w:top w:val="none" w:sz="0" w:space="0" w:color="auto"/>
        <w:left w:val="none" w:sz="0" w:space="0" w:color="auto"/>
        <w:bottom w:val="none" w:sz="0" w:space="0" w:color="auto"/>
        <w:right w:val="none" w:sz="0" w:space="0" w:color="auto"/>
      </w:divBdr>
    </w:div>
    <w:div w:id="1117211689">
      <w:bodyDiv w:val="1"/>
      <w:marLeft w:val="0"/>
      <w:marRight w:val="0"/>
      <w:marTop w:val="0"/>
      <w:marBottom w:val="0"/>
      <w:divBdr>
        <w:top w:val="none" w:sz="0" w:space="0" w:color="auto"/>
        <w:left w:val="none" w:sz="0" w:space="0" w:color="auto"/>
        <w:bottom w:val="none" w:sz="0" w:space="0" w:color="auto"/>
        <w:right w:val="none" w:sz="0" w:space="0" w:color="auto"/>
      </w:divBdr>
    </w:div>
    <w:div w:id="1119298366">
      <w:bodyDiv w:val="1"/>
      <w:marLeft w:val="0"/>
      <w:marRight w:val="0"/>
      <w:marTop w:val="0"/>
      <w:marBottom w:val="0"/>
      <w:divBdr>
        <w:top w:val="none" w:sz="0" w:space="0" w:color="auto"/>
        <w:left w:val="none" w:sz="0" w:space="0" w:color="auto"/>
        <w:bottom w:val="none" w:sz="0" w:space="0" w:color="auto"/>
        <w:right w:val="none" w:sz="0" w:space="0" w:color="auto"/>
      </w:divBdr>
    </w:div>
    <w:div w:id="1122186876">
      <w:bodyDiv w:val="1"/>
      <w:marLeft w:val="0"/>
      <w:marRight w:val="0"/>
      <w:marTop w:val="0"/>
      <w:marBottom w:val="0"/>
      <w:divBdr>
        <w:top w:val="none" w:sz="0" w:space="0" w:color="auto"/>
        <w:left w:val="none" w:sz="0" w:space="0" w:color="auto"/>
        <w:bottom w:val="none" w:sz="0" w:space="0" w:color="auto"/>
        <w:right w:val="none" w:sz="0" w:space="0" w:color="auto"/>
      </w:divBdr>
    </w:div>
    <w:div w:id="1124956472">
      <w:bodyDiv w:val="1"/>
      <w:marLeft w:val="0"/>
      <w:marRight w:val="0"/>
      <w:marTop w:val="0"/>
      <w:marBottom w:val="0"/>
      <w:divBdr>
        <w:top w:val="none" w:sz="0" w:space="0" w:color="auto"/>
        <w:left w:val="none" w:sz="0" w:space="0" w:color="auto"/>
        <w:bottom w:val="none" w:sz="0" w:space="0" w:color="auto"/>
        <w:right w:val="none" w:sz="0" w:space="0" w:color="auto"/>
      </w:divBdr>
    </w:div>
    <w:div w:id="1143157403">
      <w:bodyDiv w:val="1"/>
      <w:marLeft w:val="0"/>
      <w:marRight w:val="0"/>
      <w:marTop w:val="0"/>
      <w:marBottom w:val="0"/>
      <w:divBdr>
        <w:top w:val="none" w:sz="0" w:space="0" w:color="auto"/>
        <w:left w:val="none" w:sz="0" w:space="0" w:color="auto"/>
        <w:bottom w:val="none" w:sz="0" w:space="0" w:color="auto"/>
        <w:right w:val="none" w:sz="0" w:space="0" w:color="auto"/>
      </w:divBdr>
    </w:div>
    <w:div w:id="1159229144">
      <w:bodyDiv w:val="1"/>
      <w:marLeft w:val="0"/>
      <w:marRight w:val="0"/>
      <w:marTop w:val="0"/>
      <w:marBottom w:val="0"/>
      <w:divBdr>
        <w:top w:val="none" w:sz="0" w:space="0" w:color="auto"/>
        <w:left w:val="none" w:sz="0" w:space="0" w:color="auto"/>
        <w:bottom w:val="none" w:sz="0" w:space="0" w:color="auto"/>
        <w:right w:val="none" w:sz="0" w:space="0" w:color="auto"/>
      </w:divBdr>
    </w:div>
    <w:div w:id="1164127060">
      <w:bodyDiv w:val="1"/>
      <w:marLeft w:val="0"/>
      <w:marRight w:val="0"/>
      <w:marTop w:val="0"/>
      <w:marBottom w:val="0"/>
      <w:divBdr>
        <w:top w:val="none" w:sz="0" w:space="0" w:color="auto"/>
        <w:left w:val="none" w:sz="0" w:space="0" w:color="auto"/>
        <w:bottom w:val="none" w:sz="0" w:space="0" w:color="auto"/>
        <w:right w:val="none" w:sz="0" w:space="0" w:color="auto"/>
      </w:divBdr>
    </w:div>
    <w:div w:id="1167986279">
      <w:bodyDiv w:val="1"/>
      <w:marLeft w:val="0"/>
      <w:marRight w:val="0"/>
      <w:marTop w:val="0"/>
      <w:marBottom w:val="0"/>
      <w:divBdr>
        <w:top w:val="none" w:sz="0" w:space="0" w:color="auto"/>
        <w:left w:val="none" w:sz="0" w:space="0" w:color="auto"/>
        <w:bottom w:val="none" w:sz="0" w:space="0" w:color="auto"/>
        <w:right w:val="none" w:sz="0" w:space="0" w:color="auto"/>
      </w:divBdr>
    </w:div>
    <w:div w:id="1173835620">
      <w:bodyDiv w:val="1"/>
      <w:marLeft w:val="0"/>
      <w:marRight w:val="0"/>
      <w:marTop w:val="0"/>
      <w:marBottom w:val="0"/>
      <w:divBdr>
        <w:top w:val="none" w:sz="0" w:space="0" w:color="auto"/>
        <w:left w:val="none" w:sz="0" w:space="0" w:color="auto"/>
        <w:bottom w:val="none" w:sz="0" w:space="0" w:color="auto"/>
        <w:right w:val="none" w:sz="0" w:space="0" w:color="auto"/>
      </w:divBdr>
    </w:div>
    <w:div w:id="1189561193">
      <w:bodyDiv w:val="1"/>
      <w:marLeft w:val="0"/>
      <w:marRight w:val="0"/>
      <w:marTop w:val="0"/>
      <w:marBottom w:val="0"/>
      <w:divBdr>
        <w:top w:val="none" w:sz="0" w:space="0" w:color="auto"/>
        <w:left w:val="none" w:sz="0" w:space="0" w:color="auto"/>
        <w:bottom w:val="none" w:sz="0" w:space="0" w:color="auto"/>
        <w:right w:val="none" w:sz="0" w:space="0" w:color="auto"/>
      </w:divBdr>
    </w:div>
    <w:div w:id="1195734247">
      <w:bodyDiv w:val="1"/>
      <w:marLeft w:val="0"/>
      <w:marRight w:val="0"/>
      <w:marTop w:val="0"/>
      <w:marBottom w:val="0"/>
      <w:divBdr>
        <w:top w:val="none" w:sz="0" w:space="0" w:color="auto"/>
        <w:left w:val="none" w:sz="0" w:space="0" w:color="auto"/>
        <w:bottom w:val="none" w:sz="0" w:space="0" w:color="auto"/>
        <w:right w:val="none" w:sz="0" w:space="0" w:color="auto"/>
      </w:divBdr>
    </w:div>
    <w:div w:id="1203402270">
      <w:bodyDiv w:val="1"/>
      <w:marLeft w:val="0"/>
      <w:marRight w:val="0"/>
      <w:marTop w:val="0"/>
      <w:marBottom w:val="0"/>
      <w:divBdr>
        <w:top w:val="none" w:sz="0" w:space="0" w:color="auto"/>
        <w:left w:val="none" w:sz="0" w:space="0" w:color="auto"/>
        <w:bottom w:val="none" w:sz="0" w:space="0" w:color="auto"/>
        <w:right w:val="none" w:sz="0" w:space="0" w:color="auto"/>
      </w:divBdr>
    </w:div>
    <w:div w:id="1218590812">
      <w:bodyDiv w:val="1"/>
      <w:marLeft w:val="0"/>
      <w:marRight w:val="0"/>
      <w:marTop w:val="0"/>
      <w:marBottom w:val="0"/>
      <w:divBdr>
        <w:top w:val="none" w:sz="0" w:space="0" w:color="auto"/>
        <w:left w:val="none" w:sz="0" w:space="0" w:color="auto"/>
        <w:bottom w:val="none" w:sz="0" w:space="0" w:color="auto"/>
        <w:right w:val="none" w:sz="0" w:space="0" w:color="auto"/>
      </w:divBdr>
    </w:div>
    <w:div w:id="1219508488">
      <w:bodyDiv w:val="1"/>
      <w:marLeft w:val="0"/>
      <w:marRight w:val="0"/>
      <w:marTop w:val="0"/>
      <w:marBottom w:val="0"/>
      <w:divBdr>
        <w:top w:val="none" w:sz="0" w:space="0" w:color="auto"/>
        <w:left w:val="none" w:sz="0" w:space="0" w:color="auto"/>
        <w:bottom w:val="none" w:sz="0" w:space="0" w:color="auto"/>
        <w:right w:val="none" w:sz="0" w:space="0" w:color="auto"/>
      </w:divBdr>
    </w:div>
    <w:div w:id="1230310297">
      <w:bodyDiv w:val="1"/>
      <w:marLeft w:val="0"/>
      <w:marRight w:val="0"/>
      <w:marTop w:val="0"/>
      <w:marBottom w:val="0"/>
      <w:divBdr>
        <w:top w:val="none" w:sz="0" w:space="0" w:color="auto"/>
        <w:left w:val="none" w:sz="0" w:space="0" w:color="auto"/>
        <w:bottom w:val="none" w:sz="0" w:space="0" w:color="auto"/>
        <w:right w:val="none" w:sz="0" w:space="0" w:color="auto"/>
      </w:divBdr>
    </w:div>
    <w:div w:id="1237202105">
      <w:bodyDiv w:val="1"/>
      <w:marLeft w:val="0"/>
      <w:marRight w:val="0"/>
      <w:marTop w:val="0"/>
      <w:marBottom w:val="0"/>
      <w:divBdr>
        <w:top w:val="none" w:sz="0" w:space="0" w:color="auto"/>
        <w:left w:val="none" w:sz="0" w:space="0" w:color="auto"/>
        <w:bottom w:val="none" w:sz="0" w:space="0" w:color="auto"/>
        <w:right w:val="none" w:sz="0" w:space="0" w:color="auto"/>
      </w:divBdr>
    </w:div>
    <w:div w:id="1239243417">
      <w:bodyDiv w:val="1"/>
      <w:marLeft w:val="0"/>
      <w:marRight w:val="0"/>
      <w:marTop w:val="0"/>
      <w:marBottom w:val="0"/>
      <w:divBdr>
        <w:top w:val="none" w:sz="0" w:space="0" w:color="auto"/>
        <w:left w:val="none" w:sz="0" w:space="0" w:color="auto"/>
        <w:bottom w:val="none" w:sz="0" w:space="0" w:color="auto"/>
        <w:right w:val="none" w:sz="0" w:space="0" w:color="auto"/>
      </w:divBdr>
    </w:div>
    <w:div w:id="1243293560">
      <w:bodyDiv w:val="1"/>
      <w:marLeft w:val="0"/>
      <w:marRight w:val="0"/>
      <w:marTop w:val="0"/>
      <w:marBottom w:val="0"/>
      <w:divBdr>
        <w:top w:val="none" w:sz="0" w:space="0" w:color="auto"/>
        <w:left w:val="none" w:sz="0" w:space="0" w:color="auto"/>
        <w:bottom w:val="none" w:sz="0" w:space="0" w:color="auto"/>
        <w:right w:val="none" w:sz="0" w:space="0" w:color="auto"/>
      </w:divBdr>
    </w:div>
    <w:div w:id="1243639516">
      <w:bodyDiv w:val="1"/>
      <w:marLeft w:val="0"/>
      <w:marRight w:val="0"/>
      <w:marTop w:val="0"/>
      <w:marBottom w:val="0"/>
      <w:divBdr>
        <w:top w:val="none" w:sz="0" w:space="0" w:color="auto"/>
        <w:left w:val="none" w:sz="0" w:space="0" w:color="auto"/>
        <w:bottom w:val="none" w:sz="0" w:space="0" w:color="auto"/>
        <w:right w:val="none" w:sz="0" w:space="0" w:color="auto"/>
      </w:divBdr>
    </w:div>
    <w:div w:id="1253204993">
      <w:bodyDiv w:val="1"/>
      <w:marLeft w:val="0"/>
      <w:marRight w:val="0"/>
      <w:marTop w:val="0"/>
      <w:marBottom w:val="0"/>
      <w:divBdr>
        <w:top w:val="none" w:sz="0" w:space="0" w:color="auto"/>
        <w:left w:val="none" w:sz="0" w:space="0" w:color="auto"/>
        <w:bottom w:val="none" w:sz="0" w:space="0" w:color="auto"/>
        <w:right w:val="none" w:sz="0" w:space="0" w:color="auto"/>
      </w:divBdr>
    </w:div>
    <w:div w:id="1254318683">
      <w:bodyDiv w:val="1"/>
      <w:marLeft w:val="0"/>
      <w:marRight w:val="0"/>
      <w:marTop w:val="0"/>
      <w:marBottom w:val="0"/>
      <w:divBdr>
        <w:top w:val="none" w:sz="0" w:space="0" w:color="auto"/>
        <w:left w:val="none" w:sz="0" w:space="0" w:color="auto"/>
        <w:bottom w:val="none" w:sz="0" w:space="0" w:color="auto"/>
        <w:right w:val="none" w:sz="0" w:space="0" w:color="auto"/>
      </w:divBdr>
    </w:div>
    <w:div w:id="1254630690">
      <w:bodyDiv w:val="1"/>
      <w:marLeft w:val="0"/>
      <w:marRight w:val="0"/>
      <w:marTop w:val="0"/>
      <w:marBottom w:val="0"/>
      <w:divBdr>
        <w:top w:val="none" w:sz="0" w:space="0" w:color="auto"/>
        <w:left w:val="none" w:sz="0" w:space="0" w:color="auto"/>
        <w:bottom w:val="none" w:sz="0" w:space="0" w:color="auto"/>
        <w:right w:val="none" w:sz="0" w:space="0" w:color="auto"/>
      </w:divBdr>
    </w:div>
    <w:div w:id="1256670421">
      <w:bodyDiv w:val="1"/>
      <w:marLeft w:val="0"/>
      <w:marRight w:val="0"/>
      <w:marTop w:val="0"/>
      <w:marBottom w:val="0"/>
      <w:divBdr>
        <w:top w:val="none" w:sz="0" w:space="0" w:color="auto"/>
        <w:left w:val="none" w:sz="0" w:space="0" w:color="auto"/>
        <w:bottom w:val="none" w:sz="0" w:space="0" w:color="auto"/>
        <w:right w:val="none" w:sz="0" w:space="0" w:color="auto"/>
      </w:divBdr>
    </w:div>
    <w:div w:id="1269315033">
      <w:bodyDiv w:val="1"/>
      <w:marLeft w:val="0"/>
      <w:marRight w:val="0"/>
      <w:marTop w:val="0"/>
      <w:marBottom w:val="0"/>
      <w:divBdr>
        <w:top w:val="none" w:sz="0" w:space="0" w:color="auto"/>
        <w:left w:val="none" w:sz="0" w:space="0" w:color="auto"/>
        <w:bottom w:val="none" w:sz="0" w:space="0" w:color="auto"/>
        <w:right w:val="none" w:sz="0" w:space="0" w:color="auto"/>
      </w:divBdr>
    </w:div>
    <w:div w:id="1274631606">
      <w:bodyDiv w:val="1"/>
      <w:marLeft w:val="0"/>
      <w:marRight w:val="0"/>
      <w:marTop w:val="0"/>
      <w:marBottom w:val="0"/>
      <w:divBdr>
        <w:top w:val="none" w:sz="0" w:space="0" w:color="auto"/>
        <w:left w:val="none" w:sz="0" w:space="0" w:color="auto"/>
        <w:bottom w:val="none" w:sz="0" w:space="0" w:color="auto"/>
        <w:right w:val="none" w:sz="0" w:space="0" w:color="auto"/>
      </w:divBdr>
    </w:div>
    <w:div w:id="1286503802">
      <w:bodyDiv w:val="1"/>
      <w:marLeft w:val="0"/>
      <w:marRight w:val="0"/>
      <w:marTop w:val="0"/>
      <w:marBottom w:val="0"/>
      <w:divBdr>
        <w:top w:val="none" w:sz="0" w:space="0" w:color="auto"/>
        <w:left w:val="none" w:sz="0" w:space="0" w:color="auto"/>
        <w:bottom w:val="none" w:sz="0" w:space="0" w:color="auto"/>
        <w:right w:val="none" w:sz="0" w:space="0" w:color="auto"/>
      </w:divBdr>
    </w:div>
    <w:div w:id="1287466864">
      <w:bodyDiv w:val="1"/>
      <w:marLeft w:val="0"/>
      <w:marRight w:val="0"/>
      <w:marTop w:val="0"/>
      <w:marBottom w:val="0"/>
      <w:divBdr>
        <w:top w:val="none" w:sz="0" w:space="0" w:color="auto"/>
        <w:left w:val="none" w:sz="0" w:space="0" w:color="auto"/>
        <w:bottom w:val="none" w:sz="0" w:space="0" w:color="auto"/>
        <w:right w:val="none" w:sz="0" w:space="0" w:color="auto"/>
      </w:divBdr>
    </w:div>
    <w:div w:id="1299847474">
      <w:bodyDiv w:val="1"/>
      <w:marLeft w:val="0"/>
      <w:marRight w:val="0"/>
      <w:marTop w:val="0"/>
      <w:marBottom w:val="0"/>
      <w:divBdr>
        <w:top w:val="none" w:sz="0" w:space="0" w:color="auto"/>
        <w:left w:val="none" w:sz="0" w:space="0" w:color="auto"/>
        <w:bottom w:val="none" w:sz="0" w:space="0" w:color="auto"/>
        <w:right w:val="none" w:sz="0" w:space="0" w:color="auto"/>
      </w:divBdr>
    </w:div>
    <w:div w:id="1300574239">
      <w:bodyDiv w:val="1"/>
      <w:marLeft w:val="0"/>
      <w:marRight w:val="0"/>
      <w:marTop w:val="0"/>
      <w:marBottom w:val="0"/>
      <w:divBdr>
        <w:top w:val="none" w:sz="0" w:space="0" w:color="auto"/>
        <w:left w:val="none" w:sz="0" w:space="0" w:color="auto"/>
        <w:bottom w:val="none" w:sz="0" w:space="0" w:color="auto"/>
        <w:right w:val="none" w:sz="0" w:space="0" w:color="auto"/>
      </w:divBdr>
    </w:div>
    <w:div w:id="1300840425">
      <w:bodyDiv w:val="1"/>
      <w:marLeft w:val="0"/>
      <w:marRight w:val="0"/>
      <w:marTop w:val="0"/>
      <w:marBottom w:val="0"/>
      <w:divBdr>
        <w:top w:val="none" w:sz="0" w:space="0" w:color="auto"/>
        <w:left w:val="none" w:sz="0" w:space="0" w:color="auto"/>
        <w:bottom w:val="none" w:sz="0" w:space="0" w:color="auto"/>
        <w:right w:val="none" w:sz="0" w:space="0" w:color="auto"/>
      </w:divBdr>
    </w:div>
    <w:div w:id="1301350882">
      <w:bodyDiv w:val="1"/>
      <w:marLeft w:val="0"/>
      <w:marRight w:val="0"/>
      <w:marTop w:val="0"/>
      <w:marBottom w:val="0"/>
      <w:divBdr>
        <w:top w:val="none" w:sz="0" w:space="0" w:color="auto"/>
        <w:left w:val="none" w:sz="0" w:space="0" w:color="auto"/>
        <w:bottom w:val="none" w:sz="0" w:space="0" w:color="auto"/>
        <w:right w:val="none" w:sz="0" w:space="0" w:color="auto"/>
      </w:divBdr>
    </w:div>
    <w:div w:id="1301614424">
      <w:bodyDiv w:val="1"/>
      <w:marLeft w:val="0"/>
      <w:marRight w:val="0"/>
      <w:marTop w:val="0"/>
      <w:marBottom w:val="0"/>
      <w:divBdr>
        <w:top w:val="none" w:sz="0" w:space="0" w:color="auto"/>
        <w:left w:val="none" w:sz="0" w:space="0" w:color="auto"/>
        <w:bottom w:val="none" w:sz="0" w:space="0" w:color="auto"/>
        <w:right w:val="none" w:sz="0" w:space="0" w:color="auto"/>
      </w:divBdr>
    </w:div>
    <w:div w:id="1318847364">
      <w:bodyDiv w:val="1"/>
      <w:marLeft w:val="0"/>
      <w:marRight w:val="0"/>
      <w:marTop w:val="0"/>
      <w:marBottom w:val="0"/>
      <w:divBdr>
        <w:top w:val="none" w:sz="0" w:space="0" w:color="auto"/>
        <w:left w:val="none" w:sz="0" w:space="0" w:color="auto"/>
        <w:bottom w:val="none" w:sz="0" w:space="0" w:color="auto"/>
        <w:right w:val="none" w:sz="0" w:space="0" w:color="auto"/>
      </w:divBdr>
    </w:div>
    <w:div w:id="1325283120">
      <w:bodyDiv w:val="1"/>
      <w:marLeft w:val="0"/>
      <w:marRight w:val="0"/>
      <w:marTop w:val="0"/>
      <w:marBottom w:val="0"/>
      <w:divBdr>
        <w:top w:val="none" w:sz="0" w:space="0" w:color="auto"/>
        <w:left w:val="none" w:sz="0" w:space="0" w:color="auto"/>
        <w:bottom w:val="none" w:sz="0" w:space="0" w:color="auto"/>
        <w:right w:val="none" w:sz="0" w:space="0" w:color="auto"/>
      </w:divBdr>
    </w:div>
    <w:div w:id="1326475210">
      <w:bodyDiv w:val="1"/>
      <w:marLeft w:val="0"/>
      <w:marRight w:val="0"/>
      <w:marTop w:val="0"/>
      <w:marBottom w:val="0"/>
      <w:divBdr>
        <w:top w:val="none" w:sz="0" w:space="0" w:color="auto"/>
        <w:left w:val="none" w:sz="0" w:space="0" w:color="auto"/>
        <w:bottom w:val="none" w:sz="0" w:space="0" w:color="auto"/>
        <w:right w:val="none" w:sz="0" w:space="0" w:color="auto"/>
      </w:divBdr>
    </w:div>
    <w:div w:id="1326783001">
      <w:bodyDiv w:val="1"/>
      <w:marLeft w:val="0"/>
      <w:marRight w:val="0"/>
      <w:marTop w:val="0"/>
      <w:marBottom w:val="0"/>
      <w:divBdr>
        <w:top w:val="none" w:sz="0" w:space="0" w:color="auto"/>
        <w:left w:val="none" w:sz="0" w:space="0" w:color="auto"/>
        <w:bottom w:val="none" w:sz="0" w:space="0" w:color="auto"/>
        <w:right w:val="none" w:sz="0" w:space="0" w:color="auto"/>
      </w:divBdr>
    </w:div>
    <w:div w:id="1329287643">
      <w:bodyDiv w:val="1"/>
      <w:marLeft w:val="0"/>
      <w:marRight w:val="0"/>
      <w:marTop w:val="0"/>
      <w:marBottom w:val="0"/>
      <w:divBdr>
        <w:top w:val="none" w:sz="0" w:space="0" w:color="auto"/>
        <w:left w:val="none" w:sz="0" w:space="0" w:color="auto"/>
        <w:bottom w:val="none" w:sz="0" w:space="0" w:color="auto"/>
        <w:right w:val="none" w:sz="0" w:space="0" w:color="auto"/>
      </w:divBdr>
    </w:div>
    <w:div w:id="1329598392">
      <w:bodyDiv w:val="1"/>
      <w:marLeft w:val="0"/>
      <w:marRight w:val="0"/>
      <w:marTop w:val="0"/>
      <w:marBottom w:val="0"/>
      <w:divBdr>
        <w:top w:val="none" w:sz="0" w:space="0" w:color="auto"/>
        <w:left w:val="none" w:sz="0" w:space="0" w:color="auto"/>
        <w:bottom w:val="none" w:sz="0" w:space="0" w:color="auto"/>
        <w:right w:val="none" w:sz="0" w:space="0" w:color="auto"/>
      </w:divBdr>
    </w:div>
    <w:div w:id="1335300488">
      <w:bodyDiv w:val="1"/>
      <w:marLeft w:val="0"/>
      <w:marRight w:val="0"/>
      <w:marTop w:val="0"/>
      <w:marBottom w:val="0"/>
      <w:divBdr>
        <w:top w:val="none" w:sz="0" w:space="0" w:color="auto"/>
        <w:left w:val="none" w:sz="0" w:space="0" w:color="auto"/>
        <w:bottom w:val="none" w:sz="0" w:space="0" w:color="auto"/>
        <w:right w:val="none" w:sz="0" w:space="0" w:color="auto"/>
      </w:divBdr>
    </w:div>
    <w:div w:id="1342512118">
      <w:bodyDiv w:val="1"/>
      <w:marLeft w:val="0"/>
      <w:marRight w:val="0"/>
      <w:marTop w:val="0"/>
      <w:marBottom w:val="0"/>
      <w:divBdr>
        <w:top w:val="none" w:sz="0" w:space="0" w:color="auto"/>
        <w:left w:val="none" w:sz="0" w:space="0" w:color="auto"/>
        <w:bottom w:val="none" w:sz="0" w:space="0" w:color="auto"/>
        <w:right w:val="none" w:sz="0" w:space="0" w:color="auto"/>
      </w:divBdr>
    </w:div>
    <w:div w:id="1343044947">
      <w:bodyDiv w:val="1"/>
      <w:marLeft w:val="0"/>
      <w:marRight w:val="0"/>
      <w:marTop w:val="0"/>
      <w:marBottom w:val="0"/>
      <w:divBdr>
        <w:top w:val="none" w:sz="0" w:space="0" w:color="auto"/>
        <w:left w:val="none" w:sz="0" w:space="0" w:color="auto"/>
        <w:bottom w:val="none" w:sz="0" w:space="0" w:color="auto"/>
        <w:right w:val="none" w:sz="0" w:space="0" w:color="auto"/>
      </w:divBdr>
    </w:div>
    <w:div w:id="1344816103">
      <w:bodyDiv w:val="1"/>
      <w:marLeft w:val="0"/>
      <w:marRight w:val="0"/>
      <w:marTop w:val="0"/>
      <w:marBottom w:val="0"/>
      <w:divBdr>
        <w:top w:val="none" w:sz="0" w:space="0" w:color="auto"/>
        <w:left w:val="none" w:sz="0" w:space="0" w:color="auto"/>
        <w:bottom w:val="none" w:sz="0" w:space="0" w:color="auto"/>
        <w:right w:val="none" w:sz="0" w:space="0" w:color="auto"/>
      </w:divBdr>
    </w:div>
    <w:div w:id="1354500877">
      <w:bodyDiv w:val="1"/>
      <w:marLeft w:val="0"/>
      <w:marRight w:val="0"/>
      <w:marTop w:val="0"/>
      <w:marBottom w:val="0"/>
      <w:divBdr>
        <w:top w:val="none" w:sz="0" w:space="0" w:color="auto"/>
        <w:left w:val="none" w:sz="0" w:space="0" w:color="auto"/>
        <w:bottom w:val="none" w:sz="0" w:space="0" w:color="auto"/>
        <w:right w:val="none" w:sz="0" w:space="0" w:color="auto"/>
      </w:divBdr>
    </w:div>
    <w:div w:id="1359047818">
      <w:bodyDiv w:val="1"/>
      <w:marLeft w:val="0"/>
      <w:marRight w:val="0"/>
      <w:marTop w:val="0"/>
      <w:marBottom w:val="0"/>
      <w:divBdr>
        <w:top w:val="none" w:sz="0" w:space="0" w:color="auto"/>
        <w:left w:val="none" w:sz="0" w:space="0" w:color="auto"/>
        <w:bottom w:val="none" w:sz="0" w:space="0" w:color="auto"/>
        <w:right w:val="none" w:sz="0" w:space="0" w:color="auto"/>
      </w:divBdr>
    </w:div>
    <w:div w:id="1362705137">
      <w:bodyDiv w:val="1"/>
      <w:marLeft w:val="0"/>
      <w:marRight w:val="0"/>
      <w:marTop w:val="0"/>
      <w:marBottom w:val="0"/>
      <w:divBdr>
        <w:top w:val="none" w:sz="0" w:space="0" w:color="auto"/>
        <w:left w:val="none" w:sz="0" w:space="0" w:color="auto"/>
        <w:bottom w:val="none" w:sz="0" w:space="0" w:color="auto"/>
        <w:right w:val="none" w:sz="0" w:space="0" w:color="auto"/>
      </w:divBdr>
    </w:div>
    <w:div w:id="1362828548">
      <w:bodyDiv w:val="1"/>
      <w:marLeft w:val="0"/>
      <w:marRight w:val="0"/>
      <w:marTop w:val="0"/>
      <w:marBottom w:val="0"/>
      <w:divBdr>
        <w:top w:val="none" w:sz="0" w:space="0" w:color="auto"/>
        <w:left w:val="none" w:sz="0" w:space="0" w:color="auto"/>
        <w:bottom w:val="none" w:sz="0" w:space="0" w:color="auto"/>
        <w:right w:val="none" w:sz="0" w:space="0" w:color="auto"/>
      </w:divBdr>
    </w:div>
    <w:div w:id="1374111009">
      <w:bodyDiv w:val="1"/>
      <w:marLeft w:val="0"/>
      <w:marRight w:val="0"/>
      <w:marTop w:val="0"/>
      <w:marBottom w:val="0"/>
      <w:divBdr>
        <w:top w:val="none" w:sz="0" w:space="0" w:color="auto"/>
        <w:left w:val="none" w:sz="0" w:space="0" w:color="auto"/>
        <w:bottom w:val="none" w:sz="0" w:space="0" w:color="auto"/>
        <w:right w:val="none" w:sz="0" w:space="0" w:color="auto"/>
      </w:divBdr>
      <w:divsChild>
        <w:div w:id="122236826">
          <w:blockQuote w:val="1"/>
          <w:marLeft w:val="720"/>
          <w:marRight w:val="720"/>
          <w:marTop w:val="100"/>
          <w:marBottom w:val="100"/>
          <w:divBdr>
            <w:top w:val="none" w:sz="0" w:space="0" w:color="auto"/>
            <w:left w:val="none" w:sz="0" w:space="0" w:color="auto"/>
            <w:bottom w:val="none" w:sz="0" w:space="0" w:color="auto"/>
            <w:right w:val="none" w:sz="0" w:space="0" w:color="auto"/>
          </w:divBdr>
        </w:div>
        <w:div w:id="9057226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75692217">
      <w:bodyDiv w:val="1"/>
      <w:marLeft w:val="0"/>
      <w:marRight w:val="0"/>
      <w:marTop w:val="0"/>
      <w:marBottom w:val="0"/>
      <w:divBdr>
        <w:top w:val="none" w:sz="0" w:space="0" w:color="auto"/>
        <w:left w:val="none" w:sz="0" w:space="0" w:color="auto"/>
        <w:bottom w:val="none" w:sz="0" w:space="0" w:color="auto"/>
        <w:right w:val="none" w:sz="0" w:space="0" w:color="auto"/>
      </w:divBdr>
    </w:div>
    <w:div w:id="1380278675">
      <w:bodyDiv w:val="1"/>
      <w:marLeft w:val="0"/>
      <w:marRight w:val="0"/>
      <w:marTop w:val="0"/>
      <w:marBottom w:val="0"/>
      <w:divBdr>
        <w:top w:val="none" w:sz="0" w:space="0" w:color="auto"/>
        <w:left w:val="none" w:sz="0" w:space="0" w:color="auto"/>
        <w:bottom w:val="none" w:sz="0" w:space="0" w:color="auto"/>
        <w:right w:val="none" w:sz="0" w:space="0" w:color="auto"/>
      </w:divBdr>
    </w:div>
    <w:div w:id="1381906056">
      <w:bodyDiv w:val="1"/>
      <w:marLeft w:val="0"/>
      <w:marRight w:val="0"/>
      <w:marTop w:val="0"/>
      <w:marBottom w:val="0"/>
      <w:divBdr>
        <w:top w:val="none" w:sz="0" w:space="0" w:color="auto"/>
        <w:left w:val="none" w:sz="0" w:space="0" w:color="auto"/>
        <w:bottom w:val="none" w:sz="0" w:space="0" w:color="auto"/>
        <w:right w:val="none" w:sz="0" w:space="0" w:color="auto"/>
      </w:divBdr>
    </w:div>
    <w:div w:id="1385058702">
      <w:bodyDiv w:val="1"/>
      <w:marLeft w:val="0"/>
      <w:marRight w:val="0"/>
      <w:marTop w:val="0"/>
      <w:marBottom w:val="0"/>
      <w:divBdr>
        <w:top w:val="none" w:sz="0" w:space="0" w:color="auto"/>
        <w:left w:val="none" w:sz="0" w:space="0" w:color="auto"/>
        <w:bottom w:val="none" w:sz="0" w:space="0" w:color="auto"/>
        <w:right w:val="none" w:sz="0" w:space="0" w:color="auto"/>
      </w:divBdr>
    </w:div>
    <w:div w:id="1389374765">
      <w:bodyDiv w:val="1"/>
      <w:marLeft w:val="0"/>
      <w:marRight w:val="0"/>
      <w:marTop w:val="0"/>
      <w:marBottom w:val="0"/>
      <w:divBdr>
        <w:top w:val="none" w:sz="0" w:space="0" w:color="auto"/>
        <w:left w:val="none" w:sz="0" w:space="0" w:color="auto"/>
        <w:bottom w:val="none" w:sz="0" w:space="0" w:color="auto"/>
        <w:right w:val="none" w:sz="0" w:space="0" w:color="auto"/>
      </w:divBdr>
    </w:div>
    <w:div w:id="1391417456">
      <w:bodyDiv w:val="1"/>
      <w:marLeft w:val="0"/>
      <w:marRight w:val="0"/>
      <w:marTop w:val="0"/>
      <w:marBottom w:val="0"/>
      <w:divBdr>
        <w:top w:val="none" w:sz="0" w:space="0" w:color="auto"/>
        <w:left w:val="none" w:sz="0" w:space="0" w:color="auto"/>
        <w:bottom w:val="none" w:sz="0" w:space="0" w:color="auto"/>
        <w:right w:val="none" w:sz="0" w:space="0" w:color="auto"/>
      </w:divBdr>
      <w:divsChild>
        <w:div w:id="436632767">
          <w:marLeft w:val="0"/>
          <w:marRight w:val="0"/>
          <w:marTop w:val="0"/>
          <w:marBottom w:val="0"/>
          <w:divBdr>
            <w:top w:val="none" w:sz="0" w:space="0" w:color="auto"/>
            <w:left w:val="none" w:sz="0" w:space="0" w:color="auto"/>
            <w:bottom w:val="none" w:sz="0" w:space="0" w:color="auto"/>
            <w:right w:val="none" w:sz="0" w:space="0" w:color="auto"/>
          </w:divBdr>
        </w:div>
        <w:div w:id="685062502">
          <w:marLeft w:val="0"/>
          <w:marRight w:val="0"/>
          <w:marTop w:val="0"/>
          <w:marBottom w:val="0"/>
          <w:divBdr>
            <w:top w:val="none" w:sz="0" w:space="0" w:color="auto"/>
            <w:left w:val="none" w:sz="0" w:space="0" w:color="auto"/>
            <w:bottom w:val="none" w:sz="0" w:space="0" w:color="auto"/>
            <w:right w:val="none" w:sz="0" w:space="0" w:color="auto"/>
          </w:divBdr>
        </w:div>
        <w:div w:id="1438867731">
          <w:marLeft w:val="0"/>
          <w:marRight w:val="0"/>
          <w:marTop w:val="0"/>
          <w:marBottom w:val="0"/>
          <w:divBdr>
            <w:top w:val="none" w:sz="0" w:space="0" w:color="auto"/>
            <w:left w:val="none" w:sz="0" w:space="0" w:color="auto"/>
            <w:bottom w:val="none" w:sz="0" w:space="0" w:color="auto"/>
            <w:right w:val="none" w:sz="0" w:space="0" w:color="auto"/>
          </w:divBdr>
        </w:div>
      </w:divsChild>
    </w:div>
    <w:div w:id="1398940597">
      <w:bodyDiv w:val="1"/>
      <w:marLeft w:val="0"/>
      <w:marRight w:val="0"/>
      <w:marTop w:val="0"/>
      <w:marBottom w:val="0"/>
      <w:divBdr>
        <w:top w:val="none" w:sz="0" w:space="0" w:color="auto"/>
        <w:left w:val="none" w:sz="0" w:space="0" w:color="auto"/>
        <w:bottom w:val="none" w:sz="0" w:space="0" w:color="auto"/>
        <w:right w:val="none" w:sz="0" w:space="0" w:color="auto"/>
      </w:divBdr>
    </w:div>
    <w:div w:id="1399860514">
      <w:bodyDiv w:val="1"/>
      <w:marLeft w:val="0"/>
      <w:marRight w:val="0"/>
      <w:marTop w:val="0"/>
      <w:marBottom w:val="0"/>
      <w:divBdr>
        <w:top w:val="none" w:sz="0" w:space="0" w:color="auto"/>
        <w:left w:val="none" w:sz="0" w:space="0" w:color="auto"/>
        <w:bottom w:val="none" w:sz="0" w:space="0" w:color="auto"/>
        <w:right w:val="none" w:sz="0" w:space="0" w:color="auto"/>
      </w:divBdr>
    </w:div>
    <w:div w:id="1403991621">
      <w:bodyDiv w:val="1"/>
      <w:marLeft w:val="0"/>
      <w:marRight w:val="0"/>
      <w:marTop w:val="0"/>
      <w:marBottom w:val="0"/>
      <w:divBdr>
        <w:top w:val="none" w:sz="0" w:space="0" w:color="auto"/>
        <w:left w:val="none" w:sz="0" w:space="0" w:color="auto"/>
        <w:bottom w:val="none" w:sz="0" w:space="0" w:color="auto"/>
        <w:right w:val="none" w:sz="0" w:space="0" w:color="auto"/>
      </w:divBdr>
    </w:div>
    <w:div w:id="1411973329">
      <w:bodyDiv w:val="1"/>
      <w:marLeft w:val="0"/>
      <w:marRight w:val="0"/>
      <w:marTop w:val="0"/>
      <w:marBottom w:val="0"/>
      <w:divBdr>
        <w:top w:val="none" w:sz="0" w:space="0" w:color="auto"/>
        <w:left w:val="none" w:sz="0" w:space="0" w:color="auto"/>
        <w:bottom w:val="none" w:sz="0" w:space="0" w:color="auto"/>
        <w:right w:val="none" w:sz="0" w:space="0" w:color="auto"/>
      </w:divBdr>
    </w:div>
    <w:div w:id="1419329926">
      <w:bodyDiv w:val="1"/>
      <w:marLeft w:val="0"/>
      <w:marRight w:val="0"/>
      <w:marTop w:val="0"/>
      <w:marBottom w:val="0"/>
      <w:divBdr>
        <w:top w:val="none" w:sz="0" w:space="0" w:color="auto"/>
        <w:left w:val="none" w:sz="0" w:space="0" w:color="auto"/>
        <w:bottom w:val="none" w:sz="0" w:space="0" w:color="auto"/>
        <w:right w:val="none" w:sz="0" w:space="0" w:color="auto"/>
      </w:divBdr>
    </w:div>
    <w:div w:id="1427917171">
      <w:bodyDiv w:val="1"/>
      <w:marLeft w:val="0"/>
      <w:marRight w:val="0"/>
      <w:marTop w:val="0"/>
      <w:marBottom w:val="0"/>
      <w:divBdr>
        <w:top w:val="none" w:sz="0" w:space="0" w:color="auto"/>
        <w:left w:val="none" w:sz="0" w:space="0" w:color="auto"/>
        <w:bottom w:val="none" w:sz="0" w:space="0" w:color="auto"/>
        <w:right w:val="none" w:sz="0" w:space="0" w:color="auto"/>
      </w:divBdr>
    </w:div>
    <w:div w:id="1430154931">
      <w:bodyDiv w:val="1"/>
      <w:marLeft w:val="0"/>
      <w:marRight w:val="0"/>
      <w:marTop w:val="0"/>
      <w:marBottom w:val="0"/>
      <w:divBdr>
        <w:top w:val="none" w:sz="0" w:space="0" w:color="auto"/>
        <w:left w:val="none" w:sz="0" w:space="0" w:color="auto"/>
        <w:bottom w:val="none" w:sz="0" w:space="0" w:color="auto"/>
        <w:right w:val="none" w:sz="0" w:space="0" w:color="auto"/>
      </w:divBdr>
    </w:div>
    <w:div w:id="1431583667">
      <w:bodyDiv w:val="1"/>
      <w:marLeft w:val="0"/>
      <w:marRight w:val="0"/>
      <w:marTop w:val="0"/>
      <w:marBottom w:val="0"/>
      <w:divBdr>
        <w:top w:val="none" w:sz="0" w:space="0" w:color="auto"/>
        <w:left w:val="none" w:sz="0" w:space="0" w:color="auto"/>
        <w:bottom w:val="none" w:sz="0" w:space="0" w:color="auto"/>
        <w:right w:val="none" w:sz="0" w:space="0" w:color="auto"/>
      </w:divBdr>
    </w:div>
    <w:div w:id="1434282580">
      <w:bodyDiv w:val="1"/>
      <w:marLeft w:val="0"/>
      <w:marRight w:val="0"/>
      <w:marTop w:val="0"/>
      <w:marBottom w:val="0"/>
      <w:divBdr>
        <w:top w:val="none" w:sz="0" w:space="0" w:color="auto"/>
        <w:left w:val="none" w:sz="0" w:space="0" w:color="auto"/>
        <w:bottom w:val="none" w:sz="0" w:space="0" w:color="auto"/>
        <w:right w:val="none" w:sz="0" w:space="0" w:color="auto"/>
      </w:divBdr>
    </w:div>
    <w:div w:id="1435712603">
      <w:bodyDiv w:val="1"/>
      <w:marLeft w:val="0"/>
      <w:marRight w:val="0"/>
      <w:marTop w:val="0"/>
      <w:marBottom w:val="0"/>
      <w:divBdr>
        <w:top w:val="none" w:sz="0" w:space="0" w:color="auto"/>
        <w:left w:val="none" w:sz="0" w:space="0" w:color="auto"/>
        <w:bottom w:val="none" w:sz="0" w:space="0" w:color="auto"/>
        <w:right w:val="none" w:sz="0" w:space="0" w:color="auto"/>
      </w:divBdr>
    </w:div>
    <w:div w:id="1437480068">
      <w:bodyDiv w:val="1"/>
      <w:marLeft w:val="0"/>
      <w:marRight w:val="0"/>
      <w:marTop w:val="0"/>
      <w:marBottom w:val="0"/>
      <w:divBdr>
        <w:top w:val="none" w:sz="0" w:space="0" w:color="auto"/>
        <w:left w:val="none" w:sz="0" w:space="0" w:color="auto"/>
        <w:bottom w:val="none" w:sz="0" w:space="0" w:color="auto"/>
        <w:right w:val="none" w:sz="0" w:space="0" w:color="auto"/>
      </w:divBdr>
    </w:div>
    <w:div w:id="1440682944">
      <w:bodyDiv w:val="1"/>
      <w:marLeft w:val="0"/>
      <w:marRight w:val="0"/>
      <w:marTop w:val="0"/>
      <w:marBottom w:val="0"/>
      <w:divBdr>
        <w:top w:val="none" w:sz="0" w:space="0" w:color="auto"/>
        <w:left w:val="none" w:sz="0" w:space="0" w:color="auto"/>
        <w:bottom w:val="none" w:sz="0" w:space="0" w:color="auto"/>
        <w:right w:val="none" w:sz="0" w:space="0" w:color="auto"/>
      </w:divBdr>
    </w:div>
    <w:div w:id="1445419347">
      <w:bodyDiv w:val="1"/>
      <w:marLeft w:val="0"/>
      <w:marRight w:val="0"/>
      <w:marTop w:val="0"/>
      <w:marBottom w:val="0"/>
      <w:divBdr>
        <w:top w:val="none" w:sz="0" w:space="0" w:color="auto"/>
        <w:left w:val="none" w:sz="0" w:space="0" w:color="auto"/>
        <w:bottom w:val="none" w:sz="0" w:space="0" w:color="auto"/>
        <w:right w:val="none" w:sz="0" w:space="0" w:color="auto"/>
      </w:divBdr>
    </w:div>
    <w:div w:id="1449810842">
      <w:bodyDiv w:val="1"/>
      <w:marLeft w:val="0"/>
      <w:marRight w:val="0"/>
      <w:marTop w:val="0"/>
      <w:marBottom w:val="0"/>
      <w:divBdr>
        <w:top w:val="none" w:sz="0" w:space="0" w:color="auto"/>
        <w:left w:val="none" w:sz="0" w:space="0" w:color="auto"/>
        <w:bottom w:val="none" w:sz="0" w:space="0" w:color="auto"/>
        <w:right w:val="none" w:sz="0" w:space="0" w:color="auto"/>
      </w:divBdr>
    </w:div>
    <w:div w:id="1453745513">
      <w:bodyDiv w:val="1"/>
      <w:marLeft w:val="0"/>
      <w:marRight w:val="0"/>
      <w:marTop w:val="0"/>
      <w:marBottom w:val="0"/>
      <w:divBdr>
        <w:top w:val="none" w:sz="0" w:space="0" w:color="auto"/>
        <w:left w:val="none" w:sz="0" w:space="0" w:color="auto"/>
        <w:bottom w:val="none" w:sz="0" w:space="0" w:color="auto"/>
        <w:right w:val="none" w:sz="0" w:space="0" w:color="auto"/>
      </w:divBdr>
    </w:div>
    <w:div w:id="1463233400">
      <w:bodyDiv w:val="1"/>
      <w:marLeft w:val="0"/>
      <w:marRight w:val="0"/>
      <w:marTop w:val="0"/>
      <w:marBottom w:val="0"/>
      <w:divBdr>
        <w:top w:val="none" w:sz="0" w:space="0" w:color="auto"/>
        <w:left w:val="none" w:sz="0" w:space="0" w:color="auto"/>
        <w:bottom w:val="none" w:sz="0" w:space="0" w:color="auto"/>
        <w:right w:val="none" w:sz="0" w:space="0" w:color="auto"/>
      </w:divBdr>
    </w:div>
    <w:div w:id="1466509761">
      <w:bodyDiv w:val="1"/>
      <w:marLeft w:val="0"/>
      <w:marRight w:val="0"/>
      <w:marTop w:val="0"/>
      <w:marBottom w:val="0"/>
      <w:divBdr>
        <w:top w:val="none" w:sz="0" w:space="0" w:color="auto"/>
        <w:left w:val="none" w:sz="0" w:space="0" w:color="auto"/>
        <w:bottom w:val="none" w:sz="0" w:space="0" w:color="auto"/>
        <w:right w:val="none" w:sz="0" w:space="0" w:color="auto"/>
      </w:divBdr>
    </w:div>
    <w:div w:id="1468669534">
      <w:bodyDiv w:val="1"/>
      <w:marLeft w:val="0"/>
      <w:marRight w:val="0"/>
      <w:marTop w:val="0"/>
      <w:marBottom w:val="0"/>
      <w:divBdr>
        <w:top w:val="none" w:sz="0" w:space="0" w:color="auto"/>
        <w:left w:val="none" w:sz="0" w:space="0" w:color="auto"/>
        <w:bottom w:val="none" w:sz="0" w:space="0" w:color="auto"/>
        <w:right w:val="none" w:sz="0" w:space="0" w:color="auto"/>
      </w:divBdr>
    </w:div>
    <w:div w:id="1472598659">
      <w:bodyDiv w:val="1"/>
      <w:marLeft w:val="0"/>
      <w:marRight w:val="0"/>
      <w:marTop w:val="0"/>
      <w:marBottom w:val="0"/>
      <w:divBdr>
        <w:top w:val="none" w:sz="0" w:space="0" w:color="auto"/>
        <w:left w:val="none" w:sz="0" w:space="0" w:color="auto"/>
        <w:bottom w:val="none" w:sz="0" w:space="0" w:color="auto"/>
        <w:right w:val="none" w:sz="0" w:space="0" w:color="auto"/>
      </w:divBdr>
    </w:div>
    <w:div w:id="1476530780">
      <w:bodyDiv w:val="1"/>
      <w:marLeft w:val="0"/>
      <w:marRight w:val="0"/>
      <w:marTop w:val="0"/>
      <w:marBottom w:val="0"/>
      <w:divBdr>
        <w:top w:val="none" w:sz="0" w:space="0" w:color="auto"/>
        <w:left w:val="none" w:sz="0" w:space="0" w:color="auto"/>
        <w:bottom w:val="none" w:sz="0" w:space="0" w:color="auto"/>
        <w:right w:val="none" w:sz="0" w:space="0" w:color="auto"/>
      </w:divBdr>
    </w:div>
    <w:div w:id="1487085999">
      <w:bodyDiv w:val="1"/>
      <w:marLeft w:val="0"/>
      <w:marRight w:val="0"/>
      <w:marTop w:val="0"/>
      <w:marBottom w:val="0"/>
      <w:divBdr>
        <w:top w:val="none" w:sz="0" w:space="0" w:color="auto"/>
        <w:left w:val="none" w:sz="0" w:space="0" w:color="auto"/>
        <w:bottom w:val="none" w:sz="0" w:space="0" w:color="auto"/>
        <w:right w:val="none" w:sz="0" w:space="0" w:color="auto"/>
      </w:divBdr>
    </w:div>
    <w:div w:id="1500000790">
      <w:bodyDiv w:val="1"/>
      <w:marLeft w:val="0"/>
      <w:marRight w:val="0"/>
      <w:marTop w:val="0"/>
      <w:marBottom w:val="0"/>
      <w:divBdr>
        <w:top w:val="none" w:sz="0" w:space="0" w:color="auto"/>
        <w:left w:val="none" w:sz="0" w:space="0" w:color="auto"/>
        <w:bottom w:val="none" w:sz="0" w:space="0" w:color="auto"/>
        <w:right w:val="none" w:sz="0" w:space="0" w:color="auto"/>
      </w:divBdr>
    </w:div>
    <w:div w:id="1501697509">
      <w:bodyDiv w:val="1"/>
      <w:marLeft w:val="0"/>
      <w:marRight w:val="0"/>
      <w:marTop w:val="0"/>
      <w:marBottom w:val="0"/>
      <w:divBdr>
        <w:top w:val="none" w:sz="0" w:space="0" w:color="auto"/>
        <w:left w:val="none" w:sz="0" w:space="0" w:color="auto"/>
        <w:bottom w:val="none" w:sz="0" w:space="0" w:color="auto"/>
        <w:right w:val="none" w:sz="0" w:space="0" w:color="auto"/>
      </w:divBdr>
    </w:div>
    <w:div w:id="1502157470">
      <w:bodyDiv w:val="1"/>
      <w:marLeft w:val="0"/>
      <w:marRight w:val="0"/>
      <w:marTop w:val="0"/>
      <w:marBottom w:val="0"/>
      <w:divBdr>
        <w:top w:val="none" w:sz="0" w:space="0" w:color="auto"/>
        <w:left w:val="none" w:sz="0" w:space="0" w:color="auto"/>
        <w:bottom w:val="none" w:sz="0" w:space="0" w:color="auto"/>
        <w:right w:val="none" w:sz="0" w:space="0" w:color="auto"/>
      </w:divBdr>
    </w:div>
    <w:div w:id="1533038013">
      <w:bodyDiv w:val="1"/>
      <w:marLeft w:val="0"/>
      <w:marRight w:val="0"/>
      <w:marTop w:val="0"/>
      <w:marBottom w:val="0"/>
      <w:divBdr>
        <w:top w:val="none" w:sz="0" w:space="0" w:color="auto"/>
        <w:left w:val="none" w:sz="0" w:space="0" w:color="auto"/>
        <w:bottom w:val="none" w:sz="0" w:space="0" w:color="auto"/>
        <w:right w:val="none" w:sz="0" w:space="0" w:color="auto"/>
      </w:divBdr>
    </w:div>
    <w:div w:id="1534466601">
      <w:bodyDiv w:val="1"/>
      <w:marLeft w:val="0"/>
      <w:marRight w:val="0"/>
      <w:marTop w:val="0"/>
      <w:marBottom w:val="0"/>
      <w:divBdr>
        <w:top w:val="none" w:sz="0" w:space="0" w:color="auto"/>
        <w:left w:val="none" w:sz="0" w:space="0" w:color="auto"/>
        <w:bottom w:val="none" w:sz="0" w:space="0" w:color="auto"/>
        <w:right w:val="none" w:sz="0" w:space="0" w:color="auto"/>
      </w:divBdr>
    </w:div>
    <w:div w:id="1534996909">
      <w:bodyDiv w:val="1"/>
      <w:marLeft w:val="0"/>
      <w:marRight w:val="0"/>
      <w:marTop w:val="0"/>
      <w:marBottom w:val="0"/>
      <w:divBdr>
        <w:top w:val="none" w:sz="0" w:space="0" w:color="auto"/>
        <w:left w:val="none" w:sz="0" w:space="0" w:color="auto"/>
        <w:bottom w:val="none" w:sz="0" w:space="0" w:color="auto"/>
        <w:right w:val="none" w:sz="0" w:space="0" w:color="auto"/>
      </w:divBdr>
      <w:divsChild>
        <w:div w:id="494804544">
          <w:marLeft w:val="0"/>
          <w:marRight w:val="0"/>
          <w:marTop w:val="0"/>
          <w:marBottom w:val="0"/>
          <w:divBdr>
            <w:top w:val="none" w:sz="0" w:space="0" w:color="auto"/>
            <w:left w:val="none" w:sz="0" w:space="0" w:color="auto"/>
            <w:bottom w:val="none" w:sz="0" w:space="0" w:color="auto"/>
            <w:right w:val="none" w:sz="0" w:space="0" w:color="auto"/>
          </w:divBdr>
        </w:div>
        <w:div w:id="558515304">
          <w:marLeft w:val="0"/>
          <w:marRight w:val="0"/>
          <w:marTop w:val="0"/>
          <w:marBottom w:val="0"/>
          <w:divBdr>
            <w:top w:val="none" w:sz="0" w:space="0" w:color="auto"/>
            <w:left w:val="none" w:sz="0" w:space="0" w:color="auto"/>
            <w:bottom w:val="none" w:sz="0" w:space="0" w:color="auto"/>
            <w:right w:val="none" w:sz="0" w:space="0" w:color="auto"/>
          </w:divBdr>
        </w:div>
        <w:div w:id="1049066108">
          <w:marLeft w:val="0"/>
          <w:marRight w:val="0"/>
          <w:marTop w:val="0"/>
          <w:marBottom w:val="0"/>
          <w:divBdr>
            <w:top w:val="none" w:sz="0" w:space="0" w:color="auto"/>
            <w:left w:val="none" w:sz="0" w:space="0" w:color="auto"/>
            <w:bottom w:val="none" w:sz="0" w:space="0" w:color="auto"/>
            <w:right w:val="none" w:sz="0" w:space="0" w:color="auto"/>
          </w:divBdr>
        </w:div>
      </w:divsChild>
    </w:div>
    <w:div w:id="1539050047">
      <w:bodyDiv w:val="1"/>
      <w:marLeft w:val="0"/>
      <w:marRight w:val="0"/>
      <w:marTop w:val="0"/>
      <w:marBottom w:val="0"/>
      <w:divBdr>
        <w:top w:val="none" w:sz="0" w:space="0" w:color="auto"/>
        <w:left w:val="none" w:sz="0" w:space="0" w:color="auto"/>
        <w:bottom w:val="none" w:sz="0" w:space="0" w:color="auto"/>
        <w:right w:val="none" w:sz="0" w:space="0" w:color="auto"/>
      </w:divBdr>
    </w:div>
    <w:div w:id="1553152544">
      <w:bodyDiv w:val="1"/>
      <w:marLeft w:val="0"/>
      <w:marRight w:val="0"/>
      <w:marTop w:val="0"/>
      <w:marBottom w:val="0"/>
      <w:divBdr>
        <w:top w:val="none" w:sz="0" w:space="0" w:color="auto"/>
        <w:left w:val="none" w:sz="0" w:space="0" w:color="auto"/>
        <w:bottom w:val="none" w:sz="0" w:space="0" w:color="auto"/>
        <w:right w:val="none" w:sz="0" w:space="0" w:color="auto"/>
      </w:divBdr>
    </w:div>
    <w:div w:id="1559853717">
      <w:bodyDiv w:val="1"/>
      <w:marLeft w:val="0"/>
      <w:marRight w:val="0"/>
      <w:marTop w:val="0"/>
      <w:marBottom w:val="0"/>
      <w:divBdr>
        <w:top w:val="none" w:sz="0" w:space="0" w:color="auto"/>
        <w:left w:val="none" w:sz="0" w:space="0" w:color="auto"/>
        <w:bottom w:val="none" w:sz="0" w:space="0" w:color="auto"/>
        <w:right w:val="none" w:sz="0" w:space="0" w:color="auto"/>
      </w:divBdr>
    </w:div>
    <w:div w:id="1574389971">
      <w:bodyDiv w:val="1"/>
      <w:marLeft w:val="0"/>
      <w:marRight w:val="0"/>
      <w:marTop w:val="0"/>
      <w:marBottom w:val="0"/>
      <w:divBdr>
        <w:top w:val="none" w:sz="0" w:space="0" w:color="auto"/>
        <w:left w:val="none" w:sz="0" w:space="0" w:color="auto"/>
        <w:bottom w:val="none" w:sz="0" w:space="0" w:color="auto"/>
        <w:right w:val="none" w:sz="0" w:space="0" w:color="auto"/>
      </w:divBdr>
    </w:div>
    <w:div w:id="1578052565">
      <w:bodyDiv w:val="1"/>
      <w:marLeft w:val="0"/>
      <w:marRight w:val="0"/>
      <w:marTop w:val="0"/>
      <w:marBottom w:val="0"/>
      <w:divBdr>
        <w:top w:val="none" w:sz="0" w:space="0" w:color="auto"/>
        <w:left w:val="none" w:sz="0" w:space="0" w:color="auto"/>
        <w:bottom w:val="none" w:sz="0" w:space="0" w:color="auto"/>
        <w:right w:val="none" w:sz="0" w:space="0" w:color="auto"/>
      </w:divBdr>
    </w:div>
    <w:div w:id="1582333882">
      <w:bodyDiv w:val="1"/>
      <w:marLeft w:val="0"/>
      <w:marRight w:val="0"/>
      <w:marTop w:val="0"/>
      <w:marBottom w:val="0"/>
      <w:divBdr>
        <w:top w:val="none" w:sz="0" w:space="0" w:color="auto"/>
        <w:left w:val="none" w:sz="0" w:space="0" w:color="auto"/>
        <w:bottom w:val="none" w:sz="0" w:space="0" w:color="auto"/>
        <w:right w:val="none" w:sz="0" w:space="0" w:color="auto"/>
      </w:divBdr>
    </w:div>
    <w:div w:id="1586569200">
      <w:bodyDiv w:val="1"/>
      <w:marLeft w:val="0"/>
      <w:marRight w:val="0"/>
      <w:marTop w:val="0"/>
      <w:marBottom w:val="0"/>
      <w:divBdr>
        <w:top w:val="none" w:sz="0" w:space="0" w:color="auto"/>
        <w:left w:val="none" w:sz="0" w:space="0" w:color="auto"/>
        <w:bottom w:val="none" w:sz="0" w:space="0" w:color="auto"/>
        <w:right w:val="none" w:sz="0" w:space="0" w:color="auto"/>
      </w:divBdr>
    </w:div>
    <w:div w:id="1591042521">
      <w:bodyDiv w:val="1"/>
      <w:marLeft w:val="0"/>
      <w:marRight w:val="0"/>
      <w:marTop w:val="0"/>
      <w:marBottom w:val="0"/>
      <w:divBdr>
        <w:top w:val="none" w:sz="0" w:space="0" w:color="auto"/>
        <w:left w:val="none" w:sz="0" w:space="0" w:color="auto"/>
        <w:bottom w:val="none" w:sz="0" w:space="0" w:color="auto"/>
        <w:right w:val="none" w:sz="0" w:space="0" w:color="auto"/>
      </w:divBdr>
    </w:div>
    <w:div w:id="1592078186">
      <w:bodyDiv w:val="1"/>
      <w:marLeft w:val="0"/>
      <w:marRight w:val="0"/>
      <w:marTop w:val="0"/>
      <w:marBottom w:val="0"/>
      <w:divBdr>
        <w:top w:val="none" w:sz="0" w:space="0" w:color="auto"/>
        <w:left w:val="none" w:sz="0" w:space="0" w:color="auto"/>
        <w:bottom w:val="none" w:sz="0" w:space="0" w:color="auto"/>
        <w:right w:val="none" w:sz="0" w:space="0" w:color="auto"/>
      </w:divBdr>
    </w:div>
    <w:div w:id="1601061283">
      <w:bodyDiv w:val="1"/>
      <w:marLeft w:val="0"/>
      <w:marRight w:val="0"/>
      <w:marTop w:val="0"/>
      <w:marBottom w:val="0"/>
      <w:divBdr>
        <w:top w:val="none" w:sz="0" w:space="0" w:color="auto"/>
        <w:left w:val="none" w:sz="0" w:space="0" w:color="auto"/>
        <w:bottom w:val="none" w:sz="0" w:space="0" w:color="auto"/>
        <w:right w:val="none" w:sz="0" w:space="0" w:color="auto"/>
      </w:divBdr>
    </w:div>
    <w:div w:id="1628316147">
      <w:bodyDiv w:val="1"/>
      <w:marLeft w:val="0"/>
      <w:marRight w:val="0"/>
      <w:marTop w:val="0"/>
      <w:marBottom w:val="0"/>
      <w:divBdr>
        <w:top w:val="none" w:sz="0" w:space="0" w:color="auto"/>
        <w:left w:val="none" w:sz="0" w:space="0" w:color="auto"/>
        <w:bottom w:val="none" w:sz="0" w:space="0" w:color="auto"/>
        <w:right w:val="none" w:sz="0" w:space="0" w:color="auto"/>
      </w:divBdr>
    </w:div>
    <w:div w:id="1635286105">
      <w:bodyDiv w:val="1"/>
      <w:marLeft w:val="0"/>
      <w:marRight w:val="0"/>
      <w:marTop w:val="0"/>
      <w:marBottom w:val="0"/>
      <w:divBdr>
        <w:top w:val="none" w:sz="0" w:space="0" w:color="auto"/>
        <w:left w:val="none" w:sz="0" w:space="0" w:color="auto"/>
        <w:bottom w:val="none" w:sz="0" w:space="0" w:color="auto"/>
        <w:right w:val="none" w:sz="0" w:space="0" w:color="auto"/>
      </w:divBdr>
    </w:div>
    <w:div w:id="1637491599">
      <w:bodyDiv w:val="1"/>
      <w:marLeft w:val="0"/>
      <w:marRight w:val="0"/>
      <w:marTop w:val="0"/>
      <w:marBottom w:val="0"/>
      <w:divBdr>
        <w:top w:val="none" w:sz="0" w:space="0" w:color="auto"/>
        <w:left w:val="none" w:sz="0" w:space="0" w:color="auto"/>
        <w:bottom w:val="none" w:sz="0" w:space="0" w:color="auto"/>
        <w:right w:val="none" w:sz="0" w:space="0" w:color="auto"/>
      </w:divBdr>
    </w:div>
    <w:div w:id="1641039031">
      <w:bodyDiv w:val="1"/>
      <w:marLeft w:val="0"/>
      <w:marRight w:val="0"/>
      <w:marTop w:val="0"/>
      <w:marBottom w:val="0"/>
      <w:divBdr>
        <w:top w:val="none" w:sz="0" w:space="0" w:color="auto"/>
        <w:left w:val="none" w:sz="0" w:space="0" w:color="auto"/>
        <w:bottom w:val="none" w:sz="0" w:space="0" w:color="auto"/>
        <w:right w:val="none" w:sz="0" w:space="0" w:color="auto"/>
      </w:divBdr>
    </w:div>
    <w:div w:id="1644773498">
      <w:bodyDiv w:val="1"/>
      <w:marLeft w:val="0"/>
      <w:marRight w:val="0"/>
      <w:marTop w:val="0"/>
      <w:marBottom w:val="0"/>
      <w:divBdr>
        <w:top w:val="none" w:sz="0" w:space="0" w:color="auto"/>
        <w:left w:val="none" w:sz="0" w:space="0" w:color="auto"/>
        <w:bottom w:val="none" w:sz="0" w:space="0" w:color="auto"/>
        <w:right w:val="none" w:sz="0" w:space="0" w:color="auto"/>
      </w:divBdr>
    </w:div>
    <w:div w:id="1645312539">
      <w:bodyDiv w:val="1"/>
      <w:marLeft w:val="0"/>
      <w:marRight w:val="0"/>
      <w:marTop w:val="0"/>
      <w:marBottom w:val="0"/>
      <w:divBdr>
        <w:top w:val="none" w:sz="0" w:space="0" w:color="auto"/>
        <w:left w:val="none" w:sz="0" w:space="0" w:color="auto"/>
        <w:bottom w:val="none" w:sz="0" w:space="0" w:color="auto"/>
        <w:right w:val="none" w:sz="0" w:space="0" w:color="auto"/>
      </w:divBdr>
    </w:div>
    <w:div w:id="1645894093">
      <w:bodyDiv w:val="1"/>
      <w:marLeft w:val="0"/>
      <w:marRight w:val="0"/>
      <w:marTop w:val="0"/>
      <w:marBottom w:val="0"/>
      <w:divBdr>
        <w:top w:val="none" w:sz="0" w:space="0" w:color="auto"/>
        <w:left w:val="none" w:sz="0" w:space="0" w:color="auto"/>
        <w:bottom w:val="none" w:sz="0" w:space="0" w:color="auto"/>
        <w:right w:val="none" w:sz="0" w:space="0" w:color="auto"/>
      </w:divBdr>
    </w:div>
    <w:div w:id="1653288471">
      <w:bodyDiv w:val="1"/>
      <w:marLeft w:val="0"/>
      <w:marRight w:val="0"/>
      <w:marTop w:val="0"/>
      <w:marBottom w:val="0"/>
      <w:divBdr>
        <w:top w:val="none" w:sz="0" w:space="0" w:color="auto"/>
        <w:left w:val="none" w:sz="0" w:space="0" w:color="auto"/>
        <w:bottom w:val="none" w:sz="0" w:space="0" w:color="auto"/>
        <w:right w:val="none" w:sz="0" w:space="0" w:color="auto"/>
      </w:divBdr>
    </w:div>
    <w:div w:id="1655838328">
      <w:bodyDiv w:val="1"/>
      <w:marLeft w:val="0"/>
      <w:marRight w:val="0"/>
      <w:marTop w:val="0"/>
      <w:marBottom w:val="0"/>
      <w:divBdr>
        <w:top w:val="none" w:sz="0" w:space="0" w:color="auto"/>
        <w:left w:val="none" w:sz="0" w:space="0" w:color="auto"/>
        <w:bottom w:val="none" w:sz="0" w:space="0" w:color="auto"/>
        <w:right w:val="none" w:sz="0" w:space="0" w:color="auto"/>
      </w:divBdr>
    </w:div>
    <w:div w:id="1656101943">
      <w:bodyDiv w:val="1"/>
      <w:marLeft w:val="0"/>
      <w:marRight w:val="0"/>
      <w:marTop w:val="0"/>
      <w:marBottom w:val="0"/>
      <w:divBdr>
        <w:top w:val="none" w:sz="0" w:space="0" w:color="auto"/>
        <w:left w:val="none" w:sz="0" w:space="0" w:color="auto"/>
        <w:bottom w:val="none" w:sz="0" w:space="0" w:color="auto"/>
        <w:right w:val="none" w:sz="0" w:space="0" w:color="auto"/>
      </w:divBdr>
    </w:div>
    <w:div w:id="1659067252">
      <w:bodyDiv w:val="1"/>
      <w:marLeft w:val="0"/>
      <w:marRight w:val="0"/>
      <w:marTop w:val="0"/>
      <w:marBottom w:val="0"/>
      <w:divBdr>
        <w:top w:val="none" w:sz="0" w:space="0" w:color="auto"/>
        <w:left w:val="none" w:sz="0" w:space="0" w:color="auto"/>
        <w:bottom w:val="none" w:sz="0" w:space="0" w:color="auto"/>
        <w:right w:val="none" w:sz="0" w:space="0" w:color="auto"/>
      </w:divBdr>
    </w:div>
    <w:div w:id="1667129526">
      <w:bodyDiv w:val="1"/>
      <w:marLeft w:val="0"/>
      <w:marRight w:val="0"/>
      <w:marTop w:val="0"/>
      <w:marBottom w:val="0"/>
      <w:divBdr>
        <w:top w:val="none" w:sz="0" w:space="0" w:color="auto"/>
        <w:left w:val="none" w:sz="0" w:space="0" w:color="auto"/>
        <w:bottom w:val="none" w:sz="0" w:space="0" w:color="auto"/>
        <w:right w:val="none" w:sz="0" w:space="0" w:color="auto"/>
      </w:divBdr>
    </w:div>
    <w:div w:id="1688827071">
      <w:bodyDiv w:val="1"/>
      <w:marLeft w:val="0"/>
      <w:marRight w:val="0"/>
      <w:marTop w:val="0"/>
      <w:marBottom w:val="0"/>
      <w:divBdr>
        <w:top w:val="none" w:sz="0" w:space="0" w:color="auto"/>
        <w:left w:val="none" w:sz="0" w:space="0" w:color="auto"/>
        <w:bottom w:val="none" w:sz="0" w:space="0" w:color="auto"/>
        <w:right w:val="none" w:sz="0" w:space="0" w:color="auto"/>
      </w:divBdr>
    </w:div>
    <w:div w:id="1702970313">
      <w:bodyDiv w:val="1"/>
      <w:marLeft w:val="0"/>
      <w:marRight w:val="0"/>
      <w:marTop w:val="0"/>
      <w:marBottom w:val="0"/>
      <w:divBdr>
        <w:top w:val="none" w:sz="0" w:space="0" w:color="auto"/>
        <w:left w:val="none" w:sz="0" w:space="0" w:color="auto"/>
        <w:bottom w:val="none" w:sz="0" w:space="0" w:color="auto"/>
        <w:right w:val="none" w:sz="0" w:space="0" w:color="auto"/>
      </w:divBdr>
    </w:div>
    <w:div w:id="1709597810">
      <w:bodyDiv w:val="1"/>
      <w:marLeft w:val="0"/>
      <w:marRight w:val="0"/>
      <w:marTop w:val="0"/>
      <w:marBottom w:val="0"/>
      <w:divBdr>
        <w:top w:val="none" w:sz="0" w:space="0" w:color="auto"/>
        <w:left w:val="none" w:sz="0" w:space="0" w:color="auto"/>
        <w:bottom w:val="none" w:sz="0" w:space="0" w:color="auto"/>
        <w:right w:val="none" w:sz="0" w:space="0" w:color="auto"/>
      </w:divBdr>
    </w:div>
    <w:div w:id="1715039806">
      <w:bodyDiv w:val="1"/>
      <w:marLeft w:val="0"/>
      <w:marRight w:val="0"/>
      <w:marTop w:val="0"/>
      <w:marBottom w:val="0"/>
      <w:divBdr>
        <w:top w:val="none" w:sz="0" w:space="0" w:color="auto"/>
        <w:left w:val="none" w:sz="0" w:space="0" w:color="auto"/>
        <w:bottom w:val="none" w:sz="0" w:space="0" w:color="auto"/>
        <w:right w:val="none" w:sz="0" w:space="0" w:color="auto"/>
      </w:divBdr>
    </w:div>
    <w:div w:id="1719669082">
      <w:bodyDiv w:val="1"/>
      <w:marLeft w:val="0"/>
      <w:marRight w:val="0"/>
      <w:marTop w:val="0"/>
      <w:marBottom w:val="0"/>
      <w:divBdr>
        <w:top w:val="none" w:sz="0" w:space="0" w:color="auto"/>
        <w:left w:val="none" w:sz="0" w:space="0" w:color="auto"/>
        <w:bottom w:val="none" w:sz="0" w:space="0" w:color="auto"/>
        <w:right w:val="none" w:sz="0" w:space="0" w:color="auto"/>
      </w:divBdr>
    </w:div>
    <w:div w:id="1728265469">
      <w:bodyDiv w:val="1"/>
      <w:marLeft w:val="0"/>
      <w:marRight w:val="0"/>
      <w:marTop w:val="0"/>
      <w:marBottom w:val="0"/>
      <w:divBdr>
        <w:top w:val="none" w:sz="0" w:space="0" w:color="auto"/>
        <w:left w:val="none" w:sz="0" w:space="0" w:color="auto"/>
        <w:bottom w:val="none" w:sz="0" w:space="0" w:color="auto"/>
        <w:right w:val="none" w:sz="0" w:space="0" w:color="auto"/>
      </w:divBdr>
    </w:div>
    <w:div w:id="1752510282">
      <w:bodyDiv w:val="1"/>
      <w:marLeft w:val="0"/>
      <w:marRight w:val="0"/>
      <w:marTop w:val="0"/>
      <w:marBottom w:val="0"/>
      <w:divBdr>
        <w:top w:val="none" w:sz="0" w:space="0" w:color="auto"/>
        <w:left w:val="none" w:sz="0" w:space="0" w:color="auto"/>
        <w:bottom w:val="none" w:sz="0" w:space="0" w:color="auto"/>
        <w:right w:val="none" w:sz="0" w:space="0" w:color="auto"/>
      </w:divBdr>
    </w:div>
    <w:div w:id="1758281529">
      <w:bodyDiv w:val="1"/>
      <w:marLeft w:val="0"/>
      <w:marRight w:val="0"/>
      <w:marTop w:val="0"/>
      <w:marBottom w:val="0"/>
      <w:divBdr>
        <w:top w:val="none" w:sz="0" w:space="0" w:color="auto"/>
        <w:left w:val="none" w:sz="0" w:space="0" w:color="auto"/>
        <w:bottom w:val="none" w:sz="0" w:space="0" w:color="auto"/>
        <w:right w:val="none" w:sz="0" w:space="0" w:color="auto"/>
      </w:divBdr>
    </w:div>
    <w:div w:id="1759329179">
      <w:bodyDiv w:val="1"/>
      <w:marLeft w:val="0"/>
      <w:marRight w:val="0"/>
      <w:marTop w:val="0"/>
      <w:marBottom w:val="0"/>
      <w:divBdr>
        <w:top w:val="none" w:sz="0" w:space="0" w:color="auto"/>
        <w:left w:val="none" w:sz="0" w:space="0" w:color="auto"/>
        <w:bottom w:val="none" w:sz="0" w:space="0" w:color="auto"/>
        <w:right w:val="none" w:sz="0" w:space="0" w:color="auto"/>
      </w:divBdr>
    </w:div>
    <w:div w:id="1761173946">
      <w:bodyDiv w:val="1"/>
      <w:marLeft w:val="0"/>
      <w:marRight w:val="0"/>
      <w:marTop w:val="0"/>
      <w:marBottom w:val="0"/>
      <w:divBdr>
        <w:top w:val="none" w:sz="0" w:space="0" w:color="auto"/>
        <w:left w:val="none" w:sz="0" w:space="0" w:color="auto"/>
        <w:bottom w:val="none" w:sz="0" w:space="0" w:color="auto"/>
        <w:right w:val="none" w:sz="0" w:space="0" w:color="auto"/>
      </w:divBdr>
    </w:div>
    <w:div w:id="1778138734">
      <w:bodyDiv w:val="1"/>
      <w:marLeft w:val="0"/>
      <w:marRight w:val="0"/>
      <w:marTop w:val="0"/>
      <w:marBottom w:val="0"/>
      <w:divBdr>
        <w:top w:val="none" w:sz="0" w:space="0" w:color="auto"/>
        <w:left w:val="none" w:sz="0" w:space="0" w:color="auto"/>
        <w:bottom w:val="none" w:sz="0" w:space="0" w:color="auto"/>
        <w:right w:val="none" w:sz="0" w:space="0" w:color="auto"/>
      </w:divBdr>
    </w:div>
    <w:div w:id="1782140574">
      <w:bodyDiv w:val="1"/>
      <w:marLeft w:val="0"/>
      <w:marRight w:val="0"/>
      <w:marTop w:val="0"/>
      <w:marBottom w:val="0"/>
      <w:divBdr>
        <w:top w:val="none" w:sz="0" w:space="0" w:color="auto"/>
        <w:left w:val="none" w:sz="0" w:space="0" w:color="auto"/>
        <w:bottom w:val="none" w:sz="0" w:space="0" w:color="auto"/>
        <w:right w:val="none" w:sz="0" w:space="0" w:color="auto"/>
      </w:divBdr>
      <w:divsChild>
        <w:div w:id="1702049153">
          <w:blockQuote w:val="1"/>
          <w:marLeft w:val="720"/>
          <w:marRight w:val="720"/>
          <w:marTop w:val="100"/>
          <w:marBottom w:val="100"/>
          <w:divBdr>
            <w:top w:val="none" w:sz="0" w:space="0" w:color="auto"/>
            <w:left w:val="none" w:sz="0" w:space="0" w:color="auto"/>
            <w:bottom w:val="none" w:sz="0" w:space="0" w:color="auto"/>
            <w:right w:val="none" w:sz="0" w:space="0" w:color="auto"/>
          </w:divBdr>
        </w:div>
        <w:div w:id="18571897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86074343">
      <w:bodyDiv w:val="1"/>
      <w:marLeft w:val="0"/>
      <w:marRight w:val="0"/>
      <w:marTop w:val="0"/>
      <w:marBottom w:val="0"/>
      <w:divBdr>
        <w:top w:val="none" w:sz="0" w:space="0" w:color="auto"/>
        <w:left w:val="none" w:sz="0" w:space="0" w:color="auto"/>
        <w:bottom w:val="none" w:sz="0" w:space="0" w:color="auto"/>
        <w:right w:val="none" w:sz="0" w:space="0" w:color="auto"/>
      </w:divBdr>
    </w:div>
    <w:div w:id="1804304355">
      <w:bodyDiv w:val="1"/>
      <w:marLeft w:val="0"/>
      <w:marRight w:val="0"/>
      <w:marTop w:val="0"/>
      <w:marBottom w:val="0"/>
      <w:divBdr>
        <w:top w:val="none" w:sz="0" w:space="0" w:color="auto"/>
        <w:left w:val="none" w:sz="0" w:space="0" w:color="auto"/>
        <w:bottom w:val="none" w:sz="0" w:space="0" w:color="auto"/>
        <w:right w:val="none" w:sz="0" w:space="0" w:color="auto"/>
      </w:divBdr>
    </w:div>
    <w:div w:id="1809203954">
      <w:bodyDiv w:val="1"/>
      <w:marLeft w:val="0"/>
      <w:marRight w:val="0"/>
      <w:marTop w:val="0"/>
      <w:marBottom w:val="0"/>
      <w:divBdr>
        <w:top w:val="none" w:sz="0" w:space="0" w:color="auto"/>
        <w:left w:val="none" w:sz="0" w:space="0" w:color="auto"/>
        <w:bottom w:val="none" w:sz="0" w:space="0" w:color="auto"/>
        <w:right w:val="none" w:sz="0" w:space="0" w:color="auto"/>
      </w:divBdr>
    </w:div>
    <w:div w:id="1819375989">
      <w:bodyDiv w:val="1"/>
      <w:marLeft w:val="0"/>
      <w:marRight w:val="0"/>
      <w:marTop w:val="0"/>
      <w:marBottom w:val="0"/>
      <w:divBdr>
        <w:top w:val="none" w:sz="0" w:space="0" w:color="auto"/>
        <w:left w:val="none" w:sz="0" w:space="0" w:color="auto"/>
        <w:bottom w:val="none" w:sz="0" w:space="0" w:color="auto"/>
        <w:right w:val="none" w:sz="0" w:space="0" w:color="auto"/>
      </w:divBdr>
    </w:div>
    <w:div w:id="1827355989">
      <w:bodyDiv w:val="1"/>
      <w:marLeft w:val="0"/>
      <w:marRight w:val="0"/>
      <w:marTop w:val="0"/>
      <w:marBottom w:val="0"/>
      <w:divBdr>
        <w:top w:val="none" w:sz="0" w:space="0" w:color="auto"/>
        <w:left w:val="none" w:sz="0" w:space="0" w:color="auto"/>
        <w:bottom w:val="none" w:sz="0" w:space="0" w:color="auto"/>
        <w:right w:val="none" w:sz="0" w:space="0" w:color="auto"/>
      </w:divBdr>
    </w:div>
    <w:div w:id="1835144400">
      <w:bodyDiv w:val="1"/>
      <w:marLeft w:val="0"/>
      <w:marRight w:val="0"/>
      <w:marTop w:val="0"/>
      <w:marBottom w:val="0"/>
      <w:divBdr>
        <w:top w:val="none" w:sz="0" w:space="0" w:color="auto"/>
        <w:left w:val="none" w:sz="0" w:space="0" w:color="auto"/>
        <w:bottom w:val="none" w:sz="0" w:space="0" w:color="auto"/>
        <w:right w:val="none" w:sz="0" w:space="0" w:color="auto"/>
      </w:divBdr>
    </w:div>
    <w:div w:id="1843664117">
      <w:bodyDiv w:val="1"/>
      <w:marLeft w:val="0"/>
      <w:marRight w:val="0"/>
      <w:marTop w:val="0"/>
      <w:marBottom w:val="0"/>
      <w:divBdr>
        <w:top w:val="none" w:sz="0" w:space="0" w:color="auto"/>
        <w:left w:val="none" w:sz="0" w:space="0" w:color="auto"/>
        <w:bottom w:val="none" w:sz="0" w:space="0" w:color="auto"/>
        <w:right w:val="none" w:sz="0" w:space="0" w:color="auto"/>
      </w:divBdr>
    </w:div>
    <w:div w:id="1846095555">
      <w:bodyDiv w:val="1"/>
      <w:marLeft w:val="0"/>
      <w:marRight w:val="0"/>
      <w:marTop w:val="0"/>
      <w:marBottom w:val="0"/>
      <w:divBdr>
        <w:top w:val="none" w:sz="0" w:space="0" w:color="auto"/>
        <w:left w:val="none" w:sz="0" w:space="0" w:color="auto"/>
        <w:bottom w:val="none" w:sz="0" w:space="0" w:color="auto"/>
        <w:right w:val="none" w:sz="0" w:space="0" w:color="auto"/>
      </w:divBdr>
    </w:div>
    <w:div w:id="1850943143">
      <w:bodyDiv w:val="1"/>
      <w:marLeft w:val="0"/>
      <w:marRight w:val="0"/>
      <w:marTop w:val="0"/>
      <w:marBottom w:val="0"/>
      <w:divBdr>
        <w:top w:val="none" w:sz="0" w:space="0" w:color="auto"/>
        <w:left w:val="none" w:sz="0" w:space="0" w:color="auto"/>
        <w:bottom w:val="none" w:sz="0" w:space="0" w:color="auto"/>
        <w:right w:val="none" w:sz="0" w:space="0" w:color="auto"/>
      </w:divBdr>
    </w:div>
    <w:div w:id="1852987334">
      <w:bodyDiv w:val="1"/>
      <w:marLeft w:val="0"/>
      <w:marRight w:val="0"/>
      <w:marTop w:val="0"/>
      <w:marBottom w:val="0"/>
      <w:divBdr>
        <w:top w:val="none" w:sz="0" w:space="0" w:color="auto"/>
        <w:left w:val="none" w:sz="0" w:space="0" w:color="auto"/>
        <w:bottom w:val="none" w:sz="0" w:space="0" w:color="auto"/>
        <w:right w:val="none" w:sz="0" w:space="0" w:color="auto"/>
      </w:divBdr>
    </w:div>
    <w:div w:id="1858345959">
      <w:bodyDiv w:val="1"/>
      <w:marLeft w:val="0"/>
      <w:marRight w:val="0"/>
      <w:marTop w:val="0"/>
      <w:marBottom w:val="0"/>
      <w:divBdr>
        <w:top w:val="none" w:sz="0" w:space="0" w:color="auto"/>
        <w:left w:val="none" w:sz="0" w:space="0" w:color="auto"/>
        <w:bottom w:val="none" w:sz="0" w:space="0" w:color="auto"/>
        <w:right w:val="none" w:sz="0" w:space="0" w:color="auto"/>
      </w:divBdr>
    </w:div>
    <w:div w:id="1867719691">
      <w:bodyDiv w:val="1"/>
      <w:marLeft w:val="0"/>
      <w:marRight w:val="0"/>
      <w:marTop w:val="0"/>
      <w:marBottom w:val="0"/>
      <w:divBdr>
        <w:top w:val="none" w:sz="0" w:space="0" w:color="auto"/>
        <w:left w:val="none" w:sz="0" w:space="0" w:color="auto"/>
        <w:bottom w:val="none" w:sz="0" w:space="0" w:color="auto"/>
        <w:right w:val="none" w:sz="0" w:space="0" w:color="auto"/>
      </w:divBdr>
    </w:div>
    <w:div w:id="1886798029">
      <w:bodyDiv w:val="1"/>
      <w:marLeft w:val="0"/>
      <w:marRight w:val="0"/>
      <w:marTop w:val="0"/>
      <w:marBottom w:val="0"/>
      <w:divBdr>
        <w:top w:val="none" w:sz="0" w:space="0" w:color="auto"/>
        <w:left w:val="none" w:sz="0" w:space="0" w:color="auto"/>
        <w:bottom w:val="none" w:sz="0" w:space="0" w:color="auto"/>
        <w:right w:val="none" w:sz="0" w:space="0" w:color="auto"/>
      </w:divBdr>
    </w:div>
    <w:div w:id="1891114945">
      <w:bodyDiv w:val="1"/>
      <w:marLeft w:val="0"/>
      <w:marRight w:val="0"/>
      <w:marTop w:val="0"/>
      <w:marBottom w:val="0"/>
      <w:divBdr>
        <w:top w:val="none" w:sz="0" w:space="0" w:color="auto"/>
        <w:left w:val="none" w:sz="0" w:space="0" w:color="auto"/>
        <w:bottom w:val="none" w:sz="0" w:space="0" w:color="auto"/>
        <w:right w:val="none" w:sz="0" w:space="0" w:color="auto"/>
      </w:divBdr>
    </w:div>
    <w:div w:id="1892115450">
      <w:bodyDiv w:val="1"/>
      <w:marLeft w:val="0"/>
      <w:marRight w:val="0"/>
      <w:marTop w:val="0"/>
      <w:marBottom w:val="0"/>
      <w:divBdr>
        <w:top w:val="none" w:sz="0" w:space="0" w:color="auto"/>
        <w:left w:val="none" w:sz="0" w:space="0" w:color="auto"/>
        <w:bottom w:val="none" w:sz="0" w:space="0" w:color="auto"/>
        <w:right w:val="none" w:sz="0" w:space="0" w:color="auto"/>
      </w:divBdr>
    </w:div>
    <w:div w:id="1895197288">
      <w:bodyDiv w:val="1"/>
      <w:marLeft w:val="0"/>
      <w:marRight w:val="0"/>
      <w:marTop w:val="0"/>
      <w:marBottom w:val="0"/>
      <w:divBdr>
        <w:top w:val="none" w:sz="0" w:space="0" w:color="auto"/>
        <w:left w:val="none" w:sz="0" w:space="0" w:color="auto"/>
        <w:bottom w:val="none" w:sz="0" w:space="0" w:color="auto"/>
        <w:right w:val="none" w:sz="0" w:space="0" w:color="auto"/>
      </w:divBdr>
    </w:div>
    <w:div w:id="1898856261">
      <w:bodyDiv w:val="1"/>
      <w:marLeft w:val="0"/>
      <w:marRight w:val="0"/>
      <w:marTop w:val="0"/>
      <w:marBottom w:val="0"/>
      <w:divBdr>
        <w:top w:val="none" w:sz="0" w:space="0" w:color="auto"/>
        <w:left w:val="none" w:sz="0" w:space="0" w:color="auto"/>
        <w:bottom w:val="none" w:sz="0" w:space="0" w:color="auto"/>
        <w:right w:val="none" w:sz="0" w:space="0" w:color="auto"/>
      </w:divBdr>
    </w:div>
    <w:div w:id="1902667333">
      <w:bodyDiv w:val="1"/>
      <w:marLeft w:val="0"/>
      <w:marRight w:val="0"/>
      <w:marTop w:val="0"/>
      <w:marBottom w:val="0"/>
      <w:divBdr>
        <w:top w:val="none" w:sz="0" w:space="0" w:color="auto"/>
        <w:left w:val="none" w:sz="0" w:space="0" w:color="auto"/>
        <w:bottom w:val="none" w:sz="0" w:space="0" w:color="auto"/>
        <w:right w:val="none" w:sz="0" w:space="0" w:color="auto"/>
      </w:divBdr>
    </w:div>
    <w:div w:id="1909613481">
      <w:bodyDiv w:val="1"/>
      <w:marLeft w:val="0"/>
      <w:marRight w:val="0"/>
      <w:marTop w:val="0"/>
      <w:marBottom w:val="0"/>
      <w:divBdr>
        <w:top w:val="none" w:sz="0" w:space="0" w:color="auto"/>
        <w:left w:val="none" w:sz="0" w:space="0" w:color="auto"/>
        <w:bottom w:val="none" w:sz="0" w:space="0" w:color="auto"/>
        <w:right w:val="none" w:sz="0" w:space="0" w:color="auto"/>
      </w:divBdr>
    </w:div>
    <w:div w:id="1910996679">
      <w:bodyDiv w:val="1"/>
      <w:marLeft w:val="0"/>
      <w:marRight w:val="0"/>
      <w:marTop w:val="0"/>
      <w:marBottom w:val="0"/>
      <w:divBdr>
        <w:top w:val="none" w:sz="0" w:space="0" w:color="auto"/>
        <w:left w:val="none" w:sz="0" w:space="0" w:color="auto"/>
        <w:bottom w:val="none" w:sz="0" w:space="0" w:color="auto"/>
        <w:right w:val="none" w:sz="0" w:space="0" w:color="auto"/>
      </w:divBdr>
    </w:div>
    <w:div w:id="1914118799">
      <w:bodyDiv w:val="1"/>
      <w:marLeft w:val="0"/>
      <w:marRight w:val="0"/>
      <w:marTop w:val="0"/>
      <w:marBottom w:val="0"/>
      <w:divBdr>
        <w:top w:val="none" w:sz="0" w:space="0" w:color="auto"/>
        <w:left w:val="none" w:sz="0" w:space="0" w:color="auto"/>
        <w:bottom w:val="none" w:sz="0" w:space="0" w:color="auto"/>
        <w:right w:val="none" w:sz="0" w:space="0" w:color="auto"/>
      </w:divBdr>
      <w:divsChild>
        <w:div w:id="163278116">
          <w:marLeft w:val="0"/>
          <w:marRight w:val="0"/>
          <w:marTop w:val="0"/>
          <w:marBottom w:val="0"/>
          <w:divBdr>
            <w:top w:val="none" w:sz="0" w:space="0" w:color="auto"/>
            <w:left w:val="none" w:sz="0" w:space="0" w:color="auto"/>
            <w:bottom w:val="none" w:sz="0" w:space="0" w:color="auto"/>
            <w:right w:val="none" w:sz="0" w:space="0" w:color="auto"/>
          </w:divBdr>
        </w:div>
        <w:div w:id="573390641">
          <w:marLeft w:val="0"/>
          <w:marRight w:val="0"/>
          <w:marTop w:val="0"/>
          <w:marBottom w:val="0"/>
          <w:divBdr>
            <w:top w:val="none" w:sz="0" w:space="0" w:color="auto"/>
            <w:left w:val="none" w:sz="0" w:space="0" w:color="auto"/>
            <w:bottom w:val="none" w:sz="0" w:space="0" w:color="auto"/>
            <w:right w:val="none" w:sz="0" w:space="0" w:color="auto"/>
          </w:divBdr>
        </w:div>
        <w:div w:id="1393650021">
          <w:marLeft w:val="0"/>
          <w:marRight w:val="0"/>
          <w:marTop w:val="0"/>
          <w:marBottom w:val="0"/>
          <w:divBdr>
            <w:top w:val="none" w:sz="0" w:space="0" w:color="auto"/>
            <w:left w:val="none" w:sz="0" w:space="0" w:color="auto"/>
            <w:bottom w:val="none" w:sz="0" w:space="0" w:color="auto"/>
            <w:right w:val="none" w:sz="0" w:space="0" w:color="auto"/>
          </w:divBdr>
        </w:div>
      </w:divsChild>
    </w:div>
    <w:div w:id="1925068045">
      <w:bodyDiv w:val="1"/>
      <w:marLeft w:val="0"/>
      <w:marRight w:val="0"/>
      <w:marTop w:val="0"/>
      <w:marBottom w:val="0"/>
      <w:divBdr>
        <w:top w:val="none" w:sz="0" w:space="0" w:color="auto"/>
        <w:left w:val="none" w:sz="0" w:space="0" w:color="auto"/>
        <w:bottom w:val="none" w:sz="0" w:space="0" w:color="auto"/>
        <w:right w:val="none" w:sz="0" w:space="0" w:color="auto"/>
      </w:divBdr>
    </w:div>
    <w:div w:id="1930118570">
      <w:bodyDiv w:val="1"/>
      <w:marLeft w:val="0"/>
      <w:marRight w:val="0"/>
      <w:marTop w:val="0"/>
      <w:marBottom w:val="0"/>
      <w:divBdr>
        <w:top w:val="none" w:sz="0" w:space="0" w:color="auto"/>
        <w:left w:val="none" w:sz="0" w:space="0" w:color="auto"/>
        <w:bottom w:val="none" w:sz="0" w:space="0" w:color="auto"/>
        <w:right w:val="none" w:sz="0" w:space="0" w:color="auto"/>
      </w:divBdr>
    </w:div>
    <w:div w:id="1931040273">
      <w:bodyDiv w:val="1"/>
      <w:marLeft w:val="0"/>
      <w:marRight w:val="0"/>
      <w:marTop w:val="0"/>
      <w:marBottom w:val="0"/>
      <w:divBdr>
        <w:top w:val="none" w:sz="0" w:space="0" w:color="auto"/>
        <w:left w:val="none" w:sz="0" w:space="0" w:color="auto"/>
        <w:bottom w:val="none" w:sz="0" w:space="0" w:color="auto"/>
        <w:right w:val="none" w:sz="0" w:space="0" w:color="auto"/>
      </w:divBdr>
    </w:div>
    <w:div w:id="1931230734">
      <w:bodyDiv w:val="1"/>
      <w:marLeft w:val="0"/>
      <w:marRight w:val="0"/>
      <w:marTop w:val="0"/>
      <w:marBottom w:val="0"/>
      <w:divBdr>
        <w:top w:val="none" w:sz="0" w:space="0" w:color="auto"/>
        <w:left w:val="none" w:sz="0" w:space="0" w:color="auto"/>
        <w:bottom w:val="none" w:sz="0" w:space="0" w:color="auto"/>
        <w:right w:val="none" w:sz="0" w:space="0" w:color="auto"/>
      </w:divBdr>
    </w:div>
    <w:div w:id="1934196032">
      <w:bodyDiv w:val="1"/>
      <w:marLeft w:val="0"/>
      <w:marRight w:val="0"/>
      <w:marTop w:val="0"/>
      <w:marBottom w:val="0"/>
      <w:divBdr>
        <w:top w:val="none" w:sz="0" w:space="0" w:color="auto"/>
        <w:left w:val="none" w:sz="0" w:space="0" w:color="auto"/>
        <w:bottom w:val="none" w:sz="0" w:space="0" w:color="auto"/>
        <w:right w:val="none" w:sz="0" w:space="0" w:color="auto"/>
      </w:divBdr>
    </w:div>
    <w:div w:id="1944068263">
      <w:bodyDiv w:val="1"/>
      <w:marLeft w:val="0"/>
      <w:marRight w:val="0"/>
      <w:marTop w:val="0"/>
      <w:marBottom w:val="0"/>
      <w:divBdr>
        <w:top w:val="none" w:sz="0" w:space="0" w:color="auto"/>
        <w:left w:val="none" w:sz="0" w:space="0" w:color="auto"/>
        <w:bottom w:val="none" w:sz="0" w:space="0" w:color="auto"/>
        <w:right w:val="none" w:sz="0" w:space="0" w:color="auto"/>
      </w:divBdr>
    </w:div>
    <w:div w:id="1950502254">
      <w:bodyDiv w:val="1"/>
      <w:marLeft w:val="0"/>
      <w:marRight w:val="0"/>
      <w:marTop w:val="0"/>
      <w:marBottom w:val="0"/>
      <w:divBdr>
        <w:top w:val="none" w:sz="0" w:space="0" w:color="auto"/>
        <w:left w:val="none" w:sz="0" w:space="0" w:color="auto"/>
        <w:bottom w:val="none" w:sz="0" w:space="0" w:color="auto"/>
        <w:right w:val="none" w:sz="0" w:space="0" w:color="auto"/>
      </w:divBdr>
    </w:div>
    <w:div w:id="1957178937">
      <w:bodyDiv w:val="1"/>
      <w:marLeft w:val="0"/>
      <w:marRight w:val="0"/>
      <w:marTop w:val="0"/>
      <w:marBottom w:val="0"/>
      <w:divBdr>
        <w:top w:val="none" w:sz="0" w:space="0" w:color="auto"/>
        <w:left w:val="none" w:sz="0" w:space="0" w:color="auto"/>
        <w:bottom w:val="none" w:sz="0" w:space="0" w:color="auto"/>
        <w:right w:val="none" w:sz="0" w:space="0" w:color="auto"/>
      </w:divBdr>
    </w:div>
    <w:div w:id="1961767231">
      <w:bodyDiv w:val="1"/>
      <w:marLeft w:val="0"/>
      <w:marRight w:val="0"/>
      <w:marTop w:val="0"/>
      <w:marBottom w:val="0"/>
      <w:divBdr>
        <w:top w:val="none" w:sz="0" w:space="0" w:color="auto"/>
        <w:left w:val="none" w:sz="0" w:space="0" w:color="auto"/>
        <w:bottom w:val="none" w:sz="0" w:space="0" w:color="auto"/>
        <w:right w:val="none" w:sz="0" w:space="0" w:color="auto"/>
      </w:divBdr>
    </w:div>
    <w:div w:id="1966039656">
      <w:bodyDiv w:val="1"/>
      <w:marLeft w:val="0"/>
      <w:marRight w:val="0"/>
      <w:marTop w:val="0"/>
      <w:marBottom w:val="0"/>
      <w:divBdr>
        <w:top w:val="none" w:sz="0" w:space="0" w:color="auto"/>
        <w:left w:val="none" w:sz="0" w:space="0" w:color="auto"/>
        <w:bottom w:val="none" w:sz="0" w:space="0" w:color="auto"/>
        <w:right w:val="none" w:sz="0" w:space="0" w:color="auto"/>
      </w:divBdr>
    </w:div>
    <w:div w:id="1971283184">
      <w:bodyDiv w:val="1"/>
      <w:marLeft w:val="0"/>
      <w:marRight w:val="0"/>
      <w:marTop w:val="0"/>
      <w:marBottom w:val="0"/>
      <w:divBdr>
        <w:top w:val="none" w:sz="0" w:space="0" w:color="auto"/>
        <w:left w:val="none" w:sz="0" w:space="0" w:color="auto"/>
        <w:bottom w:val="none" w:sz="0" w:space="0" w:color="auto"/>
        <w:right w:val="none" w:sz="0" w:space="0" w:color="auto"/>
      </w:divBdr>
    </w:div>
    <w:div w:id="1974675789">
      <w:bodyDiv w:val="1"/>
      <w:marLeft w:val="0"/>
      <w:marRight w:val="0"/>
      <w:marTop w:val="0"/>
      <w:marBottom w:val="0"/>
      <w:divBdr>
        <w:top w:val="none" w:sz="0" w:space="0" w:color="auto"/>
        <w:left w:val="none" w:sz="0" w:space="0" w:color="auto"/>
        <w:bottom w:val="none" w:sz="0" w:space="0" w:color="auto"/>
        <w:right w:val="none" w:sz="0" w:space="0" w:color="auto"/>
      </w:divBdr>
    </w:div>
    <w:div w:id="1975721484">
      <w:bodyDiv w:val="1"/>
      <w:marLeft w:val="0"/>
      <w:marRight w:val="0"/>
      <w:marTop w:val="0"/>
      <w:marBottom w:val="0"/>
      <w:divBdr>
        <w:top w:val="none" w:sz="0" w:space="0" w:color="auto"/>
        <w:left w:val="none" w:sz="0" w:space="0" w:color="auto"/>
        <w:bottom w:val="none" w:sz="0" w:space="0" w:color="auto"/>
        <w:right w:val="none" w:sz="0" w:space="0" w:color="auto"/>
      </w:divBdr>
    </w:div>
    <w:div w:id="1984583367">
      <w:bodyDiv w:val="1"/>
      <w:marLeft w:val="0"/>
      <w:marRight w:val="0"/>
      <w:marTop w:val="0"/>
      <w:marBottom w:val="0"/>
      <w:divBdr>
        <w:top w:val="none" w:sz="0" w:space="0" w:color="auto"/>
        <w:left w:val="none" w:sz="0" w:space="0" w:color="auto"/>
        <w:bottom w:val="none" w:sz="0" w:space="0" w:color="auto"/>
        <w:right w:val="none" w:sz="0" w:space="0" w:color="auto"/>
      </w:divBdr>
    </w:div>
    <w:div w:id="1985161340">
      <w:bodyDiv w:val="1"/>
      <w:marLeft w:val="0"/>
      <w:marRight w:val="0"/>
      <w:marTop w:val="0"/>
      <w:marBottom w:val="0"/>
      <w:divBdr>
        <w:top w:val="none" w:sz="0" w:space="0" w:color="auto"/>
        <w:left w:val="none" w:sz="0" w:space="0" w:color="auto"/>
        <w:bottom w:val="none" w:sz="0" w:space="0" w:color="auto"/>
        <w:right w:val="none" w:sz="0" w:space="0" w:color="auto"/>
      </w:divBdr>
    </w:div>
    <w:div w:id="1989819735">
      <w:bodyDiv w:val="1"/>
      <w:marLeft w:val="0"/>
      <w:marRight w:val="0"/>
      <w:marTop w:val="0"/>
      <w:marBottom w:val="0"/>
      <w:divBdr>
        <w:top w:val="none" w:sz="0" w:space="0" w:color="auto"/>
        <w:left w:val="none" w:sz="0" w:space="0" w:color="auto"/>
        <w:bottom w:val="none" w:sz="0" w:space="0" w:color="auto"/>
        <w:right w:val="none" w:sz="0" w:space="0" w:color="auto"/>
      </w:divBdr>
    </w:div>
    <w:div w:id="1990666398">
      <w:bodyDiv w:val="1"/>
      <w:marLeft w:val="0"/>
      <w:marRight w:val="0"/>
      <w:marTop w:val="0"/>
      <w:marBottom w:val="0"/>
      <w:divBdr>
        <w:top w:val="none" w:sz="0" w:space="0" w:color="auto"/>
        <w:left w:val="none" w:sz="0" w:space="0" w:color="auto"/>
        <w:bottom w:val="none" w:sz="0" w:space="0" w:color="auto"/>
        <w:right w:val="none" w:sz="0" w:space="0" w:color="auto"/>
      </w:divBdr>
    </w:div>
    <w:div w:id="1993409329">
      <w:bodyDiv w:val="1"/>
      <w:marLeft w:val="0"/>
      <w:marRight w:val="0"/>
      <w:marTop w:val="0"/>
      <w:marBottom w:val="0"/>
      <w:divBdr>
        <w:top w:val="none" w:sz="0" w:space="0" w:color="auto"/>
        <w:left w:val="none" w:sz="0" w:space="0" w:color="auto"/>
        <w:bottom w:val="none" w:sz="0" w:space="0" w:color="auto"/>
        <w:right w:val="none" w:sz="0" w:space="0" w:color="auto"/>
      </w:divBdr>
    </w:div>
    <w:div w:id="1996951641">
      <w:bodyDiv w:val="1"/>
      <w:marLeft w:val="0"/>
      <w:marRight w:val="0"/>
      <w:marTop w:val="0"/>
      <w:marBottom w:val="0"/>
      <w:divBdr>
        <w:top w:val="none" w:sz="0" w:space="0" w:color="auto"/>
        <w:left w:val="none" w:sz="0" w:space="0" w:color="auto"/>
        <w:bottom w:val="none" w:sz="0" w:space="0" w:color="auto"/>
        <w:right w:val="none" w:sz="0" w:space="0" w:color="auto"/>
      </w:divBdr>
    </w:div>
    <w:div w:id="2008440484">
      <w:bodyDiv w:val="1"/>
      <w:marLeft w:val="0"/>
      <w:marRight w:val="0"/>
      <w:marTop w:val="0"/>
      <w:marBottom w:val="0"/>
      <w:divBdr>
        <w:top w:val="none" w:sz="0" w:space="0" w:color="auto"/>
        <w:left w:val="none" w:sz="0" w:space="0" w:color="auto"/>
        <w:bottom w:val="none" w:sz="0" w:space="0" w:color="auto"/>
        <w:right w:val="none" w:sz="0" w:space="0" w:color="auto"/>
      </w:divBdr>
    </w:div>
    <w:div w:id="2008511678">
      <w:bodyDiv w:val="1"/>
      <w:marLeft w:val="0"/>
      <w:marRight w:val="0"/>
      <w:marTop w:val="0"/>
      <w:marBottom w:val="0"/>
      <w:divBdr>
        <w:top w:val="none" w:sz="0" w:space="0" w:color="auto"/>
        <w:left w:val="none" w:sz="0" w:space="0" w:color="auto"/>
        <w:bottom w:val="none" w:sz="0" w:space="0" w:color="auto"/>
        <w:right w:val="none" w:sz="0" w:space="0" w:color="auto"/>
      </w:divBdr>
    </w:div>
    <w:div w:id="2010519680">
      <w:bodyDiv w:val="1"/>
      <w:marLeft w:val="0"/>
      <w:marRight w:val="0"/>
      <w:marTop w:val="0"/>
      <w:marBottom w:val="0"/>
      <w:divBdr>
        <w:top w:val="none" w:sz="0" w:space="0" w:color="auto"/>
        <w:left w:val="none" w:sz="0" w:space="0" w:color="auto"/>
        <w:bottom w:val="none" w:sz="0" w:space="0" w:color="auto"/>
        <w:right w:val="none" w:sz="0" w:space="0" w:color="auto"/>
      </w:divBdr>
    </w:div>
    <w:div w:id="2016221674">
      <w:bodyDiv w:val="1"/>
      <w:marLeft w:val="0"/>
      <w:marRight w:val="0"/>
      <w:marTop w:val="0"/>
      <w:marBottom w:val="0"/>
      <w:divBdr>
        <w:top w:val="none" w:sz="0" w:space="0" w:color="auto"/>
        <w:left w:val="none" w:sz="0" w:space="0" w:color="auto"/>
        <w:bottom w:val="none" w:sz="0" w:space="0" w:color="auto"/>
        <w:right w:val="none" w:sz="0" w:space="0" w:color="auto"/>
      </w:divBdr>
    </w:div>
    <w:div w:id="2018918345">
      <w:bodyDiv w:val="1"/>
      <w:marLeft w:val="0"/>
      <w:marRight w:val="0"/>
      <w:marTop w:val="0"/>
      <w:marBottom w:val="0"/>
      <w:divBdr>
        <w:top w:val="none" w:sz="0" w:space="0" w:color="auto"/>
        <w:left w:val="none" w:sz="0" w:space="0" w:color="auto"/>
        <w:bottom w:val="none" w:sz="0" w:space="0" w:color="auto"/>
        <w:right w:val="none" w:sz="0" w:space="0" w:color="auto"/>
      </w:divBdr>
    </w:div>
    <w:div w:id="2039696636">
      <w:bodyDiv w:val="1"/>
      <w:marLeft w:val="0"/>
      <w:marRight w:val="0"/>
      <w:marTop w:val="0"/>
      <w:marBottom w:val="0"/>
      <w:divBdr>
        <w:top w:val="none" w:sz="0" w:space="0" w:color="auto"/>
        <w:left w:val="none" w:sz="0" w:space="0" w:color="auto"/>
        <w:bottom w:val="none" w:sz="0" w:space="0" w:color="auto"/>
        <w:right w:val="none" w:sz="0" w:space="0" w:color="auto"/>
      </w:divBdr>
    </w:div>
    <w:div w:id="2053768303">
      <w:bodyDiv w:val="1"/>
      <w:marLeft w:val="0"/>
      <w:marRight w:val="0"/>
      <w:marTop w:val="0"/>
      <w:marBottom w:val="0"/>
      <w:divBdr>
        <w:top w:val="none" w:sz="0" w:space="0" w:color="auto"/>
        <w:left w:val="none" w:sz="0" w:space="0" w:color="auto"/>
        <w:bottom w:val="none" w:sz="0" w:space="0" w:color="auto"/>
        <w:right w:val="none" w:sz="0" w:space="0" w:color="auto"/>
      </w:divBdr>
    </w:div>
    <w:div w:id="2057505232">
      <w:bodyDiv w:val="1"/>
      <w:marLeft w:val="0"/>
      <w:marRight w:val="0"/>
      <w:marTop w:val="0"/>
      <w:marBottom w:val="0"/>
      <w:divBdr>
        <w:top w:val="none" w:sz="0" w:space="0" w:color="auto"/>
        <w:left w:val="none" w:sz="0" w:space="0" w:color="auto"/>
        <w:bottom w:val="none" w:sz="0" w:space="0" w:color="auto"/>
        <w:right w:val="none" w:sz="0" w:space="0" w:color="auto"/>
      </w:divBdr>
    </w:div>
    <w:div w:id="2060392686">
      <w:bodyDiv w:val="1"/>
      <w:marLeft w:val="0"/>
      <w:marRight w:val="0"/>
      <w:marTop w:val="0"/>
      <w:marBottom w:val="0"/>
      <w:divBdr>
        <w:top w:val="none" w:sz="0" w:space="0" w:color="auto"/>
        <w:left w:val="none" w:sz="0" w:space="0" w:color="auto"/>
        <w:bottom w:val="none" w:sz="0" w:space="0" w:color="auto"/>
        <w:right w:val="none" w:sz="0" w:space="0" w:color="auto"/>
      </w:divBdr>
    </w:div>
    <w:div w:id="2064015198">
      <w:bodyDiv w:val="1"/>
      <w:marLeft w:val="0"/>
      <w:marRight w:val="0"/>
      <w:marTop w:val="0"/>
      <w:marBottom w:val="0"/>
      <w:divBdr>
        <w:top w:val="none" w:sz="0" w:space="0" w:color="auto"/>
        <w:left w:val="none" w:sz="0" w:space="0" w:color="auto"/>
        <w:bottom w:val="none" w:sz="0" w:space="0" w:color="auto"/>
        <w:right w:val="none" w:sz="0" w:space="0" w:color="auto"/>
      </w:divBdr>
    </w:div>
    <w:div w:id="2068915875">
      <w:bodyDiv w:val="1"/>
      <w:marLeft w:val="0"/>
      <w:marRight w:val="0"/>
      <w:marTop w:val="0"/>
      <w:marBottom w:val="0"/>
      <w:divBdr>
        <w:top w:val="none" w:sz="0" w:space="0" w:color="auto"/>
        <w:left w:val="none" w:sz="0" w:space="0" w:color="auto"/>
        <w:bottom w:val="none" w:sz="0" w:space="0" w:color="auto"/>
        <w:right w:val="none" w:sz="0" w:space="0" w:color="auto"/>
      </w:divBdr>
    </w:div>
    <w:div w:id="2073919312">
      <w:bodyDiv w:val="1"/>
      <w:marLeft w:val="0"/>
      <w:marRight w:val="0"/>
      <w:marTop w:val="0"/>
      <w:marBottom w:val="0"/>
      <w:divBdr>
        <w:top w:val="none" w:sz="0" w:space="0" w:color="auto"/>
        <w:left w:val="none" w:sz="0" w:space="0" w:color="auto"/>
        <w:bottom w:val="none" w:sz="0" w:space="0" w:color="auto"/>
        <w:right w:val="none" w:sz="0" w:space="0" w:color="auto"/>
      </w:divBdr>
    </w:div>
    <w:div w:id="2084523727">
      <w:bodyDiv w:val="1"/>
      <w:marLeft w:val="0"/>
      <w:marRight w:val="0"/>
      <w:marTop w:val="0"/>
      <w:marBottom w:val="0"/>
      <w:divBdr>
        <w:top w:val="none" w:sz="0" w:space="0" w:color="auto"/>
        <w:left w:val="none" w:sz="0" w:space="0" w:color="auto"/>
        <w:bottom w:val="none" w:sz="0" w:space="0" w:color="auto"/>
        <w:right w:val="none" w:sz="0" w:space="0" w:color="auto"/>
      </w:divBdr>
    </w:div>
    <w:div w:id="2089424508">
      <w:bodyDiv w:val="1"/>
      <w:marLeft w:val="0"/>
      <w:marRight w:val="0"/>
      <w:marTop w:val="0"/>
      <w:marBottom w:val="0"/>
      <w:divBdr>
        <w:top w:val="none" w:sz="0" w:space="0" w:color="auto"/>
        <w:left w:val="none" w:sz="0" w:space="0" w:color="auto"/>
        <w:bottom w:val="none" w:sz="0" w:space="0" w:color="auto"/>
        <w:right w:val="none" w:sz="0" w:space="0" w:color="auto"/>
      </w:divBdr>
    </w:div>
    <w:div w:id="2097748053">
      <w:bodyDiv w:val="1"/>
      <w:marLeft w:val="0"/>
      <w:marRight w:val="0"/>
      <w:marTop w:val="0"/>
      <w:marBottom w:val="0"/>
      <w:divBdr>
        <w:top w:val="none" w:sz="0" w:space="0" w:color="auto"/>
        <w:left w:val="none" w:sz="0" w:space="0" w:color="auto"/>
        <w:bottom w:val="none" w:sz="0" w:space="0" w:color="auto"/>
        <w:right w:val="none" w:sz="0" w:space="0" w:color="auto"/>
      </w:divBdr>
    </w:div>
    <w:div w:id="2111587837">
      <w:bodyDiv w:val="1"/>
      <w:marLeft w:val="0"/>
      <w:marRight w:val="0"/>
      <w:marTop w:val="0"/>
      <w:marBottom w:val="0"/>
      <w:divBdr>
        <w:top w:val="none" w:sz="0" w:space="0" w:color="auto"/>
        <w:left w:val="none" w:sz="0" w:space="0" w:color="auto"/>
        <w:bottom w:val="none" w:sz="0" w:space="0" w:color="auto"/>
        <w:right w:val="none" w:sz="0" w:space="0" w:color="auto"/>
      </w:divBdr>
    </w:div>
    <w:div w:id="2119399648">
      <w:bodyDiv w:val="1"/>
      <w:marLeft w:val="0"/>
      <w:marRight w:val="0"/>
      <w:marTop w:val="0"/>
      <w:marBottom w:val="0"/>
      <w:divBdr>
        <w:top w:val="none" w:sz="0" w:space="0" w:color="auto"/>
        <w:left w:val="none" w:sz="0" w:space="0" w:color="auto"/>
        <w:bottom w:val="none" w:sz="0" w:space="0" w:color="auto"/>
        <w:right w:val="none" w:sz="0" w:space="0" w:color="auto"/>
      </w:divBdr>
    </w:div>
    <w:div w:id="2125803864">
      <w:bodyDiv w:val="1"/>
      <w:marLeft w:val="0"/>
      <w:marRight w:val="0"/>
      <w:marTop w:val="0"/>
      <w:marBottom w:val="0"/>
      <w:divBdr>
        <w:top w:val="none" w:sz="0" w:space="0" w:color="auto"/>
        <w:left w:val="none" w:sz="0" w:space="0" w:color="auto"/>
        <w:bottom w:val="none" w:sz="0" w:space="0" w:color="auto"/>
        <w:right w:val="none" w:sz="0" w:space="0" w:color="auto"/>
      </w:divBdr>
    </w:div>
    <w:div w:id="2136218940">
      <w:bodyDiv w:val="1"/>
      <w:marLeft w:val="0"/>
      <w:marRight w:val="0"/>
      <w:marTop w:val="0"/>
      <w:marBottom w:val="0"/>
      <w:divBdr>
        <w:top w:val="none" w:sz="0" w:space="0" w:color="auto"/>
        <w:left w:val="none" w:sz="0" w:space="0" w:color="auto"/>
        <w:bottom w:val="none" w:sz="0" w:space="0" w:color="auto"/>
        <w:right w:val="none" w:sz="0" w:space="0" w:color="auto"/>
      </w:divBdr>
    </w:div>
    <w:div w:id="2136678375">
      <w:bodyDiv w:val="1"/>
      <w:marLeft w:val="0"/>
      <w:marRight w:val="0"/>
      <w:marTop w:val="0"/>
      <w:marBottom w:val="0"/>
      <w:divBdr>
        <w:top w:val="none" w:sz="0" w:space="0" w:color="auto"/>
        <w:left w:val="none" w:sz="0" w:space="0" w:color="auto"/>
        <w:bottom w:val="none" w:sz="0" w:space="0" w:color="auto"/>
        <w:right w:val="none" w:sz="0" w:space="0" w:color="auto"/>
      </w:divBdr>
    </w:div>
    <w:div w:id="2137873426">
      <w:bodyDiv w:val="1"/>
      <w:marLeft w:val="0"/>
      <w:marRight w:val="0"/>
      <w:marTop w:val="0"/>
      <w:marBottom w:val="0"/>
      <w:divBdr>
        <w:top w:val="none" w:sz="0" w:space="0" w:color="auto"/>
        <w:left w:val="none" w:sz="0" w:space="0" w:color="auto"/>
        <w:bottom w:val="none" w:sz="0" w:space="0" w:color="auto"/>
        <w:right w:val="none" w:sz="0" w:space="0" w:color="auto"/>
      </w:divBdr>
    </w:div>
    <w:div w:id="2142990963">
      <w:bodyDiv w:val="1"/>
      <w:marLeft w:val="0"/>
      <w:marRight w:val="0"/>
      <w:marTop w:val="0"/>
      <w:marBottom w:val="0"/>
      <w:divBdr>
        <w:top w:val="none" w:sz="0" w:space="0" w:color="auto"/>
        <w:left w:val="none" w:sz="0" w:space="0" w:color="auto"/>
        <w:bottom w:val="none" w:sz="0" w:space="0" w:color="auto"/>
        <w:right w:val="none" w:sz="0" w:space="0" w:color="auto"/>
      </w:divBdr>
    </w:div>
    <w:div w:id="2145803620">
      <w:bodyDiv w:val="1"/>
      <w:marLeft w:val="0"/>
      <w:marRight w:val="0"/>
      <w:marTop w:val="0"/>
      <w:marBottom w:val="0"/>
      <w:divBdr>
        <w:top w:val="none" w:sz="0" w:space="0" w:color="auto"/>
        <w:left w:val="none" w:sz="0" w:space="0" w:color="auto"/>
        <w:bottom w:val="none" w:sz="0" w:space="0" w:color="auto"/>
        <w:right w:val="none" w:sz="0" w:space="0" w:color="auto"/>
      </w:divBdr>
    </w:div>
    <w:div w:id="2146579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FR/TXT/?uri=CELEX%3A52025DC0870&amp;qid=1761126156157" TargetMode="External"/><Relationship Id="rId3" Type="http://schemas.openxmlformats.org/officeDocument/2006/relationships/hyperlink" Target="https://data.europa.eu/doi/10.2775/645928" TargetMode="External"/><Relationship Id="rId7" Type="http://schemas.openxmlformats.org/officeDocument/2006/relationships/hyperlink" Target="https://www.europeana.eu/en" TargetMode="External"/><Relationship Id="rId2" Type="http://schemas.openxmlformats.org/officeDocument/2006/relationships/hyperlink" Target="https://public-buyers-community.ec.europa.eu/communities/procurement-ai/resources/updated-eu-ai-model-contractual-clauses" TargetMode="External"/><Relationship Id="rId1" Type="http://schemas.openxmlformats.org/officeDocument/2006/relationships/hyperlink" Target="https://public-buyers-community.ec.europa.eu/communities/procurement-ai/resources/updated-eu-ai-model-contractual-clauses" TargetMode="External"/><Relationship Id="rId6" Type="http://schemas.openxmlformats.org/officeDocument/2006/relationships/hyperlink" Target="https://eur-lex.europa.eu/legal-content/FR/TXT/HTML/?uri=CELEX:52025DC0045" TargetMode="External"/><Relationship Id="rId11" Type="http://schemas.openxmlformats.org/officeDocument/2006/relationships/hyperlink" Target="https://public-buyers-community.ec.europa.eu/communities/healthcare-efficiency/news/can-european-health-data-space-enable-better-procurement-big" TargetMode="External"/><Relationship Id="rId5" Type="http://schemas.openxmlformats.org/officeDocument/2006/relationships/hyperlink" Target="https://simpl-programme.ec.europa.eu/." TargetMode="External"/><Relationship Id="rId10" Type="http://schemas.openxmlformats.org/officeDocument/2006/relationships/hyperlink" Target="https://public-buyers-community.ec.europa.eu/communities/healthcare-efficiency/news/can-european-health-data-space-enable-better-procurement-big" TargetMode="External"/><Relationship Id="rId4" Type="http://schemas.openxmlformats.org/officeDocument/2006/relationships/hyperlink" Target="https://ec.europa.eu/growth/tools-databases/enorm/mandate/614_fr" TargetMode="External"/><Relationship Id="rId9" Type="http://schemas.openxmlformats.org/officeDocument/2006/relationships/hyperlink" Target="https://public-buyers-community.ec.europa.eu/communities/healthcare-efficiency/news/can-european-health-data-space-enable-better-procurement-bi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umber xmlns="e961ed8a-3cd7-4bf7-a930-0bf868d68aed" xsi:nil="true"/>
    <lcf76f155ced4ddcb4097134ff3c332f xmlns="e961ed8a-3cd7-4bf7-a930-0bf868d68aed">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5E7BC5499CC734CBA6A45618871720D" ma:contentTypeVersion="10" ma:contentTypeDescription="Create a new document." ma:contentTypeScope="" ma:versionID="5cf97ba44b8ba510bc2d2697dd4e0a50">
  <xsd:schema xmlns:xsd="http://www.w3.org/2001/XMLSchema" xmlns:xs="http://www.w3.org/2001/XMLSchema" xmlns:p="http://schemas.microsoft.com/office/2006/metadata/properties" xmlns:ns2="e961ed8a-3cd7-4bf7-a930-0bf868d68aed" targetNamespace="http://schemas.microsoft.com/office/2006/metadata/properties" ma:root="true" ma:fieldsID="52058c4409f04d21293288780974613f" ns2:_="">
    <xsd:import namespace="e961ed8a-3cd7-4bf7-a930-0bf868d68ae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Numb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61ed8a-3cd7-4bf7-a930-0bf868d68a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Number" ma:index="17" nillable="true" ma:displayName="Number" ma:format="Dropdown" ma:internalName="Number" ma:percentage="FALSE">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48A16C-0DA2-4A53-827E-341F085F94AF}">
  <ds:schemaRefs>
    <ds:schemaRef ds:uri="http://purl.org/dc/elements/1.1/"/>
    <ds:schemaRef ds:uri="http://schemas.openxmlformats.org/package/2006/metadata/core-properties"/>
    <ds:schemaRef ds:uri="http://www.w3.org/XML/1998/namespace"/>
    <ds:schemaRef ds:uri="http://purl.org/dc/dcmitype/"/>
    <ds:schemaRef ds:uri="http://schemas.microsoft.com/office/2006/metadata/properties"/>
    <ds:schemaRef ds:uri="http://schemas.microsoft.com/office/2006/documentManagement/types"/>
    <ds:schemaRef ds:uri="http://schemas.microsoft.com/office/infopath/2007/PartnerControls"/>
    <ds:schemaRef ds:uri="e961ed8a-3cd7-4bf7-a930-0bf868d68aed"/>
    <ds:schemaRef ds:uri="http://purl.org/dc/terms/"/>
  </ds:schemaRefs>
</ds:datastoreItem>
</file>

<file path=customXml/itemProps2.xml><?xml version="1.0" encoding="utf-8"?>
<ds:datastoreItem xmlns:ds="http://schemas.openxmlformats.org/officeDocument/2006/customXml" ds:itemID="{023DAC41-8ECB-48EC-870C-4E5F842B92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61ed8a-3cd7-4bf7-a930-0bf868d68a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12DE2E9-A010-4AE2-9FEB-EBD47D8C3666}">
  <ds:schemaRefs>
    <ds:schemaRef ds:uri="http://schemas.microsoft.com/sharepoint/v3/contenttype/forms"/>
  </ds:schemaRefs>
</ds:datastoreItem>
</file>

<file path=customXml/itemProps4.xml><?xml version="1.0" encoding="utf-8"?>
<ds:datastoreItem xmlns:ds="http://schemas.openxmlformats.org/officeDocument/2006/customXml" ds:itemID="{8FC86D56-9DC0-4609-B5BD-579DF426D1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10030</Words>
  <Characters>57174</Characters>
  <Application>Microsoft Office Word</Application>
  <DocSecurity>0</DocSecurity>
  <Lines>476</Lines>
  <Paragraphs>134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67070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2025-11-17T18:15:00Z</dcterms:created>
  <dcterms:modified xsi:type="dcterms:W3CDTF">2026-01-28T20:21:00Z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2025-11-14T10:53:18Z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f440ec50-3f57-43af-9fcd-6bf4792d8623</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CP-012</vt:lpwstr>
  </property>
  <property fmtid="{D5CDD505-2E9C-101B-9397-08002B2CF9AE}" pid="16" name="ContentTypeId">
    <vt:lpwstr>0x010100D5E7BC5499CC734CBA6A45618871720D</vt:lpwstr>
  </property>
  <property fmtid="{D5CDD505-2E9C-101B-9397-08002B2CF9AE}" pid="17" name="MediaServiceImageTags">
    <vt:lpwstr/>
  </property>
</Properties>
</file>