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459E12" w14:textId="4EE7AB57" w:rsidR="00600B5F" w:rsidRPr="002850C6" w:rsidRDefault="003A339D" w:rsidP="003A339D">
      <w:pPr>
        <w:pStyle w:val="Pagedecouverture"/>
        <w:rPr>
          <w:noProof/>
        </w:rPr>
      </w:pPr>
      <w:r>
        <w:rPr>
          <w:noProof/>
        </w:rPr>
        <w:pict w14:anchorId="300614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D85B198-26E5-46CC-8CB0-008AEECB4494" style="width:455.25pt;height:357.75pt">
            <v:imagedata r:id="rId8" o:title=""/>
          </v:shape>
        </w:pict>
      </w:r>
    </w:p>
    <w:p w14:paraId="46CDFBF8" w14:textId="77777777" w:rsidR="008B3302" w:rsidRPr="002850C6" w:rsidRDefault="008B3302" w:rsidP="00D96419">
      <w:pPr>
        <w:rPr>
          <w:noProof/>
        </w:rPr>
        <w:sectPr w:rsidR="008B3302" w:rsidRPr="002850C6" w:rsidSect="003A339D">
          <w:footerReference w:type="even" r:id="rId9"/>
          <w:footerReference w:type="default" r:id="rId10"/>
          <w:pgSz w:w="11907" w:h="16839"/>
          <w:pgMar w:top="1134" w:right="1417" w:bottom="1134" w:left="1417" w:header="709" w:footer="709" w:gutter="0"/>
          <w:pgNumType w:start="0"/>
          <w:cols w:space="720"/>
          <w:docGrid w:linePitch="360"/>
        </w:sectPr>
      </w:pPr>
    </w:p>
    <w:p w14:paraId="6748345B" w14:textId="77777777" w:rsidR="001E24F3" w:rsidRPr="002850C6" w:rsidRDefault="00840EE2">
      <w:pPr>
        <w:pStyle w:val="Exposdesmotifstitre"/>
        <w:rPr>
          <w:noProof/>
        </w:rPr>
      </w:pPr>
      <w:bookmarkStart w:id="0" w:name="_GoBack"/>
      <w:bookmarkEnd w:id="0"/>
      <w:r w:rsidRPr="002850C6">
        <w:rPr>
          <w:noProof/>
        </w:rPr>
        <w:lastRenderedPageBreak/>
        <w:t>EXPOSÉ DES MOTIFS</w:t>
      </w:r>
    </w:p>
    <w:p w14:paraId="580D6A0A" w14:textId="77777777" w:rsidR="001E24F3" w:rsidRPr="002850C6" w:rsidRDefault="009B5C10" w:rsidP="009B5C10">
      <w:pPr>
        <w:pStyle w:val="ManualHeading1"/>
        <w:rPr>
          <w:noProof/>
        </w:rPr>
      </w:pPr>
      <w:bookmarkStart w:id="1" w:name="_Toc213612544"/>
      <w:r w:rsidRPr="0086652C">
        <w:rPr>
          <w:noProof/>
        </w:rPr>
        <w:t>1</w:t>
      </w:r>
      <w:r w:rsidRPr="002850C6">
        <w:rPr>
          <w:noProof/>
        </w:rPr>
        <w:t>.</w:t>
      </w:r>
      <w:r w:rsidRPr="002850C6">
        <w:rPr>
          <w:noProof/>
        </w:rPr>
        <w:tab/>
        <w:t>CONTEXTE DE LA PROPOSITION</w:t>
      </w:r>
      <w:bookmarkEnd w:id="1"/>
    </w:p>
    <w:p w14:paraId="15A9D974" w14:textId="77777777" w:rsidR="001E24F3" w:rsidRPr="002850C6" w:rsidRDefault="00840EE2">
      <w:pPr>
        <w:pStyle w:val="ManualHeading2"/>
        <w:rPr>
          <w:noProof/>
        </w:rPr>
      </w:pPr>
      <w:bookmarkStart w:id="2" w:name="_Toc213612545"/>
      <w:r w:rsidRPr="002850C6">
        <w:rPr>
          <w:noProof/>
        </w:rPr>
        <w:t>•</w:t>
      </w:r>
      <w:r w:rsidRPr="002850C6">
        <w:rPr>
          <w:noProof/>
        </w:rPr>
        <w:tab/>
        <w:t>Justification et objectifs de la proposition</w:t>
      </w:r>
      <w:bookmarkEnd w:id="2"/>
    </w:p>
    <w:p w14:paraId="3007E61F" w14:textId="77777777" w:rsidR="001E24F3" w:rsidRPr="002850C6" w:rsidRDefault="00840EE2">
      <w:pPr>
        <w:rPr>
          <w:noProof/>
        </w:rPr>
      </w:pPr>
      <w:r w:rsidRPr="002850C6">
        <w:rPr>
          <w:noProof/>
        </w:rPr>
        <w:t>La mobilité militaire est la capacité des forces armées des États membres à déplacer rapidement des troupes et des équipements dans l’Union et à l’ensemble de ses frontières extérieures à des fins militaires. Catalyseur essentiel de la sécurité et de la dissuasion européennes, elle sous-tend la préparation et l’état de préparation de l’Union. La mobilité militaire est vitale pour notre sécurité et notre défense européennes et notre capacité à réagir face aux troubles causés tant par la nature que par l’être humain. Les forces des États membres de l’Union européenne (UE) doivent être en mesure d’effectuer le transport militaire d’équipements, de marchandises et de passagers dans l’Union et à l’ensemble de ses frontières extérieures, tout en réduisant au minimum et en atténuant l’incidence de ce transport sur le transport civil, et de réagir rapidement et à une échelle suffisante aux crises qui éclatent aux frontières extérieures de l’UE et au-delà. En outre, l’agression russe contre l’Ukraine démontre au quotidien toute l’importance de la capacité de déplacer l’aide et les fournitures militaires aussi rapidement que possible et dans les meilleures conditions envisageables.</w:t>
      </w:r>
    </w:p>
    <w:p w14:paraId="3A1408D5" w14:textId="77777777" w:rsidR="001E24F3" w:rsidRPr="002850C6" w:rsidRDefault="00840EE2">
      <w:pPr>
        <w:rPr>
          <w:noProof/>
        </w:rPr>
      </w:pPr>
      <w:r w:rsidRPr="002850C6">
        <w:rPr>
          <w:noProof/>
        </w:rPr>
        <w:t>Si des progrès importants ont été accomplis, d’importantes barrières continuent de faire obstacle à une mobilité militaire effective dans l’UE: les divergences entre les réglementations nationales, la fragmentation des procédures et l’absence de coordination claire retardent encore les transports militaires. L’infrastructure de transport de l’UE est insuffisamment adaptée aux nécessités d’un double usage et reste vulnérable aux perturbations. L’accès aux carburants pour les opérations de transport militaire reste une gageure. Les capacités de transport à double usage, essentielles pour les opérations de transport militaire, restent trop peu nombreuses. Ces barrières mettent en évidence les vulnérabilités critiques du réseau de transport de l’Union et compromettent la position de l’UE en matière de sécurité, ses opérations de protection civile et sa capacité de dissuasion.</w:t>
      </w:r>
    </w:p>
    <w:p w14:paraId="2DA3977D" w14:textId="77777777" w:rsidR="001E24F3" w:rsidRPr="002850C6" w:rsidRDefault="00840EE2">
      <w:pPr>
        <w:rPr>
          <w:noProof/>
        </w:rPr>
      </w:pPr>
      <w:r w:rsidRPr="002850C6">
        <w:rPr>
          <w:noProof/>
        </w:rPr>
        <w:t xml:space="preserve">Le livre blanc conjoint intitulé «Préparation de la défense européenne à l’horizon </w:t>
      </w:r>
      <w:r w:rsidRPr="0086652C">
        <w:rPr>
          <w:noProof/>
        </w:rPr>
        <w:t>2030</w:t>
      </w:r>
      <w:r w:rsidRPr="002850C6">
        <w:rPr>
          <w:noProof/>
        </w:rPr>
        <w:t xml:space="preserve">» de mars </w:t>
      </w:r>
      <w:r w:rsidRPr="0086652C">
        <w:rPr>
          <w:noProof/>
        </w:rPr>
        <w:t>2025</w:t>
      </w:r>
      <w:r w:rsidR="009B03F8">
        <w:rPr>
          <w:noProof/>
        </w:rPr>
        <w:t>(</w:t>
      </w:r>
      <w:r w:rsidR="009B03F8">
        <w:rPr>
          <w:rStyle w:val="FootnoteReference"/>
          <w:noProof/>
        </w:rPr>
        <w:footnoteReference w:id="2"/>
      </w:r>
      <w:r w:rsidRPr="0086652C">
        <w:rPr>
          <w:rStyle w:val="FootnoteReference"/>
          <w:noProof/>
        </w:rPr>
        <w:t>1</w:t>
      </w:r>
      <w:r w:rsidRPr="002850C6">
        <w:rPr>
          <w:rStyle w:val="FootnoteReference"/>
          <w:noProof/>
        </w:rPr>
        <w:t>)</w:t>
      </w:r>
      <w:r w:rsidRPr="002850C6">
        <w:rPr>
          <w:noProof/>
        </w:rPr>
        <w:t xml:space="preserve"> reconnaissant la nécessité de s’attaquer aux obstacles en matière de réglementation, d’infrastructures et de capacités afin d’améliorer sensiblement la mobilité militaire, la «feuille de route pour la préparation de la défense à l’horizon </w:t>
      </w:r>
      <w:r w:rsidRPr="0086652C">
        <w:rPr>
          <w:noProof/>
        </w:rPr>
        <w:t>2030</w:t>
      </w:r>
      <w:r w:rsidRPr="002850C6">
        <w:rPr>
          <w:noProof/>
        </w:rPr>
        <w:t xml:space="preserve">» du </w:t>
      </w:r>
      <w:r w:rsidRPr="0086652C">
        <w:rPr>
          <w:noProof/>
        </w:rPr>
        <w:t>16</w:t>
      </w:r>
      <w:r w:rsidRPr="002850C6">
        <w:rPr>
          <w:noProof/>
        </w:rPr>
        <w:t xml:space="preserve"> octobre </w:t>
      </w:r>
      <w:r w:rsidRPr="0086652C">
        <w:rPr>
          <w:noProof/>
        </w:rPr>
        <w:t>2025</w:t>
      </w:r>
      <w:r w:rsidR="009B03F8">
        <w:rPr>
          <w:noProof/>
        </w:rPr>
        <w:t>(</w:t>
      </w:r>
      <w:r w:rsidR="009B03F8">
        <w:rPr>
          <w:rStyle w:val="FootnoteReference"/>
          <w:noProof/>
        </w:rPr>
        <w:footnoteReference w:id="3"/>
      </w:r>
      <w:r w:rsidRPr="0086652C">
        <w:rPr>
          <w:rStyle w:val="FootnoteReference"/>
          <w:noProof/>
        </w:rPr>
        <w:t>2</w:t>
      </w:r>
      <w:r w:rsidRPr="002850C6">
        <w:rPr>
          <w:rStyle w:val="FootnoteReference"/>
          <w:noProof/>
        </w:rPr>
        <w:t>)</w:t>
      </w:r>
      <w:r w:rsidRPr="002850C6">
        <w:rPr>
          <w:noProof/>
        </w:rPr>
        <w:t xml:space="preserve"> a permis de traduire cette nécessité en objectifs et étapes clairs et d’annoncer un train de mesures sur la mobilité militaire pour novembre </w:t>
      </w:r>
      <w:r w:rsidRPr="0086652C">
        <w:rPr>
          <w:noProof/>
        </w:rPr>
        <w:t>2025</w:t>
      </w:r>
      <w:r w:rsidRPr="002850C6">
        <w:rPr>
          <w:noProof/>
        </w:rPr>
        <w:t>.</w:t>
      </w:r>
    </w:p>
    <w:p w14:paraId="77F77484" w14:textId="77777777" w:rsidR="001E24F3" w:rsidRPr="002850C6" w:rsidRDefault="00840EE2">
      <w:pPr>
        <w:rPr>
          <w:noProof/>
        </w:rPr>
      </w:pPr>
      <w:r w:rsidRPr="002850C6">
        <w:rPr>
          <w:noProof/>
        </w:rPr>
        <w:t xml:space="preserve">Dans ses conclusions du </w:t>
      </w:r>
      <w:r w:rsidRPr="0086652C">
        <w:rPr>
          <w:noProof/>
        </w:rPr>
        <w:t>26</w:t>
      </w:r>
      <w:r w:rsidRPr="002850C6">
        <w:rPr>
          <w:noProof/>
        </w:rPr>
        <w:t xml:space="preserve"> juin </w:t>
      </w:r>
      <w:r w:rsidRPr="0086652C">
        <w:rPr>
          <w:noProof/>
        </w:rPr>
        <w:t>2025</w:t>
      </w:r>
      <w:r w:rsidR="009B03F8">
        <w:rPr>
          <w:noProof/>
        </w:rPr>
        <w:t>(</w:t>
      </w:r>
      <w:r w:rsidR="009B03F8">
        <w:rPr>
          <w:rStyle w:val="FootnoteReference"/>
          <w:noProof/>
        </w:rPr>
        <w:footnoteReference w:id="4"/>
      </w:r>
      <w:r w:rsidRPr="0086652C">
        <w:rPr>
          <w:rStyle w:val="FootnoteReference"/>
          <w:noProof/>
        </w:rPr>
        <w:t>3</w:t>
      </w:r>
      <w:r w:rsidRPr="002850C6">
        <w:rPr>
          <w:rStyle w:val="FootnoteReference"/>
          <w:noProof/>
        </w:rPr>
        <w:t>)</w:t>
      </w:r>
      <w:r w:rsidRPr="002850C6">
        <w:rPr>
          <w:noProof/>
        </w:rPr>
        <w:t>, le Conseil européen a également invité la Commission et la haute représentante à présenter de nouvelles propositions visant à renforcer la mobilité militaire, de manière à permettre les déplacements efficaces des équipements et du personnel de défense dans l’ensemble de l’Union.</w:t>
      </w:r>
    </w:p>
    <w:p w14:paraId="6B3DF18C" w14:textId="77777777" w:rsidR="001E24F3" w:rsidRPr="002850C6" w:rsidRDefault="00840EE2">
      <w:pPr>
        <w:rPr>
          <w:noProof/>
        </w:rPr>
      </w:pPr>
      <w:r w:rsidRPr="002850C6">
        <w:rPr>
          <w:noProof/>
        </w:rPr>
        <w:t>Le règlement répond à ces appels et constitue, avec la communication conjointe sur la mobilité militaire, une partie du train de mesures sur la mobilité militaire. Il propose un ensemble complet de mesures visant à faciliter le transport d’équipements, de marchandises et de personnels à des fins militaires, tout en réduisant au minimum et en atténuant l’incidence de ce transport sur le transport civil.</w:t>
      </w:r>
    </w:p>
    <w:p w14:paraId="426882F7" w14:textId="77777777" w:rsidR="001E24F3" w:rsidRPr="002850C6" w:rsidRDefault="00840EE2">
      <w:pPr>
        <w:rPr>
          <w:noProof/>
        </w:rPr>
      </w:pPr>
      <w:r w:rsidRPr="002850C6">
        <w:rPr>
          <w:noProof/>
        </w:rPr>
        <w:t>Cet ensemble complet de mesures est destiné:</w:t>
      </w:r>
    </w:p>
    <w:p w14:paraId="3E75285B" w14:textId="48AEB13A" w:rsidR="001E24F3" w:rsidRPr="002850C6" w:rsidRDefault="004E02F6" w:rsidP="004E02F6">
      <w:pPr>
        <w:pStyle w:val="Point0"/>
        <w:rPr>
          <w:noProof/>
        </w:rPr>
      </w:pPr>
      <w:r w:rsidRPr="004E02F6">
        <w:rPr>
          <w:noProof/>
        </w:rPr>
        <w:t>(a)</w:t>
      </w:r>
      <w:r w:rsidRPr="004E02F6">
        <w:rPr>
          <w:noProof/>
        </w:rPr>
        <w:tab/>
      </w:r>
      <w:r w:rsidR="00840EE2" w:rsidRPr="002850C6">
        <w:rPr>
          <w:noProof/>
        </w:rPr>
        <w:t>à rationaliser le transport militaire transfrontière (en établissant un cadre uniforme pour les procédures d’autorisation et en permettant d’assurer un transport militaire ininterrompu et sûr);</w:t>
      </w:r>
    </w:p>
    <w:p w14:paraId="2F99F0BE" w14:textId="60FADAD9" w:rsidR="00E961C8" w:rsidRPr="002850C6" w:rsidRDefault="004E02F6" w:rsidP="004E02F6">
      <w:pPr>
        <w:pStyle w:val="Point0"/>
        <w:rPr>
          <w:noProof/>
        </w:rPr>
      </w:pPr>
      <w:r w:rsidRPr="004E02F6">
        <w:rPr>
          <w:noProof/>
        </w:rPr>
        <w:t>(b)</w:t>
      </w:r>
      <w:r w:rsidRPr="004E02F6">
        <w:rPr>
          <w:noProof/>
        </w:rPr>
        <w:tab/>
      </w:r>
      <w:r w:rsidR="00840EE2" w:rsidRPr="002850C6">
        <w:rPr>
          <w:noProof/>
        </w:rPr>
        <w:t>à renforcer les réactions d’urgence (en créant un cadre efficient, coordonné et efficace en vue de faciliter le transport militaire en réaction à des situations temporaires, extraordinaires et urgentes);</w:t>
      </w:r>
    </w:p>
    <w:p w14:paraId="3FB58004" w14:textId="2CF22825" w:rsidR="00C7572E" w:rsidRPr="002850C6" w:rsidRDefault="004E02F6" w:rsidP="004E02F6">
      <w:pPr>
        <w:pStyle w:val="Point0"/>
        <w:rPr>
          <w:noProof/>
        </w:rPr>
      </w:pPr>
      <w:r w:rsidRPr="004E02F6">
        <w:rPr>
          <w:noProof/>
        </w:rPr>
        <w:t>(c)</w:t>
      </w:r>
      <w:r w:rsidRPr="004E02F6">
        <w:rPr>
          <w:noProof/>
        </w:rPr>
        <w:tab/>
      </w:r>
      <w:r w:rsidR="00E961C8" w:rsidRPr="002850C6">
        <w:rPr>
          <w:noProof/>
        </w:rPr>
        <w:t>à améliorer l’état de préparation et la protection des infrastructures (en établissant des règles visant à renforcer l’état de préparation des infrastructures de transport à double usage et à mieux protéger les infrastructures stratégiques à double usage contre tous les dangers et menaces);</w:t>
      </w:r>
    </w:p>
    <w:p w14:paraId="30FCEEDF" w14:textId="602956C2" w:rsidR="005167A4" w:rsidRPr="002850C6" w:rsidRDefault="004E02F6" w:rsidP="004E02F6">
      <w:pPr>
        <w:pStyle w:val="Point0"/>
        <w:rPr>
          <w:noProof/>
        </w:rPr>
      </w:pPr>
      <w:r w:rsidRPr="004E02F6">
        <w:rPr>
          <w:noProof/>
        </w:rPr>
        <w:t>(d)</w:t>
      </w:r>
      <w:r w:rsidRPr="004E02F6">
        <w:rPr>
          <w:noProof/>
        </w:rPr>
        <w:tab/>
      </w:r>
      <w:r w:rsidR="00840EE2" w:rsidRPr="002850C6">
        <w:rPr>
          <w:noProof/>
        </w:rPr>
        <w:t>à favoriser la solidarité et le partage des capacités (en encourageant le partage et la mise en commun de capacités de transport et de capacités logistiques au moyen d’une réserve de solidarité et en accroissant la visibilité des capacités de transport existantes pour le transport militaire).</w:t>
      </w:r>
    </w:p>
    <w:p w14:paraId="7264BD8C" w14:textId="77777777" w:rsidR="001E24F3" w:rsidRPr="002850C6" w:rsidRDefault="00840EE2">
      <w:pPr>
        <w:pStyle w:val="ManualHeading2"/>
        <w:rPr>
          <w:noProof/>
        </w:rPr>
      </w:pPr>
      <w:bookmarkStart w:id="3" w:name="_Toc213612546"/>
      <w:r w:rsidRPr="002850C6">
        <w:rPr>
          <w:noProof/>
        </w:rPr>
        <w:t>•</w:t>
      </w:r>
      <w:r w:rsidRPr="002850C6">
        <w:rPr>
          <w:noProof/>
        </w:rPr>
        <w:tab/>
        <w:t>Cohérence avec les dispositions existantes dans le domaine d’action</w:t>
      </w:r>
      <w:bookmarkEnd w:id="3"/>
    </w:p>
    <w:p w14:paraId="1DC88A37" w14:textId="77777777" w:rsidR="001E24F3" w:rsidRPr="002850C6" w:rsidRDefault="00612B0F">
      <w:pPr>
        <w:rPr>
          <w:noProof/>
        </w:rPr>
      </w:pPr>
      <w:r w:rsidRPr="002850C6">
        <w:rPr>
          <w:noProof/>
        </w:rPr>
        <w:t>Le présent règlement, qui met l’accent sur l’adaptation des infrastructures et des équipements de transport à double usage ainsi que sur les procédures destinées à faciliter le transport à des fins de mobilité militaire tout en réduisant au minimum et en atténuant l’incidence de ce transport sur le transport civil, est pleinement cohérent et complémentaire avec les progrès accomplis jusqu’à présent pour améliorer la mobilité militaire.</w:t>
      </w:r>
    </w:p>
    <w:p w14:paraId="316B1841" w14:textId="77777777" w:rsidR="001E24F3" w:rsidRPr="002850C6" w:rsidRDefault="00840EE2">
      <w:pPr>
        <w:rPr>
          <w:noProof/>
        </w:rPr>
      </w:pPr>
      <w:r w:rsidRPr="002850C6">
        <w:rPr>
          <w:noProof/>
        </w:rPr>
        <w:t xml:space="preserve">Depuis </w:t>
      </w:r>
      <w:r w:rsidRPr="0086652C">
        <w:rPr>
          <w:noProof/>
        </w:rPr>
        <w:t>2017</w:t>
      </w:r>
      <w:r w:rsidRPr="002850C6">
        <w:rPr>
          <w:noProof/>
        </w:rPr>
        <w:t xml:space="preserve">, l’UE mène des actions spécifiques afin de renforcer la mobilité militaire. Plusieurs mesures visant à lever les obstacles physiques, procéduraux et réglementaires aux mouvements militaires ont été proposées dans deux plans d’action sur la mobilité militaire en </w:t>
      </w:r>
      <w:r w:rsidRPr="0086652C">
        <w:rPr>
          <w:noProof/>
        </w:rPr>
        <w:t>2018</w:t>
      </w:r>
      <w:r w:rsidR="009B03F8">
        <w:rPr>
          <w:noProof/>
        </w:rPr>
        <w:t>(</w:t>
      </w:r>
      <w:r w:rsidR="009B03F8">
        <w:rPr>
          <w:rStyle w:val="FootnoteReference"/>
          <w:noProof/>
        </w:rPr>
        <w:footnoteReference w:id="5"/>
      </w:r>
      <w:r w:rsidRPr="0086652C">
        <w:rPr>
          <w:rStyle w:val="FootnoteReference"/>
          <w:noProof/>
        </w:rPr>
        <w:t>4</w:t>
      </w:r>
      <w:r w:rsidRPr="002850C6">
        <w:rPr>
          <w:rStyle w:val="FootnoteReference"/>
          <w:noProof/>
        </w:rPr>
        <w:t>)</w:t>
      </w:r>
      <w:r w:rsidRPr="002850C6">
        <w:rPr>
          <w:noProof/>
        </w:rPr>
        <w:t xml:space="preserve"> et en </w:t>
      </w:r>
      <w:r w:rsidRPr="0086652C">
        <w:rPr>
          <w:noProof/>
        </w:rPr>
        <w:t>2022</w:t>
      </w:r>
      <w:r w:rsidR="009B03F8">
        <w:rPr>
          <w:noProof/>
        </w:rPr>
        <w:t>(</w:t>
      </w:r>
      <w:r w:rsidR="009B03F8">
        <w:rPr>
          <w:rStyle w:val="FootnoteReference"/>
          <w:noProof/>
        </w:rPr>
        <w:footnoteReference w:id="6"/>
      </w:r>
      <w:r w:rsidRPr="0086652C">
        <w:rPr>
          <w:rStyle w:val="FootnoteReference"/>
          <w:noProof/>
        </w:rPr>
        <w:t>5</w:t>
      </w:r>
      <w:r w:rsidRPr="002850C6">
        <w:rPr>
          <w:rStyle w:val="FootnoteReference"/>
          <w:noProof/>
        </w:rPr>
        <w:t>)</w:t>
      </w:r>
      <w:r w:rsidRPr="002850C6">
        <w:rPr>
          <w:noProof/>
        </w:rPr>
        <w:t xml:space="preserve">. En </w:t>
      </w:r>
      <w:r w:rsidRPr="0086652C">
        <w:rPr>
          <w:noProof/>
        </w:rPr>
        <w:t>2024</w:t>
      </w:r>
      <w:r w:rsidRPr="002850C6">
        <w:rPr>
          <w:noProof/>
        </w:rPr>
        <w:t>, dans le cadre de leur ambitieux «engagement en faveur de la mobilité militaire»</w:t>
      </w:r>
      <w:r w:rsidR="009B03F8">
        <w:rPr>
          <w:noProof/>
        </w:rPr>
        <w:t>(</w:t>
      </w:r>
      <w:r w:rsidR="009B03F8">
        <w:rPr>
          <w:rStyle w:val="FootnoteReference"/>
          <w:noProof/>
        </w:rPr>
        <w:footnoteReference w:id="7"/>
      </w:r>
      <w:r w:rsidRPr="0086652C">
        <w:rPr>
          <w:rStyle w:val="FootnoteReference"/>
          <w:noProof/>
        </w:rPr>
        <w:t>6</w:t>
      </w:r>
      <w:r w:rsidRPr="002850C6">
        <w:rPr>
          <w:rStyle w:val="FootnoteReference"/>
          <w:noProof/>
        </w:rPr>
        <w:t>)</w:t>
      </w:r>
      <w:r w:rsidRPr="002850C6">
        <w:rPr>
          <w:noProof/>
        </w:rPr>
        <w:t>, les États membres se sont promis de combler les lacunes qui subsistent en matière de mobilité militaire. La mobilité militaire est également un «domaine phare» de la coopération UE-OTAN.</w:t>
      </w:r>
    </w:p>
    <w:p w14:paraId="748E38E5" w14:textId="77777777" w:rsidR="001E24F3" w:rsidRPr="002850C6" w:rsidRDefault="00840EE2">
      <w:pPr>
        <w:rPr>
          <w:noProof/>
        </w:rPr>
      </w:pPr>
      <w:r w:rsidRPr="002850C6">
        <w:rPr>
          <w:noProof/>
        </w:rPr>
        <w:t>En ce qui concerne les aspects réglementaires, les efforts ont principalement porté sur les autorisations de mouvements militaires transfrontières. En cette matière, l’Agence européenne de défense (AED) et les États membres contributeurs ont mis en place des «arrangements techniques» permettant de standardiser les procédures d’autorisation des mouvements transfrontières dans le but de simplifier et d’harmoniser ces procédures. Si ces arrangements constituent une avancée significative, leur application reste insuffisamment complète pour véritablement améliorer la fluidité des transports militaires.</w:t>
      </w:r>
    </w:p>
    <w:p w14:paraId="0F29ADBE" w14:textId="77777777" w:rsidR="001E24F3" w:rsidRPr="002850C6" w:rsidRDefault="00840EE2">
      <w:pPr>
        <w:rPr>
          <w:noProof/>
        </w:rPr>
      </w:pPr>
      <w:r w:rsidRPr="002850C6">
        <w:rPr>
          <w:noProof/>
        </w:rPr>
        <w:t xml:space="preserve">En ce qui concerne les infrastructures, le règlement RTE-T révisé de </w:t>
      </w:r>
      <w:r w:rsidRPr="0086652C">
        <w:rPr>
          <w:noProof/>
        </w:rPr>
        <w:t>2024</w:t>
      </w:r>
      <w:r w:rsidR="009B03F8">
        <w:rPr>
          <w:noProof/>
        </w:rPr>
        <w:t>(</w:t>
      </w:r>
      <w:r w:rsidR="009B03F8">
        <w:rPr>
          <w:rStyle w:val="FootnoteReference"/>
          <w:noProof/>
        </w:rPr>
        <w:footnoteReference w:id="8"/>
      </w:r>
      <w:r w:rsidRPr="0086652C">
        <w:rPr>
          <w:rStyle w:val="FootnoteReference"/>
          <w:noProof/>
        </w:rPr>
        <w:t>7</w:t>
      </w:r>
      <w:r w:rsidRPr="002850C6">
        <w:rPr>
          <w:rStyle w:val="FootnoteReference"/>
          <w:noProof/>
        </w:rPr>
        <w:t>)</w:t>
      </w:r>
      <w:r w:rsidRPr="002850C6">
        <w:rPr>
          <w:noProof/>
        </w:rPr>
        <w:t xml:space="preserve"> engage les États membres à intégrer la mobilité militaire dans la politique européenne des transports afin de créer un réseau à double usage. Afin d’orienter les investissements, le Conseil a adopté la proposition de considérer quatre corridors de mobilité militaire multimodale comme prioritaires en </w:t>
      </w:r>
      <w:r w:rsidRPr="0086652C">
        <w:rPr>
          <w:noProof/>
        </w:rPr>
        <w:t>2025</w:t>
      </w:r>
      <w:r w:rsidRPr="002850C6">
        <w:rPr>
          <w:noProof/>
        </w:rPr>
        <w:t xml:space="preserve">, permettant une coopération renforcée et une planification cohérente entre les États membres. La réalisation d’un réseau à double usage nécessite des investissements importants. Au titre du cadre financier pluriannuel (CFP) </w:t>
      </w:r>
      <w:r w:rsidRPr="0086652C">
        <w:rPr>
          <w:noProof/>
        </w:rPr>
        <w:t>2021</w:t>
      </w:r>
      <w:r w:rsidRPr="002850C6">
        <w:rPr>
          <w:noProof/>
        </w:rPr>
        <w:t>-</w:t>
      </w:r>
      <w:r w:rsidRPr="0086652C">
        <w:rPr>
          <w:noProof/>
        </w:rPr>
        <w:t>2027</w:t>
      </w:r>
      <w:r w:rsidRPr="002850C6">
        <w:rPr>
          <w:noProof/>
        </w:rPr>
        <w:t xml:space="preserve">, </w:t>
      </w:r>
      <w:r w:rsidRPr="0086652C">
        <w:rPr>
          <w:noProof/>
        </w:rPr>
        <w:t>1</w:t>
      </w:r>
      <w:r w:rsidRPr="002850C6">
        <w:rPr>
          <w:noProof/>
        </w:rPr>
        <w:t> </w:t>
      </w:r>
      <w:r w:rsidRPr="0086652C">
        <w:rPr>
          <w:noProof/>
        </w:rPr>
        <w:t>690</w:t>
      </w:r>
      <w:r w:rsidRPr="002850C6">
        <w:rPr>
          <w:noProof/>
        </w:rPr>
        <w:t> </w:t>
      </w:r>
      <w:r w:rsidRPr="0086652C">
        <w:rPr>
          <w:noProof/>
        </w:rPr>
        <w:t>000</w:t>
      </w:r>
      <w:r w:rsidRPr="002850C6">
        <w:rPr>
          <w:noProof/>
        </w:rPr>
        <w:t> </w:t>
      </w:r>
      <w:r w:rsidRPr="0086652C">
        <w:rPr>
          <w:noProof/>
        </w:rPr>
        <w:t>000</w:t>
      </w:r>
      <w:r w:rsidRPr="002850C6">
        <w:rPr>
          <w:noProof/>
        </w:rPr>
        <w:t xml:space="preserve"> EUR ont été affectés au cofinancement d’infrastructures à double usage par l’intermédiaire du mécanisme pour l’interconnexion en Europe (MIE)</w:t>
      </w:r>
      <w:r w:rsidR="009B03F8">
        <w:rPr>
          <w:noProof/>
        </w:rPr>
        <w:t>(</w:t>
      </w:r>
      <w:r w:rsidR="009B03F8">
        <w:rPr>
          <w:rStyle w:val="FootnoteReference"/>
          <w:noProof/>
        </w:rPr>
        <w:footnoteReference w:id="9"/>
      </w:r>
      <w:r w:rsidRPr="0086652C">
        <w:rPr>
          <w:rStyle w:val="FootnoteReference"/>
          <w:noProof/>
        </w:rPr>
        <w:t>8</w:t>
      </w:r>
      <w:r w:rsidRPr="002850C6">
        <w:rPr>
          <w:rStyle w:val="FootnoteReference"/>
          <w:noProof/>
        </w:rPr>
        <w:t>)</w:t>
      </w:r>
      <w:r w:rsidRPr="002850C6">
        <w:rPr>
          <w:noProof/>
        </w:rPr>
        <w:t xml:space="preserve">, qui a permis de soutenir </w:t>
      </w:r>
      <w:r w:rsidRPr="0086652C">
        <w:rPr>
          <w:noProof/>
        </w:rPr>
        <w:t>95</w:t>
      </w:r>
      <w:r w:rsidRPr="002850C6">
        <w:rPr>
          <w:noProof/>
        </w:rPr>
        <w:t xml:space="preserve"> projets dans </w:t>
      </w:r>
      <w:r w:rsidRPr="0086652C">
        <w:rPr>
          <w:noProof/>
        </w:rPr>
        <w:t>21</w:t>
      </w:r>
      <w:r w:rsidRPr="002850C6">
        <w:rPr>
          <w:noProof/>
        </w:rPr>
        <w:t xml:space="preserve"> États membres. Toutefois, la demande a largement dépassé les ressources disponibles, le troisième et dernier appel à projets d’infrastructures de transport à double usage au titre du MIE ayant été sursouscrit </w:t>
      </w:r>
      <w:r w:rsidRPr="0086652C">
        <w:rPr>
          <w:noProof/>
        </w:rPr>
        <w:t>4</w:t>
      </w:r>
      <w:r w:rsidRPr="002850C6">
        <w:rPr>
          <w:noProof/>
        </w:rPr>
        <w:t>,</w:t>
      </w:r>
      <w:r w:rsidRPr="0086652C">
        <w:rPr>
          <w:noProof/>
        </w:rPr>
        <w:t>7</w:t>
      </w:r>
      <w:r w:rsidRPr="002850C6">
        <w:rPr>
          <w:noProof/>
        </w:rPr>
        <w:t xml:space="preserve"> fois</w:t>
      </w:r>
      <w:r w:rsidRPr="002850C6">
        <w:rPr>
          <w:rStyle w:val="FootnoteReference"/>
          <w:noProof/>
        </w:rPr>
        <w:footnoteReference w:id="10"/>
      </w:r>
      <w:r w:rsidRPr="002850C6">
        <w:rPr>
          <w:noProof/>
        </w:rPr>
        <w:t xml:space="preserve">. Pour cet appel, </w:t>
      </w:r>
      <w:r w:rsidRPr="0086652C">
        <w:rPr>
          <w:noProof/>
        </w:rPr>
        <w:t>22</w:t>
      </w:r>
      <w:r w:rsidRPr="002850C6">
        <w:rPr>
          <w:noProof/>
        </w:rPr>
        <w:t xml:space="preserve"> États membres ont introduit des demandes portant sur </w:t>
      </w:r>
      <w:r w:rsidRPr="0086652C">
        <w:rPr>
          <w:noProof/>
        </w:rPr>
        <w:t>112</w:t>
      </w:r>
      <w:r w:rsidRPr="002850C6">
        <w:rPr>
          <w:noProof/>
        </w:rPr>
        <w:t xml:space="preserve"> projets pour un cofinancement total de l’UE sollicité de </w:t>
      </w:r>
      <w:r w:rsidRPr="0086652C">
        <w:rPr>
          <w:noProof/>
        </w:rPr>
        <w:t>3</w:t>
      </w:r>
      <w:r w:rsidRPr="002850C6">
        <w:rPr>
          <w:noProof/>
        </w:rPr>
        <w:t> </w:t>
      </w:r>
      <w:r w:rsidRPr="0086652C">
        <w:rPr>
          <w:noProof/>
        </w:rPr>
        <w:t>700</w:t>
      </w:r>
      <w:r w:rsidRPr="002850C6">
        <w:rPr>
          <w:noProof/>
        </w:rPr>
        <w:t> </w:t>
      </w:r>
      <w:r w:rsidRPr="0086652C">
        <w:rPr>
          <w:noProof/>
        </w:rPr>
        <w:t>000</w:t>
      </w:r>
      <w:r w:rsidRPr="002850C6">
        <w:rPr>
          <w:noProof/>
        </w:rPr>
        <w:t> </w:t>
      </w:r>
      <w:r w:rsidRPr="0086652C">
        <w:rPr>
          <w:noProof/>
        </w:rPr>
        <w:t>000</w:t>
      </w:r>
      <w:r w:rsidRPr="002850C6">
        <w:rPr>
          <w:noProof/>
        </w:rPr>
        <w:t xml:space="preserve"> EUR. Au terme du processus, </w:t>
      </w:r>
      <w:r w:rsidRPr="0086652C">
        <w:rPr>
          <w:noProof/>
        </w:rPr>
        <w:t>807</w:t>
      </w:r>
      <w:r w:rsidRPr="002850C6">
        <w:rPr>
          <w:noProof/>
        </w:rPr>
        <w:t> </w:t>
      </w:r>
      <w:r w:rsidRPr="0086652C">
        <w:rPr>
          <w:noProof/>
        </w:rPr>
        <w:t>000</w:t>
      </w:r>
      <w:r w:rsidRPr="002850C6">
        <w:rPr>
          <w:noProof/>
        </w:rPr>
        <w:t> </w:t>
      </w:r>
      <w:r w:rsidRPr="0086652C">
        <w:rPr>
          <w:noProof/>
        </w:rPr>
        <w:t>000</w:t>
      </w:r>
      <w:r w:rsidRPr="002850C6">
        <w:rPr>
          <w:noProof/>
        </w:rPr>
        <w:t xml:space="preserve"> EUR ont été affectés au soutien de </w:t>
      </w:r>
      <w:r w:rsidRPr="0086652C">
        <w:rPr>
          <w:noProof/>
        </w:rPr>
        <w:t>38</w:t>
      </w:r>
      <w:r w:rsidRPr="002850C6">
        <w:rPr>
          <w:noProof/>
        </w:rPr>
        <w:t xml:space="preserve"> projets dans </w:t>
      </w:r>
      <w:r w:rsidRPr="0086652C">
        <w:rPr>
          <w:noProof/>
        </w:rPr>
        <w:t>18</w:t>
      </w:r>
      <w:r w:rsidRPr="002850C6">
        <w:rPr>
          <w:noProof/>
        </w:rPr>
        <w:t xml:space="preserve"> États membres. Cette situation, conjuguée à l’urgence accrue d’un renforcement de la défense de l’Union, a incité la Commission à proposer, dans le cadre de la proposition relative au MIE pour le prochain CFP (</w:t>
      </w:r>
      <w:r w:rsidRPr="0086652C">
        <w:rPr>
          <w:noProof/>
        </w:rPr>
        <w:t>2028</w:t>
      </w:r>
      <w:r w:rsidRPr="002850C6">
        <w:rPr>
          <w:noProof/>
        </w:rPr>
        <w:t>-</w:t>
      </w:r>
      <w:r w:rsidRPr="0086652C">
        <w:rPr>
          <w:noProof/>
        </w:rPr>
        <w:t>2034</w:t>
      </w:r>
      <w:r w:rsidRPr="002850C6">
        <w:rPr>
          <w:noProof/>
        </w:rPr>
        <w:t>)</w:t>
      </w:r>
      <w:r w:rsidR="009B03F8">
        <w:rPr>
          <w:noProof/>
        </w:rPr>
        <w:t>(</w:t>
      </w:r>
      <w:r w:rsidR="009B03F8">
        <w:rPr>
          <w:rStyle w:val="FootnoteReference"/>
          <w:noProof/>
        </w:rPr>
        <w:footnoteReference w:id="11"/>
      </w:r>
      <w:r w:rsidRPr="0086652C">
        <w:rPr>
          <w:rStyle w:val="FootnoteReference"/>
          <w:noProof/>
        </w:rPr>
        <w:t>9</w:t>
      </w:r>
      <w:r w:rsidRPr="002850C6">
        <w:rPr>
          <w:rStyle w:val="FootnoteReference"/>
          <w:noProof/>
        </w:rPr>
        <w:t>)</w:t>
      </w:r>
      <w:r w:rsidRPr="002850C6">
        <w:rPr>
          <w:noProof/>
        </w:rPr>
        <w:t>, de décupler le budget consacré à la mobilité militaire. En outre, dans le prochain CFP, les États membres pourront soutenir les investissements dans les infrastructures à double usage, notamment les infrastructures RTE-T, au moyen de leurs plans de partenariat national et régional. En outre, au cours de cette période du CFP, les États membres peuvent réaffecter des fonds de la politique de cohésion et utiliser l’instrument SAFE</w:t>
      </w:r>
      <w:r w:rsidR="009B03F8">
        <w:rPr>
          <w:noProof/>
        </w:rPr>
        <w:t>(</w:t>
      </w:r>
      <w:r w:rsidR="009B03F8">
        <w:rPr>
          <w:rStyle w:val="FootnoteReference"/>
          <w:noProof/>
        </w:rPr>
        <w:footnoteReference w:id="12"/>
      </w:r>
      <w:r w:rsidRPr="0086652C">
        <w:rPr>
          <w:rStyle w:val="FootnoteReference"/>
          <w:noProof/>
        </w:rPr>
        <w:t>10</w:t>
      </w:r>
      <w:r w:rsidRPr="002850C6">
        <w:rPr>
          <w:rStyle w:val="FootnoteReference"/>
          <w:noProof/>
        </w:rPr>
        <w:t>)</w:t>
      </w:r>
      <w:r w:rsidRPr="002850C6">
        <w:rPr>
          <w:noProof/>
        </w:rPr>
        <w:t xml:space="preserve"> pour financer des projets à double usage. Enfin, le groupe de la Banque européenne d’investissement a récemment modifié sa politique de prêt dans le domaine de la défense et prévoit d’investir </w:t>
      </w:r>
      <w:r w:rsidRPr="0086652C">
        <w:rPr>
          <w:noProof/>
        </w:rPr>
        <w:t>3</w:t>
      </w:r>
      <w:r w:rsidRPr="002850C6">
        <w:rPr>
          <w:noProof/>
        </w:rPr>
        <w:t> </w:t>
      </w:r>
      <w:r w:rsidRPr="0086652C">
        <w:rPr>
          <w:noProof/>
        </w:rPr>
        <w:t>500</w:t>
      </w:r>
      <w:r w:rsidRPr="002850C6">
        <w:rPr>
          <w:noProof/>
        </w:rPr>
        <w:t> </w:t>
      </w:r>
      <w:r w:rsidRPr="0086652C">
        <w:rPr>
          <w:noProof/>
        </w:rPr>
        <w:t>000</w:t>
      </w:r>
      <w:r w:rsidRPr="002850C6">
        <w:rPr>
          <w:noProof/>
        </w:rPr>
        <w:t> </w:t>
      </w:r>
      <w:r w:rsidRPr="0086652C">
        <w:rPr>
          <w:noProof/>
        </w:rPr>
        <w:t>000</w:t>
      </w:r>
      <w:r w:rsidRPr="002850C6">
        <w:rPr>
          <w:noProof/>
        </w:rPr>
        <w:t xml:space="preserve"> EUR en </w:t>
      </w:r>
      <w:r w:rsidRPr="0086652C">
        <w:rPr>
          <w:noProof/>
        </w:rPr>
        <w:t>2025</w:t>
      </w:r>
      <w:r w:rsidRPr="002850C6">
        <w:rPr>
          <w:noProof/>
        </w:rPr>
        <w:t xml:space="preserve"> dans la sécurité et la défense, y compris dans les infrastructures de défense et la mobilité militaire.</w:t>
      </w:r>
    </w:p>
    <w:p w14:paraId="4CFB11F0" w14:textId="77777777" w:rsidR="001E24F3" w:rsidRPr="002850C6" w:rsidRDefault="00840EE2">
      <w:pPr>
        <w:rPr>
          <w:noProof/>
        </w:rPr>
      </w:pPr>
      <w:r w:rsidRPr="002850C6">
        <w:rPr>
          <w:noProof/>
        </w:rPr>
        <w:t>Au-delà des aspects réglementaires et des infrastructures, des progrès ont également été accomplis dans les domaines des capacités et de la numérisation, mais aussi dans la mise au point des futurs équipements de transport essentiels à la mobilité militaire. L’UE a par exemple soutenu des projets sur l’échange d’informations par voie numérique, le transport aérien de fret hors gabarit ou les futurs systèmes aériens par l’intermédiaire du Fonds européen de la défense (FED)</w:t>
      </w:r>
      <w:r w:rsidR="009B03F8">
        <w:rPr>
          <w:noProof/>
        </w:rPr>
        <w:t>(</w:t>
      </w:r>
      <w:r w:rsidR="009B03F8">
        <w:rPr>
          <w:rStyle w:val="FootnoteReference"/>
          <w:noProof/>
        </w:rPr>
        <w:footnoteReference w:id="13"/>
      </w:r>
      <w:r w:rsidRPr="0086652C">
        <w:rPr>
          <w:rStyle w:val="FootnoteReference"/>
          <w:noProof/>
        </w:rPr>
        <w:t>11</w:t>
      </w:r>
      <w:r w:rsidRPr="002850C6">
        <w:rPr>
          <w:rStyle w:val="FootnoteReference"/>
          <w:noProof/>
        </w:rPr>
        <w:t>)</w:t>
      </w:r>
      <w:r w:rsidRPr="002850C6">
        <w:rPr>
          <w:noProof/>
        </w:rPr>
        <w:t>. Horizon Europe</w:t>
      </w:r>
      <w:r w:rsidRPr="002850C6">
        <w:rPr>
          <w:rStyle w:val="FootnoteReference"/>
          <w:noProof/>
        </w:rPr>
        <w:footnoteReference w:id="14"/>
      </w:r>
      <w:r w:rsidRPr="002850C6">
        <w:rPr>
          <w:noProof/>
        </w:rPr>
        <w:t>, le principal programme de recherche et d’innovation de l’UE, a également permis d’apporter un appui à des domaines de recherche et d’innovation soutenant indirectement la mobilité militaire, telles que les batteries, les piles à combustible, les technologies de l’hydrogène, les systèmes ferroviaires à haute capacité et les systèmes de transport intelligents. La proposition de la Commission</w:t>
      </w:r>
      <w:r w:rsidRPr="002850C6">
        <w:rPr>
          <w:rStyle w:val="FootnoteReference"/>
          <w:noProof/>
        </w:rPr>
        <w:footnoteReference w:id="15"/>
      </w:r>
      <w:r w:rsidRPr="002850C6">
        <w:rPr>
          <w:noProof/>
        </w:rPr>
        <w:t xml:space="preserve"> relative au prochain programme-cadre Horizon Europe ouvrant la possibilité d’un soutien à des actions en faveur d’un double usage, elle pourrait permettre un soutien plus direct à la mobilité militaire. Les États membres peuvent également utiliser l’instrument SAFE pour financer l’acquisition de capacités de mobilité militaire. Dans le cadre du prochain CFP, la Commission a proposé un volet spécifique sur l’activation de la logistique militaire et le soutien apporté à celle-ci dans le cadre de la proposition relative au Fonds européen pour la compétitivité (FEC)</w:t>
      </w:r>
      <w:r w:rsidR="009B03F8">
        <w:rPr>
          <w:noProof/>
        </w:rPr>
        <w:t>(</w:t>
      </w:r>
      <w:r w:rsidR="009B03F8">
        <w:rPr>
          <w:rStyle w:val="FootnoteReference"/>
          <w:noProof/>
        </w:rPr>
        <w:footnoteReference w:id="16"/>
      </w:r>
      <w:r w:rsidRPr="0086652C">
        <w:rPr>
          <w:rStyle w:val="FootnoteReference"/>
          <w:noProof/>
        </w:rPr>
        <w:t>12</w:t>
      </w:r>
      <w:r w:rsidRPr="002850C6">
        <w:rPr>
          <w:rStyle w:val="FootnoteReference"/>
          <w:noProof/>
        </w:rPr>
        <w:t>)</w:t>
      </w:r>
      <w:r w:rsidRPr="002850C6">
        <w:rPr>
          <w:noProof/>
        </w:rPr>
        <w:t xml:space="preserve">, y compris des activités liées à la numérisation des processus liés à la mobilité militaire, à l’acquisition de produits qui améliorent l’accès aux capacités de mobilité militaire, à la protection et à la résilience des infrastructures à double usage et à l’assistance fournies aux États membres pour leur permettre d’avoir accès aux ressources et équipements nécessaires en matière de transport et de logistique. La mise en place et le fonctionnement de la réserve de solidarité ont notamment été conçus pour que la cohérence soit assurée avec les investissements possibles au titre de la proposition FEC visant à améliorer l’accès aux capacités de transport militaire. Des prêts et des garanties pour les infrastructures à double usage peuvent être fournis au titre de l’instrument InvestEU du FEC. </w:t>
      </w:r>
    </w:p>
    <w:p w14:paraId="56EBFBB4" w14:textId="77777777" w:rsidR="001E24F3" w:rsidRPr="002850C6" w:rsidRDefault="00840EE2">
      <w:pPr>
        <w:rPr>
          <w:noProof/>
        </w:rPr>
      </w:pPr>
      <w:r w:rsidRPr="002850C6">
        <w:rPr>
          <w:noProof/>
        </w:rPr>
        <w:t>Le présent règlement est totalement cohérent avec les progrès, les efforts et les propositions faits à ce jour. Il abordera des aspects essentiels qui n’ont pas été traités de manière adéquate jusqu’à présent dans les chacune des trois dimensions – la réglementation, les infrastructures et les capacités. Le règlement s’inscrit pleinement dans la ligne des investissements financiers prévus au titre du prochain CFP et fonctionnera parallèlement à ceux-ci. Par exemple, les investissements dans les infrastructures rendus possibles par l’intermédiaire du MIE auront un effet synergique en facilitant le transport militaire par une augmentation de la disponibilité d’infrastructures à double usage adaptées au sein de l’Union.</w:t>
      </w:r>
    </w:p>
    <w:p w14:paraId="3624083A" w14:textId="77777777" w:rsidR="001E24F3" w:rsidRPr="002850C6" w:rsidRDefault="00840EE2">
      <w:pPr>
        <w:pStyle w:val="ManualHeading2"/>
        <w:rPr>
          <w:noProof/>
        </w:rPr>
      </w:pPr>
      <w:bookmarkStart w:id="4" w:name="_Toc213612547"/>
      <w:r w:rsidRPr="002850C6">
        <w:rPr>
          <w:noProof/>
        </w:rPr>
        <w:t>•</w:t>
      </w:r>
      <w:r w:rsidRPr="002850C6">
        <w:rPr>
          <w:noProof/>
        </w:rPr>
        <w:tab/>
        <w:t>Cohérence avec les autres politiques de l’Union</w:t>
      </w:r>
      <w:bookmarkEnd w:id="4"/>
    </w:p>
    <w:p w14:paraId="1F5C58C3" w14:textId="77777777" w:rsidR="001E24F3" w:rsidRPr="002850C6" w:rsidRDefault="00840EE2">
      <w:pPr>
        <w:rPr>
          <w:noProof/>
        </w:rPr>
      </w:pPr>
      <w:r w:rsidRPr="002850C6">
        <w:rPr>
          <w:noProof/>
        </w:rPr>
        <w:t xml:space="preserve">Le règlement est cohérent avec la communication conjointe du </w:t>
      </w:r>
      <w:r w:rsidRPr="0086652C">
        <w:rPr>
          <w:noProof/>
        </w:rPr>
        <w:t>26</w:t>
      </w:r>
      <w:r w:rsidRPr="002850C6">
        <w:rPr>
          <w:noProof/>
        </w:rPr>
        <w:t xml:space="preserve"> mars </w:t>
      </w:r>
      <w:r w:rsidRPr="0086652C">
        <w:rPr>
          <w:noProof/>
        </w:rPr>
        <w:t>2025</w:t>
      </w:r>
      <w:r w:rsidRPr="002850C6">
        <w:rPr>
          <w:noProof/>
        </w:rPr>
        <w:t xml:space="preserve"> sur la stratégie européenne pour une union de la préparation</w:t>
      </w:r>
      <w:r w:rsidR="009B03F8">
        <w:rPr>
          <w:noProof/>
        </w:rPr>
        <w:t>(</w:t>
      </w:r>
      <w:r w:rsidR="009B03F8">
        <w:rPr>
          <w:rStyle w:val="FootnoteReference"/>
          <w:noProof/>
        </w:rPr>
        <w:footnoteReference w:id="17"/>
      </w:r>
      <w:r w:rsidRPr="0086652C">
        <w:rPr>
          <w:rStyle w:val="FootnoteReference"/>
          <w:noProof/>
        </w:rPr>
        <w:t>13</w:t>
      </w:r>
      <w:r w:rsidRPr="002850C6">
        <w:rPr>
          <w:rStyle w:val="FootnoteReference"/>
          <w:noProof/>
        </w:rPr>
        <w:t>)</w:t>
      </w:r>
      <w:r w:rsidRPr="002850C6">
        <w:rPr>
          <w:noProof/>
        </w:rPr>
        <w:t>, dans laquelle il est appelé à un renforcement de la coopération civile-militaire assortie d’une amélioration de l’interaction entre les acteurs civils et militaires, une démarche au cœur du présent règlement, dont l’objectif est d’améliorer tant l’approche englobant l’ensemble de la société que l’approche pangouvernementale en ce qui concerne les opérations de transport militaire.</w:t>
      </w:r>
    </w:p>
    <w:p w14:paraId="34C5F374" w14:textId="77777777" w:rsidR="001E24F3" w:rsidRPr="002850C6" w:rsidRDefault="00840EE2">
      <w:pPr>
        <w:rPr>
          <w:noProof/>
        </w:rPr>
      </w:pPr>
      <w:r w:rsidRPr="002850C6">
        <w:rPr>
          <w:noProof/>
        </w:rPr>
        <w:t>Le règlement s’inscrit également dans le prolongement de la communication de la Commission intitulée «Stratégie de constitution de stocks à l’échelle de l’UE: renforcer la préparation matérielle de l’Union aux crises»</w:t>
      </w:r>
      <w:r w:rsidR="009B03F8">
        <w:rPr>
          <w:noProof/>
        </w:rPr>
        <w:t>(</w:t>
      </w:r>
      <w:r w:rsidR="009B03F8">
        <w:rPr>
          <w:rStyle w:val="FootnoteReference"/>
          <w:noProof/>
        </w:rPr>
        <w:footnoteReference w:id="18"/>
      </w:r>
      <w:r w:rsidRPr="0086652C">
        <w:rPr>
          <w:rStyle w:val="FootnoteReference"/>
          <w:noProof/>
        </w:rPr>
        <w:t>14</w:t>
      </w:r>
      <w:r w:rsidRPr="002850C6">
        <w:rPr>
          <w:rStyle w:val="FootnoteReference"/>
          <w:noProof/>
        </w:rPr>
        <w:t>)</w:t>
      </w:r>
      <w:r w:rsidRPr="002850C6">
        <w:rPr>
          <w:noProof/>
        </w:rPr>
        <w:t>: il propose des mesures concrètes permettant de répondre à l’appel lancé dans cette communication en vue de renforcer la coopération et la coordination afin de définir des politiques et des cadres réglementaires adaptables pour les mouvements transfrontières en temps de crise et de perturbation. Les dispositions du présent règlement relatives au système européen de réaction renforcée pour la mobilité militaire (EMERS) sont particulièrement cohérentes avec l’approche décrite dans la stratégie de constitution de stocks à l’échelle de l’UE.</w:t>
      </w:r>
    </w:p>
    <w:p w14:paraId="29196EFA" w14:textId="77777777" w:rsidR="001E24F3" w:rsidRPr="002850C6" w:rsidRDefault="00840EE2">
      <w:pPr>
        <w:rPr>
          <w:noProof/>
        </w:rPr>
      </w:pPr>
      <w:r w:rsidRPr="002850C6">
        <w:rPr>
          <w:noProof/>
        </w:rPr>
        <w:t>En prévoyant la possibilité de créer une réserve de solidarité de capacités de transport et de logistique partagées afin de combler les lacunes en matière de capacités auxquelles sont confrontés les États membres lorsqu’il s’agit d’effectuer des opérations de transport militaire, le règlement s’inspire directement du succès connu par la Commission avec la réserve européenne de protection civile et rescEU dans le cadre du mécanisme de protection civile de l’Union</w:t>
      </w:r>
      <w:r w:rsidR="009B03F8">
        <w:rPr>
          <w:noProof/>
        </w:rPr>
        <w:t>(</w:t>
      </w:r>
      <w:r w:rsidR="009B03F8">
        <w:rPr>
          <w:rStyle w:val="FootnoteReference"/>
          <w:noProof/>
        </w:rPr>
        <w:footnoteReference w:id="19"/>
      </w:r>
      <w:r w:rsidRPr="0086652C">
        <w:rPr>
          <w:rStyle w:val="FootnoteReference"/>
          <w:noProof/>
        </w:rPr>
        <w:t>15</w:t>
      </w:r>
      <w:r w:rsidRPr="002850C6">
        <w:rPr>
          <w:rStyle w:val="FootnoteReference"/>
          <w:noProof/>
        </w:rPr>
        <w:t>)</w:t>
      </w:r>
      <w:r w:rsidRPr="002850C6">
        <w:rPr>
          <w:noProof/>
        </w:rPr>
        <w:t xml:space="preserve">. </w:t>
      </w:r>
    </w:p>
    <w:p w14:paraId="4FC32B63" w14:textId="77777777" w:rsidR="001E24F3" w:rsidRPr="002850C6" w:rsidRDefault="00840EE2">
      <w:pPr>
        <w:rPr>
          <w:noProof/>
        </w:rPr>
      </w:pPr>
      <w:r w:rsidRPr="002850C6">
        <w:rPr>
          <w:noProof/>
        </w:rPr>
        <w:t>En outre, tout en visant à renforcer la résilience des infrastructures stratégiques à double usage, le présent règlement s’appuie sur la directive existante sur la résilience des entités critiques</w:t>
      </w:r>
      <w:r w:rsidR="009B03F8">
        <w:rPr>
          <w:noProof/>
        </w:rPr>
        <w:t>(</w:t>
      </w:r>
      <w:r w:rsidR="009B03F8">
        <w:rPr>
          <w:rStyle w:val="FootnoteReference"/>
          <w:noProof/>
        </w:rPr>
        <w:footnoteReference w:id="20"/>
      </w:r>
      <w:r w:rsidRPr="0086652C">
        <w:rPr>
          <w:rStyle w:val="FootnoteReference"/>
          <w:noProof/>
        </w:rPr>
        <w:t>17</w:t>
      </w:r>
      <w:r w:rsidRPr="002850C6">
        <w:rPr>
          <w:rStyle w:val="FootnoteReference"/>
          <w:noProof/>
        </w:rPr>
        <w:t>)</w:t>
      </w:r>
      <w:r w:rsidRPr="002850C6">
        <w:rPr>
          <w:noProof/>
        </w:rPr>
        <w:t>. Il répond, entre autres, à la nécessité spécifique de renforcer la résilience et la protection des infrastructures stratégiques à double usage pour le transport militaire en instaurant des règles complémentaires qui s’appuient sur ladite directive existante, en mettant l’accent sur le recensement et la résilience de ces infrastructures de transport.</w:t>
      </w:r>
    </w:p>
    <w:p w14:paraId="0D644225" w14:textId="77777777" w:rsidR="002D42E2" w:rsidRPr="002850C6" w:rsidRDefault="00840EE2">
      <w:pPr>
        <w:rPr>
          <w:noProof/>
        </w:rPr>
      </w:pPr>
      <w:r w:rsidRPr="002850C6">
        <w:rPr>
          <w:noProof/>
        </w:rPr>
        <w:t>Enfin, s’il propose des dispositions spécifiques et accessoires concernant les procédures douanières applicables au transport militaire, strictement nécessaires pour faciliter la mise en œuvre des mesures envisagées en matière de transport, le présent règlement reste pleinement compatible avec la proposition de révision du code des douanes de l’Union</w:t>
      </w:r>
      <w:r w:rsidR="009B03F8">
        <w:rPr>
          <w:noProof/>
        </w:rPr>
        <w:t>(</w:t>
      </w:r>
      <w:r w:rsidR="009B03F8">
        <w:rPr>
          <w:rStyle w:val="FootnoteReference"/>
          <w:noProof/>
        </w:rPr>
        <w:footnoteReference w:id="21"/>
      </w:r>
      <w:r w:rsidRPr="0086652C">
        <w:rPr>
          <w:rStyle w:val="FootnoteReference"/>
          <w:noProof/>
        </w:rPr>
        <w:t>18</w:t>
      </w:r>
      <w:r w:rsidRPr="002850C6">
        <w:rPr>
          <w:rStyle w:val="FootnoteReference"/>
          <w:noProof/>
        </w:rPr>
        <w:t>)</w:t>
      </w:r>
      <w:r w:rsidRPr="002850C6">
        <w:rPr>
          <w:noProof/>
        </w:rPr>
        <w:t>, qui établit les règles et procédures douanières applicables sur le territoire douanier de l’UE.</w:t>
      </w:r>
    </w:p>
    <w:p w14:paraId="5A4A3C5D" w14:textId="77777777" w:rsidR="001E24F3" w:rsidRPr="002850C6" w:rsidRDefault="009B5C10" w:rsidP="009B5C10">
      <w:pPr>
        <w:pStyle w:val="ManualHeading1"/>
        <w:rPr>
          <w:noProof/>
        </w:rPr>
      </w:pPr>
      <w:bookmarkStart w:id="5" w:name="_Toc213612548"/>
      <w:r w:rsidRPr="0086652C">
        <w:rPr>
          <w:noProof/>
        </w:rPr>
        <w:t>2</w:t>
      </w:r>
      <w:r w:rsidRPr="002850C6">
        <w:rPr>
          <w:noProof/>
        </w:rPr>
        <w:t>.</w:t>
      </w:r>
      <w:r w:rsidRPr="002850C6">
        <w:rPr>
          <w:noProof/>
        </w:rPr>
        <w:tab/>
        <w:t>BASE JURIDIQUE, SUBSIDIARITÉ ET PROPORTIONNALITÉ</w:t>
      </w:r>
      <w:bookmarkEnd w:id="5"/>
    </w:p>
    <w:p w14:paraId="6CFA9B17" w14:textId="77777777" w:rsidR="001E24F3" w:rsidRPr="002850C6" w:rsidRDefault="00840EE2">
      <w:pPr>
        <w:pStyle w:val="ManualHeading2"/>
        <w:rPr>
          <w:noProof/>
        </w:rPr>
      </w:pPr>
      <w:bookmarkStart w:id="6" w:name="_Toc213612549"/>
      <w:r w:rsidRPr="002850C6">
        <w:rPr>
          <w:noProof/>
        </w:rPr>
        <w:t>•</w:t>
      </w:r>
      <w:r w:rsidRPr="002850C6">
        <w:rPr>
          <w:noProof/>
        </w:rPr>
        <w:tab/>
        <w:t>Base juridique</w:t>
      </w:r>
      <w:bookmarkEnd w:id="6"/>
    </w:p>
    <w:p w14:paraId="651CC35B" w14:textId="77777777" w:rsidR="001E24F3" w:rsidRPr="002850C6" w:rsidRDefault="00840EE2">
      <w:pPr>
        <w:rPr>
          <w:noProof/>
        </w:rPr>
      </w:pPr>
      <w:r w:rsidRPr="002850C6">
        <w:rPr>
          <w:noProof/>
        </w:rPr>
        <w:t>Les forces armées des États membres s’appuient lourdement sur des infrastructures et équipements de transport à double usage pour effectuer leurs opérations de transport militaire. Par la reconnaissance de cette dimension de double usage, la politique commune des transports peut être mobilisée et étendue pour venir en soutien des besoins spécifiques du transport militaire.</w:t>
      </w:r>
    </w:p>
    <w:p w14:paraId="1B7F5998" w14:textId="77777777" w:rsidR="001E24F3" w:rsidRPr="002850C6" w:rsidRDefault="00840EE2">
      <w:pPr>
        <w:rPr>
          <w:noProof/>
        </w:rPr>
      </w:pPr>
      <w:r w:rsidRPr="002850C6">
        <w:rPr>
          <w:noProof/>
        </w:rPr>
        <w:t>En outre, la réglementation relative au transport militaire transfrontière doit être intégrée de manière adéquate et étendue dans le cadre de la politique commune des transports et à l’échelle de l’Union, en particulier pour tenir compte des spécificités pertinentes des transports effectués pour le compte des forces armées par des entreprises civiles, ainsi que pour veiller à ce que leur incidence sur d’autres transports civils soit réduite au minimum et atténuée dans la mesure du possible.</w:t>
      </w:r>
    </w:p>
    <w:p w14:paraId="7F9CE665" w14:textId="77777777" w:rsidR="001E24F3" w:rsidRPr="002850C6" w:rsidRDefault="00840EE2">
      <w:pPr>
        <w:rPr>
          <w:noProof/>
        </w:rPr>
      </w:pPr>
      <w:r w:rsidRPr="002850C6">
        <w:rPr>
          <w:noProof/>
        </w:rPr>
        <w:t>Compte tenu de ce qui précède ainsi que du fait qu’il comprend des mesures applicables aux transports par route, par chemin de fer et par voie navigable, mais aussi aux transports aériens et maritimes, la base juridique du règlement est l’article </w:t>
      </w:r>
      <w:r w:rsidRPr="0086652C">
        <w:rPr>
          <w:noProof/>
        </w:rPr>
        <w:t>91</w:t>
      </w:r>
      <w:r w:rsidRPr="002850C6">
        <w:rPr>
          <w:noProof/>
        </w:rPr>
        <w:t xml:space="preserve"> et l’article </w:t>
      </w:r>
      <w:r w:rsidRPr="0086652C">
        <w:rPr>
          <w:noProof/>
        </w:rPr>
        <w:t>100</w:t>
      </w:r>
      <w:r w:rsidRPr="002850C6">
        <w:rPr>
          <w:noProof/>
        </w:rPr>
        <w:t>, paragraphe </w:t>
      </w:r>
      <w:r w:rsidRPr="0086652C">
        <w:rPr>
          <w:noProof/>
        </w:rPr>
        <w:t>2</w:t>
      </w:r>
      <w:r w:rsidRPr="002850C6">
        <w:rPr>
          <w:noProof/>
        </w:rPr>
        <w:t>, du traité sur le fonctionnement de l’Union européenne (TFUE). Le règlement établit un ensemble de mesures et établit des dispositions appropriées visant à faciliter le transport militaire dans l’Union et à l’ensemble de ses frontières extérieures ainsi qu’à réduire au minimum et à atténuer l’incidence de ce transport sur le transport civil.</w:t>
      </w:r>
    </w:p>
    <w:p w14:paraId="413FAA27" w14:textId="77777777" w:rsidR="001E24F3" w:rsidRPr="002850C6" w:rsidRDefault="00840EE2">
      <w:pPr>
        <w:pStyle w:val="ManualHeading2"/>
        <w:rPr>
          <w:noProof/>
        </w:rPr>
      </w:pPr>
      <w:bookmarkStart w:id="7" w:name="_Toc213612550"/>
      <w:r w:rsidRPr="002850C6">
        <w:rPr>
          <w:noProof/>
        </w:rPr>
        <w:t>•</w:t>
      </w:r>
      <w:r w:rsidRPr="002850C6">
        <w:rPr>
          <w:noProof/>
        </w:rPr>
        <w:tab/>
        <w:t>Subsidiarité (en cas de compétence non exclusive)</w:t>
      </w:r>
      <w:bookmarkEnd w:id="7"/>
    </w:p>
    <w:p w14:paraId="426F5E94" w14:textId="77777777" w:rsidR="001E24F3" w:rsidRPr="002850C6" w:rsidRDefault="00840EE2">
      <w:pPr>
        <w:rPr>
          <w:noProof/>
        </w:rPr>
      </w:pPr>
      <w:r w:rsidRPr="002850C6">
        <w:rPr>
          <w:noProof/>
        </w:rPr>
        <w:t>La mobilité militaire dans l’UE désigne la capacité des forces armées des États membres à déployer rapidement des troupes et des équipements dans l’Union et à l’ensemble de ses frontières extérieures à des fins militaires. Compte tenu de sa nature intrinsèquement transnationale, la mobilité militaire est fortement influencée par la complexité des mouvements transfrontières. S’attaquant aux difficultés liées au transport militaire transfrontière, le présent règlement respecte le principe de subsidiarité, car il permettra la prise de décisions à l’échelon le plus efficace pour favoriser la fluidité et l’efficience de la mobilité militaire dans l’ensemble de l’UE.</w:t>
      </w:r>
    </w:p>
    <w:p w14:paraId="458C2763" w14:textId="77777777" w:rsidR="001E24F3" w:rsidRPr="002850C6" w:rsidRDefault="00840EE2">
      <w:pPr>
        <w:rPr>
          <w:noProof/>
        </w:rPr>
      </w:pPr>
      <w:r w:rsidRPr="002850C6">
        <w:rPr>
          <w:noProof/>
        </w:rPr>
        <w:t>Sur le plan réglementaire, malgré les efforts nationaux et intergouvernementaux, les progrès accomplis pour faciliter le transport militaire transfrontière ont été insuffisants. Le paysage réglementaire actuel se caractérise par des incohérences et divergences entre les réglementations nationales débouchant sur un cadre fragmenté qui entrave l’utilisation efficace des infrastructures de transport à double usage et, partant, le transport transfrontière de personnels et d’équipements militaires par-delà les frontières, tout en réduisant au minimum et en atténuant l’incidence de ce transport sur le transport civil. Pour résoudre ce problème, un cadre réglementaire unifié à l’échelon de l’Union est nécessaire pour mettre en place une approche cohérente et uniforme en vue d’assurer le double usage des infrastructures de transport pour les mouvements militaires. En outre, le cadre réglementaire régissant le transport militaire transfrontière doit être intégré et étendu dans le contexte de la politique commune des transports, qui est établie à l’échelon de l’Union.</w:t>
      </w:r>
    </w:p>
    <w:p w14:paraId="2CCFCFB7" w14:textId="77777777" w:rsidR="001E24F3" w:rsidRPr="002850C6" w:rsidRDefault="00840EE2">
      <w:pPr>
        <w:rPr>
          <w:noProof/>
        </w:rPr>
      </w:pPr>
      <w:r w:rsidRPr="002850C6">
        <w:rPr>
          <w:noProof/>
        </w:rPr>
        <w:t xml:space="preserve">En ce qui concerne les infrastructures, les opérations de transport militaire transfrontières reposent intrinsèquement sur des réseaux d’infrastructures à double usage s’étendant sur plusieurs États membres. Les corridors de mobilité militaire déterminés en </w:t>
      </w:r>
      <w:r w:rsidRPr="0086652C">
        <w:rPr>
          <w:noProof/>
        </w:rPr>
        <w:t>2025</w:t>
      </w:r>
      <w:r w:rsidRPr="002850C6">
        <w:rPr>
          <w:noProof/>
        </w:rPr>
        <w:t xml:space="preserve"> sont de bons exemples de cette dimension transfrontière. Par conséquent, les mesures proposées dans le présent règlement pour améliorer l’état de préparation et la résilience des infrastructures à double usage sont à la fois nécessaires pour garantir l’exécution fluide des opérations de transport militaire transfrontières et la conformité avec le principe de subsidiarité. Par contre, des approches nationales fragmentées ne suffiraient pas pour atteindre l’objectif, à savoir l’exécution d’opérations de transport militaire transfrontières sur des infrastructures à double usage adaptées à leur finalité.</w:t>
      </w:r>
    </w:p>
    <w:p w14:paraId="3B6075A6" w14:textId="77777777" w:rsidR="001E24F3" w:rsidRPr="002850C6" w:rsidRDefault="00840EE2">
      <w:pPr>
        <w:rPr>
          <w:noProof/>
        </w:rPr>
      </w:pPr>
      <w:r w:rsidRPr="002850C6">
        <w:rPr>
          <w:noProof/>
        </w:rPr>
        <w:t>En ce qui concerne les capacités en matière de transport et de logistique, les États membres sont confrontés à des lacunes importantes qu’il est de facto difficile de combler au seul échelon national en raison de l’ampleur des investissements requis ou parce que les combler État par État entraînerait une inutile duplication des efforts. Ces lacunes peuvent entraver l’efficacité du transport militaire dans l’Union et à l’ensemble de ses frontières extérieures. Pour y remédier, plusieurs États membres sont parvenus à appliquer des initiatives de «mise en commun et de partage» de capacités de transport et de capacités logistiques, telles que le transport aérien stratégique, démontrant ainsi le potentiel d’une démarche collaborative. Toutefois, ces initiatives sont actuellement fragmentées et limitées à un certain nombre d’États membres. Le règlement proposé vise à tirer parti de ces succès en les rendant accessibles à tous les États membres et en élargissant leur champ d’application pour y inclure d’autres modes et capacités de transport. Par l’établissement d’une réserve de solidarité et l’instauration de mesures visant à renforcer la solidarité entre les États membres en ce qui concerne l’accès aux capacités pertinentes, comblant ainsi les lacunes en matière de capacités qui entravent actuellement le transport militaire à l’échelon de l’Union, la proposition respecte le principe de subsidiarité, car elle apporte une solution à l’échelon de l’Union à un défi transfrontière. Cette approche permet une utilisation plus efficace et coordonnée des ressources, qui profite en fin de compte à tous les États membres.</w:t>
      </w:r>
    </w:p>
    <w:p w14:paraId="7E8E36CB" w14:textId="77777777" w:rsidR="001E24F3" w:rsidRPr="002850C6" w:rsidRDefault="00840EE2">
      <w:pPr>
        <w:rPr>
          <w:noProof/>
        </w:rPr>
      </w:pPr>
      <w:r w:rsidRPr="002850C6">
        <w:rPr>
          <w:noProof/>
        </w:rPr>
        <w:t>Enfin, si la Cour des comptes européenne</w:t>
      </w:r>
      <w:r w:rsidR="009B03F8">
        <w:rPr>
          <w:noProof/>
        </w:rPr>
        <w:t>(</w:t>
      </w:r>
      <w:r w:rsidR="009B03F8">
        <w:rPr>
          <w:rStyle w:val="FootnoteReference"/>
          <w:noProof/>
        </w:rPr>
        <w:footnoteReference w:id="22"/>
      </w:r>
      <w:r w:rsidRPr="0086652C">
        <w:rPr>
          <w:rStyle w:val="FootnoteReference"/>
          <w:noProof/>
        </w:rPr>
        <w:t>19</w:t>
      </w:r>
      <w:r w:rsidRPr="002850C6">
        <w:rPr>
          <w:rStyle w:val="FootnoteReference"/>
          <w:noProof/>
        </w:rPr>
        <w:t>)</w:t>
      </w:r>
      <w:r w:rsidRPr="002850C6">
        <w:rPr>
          <w:noProof/>
        </w:rPr>
        <w:t xml:space="preserve"> et les parties prenantes consultées ont souligné la nécessité et la pertinence d’une action à l’échelon de l’UE pour lever les obstacles systémiques à la mobilité militaire, la nécessité urgente d’améliorer la mobilité militaire a également rendu l’intervention de l’UE essentielle pour apporter une solution cohérente avec la rapidité et l’ampleur requises.</w:t>
      </w:r>
    </w:p>
    <w:p w14:paraId="30D9139E" w14:textId="77777777" w:rsidR="001E24F3" w:rsidRPr="002850C6" w:rsidRDefault="00840EE2">
      <w:pPr>
        <w:pStyle w:val="ManualHeading2"/>
        <w:rPr>
          <w:noProof/>
        </w:rPr>
      </w:pPr>
      <w:bookmarkStart w:id="8" w:name="_Toc213612551"/>
      <w:r w:rsidRPr="002850C6">
        <w:rPr>
          <w:noProof/>
        </w:rPr>
        <w:t>•</w:t>
      </w:r>
      <w:r w:rsidRPr="002850C6">
        <w:rPr>
          <w:noProof/>
        </w:rPr>
        <w:tab/>
        <w:t>Proportionnalité</w:t>
      </w:r>
      <w:bookmarkEnd w:id="8"/>
    </w:p>
    <w:p w14:paraId="12D25045" w14:textId="77777777" w:rsidR="001E24F3" w:rsidRPr="002850C6" w:rsidRDefault="00840EE2">
      <w:pPr>
        <w:rPr>
          <w:noProof/>
        </w:rPr>
      </w:pPr>
      <w:r w:rsidRPr="002850C6">
        <w:rPr>
          <w:noProof/>
        </w:rPr>
        <w:t>Le règlement a pour objet de faciliter et de rationaliser le transport militaire au sein de l’Union en favorisant le double usage d’infrastructures civiles et une coordination accrue entre les États membres. Pour atteindre cet objectif, les mesures proposées sont soigneusement calibrées de manière à être proportionnées aux besoins du règlement, un équilibre étant trouvé entre la rationalisation des règles et procédures applicables au transport militaire et la responsabilité première des États membres en matière de mobilité militaire. Le règlement ne porte pas atteinte à la souveraineté des États membres, seuls compétents pour décider de déplacer leurs forces militaires à l’intérieur de l’Union ou autoriser le transit par leur territoire de forces armées d’un autre État membre. En revanche, il vise à permettre la mise en œuvre effective de telles décisions souveraines, renforçant ainsi l’efficacité globale de la mobilité militaire. Par l’approche proportionnée adoptée, le règlement permet de faire en sorte que le transport militaire sera facilité, la souveraineté des États membres étant pleinement respectée dans le même temps.</w:t>
      </w:r>
    </w:p>
    <w:p w14:paraId="295E1F90" w14:textId="77777777" w:rsidR="001E24F3" w:rsidRPr="002850C6" w:rsidRDefault="00840EE2">
      <w:pPr>
        <w:rPr>
          <w:noProof/>
        </w:rPr>
      </w:pPr>
      <w:r w:rsidRPr="002850C6">
        <w:rPr>
          <w:noProof/>
        </w:rPr>
        <w:t>En outre, le règlement permet d’arriver à un équilibre délicat entre, d’une part, la nécessité de faciliter les opérations de transport militaire et, d’autre part, celle d’atténuer leur incidence sur les civils, ce qui garantit la proportionnalité de l’approche envisagée. Les règles proposées ont pour objet de clarifier le cadre réglementaire applicable aux opérateurs civils auxquels des marchés sont attribués par des forces armées d’États membres, ce qui constitue la situation la plus fréquente pour les opérations de transport militaire dans l’Union. En outre, en établissant une distinction entre les règles normales de transport militaire et les mesures d’urgence prévues au titre de l’EMERS, le règlement adopte une approche graduée et progressive, réservant d’éventuelles mesures intrusives et aux conséquences plus lourdes aux situations qui l’exigent réellement. Cette approche ciblée réduit au minimum l’incidence sur le secteur civil, la limitant à ce qui est strictement nécessaire pour faire face à l’augmentation des opérations de transport militaire dans l’Union. En outre, les mesures envisagées renforcent la prévisibilité pour les activités civiles et offrent au secteur civil la possibilité de contribuer activement à l’amélioration de la mobilité militaire dans l’Union, propice à un environnement collaboratif et mutuellement bénéfique.</w:t>
      </w:r>
    </w:p>
    <w:p w14:paraId="1AEDAF81" w14:textId="77777777" w:rsidR="001E24F3" w:rsidRPr="002850C6" w:rsidRDefault="00840EE2">
      <w:pPr>
        <w:pStyle w:val="ManualHeading2"/>
        <w:rPr>
          <w:noProof/>
        </w:rPr>
      </w:pPr>
      <w:bookmarkStart w:id="9" w:name="_Toc213612552"/>
      <w:r w:rsidRPr="002850C6">
        <w:rPr>
          <w:noProof/>
        </w:rPr>
        <w:t>•</w:t>
      </w:r>
      <w:r w:rsidRPr="002850C6">
        <w:rPr>
          <w:noProof/>
        </w:rPr>
        <w:tab/>
        <w:t>Choix de l’instrument</w:t>
      </w:r>
      <w:bookmarkEnd w:id="9"/>
    </w:p>
    <w:p w14:paraId="2B72B9B0" w14:textId="77777777" w:rsidR="001E24F3" w:rsidRPr="002850C6" w:rsidRDefault="00840EE2">
      <w:pPr>
        <w:rPr>
          <w:noProof/>
        </w:rPr>
      </w:pPr>
      <w:r w:rsidRPr="002850C6">
        <w:rPr>
          <w:noProof/>
        </w:rPr>
        <w:t>La Commission propose l’adoption d’un règlement du Parlement européen et du Conseil. Il s’agit de l’instrument juridique le plus approprié étant donné que seul un règlement, par son application uniforme, son caractère contraignant et son applicabilité directe, peut fournir le degré d’uniformité nécessaire pour faciliter et rationaliser de manière significative les transports militaires. En outre, cette proposition est conforme à l’article </w:t>
      </w:r>
      <w:r w:rsidRPr="0086652C">
        <w:rPr>
          <w:noProof/>
        </w:rPr>
        <w:t>91</w:t>
      </w:r>
      <w:r w:rsidRPr="002850C6">
        <w:rPr>
          <w:noProof/>
        </w:rPr>
        <w:t xml:space="preserve"> et à l’article </w:t>
      </w:r>
      <w:r w:rsidRPr="0086652C">
        <w:rPr>
          <w:noProof/>
        </w:rPr>
        <w:t>100</w:t>
      </w:r>
      <w:r w:rsidRPr="002850C6">
        <w:rPr>
          <w:noProof/>
        </w:rPr>
        <w:t>, paragraphe </w:t>
      </w:r>
      <w:r w:rsidRPr="0086652C">
        <w:rPr>
          <w:noProof/>
        </w:rPr>
        <w:t>2</w:t>
      </w:r>
      <w:r w:rsidRPr="002850C6">
        <w:rPr>
          <w:noProof/>
        </w:rPr>
        <w:t>, du traité sur le fonctionnement de l’Union européenne, qui prescrivent le recours à la procédure législative ordinaire pour adopter des mesures dans leurs domaines d’application respectifs.</w:t>
      </w:r>
    </w:p>
    <w:p w14:paraId="6B4A55E6" w14:textId="77777777" w:rsidR="001E24F3" w:rsidRPr="002850C6" w:rsidRDefault="00840EE2">
      <w:pPr>
        <w:rPr>
          <w:noProof/>
        </w:rPr>
      </w:pPr>
      <w:r w:rsidRPr="002850C6">
        <w:rPr>
          <w:noProof/>
        </w:rPr>
        <w:t xml:space="preserve">L’option de l’adoption d’une directive n’a pas été retenue, principalement en raison de la nécessité d’un délai de transposition par les États membres, exigeant du temps et des efforts incompatibles avec l’urgence du calendrier à respecter par l’Union pour améliorer la mobilité militaire, comme indiqué dans le livre blanc conjoint «Préparation de la défense européenne à l’horizon </w:t>
      </w:r>
      <w:r w:rsidRPr="0086652C">
        <w:rPr>
          <w:noProof/>
        </w:rPr>
        <w:t>2030</w:t>
      </w:r>
      <w:r w:rsidRPr="002850C6">
        <w:rPr>
          <w:noProof/>
        </w:rPr>
        <w:t>».</w:t>
      </w:r>
    </w:p>
    <w:p w14:paraId="1DCE44E7" w14:textId="77777777" w:rsidR="001E24F3" w:rsidRPr="002850C6" w:rsidRDefault="009B5C10" w:rsidP="009B5C10">
      <w:pPr>
        <w:pStyle w:val="ManualHeading1"/>
        <w:rPr>
          <w:noProof/>
        </w:rPr>
      </w:pPr>
      <w:bookmarkStart w:id="10" w:name="_Toc213612553"/>
      <w:r w:rsidRPr="0086652C">
        <w:rPr>
          <w:noProof/>
        </w:rPr>
        <w:t>3</w:t>
      </w:r>
      <w:r w:rsidRPr="002850C6">
        <w:rPr>
          <w:noProof/>
        </w:rPr>
        <w:t>.</w:t>
      </w:r>
      <w:r w:rsidRPr="002850C6">
        <w:rPr>
          <w:noProof/>
        </w:rPr>
        <w:tab/>
        <w:t>RÉSULTATS DES ÉVALUATIONS EX POST, DES CONSULTATIONS DES PARTIES INTÉRESSÉES ET DES ANALYSES D’IMPACT</w:t>
      </w:r>
      <w:bookmarkEnd w:id="10"/>
    </w:p>
    <w:p w14:paraId="0D361E93" w14:textId="77777777" w:rsidR="001E24F3" w:rsidRPr="002850C6" w:rsidRDefault="00840EE2">
      <w:pPr>
        <w:pStyle w:val="ManualHeading2"/>
        <w:rPr>
          <w:noProof/>
        </w:rPr>
      </w:pPr>
      <w:bookmarkStart w:id="11" w:name="_Toc213612554"/>
      <w:r w:rsidRPr="002850C6">
        <w:rPr>
          <w:noProof/>
        </w:rPr>
        <w:t>•</w:t>
      </w:r>
      <w:r w:rsidRPr="002850C6">
        <w:rPr>
          <w:noProof/>
        </w:rPr>
        <w:tab/>
        <w:t>Évaluations ex post/bilans de qualité de la législation existante</w:t>
      </w:r>
      <w:bookmarkEnd w:id="11"/>
    </w:p>
    <w:p w14:paraId="703F99E8" w14:textId="77777777" w:rsidR="001E24F3" w:rsidRPr="002850C6" w:rsidRDefault="00840EE2">
      <w:pPr>
        <w:rPr>
          <w:noProof/>
        </w:rPr>
      </w:pPr>
      <w:r w:rsidRPr="002850C6">
        <w:rPr>
          <w:noProof/>
        </w:rPr>
        <w:t>La présente proposition de règlement est une initiative visant à mettre en place une nouvelle politique. À ce jour, il n’existe aucun cadre législatif concernant le transport militaire transfrontière de personnels et de marchandises militaires à l’échelon de l’UE.</w:t>
      </w:r>
    </w:p>
    <w:p w14:paraId="53005570" w14:textId="77777777" w:rsidR="001E24F3" w:rsidRPr="002850C6" w:rsidRDefault="00840EE2">
      <w:pPr>
        <w:pStyle w:val="ManualHeading2"/>
        <w:rPr>
          <w:noProof/>
        </w:rPr>
      </w:pPr>
      <w:bookmarkStart w:id="12" w:name="_Toc213612555"/>
      <w:r w:rsidRPr="002850C6">
        <w:rPr>
          <w:noProof/>
        </w:rPr>
        <w:t>•</w:t>
      </w:r>
      <w:r w:rsidRPr="002850C6">
        <w:rPr>
          <w:noProof/>
        </w:rPr>
        <w:tab/>
        <w:t>Consultation des parties intéressées</w:t>
      </w:r>
      <w:bookmarkEnd w:id="12"/>
    </w:p>
    <w:p w14:paraId="4EDA82C7" w14:textId="77777777" w:rsidR="001E24F3" w:rsidRPr="002850C6" w:rsidRDefault="00840EE2">
      <w:pPr>
        <w:rPr>
          <w:noProof/>
        </w:rPr>
      </w:pPr>
      <w:r w:rsidRPr="002850C6">
        <w:rPr>
          <w:noProof/>
        </w:rPr>
        <w:t xml:space="preserve">Afin de recueillir des données qualitatives et quantitatives et un retour d’information sur des questions clés du train de mesures sur la mobilité militaire de </w:t>
      </w:r>
      <w:r w:rsidRPr="0086652C">
        <w:rPr>
          <w:noProof/>
        </w:rPr>
        <w:t>2025</w:t>
      </w:r>
      <w:r w:rsidRPr="002850C6">
        <w:rPr>
          <w:noProof/>
        </w:rPr>
        <w:t xml:space="preserve">, une consultation ciblée des parties prenantes a été menée à propos de ce train de mesures. Lancée le </w:t>
      </w:r>
      <w:r w:rsidRPr="0086652C">
        <w:rPr>
          <w:noProof/>
        </w:rPr>
        <w:t>12</w:t>
      </w:r>
      <w:r w:rsidRPr="002850C6">
        <w:rPr>
          <w:noProof/>
        </w:rPr>
        <w:t xml:space="preserve"> juin </w:t>
      </w:r>
      <w:r w:rsidRPr="0086652C">
        <w:rPr>
          <w:noProof/>
        </w:rPr>
        <w:t>2025</w:t>
      </w:r>
      <w:r w:rsidRPr="002850C6">
        <w:rPr>
          <w:noProof/>
        </w:rPr>
        <w:t xml:space="preserve"> par la Commission européenne en collaboration avec la haute représentante, elle était adressée aux États membres et à tous les acteurs concernés, y compris l’OTAN, les gestionnaires de projets CSP pertinents, des domaines de la mobilité militaire, de l’industrie et d’infrastructures et d’actifs de transport, les parties prenantes des secteurs douanier et de l’énergie, et le secteur financier, entre autres. Cette consultation ciblée des parties prenantes comprenait une enquête en ligne spécifique et offrait la possibilité de soumettre des documents de synthèse et des contributions écrites jusqu’au </w:t>
      </w:r>
      <w:r w:rsidRPr="0086652C">
        <w:rPr>
          <w:noProof/>
        </w:rPr>
        <w:t>31</w:t>
      </w:r>
      <w:r w:rsidRPr="002850C6">
        <w:rPr>
          <w:noProof/>
        </w:rPr>
        <w:t xml:space="preserve"> juillet </w:t>
      </w:r>
      <w:r w:rsidRPr="0086652C">
        <w:rPr>
          <w:noProof/>
        </w:rPr>
        <w:t>2025</w:t>
      </w:r>
      <w:r w:rsidRPr="002850C6">
        <w:rPr>
          <w:noProof/>
        </w:rPr>
        <w:t>. Le Service européen pour l’action extérieure et les services de la Commission européenne ont également tenu des réunions bilatérales avec les États membres en septembre </w:t>
      </w:r>
      <w:r w:rsidRPr="0086652C">
        <w:rPr>
          <w:noProof/>
        </w:rPr>
        <w:t>2025</w:t>
      </w:r>
      <w:r w:rsidRPr="002850C6">
        <w:rPr>
          <w:noProof/>
        </w:rPr>
        <w:t>.</w:t>
      </w:r>
    </w:p>
    <w:p w14:paraId="2FD7E502" w14:textId="77777777" w:rsidR="001E24F3" w:rsidRPr="002850C6" w:rsidRDefault="00840EE2">
      <w:pPr>
        <w:rPr>
          <w:noProof/>
        </w:rPr>
      </w:pPr>
      <w:r w:rsidRPr="002850C6">
        <w:rPr>
          <w:noProof/>
        </w:rPr>
        <w:t xml:space="preserve">Au total, la Commission a reçu </w:t>
      </w:r>
      <w:r w:rsidRPr="0086652C">
        <w:rPr>
          <w:noProof/>
        </w:rPr>
        <w:t>107</w:t>
      </w:r>
      <w:r w:rsidRPr="002850C6">
        <w:rPr>
          <w:noProof/>
        </w:rPr>
        <w:t xml:space="preserve"> contributions à l’enquête, dont </w:t>
      </w:r>
      <w:r w:rsidRPr="0086652C">
        <w:rPr>
          <w:noProof/>
        </w:rPr>
        <w:t>39</w:t>
      </w:r>
      <w:r w:rsidRPr="002850C6">
        <w:rPr>
          <w:noProof/>
        </w:rPr>
        <w:t xml:space="preserve"> d’États membres et </w:t>
      </w:r>
      <w:r w:rsidRPr="0086652C">
        <w:rPr>
          <w:noProof/>
        </w:rPr>
        <w:t>2</w:t>
      </w:r>
      <w:r w:rsidRPr="002850C6">
        <w:rPr>
          <w:noProof/>
        </w:rPr>
        <w:t xml:space="preserve"> de la Norvège, </w:t>
      </w:r>
      <w:r w:rsidRPr="0086652C">
        <w:rPr>
          <w:noProof/>
        </w:rPr>
        <w:t>36</w:t>
      </w:r>
      <w:r w:rsidRPr="002850C6">
        <w:rPr>
          <w:noProof/>
        </w:rPr>
        <w:t xml:space="preserve"> d’entreprises, </w:t>
      </w:r>
      <w:r w:rsidRPr="0086652C">
        <w:rPr>
          <w:noProof/>
        </w:rPr>
        <w:t>12</w:t>
      </w:r>
      <w:r w:rsidRPr="002850C6">
        <w:rPr>
          <w:noProof/>
        </w:rPr>
        <w:t xml:space="preserve"> d’associations sectorielles et </w:t>
      </w:r>
      <w:r w:rsidRPr="0086652C">
        <w:rPr>
          <w:noProof/>
        </w:rPr>
        <w:t>4</w:t>
      </w:r>
      <w:r w:rsidRPr="002850C6">
        <w:rPr>
          <w:noProof/>
        </w:rPr>
        <w:t xml:space="preserve"> d’autres organisations. D’autres contributions ont émané d’autorités portuaires (</w:t>
      </w:r>
      <w:r w:rsidRPr="0086652C">
        <w:rPr>
          <w:noProof/>
        </w:rPr>
        <w:t>12</w:t>
      </w:r>
      <w:r w:rsidRPr="002850C6">
        <w:rPr>
          <w:noProof/>
        </w:rPr>
        <w:t>), d’une autorité ferroviaire (</w:t>
      </w:r>
      <w:r w:rsidRPr="0086652C">
        <w:rPr>
          <w:noProof/>
        </w:rPr>
        <w:t>1</w:t>
      </w:r>
      <w:r w:rsidRPr="002850C6">
        <w:rPr>
          <w:noProof/>
        </w:rPr>
        <w:t>) et d’une organisation représentative de travailleurs (</w:t>
      </w:r>
      <w:r w:rsidRPr="0086652C">
        <w:rPr>
          <w:noProof/>
        </w:rPr>
        <w:t>1</w:t>
      </w:r>
      <w:r w:rsidRPr="002850C6">
        <w:rPr>
          <w:noProof/>
        </w:rPr>
        <w:t xml:space="preserve">). En ce qui concerne les secteurs représentés, pour autant qu’il a été possible d’attribuer les contributions à un secteur en particulier, </w:t>
      </w:r>
      <w:r w:rsidRPr="0086652C">
        <w:rPr>
          <w:noProof/>
        </w:rPr>
        <w:t>6</w:t>
      </w:r>
      <w:r w:rsidRPr="002850C6">
        <w:rPr>
          <w:noProof/>
        </w:rPr>
        <w:t xml:space="preserve"> ont émané du secteur aérien, </w:t>
      </w:r>
      <w:r w:rsidRPr="0086652C">
        <w:rPr>
          <w:noProof/>
        </w:rPr>
        <w:t>3</w:t>
      </w:r>
      <w:r w:rsidRPr="002850C6">
        <w:rPr>
          <w:noProof/>
        </w:rPr>
        <w:t xml:space="preserve"> d’autorités douanières, </w:t>
      </w:r>
      <w:r w:rsidRPr="0086652C">
        <w:rPr>
          <w:noProof/>
        </w:rPr>
        <w:t>1</w:t>
      </w:r>
      <w:r w:rsidRPr="002850C6">
        <w:rPr>
          <w:noProof/>
        </w:rPr>
        <w:t xml:space="preserve"> du secteur de l’énergie, </w:t>
      </w:r>
      <w:r w:rsidRPr="0086652C">
        <w:rPr>
          <w:noProof/>
        </w:rPr>
        <w:t>21</w:t>
      </w:r>
      <w:r w:rsidRPr="002850C6">
        <w:rPr>
          <w:noProof/>
        </w:rPr>
        <w:t xml:space="preserve"> du secteur ferroviaire, </w:t>
      </w:r>
      <w:r w:rsidRPr="0086652C">
        <w:rPr>
          <w:noProof/>
        </w:rPr>
        <w:t>2</w:t>
      </w:r>
      <w:r w:rsidRPr="002850C6">
        <w:rPr>
          <w:noProof/>
        </w:rPr>
        <w:t xml:space="preserve"> du secteur routier et </w:t>
      </w:r>
      <w:r w:rsidRPr="0086652C">
        <w:rPr>
          <w:noProof/>
        </w:rPr>
        <w:t>18</w:t>
      </w:r>
      <w:r w:rsidRPr="002850C6">
        <w:rPr>
          <w:noProof/>
        </w:rPr>
        <w:t xml:space="preserve"> du domaine maritime. </w:t>
      </w:r>
      <w:r w:rsidRPr="0086652C">
        <w:rPr>
          <w:noProof/>
        </w:rPr>
        <w:t>76</w:t>
      </w:r>
      <w:r w:rsidRPr="002850C6">
        <w:rPr>
          <w:noProof/>
        </w:rPr>
        <w:t xml:space="preserve"> documents de prise de position ont également été reçus lors de la consultation, </w:t>
      </w:r>
      <w:r w:rsidRPr="0086652C">
        <w:rPr>
          <w:noProof/>
        </w:rPr>
        <w:t>7</w:t>
      </w:r>
      <w:r w:rsidRPr="002850C6">
        <w:rPr>
          <w:noProof/>
        </w:rPr>
        <w:t xml:space="preserve"> émanant d’États membres et </w:t>
      </w:r>
      <w:r w:rsidRPr="0086652C">
        <w:rPr>
          <w:noProof/>
        </w:rPr>
        <w:t>69</w:t>
      </w:r>
      <w:r w:rsidRPr="002850C6">
        <w:rPr>
          <w:noProof/>
        </w:rPr>
        <w:t xml:space="preserve"> d’acteurs sectoriels, de groupes de réflexion et d’autres organisations. L’OTAN a également transmis des éléments.</w:t>
      </w:r>
    </w:p>
    <w:p w14:paraId="087959F8" w14:textId="77777777" w:rsidR="001E24F3" w:rsidRPr="002850C6" w:rsidRDefault="00840EE2">
      <w:pPr>
        <w:rPr>
          <w:noProof/>
        </w:rPr>
      </w:pPr>
      <w:r w:rsidRPr="002850C6">
        <w:rPr>
          <w:noProof/>
        </w:rPr>
        <w:t xml:space="preserve">Les réunions bilatérales avec les États membres ont été l’occasion de poursuivre l’examen et d’approfondir la compréhension des contributions écrites fournies ainsi que de présenter aux États membres les résultats agrégés de l’enquête menée auprès des parties prenantes. </w:t>
      </w:r>
    </w:p>
    <w:p w14:paraId="327D2336" w14:textId="77777777" w:rsidR="001E24F3" w:rsidRPr="002850C6" w:rsidRDefault="00840EE2">
      <w:pPr>
        <w:pStyle w:val="ManualHeading2"/>
        <w:rPr>
          <w:noProof/>
        </w:rPr>
      </w:pPr>
      <w:bookmarkStart w:id="13" w:name="_Toc213612556"/>
      <w:r w:rsidRPr="002850C6">
        <w:rPr>
          <w:noProof/>
        </w:rPr>
        <w:t>•</w:t>
      </w:r>
      <w:r w:rsidRPr="002850C6">
        <w:rPr>
          <w:noProof/>
        </w:rPr>
        <w:tab/>
        <w:t>Obtention et utilisation d’expertise</w:t>
      </w:r>
      <w:bookmarkEnd w:id="13"/>
    </w:p>
    <w:p w14:paraId="05BC973A" w14:textId="77777777" w:rsidR="001E24F3" w:rsidRPr="002850C6" w:rsidRDefault="00840EE2">
      <w:pPr>
        <w:rPr>
          <w:noProof/>
        </w:rPr>
      </w:pPr>
      <w:r w:rsidRPr="002850C6">
        <w:rPr>
          <w:noProof/>
        </w:rPr>
        <w:t>Sans objet</w:t>
      </w:r>
    </w:p>
    <w:p w14:paraId="2F023FEC" w14:textId="77777777" w:rsidR="001E24F3" w:rsidRPr="002850C6" w:rsidRDefault="00840EE2">
      <w:pPr>
        <w:pStyle w:val="ManualHeading2"/>
        <w:rPr>
          <w:noProof/>
        </w:rPr>
      </w:pPr>
      <w:bookmarkStart w:id="14" w:name="_Toc213612557"/>
      <w:r w:rsidRPr="002850C6">
        <w:rPr>
          <w:noProof/>
        </w:rPr>
        <w:t>•</w:t>
      </w:r>
      <w:r w:rsidRPr="002850C6">
        <w:rPr>
          <w:noProof/>
        </w:rPr>
        <w:tab/>
        <w:t>Analyse d’impact</w:t>
      </w:r>
      <w:bookmarkEnd w:id="14"/>
    </w:p>
    <w:p w14:paraId="045B0EE3" w14:textId="77777777" w:rsidR="001E24F3" w:rsidRPr="002850C6" w:rsidRDefault="00840EE2">
      <w:pPr>
        <w:rPr>
          <w:noProof/>
        </w:rPr>
      </w:pPr>
      <w:r w:rsidRPr="002850C6">
        <w:rPr>
          <w:noProof/>
        </w:rPr>
        <w:t xml:space="preserve">Il est urgent d’améliorer la mobilité militaire dans le cadre de l’objectif stratégique plus large du renforcement de l’état de préparation de la défense européenne, comme souligné dans la boussole stratégique de </w:t>
      </w:r>
      <w:r w:rsidRPr="0086652C">
        <w:rPr>
          <w:noProof/>
        </w:rPr>
        <w:t>2022</w:t>
      </w:r>
      <w:r w:rsidR="009B03F8">
        <w:rPr>
          <w:noProof/>
        </w:rPr>
        <w:t>(</w:t>
      </w:r>
      <w:r w:rsidR="009B03F8">
        <w:rPr>
          <w:rStyle w:val="FootnoteReference"/>
          <w:noProof/>
        </w:rPr>
        <w:footnoteReference w:id="23"/>
      </w:r>
      <w:r w:rsidRPr="0086652C">
        <w:rPr>
          <w:rStyle w:val="FootnoteReference"/>
          <w:noProof/>
        </w:rPr>
        <w:t>20</w:t>
      </w:r>
      <w:r w:rsidRPr="002850C6">
        <w:rPr>
          <w:rStyle w:val="FootnoteReference"/>
          <w:noProof/>
        </w:rPr>
        <w:t>)</w:t>
      </w:r>
      <w:r w:rsidRPr="002850C6">
        <w:rPr>
          <w:noProof/>
        </w:rPr>
        <w:t xml:space="preserve"> et le livre blanc conjoint sur la préparation de la défense européenne à l’horizon </w:t>
      </w:r>
      <w:r w:rsidRPr="0086652C">
        <w:rPr>
          <w:noProof/>
        </w:rPr>
        <w:t>2030</w:t>
      </w:r>
      <w:r w:rsidRPr="002850C6">
        <w:rPr>
          <w:noProof/>
        </w:rPr>
        <w:t>. Compte tenu de l’urgence liée au contexte sécuritaire et de la nécessité urgente de faciliter le transport militaire eu égard à l’environnement géopolitique, la proposition est, à titre exceptionnel, présentée sans analyse d’impact.</w:t>
      </w:r>
    </w:p>
    <w:p w14:paraId="3456DF40" w14:textId="77777777" w:rsidR="001E24F3" w:rsidRPr="002850C6" w:rsidRDefault="00840EE2">
      <w:pPr>
        <w:rPr>
          <w:noProof/>
        </w:rPr>
      </w:pPr>
      <w:r w:rsidRPr="002850C6">
        <w:rPr>
          <w:noProof/>
        </w:rPr>
        <w:t>La proposition de règlement de la Commission est toutefois accompagnée d’un document de travail des services qui fournit une description factuelle de la motivation d’une intervention à l’échelon de l’UE, afin de démontrer la capacité de l’UE à apporter une valeur ajoutée par ses actions réglementaires, budgétaires et de coordination, et de préparer le terrain pour l’adoption du train de mesures sur la mobilité militaire proprement dit. La nouvelle proposition s’appuie ainsi sur une analyse structurée des problèmes, des objectifs et des options disponibles.</w:t>
      </w:r>
    </w:p>
    <w:p w14:paraId="03BF6A5A" w14:textId="77777777" w:rsidR="001E24F3" w:rsidRPr="002850C6" w:rsidRDefault="00840EE2">
      <w:pPr>
        <w:pStyle w:val="ManualHeading2"/>
        <w:rPr>
          <w:noProof/>
        </w:rPr>
      </w:pPr>
      <w:bookmarkStart w:id="15" w:name="_Toc213612558"/>
      <w:r w:rsidRPr="002850C6">
        <w:rPr>
          <w:noProof/>
        </w:rPr>
        <w:t>•</w:t>
      </w:r>
      <w:r w:rsidRPr="002850C6">
        <w:rPr>
          <w:noProof/>
        </w:rPr>
        <w:tab/>
        <w:t>Réglementation affûtée et simplification</w:t>
      </w:r>
      <w:bookmarkEnd w:id="15"/>
    </w:p>
    <w:p w14:paraId="615FB8D7" w14:textId="77777777" w:rsidR="001E24F3" w:rsidRPr="002850C6" w:rsidRDefault="00840EE2">
      <w:pPr>
        <w:rPr>
          <w:noProof/>
        </w:rPr>
      </w:pPr>
      <w:r w:rsidRPr="002850C6">
        <w:rPr>
          <w:noProof/>
        </w:rPr>
        <w:t>L’objectif général du règlement est également de faciliter et de rationaliser la réglementation relative au transport militaire, ce qui devrait réduire la charge administrative, notamment pour le traitement des autorisations de transport militaire transfrontière et des procédures connexes par les États membres.</w:t>
      </w:r>
    </w:p>
    <w:p w14:paraId="3042E826" w14:textId="77777777" w:rsidR="001E24F3" w:rsidRPr="002850C6" w:rsidRDefault="00840EE2">
      <w:pPr>
        <w:pStyle w:val="ManualHeading2"/>
        <w:rPr>
          <w:noProof/>
        </w:rPr>
      </w:pPr>
      <w:bookmarkStart w:id="16" w:name="_Toc213612559"/>
      <w:r w:rsidRPr="002850C6">
        <w:rPr>
          <w:noProof/>
        </w:rPr>
        <w:t>•</w:t>
      </w:r>
      <w:r w:rsidRPr="002850C6">
        <w:rPr>
          <w:noProof/>
        </w:rPr>
        <w:tab/>
        <w:t>Droits fondamentaux</w:t>
      </w:r>
      <w:bookmarkEnd w:id="16"/>
    </w:p>
    <w:p w14:paraId="11D0BDB1" w14:textId="77777777" w:rsidR="001E24F3" w:rsidRPr="002850C6" w:rsidRDefault="00840EE2">
      <w:pPr>
        <w:rPr>
          <w:noProof/>
        </w:rPr>
      </w:pPr>
      <w:r w:rsidRPr="002850C6">
        <w:rPr>
          <w:noProof/>
        </w:rPr>
        <w:t>La présente proposition de règlement est pleinement conforme à la charte des droits fondamentaux de l’Union européenne (ci-après la «charte»). La proposition respecte la libre circulation des personnes et celle des marchandises telle qu’elles sont consacrées dans la charte. Si le présent règlement est sans préjudice du pouvoir des États membres d’accorder des autorisations de transport militaire transfrontière en temps de paix, il établit des cadres procéduraux et juridiques de nature à garantir l’application de ces décisions par les États membres d’une manière compatible avec les principes d’une procédure équitable (article </w:t>
      </w:r>
      <w:r w:rsidRPr="0086652C">
        <w:rPr>
          <w:noProof/>
        </w:rPr>
        <w:t>47</w:t>
      </w:r>
      <w:r w:rsidRPr="002850C6">
        <w:rPr>
          <w:noProof/>
        </w:rPr>
        <w:t xml:space="preserve"> de la charte) et d’une bonne administration (article </w:t>
      </w:r>
      <w:r w:rsidRPr="0086652C">
        <w:rPr>
          <w:noProof/>
        </w:rPr>
        <w:t>41</w:t>
      </w:r>
      <w:r w:rsidRPr="002850C6">
        <w:rPr>
          <w:noProof/>
        </w:rPr>
        <w:t xml:space="preserve"> de la charte).</w:t>
      </w:r>
    </w:p>
    <w:p w14:paraId="1009F882" w14:textId="77777777" w:rsidR="001E24F3" w:rsidRPr="002850C6" w:rsidRDefault="00840EE2">
      <w:pPr>
        <w:rPr>
          <w:noProof/>
        </w:rPr>
      </w:pPr>
      <w:r w:rsidRPr="002850C6">
        <w:rPr>
          <w:noProof/>
        </w:rPr>
        <w:t>Faciliter la mobilité militaire peut contribuer à réduire au minimum l’incidence du transport civil et, partant, à protéger les droits fondamentaux des citoyens de l’UE.</w:t>
      </w:r>
    </w:p>
    <w:p w14:paraId="698F5875" w14:textId="77777777" w:rsidR="001E24F3" w:rsidRPr="002850C6" w:rsidRDefault="00840EE2">
      <w:pPr>
        <w:rPr>
          <w:noProof/>
        </w:rPr>
      </w:pPr>
      <w:r w:rsidRPr="002850C6">
        <w:rPr>
          <w:noProof/>
        </w:rPr>
        <w:t xml:space="preserve">L’article </w:t>
      </w:r>
      <w:r w:rsidRPr="0086652C">
        <w:rPr>
          <w:noProof/>
        </w:rPr>
        <w:t>8</w:t>
      </w:r>
      <w:r w:rsidRPr="002850C6">
        <w:rPr>
          <w:noProof/>
        </w:rPr>
        <w:t xml:space="preserve"> de la charte consacre le droit à la protection des données. Dans les cas où le partage d’informations sur les capacités à double usage (par exemple, les infrastructures) avec les autorités militaires prévu par le règlement risque de porter sur des données à caractère personnel (par exemple, les noms des propriétaires/opérateurs), tout traitement de ces données à caractère personnel doit être conforme à la législation de l’UE en matière de protection des données [en particulier le règlement (UE) </w:t>
      </w:r>
      <w:r w:rsidRPr="0086652C">
        <w:rPr>
          <w:noProof/>
        </w:rPr>
        <w:t>2016</w:t>
      </w:r>
      <w:r w:rsidRPr="002850C6">
        <w:rPr>
          <w:noProof/>
        </w:rPr>
        <w:t>/</w:t>
      </w:r>
      <w:r w:rsidRPr="0086652C">
        <w:rPr>
          <w:noProof/>
        </w:rPr>
        <w:t>679</w:t>
      </w:r>
      <w:r w:rsidRPr="002850C6">
        <w:rPr>
          <w:noProof/>
        </w:rPr>
        <w:t xml:space="preserve"> et le règlement (UE) </w:t>
      </w:r>
      <w:r w:rsidRPr="0086652C">
        <w:rPr>
          <w:noProof/>
        </w:rPr>
        <w:t>2018</w:t>
      </w:r>
      <w:r w:rsidRPr="002850C6">
        <w:rPr>
          <w:noProof/>
        </w:rPr>
        <w:t>/</w:t>
      </w:r>
      <w:r w:rsidRPr="0086652C">
        <w:rPr>
          <w:noProof/>
        </w:rPr>
        <w:t>1725</w:t>
      </w:r>
      <w:r w:rsidRPr="002850C6">
        <w:rPr>
          <w:noProof/>
        </w:rPr>
        <w:t>]</w:t>
      </w:r>
      <w:r w:rsidRPr="002850C6">
        <w:rPr>
          <w:rStyle w:val="FootnoteReference"/>
          <w:noProof/>
          <w:vertAlign w:val="baseline"/>
        </w:rPr>
        <w:t xml:space="preserve"> </w:t>
      </w:r>
      <w:r w:rsidRPr="002850C6">
        <w:rPr>
          <w:noProof/>
        </w:rPr>
        <w:t>afin qu’un équilibre soit trouvé entre les besoins opérationnels et le respect de la vie privée.</w:t>
      </w:r>
    </w:p>
    <w:p w14:paraId="3B417A6A" w14:textId="77777777" w:rsidR="001E24F3" w:rsidRPr="002850C6" w:rsidRDefault="00840EE2">
      <w:pPr>
        <w:rPr>
          <w:noProof/>
        </w:rPr>
      </w:pPr>
      <w:r w:rsidRPr="002850C6">
        <w:rPr>
          <w:noProof/>
        </w:rPr>
        <w:t>L’article </w:t>
      </w:r>
      <w:r w:rsidRPr="0086652C">
        <w:rPr>
          <w:noProof/>
        </w:rPr>
        <w:t>17</w:t>
      </w:r>
      <w:r w:rsidRPr="002850C6">
        <w:rPr>
          <w:noProof/>
        </w:rPr>
        <w:t>, paragraphe </w:t>
      </w:r>
      <w:r w:rsidRPr="0086652C">
        <w:rPr>
          <w:noProof/>
        </w:rPr>
        <w:t>1</w:t>
      </w:r>
      <w:r w:rsidRPr="002850C6">
        <w:rPr>
          <w:noProof/>
        </w:rPr>
        <w:t>, de la Charte consacre le droit de propriété et dispose que toute personne a le droit de jouir de la propriété des biens qu’elle a acquis légalement, de les utiliser, d’en disposer et de les léguer.</w:t>
      </w:r>
    </w:p>
    <w:p w14:paraId="5A01FC4A" w14:textId="77777777" w:rsidR="001E24F3" w:rsidRPr="002850C6" w:rsidRDefault="00840EE2">
      <w:pPr>
        <w:rPr>
          <w:noProof/>
        </w:rPr>
      </w:pPr>
      <w:r w:rsidRPr="002850C6">
        <w:rPr>
          <w:noProof/>
        </w:rPr>
        <w:t>Toutefois, afin de faciliter la mobilité militaire au sein de l’UE, le présent règlement exige des États membres qu’ils établissent ou mettent en place un cadre permettant d’obtenir le contrôle temporaire/un droit d’utilisation d’infrastructures, d’actifs ou d’équipements, afin d’assurer la continuité et l’efficacité ininterrompues de leurs opérations de transport militaire, ainsi que d’autoriser le recours à ces mesures de prise de contrôle temporaire pour soutenir les opérations de transport militaire d’autres États membres, sur demande. Ce cadre doit être conforme à l’article </w:t>
      </w:r>
      <w:r w:rsidRPr="0086652C">
        <w:rPr>
          <w:noProof/>
        </w:rPr>
        <w:t>17</w:t>
      </w:r>
      <w:r w:rsidRPr="002850C6">
        <w:rPr>
          <w:noProof/>
        </w:rPr>
        <w:t>, paragraphe </w:t>
      </w:r>
      <w:r w:rsidRPr="0086652C">
        <w:rPr>
          <w:noProof/>
        </w:rPr>
        <w:t>1</w:t>
      </w:r>
      <w:r w:rsidRPr="002850C6">
        <w:rPr>
          <w:noProof/>
        </w:rPr>
        <w:t>, qui prévoit des dérogations au droit de propriété lorsque la cause est d’utilité publique, dans des cas et conditions prévus par la loi et moyennant en temps utile une juste indemnité pour sa perte. Le présent règlement prévoit que les propriétaires, exploitants et gestionnaires d’infrastructures, d’actifs ou d’équipements faisant l’objet d’une mesure de contrôle temporaire ne peuvent être injustement pénalisés et doivent recevoir une indemnité appropriée pour les dépenses et dommages subis du fait de ces mesures.</w:t>
      </w:r>
    </w:p>
    <w:p w14:paraId="19387D2D" w14:textId="77777777" w:rsidR="001E24F3" w:rsidRPr="002850C6" w:rsidRDefault="00840EE2">
      <w:pPr>
        <w:rPr>
          <w:noProof/>
        </w:rPr>
      </w:pPr>
      <w:r w:rsidRPr="002850C6">
        <w:rPr>
          <w:noProof/>
        </w:rPr>
        <w:t>Conformément à l’article </w:t>
      </w:r>
      <w:r w:rsidRPr="0086652C">
        <w:rPr>
          <w:noProof/>
        </w:rPr>
        <w:t>52</w:t>
      </w:r>
      <w:r w:rsidRPr="002850C6">
        <w:rPr>
          <w:noProof/>
        </w:rPr>
        <w:t>, paragraphe </w:t>
      </w:r>
      <w:r w:rsidRPr="0086652C">
        <w:rPr>
          <w:noProof/>
        </w:rPr>
        <w:t>1</w:t>
      </w:r>
      <w:r w:rsidRPr="002850C6">
        <w:rPr>
          <w:noProof/>
        </w:rPr>
        <w:t>, de la charte, toute limitation des droits et libertés, dans la présente proposition, sera prévue par la loi et respectera le contenu essentiel desdits droits et libertés ainsi que le principe de proportionnalité.</w:t>
      </w:r>
    </w:p>
    <w:p w14:paraId="2726D61B" w14:textId="77777777" w:rsidR="001E24F3" w:rsidRPr="002850C6" w:rsidRDefault="009B5C10" w:rsidP="009B5C10">
      <w:pPr>
        <w:pStyle w:val="ManualHeading1"/>
        <w:rPr>
          <w:noProof/>
        </w:rPr>
      </w:pPr>
      <w:bookmarkStart w:id="17" w:name="_Toc213612560"/>
      <w:r w:rsidRPr="0086652C">
        <w:rPr>
          <w:noProof/>
        </w:rPr>
        <w:t>4</w:t>
      </w:r>
      <w:r w:rsidRPr="002850C6">
        <w:rPr>
          <w:noProof/>
        </w:rPr>
        <w:t>.</w:t>
      </w:r>
      <w:r w:rsidRPr="002850C6">
        <w:rPr>
          <w:noProof/>
        </w:rPr>
        <w:tab/>
        <w:t>INCIDENCE BUDGÉTAIRE</w:t>
      </w:r>
      <w:bookmarkEnd w:id="17"/>
    </w:p>
    <w:p w14:paraId="17F08A79" w14:textId="77777777" w:rsidR="00D93768" w:rsidRPr="002850C6" w:rsidRDefault="00D93768" w:rsidP="00D93768">
      <w:pPr>
        <w:pStyle w:val="Text1"/>
        <w:ind w:left="0"/>
        <w:rPr>
          <w:noProof/>
        </w:rPr>
      </w:pPr>
      <w:r w:rsidRPr="002850C6">
        <w:rPr>
          <w:noProof/>
        </w:rPr>
        <w:t xml:space="preserve">L’incidence budgétaire de la présente initiative est limitée aux crédits destinés aux ressources humaines pour mener à bien les tâches et atteindre les objectifs prévus par le présent règlement et aux développements informatiques nécessaires pour soutenir la mise au point et la maintenance de bases de données. Des ressources humaines seront nécessaires dans une série de services de la Commission (DG MOVE, DG DEFIS, DG TAXUD, DG ECHO) pour permettre l’adoption des actes d’exécution et actes délégués nécessaires, pour assumer les nouvelles responsabilités incombant à la Commission et pour exécuter les actions et tâches prévues par le présent règlement (en particulier en ce qui concerne le groupe sur les transports liés à la mobilité militaire, la réserve de solidarité et le système d’information numérique, la concrétisation des corridors de mobilité militaire et des infrastructures stratégiques à double usage, les responsabilités du comité RTE-T étant accrues, ainsi que la simplification et la numérisation des formalités douanières). Le budget requis en ressources humaines pour effectuer ces tâches est estimé à </w:t>
      </w:r>
      <w:r w:rsidRPr="0086652C">
        <w:rPr>
          <w:noProof/>
        </w:rPr>
        <w:t>53</w:t>
      </w:r>
      <w:r w:rsidRPr="002850C6">
        <w:rPr>
          <w:noProof/>
        </w:rPr>
        <w:t> </w:t>
      </w:r>
      <w:r w:rsidRPr="0086652C">
        <w:rPr>
          <w:noProof/>
        </w:rPr>
        <w:t>700</w:t>
      </w:r>
      <w:r w:rsidRPr="002850C6">
        <w:rPr>
          <w:noProof/>
        </w:rPr>
        <w:t> </w:t>
      </w:r>
      <w:r w:rsidRPr="0086652C">
        <w:rPr>
          <w:noProof/>
        </w:rPr>
        <w:t>000</w:t>
      </w:r>
      <w:r w:rsidRPr="002850C6">
        <w:rPr>
          <w:noProof/>
        </w:rPr>
        <w:t xml:space="preserve"> EUR, dont </w:t>
      </w:r>
      <w:r w:rsidRPr="0086652C">
        <w:rPr>
          <w:noProof/>
        </w:rPr>
        <w:t>4</w:t>
      </w:r>
      <w:r w:rsidRPr="002850C6">
        <w:rPr>
          <w:noProof/>
        </w:rPr>
        <w:t> </w:t>
      </w:r>
      <w:r w:rsidRPr="0086652C">
        <w:rPr>
          <w:noProof/>
        </w:rPr>
        <w:t>500</w:t>
      </w:r>
      <w:r w:rsidRPr="002850C6">
        <w:rPr>
          <w:noProof/>
        </w:rPr>
        <w:t> </w:t>
      </w:r>
      <w:r w:rsidRPr="0086652C">
        <w:rPr>
          <w:noProof/>
        </w:rPr>
        <w:t>000</w:t>
      </w:r>
      <w:r w:rsidRPr="002850C6">
        <w:rPr>
          <w:noProof/>
        </w:rPr>
        <w:t xml:space="preserve"> EUR pour la période budgétaire </w:t>
      </w:r>
      <w:r w:rsidRPr="0086652C">
        <w:rPr>
          <w:noProof/>
        </w:rPr>
        <w:t>2021</w:t>
      </w:r>
      <w:r w:rsidRPr="002850C6">
        <w:rPr>
          <w:noProof/>
        </w:rPr>
        <w:t>-</w:t>
      </w:r>
      <w:r w:rsidRPr="0086652C">
        <w:rPr>
          <w:noProof/>
        </w:rPr>
        <w:t>2027</w:t>
      </w:r>
      <w:r w:rsidRPr="002850C6">
        <w:rPr>
          <w:noProof/>
        </w:rPr>
        <w:t>.</w:t>
      </w:r>
    </w:p>
    <w:p w14:paraId="01FD146F" w14:textId="77777777" w:rsidR="00D93768" w:rsidRPr="002850C6" w:rsidRDefault="00D93768" w:rsidP="00D93768">
      <w:pPr>
        <w:pStyle w:val="Text1"/>
        <w:ind w:left="0"/>
        <w:rPr>
          <w:noProof/>
        </w:rPr>
      </w:pPr>
      <w:r w:rsidRPr="002850C6">
        <w:rPr>
          <w:noProof/>
        </w:rPr>
        <w:t xml:space="preserve">Des ressources humaines devraient également être nécessaires dans des agences décentralisées. La Commission sera assistée par l’AESA dans la mise en œuvre des dispositions du règlement relatives à l’aviation, notamment en ce qui concerne l’élaboration de la réglementation applicable aux systèmes d’aéronefs sans équipage à bord, la fourniture de nouvelles capacités de mobilité militaire rendues possibles par un recours facilité à des systèmes de drones à double usage innovants et d’aéronefs avec équipage à bord et l’harmonisation des réglementation et orientations techniques relatives aux systèmes antidrones (Counter-UAS, C-UAS), destinées à faciliter la mobilité militaire aérienne et l’interopérabilité avec l’aviation civile. La Commission sera assistée par l’Agence de l’Union européenne pour les chemins de fer (AFE) dans la mise en œuvre des dispositions du règlement relatives au rail, notamment la contribution aux discussions relatives aux exigences militaires pour l’infrastructure et les actifs ferroviaires, l’intégration des normes militaires existantes dans les spécifications techniques d’interopérabilité afin de les rendre exécutoires s’il y a lieu, l’harmonisation des réglementations opérationnelle (de sécurité) et technique pour le transport militaire, les tâches d’autorisation supplémentaires liées aux véhicules à double usage, y compris en tant qu’entité d’enregistrement, et enfin l’adaptation des registres et outils existants, y compris le registre européen des véhicules. Le budget nécessaire pour accomplir ces tâches dans les deux agences est estimé à </w:t>
      </w:r>
      <w:r w:rsidRPr="0086652C">
        <w:rPr>
          <w:noProof/>
        </w:rPr>
        <w:t>17</w:t>
      </w:r>
      <w:r w:rsidRPr="002850C6">
        <w:rPr>
          <w:noProof/>
        </w:rPr>
        <w:t> </w:t>
      </w:r>
      <w:r w:rsidRPr="0086652C">
        <w:rPr>
          <w:noProof/>
        </w:rPr>
        <w:t>500</w:t>
      </w:r>
      <w:r w:rsidRPr="002850C6">
        <w:rPr>
          <w:noProof/>
        </w:rPr>
        <w:t> </w:t>
      </w:r>
      <w:r w:rsidRPr="0086652C">
        <w:rPr>
          <w:noProof/>
        </w:rPr>
        <w:t>000</w:t>
      </w:r>
      <w:r w:rsidRPr="002850C6">
        <w:rPr>
          <w:noProof/>
        </w:rPr>
        <w:t xml:space="preserve"> EUR, dont </w:t>
      </w:r>
      <w:r w:rsidRPr="0086652C">
        <w:rPr>
          <w:noProof/>
        </w:rPr>
        <w:t>2</w:t>
      </w:r>
      <w:r w:rsidRPr="002850C6">
        <w:rPr>
          <w:noProof/>
        </w:rPr>
        <w:t> </w:t>
      </w:r>
      <w:r w:rsidRPr="0086652C">
        <w:rPr>
          <w:noProof/>
        </w:rPr>
        <w:t>600</w:t>
      </w:r>
      <w:r w:rsidRPr="002850C6">
        <w:rPr>
          <w:noProof/>
        </w:rPr>
        <w:t> </w:t>
      </w:r>
      <w:r w:rsidRPr="0086652C">
        <w:rPr>
          <w:noProof/>
        </w:rPr>
        <w:t>000</w:t>
      </w:r>
      <w:r w:rsidRPr="002850C6">
        <w:rPr>
          <w:noProof/>
        </w:rPr>
        <w:t xml:space="preserve"> EUR pour la période budgétaire </w:t>
      </w:r>
      <w:r w:rsidRPr="0086652C">
        <w:rPr>
          <w:noProof/>
        </w:rPr>
        <w:t>2021</w:t>
      </w:r>
      <w:r w:rsidRPr="002850C6">
        <w:rPr>
          <w:noProof/>
        </w:rPr>
        <w:t>-</w:t>
      </w:r>
      <w:r w:rsidRPr="0086652C">
        <w:rPr>
          <w:noProof/>
        </w:rPr>
        <w:t>2027</w:t>
      </w:r>
      <w:r w:rsidRPr="002850C6">
        <w:rPr>
          <w:noProof/>
        </w:rPr>
        <w:t xml:space="preserve">. </w:t>
      </w:r>
    </w:p>
    <w:p w14:paraId="65059CF2" w14:textId="77777777" w:rsidR="00D93768" w:rsidRPr="002850C6" w:rsidRDefault="00D93768" w:rsidP="00D93768">
      <w:pPr>
        <w:rPr>
          <w:noProof/>
        </w:rPr>
      </w:pPr>
      <w:r w:rsidRPr="002850C6">
        <w:rPr>
          <w:noProof/>
        </w:rPr>
        <w:t xml:space="preserve">Les investissements numériques liés à cette initiative, en particulier pour la réserve de solidarité et d’autres outils informatiques nécessaires, sont estimés à </w:t>
      </w:r>
      <w:r w:rsidRPr="0086652C">
        <w:rPr>
          <w:noProof/>
        </w:rPr>
        <w:t>2</w:t>
      </w:r>
      <w:r w:rsidRPr="002850C6">
        <w:rPr>
          <w:noProof/>
        </w:rPr>
        <w:t> </w:t>
      </w:r>
      <w:r w:rsidRPr="0086652C">
        <w:rPr>
          <w:noProof/>
        </w:rPr>
        <w:t>500</w:t>
      </w:r>
      <w:r w:rsidRPr="002850C6">
        <w:rPr>
          <w:noProof/>
        </w:rPr>
        <w:t> </w:t>
      </w:r>
      <w:r w:rsidRPr="0086652C">
        <w:rPr>
          <w:noProof/>
        </w:rPr>
        <w:t>000</w:t>
      </w:r>
      <w:r w:rsidRPr="002850C6">
        <w:rPr>
          <w:noProof/>
        </w:rPr>
        <w:t> EUR.</w:t>
      </w:r>
    </w:p>
    <w:p w14:paraId="2362D9B8" w14:textId="77777777" w:rsidR="00D93768" w:rsidRPr="002850C6" w:rsidRDefault="00D93768" w:rsidP="00D93768">
      <w:pPr>
        <w:pStyle w:val="Text1"/>
        <w:ind w:left="0"/>
        <w:rPr>
          <w:noProof/>
        </w:rPr>
      </w:pPr>
      <w:r w:rsidRPr="002850C6">
        <w:rPr>
          <w:noProof/>
        </w:rPr>
        <w:t>Le budget indicatif au titre du prochain cadre financier pluriannuel est sans préjudice de l’issue des négociations sur ledit cadre.</w:t>
      </w:r>
    </w:p>
    <w:p w14:paraId="22471E3E" w14:textId="77777777" w:rsidR="001E24F3" w:rsidRPr="002850C6" w:rsidRDefault="009B5C10" w:rsidP="009B5C10">
      <w:pPr>
        <w:pStyle w:val="ManualHeading1"/>
        <w:rPr>
          <w:noProof/>
        </w:rPr>
      </w:pPr>
      <w:bookmarkStart w:id="18" w:name="_Toc213612561"/>
      <w:r w:rsidRPr="0086652C">
        <w:rPr>
          <w:noProof/>
        </w:rPr>
        <w:t>5</w:t>
      </w:r>
      <w:r w:rsidRPr="002850C6">
        <w:rPr>
          <w:noProof/>
        </w:rPr>
        <w:t>.</w:t>
      </w:r>
      <w:r w:rsidRPr="002850C6">
        <w:rPr>
          <w:noProof/>
        </w:rPr>
        <w:tab/>
        <w:t>AUTRES ÉLÉMENTS</w:t>
      </w:r>
      <w:bookmarkEnd w:id="18"/>
    </w:p>
    <w:p w14:paraId="1D60056B" w14:textId="77777777" w:rsidR="001E24F3" w:rsidRPr="002850C6" w:rsidRDefault="00840EE2">
      <w:pPr>
        <w:pStyle w:val="ManualHeading2"/>
        <w:rPr>
          <w:noProof/>
        </w:rPr>
      </w:pPr>
      <w:bookmarkStart w:id="19" w:name="_Toc213612562"/>
      <w:r w:rsidRPr="002850C6">
        <w:rPr>
          <w:noProof/>
        </w:rPr>
        <w:t>•</w:t>
      </w:r>
      <w:r w:rsidRPr="002850C6">
        <w:rPr>
          <w:noProof/>
        </w:rPr>
        <w:tab/>
        <w:t>Plans de mise en œuvre et modalités de suivi, d’évaluation et d’information</w:t>
      </w:r>
      <w:bookmarkEnd w:id="19"/>
    </w:p>
    <w:p w14:paraId="07BCABFF" w14:textId="77777777" w:rsidR="001E24F3" w:rsidRPr="002850C6" w:rsidRDefault="00840EE2">
      <w:pPr>
        <w:rPr>
          <w:noProof/>
        </w:rPr>
      </w:pPr>
      <w:r w:rsidRPr="002850C6">
        <w:rPr>
          <w:noProof/>
        </w:rPr>
        <w:t xml:space="preserve">Le suivi de la mise en œuvre sera effectué en coopération avec les États membres afin de veiller à ce que les autorités compétentes mettent en œuvre les exigences du règlement proposé de manière efficace et cohérente. À cette fin, la proposition fait obligation aux États membres de mettre en place un coordonnateur national pour le transport militaire transfrontière et elle instaure un groupe sur les transports liés à la mobilité militaire composé de représentants des États membres, qui se réunira régulièrement pour examiner, entre autres, les questions relatives à la mise en œuvre de certaines parties du règlement. Le suivi des aspects liés aux infrastructures de transport, notamment en ce qui concerne les corridors de mobilité militaire et le recensement des infrastructures stratégiques à double usage, sera effectué par l’intermédiaire du comité RTE-T. </w:t>
      </w:r>
    </w:p>
    <w:p w14:paraId="6C1F0C1B" w14:textId="77777777" w:rsidR="001E24F3" w:rsidRPr="002850C6" w:rsidRDefault="00840EE2">
      <w:pPr>
        <w:rPr>
          <w:noProof/>
        </w:rPr>
      </w:pPr>
      <w:r w:rsidRPr="002850C6">
        <w:rPr>
          <w:noProof/>
        </w:rPr>
        <w:t>Des tests de résistance pourront être réalisés par la Commission, en collaboration avec les États membres et les organes compétents de l’UE, afin de tester et d’évaluer l’efficacité de l’approche pangouvernementale dans la mise en œuvre des objectifs de la présente proposition, y compris la coordination et la coopération entre les organes compétents, autorités et parties prenantes concernés, ainsi qu’en vue de tester la mise en œuvre des objectifs du présent règlement dans une zone géographique spécifique, telle qu’un corridor de mobilité militaire spécifique ou les régions frontalières européennes d’un État membre avec un pays tiers, ou encore dans un domaine sectoriel spécifique tel que les douanes.</w:t>
      </w:r>
    </w:p>
    <w:p w14:paraId="7E206A08" w14:textId="77777777" w:rsidR="001E24F3" w:rsidRPr="002850C6" w:rsidRDefault="00840EE2">
      <w:pPr>
        <w:rPr>
          <w:noProof/>
        </w:rPr>
      </w:pPr>
      <w:r w:rsidRPr="002850C6">
        <w:rPr>
          <w:noProof/>
        </w:rPr>
        <w:t>La Commission procédera à une évaluation du présent règlement au plus tard trois ans après son entrée en vigueur afin d’en apprécier les incidences réelles et d’évaluer son efficience et son efficacité ainsi que la mesure dans laquelle les résultats obtenus sont compatibles avec les objectifs. La Commission communiquera les résultats de cette évaluation au Parlement européen et au Conseil.</w:t>
      </w:r>
    </w:p>
    <w:p w14:paraId="3C90A96C" w14:textId="77777777" w:rsidR="001E24F3" w:rsidRPr="002850C6" w:rsidRDefault="00840EE2">
      <w:pPr>
        <w:pStyle w:val="ManualHeading2"/>
        <w:rPr>
          <w:noProof/>
        </w:rPr>
      </w:pPr>
      <w:bookmarkStart w:id="20" w:name="_Toc213612563"/>
      <w:r w:rsidRPr="002850C6">
        <w:rPr>
          <w:noProof/>
        </w:rPr>
        <w:t>•</w:t>
      </w:r>
      <w:r w:rsidRPr="002850C6">
        <w:rPr>
          <w:noProof/>
        </w:rPr>
        <w:tab/>
        <w:t>Explication détaillée de certaines dispositions de la proposition</w:t>
      </w:r>
      <w:bookmarkEnd w:id="20"/>
    </w:p>
    <w:p w14:paraId="14C05919" w14:textId="77777777" w:rsidR="00CE18A6" w:rsidRDefault="00840EE2">
      <w:pPr>
        <w:rPr>
          <w:noProof/>
        </w:rPr>
      </w:pPr>
      <w:r w:rsidRPr="002850C6">
        <w:rPr>
          <w:noProof/>
        </w:rPr>
        <w:t>Sans objet</w:t>
      </w:r>
    </w:p>
    <w:p w14:paraId="3226C4C9" w14:textId="77777777" w:rsidR="00CE18A6" w:rsidRDefault="00CE18A6">
      <w:pPr>
        <w:spacing w:before="0" w:after="200" w:line="276" w:lineRule="auto"/>
        <w:jc w:val="left"/>
        <w:rPr>
          <w:noProof/>
        </w:rPr>
      </w:pPr>
      <w:r>
        <w:rPr>
          <w:noProof/>
        </w:rPr>
        <w:br w:type="page"/>
      </w:r>
    </w:p>
    <w:p w14:paraId="14582F69" w14:textId="77777777" w:rsidR="000D5092" w:rsidRPr="00D40714" w:rsidRDefault="00784C74" w:rsidP="00784C74">
      <w:pPr>
        <w:pStyle w:val="Rfrenceinterinstitutionnelle"/>
        <w:rPr>
          <w:noProof/>
          <w:lang w:val="fr-BE"/>
        </w:rPr>
      </w:pPr>
      <w:r>
        <w:rPr>
          <w:noProof/>
        </w:rPr>
        <w:t>2025/0847 (COD)</w:t>
      </w:r>
    </w:p>
    <w:p w14:paraId="161F8133" w14:textId="77777777" w:rsidR="000D5092" w:rsidRPr="00D40714" w:rsidRDefault="00784C74" w:rsidP="00784C74">
      <w:pPr>
        <w:pStyle w:val="Statut"/>
        <w:rPr>
          <w:noProof/>
          <w:lang w:val="fr-BE"/>
        </w:rPr>
      </w:pPr>
      <w:r w:rsidRPr="00784C74">
        <w:rPr>
          <w:noProof/>
        </w:rPr>
        <w:t>Proposition de</w:t>
      </w:r>
    </w:p>
    <w:p w14:paraId="51AC41E4" w14:textId="77777777" w:rsidR="000D5092" w:rsidRPr="00D40714" w:rsidRDefault="00784C74" w:rsidP="00784C74">
      <w:pPr>
        <w:pStyle w:val="Typedudocument"/>
        <w:rPr>
          <w:noProof/>
          <w:lang w:val="fr-BE"/>
        </w:rPr>
      </w:pPr>
      <w:r w:rsidRPr="00784C74">
        <w:rPr>
          <w:noProof/>
        </w:rPr>
        <w:t>RÈGLEMENT DU PARLEMENT EUROPÉEN ET DU CONSEIL</w:t>
      </w:r>
    </w:p>
    <w:p w14:paraId="5868A2CA" w14:textId="77777777" w:rsidR="000D5092" w:rsidRPr="00D40714" w:rsidRDefault="00784C74" w:rsidP="00784C74">
      <w:pPr>
        <w:pStyle w:val="Titreobjet"/>
        <w:rPr>
          <w:noProof/>
          <w:lang w:val="fr-BE"/>
        </w:rPr>
      </w:pPr>
      <w:bookmarkStart w:id="21" w:name="_Hlk219386250"/>
      <w:r w:rsidRPr="00784C74">
        <w:rPr>
          <w:noProof/>
        </w:rPr>
        <w:t>établissant un cadre de mesures visant à faciliter le transport d’équipements, de marchandises et de personnel militaires dans l’ensemble de l’Union</w:t>
      </w:r>
    </w:p>
    <w:bookmarkEnd w:id="21"/>
    <w:p w14:paraId="413A0CDA" w14:textId="77777777" w:rsidR="000D5092" w:rsidRPr="00D40714" w:rsidRDefault="000D5092" w:rsidP="000D5092">
      <w:pPr>
        <w:pStyle w:val="Institutionquiagit"/>
        <w:rPr>
          <w:noProof/>
          <w:lang w:val="fr-BE"/>
        </w:rPr>
      </w:pPr>
      <w:r w:rsidRPr="00D40714">
        <w:rPr>
          <w:noProof/>
          <w:lang w:val="fr-BE"/>
        </w:rPr>
        <w:t>LE PARLEMENT EUROPÉEN ET LE CONSEIL DE L’UNION EUROPÉENNE,</w:t>
      </w:r>
    </w:p>
    <w:p w14:paraId="6B0BEF7E" w14:textId="77777777" w:rsidR="000D5092" w:rsidRPr="00D40714" w:rsidRDefault="000D5092" w:rsidP="000D5092">
      <w:pPr>
        <w:rPr>
          <w:noProof/>
          <w:lang w:val="fr-BE"/>
        </w:rPr>
      </w:pPr>
      <w:r w:rsidRPr="00D40714">
        <w:rPr>
          <w:noProof/>
          <w:lang w:val="fr-BE"/>
        </w:rPr>
        <w:t>vu le traité sur le fonctionnement de l’Union européenne, et notamment son article </w:t>
      </w:r>
      <w:r w:rsidRPr="0086652C">
        <w:rPr>
          <w:noProof/>
          <w:lang w:val="fr-BE"/>
        </w:rPr>
        <w:t>91</w:t>
      </w:r>
      <w:r w:rsidRPr="00D40714">
        <w:rPr>
          <w:noProof/>
          <w:lang w:val="fr-BE"/>
        </w:rPr>
        <w:t xml:space="preserve"> et son article </w:t>
      </w:r>
      <w:r w:rsidRPr="0086652C">
        <w:rPr>
          <w:noProof/>
          <w:lang w:val="fr-BE"/>
        </w:rPr>
        <w:t>100</w:t>
      </w:r>
      <w:r w:rsidRPr="00D40714">
        <w:rPr>
          <w:noProof/>
          <w:lang w:val="fr-BE"/>
        </w:rPr>
        <w:t>, paragraphe </w:t>
      </w:r>
      <w:r w:rsidRPr="0086652C">
        <w:rPr>
          <w:noProof/>
          <w:lang w:val="fr-BE"/>
        </w:rPr>
        <w:t>2</w:t>
      </w:r>
      <w:r w:rsidRPr="00D40714">
        <w:rPr>
          <w:noProof/>
          <w:lang w:val="fr-BE"/>
        </w:rPr>
        <w:t>,</w:t>
      </w:r>
    </w:p>
    <w:p w14:paraId="43EFAEFB" w14:textId="77777777" w:rsidR="000D5092" w:rsidRPr="00D40714" w:rsidRDefault="000D5092" w:rsidP="000D5092">
      <w:pPr>
        <w:rPr>
          <w:noProof/>
          <w:lang w:val="fr-BE"/>
        </w:rPr>
      </w:pPr>
      <w:r w:rsidRPr="00D40714">
        <w:rPr>
          <w:noProof/>
          <w:lang w:val="fr-BE"/>
        </w:rPr>
        <w:t>vu la proposition de la Commission européenne,</w:t>
      </w:r>
    </w:p>
    <w:p w14:paraId="5D18B6E9" w14:textId="77777777" w:rsidR="000D5092" w:rsidRPr="00D40714" w:rsidRDefault="000D5092" w:rsidP="000D5092">
      <w:pPr>
        <w:rPr>
          <w:noProof/>
          <w:lang w:val="fr-BE"/>
        </w:rPr>
      </w:pPr>
      <w:r w:rsidRPr="00D40714">
        <w:rPr>
          <w:noProof/>
          <w:lang w:val="fr-BE"/>
        </w:rPr>
        <w:t>après transmission du projet d’acte législatif aux parlements nationaux,</w:t>
      </w:r>
    </w:p>
    <w:p w14:paraId="182DFFC9" w14:textId="77777777" w:rsidR="000D5092" w:rsidRPr="00D40714" w:rsidRDefault="000D5092" w:rsidP="000D5092">
      <w:pPr>
        <w:rPr>
          <w:noProof/>
          <w:lang w:val="fr-BE"/>
        </w:rPr>
      </w:pPr>
      <w:r w:rsidRPr="00D40714">
        <w:rPr>
          <w:noProof/>
          <w:lang w:val="fr-BE"/>
        </w:rPr>
        <w:t>vu l’avis du Comité économique et social européen</w:t>
      </w:r>
      <w:r w:rsidR="009B03F8">
        <w:rPr>
          <w:noProof/>
          <w:lang w:val="fr-BE"/>
        </w:rPr>
        <w:t>(</w:t>
      </w:r>
      <w:r w:rsidR="009B03F8">
        <w:rPr>
          <w:rStyle w:val="FootnoteReference"/>
          <w:noProof/>
          <w:lang w:val="fr-BE"/>
        </w:rPr>
        <w:footnoteReference w:id="24"/>
      </w:r>
      <w:r w:rsidRPr="0086652C">
        <w:rPr>
          <w:rStyle w:val="FootnoteReference"/>
          <w:noProof/>
          <w:lang w:val="fr-BE"/>
        </w:rPr>
        <w:t>1</w:t>
      </w:r>
      <w:r w:rsidRPr="00D40714">
        <w:rPr>
          <w:rStyle w:val="FootnoteReference"/>
          <w:noProof/>
          <w:lang w:val="fr-BE"/>
        </w:rPr>
        <w:t>)</w:t>
      </w:r>
      <w:r w:rsidRPr="00D40714">
        <w:rPr>
          <w:noProof/>
          <w:lang w:val="fr-BE"/>
        </w:rPr>
        <w:t>,</w:t>
      </w:r>
    </w:p>
    <w:p w14:paraId="37BA6E27" w14:textId="77777777" w:rsidR="000D5092" w:rsidRPr="00D40714" w:rsidRDefault="000D5092" w:rsidP="000D5092">
      <w:pPr>
        <w:rPr>
          <w:noProof/>
          <w:lang w:val="fr-BE"/>
        </w:rPr>
      </w:pPr>
      <w:r w:rsidRPr="00D40714">
        <w:rPr>
          <w:noProof/>
          <w:lang w:val="fr-BE"/>
        </w:rPr>
        <w:t>vu l’avis du Comité des régions</w:t>
      </w:r>
      <w:r w:rsidR="009B03F8">
        <w:rPr>
          <w:noProof/>
          <w:lang w:val="fr-BE"/>
        </w:rPr>
        <w:t>(</w:t>
      </w:r>
      <w:r w:rsidR="009B03F8">
        <w:rPr>
          <w:rStyle w:val="FootnoteReference"/>
          <w:noProof/>
          <w:lang w:val="fr-BE"/>
        </w:rPr>
        <w:footnoteReference w:id="25"/>
      </w:r>
      <w:r w:rsidRPr="0086652C">
        <w:rPr>
          <w:rStyle w:val="FootnoteReference"/>
          <w:noProof/>
          <w:lang w:val="fr-BE"/>
        </w:rPr>
        <w:t>2</w:t>
      </w:r>
      <w:r w:rsidRPr="00D40714">
        <w:rPr>
          <w:rStyle w:val="FootnoteReference"/>
          <w:noProof/>
          <w:lang w:val="fr-BE"/>
        </w:rPr>
        <w:t>)</w:t>
      </w:r>
      <w:r w:rsidRPr="00D40714">
        <w:rPr>
          <w:noProof/>
          <w:lang w:val="fr-BE"/>
        </w:rPr>
        <w:t>,</w:t>
      </w:r>
    </w:p>
    <w:p w14:paraId="0620A77D" w14:textId="77777777" w:rsidR="000D5092" w:rsidRPr="00D40714" w:rsidRDefault="000D5092" w:rsidP="000D5092">
      <w:pPr>
        <w:rPr>
          <w:noProof/>
          <w:lang w:val="fr-BE"/>
        </w:rPr>
      </w:pPr>
      <w:r w:rsidRPr="00D40714">
        <w:rPr>
          <w:noProof/>
          <w:lang w:val="fr-BE"/>
        </w:rPr>
        <w:t>statuant conformément à la procédure législative ordinaire,</w:t>
      </w:r>
    </w:p>
    <w:p w14:paraId="2DC6074E" w14:textId="77777777" w:rsidR="000D5092" w:rsidRPr="00D40714" w:rsidRDefault="000D5092" w:rsidP="000D5092">
      <w:pPr>
        <w:rPr>
          <w:noProof/>
          <w:lang w:val="fr-BE"/>
        </w:rPr>
      </w:pPr>
      <w:r w:rsidRPr="00D40714">
        <w:rPr>
          <w:noProof/>
          <w:lang w:val="fr-BE"/>
        </w:rPr>
        <w:t>considérant ce qui suit:</w:t>
      </w:r>
    </w:p>
    <w:p w14:paraId="21130B36"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w:t>
      </w:r>
      <w:r w:rsidRPr="00D40714">
        <w:rPr>
          <w:noProof/>
          <w:lang w:val="fr-BE"/>
        </w:rPr>
        <w:t>)</w:t>
      </w:r>
      <w:r w:rsidRPr="00D40714">
        <w:rPr>
          <w:noProof/>
          <w:lang w:val="fr-BE"/>
        </w:rPr>
        <w:tab/>
        <w:t xml:space="preserve">Le </w:t>
      </w:r>
      <w:r w:rsidRPr="0086652C">
        <w:rPr>
          <w:noProof/>
          <w:lang w:val="fr-BE"/>
        </w:rPr>
        <w:t>19</w:t>
      </w:r>
      <w:r w:rsidRPr="00D40714">
        <w:rPr>
          <w:noProof/>
          <w:lang w:val="fr-BE"/>
        </w:rPr>
        <w:t xml:space="preserve"> mars </w:t>
      </w:r>
      <w:r w:rsidRPr="0086652C">
        <w:rPr>
          <w:noProof/>
          <w:lang w:val="fr-BE"/>
        </w:rPr>
        <w:t>2025</w:t>
      </w:r>
      <w:r w:rsidRPr="00D40714">
        <w:rPr>
          <w:noProof/>
          <w:lang w:val="fr-BE"/>
        </w:rPr>
        <w:t xml:space="preserve">, la Commission et le haut représentant ont présenté un livre blanc conjoint intitulé «Préparation de la défense européenne à l’horizon </w:t>
      </w:r>
      <w:r w:rsidRPr="0086652C">
        <w:rPr>
          <w:noProof/>
          <w:lang w:val="fr-BE"/>
        </w:rPr>
        <w:t>2030</w:t>
      </w:r>
      <w:r w:rsidRPr="00D40714">
        <w:rPr>
          <w:noProof/>
          <w:lang w:val="fr-BE"/>
        </w:rPr>
        <w:t>»</w:t>
      </w:r>
      <w:r w:rsidR="009B03F8">
        <w:rPr>
          <w:noProof/>
          <w:lang w:val="fr-BE"/>
        </w:rPr>
        <w:t>(</w:t>
      </w:r>
      <w:r w:rsidR="009B03F8">
        <w:rPr>
          <w:rStyle w:val="FootnoteReference"/>
          <w:noProof/>
          <w:lang w:val="fr-BE"/>
        </w:rPr>
        <w:footnoteReference w:id="26"/>
      </w:r>
      <w:r w:rsidRPr="0086652C">
        <w:rPr>
          <w:rStyle w:val="FootnoteReference"/>
          <w:noProof/>
          <w:lang w:val="fr-BE"/>
        </w:rPr>
        <w:t>4</w:t>
      </w:r>
      <w:r w:rsidRPr="00D40714">
        <w:rPr>
          <w:rStyle w:val="FootnoteReference"/>
          <w:noProof/>
          <w:lang w:val="fr-BE"/>
        </w:rPr>
        <w:t>)</w:t>
      </w:r>
      <w:r w:rsidRPr="00D40714">
        <w:rPr>
          <w:noProof/>
          <w:lang w:val="fr-BE"/>
        </w:rPr>
        <w:t>, soulignant que la mobilité militaire est un élément indispensable et essentiel de la sécurité et de la défense européennes et de notre soutien à l’Ukraine. Ce livre blanc indiquait que, bien que des progrès importants aient été accomplis ces dernières années, il subsiste des obstacles considérables au déplacement sans entrave des troupes et des équipements dans l’ensemble de l’Union.</w:t>
      </w:r>
    </w:p>
    <w:p w14:paraId="72A1E238"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w:t>
      </w:r>
      <w:r w:rsidRPr="00D40714">
        <w:rPr>
          <w:noProof/>
          <w:lang w:val="fr-BE"/>
        </w:rPr>
        <w:t>)</w:t>
      </w:r>
      <w:r w:rsidRPr="00D40714">
        <w:rPr>
          <w:noProof/>
          <w:lang w:val="fr-BE"/>
        </w:rPr>
        <w:tab/>
        <w:t xml:space="preserve">Dans les conclusions du Conseil européen du </w:t>
      </w:r>
      <w:r w:rsidRPr="0086652C">
        <w:rPr>
          <w:noProof/>
          <w:lang w:val="fr-BE"/>
        </w:rPr>
        <w:t>26</w:t>
      </w:r>
      <w:r w:rsidRPr="00D40714">
        <w:rPr>
          <w:noProof/>
          <w:lang w:val="fr-BE"/>
        </w:rPr>
        <w:t xml:space="preserve"> juin </w:t>
      </w:r>
      <w:r w:rsidRPr="0086652C">
        <w:rPr>
          <w:noProof/>
          <w:lang w:val="fr-BE"/>
        </w:rPr>
        <w:t>2025</w:t>
      </w:r>
      <w:r w:rsidR="009B03F8">
        <w:rPr>
          <w:noProof/>
          <w:lang w:val="fr-BE"/>
        </w:rPr>
        <w:t>(</w:t>
      </w:r>
      <w:r w:rsidR="009B03F8">
        <w:rPr>
          <w:rStyle w:val="FootnoteReference"/>
          <w:noProof/>
          <w:lang w:val="fr-BE"/>
        </w:rPr>
        <w:footnoteReference w:id="27"/>
      </w:r>
      <w:r w:rsidRPr="0086652C">
        <w:rPr>
          <w:rStyle w:val="FootnoteReference"/>
          <w:noProof/>
          <w:lang w:val="fr-BE"/>
        </w:rPr>
        <w:t>3</w:t>
      </w:r>
      <w:r w:rsidRPr="00D40714">
        <w:rPr>
          <w:rStyle w:val="FootnoteReference"/>
          <w:noProof/>
          <w:lang w:val="fr-BE"/>
        </w:rPr>
        <w:t>)</w:t>
      </w:r>
      <w:r w:rsidRPr="00D40714">
        <w:rPr>
          <w:noProof/>
          <w:lang w:val="fr-BE"/>
        </w:rPr>
        <w:t>, les chefs d’État ou de gouvernement ont invité la Commission et le haut représentant de l’Union pour les affaires étrangères et la politique de sécurité à présenter de nouvelles propositions visant à renforcer la mobilité militaire, de manière à permettre des déplacements efficaces des équipements et du personnel de défense dans l’ensemble de l’Union.</w:t>
      </w:r>
    </w:p>
    <w:p w14:paraId="477062BF"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w:t>
      </w:r>
      <w:r w:rsidRPr="00D40714">
        <w:rPr>
          <w:noProof/>
          <w:lang w:val="fr-BE"/>
        </w:rPr>
        <w:t>)</w:t>
      </w:r>
      <w:r w:rsidRPr="00D40714">
        <w:rPr>
          <w:noProof/>
          <w:lang w:val="fr-BE"/>
        </w:rPr>
        <w:tab/>
        <w:t>Il convient de faciliter les opérations de transport militaire effectuées à l’intérieur de l’Union et au-delà de ses frontières extérieures qui reposent sur le double usage des infrastructures civiles et des actifs mobiles, tout en limitant et en atténuant l’incidence de ces opérations sur le transport civil. Cette facilitation est sans préjudice de la responsabilité des États membres en matière de sauvegarde de la sécurité nationale et de la défense et de leur pouvoir de garantir d’autres fonctions essentielles de l’État, notamment celles d’assurer l’intégrité territoriale de l’État et de maintenir l’ordre public.</w:t>
      </w:r>
    </w:p>
    <w:p w14:paraId="3D892283"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w:t>
      </w:r>
      <w:r w:rsidRPr="00D40714">
        <w:rPr>
          <w:noProof/>
          <w:lang w:val="fr-BE"/>
        </w:rPr>
        <w:t>)</w:t>
      </w:r>
      <w:r w:rsidRPr="00D40714">
        <w:rPr>
          <w:noProof/>
          <w:lang w:val="fr-BE"/>
        </w:rPr>
        <w:tab/>
        <w:t>Par le passé, le transport de marchandises et d’équipements militaires était principalement, voire exclusivement, effectué directement par les forces armées, et il était exempté, dans la plupart des États membres, des règles de l’Union relatives au transport de marchandises. Toutefois, les forces armées sous-traitent de plus en plus leurs opérations de transport à des transporteurs commerciaux. Il est nécessaire de veiller à ce que les mêmes règles s’appliquent au transport militaire dans l’ensemble de l’Union, que les opérations de transport militaire soient effectuées directement par les forces armées des États membres de l’Union ou qu’elles soient effectuées pour le compte de celles-ci par des sociétés civiles ou d’autres contractants engagés par ces forces armées.</w:t>
      </w:r>
    </w:p>
    <w:p w14:paraId="50FDCF5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w:t>
      </w:r>
      <w:r w:rsidRPr="00D40714">
        <w:rPr>
          <w:noProof/>
          <w:lang w:val="fr-BE"/>
        </w:rPr>
        <w:t>)</w:t>
      </w:r>
      <w:r w:rsidRPr="00D40714">
        <w:rPr>
          <w:noProof/>
          <w:lang w:val="fr-BE"/>
        </w:rPr>
        <w:tab/>
        <w:t>Le transport militaire transfrontière effectué directement par les forces armées est entravé par le fait que les règles de l’Union en matière de transport ne prévoient pas de mesures spécifiques tenant compte des particularités de ce type de transport, qui est donc soumis à des règles nationales divergentes et à des procédures fragmentées. Ces exigences nationales sont plus strictes que celles applicables aux opérations de transport civil. Les règles administratives (par exemple, les procédures d’autorisation diplomatique) sont souvent complexes et/ou consignées sur support papier dans les États membres (par exemple, les procédures en douane). Cela entraîne des retards, des inefficacités et des goulets d’étranglement et entrave le transport militaire. L’Union ne dispose pas d’un cadre uniforme pour assurer et soutenir le transport militaire sur son territoire et au-delà. Un tel cadre est essentiel afin de garantir un transport militaire fluide en toutes circonstances, et en particulier dans les situations nécessitant le transport rapide et à grande échelle de personnes, de marchandises et d’équipements militaires.</w:t>
      </w:r>
    </w:p>
    <w:p w14:paraId="3408D91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6</w:t>
      </w:r>
      <w:r w:rsidRPr="00D40714">
        <w:rPr>
          <w:noProof/>
          <w:lang w:val="fr-BE"/>
        </w:rPr>
        <w:t>)</w:t>
      </w:r>
      <w:r w:rsidRPr="00D40714">
        <w:rPr>
          <w:noProof/>
          <w:lang w:val="fr-BE"/>
        </w:rPr>
        <w:tab/>
        <w:t>Afin de faciliter le transport d’équipements, de marchandises et de personnes à des fins de protection militaire ou civile, il est notamment nécessaire de disposer d’un cadre global à l’échelle de l’Union pour la délivrance, par un État membre receveur, des autorisations nécessaires à la réalisation d’opérations de transport militaire sur son territoire par les forces armées d’un État membre demandeur ou pour leur compte. Bien que les accords techniques actuels relatifs aux procédures d’autorisation des mouvements transfrontières</w:t>
      </w:r>
      <w:r w:rsidRPr="00D40714">
        <w:rPr>
          <w:rStyle w:val="FootnoteReference"/>
          <w:noProof/>
          <w:lang w:val="fr-BE"/>
        </w:rPr>
        <w:t xml:space="preserve"> </w:t>
      </w:r>
      <w:r w:rsidRPr="00D40714">
        <w:rPr>
          <w:noProof/>
          <w:lang w:val="fr-BE"/>
        </w:rPr>
        <w:t>aient été élaborés par l’Agence européenne de défense (AED) et par certains États membres, leur application est facultative et leur mise en œuvre n’est pas homogène. Cela crée des lacunes dans l’harmonisation des règles et des procédures relatives au transport militaire, génère une incertitude opérationnelle et une surcharge administrative et met en péril la capacité d’intervention de l’Union dans le domaine de la protection civile ainsi que sa préparation globale. Afin de remédier à ces problèmes, les autorisations de transport militaire transfrontière devraient être rationalisées pour tous les modes de transport (routier, ferroviaire, fluvial, aérien et maritime). Tous les États membres devraient appliquer les mêmes procédures pour les autorisations administratives et diplomatiques, ce qui réduirait considérablement les retards, la charge administrative ainsi que les coûts administratifs. Il est nécessaire d’accroître à la fois la prévisibilité et l’état de préparation opérationnelle en créant une autorisation de transport militaire permanente, sur le modèle des autorisations annuelles existantes dans le cadre des accords techniques de l’AED, qui devrait être valable jusqu’à sa révocation.</w:t>
      </w:r>
    </w:p>
    <w:p w14:paraId="527DD519" w14:textId="77777777" w:rsidR="000D5092" w:rsidRPr="00D40714" w:rsidRDefault="000D5092" w:rsidP="000D5092">
      <w:pPr>
        <w:pStyle w:val="ManualConsidrant"/>
        <w:rPr>
          <w:noProof/>
          <w:lang w:val="fr-BE"/>
        </w:rPr>
      </w:pPr>
      <w:r w:rsidRPr="00D40714">
        <w:rPr>
          <w:noProof/>
          <w:lang w:val="fr-BE"/>
        </w:rPr>
        <w:t>(</w:t>
      </w:r>
      <w:r w:rsidRPr="0086652C">
        <w:rPr>
          <w:noProof/>
          <w:lang w:val="fr-BE"/>
        </w:rPr>
        <w:t>7</w:t>
      </w:r>
      <w:r w:rsidRPr="00D40714">
        <w:rPr>
          <w:noProof/>
          <w:lang w:val="fr-BE"/>
        </w:rPr>
        <w:t>)</w:t>
      </w:r>
      <w:r w:rsidRPr="00D40714">
        <w:rPr>
          <w:noProof/>
          <w:lang w:val="fr-BE"/>
        </w:rPr>
        <w:tab/>
        <w:t>Les autorisations de transport militaire permanentes ne devraient pas être liées à une opération de transport militaire spécifique, mais devraient constituer des autorisations préalables pour le transport militaire transfrontière et couvrir des types prédéfinis d’opérations de transport militaire. Lorsqu’ils accordent des autorisations permanentes en vue d’opérations de transport militaire, les États membres devraient pouvoir convenir des conditions préalables dans</w:t>
      </w:r>
      <w:r w:rsidRPr="00D40714">
        <w:rPr>
          <w:noProof/>
          <w:u w:val="single"/>
          <w:lang w:val="fr-BE"/>
        </w:rPr>
        <w:t xml:space="preserve"> </w:t>
      </w:r>
      <w:r w:rsidRPr="00D40714">
        <w:rPr>
          <w:noProof/>
          <w:lang w:val="fr-BE"/>
        </w:rPr>
        <w:t>lesquelles ces opérations doivent être effectuées, y compris des modalités applicables en matière de circulation et des itinéraires prédéfinis, afin de faciliter les opérations de transport autorisées nécessitant l’adoption de modalités en matière de circulation pour l’utilisation des infrastructures à double usage disponibles.</w:t>
      </w:r>
    </w:p>
    <w:p w14:paraId="4064F653" w14:textId="77777777" w:rsidR="000D5092" w:rsidRPr="00D40714" w:rsidRDefault="000D5092" w:rsidP="000D5092">
      <w:pPr>
        <w:pStyle w:val="ManualConsidrant"/>
        <w:rPr>
          <w:noProof/>
          <w:lang w:val="fr-BE"/>
        </w:rPr>
      </w:pPr>
      <w:r w:rsidRPr="00D40714">
        <w:rPr>
          <w:noProof/>
          <w:lang w:val="fr-BE"/>
        </w:rPr>
        <w:t>(</w:t>
      </w:r>
      <w:r w:rsidRPr="0086652C">
        <w:rPr>
          <w:noProof/>
          <w:lang w:val="fr-BE"/>
        </w:rPr>
        <w:t>8</w:t>
      </w:r>
      <w:r w:rsidRPr="00D40714">
        <w:rPr>
          <w:noProof/>
          <w:lang w:val="fr-BE"/>
        </w:rPr>
        <w:t>)</w:t>
      </w:r>
      <w:r w:rsidRPr="00D40714">
        <w:rPr>
          <w:noProof/>
          <w:lang w:val="fr-BE"/>
        </w:rPr>
        <w:tab/>
        <w:t xml:space="preserve">Afin de garantir davantage de transparence et de cohérence opérationnelle dans la gestion des infrastructures de transport à double usage, les États membres devraient se coordonner autant que possible à l’avance, conformément à l’engagement en faveur de la mobilité militaire de </w:t>
      </w:r>
      <w:r w:rsidRPr="0086652C">
        <w:rPr>
          <w:noProof/>
          <w:lang w:val="fr-BE"/>
        </w:rPr>
        <w:t>2024</w:t>
      </w:r>
      <w:r w:rsidR="009B03F8">
        <w:rPr>
          <w:noProof/>
          <w:lang w:val="fr-BE"/>
        </w:rPr>
        <w:t>(</w:t>
      </w:r>
      <w:r w:rsidR="009B03F8">
        <w:rPr>
          <w:rStyle w:val="FootnoteReference"/>
          <w:noProof/>
          <w:lang w:val="fr-BE"/>
        </w:rPr>
        <w:footnoteReference w:id="28"/>
      </w:r>
      <w:r w:rsidRPr="0086652C">
        <w:rPr>
          <w:rStyle w:val="FootnoteReference"/>
          <w:noProof/>
          <w:lang w:val="fr-BE"/>
        </w:rPr>
        <w:t>7</w:t>
      </w:r>
      <w:r w:rsidRPr="00D40714">
        <w:rPr>
          <w:rStyle w:val="FootnoteReference"/>
          <w:noProof/>
          <w:lang w:val="fr-BE"/>
        </w:rPr>
        <w:t>)</w:t>
      </w:r>
      <w:r w:rsidRPr="00D40714">
        <w:rPr>
          <w:noProof/>
          <w:lang w:val="fr-BE"/>
        </w:rPr>
        <w:t>, qui met l’accent sur les mécanismes de coordination multilatéraux et bilatéraux visant à harmoniser les procédures et à améliorer l’efficacité le long des principaux corridors. Par conséquent, les États membres situés le long d’un même corridor de mobilité militaire devraient être en mesure d’aligner leurs autorisations de transport militaire permanentes et de coordonner à l’avance ces modalités préplanifiées et itinéraires prédéfinis. Lorsqu’une opération de transport militaire traverse plusieurs États membres, l’État membre demandeur devrait soumettre simultanément la notification y afférente à tous les États membres concernés qui ont accordé des autorisations de transport militaire permanentes à cet État membre.</w:t>
      </w:r>
    </w:p>
    <w:p w14:paraId="7C4AAA9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9</w:t>
      </w:r>
      <w:r w:rsidRPr="00D40714">
        <w:rPr>
          <w:noProof/>
          <w:lang w:val="fr-BE"/>
        </w:rPr>
        <w:t>)</w:t>
      </w:r>
      <w:r w:rsidRPr="00D40714">
        <w:rPr>
          <w:noProof/>
          <w:lang w:val="fr-BE"/>
        </w:rPr>
        <w:tab/>
        <w:t>Le champ d’application de l’autorisation de transport militaire permanente devrait être précisé afin de ne couvrir, à ce stade, que les opérations de transport militaire simples, tout en prévoyant la possibilité de l’étendre à l’avenir afin de couvrir des opérations de transport militaire plus complexes. Ce processus devrait aller de pair avec un effort d’investissement visant à adapter et à moderniser les infrastructures des corridors de mobilité militaire, un renforcement de la coordination sur des itinéraires prédéfinis pour tous les types d’opérations de transport militaire et un accès renforcé aux capacités de transport.</w:t>
      </w:r>
    </w:p>
    <w:p w14:paraId="5780286B"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10</w:t>
      </w:r>
      <w:r w:rsidRPr="00D40714">
        <w:rPr>
          <w:noProof/>
          <w:lang w:val="fr-BE"/>
        </w:rPr>
        <w:t>)</w:t>
      </w:r>
      <w:r w:rsidRPr="00D40714">
        <w:rPr>
          <w:noProof/>
          <w:lang w:val="fr-BE"/>
        </w:rPr>
        <w:tab/>
        <w:t xml:space="preserve">Des autorisations de transport militaire ad hoc sont nécessaires pour effectuer des opérations de transport militaire en l’absence d’une autorisation permanente ou lorsque ces dernières ne relèvent pas du champ d’application d’une autorisation permanente existante et devraient principalement être utilisées pour des opérations de transport militaire non planifiées à court terme qui vont au-delà du champ d’application convenu de l’autorisation permanente, conformément à l’engagement en faveur de la mobilité militaire de </w:t>
      </w:r>
      <w:r w:rsidRPr="0086652C">
        <w:rPr>
          <w:noProof/>
          <w:lang w:val="fr-BE"/>
        </w:rPr>
        <w:t>2024</w:t>
      </w:r>
      <w:r w:rsidRPr="00D40714">
        <w:rPr>
          <w:noProof/>
          <w:lang w:val="fr-BE"/>
        </w:rPr>
        <w:t>, dans lequel les États membres se sont engagés à autoriser les mouvements transfrontières dans un délai maximal de trois jours ouvrables.</w:t>
      </w:r>
    </w:p>
    <w:p w14:paraId="6A9B738D"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11</w:t>
      </w:r>
      <w:r w:rsidRPr="00D40714">
        <w:rPr>
          <w:noProof/>
          <w:lang w:val="fr-BE"/>
        </w:rPr>
        <w:t>)</w:t>
      </w:r>
      <w:r w:rsidRPr="00D40714">
        <w:rPr>
          <w:noProof/>
          <w:lang w:val="fr-BE"/>
        </w:rPr>
        <w:tab/>
        <w:t>Outre les autorisations, certaines opérations de transport militaire transfrontière nécessitent l’adoption de modalités en matière de circulation. Ces modalités peuvent porter sur les itinéraires à emprunter pour assurer le transport sécurisé de fret militaire exceptionnel ou de marchandises dangereuses, les escortes destinées à accompagner les opérations de transport militaire, le soutien nécessaire à fournir par le pays hôte dans le cadre d’une opération de transport militaire, ou toute autre mesure ou exigence liée à la sécurité du trafic spécifique au mode de transport qui vont au-delà des règles ordinaires, telles que la limitation de l’accès à des passages à niveau, le blocage de routes ou des restrictions de l’espace aérien. En outre, dans le secteur ferroviaire, le gestionnaire de l’infrastructure ferroviaire doit également attribuer un sillon individuel et accorder une autorisation spécifique pour les transports exceptionnels, tandis que les entreprises ferroviaires doivent procéder aux vérifications de la compatibilité de l’itinéraire et de la composition des trains requises pour une opération de transport militaire. Ces modalités en matière de circulation et l’attribution de sillons contribuent à réduire au minimum les incidences négatives sur les activités de transport civil. Des procédures et des délais communs pour la demande et l’octroi de modalités en matière de circulation, y compris la coordination avec les gestionnaires de l’infrastructure, sont nécessaires pour harmoniser et rationaliser les processus et réduire les retards et les perturbations. Les modalités en matière de circulation établies en vertu du présent règlement devraient être sans préjudice d’autres procédures ou exigences opérationnelles susceptibles de s’appliquer en vertu de la législation de l’Union ou de la législation nationale pour la réalisation des opérations de transport militaire concernées.</w:t>
      </w:r>
    </w:p>
    <w:p w14:paraId="68ACCA87"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12</w:t>
      </w:r>
      <w:r w:rsidRPr="00D40714">
        <w:rPr>
          <w:noProof/>
          <w:lang w:val="fr-BE"/>
        </w:rPr>
        <w:t>)</w:t>
      </w:r>
      <w:r w:rsidRPr="00D40714">
        <w:rPr>
          <w:noProof/>
          <w:lang w:val="fr-BE"/>
        </w:rPr>
        <w:tab/>
        <w:t>Il est nécessaire de rationaliser les formalités procédurales et de fournir des modèles pour les demandes et les notifications de transport militaire afin d’éviter les retards, les inefficacités et les goulets d’étranglement opérationnels. Toute demande et notification d’autorisation de transport militaire, y compris pour le transport militaire de marchandises dangereuses et de fret militaire exceptionnel, devraient être effectuées par les États membres au moyen du modèle figurant à l’annexe II du présent règlement. Toutes les demandes et notifications liées à une seule et même opération de transport militaire devraient être regroupées en une seule demande d’autorisation ou notification. Aucun État membre ne devrait exiger de formulaires supplémentaires. Cela devrait être sans préjudice de la réglementation douanière applicable de l’Union, et en particulier des formulaires </w:t>
      </w:r>
      <w:r w:rsidRPr="0086652C">
        <w:rPr>
          <w:noProof/>
          <w:lang w:val="fr-BE"/>
        </w:rPr>
        <w:t>302</w:t>
      </w:r>
      <w:r w:rsidRPr="00D40714">
        <w:rPr>
          <w:noProof/>
          <w:lang w:val="fr-BE"/>
        </w:rPr>
        <w:t xml:space="preserve"> de l’UE et de l’OTAN. Toute communication entre les États membres liée à des demandes et notifications d’opérations de transport militaire et à des modalités en matière de circulation devrait être transmise par l’intermédiaire du coordinateur national des transports militaires transfrontières concerné.</w:t>
      </w:r>
    </w:p>
    <w:p w14:paraId="47E282DF"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13</w:t>
      </w:r>
      <w:r w:rsidRPr="00D40714">
        <w:rPr>
          <w:noProof/>
          <w:lang w:val="fr-BE"/>
        </w:rPr>
        <w:t>)</w:t>
      </w:r>
      <w:r w:rsidRPr="00D40714">
        <w:rPr>
          <w:noProof/>
          <w:lang w:val="fr-BE"/>
        </w:rPr>
        <w:tab/>
        <w:t xml:space="preserve">Afin d’assurer des conditions uniformes d’exécution du présent règlement, et conformément à l’objectif de l’engagement en faveur de la mobilité militaire de </w:t>
      </w:r>
      <w:r w:rsidRPr="0086652C">
        <w:rPr>
          <w:noProof/>
          <w:lang w:val="fr-BE"/>
        </w:rPr>
        <w:t>2024</w:t>
      </w:r>
      <w:r w:rsidRPr="00D40714">
        <w:rPr>
          <w:noProof/>
          <w:lang w:val="fr-BE"/>
        </w:rPr>
        <w:t xml:space="preserve"> consistant à élaborer et à appliquer des procédures numérisées et harmonisées dans la mesure du possible, il convient de conférer des compétences d’exécution à la Commission en vue de l’établissement d’un système d’information numérique sécurisé et restreint sur la mobilité militaire, à déployer d’ici à </w:t>
      </w:r>
      <w:r w:rsidRPr="0086652C">
        <w:rPr>
          <w:noProof/>
          <w:lang w:val="fr-BE"/>
        </w:rPr>
        <w:t>2030</w:t>
      </w:r>
      <w:r w:rsidRPr="00D40714">
        <w:rPr>
          <w:noProof/>
          <w:lang w:val="fr-BE"/>
        </w:rPr>
        <w:t>. Une fois ce système déployé, tous les États membres devraient l’utiliser pour toutes les autorisations de transport militaire, les modalités en matière de circulation et les formalités douanières relatives au transport militaire transfrontière liées au formulaire </w:t>
      </w:r>
      <w:r w:rsidRPr="0086652C">
        <w:rPr>
          <w:noProof/>
          <w:lang w:val="fr-BE"/>
        </w:rPr>
        <w:t>302</w:t>
      </w:r>
      <w:r w:rsidRPr="00D40714">
        <w:rPr>
          <w:noProof/>
          <w:lang w:val="fr-BE"/>
        </w:rPr>
        <w:t xml:space="preserve"> de l’UE. En ce qui concerne les formalités douanières liées au formulaire </w:t>
      </w:r>
      <w:r w:rsidRPr="0086652C">
        <w:rPr>
          <w:noProof/>
          <w:lang w:val="fr-BE"/>
        </w:rPr>
        <w:t>302</w:t>
      </w:r>
      <w:r w:rsidRPr="00D40714">
        <w:rPr>
          <w:noProof/>
          <w:lang w:val="fr-BE"/>
        </w:rPr>
        <w:t xml:space="preserve"> de l’UE, le système devrait être conforme à la législation douanière pertinente de l’Union, y compris aux exigences communes en matière de données constituant le modèle de données douanières de l’UE.</w:t>
      </w:r>
    </w:p>
    <w:p w14:paraId="57C37915"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14</w:t>
      </w:r>
      <w:r w:rsidRPr="00D40714">
        <w:rPr>
          <w:noProof/>
          <w:lang w:val="fr-BE"/>
        </w:rPr>
        <w:t>)</w:t>
      </w:r>
      <w:r w:rsidRPr="00D40714">
        <w:rPr>
          <w:noProof/>
          <w:lang w:val="fr-BE"/>
        </w:rPr>
        <w:tab/>
        <w:t>Les opérations de transport militaire devraient être menées sans perturbation indue aux points de passage des frontières intérieures, sur le territoire douanier de l’Union, d’une manière qui limite les goulets d’étranglement pour le transport civil. Pendant l’escorte du transport militaire, le marquage des véhicules et la manipulation des armes et des munitions sont nécessaires pour garantir à la fois la sécurité et l’efficacité, et les contrôles aux frontières pourraient entraîner des retards susceptibles de compromettre la rapidité des opérations de transport militaire. Toute mesure de contrôle nécessaire ne devrait être mise en œuvre qu’au premier arrêt prévu après la frontière intérieure d’un État membre.</w:t>
      </w:r>
    </w:p>
    <w:p w14:paraId="0108ECD4"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15</w:t>
      </w:r>
      <w:r w:rsidRPr="00D40714">
        <w:rPr>
          <w:noProof/>
          <w:lang w:val="fr-BE"/>
        </w:rPr>
        <w:t>)</w:t>
      </w:r>
      <w:r w:rsidRPr="00D40714">
        <w:rPr>
          <w:noProof/>
          <w:lang w:val="fr-BE"/>
        </w:rPr>
        <w:tab/>
        <w:t>Certains accords internationaux s’appliquent déjà au transport de marchandises dangereuses par les forces armées ou pour leur compte. Toutefois, ces transports sont, dans une large mesure, soumis aux règles nationales pertinentes et aux systèmes d’autorisation des États membres. Il en résulte des retards et des charges administratives inutiles. Par conséquent, le transport militaire de marchandises dangereuses au sein de l’Union par les forces armées ou pour leur compte devrait être autorisé, à condition que les mêmes exigences que celles énoncées dans les accords et réglementations internationaux applicables au transport de marchandises dangereuses soient respectées. En outre, dans les cas où un allié de l’OTAN qui n’est pas un État membre et qui n’est pas partie à ces accords est considéré comme équivalent à un État membre demandeur conformément au présent règlement, il devrait également pouvoir effectuer un transport militaire de marchandises dangereuses dans l’Union s’il respecte les règles pertinentes de l’OTAN ou, si aucune règle de l’OTAN ne s’applique, ses règles nationales applicables, selon le cas.</w:t>
      </w:r>
    </w:p>
    <w:p w14:paraId="4E723E75"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16</w:t>
      </w:r>
      <w:r w:rsidRPr="00D40714">
        <w:rPr>
          <w:noProof/>
          <w:lang w:val="fr-BE"/>
        </w:rPr>
        <w:t>)</w:t>
      </w:r>
      <w:r w:rsidRPr="00D40714">
        <w:rPr>
          <w:noProof/>
          <w:lang w:val="fr-BE"/>
        </w:rPr>
        <w:tab/>
        <w:t xml:space="preserve">Il est essentiel de veiller à ce que le transport routier de fret militaire exceptionnel dépassant les poids ou dimensions maximaux fixés dans la directive </w:t>
      </w:r>
      <w:r w:rsidRPr="0086652C">
        <w:rPr>
          <w:noProof/>
          <w:lang w:val="fr-BE"/>
        </w:rPr>
        <w:t>96</w:t>
      </w:r>
      <w:r w:rsidRPr="00D40714">
        <w:rPr>
          <w:noProof/>
          <w:lang w:val="fr-BE"/>
        </w:rPr>
        <w:t>/</w:t>
      </w:r>
      <w:r w:rsidRPr="0086652C">
        <w:rPr>
          <w:noProof/>
          <w:lang w:val="fr-BE"/>
        </w:rPr>
        <w:t>53</w:t>
      </w:r>
      <w:r w:rsidRPr="00D40714">
        <w:rPr>
          <w:noProof/>
          <w:lang w:val="fr-BE"/>
        </w:rPr>
        <w:t>/CE du Conseil</w:t>
      </w:r>
      <w:r w:rsidR="009B03F8">
        <w:rPr>
          <w:noProof/>
          <w:lang w:val="fr-BE"/>
        </w:rPr>
        <w:t>(</w:t>
      </w:r>
      <w:r w:rsidR="009B03F8">
        <w:rPr>
          <w:rStyle w:val="FootnoteReference"/>
          <w:noProof/>
          <w:lang w:val="fr-BE"/>
        </w:rPr>
        <w:footnoteReference w:id="29"/>
      </w:r>
      <w:r w:rsidRPr="0086652C">
        <w:rPr>
          <w:rStyle w:val="FootnoteReference"/>
          <w:noProof/>
          <w:lang w:val="fr-BE"/>
        </w:rPr>
        <w:t>8</w:t>
      </w:r>
      <w:r w:rsidRPr="00D40714">
        <w:rPr>
          <w:rStyle w:val="FootnoteReference"/>
          <w:noProof/>
          <w:lang w:val="fr-BE"/>
        </w:rPr>
        <w:t>)</w:t>
      </w:r>
      <w:r w:rsidRPr="00D40714">
        <w:rPr>
          <w:noProof/>
          <w:lang w:val="fr-BE"/>
        </w:rPr>
        <w:t xml:space="preserve"> soit autorisé, sous réserve des modalités nécessaires en matière de circulation, le cas échéant, et à condition que les marchandises transportées constituent un chargement indivisible. </w:t>
      </w:r>
    </w:p>
    <w:p w14:paraId="0FD2E640"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17</w:t>
      </w:r>
      <w:r w:rsidRPr="00D40714">
        <w:rPr>
          <w:noProof/>
          <w:lang w:val="fr-BE"/>
        </w:rPr>
        <w:t>)</w:t>
      </w:r>
      <w:r w:rsidRPr="00D40714">
        <w:rPr>
          <w:noProof/>
          <w:lang w:val="fr-BE"/>
        </w:rPr>
        <w:tab/>
        <w:t>Si la plupart des États membres accordent aux opérations de transport militaire des dérogations aux interdictions de circuler pendant le week-end et les jours fériés, ainsi qu’aux restrictions de circulation périodiques similaires, ces dérogations diffèrent considérablement d’un État membre à l’autre. Il est donc nécessaire d’introduire une exemption générale de ces restrictions de circulation fondées sur le calendrier, afin de veiller à ce que les opérations de transport militaire puissent être effectuées rapidement et de manière fluide dans l’ensemble de l’Union, y compris durant ces périodes. </w:t>
      </w:r>
    </w:p>
    <w:p w14:paraId="28D7D8BA"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18</w:t>
      </w:r>
      <w:r w:rsidRPr="00D40714">
        <w:rPr>
          <w:noProof/>
          <w:lang w:val="fr-BE"/>
        </w:rPr>
        <w:t>)</w:t>
      </w:r>
      <w:r w:rsidRPr="00D40714">
        <w:rPr>
          <w:noProof/>
          <w:lang w:val="fr-BE"/>
        </w:rPr>
        <w:tab/>
        <w:t>Les restrictions de circulation appliquées sur des tronçons routiers spécifiques et fondées sur les performances environnementales des véhicules peuvent, dans certaines circonstances, représenter une charge disproportionnée pour les transports militaires effectués directement par les forces armées. En effet, les véhicules routiers militaires sont souvent beaucoup plus lourds que les véhicules routiers civils, ce qui signifie qu’il existe moins de solutions de remplacement à émissions nulles ou faibles. En outre, le renouvellement de ces véhicules routiers militaires lourds est plus lent que celui de la flotte civile. Pour ces raisons, le transport militaire effectué directement par les forces armées devrait être exempté des restrictions de circulation appliquées sur des tronçons routiers spécifiques sur la base des performances environnementales des véhicules.</w:t>
      </w:r>
    </w:p>
    <w:p w14:paraId="7BA2293D" w14:textId="77777777" w:rsidR="000D5092" w:rsidRPr="00D40714" w:rsidRDefault="000D5092" w:rsidP="000D5092">
      <w:pPr>
        <w:pStyle w:val="ManualConsidrant"/>
        <w:rPr>
          <w:noProof/>
          <w:lang w:val="fr-BE"/>
        </w:rPr>
      </w:pPr>
      <w:r w:rsidRPr="00D40714">
        <w:rPr>
          <w:noProof/>
          <w:lang w:val="fr-BE"/>
        </w:rPr>
        <w:t>(</w:t>
      </w:r>
      <w:r w:rsidRPr="0086652C">
        <w:rPr>
          <w:noProof/>
          <w:lang w:val="fr-BE"/>
        </w:rPr>
        <w:t>19</w:t>
      </w:r>
      <w:r w:rsidRPr="00D40714">
        <w:rPr>
          <w:noProof/>
          <w:lang w:val="fr-BE"/>
        </w:rPr>
        <w:t>)</w:t>
      </w:r>
      <w:r w:rsidRPr="00D40714">
        <w:rPr>
          <w:noProof/>
          <w:lang w:val="fr-BE"/>
        </w:rPr>
        <w:tab/>
        <w:t>Les opérations de cabotage routier dans l’Union sont restreintes au titre du règlement (CE) nº </w:t>
      </w:r>
      <w:r w:rsidRPr="0086652C">
        <w:rPr>
          <w:noProof/>
          <w:lang w:val="fr-BE"/>
        </w:rPr>
        <w:t>1072</w:t>
      </w:r>
      <w:r w:rsidRPr="00D40714">
        <w:rPr>
          <w:noProof/>
          <w:lang w:val="fr-BE"/>
        </w:rPr>
        <w:t>/</w:t>
      </w:r>
      <w:r w:rsidRPr="0086652C">
        <w:rPr>
          <w:noProof/>
          <w:lang w:val="fr-BE"/>
        </w:rPr>
        <w:t>2009</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30"/>
      </w:r>
      <w:r w:rsidRPr="0086652C">
        <w:rPr>
          <w:rStyle w:val="FootnoteReference"/>
          <w:noProof/>
          <w:lang w:val="fr-BE"/>
        </w:rPr>
        <w:t>9</w:t>
      </w:r>
      <w:r w:rsidRPr="00D40714">
        <w:rPr>
          <w:rStyle w:val="FootnoteReference"/>
          <w:noProof/>
          <w:lang w:val="fr-BE"/>
        </w:rPr>
        <w:t>)</w:t>
      </w:r>
      <w:r w:rsidRPr="00D40714">
        <w:rPr>
          <w:noProof/>
          <w:lang w:val="fr-BE"/>
        </w:rPr>
        <w:t>. Si les opérations de transport militaire effectuées par les forces armées sont exclues de ces restrictions, ce n’est pas le cas de celles effectuées par des transporteurs civils sous contrat. Afin de faciliter le transport militaire, il est nécessaire de donner aux États membres la possibilité d’exempter de ces restrictions les opérations de transport militaire effectuées par des opérateurs civils lorsque cela est nécessaire pour faciliter le transport militaire.</w:t>
      </w:r>
    </w:p>
    <w:p w14:paraId="171508EA"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20</w:t>
      </w:r>
      <w:r w:rsidRPr="00D40714">
        <w:rPr>
          <w:noProof/>
          <w:lang w:val="fr-BE"/>
        </w:rPr>
        <w:t>)</w:t>
      </w:r>
      <w:r w:rsidRPr="00D40714">
        <w:rPr>
          <w:noProof/>
          <w:lang w:val="fr-BE"/>
        </w:rPr>
        <w:tab/>
        <w:t>Les retards évitables et les charges administratives inutiles dans le transport de marchandises dans le cadre d’opérations de transport militaire résultent souvent d’une utilisation insuffisante par les opérateurs des facilités prévues par la législation douanière de l’Union, ainsi que, dans une moindre mesure, d’une application nationale divergente de ces règles. Celles-ci peuvent également créer d’importants goulets d’étranglement qui ont une incidence négative sur les opérations de transport civil. Afin de rationaliser et de simplifier les formalités douanières pour le transport militaire transfrontière de marchandises, l’Union a élaboré le formulaire </w:t>
      </w:r>
      <w:r w:rsidRPr="0086652C">
        <w:rPr>
          <w:noProof/>
          <w:lang w:val="fr-BE"/>
        </w:rPr>
        <w:t>302</w:t>
      </w:r>
      <w:r w:rsidRPr="00D40714">
        <w:rPr>
          <w:noProof/>
          <w:lang w:val="fr-BE"/>
        </w:rPr>
        <w:t xml:space="preserve"> de l’UE, conçu pour simplifier les procédures douanières applicables à ces marchandises militaires. Les formulaires </w:t>
      </w:r>
      <w:r w:rsidRPr="0086652C">
        <w:rPr>
          <w:noProof/>
          <w:lang w:val="fr-BE"/>
        </w:rPr>
        <w:t>302</w:t>
      </w:r>
      <w:r w:rsidRPr="00D40714">
        <w:rPr>
          <w:noProof/>
          <w:lang w:val="fr-BE"/>
        </w:rPr>
        <w:t xml:space="preserve"> de l’UE et de l’OTAN devraient constituer la méthode standard pour accomplir les formalités douanières pertinentes, à moins que les autorités militaires chargées de l’opération concernée n’indiquent autrement leur préférence pour la présentation de déclarations en douane normales. Les États membres devraient soutenir et encourager l’utilisation des formulaires </w:t>
      </w:r>
      <w:r w:rsidRPr="0086652C">
        <w:rPr>
          <w:noProof/>
          <w:lang w:val="fr-BE"/>
        </w:rPr>
        <w:t>302</w:t>
      </w:r>
      <w:r w:rsidRPr="00D40714">
        <w:rPr>
          <w:noProof/>
          <w:lang w:val="fr-BE"/>
        </w:rPr>
        <w:t xml:space="preserve"> de l’UE et de l’OTAN. Afin de renforcer la mise en œuvre effective de ces formulaires, les opérateurs devraient les utiliser par défaut, à moins que les autorités militaires chargées de l’opération concernée n’y renoncent expressément en faveur de la présentation d’une déclaration en douane normale. Lorsque des contrôles sont nécessaires, ceux-ci devraient être hiérarchisés afin de trouver un équilibre entre les besoins opérationnels et la gestion des risques, conformément à la législation douanière de l’Union.</w:t>
      </w:r>
    </w:p>
    <w:p w14:paraId="1D03C74F"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21</w:t>
      </w:r>
      <w:r w:rsidRPr="00D40714">
        <w:rPr>
          <w:noProof/>
          <w:lang w:val="fr-BE"/>
        </w:rPr>
        <w:t>)</w:t>
      </w:r>
      <w:r w:rsidRPr="00D40714">
        <w:rPr>
          <w:noProof/>
          <w:lang w:val="fr-BE"/>
        </w:rPr>
        <w:tab/>
        <w:t xml:space="preserve">S’agissant des autorisations de transport militaire, des modalités en matière de circulation, des modèles, du système numérique, des règles en matière de transport pour le transport ininterrompu d’équipements et de personnel militaires, du transport militaire de marchandises dangereuses et des transports militaires exceptionnels, ainsi que des autres règles relatives aux interdictions de circuler les jours fériés et au cabotage, les États membres qui sont membres de l’OTAN devraient considérer les alliés de l’OTAN comme équivalents aux États membres demandeurs dans le cadre des opérations de l’OTAN, </w:t>
      </w:r>
      <w:r w:rsidRPr="00D40714">
        <w:rPr>
          <w:rFonts w:ascii="Times" w:hAnsi="Times"/>
          <w:noProof/>
          <w:lang w:val="fr-BE"/>
        </w:rPr>
        <w:t>sauf pour ce qui concerne les règles et dispositions relatives aux formalités douanières et à la numérisation connexe du formulaire </w:t>
      </w:r>
      <w:r w:rsidRPr="0086652C">
        <w:rPr>
          <w:rFonts w:ascii="Times" w:hAnsi="Times"/>
          <w:noProof/>
          <w:lang w:val="fr-BE"/>
        </w:rPr>
        <w:t>302</w:t>
      </w:r>
      <w:r w:rsidRPr="00D40714">
        <w:rPr>
          <w:rFonts w:ascii="Times" w:hAnsi="Times"/>
          <w:noProof/>
          <w:lang w:val="fr-BE"/>
        </w:rPr>
        <w:t xml:space="preserve"> de l’UE.</w:t>
      </w:r>
      <w:r w:rsidRPr="00D40714">
        <w:rPr>
          <w:noProof/>
          <w:lang w:val="fr-BE"/>
        </w:rPr>
        <w:t xml:space="preserve"> Le traitement équivalent prévu par le présent règlement ne doit pas compromettre les intérêts de l’Union et de ses États membres en matière de sécurité et de défense. Le présent règlement est sans préjudice de l’application de la convention entre les États parties au traité de l’Atlantique Nord sur le statut de leurs forces (SOFA OTAN), signée à Londres le </w:t>
      </w:r>
      <w:r w:rsidRPr="0086652C">
        <w:rPr>
          <w:noProof/>
          <w:lang w:val="fr-BE"/>
        </w:rPr>
        <w:t>19</w:t>
      </w:r>
      <w:r w:rsidRPr="00D40714">
        <w:rPr>
          <w:noProof/>
          <w:lang w:val="fr-BE"/>
        </w:rPr>
        <w:t xml:space="preserve"> juin </w:t>
      </w:r>
      <w:r w:rsidRPr="0086652C">
        <w:rPr>
          <w:noProof/>
          <w:lang w:val="fr-BE"/>
        </w:rPr>
        <w:t>1951</w:t>
      </w:r>
      <w:r w:rsidRPr="00D40714">
        <w:rPr>
          <w:noProof/>
          <w:lang w:val="fr-BE"/>
        </w:rPr>
        <w:t xml:space="preserve"> par les États membres parties à l’Organisation du traité de l’Atlantique Nord (OTAN).</w:t>
      </w:r>
    </w:p>
    <w:p w14:paraId="3501F46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22</w:t>
      </w:r>
      <w:r w:rsidRPr="00D40714">
        <w:rPr>
          <w:noProof/>
          <w:lang w:val="fr-BE"/>
        </w:rPr>
        <w:t>)</w:t>
      </w:r>
      <w:r w:rsidRPr="00D40714">
        <w:rPr>
          <w:noProof/>
          <w:lang w:val="fr-BE"/>
        </w:rPr>
        <w:tab/>
        <w:t>Comme le souligne le plan d’action sur la mobilité militaire </w:t>
      </w:r>
      <w:r w:rsidRPr="0086652C">
        <w:rPr>
          <w:noProof/>
          <w:lang w:val="fr-BE"/>
        </w:rPr>
        <w:t>2</w:t>
      </w:r>
      <w:r w:rsidRPr="00D40714">
        <w:rPr>
          <w:noProof/>
          <w:lang w:val="fr-BE"/>
        </w:rPr>
        <w:t>.</w:t>
      </w:r>
      <w:r w:rsidRPr="0086652C">
        <w:rPr>
          <w:noProof/>
          <w:lang w:val="fr-BE"/>
        </w:rPr>
        <w:t>0</w:t>
      </w:r>
      <w:r w:rsidR="009B03F8">
        <w:rPr>
          <w:noProof/>
          <w:lang w:val="fr-BE"/>
        </w:rPr>
        <w:t>(</w:t>
      </w:r>
      <w:r w:rsidR="009B03F8">
        <w:rPr>
          <w:rStyle w:val="FootnoteReference"/>
          <w:noProof/>
          <w:lang w:val="fr-BE"/>
        </w:rPr>
        <w:footnoteReference w:id="31"/>
      </w:r>
      <w:r w:rsidRPr="0086652C">
        <w:rPr>
          <w:rStyle w:val="FootnoteReference"/>
          <w:noProof/>
          <w:lang w:val="fr-BE"/>
        </w:rPr>
        <w:t>10</w:t>
      </w:r>
      <w:r w:rsidRPr="00D40714">
        <w:rPr>
          <w:rStyle w:val="FootnoteReference"/>
          <w:noProof/>
          <w:lang w:val="fr-BE"/>
        </w:rPr>
        <w:t>)</w:t>
      </w:r>
      <w:r w:rsidRPr="00D40714">
        <w:rPr>
          <w:noProof/>
          <w:lang w:val="fr-BE"/>
        </w:rPr>
        <w:t>, un cadre de l’Union est nécessaire pour faciliter le transport à grande échelle et accéléré de personnels et d’équipements militaires en cas de besoin dans des circonstances exceptionnelles. À cette fin, il convient d’établir un système européen de réaction renforcée pour la mobilité militaire (EMERS) afin de prévoir des mesures temporaires et extraordinaires à l’échelle de l’Union pour assurer un transport militaire en temps utile et sans interruption dans l’ensemble de l’Union dans de telles circonstances, tout en réduisant au minimum les perturbations du transport civil.</w:t>
      </w:r>
    </w:p>
    <w:p w14:paraId="270A9B18"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23</w:t>
      </w:r>
      <w:r w:rsidRPr="00D40714">
        <w:rPr>
          <w:noProof/>
          <w:lang w:val="fr-BE"/>
        </w:rPr>
        <w:t>)</w:t>
      </w:r>
      <w:r w:rsidRPr="00D40714">
        <w:rPr>
          <w:noProof/>
          <w:lang w:val="fr-BE"/>
        </w:rPr>
        <w:tab/>
        <w:t>L’EMERS devrait être activé par le Conseil lorsqu’une augmentation existante ou attendue du volume, de la fréquence ou de la vitesse du transport militaire dans l’Union ne peut être assurée en vertu des règles normales de l’Union en matière de transport ou en raison de la capacité du réseau de transport de l’Union. Ce besoin accru de transport militaire pourrait être dû,</w:t>
      </w:r>
      <w:r w:rsidRPr="00D40714">
        <w:rPr>
          <w:i/>
          <w:noProof/>
          <w:lang w:val="fr-BE"/>
        </w:rPr>
        <w:t xml:space="preserve"> </w:t>
      </w:r>
      <w:r w:rsidRPr="00D40714">
        <w:rPr>
          <w:noProof/>
          <w:lang w:val="fr-BE"/>
        </w:rPr>
        <w:t xml:space="preserve">entre autres, à une détérioration de l’environnement de sécurité de l’Union, à des crises naturelles ou d’origine humaine qui nécessiteraient l’intervention de forces armées, affectant l’Union dans son ensemble ou une partie de celle-ci, ou à des menaces dans des pays tiers. </w:t>
      </w:r>
    </w:p>
    <w:p w14:paraId="5CECA29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24</w:t>
      </w:r>
      <w:r w:rsidRPr="00D40714">
        <w:rPr>
          <w:noProof/>
          <w:lang w:val="fr-BE"/>
        </w:rPr>
        <w:t>)</w:t>
      </w:r>
      <w:r w:rsidRPr="00D40714">
        <w:rPr>
          <w:noProof/>
          <w:lang w:val="fr-BE"/>
        </w:rPr>
        <w:tab/>
        <w:t>L’activation de l’EMERS devrait être lancée de la propre initiative de la Commission ou sur demande motivée d’au moins un État membre. Avant de soumettre une proposition au Conseil en vue de l’activation de l’EMERS, la Commission devrait utiliser toute l’expertise disponible et recueillir toute information pertinente pour évaluer le risque d’une augmentation significative du volume, de la fréquence ou de la vitesse du transport militaire au sein de l’Union, y compris en assurant la liaison avec le haut représentant de l’Union pour les affaires étrangères et la politique de sécurité et l’OTAN.</w:t>
      </w:r>
    </w:p>
    <w:p w14:paraId="7D273207"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25</w:t>
      </w:r>
      <w:r w:rsidRPr="00D40714">
        <w:rPr>
          <w:noProof/>
          <w:lang w:val="fr-BE"/>
        </w:rPr>
        <w:t>)</w:t>
      </w:r>
      <w:r w:rsidRPr="00D40714">
        <w:rPr>
          <w:noProof/>
          <w:lang w:val="fr-BE"/>
        </w:rPr>
        <w:tab/>
        <w:t xml:space="preserve">Lorsque la Commission détermine que l’activation de l’EMERS est justifiée, elle devrait proposer au Conseil de l’activer. </w:t>
      </w:r>
      <w:r w:rsidRPr="00D40714">
        <w:rPr>
          <w:rFonts w:ascii="Times" w:hAnsi="Times"/>
          <w:noProof/>
          <w:lang w:val="fr-BE"/>
        </w:rPr>
        <w:t xml:space="preserve">Le Conseil devrait pouvoir activer l’EMERS au plus tard </w:t>
      </w:r>
      <w:r w:rsidRPr="0086652C">
        <w:rPr>
          <w:rFonts w:ascii="Times" w:hAnsi="Times"/>
          <w:noProof/>
          <w:lang w:val="fr-BE"/>
        </w:rPr>
        <w:t>48</w:t>
      </w:r>
      <w:r w:rsidRPr="00D40714">
        <w:rPr>
          <w:rFonts w:ascii="Times" w:hAnsi="Times"/>
          <w:noProof/>
          <w:lang w:val="fr-BE"/>
        </w:rPr>
        <w:t xml:space="preserve"> heures après réception de la demande d’activation, en adoptant un acte d’exécution précisant la durée d’application de l’EMERS, qui ne devrait pas dépasser </w:t>
      </w:r>
      <w:r w:rsidRPr="0086652C">
        <w:rPr>
          <w:rFonts w:ascii="Times" w:hAnsi="Times"/>
          <w:noProof/>
          <w:lang w:val="fr-BE"/>
        </w:rPr>
        <w:t>12</w:t>
      </w:r>
      <w:r w:rsidRPr="00D40714">
        <w:rPr>
          <w:rFonts w:ascii="Times" w:hAnsi="Times"/>
          <w:noProof/>
          <w:lang w:val="fr-BE"/>
        </w:rPr>
        <w:t xml:space="preserve"> mois. </w:t>
      </w:r>
      <w:r w:rsidRPr="00D40714">
        <w:rPr>
          <w:noProof/>
          <w:lang w:val="fr-BE"/>
        </w:rPr>
        <w:t xml:space="preserve">L’acte d’exécution devrait également préciser quels effets des dispositions doivent être étendus par les États membres parties au traité de l’Atlantique Nord aux transports militaires effectués par des parties au traité de l’Atlantique Nord qui ne sont pas des États membres, sans préjudice des formalités douanières applicables. </w:t>
      </w:r>
      <w:r w:rsidRPr="00D40714">
        <w:rPr>
          <w:rFonts w:ascii="Times" w:hAnsi="Times"/>
          <w:noProof/>
          <w:lang w:val="fr-BE"/>
        </w:rPr>
        <w:t>Lorsque le Conseil décide d’étendre certaines dispositions aux alliés, il devrait tenir compte notamment des opérations, missions et exercices qui font l’objet d’un accord commun au sein de l’OTAN et qui sont liés aux causes de l’activation de l’EMERS, et respecter les intérêts de l’Union et de ses États membres en matière de sécurité et de défense.</w:t>
      </w:r>
      <w:r w:rsidRPr="00D40714">
        <w:rPr>
          <w:noProof/>
          <w:lang w:val="fr-BE"/>
        </w:rPr>
        <w:t xml:space="preserve"> L’attribution de ces compétences au Conseil est justifiée par le caractère sensible de la décision d’activer l’EMERS et par la nature particulière des mesures d’urgence applicables en vertu de ce mécanisme.</w:t>
      </w:r>
    </w:p>
    <w:p w14:paraId="63B7444E"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26</w:t>
      </w:r>
      <w:r w:rsidRPr="00D40714">
        <w:rPr>
          <w:noProof/>
          <w:lang w:val="fr-BE"/>
        </w:rPr>
        <w:t>)</w:t>
      </w:r>
      <w:r w:rsidRPr="00D40714">
        <w:rPr>
          <w:noProof/>
          <w:lang w:val="fr-BE"/>
        </w:rPr>
        <w:tab/>
        <w:t>Au cours de la période d’activation de l’EMERS, la Commission devrait être en mesure de convoquer des réunions du groupe extraordinaire sur les transports liés à la mobilité militaire, composé de représentants de la Commission, du Service européen pour l’action extérieure (SEAE), y compris l’État-major de l’Union européenne, de l’AED et des États membres (représentant leurs gouvernements), et devrait assurer une coordination étroite avec les États membres. Les États membres devraient informer rapidement la Commission des mesures nationales prises en réponse à l’activation de l’EMERS, de manière à favoriser la cohérence opérationnelle et la solidarité. Le cadre EMERS devrait fonctionner en synergie avec les cadres d’urgence établis au titre du règlement SURMI et du [programme pour l’industrie européenne de la défense] [EDIP]. En cas d’activation de l’EMERS, il convient de tenir dûment compte de l’état de crise d’approvisionnement de [l’EDIP] et de l’état de crise d’approvisionnement liée à la sécurité, ainsi que du mode d’urgence du SURMI, en particulier lorsqu’il est actif, afin d’évaluer l’incidence sur le marché unique et de déterminer s’il peut servir à compléter les opérations de transport militaire, notamment en garantissant la libre circulation des travailleurs.</w:t>
      </w:r>
    </w:p>
    <w:p w14:paraId="08C457A7"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27</w:t>
      </w:r>
      <w:r w:rsidRPr="00D40714">
        <w:rPr>
          <w:noProof/>
          <w:lang w:val="fr-BE"/>
        </w:rPr>
        <w:t>)</w:t>
      </w:r>
      <w:r w:rsidRPr="00D40714">
        <w:rPr>
          <w:noProof/>
          <w:lang w:val="fr-BE"/>
        </w:rPr>
        <w:tab/>
        <w:t>Afin de faciliter le transport militaire, des règles spécifiques relatives au transport devraient s’appliquer durant la période d’activation de l’EMERS. Les opérations de transport militaire devraient être considérées comme automatiquement autorisées par les États membres receveurs. Les États membres demandeurs seraient uniquement tenus de notifier aux États membres receveurs qu’une opération de transport militaire est prévue le plus tôt possible et au plus tard six heures avant l’heure d’arrivée prévue au point de passage frontalier de l’État membre receveur. Ces notifications devraient inclure tous les détails pertinents et, le cas échéant, la demande de soutien à fournir par le pays hôte ou les autres modalités en matière de circulation, afin de permettre aux États membres receveurs de se préparer efficacement. Lorsque l’État membre receveur exige l’adoption de modalités en matière de circulation, celles-ci devraient être déterminées en temps utile afin de garantir que l’opération de transport puisse avoir lieu conformément au calendrier prévu, en assurant une coordination rapide et en conciliant la préparation militaire avec la nécessité d’opérations transfrontières rapides et prévisibles, ce qui contribue à réduire au minimum les perturbations du trafic civil. Dans la mesure où le présent règlement peut avoir des conséquences indirectes sur la politique de sécurité et de défense de certains États membres, il prévoit des règles pour tenir compte des spécificités des régimes de sécurité et de défense de ces États membres.</w:t>
      </w:r>
    </w:p>
    <w:p w14:paraId="6F636A0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28</w:t>
      </w:r>
      <w:r w:rsidRPr="00D40714">
        <w:rPr>
          <w:noProof/>
          <w:lang w:val="fr-BE"/>
        </w:rPr>
        <w:t>)</w:t>
      </w:r>
      <w:r w:rsidRPr="00D40714">
        <w:rPr>
          <w:noProof/>
          <w:lang w:val="fr-BE"/>
        </w:rPr>
        <w:tab/>
        <w:t>Dans ses conclusions sur la sécurité et la défense de l’UE</w:t>
      </w:r>
      <w:r w:rsidR="009B03F8">
        <w:rPr>
          <w:noProof/>
          <w:lang w:val="fr-BE"/>
        </w:rPr>
        <w:t>(</w:t>
      </w:r>
      <w:r w:rsidR="009B03F8">
        <w:rPr>
          <w:rStyle w:val="FootnoteReference"/>
          <w:noProof/>
          <w:lang w:val="fr-BE"/>
        </w:rPr>
        <w:footnoteReference w:id="32"/>
      </w:r>
      <w:r w:rsidRPr="0086652C">
        <w:rPr>
          <w:rStyle w:val="FootnoteReference"/>
          <w:noProof/>
          <w:lang w:val="fr-BE"/>
        </w:rPr>
        <w:t>11</w:t>
      </w:r>
      <w:r w:rsidRPr="00D40714">
        <w:rPr>
          <w:rStyle w:val="FootnoteReference"/>
          <w:noProof/>
          <w:lang w:val="fr-BE"/>
        </w:rPr>
        <w:t>)</w:t>
      </w:r>
      <w:r w:rsidRPr="00D40714">
        <w:rPr>
          <w:noProof/>
          <w:lang w:val="fr-BE"/>
        </w:rPr>
        <w:t xml:space="preserve"> du </w:t>
      </w:r>
      <w:r w:rsidRPr="0086652C">
        <w:rPr>
          <w:noProof/>
          <w:lang w:val="fr-BE"/>
        </w:rPr>
        <w:t>27</w:t>
      </w:r>
      <w:r w:rsidRPr="00D40714">
        <w:rPr>
          <w:noProof/>
          <w:lang w:val="fr-BE"/>
        </w:rPr>
        <w:t xml:space="preserve"> mai </w:t>
      </w:r>
      <w:r w:rsidRPr="0086652C">
        <w:rPr>
          <w:noProof/>
          <w:lang w:val="fr-BE"/>
        </w:rPr>
        <w:t>2024</w:t>
      </w:r>
      <w:r w:rsidRPr="00D40714">
        <w:rPr>
          <w:noProof/>
          <w:lang w:val="fr-BE"/>
        </w:rPr>
        <w:t xml:space="preserve">, le Conseil s’est engagé à faire en sorte que, d’ici à </w:t>
      </w:r>
      <w:r w:rsidRPr="0086652C">
        <w:rPr>
          <w:noProof/>
          <w:lang w:val="fr-BE"/>
        </w:rPr>
        <w:t>2026</w:t>
      </w:r>
      <w:r w:rsidRPr="00D40714">
        <w:rPr>
          <w:noProof/>
          <w:lang w:val="fr-BE"/>
        </w:rPr>
        <w:t xml:space="preserve"> au plus tard, un accès ou un passage prioritaire puisse être accordé au transport militaire ferroviaire dans des situations d’urgence ou de crise. L’accès prioritaire pour le transport militaire ferroviaire ou aérien peut être accordé en vertu des dispositions relatives aux situations de crise ou d’urgence prévues respectivement par le règlement [proposition de règlement sur la capacité ferroviaire] du Parlement européen et du Conseil</w:t>
      </w:r>
      <w:r w:rsidR="009B03F8">
        <w:rPr>
          <w:noProof/>
          <w:lang w:val="fr-BE"/>
        </w:rPr>
        <w:t>(</w:t>
      </w:r>
      <w:r w:rsidR="009B03F8">
        <w:rPr>
          <w:rStyle w:val="FootnoteReference"/>
          <w:noProof/>
          <w:lang w:val="fr-BE"/>
        </w:rPr>
        <w:footnoteReference w:id="33"/>
      </w:r>
      <w:r w:rsidRPr="0086652C">
        <w:rPr>
          <w:rStyle w:val="FootnoteReference"/>
          <w:noProof/>
          <w:lang w:val="fr-BE"/>
        </w:rPr>
        <w:t>12</w:t>
      </w:r>
      <w:r w:rsidRPr="00D40714">
        <w:rPr>
          <w:rStyle w:val="FootnoteReference"/>
          <w:noProof/>
          <w:lang w:val="fr-BE"/>
        </w:rPr>
        <w:t>)</w:t>
      </w:r>
      <w:r w:rsidRPr="00D40714">
        <w:rPr>
          <w:noProof/>
          <w:lang w:val="fr-BE"/>
        </w:rPr>
        <w:t xml:space="preserve"> et par le règlement (CE) nº </w:t>
      </w:r>
      <w:r w:rsidRPr="0086652C">
        <w:rPr>
          <w:noProof/>
          <w:lang w:val="fr-BE"/>
        </w:rPr>
        <w:t>1008</w:t>
      </w:r>
      <w:r w:rsidRPr="00D40714">
        <w:rPr>
          <w:noProof/>
          <w:lang w:val="fr-BE"/>
        </w:rPr>
        <w:t>/</w:t>
      </w:r>
      <w:r w:rsidRPr="0086652C">
        <w:rPr>
          <w:noProof/>
          <w:lang w:val="fr-BE"/>
        </w:rPr>
        <w:t>2008</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34"/>
      </w:r>
      <w:r w:rsidRPr="0086652C">
        <w:rPr>
          <w:rStyle w:val="FootnoteReference"/>
          <w:noProof/>
          <w:lang w:val="fr-BE"/>
        </w:rPr>
        <w:t>13</w:t>
      </w:r>
      <w:r w:rsidRPr="00D40714">
        <w:rPr>
          <w:rStyle w:val="FootnoteReference"/>
          <w:noProof/>
          <w:lang w:val="fr-BE"/>
        </w:rPr>
        <w:t>)</w:t>
      </w:r>
      <w:r w:rsidRPr="00D40714">
        <w:rPr>
          <w:noProof/>
          <w:lang w:val="fr-BE"/>
        </w:rPr>
        <w:t>. Toutefois, il faut davantage de règles spécifiques de ce type accordant un accès prioritaire, couvrant tous les modes de transport et mieux adaptées à l’EMERS. Il y a donc lieu d’introduire un droit d’accès prioritaire horizontal pour les forces armées aux réseaux et infrastructures de transport, ainsi qu’aux services et installations connexes, dans tous les modes de transport.  En raison du caractère exceptionnel de l’EMERS et afin de limiter la charge financière pesant sur les forces armées</w:t>
      </w:r>
      <w:r w:rsidRPr="00D40714">
        <w:rPr>
          <w:i/>
          <w:noProof/>
          <w:lang w:val="fr-BE"/>
        </w:rPr>
        <w:t xml:space="preserve">, </w:t>
      </w:r>
      <w:r w:rsidRPr="00D40714">
        <w:rPr>
          <w:noProof/>
          <w:lang w:val="fr-BE"/>
        </w:rPr>
        <w:t>aucune compensation ne devrait être due par les forces armées aux usagers des transports concernés par cet accès prioritaire, par exemple parce que leur train est retardé ou qu’ils ne peuvent pas accoster dans un terminal portuaire spécifique. Compte tenu de ces conséquences potentiellement graves et coûteuses pour les autres usagers des transports, un accès prioritaire des forces armées n’est considéré comme justifié que lorsque l’EMERS est activé.</w:t>
      </w:r>
    </w:p>
    <w:p w14:paraId="53E83A08" w14:textId="77777777" w:rsidR="000D5092" w:rsidRPr="00D40714" w:rsidRDefault="000D5092" w:rsidP="000D5092">
      <w:pPr>
        <w:pStyle w:val="ManualConsidrant"/>
        <w:rPr>
          <w:noProof/>
          <w:lang w:val="fr-BE"/>
        </w:rPr>
      </w:pPr>
      <w:r w:rsidRPr="00D40714">
        <w:rPr>
          <w:noProof/>
          <w:lang w:val="fr-BE"/>
        </w:rPr>
        <w:t>(</w:t>
      </w:r>
      <w:r w:rsidRPr="0086652C">
        <w:rPr>
          <w:noProof/>
          <w:lang w:val="fr-BE"/>
        </w:rPr>
        <w:t>29</w:t>
      </w:r>
      <w:r w:rsidRPr="00D40714">
        <w:rPr>
          <w:noProof/>
          <w:lang w:val="fr-BE"/>
        </w:rPr>
        <w:t>)</w:t>
      </w:r>
      <w:r w:rsidRPr="00D40714">
        <w:rPr>
          <w:noProof/>
          <w:lang w:val="fr-BE"/>
        </w:rPr>
        <w:tab/>
        <w:t>Pendant la période d’activation de l’EMERS, lorsque les exigences énoncées dans les accords internationaux sont applicables au transport militaire de marchandises dangereuses en vertu du présent règlement, les États membres devraient être autorisés à exempter le transport militaire de marchandises dangereuses de ces exigences, exception faite des formalités douanières. Ce faisant, ils ne devraient pas imposer de règles nationales supplémentaires. Ils devraient également coordonner ces exemptions afin de garantir que les opérations de transport militaire soient soumises à des règles cohérentes en ce qui concerne le transport de marchandises dangereuses.</w:t>
      </w:r>
    </w:p>
    <w:p w14:paraId="0F071F7F"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30</w:t>
      </w:r>
      <w:r w:rsidRPr="00D40714">
        <w:rPr>
          <w:noProof/>
          <w:lang w:val="fr-BE"/>
        </w:rPr>
        <w:t>)</w:t>
      </w:r>
      <w:r w:rsidRPr="00D40714">
        <w:rPr>
          <w:noProof/>
          <w:lang w:val="fr-BE"/>
        </w:rPr>
        <w:tab/>
        <w:t>Dans des situations normales, le fret à transporter ne devrait pas dépasser les poids et dimensions maximaux applicables, notamment pour des raisons de sécurité routière, sauf si le fret est indivisible. Toutefois, durant la période d’activation de l’EMERS, il peut être nécessaire de transporter des chargements importants de manière rapide et efficace, compte tenu de la situation d’urgence. Par conséquent, pendant cette période, le transport de fret exceptionnel devrait être autorisé même si le chargement n’est pas indivisible.</w:t>
      </w:r>
    </w:p>
    <w:p w14:paraId="1F5015C5"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31</w:t>
      </w:r>
      <w:r w:rsidRPr="00D40714">
        <w:rPr>
          <w:noProof/>
          <w:lang w:val="fr-BE"/>
        </w:rPr>
        <w:t>)</w:t>
      </w:r>
      <w:r w:rsidRPr="00D40714">
        <w:rPr>
          <w:noProof/>
          <w:lang w:val="fr-BE"/>
        </w:rPr>
        <w:tab/>
        <w:t>Durant la période d’activation de l’EMERS, les États membres doivent avoir accès aux capacités de transport et aux capacités logistiques nécessaires à l’exécution de leurs opérations de transport militaire. Par conséquent, les États membres devraient pouvoir bénéficier d’un soutien accru à cet égard. La capacité de la Commission à aider les États membres à accéder auxdites capacités est également nécessaire pour garantir l’exécution efficace des opérations de transport militaire. Le groupe sur les transports liés à la mobilité militaire devrait être en mesure de recenser les capacités de transport spécifiques enregistrées dans la réserve de solidarité dont certains États membres ont un besoin urgent. Dans de tels cas, les efforts de partage et de coordination au titre de la réserve de solidarité devraient se concentrer sur le soutien à ces demandes prioritaires, en veillant à ce que les capacités requises soient mises à disposition en temps utile et de manière efficace.</w:t>
      </w:r>
    </w:p>
    <w:p w14:paraId="5E5FD6BE"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32</w:t>
      </w:r>
      <w:r w:rsidRPr="00D40714">
        <w:rPr>
          <w:noProof/>
          <w:lang w:val="fr-BE"/>
        </w:rPr>
        <w:t>)</w:t>
      </w:r>
      <w:r w:rsidRPr="00D40714">
        <w:rPr>
          <w:noProof/>
          <w:lang w:val="fr-BE"/>
        </w:rPr>
        <w:tab/>
        <w:t>Au cours de la période d’activation de l’EMERS, davantage d’opérations de transport militaire impliquant le cabotage pourraient se révéler nécessaires. Les États membres devraient donc exempter tous les transports militaires d’équipements, de marchandises et de personnel des restrictions en matière de cabotage au cours de cette période.</w:t>
      </w:r>
    </w:p>
    <w:p w14:paraId="1DBE2F5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33</w:t>
      </w:r>
      <w:r w:rsidRPr="00D40714">
        <w:rPr>
          <w:noProof/>
          <w:lang w:val="fr-BE"/>
        </w:rPr>
        <w:t>)</w:t>
      </w:r>
      <w:r w:rsidRPr="00D40714">
        <w:rPr>
          <w:noProof/>
          <w:lang w:val="fr-BE"/>
        </w:rPr>
        <w:tab/>
        <w:t>Les règles de l’Union relatives aux durées de conduite, aux pauses et aux temps de repos dans le domaine des transports par route énoncées dans le règlement (CE) nº </w:t>
      </w:r>
      <w:r w:rsidRPr="0086652C">
        <w:rPr>
          <w:noProof/>
          <w:lang w:val="fr-BE"/>
        </w:rPr>
        <w:t>561</w:t>
      </w:r>
      <w:r w:rsidRPr="00D40714">
        <w:rPr>
          <w:noProof/>
          <w:lang w:val="fr-BE"/>
        </w:rPr>
        <w:t>/</w:t>
      </w:r>
      <w:r w:rsidRPr="0086652C">
        <w:rPr>
          <w:noProof/>
          <w:lang w:val="fr-BE"/>
        </w:rPr>
        <w:t>2006</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35"/>
      </w:r>
      <w:r w:rsidRPr="0086652C">
        <w:rPr>
          <w:rStyle w:val="FootnoteReference"/>
          <w:noProof/>
          <w:lang w:val="fr-BE"/>
        </w:rPr>
        <w:t>35</w:t>
      </w:r>
      <w:r w:rsidRPr="00D40714">
        <w:rPr>
          <w:rStyle w:val="FootnoteReference"/>
          <w:noProof/>
          <w:lang w:val="fr-BE"/>
        </w:rPr>
        <w:t>)</w:t>
      </w:r>
      <w:r w:rsidRPr="00D40714">
        <w:rPr>
          <w:noProof/>
          <w:lang w:val="fr-BE"/>
        </w:rPr>
        <w:t xml:space="preserve"> sont importantes pour garantir la sécurité routière ainsi que la santé et le bien-être des travailleurs du secteur des transports. Si la sécurité routière reste essentielle pendant la période d’activation de l’EMERS, les limitations que ces règles imposent aux opérations de transport militaire peuvent entraîner des retards lourds de conséquences. Par conséquent, au cours de cette période, le transport militaire par route devrait bénéficier de règles moins restrictives, sans compromettre le bien-être des travailleurs et la sécurité du transport.</w:t>
      </w:r>
    </w:p>
    <w:p w14:paraId="242BAB53"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34</w:t>
      </w:r>
      <w:r w:rsidRPr="00D40714">
        <w:rPr>
          <w:noProof/>
          <w:lang w:val="fr-BE"/>
        </w:rPr>
        <w:t>)</w:t>
      </w:r>
      <w:r w:rsidRPr="00D40714">
        <w:rPr>
          <w:noProof/>
          <w:lang w:val="fr-BE"/>
        </w:rPr>
        <w:tab/>
        <w:t xml:space="preserve">La directive (UE) </w:t>
      </w:r>
      <w:r w:rsidRPr="0086652C">
        <w:rPr>
          <w:noProof/>
          <w:lang w:val="fr-BE"/>
        </w:rPr>
        <w:t>2016</w:t>
      </w:r>
      <w:r w:rsidRPr="00D40714">
        <w:rPr>
          <w:noProof/>
          <w:lang w:val="fr-BE"/>
        </w:rPr>
        <w:t>/</w:t>
      </w:r>
      <w:r w:rsidRPr="0086652C">
        <w:rPr>
          <w:noProof/>
          <w:lang w:val="fr-BE"/>
        </w:rPr>
        <w:t>797</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36"/>
      </w:r>
      <w:r w:rsidRPr="0086652C">
        <w:rPr>
          <w:rStyle w:val="FootnoteReference"/>
          <w:noProof/>
          <w:lang w:val="fr-BE"/>
        </w:rPr>
        <w:t>14</w:t>
      </w:r>
      <w:r w:rsidRPr="00D40714">
        <w:rPr>
          <w:rStyle w:val="FootnoteReference"/>
          <w:noProof/>
          <w:lang w:val="fr-BE"/>
        </w:rPr>
        <w:t>)</w:t>
      </w:r>
      <w:r w:rsidRPr="00D40714">
        <w:rPr>
          <w:noProof/>
          <w:lang w:val="fr-BE"/>
        </w:rPr>
        <w:t xml:space="preserve"> dispose qu’avant qu’une entreprise ferroviaire utilise un véhicule sur un réseau donné, elle vérifie que le véhicule est muni d’une autorisation ad hoc et qu’il est dûment enregistré. Au cours de la période d’activation de l’EMERS, compte tenu de l’augmentation des volumes et de la fréquence des opérations de transport militaire, le recours à des véhicules ferroviaires à double usage pourrait être nécessaire en dehors de leurs domaines d’utilisation autorisés spécifiés. Par conséquent, les entreprises ferroviaires devraient pouvoir les utiliser en dehors de ces domaines, à condition que la sécurité soit assurée par d’autres mécanismes. </w:t>
      </w:r>
    </w:p>
    <w:p w14:paraId="3A584CE5"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35</w:t>
      </w:r>
      <w:r w:rsidRPr="00D40714">
        <w:rPr>
          <w:noProof/>
          <w:lang w:val="fr-BE"/>
        </w:rPr>
        <w:t>)</w:t>
      </w:r>
      <w:r w:rsidRPr="00D40714">
        <w:rPr>
          <w:noProof/>
          <w:lang w:val="fr-BE"/>
        </w:rPr>
        <w:tab/>
        <w:t>Les règles de l’Union et les règles nationales limitant la circulation sur la base du bruit, de la qualité de l’air et d’autres critères environnementaux soutiennent les objectifs de l’Union visant à réduire l’incidence environnementale du secteur des transports et à garantir le bien-être des citoyens. Toutefois, dans les cas d’urgence où un volume et une fréquence plus élevés d’opérations de transport militaire sont nécessaires pour des raisons impérieuses de sécurité publique, ces règles peuvent entraîner des restrictions et des retards disproportionnés pour ce type de transport. Durant la période d’activation de l’EMERS, le transport militaire devrait être exempté des restrictions en matière de circulation routière fondées sur les performances environnementales des véhicules et des restrictions fondées sur la qualité de l’air et le contrôle du bruit mises en place dans les ports et les aéroports.</w:t>
      </w:r>
    </w:p>
    <w:p w14:paraId="688ABA71"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36</w:t>
      </w:r>
      <w:r w:rsidRPr="00D40714">
        <w:rPr>
          <w:noProof/>
          <w:lang w:val="fr-BE"/>
        </w:rPr>
        <w:t>)</w:t>
      </w:r>
      <w:r w:rsidRPr="00D40714">
        <w:rPr>
          <w:noProof/>
          <w:lang w:val="fr-BE"/>
        </w:rPr>
        <w:tab/>
        <w:t xml:space="preserve">Le règlement (UE) </w:t>
      </w:r>
      <w:r w:rsidRPr="0086652C">
        <w:rPr>
          <w:noProof/>
          <w:lang w:val="fr-BE"/>
        </w:rPr>
        <w:t>2017</w:t>
      </w:r>
      <w:r w:rsidRPr="00D40714">
        <w:rPr>
          <w:noProof/>
          <w:lang w:val="fr-BE"/>
        </w:rPr>
        <w:t>/</w:t>
      </w:r>
      <w:r w:rsidRPr="0086652C">
        <w:rPr>
          <w:noProof/>
          <w:lang w:val="fr-BE"/>
        </w:rPr>
        <w:t>625</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37"/>
      </w:r>
      <w:r w:rsidRPr="0086652C">
        <w:rPr>
          <w:rStyle w:val="FootnoteReference"/>
          <w:noProof/>
          <w:lang w:val="fr-BE"/>
        </w:rPr>
        <w:t>15</w:t>
      </w:r>
      <w:r w:rsidRPr="00D40714">
        <w:rPr>
          <w:rStyle w:val="FootnoteReference"/>
          <w:noProof/>
          <w:lang w:val="fr-BE"/>
        </w:rPr>
        <w:t>)</w:t>
      </w:r>
      <w:r w:rsidRPr="00D40714">
        <w:rPr>
          <w:noProof/>
          <w:lang w:val="fr-BE"/>
        </w:rPr>
        <w:t xml:space="preserve"> établit les règles applicables à la réalisation des contrôles officiels par les autorités compétentes des États membres en vue de vérifier le respect de la législation de l’Union dans certains domaines, notamment la sécurité des denrées alimentaires et des aliments pour animaux et la santé animale. Le règlement (UE) </w:t>
      </w:r>
      <w:r w:rsidRPr="0086652C">
        <w:rPr>
          <w:noProof/>
          <w:lang w:val="fr-BE"/>
        </w:rPr>
        <w:t>2017</w:t>
      </w:r>
      <w:r w:rsidRPr="00D40714">
        <w:rPr>
          <w:noProof/>
          <w:lang w:val="fr-BE"/>
        </w:rPr>
        <w:t>/</w:t>
      </w:r>
      <w:r w:rsidRPr="0086652C">
        <w:rPr>
          <w:noProof/>
          <w:lang w:val="fr-BE"/>
        </w:rPr>
        <w:t>625</w:t>
      </w:r>
      <w:r w:rsidRPr="00D40714">
        <w:rPr>
          <w:noProof/>
          <w:lang w:val="fr-BE"/>
        </w:rPr>
        <w:t xml:space="preserve"> exige plus particulièrement que certaines catégories d’animaux et de marchandises en provenance de pays tiers soient présentées à un poste de contrôle frontalier aux fins de contrôles officiels lors de leur première arrivée dans l’Union afin de vérifier le respect des exigences de l’Union relatives, entre autres, à la santé publique et à la santé animale.</w:t>
      </w:r>
    </w:p>
    <w:p w14:paraId="2D1F654E"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37</w:t>
      </w:r>
      <w:r w:rsidRPr="00D40714">
        <w:rPr>
          <w:noProof/>
          <w:lang w:val="fr-BE"/>
        </w:rPr>
        <w:t>)</w:t>
      </w:r>
      <w:r w:rsidRPr="00D40714">
        <w:rPr>
          <w:noProof/>
          <w:lang w:val="fr-BE"/>
        </w:rPr>
        <w:tab/>
        <w:t xml:space="preserve">Le règlement (UE) </w:t>
      </w:r>
      <w:r w:rsidRPr="0086652C">
        <w:rPr>
          <w:noProof/>
          <w:lang w:val="fr-BE"/>
        </w:rPr>
        <w:t>2017</w:t>
      </w:r>
      <w:r w:rsidRPr="00D40714">
        <w:rPr>
          <w:noProof/>
          <w:lang w:val="fr-BE"/>
        </w:rPr>
        <w:t>/</w:t>
      </w:r>
      <w:r w:rsidRPr="0086652C">
        <w:rPr>
          <w:noProof/>
          <w:lang w:val="fr-BE"/>
        </w:rPr>
        <w:t>625</w:t>
      </w:r>
      <w:r w:rsidRPr="00D40714">
        <w:rPr>
          <w:noProof/>
          <w:lang w:val="fr-BE"/>
        </w:rPr>
        <w:t xml:space="preserve"> ne prévoit pas de mécanismes spécifiques permettant d’accélérer les contrôles officiels ou d’y déroger dans les situations d’urgence qui justifient l’entrée rapide des marchandises concernées sur le territoire de l’Union. Durant la période d’activation de l’EMERS, la nécessité d’effectuer les contrôles obligatoires aux frontières prévue par le règlement (UE) </w:t>
      </w:r>
      <w:r w:rsidRPr="0086652C">
        <w:rPr>
          <w:noProof/>
          <w:lang w:val="fr-BE"/>
        </w:rPr>
        <w:t>2017</w:t>
      </w:r>
      <w:r w:rsidRPr="00D40714">
        <w:rPr>
          <w:noProof/>
          <w:lang w:val="fr-BE"/>
        </w:rPr>
        <w:t>/</w:t>
      </w:r>
      <w:r w:rsidRPr="0086652C">
        <w:rPr>
          <w:noProof/>
          <w:lang w:val="fr-BE"/>
        </w:rPr>
        <w:t>625</w:t>
      </w:r>
      <w:r w:rsidRPr="00D40714">
        <w:rPr>
          <w:noProof/>
          <w:lang w:val="fr-BE"/>
        </w:rPr>
        <w:t xml:space="preserve"> est susceptible d’entraîner des retards incompatibles avec le transport militaire urgent et sans interruption de denrées alimentaires, d’aliments pour animaux et de chiens. Afin de garantir un transport militaire rapide et sans entrave lorsque l’EMERS est activé, une dérogation aux contrôles officiels aux postes de contrôle frontaliers requis en vertu du règlement (UE) </w:t>
      </w:r>
      <w:r w:rsidRPr="0086652C">
        <w:rPr>
          <w:noProof/>
          <w:lang w:val="fr-BE"/>
        </w:rPr>
        <w:t>2017</w:t>
      </w:r>
      <w:r w:rsidRPr="00D40714">
        <w:rPr>
          <w:noProof/>
          <w:lang w:val="fr-BE"/>
        </w:rPr>
        <w:t>/</w:t>
      </w:r>
      <w:r w:rsidRPr="0086652C">
        <w:rPr>
          <w:noProof/>
          <w:lang w:val="fr-BE"/>
        </w:rPr>
        <w:t>625</w:t>
      </w:r>
      <w:r w:rsidRPr="00D40714">
        <w:rPr>
          <w:noProof/>
          <w:lang w:val="fr-BE"/>
        </w:rPr>
        <w:t xml:space="preserve"> est nécessaire en ce qui concerne l’approvisionnement en denrées alimentaires et en aliments pour animaux ainsi que pour les chiens militaires entrant dans l’Union.</w:t>
      </w:r>
    </w:p>
    <w:p w14:paraId="287E3C87"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38</w:t>
      </w:r>
      <w:r w:rsidRPr="00D40714">
        <w:rPr>
          <w:noProof/>
          <w:lang w:val="fr-BE"/>
        </w:rPr>
        <w:t>)</w:t>
      </w:r>
      <w:r w:rsidRPr="00D40714">
        <w:rPr>
          <w:noProof/>
          <w:lang w:val="fr-BE"/>
        </w:rPr>
        <w:tab/>
        <w:t>Afin de garantir un transport militaire rapide et sans entrave au sein de l’Union dans les situations où l’EMERS est activé et d’éviter les goulets d’étranglement susceptibles d’avoir une incidence négative sur le transport civil, les procédures douanières devraient être gérées en activant les protocoles et procédures élaborés par l’Autorité douanière de l’Union européenne, en consultation avec la Commission, ainsi que le mécanisme de gestion des crises douanières prévu par le règlement [réforme douanière]</w:t>
      </w:r>
      <w:r w:rsidR="009B03F8">
        <w:rPr>
          <w:noProof/>
          <w:lang w:val="fr-BE"/>
        </w:rPr>
        <w:t>(</w:t>
      </w:r>
      <w:r w:rsidR="009B03F8">
        <w:rPr>
          <w:rStyle w:val="FootnoteReference"/>
          <w:noProof/>
          <w:lang w:val="fr-BE"/>
        </w:rPr>
        <w:footnoteReference w:id="38"/>
      </w:r>
      <w:r w:rsidRPr="0086652C">
        <w:rPr>
          <w:rStyle w:val="FootnoteReference"/>
          <w:noProof/>
          <w:lang w:val="fr-BE"/>
        </w:rPr>
        <w:t>16</w:t>
      </w:r>
      <w:r w:rsidRPr="00D40714">
        <w:rPr>
          <w:rStyle w:val="FootnoteReference"/>
          <w:noProof/>
          <w:lang w:val="fr-BE"/>
        </w:rPr>
        <w:t>)</w:t>
      </w:r>
      <w:r w:rsidRPr="00D40714">
        <w:rPr>
          <w:noProof/>
          <w:lang w:val="fr-BE"/>
        </w:rPr>
        <w:t>.</w:t>
      </w:r>
    </w:p>
    <w:p w14:paraId="0DE4BCB2" w14:textId="77777777" w:rsidR="000D5092" w:rsidRPr="00D40714" w:rsidRDefault="000D5092" w:rsidP="000D5092">
      <w:pPr>
        <w:pStyle w:val="ManualConsidrant"/>
        <w:rPr>
          <w:noProof/>
          <w:lang w:val="fr-BE"/>
        </w:rPr>
      </w:pPr>
      <w:r w:rsidRPr="00D40714">
        <w:rPr>
          <w:noProof/>
          <w:lang w:val="fr-BE"/>
        </w:rPr>
        <w:t>(</w:t>
      </w:r>
      <w:r w:rsidRPr="0086652C">
        <w:rPr>
          <w:noProof/>
          <w:lang w:val="fr-BE"/>
        </w:rPr>
        <w:t>39</w:t>
      </w:r>
      <w:r w:rsidRPr="00D40714">
        <w:rPr>
          <w:noProof/>
          <w:lang w:val="fr-BE"/>
        </w:rPr>
        <w:t>)</w:t>
      </w:r>
      <w:r w:rsidRPr="00D40714">
        <w:rPr>
          <w:noProof/>
          <w:lang w:val="fr-BE"/>
        </w:rPr>
        <w:tab/>
        <w:t>Les corridors prioritaires de mobilité militaire de l’UE définis dans le document du Conseil intitulé «Besoins militaires pour la mobilité militaire à l’intérieur et à l’extérieur de l’UE»</w:t>
      </w:r>
      <w:r>
        <w:rPr>
          <w:rStyle w:val="FootnoteReference"/>
          <w:noProof/>
        </w:rPr>
        <w:footnoteReference w:id="39"/>
      </w:r>
      <w:r w:rsidRPr="00D40714">
        <w:rPr>
          <w:noProof/>
          <w:lang w:val="fr-BE"/>
        </w:rPr>
        <w:t xml:space="preserve"> constituent un instrument visant à faciliter la mise en œuvre coordonnée des parties du réseau transeuropéen de transport qui présentent une valeur militaire particulière. Ils visent, en particulier, à assurer la circulation fluide, dans l’ensemble de l’Union et au-delà, des troupes et du matériel militaires. En se concentrant sur les investissements les plus urgents dans les infrastructures à double usage le long de ces corridors, et en particulier sur les investissements ciblés à court terme («points névralgiques»), les États membres peuvent moderniser ces corridors rapidement, de manière coordonnée et synchronisée.</w:t>
      </w:r>
    </w:p>
    <w:p w14:paraId="1B27AE3E"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40</w:t>
      </w:r>
      <w:r w:rsidRPr="00D40714">
        <w:rPr>
          <w:noProof/>
          <w:lang w:val="fr-BE"/>
        </w:rPr>
        <w:t>)</w:t>
      </w:r>
      <w:r w:rsidRPr="00D40714">
        <w:rPr>
          <w:noProof/>
          <w:lang w:val="fr-BE"/>
        </w:rPr>
        <w:tab/>
        <w:t>En outre, ces corridors servent de base aux États membres et aux gestionnaires de l’infrastructure ferroviaire ou aux autorités aéronautiques nationales pour convenir au préalable d’itinéraires désignés et d’installations d’appui, en particulier pour le transport militaire de marchandises dangereuses et pour les transports militaires exceptionnels, ainsi que de liaisons aériennes transfrontières prédéfinies ou de points de connectivité. Ces itinéraires et liaisons préalablement convenus ou préétablis devraient être mis en place afin de réduire sensiblement le temps nécessaire au traitement des modalités en matière de circulation.</w:t>
      </w:r>
    </w:p>
    <w:p w14:paraId="5C542F21"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41</w:t>
      </w:r>
      <w:r w:rsidRPr="00D40714">
        <w:rPr>
          <w:noProof/>
          <w:lang w:val="fr-BE"/>
        </w:rPr>
        <w:t>)</w:t>
      </w:r>
      <w:r w:rsidRPr="00D40714">
        <w:rPr>
          <w:noProof/>
          <w:lang w:val="fr-BE"/>
        </w:rPr>
        <w:tab/>
        <w:t>Le système de transport de l’Union repose sur l’élaboration de mesures relatives à la circulation et d’exigences techniques en vue de garantir et d’améliorer la sécurité et la fiabilité. Ces objectifs servent de manière similaire le transport militaire qui utilise les infrastructures à double usage ainsi que la résilience et la sécurité des systèmes de transport. </w:t>
      </w:r>
    </w:p>
    <w:p w14:paraId="24A0DE14"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42</w:t>
      </w:r>
      <w:r w:rsidRPr="00D40714">
        <w:rPr>
          <w:noProof/>
          <w:lang w:val="fr-BE"/>
        </w:rPr>
        <w:t>)</w:t>
      </w:r>
      <w:r w:rsidRPr="00D40714">
        <w:rPr>
          <w:noProof/>
          <w:lang w:val="fr-BE"/>
        </w:rPr>
        <w:tab/>
        <w:t xml:space="preserve">La directive (UE) </w:t>
      </w:r>
      <w:r w:rsidRPr="0086652C">
        <w:rPr>
          <w:noProof/>
          <w:lang w:val="fr-BE"/>
        </w:rPr>
        <w:t>2022</w:t>
      </w:r>
      <w:r w:rsidRPr="00D40714">
        <w:rPr>
          <w:noProof/>
          <w:lang w:val="fr-BE"/>
        </w:rPr>
        <w:t>/</w:t>
      </w:r>
      <w:r w:rsidRPr="0086652C">
        <w:rPr>
          <w:noProof/>
          <w:lang w:val="fr-BE"/>
        </w:rPr>
        <w:t>2557</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40"/>
      </w:r>
      <w:r w:rsidRPr="0086652C">
        <w:rPr>
          <w:rStyle w:val="FootnoteReference"/>
          <w:noProof/>
          <w:lang w:val="fr-BE"/>
        </w:rPr>
        <w:t>17</w:t>
      </w:r>
      <w:r w:rsidRPr="00D40714">
        <w:rPr>
          <w:rStyle w:val="FootnoteReference"/>
          <w:noProof/>
          <w:lang w:val="fr-BE"/>
        </w:rPr>
        <w:t>)</w:t>
      </w:r>
      <w:r w:rsidRPr="00D40714">
        <w:rPr>
          <w:noProof/>
          <w:lang w:val="fr-BE"/>
        </w:rPr>
        <w:t xml:space="preserve"> impose aux États membres de recenser les entités critiques qui fournissent des services essentiels dans onze secteurs clés du marché intérieur, en vue de renforcer la résilience de ces entités critiques face à tous les dangers, en tenant compte à la fois des risques naturels et des risques d’origine humaine. En vertu de la directive (UE) </w:t>
      </w:r>
      <w:r w:rsidRPr="0086652C">
        <w:rPr>
          <w:noProof/>
          <w:lang w:val="fr-BE"/>
        </w:rPr>
        <w:t>2022</w:t>
      </w:r>
      <w:r w:rsidRPr="00D40714">
        <w:rPr>
          <w:noProof/>
          <w:lang w:val="fr-BE"/>
        </w:rPr>
        <w:t>/</w:t>
      </w:r>
      <w:r w:rsidRPr="0086652C">
        <w:rPr>
          <w:noProof/>
          <w:lang w:val="fr-BE"/>
        </w:rPr>
        <w:t>2557</w:t>
      </w:r>
      <w:r w:rsidRPr="00D40714">
        <w:rPr>
          <w:noProof/>
          <w:lang w:val="fr-BE"/>
        </w:rPr>
        <w:t>, les États membres doivent également veiller à ce que les entités critiques prennent des mesures pour renforcer leur résilience. En outre, il peut exister des infrastructures de transport, d’énergie et numériques à double usage qui sont essentielles pour le transport militaire, notamment les infrastructures situées sur les corridors de mobilité militaire de l’UE ou le long de ceux-ci. Ces infrastructures ont une valeur stratégique qui dépasse les frontières nationales. Ces infrastructures stratégiques à double usage (ci-après les «ISD») devraient donc être recensées et protégées par les États membres en raison de leur importance stratégique, sous la coordination de la Commission. </w:t>
      </w:r>
    </w:p>
    <w:p w14:paraId="4A747DFB"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43</w:t>
      </w:r>
      <w:r w:rsidRPr="00D40714">
        <w:rPr>
          <w:noProof/>
          <w:lang w:val="fr-BE"/>
        </w:rPr>
        <w:t>)</w:t>
      </w:r>
      <w:r w:rsidRPr="00D40714">
        <w:rPr>
          <w:noProof/>
          <w:lang w:val="fr-BE"/>
        </w:rPr>
        <w:tab/>
        <w:t xml:space="preserve">Ces ISD devraient donc être protégées contre tous les dangers, afin de renforcer leur résilience et de garantir leur fonctionnement efficace à tout moment, tant par les États membres que par leurs propriétaires, exploitants et gestionnaires. Au minimum, les obligations des entités critiques découlant de la directive (UE) </w:t>
      </w:r>
      <w:r w:rsidRPr="0086652C">
        <w:rPr>
          <w:noProof/>
          <w:lang w:val="fr-BE"/>
        </w:rPr>
        <w:t>2022</w:t>
      </w:r>
      <w:r w:rsidRPr="00D40714">
        <w:rPr>
          <w:noProof/>
          <w:lang w:val="fr-BE"/>
        </w:rPr>
        <w:t>/</w:t>
      </w:r>
      <w:r w:rsidRPr="0086652C">
        <w:rPr>
          <w:noProof/>
          <w:lang w:val="fr-BE"/>
        </w:rPr>
        <w:t>2557</w:t>
      </w:r>
      <w:r w:rsidRPr="00D40714">
        <w:rPr>
          <w:noProof/>
          <w:lang w:val="fr-BE"/>
        </w:rPr>
        <w:t xml:space="preserve"> et les exigences applicables aux entités essentielles et importantes découlant de la directive (UE) </w:t>
      </w:r>
      <w:r w:rsidRPr="0086652C">
        <w:rPr>
          <w:noProof/>
          <w:lang w:val="fr-BE"/>
        </w:rPr>
        <w:t>2022</w:t>
      </w:r>
      <w:r w:rsidRPr="00D40714">
        <w:rPr>
          <w:noProof/>
          <w:lang w:val="fr-BE"/>
        </w:rPr>
        <w:t>/</w:t>
      </w:r>
      <w:r w:rsidRPr="0086652C">
        <w:rPr>
          <w:noProof/>
          <w:lang w:val="fr-BE"/>
        </w:rPr>
        <w:t>2555</w:t>
      </w:r>
      <w:r w:rsidRPr="00D40714">
        <w:rPr>
          <w:noProof/>
          <w:lang w:val="fr-BE"/>
        </w:rPr>
        <w:t xml:space="preserve"> du Parlement européen et du Conseil</w:t>
      </w:r>
      <w:r>
        <w:rPr>
          <w:rStyle w:val="FootnoteReference"/>
          <w:noProof/>
        </w:rPr>
        <w:footnoteReference w:id="41"/>
      </w:r>
      <w:r w:rsidRPr="00D40714">
        <w:rPr>
          <w:noProof/>
          <w:lang w:val="fr-BE"/>
        </w:rPr>
        <w:t xml:space="preserve"> devraient être respectées par les propriétaires, les exploitants et les gestionnaires d’ISD, qu’ils relèvent ou non du champ d’application de ces directives.</w:t>
      </w:r>
    </w:p>
    <w:p w14:paraId="7211E26B"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44</w:t>
      </w:r>
      <w:r w:rsidRPr="00D40714">
        <w:rPr>
          <w:noProof/>
          <w:lang w:val="fr-BE"/>
        </w:rPr>
        <w:t>)</w:t>
      </w:r>
      <w:r w:rsidRPr="00D40714">
        <w:rPr>
          <w:noProof/>
          <w:lang w:val="fr-BE"/>
        </w:rPr>
        <w:tab/>
        <w:t xml:space="preserve">En outre, dans le prolongement des annonces faites à cet égard dans le livre blanc sur l’avenir de la défense européenne, les États membres devraient également mettre en place des règles plus strictes en matière de propriété et de contrôle des infrastructures stratégiques à double usage. Même si un filtrage efficace des nouveaux investissements étrangers dans les ISD, conformément au règlement (UE) </w:t>
      </w:r>
      <w:r w:rsidRPr="0086652C">
        <w:rPr>
          <w:noProof/>
          <w:lang w:val="fr-BE"/>
        </w:rPr>
        <w:t>2019</w:t>
      </w:r>
      <w:r w:rsidRPr="00D40714">
        <w:rPr>
          <w:noProof/>
          <w:lang w:val="fr-BE"/>
        </w:rPr>
        <w:t>/</w:t>
      </w:r>
      <w:r w:rsidRPr="0086652C">
        <w:rPr>
          <w:noProof/>
          <w:lang w:val="fr-BE"/>
        </w:rPr>
        <w:t>452</w:t>
      </w:r>
      <w:r w:rsidRPr="00D40714">
        <w:rPr>
          <w:noProof/>
          <w:lang w:val="fr-BE"/>
        </w:rPr>
        <w:t xml:space="preserve"> du Parlement européen et du Conseil</w:t>
      </w:r>
      <w:r>
        <w:rPr>
          <w:rStyle w:val="FootnoteReference"/>
          <w:noProof/>
        </w:rPr>
        <w:footnoteReference w:id="42"/>
      </w:r>
      <w:r w:rsidRPr="00D40714">
        <w:rPr>
          <w:noProof/>
          <w:lang w:val="fr-BE"/>
        </w:rPr>
        <w:t>, pouvait contribuer à prévenir les risques liés à une propriété ou à un contrôle étrangers malveillants, les États membres devraient également atténuer et traiter les risques existants de propriété ou de contrôle étrangers dans les infrastructures stratégiques à double usage.</w:t>
      </w:r>
    </w:p>
    <w:p w14:paraId="332813B7"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45</w:t>
      </w:r>
      <w:r w:rsidRPr="00D40714">
        <w:rPr>
          <w:noProof/>
          <w:lang w:val="fr-BE"/>
        </w:rPr>
        <w:t>)</w:t>
      </w:r>
      <w:r w:rsidRPr="00D40714">
        <w:rPr>
          <w:noProof/>
          <w:lang w:val="fr-BE"/>
        </w:rPr>
        <w:tab/>
        <w:t>Comme le souligne le plan d’action sur la mobilité militaire </w:t>
      </w:r>
      <w:r w:rsidRPr="0086652C">
        <w:rPr>
          <w:noProof/>
          <w:lang w:val="fr-BE"/>
        </w:rPr>
        <w:t>2</w:t>
      </w:r>
      <w:r w:rsidRPr="00D40714">
        <w:rPr>
          <w:noProof/>
          <w:lang w:val="fr-BE"/>
        </w:rPr>
        <w:t>.</w:t>
      </w:r>
      <w:r w:rsidRPr="0086652C">
        <w:rPr>
          <w:noProof/>
          <w:lang w:val="fr-BE"/>
        </w:rPr>
        <w:t>0</w:t>
      </w:r>
      <w:r w:rsidRPr="00D40714">
        <w:rPr>
          <w:noProof/>
          <w:lang w:val="fr-BE"/>
        </w:rPr>
        <w:t>, les États membres sont confrontés à des lacunes en matière de capacités en ce qui concerne la mobilité militaire. Ces lacunes entravent la capacité des États membres à effectuer des opérations de transport militaire. Par conséquent, il convient d’habiliter la Commission à mettre en place une réserve de solidarité afin de combler les lacunes en matière de capacités auxquelles les États membres sont confrontés. La réserve de solidarité devrait permettre aux États membres de mutualiser et de partager des capacités de transport et des capacités logistiques, y compris des capacités de nature à renforcer la sécurité énergétique, facilitant ainsi leur accès aux capacités nécessaires et renforçant leur capacité à effectuer des opérations de transport militaire.</w:t>
      </w:r>
    </w:p>
    <w:p w14:paraId="23891C3D"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46</w:t>
      </w:r>
      <w:r w:rsidRPr="00D40714">
        <w:rPr>
          <w:noProof/>
          <w:lang w:val="fr-BE"/>
        </w:rPr>
        <w:t>)</w:t>
      </w:r>
      <w:r w:rsidRPr="00D40714">
        <w:rPr>
          <w:noProof/>
          <w:lang w:val="fr-BE"/>
        </w:rPr>
        <w:tab/>
        <w:t xml:space="preserve">La Commission devrait veiller à ce que la réserve de solidarité soit mise en place de telle manière qu’elle encourage les États membres à partager volontairement leurs capacités de </w:t>
      </w:r>
      <w:bookmarkStart w:id="22" w:name="_Hlk212801308"/>
      <w:r w:rsidRPr="00D40714">
        <w:rPr>
          <w:noProof/>
          <w:lang w:val="fr-BE"/>
        </w:rPr>
        <w:t>transport</w:t>
      </w:r>
      <w:bookmarkEnd w:id="22"/>
      <w:r w:rsidRPr="00D40714">
        <w:rPr>
          <w:noProof/>
          <w:lang w:val="fr-BE"/>
        </w:rPr>
        <w:t xml:space="preserve"> et de logistique, y compris leurs actifs mobiles à double usage, tels que les véhicules et les navires, et qu’elle permette une utilisation efficace des fonds de l’Union pour soutenir le déploiement et l’entretien de ces capacités. La réserve de solidarité devrait également englober les capacités logistiques et de transport de l’Union, y compris celles qui font l’objet de contrats avec des opérateurs privés. Ces capacités de transport et de logistique de l’Union devraient être particulièrement axées sur les capacités rares et limitées qui ne sont pas facilement disponibles au sein des forces armées des États membres et pour lesquelles la passation de marchés de services de l’Union pourrait apporter une valeur ajoutée significative.</w:t>
      </w:r>
    </w:p>
    <w:p w14:paraId="5E0D11F2"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47</w:t>
      </w:r>
      <w:r w:rsidRPr="00D40714">
        <w:rPr>
          <w:noProof/>
          <w:lang w:val="fr-BE"/>
        </w:rPr>
        <w:t>)</w:t>
      </w:r>
      <w:r w:rsidRPr="00D40714">
        <w:rPr>
          <w:noProof/>
          <w:lang w:val="fr-BE"/>
        </w:rPr>
        <w:tab/>
        <w:t xml:space="preserve">Les États membres devraient être en mesure d’accéder à des informations sur les capacités de transport à double usage existantes afin de planifier de manière appropriée les futures opérations de transport militaire et de recenser les lacunes persistantes en matière de capacités. La plupart des véhicules ferroviaires et routiers, navires et aéronefs civils sont inscrits dans des registres nationaux ou européens. Il convient donc d’améliorer la visibilité des États membres sur les capacités existantes en veillant à ce que les services nationaux chargés du transport militaire aient accès à ces registres. Afin d’améliorer la visibilité au niveau de l’Union et de soutenir la planification des transports militaires, la Commission devrait également avoir accès à ces informations.  </w:t>
      </w:r>
    </w:p>
    <w:p w14:paraId="36765D30"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48</w:t>
      </w:r>
      <w:r w:rsidRPr="00D40714">
        <w:rPr>
          <w:noProof/>
          <w:lang w:val="fr-BE"/>
        </w:rPr>
        <w:t>)</w:t>
      </w:r>
      <w:r w:rsidRPr="00D40714">
        <w:rPr>
          <w:noProof/>
          <w:lang w:val="fr-BE"/>
        </w:rPr>
        <w:tab/>
        <w:t>Un grand nombre de véhicules ferroviaires civils pourraient être considérés comme des véhicules à double usage et aptes à des opérations de transport militaire, ou facilement aménageables à ces fins. Par conséquent, il convient de conférer des compétences d’exécution à la Commission afin de déterminer si et dans quelles conditions les entreprises ferroviaires qui possèdent de tels véhicules, les détenteurs de véhicules qui en sont responsables et les constructeurs de véhicules qui les fabriquent peuvent évaluer si les véhicules ferroviaires présentent les caractéristiques techniques qui leur permettraient d’être utilisés dans le cadre d’un transport militaire. Ces compétences devraient s’étendre à l’élaboration de paramètres techniques harmonisés sur lesquels ce recensement pourrait être fondé. </w:t>
      </w:r>
    </w:p>
    <w:p w14:paraId="75E1BFF8" w14:textId="77777777" w:rsidR="000D5092" w:rsidRPr="00D40714" w:rsidRDefault="000D5092" w:rsidP="000D5092">
      <w:pPr>
        <w:pStyle w:val="ManualConsidrant"/>
        <w:rPr>
          <w:noProof/>
          <w:lang w:val="fr-BE"/>
        </w:rPr>
      </w:pPr>
      <w:r w:rsidRPr="00D40714">
        <w:rPr>
          <w:noProof/>
          <w:lang w:val="fr-BE"/>
        </w:rPr>
        <w:t>(</w:t>
      </w:r>
      <w:r w:rsidRPr="0086652C">
        <w:rPr>
          <w:noProof/>
          <w:lang w:val="fr-BE"/>
        </w:rPr>
        <w:t>49</w:t>
      </w:r>
      <w:r w:rsidRPr="00D40714">
        <w:rPr>
          <w:noProof/>
          <w:lang w:val="fr-BE"/>
        </w:rPr>
        <w:t>)</w:t>
      </w:r>
      <w:r w:rsidRPr="00D40714">
        <w:rPr>
          <w:noProof/>
          <w:lang w:val="fr-BE"/>
        </w:rPr>
        <w:tab/>
        <w:t>Dans des circonstances exceptionnelles, les opérations de transport militaire peuvent nécessiter le recours à des infrastructures, des actifs ou des équipements spécialisés afin de faciliter davantage le transport militaire. Afin de garantir un accès ininterrompu à ces ressources critiques en matière de transport, les États membres devraient établir ou posséder un cadre leur permettant d’y accéder en temps utile lorsque d’autres solutions, telles que la passation de marchés, ne sont pas possibles dans les délais requis.</w:t>
      </w:r>
    </w:p>
    <w:p w14:paraId="708E7C82"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50</w:t>
      </w:r>
      <w:r w:rsidRPr="00D40714">
        <w:rPr>
          <w:noProof/>
          <w:lang w:val="fr-BE"/>
        </w:rPr>
        <w:t>)</w:t>
      </w:r>
      <w:r w:rsidRPr="00D40714">
        <w:rPr>
          <w:noProof/>
          <w:lang w:val="fr-BE"/>
        </w:rPr>
        <w:tab/>
        <w:t>Ce cadre devrait permettre aux États membres d’obtenir le contrôle temporaire des infrastructures, des actifs ou des équipements, ou le droit temporaire de les utiliser, en tant que mesure de dernier recours lorsque cela est strictement nécessaire pour assurer le transport militaire. Il devrait également permettre le recours à de telles mesures de contrôle temporaire pour soutenir les opérations de transport militaire d’autres États membres, sur demande. Les propriétaires, les exploitants et les gestionnaires de l’infrastructure, des actifs ou des équipements concernés ne devraient toutefois pas être injustement grevés par de telles mesures et devraient donc recevoir une compensation appropriée pour les dépenses encourues et les dommages subis du fait de leur déploiement. Conformément à la charte des droits fondamentaux, les États membres devraient veiller à ce que, lorsque de telles mesures portent atteinte au droit de propriété, elles soient prévues par la loi, respectent le contenu essentiel de ces droits et libertés et soient conformes au principe de proportionnalité.</w:t>
      </w:r>
    </w:p>
    <w:p w14:paraId="254B8B54"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51</w:t>
      </w:r>
      <w:r w:rsidRPr="00D40714">
        <w:rPr>
          <w:noProof/>
          <w:lang w:val="fr-BE"/>
        </w:rPr>
        <w:t>)</w:t>
      </w:r>
      <w:r w:rsidRPr="00D40714">
        <w:rPr>
          <w:noProof/>
          <w:lang w:val="fr-BE"/>
        </w:rPr>
        <w:tab/>
        <w:t xml:space="preserve">Si le Conseil européen a souligné l’importance d’établir des contrats-cadres avec les prestataires de transport civil dans le cadre de l’engagement en faveur de la mobilité militaire de </w:t>
      </w:r>
      <w:r w:rsidRPr="0086652C">
        <w:rPr>
          <w:noProof/>
          <w:lang w:val="fr-BE"/>
        </w:rPr>
        <w:t>2024</w:t>
      </w:r>
      <w:r w:rsidRPr="00D40714">
        <w:rPr>
          <w:noProof/>
          <w:lang w:val="fr-BE"/>
        </w:rPr>
        <w:t>, tout futur contrat-cadre devrait être plus transparent et plus souple.</w:t>
      </w:r>
    </w:p>
    <w:p w14:paraId="5E2CD1FB"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52</w:t>
      </w:r>
      <w:r w:rsidRPr="00D40714">
        <w:rPr>
          <w:noProof/>
          <w:lang w:val="fr-BE"/>
        </w:rPr>
        <w:t>)</w:t>
      </w:r>
      <w:r w:rsidRPr="00D40714">
        <w:rPr>
          <w:noProof/>
          <w:lang w:val="fr-BE"/>
        </w:rPr>
        <w:tab/>
        <w:t>Compte tenu de la rareté des capacités de transport, un État membre peut finir par préréserver des capacités déjà réservées par un autre État membre. Pour faire face aux risques associés à une éventuelle double réservation, dans les nouveaux contrats-cadres, les prestataires de transport devraient tenir les États membres informés de ces cas de double réservation. Dans le même temps, afin de garantir l’accès aux services de transport nécessaires, les nouveaux contrats-cadres devraient permettre aux États membres d’inviter d’autres États membres à y adhérer en tant que parties contractantes.</w:t>
      </w:r>
    </w:p>
    <w:p w14:paraId="78807A6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53</w:t>
      </w:r>
      <w:r w:rsidRPr="00D40714">
        <w:rPr>
          <w:noProof/>
          <w:lang w:val="fr-BE"/>
        </w:rPr>
        <w:t>)</w:t>
      </w:r>
      <w:r w:rsidRPr="00D40714">
        <w:rPr>
          <w:noProof/>
          <w:lang w:val="fr-BE"/>
        </w:rPr>
        <w:tab/>
        <w:t>Sans préjudice du réseau de points de contact nationaux établi dans le cadre du projet «Mobilité militaire» relevant de la coopération structurée permanente en matière de défense (CSP), chaque État membre devrait désigner un coordinateur national des transports militaires transfrontières, afin d’assurer la coordination, la communication et l’exécution efficaces des opérations de transport militaire transfrontières, en particulier lorsque l’EMERS est activé.</w:t>
      </w:r>
    </w:p>
    <w:p w14:paraId="73E5852E"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54</w:t>
      </w:r>
      <w:r w:rsidRPr="00D40714">
        <w:rPr>
          <w:noProof/>
          <w:lang w:val="fr-BE"/>
        </w:rPr>
        <w:t>)</w:t>
      </w:r>
      <w:r w:rsidRPr="00D40714">
        <w:rPr>
          <w:noProof/>
          <w:lang w:val="fr-BE"/>
        </w:rPr>
        <w:tab/>
        <w:t>Le coordinateur national des transports militaires transfrontières devrait être joignable à tout moment afin de faciliter l’échange en temps utile d’informations et de demandes liées aux opérations de transport militaire, y compris la réception et la transmission des demandes d’autorisation et des notifications de transport militaire. Afin d’atteindre les objectifs du présent règlement, le coordinateur national devrait également disposer de l’expertise et des ressources nécessaires pour fournir des conseils et un soutien en ce qui concerne les formalités douanières, recevoir les demandes d’accès prioritaire présentées pendant une période d’activation de l’EMERS et y répondre, faciliter les procédures nécessaires et être en mesure de se coordonner avec tous les acteurs nationaux, régionaux et locaux concernés par les opérations de transport militaire.</w:t>
      </w:r>
    </w:p>
    <w:p w14:paraId="473330F8" w14:textId="77777777" w:rsidR="000D5092" w:rsidRPr="00D40714" w:rsidRDefault="000D5092" w:rsidP="000D5092">
      <w:pPr>
        <w:pStyle w:val="ManualConsidrant"/>
        <w:rPr>
          <w:noProof/>
          <w:lang w:val="fr-BE"/>
        </w:rPr>
      </w:pPr>
      <w:bookmarkStart w:id="23" w:name="_Hlk212622119"/>
      <w:r w:rsidRPr="00D40714">
        <w:rPr>
          <w:noProof/>
          <w:lang w:val="fr-BE"/>
        </w:rPr>
        <w:t>(</w:t>
      </w:r>
      <w:r w:rsidRPr="0086652C">
        <w:rPr>
          <w:noProof/>
          <w:lang w:val="fr-BE"/>
        </w:rPr>
        <w:t>55</w:t>
      </w:r>
      <w:r w:rsidRPr="00D40714">
        <w:rPr>
          <w:noProof/>
          <w:lang w:val="fr-BE"/>
        </w:rPr>
        <w:t>)</w:t>
      </w:r>
      <w:r w:rsidRPr="00D40714">
        <w:rPr>
          <w:noProof/>
          <w:lang w:val="fr-BE"/>
        </w:rPr>
        <w:tab/>
        <w:t xml:space="preserve">Afin d’assister la Commission dans la mise en œuvre du présent règlement et de faciliter la coopération et l’échange d’informations entre les États membres, il convient de créer un groupe sur les transports liés à la mobilité militaire. Un tel groupe est essentiel, entre autres tâches, pour faciliter la coopération en ce qui concerne l’octroi des autorisations de transport militaire et les modalités en matière de circulation, en particulier entre les États membres situés le long des mêmes corridors de mobilité militaire, pour favoriser la coordination et la coopération entre les États membres, notamment pour la mise en œuvre des formalités douanières pertinentes, pour faciliter le recensement et le prépositionnement des capacités de transport essentielles pour la réserve de solidarité, pour relever les défis en matière de sécurité énergétique pour les opérations de transport militaire et pour recenser les domaines dans lesquels l’acquisition conjointe de capacités de transport militaire peut être envisagée. Le groupe sur les transports liés à la mobilité militaire devrait être autorisé à inviter, le cas échéant, et dans le respect des intérêts de l’Union et de ses États membres en matière de sécurité et de défense, l’Ukraine, la Moldavie et les pays de l’Espace économique européen à assister aux réunions en qualité d’observateurs. </w:t>
      </w:r>
      <w:bookmarkStart w:id="24" w:name="_Hlk212621847"/>
      <w:r w:rsidRPr="00D40714">
        <w:rPr>
          <w:noProof/>
          <w:lang w:val="fr-BE"/>
        </w:rPr>
        <w:t>Le cas échéant, le groupe sur les transports liés à la mobilité militaire devrait également être autorisé à organiser des réunions conjointes avec le conseil de la sécurité de l’approvisionnement dans le domaine de la défense institué en vertu de l’article </w:t>
      </w:r>
      <w:r w:rsidRPr="0086652C">
        <w:rPr>
          <w:noProof/>
          <w:lang w:val="fr-BE"/>
        </w:rPr>
        <w:t>57</w:t>
      </w:r>
      <w:r w:rsidRPr="00D40714">
        <w:rPr>
          <w:noProof/>
          <w:lang w:val="fr-BE"/>
        </w:rPr>
        <w:t xml:space="preserve"> du règlement [proposition relative à l’EDIP], afin de traiter les questions liées à la disponibilité des actifs et des capacités militaires.</w:t>
      </w:r>
      <w:bookmarkEnd w:id="24"/>
    </w:p>
    <w:bookmarkEnd w:id="23"/>
    <w:p w14:paraId="11EA6C4B"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56</w:t>
      </w:r>
      <w:r w:rsidRPr="00D40714">
        <w:rPr>
          <w:noProof/>
          <w:lang w:val="fr-BE"/>
        </w:rPr>
        <w:t>)</w:t>
      </w:r>
      <w:r w:rsidRPr="00D40714">
        <w:rPr>
          <w:noProof/>
          <w:lang w:val="fr-BE"/>
        </w:rPr>
        <w:tab/>
        <w:t>Afin de faciliter l’exécution d’opérations de transport militaire efficaces dans l’Union, les États membres devraient procéder chaque année à un contrôle de la préparation en matière de transport militaire, permettant à chaque État membre d’évaluer s’il est prêt à effectuer des opérations de transport militaire ou à y contribuer, ainsi qu’à mettre en œuvre l’EMERS. Ces contrôles devraient, entre autres, contribuer à faire en sorte que les États membres soient bien préparés à accueillir des opérations de transport militaire transfrontières sur leur territoire et qu’ils aient pris les mesures nécessaires pour faciliter l’octroi d’autorisations de transport militaire et garantir une approche pangouvernementale.</w:t>
      </w:r>
    </w:p>
    <w:p w14:paraId="694936AF"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57</w:t>
      </w:r>
      <w:r w:rsidRPr="00D40714">
        <w:rPr>
          <w:noProof/>
          <w:lang w:val="fr-BE"/>
        </w:rPr>
        <w:t>)</w:t>
      </w:r>
      <w:r w:rsidRPr="00D40714">
        <w:rPr>
          <w:noProof/>
          <w:lang w:val="fr-BE"/>
        </w:rPr>
        <w:tab/>
        <w:t xml:space="preserve">L’engagement en faveur de la mobilité militaire pris par le Conseil européen en </w:t>
      </w:r>
      <w:r w:rsidRPr="0086652C">
        <w:rPr>
          <w:noProof/>
          <w:lang w:val="fr-BE"/>
        </w:rPr>
        <w:t>2024</w:t>
      </w:r>
      <w:r w:rsidRPr="00D40714">
        <w:rPr>
          <w:noProof/>
          <w:lang w:val="fr-BE"/>
        </w:rPr>
        <w:t xml:space="preserve"> a mis en évidence la nécessité d’exercices réguliers pour tester les mouvements militaires transfrontières. La capacité de la Commission à effectuer des tests de résistance est également essentielle pour évaluer l’efficacité du présent règlement à cet égard. Par conséquent, la Commission devrait être autorisée à réaliser des tests de résistance, en collaboration avec les États membres et les organes compétents de l’Union, afin d’améliorer la préparation des États membres et des acteurs au niveau de l’Union à la mise en œuvre du présent règlement. Ces tests devraient se concentrer sur des aspects, tels que la préparation à l’activation de l’EMERS, l’évaluation de l’efficacité de l’approche pangouvernementale dans la mise en œuvre des objectifs du présent règlement et l’évaluation de la mise en œuvre des objectifs du présent règlement dans des zones géographiques spécifiques, telles que des corridors de mobilité militaire ou des secteurs spécifiques, notamment les douanes.</w:t>
      </w:r>
    </w:p>
    <w:p w14:paraId="38C3D5AE"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58</w:t>
      </w:r>
      <w:r w:rsidRPr="00D40714">
        <w:rPr>
          <w:noProof/>
          <w:lang w:val="fr-BE"/>
        </w:rPr>
        <w:t>)</w:t>
      </w:r>
      <w:r w:rsidRPr="00D40714">
        <w:rPr>
          <w:noProof/>
          <w:lang w:val="fr-BE"/>
        </w:rPr>
        <w:tab/>
        <w:t>Afin d’atteindre l’objectif du présent règlement consistant à établir des règles uniformes de l’Union pour le transport militaire, il convient de déléguer à la Commission le pouvoir d’adopter des actes conformément à l’article </w:t>
      </w:r>
      <w:r w:rsidRPr="0086652C">
        <w:rPr>
          <w:noProof/>
          <w:lang w:val="fr-BE"/>
        </w:rPr>
        <w:t>290</w:t>
      </w:r>
      <w:r w:rsidRPr="00D40714">
        <w:rPr>
          <w:noProof/>
          <w:lang w:val="fr-BE"/>
        </w:rPr>
        <w:t xml:space="preserve"> du TFUE lui permettant de mettre à jour la liste des types d’opérations de transport militaire couvertes par des autorisations de transport militaire permanentes figurant à l’annexe I, ainsi que le modèle de demande et de notification d’autorisations de transport militaire figurant à l’annexe II pour qu’il soit toujours à jour. Il importe particulièrement que la Commission procède aux consultations appropriées durant son travail préparatoire, y compris au niveau des experts, et que ces consultations soient menées conformément aux principes définis dans l’accord interinstitutionnel du </w:t>
      </w:r>
      <w:r w:rsidRPr="0086652C">
        <w:rPr>
          <w:noProof/>
          <w:lang w:val="fr-BE"/>
        </w:rPr>
        <w:t>13</w:t>
      </w:r>
      <w:r w:rsidRPr="00D40714">
        <w:rPr>
          <w:noProof/>
          <w:lang w:val="fr-BE"/>
        </w:rPr>
        <w:t xml:space="preserve"> avril </w:t>
      </w:r>
      <w:r w:rsidRPr="0086652C">
        <w:rPr>
          <w:noProof/>
          <w:lang w:val="fr-BE"/>
        </w:rPr>
        <w:t>2016</w:t>
      </w:r>
      <w:r w:rsidRPr="00D40714">
        <w:rPr>
          <w:noProof/>
          <w:lang w:val="fr-BE"/>
        </w:rPr>
        <w:t xml:space="preserve"> «Mieux légiférer»</w:t>
      </w:r>
      <w:r w:rsidR="009B03F8">
        <w:rPr>
          <w:noProof/>
          <w:lang w:val="fr-BE"/>
        </w:rPr>
        <w:t>(</w:t>
      </w:r>
      <w:r w:rsidR="009B03F8">
        <w:rPr>
          <w:rStyle w:val="FootnoteReference"/>
          <w:noProof/>
          <w:lang w:val="fr-BE"/>
        </w:rPr>
        <w:footnoteReference w:id="43"/>
      </w:r>
      <w:r w:rsidRPr="0086652C">
        <w:rPr>
          <w:rStyle w:val="FootnoteReference"/>
          <w:noProof/>
          <w:lang w:val="fr-BE"/>
        </w:rPr>
        <w:t>19</w:t>
      </w:r>
      <w:r w:rsidRPr="00D40714">
        <w:rPr>
          <w:rStyle w:val="FootnoteReference"/>
          <w:noProof/>
          <w:lang w:val="fr-BE"/>
        </w:rPr>
        <w:t>)</w:t>
      </w:r>
      <w:r w:rsidRPr="00D40714">
        <w:rPr>
          <w:noProof/>
          <w:lang w:val="fr-BE"/>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14:paraId="4BE94296" w14:textId="77777777" w:rsidR="000D5092" w:rsidRPr="00D40714" w:rsidRDefault="000D5092" w:rsidP="000D5092">
      <w:pPr>
        <w:pStyle w:val="ManualConsidrant"/>
        <w:rPr>
          <w:noProof/>
          <w:lang w:val="fr-BE"/>
        </w:rPr>
      </w:pPr>
      <w:r w:rsidRPr="00D40714">
        <w:rPr>
          <w:noProof/>
          <w:lang w:val="fr-BE"/>
        </w:rPr>
        <w:t>(</w:t>
      </w:r>
      <w:r w:rsidRPr="0086652C">
        <w:rPr>
          <w:noProof/>
          <w:lang w:val="fr-BE"/>
        </w:rPr>
        <w:t>59</w:t>
      </w:r>
      <w:r w:rsidRPr="00D40714">
        <w:rPr>
          <w:noProof/>
          <w:lang w:val="fr-BE"/>
        </w:rPr>
        <w:t>)</w:t>
      </w:r>
      <w:r w:rsidRPr="00D40714">
        <w:rPr>
          <w:noProof/>
          <w:lang w:val="fr-BE"/>
        </w:rPr>
        <w:tab/>
        <w:t>Afin d’assurer des conditions uniformes d’exécution du présent règlement, il convient de conférer des compétences d’exécution à la Commission lui permettant d’établir un système d’information numérique sécurisé et restreint sur la mobilité militaire, de définir des mesures de base en matière de protection et de résilience ainsi que des mesures de protection renforcées pour les infrastructures stratégiques à double usage, de mettre en place une réserve de solidarité garantissant, optimisant et facilitant l’exécution des opérations de transport militaire, de recenser les catégories de véhicules ferroviaires les plus adaptées à une utilisation dans le cadre d’un transport militaire, d’établir des spécifications techniques sur lesquelles ce recensement peut être fondé et de déterminer si et dans quelles conditions les entreprises ferroviaires, les détenteurs de véhicules et les constructeurs devraient recenser de tels véhicules. Ces compétences devraient être exercées conformément au règlement (UE) nº </w:t>
      </w:r>
      <w:r w:rsidRPr="0086652C">
        <w:rPr>
          <w:noProof/>
          <w:lang w:val="fr-BE"/>
        </w:rPr>
        <w:t>182</w:t>
      </w:r>
      <w:r w:rsidRPr="00D40714">
        <w:rPr>
          <w:noProof/>
          <w:lang w:val="fr-BE"/>
        </w:rPr>
        <w:t>/</w:t>
      </w:r>
      <w:r w:rsidRPr="0086652C">
        <w:rPr>
          <w:noProof/>
          <w:lang w:val="fr-BE"/>
        </w:rPr>
        <w:t>2011</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44"/>
      </w:r>
      <w:r w:rsidRPr="0086652C">
        <w:rPr>
          <w:rStyle w:val="FootnoteReference"/>
          <w:noProof/>
          <w:lang w:val="fr-BE"/>
        </w:rPr>
        <w:t>20</w:t>
      </w:r>
      <w:r w:rsidRPr="00D40714">
        <w:rPr>
          <w:rStyle w:val="FootnoteReference"/>
          <w:noProof/>
          <w:lang w:val="fr-BE"/>
        </w:rPr>
        <w:t>)</w:t>
      </w:r>
      <w:r w:rsidRPr="00D40714">
        <w:rPr>
          <w:noProof/>
          <w:lang w:val="fr-BE"/>
        </w:rPr>
        <w:t>.</w:t>
      </w:r>
    </w:p>
    <w:p w14:paraId="4EAC4E2E" w14:textId="77777777" w:rsidR="000D5092" w:rsidRPr="00D40714" w:rsidRDefault="000D5092" w:rsidP="000D5092">
      <w:pPr>
        <w:pStyle w:val="ManualConsidrant"/>
        <w:rPr>
          <w:noProof/>
          <w:lang w:val="fr-BE"/>
        </w:rPr>
      </w:pPr>
      <w:r w:rsidRPr="00D40714">
        <w:rPr>
          <w:noProof/>
          <w:lang w:val="fr-BE"/>
        </w:rPr>
        <w:t>(</w:t>
      </w:r>
      <w:r w:rsidRPr="0086652C">
        <w:rPr>
          <w:noProof/>
          <w:lang w:val="fr-BE"/>
        </w:rPr>
        <w:t>60</w:t>
      </w:r>
      <w:r w:rsidRPr="00D40714">
        <w:rPr>
          <w:noProof/>
          <w:lang w:val="fr-BE"/>
        </w:rPr>
        <w:t>)</w:t>
      </w:r>
      <w:r w:rsidRPr="00D40714">
        <w:rPr>
          <w:noProof/>
          <w:lang w:val="fr-BE"/>
        </w:rPr>
        <w:tab/>
        <w:t xml:space="preserve">Un grand nombre de véhicules ferroviaires pourraient être considérés comme des véhicules à double usage et nécessaires à la réalisation des objectifs de transport militaire des chemins de fer. L’Agence de l’Union européenne pour les chemins de fer (ci-après l’«AFE») devrait être autorisée à aider la Commission à établir des critères pour le recensement des véhicules appropriés. En outre, afin de mettre en service rapidement et efficacement les véhicules ferroviaires utilisés pour le transport militaire, les processus devraient être rationalisés et les États membres devraient être autorisés à déléguer à l’AFE l’autorisation des véhicules pouvant être utilisés pour le transport militaire. L’AFE devrait être dotée de pouvoirs similaires à ceux dont disposent les États membres pour, après avoir autorisé des véhicules, mettre à jour les informations figurant dans le registre européen des véhicules (ci-après le «REV») avec effet immédiat. Il convient de modifier en conséquence le règlement (UE) </w:t>
      </w:r>
      <w:r w:rsidRPr="0086652C">
        <w:rPr>
          <w:noProof/>
          <w:lang w:val="fr-BE"/>
        </w:rPr>
        <w:t>2016</w:t>
      </w:r>
      <w:r w:rsidRPr="00D40714">
        <w:rPr>
          <w:noProof/>
          <w:lang w:val="fr-BE"/>
        </w:rPr>
        <w:t>/</w:t>
      </w:r>
      <w:r w:rsidRPr="0086652C">
        <w:rPr>
          <w:noProof/>
          <w:lang w:val="fr-BE"/>
        </w:rPr>
        <w:t>796</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45"/>
      </w:r>
      <w:r w:rsidRPr="0086652C">
        <w:rPr>
          <w:rStyle w:val="FootnoteReference"/>
          <w:noProof/>
          <w:lang w:val="fr-BE"/>
        </w:rPr>
        <w:t>21</w:t>
      </w:r>
      <w:r w:rsidRPr="00D40714">
        <w:rPr>
          <w:rStyle w:val="FootnoteReference"/>
          <w:noProof/>
          <w:lang w:val="fr-BE"/>
        </w:rPr>
        <w:t>)</w:t>
      </w:r>
      <w:r w:rsidRPr="00D40714">
        <w:rPr>
          <w:noProof/>
          <w:lang w:val="fr-BE"/>
        </w:rPr>
        <w:t xml:space="preserve"> et la directive (UE) </w:t>
      </w:r>
      <w:r w:rsidRPr="0086652C">
        <w:rPr>
          <w:noProof/>
          <w:lang w:val="fr-BE"/>
        </w:rPr>
        <w:t>2016</w:t>
      </w:r>
      <w:r w:rsidRPr="00D40714">
        <w:rPr>
          <w:noProof/>
          <w:lang w:val="fr-BE"/>
        </w:rPr>
        <w:t>/</w:t>
      </w:r>
      <w:r w:rsidRPr="0086652C">
        <w:rPr>
          <w:noProof/>
          <w:lang w:val="fr-BE"/>
        </w:rPr>
        <w:t>797</w:t>
      </w:r>
      <w:r w:rsidRPr="00D40714">
        <w:rPr>
          <w:noProof/>
          <w:lang w:val="fr-BE"/>
        </w:rPr>
        <w:t xml:space="preserve">. Enfin, plus généralement, le règlement (UE) </w:t>
      </w:r>
      <w:r w:rsidRPr="0086652C">
        <w:rPr>
          <w:noProof/>
          <w:lang w:val="fr-BE"/>
        </w:rPr>
        <w:t>2016</w:t>
      </w:r>
      <w:r w:rsidRPr="00D40714">
        <w:rPr>
          <w:noProof/>
          <w:lang w:val="fr-BE"/>
        </w:rPr>
        <w:t>/</w:t>
      </w:r>
      <w:r w:rsidRPr="0086652C">
        <w:rPr>
          <w:noProof/>
          <w:lang w:val="fr-BE"/>
        </w:rPr>
        <w:t>796</w:t>
      </w:r>
      <w:r w:rsidRPr="00D40714">
        <w:rPr>
          <w:noProof/>
          <w:lang w:val="fr-BE"/>
        </w:rPr>
        <w:t xml:space="preserve"> du Parlement européen et du Conseil devrait être modifié afin de tenir compte du rôle de l’Agence de l’Union européenne pour les chemins de fer dans le soutien à la mobilité militaire en améliorant la préparation, la résilience et la sécurité du système ferroviaire.</w:t>
      </w:r>
    </w:p>
    <w:p w14:paraId="434024CF" w14:textId="77777777" w:rsidR="000D5092" w:rsidRPr="00D40714" w:rsidRDefault="000D5092" w:rsidP="000D5092">
      <w:pPr>
        <w:pStyle w:val="ManualConsidrant"/>
        <w:rPr>
          <w:noProof/>
          <w:lang w:val="fr-BE"/>
        </w:rPr>
      </w:pPr>
      <w:bookmarkStart w:id="25" w:name="_Hlk213331635"/>
      <w:r w:rsidRPr="00D40714">
        <w:rPr>
          <w:noProof/>
          <w:lang w:val="fr-BE"/>
        </w:rPr>
        <w:t>(</w:t>
      </w:r>
      <w:r w:rsidRPr="0086652C">
        <w:rPr>
          <w:noProof/>
          <w:lang w:val="fr-BE"/>
        </w:rPr>
        <w:t>61</w:t>
      </w:r>
      <w:r w:rsidRPr="00D40714">
        <w:rPr>
          <w:noProof/>
          <w:lang w:val="fr-BE"/>
        </w:rPr>
        <w:t>)</w:t>
      </w:r>
      <w:r w:rsidRPr="00D40714">
        <w:rPr>
          <w:noProof/>
          <w:lang w:val="fr-BE"/>
        </w:rPr>
        <w:tab/>
        <w:t xml:space="preserve">Pour optimiser l’utilisation de l’espace aérien, il est essentiel de disposer en permanence de services de communication solides entre les actifs aériens et terrestres. Le règlement (UE) </w:t>
      </w:r>
      <w:r w:rsidRPr="0086652C">
        <w:rPr>
          <w:noProof/>
          <w:lang w:val="fr-BE"/>
        </w:rPr>
        <w:t>2024</w:t>
      </w:r>
      <w:r w:rsidRPr="00D40714">
        <w:rPr>
          <w:noProof/>
          <w:lang w:val="fr-BE"/>
        </w:rPr>
        <w:t>/</w:t>
      </w:r>
      <w:r w:rsidRPr="0086652C">
        <w:rPr>
          <w:noProof/>
          <w:lang w:val="fr-BE"/>
        </w:rPr>
        <w:t>2803</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46"/>
      </w:r>
      <w:r w:rsidRPr="0086652C">
        <w:rPr>
          <w:rStyle w:val="FootnoteReference"/>
          <w:noProof/>
          <w:lang w:val="fr-BE"/>
        </w:rPr>
        <w:t>22</w:t>
      </w:r>
      <w:r w:rsidRPr="00D40714">
        <w:rPr>
          <w:rStyle w:val="FootnoteReference"/>
          <w:noProof/>
          <w:lang w:val="fr-BE"/>
        </w:rPr>
        <w:t>)</w:t>
      </w:r>
      <w:r w:rsidRPr="00D40714">
        <w:rPr>
          <w:noProof/>
          <w:lang w:val="fr-BE"/>
        </w:rPr>
        <w:t xml:space="preserve">, qui est entré en vigueur le </w:t>
      </w:r>
      <w:r w:rsidRPr="0086652C">
        <w:rPr>
          <w:noProof/>
          <w:lang w:val="fr-BE"/>
        </w:rPr>
        <w:t>1</w:t>
      </w:r>
      <w:r w:rsidRPr="00D40714">
        <w:rPr>
          <w:noProof/>
          <w:vertAlign w:val="superscript"/>
          <w:lang w:val="fr-BE"/>
        </w:rPr>
        <w:t>er</w:t>
      </w:r>
      <w:r w:rsidRPr="00D40714">
        <w:rPr>
          <w:noProof/>
          <w:lang w:val="fr-BE"/>
        </w:rPr>
        <w:t xml:space="preserve"> décembre </w:t>
      </w:r>
      <w:r w:rsidRPr="0086652C">
        <w:rPr>
          <w:noProof/>
          <w:lang w:val="fr-BE"/>
        </w:rPr>
        <w:t>2024</w:t>
      </w:r>
      <w:r w:rsidRPr="00D40714">
        <w:rPr>
          <w:noProof/>
          <w:lang w:val="fr-BE"/>
        </w:rPr>
        <w:t xml:space="preserve">, vise à renforcer la résilience des infrastructures critiques de la circulation aérienne. Il dispose que les prestataires de systèmes de communication, de navigation et de surveillance, de services d’information aéronautique, de services de surveillance dépendante automatique, de services météorologiques et de services de contrôle de la circulation aérienne pour le contrôle d’aérodrome et le contrôle d’approche doivent satisfaire à des exigences strictes en matière de certification et de propriété. Ces exigences, y compris la nécessité pour les prestataires d’être détenus à plus de </w:t>
      </w:r>
      <w:r w:rsidRPr="0086652C">
        <w:rPr>
          <w:noProof/>
          <w:lang w:val="fr-BE"/>
        </w:rPr>
        <w:t>50</w:t>
      </w:r>
      <w:r w:rsidRPr="00D40714">
        <w:rPr>
          <w:noProof/>
          <w:lang w:val="fr-BE"/>
        </w:rPr>
        <w:t xml:space="preserve"> % et effectivement contrôlés par des États membres ou leurs ressortissants, sont conçues pour garantir l’intégrité et la sécurité des services de la circulation aérienne. Toutefois, afin d’éviter des perturbations des services de la circulation aérienne, il est essentiel de modifier le règlement (UE) </w:t>
      </w:r>
      <w:r w:rsidRPr="0086652C">
        <w:rPr>
          <w:noProof/>
          <w:lang w:val="fr-BE"/>
        </w:rPr>
        <w:t>2024</w:t>
      </w:r>
      <w:r w:rsidRPr="00D40714">
        <w:rPr>
          <w:noProof/>
          <w:lang w:val="fr-BE"/>
        </w:rPr>
        <w:t>/</w:t>
      </w:r>
      <w:r w:rsidRPr="0086652C">
        <w:rPr>
          <w:noProof/>
          <w:lang w:val="fr-BE"/>
        </w:rPr>
        <w:t>2803</w:t>
      </w:r>
      <w:r w:rsidRPr="00D40714">
        <w:rPr>
          <w:noProof/>
          <w:lang w:val="fr-BE"/>
        </w:rPr>
        <w:t xml:space="preserve"> en reportant l’application de ses dispositions pertinentes aux prestataires de services de communication afin de maintenir leur état de préparation opérationnelle. </w:t>
      </w:r>
    </w:p>
    <w:bookmarkEnd w:id="25"/>
    <w:p w14:paraId="0ED0FAD6" w14:textId="77777777" w:rsidR="000D5092" w:rsidRPr="00D40714" w:rsidRDefault="000D5092" w:rsidP="000D5092">
      <w:pPr>
        <w:pStyle w:val="ManualConsidrant"/>
        <w:rPr>
          <w:noProof/>
          <w:lang w:val="fr-BE"/>
        </w:rPr>
      </w:pPr>
      <w:r w:rsidRPr="00D40714">
        <w:rPr>
          <w:noProof/>
          <w:lang w:val="fr-BE"/>
        </w:rPr>
        <w:t>(</w:t>
      </w:r>
      <w:r w:rsidRPr="0086652C">
        <w:rPr>
          <w:noProof/>
          <w:lang w:val="fr-BE"/>
        </w:rPr>
        <w:t>62</w:t>
      </w:r>
      <w:r w:rsidRPr="00D40714">
        <w:rPr>
          <w:noProof/>
          <w:lang w:val="fr-BE"/>
        </w:rPr>
        <w:t>)</w:t>
      </w:r>
      <w:r w:rsidRPr="00D40714">
        <w:rPr>
          <w:noProof/>
          <w:lang w:val="fr-BE"/>
        </w:rPr>
        <w:tab/>
        <w:t>Le modèle actuel de coopération entre l’Agence européenne de la sécurité aérienne (AESA) et les forces armées nationales s’est avéré efficace pour certifier les aéronefs à double usage. Toutefois, la certification des drones de grande taille pose un défi important, les forces armées nationales les certifiant de manière non coordonnée, ce qui crée un risque de fragmentation et de non-alignement sur les futures réglementations civiles. L’intégration de ces drones dans la circulation aérienne générale — telle que définie à l’article </w:t>
      </w:r>
      <w:r w:rsidRPr="0086652C">
        <w:rPr>
          <w:noProof/>
          <w:lang w:val="fr-BE"/>
        </w:rPr>
        <w:t>2</w:t>
      </w:r>
      <w:r w:rsidRPr="00D40714">
        <w:rPr>
          <w:noProof/>
          <w:lang w:val="fr-BE"/>
        </w:rPr>
        <w:t>, point </w:t>
      </w:r>
      <w:r w:rsidRPr="0086652C">
        <w:rPr>
          <w:noProof/>
          <w:lang w:val="fr-BE"/>
        </w:rPr>
        <w:t>4</w:t>
      </w:r>
      <w:r w:rsidRPr="00D40714">
        <w:rPr>
          <w:noProof/>
          <w:lang w:val="fr-BE"/>
        </w:rPr>
        <w:t xml:space="preserve">), du règlement (UE) </w:t>
      </w:r>
      <w:r w:rsidRPr="0086652C">
        <w:rPr>
          <w:noProof/>
          <w:lang w:val="fr-BE"/>
        </w:rPr>
        <w:t>2024</w:t>
      </w:r>
      <w:r w:rsidRPr="00D40714">
        <w:rPr>
          <w:noProof/>
          <w:lang w:val="fr-BE"/>
        </w:rPr>
        <w:t>/</w:t>
      </w:r>
      <w:r w:rsidRPr="0086652C">
        <w:rPr>
          <w:noProof/>
          <w:lang w:val="fr-BE"/>
        </w:rPr>
        <w:t>2803</w:t>
      </w:r>
      <w:r w:rsidRPr="00D40714">
        <w:rPr>
          <w:noProof/>
          <w:lang w:val="fr-BE"/>
        </w:rPr>
        <w:t> — est considérée comme une nécessité par les forces armées. Afin de permettre le double usage de ces drones à des fins de transport, il est essentiel d’aligner les exigences militaires sur les futures exigences civiles. Le cadre réglementaire actuel de l’Union n’offre pas une flexibilité suffisante pour permettre la certification de technologies et de produits innovants, tels que certaines catégories de drones. Il est nécessaire pour cela de modifier l’article </w:t>
      </w:r>
      <w:r w:rsidRPr="0086652C">
        <w:rPr>
          <w:noProof/>
          <w:lang w:val="fr-BE"/>
        </w:rPr>
        <w:t>71</w:t>
      </w:r>
      <w:r w:rsidRPr="00D40714">
        <w:rPr>
          <w:noProof/>
          <w:lang w:val="fr-BE"/>
        </w:rPr>
        <w:t xml:space="preserve"> du règlement (UE) </w:t>
      </w:r>
      <w:r w:rsidRPr="0086652C">
        <w:rPr>
          <w:noProof/>
          <w:lang w:val="fr-BE"/>
        </w:rPr>
        <w:t>2018</w:t>
      </w:r>
      <w:r w:rsidRPr="00D40714">
        <w:rPr>
          <w:noProof/>
          <w:lang w:val="fr-BE"/>
        </w:rPr>
        <w:t>/</w:t>
      </w:r>
      <w:r w:rsidRPr="0086652C">
        <w:rPr>
          <w:noProof/>
          <w:lang w:val="fr-BE"/>
        </w:rPr>
        <w:t>1139</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47"/>
      </w:r>
      <w:r w:rsidRPr="0086652C">
        <w:rPr>
          <w:rStyle w:val="FootnoteReference"/>
          <w:noProof/>
          <w:lang w:val="fr-BE"/>
        </w:rPr>
        <w:t>23</w:t>
      </w:r>
      <w:r w:rsidRPr="00D40714">
        <w:rPr>
          <w:rStyle w:val="FootnoteReference"/>
          <w:noProof/>
          <w:lang w:val="fr-BE"/>
        </w:rPr>
        <w:t>)</w:t>
      </w:r>
      <w:r w:rsidRPr="00D40714">
        <w:rPr>
          <w:noProof/>
          <w:lang w:val="fr-BE"/>
        </w:rPr>
        <w:t xml:space="preserve"> afin de permettre des dérogations aux exigences applicables lorsque ces exigences empêchent la certification de technologies et de produits innovants, tout en garantissant le niveau le plus élevé de sûreté et de sécurité, et d’établir une approche coordonnée entre l’AESA et les forces armées nationales pour définir les exigences relatives à la certification des drones de grande taille.</w:t>
      </w:r>
    </w:p>
    <w:p w14:paraId="02338AD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63</w:t>
      </w:r>
      <w:r w:rsidRPr="00D40714">
        <w:rPr>
          <w:noProof/>
          <w:lang w:val="fr-BE"/>
        </w:rPr>
        <w:t>)</w:t>
      </w:r>
      <w:r w:rsidRPr="00D40714">
        <w:rPr>
          <w:noProof/>
          <w:lang w:val="fr-BE"/>
        </w:rPr>
        <w:tab/>
        <w:t xml:space="preserve">Afin de renforcer le transport militaire, l’Union devrait promouvoir des solutions de transport aérien à double usage innovantes, y compris des aéronefs sans équipage à bord, des systèmes autonomes, des concepts avancés de mobilité aérienne urbaine et des systèmes de gestion de la circulation aérienne cybersécurisés. La mise en place d’environnements d’essai réglementaires («bacs à sable réglementaires») est nécessaire pour faciliter un développement plus rapide et autonome de ces technologies dans l’Union, en coopération entre les autorités civiles et militaires. En fournissant des conditions contrôlées pour l’expérimentation, ces environnements d’essai devraient contribuer à accélérer le déploiement de nouvelles capacités, à améliorer la logistique et la gestion de la chaîne d’approvisionnement et à renforcer l’état de préparation et l’efficacité du transport militaire. En outre, ils devraient soutenir l’harmonisation des cadres réglementaires civils et militaires, permettant l’intégration sans discontinuité des actifs de transport aérien à double usage dans les opérations de transport tant commercial que militaire, tout en réduisant les charges administratives liées au changement de mode. Les bacs à sable réglementaires devraient ainsi contribuer à combler les lacunes réglementaires existantes, favoriser l’interopérabilité et participer à un système de transport militaire plus résilient, plus efficace et plus réactif au sein de l’Union. Il convient dès lors de modifier le règlement (UE) </w:t>
      </w:r>
      <w:r w:rsidRPr="0086652C">
        <w:rPr>
          <w:noProof/>
          <w:lang w:val="fr-BE"/>
        </w:rPr>
        <w:t>2018</w:t>
      </w:r>
      <w:r w:rsidRPr="00D40714">
        <w:rPr>
          <w:noProof/>
          <w:lang w:val="fr-BE"/>
        </w:rPr>
        <w:t>/</w:t>
      </w:r>
      <w:r w:rsidRPr="0086652C">
        <w:rPr>
          <w:noProof/>
          <w:lang w:val="fr-BE"/>
        </w:rPr>
        <w:t>1139</w:t>
      </w:r>
      <w:r w:rsidRPr="00D40714">
        <w:rPr>
          <w:noProof/>
          <w:lang w:val="fr-BE"/>
        </w:rPr>
        <w:t xml:space="preserve"> en conséquence, sans préjudice des exigences et formalités pertinentes de l’Union dans des domaines, tels que la santé, la sécurité, l’environnement et la concurrence, ainsi que des formalités et procédures douanières qui ne peuvent être levées aux fins des bacs à sable réglementaires. </w:t>
      </w:r>
    </w:p>
    <w:p w14:paraId="0E62C65C" w14:textId="77777777" w:rsidR="000D5092" w:rsidRPr="00D40714" w:rsidRDefault="000D5092" w:rsidP="000D5092">
      <w:pPr>
        <w:pStyle w:val="ManualConsidrant"/>
        <w:rPr>
          <w:noProof/>
          <w:lang w:val="fr-BE"/>
        </w:rPr>
      </w:pPr>
      <w:r w:rsidRPr="00D40714">
        <w:rPr>
          <w:noProof/>
          <w:lang w:val="fr-BE"/>
        </w:rPr>
        <w:t>(</w:t>
      </w:r>
      <w:r w:rsidRPr="0086652C">
        <w:rPr>
          <w:noProof/>
          <w:lang w:val="fr-BE"/>
        </w:rPr>
        <w:t>64</w:t>
      </w:r>
      <w:r w:rsidRPr="00D40714">
        <w:rPr>
          <w:noProof/>
          <w:lang w:val="fr-BE"/>
        </w:rPr>
        <w:t>)</w:t>
      </w:r>
      <w:r w:rsidRPr="00D40714">
        <w:rPr>
          <w:noProof/>
          <w:lang w:val="fr-BE"/>
        </w:rPr>
        <w:tab/>
        <w:t xml:space="preserve">Les États membres et la Commission devraient prendre toutes les mesures nécessaires pour garantir la protection des informations confidentielles conformément, en particulier, à la décision (UE, Euratom) </w:t>
      </w:r>
      <w:r w:rsidRPr="0086652C">
        <w:rPr>
          <w:noProof/>
          <w:lang w:val="fr-BE"/>
        </w:rPr>
        <w:t>2015</w:t>
      </w:r>
      <w:r w:rsidRPr="00D40714">
        <w:rPr>
          <w:noProof/>
          <w:lang w:val="fr-BE"/>
        </w:rPr>
        <w:t>/</w:t>
      </w:r>
      <w:r w:rsidRPr="0086652C">
        <w:rPr>
          <w:noProof/>
          <w:lang w:val="fr-BE"/>
        </w:rPr>
        <w:t>443</w:t>
      </w:r>
      <w:r w:rsidRPr="00D40714">
        <w:rPr>
          <w:noProof/>
          <w:lang w:val="fr-BE"/>
        </w:rPr>
        <w:t xml:space="preserve"> de la Commission</w:t>
      </w:r>
      <w:r w:rsidR="009B03F8">
        <w:rPr>
          <w:noProof/>
          <w:lang w:val="fr-BE"/>
        </w:rPr>
        <w:t>(</w:t>
      </w:r>
      <w:r w:rsidR="009B03F8">
        <w:rPr>
          <w:rStyle w:val="FootnoteReference"/>
          <w:noProof/>
          <w:lang w:val="fr-BE"/>
        </w:rPr>
        <w:footnoteReference w:id="48"/>
      </w:r>
      <w:r w:rsidRPr="0086652C">
        <w:rPr>
          <w:rStyle w:val="FootnoteReference"/>
          <w:noProof/>
          <w:lang w:val="fr-BE"/>
        </w:rPr>
        <w:t>24</w:t>
      </w:r>
      <w:r w:rsidRPr="00D40714">
        <w:rPr>
          <w:rStyle w:val="FootnoteReference"/>
          <w:noProof/>
          <w:lang w:val="fr-BE"/>
        </w:rPr>
        <w:t>)</w:t>
      </w:r>
      <w:r w:rsidRPr="00D40714">
        <w:rPr>
          <w:noProof/>
          <w:lang w:val="fr-BE"/>
        </w:rPr>
        <w:t xml:space="preserve">, à la décision (UE, Euratom) </w:t>
      </w:r>
      <w:r w:rsidRPr="0086652C">
        <w:rPr>
          <w:noProof/>
          <w:lang w:val="fr-BE"/>
        </w:rPr>
        <w:t>2015</w:t>
      </w:r>
      <w:r w:rsidRPr="00D40714">
        <w:rPr>
          <w:noProof/>
          <w:lang w:val="fr-BE"/>
        </w:rPr>
        <w:t>/</w:t>
      </w:r>
      <w:r w:rsidRPr="0086652C">
        <w:rPr>
          <w:noProof/>
          <w:lang w:val="fr-BE"/>
        </w:rPr>
        <w:t>444</w:t>
      </w:r>
      <w:r w:rsidRPr="00D40714">
        <w:rPr>
          <w:noProof/>
          <w:lang w:val="fr-BE"/>
        </w:rPr>
        <w:t xml:space="preserve"> de la Commission</w:t>
      </w:r>
      <w:r w:rsidR="009B03F8">
        <w:rPr>
          <w:noProof/>
          <w:lang w:val="fr-BE"/>
        </w:rPr>
        <w:t>(</w:t>
      </w:r>
      <w:r w:rsidR="009B03F8">
        <w:rPr>
          <w:rStyle w:val="FootnoteReference"/>
          <w:noProof/>
          <w:lang w:val="fr-BE"/>
        </w:rPr>
        <w:footnoteReference w:id="49"/>
      </w:r>
      <w:r w:rsidRPr="0086652C">
        <w:rPr>
          <w:rStyle w:val="FootnoteReference"/>
          <w:noProof/>
          <w:lang w:val="fr-BE"/>
        </w:rPr>
        <w:t>25</w:t>
      </w:r>
      <w:r w:rsidRPr="00D40714">
        <w:rPr>
          <w:rStyle w:val="FootnoteReference"/>
          <w:noProof/>
          <w:lang w:val="fr-BE"/>
        </w:rPr>
        <w:t>)</w:t>
      </w:r>
      <w:r w:rsidRPr="00D40714">
        <w:rPr>
          <w:noProof/>
          <w:lang w:val="fr-BE"/>
        </w:rPr>
        <w:t xml:space="preserve"> et à l’accord entre les États membres de l’Union européenne, réunis au sein du Conseil, relatif à la protection des informations classifiées échangées dans l’intérêt de l’Union européenne</w:t>
      </w:r>
      <w:r w:rsidR="009B03F8">
        <w:rPr>
          <w:noProof/>
          <w:lang w:val="fr-BE"/>
        </w:rPr>
        <w:t>(</w:t>
      </w:r>
      <w:r w:rsidR="009B03F8">
        <w:rPr>
          <w:rStyle w:val="FootnoteReference"/>
          <w:noProof/>
          <w:lang w:val="fr-BE"/>
        </w:rPr>
        <w:footnoteReference w:id="50"/>
      </w:r>
      <w:r w:rsidRPr="0086652C">
        <w:rPr>
          <w:rStyle w:val="FootnoteReference"/>
          <w:noProof/>
          <w:lang w:val="fr-BE"/>
        </w:rPr>
        <w:t>26</w:t>
      </w:r>
      <w:r w:rsidRPr="00D40714">
        <w:rPr>
          <w:rStyle w:val="FootnoteReference"/>
          <w:noProof/>
          <w:lang w:val="fr-BE"/>
        </w:rPr>
        <w:t>)</w:t>
      </w:r>
      <w:r w:rsidRPr="00D40714">
        <w:rPr>
          <w:noProof/>
          <w:lang w:val="fr-BE"/>
        </w:rPr>
        <w:t>. Ces mesures devraient notamment porter sur l’obligation de ne pas déclasser ou déclassifier les informations classifiées sans le consentement préalable écrit de l’autorité d’origine. Il convient que toute information sensible mais non classifiée ou toute information fournie sur une base confidentielle soit traitée comme telle par les autorités.</w:t>
      </w:r>
    </w:p>
    <w:p w14:paraId="7E605FE2" w14:textId="77777777" w:rsidR="000D5092" w:rsidRPr="00D40714" w:rsidRDefault="000D5092" w:rsidP="000D5092">
      <w:pPr>
        <w:pStyle w:val="ManualConsidrant"/>
        <w:rPr>
          <w:noProof/>
          <w:lang w:val="fr-BE"/>
        </w:rPr>
      </w:pPr>
      <w:r w:rsidRPr="00D40714">
        <w:rPr>
          <w:noProof/>
          <w:lang w:val="fr-BE"/>
        </w:rPr>
        <w:t>(</w:t>
      </w:r>
      <w:r w:rsidRPr="0086652C">
        <w:rPr>
          <w:noProof/>
          <w:lang w:val="fr-BE"/>
        </w:rPr>
        <w:t>65</w:t>
      </w:r>
      <w:r w:rsidRPr="00D40714">
        <w:rPr>
          <w:noProof/>
          <w:lang w:val="fr-BE"/>
        </w:rPr>
        <w:t>)</w:t>
      </w:r>
      <w:r w:rsidRPr="00D40714">
        <w:rPr>
          <w:noProof/>
          <w:lang w:val="fr-BE"/>
        </w:rPr>
        <w:tab/>
        <w:t xml:space="preserve">Il y a lieu que tout traitement de données à caractère personnel en application du présent règlement soit conforme aux règles applicables sur la protection de ce type de données. Le traitement des données à caractère personnel par les États membres devrait, plus particulièrement, s’effectuer conformément au règlement (UE) </w:t>
      </w:r>
      <w:r w:rsidRPr="0086652C">
        <w:rPr>
          <w:noProof/>
          <w:lang w:val="fr-BE"/>
        </w:rPr>
        <w:t>2016</w:t>
      </w:r>
      <w:r w:rsidRPr="00D40714">
        <w:rPr>
          <w:noProof/>
          <w:lang w:val="fr-BE"/>
        </w:rPr>
        <w:t>/</w:t>
      </w:r>
      <w:r w:rsidRPr="0086652C">
        <w:rPr>
          <w:noProof/>
          <w:lang w:val="fr-BE"/>
        </w:rPr>
        <w:t>679</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51"/>
      </w:r>
      <w:r w:rsidRPr="0086652C">
        <w:rPr>
          <w:rStyle w:val="FootnoteReference"/>
          <w:noProof/>
          <w:lang w:val="fr-BE"/>
        </w:rPr>
        <w:t>27</w:t>
      </w:r>
      <w:r w:rsidRPr="00D40714">
        <w:rPr>
          <w:rStyle w:val="FootnoteReference"/>
          <w:noProof/>
          <w:lang w:val="fr-BE"/>
        </w:rPr>
        <w:t>)</w:t>
      </w:r>
      <w:r w:rsidRPr="00D40714">
        <w:rPr>
          <w:noProof/>
          <w:lang w:val="fr-BE"/>
        </w:rPr>
        <w:t xml:space="preserve"> et à la directive </w:t>
      </w:r>
      <w:r w:rsidRPr="0086652C">
        <w:rPr>
          <w:noProof/>
          <w:lang w:val="fr-BE"/>
        </w:rPr>
        <w:t>2002</w:t>
      </w:r>
      <w:r w:rsidRPr="00D40714">
        <w:rPr>
          <w:noProof/>
          <w:lang w:val="fr-BE"/>
        </w:rPr>
        <w:t>/</w:t>
      </w:r>
      <w:r w:rsidRPr="0086652C">
        <w:rPr>
          <w:noProof/>
          <w:lang w:val="fr-BE"/>
        </w:rPr>
        <w:t>58</w:t>
      </w:r>
      <w:r w:rsidRPr="00D40714">
        <w:rPr>
          <w:noProof/>
          <w:lang w:val="fr-BE"/>
        </w:rPr>
        <w:t>/CE du Parlement européen et du Conseil</w:t>
      </w:r>
      <w:r w:rsidR="009B03F8">
        <w:rPr>
          <w:noProof/>
          <w:lang w:val="fr-BE"/>
        </w:rPr>
        <w:t>(</w:t>
      </w:r>
      <w:r w:rsidR="009B03F8">
        <w:rPr>
          <w:rStyle w:val="FootnoteReference"/>
          <w:noProof/>
          <w:lang w:val="fr-BE"/>
        </w:rPr>
        <w:footnoteReference w:id="52"/>
      </w:r>
      <w:r w:rsidRPr="0086652C">
        <w:rPr>
          <w:rStyle w:val="FootnoteReference"/>
          <w:noProof/>
          <w:lang w:val="fr-BE"/>
        </w:rPr>
        <w:t>28</w:t>
      </w:r>
      <w:r w:rsidRPr="00D40714">
        <w:rPr>
          <w:rStyle w:val="FootnoteReference"/>
          <w:noProof/>
          <w:lang w:val="fr-BE"/>
        </w:rPr>
        <w:t>)</w:t>
      </w:r>
      <w:r w:rsidRPr="00D40714">
        <w:rPr>
          <w:noProof/>
          <w:lang w:val="fr-BE"/>
        </w:rPr>
        <w:t xml:space="preserve">. Le traitement des données à caractère personnel par la Commission devrait être effectué conformément au règlement (UE) </w:t>
      </w:r>
      <w:r w:rsidRPr="0086652C">
        <w:rPr>
          <w:noProof/>
          <w:lang w:val="fr-BE"/>
        </w:rPr>
        <w:t>2018</w:t>
      </w:r>
      <w:r w:rsidRPr="00D40714">
        <w:rPr>
          <w:noProof/>
          <w:lang w:val="fr-BE"/>
        </w:rPr>
        <w:t>/</w:t>
      </w:r>
      <w:r w:rsidRPr="0086652C">
        <w:rPr>
          <w:noProof/>
          <w:lang w:val="fr-BE"/>
        </w:rPr>
        <w:t>1725</w:t>
      </w:r>
      <w:r w:rsidRPr="00D40714">
        <w:rPr>
          <w:noProof/>
          <w:lang w:val="fr-BE"/>
        </w:rPr>
        <w:t xml:space="preserve"> du Parlement européen et du Conseil</w:t>
      </w:r>
      <w:r w:rsidR="009B03F8">
        <w:rPr>
          <w:noProof/>
          <w:lang w:val="fr-BE"/>
        </w:rPr>
        <w:t>(</w:t>
      </w:r>
      <w:r w:rsidR="009B03F8">
        <w:rPr>
          <w:rStyle w:val="FootnoteReference"/>
          <w:noProof/>
          <w:lang w:val="fr-BE"/>
        </w:rPr>
        <w:footnoteReference w:id="53"/>
      </w:r>
      <w:r w:rsidRPr="0086652C">
        <w:rPr>
          <w:rStyle w:val="FootnoteReference"/>
          <w:noProof/>
          <w:lang w:val="fr-BE"/>
        </w:rPr>
        <w:t>29</w:t>
      </w:r>
      <w:r w:rsidRPr="00D40714">
        <w:rPr>
          <w:rStyle w:val="FootnoteReference"/>
          <w:noProof/>
          <w:lang w:val="fr-BE"/>
        </w:rPr>
        <w:t>)</w:t>
      </w:r>
      <w:r w:rsidRPr="00D40714">
        <w:rPr>
          <w:noProof/>
          <w:lang w:val="fr-BE"/>
        </w:rPr>
        <w:t>.</w:t>
      </w:r>
    </w:p>
    <w:p w14:paraId="524B553D" w14:textId="77777777" w:rsidR="000D5092" w:rsidRPr="00D40714" w:rsidRDefault="000D5092" w:rsidP="000D5092">
      <w:pPr>
        <w:pStyle w:val="ManualConsidrant"/>
        <w:rPr>
          <w:noProof/>
          <w:lang w:val="fr-BE"/>
        </w:rPr>
      </w:pPr>
      <w:r w:rsidRPr="00D40714">
        <w:rPr>
          <w:noProof/>
          <w:lang w:val="fr-BE"/>
        </w:rPr>
        <w:t>(</w:t>
      </w:r>
      <w:r w:rsidRPr="0086652C">
        <w:rPr>
          <w:noProof/>
          <w:lang w:val="fr-BE"/>
        </w:rPr>
        <w:t>66</w:t>
      </w:r>
      <w:r w:rsidRPr="00D40714">
        <w:rPr>
          <w:noProof/>
          <w:lang w:val="fr-BE"/>
        </w:rPr>
        <w:t>)</w:t>
      </w:r>
      <w:r w:rsidRPr="00D40714">
        <w:rPr>
          <w:noProof/>
          <w:lang w:val="fr-BE"/>
        </w:rPr>
        <w:tab/>
        <w:t>Étant donné que les objectifs du présent règlement, à savoir faciliter le transport militaire dans l’Union et au-delà de ses frontières extérieures, tout en réduisant au minimum et en atténuant l’incidence de ce transport sur le transport civil, ne peuvent pas être atteints de manière suffisante par les États membres, étant donné que la fragmentation, l’inefficacité et la mise en œuvre incohérente actuelles des politiques nationales empêchent une résolution efficace au niveau des États membres, mais peuvent l’être mieux au niveau de l’Union, celle-ci peut prendre des mesures, conformément au principe de subsidiarité consacré à l’article </w:t>
      </w:r>
      <w:r w:rsidRPr="0086652C">
        <w:rPr>
          <w:noProof/>
          <w:lang w:val="fr-BE"/>
        </w:rPr>
        <w:t>5</w:t>
      </w:r>
      <w:r w:rsidRPr="00D40714">
        <w:rPr>
          <w:noProof/>
          <w:lang w:val="fr-BE"/>
        </w:rPr>
        <w:t xml:space="preserve"> du traité sur l’Union européenne. Conformément au principe de proportionnalité tel qu’énoncé audit article, le présent règlement n’excède pas ce qui est nécessaire pour atteindre ces objectifs.</w:t>
      </w:r>
    </w:p>
    <w:p w14:paraId="2F11F3FB" w14:textId="77777777" w:rsidR="000D5092" w:rsidRPr="00D40714" w:rsidRDefault="000D5092" w:rsidP="000D5092">
      <w:pPr>
        <w:pStyle w:val="ManualConsidrant"/>
        <w:rPr>
          <w:noProof/>
          <w:lang w:val="fr-BE"/>
        </w:rPr>
      </w:pPr>
      <w:r w:rsidRPr="00D40714">
        <w:rPr>
          <w:noProof/>
          <w:lang w:val="fr-BE"/>
        </w:rPr>
        <w:t>(</w:t>
      </w:r>
      <w:r w:rsidRPr="0086652C">
        <w:rPr>
          <w:noProof/>
          <w:lang w:val="fr-BE"/>
        </w:rPr>
        <w:t>67</w:t>
      </w:r>
      <w:r w:rsidRPr="00D40714">
        <w:rPr>
          <w:noProof/>
          <w:lang w:val="fr-BE"/>
        </w:rPr>
        <w:t>)</w:t>
      </w:r>
      <w:r w:rsidRPr="00D40714">
        <w:rPr>
          <w:noProof/>
          <w:lang w:val="fr-BE"/>
        </w:rPr>
        <w:tab/>
        <w:t>Le Contrôleur européen de la protection des données a été consulté conformément à l’article </w:t>
      </w:r>
      <w:r w:rsidRPr="0086652C">
        <w:rPr>
          <w:noProof/>
          <w:lang w:val="fr-BE"/>
        </w:rPr>
        <w:t>42</w:t>
      </w:r>
      <w:r w:rsidRPr="00D40714">
        <w:rPr>
          <w:noProof/>
          <w:lang w:val="fr-BE"/>
        </w:rPr>
        <w:t>, paragraphe </w:t>
      </w:r>
      <w:r w:rsidRPr="0086652C">
        <w:rPr>
          <w:noProof/>
          <w:lang w:val="fr-BE"/>
        </w:rPr>
        <w:t>1</w:t>
      </w:r>
      <w:r w:rsidRPr="00D40714">
        <w:rPr>
          <w:noProof/>
          <w:lang w:val="fr-BE"/>
        </w:rPr>
        <w:t xml:space="preserve">, du règlement (UE) </w:t>
      </w:r>
      <w:r w:rsidRPr="0086652C">
        <w:rPr>
          <w:noProof/>
          <w:lang w:val="fr-BE"/>
        </w:rPr>
        <w:t>2018</w:t>
      </w:r>
      <w:r w:rsidRPr="00D40714">
        <w:rPr>
          <w:noProof/>
          <w:lang w:val="fr-BE"/>
        </w:rPr>
        <w:t>/</w:t>
      </w:r>
      <w:r w:rsidRPr="0086652C">
        <w:rPr>
          <w:noProof/>
          <w:lang w:val="fr-BE"/>
        </w:rPr>
        <w:t>1725</w:t>
      </w:r>
      <w:r w:rsidRPr="00D40714">
        <w:rPr>
          <w:noProof/>
          <w:lang w:val="fr-BE"/>
        </w:rPr>
        <w:t xml:space="preserve"> et a rendu un avis le [JJ/MM/AAAA]</w:t>
      </w:r>
      <w:r>
        <w:rPr>
          <w:noProof/>
          <w:lang w:val="fr-BE"/>
        </w:rPr>
        <w:t>,</w:t>
      </w:r>
    </w:p>
    <w:p w14:paraId="5EC9B076" w14:textId="77777777" w:rsidR="000D5092" w:rsidRPr="00D40714" w:rsidRDefault="000D5092" w:rsidP="000D5092">
      <w:pPr>
        <w:rPr>
          <w:noProof/>
          <w:lang w:val="fr-BE"/>
        </w:rPr>
      </w:pPr>
    </w:p>
    <w:p w14:paraId="7A837542" w14:textId="77777777" w:rsidR="000D5092" w:rsidRPr="00D40714" w:rsidRDefault="000D5092" w:rsidP="000D5092">
      <w:pPr>
        <w:pStyle w:val="Formuledadoption"/>
        <w:rPr>
          <w:noProof/>
          <w:lang w:val="fr-BE"/>
        </w:rPr>
      </w:pPr>
      <w:r w:rsidRPr="00D40714">
        <w:rPr>
          <w:noProof/>
          <w:lang w:val="fr-BE"/>
        </w:rPr>
        <w:t>ONT ADOPTÉ LE PRÉSENT RÈGLEMENT:</w:t>
      </w:r>
    </w:p>
    <w:p w14:paraId="20364F61" w14:textId="77777777" w:rsidR="000D5092" w:rsidRPr="00D40714" w:rsidRDefault="000D5092" w:rsidP="000D5092">
      <w:pPr>
        <w:rPr>
          <w:noProof/>
          <w:lang w:val="fr-BE"/>
        </w:rPr>
      </w:pPr>
    </w:p>
    <w:p w14:paraId="5E8FED04" w14:textId="77777777" w:rsidR="000D5092" w:rsidRPr="000D5092" w:rsidRDefault="000D5092">
      <w:pPr>
        <w:rPr>
          <w:noProof/>
          <w:lang w:val="fr-BE"/>
        </w:rPr>
      </w:pPr>
    </w:p>
    <w:p w14:paraId="528495CF" w14:textId="77777777" w:rsidR="002850C6" w:rsidRPr="002850C6" w:rsidRDefault="002850C6" w:rsidP="002850C6">
      <w:pPr>
        <w:pStyle w:val="ChapterTitle"/>
        <w:rPr>
          <w:noProof/>
        </w:rPr>
      </w:pPr>
      <w:r w:rsidRPr="002850C6">
        <w:rPr>
          <w:noProof/>
        </w:rPr>
        <w:t xml:space="preserve">Chapitre I </w:t>
      </w:r>
      <w:r w:rsidRPr="002850C6">
        <w:rPr>
          <w:noProof/>
        </w:rPr>
        <w:cr/>
      </w:r>
      <w:r w:rsidRPr="002850C6">
        <w:rPr>
          <w:noProof/>
        </w:rPr>
        <w:br/>
        <w:t>Dispositions générales</w:t>
      </w:r>
    </w:p>
    <w:p w14:paraId="4373FA7E" w14:textId="77777777" w:rsidR="002850C6" w:rsidRPr="002850C6" w:rsidRDefault="002850C6" w:rsidP="002850C6">
      <w:pPr>
        <w:pStyle w:val="Titrearticle"/>
        <w:rPr>
          <w:noProof/>
        </w:rPr>
      </w:pPr>
      <w:r w:rsidRPr="002850C6">
        <w:rPr>
          <w:noProof/>
        </w:rPr>
        <w:t>Article premier</w:t>
      </w:r>
    </w:p>
    <w:p w14:paraId="535D9AE0" w14:textId="77777777" w:rsidR="002850C6" w:rsidRPr="002850C6" w:rsidRDefault="002850C6" w:rsidP="002850C6">
      <w:pPr>
        <w:pStyle w:val="NormalCentered"/>
        <w:rPr>
          <w:noProof/>
        </w:rPr>
      </w:pPr>
      <w:r w:rsidRPr="002850C6">
        <w:rPr>
          <w:b/>
          <w:noProof/>
        </w:rPr>
        <w:t>Objet</w:t>
      </w:r>
    </w:p>
    <w:p w14:paraId="490B5AD1" w14:textId="77777777" w:rsidR="002850C6" w:rsidRPr="002850C6" w:rsidRDefault="002850C6" w:rsidP="002850C6">
      <w:pPr>
        <w:rPr>
          <w:noProof/>
        </w:rPr>
      </w:pPr>
      <w:r w:rsidRPr="002850C6">
        <w:rPr>
          <w:noProof/>
        </w:rPr>
        <w:t>Le présent règlement établit des mesures relatives aux équipements, moyens de transport et infrastructures à double usage afin de faciliter le transport militaire à l’intérieur de l’Union et au-delà de ses frontières extérieures, tout en réduisant au minimum et en atténuant l’incidence de ce transport sur le transport civil.</w:t>
      </w:r>
    </w:p>
    <w:p w14:paraId="53A7DCCA" w14:textId="77777777" w:rsidR="002850C6" w:rsidRPr="002850C6" w:rsidRDefault="002850C6" w:rsidP="002850C6">
      <w:pPr>
        <w:rPr>
          <w:noProof/>
        </w:rPr>
      </w:pPr>
      <w:r w:rsidRPr="002850C6">
        <w:rPr>
          <w:noProof/>
        </w:rPr>
        <w:t>Le présent règlement établit en particulier:</w:t>
      </w:r>
    </w:p>
    <w:p w14:paraId="69CE1B8E" w14:textId="77777777" w:rsidR="002850C6" w:rsidRPr="002850C6" w:rsidRDefault="002850C6" w:rsidP="002850C6">
      <w:pPr>
        <w:pStyle w:val="Point1"/>
        <w:rPr>
          <w:noProof/>
        </w:rPr>
      </w:pPr>
      <w:r w:rsidRPr="002850C6">
        <w:rPr>
          <w:noProof/>
        </w:rPr>
        <w:t>a)</w:t>
      </w:r>
      <w:r w:rsidRPr="002850C6">
        <w:rPr>
          <w:noProof/>
        </w:rPr>
        <w:tab/>
        <w:t>un cadre uniforme pour les procédures d’autorisation des transports militaires transfrontières ainsi que des mesures assurant un transport militaire ininterrompu et sûr, y compris des mesures qui simplifient les formalités douanières applicables à ce transport aux frontières extérieures de l’Union;</w:t>
      </w:r>
    </w:p>
    <w:p w14:paraId="2303FF30" w14:textId="77777777" w:rsidR="002850C6" w:rsidRPr="002850C6" w:rsidRDefault="002850C6" w:rsidP="002850C6">
      <w:pPr>
        <w:pStyle w:val="Point1"/>
        <w:rPr>
          <w:noProof/>
        </w:rPr>
      </w:pPr>
      <w:r w:rsidRPr="002850C6">
        <w:rPr>
          <w:noProof/>
        </w:rPr>
        <w:t>b)</w:t>
      </w:r>
      <w:r w:rsidRPr="002850C6">
        <w:rPr>
          <w:noProof/>
        </w:rPr>
        <w:tab/>
        <w:t>des mesures efficientes, coordonnées et efficaces qui facilitent le transport militaire en réaction à des situations temporaires, extraordinaires et urgentes;</w:t>
      </w:r>
    </w:p>
    <w:p w14:paraId="6B619DCA" w14:textId="77777777" w:rsidR="002850C6" w:rsidRPr="002850C6" w:rsidRDefault="002850C6" w:rsidP="002850C6">
      <w:pPr>
        <w:pStyle w:val="Point1"/>
        <w:rPr>
          <w:noProof/>
        </w:rPr>
      </w:pPr>
      <w:r w:rsidRPr="002850C6">
        <w:rPr>
          <w:noProof/>
        </w:rPr>
        <w:t>c)</w:t>
      </w:r>
      <w:r w:rsidRPr="002850C6">
        <w:rPr>
          <w:noProof/>
        </w:rPr>
        <w:tab/>
        <w:t>des règles visant à adapter les infrastructures de transport à double usage aux fins du double usage, à protéger les infrastructures stratégiques à double usage et à les rendre résilientes face à tous les dangers et menaces;</w:t>
      </w:r>
    </w:p>
    <w:p w14:paraId="1AEF47EB" w14:textId="77777777" w:rsidR="002850C6" w:rsidRPr="002850C6" w:rsidRDefault="002850C6" w:rsidP="002850C6">
      <w:pPr>
        <w:pStyle w:val="Point1"/>
        <w:rPr>
          <w:noProof/>
        </w:rPr>
      </w:pPr>
      <w:r w:rsidRPr="002850C6">
        <w:rPr>
          <w:noProof/>
        </w:rPr>
        <w:t>d)</w:t>
      </w:r>
      <w:r w:rsidRPr="002850C6">
        <w:rPr>
          <w:noProof/>
        </w:rPr>
        <w:tab/>
        <w:t>des mesures visant à partager et à mutualiser les capacités de transport et les capacités logistiques de l’Union et des États membres et à accroître la visibilité des capacités de transport existantes pour le transport militaire.</w:t>
      </w:r>
    </w:p>
    <w:p w14:paraId="68A6CDD2" w14:textId="77777777" w:rsidR="002850C6" w:rsidRPr="002850C6" w:rsidRDefault="002850C6" w:rsidP="002850C6">
      <w:pPr>
        <w:pStyle w:val="Titrearticle"/>
        <w:rPr>
          <w:noProof/>
        </w:rPr>
      </w:pPr>
      <w:r w:rsidRPr="002850C6">
        <w:rPr>
          <w:noProof/>
        </w:rPr>
        <w:t>Article </w:t>
      </w:r>
      <w:r w:rsidRPr="0086652C">
        <w:rPr>
          <w:noProof/>
        </w:rPr>
        <w:t>2</w:t>
      </w:r>
    </w:p>
    <w:p w14:paraId="6232EE1E" w14:textId="77777777" w:rsidR="002850C6" w:rsidRPr="002850C6" w:rsidRDefault="002850C6" w:rsidP="002850C6">
      <w:pPr>
        <w:pStyle w:val="NormalCentered"/>
        <w:rPr>
          <w:noProof/>
        </w:rPr>
      </w:pPr>
      <w:r w:rsidRPr="002850C6">
        <w:rPr>
          <w:b/>
          <w:noProof/>
        </w:rPr>
        <w:t>Champ d’application</w:t>
      </w:r>
    </w:p>
    <w:p w14:paraId="56E5E644" w14:textId="77777777" w:rsidR="002850C6" w:rsidRPr="002850C6" w:rsidRDefault="002850C6" w:rsidP="002850C6">
      <w:pPr>
        <w:rPr>
          <w:noProof/>
        </w:rPr>
      </w:pPr>
      <w:r w:rsidRPr="002850C6">
        <w:rPr>
          <w:noProof/>
        </w:rPr>
        <w:t>Le présent règlement s’applique au transport d’équipements, de marchandises et de personnel qui est opéré par les forces armées des États membres ou, dans les cas prévus aux articles </w:t>
      </w:r>
      <w:r w:rsidRPr="0086652C">
        <w:rPr>
          <w:noProof/>
        </w:rPr>
        <w:t>17</w:t>
      </w:r>
      <w:r w:rsidRPr="002850C6">
        <w:rPr>
          <w:noProof/>
        </w:rPr>
        <w:t xml:space="preserve"> et </w:t>
      </w:r>
      <w:r w:rsidRPr="0086652C">
        <w:rPr>
          <w:noProof/>
        </w:rPr>
        <w:t>19</w:t>
      </w:r>
      <w:r w:rsidRPr="002850C6">
        <w:rPr>
          <w:noProof/>
        </w:rPr>
        <w:t xml:space="preserve"> du présent règlement, par les alliés de l’Organisation du traité de l’Atlantique Nord (OTAN), ou sous leur responsabilité, qui a lieu en tout ou en partie dans l’Union et qui utilise, au cours de sa réalisation, des infrastructures, des actifs et des capacités à double usage situés dans l’Union.</w:t>
      </w:r>
    </w:p>
    <w:p w14:paraId="4CBF91B9" w14:textId="77777777" w:rsidR="002850C6" w:rsidRPr="002850C6" w:rsidRDefault="002850C6" w:rsidP="002850C6">
      <w:pPr>
        <w:pStyle w:val="Titrearticle"/>
        <w:rPr>
          <w:noProof/>
        </w:rPr>
      </w:pPr>
      <w:r w:rsidRPr="002850C6">
        <w:rPr>
          <w:noProof/>
        </w:rPr>
        <w:t xml:space="preserve">Article </w:t>
      </w:r>
      <w:r w:rsidRPr="0086652C">
        <w:rPr>
          <w:noProof/>
        </w:rPr>
        <w:t>3</w:t>
      </w:r>
    </w:p>
    <w:p w14:paraId="6C4649EF" w14:textId="77777777" w:rsidR="002850C6" w:rsidRPr="002850C6" w:rsidRDefault="002850C6" w:rsidP="002850C6">
      <w:pPr>
        <w:pStyle w:val="NormalCentered"/>
        <w:rPr>
          <w:noProof/>
        </w:rPr>
      </w:pPr>
      <w:r w:rsidRPr="002850C6">
        <w:rPr>
          <w:b/>
          <w:noProof/>
        </w:rPr>
        <w:t xml:space="preserve">Définitions </w:t>
      </w:r>
    </w:p>
    <w:p w14:paraId="5F8F4CF5" w14:textId="77777777" w:rsidR="002850C6" w:rsidRPr="002850C6" w:rsidRDefault="002850C6" w:rsidP="002850C6">
      <w:pPr>
        <w:rPr>
          <w:noProof/>
        </w:rPr>
      </w:pPr>
      <w:r w:rsidRPr="002850C6">
        <w:rPr>
          <w:noProof/>
        </w:rPr>
        <w:t>Aux fins du présent règlement, on entend par:</w:t>
      </w:r>
    </w:p>
    <w:p w14:paraId="17884C04" w14:textId="77777777" w:rsidR="002850C6" w:rsidRPr="002850C6" w:rsidRDefault="002850C6" w:rsidP="002850C6">
      <w:pPr>
        <w:pStyle w:val="Point1"/>
        <w:rPr>
          <w:noProof/>
        </w:rPr>
      </w:pPr>
      <w:r w:rsidRPr="0086652C">
        <w:rPr>
          <w:noProof/>
        </w:rPr>
        <w:t>1</w:t>
      </w:r>
      <w:r w:rsidRPr="002850C6">
        <w:rPr>
          <w:noProof/>
        </w:rPr>
        <w:t>)</w:t>
      </w:r>
      <w:r w:rsidRPr="002850C6">
        <w:rPr>
          <w:noProof/>
        </w:rPr>
        <w:tab/>
        <w:t xml:space="preserve">«transport militaire»: le transport d’équipements, de marchandises ou de personnes effectué directement par les forces armées, ainsi que le transport effectué pour le compte de celles-ci par des sociétés civiles ou d’autres contractants engagés par ces forces armées, notamment dans le cadre d’un exercice, d’une opération ou d’une mission militaires, y compris le transport avec ou sans équipage à bord de véhicules, de navires ou d’aéronefs utilisant leur propre propulsion; </w:t>
      </w:r>
    </w:p>
    <w:p w14:paraId="62D8F657" w14:textId="77777777" w:rsidR="002850C6" w:rsidRPr="002850C6" w:rsidRDefault="002850C6" w:rsidP="002850C6">
      <w:pPr>
        <w:pStyle w:val="Point1"/>
        <w:rPr>
          <w:noProof/>
        </w:rPr>
      </w:pPr>
      <w:r w:rsidRPr="0086652C">
        <w:rPr>
          <w:noProof/>
        </w:rPr>
        <w:t>2</w:t>
      </w:r>
      <w:r w:rsidRPr="002850C6">
        <w:rPr>
          <w:noProof/>
        </w:rPr>
        <w:t>)</w:t>
      </w:r>
      <w:r w:rsidRPr="002850C6">
        <w:rPr>
          <w:noProof/>
        </w:rPr>
        <w:tab/>
        <w:t>«opération de transport militaire»: un trajet en charge ou à vide dans le cadre d’un transport militaire;</w:t>
      </w:r>
    </w:p>
    <w:p w14:paraId="386F4CFC" w14:textId="77777777" w:rsidR="002850C6" w:rsidRPr="002850C6" w:rsidRDefault="002850C6" w:rsidP="002850C6">
      <w:pPr>
        <w:pStyle w:val="Point1"/>
        <w:rPr>
          <w:noProof/>
        </w:rPr>
      </w:pPr>
      <w:r w:rsidRPr="0086652C">
        <w:rPr>
          <w:noProof/>
        </w:rPr>
        <w:t>3</w:t>
      </w:r>
      <w:r w:rsidRPr="002850C6">
        <w:rPr>
          <w:noProof/>
        </w:rPr>
        <w:t>)</w:t>
      </w:r>
      <w:r w:rsidRPr="002850C6">
        <w:rPr>
          <w:noProof/>
        </w:rPr>
        <w:tab/>
        <w:t>«autorisation de transport militaire»: une autorisation ou une autorisation diplomatique accordée pour un transport militaire transfrontière par un État membre receveur à un État membre demandeur;</w:t>
      </w:r>
    </w:p>
    <w:p w14:paraId="20E9302C" w14:textId="77777777" w:rsidR="002850C6" w:rsidRPr="002850C6" w:rsidRDefault="002850C6" w:rsidP="002850C6">
      <w:pPr>
        <w:pStyle w:val="Point1"/>
        <w:rPr>
          <w:noProof/>
        </w:rPr>
      </w:pPr>
      <w:r w:rsidRPr="0086652C">
        <w:rPr>
          <w:noProof/>
        </w:rPr>
        <w:t>4</w:t>
      </w:r>
      <w:r w:rsidRPr="002850C6">
        <w:rPr>
          <w:noProof/>
        </w:rPr>
        <w:t>)</w:t>
      </w:r>
      <w:r w:rsidRPr="002850C6">
        <w:rPr>
          <w:noProof/>
        </w:rPr>
        <w:tab/>
        <w:t>«État membre demandeur»: l’État membre qui présente une demande à un État membre receveur en vue d’effectuer une opération de transport militaire sur le territoire de cet État membre receveur, ou l’État membre qui présente une demande de soutien au titre de la réserve de solidarité prévue à l’article </w:t>
      </w:r>
      <w:r w:rsidRPr="0086652C">
        <w:rPr>
          <w:noProof/>
        </w:rPr>
        <w:t>35</w:t>
      </w:r>
      <w:r w:rsidRPr="002850C6">
        <w:rPr>
          <w:noProof/>
        </w:rPr>
        <w:t>;</w:t>
      </w:r>
    </w:p>
    <w:p w14:paraId="2CE9CC8C" w14:textId="77777777" w:rsidR="002850C6" w:rsidRPr="002850C6" w:rsidRDefault="002850C6" w:rsidP="002850C6">
      <w:pPr>
        <w:pStyle w:val="Point1"/>
        <w:rPr>
          <w:noProof/>
        </w:rPr>
      </w:pPr>
      <w:r w:rsidRPr="0086652C">
        <w:rPr>
          <w:noProof/>
        </w:rPr>
        <w:t>5</w:t>
      </w:r>
      <w:r w:rsidRPr="002850C6">
        <w:rPr>
          <w:noProof/>
        </w:rPr>
        <w:t>)</w:t>
      </w:r>
      <w:r w:rsidRPr="002850C6">
        <w:rPr>
          <w:noProof/>
        </w:rPr>
        <w:tab/>
        <w:t>«État membre receveur»: l’État membre de destination d’une opération de transport militaire ou l’État membre traversé ou survolé en transit dans le cadre d’une opération de transport militaire;</w:t>
      </w:r>
    </w:p>
    <w:p w14:paraId="2058D20E" w14:textId="77777777" w:rsidR="002850C6" w:rsidRPr="002850C6" w:rsidRDefault="002850C6" w:rsidP="002850C6">
      <w:pPr>
        <w:pStyle w:val="Point1"/>
        <w:rPr>
          <w:noProof/>
        </w:rPr>
      </w:pPr>
      <w:r w:rsidRPr="0086652C">
        <w:rPr>
          <w:noProof/>
        </w:rPr>
        <w:t>6</w:t>
      </w:r>
      <w:r w:rsidRPr="002850C6">
        <w:rPr>
          <w:noProof/>
        </w:rPr>
        <w:t>)</w:t>
      </w:r>
      <w:r w:rsidRPr="002850C6">
        <w:rPr>
          <w:noProof/>
        </w:rPr>
        <w:tab/>
        <w:t xml:space="preserve">«fret militaire exceptionnel»: les </w:t>
      </w:r>
      <w:bookmarkStart w:id="26" w:name="_Hlk212739026"/>
      <w:r w:rsidRPr="002850C6">
        <w:rPr>
          <w:noProof/>
        </w:rPr>
        <w:t>marchandises ou équipements</w:t>
      </w:r>
      <w:bookmarkEnd w:id="26"/>
      <w:r w:rsidRPr="002850C6">
        <w:rPr>
          <w:noProof/>
        </w:rPr>
        <w:t xml:space="preserve"> à caractère militaire pour le transport sécurisé desquels des permis spéciaux, des plans de transport sur mesure ou une manutention logistique spécialisée sont nécessaires et qui, avec le véhicule effectuant l’opération de transport militaire, dépassent:</w:t>
      </w:r>
    </w:p>
    <w:p w14:paraId="0A7F2999" w14:textId="77777777" w:rsidR="002850C6" w:rsidRPr="002850C6" w:rsidRDefault="002850C6" w:rsidP="002850C6">
      <w:pPr>
        <w:pStyle w:val="Point2"/>
        <w:rPr>
          <w:noProof/>
        </w:rPr>
      </w:pPr>
      <w:r w:rsidRPr="002850C6">
        <w:rPr>
          <w:noProof/>
        </w:rPr>
        <w:t>a)</w:t>
      </w:r>
      <w:r w:rsidRPr="002850C6">
        <w:rPr>
          <w:noProof/>
        </w:rPr>
        <w:tab/>
        <w:t xml:space="preserve">en cas de transport par route, les dimensions maximales autorisées (longueur, largeur, hauteur) ou les limites de poids fixées à l’annexe I de la directive </w:t>
      </w:r>
      <w:r w:rsidRPr="0086652C">
        <w:rPr>
          <w:noProof/>
        </w:rPr>
        <w:t>96</w:t>
      </w:r>
      <w:r w:rsidRPr="002850C6">
        <w:rPr>
          <w:noProof/>
        </w:rPr>
        <w:t>/</w:t>
      </w:r>
      <w:r w:rsidRPr="0086652C">
        <w:rPr>
          <w:noProof/>
        </w:rPr>
        <w:t>53</w:t>
      </w:r>
      <w:r w:rsidRPr="002850C6">
        <w:rPr>
          <w:noProof/>
        </w:rPr>
        <w:t>/CE;</w:t>
      </w:r>
    </w:p>
    <w:p w14:paraId="4B6B8323" w14:textId="77777777" w:rsidR="002850C6" w:rsidRPr="002850C6" w:rsidRDefault="002850C6" w:rsidP="002850C6">
      <w:pPr>
        <w:pStyle w:val="Point2"/>
        <w:rPr>
          <w:noProof/>
        </w:rPr>
      </w:pPr>
      <w:r w:rsidRPr="002850C6">
        <w:rPr>
          <w:noProof/>
        </w:rPr>
        <w:t>b)</w:t>
      </w:r>
      <w:r w:rsidRPr="002850C6">
        <w:rPr>
          <w:noProof/>
        </w:rPr>
        <w:tab/>
        <w:t>en cas de transport par rail, les limites de poids, le gabarit ou d’autres caractéristiques techniques spécifiés dans le registre de l’infrastructure prévu à l’article </w:t>
      </w:r>
      <w:r w:rsidRPr="0086652C">
        <w:rPr>
          <w:noProof/>
        </w:rPr>
        <w:t>49</w:t>
      </w:r>
      <w:r w:rsidRPr="002850C6">
        <w:rPr>
          <w:noProof/>
        </w:rPr>
        <w:t xml:space="preserve"> de la directive (UE) </w:t>
      </w:r>
      <w:r w:rsidRPr="0086652C">
        <w:rPr>
          <w:noProof/>
        </w:rPr>
        <w:t>2016</w:t>
      </w:r>
      <w:r w:rsidRPr="002850C6">
        <w:rPr>
          <w:noProof/>
        </w:rPr>
        <w:t>/</w:t>
      </w:r>
      <w:r w:rsidRPr="0086652C">
        <w:rPr>
          <w:noProof/>
        </w:rPr>
        <w:t>797</w:t>
      </w:r>
      <w:r w:rsidRPr="002850C6">
        <w:rPr>
          <w:noProof/>
        </w:rPr>
        <w:t xml:space="preserve"> et dans l’application RINF créée par le règlement d’exécution (UE) </w:t>
      </w:r>
      <w:r w:rsidRPr="0086652C">
        <w:rPr>
          <w:noProof/>
        </w:rPr>
        <w:t>2019</w:t>
      </w:r>
      <w:r w:rsidRPr="002850C6">
        <w:rPr>
          <w:noProof/>
        </w:rPr>
        <w:t>/</w:t>
      </w:r>
      <w:r w:rsidRPr="0086652C">
        <w:rPr>
          <w:noProof/>
        </w:rPr>
        <w:t>777</w:t>
      </w:r>
      <w:r w:rsidRPr="002850C6">
        <w:rPr>
          <w:noProof/>
        </w:rPr>
        <w:t xml:space="preserve"> de la Commission</w:t>
      </w:r>
      <w:r w:rsidR="009B03F8">
        <w:rPr>
          <w:noProof/>
        </w:rPr>
        <w:t>(</w:t>
      </w:r>
      <w:r w:rsidR="009B03F8">
        <w:rPr>
          <w:rStyle w:val="FootnoteReference"/>
          <w:noProof/>
        </w:rPr>
        <w:footnoteReference w:id="54"/>
      </w:r>
      <w:r w:rsidRPr="0086652C">
        <w:rPr>
          <w:rStyle w:val="FootnoteReference"/>
          <w:noProof/>
        </w:rPr>
        <w:t>30</w:t>
      </w:r>
      <w:r w:rsidRPr="002850C6">
        <w:rPr>
          <w:rStyle w:val="FootnoteReference"/>
          <w:noProof/>
        </w:rPr>
        <w:t>)</w:t>
      </w:r>
      <w:r w:rsidRPr="002850C6">
        <w:rPr>
          <w:noProof/>
        </w:rPr>
        <w:t>;</w:t>
      </w:r>
    </w:p>
    <w:p w14:paraId="7692A429" w14:textId="77777777" w:rsidR="002850C6" w:rsidRPr="002850C6" w:rsidRDefault="002850C6" w:rsidP="002850C6">
      <w:pPr>
        <w:pStyle w:val="Point1"/>
        <w:rPr>
          <w:noProof/>
        </w:rPr>
      </w:pPr>
      <w:r w:rsidRPr="0086652C">
        <w:rPr>
          <w:noProof/>
        </w:rPr>
        <w:t>7</w:t>
      </w:r>
      <w:r w:rsidRPr="002850C6">
        <w:rPr>
          <w:noProof/>
        </w:rPr>
        <w:t>)</w:t>
      </w:r>
      <w:r w:rsidRPr="002850C6">
        <w:rPr>
          <w:noProof/>
        </w:rPr>
        <w:tab/>
        <w:t>«transport militaire exceptionnel»: le transport militaire de fret militaire exceptionnel;</w:t>
      </w:r>
    </w:p>
    <w:p w14:paraId="72B0BFEA" w14:textId="77777777" w:rsidR="002850C6" w:rsidRPr="002850C6" w:rsidRDefault="002850C6" w:rsidP="002850C6">
      <w:pPr>
        <w:pStyle w:val="Point1"/>
        <w:rPr>
          <w:noProof/>
        </w:rPr>
      </w:pPr>
      <w:r w:rsidRPr="0086652C">
        <w:rPr>
          <w:noProof/>
        </w:rPr>
        <w:t>8</w:t>
      </w:r>
      <w:r w:rsidRPr="002850C6">
        <w:rPr>
          <w:noProof/>
        </w:rPr>
        <w:t>)</w:t>
      </w:r>
      <w:r w:rsidRPr="002850C6">
        <w:rPr>
          <w:noProof/>
        </w:rPr>
        <w:tab/>
        <w:t>«marchandises dangereuses»: les substances et articles relevant du champ d’application des accords et réglementations internationaux énumérés à l’article </w:t>
      </w:r>
      <w:r w:rsidRPr="0086652C">
        <w:rPr>
          <w:noProof/>
        </w:rPr>
        <w:t>10</w:t>
      </w:r>
      <w:r w:rsidRPr="002850C6">
        <w:rPr>
          <w:noProof/>
        </w:rPr>
        <w:t>, paragraphe </w:t>
      </w:r>
      <w:r w:rsidRPr="0086652C">
        <w:rPr>
          <w:noProof/>
        </w:rPr>
        <w:t>1</w:t>
      </w:r>
      <w:r w:rsidRPr="002850C6">
        <w:rPr>
          <w:noProof/>
        </w:rPr>
        <w:t>, du présent règlement;</w:t>
      </w:r>
    </w:p>
    <w:p w14:paraId="01BF5A24" w14:textId="77777777" w:rsidR="002850C6" w:rsidRPr="002850C6" w:rsidRDefault="002850C6" w:rsidP="002850C6">
      <w:pPr>
        <w:pStyle w:val="Point1"/>
        <w:rPr>
          <w:noProof/>
        </w:rPr>
      </w:pPr>
      <w:r w:rsidRPr="0086652C">
        <w:rPr>
          <w:noProof/>
        </w:rPr>
        <w:t>9</w:t>
      </w:r>
      <w:r w:rsidRPr="002850C6">
        <w:rPr>
          <w:noProof/>
        </w:rPr>
        <w:t>)</w:t>
      </w:r>
      <w:r w:rsidRPr="002850C6">
        <w:rPr>
          <w:noProof/>
        </w:rPr>
        <w:tab/>
        <w:t>«soutien fourni par le pays hôte»: toute action effectuée ou toute assistance fournie par un État membre receveur ou pour son compte afin de faciliter le transit par son territoire ou le stationnement temporaire sur son territoire du personnel et des équipements militaires de l’État membre demandeur, y compris l’accès à des installations de ravitaillement, de recharge, de stationnement et de repos, dans le cadre d’une opération de transport militaire;</w:t>
      </w:r>
    </w:p>
    <w:p w14:paraId="24F1BA5F" w14:textId="77777777" w:rsidR="002850C6" w:rsidRPr="002850C6" w:rsidRDefault="002850C6" w:rsidP="002850C6">
      <w:pPr>
        <w:pStyle w:val="Point1"/>
        <w:rPr>
          <w:noProof/>
        </w:rPr>
      </w:pPr>
      <w:r w:rsidRPr="0086652C">
        <w:rPr>
          <w:noProof/>
        </w:rPr>
        <w:t>10</w:t>
      </w:r>
      <w:r w:rsidRPr="002850C6">
        <w:rPr>
          <w:noProof/>
        </w:rPr>
        <w:t>)</w:t>
      </w:r>
      <w:r w:rsidRPr="002850C6">
        <w:rPr>
          <w:noProof/>
        </w:rPr>
        <w:tab/>
        <w:t>«modalités en matière de circulation»: les modalités opérationnelles arrêtées spécifiquement par les autorités compétentes des États membres receveurs pour permettre des opérations de transport militaire sur leur territoire respectif, y compris des mesures relatives aux services de contrôle de la circulation, des mesures visant à assurer le transport sécurisé de fret militaire exceptionnel et de marchandises dangereuses, des dispositions en matière d’escorte et toute autre modalité liée à la sécurité, le soutien fourni par le pays hôte et toute autre exigence spécifique à un mode de transport, telle que la mise en place de zones réglementées temporaires pour les mouvements aériens;</w:t>
      </w:r>
    </w:p>
    <w:p w14:paraId="68879731" w14:textId="77777777" w:rsidR="002850C6" w:rsidRPr="002850C6" w:rsidRDefault="002850C6" w:rsidP="002850C6">
      <w:pPr>
        <w:pStyle w:val="Point1"/>
        <w:rPr>
          <w:noProof/>
        </w:rPr>
      </w:pPr>
      <w:r w:rsidRPr="0086652C">
        <w:rPr>
          <w:noProof/>
        </w:rPr>
        <w:t>11</w:t>
      </w:r>
      <w:r w:rsidRPr="002850C6">
        <w:rPr>
          <w:noProof/>
        </w:rPr>
        <w:t>)</w:t>
      </w:r>
      <w:r w:rsidRPr="002850C6">
        <w:rPr>
          <w:noProof/>
        </w:rPr>
        <w:tab/>
        <w:t>«escorte»: une garde ou une force de police accompagnant une opération de transport militaire;</w:t>
      </w:r>
    </w:p>
    <w:p w14:paraId="34C02AFD" w14:textId="77777777" w:rsidR="002850C6" w:rsidRPr="002850C6" w:rsidRDefault="002850C6" w:rsidP="002850C6">
      <w:pPr>
        <w:pStyle w:val="Point1"/>
        <w:rPr>
          <w:noProof/>
        </w:rPr>
      </w:pPr>
      <w:r w:rsidRPr="0086652C">
        <w:rPr>
          <w:noProof/>
        </w:rPr>
        <w:t>12</w:t>
      </w:r>
      <w:r w:rsidRPr="002850C6">
        <w:rPr>
          <w:noProof/>
        </w:rPr>
        <w:t>)</w:t>
      </w:r>
      <w:r w:rsidRPr="002850C6">
        <w:rPr>
          <w:noProof/>
        </w:rPr>
        <w:tab/>
        <w:t>«cabotage»:</w:t>
      </w:r>
    </w:p>
    <w:p w14:paraId="4B3DECDF" w14:textId="77777777" w:rsidR="002850C6" w:rsidRPr="002850C6" w:rsidRDefault="002850C6" w:rsidP="002850C6">
      <w:pPr>
        <w:pStyle w:val="Point2"/>
        <w:rPr>
          <w:noProof/>
        </w:rPr>
      </w:pPr>
      <w:r w:rsidRPr="002850C6">
        <w:rPr>
          <w:noProof/>
        </w:rPr>
        <w:t>a)</w:t>
      </w:r>
      <w:r w:rsidRPr="002850C6">
        <w:rPr>
          <w:noProof/>
        </w:rPr>
        <w:tab/>
        <w:t>soit les transports nationaux de marchandises pour compte d’autrui effectués à titre temporaire dans un État membre par un opérateur établi dans un autre État membre;</w:t>
      </w:r>
    </w:p>
    <w:p w14:paraId="21B5135C" w14:textId="77777777" w:rsidR="002850C6" w:rsidRPr="002850C6" w:rsidRDefault="002850C6" w:rsidP="002850C6">
      <w:pPr>
        <w:pStyle w:val="Point2"/>
        <w:rPr>
          <w:noProof/>
        </w:rPr>
      </w:pPr>
      <w:r w:rsidRPr="002850C6">
        <w:rPr>
          <w:noProof/>
        </w:rPr>
        <w:t>b)</w:t>
      </w:r>
      <w:r w:rsidRPr="002850C6">
        <w:rPr>
          <w:noProof/>
        </w:rPr>
        <w:tab/>
        <w:t>soit les services de transports nationaux de voyageurs par route pour compte d’autrui assurés à titre temporaire dans un État membre par un transporteur établi dans un autre État membre;</w:t>
      </w:r>
    </w:p>
    <w:p w14:paraId="3AB47CED" w14:textId="77777777" w:rsidR="002850C6" w:rsidRPr="002850C6" w:rsidRDefault="002850C6" w:rsidP="002850C6">
      <w:pPr>
        <w:pStyle w:val="Point1"/>
        <w:rPr>
          <w:noProof/>
        </w:rPr>
      </w:pPr>
      <w:r w:rsidRPr="0086652C">
        <w:rPr>
          <w:noProof/>
        </w:rPr>
        <w:t>13</w:t>
      </w:r>
      <w:r w:rsidRPr="002850C6">
        <w:rPr>
          <w:noProof/>
        </w:rPr>
        <w:t>)</w:t>
      </w:r>
      <w:r w:rsidRPr="002850C6">
        <w:rPr>
          <w:noProof/>
        </w:rPr>
        <w:tab/>
        <w:t>«contrat-cadre»: un accord conclu entre un ou plusieurs pouvoirs adjudicateurs ou entités adjudicatrices et un ou plusieurs opérateurs économiques ayant pour objet d’établir les termes régissant les marchés à passer au cours d’une période donnée, notamment en ce qui concerne les prix et, le cas échéant, les quantités envisagées;</w:t>
      </w:r>
    </w:p>
    <w:p w14:paraId="39295508" w14:textId="77777777" w:rsidR="002850C6" w:rsidRPr="002850C6" w:rsidRDefault="002850C6" w:rsidP="002850C6">
      <w:pPr>
        <w:pStyle w:val="Point1"/>
        <w:rPr>
          <w:noProof/>
        </w:rPr>
      </w:pPr>
      <w:r w:rsidRPr="0086652C">
        <w:rPr>
          <w:noProof/>
        </w:rPr>
        <w:t>14</w:t>
      </w:r>
      <w:r w:rsidRPr="002850C6">
        <w:rPr>
          <w:noProof/>
        </w:rPr>
        <w:t>)</w:t>
      </w:r>
      <w:r w:rsidRPr="002850C6">
        <w:rPr>
          <w:noProof/>
        </w:rPr>
        <w:tab/>
        <w:t>«capacités de transport»: tous les équipements, moyens de transport ou membres du personnel susceptibles, séparément ou en combinaison, de faciliter, de permettre et d’exécuter des opérations de transport militaire, ainsi que les actifs mobiles destinés à la réparation d’infrastructures stratégiques à double usage;</w:t>
      </w:r>
    </w:p>
    <w:p w14:paraId="01AFF1F2" w14:textId="77777777" w:rsidR="002850C6" w:rsidRPr="002850C6" w:rsidRDefault="002850C6" w:rsidP="002850C6">
      <w:pPr>
        <w:pStyle w:val="Point1"/>
        <w:rPr>
          <w:noProof/>
        </w:rPr>
      </w:pPr>
      <w:r w:rsidRPr="0086652C">
        <w:rPr>
          <w:noProof/>
        </w:rPr>
        <w:t>15</w:t>
      </w:r>
      <w:r w:rsidRPr="002850C6">
        <w:rPr>
          <w:noProof/>
        </w:rPr>
        <w:t>)</w:t>
      </w:r>
      <w:r w:rsidRPr="002850C6">
        <w:rPr>
          <w:noProof/>
        </w:rPr>
        <w:tab/>
        <w:t>«capacités logistiques»: le personnel, les équipements et les services susceptibles de faciliter, de permettre et d’exécuter les activités relevant du soutien fourni par le pays hôte, y compris le stockage et la distribution de carburant, de fournitures et d’autres produits de base essentiels;</w:t>
      </w:r>
    </w:p>
    <w:p w14:paraId="55E182D1" w14:textId="77777777" w:rsidR="002850C6" w:rsidRPr="002850C6" w:rsidRDefault="002850C6" w:rsidP="002850C6">
      <w:pPr>
        <w:pStyle w:val="Point1"/>
        <w:rPr>
          <w:noProof/>
        </w:rPr>
      </w:pPr>
      <w:r w:rsidRPr="0086652C">
        <w:rPr>
          <w:noProof/>
        </w:rPr>
        <w:t>16</w:t>
      </w:r>
      <w:r w:rsidRPr="002850C6">
        <w:rPr>
          <w:noProof/>
        </w:rPr>
        <w:t>)</w:t>
      </w:r>
      <w:r w:rsidRPr="002850C6">
        <w:rPr>
          <w:noProof/>
        </w:rPr>
        <w:tab/>
        <w:t>«infrastructure stratégique à double usage» ou «ISD»: une infrastructure répondant aux critères énoncés à l’article </w:t>
      </w:r>
      <w:r w:rsidRPr="0086652C">
        <w:rPr>
          <w:noProof/>
        </w:rPr>
        <w:t>33</w:t>
      </w:r>
      <w:r w:rsidRPr="002850C6">
        <w:rPr>
          <w:noProof/>
        </w:rPr>
        <w:t>;</w:t>
      </w:r>
    </w:p>
    <w:p w14:paraId="476464B8" w14:textId="77777777" w:rsidR="002850C6" w:rsidRPr="002850C6" w:rsidRDefault="002850C6" w:rsidP="002850C6">
      <w:pPr>
        <w:pStyle w:val="Point1"/>
        <w:rPr>
          <w:noProof/>
        </w:rPr>
      </w:pPr>
      <w:r w:rsidRPr="0086652C">
        <w:rPr>
          <w:noProof/>
        </w:rPr>
        <w:t>17</w:t>
      </w:r>
      <w:r w:rsidRPr="002850C6">
        <w:rPr>
          <w:noProof/>
        </w:rPr>
        <w:t>)</w:t>
      </w:r>
      <w:r w:rsidRPr="002850C6">
        <w:rPr>
          <w:noProof/>
        </w:rPr>
        <w:tab/>
        <w:t>«propriétaires, exploitants et gestionnaires d’une infrastructure»: les entités responsables des investissements dans cette infrastructure ou de son exploitation quotidienne;</w:t>
      </w:r>
    </w:p>
    <w:p w14:paraId="7178BAB0" w14:textId="77777777" w:rsidR="002850C6" w:rsidRPr="002850C6" w:rsidRDefault="002850C6" w:rsidP="002850C6">
      <w:pPr>
        <w:pStyle w:val="Point1"/>
        <w:rPr>
          <w:noProof/>
        </w:rPr>
      </w:pPr>
      <w:r w:rsidRPr="0086652C">
        <w:rPr>
          <w:noProof/>
        </w:rPr>
        <w:t>18</w:t>
      </w:r>
      <w:r w:rsidRPr="002850C6">
        <w:rPr>
          <w:noProof/>
        </w:rPr>
        <w:t>)</w:t>
      </w:r>
      <w:r w:rsidRPr="002850C6">
        <w:rPr>
          <w:noProof/>
        </w:rPr>
        <w:tab/>
        <w:t xml:space="preserve">«besoins militaires du Conseil»: les «besoins militaires pour la mobilité militaire à l’intérieur et à l’extérieur de l’UE» approuvés par le Conseil le </w:t>
      </w:r>
      <w:r w:rsidRPr="0086652C">
        <w:rPr>
          <w:noProof/>
        </w:rPr>
        <w:t>26</w:t>
      </w:r>
      <w:r w:rsidRPr="002850C6">
        <w:rPr>
          <w:noProof/>
        </w:rPr>
        <w:t xml:space="preserve"> juin </w:t>
      </w:r>
      <w:r w:rsidRPr="0086652C">
        <w:rPr>
          <w:noProof/>
        </w:rPr>
        <w:t>2023</w:t>
      </w:r>
      <w:r w:rsidRPr="002850C6">
        <w:rPr>
          <w:noProof/>
        </w:rPr>
        <w:t xml:space="preserve"> et le </w:t>
      </w:r>
      <w:r w:rsidRPr="0086652C">
        <w:rPr>
          <w:noProof/>
        </w:rPr>
        <w:t>23</w:t>
      </w:r>
      <w:r w:rsidRPr="002850C6">
        <w:rPr>
          <w:noProof/>
        </w:rPr>
        <w:t xml:space="preserve"> octobre </w:t>
      </w:r>
      <w:r w:rsidRPr="0086652C">
        <w:rPr>
          <w:noProof/>
        </w:rPr>
        <w:t>2023</w:t>
      </w:r>
      <w:r w:rsidRPr="002850C6">
        <w:rPr>
          <w:noProof/>
        </w:rPr>
        <w:t>, ainsi que toute modification ultérieure de ces besoins telle qu’approuvée par le Conseil;</w:t>
      </w:r>
    </w:p>
    <w:p w14:paraId="3F9ED598" w14:textId="77777777" w:rsidR="002850C6" w:rsidRPr="002850C6" w:rsidRDefault="002850C6" w:rsidP="002850C6">
      <w:pPr>
        <w:pStyle w:val="Point1"/>
        <w:rPr>
          <w:noProof/>
        </w:rPr>
      </w:pPr>
      <w:r w:rsidRPr="0086652C">
        <w:rPr>
          <w:noProof/>
        </w:rPr>
        <w:t>19</w:t>
      </w:r>
      <w:r w:rsidRPr="002850C6">
        <w:rPr>
          <w:noProof/>
        </w:rPr>
        <w:t>)</w:t>
      </w:r>
      <w:r w:rsidRPr="002850C6">
        <w:rPr>
          <w:noProof/>
        </w:rPr>
        <w:tab/>
        <w:t>«corridor de mobilité militaire»: l’un des corridors de mobilité militaire prioritaires de l’UE établi à l’annexe II des besoins militaires du Conseil;</w:t>
      </w:r>
    </w:p>
    <w:p w14:paraId="4B74F22C" w14:textId="77777777" w:rsidR="002850C6" w:rsidRPr="002850C6" w:rsidRDefault="002850C6" w:rsidP="002850C6">
      <w:pPr>
        <w:pStyle w:val="Point1"/>
        <w:rPr>
          <w:noProof/>
        </w:rPr>
      </w:pPr>
      <w:r w:rsidRPr="0086652C">
        <w:rPr>
          <w:noProof/>
        </w:rPr>
        <w:t>20</w:t>
      </w:r>
      <w:r w:rsidRPr="002850C6">
        <w:rPr>
          <w:noProof/>
        </w:rPr>
        <w:t>)</w:t>
      </w:r>
      <w:r w:rsidRPr="002850C6">
        <w:rPr>
          <w:noProof/>
        </w:rPr>
        <w:tab/>
        <w:t>«double usage»: la capacité d’être utilisé à des fins de transport tant civil que militaire;</w:t>
      </w:r>
    </w:p>
    <w:p w14:paraId="607B6689" w14:textId="77777777" w:rsidR="002850C6" w:rsidRPr="002850C6" w:rsidRDefault="002850C6" w:rsidP="002850C6">
      <w:pPr>
        <w:pStyle w:val="Point1"/>
        <w:rPr>
          <w:noProof/>
        </w:rPr>
      </w:pPr>
      <w:r w:rsidRPr="0086652C">
        <w:rPr>
          <w:noProof/>
        </w:rPr>
        <w:t>21</w:t>
      </w:r>
      <w:r w:rsidRPr="002850C6">
        <w:rPr>
          <w:noProof/>
        </w:rPr>
        <w:t>)</w:t>
      </w:r>
      <w:r w:rsidRPr="002850C6">
        <w:rPr>
          <w:noProof/>
        </w:rPr>
        <w:tab/>
        <w:t>«denrée alimentaire»: une denrée alimentaire ou un aliment au sens de l’article </w:t>
      </w:r>
      <w:r w:rsidRPr="0086652C">
        <w:rPr>
          <w:noProof/>
        </w:rPr>
        <w:t>2</w:t>
      </w:r>
      <w:r w:rsidRPr="002850C6">
        <w:rPr>
          <w:noProof/>
        </w:rPr>
        <w:t xml:space="preserve"> du règlement (CE) nº </w:t>
      </w:r>
      <w:r w:rsidRPr="0086652C">
        <w:rPr>
          <w:noProof/>
        </w:rPr>
        <w:t>178</w:t>
      </w:r>
      <w:r w:rsidRPr="002850C6">
        <w:rPr>
          <w:noProof/>
        </w:rPr>
        <w:t>/</w:t>
      </w:r>
      <w:r w:rsidRPr="0086652C">
        <w:rPr>
          <w:noProof/>
        </w:rPr>
        <w:t>2002</w:t>
      </w:r>
      <w:r w:rsidRPr="002850C6">
        <w:rPr>
          <w:noProof/>
        </w:rPr>
        <w:t xml:space="preserve"> du Parlement européen et du Conseil</w:t>
      </w:r>
      <w:r w:rsidR="009B03F8">
        <w:rPr>
          <w:noProof/>
        </w:rPr>
        <w:t>(</w:t>
      </w:r>
      <w:r w:rsidR="009B03F8">
        <w:rPr>
          <w:rStyle w:val="FootnoteReference"/>
          <w:noProof/>
        </w:rPr>
        <w:footnoteReference w:id="55"/>
      </w:r>
      <w:r w:rsidRPr="0086652C">
        <w:rPr>
          <w:rStyle w:val="FootnoteReference"/>
          <w:noProof/>
        </w:rPr>
        <w:t>31</w:t>
      </w:r>
      <w:r w:rsidRPr="002850C6">
        <w:rPr>
          <w:rStyle w:val="FootnoteReference"/>
          <w:noProof/>
        </w:rPr>
        <w:t>)</w:t>
      </w:r>
      <w:r w:rsidRPr="002850C6">
        <w:rPr>
          <w:noProof/>
        </w:rPr>
        <w:t>;</w:t>
      </w:r>
    </w:p>
    <w:p w14:paraId="79198CD4" w14:textId="77777777" w:rsidR="002850C6" w:rsidRPr="002850C6" w:rsidRDefault="002850C6" w:rsidP="002850C6">
      <w:pPr>
        <w:pStyle w:val="Point1"/>
        <w:rPr>
          <w:noProof/>
        </w:rPr>
      </w:pPr>
      <w:r w:rsidRPr="0086652C">
        <w:rPr>
          <w:noProof/>
        </w:rPr>
        <w:t>22</w:t>
      </w:r>
      <w:r w:rsidRPr="002850C6">
        <w:rPr>
          <w:noProof/>
        </w:rPr>
        <w:t>)</w:t>
      </w:r>
      <w:r w:rsidRPr="002850C6">
        <w:rPr>
          <w:noProof/>
        </w:rPr>
        <w:tab/>
        <w:t xml:space="preserve">«marchandises destinées à être déplacées ou utilisées dans le cadre d’activités militaires»: toutes les marchandises, y compris les animaux, destinées à être déplacées ou utilisées dans l’un des contextes suivants: </w:t>
      </w:r>
    </w:p>
    <w:p w14:paraId="643C92E8" w14:textId="77777777" w:rsidR="002850C6" w:rsidRPr="002850C6" w:rsidRDefault="002850C6" w:rsidP="002850C6">
      <w:pPr>
        <w:pStyle w:val="Point2"/>
        <w:rPr>
          <w:noProof/>
        </w:rPr>
      </w:pPr>
      <w:r w:rsidRPr="002850C6">
        <w:rPr>
          <w:noProof/>
        </w:rPr>
        <w:t>a)</w:t>
      </w:r>
      <w:r w:rsidRPr="002850C6">
        <w:rPr>
          <w:noProof/>
        </w:rPr>
        <w:tab/>
        <w:t xml:space="preserve">des activités organisées par les autorités militaires compétentes d’un ou de plusieurs États membres ou d’un pays tiers avec lequel un ou plusieurs États membres ont conclu un accord en vue de mener des activités militaires sur le territoire douanier de l’Union, ou dans le cadre d’activités exercées sous le contrôle desdites autorités; ou </w:t>
      </w:r>
    </w:p>
    <w:p w14:paraId="02DCABB9" w14:textId="77777777" w:rsidR="002850C6" w:rsidRPr="002850C6" w:rsidRDefault="002850C6" w:rsidP="002850C6">
      <w:pPr>
        <w:pStyle w:val="Point2"/>
        <w:rPr>
          <w:noProof/>
        </w:rPr>
      </w:pPr>
      <w:r w:rsidRPr="002850C6">
        <w:rPr>
          <w:noProof/>
        </w:rPr>
        <w:t>b)</w:t>
      </w:r>
      <w:r w:rsidRPr="002850C6">
        <w:rPr>
          <w:noProof/>
        </w:rPr>
        <w:tab/>
        <w:t>toute activité militaire menée au titre:</w:t>
      </w:r>
    </w:p>
    <w:p w14:paraId="66B478B9" w14:textId="77777777" w:rsidR="002850C6" w:rsidRPr="002850C6" w:rsidRDefault="002850C6" w:rsidP="002850C6">
      <w:pPr>
        <w:pStyle w:val="Text3"/>
        <w:rPr>
          <w:noProof/>
        </w:rPr>
      </w:pPr>
      <w:r w:rsidRPr="002850C6">
        <w:rPr>
          <w:noProof/>
        </w:rPr>
        <w:t>i)</w:t>
      </w:r>
      <w:r w:rsidRPr="002850C6">
        <w:rPr>
          <w:noProof/>
        </w:rPr>
        <w:tab/>
        <w:t xml:space="preserve">de la politique de sécurité et de défense commune de l’Union européenne (PSDC); ou </w:t>
      </w:r>
    </w:p>
    <w:p w14:paraId="34884AF8" w14:textId="77777777" w:rsidR="002850C6" w:rsidRPr="002850C6" w:rsidRDefault="002850C6" w:rsidP="002850C6">
      <w:pPr>
        <w:pStyle w:val="Text3"/>
        <w:rPr>
          <w:noProof/>
        </w:rPr>
      </w:pPr>
      <w:r w:rsidRPr="002850C6">
        <w:rPr>
          <w:noProof/>
        </w:rPr>
        <w:t>ii)</w:t>
      </w:r>
      <w:r w:rsidRPr="002850C6">
        <w:rPr>
          <w:noProof/>
        </w:rPr>
        <w:tab/>
        <w:t xml:space="preserve">du traité de l’Atlantique Nord, signé à Washington D.C. le </w:t>
      </w:r>
      <w:r w:rsidRPr="0086652C">
        <w:rPr>
          <w:noProof/>
        </w:rPr>
        <w:t>4</w:t>
      </w:r>
      <w:r w:rsidRPr="002850C6">
        <w:rPr>
          <w:noProof/>
        </w:rPr>
        <w:t xml:space="preserve"> avril </w:t>
      </w:r>
      <w:r w:rsidRPr="0086652C">
        <w:rPr>
          <w:noProof/>
        </w:rPr>
        <w:t>1949</w:t>
      </w:r>
      <w:r w:rsidRPr="002850C6">
        <w:rPr>
          <w:noProof/>
        </w:rPr>
        <w:t>.</w:t>
      </w:r>
    </w:p>
    <w:p w14:paraId="6BB0DCF0" w14:textId="77777777" w:rsidR="002850C6" w:rsidRPr="002850C6" w:rsidRDefault="002850C6" w:rsidP="002850C6">
      <w:pPr>
        <w:rPr>
          <w:b/>
          <w:noProof/>
        </w:rPr>
      </w:pPr>
    </w:p>
    <w:p w14:paraId="7B18E303" w14:textId="77777777" w:rsidR="002850C6" w:rsidRPr="002850C6" w:rsidRDefault="002850C6" w:rsidP="002850C6">
      <w:pPr>
        <w:pStyle w:val="ChapterTitle"/>
        <w:rPr>
          <w:noProof/>
        </w:rPr>
      </w:pPr>
      <w:r w:rsidRPr="002850C6">
        <w:rPr>
          <w:noProof/>
        </w:rPr>
        <w:t xml:space="preserve">Chapitre II </w:t>
      </w:r>
      <w:r w:rsidRPr="002850C6">
        <w:rPr>
          <w:noProof/>
        </w:rPr>
        <w:cr/>
      </w:r>
      <w:r w:rsidRPr="002850C6">
        <w:rPr>
          <w:noProof/>
        </w:rPr>
        <w:br/>
        <w:t>Cadre uniforme pour la mobilité militaire</w:t>
      </w:r>
    </w:p>
    <w:p w14:paraId="04C9E5CD" w14:textId="77777777" w:rsidR="002850C6" w:rsidRPr="002850C6" w:rsidRDefault="002850C6" w:rsidP="002850C6">
      <w:pPr>
        <w:pStyle w:val="SectionTitle"/>
        <w:rPr>
          <w:noProof/>
        </w:rPr>
      </w:pPr>
      <w:r w:rsidRPr="002850C6">
        <w:rPr>
          <w:noProof/>
        </w:rPr>
        <w:t>Section </w:t>
      </w:r>
      <w:r w:rsidRPr="0086652C">
        <w:rPr>
          <w:noProof/>
        </w:rPr>
        <w:t>1</w:t>
      </w:r>
      <w:r w:rsidRPr="002850C6">
        <w:rPr>
          <w:noProof/>
        </w:rPr>
        <w:t xml:space="preserve"> </w:t>
      </w:r>
      <w:r w:rsidRPr="002850C6">
        <w:rPr>
          <w:noProof/>
        </w:rPr>
        <w:cr/>
      </w:r>
      <w:r w:rsidRPr="002850C6">
        <w:rPr>
          <w:noProof/>
        </w:rPr>
        <w:br/>
        <w:t>Procédures et règles uniformes en matière d’autorisation de transport militaire</w:t>
      </w:r>
    </w:p>
    <w:p w14:paraId="508198C0" w14:textId="77777777" w:rsidR="002850C6" w:rsidRPr="002850C6" w:rsidRDefault="002850C6" w:rsidP="002850C6">
      <w:pPr>
        <w:pStyle w:val="Titrearticle"/>
        <w:rPr>
          <w:noProof/>
        </w:rPr>
      </w:pPr>
      <w:r w:rsidRPr="002850C6">
        <w:rPr>
          <w:noProof/>
        </w:rPr>
        <w:t>Article </w:t>
      </w:r>
      <w:r w:rsidRPr="0086652C">
        <w:rPr>
          <w:noProof/>
        </w:rPr>
        <w:t>4</w:t>
      </w:r>
    </w:p>
    <w:p w14:paraId="16CDEF32" w14:textId="77777777" w:rsidR="002850C6" w:rsidRPr="002850C6" w:rsidRDefault="002850C6" w:rsidP="002850C6">
      <w:pPr>
        <w:pStyle w:val="NormalCentered"/>
        <w:rPr>
          <w:noProof/>
        </w:rPr>
      </w:pPr>
      <w:r w:rsidRPr="002850C6">
        <w:rPr>
          <w:b/>
          <w:noProof/>
        </w:rPr>
        <w:t>Autorisations de transport militaire</w:t>
      </w:r>
    </w:p>
    <w:p w14:paraId="755E04C9" w14:textId="77777777" w:rsidR="002850C6" w:rsidRPr="002850C6" w:rsidRDefault="002850C6" w:rsidP="002850C6">
      <w:pPr>
        <w:rPr>
          <w:noProof/>
        </w:rPr>
      </w:pPr>
      <w:r w:rsidRPr="002850C6">
        <w:rPr>
          <w:noProof/>
        </w:rPr>
        <w:t>Afin de faciliter le transport militaire transfrontière, l’État membre receveur peut accorder à l’État membre demandeur:</w:t>
      </w:r>
    </w:p>
    <w:p w14:paraId="32EA98FE" w14:textId="77777777" w:rsidR="002850C6" w:rsidRPr="002850C6" w:rsidRDefault="002850C6" w:rsidP="002850C6">
      <w:pPr>
        <w:pStyle w:val="Point1"/>
        <w:rPr>
          <w:noProof/>
        </w:rPr>
      </w:pPr>
      <w:r w:rsidRPr="002850C6">
        <w:rPr>
          <w:noProof/>
        </w:rPr>
        <w:t>a)</w:t>
      </w:r>
      <w:r w:rsidRPr="002850C6">
        <w:rPr>
          <w:noProof/>
        </w:rPr>
        <w:tab/>
        <w:t>les autorisations de transport militaire permanentes prévues à l’article </w:t>
      </w:r>
      <w:r w:rsidRPr="0086652C">
        <w:rPr>
          <w:noProof/>
        </w:rPr>
        <w:t>5</w:t>
      </w:r>
      <w:r w:rsidRPr="002850C6">
        <w:rPr>
          <w:noProof/>
        </w:rPr>
        <w:t>;</w:t>
      </w:r>
    </w:p>
    <w:p w14:paraId="6CFC196B" w14:textId="77777777" w:rsidR="002850C6" w:rsidRPr="002850C6" w:rsidRDefault="002850C6" w:rsidP="002850C6">
      <w:pPr>
        <w:pStyle w:val="Point1"/>
        <w:rPr>
          <w:noProof/>
        </w:rPr>
      </w:pPr>
      <w:r w:rsidRPr="002850C6">
        <w:rPr>
          <w:noProof/>
        </w:rPr>
        <w:t>b)</w:t>
      </w:r>
      <w:r w:rsidRPr="002850C6">
        <w:rPr>
          <w:noProof/>
        </w:rPr>
        <w:tab/>
        <w:t>les autorisations de transport militaire ad hoc prévues à l’article </w:t>
      </w:r>
      <w:r w:rsidRPr="0086652C">
        <w:rPr>
          <w:noProof/>
        </w:rPr>
        <w:t>6</w:t>
      </w:r>
      <w:r w:rsidRPr="002850C6">
        <w:rPr>
          <w:noProof/>
        </w:rPr>
        <w:t>.</w:t>
      </w:r>
    </w:p>
    <w:p w14:paraId="1E681336" w14:textId="77777777" w:rsidR="002850C6" w:rsidRPr="002850C6" w:rsidRDefault="002850C6" w:rsidP="002850C6">
      <w:pPr>
        <w:pStyle w:val="Titrearticle"/>
        <w:rPr>
          <w:noProof/>
        </w:rPr>
      </w:pPr>
      <w:r w:rsidRPr="002850C6">
        <w:rPr>
          <w:noProof/>
        </w:rPr>
        <w:t>Article </w:t>
      </w:r>
      <w:r w:rsidRPr="0086652C">
        <w:rPr>
          <w:noProof/>
        </w:rPr>
        <w:t>5</w:t>
      </w:r>
    </w:p>
    <w:p w14:paraId="19B5C37B" w14:textId="77777777" w:rsidR="002850C6" w:rsidRPr="002850C6" w:rsidRDefault="002850C6" w:rsidP="002850C6">
      <w:pPr>
        <w:pStyle w:val="NormalCentered"/>
        <w:rPr>
          <w:noProof/>
        </w:rPr>
      </w:pPr>
      <w:r w:rsidRPr="002850C6">
        <w:rPr>
          <w:b/>
          <w:noProof/>
        </w:rPr>
        <w:t>Autorisations de transport militaire permanentes</w:t>
      </w:r>
    </w:p>
    <w:p w14:paraId="6D18F662"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Les autorisations de transport militaire permanentes précisent les types d’opérations de transport militaire réputés autorisés par les États membres receveurs pendant leur période de validité. Les autorisations de transport militaire permanentes portent au moins sur les types d’opérations de transport militaire figurant à l’annexe I.</w:t>
      </w:r>
    </w:p>
    <w:p w14:paraId="71B11059"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receveurs prennent la décision d’accorder ou de refuser une autorisation de transport militaire permanente au plus tard deux mois après réception de la demande d’autorisation permanente.</w:t>
      </w:r>
    </w:p>
    <w:p w14:paraId="30CD2530"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Dans la mesure du possible, les États membres receveurs et demandeurs conviennent, dans l’autorisation de transport militaire permanente, des conditions dans lesquelles les opérations de transport militaire visées par cette autorisation doivent être effectuées, le cas échéant, notamment les modalités en matière de circulation applicables et les itinéraires prédéfinis.</w:t>
      </w:r>
    </w:p>
    <w:p w14:paraId="491869D8"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Les États membres, en particulier ceux situés le long d’un même corridor de mobilité militaire, peuvent aligner leurs autorisations de transport militaire permanentes et se coordonner à l’avance, notamment pour assurer la cohérence des modalités en matière de circulation et des itinéraires prédéfinis.</w:t>
      </w:r>
    </w:p>
    <w:p w14:paraId="48A16147"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Les autorisations de transport militaire permanentes sont valables jusqu’à ce qu’elles soient expressément suspendues ou révoquées par l’État membre receveur. L’État membre ne suspend ou ne révoque une autorisation de transport militaire permanente qu’en cas de force majeure ou de menace grave pour l’ordre public ou la sécurité intérieure dans cet État membre et motive cette suspension ou révocation. L’État membre receveur qui révoque ou suspend l’autorisation en informe l’État membre demandeur le plus tôt possible.</w:t>
      </w:r>
    </w:p>
    <w:p w14:paraId="721DCA84" w14:textId="77777777" w:rsidR="002850C6" w:rsidRPr="002850C6" w:rsidRDefault="002850C6" w:rsidP="002850C6">
      <w:pPr>
        <w:pStyle w:val="ManualNumPar1"/>
        <w:rPr>
          <w:noProof/>
        </w:rPr>
      </w:pPr>
      <w:r w:rsidRPr="0086652C">
        <w:rPr>
          <w:noProof/>
        </w:rPr>
        <w:t>6</w:t>
      </w:r>
      <w:r w:rsidRPr="002850C6">
        <w:rPr>
          <w:noProof/>
        </w:rPr>
        <w:t>.</w:t>
      </w:r>
      <w:r w:rsidRPr="002850C6">
        <w:rPr>
          <w:noProof/>
        </w:rPr>
        <w:tab/>
        <w:t xml:space="preserve">L’État membre receveur peut, dans des cas dûment justifiés, modifier une autorisation de transport militaire permanente </w:t>
      </w:r>
      <w:r w:rsidRPr="002850C6">
        <w:rPr>
          <w:rFonts w:ascii="Times" w:hAnsi="Times"/>
          <w:noProof/>
        </w:rPr>
        <w:t>en donnant à l’État membre demandeur un préavis d’au moins trois jours ouvrables</w:t>
      </w:r>
      <w:r w:rsidRPr="002850C6">
        <w:rPr>
          <w:noProof/>
        </w:rPr>
        <w:t>.</w:t>
      </w:r>
    </w:p>
    <w:p w14:paraId="7BEF0F1A" w14:textId="77777777" w:rsidR="002850C6" w:rsidRPr="002850C6" w:rsidRDefault="002850C6" w:rsidP="002850C6">
      <w:pPr>
        <w:pStyle w:val="ManualNumPar1"/>
        <w:rPr>
          <w:noProof/>
        </w:rPr>
      </w:pPr>
      <w:r w:rsidRPr="0086652C">
        <w:rPr>
          <w:noProof/>
        </w:rPr>
        <w:t>7</w:t>
      </w:r>
      <w:r w:rsidRPr="002850C6">
        <w:rPr>
          <w:noProof/>
        </w:rPr>
        <w:t>.</w:t>
      </w:r>
      <w:r w:rsidRPr="002850C6">
        <w:rPr>
          <w:noProof/>
        </w:rPr>
        <w:tab/>
        <w:t>Avant d’effectuer une opération de transport militaire en vertu d’une autorisation de transport militaire permanente en cours de validité, l’État membre demandeur envoie une notification à l’État membre receveur. Lorsque l’État membre demandeur sollicite un soutien fourni par le pays hôte ou d’autres modalités en matière de circulation, cette demande est incluse dans la notification.</w:t>
      </w:r>
    </w:p>
    <w:p w14:paraId="1D23610B" w14:textId="77777777" w:rsidR="002850C6" w:rsidRPr="002850C6" w:rsidRDefault="002850C6" w:rsidP="002850C6">
      <w:pPr>
        <w:pStyle w:val="ManualNumPar1"/>
        <w:rPr>
          <w:noProof/>
        </w:rPr>
      </w:pPr>
      <w:r w:rsidRPr="0086652C">
        <w:rPr>
          <w:noProof/>
        </w:rPr>
        <w:t>8</w:t>
      </w:r>
      <w:r w:rsidRPr="002850C6">
        <w:rPr>
          <w:noProof/>
        </w:rPr>
        <w:t>.</w:t>
      </w:r>
      <w:r w:rsidRPr="002850C6">
        <w:rPr>
          <w:noProof/>
        </w:rPr>
        <w:tab/>
        <w:t>La notification mentionnée au paragraphe </w:t>
      </w:r>
      <w:r w:rsidRPr="0086652C">
        <w:rPr>
          <w:noProof/>
        </w:rPr>
        <w:t>7</w:t>
      </w:r>
      <w:r w:rsidRPr="002850C6">
        <w:rPr>
          <w:noProof/>
        </w:rPr>
        <w:t xml:space="preserve"> est envoyée au plus tard </w:t>
      </w:r>
      <w:r w:rsidRPr="0086652C">
        <w:rPr>
          <w:noProof/>
        </w:rPr>
        <w:t>72</w:t>
      </w:r>
      <w:r w:rsidRPr="002850C6">
        <w:rPr>
          <w:noProof/>
        </w:rPr>
        <w:t xml:space="preserve"> heures avant l’heure d’arrivée prévue au point de passage frontalier de l’État membre receveur. En cas de transit par plusieurs États membres, l’État membre demandeur soumet la notification à tous les États membres receveurs en même temps. Lorsque la notification comprend une ou plusieurs demandes de modalités en matière de circulation, </w:t>
      </w:r>
      <w:r w:rsidRPr="002850C6">
        <w:rPr>
          <w:rFonts w:ascii="Times" w:hAnsi="Times"/>
          <w:noProof/>
        </w:rPr>
        <w:t xml:space="preserve">les États membres receveurs se coordonnent et traitent ces demandes simultanément afin d’assurer la cohérence des modalités en matière de circulation pour le transport militaire. </w:t>
      </w:r>
      <w:r w:rsidRPr="002850C6">
        <w:rPr>
          <w:noProof/>
        </w:rPr>
        <w:t>L’État membre receveur et l’État membre demandeur peuvent convenir, dans l’autorisation de transport militaire permanente, d’un délai plus court pour les notifications d’opérations de transport militaire.</w:t>
      </w:r>
    </w:p>
    <w:p w14:paraId="714E9B90" w14:textId="77777777" w:rsidR="002850C6" w:rsidRPr="002850C6" w:rsidRDefault="002850C6" w:rsidP="002850C6">
      <w:pPr>
        <w:pStyle w:val="ManualNumPar1"/>
        <w:rPr>
          <w:noProof/>
        </w:rPr>
      </w:pPr>
      <w:r w:rsidRPr="0086652C">
        <w:rPr>
          <w:noProof/>
        </w:rPr>
        <w:t>9</w:t>
      </w:r>
      <w:r w:rsidRPr="002850C6">
        <w:rPr>
          <w:noProof/>
        </w:rPr>
        <w:t>.</w:t>
      </w:r>
      <w:r w:rsidRPr="002850C6">
        <w:rPr>
          <w:noProof/>
        </w:rPr>
        <w:tab/>
        <w:t>Dès réception d’une notification visée au paragraphe </w:t>
      </w:r>
      <w:r w:rsidRPr="0086652C">
        <w:rPr>
          <w:noProof/>
        </w:rPr>
        <w:t>7</w:t>
      </w:r>
      <w:r w:rsidRPr="002850C6">
        <w:rPr>
          <w:noProof/>
        </w:rPr>
        <w:t>, l’État membre receveur peut déterminer des modalités en matière de circulation spécifiques à l’opération de transport militaire en question ou imposer des conditions à cette opération de transport militaire, y compris l’utilisation d’itinéraires spécifiques, en particulier lorsque cela est nécessaire pour le transport sécurisé de fret militaire exceptionnel ou de marchandises dangereuses conformément aux articles </w:t>
      </w:r>
      <w:r w:rsidRPr="0086652C">
        <w:rPr>
          <w:noProof/>
        </w:rPr>
        <w:t>10</w:t>
      </w:r>
      <w:r w:rsidRPr="002850C6">
        <w:rPr>
          <w:noProof/>
        </w:rPr>
        <w:t xml:space="preserve"> et </w:t>
      </w:r>
      <w:r w:rsidRPr="0086652C">
        <w:rPr>
          <w:noProof/>
        </w:rPr>
        <w:t>11</w:t>
      </w:r>
      <w:r w:rsidRPr="002850C6">
        <w:rPr>
          <w:noProof/>
        </w:rPr>
        <w:t>. Dans ce cas, il coordonne sans retard injustifié les modalités nécessaires avec l’État membre demandeur, afin de faire en sorte que l’opération de transport militaire puisse avoir lieu comme prévu.</w:t>
      </w:r>
    </w:p>
    <w:p w14:paraId="6FB2E8D5" w14:textId="77777777" w:rsidR="002850C6" w:rsidRPr="002850C6" w:rsidRDefault="002850C6" w:rsidP="002850C6">
      <w:pPr>
        <w:pStyle w:val="ManualNumPar1"/>
        <w:rPr>
          <w:noProof/>
        </w:rPr>
      </w:pPr>
      <w:r w:rsidRPr="0086652C">
        <w:rPr>
          <w:noProof/>
        </w:rPr>
        <w:t>10</w:t>
      </w:r>
      <w:r w:rsidRPr="002850C6">
        <w:rPr>
          <w:noProof/>
        </w:rPr>
        <w:t>.</w:t>
      </w:r>
      <w:r w:rsidRPr="002850C6">
        <w:rPr>
          <w:noProof/>
        </w:rPr>
        <w:tab/>
        <w:t>La Commission est habilitée à adopter des actes délégués conformément à l’article </w:t>
      </w:r>
      <w:r w:rsidRPr="0086652C">
        <w:rPr>
          <w:noProof/>
        </w:rPr>
        <w:t>44</w:t>
      </w:r>
      <w:r w:rsidRPr="002850C6">
        <w:rPr>
          <w:noProof/>
        </w:rPr>
        <w:t xml:space="preserve"> pour modifier l’annexe I afin de mettre à jour la liste des types d’opérations de transport militaire visés par des autorisations de transport militaire permanentes.</w:t>
      </w:r>
    </w:p>
    <w:p w14:paraId="3D9B2798" w14:textId="77777777" w:rsidR="002850C6" w:rsidRPr="002850C6" w:rsidRDefault="002850C6" w:rsidP="002850C6">
      <w:pPr>
        <w:pStyle w:val="Titrearticle"/>
        <w:rPr>
          <w:noProof/>
        </w:rPr>
      </w:pPr>
      <w:r w:rsidRPr="002850C6">
        <w:rPr>
          <w:noProof/>
        </w:rPr>
        <w:t>Article </w:t>
      </w:r>
      <w:r w:rsidRPr="0086652C">
        <w:rPr>
          <w:noProof/>
        </w:rPr>
        <w:t>6</w:t>
      </w:r>
    </w:p>
    <w:p w14:paraId="044AC192" w14:textId="77777777" w:rsidR="002850C6" w:rsidRPr="002850C6" w:rsidRDefault="002850C6" w:rsidP="002850C6">
      <w:pPr>
        <w:pStyle w:val="NormalCentered"/>
        <w:rPr>
          <w:noProof/>
        </w:rPr>
      </w:pPr>
      <w:r w:rsidRPr="002850C6">
        <w:rPr>
          <w:b/>
          <w:noProof/>
        </w:rPr>
        <w:t>Autorisations de transport militaire ad hoc</w:t>
      </w:r>
    </w:p>
    <w:p w14:paraId="42F0BF3A"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Une autorisation de transport militaire ad hoc peut être accordée par l’État membre receveur à l’État membre demandeur pour une ou plusieurs opérations de transport militaire qui ne sont pas visées par une autorisation de transport militaire permanente en cours de validité. Une autorisation de transport militaire ad hoc n’est valable que pour la durée qui y est précisée.</w:t>
      </w:r>
    </w:p>
    <w:p w14:paraId="28E4EEF6"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L’État membre demandeur introduit la demande d’autorisation de transport militaire ad hoc le plus tôt possible et, en tout état de cause, en temps utile pour permettre à l’État membre receveur d’accorder ou de refuser l’autorisation conformément au paragraphe </w:t>
      </w:r>
      <w:r w:rsidRPr="0086652C">
        <w:rPr>
          <w:noProof/>
        </w:rPr>
        <w:t>3</w:t>
      </w:r>
      <w:r w:rsidRPr="002850C6">
        <w:rPr>
          <w:noProof/>
        </w:rPr>
        <w:t>. Lorsque l’État membre demandeur sollicite un soutien fourni par le pays hôte ou d’autres modalités en matière de circulation, cette demande de modalités en matière de circulation est incluse dans la demande d’autorisation de transport militaire ad hoc. En cas de transit par plusieurs États membres, l’État membre demandeur soumet la demande à tous les États membres receveurs en même temps. Les États membres receveurs se coordonnent et traitent simultanément les demandes afin d’assurer la cohérence des modalités en matière de circulation pour le transport militaire.</w:t>
      </w:r>
    </w:p>
    <w:p w14:paraId="71B01381"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L’État membre receveur prend la décision d’accorder ou de refuser l’autorisation ad hoc au plus tard trois jours ouvrables après réception de la</w:t>
      </w:r>
      <w:r w:rsidRPr="002850C6">
        <w:rPr>
          <w:i/>
          <w:noProof/>
        </w:rPr>
        <w:t xml:space="preserve"> </w:t>
      </w:r>
      <w:r w:rsidRPr="002850C6">
        <w:rPr>
          <w:noProof/>
        </w:rPr>
        <w:t xml:space="preserve">demande. </w:t>
      </w:r>
      <w:r w:rsidRPr="002850C6">
        <w:rPr>
          <w:rFonts w:ascii="Times" w:hAnsi="Times"/>
          <w:noProof/>
        </w:rPr>
        <w:t xml:space="preserve">Dans sa décision d’accorder </w:t>
      </w:r>
      <w:r w:rsidRPr="002850C6">
        <w:rPr>
          <w:noProof/>
        </w:rPr>
        <w:t xml:space="preserve">une autorisation de transport militaire ad hoc, l’État membre receveur peut </w:t>
      </w:r>
      <w:r w:rsidRPr="002850C6">
        <w:rPr>
          <w:rFonts w:ascii="Times" w:hAnsi="Times"/>
          <w:noProof/>
        </w:rPr>
        <w:t>déterminer des modalités en matière de circulation spécifiques à l’opération de transport militaire en question ou</w:t>
      </w:r>
      <w:r w:rsidRPr="002850C6">
        <w:rPr>
          <w:noProof/>
        </w:rPr>
        <w:t xml:space="preserve"> imposer des conditions</w:t>
      </w:r>
      <w:r w:rsidRPr="002850C6">
        <w:rPr>
          <w:rFonts w:ascii="Times" w:hAnsi="Times"/>
          <w:noProof/>
        </w:rPr>
        <w:t xml:space="preserve"> à cette opération de transport militaire, </w:t>
      </w:r>
      <w:r w:rsidRPr="002850C6">
        <w:rPr>
          <w:noProof/>
        </w:rPr>
        <w:t xml:space="preserve">y compris l’utilisation d’itinéraires spécifiques, </w:t>
      </w:r>
      <w:r w:rsidRPr="002850C6">
        <w:rPr>
          <w:rFonts w:ascii="Times" w:hAnsi="Times"/>
          <w:noProof/>
        </w:rPr>
        <w:t>en particulier lorsque cela est nécessaire pour le transport sécurisé de fret militaire exceptionnel ou de marchandises dangereuses conformément aux articles </w:t>
      </w:r>
      <w:r w:rsidRPr="0086652C">
        <w:rPr>
          <w:rFonts w:ascii="Times" w:hAnsi="Times"/>
          <w:noProof/>
        </w:rPr>
        <w:t>10</w:t>
      </w:r>
      <w:r w:rsidRPr="002850C6">
        <w:rPr>
          <w:rFonts w:ascii="Times" w:hAnsi="Times"/>
          <w:noProof/>
        </w:rPr>
        <w:t xml:space="preserve"> et </w:t>
      </w:r>
      <w:r w:rsidRPr="0086652C">
        <w:rPr>
          <w:rFonts w:ascii="Times" w:hAnsi="Times"/>
          <w:noProof/>
        </w:rPr>
        <w:t>11</w:t>
      </w:r>
      <w:r w:rsidRPr="002850C6">
        <w:rPr>
          <w:noProof/>
        </w:rPr>
        <w:t>. Dans ce cas, il coordonne sans retard injustifié les modalités nécessaires avec l’État membre demandeur</w:t>
      </w:r>
      <w:r w:rsidRPr="002850C6">
        <w:rPr>
          <w:rFonts w:ascii="Times" w:hAnsi="Times"/>
          <w:noProof/>
        </w:rPr>
        <w:t>, afin de faire en sorte que l’opération de transport militaire puisse avoir lieu comme prévu</w:t>
      </w:r>
      <w:r w:rsidRPr="002850C6">
        <w:rPr>
          <w:noProof/>
        </w:rPr>
        <w:t>.</w:t>
      </w:r>
    </w:p>
    <w:p w14:paraId="0AE9284A"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L’État membre receveur ne peut révoquer une autorisation de transport militaire ad hoc qu’en cas de force majeure ou de menace grave pour l’ordre public ou la sécurité intérieure dans cet État membre. L’État membre receveur qui révoque l’autorisation le signale à l’État membre demandeur le plus tôt possible et motive dûment cette révocation.</w:t>
      </w:r>
    </w:p>
    <w:p w14:paraId="2DBB4C11"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L’État membre receveur ne peut modifier l’autorisation de transport militaire ad hoc délivrée que dans des cas dûment justifiés. Il communique les modifications apportées à l’État membre demandeur le plus tôt possible.</w:t>
      </w:r>
    </w:p>
    <w:p w14:paraId="0561EFF6" w14:textId="77777777" w:rsidR="002850C6" w:rsidRPr="002850C6" w:rsidRDefault="002850C6" w:rsidP="002850C6">
      <w:pPr>
        <w:pStyle w:val="ManualNumPar1"/>
        <w:rPr>
          <w:noProof/>
        </w:rPr>
      </w:pPr>
      <w:r w:rsidRPr="0086652C">
        <w:rPr>
          <w:noProof/>
        </w:rPr>
        <w:t>6</w:t>
      </w:r>
      <w:r w:rsidRPr="002850C6">
        <w:rPr>
          <w:noProof/>
        </w:rPr>
        <w:t>.</w:t>
      </w:r>
      <w:r w:rsidRPr="002850C6">
        <w:rPr>
          <w:noProof/>
        </w:rPr>
        <w:tab/>
        <w:t>L’État membre demandeur peut modifier une demande d’autorisation de transport militaire ad hoc présentée précédemment. Il le fait au plus tard trois jours ouvrables avant la date d’arrivée initialement prévue au point de passage frontalier. L’État membre receveur répond aux demandes de modification sans retard injustifié.</w:t>
      </w:r>
    </w:p>
    <w:p w14:paraId="193F644C" w14:textId="77777777" w:rsidR="002850C6" w:rsidRPr="002850C6" w:rsidRDefault="002850C6" w:rsidP="002850C6">
      <w:pPr>
        <w:pStyle w:val="ManualNumPar1"/>
        <w:rPr>
          <w:noProof/>
        </w:rPr>
      </w:pPr>
      <w:r w:rsidRPr="0086652C">
        <w:rPr>
          <w:noProof/>
        </w:rPr>
        <w:t>7</w:t>
      </w:r>
      <w:r w:rsidRPr="002850C6">
        <w:rPr>
          <w:noProof/>
        </w:rPr>
        <w:t>.</w:t>
      </w:r>
      <w:r w:rsidRPr="002850C6">
        <w:rPr>
          <w:noProof/>
        </w:rPr>
        <w:tab/>
        <w:t>Une nouvelle demande d’autorisation de transport militaire ad hoc est présentée par l’État membre demandeur si les modifications prévues concernent le transport de marchandises dangereuses ou de fret militaire exceptionnel, des modifications importantes du soutien fourni par le pays hôte ou un changement de dates.</w:t>
      </w:r>
    </w:p>
    <w:p w14:paraId="2FF7665E" w14:textId="77777777" w:rsidR="002850C6" w:rsidRPr="002850C6" w:rsidRDefault="002850C6" w:rsidP="002850C6">
      <w:pPr>
        <w:pStyle w:val="Titrearticle"/>
        <w:rPr>
          <w:noProof/>
        </w:rPr>
      </w:pPr>
      <w:r w:rsidRPr="002850C6">
        <w:rPr>
          <w:noProof/>
        </w:rPr>
        <w:t>Article </w:t>
      </w:r>
      <w:r w:rsidRPr="0086652C">
        <w:rPr>
          <w:noProof/>
        </w:rPr>
        <w:t>7</w:t>
      </w:r>
    </w:p>
    <w:p w14:paraId="411EE4D0" w14:textId="77777777" w:rsidR="002850C6" w:rsidRPr="002850C6" w:rsidRDefault="002850C6" w:rsidP="002850C6">
      <w:pPr>
        <w:pStyle w:val="NormalCentered"/>
        <w:rPr>
          <w:noProof/>
        </w:rPr>
      </w:pPr>
      <w:r w:rsidRPr="002850C6">
        <w:rPr>
          <w:b/>
          <w:noProof/>
        </w:rPr>
        <w:t>Sillons individuels pour le transport militaire par voie ferroviaire</w:t>
      </w:r>
    </w:p>
    <w:p w14:paraId="593CD009"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 xml:space="preserve">Avant d’effectuer une opération de transport militaire par voie ferroviaire, l’État membre demandeur, directement ou par l’intermédiaire d’une entreprise ferroviaire effectuant le transport militaire pour le compte de cet État membre demandeur, </w:t>
      </w:r>
      <w:bookmarkStart w:id="27" w:name="_Hlk213323315"/>
      <w:r w:rsidRPr="002850C6">
        <w:rPr>
          <w:noProof/>
        </w:rPr>
        <w:t>demande un sillon individuel au(x) gestionnaire(s) de l’infrastructure ferroviaire de l</w:t>
      </w:r>
      <w:bookmarkEnd w:id="27"/>
      <w:r w:rsidRPr="002850C6">
        <w:rPr>
          <w:noProof/>
        </w:rPr>
        <w:t>’État membre receveur en vertu de l’article </w:t>
      </w:r>
      <w:r w:rsidRPr="0086652C">
        <w:rPr>
          <w:noProof/>
        </w:rPr>
        <w:t>48</w:t>
      </w:r>
      <w:r w:rsidRPr="002850C6">
        <w:rPr>
          <w:noProof/>
        </w:rPr>
        <w:t xml:space="preserve"> de la directive </w:t>
      </w:r>
      <w:r w:rsidRPr="0086652C">
        <w:rPr>
          <w:noProof/>
        </w:rPr>
        <w:t>2012</w:t>
      </w:r>
      <w:r w:rsidRPr="002850C6">
        <w:rPr>
          <w:noProof/>
        </w:rPr>
        <w:t>/</w:t>
      </w:r>
      <w:r w:rsidRPr="0086652C">
        <w:rPr>
          <w:noProof/>
        </w:rPr>
        <w:t>34</w:t>
      </w:r>
      <w:r w:rsidRPr="002850C6">
        <w:rPr>
          <w:noProof/>
        </w:rPr>
        <w:t>/UE du Parlement européen et du Conseil</w:t>
      </w:r>
      <w:r w:rsidR="009B03F8">
        <w:rPr>
          <w:noProof/>
        </w:rPr>
        <w:t>(</w:t>
      </w:r>
      <w:r w:rsidR="009B03F8">
        <w:rPr>
          <w:rStyle w:val="FootnoteReference"/>
          <w:noProof/>
        </w:rPr>
        <w:footnoteReference w:id="56"/>
      </w:r>
      <w:r w:rsidRPr="0086652C">
        <w:rPr>
          <w:rStyle w:val="FootnoteReference"/>
          <w:noProof/>
        </w:rPr>
        <w:t>32</w:t>
      </w:r>
      <w:r w:rsidRPr="002850C6">
        <w:rPr>
          <w:rStyle w:val="FootnoteReference"/>
          <w:noProof/>
        </w:rPr>
        <w:t>)</w:t>
      </w:r>
      <w:r w:rsidRPr="002850C6">
        <w:rPr>
          <w:noProof/>
        </w:rPr>
        <w:t>.</w:t>
      </w:r>
    </w:p>
    <w:p w14:paraId="0D05C642"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 xml:space="preserve">Lorsque la coopération du gestionnaire de l’infrastructure est nécessaire pour faire en sorte que les véhicules ferroviaires, </w:t>
      </w:r>
      <w:r w:rsidRPr="002850C6">
        <w:rPr>
          <w:rFonts w:ascii="Times" w:hAnsi="Times"/>
          <w:noProof/>
        </w:rPr>
        <w:t xml:space="preserve">en particulier lorsqu’ils transportent du fret militaire exceptionnel, </w:t>
      </w:r>
      <w:r w:rsidRPr="002850C6">
        <w:rPr>
          <w:noProof/>
        </w:rPr>
        <w:t xml:space="preserve">soient compatibles avec l’itinéraire </w:t>
      </w:r>
      <w:r w:rsidRPr="002850C6">
        <w:rPr>
          <w:rFonts w:ascii="Times" w:hAnsi="Times"/>
          <w:noProof/>
        </w:rPr>
        <w:t>et convenablement intégrés dans la composition du train</w:t>
      </w:r>
      <w:r w:rsidRPr="002850C6">
        <w:rPr>
          <w:noProof/>
        </w:rPr>
        <w:t xml:space="preserve"> conformément à l’article </w:t>
      </w:r>
      <w:r w:rsidRPr="0086652C">
        <w:rPr>
          <w:noProof/>
        </w:rPr>
        <w:t>23</w:t>
      </w:r>
      <w:r w:rsidRPr="002850C6">
        <w:rPr>
          <w:noProof/>
        </w:rPr>
        <w:t xml:space="preserve"> de la directive (UE) </w:t>
      </w:r>
      <w:r w:rsidRPr="0086652C">
        <w:rPr>
          <w:noProof/>
        </w:rPr>
        <w:t>2016</w:t>
      </w:r>
      <w:r w:rsidRPr="002850C6">
        <w:rPr>
          <w:noProof/>
        </w:rPr>
        <w:t>/</w:t>
      </w:r>
      <w:r w:rsidRPr="0086652C">
        <w:rPr>
          <w:noProof/>
        </w:rPr>
        <w:t>797</w:t>
      </w:r>
      <w:r w:rsidRPr="002850C6">
        <w:rPr>
          <w:noProof/>
        </w:rPr>
        <w:t>, le gestionnaire de l’infrastructure fournit les informations nécessaires à l’entreprise ferroviaire et facilite les essais requis dès que possible.</w:t>
      </w:r>
    </w:p>
    <w:p w14:paraId="3193956A"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 xml:space="preserve">Lorsque les véhicules ferroviaires, </w:t>
      </w:r>
      <w:r w:rsidRPr="002850C6">
        <w:rPr>
          <w:rFonts w:ascii="Times" w:hAnsi="Times"/>
          <w:noProof/>
        </w:rPr>
        <w:t>en particulier ceux qui transportent du fret militaire exceptionnel,</w:t>
      </w:r>
      <w:r w:rsidRPr="002850C6">
        <w:rPr>
          <w:noProof/>
        </w:rPr>
        <w:t xml:space="preserve"> ne sont pas compatibles avec les paramètres de l’itinéraire définis dans les spécifications communes du registre de l’infrastructure établies dans le règlement d’exécution (UE) </w:t>
      </w:r>
      <w:r w:rsidRPr="0086652C">
        <w:rPr>
          <w:noProof/>
        </w:rPr>
        <w:t>2019</w:t>
      </w:r>
      <w:r w:rsidRPr="002850C6">
        <w:rPr>
          <w:noProof/>
        </w:rPr>
        <w:t>/</w:t>
      </w:r>
      <w:r w:rsidRPr="0086652C">
        <w:rPr>
          <w:noProof/>
        </w:rPr>
        <w:t>777</w:t>
      </w:r>
      <w:r w:rsidRPr="002850C6">
        <w:rPr>
          <w:noProof/>
        </w:rPr>
        <w:t xml:space="preserve"> dans des conditions d’exploitation normales, le gestionnaire de l’infrastructure détermine dès que possible si ces véhicules pourraient circuler en toute sécurité dans des conditions d’exploitation particulières.</w:t>
      </w:r>
    </w:p>
    <w:p w14:paraId="05D7C945"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Lorsque le transport ferroviaire comprend des marchandises dangereuses autorisées en vertu de l’article </w:t>
      </w:r>
      <w:r w:rsidRPr="0086652C">
        <w:rPr>
          <w:noProof/>
        </w:rPr>
        <w:t>10</w:t>
      </w:r>
      <w:r w:rsidRPr="002850C6">
        <w:rPr>
          <w:noProof/>
        </w:rPr>
        <w:t>, le gestionnaire de l’infrastructure et l’entreprise ferroviaire mettent en place toutes les mesures nécessaires pour assurer le respect des dispositions visées à l’article </w:t>
      </w:r>
      <w:r w:rsidRPr="0086652C">
        <w:rPr>
          <w:noProof/>
        </w:rPr>
        <w:t>10</w:t>
      </w:r>
      <w:r w:rsidRPr="002850C6">
        <w:rPr>
          <w:noProof/>
        </w:rPr>
        <w:t>.</w:t>
      </w:r>
    </w:p>
    <w:p w14:paraId="425113AA"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 xml:space="preserve">En cas de transit par plusieurs États membres, les gestionnaires de l’infrastructure de ces États membres se coordonnent afin d’assurer un traitement cohérent de </w:t>
      </w:r>
      <w:r w:rsidRPr="002850C6">
        <w:rPr>
          <w:rFonts w:ascii="Times" w:hAnsi="Times"/>
          <w:noProof/>
        </w:rPr>
        <w:t>l’opération de transport militaire.</w:t>
      </w:r>
    </w:p>
    <w:p w14:paraId="3B6C320E" w14:textId="77777777" w:rsidR="002850C6" w:rsidRPr="002850C6" w:rsidRDefault="002850C6" w:rsidP="002850C6">
      <w:pPr>
        <w:pStyle w:val="Titrearticle"/>
        <w:rPr>
          <w:noProof/>
        </w:rPr>
      </w:pPr>
      <w:r w:rsidRPr="002850C6">
        <w:rPr>
          <w:noProof/>
        </w:rPr>
        <w:t>Article </w:t>
      </w:r>
      <w:r w:rsidRPr="0086652C">
        <w:rPr>
          <w:noProof/>
        </w:rPr>
        <w:t>8</w:t>
      </w:r>
    </w:p>
    <w:p w14:paraId="40C91FFF" w14:textId="77777777" w:rsidR="002850C6" w:rsidRPr="002850C6" w:rsidRDefault="002850C6" w:rsidP="002850C6">
      <w:pPr>
        <w:pStyle w:val="NormalCentered"/>
        <w:rPr>
          <w:noProof/>
        </w:rPr>
      </w:pPr>
      <w:r w:rsidRPr="002850C6">
        <w:rPr>
          <w:b/>
          <w:noProof/>
        </w:rPr>
        <w:t>Modalités pratiques des procédures d’autorisation de transport militaire</w:t>
      </w:r>
    </w:p>
    <w:p w14:paraId="7EDD5C77"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Les demandes d’autorisation de transport militaire, les notifications au titre de ces autorisations et les demandes de modalités en matière de circulation prévues au présent chapitre, y compris pour le transport militaire de marchandises dangereuses et de fret militaire exceptionnel, sont présentées à l’aide du modèle figurant à l’annexe II. Les demandes et les notifications sont regroupées en une seule demande d’autorisation, une seule notification ou une seule demande de modalités en matière de circulation pour un seul et même transport militaire. Sans préjudice de la réglementation douanière de l’Union applicable, notamment les formulaires </w:t>
      </w:r>
      <w:r w:rsidRPr="0086652C">
        <w:rPr>
          <w:noProof/>
        </w:rPr>
        <w:t>302</w:t>
      </w:r>
      <w:r w:rsidRPr="002850C6">
        <w:rPr>
          <w:noProof/>
        </w:rPr>
        <w:t xml:space="preserve"> de l’OTAN et de l’UE mentionnés à l’article </w:t>
      </w:r>
      <w:r w:rsidRPr="0086652C">
        <w:rPr>
          <w:noProof/>
        </w:rPr>
        <w:t>15</w:t>
      </w:r>
      <w:r w:rsidRPr="002850C6">
        <w:rPr>
          <w:noProof/>
        </w:rPr>
        <w:t>, aucun État membre n’exige de formulaires supplémentaires.</w:t>
      </w:r>
    </w:p>
    <w:p w14:paraId="0D31317A"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La Commission est habilitée à adopter des actes délégués conformément à l’article </w:t>
      </w:r>
      <w:r w:rsidRPr="0086652C">
        <w:rPr>
          <w:noProof/>
        </w:rPr>
        <w:t>44</w:t>
      </w:r>
      <w:r w:rsidRPr="002850C6">
        <w:rPr>
          <w:noProof/>
        </w:rPr>
        <w:t xml:space="preserve"> pour modifier l’annexe II en actualisant le contenu des modèles afin de tenir compte du progrès technique ou d’évolutions opérationnelles.</w:t>
      </w:r>
    </w:p>
    <w:p w14:paraId="3343CCB2"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Toute communication entre l’État membre demandeur et l’État membre receveur au titre des articles </w:t>
      </w:r>
      <w:r w:rsidRPr="0086652C">
        <w:rPr>
          <w:noProof/>
        </w:rPr>
        <w:t>5</w:t>
      </w:r>
      <w:r w:rsidRPr="002850C6">
        <w:rPr>
          <w:noProof/>
        </w:rPr>
        <w:t xml:space="preserve"> et </w:t>
      </w:r>
      <w:r w:rsidRPr="0086652C">
        <w:rPr>
          <w:noProof/>
        </w:rPr>
        <w:t>6</w:t>
      </w:r>
      <w:r w:rsidRPr="002850C6">
        <w:rPr>
          <w:noProof/>
        </w:rPr>
        <w:t xml:space="preserve"> est transmise par l’intermédiaire du coordinateur national des transports militaires transfrontières désigné en vertu de l’article </w:t>
      </w:r>
      <w:r w:rsidRPr="0086652C">
        <w:rPr>
          <w:noProof/>
        </w:rPr>
        <w:t>40</w:t>
      </w:r>
      <w:r w:rsidRPr="002850C6">
        <w:rPr>
          <w:noProof/>
        </w:rPr>
        <w:t>, paragraphe </w:t>
      </w:r>
      <w:r w:rsidRPr="0086652C">
        <w:rPr>
          <w:noProof/>
        </w:rPr>
        <w:t>1</w:t>
      </w:r>
      <w:r w:rsidRPr="002850C6">
        <w:rPr>
          <w:noProof/>
        </w:rPr>
        <w:t>.</w:t>
      </w:r>
    </w:p>
    <w:p w14:paraId="4B10850E" w14:textId="77777777" w:rsidR="002850C6" w:rsidRPr="002850C6" w:rsidRDefault="002850C6" w:rsidP="002850C6">
      <w:pPr>
        <w:pStyle w:val="Titrearticle"/>
        <w:rPr>
          <w:noProof/>
        </w:rPr>
      </w:pPr>
      <w:r w:rsidRPr="002850C6">
        <w:rPr>
          <w:noProof/>
        </w:rPr>
        <w:t>Article </w:t>
      </w:r>
      <w:r w:rsidRPr="0086652C">
        <w:rPr>
          <w:noProof/>
        </w:rPr>
        <w:t>9</w:t>
      </w:r>
    </w:p>
    <w:p w14:paraId="53CD535C" w14:textId="77777777" w:rsidR="002850C6" w:rsidRPr="002850C6" w:rsidRDefault="002850C6" w:rsidP="002850C6">
      <w:pPr>
        <w:pStyle w:val="NormalCentered"/>
        <w:rPr>
          <w:noProof/>
        </w:rPr>
      </w:pPr>
      <w:r w:rsidRPr="002850C6">
        <w:rPr>
          <w:b/>
          <w:noProof/>
        </w:rPr>
        <w:t>Transport militaire ininterrompu</w:t>
      </w:r>
    </w:p>
    <w:p w14:paraId="0703D222" w14:textId="77777777" w:rsidR="002850C6" w:rsidRPr="002850C6" w:rsidRDefault="002850C6" w:rsidP="002850C6">
      <w:pPr>
        <w:rPr>
          <w:noProof/>
        </w:rPr>
      </w:pPr>
      <w:r w:rsidRPr="002850C6">
        <w:rPr>
          <w:noProof/>
        </w:rPr>
        <w:t>Toutes les mesures de contrôle nécessaires en ce qui concerne l’escorte des opérations de transport militaire ainsi que le marquage des véhicules de transport militaire et les armes et munitions, pour les opérations de transport militaire au sein de l’Union, ne sont appliquées qu’au premier arrêt prévu de l’opération de transport militaire après la frontière intérieure d’un État membre afin d’assurer un transport militaire ininterrompu.</w:t>
      </w:r>
    </w:p>
    <w:p w14:paraId="38A1106F" w14:textId="77777777" w:rsidR="002850C6" w:rsidRPr="002850C6" w:rsidRDefault="002850C6" w:rsidP="002850C6">
      <w:pPr>
        <w:pStyle w:val="Titrearticle"/>
        <w:rPr>
          <w:noProof/>
        </w:rPr>
      </w:pPr>
      <w:r w:rsidRPr="002850C6">
        <w:rPr>
          <w:noProof/>
        </w:rPr>
        <w:t>Article </w:t>
      </w:r>
      <w:r w:rsidRPr="0086652C">
        <w:rPr>
          <w:noProof/>
        </w:rPr>
        <w:t>10</w:t>
      </w:r>
    </w:p>
    <w:p w14:paraId="16004100" w14:textId="77777777" w:rsidR="002850C6" w:rsidRPr="002850C6" w:rsidRDefault="002850C6" w:rsidP="002850C6">
      <w:pPr>
        <w:pStyle w:val="NormalCentered"/>
        <w:rPr>
          <w:b/>
          <w:bCs/>
          <w:noProof/>
        </w:rPr>
      </w:pPr>
      <w:r w:rsidRPr="002850C6">
        <w:rPr>
          <w:b/>
          <w:noProof/>
        </w:rPr>
        <w:t>Transport militaire de marchandises dangereuses</w:t>
      </w:r>
    </w:p>
    <w:p w14:paraId="22CA6C34"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 transport militaire de marchandises dangereuses est autorisé, sous réserve d’une autorisation de transport militaire en cours de validité prévue aux articles </w:t>
      </w:r>
      <w:r w:rsidRPr="0086652C">
        <w:rPr>
          <w:noProof/>
        </w:rPr>
        <w:t>5</w:t>
      </w:r>
      <w:r w:rsidRPr="002850C6">
        <w:rPr>
          <w:noProof/>
        </w:rPr>
        <w:t xml:space="preserve"> et </w:t>
      </w:r>
      <w:r w:rsidRPr="0086652C">
        <w:rPr>
          <w:noProof/>
        </w:rPr>
        <w:t>6</w:t>
      </w:r>
      <w:r w:rsidRPr="002850C6">
        <w:rPr>
          <w:noProof/>
        </w:rPr>
        <w:t>, s’il satisfait aux prescriptions énoncées dans l’un des instruments suivants, selon le cas:</w:t>
      </w:r>
    </w:p>
    <w:p w14:paraId="4AA5BA24" w14:textId="77777777" w:rsidR="002850C6" w:rsidRPr="002850C6" w:rsidRDefault="002850C6" w:rsidP="002850C6">
      <w:pPr>
        <w:pStyle w:val="Point1"/>
        <w:rPr>
          <w:noProof/>
        </w:rPr>
      </w:pPr>
      <w:r w:rsidRPr="002850C6">
        <w:rPr>
          <w:noProof/>
        </w:rPr>
        <w:t>a)</w:t>
      </w:r>
      <w:r w:rsidRPr="002850C6">
        <w:rPr>
          <w:noProof/>
        </w:rPr>
        <w:tab/>
        <w:t xml:space="preserve">l’accord relatif au transport international des marchandises dangereuses par route (ci-après l’«ADR»), conclu à Genève le </w:t>
      </w:r>
      <w:r w:rsidRPr="0086652C">
        <w:rPr>
          <w:noProof/>
        </w:rPr>
        <w:t>30</w:t>
      </w:r>
      <w:r w:rsidRPr="002850C6">
        <w:rPr>
          <w:noProof/>
        </w:rPr>
        <w:t xml:space="preserve"> septembre </w:t>
      </w:r>
      <w:r w:rsidRPr="0086652C">
        <w:rPr>
          <w:noProof/>
        </w:rPr>
        <w:t>1957</w:t>
      </w:r>
      <w:r w:rsidRPr="002850C6">
        <w:rPr>
          <w:noProof/>
        </w:rPr>
        <w:t>;</w:t>
      </w:r>
    </w:p>
    <w:p w14:paraId="52E2DA35" w14:textId="77777777" w:rsidR="002850C6" w:rsidRPr="002850C6" w:rsidRDefault="002850C6" w:rsidP="002850C6">
      <w:pPr>
        <w:pStyle w:val="Point1"/>
        <w:rPr>
          <w:noProof/>
        </w:rPr>
      </w:pPr>
      <w:r w:rsidRPr="002850C6">
        <w:rPr>
          <w:noProof/>
        </w:rPr>
        <w:t>b)</w:t>
      </w:r>
      <w:r w:rsidRPr="002850C6">
        <w:rPr>
          <w:noProof/>
        </w:rPr>
        <w:tab/>
        <w:t xml:space="preserve">l’accord européen relatif au transport international des marchandises dangereuses par voies de navigation intérieures (ci-après l’«ADN»), conclu à Genève le </w:t>
      </w:r>
      <w:r w:rsidRPr="0086652C">
        <w:rPr>
          <w:noProof/>
        </w:rPr>
        <w:t>26</w:t>
      </w:r>
      <w:r w:rsidRPr="002850C6">
        <w:rPr>
          <w:noProof/>
        </w:rPr>
        <w:t xml:space="preserve"> mai </w:t>
      </w:r>
      <w:r w:rsidRPr="0086652C">
        <w:rPr>
          <w:noProof/>
        </w:rPr>
        <w:t>2000</w:t>
      </w:r>
      <w:r w:rsidRPr="002850C6">
        <w:rPr>
          <w:noProof/>
        </w:rPr>
        <w:t>;</w:t>
      </w:r>
    </w:p>
    <w:p w14:paraId="63DA0901" w14:textId="77777777" w:rsidR="002850C6" w:rsidRPr="002850C6" w:rsidRDefault="002850C6" w:rsidP="002850C6">
      <w:pPr>
        <w:pStyle w:val="Point1"/>
        <w:rPr>
          <w:noProof/>
        </w:rPr>
      </w:pPr>
      <w:r w:rsidRPr="002850C6">
        <w:rPr>
          <w:noProof/>
        </w:rPr>
        <w:t>c)</w:t>
      </w:r>
      <w:r w:rsidRPr="002850C6">
        <w:rPr>
          <w:noProof/>
        </w:rPr>
        <w:tab/>
        <w:t xml:space="preserve">le règlement concernant le transport international ferroviaire des marchandises dangereuses (ci-après le «RID»), constituant l’appendice C de la convention relative aux transports internationaux ferroviaires (COTIF) conclue à Vilnius le </w:t>
      </w:r>
      <w:r w:rsidRPr="0086652C">
        <w:rPr>
          <w:noProof/>
        </w:rPr>
        <w:t>3</w:t>
      </w:r>
      <w:r w:rsidRPr="002850C6">
        <w:rPr>
          <w:noProof/>
        </w:rPr>
        <w:t xml:space="preserve"> juin </w:t>
      </w:r>
      <w:r w:rsidRPr="0086652C">
        <w:rPr>
          <w:noProof/>
        </w:rPr>
        <w:t>1999</w:t>
      </w:r>
      <w:r w:rsidRPr="002850C6">
        <w:rPr>
          <w:noProof/>
        </w:rPr>
        <w:t>;</w:t>
      </w:r>
    </w:p>
    <w:p w14:paraId="3E985ED4" w14:textId="77777777" w:rsidR="002850C6" w:rsidRPr="002850C6" w:rsidRDefault="002850C6" w:rsidP="002850C6">
      <w:pPr>
        <w:pStyle w:val="Point1"/>
        <w:rPr>
          <w:noProof/>
        </w:rPr>
      </w:pPr>
      <w:r w:rsidRPr="002850C6">
        <w:rPr>
          <w:noProof/>
        </w:rPr>
        <w:t>d)</w:t>
      </w:r>
      <w:r w:rsidRPr="002850C6">
        <w:rPr>
          <w:noProof/>
        </w:rPr>
        <w:tab/>
        <w:t>le code maritime international des marchandises dangereuses (ci-après le «code IMDG»);</w:t>
      </w:r>
    </w:p>
    <w:p w14:paraId="767AC154" w14:textId="77777777" w:rsidR="002850C6" w:rsidRPr="002850C6" w:rsidRDefault="002850C6" w:rsidP="002850C6">
      <w:pPr>
        <w:pStyle w:val="Point1"/>
        <w:rPr>
          <w:noProof/>
        </w:rPr>
      </w:pPr>
      <w:r w:rsidRPr="002850C6">
        <w:rPr>
          <w:noProof/>
        </w:rPr>
        <w:t>e)</w:t>
      </w:r>
      <w:r w:rsidRPr="002850C6">
        <w:rPr>
          <w:noProof/>
        </w:rPr>
        <w:tab/>
        <w:t xml:space="preserve">les instructions techniques pour la sécurité du transport aérien des marchandises dangereuses de l’Organisation de l’aviation civile internationale (ci-après l’«ICAO-TI»); </w:t>
      </w:r>
    </w:p>
    <w:p w14:paraId="5E57BD4F" w14:textId="77777777" w:rsidR="002850C6" w:rsidRPr="002850C6" w:rsidRDefault="002850C6" w:rsidP="002850C6">
      <w:pPr>
        <w:pStyle w:val="Point1"/>
        <w:rPr>
          <w:noProof/>
        </w:rPr>
      </w:pPr>
      <w:r w:rsidRPr="002850C6">
        <w:rPr>
          <w:noProof/>
        </w:rPr>
        <w:t>f)</w:t>
      </w:r>
      <w:r w:rsidRPr="002850C6">
        <w:rPr>
          <w:noProof/>
        </w:rPr>
        <w:tab/>
        <w:t>la directive interalliée de l’OTAN pour le transport multimodal des marchandises dangereuses (ci-après l’«AMovP-</w:t>
      </w:r>
      <w:r w:rsidRPr="0086652C">
        <w:rPr>
          <w:noProof/>
        </w:rPr>
        <w:t>6</w:t>
      </w:r>
      <w:r w:rsidRPr="002850C6">
        <w:rPr>
          <w:noProof/>
        </w:rPr>
        <w:t>»).</w:t>
      </w:r>
    </w:p>
    <w:p w14:paraId="67065B09"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opérations de transport militaire effectuées en vertu de l’article </w:t>
      </w:r>
      <w:r w:rsidRPr="0086652C">
        <w:rPr>
          <w:noProof/>
        </w:rPr>
        <w:t>17</w:t>
      </w:r>
      <w:r w:rsidRPr="002850C6">
        <w:rPr>
          <w:noProof/>
        </w:rPr>
        <w:t xml:space="preserve"> par les forces armées d’un allié de l’OTAN qui n’est pas partie contractante à l’ADR, à l’ADN, au RID, au code IMDG ou à l’ICAO-TI sont autorisées si elles sont conformes à l’AMovP-</w:t>
      </w:r>
      <w:r w:rsidRPr="0086652C">
        <w:rPr>
          <w:noProof/>
        </w:rPr>
        <w:t>6</w:t>
      </w:r>
      <w:r w:rsidRPr="002850C6">
        <w:rPr>
          <w:noProof/>
        </w:rPr>
        <w:t xml:space="preserve"> de l’OTAN ou, si celle-ci ne s’applique pas, aux règles nationales applicables dans le pays d’origine, selon le cas.</w:t>
      </w:r>
    </w:p>
    <w:p w14:paraId="79DF5237"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Si nécessaire, des mesures spécifiques visant à assurer le respect des exigences énoncées dans les instruments visés aux paragraphes </w:t>
      </w:r>
      <w:r w:rsidRPr="0086652C">
        <w:rPr>
          <w:noProof/>
        </w:rPr>
        <w:t>1</w:t>
      </w:r>
      <w:r w:rsidRPr="002850C6">
        <w:rPr>
          <w:noProof/>
        </w:rPr>
        <w:t xml:space="preserve"> et </w:t>
      </w:r>
      <w:r w:rsidRPr="0086652C">
        <w:rPr>
          <w:noProof/>
        </w:rPr>
        <w:t>2</w:t>
      </w:r>
      <w:r w:rsidRPr="002850C6">
        <w:rPr>
          <w:noProof/>
        </w:rPr>
        <w:t xml:space="preserve"> sont incluses dans les modalités en matière de circulation établies au titre du présent règlement.</w:t>
      </w:r>
    </w:p>
    <w:p w14:paraId="0762020B"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Le transport militaire de marchandises dangereuses effectué dans le cadre d’une autorisation de transport militaire n’exige pas la présentation, avant le début du transport militaire, d’un quelconque formulaire ou document démontrant la conformité avec les exigences énoncées dans l’ADR, l’ADN, le RID, le code IMDG, l’ICAO-TI et l’AMovP-</w:t>
      </w:r>
      <w:r w:rsidRPr="0086652C">
        <w:rPr>
          <w:noProof/>
        </w:rPr>
        <w:t>6</w:t>
      </w:r>
      <w:r w:rsidRPr="002850C6">
        <w:rPr>
          <w:noProof/>
        </w:rPr>
        <w:t xml:space="preserve"> de l’OTAN ni avec les règles nationales applicables dans le pays d’origine, selon le cas.</w:t>
      </w:r>
    </w:p>
    <w:p w14:paraId="55F50F6D" w14:textId="77777777" w:rsidR="002850C6" w:rsidRPr="002850C6" w:rsidRDefault="002850C6" w:rsidP="002850C6">
      <w:pPr>
        <w:pStyle w:val="Titrearticle"/>
        <w:rPr>
          <w:noProof/>
        </w:rPr>
      </w:pPr>
      <w:r w:rsidRPr="002850C6">
        <w:rPr>
          <w:noProof/>
        </w:rPr>
        <w:t>Article </w:t>
      </w:r>
      <w:r w:rsidRPr="0086652C">
        <w:rPr>
          <w:noProof/>
        </w:rPr>
        <w:t>11</w:t>
      </w:r>
    </w:p>
    <w:p w14:paraId="355DA19D" w14:textId="77777777" w:rsidR="002850C6" w:rsidRPr="002850C6" w:rsidRDefault="002850C6" w:rsidP="002850C6">
      <w:pPr>
        <w:pStyle w:val="NormalCentered"/>
        <w:rPr>
          <w:noProof/>
        </w:rPr>
      </w:pPr>
      <w:r w:rsidRPr="002850C6">
        <w:rPr>
          <w:b/>
          <w:noProof/>
        </w:rPr>
        <w:t>Transport militaire exceptionnel par route</w:t>
      </w:r>
    </w:p>
    <w:p w14:paraId="640DD5C8"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 xml:space="preserve">Le transport militaire par route effectué par des véhicules ou ensembles de véhicules qui dépassent les poids ou dimensions maximaux fixés à l’annexe I de la directive </w:t>
      </w:r>
      <w:r w:rsidRPr="0086652C">
        <w:rPr>
          <w:noProof/>
        </w:rPr>
        <w:t>96</w:t>
      </w:r>
      <w:r w:rsidRPr="002850C6">
        <w:rPr>
          <w:noProof/>
        </w:rPr>
        <w:t>/</w:t>
      </w:r>
      <w:r w:rsidRPr="0086652C">
        <w:rPr>
          <w:noProof/>
        </w:rPr>
        <w:t>53</w:t>
      </w:r>
      <w:r w:rsidRPr="002850C6">
        <w:rPr>
          <w:noProof/>
        </w:rPr>
        <w:t>/CE, lorsque ces véhicules ou ensembles de véhicules transportent ou sont destinés à transporter des charges indivisibles au sens de l’article </w:t>
      </w:r>
      <w:r w:rsidRPr="0086652C">
        <w:rPr>
          <w:noProof/>
        </w:rPr>
        <w:t>2</w:t>
      </w:r>
      <w:r w:rsidRPr="002850C6">
        <w:rPr>
          <w:noProof/>
        </w:rPr>
        <w:t xml:space="preserve"> de la directive </w:t>
      </w:r>
      <w:r w:rsidRPr="0086652C">
        <w:rPr>
          <w:noProof/>
        </w:rPr>
        <w:t>96</w:t>
      </w:r>
      <w:r w:rsidRPr="002850C6">
        <w:rPr>
          <w:noProof/>
        </w:rPr>
        <w:t>/</w:t>
      </w:r>
      <w:r w:rsidRPr="0086652C">
        <w:rPr>
          <w:noProof/>
        </w:rPr>
        <w:t>53</w:t>
      </w:r>
      <w:r w:rsidRPr="002850C6">
        <w:rPr>
          <w:noProof/>
        </w:rPr>
        <w:t>/CE, est autorisé s’il fait l’objet d’une autorisation de transport militaire en cours de validité prévue aux articles </w:t>
      </w:r>
      <w:r w:rsidRPr="0086652C">
        <w:rPr>
          <w:noProof/>
        </w:rPr>
        <w:t>5</w:t>
      </w:r>
      <w:r w:rsidRPr="002850C6">
        <w:rPr>
          <w:noProof/>
        </w:rPr>
        <w:t xml:space="preserve"> et </w:t>
      </w:r>
      <w:r w:rsidRPr="0086652C">
        <w:rPr>
          <w:noProof/>
        </w:rPr>
        <w:t>6</w:t>
      </w:r>
      <w:r w:rsidRPr="002850C6">
        <w:rPr>
          <w:noProof/>
        </w:rPr>
        <w:t xml:space="preserve"> du présent règlement. </w:t>
      </w:r>
    </w:p>
    <w:p w14:paraId="01CF3A05"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En ce qui concerne le transport militaire effectué conformément au paragraphe </w:t>
      </w:r>
      <w:r w:rsidRPr="0086652C">
        <w:rPr>
          <w:noProof/>
        </w:rPr>
        <w:t>1</w:t>
      </w:r>
      <w:r w:rsidRPr="002850C6">
        <w:rPr>
          <w:noProof/>
        </w:rPr>
        <w:t>, l’État membre receveur détermine les modalités en matière de circulation applicables afin d’assurer la sécurité du transport de fret militaire exceptionnel et la compatibilité des infrastructures. Ces modalités en matière de circulation remplacent les autorisations spéciales et modalités similaires mentionnées à l’article </w:t>
      </w:r>
      <w:r w:rsidRPr="0086652C">
        <w:rPr>
          <w:noProof/>
        </w:rPr>
        <w:t>4</w:t>
      </w:r>
      <w:r w:rsidRPr="002850C6">
        <w:rPr>
          <w:noProof/>
        </w:rPr>
        <w:t>, paragraphe </w:t>
      </w:r>
      <w:r w:rsidRPr="0086652C">
        <w:rPr>
          <w:noProof/>
        </w:rPr>
        <w:t>3</w:t>
      </w:r>
      <w:r w:rsidRPr="002850C6">
        <w:rPr>
          <w:noProof/>
        </w:rPr>
        <w:t xml:space="preserve">, de la directive </w:t>
      </w:r>
      <w:r w:rsidRPr="0086652C">
        <w:rPr>
          <w:noProof/>
        </w:rPr>
        <w:t>96</w:t>
      </w:r>
      <w:r w:rsidRPr="002850C6">
        <w:rPr>
          <w:noProof/>
        </w:rPr>
        <w:t>/</w:t>
      </w:r>
      <w:r w:rsidRPr="0086652C">
        <w:rPr>
          <w:noProof/>
        </w:rPr>
        <w:t>53</w:t>
      </w:r>
      <w:r w:rsidRPr="002850C6">
        <w:rPr>
          <w:noProof/>
        </w:rPr>
        <w:t>/CE.</w:t>
      </w:r>
    </w:p>
    <w:p w14:paraId="05F17590" w14:textId="77777777" w:rsidR="002850C6" w:rsidRPr="002850C6" w:rsidRDefault="002850C6" w:rsidP="002850C6">
      <w:pPr>
        <w:pStyle w:val="Titrearticle"/>
        <w:rPr>
          <w:noProof/>
        </w:rPr>
      </w:pPr>
      <w:r w:rsidRPr="002850C6">
        <w:rPr>
          <w:noProof/>
        </w:rPr>
        <w:t>Article </w:t>
      </w:r>
      <w:r w:rsidRPr="0086652C">
        <w:rPr>
          <w:noProof/>
        </w:rPr>
        <w:t>12</w:t>
      </w:r>
    </w:p>
    <w:p w14:paraId="1B37BB15" w14:textId="77777777" w:rsidR="002850C6" w:rsidRPr="002850C6" w:rsidRDefault="002850C6" w:rsidP="002850C6">
      <w:pPr>
        <w:pStyle w:val="NormalCentered"/>
        <w:rPr>
          <w:noProof/>
        </w:rPr>
      </w:pPr>
      <w:r w:rsidRPr="002850C6">
        <w:rPr>
          <w:b/>
          <w:noProof/>
        </w:rPr>
        <w:t>Exemption du transport militaire des restrictions de circulation</w:t>
      </w:r>
    </w:p>
    <w:p w14:paraId="4410CDB7"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 transport militaire effectué en vertu d’une autorisation de transport militaire en cours de validité prévue aux articles </w:t>
      </w:r>
      <w:r w:rsidRPr="0086652C">
        <w:rPr>
          <w:noProof/>
        </w:rPr>
        <w:t>5</w:t>
      </w:r>
      <w:r w:rsidRPr="002850C6">
        <w:rPr>
          <w:noProof/>
        </w:rPr>
        <w:t xml:space="preserve"> et </w:t>
      </w:r>
      <w:r w:rsidRPr="0086652C">
        <w:rPr>
          <w:noProof/>
        </w:rPr>
        <w:t>6</w:t>
      </w:r>
      <w:r w:rsidRPr="002850C6">
        <w:rPr>
          <w:noProof/>
        </w:rPr>
        <w:t xml:space="preserve"> est autorisé pendant les week-ends, les jours fériés, les célébrations nationales, la nuit et toute autre période susceptible de faire l’objet de restrictions de circulation.</w:t>
      </w:r>
    </w:p>
    <w:p w14:paraId="53B0BFCE"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exemptent les opérations de transport militaire effectuées directement par les forces armées des restrictions de circulation qui s’appliquent à des tronçons routiers spécifiques et qui sont fondées sur les performances environnementales des véhicules.</w:t>
      </w:r>
    </w:p>
    <w:p w14:paraId="3EBB2D95" w14:textId="77777777" w:rsidR="002850C6" w:rsidRPr="002850C6" w:rsidRDefault="002850C6" w:rsidP="002850C6">
      <w:pPr>
        <w:pStyle w:val="Titrearticle"/>
        <w:rPr>
          <w:noProof/>
        </w:rPr>
      </w:pPr>
      <w:r w:rsidRPr="002850C6">
        <w:rPr>
          <w:noProof/>
        </w:rPr>
        <w:t>Article </w:t>
      </w:r>
      <w:r w:rsidRPr="0086652C">
        <w:rPr>
          <w:noProof/>
        </w:rPr>
        <w:t>13</w:t>
      </w:r>
    </w:p>
    <w:p w14:paraId="2DD08E9D" w14:textId="77777777" w:rsidR="002850C6" w:rsidRPr="002850C6" w:rsidRDefault="002850C6" w:rsidP="002850C6">
      <w:pPr>
        <w:pStyle w:val="NormalCentered"/>
        <w:rPr>
          <w:noProof/>
        </w:rPr>
      </w:pPr>
      <w:r w:rsidRPr="002850C6">
        <w:rPr>
          <w:b/>
          <w:noProof/>
        </w:rPr>
        <w:t>Exemption du transport militaire des règles en matière de cabotage</w:t>
      </w:r>
    </w:p>
    <w:p w14:paraId="34FBDC93"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Les États membres peuvent, lorsque cela est nécessaire pour faciliter le transport militaire, exempter le transport militaire effectué par des opérateurs civils des restrictions applicables aux transports de cabotage prévues à l’article </w:t>
      </w:r>
      <w:r w:rsidRPr="0086652C">
        <w:rPr>
          <w:noProof/>
        </w:rPr>
        <w:t>8</w:t>
      </w:r>
      <w:r w:rsidRPr="002850C6">
        <w:rPr>
          <w:noProof/>
        </w:rPr>
        <w:t xml:space="preserve"> du règlement (CE) nº </w:t>
      </w:r>
      <w:r w:rsidRPr="0086652C">
        <w:rPr>
          <w:noProof/>
        </w:rPr>
        <w:t>1072</w:t>
      </w:r>
      <w:r w:rsidRPr="002850C6">
        <w:rPr>
          <w:noProof/>
        </w:rPr>
        <w:t>/</w:t>
      </w:r>
      <w:r w:rsidRPr="0086652C">
        <w:rPr>
          <w:noProof/>
        </w:rPr>
        <w:t>2009</w:t>
      </w:r>
      <w:r w:rsidRPr="002850C6">
        <w:rPr>
          <w:noProof/>
        </w:rPr>
        <w:t xml:space="preserve">. </w:t>
      </w:r>
    </w:p>
    <w:p w14:paraId="3D49CE71"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informent la Commission et les autres États membres de telles exemptions.</w:t>
      </w:r>
    </w:p>
    <w:p w14:paraId="53819320" w14:textId="77777777" w:rsidR="002850C6" w:rsidRPr="002850C6" w:rsidRDefault="002850C6" w:rsidP="002850C6">
      <w:pPr>
        <w:pStyle w:val="Titrearticle"/>
        <w:rPr>
          <w:noProof/>
        </w:rPr>
      </w:pPr>
      <w:r w:rsidRPr="002850C6">
        <w:rPr>
          <w:noProof/>
        </w:rPr>
        <w:t>Article </w:t>
      </w:r>
      <w:r w:rsidRPr="0086652C">
        <w:rPr>
          <w:noProof/>
        </w:rPr>
        <w:t>14</w:t>
      </w:r>
    </w:p>
    <w:p w14:paraId="2CF616CE" w14:textId="77777777" w:rsidR="002850C6" w:rsidRPr="002850C6" w:rsidRDefault="002850C6" w:rsidP="002850C6">
      <w:pPr>
        <w:pStyle w:val="NormalCentered"/>
        <w:rPr>
          <w:b/>
          <w:bCs/>
          <w:noProof/>
        </w:rPr>
      </w:pPr>
      <w:r w:rsidRPr="002850C6">
        <w:rPr>
          <w:b/>
          <w:noProof/>
        </w:rPr>
        <w:t>Système d’information numérique sur la mobilité militaire</w:t>
      </w:r>
    </w:p>
    <w:p w14:paraId="77D5B10D"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La Commission peut adopter des actes d’exécution établissant un système d’information numérique sécurisé et restreint sur la mobilité militaire (ci-après le «système»), en tenant compte des exigences suivantes:</w:t>
      </w:r>
    </w:p>
    <w:p w14:paraId="5BF64638" w14:textId="77777777" w:rsidR="002850C6" w:rsidRPr="002850C6" w:rsidDel="00676A94" w:rsidRDefault="002850C6" w:rsidP="002850C6">
      <w:pPr>
        <w:pStyle w:val="Point2"/>
        <w:rPr>
          <w:noProof/>
        </w:rPr>
      </w:pPr>
      <w:r w:rsidRPr="002850C6">
        <w:rPr>
          <w:noProof/>
        </w:rPr>
        <w:t>a)</w:t>
      </w:r>
      <w:r w:rsidRPr="002850C6">
        <w:rPr>
          <w:noProof/>
        </w:rPr>
        <w:tab/>
        <w:t xml:space="preserve">le système est déployé d’ici à </w:t>
      </w:r>
      <w:r w:rsidRPr="0086652C">
        <w:rPr>
          <w:noProof/>
        </w:rPr>
        <w:t>2030</w:t>
      </w:r>
      <w:r w:rsidRPr="002850C6">
        <w:rPr>
          <w:noProof/>
        </w:rPr>
        <w:t xml:space="preserve">; </w:t>
      </w:r>
    </w:p>
    <w:p w14:paraId="11F0ADFC" w14:textId="77777777" w:rsidR="002850C6" w:rsidRPr="002850C6" w:rsidRDefault="002850C6" w:rsidP="002850C6">
      <w:pPr>
        <w:pStyle w:val="Point2"/>
        <w:rPr>
          <w:noProof/>
        </w:rPr>
      </w:pPr>
      <w:r w:rsidRPr="002850C6">
        <w:rPr>
          <w:noProof/>
        </w:rPr>
        <w:t>b)</w:t>
      </w:r>
      <w:r w:rsidRPr="002850C6">
        <w:rPr>
          <w:noProof/>
        </w:rPr>
        <w:tab/>
        <w:t>toute numérisation du formulaire </w:t>
      </w:r>
      <w:r w:rsidRPr="0086652C">
        <w:rPr>
          <w:noProof/>
        </w:rPr>
        <w:t>302</w:t>
      </w:r>
      <w:r w:rsidRPr="002850C6">
        <w:rPr>
          <w:noProof/>
        </w:rPr>
        <w:t xml:space="preserve"> de l’UE dans le cadre du système est conforme à la législation douanière applicable de l’Union, y compris les exigences communes en matière de données constituant le modèle de données douanières de l’UE, tel qu’il est défini à l’article </w:t>
      </w:r>
      <w:r w:rsidRPr="0086652C">
        <w:rPr>
          <w:noProof/>
        </w:rPr>
        <w:t>36</w:t>
      </w:r>
      <w:r w:rsidRPr="002850C6">
        <w:rPr>
          <w:noProof/>
        </w:rPr>
        <w:t xml:space="preserve"> du règlement (UE) [réforme douanière];</w:t>
      </w:r>
    </w:p>
    <w:p w14:paraId="594F55A4" w14:textId="77777777" w:rsidR="002850C6" w:rsidRPr="002850C6" w:rsidRDefault="002850C6" w:rsidP="002850C6">
      <w:pPr>
        <w:pStyle w:val="Point2"/>
        <w:rPr>
          <w:noProof/>
        </w:rPr>
      </w:pPr>
      <w:r w:rsidRPr="002850C6">
        <w:rPr>
          <w:noProof/>
        </w:rPr>
        <w:t>c)</w:t>
      </w:r>
      <w:r w:rsidRPr="002850C6">
        <w:rPr>
          <w:noProof/>
        </w:rPr>
        <w:tab/>
        <w:t>le système est exploité et tenu à jour par la Commission;</w:t>
      </w:r>
    </w:p>
    <w:p w14:paraId="53955E27" w14:textId="77777777" w:rsidR="002850C6" w:rsidRPr="002850C6" w:rsidRDefault="002850C6" w:rsidP="002850C6">
      <w:pPr>
        <w:pStyle w:val="Point2"/>
        <w:rPr>
          <w:b/>
          <w:bCs/>
          <w:noProof/>
          <w:sz w:val="22"/>
        </w:rPr>
      </w:pPr>
      <w:r w:rsidRPr="002850C6">
        <w:rPr>
          <w:noProof/>
        </w:rPr>
        <w:t>d)</w:t>
      </w:r>
      <w:r w:rsidRPr="002850C6">
        <w:rPr>
          <w:noProof/>
        </w:rPr>
        <w:tab/>
        <w:t>le système, à l’exception de la législation douanière applicable, tient compte du transport militaire dans le cadre d’opérations de l’OTAN, comme le prévoit l’article </w:t>
      </w:r>
      <w:r w:rsidRPr="0086652C">
        <w:rPr>
          <w:noProof/>
        </w:rPr>
        <w:t>17</w:t>
      </w:r>
      <w:r w:rsidRPr="002850C6">
        <w:rPr>
          <w:noProof/>
        </w:rPr>
        <w:t>;</w:t>
      </w:r>
    </w:p>
    <w:p w14:paraId="2449D563" w14:textId="77777777" w:rsidR="002850C6" w:rsidRPr="002850C6" w:rsidRDefault="002850C6" w:rsidP="002850C6">
      <w:pPr>
        <w:pStyle w:val="Point2"/>
        <w:rPr>
          <w:noProof/>
        </w:rPr>
      </w:pPr>
      <w:r w:rsidRPr="002850C6">
        <w:rPr>
          <w:noProof/>
        </w:rPr>
        <w:t>e)</w:t>
      </w:r>
      <w:r w:rsidRPr="002850C6">
        <w:rPr>
          <w:noProof/>
        </w:rPr>
        <w:tab/>
        <w:t>le système assure l’interopérabilité lorsque cela est nécessaire, et est mis au point sur la base de normes de l’Union et de normes internationales, dans le respect de la législation douanière de l’Union.</w:t>
      </w:r>
    </w:p>
    <w:p w14:paraId="3F8BFAED" w14:textId="77777777" w:rsidR="002850C6" w:rsidRPr="002850C6" w:rsidRDefault="002850C6" w:rsidP="002850C6">
      <w:pPr>
        <w:pStyle w:val="Text1"/>
        <w:rPr>
          <w:noProof/>
        </w:rPr>
      </w:pPr>
      <w:r w:rsidRPr="002850C6">
        <w:rPr>
          <w:noProof/>
        </w:rPr>
        <w:t>Ces actes d’exécution sont adoptés en conformité avec la procédure d’examen visée à l’article </w:t>
      </w:r>
      <w:r w:rsidRPr="0086652C">
        <w:rPr>
          <w:noProof/>
        </w:rPr>
        <w:t>45</w:t>
      </w:r>
      <w:r w:rsidRPr="002850C6">
        <w:rPr>
          <w:noProof/>
        </w:rPr>
        <w:t>, paragraphe </w:t>
      </w:r>
      <w:r w:rsidRPr="0086652C">
        <w:rPr>
          <w:noProof/>
        </w:rPr>
        <w:t>4</w:t>
      </w:r>
      <w:r w:rsidRPr="002850C6">
        <w:rPr>
          <w:noProof/>
        </w:rPr>
        <w:t>.</w:t>
      </w:r>
    </w:p>
    <w:p w14:paraId="78262645"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Lorsque le système est mis en place et devient opérationnel, les États membres l’utilisent pour toutes les procédures sur lesquelles porte le présent chapitre, y compris les formalités douanières liées au formulaire </w:t>
      </w:r>
      <w:r w:rsidRPr="0086652C">
        <w:rPr>
          <w:noProof/>
        </w:rPr>
        <w:t>302</w:t>
      </w:r>
      <w:r w:rsidRPr="002850C6">
        <w:rPr>
          <w:noProof/>
        </w:rPr>
        <w:t xml:space="preserve"> de l’UE visé dans le présent règlement.</w:t>
      </w:r>
    </w:p>
    <w:p w14:paraId="6A970C8A" w14:textId="77777777" w:rsidR="002850C6" w:rsidRPr="002850C6" w:rsidRDefault="002850C6" w:rsidP="002850C6">
      <w:pPr>
        <w:pStyle w:val="Titrearticle"/>
        <w:rPr>
          <w:noProof/>
        </w:rPr>
      </w:pPr>
      <w:r w:rsidRPr="002850C6">
        <w:rPr>
          <w:noProof/>
        </w:rPr>
        <w:t xml:space="preserve">Article </w:t>
      </w:r>
      <w:r w:rsidRPr="0086652C">
        <w:rPr>
          <w:noProof/>
        </w:rPr>
        <w:t>15</w:t>
      </w:r>
    </w:p>
    <w:p w14:paraId="3FC9047E" w14:textId="77777777" w:rsidR="002850C6" w:rsidRPr="002850C6" w:rsidRDefault="002850C6" w:rsidP="002850C6">
      <w:pPr>
        <w:pStyle w:val="NormalCentered"/>
        <w:rPr>
          <w:b/>
          <w:bCs/>
          <w:noProof/>
        </w:rPr>
      </w:pPr>
      <w:r w:rsidRPr="002850C6">
        <w:rPr>
          <w:b/>
          <w:noProof/>
        </w:rPr>
        <w:t>Formalités douanières simplifiées</w:t>
      </w:r>
    </w:p>
    <w:p w14:paraId="1DBE2101"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 transport militaire de marchandises destinées à être déplacées ou utilisées dans le cadre d’activités militaires et franchissant les frontières extérieures de l’Union est soumis à la surveillance douanière et est déclaré pour le régime douanier concerné au moyen du formulaire </w:t>
      </w:r>
      <w:r w:rsidRPr="0086652C">
        <w:rPr>
          <w:noProof/>
        </w:rPr>
        <w:t>302</w:t>
      </w:r>
      <w:r w:rsidRPr="002850C6">
        <w:rPr>
          <w:noProof/>
        </w:rPr>
        <w:t xml:space="preserve"> de l’OTAN ou du formulaire </w:t>
      </w:r>
      <w:r w:rsidRPr="0086652C">
        <w:rPr>
          <w:noProof/>
        </w:rPr>
        <w:t>302</w:t>
      </w:r>
      <w:r w:rsidRPr="002850C6">
        <w:rPr>
          <w:noProof/>
        </w:rPr>
        <w:t xml:space="preserve"> de l’UE, tels qu’ils sont définis à l’article </w:t>
      </w:r>
      <w:r w:rsidRPr="0086652C">
        <w:rPr>
          <w:noProof/>
        </w:rPr>
        <w:t>1</w:t>
      </w:r>
      <w:r w:rsidRPr="002850C6">
        <w:rPr>
          <w:noProof/>
          <w:vertAlign w:val="superscript"/>
        </w:rPr>
        <w:t>er</w:t>
      </w:r>
      <w:r w:rsidRPr="002850C6">
        <w:rPr>
          <w:noProof/>
        </w:rPr>
        <w:t>, points </w:t>
      </w:r>
      <w:r w:rsidRPr="0086652C">
        <w:rPr>
          <w:noProof/>
        </w:rPr>
        <w:t>50</w:t>
      </w:r>
      <w:r w:rsidRPr="002850C6">
        <w:rPr>
          <w:noProof/>
        </w:rPr>
        <w:t xml:space="preserve">) et </w:t>
      </w:r>
      <w:r w:rsidRPr="0086652C">
        <w:rPr>
          <w:noProof/>
        </w:rPr>
        <w:t>51</w:t>
      </w:r>
      <w:r w:rsidRPr="002850C6">
        <w:rPr>
          <w:noProof/>
        </w:rPr>
        <w:t xml:space="preserve">), du règlement délégué (UE) </w:t>
      </w:r>
      <w:r w:rsidRPr="0086652C">
        <w:rPr>
          <w:noProof/>
        </w:rPr>
        <w:t>2015</w:t>
      </w:r>
      <w:r w:rsidRPr="002850C6">
        <w:rPr>
          <w:noProof/>
        </w:rPr>
        <w:t>/</w:t>
      </w:r>
      <w:r w:rsidRPr="0086652C">
        <w:rPr>
          <w:noProof/>
        </w:rPr>
        <w:t>2446</w:t>
      </w:r>
      <w:r w:rsidRPr="002850C6">
        <w:rPr>
          <w:noProof/>
        </w:rPr>
        <w:t xml:space="preserve"> de la Commission</w:t>
      </w:r>
      <w:r w:rsidR="009B03F8">
        <w:rPr>
          <w:noProof/>
        </w:rPr>
        <w:t>(</w:t>
      </w:r>
      <w:r w:rsidR="009B03F8">
        <w:rPr>
          <w:rStyle w:val="FootnoteReference"/>
          <w:noProof/>
        </w:rPr>
        <w:footnoteReference w:id="57"/>
      </w:r>
      <w:r w:rsidRPr="0086652C">
        <w:rPr>
          <w:rStyle w:val="FootnoteReference"/>
          <w:noProof/>
        </w:rPr>
        <w:t>34</w:t>
      </w:r>
      <w:r w:rsidRPr="002850C6">
        <w:rPr>
          <w:rStyle w:val="FootnoteReference"/>
          <w:noProof/>
        </w:rPr>
        <w:t>)</w:t>
      </w:r>
      <w:r w:rsidRPr="002850C6">
        <w:rPr>
          <w:noProof/>
        </w:rPr>
        <w:t>, selon le cas, à moins que les autorités militaires chargées de l’opération de transport militaire concernée ne décident expressément de présenter la déclaration en douane normale.</w:t>
      </w:r>
    </w:p>
    <w:p w14:paraId="2204E4ED"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Lorsque des envois déclarés au titre d’un formulaire </w:t>
      </w:r>
      <w:r w:rsidRPr="0086652C">
        <w:rPr>
          <w:noProof/>
        </w:rPr>
        <w:t>302</w:t>
      </w:r>
      <w:r w:rsidRPr="002850C6">
        <w:rPr>
          <w:noProof/>
        </w:rPr>
        <w:t xml:space="preserve"> de l’UE ou de l’OTAN ont été sélectionnés en vue d’un contrôle physique ou documentaire, ces contrôles sont effectués en priorité.</w:t>
      </w:r>
    </w:p>
    <w:p w14:paraId="30CF2F77" w14:textId="77777777" w:rsidR="002850C6" w:rsidRPr="002850C6" w:rsidRDefault="002850C6" w:rsidP="002850C6">
      <w:pPr>
        <w:pStyle w:val="Titrearticle"/>
        <w:rPr>
          <w:noProof/>
        </w:rPr>
      </w:pPr>
      <w:r w:rsidRPr="002850C6">
        <w:rPr>
          <w:noProof/>
        </w:rPr>
        <w:t>Article </w:t>
      </w:r>
      <w:r w:rsidRPr="0086652C">
        <w:rPr>
          <w:noProof/>
        </w:rPr>
        <w:t>16</w:t>
      </w:r>
    </w:p>
    <w:p w14:paraId="175CBA21" w14:textId="77777777" w:rsidR="002850C6" w:rsidRPr="002850C6" w:rsidRDefault="002850C6" w:rsidP="002850C6">
      <w:pPr>
        <w:pStyle w:val="NormalCentered"/>
        <w:rPr>
          <w:noProof/>
        </w:rPr>
      </w:pPr>
      <w:r w:rsidRPr="002850C6">
        <w:rPr>
          <w:b/>
          <w:noProof/>
        </w:rPr>
        <w:t>Numérisation du formulaire </w:t>
      </w:r>
      <w:r w:rsidRPr="0086652C">
        <w:rPr>
          <w:b/>
          <w:noProof/>
        </w:rPr>
        <w:t>302</w:t>
      </w:r>
      <w:r w:rsidRPr="002850C6">
        <w:rPr>
          <w:b/>
          <w:noProof/>
        </w:rPr>
        <w:t xml:space="preserve"> de l’UE</w:t>
      </w:r>
    </w:p>
    <w:p w14:paraId="5B5D4BEB"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Lorsque le système d’information numérique sur la mobilité militaire prévu à l’article </w:t>
      </w:r>
      <w:r w:rsidRPr="0086652C">
        <w:rPr>
          <w:noProof/>
        </w:rPr>
        <w:t>14</w:t>
      </w:r>
      <w:r w:rsidRPr="002850C6">
        <w:rPr>
          <w:noProof/>
        </w:rPr>
        <w:t xml:space="preserve"> est établi et devient opérationnel, les autorités douanières des États membres l’utilisent aux fins de l’échange et du stockage d’informations relatives au formulaire </w:t>
      </w:r>
      <w:r w:rsidRPr="0086652C">
        <w:rPr>
          <w:noProof/>
        </w:rPr>
        <w:t>302</w:t>
      </w:r>
      <w:r w:rsidRPr="002850C6">
        <w:rPr>
          <w:noProof/>
        </w:rPr>
        <w:t xml:space="preserve"> de l’UE, sur la base des exigences communes en matière de données définies conformément à l’article </w:t>
      </w:r>
      <w:r w:rsidRPr="0086652C">
        <w:rPr>
          <w:noProof/>
        </w:rPr>
        <w:t>36</w:t>
      </w:r>
      <w:r w:rsidRPr="002850C6">
        <w:rPr>
          <w:noProof/>
        </w:rPr>
        <w:t xml:space="preserve"> du règlement (UE) [réforme douanière]. Les autorités douanières des États membres et l’Autorité douanière de l’Union européenne ont accès à ce système pour s’acquitter de leurs obligations douanières dans le cadre de la mobilité militaire.</w:t>
      </w:r>
    </w:p>
    <w:p w14:paraId="25365E99"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En cas de panne temporaire du système d’information numérique sur la mobilité militaire, les opérateurs économiques et d’autres personnes, y compris les autorités militaires, communiquent les informations nécessaires à l’accomplissement des formalités concernées par les moyens déterminés conformément à l’article </w:t>
      </w:r>
      <w:r w:rsidRPr="0086652C">
        <w:rPr>
          <w:noProof/>
        </w:rPr>
        <w:t>203</w:t>
      </w:r>
      <w:r w:rsidRPr="002850C6">
        <w:rPr>
          <w:noProof/>
        </w:rPr>
        <w:t xml:space="preserve"> du règlement [réforme douanière], y compris des moyens autres que des procédés informatiques de traitement des données.</w:t>
      </w:r>
    </w:p>
    <w:p w14:paraId="31D7E076" w14:textId="77777777" w:rsidR="002850C6" w:rsidRPr="002850C6" w:rsidRDefault="002850C6" w:rsidP="002850C6">
      <w:pPr>
        <w:pStyle w:val="Titrearticle"/>
        <w:rPr>
          <w:noProof/>
        </w:rPr>
      </w:pPr>
      <w:r w:rsidRPr="002850C6">
        <w:rPr>
          <w:noProof/>
        </w:rPr>
        <w:t>Article </w:t>
      </w:r>
      <w:r w:rsidRPr="0086652C">
        <w:rPr>
          <w:noProof/>
        </w:rPr>
        <w:t>17</w:t>
      </w:r>
    </w:p>
    <w:p w14:paraId="41CAD048" w14:textId="77777777" w:rsidR="002850C6" w:rsidRPr="002850C6" w:rsidRDefault="002850C6" w:rsidP="002850C6">
      <w:pPr>
        <w:jc w:val="center"/>
        <w:rPr>
          <w:b/>
          <w:bCs/>
          <w:noProof/>
        </w:rPr>
      </w:pPr>
      <w:r w:rsidRPr="002850C6">
        <w:rPr>
          <w:b/>
          <w:noProof/>
        </w:rPr>
        <w:t>Transport militaire dans le cadre d’opérations de l’OTAN</w:t>
      </w:r>
    </w:p>
    <w:p w14:paraId="1CA52397"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En ce qui concerne le transport militaire dans le cadre d’opérations, de missions et d’exercices convenus d’un commun accord au sein de l’Organisation du traité de l’Atlantique Nord (OTAN), ainsi que dans le cadre d’opérations, de missions et d’exercices convenus aux niveaux multilatéral et bilatéral entre des membres de l’OTAN, les États membres qui sont parties au traité de l’Atlantique Nord traitent les autres parties au traité de l’Atlantique Nord comme des États membres demandeurs aux fins des articles </w:t>
      </w:r>
      <w:r w:rsidRPr="0086652C">
        <w:rPr>
          <w:noProof/>
        </w:rPr>
        <w:t>4</w:t>
      </w:r>
      <w:r w:rsidRPr="002850C6">
        <w:rPr>
          <w:noProof/>
        </w:rPr>
        <w:t xml:space="preserve"> à </w:t>
      </w:r>
      <w:r w:rsidRPr="0086652C">
        <w:rPr>
          <w:noProof/>
        </w:rPr>
        <w:t>13</w:t>
      </w:r>
      <w:r w:rsidRPr="002850C6">
        <w:rPr>
          <w:noProof/>
        </w:rPr>
        <w:t xml:space="preserve"> de la présente section. Dans ce cas, ils appliquent les règles énoncées aux articles </w:t>
      </w:r>
      <w:r w:rsidRPr="0086652C">
        <w:rPr>
          <w:noProof/>
        </w:rPr>
        <w:t>4</w:t>
      </w:r>
      <w:r w:rsidRPr="002850C6">
        <w:rPr>
          <w:noProof/>
        </w:rPr>
        <w:t xml:space="preserve"> à </w:t>
      </w:r>
      <w:r w:rsidRPr="0086652C">
        <w:rPr>
          <w:noProof/>
        </w:rPr>
        <w:t>13</w:t>
      </w:r>
      <w:r w:rsidRPr="002850C6">
        <w:rPr>
          <w:noProof/>
        </w:rPr>
        <w:t xml:space="preserve"> de la présente section mutatis mutandis et sans préjudice des intérêts de l’Union et de ses États membres en matière de sécurité et de défense. </w:t>
      </w:r>
    </w:p>
    <w:p w14:paraId="06530BA3"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qui ne sont pas parties au traité de l’Atlantique Nord peuvent également décider de traiter les parties au traité de l’Atlantique Nord qui ne sont pas des États membres comme des États membres demandeurs aux fins des articles </w:t>
      </w:r>
      <w:r w:rsidRPr="0086652C">
        <w:rPr>
          <w:noProof/>
        </w:rPr>
        <w:t>4</w:t>
      </w:r>
      <w:r w:rsidRPr="002850C6">
        <w:rPr>
          <w:noProof/>
        </w:rPr>
        <w:t xml:space="preserve"> à </w:t>
      </w:r>
      <w:r w:rsidRPr="0086652C">
        <w:rPr>
          <w:noProof/>
        </w:rPr>
        <w:t>13</w:t>
      </w:r>
      <w:r w:rsidRPr="002850C6">
        <w:rPr>
          <w:noProof/>
        </w:rPr>
        <w:t xml:space="preserve"> et appliquer ces règles mutatis mutandis.</w:t>
      </w:r>
    </w:p>
    <w:p w14:paraId="3AF20D09" w14:textId="77777777" w:rsidR="002850C6" w:rsidRPr="002850C6" w:rsidRDefault="002850C6" w:rsidP="002850C6">
      <w:pPr>
        <w:rPr>
          <w:noProof/>
        </w:rPr>
      </w:pPr>
    </w:p>
    <w:p w14:paraId="72EADB2C" w14:textId="77777777" w:rsidR="002850C6" w:rsidRPr="002850C6" w:rsidRDefault="002850C6" w:rsidP="002850C6">
      <w:pPr>
        <w:pStyle w:val="SectionTitle"/>
        <w:rPr>
          <w:noProof/>
        </w:rPr>
      </w:pPr>
      <w:r w:rsidRPr="002850C6">
        <w:rPr>
          <w:noProof/>
        </w:rPr>
        <w:t>Section </w:t>
      </w:r>
      <w:r w:rsidRPr="0086652C">
        <w:rPr>
          <w:noProof/>
        </w:rPr>
        <w:t>2</w:t>
      </w:r>
      <w:r w:rsidRPr="002850C6">
        <w:rPr>
          <w:noProof/>
        </w:rPr>
        <w:t xml:space="preserve"> </w:t>
      </w:r>
      <w:r w:rsidRPr="002850C6">
        <w:rPr>
          <w:noProof/>
        </w:rPr>
        <w:cr/>
      </w:r>
      <w:r w:rsidRPr="002850C6">
        <w:rPr>
          <w:noProof/>
        </w:rPr>
        <w:br/>
        <w:t>Système européen de réaction renforcée pour la mobilité militaire (EMERS)</w:t>
      </w:r>
    </w:p>
    <w:p w14:paraId="36E71D12" w14:textId="77777777" w:rsidR="002850C6" w:rsidRPr="002850C6" w:rsidRDefault="002850C6" w:rsidP="002850C6">
      <w:pPr>
        <w:pStyle w:val="Titrearticle"/>
        <w:rPr>
          <w:noProof/>
        </w:rPr>
      </w:pPr>
      <w:r w:rsidRPr="002850C6">
        <w:rPr>
          <w:noProof/>
        </w:rPr>
        <w:t>Article </w:t>
      </w:r>
      <w:r w:rsidRPr="0086652C">
        <w:rPr>
          <w:noProof/>
        </w:rPr>
        <w:t>18</w:t>
      </w:r>
    </w:p>
    <w:p w14:paraId="5B531F91" w14:textId="77777777" w:rsidR="002850C6" w:rsidRPr="002850C6" w:rsidRDefault="002850C6" w:rsidP="002850C6">
      <w:pPr>
        <w:pStyle w:val="NormalCentered"/>
        <w:rPr>
          <w:noProof/>
        </w:rPr>
      </w:pPr>
      <w:r w:rsidRPr="002850C6">
        <w:rPr>
          <w:b/>
          <w:noProof/>
        </w:rPr>
        <w:t>EMERS</w:t>
      </w:r>
    </w:p>
    <w:p w14:paraId="1EEEEA53"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Un système européen de réaction renforcée pour la mobilité militaire (ci-après l’«EMERS») est mis en place. Lorsqu’il est activé conformément aux procédures et conditions énoncées à l’article </w:t>
      </w:r>
      <w:r w:rsidRPr="0086652C">
        <w:rPr>
          <w:noProof/>
        </w:rPr>
        <w:t>19</w:t>
      </w:r>
      <w:r w:rsidRPr="002850C6">
        <w:rPr>
          <w:noProof/>
        </w:rPr>
        <w:t>, l’EMERS permet la mise en œuvre des mesures temporaires prévues dans la présente section.</w:t>
      </w:r>
    </w:p>
    <w:p w14:paraId="4EA0342A"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Pendant la période d’activation de l’EMERS, les mesures temporaires prévues dans la présente section s’appliquent à l’ensemble du territoire de l’Union.</w:t>
      </w:r>
    </w:p>
    <w:p w14:paraId="72FE0A11" w14:textId="77777777" w:rsidR="002850C6" w:rsidRPr="002850C6" w:rsidRDefault="002850C6" w:rsidP="002850C6">
      <w:pPr>
        <w:pStyle w:val="Titrearticle"/>
        <w:rPr>
          <w:noProof/>
        </w:rPr>
      </w:pPr>
      <w:bookmarkStart w:id="28" w:name="_Hlk212622218"/>
      <w:r w:rsidRPr="002850C6">
        <w:rPr>
          <w:noProof/>
        </w:rPr>
        <w:t>Article </w:t>
      </w:r>
      <w:r w:rsidRPr="0086652C">
        <w:rPr>
          <w:noProof/>
        </w:rPr>
        <w:t>19</w:t>
      </w:r>
    </w:p>
    <w:p w14:paraId="16D53413" w14:textId="77777777" w:rsidR="002850C6" w:rsidRPr="002850C6" w:rsidRDefault="002850C6" w:rsidP="002850C6">
      <w:pPr>
        <w:pStyle w:val="NormalCentered"/>
        <w:rPr>
          <w:noProof/>
        </w:rPr>
      </w:pPr>
      <w:r w:rsidRPr="002850C6">
        <w:rPr>
          <w:b/>
          <w:noProof/>
        </w:rPr>
        <w:t>Activation de l’EMERS</w:t>
      </w:r>
    </w:p>
    <w:p w14:paraId="0C3B8729"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L’EMERS peut être activé conformément à la procédure prévue au paragraphe </w:t>
      </w:r>
      <w:r w:rsidRPr="0086652C">
        <w:rPr>
          <w:noProof/>
        </w:rPr>
        <w:t>2</w:t>
      </w:r>
      <w:r w:rsidRPr="002850C6">
        <w:rPr>
          <w:noProof/>
        </w:rPr>
        <w:t xml:space="preserve"> en cas de besoin, existant ou attendu, de transport militaire dans l’Union ou dans une partie de celle-ci caractérisé par des volumes, une fréquence ou une vitesse sensiblement plus élevés, lorsque les règles en vigueur en matière de transport militaire et la capacité du réseau de transport ne permettent pas de répondre à ce besoin ou ne sont pas suffisantes pour ce faire.</w:t>
      </w:r>
    </w:p>
    <w:p w14:paraId="62BCE398"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Lorsque la Commission estime que les conditions énoncées au paragraphe </w:t>
      </w:r>
      <w:r w:rsidRPr="0086652C">
        <w:rPr>
          <w:noProof/>
        </w:rPr>
        <w:t>1</w:t>
      </w:r>
      <w:r w:rsidRPr="002850C6">
        <w:rPr>
          <w:noProof/>
        </w:rPr>
        <w:t xml:space="preserve"> sont remplies, ou sur demande motivée d’au moins un État membre, elle présente au Conseil une proposition d’acte d’exécution visant à activer l’EMERS dès que possible.</w:t>
      </w:r>
    </w:p>
    <w:p w14:paraId="037424CD" w14:textId="77777777" w:rsidR="002850C6" w:rsidRPr="002850C6" w:rsidRDefault="002850C6" w:rsidP="002850C6">
      <w:pPr>
        <w:pStyle w:val="Text1"/>
        <w:ind w:left="1276"/>
        <w:rPr>
          <w:rFonts w:ascii="Times" w:hAnsi="Times" w:cs="Times"/>
          <w:noProof/>
        </w:rPr>
      </w:pPr>
      <w:r w:rsidRPr="002850C6">
        <w:rPr>
          <w:rFonts w:ascii="Times" w:hAnsi="Times"/>
          <w:noProof/>
        </w:rPr>
        <w:t xml:space="preserve">Avant de </w:t>
      </w:r>
      <w:r w:rsidRPr="002850C6">
        <w:rPr>
          <w:noProof/>
        </w:rPr>
        <w:t xml:space="preserve">demander l’activation de l’EMERS et lorsque </w:t>
      </w:r>
      <w:r w:rsidRPr="002850C6">
        <w:rPr>
          <w:rFonts w:ascii="Times" w:hAnsi="Times"/>
          <w:noProof/>
        </w:rPr>
        <w:t>l’urgence le permet, la Commission consulte le groupe sur les transports liés à la mobilité militaire.</w:t>
      </w:r>
    </w:p>
    <w:p w14:paraId="19B47323" w14:textId="77777777" w:rsidR="002850C6" w:rsidRPr="002850C6" w:rsidRDefault="002850C6" w:rsidP="002850C6">
      <w:pPr>
        <w:pStyle w:val="Text1"/>
        <w:ind w:left="1275"/>
        <w:rPr>
          <w:noProof/>
        </w:rPr>
      </w:pPr>
      <w:r w:rsidRPr="002850C6">
        <w:rPr>
          <w:noProof/>
        </w:rPr>
        <w:t>Avant de demander l’activation ou en parallèle à cette demande, la Commission procède à une évaluation de l’incidence de l’activation de l’EMERS sur le fonctionnement du marché intérieur et de la nécessité éventuelle de mesures d’atténuation.</w:t>
      </w:r>
    </w:p>
    <w:p w14:paraId="3AB1D511"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Le Conseil, statuant sur la proposition de la Commission prévue au paragraphe </w:t>
      </w:r>
      <w:r w:rsidRPr="0086652C">
        <w:rPr>
          <w:noProof/>
        </w:rPr>
        <w:t>2</w:t>
      </w:r>
      <w:r w:rsidRPr="002850C6">
        <w:rPr>
          <w:noProof/>
        </w:rPr>
        <w:t xml:space="preserve">, peut adopter l’acte d’exécution visant à activer l’EMERS au plus tard </w:t>
      </w:r>
      <w:r w:rsidRPr="0086652C">
        <w:rPr>
          <w:noProof/>
        </w:rPr>
        <w:t>48</w:t>
      </w:r>
      <w:r w:rsidRPr="002850C6">
        <w:rPr>
          <w:noProof/>
        </w:rPr>
        <w:t xml:space="preserve"> heures après réception de la demande d’activation. L’acte d’exécution du Conseil précise la durée d’application de l’EMERS, qui ne dépasse pas </w:t>
      </w:r>
      <w:r w:rsidRPr="0086652C">
        <w:rPr>
          <w:noProof/>
        </w:rPr>
        <w:t>12</w:t>
      </w:r>
      <w:r w:rsidRPr="002850C6">
        <w:rPr>
          <w:noProof/>
        </w:rPr>
        <w:t> mois.</w:t>
      </w:r>
    </w:p>
    <w:p w14:paraId="5347AE5D" w14:textId="77777777" w:rsidR="002850C6" w:rsidRPr="002850C6" w:rsidRDefault="002850C6" w:rsidP="002850C6">
      <w:pPr>
        <w:pStyle w:val="Text1"/>
        <w:rPr>
          <w:noProof/>
        </w:rPr>
      </w:pPr>
      <w:r w:rsidRPr="002850C6">
        <w:rPr>
          <w:noProof/>
        </w:rPr>
        <w:t>Dans l’acte d’exécution activant l’EMERS, le Conseil précise les effets des dispositions de la présente section que les États membres qui sont parties au traité de l’Atlantique Nord doivent étendre aux transports militaires effectués par des parties au traité de l’Atlantique Nord qui ne sont pas des États membres, sans préjudice des formalités douanières applicables. Les États membres qui ne sont pas parties au traité de l’Atlantique Nord peuvent décider d’appliquer la même extension des règles de l’EMERS aux parties au traité de l’Atlantique Nord qui ne sont pas des États membres. Lorsqu’il décide d’étendre certaines dispositions de l’EMERS à des parties au traité de l’Atlantique Nord qui ne sont pas des États membres, le Conseil tient compte notamment des opérations, missions et exercices convenus d’un accord commun au sein de l’OTAN qui ont trait aux causes de l’activation de l’EMERS, et respecte les intérêts de l’Union et de ses États membres en matière de sécurité et de défense.</w:t>
      </w:r>
    </w:p>
    <w:p w14:paraId="7FF900AB"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Durant l’activation de l’EMERS, la Commission convoque, si nécessaire, à la demande d’un État membre ou de sa propre initiative, des réunions extraordinaires du groupe sur les transports liés à la mobilité militaire. Les États membres collaborent étroitement avec la Commission, en l’informant en temps utile de toute mesure nationale prise en ce qui concerne l’activation de l’EMERS et en se coordonnant avec elle à ce sujet.</w:t>
      </w:r>
    </w:p>
    <w:p w14:paraId="0E9BACFD"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Sur demande motivée d’au moins un État membre, ou de sa propre initiative, la Commission évalue si les conditions visées au paragraphe </w:t>
      </w:r>
      <w:r w:rsidRPr="0086652C">
        <w:rPr>
          <w:noProof/>
        </w:rPr>
        <w:t>1</w:t>
      </w:r>
      <w:r w:rsidRPr="002850C6">
        <w:rPr>
          <w:noProof/>
        </w:rPr>
        <w:t xml:space="preserve"> continuent d’être remplies et soumet au Conseil une nouvelle proposition, s’il y a lieu. Sur la base de l’évaluation de la Commission, le Conseil peut décider de prolonger l’activation de l’EMERS ou d’y mettre un terme avant la fin du délai fixé dans l’acte d’exécution du Conseil visé au paragraphe </w:t>
      </w:r>
      <w:r w:rsidRPr="0086652C">
        <w:rPr>
          <w:noProof/>
        </w:rPr>
        <w:t>3</w:t>
      </w:r>
      <w:r w:rsidRPr="002850C6">
        <w:rPr>
          <w:noProof/>
        </w:rPr>
        <w:t>, conformément à la procédure énoncée au paragraphe </w:t>
      </w:r>
      <w:r w:rsidRPr="0086652C">
        <w:rPr>
          <w:noProof/>
        </w:rPr>
        <w:t>2</w:t>
      </w:r>
      <w:r w:rsidRPr="002850C6">
        <w:rPr>
          <w:noProof/>
        </w:rPr>
        <w:t xml:space="preserve">. Chaque acte d’exécution prolongeant l’activation de l’EMERS reste en vigueur pendant une période n’excédant pas </w:t>
      </w:r>
      <w:r w:rsidRPr="0086652C">
        <w:rPr>
          <w:noProof/>
        </w:rPr>
        <w:t>12</w:t>
      </w:r>
      <w:r w:rsidRPr="002850C6">
        <w:rPr>
          <w:noProof/>
        </w:rPr>
        <w:t> mois. Si une nouvelle prolongation est nécessaire après cette date, la procédure prévue au présent article s’applique.</w:t>
      </w:r>
    </w:p>
    <w:bookmarkEnd w:id="28"/>
    <w:p w14:paraId="05482BF9" w14:textId="77777777" w:rsidR="002850C6" w:rsidRPr="002850C6" w:rsidRDefault="002850C6" w:rsidP="002850C6">
      <w:pPr>
        <w:pStyle w:val="Titrearticle"/>
        <w:rPr>
          <w:noProof/>
        </w:rPr>
      </w:pPr>
      <w:r w:rsidRPr="002850C6">
        <w:rPr>
          <w:noProof/>
        </w:rPr>
        <w:t>Article </w:t>
      </w:r>
      <w:r w:rsidRPr="0086652C">
        <w:rPr>
          <w:noProof/>
        </w:rPr>
        <w:t>20</w:t>
      </w:r>
    </w:p>
    <w:p w14:paraId="3CCB9C90" w14:textId="77777777" w:rsidR="002850C6" w:rsidRPr="002850C6" w:rsidRDefault="002850C6" w:rsidP="002850C6">
      <w:pPr>
        <w:pStyle w:val="NormalCentered"/>
        <w:keepNext/>
        <w:rPr>
          <w:noProof/>
        </w:rPr>
      </w:pPr>
      <w:r w:rsidRPr="002850C6">
        <w:rPr>
          <w:b/>
          <w:noProof/>
        </w:rPr>
        <w:t>Notification de transport militaire pendant la période d’activation de l’EMERS</w:t>
      </w:r>
    </w:p>
    <w:p w14:paraId="6A42277D"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Par dérogation aux articles </w:t>
      </w:r>
      <w:r w:rsidRPr="0086652C">
        <w:rPr>
          <w:noProof/>
        </w:rPr>
        <w:t>5</w:t>
      </w:r>
      <w:r w:rsidRPr="002850C6">
        <w:rPr>
          <w:noProof/>
        </w:rPr>
        <w:t xml:space="preserve"> et </w:t>
      </w:r>
      <w:r w:rsidRPr="0086652C">
        <w:rPr>
          <w:noProof/>
        </w:rPr>
        <w:t>6</w:t>
      </w:r>
      <w:r w:rsidRPr="002850C6">
        <w:rPr>
          <w:noProof/>
        </w:rPr>
        <w:t>, pendant la période d’activation de l’EMERS, les demandes d’autorisation de transport militaire sont réputées acceptées par les États membres receveurs et ce, sans préjudice du caractère spécifique des politiques de sécurité et de défense de certains États membres.</w:t>
      </w:r>
    </w:p>
    <w:p w14:paraId="06F1C4D3"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L’État membre demandeur communique son projet de transport militaire aux États membres receveurs le plus tôt possible et au plus tard six heures avant l’heure d’arrivée prévue au point de passage frontalier de l’État membre receveur. Cette notification comprend toutes les informations pertinentes, notamment la portée, l’itinéraire prévu et le calendrier du transport et, le cas échéant, la demande de soutien fourni par le pays hôte ou d’autres modalités en matière de circulation.</w:t>
      </w:r>
    </w:p>
    <w:p w14:paraId="04188109"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r>
      <w:r w:rsidRPr="002850C6">
        <w:rPr>
          <w:rStyle w:val="normaltextrun"/>
          <w:noProof/>
        </w:rPr>
        <w:t xml:space="preserve">Lorsque l’État membre receveur exige des modalités en matière de circulation en vertu de </w:t>
      </w:r>
      <w:r w:rsidRPr="002850C6">
        <w:rPr>
          <w:noProof/>
        </w:rPr>
        <w:t>l’article </w:t>
      </w:r>
      <w:r w:rsidRPr="0086652C">
        <w:rPr>
          <w:noProof/>
        </w:rPr>
        <w:t>5</w:t>
      </w:r>
      <w:r w:rsidRPr="002850C6">
        <w:rPr>
          <w:noProof/>
        </w:rPr>
        <w:t>, paragraphe </w:t>
      </w:r>
      <w:r w:rsidRPr="0086652C">
        <w:rPr>
          <w:noProof/>
        </w:rPr>
        <w:t>9</w:t>
      </w:r>
      <w:r w:rsidRPr="002850C6">
        <w:rPr>
          <w:noProof/>
        </w:rPr>
        <w:t>, et de l’article </w:t>
      </w:r>
      <w:r w:rsidRPr="0086652C">
        <w:rPr>
          <w:noProof/>
        </w:rPr>
        <w:t>6</w:t>
      </w:r>
      <w:r w:rsidRPr="002850C6">
        <w:rPr>
          <w:noProof/>
        </w:rPr>
        <w:t>, paragraphe </w:t>
      </w:r>
      <w:r w:rsidRPr="0086652C">
        <w:rPr>
          <w:noProof/>
        </w:rPr>
        <w:t>3</w:t>
      </w:r>
      <w:r w:rsidRPr="002850C6">
        <w:rPr>
          <w:noProof/>
        </w:rPr>
        <w:t xml:space="preserve">, il les détermine </w:t>
      </w:r>
      <w:r w:rsidRPr="002850C6">
        <w:rPr>
          <w:rStyle w:val="normaltextrun"/>
          <w:noProof/>
        </w:rPr>
        <w:t>sans retard injustifié, afin de faire en sorte que l’opération de transport puisse avoir lieu comme prévu</w:t>
      </w:r>
      <w:r w:rsidRPr="002850C6">
        <w:rPr>
          <w:noProof/>
        </w:rPr>
        <w:t xml:space="preserve">. </w:t>
      </w:r>
    </w:p>
    <w:p w14:paraId="3B1AFA74" w14:textId="77777777" w:rsidR="002850C6" w:rsidRPr="002850C6" w:rsidRDefault="002850C6" w:rsidP="002850C6">
      <w:pPr>
        <w:pStyle w:val="Titrearticle"/>
        <w:rPr>
          <w:noProof/>
        </w:rPr>
      </w:pPr>
      <w:r w:rsidRPr="002850C6">
        <w:rPr>
          <w:noProof/>
        </w:rPr>
        <w:t>Article </w:t>
      </w:r>
      <w:r w:rsidRPr="0086652C">
        <w:rPr>
          <w:noProof/>
        </w:rPr>
        <w:t>21</w:t>
      </w:r>
    </w:p>
    <w:p w14:paraId="15071939" w14:textId="77777777" w:rsidR="002850C6" w:rsidRPr="002850C6" w:rsidRDefault="002850C6" w:rsidP="002850C6">
      <w:pPr>
        <w:pStyle w:val="NormalCentered"/>
        <w:keepNext/>
        <w:rPr>
          <w:noProof/>
        </w:rPr>
      </w:pPr>
      <w:r w:rsidRPr="002850C6">
        <w:rPr>
          <w:b/>
          <w:noProof/>
        </w:rPr>
        <w:t>Accès prioritaire pendant la période d’activation de l’EMERS</w:t>
      </w:r>
    </w:p>
    <w:p w14:paraId="4C5F5475"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Pendant la période d’activation de l’EMERS, les États membres, ainsi que les propriétaires, exploitants et gestionnaires d’infrastructures ou, selon le cas, les fournisseurs de services ou d’installations connexes, accordent aux transports militaires, y compris aux transports militaires exceptionnels et aux transports de marchandises dangereuses, un accès prioritaire aux réseaux et infrastructures de transport, notamment aux réseaux routiers, aux aires de stationnement et de repos, aux réseaux ferroviaires, aux gares et aux installations de service, aux infrastructures maritimes et de navigation intérieure, y compris les eaux intérieures et les eaux territoriales, telles qu’elles sont définies dans la convention des Nations unies sur le droit de la mer (CNUDM), aux voies maritimes, aux chenaux de navigation, aux chenaux dragués, aux entrées de port, aux détroits utilisés pour la navigation internationale et aux zones sous gestion ou pilotage de la circulation maritime, aux écluses, aux ports et aux terminaux portuaires, aux canaux maritimes, aux aérodromes, à l’espace aérien, aux terminaux de fret multimodaux, aux infrastructures de ravitaillement/recharge pour tous les modes de transport, ainsi qu’aux services et installations connexes.</w:t>
      </w:r>
    </w:p>
    <w:p w14:paraId="0037E18D"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Afin d’assurer un accès prioritaire aux opérations de transport militaire, les forces armées effectuant ou sous-traitant le transport militaire soumettent une demande d’accès prioritaire au coordinateur national des transports militaires transfrontières de l’État membre receveur désigné en vertu de l’article </w:t>
      </w:r>
      <w:r w:rsidRPr="0086652C">
        <w:rPr>
          <w:noProof/>
        </w:rPr>
        <w:t>40</w:t>
      </w:r>
      <w:r w:rsidRPr="002850C6">
        <w:rPr>
          <w:noProof/>
        </w:rPr>
        <w:t>.</w:t>
      </w:r>
    </w:p>
    <w:p w14:paraId="7AD497EA"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La demande visée au paragraphe </w:t>
      </w:r>
      <w:r w:rsidRPr="0086652C">
        <w:rPr>
          <w:noProof/>
        </w:rPr>
        <w:t>2</w:t>
      </w:r>
      <w:r w:rsidRPr="002850C6">
        <w:rPr>
          <w:noProof/>
        </w:rPr>
        <w:t xml:space="preserve"> est présentée dès que possible et comprend les informations nécessaires pour préparer de manière appropriée l’accès prioritaire du transport militaire. Elle précise notamment l’heure d’arrivée prévue et la durée de l’accès prioritaire ainsi que le nombre de véhicules, leur fret ainsi que leurs dimensions et poids respectifs. Elle indique également si le transport militaire comprend des marchandises dangereuses et la nature de celles-ci. Elle peut inclure une demande de modalités en matière de circulation visée à l’article </w:t>
      </w:r>
      <w:r w:rsidRPr="0086652C">
        <w:rPr>
          <w:noProof/>
        </w:rPr>
        <w:t>20</w:t>
      </w:r>
      <w:r w:rsidRPr="002850C6">
        <w:rPr>
          <w:noProof/>
        </w:rPr>
        <w:t>, paragraphe </w:t>
      </w:r>
      <w:r w:rsidRPr="0086652C">
        <w:rPr>
          <w:noProof/>
        </w:rPr>
        <w:t>2</w:t>
      </w:r>
      <w:r w:rsidRPr="002850C6">
        <w:rPr>
          <w:noProof/>
        </w:rPr>
        <w:t>.</w:t>
      </w:r>
    </w:p>
    <w:p w14:paraId="48D4E6F7"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Le coordinateur national des transports militaires transfrontières de l’État membre receveur informe rapidement les propriétaires, exploitants et gestionnaires de l’infrastructure concernée ou, selon le cas, les fournisseurs de services ou d’installations connexes, de la demande d’accès prioritaire et leur indique qu’ils sont susceptibles d’être concernés par l’opération de transport militaire, afin qu’ils puissent lui accorder la priorité conformément au paragraphe </w:t>
      </w:r>
      <w:r w:rsidRPr="0086652C">
        <w:rPr>
          <w:noProof/>
        </w:rPr>
        <w:t>6</w:t>
      </w:r>
      <w:r w:rsidRPr="002850C6">
        <w:rPr>
          <w:noProof/>
        </w:rPr>
        <w:t>.</w:t>
      </w:r>
    </w:p>
    <w:p w14:paraId="2AAD7CCE"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Avec l’aide du coordinateur national des transports militaires transfrontières, les forces armées qui effectuent ou sous-traitent le transport militaire demandent:</w:t>
      </w:r>
    </w:p>
    <w:p w14:paraId="5C99B3F7" w14:textId="77777777" w:rsidR="002850C6" w:rsidRPr="002850C6" w:rsidRDefault="002850C6" w:rsidP="002850C6">
      <w:pPr>
        <w:pStyle w:val="Point1"/>
        <w:rPr>
          <w:noProof/>
        </w:rPr>
      </w:pPr>
      <w:r w:rsidRPr="002850C6">
        <w:rPr>
          <w:noProof/>
        </w:rPr>
        <w:t>a)</w:t>
      </w:r>
      <w:r w:rsidRPr="002850C6">
        <w:rPr>
          <w:noProof/>
        </w:rPr>
        <w:tab/>
        <w:t>des sillons individuels aux gestionnaires d’infrastructures compétents;</w:t>
      </w:r>
    </w:p>
    <w:p w14:paraId="0F99EF5D" w14:textId="77777777" w:rsidR="002850C6" w:rsidRPr="002850C6" w:rsidRDefault="002850C6" w:rsidP="002850C6">
      <w:pPr>
        <w:pStyle w:val="Point1"/>
        <w:rPr>
          <w:noProof/>
        </w:rPr>
      </w:pPr>
      <w:r w:rsidRPr="002850C6">
        <w:rPr>
          <w:noProof/>
        </w:rPr>
        <w:t>b)</w:t>
      </w:r>
      <w:r w:rsidRPr="002850C6">
        <w:rPr>
          <w:noProof/>
        </w:rPr>
        <w:tab/>
        <w:t>l’attribution de postes d’amarrage et de services portuaires aux autorités portuaires compétentes;</w:t>
      </w:r>
    </w:p>
    <w:p w14:paraId="1F807417" w14:textId="77777777" w:rsidR="002850C6" w:rsidRPr="002850C6" w:rsidRDefault="002850C6" w:rsidP="002850C6">
      <w:pPr>
        <w:pStyle w:val="Point1"/>
        <w:rPr>
          <w:noProof/>
        </w:rPr>
      </w:pPr>
      <w:r w:rsidRPr="002850C6">
        <w:rPr>
          <w:noProof/>
        </w:rPr>
        <w:t>c)</w:t>
      </w:r>
      <w:r w:rsidRPr="002850C6">
        <w:rPr>
          <w:noProof/>
        </w:rPr>
        <w:tab/>
        <w:t>l’espace aérien requis et l’accès aux services d’aérodrome aux gestionnaires et coordonnateurs d’aéroport compétents, au responsable du réseau européen et au prestataire de services de navigation aérienne, selon le cas.</w:t>
      </w:r>
    </w:p>
    <w:p w14:paraId="1DF25DC4" w14:textId="77777777" w:rsidR="002850C6" w:rsidRPr="002850C6" w:rsidRDefault="002850C6" w:rsidP="002850C6">
      <w:pPr>
        <w:pStyle w:val="ManualNumPar1"/>
        <w:rPr>
          <w:noProof/>
        </w:rPr>
      </w:pPr>
      <w:r w:rsidRPr="0086652C">
        <w:rPr>
          <w:noProof/>
        </w:rPr>
        <w:t>6</w:t>
      </w:r>
      <w:r w:rsidRPr="002850C6">
        <w:rPr>
          <w:noProof/>
        </w:rPr>
        <w:t>.</w:t>
      </w:r>
      <w:r w:rsidRPr="002850C6">
        <w:rPr>
          <w:noProof/>
        </w:rPr>
        <w:tab/>
        <w:t>L’accès prioritaire est accordé le plus tôt possible à la suite des demandes mentionnées aux paragraphes </w:t>
      </w:r>
      <w:r w:rsidRPr="0086652C">
        <w:rPr>
          <w:noProof/>
        </w:rPr>
        <w:t>2</w:t>
      </w:r>
      <w:r w:rsidRPr="002850C6">
        <w:rPr>
          <w:noProof/>
        </w:rPr>
        <w:t xml:space="preserve"> et </w:t>
      </w:r>
      <w:r w:rsidRPr="0086652C">
        <w:rPr>
          <w:noProof/>
        </w:rPr>
        <w:t>5</w:t>
      </w:r>
      <w:r w:rsidRPr="002850C6">
        <w:rPr>
          <w:noProof/>
        </w:rPr>
        <w:t>, et les forces armées qui effectuent ou sous-traitent le transport militaire en sont immédiatement informées, conformément aux dispositions du présent paragraphe. Dans la mesure nécessaire et compte dûment tenu des mesures de sécurité, les services et opérations de transport en cours ou prévus sont interrompus, reportés ou annulés afin de permettre au transport militaire de bénéficier d’un accès prioritaire.</w:t>
      </w:r>
    </w:p>
    <w:p w14:paraId="7603DFA6" w14:textId="77777777" w:rsidR="002850C6" w:rsidRPr="002850C6" w:rsidRDefault="002850C6" w:rsidP="002850C6">
      <w:pPr>
        <w:pStyle w:val="Text1"/>
        <w:ind w:left="851"/>
        <w:rPr>
          <w:noProof/>
        </w:rPr>
      </w:pPr>
      <w:r w:rsidRPr="002850C6">
        <w:rPr>
          <w:noProof/>
        </w:rPr>
        <w:t>En ce qui concerne le transport militaire par route, les propriétaires, exploitants et gestionnaires d’infrastructures routières concernés informent les forces armées effectuant ou sous-traitant le transport militaire qu’ils ont pris les mesures nécessaires pour assurer un accès prioritaire aux tronçons à péage, aux aires de stationnement et de repos, aux ponts et aux tunnels de leur réseau routier. Le coordinateur national des transports militaires transfrontières peut recommander l’itinéraire et l’infrastructure routière garantissant le meilleur accès prioritaire aux forces armées demandeuses.</w:t>
      </w:r>
    </w:p>
    <w:p w14:paraId="0DA7CD08" w14:textId="77777777" w:rsidR="002850C6" w:rsidRPr="002850C6" w:rsidRDefault="002850C6" w:rsidP="002850C6">
      <w:pPr>
        <w:pStyle w:val="Text1"/>
        <w:ind w:left="851"/>
        <w:rPr>
          <w:noProof/>
        </w:rPr>
      </w:pPr>
      <w:r w:rsidRPr="002850C6">
        <w:rPr>
          <w:noProof/>
        </w:rPr>
        <w:t>En ce qui concerne le transport militaire par voie ferrée, par dérogation à l’article </w:t>
      </w:r>
      <w:r w:rsidRPr="0086652C">
        <w:rPr>
          <w:noProof/>
        </w:rPr>
        <w:t>7</w:t>
      </w:r>
      <w:r w:rsidRPr="002850C6">
        <w:rPr>
          <w:noProof/>
        </w:rPr>
        <w:t>, paragraphe </w:t>
      </w:r>
      <w:r w:rsidRPr="0086652C">
        <w:rPr>
          <w:noProof/>
        </w:rPr>
        <w:t>1</w:t>
      </w:r>
      <w:r w:rsidRPr="002850C6">
        <w:rPr>
          <w:noProof/>
        </w:rPr>
        <w:t>, le gestionnaire de l’infrastructure accorde des sillons individuels dans un délai de six heures. Toutefois, en cas de transport de marchandises dangereuses ou de fret militaire exceptionnel, le gestionnaire de l’infrastructure ferroviaire accorde les sillons individuels dès que possible.</w:t>
      </w:r>
    </w:p>
    <w:p w14:paraId="79716AC5" w14:textId="77777777" w:rsidR="002850C6" w:rsidRPr="002850C6" w:rsidRDefault="002850C6" w:rsidP="002850C6">
      <w:pPr>
        <w:pStyle w:val="Text1"/>
        <w:ind w:left="851"/>
        <w:rPr>
          <w:noProof/>
        </w:rPr>
      </w:pPr>
      <w:r w:rsidRPr="002850C6">
        <w:rPr>
          <w:noProof/>
        </w:rPr>
        <w:t>En ce qui concerne les ports, les autorités portuaires compétentes informent les forces armées effectuant ou sous-traitant le transport militaire du poste d’amarrage qui leur est attribué et des services portuaires offerts.</w:t>
      </w:r>
    </w:p>
    <w:p w14:paraId="0F19F09F" w14:textId="77777777" w:rsidR="002850C6" w:rsidRPr="002850C6" w:rsidRDefault="002850C6" w:rsidP="002850C6">
      <w:pPr>
        <w:pStyle w:val="Text1"/>
        <w:ind w:left="851"/>
        <w:rPr>
          <w:noProof/>
        </w:rPr>
      </w:pPr>
      <w:r w:rsidRPr="002850C6">
        <w:rPr>
          <w:noProof/>
        </w:rPr>
        <w:t>En ce qui concerne le transport militaire par voies navigables intérieures, si nécessaire, le coordinateur national des transports militaires transfrontières informe les forces armées effectuant ou sous-traitant le transport militaire de l’itinéraire et des infrastructures de voies navigables intérieures leur garantissant le meilleur accès prioritaire.</w:t>
      </w:r>
    </w:p>
    <w:p w14:paraId="7130AA59" w14:textId="77777777" w:rsidR="002850C6" w:rsidRPr="002850C6" w:rsidRDefault="002850C6" w:rsidP="002850C6">
      <w:pPr>
        <w:pStyle w:val="Text1"/>
        <w:ind w:left="851"/>
        <w:rPr>
          <w:noProof/>
        </w:rPr>
      </w:pPr>
      <w:r w:rsidRPr="002850C6">
        <w:rPr>
          <w:noProof/>
        </w:rPr>
        <w:t>En ce qui concerne le transport militaire par voie aérienne, les gestionnaires et coordonnateurs d’aéroports compétents, le responsable du réseau européen et le prestataire de services de navigation aérienne, selon le cas, informent les forces armées qui assurent, sous-traitent ou commandent le transport militaire de l’espace aérien disponible et de l’accès aux services d’aérodrome offerts dans les aéroports concernés.</w:t>
      </w:r>
    </w:p>
    <w:p w14:paraId="73040713" w14:textId="77777777" w:rsidR="002850C6" w:rsidRPr="002850C6" w:rsidRDefault="002850C6" w:rsidP="002850C6">
      <w:pPr>
        <w:pStyle w:val="ManualNumPar1"/>
        <w:rPr>
          <w:noProof/>
        </w:rPr>
      </w:pPr>
      <w:r w:rsidRPr="0086652C">
        <w:rPr>
          <w:noProof/>
        </w:rPr>
        <w:t>7</w:t>
      </w:r>
      <w:r w:rsidRPr="002850C6">
        <w:rPr>
          <w:noProof/>
        </w:rPr>
        <w:t>.</w:t>
      </w:r>
      <w:r w:rsidRPr="002850C6">
        <w:rPr>
          <w:noProof/>
        </w:rPr>
        <w:tab/>
        <w:t>Lorsque l’accès prioritaire est accordé au transport militaire en vertu du paragraphe </w:t>
      </w:r>
      <w:r w:rsidRPr="0086652C">
        <w:rPr>
          <w:noProof/>
        </w:rPr>
        <w:t>1</w:t>
      </w:r>
      <w:r w:rsidRPr="002850C6">
        <w:rPr>
          <w:noProof/>
        </w:rPr>
        <w:t>, aucune compensation n’est due aux autres usagers des transports concernés. Les États membres et les propriétaires, exploitants et gestionnaires d’infrastructures ou, selon le cas, les fournisseurs de services ou d’installations connexes s’efforcent, dans la mesure du raisonnable, de limiter l’incidence de cet accès prioritaire, par exemple en proposant d’autres liaisons, créneaux horaires, services ou installations de transport, selon le cas et en fonction des disponibilités, et informent les usagers des transports dès que possible.</w:t>
      </w:r>
    </w:p>
    <w:p w14:paraId="7C904FB9" w14:textId="77777777" w:rsidR="002850C6" w:rsidRPr="002850C6" w:rsidRDefault="002850C6" w:rsidP="002850C6">
      <w:pPr>
        <w:pStyle w:val="ManualNumPar1"/>
        <w:rPr>
          <w:noProof/>
        </w:rPr>
      </w:pPr>
      <w:r w:rsidRPr="0086652C">
        <w:rPr>
          <w:noProof/>
        </w:rPr>
        <w:t>8</w:t>
      </w:r>
      <w:r w:rsidRPr="002850C6">
        <w:rPr>
          <w:noProof/>
        </w:rPr>
        <w:t>.</w:t>
      </w:r>
      <w:r w:rsidRPr="002850C6">
        <w:rPr>
          <w:noProof/>
        </w:rPr>
        <w:tab/>
        <w:t>Lorsque les mesures d’urgence ont une incidence importante sur la circulation transfrontalière, les États membres, les propriétaires, exploitants et gestionnaires de l’infrastructure ou, le cas échéant, les fournisseurs de services ou d’installations connexes se coordonnent afin de limiter autant que possible les incidences sur la fluidité de la circulation.</w:t>
      </w:r>
    </w:p>
    <w:p w14:paraId="474F54BB" w14:textId="77777777" w:rsidR="002850C6" w:rsidRPr="002850C6" w:rsidRDefault="002850C6" w:rsidP="002850C6">
      <w:pPr>
        <w:pStyle w:val="Titrearticle"/>
        <w:rPr>
          <w:noProof/>
        </w:rPr>
      </w:pPr>
      <w:r w:rsidRPr="002850C6">
        <w:rPr>
          <w:noProof/>
        </w:rPr>
        <w:t xml:space="preserve">Article </w:t>
      </w:r>
      <w:r w:rsidRPr="0086652C">
        <w:rPr>
          <w:noProof/>
        </w:rPr>
        <w:t>22</w:t>
      </w:r>
    </w:p>
    <w:p w14:paraId="497272C2" w14:textId="77777777" w:rsidR="002850C6" w:rsidRPr="002850C6" w:rsidRDefault="002850C6" w:rsidP="002850C6">
      <w:pPr>
        <w:pStyle w:val="NormalCentered"/>
        <w:rPr>
          <w:b/>
          <w:bCs/>
          <w:noProof/>
        </w:rPr>
      </w:pPr>
      <w:r w:rsidRPr="002850C6">
        <w:rPr>
          <w:b/>
          <w:noProof/>
        </w:rPr>
        <w:t>Transport militaire de marchandises dangereuses durant la période d’activation de l’EMERS</w:t>
      </w:r>
    </w:p>
    <w:p w14:paraId="46A95ABC"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Durant la période d’activation de l’EMERS, lorsque les exigences énoncées dans les accords internationaux ou les règles nationales visées à l’article </w:t>
      </w:r>
      <w:r w:rsidRPr="0086652C">
        <w:rPr>
          <w:noProof/>
        </w:rPr>
        <w:t>10</w:t>
      </w:r>
      <w:r w:rsidRPr="002850C6">
        <w:rPr>
          <w:noProof/>
        </w:rPr>
        <w:t>, paragraphe </w:t>
      </w:r>
      <w:r w:rsidRPr="0086652C">
        <w:rPr>
          <w:noProof/>
        </w:rPr>
        <w:t>1</w:t>
      </w:r>
      <w:r w:rsidRPr="002850C6">
        <w:rPr>
          <w:noProof/>
        </w:rPr>
        <w:t>, sont applicables au transport militaire de marchandises dangereuses en vertu du présent règlement, les États membres peuvent exempter ce transport de ces exigences ou règles nationales, dans la mesure où ces exigences ne s’appliquent pas obligatoirement conformément à ces accords. Lorsqu’un État membre accorde une telle exemption, il n’impose pas de nouvelles exigences en vertu du droit national.</w:t>
      </w:r>
    </w:p>
    <w:p w14:paraId="6A0ACB77"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concernés par le transport militaire coordonnent toute exemption accordée en vertu du présent article et en informent rapidement les autres États membres par l’intermédiaire du groupe sur les transports liés à la mobilité militaire.</w:t>
      </w:r>
    </w:p>
    <w:p w14:paraId="3B2C8705" w14:textId="77777777" w:rsidR="002850C6" w:rsidRPr="002850C6" w:rsidRDefault="002850C6" w:rsidP="002850C6">
      <w:pPr>
        <w:pStyle w:val="Titrearticle"/>
        <w:rPr>
          <w:noProof/>
        </w:rPr>
      </w:pPr>
      <w:r w:rsidRPr="002850C6">
        <w:rPr>
          <w:noProof/>
        </w:rPr>
        <w:t>Article </w:t>
      </w:r>
      <w:r w:rsidRPr="0086652C">
        <w:rPr>
          <w:noProof/>
        </w:rPr>
        <w:t>23</w:t>
      </w:r>
    </w:p>
    <w:p w14:paraId="3644AF25" w14:textId="77777777" w:rsidR="002850C6" w:rsidRPr="002850C6" w:rsidRDefault="002850C6" w:rsidP="002850C6">
      <w:pPr>
        <w:pStyle w:val="NormalCentered"/>
        <w:rPr>
          <w:noProof/>
        </w:rPr>
      </w:pPr>
      <w:r w:rsidRPr="002850C6">
        <w:rPr>
          <w:b/>
          <w:noProof/>
        </w:rPr>
        <w:t>Transport militaire exceptionnel par route durant la période d’activation de l’EMERS</w:t>
      </w:r>
    </w:p>
    <w:p w14:paraId="0400009A" w14:textId="77777777" w:rsidR="002850C6" w:rsidRPr="002850C6" w:rsidRDefault="002850C6" w:rsidP="002850C6">
      <w:pPr>
        <w:rPr>
          <w:noProof/>
        </w:rPr>
      </w:pPr>
      <w:r w:rsidRPr="002850C6">
        <w:rPr>
          <w:noProof/>
        </w:rPr>
        <w:t xml:space="preserve">Durant la période d’activation de l’EMERS, le transport militaire par route effectué par des véhicules ou ensembles de véhicules dépassant les poids ou dimensions maximaux fixés à l’annexe I de la directive </w:t>
      </w:r>
      <w:r w:rsidRPr="0086652C">
        <w:rPr>
          <w:noProof/>
        </w:rPr>
        <w:t>96</w:t>
      </w:r>
      <w:r w:rsidRPr="002850C6">
        <w:rPr>
          <w:noProof/>
        </w:rPr>
        <w:t>/</w:t>
      </w:r>
      <w:r w:rsidRPr="0086652C">
        <w:rPr>
          <w:noProof/>
        </w:rPr>
        <w:t>53</w:t>
      </w:r>
      <w:r w:rsidRPr="002850C6">
        <w:rPr>
          <w:noProof/>
        </w:rPr>
        <w:t>/CE est autorisé, que la charge soit indivisible ou non, sans préjudice des modalités en matière de circulation nécessaires.</w:t>
      </w:r>
    </w:p>
    <w:p w14:paraId="0F23C57A" w14:textId="77777777" w:rsidR="002850C6" w:rsidRPr="002850C6" w:rsidRDefault="002850C6" w:rsidP="002850C6">
      <w:pPr>
        <w:pStyle w:val="Titrearticle"/>
        <w:rPr>
          <w:noProof/>
        </w:rPr>
      </w:pPr>
      <w:r w:rsidRPr="002850C6">
        <w:rPr>
          <w:noProof/>
        </w:rPr>
        <w:t>Article </w:t>
      </w:r>
      <w:r w:rsidRPr="0086652C">
        <w:rPr>
          <w:noProof/>
        </w:rPr>
        <w:t>24</w:t>
      </w:r>
    </w:p>
    <w:p w14:paraId="6A5B8F44" w14:textId="77777777" w:rsidR="002850C6" w:rsidRPr="002850C6" w:rsidRDefault="002850C6" w:rsidP="002850C6">
      <w:pPr>
        <w:pStyle w:val="NormalCentered"/>
        <w:rPr>
          <w:noProof/>
        </w:rPr>
      </w:pPr>
      <w:r w:rsidRPr="002850C6">
        <w:rPr>
          <w:b/>
          <w:noProof/>
        </w:rPr>
        <w:t>Protection renforcée des infrastructures stratégiques à double usage durant la période d’activation de l’EMERS</w:t>
      </w:r>
    </w:p>
    <w:p w14:paraId="55941B83" w14:textId="77777777" w:rsidR="002850C6" w:rsidRPr="002850C6" w:rsidRDefault="002850C6" w:rsidP="002850C6">
      <w:pPr>
        <w:rPr>
          <w:noProof/>
        </w:rPr>
      </w:pPr>
      <w:r w:rsidRPr="002850C6">
        <w:rPr>
          <w:noProof/>
        </w:rPr>
        <w:t>Durant la période d’activation de l’EMERS, les États membres activent des mesures de protection renforcée en ce qui concerne les infrastructures stratégiques à double usage situées sur leur territoire, recensées conformément à l’article </w:t>
      </w:r>
      <w:r w:rsidRPr="0086652C">
        <w:rPr>
          <w:noProof/>
        </w:rPr>
        <w:t>33</w:t>
      </w:r>
      <w:r w:rsidRPr="002850C6">
        <w:rPr>
          <w:noProof/>
        </w:rPr>
        <w:t>, afin de les protéger, de les rendre résilientes face à tous les dangers et menaces et d’assurer leur fonctionnement effectif à tout moment.</w:t>
      </w:r>
    </w:p>
    <w:p w14:paraId="2DF05B70" w14:textId="77777777" w:rsidR="002850C6" w:rsidRPr="002850C6" w:rsidRDefault="002850C6" w:rsidP="002850C6">
      <w:pPr>
        <w:pStyle w:val="Titrearticle"/>
        <w:rPr>
          <w:noProof/>
        </w:rPr>
      </w:pPr>
      <w:r w:rsidRPr="002850C6">
        <w:rPr>
          <w:noProof/>
        </w:rPr>
        <w:t>Article </w:t>
      </w:r>
      <w:r w:rsidRPr="0086652C">
        <w:rPr>
          <w:noProof/>
        </w:rPr>
        <w:t>25</w:t>
      </w:r>
    </w:p>
    <w:p w14:paraId="78F0B246" w14:textId="77777777" w:rsidR="002850C6" w:rsidRPr="002850C6" w:rsidRDefault="002850C6" w:rsidP="002850C6">
      <w:pPr>
        <w:pStyle w:val="NormalCentered"/>
        <w:rPr>
          <w:noProof/>
        </w:rPr>
      </w:pPr>
      <w:r w:rsidRPr="002850C6">
        <w:rPr>
          <w:b/>
          <w:noProof/>
        </w:rPr>
        <w:t>Accès accru aux capacités de transport et aux capacités logistiques durant la période d’activation de l’EMERS</w:t>
      </w:r>
    </w:p>
    <w:p w14:paraId="44F4186C"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Durant la période d’activation de l’EMERS, et si la réserve de solidarité prévue à l’article </w:t>
      </w:r>
      <w:r w:rsidRPr="0086652C">
        <w:rPr>
          <w:noProof/>
        </w:rPr>
        <w:t>35</w:t>
      </w:r>
      <w:r w:rsidRPr="002850C6">
        <w:rPr>
          <w:noProof/>
        </w:rPr>
        <w:t xml:space="preserve"> est opérationnelle, la Commission, en tenant compte de l’avis du groupe sur les transports liés à la mobilité militaire, peut recenser les capacités spécifiques enregistrées dans la réserve de solidarité qui sont nécessaires d’urgence pour soutenir certains États membres. Dans de tels cas, les demandes de capacités émanant des États membres touchés et des États membres qui soutiennent des opérations de transport militaire en faveur des États membres touchés sont prises en considération en priorité.</w:t>
      </w:r>
    </w:p>
    <w:p w14:paraId="6359BDC6" w14:textId="77777777" w:rsidR="002850C6" w:rsidRPr="002850C6" w:rsidRDefault="002850C6" w:rsidP="002850C6">
      <w:pPr>
        <w:pStyle w:val="Text1"/>
        <w:ind w:left="851"/>
        <w:rPr>
          <w:noProof/>
        </w:rPr>
      </w:pPr>
      <w:r w:rsidRPr="002850C6">
        <w:rPr>
          <w:noProof/>
        </w:rPr>
        <w:t>Les efforts de partage et de coordination au titre de la réserve de solidarité prévue à l’article </w:t>
      </w:r>
      <w:r w:rsidRPr="0086652C">
        <w:rPr>
          <w:noProof/>
        </w:rPr>
        <w:t>35</w:t>
      </w:r>
      <w:r w:rsidRPr="002850C6">
        <w:rPr>
          <w:noProof/>
        </w:rPr>
        <w:t xml:space="preserve"> sont axés sur le soutien à ces demandes prioritaires, en veillant à ce que les capacités requises soient mises à disposition en temps utile et de manière efficace.</w:t>
      </w:r>
    </w:p>
    <w:p w14:paraId="04D24D45" w14:textId="77777777" w:rsidR="002850C6" w:rsidRPr="002850C6" w:rsidRDefault="002850C6" w:rsidP="002850C6">
      <w:pPr>
        <w:pStyle w:val="Text1"/>
        <w:ind w:left="851"/>
        <w:rPr>
          <w:noProof/>
        </w:rPr>
      </w:pPr>
      <w:r w:rsidRPr="002850C6">
        <w:rPr>
          <w:noProof/>
        </w:rPr>
        <w:t>Lorsque les capacités des États membres ont été acquises, sous-traitées ou achetées, après l’entrée en vigueur du présent règlement, avec le soutien financier d’un financement de l’Union et pourraient répondre à des demandes prioritaires conformément au premier alinéa du présent paragraphe, les États membres n’invoquent pas la situation exceptionnelle nécessitant l’utilisation de leurs capacités mentionnée à l’article </w:t>
      </w:r>
      <w:r w:rsidRPr="0086652C">
        <w:rPr>
          <w:noProof/>
        </w:rPr>
        <w:t>35</w:t>
      </w:r>
      <w:r w:rsidRPr="002850C6">
        <w:rPr>
          <w:noProof/>
        </w:rPr>
        <w:t>, paragraphes </w:t>
      </w:r>
      <w:r w:rsidRPr="0086652C">
        <w:rPr>
          <w:noProof/>
        </w:rPr>
        <w:t>10</w:t>
      </w:r>
      <w:r w:rsidRPr="002850C6">
        <w:rPr>
          <w:noProof/>
        </w:rPr>
        <w:t xml:space="preserve"> et </w:t>
      </w:r>
      <w:r w:rsidRPr="0086652C">
        <w:rPr>
          <w:noProof/>
        </w:rPr>
        <w:t>11</w:t>
      </w:r>
      <w:r w:rsidRPr="002850C6">
        <w:rPr>
          <w:noProof/>
        </w:rPr>
        <w:t>.</w:t>
      </w:r>
    </w:p>
    <w:p w14:paraId="12EAF89B"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La Commission peut aider les États membres à sous-traiter toutes les capacités de transport et capacités logistiques dont ils ont besoin.</w:t>
      </w:r>
    </w:p>
    <w:p w14:paraId="5B50100C"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La Commission peut sous-traiter toutes les capacités de transport et capacités logistiques pertinentes, sur avis du groupe sur les transports liés à la mobilité militaire.</w:t>
      </w:r>
    </w:p>
    <w:p w14:paraId="29848FFA" w14:textId="77777777" w:rsidR="002850C6" w:rsidRPr="002850C6" w:rsidRDefault="002850C6" w:rsidP="002850C6">
      <w:pPr>
        <w:pStyle w:val="Titrearticle"/>
        <w:rPr>
          <w:noProof/>
        </w:rPr>
      </w:pPr>
      <w:r w:rsidRPr="002850C6">
        <w:rPr>
          <w:noProof/>
        </w:rPr>
        <w:t>Article </w:t>
      </w:r>
      <w:r w:rsidRPr="0086652C">
        <w:rPr>
          <w:noProof/>
        </w:rPr>
        <w:t>26</w:t>
      </w:r>
    </w:p>
    <w:p w14:paraId="5D9427B6" w14:textId="77777777" w:rsidR="002850C6" w:rsidRPr="002850C6" w:rsidRDefault="002850C6" w:rsidP="002850C6">
      <w:pPr>
        <w:pStyle w:val="NormalCentered"/>
        <w:rPr>
          <w:noProof/>
        </w:rPr>
      </w:pPr>
      <w:r w:rsidRPr="002850C6">
        <w:rPr>
          <w:b/>
          <w:noProof/>
        </w:rPr>
        <w:t>Exemption des opérations de transport militaire par route des règles en matière de cabotage durant</w:t>
      </w:r>
      <w:r w:rsidRPr="002850C6">
        <w:rPr>
          <w:noProof/>
        </w:rPr>
        <w:t xml:space="preserve"> </w:t>
      </w:r>
      <w:r w:rsidRPr="002850C6">
        <w:rPr>
          <w:b/>
          <w:noProof/>
        </w:rPr>
        <w:t>la période d’activation de l’EMERS</w:t>
      </w:r>
    </w:p>
    <w:p w14:paraId="17C44C4F" w14:textId="77777777" w:rsidR="002850C6" w:rsidRPr="002850C6" w:rsidRDefault="002850C6" w:rsidP="002850C6">
      <w:pPr>
        <w:rPr>
          <w:noProof/>
        </w:rPr>
      </w:pPr>
      <w:r w:rsidRPr="002850C6">
        <w:rPr>
          <w:noProof/>
        </w:rPr>
        <w:t>Durant la période d’activation de l’EMERS, le transport militaire effectué par des opérateurs civils est exempté des restrictions applicables aux transports de cabotage prévues à l’article </w:t>
      </w:r>
      <w:r w:rsidRPr="0086652C">
        <w:rPr>
          <w:noProof/>
        </w:rPr>
        <w:t>8</w:t>
      </w:r>
      <w:r w:rsidRPr="002850C6">
        <w:rPr>
          <w:noProof/>
        </w:rPr>
        <w:t xml:space="preserve"> du règlement (CE) nº </w:t>
      </w:r>
      <w:r w:rsidRPr="0086652C">
        <w:rPr>
          <w:noProof/>
        </w:rPr>
        <w:t>1072</w:t>
      </w:r>
      <w:r w:rsidRPr="002850C6">
        <w:rPr>
          <w:noProof/>
        </w:rPr>
        <w:t>/</w:t>
      </w:r>
      <w:r w:rsidRPr="0086652C">
        <w:rPr>
          <w:noProof/>
        </w:rPr>
        <w:t>2009</w:t>
      </w:r>
      <w:r w:rsidRPr="002850C6">
        <w:rPr>
          <w:noProof/>
        </w:rPr>
        <w:t>, ainsi que des restrictions relatives à la durée et à la fréquence des transports de cabotage effectués dans le cadre de services de transport routier de voyageurs.</w:t>
      </w:r>
    </w:p>
    <w:p w14:paraId="60B02859" w14:textId="77777777" w:rsidR="002850C6" w:rsidRPr="002850C6" w:rsidRDefault="002850C6" w:rsidP="002850C6">
      <w:pPr>
        <w:pStyle w:val="Titrearticle"/>
        <w:rPr>
          <w:noProof/>
        </w:rPr>
      </w:pPr>
      <w:r w:rsidRPr="002850C6">
        <w:rPr>
          <w:noProof/>
        </w:rPr>
        <w:t>Article </w:t>
      </w:r>
      <w:r w:rsidRPr="0086652C">
        <w:rPr>
          <w:noProof/>
        </w:rPr>
        <w:t>27</w:t>
      </w:r>
    </w:p>
    <w:p w14:paraId="6108BA44" w14:textId="77777777" w:rsidR="002850C6" w:rsidRPr="002850C6" w:rsidRDefault="002850C6" w:rsidP="002850C6">
      <w:pPr>
        <w:pStyle w:val="NormalCentered"/>
        <w:rPr>
          <w:noProof/>
        </w:rPr>
      </w:pPr>
      <w:r w:rsidRPr="002850C6">
        <w:rPr>
          <w:b/>
          <w:noProof/>
        </w:rPr>
        <w:t xml:space="preserve"> Dérogations aux règles relatives aux durées de conduite et aux temps de repos pour les opérations de transport militaire menées durant la période d’activation de l’EMERS</w:t>
      </w:r>
    </w:p>
    <w:p w14:paraId="26DEBE09"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Durant la période d’activation de l’EMERS, les dérogations suivantes aux durées de conduite, aux pauses et aux temps de repos prévus dans le règlement (CE) nº </w:t>
      </w:r>
      <w:r w:rsidRPr="0086652C">
        <w:rPr>
          <w:noProof/>
        </w:rPr>
        <w:t>561</w:t>
      </w:r>
      <w:r w:rsidRPr="002850C6">
        <w:rPr>
          <w:noProof/>
        </w:rPr>
        <w:t>/</w:t>
      </w:r>
      <w:r w:rsidRPr="0086652C">
        <w:rPr>
          <w:noProof/>
        </w:rPr>
        <w:t>2006</w:t>
      </w:r>
      <w:r w:rsidRPr="002850C6">
        <w:rPr>
          <w:noProof/>
        </w:rPr>
        <w:t xml:space="preserve"> du Parlement européen et du Conseil s’appliquent aux opérations de transport militaire effectuées par des opérateurs civils:</w:t>
      </w:r>
    </w:p>
    <w:p w14:paraId="4A2D385C" w14:textId="77777777" w:rsidR="002850C6" w:rsidRPr="002850C6" w:rsidRDefault="002850C6" w:rsidP="002850C6">
      <w:pPr>
        <w:pStyle w:val="Point1"/>
        <w:rPr>
          <w:noProof/>
        </w:rPr>
      </w:pPr>
      <w:r w:rsidRPr="002850C6">
        <w:rPr>
          <w:noProof/>
        </w:rPr>
        <w:t>a)</w:t>
      </w:r>
      <w:r w:rsidRPr="002850C6">
        <w:rPr>
          <w:noProof/>
        </w:rPr>
        <w:tab/>
        <w:t>par dérogation à l’article </w:t>
      </w:r>
      <w:r w:rsidRPr="0086652C">
        <w:rPr>
          <w:noProof/>
        </w:rPr>
        <w:t>6</w:t>
      </w:r>
      <w:r w:rsidRPr="002850C6">
        <w:rPr>
          <w:noProof/>
        </w:rPr>
        <w:t>, paragraphe </w:t>
      </w:r>
      <w:r w:rsidRPr="0086652C">
        <w:rPr>
          <w:noProof/>
        </w:rPr>
        <w:t>1</w:t>
      </w:r>
      <w:r w:rsidRPr="002850C6">
        <w:rPr>
          <w:noProof/>
        </w:rPr>
        <w:t>, du règlement (CE) nº </w:t>
      </w:r>
      <w:r w:rsidRPr="0086652C">
        <w:rPr>
          <w:noProof/>
        </w:rPr>
        <w:t>561</w:t>
      </w:r>
      <w:r w:rsidRPr="002850C6">
        <w:rPr>
          <w:noProof/>
        </w:rPr>
        <w:t>/</w:t>
      </w:r>
      <w:r w:rsidRPr="0086652C">
        <w:rPr>
          <w:noProof/>
        </w:rPr>
        <w:t>2006</w:t>
      </w:r>
      <w:r w:rsidRPr="002850C6">
        <w:rPr>
          <w:noProof/>
        </w:rPr>
        <w:t xml:space="preserve">, la durée de conduite journalière de </w:t>
      </w:r>
      <w:r w:rsidRPr="0086652C">
        <w:rPr>
          <w:noProof/>
        </w:rPr>
        <w:t>9</w:t>
      </w:r>
      <w:r w:rsidRPr="002850C6">
        <w:rPr>
          <w:noProof/>
        </w:rPr>
        <w:t xml:space="preserve"> heures est portée à </w:t>
      </w:r>
      <w:r w:rsidRPr="0086652C">
        <w:rPr>
          <w:noProof/>
        </w:rPr>
        <w:t>11</w:t>
      </w:r>
      <w:r w:rsidRPr="002850C6">
        <w:rPr>
          <w:noProof/>
        </w:rPr>
        <w:t> heures deux fois au cours de la semaine;</w:t>
      </w:r>
    </w:p>
    <w:p w14:paraId="43D7FA23" w14:textId="77777777" w:rsidR="002850C6" w:rsidRPr="002850C6" w:rsidRDefault="002850C6" w:rsidP="002850C6">
      <w:pPr>
        <w:pStyle w:val="Point1"/>
        <w:rPr>
          <w:noProof/>
        </w:rPr>
      </w:pPr>
      <w:r w:rsidRPr="002850C6">
        <w:rPr>
          <w:noProof/>
        </w:rPr>
        <w:t>b)</w:t>
      </w:r>
      <w:r w:rsidRPr="002850C6">
        <w:rPr>
          <w:noProof/>
        </w:rPr>
        <w:tab/>
        <w:t>par dérogation à l’article </w:t>
      </w:r>
      <w:r w:rsidRPr="0086652C">
        <w:rPr>
          <w:noProof/>
        </w:rPr>
        <w:t>6</w:t>
      </w:r>
      <w:r w:rsidRPr="002850C6">
        <w:rPr>
          <w:noProof/>
        </w:rPr>
        <w:t>, paragraphe </w:t>
      </w:r>
      <w:r w:rsidRPr="0086652C">
        <w:rPr>
          <w:noProof/>
        </w:rPr>
        <w:t>2</w:t>
      </w:r>
      <w:r w:rsidRPr="002850C6">
        <w:rPr>
          <w:noProof/>
        </w:rPr>
        <w:t>, du règlement (CE) nº </w:t>
      </w:r>
      <w:r w:rsidRPr="0086652C">
        <w:rPr>
          <w:noProof/>
        </w:rPr>
        <w:t>561</w:t>
      </w:r>
      <w:r w:rsidRPr="002850C6">
        <w:rPr>
          <w:noProof/>
        </w:rPr>
        <w:t>/</w:t>
      </w:r>
      <w:r w:rsidRPr="0086652C">
        <w:rPr>
          <w:noProof/>
        </w:rPr>
        <w:t>2006</w:t>
      </w:r>
      <w:r w:rsidRPr="002850C6">
        <w:rPr>
          <w:noProof/>
        </w:rPr>
        <w:t xml:space="preserve">, la durée de conduite hebdomadaire de </w:t>
      </w:r>
      <w:r w:rsidRPr="0086652C">
        <w:rPr>
          <w:noProof/>
        </w:rPr>
        <w:t>56</w:t>
      </w:r>
      <w:r w:rsidRPr="002850C6">
        <w:rPr>
          <w:noProof/>
        </w:rPr>
        <w:t xml:space="preserve"> heures est portée à </w:t>
      </w:r>
      <w:r w:rsidRPr="0086652C">
        <w:rPr>
          <w:noProof/>
        </w:rPr>
        <w:t>60</w:t>
      </w:r>
      <w:r w:rsidRPr="002850C6">
        <w:rPr>
          <w:noProof/>
        </w:rPr>
        <w:t> heures;</w:t>
      </w:r>
    </w:p>
    <w:p w14:paraId="4FA3ECF3" w14:textId="77777777" w:rsidR="002850C6" w:rsidRPr="002850C6" w:rsidRDefault="002850C6" w:rsidP="002850C6">
      <w:pPr>
        <w:pStyle w:val="Point1"/>
        <w:rPr>
          <w:noProof/>
        </w:rPr>
      </w:pPr>
      <w:r w:rsidRPr="002850C6">
        <w:rPr>
          <w:noProof/>
        </w:rPr>
        <w:t>c)</w:t>
      </w:r>
      <w:r w:rsidRPr="002850C6">
        <w:rPr>
          <w:noProof/>
        </w:rPr>
        <w:tab/>
        <w:t>par dérogation à l’article </w:t>
      </w:r>
      <w:r w:rsidRPr="0086652C">
        <w:rPr>
          <w:noProof/>
        </w:rPr>
        <w:t>6</w:t>
      </w:r>
      <w:r w:rsidRPr="002850C6">
        <w:rPr>
          <w:noProof/>
        </w:rPr>
        <w:t>, paragraphe </w:t>
      </w:r>
      <w:r w:rsidRPr="0086652C">
        <w:rPr>
          <w:noProof/>
        </w:rPr>
        <w:t>3</w:t>
      </w:r>
      <w:r w:rsidRPr="002850C6">
        <w:rPr>
          <w:noProof/>
        </w:rPr>
        <w:t>, du règlement (CE) nº </w:t>
      </w:r>
      <w:r w:rsidRPr="0086652C">
        <w:rPr>
          <w:noProof/>
        </w:rPr>
        <w:t>561</w:t>
      </w:r>
      <w:r w:rsidRPr="002850C6">
        <w:rPr>
          <w:noProof/>
        </w:rPr>
        <w:t>/</w:t>
      </w:r>
      <w:r w:rsidRPr="0086652C">
        <w:rPr>
          <w:noProof/>
        </w:rPr>
        <w:t>2006</w:t>
      </w:r>
      <w:r w:rsidRPr="002850C6">
        <w:rPr>
          <w:noProof/>
        </w:rPr>
        <w:t xml:space="preserve">, la durée de conduite totale accumulée au cours de deux semaines consécutives est portée de </w:t>
      </w:r>
      <w:r w:rsidRPr="0086652C">
        <w:rPr>
          <w:noProof/>
        </w:rPr>
        <w:t>90</w:t>
      </w:r>
      <w:r w:rsidRPr="002850C6">
        <w:rPr>
          <w:noProof/>
        </w:rPr>
        <w:t xml:space="preserve"> heures à </w:t>
      </w:r>
      <w:r w:rsidRPr="0086652C">
        <w:rPr>
          <w:noProof/>
        </w:rPr>
        <w:t>96</w:t>
      </w:r>
      <w:r w:rsidRPr="002850C6">
        <w:rPr>
          <w:noProof/>
        </w:rPr>
        <w:t> heures;</w:t>
      </w:r>
    </w:p>
    <w:p w14:paraId="5EC6171E" w14:textId="77777777" w:rsidR="002850C6" w:rsidRPr="002850C6" w:rsidRDefault="002850C6" w:rsidP="002850C6">
      <w:pPr>
        <w:pStyle w:val="Point1"/>
        <w:rPr>
          <w:noProof/>
        </w:rPr>
      </w:pPr>
      <w:r w:rsidRPr="002850C6">
        <w:rPr>
          <w:noProof/>
        </w:rPr>
        <w:t>d)</w:t>
      </w:r>
      <w:r w:rsidRPr="002850C6">
        <w:rPr>
          <w:noProof/>
        </w:rPr>
        <w:tab/>
        <w:t>par dérogation à l’article </w:t>
      </w:r>
      <w:r w:rsidRPr="0086652C">
        <w:rPr>
          <w:noProof/>
        </w:rPr>
        <w:t>7</w:t>
      </w:r>
      <w:r w:rsidRPr="002850C6">
        <w:rPr>
          <w:noProof/>
        </w:rPr>
        <w:t>, premier alinéa, du règlement (CE) nº </w:t>
      </w:r>
      <w:r w:rsidRPr="0086652C">
        <w:rPr>
          <w:noProof/>
        </w:rPr>
        <w:t>561</w:t>
      </w:r>
      <w:r w:rsidRPr="002850C6">
        <w:rPr>
          <w:noProof/>
        </w:rPr>
        <w:t>/</w:t>
      </w:r>
      <w:r w:rsidRPr="0086652C">
        <w:rPr>
          <w:noProof/>
        </w:rPr>
        <w:t>2006</w:t>
      </w:r>
      <w:r w:rsidRPr="002850C6">
        <w:rPr>
          <w:noProof/>
        </w:rPr>
        <w:t xml:space="preserve">, le temps de conduite de quatre heures et demie après lequel le conducteur est tenu d’observer une pause ininterrompue d’au moins </w:t>
      </w:r>
      <w:r w:rsidRPr="0086652C">
        <w:rPr>
          <w:noProof/>
        </w:rPr>
        <w:t>45</w:t>
      </w:r>
      <w:r w:rsidRPr="002850C6">
        <w:rPr>
          <w:noProof/>
        </w:rPr>
        <w:t xml:space="preserve"> minutes est porté à cinq heures et demie. Cette pause peut être remplacée par trois pauses de </w:t>
      </w:r>
      <w:r w:rsidRPr="0086652C">
        <w:rPr>
          <w:noProof/>
        </w:rPr>
        <w:t>15</w:t>
      </w:r>
      <w:r w:rsidRPr="002850C6">
        <w:rPr>
          <w:noProof/>
        </w:rPr>
        <w:t xml:space="preserve"> minutes chacune, réparties de manière à respecter les dispositions de l’article </w:t>
      </w:r>
      <w:r w:rsidRPr="0086652C">
        <w:rPr>
          <w:noProof/>
        </w:rPr>
        <w:t>7</w:t>
      </w:r>
      <w:r w:rsidRPr="002850C6">
        <w:rPr>
          <w:noProof/>
        </w:rPr>
        <w:t>, premier alinéa, dudit règlement;</w:t>
      </w:r>
    </w:p>
    <w:p w14:paraId="7071C8DD" w14:textId="77777777" w:rsidR="002850C6" w:rsidRPr="002850C6" w:rsidRDefault="002850C6" w:rsidP="002850C6">
      <w:pPr>
        <w:pStyle w:val="Point1"/>
        <w:rPr>
          <w:noProof/>
        </w:rPr>
      </w:pPr>
      <w:r w:rsidRPr="002850C6">
        <w:rPr>
          <w:noProof/>
        </w:rPr>
        <w:t>e)</w:t>
      </w:r>
      <w:r w:rsidRPr="002850C6">
        <w:rPr>
          <w:noProof/>
        </w:rPr>
        <w:tab/>
        <w:t>par dérogation à l’article </w:t>
      </w:r>
      <w:r w:rsidRPr="0086652C">
        <w:rPr>
          <w:noProof/>
        </w:rPr>
        <w:t>8</w:t>
      </w:r>
      <w:r w:rsidRPr="002850C6">
        <w:rPr>
          <w:noProof/>
        </w:rPr>
        <w:t>, paragraphe </w:t>
      </w:r>
      <w:r w:rsidRPr="0086652C">
        <w:rPr>
          <w:noProof/>
        </w:rPr>
        <w:t>2</w:t>
      </w:r>
      <w:r w:rsidRPr="002850C6">
        <w:rPr>
          <w:noProof/>
        </w:rPr>
        <w:t>, deuxième alinéa, du règlement (CE) nº </w:t>
      </w:r>
      <w:r w:rsidRPr="0086652C">
        <w:rPr>
          <w:noProof/>
        </w:rPr>
        <w:t>561</w:t>
      </w:r>
      <w:r w:rsidRPr="002850C6">
        <w:rPr>
          <w:noProof/>
        </w:rPr>
        <w:t>/</w:t>
      </w:r>
      <w:r w:rsidRPr="0086652C">
        <w:rPr>
          <w:noProof/>
        </w:rPr>
        <w:t>2006</w:t>
      </w:r>
      <w:r w:rsidRPr="002850C6">
        <w:rPr>
          <w:noProof/>
        </w:rPr>
        <w:t>, le temps de repos journalier de neuf heures est considéré comme un temps de repos journalier réduit;</w:t>
      </w:r>
    </w:p>
    <w:p w14:paraId="5833C6DC" w14:textId="77777777" w:rsidR="002850C6" w:rsidRPr="002850C6" w:rsidRDefault="002850C6" w:rsidP="002850C6">
      <w:pPr>
        <w:pStyle w:val="Point1"/>
        <w:rPr>
          <w:noProof/>
        </w:rPr>
      </w:pPr>
      <w:r w:rsidRPr="002850C6">
        <w:rPr>
          <w:noProof/>
        </w:rPr>
        <w:t>f)</w:t>
      </w:r>
      <w:r w:rsidRPr="002850C6">
        <w:rPr>
          <w:noProof/>
        </w:rPr>
        <w:tab/>
        <w:t>par dérogation à l’article </w:t>
      </w:r>
      <w:r w:rsidRPr="0086652C">
        <w:rPr>
          <w:noProof/>
        </w:rPr>
        <w:t>8</w:t>
      </w:r>
      <w:r w:rsidRPr="002850C6">
        <w:rPr>
          <w:noProof/>
        </w:rPr>
        <w:t>, paragraphe </w:t>
      </w:r>
      <w:r w:rsidRPr="0086652C">
        <w:rPr>
          <w:noProof/>
        </w:rPr>
        <w:t>6</w:t>
      </w:r>
      <w:r w:rsidRPr="002850C6">
        <w:rPr>
          <w:noProof/>
        </w:rPr>
        <w:t>, premier alinéa, du règlement (CE) nº </w:t>
      </w:r>
      <w:r w:rsidRPr="0086652C">
        <w:rPr>
          <w:noProof/>
        </w:rPr>
        <w:t>561</w:t>
      </w:r>
      <w:r w:rsidRPr="002850C6">
        <w:rPr>
          <w:noProof/>
        </w:rPr>
        <w:t>/</w:t>
      </w:r>
      <w:r w:rsidRPr="0086652C">
        <w:rPr>
          <w:noProof/>
        </w:rPr>
        <w:t>2006</w:t>
      </w:r>
      <w:r w:rsidRPr="002850C6">
        <w:rPr>
          <w:noProof/>
        </w:rPr>
        <w:t xml:space="preserve">, au cours de deux semaines consécutives, un conducteur peut prendre deux temps de repos hebdomadaires réduits d’au moins </w:t>
      </w:r>
      <w:r w:rsidRPr="0086652C">
        <w:rPr>
          <w:noProof/>
        </w:rPr>
        <w:t>24</w:t>
      </w:r>
      <w:r w:rsidRPr="002850C6">
        <w:rPr>
          <w:noProof/>
        </w:rPr>
        <w:t> heures. Lorsqu’il est fait usage de cette dérogation, le début du temps de repos hebdomadaire visé à l’article </w:t>
      </w:r>
      <w:r w:rsidRPr="0086652C">
        <w:rPr>
          <w:noProof/>
        </w:rPr>
        <w:t>8</w:t>
      </w:r>
      <w:r w:rsidRPr="002850C6">
        <w:rPr>
          <w:noProof/>
        </w:rPr>
        <w:t>, paragraphe </w:t>
      </w:r>
      <w:r w:rsidRPr="0086652C">
        <w:rPr>
          <w:noProof/>
        </w:rPr>
        <w:t>6</w:t>
      </w:r>
      <w:r w:rsidRPr="002850C6">
        <w:rPr>
          <w:noProof/>
        </w:rPr>
        <w:t xml:space="preserve">, deuxième alinéa, dudit règlement peut être reporté au-delà de la fin de six périodes de </w:t>
      </w:r>
      <w:r w:rsidRPr="0086652C">
        <w:rPr>
          <w:noProof/>
        </w:rPr>
        <w:t>24</w:t>
      </w:r>
      <w:r w:rsidRPr="002850C6">
        <w:rPr>
          <w:noProof/>
        </w:rPr>
        <w:t xml:space="preserve"> heures à compter de la fin du temps de repos hebdomadaire précédent, sans toutefois dépasser </w:t>
      </w:r>
      <w:r w:rsidRPr="0086652C">
        <w:rPr>
          <w:noProof/>
        </w:rPr>
        <w:t>12</w:t>
      </w:r>
      <w:r w:rsidRPr="002850C6">
        <w:rPr>
          <w:noProof/>
        </w:rPr>
        <w:t xml:space="preserve"> périodes de </w:t>
      </w:r>
      <w:r w:rsidRPr="0086652C">
        <w:rPr>
          <w:noProof/>
        </w:rPr>
        <w:t>24</w:t>
      </w:r>
      <w:r w:rsidRPr="002850C6">
        <w:rPr>
          <w:noProof/>
        </w:rPr>
        <w:t> heures;</w:t>
      </w:r>
    </w:p>
    <w:p w14:paraId="5560DA6F" w14:textId="77777777" w:rsidR="002850C6" w:rsidRPr="002850C6" w:rsidRDefault="002850C6" w:rsidP="002850C6">
      <w:pPr>
        <w:pStyle w:val="Point1"/>
        <w:rPr>
          <w:noProof/>
        </w:rPr>
      </w:pPr>
      <w:r w:rsidRPr="002850C6">
        <w:rPr>
          <w:noProof/>
        </w:rPr>
        <w:t>g)</w:t>
      </w:r>
      <w:r w:rsidRPr="002850C6">
        <w:rPr>
          <w:noProof/>
        </w:rPr>
        <w:tab/>
        <w:t>par dérogation à l’article </w:t>
      </w:r>
      <w:r w:rsidRPr="0086652C">
        <w:rPr>
          <w:noProof/>
        </w:rPr>
        <w:t>8</w:t>
      </w:r>
      <w:r w:rsidRPr="002850C6">
        <w:rPr>
          <w:noProof/>
        </w:rPr>
        <w:t>, paragraphe </w:t>
      </w:r>
      <w:r w:rsidRPr="0086652C">
        <w:rPr>
          <w:noProof/>
        </w:rPr>
        <w:t>6</w:t>
      </w:r>
      <w:r w:rsidRPr="002850C6">
        <w:rPr>
          <w:noProof/>
        </w:rPr>
        <w:t> </w:t>
      </w:r>
      <w:r w:rsidRPr="002850C6">
        <w:rPr>
          <w:i/>
          <w:noProof/>
        </w:rPr>
        <w:t>ter</w:t>
      </w:r>
      <w:r w:rsidRPr="002850C6">
        <w:rPr>
          <w:noProof/>
        </w:rPr>
        <w:t>, du règlement (CE) nº </w:t>
      </w:r>
      <w:r w:rsidRPr="0086652C">
        <w:rPr>
          <w:noProof/>
        </w:rPr>
        <w:t>561</w:t>
      </w:r>
      <w:r w:rsidRPr="002850C6">
        <w:rPr>
          <w:noProof/>
        </w:rPr>
        <w:t>/</w:t>
      </w:r>
      <w:r w:rsidRPr="0086652C">
        <w:rPr>
          <w:noProof/>
        </w:rPr>
        <w:t>2006</w:t>
      </w:r>
      <w:r w:rsidRPr="002850C6">
        <w:rPr>
          <w:noProof/>
        </w:rPr>
        <w:t xml:space="preserve">, toute réduction du temps de repos hebdomadaire est compensée par une période de repos équivalente prise avant la fin de la douzième semaine suivant la semaine en question, soit en bloc, soit sous la forme de deux périodes de repos, l’une d’entre elles étant d’au moins </w:t>
      </w:r>
      <w:r w:rsidRPr="0086652C">
        <w:rPr>
          <w:noProof/>
        </w:rPr>
        <w:t>45</w:t>
      </w:r>
      <w:r w:rsidRPr="002850C6">
        <w:rPr>
          <w:noProof/>
        </w:rPr>
        <w:t> heures;</w:t>
      </w:r>
    </w:p>
    <w:p w14:paraId="7FA8BF78" w14:textId="77777777" w:rsidR="002850C6" w:rsidRPr="002850C6" w:rsidRDefault="002850C6" w:rsidP="002850C6">
      <w:pPr>
        <w:pStyle w:val="Point1"/>
        <w:rPr>
          <w:noProof/>
        </w:rPr>
      </w:pPr>
      <w:r w:rsidRPr="002850C6">
        <w:rPr>
          <w:noProof/>
        </w:rPr>
        <w:t>h)</w:t>
      </w:r>
      <w:r w:rsidRPr="002850C6">
        <w:rPr>
          <w:noProof/>
        </w:rPr>
        <w:tab/>
        <w:t>par dérogation à l’article </w:t>
      </w:r>
      <w:r w:rsidRPr="0086652C">
        <w:rPr>
          <w:noProof/>
        </w:rPr>
        <w:t>8</w:t>
      </w:r>
      <w:r w:rsidRPr="002850C6">
        <w:rPr>
          <w:noProof/>
        </w:rPr>
        <w:t>, paragraphe </w:t>
      </w:r>
      <w:r w:rsidRPr="0086652C">
        <w:rPr>
          <w:noProof/>
        </w:rPr>
        <w:t>8</w:t>
      </w:r>
      <w:r w:rsidRPr="002850C6">
        <w:rPr>
          <w:noProof/>
        </w:rPr>
        <w:t>, du règlement (CE) nº </w:t>
      </w:r>
      <w:r w:rsidRPr="0086652C">
        <w:rPr>
          <w:noProof/>
        </w:rPr>
        <w:t>561</w:t>
      </w:r>
      <w:r w:rsidRPr="002850C6">
        <w:rPr>
          <w:noProof/>
        </w:rPr>
        <w:t>/</w:t>
      </w:r>
      <w:r w:rsidRPr="0086652C">
        <w:rPr>
          <w:noProof/>
        </w:rPr>
        <w:t>2006</w:t>
      </w:r>
      <w:r w:rsidRPr="002850C6">
        <w:rPr>
          <w:noProof/>
        </w:rPr>
        <w:t xml:space="preserve">, les temps de repos hebdomadaires normaux et tout temps de repos hebdomadaire de plus de </w:t>
      </w:r>
      <w:r w:rsidRPr="0086652C">
        <w:rPr>
          <w:noProof/>
        </w:rPr>
        <w:t>45</w:t>
      </w:r>
      <w:r w:rsidRPr="002850C6">
        <w:rPr>
          <w:noProof/>
        </w:rPr>
        <w:t> heures pris en compensation de la réduction d’un temps de repos hebdomadaires antérieurs peuvent être pris dans un véhicule, à condition que celui-ci soit stationné en toute sécurité et dispose de conditions adéquates pour le repos;</w:t>
      </w:r>
    </w:p>
    <w:p w14:paraId="07C6550F" w14:textId="77777777" w:rsidR="002850C6" w:rsidRPr="002850C6" w:rsidRDefault="002850C6" w:rsidP="002850C6">
      <w:pPr>
        <w:pStyle w:val="Point1"/>
        <w:rPr>
          <w:noProof/>
        </w:rPr>
      </w:pPr>
      <w:r w:rsidRPr="002850C6">
        <w:rPr>
          <w:noProof/>
        </w:rPr>
        <w:t>i)</w:t>
      </w:r>
      <w:r w:rsidRPr="002850C6">
        <w:rPr>
          <w:noProof/>
        </w:rPr>
        <w:tab/>
        <w:t>par dérogation à l’article </w:t>
      </w:r>
      <w:r w:rsidRPr="0086652C">
        <w:rPr>
          <w:noProof/>
        </w:rPr>
        <w:t>9</w:t>
      </w:r>
      <w:r w:rsidRPr="002850C6">
        <w:rPr>
          <w:noProof/>
        </w:rPr>
        <w:t>, paragraphe </w:t>
      </w:r>
      <w:r w:rsidRPr="0086652C">
        <w:rPr>
          <w:noProof/>
        </w:rPr>
        <w:t>1</w:t>
      </w:r>
      <w:r w:rsidRPr="002850C6">
        <w:rPr>
          <w:noProof/>
        </w:rPr>
        <w:t>, du règlement (CE) nº </w:t>
      </w:r>
      <w:r w:rsidRPr="0086652C">
        <w:rPr>
          <w:noProof/>
        </w:rPr>
        <w:t>561</w:t>
      </w:r>
      <w:r w:rsidRPr="002850C6">
        <w:rPr>
          <w:noProof/>
        </w:rPr>
        <w:t>/</w:t>
      </w:r>
      <w:r w:rsidRPr="0086652C">
        <w:rPr>
          <w:noProof/>
        </w:rPr>
        <w:t>2006</w:t>
      </w:r>
      <w:r w:rsidRPr="002850C6">
        <w:rPr>
          <w:noProof/>
        </w:rPr>
        <w:t>, la période d’interruption autorisée lorsqu’un conducteur accompagne un véhicule transporté par un ferry ou par train et prend un temps de repos journalier normal ou un temps de repos hebdomadaire réduit dans une cabine couchette ou une couchette est portée d’une à deux heures.</w:t>
      </w:r>
    </w:p>
    <w:p w14:paraId="5EB9DAAB"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 recours aux dérogations prévues au paragraphe </w:t>
      </w:r>
      <w:r w:rsidRPr="0086652C">
        <w:rPr>
          <w:noProof/>
        </w:rPr>
        <w:t>1</w:t>
      </w:r>
      <w:r w:rsidRPr="002850C6">
        <w:rPr>
          <w:noProof/>
        </w:rPr>
        <w:t xml:space="preserve"> du présent article est sans préjudice des durées maximales de travail prévues par la directive </w:t>
      </w:r>
      <w:r w:rsidRPr="0086652C">
        <w:rPr>
          <w:noProof/>
        </w:rPr>
        <w:t>2002</w:t>
      </w:r>
      <w:r w:rsidRPr="002850C6">
        <w:rPr>
          <w:noProof/>
        </w:rPr>
        <w:t>/</w:t>
      </w:r>
      <w:r w:rsidRPr="0086652C">
        <w:rPr>
          <w:noProof/>
        </w:rPr>
        <w:t>15</w:t>
      </w:r>
      <w:r w:rsidRPr="002850C6">
        <w:rPr>
          <w:noProof/>
        </w:rPr>
        <w:t>/CE du Parlement européen et du Conseil</w:t>
      </w:r>
      <w:r w:rsidR="009B03F8">
        <w:rPr>
          <w:noProof/>
        </w:rPr>
        <w:t>(</w:t>
      </w:r>
      <w:r w:rsidR="009B03F8">
        <w:rPr>
          <w:rStyle w:val="FootnoteReference"/>
          <w:noProof/>
        </w:rPr>
        <w:footnoteReference w:id="58"/>
      </w:r>
      <w:r w:rsidRPr="0086652C">
        <w:rPr>
          <w:rStyle w:val="FootnoteReference"/>
          <w:noProof/>
        </w:rPr>
        <w:t>36</w:t>
      </w:r>
      <w:r w:rsidRPr="002850C6">
        <w:rPr>
          <w:rStyle w:val="FootnoteReference"/>
          <w:noProof/>
        </w:rPr>
        <w:t>)</w:t>
      </w:r>
      <w:r w:rsidRPr="002850C6">
        <w:rPr>
          <w:noProof/>
        </w:rPr>
        <w:t>.</w:t>
      </w:r>
    </w:p>
    <w:p w14:paraId="1B06B122"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Aux fins des contrôles routiers, le conducteur est en mesure de présenter, à toute demande d’un agent de contrôle habilité, les feuilles d’enregistrement et tout enregistrement manuel et imprimé pour la journée en cours et les jours précédents qui justifient le recours aux dérogations.</w:t>
      </w:r>
    </w:p>
    <w:p w14:paraId="6AC6251D" w14:textId="77777777" w:rsidR="002850C6" w:rsidRPr="002850C6" w:rsidRDefault="002850C6" w:rsidP="002850C6">
      <w:pPr>
        <w:pStyle w:val="Titrearticle"/>
        <w:rPr>
          <w:noProof/>
        </w:rPr>
      </w:pPr>
      <w:r w:rsidRPr="002850C6">
        <w:rPr>
          <w:noProof/>
        </w:rPr>
        <w:t>Article </w:t>
      </w:r>
      <w:r w:rsidRPr="0086652C">
        <w:rPr>
          <w:noProof/>
        </w:rPr>
        <w:t>28</w:t>
      </w:r>
    </w:p>
    <w:p w14:paraId="4E8AB97A" w14:textId="77777777" w:rsidR="002850C6" w:rsidRPr="002850C6" w:rsidRDefault="002850C6" w:rsidP="002850C6">
      <w:pPr>
        <w:pStyle w:val="NormalCentered"/>
        <w:rPr>
          <w:noProof/>
        </w:rPr>
      </w:pPr>
      <w:r w:rsidRPr="002850C6">
        <w:rPr>
          <w:b/>
          <w:noProof/>
        </w:rPr>
        <w:t>Utilisation de véhicules ferroviaires en dehors de leur domaine d’utilisation spécifié durant la période d’activation de l’EMERS</w:t>
      </w:r>
    </w:p>
    <w:p w14:paraId="3AFA658C"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Durant la période d’activation de l’EMERS, les véhicules ferroviaires peuvent être utilisés en dehors du domaine d’utilisation spécifié dans leur autorisation de mise sur le marché en application de l’article </w:t>
      </w:r>
      <w:r w:rsidRPr="0086652C">
        <w:rPr>
          <w:noProof/>
        </w:rPr>
        <w:t>21</w:t>
      </w:r>
      <w:r w:rsidRPr="002850C6">
        <w:rPr>
          <w:noProof/>
        </w:rPr>
        <w:t xml:space="preserve"> de la directive (UE) </w:t>
      </w:r>
      <w:r w:rsidRPr="0086652C">
        <w:rPr>
          <w:noProof/>
        </w:rPr>
        <w:t>2016</w:t>
      </w:r>
      <w:r w:rsidRPr="002850C6">
        <w:rPr>
          <w:noProof/>
        </w:rPr>
        <w:t>/</w:t>
      </w:r>
      <w:r w:rsidRPr="0086652C">
        <w:rPr>
          <w:noProof/>
        </w:rPr>
        <w:t>797</w:t>
      </w:r>
      <w:r w:rsidRPr="002850C6">
        <w:rPr>
          <w:noProof/>
        </w:rPr>
        <w:t xml:space="preserve"> ou en dehors du domaine d’utilisation pour lequel ils ont été mis en service en vertu du cadre juridique de l’Union ou du cadre juridique national précédemment applicable, avant le cadre d’autorisation établi par ladite directive, si les conditions suivantes sont remplies:</w:t>
      </w:r>
    </w:p>
    <w:p w14:paraId="331678BD" w14:textId="77777777" w:rsidR="002850C6" w:rsidRPr="002850C6" w:rsidRDefault="002850C6" w:rsidP="002850C6">
      <w:pPr>
        <w:pStyle w:val="Point1"/>
        <w:rPr>
          <w:noProof/>
        </w:rPr>
      </w:pPr>
      <w:r w:rsidRPr="002850C6">
        <w:rPr>
          <w:noProof/>
        </w:rPr>
        <w:t>a)</w:t>
      </w:r>
      <w:r w:rsidRPr="002850C6">
        <w:rPr>
          <w:noProof/>
        </w:rPr>
        <w:tab/>
        <w:t>le véhicule a fait l’objet de vérifications conformément à l’article </w:t>
      </w:r>
      <w:r w:rsidRPr="0086652C">
        <w:rPr>
          <w:noProof/>
        </w:rPr>
        <w:t>23</w:t>
      </w:r>
      <w:r w:rsidRPr="002850C6">
        <w:rPr>
          <w:noProof/>
        </w:rPr>
        <w:t>, paragraphe </w:t>
      </w:r>
      <w:r w:rsidRPr="0086652C">
        <w:rPr>
          <w:noProof/>
        </w:rPr>
        <w:t>1</w:t>
      </w:r>
      <w:r w:rsidRPr="002850C6">
        <w:rPr>
          <w:noProof/>
        </w:rPr>
        <w:t xml:space="preserve">, points b) et c), de la directive (UE) </w:t>
      </w:r>
      <w:r w:rsidRPr="0086652C">
        <w:rPr>
          <w:noProof/>
        </w:rPr>
        <w:t>2016</w:t>
      </w:r>
      <w:r w:rsidRPr="002850C6">
        <w:rPr>
          <w:noProof/>
        </w:rPr>
        <w:t>/</w:t>
      </w:r>
      <w:r w:rsidRPr="0086652C">
        <w:rPr>
          <w:noProof/>
        </w:rPr>
        <w:t>797</w:t>
      </w:r>
      <w:r w:rsidRPr="002850C6">
        <w:rPr>
          <w:noProof/>
        </w:rPr>
        <w:t>;</w:t>
      </w:r>
    </w:p>
    <w:p w14:paraId="0022AC14" w14:textId="77777777" w:rsidR="002850C6" w:rsidRPr="002850C6" w:rsidRDefault="002850C6" w:rsidP="002850C6">
      <w:pPr>
        <w:pStyle w:val="Point1"/>
        <w:rPr>
          <w:noProof/>
        </w:rPr>
      </w:pPr>
      <w:r w:rsidRPr="002850C6">
        <w:rPr>
          <w:noProof/>
        </w:rPr>
        <w:t>b)</w:t>
      </w:r>
      <w:r w:rsidRPr="002850C6">
        <w:rPr>
          <w:noProof/>
        </w:rPr>
        <w:tab/>
        <w:t xml:space="preserve">le véhicule est destiné à être utilisé dans le cadre d’un transport militaire; </w:t>
      </w:r>
    </w:p>
    <w:p w14:paraId="4D301E55" w14:textId="77777777" w:rsidR="002850C6" w:rsidRPr="002850C6" w:rsidRDefault="002850C6" w:rsidP="002850C6">
      <w:pPr>
        <w:pStyle w:val="Point1"/>
        <w:rPr>
          <w:noProof/>
        </w:rPr>
      </w:pPr>
      <w:r w:rsidRPr="002850C6">
        <w:rPr>
          <w:noProof/>
        </w:rPr>
        <w:t>c)</w:t>
      </w:r>
      <w:r w:rsidRPr="002850C6">
        <w:rPr>
          <w:noProof/>
        </w:rPr>
        <w:tab/>
        <w:t>le véhicule est en service sur un réseau avant d’être utilisé sur un autre réseau;</w:t>
      </w:r>
    </w:p>
    <w:p w14:paraId="4A087D05" w14:textId="77777777" w:rsidR="002850C6" w:rsidRPr="002850C6" w:rsidRDefault="002850C6" w:rsidP="002850C6">
      <w:pPr>
        <w:pStyle w:val="Point1"/>
        <w:rPr>
          <w:noProof/>
        </w:rPr>
      </w:pPr>
      <w:r w:rsidRPr="002850C6">
        <w:rPr>
          <w:noProof/>
        </w:rPr>
        <w:t>d)</w:t>
      </w:r>
      <w:r w:rsidRPr="002850C6">
        <w:rPr>
          <w:noProof/>
        </w:rPr>
        <w:tab/>
        <w:t>le véhicule a été recensé en vue d’une utilisation potentielle dans le cadre d’un transport militaire conformément à l’article </w:t>
      </w:r>
      <w:r w:rsidRPr="0086652C">
        <w:rPr>
          <w:noProof/>
        </w:rPr>
        <w:t>37</w:t>
      </w:r>
      <w:r w:rsidRPr="002850C6">
        <w:rPr>
          <w:noProof/>
        </w:rPr>
        <w:t xml:space="preserve"> du présent règlement.</w:t>
      </w:r>
    </w:p>
    <w:p w14:paraId="42B0FE62"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L’exploitation des véhicules visés au paragraphe </w:t>
      </w:r>
      <w:r w:rsidRPr="0086652C">
        <w:rPr>
          <w:noProof/>
        </w:rPr>
        <w:t>1</w:t>
      </w:r>
      <w:r w:rsidRPr="002850C6">
        <w:rPr>
          <w:noProof/>
        </w:rPr>
        <w:t xml:space="preserve"> est effectuée en accord entre les gestionnaires de l’infrastructure et les entreprises ferroviaires concernés, conformément à chacun de leurs systèmes de gestion de la sécurité prévus à l’article </w:t>
      </w:r>
      <w:r w:rsidRPr="0086652C">
        <w:rPr>
          <w:noProof/>
        </w:rPr>
        <w:t>9</w:t>
      </w:r>
      <w:r w:rsidRPr="002850C6">
        <w:rPr>
          <w:noProof/>
        </w:rPr>
        <w:t xml:space="preserve"> de la directive (UE) </w:t>
      </w:r>
      <w:r w:rsidRPr="0086652C">
        <w:rPr>
          <w:noProof/>
        </w:rPr>
        <w:t>2016</w:t>
      </w:r>
      <w:r w:rsidRPr="002850C6">
        <w:rPr>
          <w:noProof/>
        </w:rPr>
        <w:t>/</w:t>
      </w:r>
      <w:r w:rsidRPr="0086652C">
        <w:rPr>
          <w:noProof/>
        </w:rPr>
        <w:t>798</w:t>
      </w:r>
      <w:r w:rsidRPr="002850C6">
        <w:rPr>
          <w:noProof/>
        </w:rPr>
        <w:t xml:space="preserve"> du Parlement européen et du Conseil</w:t>
      </w:r>
      <w:r w:rsidR="009B03F8">
        <w:rPr>
          <w:noProof/>
        </w:rPr>
        <w:t>(</w:t>
      </w:r>
      <w:r w:rsidR="009B03F8">
        <w:rPr>
          <w:rStyle w:val="FootnoteReference"/>
          <w:noProof/>
        </w:rPr>
        <w:footnoteReference w:id="59"/>
      </w:r>
      <w:r w:rsidRPr="0086652C">
        <w:rPr>
          <w:rStyle w:val="FootnoteReference"/>
          <w:noProof/>
        </w:rPr>
        <w:t>37</w:t>
      </w:r>
      <w:r w:rsidRPr="002850C6">
        <w:rPr>
          <w:rStyle w:val="FootnoteReference"/>
          <w:noProof/>
        </w:rPr>
        <w:t>)</w:t>
      </w:r>
      <w:r w:rsidRPr="002850C6">
        <w:rPr>
          <w:noProof/>
        </w:rPr>
        <w:t xml:space="preserve"> et, s’il y a lieu, conformément à l’article </w:t>
      </w:r>
      <w:r w:rsidRPr="0086652C">
        <w:rPr>
          <w:noProof/>
        </w:rPr>
        <w:t>10</w:t>
      </w:r>
      <w:r w:rsidRPr="002850C6">
        <w:rPr>
          <w:noProof/>
        </w:rPr>
        <w:t>, paragraphe </w:t>
      </w:r>
      <w:r w:rsidRPr="0086652C">
        <w:rPr>
          <w:noProof/>
        </w:rPr>
        <w:t>9</w:t>
      </w:r>
      <w:r w:rsidRPr="002850C6">
        <w:rPr>
          <w:noProof/>
        </w:rPr>
        <w:t>, de ladite directive.</w:t>
      </w:r>
    </w:p>
    <w:p w14:paraId="1B1BE014" w14:textId="77777777" w:rsidR="002850C6" w:rsidRPr="002850C6" w:rsidRDefault="002850C6" w:rsidP="002850C6">
      <w:pPr>
        <w:pStyle w:val="Titrearticle"/>
        <w:rPr>
          <w:noProof/>
        </w:rPr>
      </w:pPr>
      <w:r w:rsidRPr="002850C6">
        <w:rPr>
          <w:noProof/>
        </w:rPr>
        <w:t>Article </w:t>
      </w:r>
      <w:r w:rsidRPr="0086652C">
        <w:rPr>
          <w:noProof/>
        </w:rPr>
        <w:t>29</w:t>
      </w:r>
    </w:p>
    <w:p w14:paraId="17701704" w14:textId="77777777" w:rsidR="002850C6" w:rsidRPr="002850C6" w:rsidRDefault="002850C6" w:rsidP="002850C6">
      <w:pPr>
        <w:pStyle w:val="NormalCentered"/>
        <w:rPr>
          <w:noProof/>
        </w:rPr>
      </w:pPr>
      <w:r w:rsidRPr="002850C6">
        <w:rPr>
          <w:b/>
          <w:noProof/>
        </w:rPr>
        <w:t>Exemption des opérations de transport militaire des restrictions de circulation</w:t>
      </w:r>
      <w:r w:rsidRPr="002850C6">
        <w:rPr>
          <w:noProof/>
        </w:rPr>
        <w:t xml:space="preserve"> </w:t>
      </w:r>
      <w:r w:rsidRPr="002850C6">
        <w:rPr>
          <w:b/>
          <w:noProof/>
        </w:rPr>
        <w:t>durant la période d’activation de l’EMERS</w:t>
      </w:r>
    </w:p>
    <w:p w14:paraId="422FAD53"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Durant la période d’activation de l’EMERS, les opérations de transport militaire par route sont autorisées pendant les week-ends, les jours fériés, les célébrations nationales, la nuit et toute autre période susceptible de faire l’objet de restrictions de circulation.</w:t>
      </w:r>
    </w:p>
    <w:p w14:paraId="3A191DD2"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Durant la période d’activation de l’EMERS, les États membres exemptent les opérations de transport militaire des restrictions de circulation appliquées sur des tronçons routiers spécifiques et fondées sur les performances environnementales des véhicules, ainsi que des restrictions fondées sur la qualité de l’air et la réduction du bruit mises en place dans les ports et les aéroports.</w:t>
      </w:r>
    </w:p>
    <w:p w14:paraId="7099E4DE" w14:textId="77777777" w:rsidR="002850C6" w:rsidRPr="002850C6" w:rsidRDefault="002850C6" w:rsidP="002850C6">
      <w:pPr>
        <w:pStyle w:val="Titrearticle"/>
        <w:rPr>
          <w:noProof/>
        </w:rPr>
      </w:pPr>
      <w:r w:rsidRPr="002850C6">
        <w:rPr>
          <w:noProof/>
        </w:rPr>
        <w:t>Article </w:t>
      </w:r>
      <w:r w:rsidRPr="0086652C">
        <w:rPr>
          <w:noProof/>
        </w:rPr>
        <w:t>30</w:t>
      </w:r>
    </w:p>
    <w:p w14:paraId="5AEE01D9" w14:textId="77777777" w:rsidR="002850C6" w:rsidRPr="002850C6" w:rsidRDefault="002850C6" w:rsidP="002850C6">
      <w:pPr>
        <w:pStyle w:val="NormalCentered"/>
        <w:rPr>
          <w:b/>
          <w:bCs/>
          <w:noProof/>
        </w:rPr>
      </w:pPr>
      <w:r w:rsidRPr="002850C6">
        <w:rPr>
          <w:b/>
          <w:noProof/>
        </w:rPr>
        <w:t xml:space="preserve">Exemption des contrôles officiels des denrées alimentaires, des aliments pour animaux et des chiens à l’entrée dans l’Union durant la période d’activation de l’EMERS </w:t>
      </w:r>
    </w:p>
    <w:p w14:paraId="77C9BC91"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Durant la période d’activation de l’EMERS, les articles </w:t>
      </w:r>
      <w:r w:rsidRPr="0086652C">
        <w:rPr>
          <w:noProof/>
        </w:rPr>
        <w:t>43</w:t>
      </w:r>
      <w:r w:rsidRPr="002850C6">
        <w:rPr>
          <w:noProof/>
        </w:rPr>
        <w:t xml:space="preserve"> à </w:t>
      </w:r>
      <w:r w:rsidRPr="0086652C">
        <w:rPr>
          <w:noProof/>
        </w:rPr>
        <w:t>57</w:t>
      </w:r>
      <w:r w:rsidRPr="002850C6">
        <w:rPr>
          <w:noProof/>
        </w:rPr>
        <w:t xml:space="preserve"> et les articles </w:t>
      </w:r>
      <w:r w:rsidRPr="0086652C">
        <w:rPr>
          <w:noProof/>
        </w:rPr>
        <w:t>65</w:t>
      </w:r>
      <w:r w:rsidRPr="002850C6">
        <w:rPr>
          <w:noProof/>
        </w:rPr>
        <w:t xml:space="preserve"> à </w:t>
      </w:r>
      <w:r w:rsidRPr="0086652C">
        <w:rPr>
          <w:noProof/>
        </w:rPr>
        <w:t>72</w:t>
      </w:r>
      <w:r w:rsidRPr="002850C6">
        <w:rPr>
          <w:noProof/>
        </w:rPr>
        <w:t xml:space="preserve"> du règlement (UE) </w:t>
      </w:r>
      <w:r w:rsidRPr="0086652C">
        <w:rPr>
          <w:noProof/>
        </w:rPr>
        <w:t>2017</w:t>
      </w:r>
      <w:r w:rsidRPr="002850C6">
        <w:rPr>
          <w:noProof/>
        </w:rPr>
        <w:t>/</w:t>
      </w:r>
      <w:r w:rsidRPr="0086652C">
        <w:rPr>
          <w:noProof/>
        </w:rPr>
        <w:t>625</w:t>
      </w:r>
      <w:r w:rsidRPr="002850C6">
        <w:rPr>
          <w:noProof/>
        </w:rPr>
        <w:t xml:space="preserve"> ne s’appliquent pas aux denrées alimentaires, aux aliments pour animaux et aux chiens entrant dans l’Union qui constituent des marchandises destinées à être déplacées ou utilisées dans le cadre d’activités militaires, à condition qu’ils:</w:t>
      </w:r>
    </w:p>
    <w:p w14:paraId="1154059C" w14:textId="77777777" w:rsidR="002850C6" w:rsidRPr="002850C6" w:rsidRDefault="002850C6" w:rsidP="002850C6">
      <w:pPr>
        <w:pStyle w:val="Point1"/>
        <w:rPr>
          <w:noProof/>
        </w:rPr>
      </w:pPr>
      <w:r w:rsidRPr="002850C6">
        <w:rPr>
          <w:noProof/>
        </w:rPr>
        <w:t>a)</w:t>
      </w:r>
      <w:r w:rsidRPr="002850C6">
        <w:rPr>
          <w:noProof/>
        </w:rPr>
        <w:tab/>
        <w:t>soient déclarés dans les formulaires </w:t>
      </w:r>
      <w:r w:rsidRPr="0086652C">
        <w:rPr>
          <w:noProof/>
        </w:rPr>
        <w:t>302</w:t>
      </w:r>
      <w:r w:rsidRPr="002850C6">
        <w:rPr>
          <w:noProof/>
        </w:rPr>
        <w:t xml:space="preserve"> de l’UE ou de l’OTAN visés à l’article </w:t>
      </w:r>
      <w:r w:rsidRPr="0086652C">
        <w:rPr>
          <w:noProof/>
        </w:rPr>
        <w:t>15</w:t>
      </w:r>
      <w:r w:rsidRPr="002850C6">
        <w:rPr>
          <w:noProof/>
        </w:rPr>
        <w:t>;</w:t>
      </w:r>
    </w:p>
    <w:p w14:paraId="5F67D9C2" w14:textId="77777777" w:rsidR="002850C6" w:rsidRPr="002850C6" w:rsidRDefault="002850C6" w:rsidP="002850C6">
      <w:pPr>
        <w:pStyle w:val="Point1"/>
        <w:rPr>
          <w:noProof/>
        </w:rPr>
      </w:pPr>
      <w:r w:rsidRPr="002850C6">
        <w:rPr>
          <w:noProof/>
        </w:rPr>
        <w:t>b)</w:t>
      </w:r>
      <w:r w:rsidRPr="002850C6">
        <w:rPr>
          <w:noProof/>
        </w:rPr>
        <w:tab/>
        <w:t>soient identifiés, au moyen d’un marquage ou d’un étiquetage, comme étant destinés uniquement à un usage militaire, conformément aux procédures internes mises en œuvre par les autorités militaires chargées de l’opération de transport militaire concernée;</w:t>
      </w:r>
    </w:p>
    <w:p w14:paraId="2E19C823" w14:textId="77777777" w:rsidR="002850C6" w:rsidRPr="002850C6" w:rsidRDefault="002850C6" w:rsidP="002850C6">
      <w:pPr>
        <w:pStyle w:val="Point1"/>
        <w:rPr>
          <w:noProof/>
        </w:rPr>
      </w:pPr>
      <w:r w:rsidRPr="002850C6">
        <w:rPr>
          <w:noProof/>
        </w:rPr>
        <w:t>c)</w:t>
      </w:r>
      <w:r w:rsidRPr="002850C6">
        <w:rPr>
          <w:noProof/>
        </w:rPr>
        <w:tab/>
        <w:t>entrent dans l’Union sous la surveillance des autorités militaires chargées de l’opération de transport militaire concernée.</w:t>
      </w:r>
    </w:p>
    <w:p w14:paraId="2E1FA655"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Après l’entrée dans l’Union de denrées alimentaires, d’aliments pour animaux et de chiens visés au paragraphe </w:t>
      </w:r>
      <w:r w:rsidRPr="0086652C">
        <w:rPr>
          <w:noProof/>
        </w:rPr>
        <w:t>1</w:t>
      </w:r>
      <w:r w:rsidRPr="002850C6">
        <w:rPr>
          <w:noProof/>
        </w:rPr>
        <w:t>, les autorités militaires chargées de l’opération de transport militaire concernée veillent à ce que ces marchandises circulent sous leur surveillance et soient destinées uniquement à un usage militaire.</w:t>
      </w:r>
    </w:p>
    <w:p w14:paraId="0F3CC686"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Les autorités militaires chargées de l’opération de transport militaire concernée veillent à ce que les denrées alimentaires et les aliments pour animaux visés au paragraphe </w:t>
      </w:r>
      <w:r w:rsidRPr="0086652C">
        <w:rPr>
          <w:noProof/>
        </w:rPr>
        <w:t>1</w:t>
      </w:r>
      <w:r w:rsidRPr="002850C6">
        <w:rPr>
          <w:noProof/>
        </w:rPr>
        <w:t xml:space="preserve"> ne soient pas mis sur le marché de l’Union et soient consommés, éliminés en toute sécurité ou réexportés hors de l’Union.</w:t>
      </w:r>
    </w:p>
    <w:p w14:paraId="2998CCA3"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Les autorités militaires chargées de l’opération de transport militaire concernée veillent à ce que les chiens visés au paragraphe </w:t>
      </w:r>
      <w:r w:rsidRPr="0086652C">
        <w:rPr>
          <w:noProof/>
        </w:rPr>
        <w:t>1</w:t>
      </w:r>
      <w:r w:rsidRPr="002850C6">
        <w:rPr>
          <w:noProof/>
        </w:rPr>
        <w:t xml:space="preserve"> ne présentent pas de risque pour la santé animale ou la santé publique dans l’Union et ne fassent l’objet d’aucun transfert de propriété dans l’Union.</w:t>
      </w:r>
    </w:p>
    <w:p w14:paraId="65EF4767" w14:textId="77777777" w:rsidR="002850C6" w:rsidRPr="002850C6" w:rsidRDefault="002850C6" w:rsidP="002850C6">
      <w:pPr>
        <w:pStyle w:val="Titrearticle"/>
        <w:rPr>
          <w:noProof/>
        </w:rPr>
      </w:pPr>
      <w:r w:rsidRPr="002850C6">
        <w:rPr>
          <w:noProof/>
        </w:rPr>
        <w:t xml:space="preserve">Article </w:t>
      </w:r>
      <w:r w:rsidRPr="0086652C">
        <w:rPr>
          <w:noProof/>
        </w:rPr>
        <w:t>31</w:t>
      </w:r>
    </w:p>
    <w:p w14:paraId="2793317B" w14:textId="77777777" w:rsidR="002850C6" w:rsidRPr="002850C6" w:rsidRDefault="002850C6" w:rsidP="002850C6">
      <w:pPr>
        <w:pStyle w:val="NormalCentered"/>
        <w:rPr>
          <w:noProof/>
        </w:rPr>
      </w:pPr>
      <w:r w:rsidRPr="002850C6">
        <w:rPr>
          <w:b/>
          <w:noProof/>
        </w:rPr>
        <w:t>Procédures douanières accélérées durant la période d’activation de l’EMERS</w:t>
      </w:r>
    </w:p>
    <w:p w14:paraId="54DE0736"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Durant la période d’activation de l’EMERS, l’acte d’exécution du Conseil prévu à l’article </w:t>
      </w:r>
      <w:r w:rsidRPr="0086652C">
        <w:rPr>
          <w:noProof/>
        </w:rPr>
        <w:t>19</w:t>
      </w:r>
      <w:r w:rsidRPr="002850C6">
        <w:rPr>
          <w:noProof/>
        </w:rPr>
        <w:t>, paragraphe </w:t>
      </w:r>
      <w:r w:rsidRPr="0086652C">
        <w:rPr>
          <w:noProof/>
        </w:rPr>
        <w:t>3</w:t>
      </w:r>
      <w:r w:rsidRPr="002850C6">
        <w:rPr>
          <w:noProof/>
        </w:rPr>
        <w:t>, du présent règlement a pour effet d’activer les procédures et protocoles conformément aux procédures énoncées à l’article </w:t>
      </w:r>
      <w:r w:rsidRPr="0086652C">
        <w:rPr>
          <w:noProof/>
        </w:rPr>
        <w:t>203</w:t>
      </w:r>
      <w:r w:rsidRPr="002850C6">
        <w:rPr>
          <w:noProof/>
        </w:rPr>
        <w:t>, paragraphe </w:t>
      </w:r>
      <w:r w:rsidRPr="0086652C">
        <w:rPr>
          <w:noProof/>
        </w:rPr>
        <w:t>1</w:t>
      </w:r>
      <w:r w:rsidRPr="002850C6">
        <w:rPr>
          <w:noProof/>
        </w:rPr>
        <w:t>, du règlement [réforme douanière] et au mécanisme de gestion des crises douanières, tel qu’il est défini à l’article </w:t>
      </w:r>
      <w:r w:rsidRPr="0086652C">
        <w:rPr>
          <w:noProof/>
        </w:rPr>
        <w:t>204</w:t>
      </w:r>
      <w:r w:rsidRPr="002850C6">
        <w:rPr>
          <w:noProof/>
        </w:rPr>
        <w:t xml:space="preserve"> du règlement [réforme douanière].</w:t>
      </w:r>
    </w:p>
    <w:p w14:paraId="64C7800D"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L’Autorité douanière de l’Union européenne, telle qu’elle est définie au titre XII du règlement [réforme douanière], prépare, en consultation avec la Commission, les procédures et protocoles visés au paragraphe </w:t>
      </w:r>
      <w:r w:rsidRPr="0086652C">
        <w:rPr>
          <w:noProof/>
        </w:rPr>
        <w:t>1</w:t>
      </w:r>
      <w:r w:rsidRPr="002850C6">
        <w:rPr>
          <w:noProof/>
        </w:rPr>
        <w:t xml:space="preserve"> du présent article pour la mise en œuvre des mesures en cas d’activation de l’EMERS, telle qu’elle est prévue à l’article </w:t>
      </w:r>
      <w:r w:rsidRPr="0086652C">
        <w:rPr>
          <w:noProof/>
        </w:rPr>
        <w:t>19</w:t>
      </w:r>
      <w:r w:rsidRPr="002850C6">
        <w:rPr>
          <w:noProof/>
        </w:rPr>
        <w:t>.</w:t>
      </w:r>
    </w:p>
    <w:p w14:paraId="54885FF8" w14:textId="77777777" w:rsidR="002850C6" w:rsidRPr="002850C6" w:rsidRDefault="002850C6" w:rsidP="002850C6">
      <w:pPr>
        <w:rPr>
          <w:noProof/>
        </w:rPr>
      </w:pPr>
    </w:p>
    <w:p w14:paraId="0ED6807E" w14:textId="77777777" w:rsidR="002850C6" w:rsidRPr="002850C6" w:rsidRDefault="002850C6" w:rsidP="002850C6">
      <w:pPr>
        <w:pStyle w:val="ChapterTitle"/>
        <w:rPr>
          <w:noProof/>
        </w:rPr>
      </w:pPr>
      <w:r w:rsidRPr="002850C6">
        <w:rPr>
          <w:noProof/>
        </w:rPr>
        <w:t xml:space="preserve">Chapitre III </w:t>
      </w:r>
      <w:r w:rsidRPr="002850C6">
        <w:rPr>
          <w:noProof/>
        </w:rPr>
        <w:cr/>
      </w:r>
      <w:r w:rsidRPr="002850C6">
        <w:rPr>
          <w:noProof/>
        </w:rPr>
        <w:br/>
        <w:t>Résilience des infrastructures de transport </w:t>
      </w:r>
    </w:p>
    <w:p w14:paraId="560C1B9E" w14:textId="77777777" w:rsidR="002850C6" w:rsidRPr="002850C6" w:rsidRDefault="002850C6" w:rsidP="002850C6">
      <w:pPr>
        <w:pStyle w:val="Titrearticle"/>
        <w:rPr>
          <w:noProof/>
        </w:rPr>
      </w:pPr>
      <w:r w:rsidRPr="002850C6">
        <w:rPr>
          <w:noProof/>
        </w:rPr>
        <w:t xml:space="preserve">Article </w:t>
      </w:r>
      <w:r w:rsidRPr="0086652C">
        <w:rPr>
          <w:noProof/>
        </w:rPr>
        <w:t>32</w:t>
      </w:r>
    </w:p>
    <w:p w14:paraId="298C5EEE" w14:textId="77777777" w:rsidR="002850C6" w:rsidRPr="002850C6" w:rsidRDefault="002850C6" w:rsidP="002850C6">
      <w:pPr>
        <w:pStyle w:val="NormalCentered"/>
        <w:keepNext/>
        <w:rPr>
          <w:noProof/>
        </w:rPr>
      </w:pPr>
      <w:r w:rsidRPr="002850C6">
        <w:rPr>
          <w:b/>
          <w:noProof/>
        </w:rPr>
        <w:t xml:space="preserve">État de préparation du réseau de transport à un double usage </w:t>
      </w:r>
    </w:p>
    <w:p w14:paraId="0922A4D5"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Les États membres modernisent en priorité les infrastructures à double usage recensées faisant partie des corridors de mobilité militaire afin qu’elles répondent aux besoins en infrastructures de transport définis à l’annexe II des besoins militaires du Conseil, selon une approche coordonnée et synchronisée. Lors de la modernisation de ces tronçons à double usage des corridors de mobilité militaire, les États membres donnent la priorité aux projets suivants:</w:t>
      </w:r>
    </w:p>
    <w:p w14:paraId="111A4717" w14:textId="77777777" w:rsidR="002850C6" w:rsidRPr="002850C6" w:rsidRDefault="002850C6" w:rsidP="002850C6">
      <w:pPr>
        <w:pStyle w:val="Point1"/>
        <w:rPr>
          <w:noProof/>
        </w:rPr>
      </w:pPr>
      <w:r w:rsidRPr="002850C6">
        <w:rPr>
          <w:noProof/>
        </w:rPr>
        <w:t>a)</w:t>
      </w:r>
      <w:r w:rsidRPr="002850C6">
        <w:rPr>
          <w:noProof/>
        </w:rPr>
        <w:tab/>
        <w:t>assurer la continuité du réseau de transport, en supprimant les chaînons manquants et les goulets d’étranglement importants dans le transport militaire;</w:t>
      </w:r>
    </w:p>
    <w:p w14:paraId="3825EA50" w14:textId="77777777" w:rsidR="002850C6" w:rsidRPr="002850C6" w:rsidRDefault="002850C6" w:rsidP="002850C6">
      <w:pPr>
        <w:pStyle w:val="Point1"/>
        <w:rPr>
          <w:noProof/>
        </w:rPr>
      </w:pPr>
      <w:r w:rsidRPr="002850C6">
        <w:rPr>
          <w:noProof/>
        </w:rPr>
        <w:t>b)</w:t>
      </w:r>
      <w:r w:rsidRPr="002850C6">
        <w:rPr>
          <w:noProof/>
        </w:rPr>
        <w:tab/>
        <w:t>assurer l’interopérabilité du réseau de transport, y compris par le passage à l’écartement nominal de voie standard européen;</w:t>
      </w:r>
    </w:p>
    <w:p w14:paraId="219AD84E" w14:textId="77777777" w:rsidR="002850C6" w:rsidRPr="002850C6" w:rsidRDefault="002850C6" w:rsidP="002850C6">
      <w:pPr>
        <w:pStyle w:val="Point1"/>
        <w:rPr>
          <w:noProof/>
        </w:rPr>
      </w:pPr>
      <w:r w:rsidRPr="002850C6">
        <w:rPr>
          <w:noProof/>
        </w:rPr>
        <w:t>c)</w:t>
      </w:r>
      <w:r w:rsidRPr="002850C6">
        <w:rPr>
          <w:noProof/>
        </w:rPr>
        <w:tab/>
        <w:t>adapter les infrastructures au transport militaire exceptionnel, notamment en renforçant les ponts pour le transport ferroviaire et routier et en renforçant et en élargissant les infrastructures ferroviaires, routières, portuaires et aéroportuaires;</w:t>
      </w:r>
    </w:p>
    <w:p w14:paraId="4C68E8A0" w14:textId="77777777" w:rsidR="002850C6" w:rsidRPr="002850C6" w:rsidRDefault="002850C6" w:rsidP="002850C6">
      <w:pPr>
        <w:pStyle w:val="Point1"/>
        <w:rPr>
          <w:noProof/>
        </w:rPr>
      </w:pPr>
      <w:r w:rsidRPr="002850C6">
        <w:rPr>
          <w:noProof/>
        </w:rPr>
        <w:t>d)</w:t>
      </w:r>
      <w:r w:rsidRPr="002850C6">
        <w:rPr>
          <w:noProof/>
        </w:rPr>
        <w:tab/>
        <w:t>moderniser les tunnels routiers pour qu’ils relèvent de la catégorie A de l’ADR, ou prévoir d’autres itinéraires pour les véhicules transportant des marchandises dangereuses incompatibles avec la catégorie de tunnel existante;</w:t>
      </w:r>
    </w:p>
    <w:p w14:paraId="6FB1161E" w14:textId="77777777" w:rsidR="002850C6" w:rsidRPr="002850C6" w:rsidRDefault="002850C6" w:rsidP="002850C6">
      <w:pPr>
        <w:pStyle w:val="Point1"/>
        <w:rPr>
          <w:noProof/>
        </w:rPr>
      </w:pPr>
      <w:r w:rsidRPr="002850C6">
        <w:rPr>
          <w:noProof/>
        </w:rPr>
        <w:t>e)</w:t>
      </w:r>
      <w:r w:rsidRPr="002850C6">
        <w:rPr>
          <w:noProof/>
        </w:rPr>
        <w:tab/>
        <w:t>accroître la capacité pour tous les modes de transport, notamment en améliorant l’accès ferroviaire et routier aux ports et aux aéroports et en améliorant les installations et les équipements portuaires, aéroportuaires et des terminaux;</w:t>
      </w:r>
    </w:p>
    <w:p w14:paraId="77AA6E7D" w14:textId="77777777" w:rsidR="002850C6" w:rsidRPr="002850C6" w:rsidRDefault="002850C6" w:rsidP="002850C6">
      <w:pPr>
        <w:pStyle w:val="Point1"/>
        <w:rPr>
          <w:noProof/>
        </w:rPr>
      </w:pPr>
      <w:r w:rsidRPr="002850C6">
        <w:rPr>
          <w:noProof/>
        </w:rPr>
        <w:t>f)</w:t>
      </w:r>
      <w:r w:rsidRPr="002850C6">
        <w:rPr>
          <w:noProof/>
        </w:rPr>
        <w:tab/>
        <w:t xml:space="preserve">renforcer la résilience des infrastructures de communication, de contrôle, de navigation, de surveillance et d’approvisionnement énergétique, en particulier contre les interférences avec les communications par radiofréquence; </w:t>
      </w:r>
    </w:p>
    <w:p w14:paraId="605D9956" w14:textId="77777777" w:rsidR="002850C6" w:rsidRPr="002850C6" w:rsidRDefault="002850C6" w:rsidP="002850C6">
      <w:pPr>
        <w:pStyle w:val="Point1"/>
        <w:rPr>
          <w:noProof/>
        </w:rPr>
      </w:pPr>
      <w:r w:rsidRPr="002850C6">
        <w:rPr>
          <w:noProof/>
        </w:rPr>
        <w:t>g)</w:t>
      </w:r>
      <w:r w:rsidRPr="002850C6">
        <w:rPr>
          <w:noProof/>
        </w:rPr>
        <w:tab/>
        <w:t>assurer une résilience et une redondance suffisantes au sein du réseau.</w:t>
      </w:r>
    </w:p>
    <w:p w14:paraId="01D04FB0"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situés le long d’un même corridor de mobilité militaire coopèrent afin de recenser les risques potentiels susceptibles d’affecter la fonctionnalité, la sécurité ou la résilience de ce corridor, en particulier pour le transport transfrontalier, et d’y remédier. À cette fin, ils:</w:t>
      </w:r>
    </w:p>
    <w:p w14:paraId="2F8DC571" w14:textId="77777777" w:rsidR="002850C6" w:rsidRPr="002850C6" w:rsidRDefault="002850C6" w:rsidP="002850C6">
      <w:pPr>
        <w:pStyle w:val="Point1"/>
        <w:rPr>
          <w:noProof/>
        </w:rPr>
      </w:pPr>
      <w:r w:rsidRPr="002850C6">
        <w:rPr>
          <w:noProof/>
        </w:rPr>
        <w:t>a)</w:t>
      </w:r>
      <w:r w:rsidRPr="002850C6">
        <w:rPr>
          <w:noProof/>
        </w:rPr>
        <w:tab/>
        <w:t>évaluent la fonctionnalité des corridors de mobilité militaire;</w:t>
      </w:r>
    </w:p>
    <w:p w14:paraId="6CDC43DC" w14:textId="77777777" w:rsidR="002850C6" w:rsidRPr="002850C6" w:rsidRDefault="002850C6" w:rsidP="002850C6">
      <w:pPr>
        <w:pStyle w:val="Point1"/>
        <w:rPr>
          <w:noProof/>
        </w:rPr>
      </w:pPr>
      <w:r w:rsidRPr="002850C6">
        <w:rPr>
          <w:noProof/>
        </w:rPr>
        <w:t>b)</w:t>
      </w:r>
      <w:r w:rsidRPr="002850C6">
        <w:rPr>
          <w:noProof/>
        </w:rPr>
        <w:tab/>
        <w:t>analysent l’état de conformité des infrastructures du corridor de mobilité militaire avec les exigences en matière d’infrastructures de transport énoncées dans les besoins militaires du Conseil;</w:t>
      </w:r>
    </w:p>
    <w:p w14:paraId="59244E86" w14:textId="77777777" w:rsidR="002850C6" w:rsidRPr="002850C6" w:rsidRDefault="002850C6" w:rsidP="002850C6">
      <w:pPr>
        <w:pStyle w:val="Point1"/>
        <w:rPr>
          <w:noProof/>
        </w:rPr>
      </w:pPr>
      <w:r w:rsidRPr="002850C6">
        <w:rPr>
          <w:noProof/>
        </w:rPr>
        <w:t>c)</w:t>
      </w:r>
      <w:r w:rsidRPr="002850C6">
        <w:rPr>
          <w:noProof/>
        </w:rPr>
        <w:tab/>
        <w:t>évaluent les lacunes potentielles en matière d’infrastructures, les chaînons manquants et les goulets d’étranglement qui entravent la fluidité du transport militaire;</w:t>
      </w:r>
    </w:p>
    <w:p w14:paraId="60E55168" w14:textId="77777777" w:rsidR="002850C6" w:rsidRPr="002850C6" w:rsidRDefault="002850C6" w:rsidP="002850C6">
      <w:pPr>
        <w:pStyle w:val="Point1"/>
        <w:rPr>
          <w:noProof/>
        </w:rPr>
      </w:pPr>
      <w:r w:rsidRPr="002850C6">
        <w:rPr>
          <w:noProof/>
        </w:rPr>
        <w:t>d)</w:t>
      </w:r>
      <w:r w:rsidRPr="002850C6">
        <w:rPr>
          <w:noProof/>
        </w:rPr>
        <w:tab/>
        <w:t>déterminent les caractéristiques techniques exactes et précises de leurs infrastructures de transport et les conditions dans lesquelles le fret militaire exceptionnel pourrait être transporté;</w:t>
      </w:r>
    </w:p>
    <w:p w14:paraId="5870DDBE" w14:textId="77777777" w:rsidR="002850C6" w:rsidRPr="002850C6" w:rsidRDefault="002850C6" w:rsidP="002850C6">
      <w:pPr>
        <w:pStyle w:val="Point1"/>
        <w:rPr>
          <w:noProof/>
        </w:rPr>
      </w:pPr>
      <w:r w:rsidRPr="002850C6">
        <w:rPr>
          <w:noProof/>
        </w:rPr>
        <w:t>e)</w:t>
      </w:r>
      <w:r w:rsidRPr="002850C6">
        <w:rPr>
          <w:noProof/>
        </w:rPr>
        <w:tab/>
        <w:t xml:space="preserve">surveillent la résilience des infrastructures de communication, de contrôle, de navigation, de surveillance et d’approvisionnement en carburant, en particulier contre les interférences avec les communications par radiofréquence, et évaluent des mesures coercitives; </w:t>
      </w:r>
    </w:p>
    <w:p w14:paraId="7CF7AF7E" w14:textId="77777777" w:rsidR="002850C6" w:rsidRPr="002850C6" w:rsidRDefault="002850C6" w:rsidP="002850C6">
      <w:pPr>
        <w:pStyle w:val="Point1"/>
        <w:rPr>
          <w:noProof/>
        </w:rPr>
      </w:pPr>
      <w:r w:rsidRPr="002850C6">
        <w:rPr>
          <w:noProof/>
        </w:rPr>
        <w:t>f)</w:t>
      </w:r>
      <w:r w:rsidRPr="002850C6">
        <w:rPr>
          <w:noProof/>
        </w:rPr>
        <w:tab/>
        <w:t>évaluent tout autre risque potentiel pour les opérations de transport militaire le long des corridors de mobilité militaire, en vue de protéger de manière appropriée les infrastructures de transport connexes;</w:t>
      </w:r>
    </w:p>
    <w:p w14:paraId="45145D13" w14:textId="77777777" w:rsidR="002850C6" w:rsidRPr="002850C6" w:rsidRDefault="002850C6" w:rsidP="002850C6">
      <w:pPr>
        <w:pStyle w:val="Point1"/>
        <w:rPr>
          <w:noProof/>
        </w:rPr>
      </w:pPr>
      <w:r w:rsidRPr="002850C6">
        <w:rPr>
          <w:noProof/>
        </w:rPr>
        <w:t>g)</w:t>
      </w:r>
      <w:r w:rsidRPr="002850C6">
        <w:rPr>
          <w:noProof/>
        </w:rPr>
        <w:tab/>
        <w:t>renforcent la résilience en assurant la compatibilité avec l’utilisation des services offerts par les systèmes spatiaux de l’Union, tels que le positionnement, la navigation et la synchronisation (PNS), l’observation de la Terre et la connectivité sécurisée. En particulier, lorsqu’ils emploient des services PNS, ils utilisent les services d’authentification offerts par le programme spatial de l’Union ou, à défaut, le service public réglementé (PRS) de Galileo chaque fois que cela est possible, sans préjudice des prérogatives des États membres concernant l’utilisation du PRS sur leur territoire. En outre, les États membres utilisent les services spatiaux d’observation de la Terre de l’Union lorsqu’ils proposent des solutions de surveillance et de protection.</w:t>
      </w:r>
    </w:p>
    <w:p w14:paraId="394375BF"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Sur la base de l’analyse effectuée conformément au paragraphe </w:t>
      </w:r>
      <w:r w:rsidRPr="0086652C">
        <w:rPr>
          <w:noProof/>
        </w:rPr>
        <w:t>2</w:t>
      </w:r>
      <w:r w:rsidRPr="002850C6">
        <w:rPr>
          <w:noProof/>
        </w:rPr>
        <w:t>, la Commission, en étroite coopération avec les États membres, recense les investissements ciblés à court terme («points névralgiques» dans les infrastructures de transport) que les États membres doivent mettre en œuvre en priorité le long des corridors de mobilité militaire. À cette fin, la Commission organise des réunions ciblées par corridor de mobilité militaire afin de convenir de la mise en œuvre de ces points névralgiques de manière synchronisée et coordonnée. Les États membres concernés sont invités à ces réunions et des experts militaires sont consultés lors de l’évaluation.</w:t>
      </w:r>
    </w:p>
    <w:p w14:paraId="6C09040A"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Les États membres, avec le soutien de la Commission et du SEAE, se coordonnent sur les points suivants:</w:t>
      </w:r>
    </w:p>
    <w:p w14:paraId="30ECE3CD" w14:textId="77777777" w:rsidR="002850C6" w:rsidRPr="002850C6" w:rsidRDefault="002850C6" w:rsidP="002850C6">
      <w:pPr>
        <w:pStyle w:val="Point1"/>
        <w:rPr>
          <w:noProof/>
        </w:rPr>
      </w:pPr>
      <w:r w:rsidRPr="002850C6">
        <w:rPr>
          <w:noProof/>
        </w:rPr>
        <w:t>a)</w:t>
      </w:r>
      <w:r w:rsidRPr="002850C6">
        <w:rPr>
          <w:noProof/>
        </w:rPr>
        <w:tab/>
        <w:t>convenir des itinéraires désignés, des nœuds de transport et des installations de soutien, telles que les centres de soutien au transport militaire, et tirer le meilleur parti des corridors de mobilité militaire;</w:t>
      </w:r>
    </w:p>
    <w:p w14:paraId="0AEC062B" w14:textId="77777777" w:rsidR="002850C6" w:rsidRPr="002850C6" w:rsidRDefault="002850C6" w:rsidP="002850C6">
      <w:pPr>
        <w:pStyle w:val="Point1"/>
        <w:rPr>
          <w:noProof/>
        </w:rPr>
      </w:pPr>
      <w:r w:rsidRPr="002850C6">
        <w:rPr>
          <w:noProof/>
        </w:rPr>
        <w:t>b)</w:t>
      </w:r>
      <w:r w:rsidRPr="002850C6">
        <w:rPr>
          <w:noProof/>
        </w:rPr>
        <w:tab/>
        <w:t>favoriser la coordination et la coopération entre les gestionnaires de l’infrastructure ferroviaire de différents États membres, en particulier pour assurer le traitement efficace des modalités en matière de circulation conformément à l’article </w:t>
      </w:r>
      <w:r w:rsidRPr="0086652C">
        <w:rPr>
          <w:noProof/>
        </w:rPr>
        <w:t>7</w:t>
      </w:r>
      <w:r w:rsidRPr="002850C6">
        <w:rPr>
          <w:noProof/>
        </w:rPr>
        <w:t xml:space="preserve"> et la réalisation de contrôles rapides et efficaces de la compatibilité des itinéraires pour les transports militaires exceptionnels traversant plus d’un réseau;</w:t>
      </w:r>
    </w:p>
    <w:p w14:paraId="1BB5592B" w14:textId="77777777" w:rsidR="002850C6" w:rsidRPr="002850C6" w:rsidRDefault="002850C6" w:rsidP="002850C6">
      <w:pPr>
        <w:pStyle w:val="Point1"/>
        <w:rPr>
          <w:noProof/>
        </w:rPr>
      </w:pPr>
      <w:r w:rsidRPr="002850C6">
        <w:rPr>
          <w:noProof/>
        </w:rPr>
        <w:t>c)</w:t>
      </w:r>
      <w:r w:rsidRPr="002850C6">
        <w:rPr>
          <w:noProof/>
        </w:rPr>
        <w:tab/>
        <w:t>favoriser la coordination et la coopération entre les autorités aéronautiques nationales avec le soutien de l’AED et, s’il y a lieu, du gestionnaire de réseau au sens de l’article </w:t>
      </w:r>
      <w:r w:rsidRPr="0086652C">
        <w:rPr>
          <w:noProof/>
        </w:rPr>
        <w:t>2</w:t>
      </w:r>
      <w:r w:rsidRPr="002850C6">
        <w:rPr>
          <w:noProof/>
        </w:rPr>
        <w:t>, point </w:t>
      </w:r>
      <w:r w:rsidRPr="0086652C">
        <w:rPr>
          <w:noProof/>
        </w:rPr>
        <w:t>49</w:t>
      </w:r>
      <w:r w:rsidRPr="002850C6">
        <w:rPr>
          <w:noProof/>
        </w:rPr>
        <w:t xml:space="preserve">), du règlement (UE) </w:t>
      </w:r>
      <w:r w:rsidRPr="0086652C">
        <w:rPr>
          <w:noProof/>
        </w:rPr>
        <w:t>2024</w:t>
      </w:r>
      <w:r w:rsidRPr="002850C6">
        <w:rPr>
          <w:noProof/>
        </w:rPr>
        <w:t>/</w:t>
      </w:r>
      <w:r w:rsidRPr="0086652C">
        <w:rPr>
          <w:noProof/>
        </w:rPr>
        <w:t>2803</w:t>
      </w:r>
      <w:r w:rsidRPr="002850C6">
        <w:rPr>
          <w:noProof/>
        </w:rPr>
        <w:t>, afin de définir des points de connectivité transfrontière entre tous les États membres, conformément aux principes énoncés dans le règlement (CE) nº </w:t>
      </w:r>
      <w:r w:rsidRPr="0086652C">
        <w:rPr>
          <w:noProof/>
        </w:rPr>
        <w:t>2150</w:t>
      </w:r>
      <w:r w:rsidRPr="002850C6">
        <w:rPr>
          <w:noProof/>
        </w:rPr>
        <w:t>/</w:t>
      </w:r>
      <w:r w:rsidRPr="0086652C">
        <w:rPr>
          <w:noProof/>
        </w:rPr>
        <w:t>2005</w:t>
      </w:r>
      <w:r w:rsidRPr="002850C6">
        <w:rPr>
          <w:noProof/>
        </w:rPr>
        <w:t xml:space="preserve"> de la Commission</w:t>
      </w:r>
      <w:r w:rsidR="009B03F8">
        <w:rPr>
          <w:noProof/>
        </w:rPr>
        <w:t>(</w:t>
      </w:r>
      <w:r w:rsidR="009B03F8">
        <w:rPr>
          <w:rStyle w:val="FootnoteReference"/>
          <w:noProof/>
        </w:rPr>
        <w:footnoteReference w:id="60"/>
      </w:r>
      <w:r w:rsidRPr="0086652C">
        <w:rPr>
          <w:rStyle w:val="FootnoteReference"/>
          <w:noProof/>
        </w:rPr>
        <w:t>38</w:t>
      </w:r>
      <w:r w:rsidRPr="002850C6">
        <w:rPr>
          <w:rStyle w:val="FootnoteReference"/>
          <w:noProof/>
        </w:rPr>
        <w:t>)</w:t>
      </w:r>
      <w:r w:rsidRPr="002850C6">
        <w:rPr>
          <w:noProof/>
        </w:rPr>
        <w:t>.</w:t>
      </w:r>
    </w:p>
    <w:p w14:paraId="172A8D48" w14:textId="77777777" w:rsidR="002850C6" w:rsidRPr="002850C6" w:rsidRDefault="002850C6" w:rsidP="002850C6">
      <w:pPr>
        <w:pStyle w:val="Text1"/>
        <w:rPr>
          <w:noProof/>
        </w:rPr>
      </w:pPr>
      <w:r w:rsidRPr="002850C6">
        <w:rPr>
          <w:noProof/>
        </w:rPr>
        <w:t>Aux fins du premier alinéa, point b), les États membres donnent instruction aux gestionnaires de l’infrastructure de convenir d’itinéraires préétablis pour le transport militaire transfrontière, en particulier pour les marchandises dangereuses et le fret militaire exceptionnel.</w:t>
      </w:r>
    </w:p>
    <w:p w14:paraId="567AC1A5"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La Commission est assistée par le comité institué par l’article </w:t>
      </w:r>
      <w:r w:rsidRPr="0086652C">
        <w:rPr>
          <w:noProof/>
        </w:rPr>
        <w:t>61</w:t>
      </w:r>
      <w:r w:rsidRPr="002850C6">
        <w:rPr>
          <w:noProof/>
        </w:rPr>
        <w:t xml:space="preserve"> du règlement (UE) </w:t>
      </w:r>
      <w:r w:rsidRPr="0086652C">
        <w:rPr>
          <w:noProof/>
        </w:rPr>
        <w:t>2024</w:t>
      </w:r>
      <w:r w:rsidRPr="002850C6">
        <w:rPr>
          <w:noProof/>
        </w:rPr>
        <w:t>/</w:t>
      </w:r>
      <w:r w:rsidRPr="0086652C">
        <w:rPr>
          <w:noProof/>
        </w:rPr>
        <w:t>1679</w:t>
      </w:r>
      <w:r w:rsidRPr="002850C6">
        <w:rPr>
          <w:rStyle w:val="FootnoteReference"/>
          <w:noProof/>
        </w:rPr>
        <w:footnoteReference w:id="61"/>
      </w:r>
      <w:r w:rsidRPr="002850C6">
        <w:rPr>
          <w:noProof/>
        </w:rPr>
        <w:t xml:space="preserve"> dans la mise en œuvre du présent article. Le cas échéant, le groupe sur les transports liés à la mobilité militaire peut être consulté.</w:t>
      </w:r>
    </w:p>
    <w:p w14:paraId="3E63C383" w14:textId="77777777" w:rsidR="002850C6" w:rsidRPr="002850C6" w:rsidRDefault="002850C6" w:rsidP="002850C6">
      <w:pPr>
        <w:pStyle w:val="Titrearticle"/>
        <w:rPr>
          <w:noProof/>
        </w:rPr>
      </w:pPr>
      <w:bookmarkStart w:id="29" w:name="_Hlk213599099"/>
      <w:r w:rsidRPr="002850C6">
        <w:rPr>
          <w:noProof/>
        </w:rPr>
        <w:t>Article </w:t>
      </w:r>
      <w:r w:rsidRPr="0086652C">
        <w:rPr>
          <w:noProof/>
        </w:rPr>
        <w:t>33</w:t>
      </w:r>
    </w:p>
    <w:p w14:paraId="14505A00" w14:textId="77777777" w:rsidR="002850C6" w:rsidRPr="002850C6" w:rsidRDefault="002850C6" w:rsidP="002850C6">
      <w:pPr>
        <w:pStyle w:val="NormalCentered"/>
        <w:rPr>
          <w:noProof/>
        </w:rPr>
      </w:pPr>
      <w:r w:rsidRPr="002850C6">
        <w:rPr>
          <w:b/>
          <w:noProof/>
        </w:rPr>
        <w:t>Recensement des infrastructures stratégiques à double usage</w:t>
      </w:r>
    </w:p>
    <w:p w14:paraId="69996A92"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 xml:space="preserve">Sans préjudice de la directive (UE) </w:t>
      </w:r>
      <w:r w:rsidRPr="0086652C">
        <w:rPr>
          <w:noProof/>
        </w:rPr>
        <w:t>2022</w:t>
      </w:r>
      <w:r w:rsidRPr="002850C6">
        <w:rPr>
          <w:noProof/>
        </w:rPr>
        <w:t>/</w:t>
      </w:r>
      <w:r w:rsidRPr="0086652C">
        <w:rPr>
          <w:noProof/>
        </w:rPr>
        <w:t>2557</w:t>
      </w:r>
      <w:r w:rsidRPr="002850C6">
        <w:rPr>
          <w:noProof/>
        </w:rPr>
        <w:t xml:space="preserve"> et en complémentarité avec celle-ci, les États membres recensent les infrastructures suivantes situées sur leur territoire comme infrastructures stratégiques à double usage aux fins du présent règlement:</w:t>
      </w:r>
    </w:p>
    <w:p w14:paraId="3D9A4233" w14:textId="77777777" w:rsidR="002850C6" w:rsidRPr="002850C6" w:rsidRDefault="002850C6" w:rsidP="002850C6">
      <w:pPr>
        <w:pStyle w:val="Point1"/>
        <w:rPr>
          <w:noProof/>
        </w:rPr>
      </w:pPr>
      <w:r w:rsidRPr="002850C6">
        <w:rPr>
          <w:noProof/>
        </w:rPr>
        <w:t>a)</w:t>
      </w:r>
      <w:r w:rsidRPr="002850C6">
        <w:rPr>
          <w:noProof/>
        </w:rPr>
        <w:tab/>
        <w:t>les principales infrastructures de transport desservant la capitale de chaque État membre, y compris, le cas échéant, les plus grands ports maritimes et intérieurs ainsi que le plus grand aéroport et le plus grand terminal de fret multimodal, sur la base des volumes de circulation ou de la capacité les plus élevés, ou les deux;</w:t>
      </w:r>
    </w:p>
    <w:p w14:paraId="61EA6C3A" w14:textId="77777777" w:rsidR="002850C6" w:rsidRPr="002850C6" w:rsidRDefault="002850C6" w:rsidP="002850C6">
      <w:pPr>
        <w:pStyle w:val="Point1"/>
        <w:rPr>
          <w:noProof/>
        </w:rPr>
      </w:pPr>
      <w:r w:rsidRPr="002850C6">
        <w:rPr>
          <w:noProof/>
        </w:rPr>
        <w:t>b)</w:t>
      </w:r>
      <w:r w:rsidRPr="002850C6">
        <w:rPr>
          <w:noProof/>
        </w:rPr>
        <w:tab/>
        <w:t>les principales infrastructures de transport desservant les nœuds urbains du réseau transeuropéen de transport ayant une population d’au moins un million d’habitants;</w:t>
      </w:r>
    </w:p>
    <w:p w14:paraId="7946D4C5" w14:textId="77777777" w:rsidR="002850C6" w:rsidRPr="002850C6" w:rsidRDefault="002850C6" w:rsidP="002850C6">
      <w:pPr>
        <w:pStyle w:val="Point1"/>
        <w:rPr>
          <w:noProof/>
        </w:rPr>
      </w:pPr>
      <w:r w:rsidRPr="002850C6">
        <w:rPr>
          <w:noProof/>
        </w:rPr>
        <w:t>c)</w:t>
      </w:r>
      <w:r w:rsidRPr="002850C6">
        <w:rPr>
          <w:noProof/>
        </w:rPr>
        <w:tab/>
        <w:t>pour chaque région NUTS </w:t>
      </w:r>
      <w:r w:rsidRPr="0086652C">
        <w:rPr>
          <w:noProof/>
        </w:rPr>
        <w:t>2</w:t>
      </w:r>
      <w:r w:rsidRPr="002850C6">
        <w:rPr>
          <w:noProof/>
        </w:rPr>
        <w:t xml:space="preserve"> située le long des corridors de mobilité militaire, le plus grand port maritime et intérieur ainsi que le plus grand aéroport et le plus grand terminal de fret multimodal, sur la base des volumes de circulation ou de la capacité les plus élevés, ou les deux.</w:t>
      </w:r>
    </w:p>
    <w:p w14:paraId="2D5D7264"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Outre les infrastructures stratégiques à double usage visées au paragraphe </w:t>
      </w:r>
      <w:r w:rsidRPr="0086652C">
        <w:rPr>
          <w:noProof/>
        </w:rPr>
        <w:t>1</w:t>
      </w:r>
      <w:r w:rsidRPr="002850C6">
        <w:rPr>
          <w:noProof/>
        </w:rPr>
        <w:t>, les États membres recensent les infrastructures de transport répondant aux critères suivants comme infrastructures stratégiques à double usage aux fins du présent règlement:</w:t>
      </w:r>
    </w:p>
    <w:p w14:paraId="74FA44A9" w14:textId="77777777" w:rsidR="002850C6" w:rsidRPr="002850C6" w:rsidRDefault="002850C6" w:rsidP="002850C6">
      <w:pPr>
        <w:pStyle w:val="Point1"/>
        <w:rPr>
          <w:noProof/>
        </w:rPr>
      </w:pPr>
      <w:r w:rsidRPr="002850C6">
        <w:rPr>
          <w:noProof/>
        </w:rPr>
        <w:t>a)</w:t>
      </w:r>
      <w:r w:rsidRPr="002850C6">
        <w:rPr>
          <w:noProof/>
        </w:rPr>
        <w:tab/>
        <w:t>les infrastructures qui possèdent la capacité stratégique requise pour soutenir des opérations de transport militaire à grande échelle;</w:t>
      </w:r>
    </w:p>
    <w:p w14:paraId="4028FB89" w14:textId="77777777" w:rsidR="002850C6" w:rsidRPr="002850C6" w:rsidRDefault="002850C6" w:rsidP="002850C6">
      <w:pPr>
        <w:pStyle w:val="Point1"/>
        <w:rPr>
          <w:noProof/>
        </w:rPr>
      </w:pPr>
      <w:r w:rsidRPr="002850C6">
        <w:rPr>
          <w:noProof/>
        </w:rPr>
        <w:t>b)</w:t>
      </w:r>
      <w:r w:rsidRPr="002850C6">
        <w:rPr>
          <w:noProof/>
        </w:rPr>
        <w:tab/>
        <w:t>les infrastructures qui revêtent une importance stratégique pour le transport militaire le long d’un ou de plusieurs corridors de mobilité militaire;</w:t>
      </w:r>
    </w:p>
    <w:p w14:paraId="7F467F39" w14:textId="77777777" w:rsidR="002850C6" w:rsidRPr="002850C6" w:rsidRDefault="002850C6" w:rsidP="002850C6">
      <w:pPr>
        <w:pStyle w:val="Point1"/>
        <w:rPr>
          <w:noProof/>
        </w:rPr>
      </w:pPr>
      <w:r w:rsidRPr="002850C6">
        <w:rPr>
          <w:noProof/>
        </w:rPr>
        <w:t>c)</w:t>
      </w:r>
      <w:r w:rsidRPr="002850C6">
        <w:rPr>
          <w:noProof/>
        </w:rPr>
        <w:tab/>
        <w:t>les infrastructures qui apportent ou ont apporté une contribution stratégique à un transport militaire prévu ou passé;</w:t>
      </w:r>
    </w:p>
    <w:p w14:paraId="4E8BA059" w14:textId="77777777" w:rsidR="002850C6" w:rsidRPr="002850C6" w:rsidRDefault="002850C6" w:rsidP="002850C6">
      <w:pPr>
        <w:pStyle w:val="Point1"/>
        <w:rPr>
          <w:noProof/>
        </w:rPr>
      </w:pPr>
      <w:r w:rsidRPr="002850C6">
        <w:rPr>
          <w:noProof/>
        </w:rPr>
        <w:t>d)</w:t>
      </w:r>
      <w:r w:rsidRPr="002850C6">
        <w:rPr>
          <w:noProof/>
        </w:rPr>
        <w:tab/>
        <w:t>les infrastructures qui constituent un goulet d’étranglement connu ou un chaînon manquant pour les opérations de transport militaire, telles qu’un franchissement de fleuve ou un tunnel stratégiques.</w:t>
      </w:r>
    </w:p>
    <w:p w14:paraId="5D934CDF"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Outre les infrastructures stratégiques à double usage visées au paragraphe </w:t>
      </w:r>
      <w:r w:rsidRPr="0086652C">
        <w:rPr>
          <w:noProof/>
        </w:rPr>
        <w:t>1</w:t>
      </w:r>
      <w:r w:rsidRPr="002850C6">
        <w:rPr>
          <w:noProof/>
        </w:rPr>
        <w:t>, les États membres recensent également les infrastructures de soutien essentielles, dont les infrastructures énergétiques et les infrastructures de communication critiques pour les transports, qui répondent aux critères suivants en tant qu’infrastructures stratégiques à double usage aux fins du présent règlement:</w:t>
      </w:r>
    </w:p>
    <w:p w14:paraId="76F8FF58" w14:textId="77777777" w:rsidR="002850C6" w:rsidRPr="002850C6" w:rsidRDefault="002850C6" w:rsidP="002850C6">
      <w:pPr>
        <w:pStyle w:val="Point1"/>
        <w:rPr>
          <w:noProof/>
        </w:rPr>
      </w:pPr>
      <w:r w:rsidRPr="002850C6">
        <w:rPr>
          <w:noProof/>
        </w:rPr>
        <w:t>a)</w:t>
      </w:r>
      <w:r w:rsidRPr="002850C6">
        <w:rPr>
          <w:noProof/>
        </w:rPr>
        <w:tab/>
        <w:t>les infrastructures qui possèdent la capacité stratégique requise pour soutenir des opérations de transport militaire à grande échelle;</w:t>
      </w:r>
    </w:p>
    <w:p w14:paraId="4968C83B" w14:textId="77777777" w:rsidR="002850C6" w:rsidRPr="002850C6" w:rsidRDefault="002850C6" w:rsidP="002850C6">
      <w:pPr>
        <w:pStyle w:val="Point1"/>
        <w:rPr>
          <w:noProof/>
        </w:rPr>
      </w:pPr>
      <w:r w:rsidRPr="002850C6">
        <w:rPr>
          <w:noProof/>
        </w:rPr>
        <w:t>b)</w:t>
      </w:r>
      <w:r w:rsidRPr="002850C6">
        <w:rPr>
          <w:noProof/>
        </w:rPr>
        <w:tab/>
        <w:t>les infrastructures qui apportent ou ont apporté une contribution stratégique à un transport militaire prévu ou passé;</w:t>
      </w:r>
    </w:p>
    <w:p w14:paraId="53D6639D" w14:textId="77777777" w:rsidR="002850C6" w:rsidRPr="002850C6" w:rsidRDefault="002850C6" w:rsidP="002850C6">
      <w:pPr>
        <w:pStyle w:val="Point1"/>
        <w:rPr>
          <w:noProof/>
        </w:rPr>
      </w:pPr>
      <w:r w:rsidRPr="002850C6">
        <w:rPr>
          <w:noProof/>
        </w:rPr>
        <w:t>c)</w:t>
      </w:r>
      <w:r w:rsidRPr="002850C6">
        <w:rPr>
          <w:noProof/>
        </w:rPr>
        <w:tab/>
        <w:t>les infrastructures qui jouent un rôle stratégique dans la fourniture de services de transport de marchandises ou de personnes vers des États membres ou des régions vulnérables aux menaces pour la sécurité;</w:t>
      </w:r>
    </w:p>
    <w:p w14:paraId="62B85241" w14:textId="77777777" w:rsidR="002850C6" w:rsidRPr="002850C6" w:rsidRDefault="002850C6" w:rsidP="002850C6">
      <w:pPr>
        <w:pStyle w:val="Point1"/>
        <w:rPr>
          <w:noProof/>
        </w:rPr>
      </w:pPr>
      <w:r w:rsidRPr="002850C6">
        <w:rPr>
          <w:noProof/>
        </w:rPr>
        <w:t>d)</w:t>
      </w:r>
      <w:r w:rsidRPr="002850C6">
        <w:rPr>
          <w:noProof/>
        </w:rPr>
        <w:tab/>
        <w:t>les infrastructures disposant de services ou d’installations à double usage très spécialisés qui sont essentiels au transport militaire et pour lesquels il existe très peu d’autres solutions ailleurs dans le même État membre ou le long du même corridor de mobilité militaire;</w:t>
      </w:r>
    </w:p>
    <w:p w14:paraId="543867BF" w14:textId="77777777" w:rsidR="002850C6" w:rsidRPr="002850C6" w:rsidRDefault="002850C6" w:rsidP="002850C6">
      <w:pPr>
        <w:pStyle w:val="Point1"/>
        <w:rPr>
          <w:noProof/>
        </w:rPr>
      </w:pPr>
      <w:r w:rsidRPr="002850C6">
        <w:rPr>
          <w:noProof/>
        </w:rPr>
        <w:t>e)</w:t>
      </w:r>
      <w:r w:rsidRPr="002850C6">
        <w:rPr>
          <w:noProof/>
        </w:rPr>
        <w:tab/>
        <w:t>les infrastructures qui jouent un rôle stratégique dans le stockage d’actifs à double usage facilitant le transport militaire le long des corridors de mobilité militaire.</w:t>
      </w:r>
    </w:p>
    <w:p w14:paraId="12F0E5F4"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Au plus tard le [deux ans après l’entrée en vigueur du présent règlement], chaque État membre établit une liste des infrastructures stratégiques à double usage situées sur son territoire et recensées conformément au présent article. Les États membres soumettent cette liste à la Commission pour observations éventuelles et la révisent en conséquence. Les États membres mettent régulièrement à jour cette liste selon la même procédure. La liste est traitée comme un document «Sensible/Limité».</w:t>
      </w:r>
    </w:p>
    <w:p w14:paraId="3EB273C5"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La Commission est assistée par le comité institué par l’article </w:t>
      </w:r>
      <w:r w:rsidRPr="0086652C">
        <w:rPr>
          <w:noProof/>
        </w:rPr>
        <w:t>61</w:t>
      </w:r>
      <w:r w:rsidRPr="002850C6">
        <w:rPr>
          <w:noProof/>
        </w:rPr>
        <w:t xml:space="preserve"> du règlement (UE) </w:t>
      </w:r>
      <w:r w:rsidRPr="0086652C">
        <w:rPr>
          <w:noProof/>
        </w:rPr>
        <w:t>2024</w:t>
      </w:r>
      <w:r w:rsidRPr="002850C6">
        <w:rPr>
          <w:noProof/>
        </w:rPr>
        <w:t>/</w:t>
      </w:r>
      <w:r w:rsidRPr="0086652C">
        <w:rPr>
          <w:noProof/>
        </w:rPr>
        <w:t>1679</w:t>
      </w:r>
      <w:r w:rsidRPr="002850C6">
        <w:rPr>
          <w:noProof/>
        </w:rPr>
        <w:t xml:space="preserve"> dans la mise en œuvre des paragraphes </w:t>
      </w:r>
      <w:r w:rsidRPr="0086652C">
        <w:rPr>
          <w:noProof/>
        </w:rPr>
        <w:t>1</w:t>
      </w:r>
      <w:r w:rsidRPr="002850C6">
        <w:rPr>
          <w:noProof/>
        </w:rPr>
        <w:t xml:space="preserve"> et </w:t>
      </w:r>
      <w:r w:rsidRPr="0086652C">
        <w:rPr>
          <w:noProof/>
        </w:rPr>
        <w:t>2</w:t>
      </w:r>
      <w:r w:rsidRPr="002850C6">
        <w:rPr>
          <w:noProof/>
        </w:rPr>
        <w:t xml:space="preserve">. </w:t>
      </w:r>
    </w:p>
    <w:p w14:paraId="5F1013E6" w14:textId="77777777" w:rsidR="002850C6" w:rsidRPr="002850C6" w:rsidRDefault="002850C6" w:rsidP="002850C6">
      <w:pPr>
        <w:pStyle w:val="Text1"/>
        <w:rPr>
          <w:noProof/>
        </w:rPr>
      </w:pPr>
      <w:r w:rsidRPr="002850C6">
        <w:rPr>
          <w:noProof/>
        </w:rPr>
        <w:t>La Commission est assistée par le groupe sur les transports liés à la mobilité militaire dans la mise en œuvre du paragraphe </w:t>
      </w:r>
      <w:r w:rsidRPr="0086652C">
        <w:rPr>
          <w:noProof/>
        </w:rPr>
        <w:t>3</w:t>
      </w:r>
      <w:r w:rsidRPr="002850C6">
        <w:rPr>
          <w:noProof/>
        </w:rPr>
        <w:t>.</w:t>
      </w:r>
      <w:bookmarkEnd w:id="29"/>
    </w:p>
    <w:p w14:paraId="06D83567" w14:textId="77777777" w:rsidR="002850C6" w:rsidRPr="002850C6" w:rsidRDefault="002850C6" w:rsidP="002850C6">
      <w:pPr>
        <w:pStyle w:val="Titrearticle"/>
        <w:rPr>
          <w:noProof/>
        </w:rPr>
      </w:pPr>
      <w:r w:rsidRPr="002850C6">
        <w:rPr>
          <w:noProof/>
        </w:rPr>
        <w:t>Article </w:t>
      </w:r>
      <w:r w:rsidRPr="0086652C">
        <w:rPr>
          <w:noProof/>
        </w:rPr>
        <w:t>34</w:t>
      </w:r>
    </w:p>
    <w:p w14:paraId="2F85518A" w14:textId="77777777" w:rsidR="002850C6" w:rsidRPr="002850C6" w:rsidRDefault="002850C6" w:rsidP="002850C6">
      <w:pPr>
        <w:pStyle w:val="NormalCentered"/>
        <w:keepNext/>
        <w:rPr>
          <w:noProof/>
        </w:rPr>
      </w:pPr>
      <w:r w:rsidRPr="002850C6">
        <w:rPr>
          <w:b/>
          <w:noProof/>
        </w:rPr>
        <w:t>Mesures de protection de base des ISD</w:t>
      </w:r>
    </w:p>
    <w:p w14:paraId="2895D98D"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Les États membres prennent les mesures de protection de base suivantes en ce qui concerne les ISD situées sur leur territoire afin de les protéger contre tous les dangers, de renforcer leur résilience et d’assurer leur fonctionnement efficace à tout moment:</w:t>
      </w:r>
    </w:p>
    <w:p w14:paraId="17C7B577" w14:textId="77777777" w:rsidR="002850C6" w:rsidRPr="002850C6" w:rsidRDefault="002850C6" w:rsidP="002850C6">
      <w:pPr>
        <w:pStyle w:val="Point1"/>
        <w:rPr>
          <w:noProof/>
        </w:rPr>
      </w:pPr>
      <w:r w:rsidRPr="002850C6">
        <w:rPr>
          <w:noProof/>
        </w:rPr>
        <w:t>a)</w:t>
      </w:r>
      <w:r w:rsidRPr="002850C6">
        <w:rPr>
          <w:noProof/>
        </w:rPr>
        <w:tab/>
        <w:t>informer les propriétaires, exploitants et gestionnaires de l’infrastructure de sa désignation en tant qu’ISD et leur communiquer toutes les informations pertinentes dont ils ont besoin pour se conformer aux obligations qui leur incombent en vertu du présent article;</w:t>
      </w:r>
    </w:p>
    <w:p w14:paraId="63895565" w14:textId="77777777" w:rsidR="002850C6" w:rsidRPr="002850C6" w:rsidRDefault="002850C6" w:rsidP="002850C6">
      <w:pPr>
        <w:pStyle w:val="Point1"/>
        <w:rPr>
          <w:noProof/>
        </w:rPr>
      </w:pPr>
      <w:r w:rsidRPr="002850C6">
        <w:rPr>
          <w:noProof/>
        </w:rPr>
        <w:t>b)</w:t>
      </w:r>
      <w:r w:rsidRPr="002850C6">
        <w:rPr>
          <w:noProof/>
        </w:rPr>
        <w:tab/>
        <w:t xml:space="preserve">prévenir et atténuer les risques associés à la propriété ou au contrôle étranger d’ISD, y compris au moyen du filtrage des investissements étrangers conformément au règlement (UE) </w:t>
      </w:r>
      <w:r w:rsidRPr="0086652C">
        <w:rPr>
          <w:noProof/>
        </w:rPr>
        <w:t>2019</w:t>
      </w:r>
      <w:r w:rsidRPr="002850C6">
        <w:rPr>
          <w:noProof/>
        </w:rPr>
        <w:t>/</w:t>
      </w:r>
      <w:r w:rsidRPr="0086652C">
        <w:rPr>
          <w:noProof/>
        </w:rPr>
        <w:t>452</w:t>
      </w:r>
      <w:r w:rsidRPr="002850C6">
        <w:rPr>
          <w:noProof/>
        </w:rPr>
        <w:t>, et y remédier;</w:t>
      </w:r>
    </w:p>
    <w:p w14:paraId="269DE241" w14:textId="77777777" w:rsidR="002850C6" w:rsidRPr="002850C6" w:rsidRDefault="002850C6" w:rsidP="002850C6">
      <w:pPr>
        <w:pStyle w:val="Point1"/>
        <w:rPr>
          <w:noProof/>
        </w:rPr>
      </w:pPr>
      <w:r w:rsidRPr="002850C6">
        <w:rPr>
          <w:noProof/>
        </w:rPr>
        <w:t>c)</w:t>
      </w:r>
      <w:r w:rsidRPr="002850C6">
        <w:rPr>
          <w:noProof/>
        </w:rPr>
        <w:tab/>
        <w:t xml:space="preserve">prévenir et atténuer les risques associés à la gestion ou à l’exploitation d’actifs spécifiques qui font partie d’une ISD ou qui y sont liés, tels que les équipements de levage spécifiques, les systèmes informatiques, les équipements de contrôle et de détection de sécurité, ainsi que le personnel et les opérations critiques, tels que les fournisseurs de fret ferroviaire, les entreprises de logistique, les prestataires de services portuaires au sens du règlement (UE) </w:t>
      </w:r>
      <w:r w:rsidRPr="0086652C">
        <w:rPr>
          <w:noProof/>
        </w:rPr>
        <w:t>2017</w:t>
      </w:r>
      <w:r w:rsidRPr="002850C6">
        <w:rPr>
          <w:noProof/>
        </w:rPr>
        <w:t>/</w:t>
      </w:r>
      <w:r w:rsidRPr="0086652C">
        <w:rPr>
          <w:noProof/>
        </w:rPr>
        <w:t>352</w:t>
      </w:r>
      <w:r w:rsidRPr="002850C6">
        <w:rPr>
          <w:noProof/>
        </w:rPr>
        <w:t xml:space="preserve"> du Parlement européen et du Conseil</w:t>
      </w:r>
      <w:r w:rsidR="009B03F8">
        <w:rPr>
          <w:noProof/>
        </w:rPr>
        <w:t>(</w:t>
      </w:r>
      <w:r w:rsidR="009B03F8">
        <w:rPr>
          <w:rStyle w:val="FootnoteReference"/>
          <w:noProof/>
        </w:rPr>
        <w:footnoteReference w:id="62"/>
      </w:r>
      <w:r w:rsidRPr="0086652C">
        <w:rPr>
          <w:rStyle w:val="FootnoteReference"/>
          <w:noProof/>
        </w:rPr>
        <w:t>39</w:t>
      </w:r>
      <w:r w:rsidRPr="002850C6">
        <w:rPr>
          <w:rStyle w:val="FootnoteReference"/>
          <w:noProof/>
        </w:rPr>
        <w:t>)</w:t>
      </w:r>
      <w:r w:rsidRPr="002850C6">
        <w:rPr>
          <w:noProof/>
        </w:rPr>
        <w:t>, les gens de mer et les pilotes, et remédier aux risques en question;</w:t>
      </w:r>
    </w:p>
    <w:p w14:paraId="11FD93EF" w14:textId="77777777" w:rsidR="002850C6" w:rsidRPr="002850C6" w:rsidRDefault="002850C6" w:rsidP="002850C6">
      <w:pPr>
        <w:pStyle w:val="Point1"/>
        <w:rPr>
          <w:noProof/>
        </w:rPr>
      </w:pPr>
      <w:r w:rsidRPr="002850C6">
        <w:rPr>
          <w:noProof/>
        </w:rPr>
        <w:t>d)</w:t>
      </w:r>
      <w:r w:rsidRPr="002850C6">
        <w:rPr>
          <w:noProof/>
        </w:rPr>
        <w:tab/>
        <w:t>le cas échéant, prendre des mesures de base pour protéger les ISD contre les ingérences et les attaques d’acteurs étatiques et non étatiques, y compris les attaques terroristes, la cybersécurité et d’autres attaques hybrides, et doter les ISD de capacités relatives aux interférences dans le cadre de la guerre électronique afin de contrer les raids aériens et les attaques de drones, y compris en ce qui concerne le brouillage et l’usurpation de signaux.</w:t>
      </w:r>
    </w:p>
    <w:p w14:paraId="4820F3C4"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propriétaires, exploitants et gestionnaires d’ISD prennent toutes les mesures techniques, de sécurité et organisationnelles nécessaires dans leur domaine de compétence et, s’il y a lieu, en collaboration les uns avec les autres, pour veiller à ce que les ISD soient correctement protégées contre tous les dangers, à ce que leur résilience soit renforcée et à ce que leur fonctionnement effectif soit assuré à tout moment. En particulier, les propriétaires, exploitants et gestionnaires d’ISD:</w:t>
      </w:r>
    </w:p>
    <w:p w14:paraId="33348C08" w14:textId="77777777" w:rsidR="002850C6" w:rsidRPr="002850C6" w:rsidRDefault="002850C6" w:rsidP="002850C6">
      <w:pPr>
        <w:pStyle w:val="Point1"/>
        <w:rPr>
          <w:noProof/>
        </w:rPr>
      </w:pPr>
      <w:r w:rsidRPr="002850C6">
        <w:rPr>
          <w:noProof/>
        </w:rPr>
        <w:t>a)</w:t>
      </w:r>
      <w:r w:rsidRPr="002850C6">
        <w:rPr>
          <w:noProof/>
        </w:rPr>
        <w:tab/>
        <w:t>mettent en œuvre les mesures de base pertinentes en matière de protection et de résilience des ISD;</w:t>
      </w:r>
    </w:p>
    <w:p w14:paraId="01ECE2FB" w14:textId="77777777" w:rsidR="002850C6" w:rsidRPr="002850C6" w:rsidRDefault="002850C6" w:rsidP="002850C6">
      <w:pPr>
        <w:pStyle w:val="Point1"/>
        <w:rPr>
          <w:noProof/>
        </w:rPr>
      </w:pPr>
      <w:r w:rsidRPr="002850C6">
        <w:rPr>
          <w:noProof/>
        </w:rPr>
        <w:t>b)</w:t>
      </w:r>
      <w:r w:rsidRPr="002850C6">
        <w:rPr>
          <w:noProof/>
        </w:rPr>
        <w:tab/>
        <w:t xml:space="preserve">respectent les obligations qui incombent aux entités critiques en vertu de la directive (UE) </w:t>
      </w:r>
      <w:r w:rsidRPr="0086652C">
        <w:rPr>
          <w:noProof/>
        </w:rPr>
        <w:t>2022</w:t>
      </w:r>
      <w:r w:rsidRPr="002850C6">
        <w:rPr>
          <w:noProof/>
        </w:rPr>
        <w:t>/</w:t>
      </w:r>
      <w:r w:rsidRPr="0086652C">
        <w:rPr>
          <w:noProof/>
        </w:rPr>
        <w:t>2557</w:t>
      </w:r>
      <w:r w:rsidRPr="002850C6">
        <w:rPr>
          <w:noProof/>
        </w:rPr>
        <w:t>, en particulier celles énoncées à ses articles </w:t>
      </w:r>
      <w:r w:rsidRPr="0086652C">
        <w:rPr>
          <w:noProof/>
        </w:rPr>
        <w:t>12</w:t>
      </w:r>
      <w:r w:rsidRPr="002850C6">
        <w:rPr>
          <w:noProof/>
        </w:rPr>
        <w:t xml:space="preserve"> à </w:t>
      </w:r>
      <w:r w:rsidRPr="0086652C">
        <w:rPr>
          <w:noProof/>
        </w:rPr>
        <w:t>15</w:t>
      </w:r>
      <w:r w:rsidRPr="002850C6">
        <w:rPr>
          <w:noProof/>
        </w:rPr>
        <w:t xml:space="preserve">, </w:t>
      </w:r>
      <w:bookmarkStart w:id="30" w:name="_Hlk213421206"/>
      <w:r w:rsidRPr="002850C6">
        <w:rPr>
          <w:noProof/>
        </w:rPr>
        <w:t>que les propriétaires, exploitants ou gestionnaires d’ISD relèvent ou non du champ d’application de ladite directive</w:t>
      </w:r>
      <w:bookmarkEnd w:id="30"/>
      <w:r w:rsidRPr="002850C6">
        <w:rPr>
          <w:noProof/>
        </w:rPr>
        <w:t>;</w:t>
      </w:r>
    </w:p>
    <w:p w14:paraId="77CC6303" w14:textId="77777777" w:rsidR="002850C6" w:rsidRPr="002850C6" w:rsidRDefault="002850C6" w:rsidP="002850C6">
      <w:pPr>
        <w:pStyle w:val="Point1"/>
        <w:rPr>
          <w:noProof/>
        </w:rPr>
      </w:pPr>
      <w:r w:rsidRPr="002850C6">
        <w:rPr>
          <w:noProof/>
        </w:rPr>
        <w:t>c)</w:t>
      </w:r>
      <w:r w:rsidRPr="002850C6">
        <w:rPr>
          <w:noProof/>
        </w:rPr>
        <w:tab/>
        <w:t>appliquent les exigences relatives aux entités essentielles ou importantes découlant des articles </w:t>
      </w:r>
      <w:r w:rsidRPr="0086652C">
        <w:rPr>
          <w:noProof/>
        </w:rPr>
        <w:t>20</w:t>
      </w:r>
      <w:r w:rsidRPr="002850C6">
        <w:rPr>
          <w:noProof/>
        </w:rPr>
        <w:t xml:space="preserve"> et </w:t>
      </w:r>
      <w:r w:rsidRPr="0086652C">
        <w:rPr>
          <w:noProof/>
        </w:rPr>
        <w:t>21</w:t>
      </w:r>
      <w:r w:rsidRPr="002850C6">
        <w:rPr>
          <w:noProof/>
        </w:rPr>
        <w:t xml:space="preserve"> de la directive (UE) </w:t>
      </w:r>
      <w:r w:rsidRPr="0086652C">
        <w:rPr>
          <w:noProof/>
        </w:rPr>
        <w:t>2022</w:t>
      </w:r>
      <w:r w:rsidRPr="002850C6">
        <w:rPr>
          <w:noProof/>
        </w:rPr>
        <w:t>/</w:t>
      </w:r>
      <w:r w:rsidRPr="0086652C">
        <w:rPr>
          <w:noProof/>
        </w:rPr>
        <w:t>2555</w:t>
      </w:r>
      <w:r w:rsidRPr="002850C6">
        <w:rPr>
          <w:noProof/>
        </w:rPr>
        <w:t>, que les propriétaires, exploitants ou gestionnaires d’ISD relèvent ou non du champ d’application de ladite directive;</w:t>
      </w:r>
    </w:p>
    <w:p w14:paraId="76FF7442" w14:textId="77777777" w:rsidR="002850C6" w:rsidRPr="002850C6" w:rsidRDefault="002850C6" w:rsidP="002850C6">
      <w:pPr>
        <w:pStyle w:val="Point1"/>
        <w:rPr>
          <w:noProof/>
        </w:rPr>
      </w:pPr>
      <w:r w:rsidRPr="002850C6">
        <w:rPr>
          <w:noProof/>
        </w:rPr>
        <w:t>d)</w:t>
      </w:r>
      <w:r w:rsidRPr="002850C6">
        <w:rPr>
          <w:noProof/>
        </w:rPr>
        <w:tab/>
        <w:t>fournissent des informations détaillées sur la structure de propriété des ISD à la première demande de l’État membre dans lequel les ISD sont situées.</w:t>
      </w:r>
    </w:p>
    <w:p w14:paraId="411BF6CC"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Les États membres informent sans retard injustifié la Commission et les États membres situés le long des mêmes corridors de mobilité militaire de tout incident lié aux ISD situées sur leur territoire qui perturbe ou est susceptible de perturber de manière importante la fourniture de services essentiels, au sens de l’article </w:t>
      </w:r>
      <w:r w:rsidRPr="0086652C">
        <w:rPr>
          <w:noProof/>
        </w:rPr>
        <w:t>15</w:t>
      </w:r>
      <w:r w:rsidRPr="002850C6">
        <w:rPr>
          <w:noProof/>
        </w:rPr>
        <w:t>, paragraphe </w:t>
      </w:r>
      <w:r w:rsidRPr="0086652C">
        <w:rPr>
          <w:noProof/>
        </w:rPr>
        <w:t>1</w:t>
      </w:r>
      <w:r w:rsidRPr="002850C6">
        <w:rPr>
          <w:noProof/>
        </w:rPr>
        <w:t xml:space="preserve">, de la directive (UE) </w:t>
      </w:r>
      <w:r w:rsidRPr="0086652C">
        <w:rPr>
          <w:noProof/>
        </w:rPr>
        <w:t>2022</w:t>
      </w:r>
      <w:r w:rsidRPr="002850C6">
        <w:rPr>
          <w:noProof/>
        </w:rPr>
        <w:t>/</w:t>
      </w:r>
      <w:r w:rsidRPr="0086652C">
        <w:rPr>
          <w:noProof/>
        </w:rPr>
        <w:t>2557</w:t>
      </w:r>
      <w:r w:rsidRPr="002850C6">
        <w:rPr>
          <w:noProof/>
        </w:rPr>
        <w:t>, et qui leur a été notifié par les propriétaires, exploitants et gestionnaires d’ISD ou dont ils ont eu connaissance par tout autre moyen. Cette notification comprend toutes les informations disponibles permettant à l’autorité compétente concernée d’évaluer la nature, la cause et les conséquences possibles de l’incident, y compris toutes les informations disponibles permettant de déterminer les restrictions de capacités qui en découlent, ainsi que la possible incidence transfrontalière de l’incident.</w:t>
      </w:r>
    </w:p>
    <w:p w14:paraId="68D7BC76"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La Commission peut adopter des actes d’exécution afin de définir les mesures de base en matière de protection et de résilience des ISD visées aux paragraphes </w:t>
      </w:r>
      <w:r w:rsidRPr="0086652C">
        <w:rPr>
          <w:noProof/>
        </w:rPr>
        <w:t>1</w:t>
      </w:r>
      <w:r w:rsidRPr="002850C6">
        <w:rPr>
          <w:noProof/>
        </w:rPr>
        <w:t xml:space="preserve"> et </w:t>
      </w:r>
      <w:r w:rsidRPr="0086652C">
        <w:rPr>
          <w:noProof/>
        </w:rPr>
        <w:t>2</w:t>
      </w:r>
      <w:r w:rsidRPr="002850C6">
        <w:rPr>
          <w:noProof/>
        </w:rPr>
        <w:t xml:space="preserve"> du présent article et de définir les mesures de protection renforcée des infrastructures stratégiques à double usage visées à l’article </w:t>
      </w:r>
      <w:r w:rsidRPr="0086652C">
        <w:rPr>
          <w:noProof/>
        </w:rPr>
        <w:t>24</w:t>
      </w:r>
      <w:r w:rsidRPr="002850C6">
        <w:rPr>
          <w:noProof/>
        </w:rPr>
        <w:t xml:space="preserve"> du présent règlement. À cette fin, la Commission tient compte en particulier des lignes directrices qu’elle a adoptées en vertu de l’article </w:t>
      </w:r>
      <w:r w:rsidRPr="0086652C">
        <w:rPr>
          <w:noProof/>
        </w:rPr>
        <w:t>13</w:t>
      </w:r>
      <w:r w:rsidRPr="002850C6">
        <w:rPr>
          <w:noProof/>
        </w:rPr>
        <w:t>, paragraphe </w:t>
      </w:r>
      <w:r w:rsidRPr="0086652C">
        <w:rPr>
          <w:noProof/>
        </w:rPr>
        <w:t>5</w:t>
      </w:r>
      <w:r w:rsidRPr="002850C6">
        <w:rPr>
          <w:noProof/>
        </w:rPr>
        <w:t xml:space="preserve">, de la directive (UE) </w:t>
      </w:r>
      <w:r w:rsidRPr="0086652C">
        <w:rPr>
          <w:noProof/>
        </w:rPr>
        <w:t>2022</w:t>
      </w:r>
      <w:r w:rsidRPr="002850C6">
        <w:rPr>
          <w:noProof/>
        </w:rPr>
        <w:t>/</w:t>
      </w:r>
      <w:r w:rsidRPr="0086652C">
        <w:rPr>
          <w:noProof/>
        </w:rPr>
        <w:t>2557</w:t>
      </w:r>
      <w:r w:rsidRPr="002850C6">
        <w:rPr>
          <w:noProof/>
        </w:rPr>
        <w:t>; elle peut également demander l’avis du groupe sur les transports liés à la mobilité militaire et du comité institué conformément à l’article </w:t>
      </w:r>
      <w:r w:rsidRPr="0086652C">
        <w:rPr>
          <w:noProof/>
        </w:rPr>
        <w:t>61</w:t>
      </w:r>
      <w:r w:rsidRPr="002850C6">
        <w:rPr>
          <w:noProof/>
        </w:rPr>
        <w:t xml:space="preserve"> du règlement (UE) </w:t>
      </w:r>
      <w:r w:rsidRPr="0086652C">
        <w:rPr>
          <w:noProof/>
        </w:rPr>
        <w:t>2024</w:t>
      </w:r>
      <w:r w:rsidRPr="002850C6">
        <w:rPr>
          <w:noProof/>
        </w:rPr>
        <w:t>/</w:t>
      </w:r>
      <w:r w:rsidRPr="0086652C">
        <w:rPr>
          <w:noProof/>
        </w:rPr>
        <w:t>1679</w:t>
      </w:r>
      <w:r w:rsidRPr="002850C6">
        <w:rPr>
          <w:noProof/>
        </w:rPr>
        <w:t>. Cet acte d’exécution est adopté en conformité avec la procédure d’examen visée à l’article </w:t>
      </w:r>
      <w:r w:rsidRPr="0086652C">
        <w:rPr>
          <w:noProof/>
        </w:rPr>
        <w:t>45</w:t>
      </w:r>
      <w:r w:rsidRPr="002850C6">
        <w:rPr>
          <w:noProof/>
        </w:rPr>
        <w:t>, paragraphe </w:t>
      </w:r>
      <w:r w:rsidRPr="0086652C">
        <w:rPr>
          <w:noProof/>
        </w:rPr>
        <w:t>4</w:t>
      </w:r>
      <w:r w:rsidRPr="002850C6">
        <w:rPr>
          <w:noProof/>
        </w:rPr>
        <w:t xml:space="preserve">, du présent règlement. La Commission peut proposer d’inclure les mesures prévues par cet acte d’exécution dans les besoins militaires du Conseil. </w:t>
      </w:r>
    </w:p>
    <w:p w14:paraId="3765D83B" w14:textId="77777777" w:rsidR="002850C6" w:rsidRPr="002850C6" w:rsidRDefault="002850C6" w:rsidP="002850C6">
      <w:pPr>
        <w:rPr>
          <w:noProof/>
        </w:rPr>
      </w:pPr>
    </w:p>
    <w:p w14:paraId="59250F59" w14:textId="77777777" w:rsidR="002850C6" w:rsidRPr="002850C6" w:rsidRDefault="002850C6" w:rsidP="002850C6">
      <w:pPr>
        <w:pStyle w:val="ChapterTitle"/>
        <w:rPr>
          <w:noProof/>
        </w:rPr>
      </w:pPr>
      <w:r w:rsidRPr="002850C6">
        <w:rPr>
          <w:noProof/>
        </w:rPr>
        <w:t xml:space="preserve">Chapitre IV </w:t>
      </w:r>
      <w:r w:rsidRPr="002850C6">
        <w:rPr>
          <w:noProof/>
        </w:rPr>
        <w:cr/>
      </w:r>
      <w:r w:rsidRPr="002850C6">
        <w:rPr>
          <w:noProof/>
        </w:rPr>
        <w:br/>
        <w:t>Disponibilité de capacités de transport et de capacités logistiques pour les opérations de transport militaire</w:t>
      </w:r>
    </w:p>
    <w:p w14:paraId="7DCAA0D8" w14:textId="77777777" w:rsidR="002850C6" w:rsidRPr="002850C6" w:rsidRDefault="002850C6" w:rsidP="002850C6">
      <w:pPr>
        <w:pStyle w:val="Titrearticle"/>
        <w:rPr>
          <w:noProof/>
        </w:rPr>
      </w:pPr>
      <w:r w:rsidRPr="002850C6">
        <w:rPr>
          <w:noProof/>
        </w:rPr>
        <w:t>Article </w:t>
      </w:r>
      <w:r w:rsidRPr="0086652C">
        <w:rPr>
          <w:noProof/>
        </w:rPr>
        <w:t>35</w:t>
      </w:r>
    </w:p>
    <w:p w14:paraId="618984AA" w14:textId="77777777" w:rsidR="002850C6" w:rsidRPr="002850C6" w:rsidRDefault="002850C6" w:rsidP="002850C6">
      <w:pPr>
        <w:pStyle w:val="NormalCentered"/>
        <w:rPr>
          <w:b/>
          <w:noProof/>
        </w:rPr>
      </w:pPr>
      <w:r w:rsidRPr="002850C6">
        <w:rPr>
          <w:b/>
          <w:noProof/>
        </w:rPr>
        <w:t>Réserve de solidarité pour faciliter les opérations de transport militaire</w:t>
      </w:r>
    </w:p>
    <w:p w14:paraId="73B353E2"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La réserve de solidarité est créée. Il s’agit d’une réserve comprenant une liste des capacités enregistrées des États membres et, éventuellement, de l’Union. Les capacités enregistrées dans la réserve de solidarité consistent en des capacités de transport et des capacités logistiques et elles sont utilisées pour assurer, optimiser et faciliter l’exécution d’opérations de transport militaire. La réserve de solidarité devient opérationnelle moyennant l’adoption par la Commission de l’acte d’exécution visé au paragraphe </w:t>
      </w:r>
      <w:r w:rsidRPr="0086652C">
        <w:rPr>
          <w:noProof/>
        </w:rPr>
        <w:t>15</w:t>
      </w:r>
      <w:r w:rsidRPr="002850C6">
        <w:rPr>
          <w:noProof/>
        </w:rPr>
        <w:t>.</w:t>
      </w:r>
    </w:p>
    <w:p w14:paraId="41A5F50B"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Sur la base de l’avis du groupe sur les transports liés à la mobilité militaire et des résultats des tests de résistance prévus à l’article </w:t>
      </w:r>
      <w:r w:rsidRPr="0086652C">
        <w:rPr>
          <w:noProof/>
        </w:rPr>
        <w:t>43</w:t>
      </w:r>
      <w:r w:rsidRPr="002850C6">
        <w:rPr>
          <w:noProof/>
        </w:rPr>
        <w:t>, la Commission peut adopter des lignes directrices définissant les types et précisant le nombre de capacités de transport essentielles nécessaires à la réserve de solidarité pour combler les lacunes de l’Union dans le domaine des capacités de transport militaire.</w:t>
      </w:r>
    </w:p>
    <w:p w14:paraId="16B68F39"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 xml:space="preserve">La réserve de solidarité est opérationnelle </w:t>
      </w:r>
      <w:r w:rsidRPr="0086652C">
        <w:rPr>
          <w:noProof/>
        </w:rPr>
        <w:t>24</w:t>
      </w:r>
      <w:r w:rsidRPr="002850C6">
        <w:rPr>
          <w:noProof/>
        </w:rPr>
        <w:t xml:space="preserve"> heures sur </w:t>
      </w:r>
      <w:r w:rsidRPr="0086652C">
        <w:rPr>
          <w:noProof/>
        </w:rPr>
        <w:t>24</w:t>
      </w:r>
      <w:r w:rsidRPr="002850C6">
        <w:rPr>
          <w:noProof/>
        </w:rPr>
        <w:t xml:space="preserve"> et sept jours sur sept.</w:t>
      </w:r>
    </w:p>
    <w:p w14:paraId="74A14A95"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Les États membres peuvent enregistrer volontairement leurs propres capacités dans la réserve de solidarité. Les capacités acquises ou sous-traitées par les États membres avec le soutien financier de l’Union sont enregistrées dans la réserve de solidarité.</w:t>
      </w:r>
    </w:p>
    <w:p w14:paraId="6AB71DE7"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 xml:space="preserve">L’enregistrement des capacités multinationales fournies par deux États membres ou plus est effectué conjointement par tous les États membres concernés ou par toute entité pertinente. </w:t>
      </w:r>
    </w:p>
    <w:p w14:paraId="0E0316CA" w14:textId="77777777" w:rsidR="002850C6" w:rsidRPr="002850C6" w:rsidRDefault="002850C6" w:rsidP="002850C6">
      <w:pPr>
        <w:pStyle w:val="ManualNumPar1"/>
        <w:rPr>
          <w:noProof/>
        </w:rPr>
      </w:pPr>
      <w:r w:rsidRPr="0086652C">
        <w:rPr>
          <w:noProof/>
        </w:rPr>
        <w:t>6</w:t>
      </w:r>
      <w:r w:rsidRPr="002850C6">
        <w:rPr>
          <w:noProof/>
        </w:rPr>
        <w:t>.</w:t>
      </w:r>
      <w:r w:rsidRPr="002850C6">
        <w:rPr>
          <w:noProof/>
        </w:rPr>
        <w:tab/>
        <w:t>Sous réserve de la disponibilité de fonds de l’Union, des capacités européennes peuvent être acquises dans le but de combler les lacunes de l’Union dans le domaine des capacités de transport, dans des conditions à préciser dans l’acte d’exécution visé au paragraphe </w:t>
      </w:r>
      <w:r w:rsidRPr="0086652C">
        <w:rPr>
          <w:noProof/>
        </w:rPr>
        <w:t>15</w:t>
      </w:r>
      <w:r w:rsidRPr="002850C6">
        <w:rPr>
          <w:noProof/>
        </w:rPr>
        <w:t>. Les capacités de l’Union sont automatiquement enregistrées dans la réserve de solidarité.</w:t>
      </w:r>
    </w:p>
    <w:p w14:paraId="278DFE21" w14:textId="77777777" w:rsidR="002850C6" w:rsidRPr="002850C6" w:rsidRDefault="002850C6" w:rsidP="002850C6">
      <w:pPr>
        <w:pStyle w:val="ManualNumPar1"/>
        <w:rPr>
          <w:noProof/>
        </w:rPr>
      </w:pPr>
      <w:r w:rsidRPr="0086652C">
        <w:rPr>
          <w:noProof/>
        </w:rPr>
        <w:t>7</w:t>
      </w:r>
      <w:r w:rsidRPr="002850C6">
        <w:rPr>
          <w:noProof/>
        </w:rPr>
        <w:t>.</w:t>
      </w:r>
      <w:r w:rsidRPr="002850C6">
        <w:rPr>
          <w:noProof/>
        </w:rPr>
        <w:tab/>
        <w:t>Les capacités que les États membres ou l’Union, ou les deux, enregistrent dans la réserve de solidarité peuvent comprendre leurs propres capacités et celles obtenues dans le cadre de marchés de services conclus avec des opérateurs commerciaux, lorsque ces marchés le permettent.</w:t>
      </w:r>
    </w:p>
    <w:p w14:paraId="0D5AFB0D" w14:textId="77777777" w:rsidR="002850C6" w:rsidRPr="002850C6" w:rsidRDefault="002850C6" w:rsidP="002850C6">
      <w:pPr>
        <w:pStyle w:val="ManualNumPar1"/>
        <w:rPr>
          <w:noProof/>
        </w:rPr>
      </w:pPr>
      <w:r w:rsidRPr="0086652C">
        <w:rPr>
          <w:noProof/>
        </w:rPr>
        <w:t>8</w:t>
      </w:r>
      <w:r w:rsidRPr="002850C6">
        <w:rPr>
          <w:noProof/>
        </w:rPr>
        <w:t>.</w:t>
      </w:r>
      <w:r w:rsidRPr="002850C6">
        <w:rPr>
          <w:noProof/>
        </w:rPr>
        <w:tab/>
        <w:t>Les capacités enregistrées dans la réserve de solidarité sont disponibles pour un soutien à la suite d’une demande adressée par un État membre demandeur à la Commission, à moins que ces capacités ne soient déjà utilisées pour appuyer une autre demande. En cas de demandes concurrentes, toute décision d’attribution des capacités est prise en étroite coordination entre les États membres demandeurs, la Commission et, le cas échéant, l’État membre qui a enregistré les capacités.</w:t>
      </w:r>
    </w:p>
    <w:p w14:paraId="765DEB00" w14:textId="77777777" w:rsidR="002850C6" w:rsidRPr="002850C6" w:rsidRDefault="002850C6" w:rsidP="002850C6">
      <w:pPr>
        <w:pStyle w:val="ManualNumPar1"/>
        <w:rPr>
          <w:noProof/>
        </w:rPr>
      </w:pPr>
      <w:r w:rsidRPr="0086652C">
        <w:rPr>
          <w:noProof/>
        </w:rPr>
        <w:t>9</w:t>
      </w:r>
      <w:r w:rsidRPr="002850C6">
        <w:rPr>
          <w:noProof/>
        </w:rPr>
        <w:t>.</w:t>
      </w:r>
      <w:r w:rsidRPr="002850C6">
        <w:rPr>
          <w:noProof/>
        </w:rPr>
        <w:tab/>
        <w:t>Lorsqu’elles ne sont pas utilisées ou nécessaires pour le soutien prévu, les capacités enregistrées dans le cadre de la réserve de solidarité peuvent être utilisées à des fins nationales par leur État membre d’enregistrement ou à des fins commerciales par l’opérateur commercial qui a été engagé par l’État membre d’enregistrement ou l’Union.</w:t>
      </w:r>
    </w:p>
    <w:p w14:paraId="0C0D5192" w14:textId="77777777" w:rsidR="002850C6" w:rsidRPr="002850C6" w:rsidRDefault="002850C6" w:rsidP="002850C6">
      <w:pPr>
        <w:pStyle w:val="ManualNumPar1"/>
        <w:rPr>
          <w:noProof/>
        </w:rPr>
      </w:pPr>
      <w:r w:rsidRPr="0086652C">
        <w:rPr>
          <w:noProof/>
        </w:rPr>
        <w:t>10</w:t>
      </w:r>
      <w:r w:rsidRPr="002850C6">
        <w:rPr>
          <w:noProof/>
        </w:rPr>
        <w:t>.</w:t>
      </w:r>
      <w:r w:rsidRPr="002850C6">
        <w:rPr>
          <w:noProof/>
        </w:rPr>
        <w:tab/>
        <w:t>Les capacités d’un État membre enregistrées dans la réserve de solidarité peuvent être exclues du soutien lorsque cet État membre est confronté à une situation exceptionnelle nécessitant l’utilisation de ces capacités. Lorsqu’un État membre invoque une telle situation exceptionnelle, il en informe la Commission et lui fournit des explications le plus tôt possible.</w:t>
      </w:r>
    </w:p>
    <w:p w14:paraId="75FEF72C" w14:textId="77777777" w:rsidR="002850C6" w:rsidRPr="002850C6" w:rsidRDefault="002850C6" w:rsidP="002850C6">
      <w:pPr>
        <w:pStyle w:val="ManualNumPar1"/>
        <w:rPr>
          <w:noProof/>
        </w:rPr>
      </w:pPr>
      <w:r w:rsidRPr="0086652C">
        <w:rPr>
          <w:noProof/>
        </w:rPr>
        <w:t>11</w:t>
      </w:r>
      <w:r w:rsidRPr="002850C6">
        <w:rPr>
          <w:noProof/>
        </w:rPr>
        <w:t>.</w:t>
      </w:r>
      <w:r w:rsidRPr="002850C6">
        <w:rPr>
          <w:noProof/>
        </w:rPr>
        <w:tab/>
        <w:t>Les capacités d’un État membre enregistrées dans la réserve de solidarité qui sont déployées à des fins d’appui restent sous son commandement et son contrôle. Lorsque l’État membre d’enregistrement est confronté à une situation exceptionnelle nécessitant l’utilisation de capacités enregistrées qui ont été déployées, il peut les retirer, après consultation de la Commission et de l’État membre demandeur pour lequel les capacités ont été déployées.</w:t>
      </w:r>
    </w:p>
    <w:p w14:paraId="515D4879" w14:textId="77777777" w:rsidR="002850C6" w:rsidRPr="002850C6" w:rsidRDefault="002850C6" w:rsidP="002850C6">
      <w:pPr>
        <w:pStyle w:val="ManualNumPar1"/>
        <w:rPr>
          <w:noProof/>
        </w:rPr>
      </w:pPr>
      <w:r w:rsidRPr="0086652C">
        <w:rPr>
          <w:noProof/>
        </w:rPr>
        <w:t>12</w:t>
      </w:r>
      <w:r w:rsidRPr="002850C6">
        <w:rPr>
          <w:noProof/>
        </w:rPr>
        <w:t>.</w:t>
      </w:r>
      <w:r w:rsidRPr="002850C6">
        <w:rPr>
          <w:noProof/>
        </w:rPr>
        <w:tab/>
        <w:t>Les capacités de l’Union sont hébergées dans un État membre. La Commission et les États membres assurent, le cas échéant, une répartition géographique adéquate des capacités de l’Union. L’État membre demandeur pour lequel des capacités de l’Union sont déployées est responsable de la direction des opérations de soutien.</w:t>
      </w:r>
    </w:p>
    <w:p w14:paraId="02B21C9B" w14:textId="77777777" w:rsidR="002850C6" w:rsidRPr="002850C6" w:rsidRDefault="002850C6" w:rsidP="002850C6">
      <w:pPr>
        <w:pStyle w:val="ManualNumPar1"/>
        <w:rPr>
          <w:noProof/>
        </w:rPr>
      </w:pPr>
      <w:r w:rsidRPr="0086652C">
        <w:rPr>
          <w:noProof/>
        </w:rPr>
        <w:t>13</w:t>
      </w:r>
      <w:r w:rsidRPr="002850C6">
        <w:rPr>
          <w:noProof/>
        </w:rPr>
        <w:t>.</w:t>
      </w:r>
      <w:r w:rsidRPr="002850C6">
        <w:rPr>
          <w:noProof/>
        </w:rPr>
        <w:tab/>
        <w:t>Les capacités enregistrées dans le cadre de la réserve de solidarité peuvent être prépositionnées. Lorsque les capacités sont prépositionnées, elles sont situées dans des installations appliquant, s’il y a lieu, les mesures de protection de base prévues à l’article </w:t>
      </w:r>
      <w:r w:rsidRPr="0086652C">
        <w:rPr>
          <w:noProof/>
        </w:rPr>
        <w:t>34</w:t>
      </w:r>
      <w:r w:rsidRPr="002850C6">
        <w:rPr>
          <w:noProof/>
        </w:rPr>
        <w:t>.</w:t>
      </w:r>
    </w:p>
    <w:p w14:paraId="06002733" w14:textId="77777777" w:rsidR="002850C6" w:rsidRPr="002850C6" w:rsidRDefault="002850C6" w:rsidP="002850C6">
      <w:pPr>
        <w:pStyle w:val="ManualNumPar1"/>
        <w:rPr>
          <w:noProof/>
        </w:rPr>
      </w:pPr>
      <w:r w:rsidRPr="0086652C">
        <w:rPr>
          <w:noProof/>
        </w:rPr>
        <w:t>14</w:t>
      </w:r>
      <w:r w:rsidRPr="002850C6">
        <w:rPr>
          <w:noProof/>
        </w:rPr>
        <w:t>.</w:t>
      </w:r>
      <w:r w:rsidRPr="002850C6">
        <w:rPr>
          <w:noProof/>
        </w:rPr>
        <w:tab/>
        <w:t>Les coûts d’entretien et de déploiement des capacités des États membres sont supportés par l’État membre d’enregistrement, sauf disposition contraire de l’acte d’exécution visé au paragraphe </w:t>
      </w:r>
      <w:r w:rsidRPr="0086652C">
        <w:rPr>
          <w:noProof/>
        </w:rPr>
        <w:t>15</w:t>
      </w:r>
      <w:r w:rsidRPr="002850C6">
        <w:rPr>
          <w:noProof/>
        </w:rPr>
        <w:t>.</w:t>
      </w:r>
    </w:p>
    <w:p w14:paraId="4EEC8E8B" w14:textId="77777777" w:rsidR="002850C6" w:rsidRPr="002850C6" w:rsidRDefault="002850C6" w:rsidP="002850C6">
      <w:pPr>
        <w:pStyle w:val="ManualNumPar1"/>
        <w:rPr>
          <w:noProof/>
        </w:rPr>
      </w:pPr>
      <w:r w:rsidRPr="0086652C">
        <w:rPr>
          <w:noProof/>
        </w:rPr>
        <w:t>15</w:t>
      </w:r>
      <w:r w:rsidRPr="002850C6">
        <w:rPr>
          <w:noProof/>
        </w:rPr>
        <w:t>.</w:t>
      </w:r>
      <w:r w:rsidRPr="002850C6">
        <w:rPr>
          <w:noProof/>
        </w:rPr>
        <w:tab/>
        <w:t>Sous réserve de la disponibilité d’un financement de l’Union, la Commission peut adopter un acte d’exécution mettant en service la réserve de solidarité. Cet acte d’exécution définit également:</w:t>
      </w:r>
    </w:p>
    <w:p w14:paraId="6425521C" w14:textId="77777777" w:rsidR="002850C6" w:rsidRPr="002850C6" w:rsidRDefault="002850C6" w:rsidP="002850C6">
      <w:pPr>
        <w:pStyle w:val="Point1"/>
        <w:rPr>
          <w:noProof/>
        </w:rPr>
      </w:pPr>
      <w:r w:rsidRPr="002850C6">
        <w:rPr>
          <w:noProof/>
        </w:rPr>
        <w:t>a)</w:t>
      </w:r>
      <w:r w:rsidRPr="002850C6">
        <w:rPr>
          <w:noProof/>
        </w:rPr>
        <w:tab/>
        <w:t>les procédures à suivre pour traiter les demandes de capacités présentées par les États membres au titre de la réserve de solidarité;</w:t>
      </w:r>
    </w:p>
    <w:p w14:paraId="06CBF51C" w14:textId="77777777" w:rsidR="002850C6" w:rsidRPr="002850C6" w:rsidRDefault="002850C6" w:rsidP="002850C6">
      <w:pPr>
        <w:pStyle w:val="Point1"/>
        <w:rPr>
          <w:noProof/>
        </w:rPr>
      </w:pPr>
      <w:r w:rsidRPr="002850C6">
        <w:rPr>
          <w:noProof/>
        </w:rPr>
        <w:t>b)</w:t>
      </w:r>
      <w:r w:rsidRPr="002850C6">
        <w:rPr>
          <w:noProof/>
        </w:rPr>
        <w:tab/>
        <w:t>les spécifications supplémentaires en vertu desquelles les coûts mentionnés au paragraphe </w:t>
      </w:r>
      <w:r w:rsidRPr="0086652C">
        <w:rPr>
          <w:noProof/>
        </w:rPr>
        <w:t>14</w:t>
      </w:r>
      <w:r w:rsidRPr="002850C6">
        <w:rPr>
          <w:noProof/>
        </w:rPr>
        <w:t xml:space="preserve"> peuvent être financés;</w:t>
      </w:r>
    </w:p>
    <w:p w14:paraId="5986ED17" w14:textId="77777777" w:rsidR="002850C6" w:rsidRPr="002850C6" w:rsidRDefault="002850C6" w:rsidP="002850C6">
      <w:pPr>
        <w:pStyle w:val="Point1"/>
        <w:rPr>
          <w:noProof/>
        </w:rPr>
      </w:pPr>
      <w:r w:rsidRPr="002850C6">
        <w:rPr>
          <w:noProof/>
        </w:rPr>
        <w:t>c)</w:t>
      </w:r>
      <w:r w:rsidRPr="002850C6">
        <w:rPr>
          <w:noProof/>
        </w:rPr>
        <w:tab/>
        <w:t>les spécifications supplémentaires en vertu desquelles le coût lié au prépositionnement des capacités peut être financé;</w:t>
      </w:r>
    </w:p>
    <w:p w14:paraId="284274DB" w14:textId="77777777" w:rsidR="002850C6" w:rsidRPr="002850C6" w:rsidRDefault="002850C6" w:rsidP="002850C6">
      <w:pPr>
        <w:pStyle w:val="Point1"/>
        <w:rPr>
          <w:noProof/>
        </w:rPr>
      </w:pPr>
      <w:r w:rsidRPr="002850C6">
        <w:rPr>
          <w:noProof/>
        </w:rPr>
        <w:t>d)</w:t>
      </w:r>
      <w:r w:rsidRPr="002850C6">
        <w:rPr>
          <w:noProof/>
        </w:rPr>
        <w:tab/>
        <w:t>les spécifications supplémentaires en vertu desquelles les coûts de formation, de reconversion et de perfectionnement professionnels du personnel exploitant les capacités enregistrées dans le cadre de la réserve de solidarité peuvent être financés;</w:t>
      </w:r>
    </w:p>
    <w:p w14:paraId="1889C5CF" w14:textId="77777777" w:rsidR="002850C6" w:rsidRPr="002850C6" w:rsidRDefault="002850C6" w:rsidP="002850C6">
      <w:pPr>
        <w:pStyle w:val="Point1"/>
        <w:rPr>
          <w:noProof/>
        </w:rPr>
      </w:pPr>
      <w:r w:rsidRPr="002850C6">
        <w:rPr>
          <w:noProof/>
        </w:rPr>
        <w:t>e)</w:t>
      </w:r>
      <w:r w:rsidRPr="002850C6">
        <w:rPr>
          <w:noProof/>
        </w:rPr>
        <w:tab/>
        <w:t xml:space="preserve">toute règle supplémentaire relative au fonctionnement de la réserve de solidarité, s’il y a lieu. </w:t>
      </w:r>
    </w:p>
    <w:p w14:paraId="78765E47" w14:textId="77777777" w:rsidR="002850C6" w:rsidRPr="002850C6" w:rsidRDefault="002850C6" w:rsidP="002850C6">
      <w:pPr>
        <w:pStyle w:val="Text1"/>
        <w:rPr>
          <w:noProof/>
        </w:rPr>
      </w:pPr>
      <w:r w:rsidRPr="002850C6">
        <w:rPr>
          <w:noProof/>
        </w:rPr>
        <w:t>Cet acte d’exécution peut établir:</w:t>
      </w:r>
    </w:p>
    <w:p w14:paraId="700BBFF4" w14:textId="77777777" w:rsidR="002850C6" w:rsidRPr="002850C6" w:rsidRDefault="002850C6" w:rsidP="002850C6">
      <w:pPr>
        <w:pStyle w:val="Point1"/>
        <w:rPr>
          <w:noProof/>
        </w:rPr>
      </w:pPr>
      <w:r w:rsidRPr="002850C6">
        <w:rPr>
          <w:noProof/>
        </w:rPr>
        <w:t>a)</w:t>
      </w:r>
      <w:r w:rsidRPr="002850C6">
        <w:rPr>
          <w:noProof/>
        </w:rPr>
        <w:tab/>
        <w:t>les conditions dans lesquelles les coûts d’entretien et de déploiement des capacités des États membres doivent être répartis;</w:t>
      </w:r>
    </w:p>
    <w:p w14:paraId="0DCFDEB7" w14:textId="77777777" w:rsidR="002850C6" w:rsidRPr="002850C6" w:rsidRDefault="002850C6" w:rsidP="002850C6">
      <w:pPr>
        <w:pStyle w:val="Point1"/>
        <w:rPr>
          <w:noProof/>
        </w:rPr>
      </w:pPr>
      <w:r w:rsidRPr="002850C6">
        <w:rPr>
          <w:noProof/>
        </w:rPr>
        <w:t>b)</w:t>
      </w:r>
      <w:r w:rsidRPr="002850C6">
        <w:rPr>
          <w:noProof/>
        </w:rPr>
        <w:tab/>
        <w:t xml:space="preserve">les conditions dans lesquelles un système fondé sur des crédits peut être utilisé comme forme de mécanisme d’échange non financier pour les capacités enregistrées dans la réserve de solidarité. </w:t>
      </w:r>
    </w:p>
    <w:p w14:paraId="7A9FDBAF" w14:textId="77777777" w:rsidR="002850C6" w:rsidRPr="002850C6" w:rsidRDefault="002850C6" w:rsidP="002850C6">
      <w:pPr>
        <w:pStyle w:val="Titrearticle"/>
        <w:rPr>
          <w:noProof/>
        </w:rPr>
      </w:pPr>
      <w:r w:rsidRPr="002850C6">
        <w:rPr>
          <w:noProof/>
        </w:rPr>
        <w:t>Article </w:t>
      </w:r>
      <w:r w:rsidRPr="0086652C">
        <w:rPr>
          <w:noProof/>
        </w:rPr>
        <w:t>36</w:t>
      </w:r>
    </w:p>
    <w:p w14:paraId="61BBB42B" w14:textId="77777777" w:rsidR="002850C6" w:rsidRPr="002850C6" w:rsidRDefault="002850C6" w:rsidP="002850C6">
      <w:pPr>
        <w:pStyle w:val="NormalCentered"/>
        <w:rPr>
          <w:noProof/>
        </w:rPr>
      </w:pPr>
      <w:r w:rsidRPr="002850C6">
        <w:rPr>
          <w:b/>
          <w:noProof/>
        </w:rPr>
        <w:t>Accès aux registres des véhicules en vue d’une utilisation potentielle dans le transport militaire</w:t>
      </w:r>
    </w:p>
    <w:p w14:paraId="78FBCF87"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Les États membres veillent à ce que leurs services chargés d’effectuer des opérations de transport militaire aient accès à leurs registres nationaux respectifs des véhicules routiers, en vue de recenser les véhicules de transport routier à double usage.</w:t>
      </w:r>
    </w:p>
    <w:p w14:paraId="6F555C2F"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en coopération avec l’Agence de l’Union européenne pour les chemins de fer, veillent à ce que leurs services chargés d’effectuer des opérations de transport militaire aient accès à leurs registres nationaux respectifs des véhicules ferroviaires et au registre européen des véhicules mentionné à l’article </w:t>
      </w:r>
      <w:r w:rsidRPr="0086652C">
        <w:rPr>
          <w:noProof/>
        </w:rPr>
        <w:t>47</w:t>
      </w:r>
      <w:r w:rsidRPr="002850C6">
        <w:rPr>
          <w:noProof/>
        </w:rPr>
        <w:t>, paragraphe </w:t>
      </w:r>
      <w:r w:rsidRPr="0086652C">
        <w:rPr>
          <w:noProof/>
        </w:rPr>
        <w:t>5</w:t>
      </w:r>
      <w:r w:rsidRPr="002850C6">
        <w:rPr>
          <w:noProof/>
        </w:rPr>
        <w:t xml:space="preserve">, de la directive (UE) </w:t>
      </w:r>
      <w:r w:rsidRPr="0086652C">
        <w:rPr>
          <w:noProof/>
        </w:rPr>
        <w:t>2016</w:t>
      </w:r>
      <w:r w:rsidRPr="002850C6">
        <w:rPr>
          <w:noProof/>
        </w:rPr>
        <w:t>/</w:t>
      </w:r>
      <w:r w:rsidRPr="0086652C">
        <w:rPr>
          <w:noProof/>
        </w:rPr>
        <w:t>797</w:t>
      </w:r>
      <w:r w:rsidRPr="002850C6">
        <w:rPr>
          <w:noProof/>
        </w:rPr>
        <w:t>, en vue de recenser les véhicules ferroviaires à double usage.</w:t>
      </w:r>
    </w:p>
    <w:p w14:paraId="38BE77E0"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Les États membres veillent à ce que leurs services chargés d’effectuer des opérations de transport militaire aient accès à leurs registres nationaux respectifs des aéronefs et des navires, en vue de recenser les aéronefs et les navires à double usage.</w:t>
      </w:r>
    </w:p>
    <w:p w14:paraId="7E09AF80"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La Commission se voit également accorder l’accès aux registres visés aux paragraphes </w:t>
      </w:r>
      <w:r w:rsidRPr="0086652C">
        <w:rPr>
          <w:noProof/>
        </w:rPr>
        <w:t>1</w:t>
      </w:r>
      <w:r w:rsidRPr="002850C6">
        <w:rPr>
          <w:noProof/>
        </w:rPr>
        <w:t xml:space="preserve"> à </w:t>
      </w:r>
      <w:r w:rsidRPr="0086652C">
        <w:rPr>
          <w:noProof/>
        </w:rPr>
        <w:t>3</w:t>
      </w:r>
      <w:r w:rsidRPr="002850C6">
        <w:rPr>
          <w:noProof/>
        </w:rPr>
        <w:t>, en vue de recenser les véhicules, navires ou aéronefs à double usage.</w:t>
      </w:r>
    </w:p>
    <w:p w14:paraId="549ECD9D" w14:textId="77777777" w:rsidR="002850C6" w:rsidRPr="002850C6" w:rsidRDefault="002850C6" w:rsidP="002850C6">
      <w:pPr>
        <w:pStyle w:val="Titrearticle"/>
        <w:rPr>
          <w:noProof/>
        </w:rPr>
      </w:pPr>
      <w:r w:rsidRPr="002850C6">
        <w:rPr>
          <w:noProof/>
        </w:rPr>
        <w:t>Article </w:t>
      </w:r>
      <w:r w:rsidRPr="0086652C">
        <w:rPr>
          <w:noProof/>
        </w:rPr>
        <w:t>37</w:t>
      </w:r>
    </w:p>
    <w:p w14:paraId="6B42F3A6" w14:textId="77777777" w:rsidR="002850C6" w:rsidRPr="002850C6" w:rsidRDefault="002850C6" w:rsidP="002850C6">
      <w:pPr>
        <w:pStyle w:val="NormalCentered"/>
        <w:rPr>
          <w:noProof/>
        </w:rPr>
      </w:pPr>
      <w:r w:rsidRPr="002850C6">
        <w:rPr>
          <w:b/>
          <w:noProof/>
        </w:rPr>
        <w:t>Recensement des véhicules ferroviaires susceptibles d’être utilisés dans le transport militaire</w:t>
      </w:r>
    </w:p>
    <w:p w14:paraId="028A0B90"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La Commission peut adopter des actes d’exécution afin:</w:t>
      </w:r>
    </w:p>
    <w:p w14:paraId="04EA484A" w14:textId="77777777" w:rsidR="002850C6" w:rsidRPr="002850C6" w:rsidRDefault="002850C6" w:rsidP="002850C6">
      <w:pPr>
        <w:pStyle w:val="Point1"/>
        <w:rPr>
          <w:noProof/>
        </w:rPr>
      </w:pPr>
      <w:r w:rsidRPr="002850C6">
        <w:rPr>
          <w:noProof/>
        </w:rPr>
        <w:t>c)</w:t>
      </w:r>
      <w:r w:rsidRPr="002850C6">
        <w:rPr>
          <w:noProof/>
        </w:rPr>
        <w:tab/>
        <w:t>de recenser les catégories de véhicules ferroviaires les plus aptes à être utilisées dans le cadre d’un transport militaire;</w:t>
      </w:r>
    </w:p>
    <w:p w14:paraId="2AE40279" w14:textId="77777777" w:rsidR="002850C6" w:rsidRPr="002850C6" w:rsidRDefault="002850C6" w:rsidP="002850C6">
      <w:pPr>
        <w:pStyle w:val="Point1"/>
        <w:rPr>
          <w:noProof/>
        </w:rPr>
      </w:pPr>
      <w:r w:rsidRPr="002850C6">
        <w:rPr>
          <w:noProof/>
        </w:rPr>
        <w:t>d)</w:t>
      </w:r>
      <w:r w:rsidRPr="002850C6">
        <w:rPr>
          <w:noProof/>
        </w:rPr>
        <w:tab/>
        <w:t>le cas échéant, et après consultation de l’Agence de l’Union européenne pour les chemins de fer, d’établir les spécifications techniques sur lesquelles le recensement prévu au point a) peut être fondé et, si nécessaire, d’établir tout paramètre technique approprié et toute méthode d’essai de conformité connexe;</w:t>
      </w:r>
    </w:p>
    <w:p w14:paraId="083FA049" w14:textId="77777777" w:rsidR="002850C6" w:rsidRPr="002850C6" w:rsidRDefault="002850C6" w:rsidP="002850C6">
      <w:pPr>
        <w:pStyle w:val="Point1"/>
        <w:rPr>
          <w:noProof/>
        </w:rPr>
      </w:pPr>
      <w:r w:rsidRPr="002850C6">
        <w:rPr>
          <w:noProof/>
        </w:rPr>
        <w:t>e)</w:t>
      </w:r>
      <w:r w:rsidRPr="002850C6">
        <w:rPr>
          <w:noProof/>
        </w:rPr>
        <w:tab/>
        <w:t>pour les véhicules ferroviaires déjà autorisés en vertu de l’article </w:t>
      </w:r>
      <w:r w:rsidRPr="0086652C">
        <w:rPr>
          <w:noProof/>
        </w:rPr>
        <w:t>21</w:t>
      </w:r>
      <w:r w:rsidRPr="002850C6">
        <w:rPr>
          <w:noProof/>
        </w:rPr>
        <w:t xml:space="preserve"> de la directive (UE) </w:t>
      </w:r>
      <w:r w:rsidRPr="0086652C">
        <w:rPr>
          <w:noProof/>
        </w:rPr>
        <w:t>2016</w:t>
      </w:r>
      <w:r w:rsidRPr="002850C6">
        <w:rPr>
          <w:noProof/>
        </w:rPr>
        <w:t>/</w:t>
      </w:r>
      <w:r w:rsidRPr="0086652C">
        <w:rPr>
          <w:noProof/>
        </w:rPr>
        <w:t>797</w:t>
      </w:r>
      <w:r w:rsidRPr="002850C6">
        <w:rPr>
          <w:noProof/>
        </w:rPr>
        <w:t xml:space="preserve"> ou mis en service en vertu du cadre juridique de l’Union ou du cadre juridique national précédemment applicable, avant le cadre d’autorisation établi par ladite directive, de définir si et dans quelles conditions:</w:t>
      </w:r>
    </w:p>
    <w:p w14:paraId="0BF4CDED" w14:textId="77777777" w:rsidR="002850C6" w:rsidRPr="002850C6" w:rsidRDefault="002850C6" w:rsidP="002850C6">
      <w:pPr>
        <w:pStyle w:val="Point2"/>
        <w:rPr>
          <w:noProof/>
        </w:rPr>
      </w:pPr>
      <w:r w:rsidRPr="0086652C">
        <w:rPr>
          <w:noProof/>
        </w:rPr>
        <w:t>1</w:t>
      </w:r>
      <w:r w:rsidRPr="002850C6">
        <w:rPr>
          <w:noProof/>
        </w:rPr>
        <w:t>)</w:t>
      </w:r>
      <w:r w:rsidRPr="002850C6">
        <w:rPr>
          <w:noProof/>
        </w:rPr>
        <w:tab/>
        <w:t>les entreprises ferroviaires et les détenteurs de véhicules doivent déterminer si les véhicules dont ils sont responsables relèvent d’une catégorie visée au point a) et, dans l’affirmative, établir toutes les caractéristiques techniques pertinentes de ces véhicules;</w:t>
      </w:r>
    </w:p>
    <w:p w14:paraId="498CBE2C" w14:textId="77777777" w:rsidR="002850C6" w:rsidRPr="002850C6" w:rsidRDefault="002850C6" w:rsidP="002850C6">
      <w:pPr>
        <w:pStyle w:val="Point2"/>
        <w:rPr>
          <w:noProof/>
        </w:rPr>
      </w:pPr>
      <w:r w:rsidRPr="0086652C">
        <w:rPr>
          <w:noProof/>
        </w:rPr>
        <w:t>2</w:t>
      </w:r>
      <w:r w:rsidRPr="002850C6">
        <w:rPr>
          <w:noProof/>
        </w:rPr>
        <w:t>)</w:t>
      </w:r>
      <w:r w:rsidRPr="002850C6">
        <w:rPr>
          <w:noProof/>
        </w:rPr>
        <w:tab/>
        <w:t>les constructeurs d’équipements ferroviaires doivent déterminer si les véhicules qu’ils fabriquent relèvent d’une catégorie visée au point a) et, dans l’affirmative, établir toutes les caractéristiques techniques pertinentes de ces véhicules.</w:t>
      </w:r>
    </w:p>
    <w:p w14:paraId="3768819A" w14:textId="77777777" w:rsidR="002850C6" w:rsidRPr="002850C6" w:rsidRDefault="002850C6" w:rsidP="002850C6">
      <w:pPr>
        <w:pStyle w:val="Text1"/>
        <w:ind w:left="1275"/>
        <w:rPr>
          <w:noProof/>
        </w:rPr>
      </w:pPr>
      <w:r w:rsidRPr="002850C6">
        <w:rPr>
          <w:rFonts w:ascii="Times" w:hAnsi="Times"/>
          <w:noProof/>
        </w:rPr>
        <w:t xml:space="preserve">Ces actes d’exécution sont adoptés en conformité avec la procédure d’examen visée à </w:t>
      </w:r>
      <w:r w:rsidRPr="002850C6">
        <w:rPr>
          <w:noProof/>
        </w:rPr>
        <w:t>l’article </w:t>
      </w:r>
      <w:r w:rsidRPr="0086652C">
        <w:rPr>
          <w:noProof/>
        </w:rPr>
        <w:t>45</w:t>
      </w:r>
      <w:r w:rsidRPr="002850C6">
        <w:rPr>
          <w:noProof/>
        </w:rPr>
        <w:t>, paragraphe </w:t>
      </w:r>
      <w:r w:rsidRPr="0086652C">
        <w:rPr>
          <w:noProof/>
        </w:rPr>
        <w:t>4</w:t>
      </w:r>
      <w:r w:rsidRPr="002850C6">
        <w:rPr>
          <w:noProof/>
        </w:rPr>
        <w:t>.</w:t>
      </w:r>
    </w:p>
    <w:p w14:paraId="3F40CA69"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Si la Commission adopte l’acte d’exécution visé au paragraphe </w:t>
      </w:r>
      <w:r w:rsidRPr="0086652C">
        <w:rPr>
          <w:noProof/>
        </w:rPr>
        <w:t>1</w:t>
      </w:r>
      <w:r w:rsidRPr="002850C6">
        <w:rPr>
          <w:noProof/>
        </w:rPr>
        <w:t>, pour chaque véhicule ferroviaire enregistré, le détenteur du véhicule inclut l’identification en tant que véhicule susceptible d’être utilisé dans le cadre d’un transport militaire et tout paramètre pertinent établi en vertu du paragraphe </w:t>
      </w:r>
      <w:r w:rsidRPr="0086652C">
        <w:rPr>
          <w:noProof/>
        </w:rPr>
        <w:t>1</w:t>
      </w:r>
      <w:r w:rsidRPr="002850C6">
        <w:rPr>
          <w:noProof/>
        </w:rPr>
        <w:t>, point b), dans la documentation technique du véhicule concerné. Les détenteurs de véhicules, en collaboration avec les entités d’enregistrement, sont chargés de consigner ces paramètres dans le registre européen des véhicules mentionné à l’article </w:t>
      </w:r>
      <w:r w:rsidRPr="0086652C">
        <w:rPr>
          <w:noProof/>
        </w:rPr>
        <w:t>47</w:t>
      </w:r>
      <w:r w:rsidRPr="002850C6">
        <w:rPr>
          <w:noProof/>
        </w:rPr>
        <w:t>, paragraphe </w:t>
      </w:r>
      <w:r w:rsidRPr="0086652C">
        <w:rPr>
          <w:noProof/>
        </w:rPr>
        <w:t>5</w:t>
      </w:r>
      <w:r w:rsidRPr="002850C6">
        <w:rPr>
          <w:noProof/>
        </w:rPr>
        <w:t xml:space="preserve">, de la directive (UE) </w:t>
      </w:r>
      <w:r w:rsidRPr="0086652C">
        <w:rPr>
          <w:noProof/>
        </w:rPr>
        <w:t>2016</w:t>
      </w:r>
      <w:r w:rsidRPr="002850C6">
        <w:rPr>
          <w:noProof/>
        </w:rPr>
        <w:t>/</w:t>
      </w:r>
      <w:r w:rsidRPr="0086652C">
        <w:rPr>
          <w:noProof/>
        </w:rPr>
        <w:t>797</w:t>
      </w:r>
      <w:r w:rsidRPr="002850C6">
        <w:rPr>
          <w:noProof/>
        </w:rPr>
        <w:t>.</w:t>
      </w:r>
    </w:p>
    <w:p w14:paraId="33A1F357" w14:textId="77777777" w:rsidR="002850C6" w:rsidRPr="002850C6" w:rsidRDefault="002850C6" w:rsidP="002850C6">
      <w:pPr>
        <w:pStyle w:val="Titrearticle"/>
        <w:rPr>
          <w:noProof/>
        </w:rPr>
      </w:pPr>
      <w:r w:rsidRPr="002850C6">
        <w:rPr>
          <w:noProof/>
        </w:rPr>
        <w:t>Article </w:t>
      </w:r>
      <w:r w:rsidRPr="0086652C">
        <w:rPr>
          <w:noProof/>
        </w:rPr>
        <w:t>38</w:t>
      </w:r>
    </w:p>
    <w:p w14:paraId="6701183C" w14:textId="77777777" w:rsidR="002850C6" w:rsidRPr="002850C6" w:rsidRDefault="002850C6" w:rsidP="002850C6">
      <w:pPr>
        <w:pStyle w:val="NormalCentered"/>
        <w:rPr>
          <w:noProof/>
        </w:rPr>
      </w:pPr>
      <w:r w:rsidRPr="002850C6">
        <w:rPr>
          <w:b/>
          <w:noProof/>
        </w:rPr>
        <w:t>Établissement d’un cadre permettant le contrôle ou le droit d’utilisation temporaires pour le transport militaire</w:t>
      </w:r>
    </w:p>
    <w:p w14:paraId="300BA883"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Au plus tard le [</w:t>
      </w:r>
      <w:r w:rsidRPr="002850C6">
        <w:rPr>
          <w:i/>
          <w:noProof/>
        </w:rPr>
        <w:t>un an après l’entrée en vigueur du présent règlement</w:t>
      </w:r>
      <w:r w:rsidRPr="002850C6">
        <w:rPr>
          <w:noProof/>
        </w:rPr>
        <w:t>], chaque État membre dispose d’un cadre lui permettant d’émettre, en dernier ressort, des injonctions contraignantes visant à obtenir le contrôle ou le droit d’utilisation temporaires d’une infrastructure, d’un actif ou d’un équipement situé sur son territoire qui est nécessaire à l’exécution d’opérations de transport militaire, dans les cas où aucune autre solution ne peut être trouvée dans les délais requis par accord mutuel ou dans le cadre d’un contrat existant. Lorsqu’un État membre dispose d’un cadre existant permettant ce contrôle ou ce droit d’utilisation temporaires, il veille à ce que le cadre existant soit conforme aux exigences énoncées aux paragraphes </w:t>
      </w:r>
      <w:r w:rsidRPr="0086652C">
        <w:rPr>
          <w:noProof/>
        </w:rPr>
        <w:t>2</w:t>
      </w:r>
      <w:r w:rsidRPr="002850C6">
        <w:rPr>
          <w:noProof/>
        </w:rPr>
        <w:t xml:space="preserve"> et </w:t>
      </w:r>
      <w:r w:rsidRPr="0086652C">
        <w:rPr>
          <w:noProof/>
        </w:rPr>
        <w:t>3</w:t>
      </w:r>
      <w:r w:rsidRPr="002850C6">
        <w:rPr>
          <w:noProof/>
        </w:rPr>
        <w:t>.</w:t>
      </w:r>
    </w:p>
    <w:p w14:paraId="4A4C86F3"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veillent à ce que leur cadre visé au paragraphe </w:t>
      </w:r>
      <w:r w:rsidRPr="0086652C">
        <w:rPr>
          <w:noProof/>
        </w:rPr>
        <w:t>1</w:t>
      </w:r>
      <w:r w:rsidRPr="002850C6">
        <w:rPr>
          <w:noProof/>
        </w:rPr>
        <w:t xml:space="preserve"> soit conforme aux exigences minimales suivantes:</w:t>
      </w:r>
    </w:p>
    <w:p w14:paraId="74E1FE8D" w14:textId="77777777" w:rsidR="002850C6" w:rsidRPr="002850C6" w:rsidRDefault="002850C6" w:rsidP="002850C6">
      <w:pPr>
        <w:pStyle w:val="Point1"/>
        <w:rPr>
          <w:noProof/>
        </w:rPr>
      </w:pPr>
      <w:r w:rsidRPr="002850C6">
        <w:rPr>
          <w:noProof/>
        </w:rPr>
        <w:t>a)</w:t>
      </w:r>
      <w:r w:rsidRPr="002850C6">
        <w:rPr>
          <w:noProof/>
        </w:rPr>
        <w:tab/>
        <w:t>il autorise le contrôle ou le droit d’utilisation temporaires d’une infrastructure, d’un actif ou d’un équipement à l’appui des opérations de transport militaire d’un autre État membre, à la demande de celui-ci, et établit une procédure pour l’introduction d’une telle demande;</w:t>
      </w:r>
    </w:p>
    <w:p w14:paraId="1CEF651B" w14:textId="77777777" w:rsidR="002850C6" w:rsidRPr="002850C6" w:rsidRDefault="002850C6" w:rsidP="002850C6">
      <w:pPr>
        <w:pStyle w:val="Point1"/>
        <w:rPr>
          <w:noProof/>
        </w:rPr>
      </w:pPr>
      <w:r w:rsidRPr="002850C6">
        <w:rPr>
          <w:noProof/>
        </w:rPr>
        <w:t>b)</w:t>
      </w:r>
      <w:r w:rsidRPr="002850C6">
        <w:rPr>
          <w:noProof/>
        </w:rPr>
        <w:tab/>
        <w:t>il comporte un mécanisme permettant d’indemniser les propriétaires, exploitants et gestionnaires des infrastructures, actifs ou équipements concernés pour les dépenses supportées et les dommages subis;</w:t>
      </w:r>
    </w:p>
    <w:p w14:paraId="27067648" w14:textId="77777777" w:rsidR="002850C6" w:rsidRPr="002850C6" w:rsidRDefault="002850C6" w:rsidP="002850C6">
      <w:pPr>
        <w:pStyle w:val="Point1"/>
        <w:rPr>
          <w:noProof/>
        </w:rPr>
      </w:pPr>
      <w:r w:rsidRPr="002850C6">
        <w:rPr>
          <w:noProof/>
        </w:rPr>
        <w:t>c)</w:t>
      </w:r>
      <w:r w:rsidRPr="002850C6">
        <w:rPr>
          <w:noProof/>
        </w:rPr>
        <w:tab/>
        <w:t>il comprend des règles et procédures transparentes et non discriminatoires relatives à ce contrôle et à ce droit d’utilisation temporaires, et fait en sorte que les mesures prises en application de ces règles et procédures sont en place.</w:t>
      </w:r>
    </w:p>
    <w:p w14:paraId="3DF467D9"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Les États membres veillent à ce que toute mesure adoptée dans le cadre visé au paragraphe </w:t>
      </w:r>
      <w:r w:rsidRPr="0086652C">
        <w:rPr>
          <w:noProof/>
        </w:rPr>
        <w:t>1</w:t>
      </w:r>
      <w:r w:rsidRPr="002850C6">
        <w:rPr>
          <w:noProof/>
        </w:rPr>
        <w:t xml:space="preserve"> soit strictement nécessaire et proportionnée.</w:t>
      </w:r>
    </w:p>
    <w:p w14:paraId="6440B271" w14:textId="77777777" w:rsidR="002850C6" w:rsidRPr="002850C6" w:rsidRDefault="002850C6" w:rsidP="002850C6">
      <w:pPr>
        <w:pStyle w:val="Titrearticle"/>
        <w:rPr>
          <w:noProof/>
        </w:rPr>
      </w:pPr>
      <w:r w:rsidRPr="002850C6">
        <w:rPr>
          <w:noProof/>
        </w:rPr>
        <w:t xml:space="preserve">Article </w:t>
      </w:r>
      <w:r w:rsidRPr="0086652C">
        <w:rPr>
          <w:noProof/>
        </w:rPr>
        <w:t>39</w:t>
      </w:r>
    </w:p>
    <w:p w14:paraId="210A8540" w14:textId="77777777" w:rsidR="002850C6" w:rsidRPr="002850C6" w:rsidRDefault="002850C6" w:rsidP="002850C6">
      <w:pPr>
        <w:pStyle w:val="NormalCentered"/>
        <w:keepNext/>
        <w:rPr>
          <w:noProof/>
        </w:rPr>
      </w:pPr>
      <w:r w:rsidRPr="002850C6">
        <w:rPr>
          <w:b/>
          <w:noProof/>
        </w:rPr>
        <w:t>Contrats-cadres avec des prestataires de services de transport à double usage</w:t>
      </w:r>
    </w:p>
    <w:p w14:paraId="2BA6A6D1"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Les États membres peuvent conclure des contrats-cadres avec des prestataires de services de transport à double usage afin d’assurer la disponibilité de capacités de transport pour les opérations de transport militaire, y compris le déploiement rapide de personnel, d’équipements et de fournitures.</w:t>
      </w:r>
    </w:p>
    <w:p w14:paraId="335A6D1A"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contrats-cadres visés au paragraphe </w:t>
      </w:r>
      <w:r w:rsidRPr="0086652C">
        <w:rPr>
          <w:noProof/>
        </w:rPr>
        <w:t>1</w:t>
      </w:r>
      <w:r w:rsidRPr="002850C6">
        <w:rPr>
          <w:noProof/>
        </w:rPr>
        <w:t xml:space="preserve"> qui sont conclus, renouvelés ou substantiellement modifiés après l’entrée en vigueur du présent règlement:</w:t>
      </w:r>
    </w:p>
    <w:p w14:paraId="2F185BBB" w14:textId="77777777" w:rsidR="002850C6" w:rsidRPr="002850C6" w:rsidRDefault="002850C6" w:rsidP="002850C6">
      <w:pPr>
        <w:pStyle w:val="Point1"/>
        <w:rPr>
          <w:noProof/>
        </w:rPr>
      </w:pPr>
      <w:r w:rsidRPr="002850C6">
        <w:rPr>
          <w:noProof/>
        </w:rPr>
        <w:t>a)</w:t>
      </w:r>
      <w:r w:rsidRPr="002850C6">
        <w:rPr>
          <w:noProof/>
        </w:rPr>
        <w:tab/>
        <w:t>sont conçus pour permettre à d’autres États membres d’adhérer en tant que parties contractantes et prévoient la possibilité d’une modification en vue d’accueillir des participants supplémentaires sans compromettre l’objectif principal de soutien au transport militaire;</w:t>
      </w:r>
    </w:p>
    <w:p w14:paraId="5483F43E" w14:textId="77777777" w:rsidR="002850C6" w:rsidRPr="002850C6" w:rsidRDefault="002850C6" w:rsidP="002850C6">
      <w:pPr>
        <w:pStyle w:val="Point1"/>
        <w:rPr>
          <w:noProof/>
        </w:rPr>
      </w:pPr>
      <w:r w:rsidRPr="002850C6">
        <w:rPr>
          <w:noProof/>
        </w:rPr>
        <w:t>b)</w:t>
      </w:r>
      <w:r w:rsidRPr="002850C6">
        <w:rPr>
          <w:noProof/>
        </w:rPr>
        <w:tab/>
        <w:t>imposent aux prestataires de services de transport l’obligation de divulguer toute double réservation potentielle de capacités de transport à tous les États membres participants, avant d’accepter des commandes incompatibles.</w:t>
      </w:r>
    </w:p>
    <w:p w14:paraId="653DCA29"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Les États membres et les prestataires de services de transport visés au paragraphe </w:t>
      </w:r>
      <w:r w:rsidRPr="0086652C">
        <w:rPr>
          <w:noProof/>
        </w:rPr>
        <w:t>2</w:t>
      </w:r>
      <w:r w:rsidRPr="002850C6">
        <w:rPr>
          <w:noProof/>
        </w:rPr>
        <w:t>, point b), mettent en œuvre des procédures pour régler les différends relatifs à la répartition des capacités de transport, en veillant à ce que les priorités en matière de transport militaire soient respectées sans retard injustifié.</w:t>
      </w:r>
    </w:p>
    <w:p w14:paraId="0E81665B" w14:textId="77777777" w:rsidR="002850C6" w:rsidRPr="002850C6" w:rsidRDefault="002850C6" w:rsidP="002850C6">
      <w:pPr>
        <w:rPr>
          <w:noProof/>
        </w:rPr>
      </w:pPr>
    </w:p>
    <w:p w14:paraId="15407446" w14:textId="77777777" w:rsidR="002850C6" w:rsidRPr="002850C6" w:rsidRDefault="002850C6" w:rsidP="002850C6">
      <w:pPr>
        <w:pStyle w:val="ChapterTitle"/>
        <w:rPr>
          <w:noProof/>
        </w:rPr>
      </w:pPr>
      <w:r w:rsidRPr="002850C6">
        <w:rPr>
          <w:noProof/>
        </w:rPr>
        <w:t xml:space="preserve">Chapitre V </w:t>
      </w:r>
      <w:r w:rsidRPr="002850C6">
        <w:rPr>
          <w:noProof/>
        </w:rPr>
        <w:cr/>
      </w:r>
      <w:r w:rsidRPr="002850C6">
        <w:rPr>
          <w:noProof/>
        </w:rPr>
        <w:br/>
        <w:t>Dispositions horizontales</w:t>
      </w:r>
    </w:p>
    <w:p w14:paraId="64B95248" w14:textId="77777777" w:rsidR="002850C6" w:rsidRPr="002850C6" w:rsidRDefault="002850C6" w:rsidP="002850C6">
      <w:pPr>
        <w:pStyle w:val="Titrearticle"/>
        <w:rPr>
          <w:noProof/>
        </w:rPr>
      </w:pPr>
      <w:r w:rsidRPr="002850C6">
        <w:rPr>
          <w:noProof/>
        </w:rPr>
        <w:t>Article </w:t>
      </w:r>
      <w:r w:rsidRPr="0086652C">
        <w:rPr>
          <w:noProof/>
        </w:rPr>
        <w:t>40</w:t>
      </w:r>
    </w:p>
    <w:p w14:paraId="34967E7B" w14:textId="77777777" w:rsidR="002850C6" w:rsidRPr="002850C6" w:rsidRDefault="002850C6" w:rsidP="002850C6">
      <w:pPr>
        <w:pStyle w:val="NormalCentered"/>
        <w:rPr>
          <w:noProof/>
        </w:rPr>
      </w:pPr>
      <w:r w:rsidRPr="002850C6">
        <w:rPr>
          <w:b/>
          <w:noProof/>
        </w:rPr>
        <w:t>Coordinateur national des transports militaires transfrontières</w:t>
      </w:r>
    </w:p>
    <w:p w14:paraId="0C7F04DC"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Au plus tard le [six mois après l’entrée en vigueur du présent règlement], chaque État membre désigne un coordinateur national des transports militaires transfrontières, disponible en permanence, afin d’assurer la coordination des transports militaires transfrontières et une communication efficace les concernant.</w:t>
      </w:r>
    </w:p>
    <w:p w14:paraId="7FEA2D08"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veillent à ce que leur coordinateur national des transports militaires transfrontières respectif:</w:t>
      </w:r>
    </w:p>
    <w:p w14:paraId="55CE8630" w14:textId="77777777" w:rsidR="002850C6" w:rsidRPr="002850C6" w:rsidRDefault="002850C6" w:rsidP="002850C6">
      <w:pPr>
        <w:pStyle w:val="Point1"/>
        <w:rPr>
          <w:noProof/>
        </w:rPr>
      </w:pPr>
      <w:r w:rsidRPr="002850C6">
        <w:rPr>
          <w:noProof/>
        </w:rPr>
        <w:t>a)</w:t>
      </w:r>
      <w:r w:rsidRPr="002850C6">
        <w:rPr>
          <w:noProof/>
        </w:rPr>
        <w:tab/>
        <w:t>reçoive et envoie les demandes d’autorisation de transport militaire et les notifications visées à l’article </w:t>
      </w:r>
      <w:r w:rsidRPr="0086652C">
        <w:rPr>
          <w:noProof/>
        </w:rPr>
        <w:t>8</w:t>
      </w:r>
      <w:r w:rsidRPr="002850C6">
        <w:rPr>
          <w:noProof/>
        </w:rPr>
        <w:t>, paragraphe </w:t>
      </w:r>
      <w:r w:rsidRPr="0086652C">
        <w:rPr>
          <w:noProof/>
        </w:rPr>
        <w:t>3</w:t>
      </w:r>
      <w:r w:rsidRPr="002850C6">
        <w:rPr>
          <w:noProof/>
        </w:rPr>
        <w:t>, et à l’article </w:t>
      </w:r>
      <w:r w:rsidRPr="0086652C">
        <w:rPr>
          <w:noProof/>
        </w:rPr>
        <w:t>20</w:t>
      </w:r>
      <w:r w:rsidRPr="002850C6">
        <w:rPr>
          <w:noProof/>
        </w:rPr>
        <w:t>, paragraphe </w:t>
      </w:r>
      <w:r w:rsidRPr="0086652C">
        <w:rPr>
          <w:noProof/>
        </w:rPr>
        <w:t>2</w:t>
      </w:r>
      <w:r w:rsidRPr="002850C6">
        <w:rPr>
          <w:noProof/>
        </w:rPr>
        <w:t>;</w:t>
      </w:r>
    </w:p>
    <w:p w14:paraId="6EFECA0F" w14:textId="77777777" w:rsidR="002850C6" w:rsidRPr="002850C6" w:rsidRDefault="002850C6" w:rsidP="002850C6">
      <w:pPr>
        <w:pStyle w:val="Point1"/>
        <w:rPr>
          <w:noProof/>
        </w:rPr>
      </w:pPr>
      <w:r w:rsidRPr="002850C6">
        <w:rPr>
          <w:noProof/>
        </w:rPr>
        <w:t>b)</w:t>
      </w:r>
      <w:r w:rsidRPr="002850C6">
        <w:rPr>
          <w:noProof/>
        </w:rPr>
        <w:tab/>
        <w:t>dispose de l’expertise et des ressources nécessaires pour être en mesure de fournir des conseils et un soutien pour toutes les formalités douanières;</w:t>
      </w:r>
    </w:p>
    <w:p w14:paraId="3F9A8D7F" w14:textId="77777777" w:rsidR="002850C6" w:rsidRPr="002850C6" w:rsidRDefault="002850C6" w:rsidP="002850C6">
      <w:pPr>
        <w:pStyle w:val="Point1"/>
        <w:rPr>
          <w:noProof/>
        </w:rPr>
      </w:pPr>
      <w:r w:rsidRPr="002850C6">
        <w:rPr>
          <w:noProof/>
        </w:rPr>
        <w:t>c)</w:t>
      </w:r>
      <w:r w:rsidRPr="002850C6">
        <w:rPr>
          <w:noProof/>
        </w:rPr>
        <w:tab/>
        <w:t>reçoive les demandes d’accès prioritaire présentées durant une période d’activation de l’EMERS et y réponde, et facilite les procédures nécessaires, conformément à l’article </w:t>
      </w:r>
      <w:r w:rsidRPr="0086652C">
        <w:rPr>
          <w:noProof/>
        </w:rPr>
        <w:t>21</w:t>
      </w:r>
      <w:r w:rsidRPr="002850C6">
        <w:rPr>
          <w:noProof/>
        </w:rPr>
        <w:t>;</w:t>
      </w:r>
    </w:p>
    <w:p w14:paraId="27331848" w14:textId="77777777" w:rsidR="002850C6" w:rsidRPr="002850C6" w:rsidRDefault="002850C6" w:rsidP="002850C6">
      <w:pPr>
        <w:pStyle w:val="Point1"/>
        <w:rPr>
          <w:noProof/>
        </w:rPr>
      </w:pPr>
      <w:r w:rsidRPr="002850C6">
        <w:rPr>
          <w:noProof/>
        </w:rPr>
        <w:t>d)</w:t>
      </w:r>
      <w:r w:rsidRPr="002850C6">
        <w:rPr>
          <w:noProof/>
        </w:rPr>
        <w:tab/>
        <w:t>soit en mesure de coordonner tous les acteurs concernés à l’échelon national, régional et local qui participent à des opérations de transport militaire, afin d’assurer la bonne exécution des opérations de transport militaire transfrontière, en particulier durant l’activation de l’EMERS, et de coordonner le contrôle de la préparation en matière de transport militaire prévu à l’article </w:t>
      </w:r>
      <w:r w:rsidRPr="0086652C">
        <w:rPr>
          <w:noProof/>
        </w:rPr>
        <w:t>42</w:t>
      </w:r>
      <w:r w:rsidRPr="002850C6">
        <w:rPr>
          <w:noProof/>
        </w:rPr>
        <w:t>.</w:t>
      </w:r>
    </w:p>
    <w:p w14:paraId="6E373F25" w14:textId="77777777" w:rsidR="002850C6" w:rsidRPr="002850C6" w:rsidRDefault="002850C6" w:rsidP="002850C6">
      <w:pPr>
        <w:pStyle w:val="Titrearticle"/>
        <w:rPr>
          <w:noProof/>
        </w:rPr>
      </w:pPr>
      <w:r w:rsidRPr="002850C6">
        <w:rPr>
          <w:noProof/>
        </w:rPr>
        <w:t>Article </w:t>
      </w:r>
      <w:r w:rsidRPr="0086652C">
        <w:rPr>
          <w:noProof/>
        </w:rPr>
        <w:t>41</w:t>
      </w:r>
    </w:p>
    <w:p w14:paraId="587E6919" w14:textId="77777777" w:rsidR="002850C6" w:rsidRPr="002850C6" w:rsidRDefault="002850C6" w:rsidP="002850C6">
      <w:pPr>
        <w:pStyle w:val="NormalCentered"/>
        <w:rPr>
          <w:b/>
          <w:bCs/>
          <w:noProof/>
        </w:rPr>
      </w:pPr>
      <w:r w:rsidRPr="002850C6">
        <w:rPr>
          <w:b/>
          <w:noProof/>
        </w:rPr>
        <w:t>Groupe sur les transports liés à la mobilité militaire</w:t>
      </w:r>
    </w:p>
    <w:p w14:paraId="0492CB43"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 groupe sur les transports liés à la mobilité militaire est institué pour assister la Commission et lui fournir des conseils et des recommandations, ainsi que pour faciliter la coopération et l’échange d’informations entre les États membres sur les questions liées au présent règlement.</w:t>
      </w:r>
    </w:p>
    <w:p w14:paraId="0E8C8164"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tâches spécifiques du groupe sur les transports liés à la mobilité militaire sont les suivantes:</w:t>
      </w:r>
    </w:p>
    <w:p w14:paraId="3F4C87B6" w14:textId="77777777" w:rsidR="002850C6" w:rsidRPr="002850C6" w:rsidRDefault="002850C6" w:rsidP="002850C6">
      <w:pPr>
        <w:pStyle w:val="Point1"/>
        <w:rPr>
          <w:noProof/>
        </w:rPr>
      </w:pPr>
      <w:r w:rsidRPr="002850C6">
        <w:rPr>
          <w:noProof/>
        </w:rPr>
        <w:t>a)</w:t>
      </w:r>
      <w:r w:rsidRPr="002850C6">
        <w:rPr>
          <w:noProof/>
        </w:rPr>
        <w:tab/>
        <w:t>encourager les discussions et le dialogue entre les États membres en vue de faciliter l’octroi d’autorisations de transport militaire et de modalités en matière de circulation, en particulier entre les États membres situés le long des mêmes corridors de mobilité militaire;</w:t>
      </w:r>
    </w:p>
    <w:p w14:paraId="75FF154D" w14:textId="77777777" w:rsidR="002850C6" w:rsidRPr="002850C6" w:rsidRDefault="002850C6" w:rsidP="002850C6">
      <w:pPr>
        <w:pStyle w:val="Point1"/>
        <w:rPr>
          <w:noProof/>
        </w:rPr>
      </w:pPr>
      <w:r w:rsidRPr="002850C6">
        <w:rPr>
          <w:noProof/>
        </w:rPr>
        <w:t>b)</w:t>
      </w:r>
      <w:r w:rsidRPr="002850C6">
        <w:rPr>
          <w:noProof/>
        </w:rPr>
        <w:tab/>
        <w:t>faciliter l’utilisation de modalités en matière de circulation préplanifiées et d’itinéraires prédéfinis aux fins d’opérations de transport militaire;</w:t>
      </w:r>
    </w:p>
    <w:p w14:paraId="55E1100D" w14:textId="77777777" w:rsidR="002850C6" w:rsidRPr="002850C6" w:rsidRDefault="002850C6" w:rsidP="002850C6">
      <w:pPr>
        <w:pStyle w:val="Point1"/>
        <w:rPr>
          <w:noProof/>
        </w:rPr>
      </w:pPr>
      <w:r w:rsidRPr="002850C6">
        <w:rPr>
          <w:noProof/>
        </w:rPr>
        <w:t>c)</w:t>
      </w:r>
      <w:r w:rsidRPr="002850C6">
        <w:rPr>
          <w:noProof/>
        </w:rPr>
        <w:tab/>
        <w:t>fournir des conseils sur les mesures de protection de base et les mesures de protection renforcée visées respectivement à l’article </w:t>
      </w:r>
      <w:r w:rsidRPr="0086652C">
        <w:rPr>
          <w:noProof/>
        </w:rPr>
        <w:t>34</w:t>
      </w:r>
      <w:r w:rsidRPr="002850C6">
        <w:rPr>
          <w:noProof/>
        </w:rPr>
        <w:t>, paragraphe </w:t>
      </w:r>
      <w:r w:rsidRPr="0086652C">
        <w:rPr>
          <w:noProof/>
        </w:rPr>
        <w:t>4</w:t>
      </w:r>
      <w:r w:rsidRPr="002850C6">
        <w:rPr>
          <w:noProof/>
        </w:rPr>
        <w:t>, et à l’article </w:t>
      </w:r>
      <w:r w:rsidRPr="0086652C">
        <w:rPr>
          <w:noProof/>
        </w:rPr>
        <w:t>24</w:t>
      </w:r>
      <w:r w:rsidRPr="002850C6">
        <w:rPr>
          <w:noProof/>
        </w:rPr>
        <w:t>;</w:t>
      </w:r>
    </w:p>
    <w:p w14:paraId="36319DE9" w14:textId="77777777" w:rsidR="002850C6" w:rsidRPr="002850C6" w:rsidRDefault="002850C6" w:rsidP="002850C6">
      <w:pPr>
        <w:pStyle w:val="Point1"/>
        <w:rPr>
          <w:noProof/>
        </w:rPr>
      </w:pPr>
      <w:r w:rsidRPr="002850C6">
        <w:rPr>
          <w:noProof/>
        </w:rPr>
        <w:t>d)</w:t>
      </w:r>
      <w:r w:rsidRPr="002850C6">
        <w:rPr>
          <w:noProof/>
        </w:rPr>
        <w:tab/>
        <w:t>faciliter le recensement et le prépositionnement des capacités de transport et des capacités logistiques essentielles pour la réserve de solidarité afin de combler les lacunes de l’Union dans ce domaine, lorsqu’une réserve de solidarité est mise en œuvre conformément à l’article </w:t>
      </w:r>
      <w:r w:rsidRPr="0086652C">
        <w:rPr>
          <w:noProof/>
        </w:rPr>
        <w:t>35</w:t>
      </w:r>
      <w:r w:rsidRPr="002850C6">
        <w:rPr>
          <w:noProof/>
        </w:rPr>
        <w:t>;</w:t>
      </w:r>
    </w:p>
    <w:p w14:paraId="2883CFA9" w14:textId="77777777" w:rsidR="002850C6" w:rsidRPr="002850C6" w:rsidRDefault="002850C6" w:rsidP="002850C6">
      <w:pPr>
        <w:pStyle w:val="Point1"/>
        <w:rPr>
          <w:noProof/>
        </w:rPr>
      </w:pPr>
      <w:r w:rsidRPr="002850C6">
        <w:rPr>
          <w:noProof/>
        </w:rPr>
        <w:t>e)</w:t>
      </w:r>
      <w:r w:rsidRPr="002850C6">
        <w:rPr>
          <w:noProof/>
        </w:rPr>
        <w:tab/>
        <w:t>faciliter l’acquisition conjointe par les États membres de capacités de transport et de capacités logistiques pour le transport militaire;</w:t>
      </w:r>
    </w:p>
    <w:p w14:paraId="63C23BF7" w14:textId="77777777" w:rsidR="002850C6" w:rsidRPr="002850C6" w:rsidRDefault="002850C6" w:rsidP="002850C6">
      <w:pPr>
        <w:pStyle w:val="Point1"/>
        <w:rPr>
          <w:noProof/>
        </w:rPr>
      </w:pPr>
      <w:r w:rsidRPr="002850C6">
        <w:rPr>
          <w:noProof/>
        </w:rPr>
        <w:t>f)</w:t>
      </w:r>
      <w:r w:rsidRPr="002850C6">
        <w:rPr>
          <w:noProof/>
        </w:rPr>
        <w:tab/>
        <w:t>examiner les résultats des contrôles de la préparation en matière de transport militaire et des tests de résistance effectués conformément aux articles </w:t>
      </w:r>
      <w:r w:rsidRPr="0086652C">
        <w:rPr>
          <w:noProof/>
        </w:rPr>
        <w:t>42</w:t>
      </w:r>
      <w:r w:rsidRPr="002850C6">
        <w:rPr>
          <w:noProof/>
        </w:rPr>
        <w:t xml:space="preserve"> et </w:t>
      </w:r>
      <w:r w:rsidRPr="0086652C">
        <w:rPr>
          <w:noProof/>
        </w:rPr>
        <w:t>43</w:t>
      </w:r>
      <w:r w:rsidRPr="002850C6">
        <w:rPr>
          <w:noProof/>
        </w:rPr>
        <w:t xml:space="preserve"> et formuler des recommandations reposant sur ces résultats, le cas échéant; </w:t>
      </w:r>
    </w:p>
    <w:p w14:paraId="2D836E10" w14:textId="77777777" w:rsidR="002850C6" w:rsidRPr="002850C6" w:rsidRDefault="002850C6" w:rsidP="002850C6">
      <w:pPr>
        <w:pStyle w:val="Point1"/>
        <w:rPr>
          <w:noProof/>
        </w:rPr>
      </w:pPr>
      <w:r w:rsidRPr="002850C6">
        <w:rPr>
          <w:noProof/>
        </w:rPr>
        <w:t>g)</w:t>
      </w:r>
      <w:r w:rsidRPr="002850C6">
        <w:rPr>
          <w:noProof/>
        </w:rPr>
        <w:tab/>
        <w:t>fournir des conseils sur les spécifications techniques et les modules du système d’information numérique sur la mobilité militaire, lorsqu’il est établi conformément à l’article </w:t>
      </w:r>
      <w:r w:rsidRPr="0086652C">
        <w:rPr>
          <w:noProof/>
        </w:rPr>
        <w:t>14</w:t>
      </w:r>
      <w:r w:rsidRPr="002850C6">
        <w:rPr>
          <w:noProof/>
        </w:rPr>
        <w:t>, en tenant dûment compte de la législation douanière de l’Union applicable;</w:t>
      </w:r>
    </w:p>
    <w:p w14:paraId="262234E7" w14:textId="77777777" w:rsidR="002850C6" w:rsidRPr="002850C6" w:rsidRDefault="002850C6" w:rsidP="002850C6">
      <w:pPr>
        <w:pStyle w:val="Point1"/>
        <w:rPr>
          <w:noProof/>
        </w:rPr>
      </w:pPr>
      <w:r w:rsidRPr="002850C6">
        <w:rPr>
          <w:noProof/>
        </w:rPr>
        <w:t>h)</w:t>
      </w:r>
      <w:r w:rsidRPr="002850C6">
        <w:rPr>
          <w:noProof/>
        </w:rPr>
        <w:tab/>
        <w:t>être consulté sur la liste des infrastructures stratégiques à double usage visée à l’article </w:t>
      </w:r>
      <w:r w:rsidRPr="0086652C">
        <w:rPr>
          <w:noProof/>
        </w:rPr>
        <w:t>33</w:t>
      </w:r>
      <w:r w:rsidRPr="002850C6">
        <w:rPr>
          <w:noProof/>
        </w:rPr>
        <w:t>, paragraphe </w:t>
      </w:r>
      <w:r w:rsidRPr="0086652C">
        <w:rPr>
          <w:noProof/>
        </w:rPr>
        <w:t>3</w:t>
      </w:r>
      <w:r w:rsidRPr="002850C6">
        <w:rPr>
          <w:noProof/>
        </w:rPr>
        <w:t>.</w:t>
      </w:r>
    </w:p>
    <w:p w14:paraId="09545AA3"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Le groupe sur les transports liés à la mobilité militaire est composé de représentants de la Commission, du SEAE, y compris l’état-major de l’Union européenne, de l’Agence européenne de défense et des États membres. Tous les représentants des États membres sont en mesure de représenter la position de leur gouvernement respectif. Lorsque cela est pertinent pour les formalités douanières, les autorités douanières des États membres et l’Autorité douanière de l’Union européenne sont également invitées à participer. La Commission préside le groupe sur les transports liés à la mobilité militaire et en assure le secrétariat.</w:t>
      </w:r>
    </w:p>
    <w:p w14:paraId="0425D518"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Le groupe sur les transports liés à la mobilité militaire peut inviter, s’il y a lieu, conformément à son règlement intérieur et dans le respect des intérêts de l’Union et de ses États membres en matière de sécurité et de défense, l’Ukraine, la Moldavie et les pays de l’Espace économique européen à assister aux réunions en qualité d’observateurs.</w:t>
      </w:r>
    </w:p>
    <w:p w14:paraId="3A6C9DD6"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La Commission garantit la transparence en assurant aux membres du groupe sur les transports liés à la mobilité militaire un accès égal à l’information.</w:t>
      </w:r>
    </w:p>
    <w:p w14:paraId="73EFE358" w14:textId="77777777" w:rsidR="002850C6" w:rsidRPr="002850C6" w:rsidRDefault="002850C6" w:rsidP="002850C6">
      <w:pPr>
        <w:pStyle w:val="ManualNumPar1"/>
        <w:rPr>
          <w:noProof/>
        </w:rPr>
      </w:pPr>
      <w:r w:rsidRPr="0086652C">
        <w:rPr>
          <w:noProof/>
        </w:rPr>
        <w:t>6</w:t>
      </w:r>
      <w:r w:rsidRPr="002850C6">
        <w:rPr>
          <w:noProof/>
        </w:rPr>
        <w:t>.</w:t>
      </w:r>
      <w:r w:rsidRPr="002850C6">
        <w:rPr>
          <w:noProof/>
        </w:rPr>
        <w:tab/>
        <w:t>Le groupe sur les transports liés à la mobilité militaire se réunit régulièrement et chaque fois que la situation l’exige, à la demande de la Commission ou d’un État membre. Il adopte son règlement intérieur sur la base d’une proposition de la Commission.</w:t>
      </w:r>
    </w:p>
    <w:p w14:paraId="54F1A78B" w14:textId="77777777" w:rsidR="002850C6" w:rsidRPr="002850C6" w:rsidRDefault="002850C6" w:rsidP="002850C6">
      <w:pPr>
        <w:pStyle w:val="ManualNumPar1"/>
        <w:rPr>
          <w:noProof/>
        </w:rPr>
      </w:pPr>
      <w:r w:rsidRPr="0086652C">
        <w:rPr>
          <w:noProof/>
        </w:rPr>
        <w:t>7</w:t>
      </w:r>
      <w:r w:rsidRPr="002850C6">
        <w:rPr>
          <w:noProof/>
        </w:rPr>
        <w:t>.</w:t>
      </w:r>
      <w:r w:rsidRPr="002850C6">
        <w:rPr>
          <w:noProof/>
        </w:rPr>
        <w:tab/>
        <w:t>Le groupe sur les transports liés à la mobilité militaire peut formuler des avis, des conseils et des recommandations à la demande de la Commission ou de sa propre initiative. Il s’efforce de trouver des solutions qui recueillent le soutien le plus large possible.</w:t>
      </w:r>
    </w:p>
    <w:p w14:paraId="55B57402" w14:textId="77777777" w:rsidR="002850C6" w:rsidRPr="002850C6" w:rsidRDefault="002850C6" w:rsidP="002850C6">
      <w:pPr>
        <w:pStyle w:val="Titrearticle"/>
        <w:rPr>
          <w:noProof/>
        </w:rPr>
      </w:pPr>
      <w:r w:rsidRPr="002850C6">
        <w:rPr>
          <w:noProof/>
        </w:rPr>
        <w:t>Article </w:t>
      </w:r>
      <w:r w:rsidRPr="0086652C">
        <w:rPr>
          <w:noProof/>
        </w:rPr>
        <w:t>42</w:t>
      </w:r>
    </w:p>
    <w:p w14:paraId="2D305BE0" w14:textId="77777777" w:rsidR="002850C6" w:rsidRPr="002850C6" w:rsidRDefault="002850C6" w:rsidP="002850C6">
      <w:pPr>
        <w:pStyle w:val="NormalCentered"/>
        <w:rPr>
          <w:noProof/>
        </w:rPr>
      </w:pPr>
      <w:r w:rsidRPr="002850C6">
        <w:rPr>
          <w:b/>
          <w:noProof/>
        </w:rPr>
        <w:t>Contrôle de la préparation en matière de transport militaire</w:t>
      </w:r>
    </w:p>
    <w:p w14:paraId="33417079"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Les États membres procèdent une fois par an à un contrôle de la préparation en matière de transport militaire afin d’évaluer s’ils sont prêts à effectuer des transports militaires. Le contrôle de la préparation en matière de transport militaire comprend des informations sur l’ensemble des éléments suivants:</w:t>
      </w:r>
    </w:p>
    <w:p w14:paraId="7084B276" w14:textId="77777777" w:rsidR="002850C6" w:rsidRPr="002850C6" w:rsidRDefault="002850C6" w:rsidP="002850C6">
      <w:pPr>
        <w:pStyle w:val="Point1"/>
        <w:rPr>
          <w:noProof/>
        </w:rPr>
      </w:pPr>
      <w:r w:rsidRPr="002850C6">
        <w:rPr>
          <w:noProof/>
        </w:rPr>
        <w:t>a)</w:t>
      </w:r>
      <w:r w:rsidRPr="002850C6">
        <w:rPr>
          <w:noProof/>
        </w:rPr>
        <w:tab/>
        <w:t>les mesures nécessaires prises à l’échelon national pour assurer la mise en œuvre de l’EMERS;</w:t>
      </w:r>
    </w:p>
    <w:p w14:paraId="2DBF5746" w14:textId="77777777" w:rsidR="002850C6" w:rsidRPr="002850C6" w:rsidRDefault="002850C6" w:rsidP="002850C6">
      <w:pPr>
        <w:pStyle w:val="Point1"/>
        <w:rPr>
          <w:noProof/>
        </w:rPr>
      </w:pPr>
      <w:r w:rsidRPr="002850C6">
        <w:rPr>
          <w:noProof/>
        </w:rPr>
        <w:t>b)</w:t>
      </w:r>
      <w:r w:rsidRPr="002850C6">
        <w:rPr>
          <w:noProof/>
        </w:rPr>
        <w:tab/>
        <w:t>les mesures prises à l’échelon national pour assurer une approche pangouvernementale dans le domaine des transports militaires;</w:t>
      </w:r>
    </w:p>
    <w:p w14:paraId="2083DC64" w14:textId="77777777" w:rsidR="002850C6" w:rsidRPr="002850C6" w:rsidRDefault="002850C6" w:rsidP="002850C6">
      <w:pPr>
        <w:pStyle w:val="Point1"/>
        <w:rPr>
          <w:noProof/>
        </w:rPr>
      </w:pPr>
      <w:r w:rsidRPr="002850C6">
        <w:rPr>
          <w:noProof/>
        </w:rPr>
        <w:t>c)</w:t>
      </w:r>
      <w:r w:rsidRPr="002850C6">
        <w:rPr>
          <w:noProof/>
        </w:rPr>
        <w:tab/>
        <w:t>l’adoption des mesures et des modalités en matière de circulation nécessaires pour les opérations de transport militaire transfrontière prévues;</w:t>
      </w:r>
    </w:p>
    <w:p w14:paraId="7DAAB87F" w14:textId="77777777" w:rsidR="002850C6" w:rsidRPr="002850C6" w:rsidRDefault="002850C6" w:rsidP="002850C6">
      <w:pPr>
        <w:pStyle w:val="Point1"/>
        <w:rPr>
          <w:noProof/>
        </w:rPr>
      </w:pPr>
      <w:r w:rsidRPr="002850C6">
        <w:rPr>
          <w:noProof/>
        </w:rPr>
        <w:t>d)</w:t>
      </w:r>
      <w:r w:rsidRPr="002850C6">
        <w:rPr>
          <w:noProof/>
        </w:rPr>
        <w:tab/>
        <w:t>l’adoption de mesures de soutien fourni par le pays hôte pour permettre le transport militaire transfrontière prévu sur son territoire;</w:t>
      </w:r>
    </w:p>
    <w:p w14:paraId="1974EDFB" w14:textId="77777777" w:rsidR="002850C6" w:rsidRPr="002850C6" w:rsidRDefault="002850C6" w:rsidP="002850C6">
      <w:pPr>
        <w:pStyle w:val="Point1"/>
        <w:rPr>
          <w:noProof/>
        </w:rPr>
      </w:pPr>
      <w:r w:rsidRPr="002850C6">
        <w:rPr>
          <w:noProof/>
        </w:rPr>
        <w:t>e)</w:t>
      </w:r>
      <w:r w:rsidRPr="002850C6">
        <w:rPr>
          <w:noProof/>
        </w:rPr>
        <w:tab/>
        <w:t>la présentation éventuelle de demandes d’autorisation de transport militaire à d’autres États membres et leur réception par ceux-ci conformément aux articles </w:t>
      </w:r>
      <w:r w:rsidRPr="0086652C">
        <w:rPr>
          <w:noProof/>
        </w:rPr>
        <w:t>5</w:t>
      </w:r>
      <w:r w:rsidRPr="002850C6">
        <w:rPr>
          <w:noProof/>
        </w:rPr>
        <w:t xml:space="preserve"> et </w:t>
      </w:r>
      <w:r w:rsidRPr="0086652C">
        <w:rPr>
          <w:noProof/>
        </w:rPr>
        <w:t>6</w:t>
      </w:r>
      <w:r w:rsidRPr="002850C6">
        <w:rPr>
          <w:noProof/>
        </w:rPr>
        <w:t>;</w:t>
      </w:r>
    </w:p>
    <w:p w14:paraId="35DA63D1" w14:textId="77777777" w:rsidR="002850C6" w:rsidRPr="002850C6" w:rsidRDefault="002850C6" w:rsidP="002850C6">
      <w:pPr>
        <w:pStyle w:val="Point1"/>
        <w:rPr>
          <w:noProof/>
        </w:rPr>
      </w:pPr>
      <w:r w:rsidRPr="002850C6">
        <w:rPr>
          <w:noProof/>
        </w:rPr>
        <w:t>f)</w:t>
      </w:r>
      <w:r w:rsidRPr="002850C6">
        <w:rPr>
          <w:noProof/>
        </w:rPr>
        <w:tab/>
        <w:t>lorsqu’une réserve de solidarité est mise en œuvre conformément à l’article </w:t>
      </w:r>
      <w:r w:rsidRPr="0086652C">
        <w:rPr>
          <w:noProof/>
        </w:rPr>
        <w:t>35</w:t>
      </w:r>
      <w:r w:rsidRPr="002850C6">
        <w:rPr>
          <w:noProof/>
        </w:rPr>
        <w:t>, la présentation éventuelle de demandes de soutien au titre de celle-ci.</w:t>
      </w:r>
    </w:p>
    <w:p w14:paraId="16341428"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 coordinateur national des transports militaires transfrontières de chaque État membre communique les résultats du contrôle de la préparation en matière de transport militaire au groupe sur les transports liés à la mobilité militaire.</w:t>
      </w:r>
    </w:p>
    <w:p w14:paraId="66F60417" w14:textId="77777777" w:rsidR="002850C6" w:rsidRPr="002850C6" w:rsidRDefault="002850C6" w:rsidP="002850C6">
      <w:pPr>
        <w:pStyle w:val="Titrearticle"/>
        <w:rPr>
          <w:noProof/>
        </w:rPr>
      </w:pPr>
      <w:r w:rsidRPr="002850C6">
        <w:rPr>
          <w:noProof/>
        </w:rPr>
        <w:t>Article </w:t>
      </w:r>
      <w:r w:rsidRPr="0086652C">
        <w:rPr>
          <w:noProof/>
        </w:rPr>
        <w:t>43</w:t>
      </w:r>
    </w:p>
    <w:p w14:paraId="0707E417" w14:textId="77777777" w:rsidR="002850C6" w:rsidRPr="002850C6" w:rsidRDefault="002850C6" w:rsidP="002850C6">
      <w:pPr>
        <w:pStyle w:val="NormalCentered"/>
        <w:rPr>
          <w:noProof/>
        </w:rPr>
      </w:pPr>
      <w:r w:rsidRPr="002850C6">
        <w:rPr>
          <w:b/>
          <w:noProof/>
        </w:rPr>
        <w:t>Tests de résistance</w:t>
      </w:r>
    </w:p>
    <w:p w14:paraId="54C5F1E3"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La Commission peut procéder à des tests de résistance, en collaboration avec les États membres et les organes compétents de l’Union, afin de tester et d’évaluer la préparation de l’Union en matière de facilitation du transport militaire. Ces tests ont pour objet:</w:t>
      </w:r>
    </w:p>
    <w:p w14:paraId="48DD7FC2" w14:textId="77777777" w:rsidR="002850C6" w:rsidRPr="002850C6" w:rsidRDefault="002850C6" w:rsidP="002850C6">
      <w:pPr>
        <w:pStyle w:val="Point1"/>
        <w:rPr>
          <w:noProof/>
        </w:rPr>
      </w:pPr>
      <w:r w:rsidRPr="002850C6">
        <w:rPr>
          <w:noProof/>
        </w:rPr>
        <w:t>a)</w:t>
      </w:r>
      <w:r w:rsidRPr="002850C6">
        <w:rPr>
          <w:noProof/>
        </w:rPr>
        <w:tab/>
        <w:t>de préparer à l’activation de l’EMERS;</w:t>
      </w:r>
    </w:p>
    <w:p w14:paraId="747B1DB3" w14:textId="77777777" w:rsidR="002850C6" w:rsidRPr="002850C6" w:rsidRDefault="002850C6" w:rsidP="002850C6">
      <w:pPr>
        <w:pStyle w:val="Point1"/>
        <w:rPr>
          <w:noProof/>
        </w:rPr>
      </w:pPr>
      <w:r w:rsidRPr="002850C6">
        <w:rPr>
          <w:noProof/>
        </w:rPr>
        <w:t>b)</w:t>
      </w:r>
      <w:r w:rsidRPr="002850C6">
        <w:rPr>
          <w:noProof/>
        </w:rPr>
        <w:tab/>
        <w:t>de tester l’efficacité de l’approche pangouvernementale dans la mise en œuvre des objectifs du présent règlement, y compris la coordination et la coopération entre les organismes, autorités et parties prenantes concernés;</w:t>
      </w:r>
    </w:p>
    <w:p w14:paraId="322F4F45" w14:textId="77777777" w:rsidR="002850C6" w:rsidRPr="002850C6" w:rsidRDefault="002850C6" w:rsidP="002850C6">
      <w:pPr>
        <w:pStyle w:val="Point1"/>
        <w:rPr>
          <w:noProof/>
        </w:rPr>
      </w:pPr>
      <w:r w:rsidRPr="002850C6">
        <w:rPr>
          <w:noProof/>
        </w:rPr>
        <w:t>c)</w:t>
      </w:r>
      <w:r w:rsidRPr="002850C6">
        <w:rPr>
          <w:noProof/>
        </w:rPr>
        <w:tab/>
        <w:t>de tester la mise en œuvre des dispositions du présent règlement dans une zone géographique spécifique, telle qu’un corridor de mobilité militaire donné, dans les régions frontalières d’un État membre avec un pays tiers, ou dans un domaine sectoriel spécifique, y compris les douanes.</w:t>
      </w:r>
    </w:p>
    <w:p w14:paraId="5C00CBA1"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peuvent demander à la Commission de procéder aux tests de résistance visés au paragraphe </w:t>
      </w:r>
      <w:r w:rsidRPr="0086652C">
        <w:rPr>
          <w:noProof/>
        </w:rPr>
        <w:t>1</w:t>
      </w:r>
      <w:r w:rsidRPr="002850C6">
        <w:rPr>
          <w:noProof/>
        </w:rPr>
        <w:t>.</w:t>
      </w:r>
    </w:p>
    <w:p w14:paraId="2590B6DB"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La Commission communique les résultats des tests de résistance effectués en vertu du présent article aux États membres participants et au groupe sur les transports liés à la mobilité militaire.</w:t>
      </w:r>
    </w:p>
    <w:p w14:paraId="3BC3C175"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La Commission peut également participer à des tests de résistance ou à des exercices, à la demande d’un État membre ou sur la base de toute invitation pertinente, dans le but de tester et d’évaluer la préparation de l’Union en matière de facilitation du transport militaire.</w:t>
      </w:r>
    </w:p>
    <w:p w14:paraId="5FE16D6F" w14:textId="77777777" w:rsidR="002850C6" w:rsidRPr="002850C6" w:rsidRDefault="002850C6" w:rsidP="002850C6">
      <w:pPr>
        <w:pStyle w:val="Titrearticle"/>
        <w:rPr>
          <w:noProof/>
        </w:rPr>
      </w:pPr>
      <w:r w:rsidRPr="002850C6">
        <w:rPr>
          <w:noProof/>
        </w:rPr>
        <w:t>Article </w:t>
      </w:r>
      <w:r w:rsidRPr="0086652C">
        <w:rPr>
          <w:noProof/>
        </w:rPr>
        <w:t>44</w:t>
      </w:r>
    </w:p>
    <w:p w14:paraId="6630238C" w14:textId="77777777" w:rsidR="002850C6" w:rsidRPr="002850C6" w:rsidRDefault="002850C6" w:rsidP="002850C6">
      <w:pPr>
        <w:pStyle w:val="NormalCentered"/>
        <w:rPr>
          <w:b/>
          <w:bCs/>
          <w:noProof/>
        </w:rPr>
      </w:pPr>
      <w:r w:rsidRPr="002850C6">
        <w:rPr>
          <w:b/>
          <w:noProof/>
        </w:rPr>
        <w:t>Exercice de la délégation</w:t>
      </w:r>
    </w:p>
    <w:p w14:paraId="5FD0A519"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 pouvoir d’adopter des actes délégués conféré à la Commission est soumis aux conditions fixées au présent article.</w:t>
      </w:r>
    </w:p>
    <w:p w14:paraId="625A97DB"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 pouvoir d’adopter des actes délégués visé aux articles </w:t>
      </w:r>
      <w:r w:rsidRPr="0086652C">
        <w:rPr>
          <w:noProof/>
        </w:rPr>
        <w:t>5</w:t>
      </w:r>
      <w:r w:rsidRPr="002850C6">
        <w:rPr>
          <w:noProof/>
        </w:rPr>
        <w:t xml:space="preserve"> et </w:t>
      </w:r>
      <w:r w:rsidRPr="0086652C">
        <w:rPr>
          <w:noProof/>
        </w:rPr>
        <w:t>8</w:t>
      </w:r>
      <w:r w:rsidRPr="002850C6">
        <w:rPr>
          <w:noProof/>
        </w:rPr>
        <w:t xml:space="preserve"> est conféré à la Commission pour une durée indéterminée à compter du [DATE D’ENTRÉE EN VIGUEUR].</w:t>
      </w:r>
    </w:p>
    <w:p w14:paraId="48809C5A"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La délégation de pouvoir visée aux articles </w:t>
      </w:r>
      <w:r w:rsidRPr="0086652C">
        <w:rPr>
          <w:noProof/>
        </w:rPr>
        <w:t>5</w:t>
      </w:r>
      <w:r w:rsidRPr="002850C6">
        <w:rPr>
          <w:noProof/>
        </w:rPr>
        <w:t xml:space="preserve"> et </w:t>
      </w:r>
      <w:r w:rsidRPr="0086652C">
        <w:rPr>
          <w:noProof/>
        </w:rPr>
        <w:t>8</w:t>
      </w:r>
      <w:r w:rsidRPr="002850C6">
        <w:rPr>
          <w:noProof/>
        </w:rPr>
        <w:t xml:space="preserve"> peut être révoquée à tout moment par le Parlement européen ou le Conseil. La décision de révocation met fin à la délégation de pouvoir qui y est précisée. La révocation prend effet le jour suivant celui de la publication de ladite décision au </w:t>
      </w:r>
      <w:r w:rsidRPr="002850C6">
        <w:rPr>
          <w:i/>
          <w:iCs/>
          <w:noProof/>
        </w:rPr>
        <w:t>Journal officiel de l’Union européenne</w:t>
      </w:r>
      <w:r w:rsidRPr="002850C6">
        <w:rPr>
          <w:noProof/>
        </w:rPr>
        <w:t xml:space="preserve"> ou à une date ultérieure qui est précisée dans ladite décision. Elle ne porte pas atteinte à la validité des actes délégués déjà en vigueur.</w:t>
      </w:r>
    </w:p>
    <w:p w14:paraId="08FB02D6"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 xml:space="preserve">Avant l’adoption d’un acte délégué, la Commission consulte les experts désignés par chaque État membre, conformément aux principes définis dans l’accord interinstitutionnel du </w:t>
      </w:r>
      <w:r w:rsidRPr="0086652C">
        <w:rPr>
          <w:noProof/>
        </w:rPr>
        <w:t>13</w:t>
      </w:r>
      <w:r w:rsidRPr="002850C6">
        <w:rPr>
          <w:noProof/>
        </w:rPr>
        <w:t xml:space="preserve"> avril </w:t>
      </w:r>
      <w:r w:rsidRPr="0086652C">
        <w:rPr>
          <w:noProof/>
        </w:rPr>
        <w:t>2016</w:t>
      </w:r>
      <w:r w:rsidRPr="002850C6">
        <w:rPr>
          <w:noProof/>
        </w:rPr>
        <w:t xml:space="preserve"> «Mieux légiférer».</w:t>
      </w:r>
    </w:p>
    <w:p w14:paraId="20A892ED"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Aussitôt qu’elle adopte un acte délégué, la Commission le notifie au Parlement européen et au Conseil simultanément.</w:t>
      </w:r>
    </w:p>
    <w:p w14:paraId="7E195700" w14:textId="77777777" w:rsidR="002850C6" w:rsidRPr="002850C6" w:rsidRDefault="002850C6" w:rsidP="002850C6">
      <w:pPr>
        <w:pStyle w:val="ManualNumPar1"/>
        <w:rPr>
          <w:noProof/>
        </w:rPr>
      </w:pPr>
      <w:r w:rsidRPr="0086652C">
        <w:rPr>
          <w:noProof/>
        </w:rPr>
        <w:t>6</w:t>
      </w:r>
      <w:r w:rsidRPr="002850C6">
        <w:rPr>
          <w:noProof/>
        </w:rPr>
        <w:t>.</w:t>
      </w:r>
      <w:r w:rsidRPr="002850C6">
        <w:rPr>
          <w:noProof/>
        </w:rPr>
        <w:tab/>
        <w:t>Un acte délégué adopté en vertu des articles </w:t>
      </w:r>
      <w:r w:rsidRPr="0086652C">
        <w:rPr>
          <w:noProof/>
        </w:rPr>
        <w:t>5</w:t>
      </w:r>
      <w:r w:rsidRPr="002850C6">
        <w:rPr>
          <w:noProof/>
        </w:rPr>
        <w:t xml:space="preserve"> et </w:t>
      </w:r>
      <w:r w:rsidRPr="0086652C">
        <w:rPr>
          <w:noProof/>
        </w:rPr>
        <w:t>8</w:t>
      </w:r>
      <w:r w:rsidRPr="002850C6">
        <w:rPr>
          <w:noProof/>
        </w:rPr>
        <w:t xml:space="preserve">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14:paraId="2D2B9117" w14:textId="77777777" w:rsidR="002850C6" w:rsidRPr="002850C6" w:rsidRDefault="002850C6" w:rsidP="002850C6">
      <w:pPr>
        <w:pStyle w:val="Titrearticle"/>
        <w:rPr>
          <w:noProof/>
        </w:rPr>
      </w:pPr>
      <w:r w:rsidRPr="002850C6">
        <w:rPr>
          <w:noProof/>
        </w:rPr>
        <w:t>Article </w:t>
      </w:r>
      <w:r w:rsidRPr="0086652C">
        <w:rPr>
          <w:noProof/>
        </w:rPr>
        <w:t>45</w:t>
      </w:r>
    </w:p>
    <w:p w14:paraId="7B69DD05" w14:textId="77777777" w:rsidR="002850C6" w:rsidRPr="002850C6" w:rsidRDefault="002850C6" w:rsidP="002850C6">
      <w:pPr>
        <w:pStyle w:val="NormalCentered"/>
        <w:rPr>
          <w:b/>
          <w:bCs/>
          <w:noProof/>
        </w:rPr>
      </w:pPr>
      <w:r w:rsidRPr="002850C6">
        <w:rPr>
          <w:b/>
          <w:noProof/>
        </w:rPr>
        <w:t>Comité</w:t>
      </w:r>
    </w:p>
    <w:p w14:paraId="2750F577"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La Commission est assistée par un comité. Ledit comité est un comité au sens du règlement (UE) nº </w:t>
      </w:r>
      <w:r w:rsidRPr="0086652C">
        <w:rPr>
          <w:noProof/>
        </w:rPr>
        <w:t>182</w:t>
      </w:r>
      <w:r w:rsidRPr="002850C6">
        <w:rPr>
          <w:noProof/>
        </w:rPr>
        <w:t>/</w:t>
      </w:r>
      <w:r w:rsidRPr="0086652C">
        <w:rPr>
          <w:noProof/>
        </w:rPr>
        <w:t>2011</w:t>
      </w:r>
      <w:r w:rsidRPr="002850C6">
        <w:rPr>
          <w:noProof/>
        </w:rPr>
        <w:t>.</w:t>
      </w:r>
    </w:p>
    <w:p w14:paraId="67E59864"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 xml:space="preserve">Le Service européen pour l’action extérieure est invité à prêter assistance au comité. </w:t>
      </w:r>
    </w:p>
    <w:p w14:paraId="6E141D13"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L’Agence européenne de défense, l’Agence de l’Union européenne pour les chemins de fer, l’Agence de l’Union européenne pour la sécurité aérienne, l’Agence européenne pour la sécurité maritime, le gestionnaire de réseau [au sens de l’article </w:t>
      </w:r>
      <w:r w:rsidRPr="0086652C">
        <w:rPr>
          <w:noProof/>
        </w:rPr>
        <w:t>2</w:t>
      </w:r>
      <w:r w:rsidRPr="002850C6">
        <w:rPr>
          <w:noProof/>
        </w:rPr>
        <w:t>, point </w:t>
      </w:r>
      <w:r w:rsidRPr="0086652C">
        <w:rPr>
          <w:noProof/>
        </w:rPr>
        <w:t>49</w:t>
      </w:r>
      <w:r w:rsidRPr="002850C6">
        <w:rPr>
          <w:noProof/>
        </w:rPr>
        <w:t xml:space="preserve">), du règlement (UE) </w:t>
      </w:r>
      <w:r w:rsidRPr="0086652C">
        <w:rPr>
          <w:noProof/>
        </w:rPr>
        <w:t>2024</w:t>
      </w:r>
      <w:r w:rsidRPr="002850C6">
        <w:rPr>
          <w:noProof/>
        </w:rPr>
        <w:t>/</w:t>
      </w:r>
      <w:r w:rsidRPr="0086652C">
        <w:rPr>
          <w:noProof/>
        </w:rPr>
        <w:t>2803</w:t>
      </w:r>
      <w:r w:rsidRPr="002850C6">
        <w:rPr>
          <w:noProof/>
        </w:rPr>
        <w:t>] et l’Agence de l’Union européenne pour la cybersécurité sont invités à faire part de leurs points de vue et de leur expertise au comité en qualité d’observateurs.</w:t>
      </w:r>
    </w:p>
    <w:p w14:paraId="14AC5F8F"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Lorsqu’il est fait référence au présent paragraphe, l’article </w:t>
      </w:r>
      <w:r w:rsidRPr="0086652C">
        <w:rPr>
          <w:noProof/>
        </w:rPr>
        <w:t>5</w:t>
      </w:r>
      <w:r w:rsidRPr="002850C6">
        <w:rPr>
          <w:noProof/>
        </w:rPr>
        <w:t xml:space="preserve"> du règlement (UE) nº </w:t>
      </w:r>
      <w:r w:rsidRPr="0086652C">
        <w:rPr>
          <w:noProof/>
        </w:rPr>
        <w:t>182</w:t>
      </w:r>
      <w:r w:rsidRPr="002850C6">
        <w:rPr>
          <w:noProof/>
        </w:rPr>
        <w:t>/</w:t>
      </w:r>
      <w:r w:rsidRPr="0086652C">
        <w:rPr>
          <w:noProof/>
        </w:rPr>
        <w:t>2011</w:t>
      </w:r>
      <w:r w:rsidRPr="002850C6">
        <w:rPr>
          <w:noProof/>
        </w:rPr>
        <w:t xml:space="preserve"> s’applique.</w:t>
      </w:r>
    </w:p>
    <w:p w14:paraId="33DABBF4" w14:textId="77777777" w:rsidR="002850C6" w:rsidRPr="002850C6" w:rsidRDefault="002850C6" w:rsidP="002850C6">
      <w:pPr>
        <w:rPr>
          <w:noProof/>
        </w:rPr>
      </w:pPr>
    </w:p>
    <w:p w14:paraId="696952A9" w14:textId="77777777" w:rsidR="002850C6" w:rsidRPr="002850C6" w:rsidRDefault="002850C6" w:rsidP="002850C6">
      <w:pPr>
        <w:pStyle w:val="ChapterTitle"/>
        <w:rPr>
          <w:noProof/>
        </w:rPr>
      </w:pPr>
      <w:r w:rsidRPr="002850C6">
        <w:rPr>
          <w:noProof/>
        </w:rPr>
        <w:t xml:space="preserve">Chapitre VI </w:t>
      </w:r>
      <w:r w:rsidRPr="002850C6">
        <w:rPr>
          <w:noProof/>
        </w:rPr>
        <w:cr/>
      </w:r>
      <w:r w:rsidRPr="002850C6">
        <w:rPr>
          <w:noProof/>
        </w:rPr>
        <w:br/>
        <w:t>Modification d’autres actes de l’Union</w:t>
      </w:r>
    </w:p>
    <w:p w14:paraId="08950121" w14:textId="77777777" w:rsidR="002850C6" w:rsidRPr="002850C6" w:rsidRDefault="002850C6" w:rsidP="002850C6">
      <w:pPr>
        <w:pStyle w:val="Titrearticle"/>
        <w:rPr>
          <w:noProof/>
        </w:rPr>
      </w:pPr>
      <w:r w:rsidRPr="002850C6">
        <w:rPr>
          <w:noProof/>
        </w:rPr>
        <w:t>Article </w:t>
      </w:r>
      <w:r w:rsidRPr="0086652C">
        <w:rPr>
          <w:noProof/>
        </w:rPr>
        <w:t>46</w:t>
      </w:r>
    </w:p>
    <w:p w14:paraId="5758F966" w14:textId="77777777" w:rsidR="002850C6" w:rsidRPr="002850C6" w:rsidRDefault="002850C6" w:rsidP="002850C6">
      <w:pPr>
        <w:pStyle w:val="NormalCentered"/>
        <w:rPr>
          <w:b/>
          <w:noProof/>
        </w:rPr>
      </w:pPr>
      <w:r w:rsidRPr="002850C6">
        <w:rPr>
          <w:b/>
          <w:noProof/>
        </w:rPr>
        <w:t xml:space="preserve">Modification du règlement (UE) </w:t>
      </w:r>
      <w:r w:rsidRPr="0086652C">
        <w:rPr>
          <w:b/>
          <w:noProof/>
        </w:rPr>
        <w:t>2016</w:t>
      </w:r>
      <w:r w:rsidRPr="002850C6">
        <w:rPr>
          <w:b/>
          <w:noProof/>
        </w:rPr>
        <w:t>/</w:t>
      </w:r>
      <w:r w:rsidRPr="0086652C">
        <w:rPr>
          <w:b/>
          <w:noProof/>
        </w:rPr>
        <w:t>796</w:t>
      </w:r>
    </w:p>
    <w:p w14:paraId="0B64908E" w14:textId="77777777" w:rsidR="002850C6" w:rsidRPr="002850C6" w:rsidRDefault="002850C6" w:rsidP="002850C6">
      <w:pPr>
        <w:pStyle w:val="NormalCentered"/>
        <w:jc w:val="both"/>
        <w:rPr>
          <w:bCs/>
          <w:noProof/>
        </w:rPr>
      </w:pPr>
      <w:r w:rsidRPr="002850C6">
        <w:rPr>
          <w:noProof/>
        </w:rPr>
        <w:t xml:space="preserve">Le règlement (UE) </w:t>
      </w:r>
      <w:r w:rsidRPr="0086652C">
        <w:rPr>
          <w:noProof/>
        </w:rPr>
        <w:t>2016</w:t>
      </w:r>
      <w:r w:rsidRPr="002850C6">
        <w:rPr>
          <w:noProof/>
        </w:rPr>
        <w:t>/</w:t>
      </w:r>
      <w:r w:rsidRPr="0086652C">
        <w:rPr>
          <w:noProof/>
        </w:rPr>
        <w:t>796</w:t>
      </w:r>
      <w:r w:rsidRPr="002850C6">
        <w:rPr>
          <w:noProof/>
        </w:rPr>
        <w:t xml:space="preserve"> est modifié comme suit:</w:t>
      </w:r>
    </w:p>
    <w:p w14:paraId="2C0A4A8A"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 xml:space="preserve">à l’article </w:t>
      </w:r>
      <w:r w:rsidRPr="0086652C">
        <w:rPr>
          <w:noProof/>
        </w:rPr>
        <w:t>1</w:t>
      </w:r>
      <w:r w:rsidRPr="002850C6">
        <w:rPr>
          <w:noProof/>
          <w:vertAlign w:val="superscript"/>
        </w:rPr>
        <w:t>er</w:t>
      </w:r>
      <w:r w:rsidRPr="002850C6">
        <w:rPr>
          <w:noProof/>
        </w:rPr>
        <w:t>, paragraphe </w:t>
      </w:r>
      <w:r w:rsidRPr="0086652C">
        <w:rPr>
          <w:noProof/>
        </w:rPr>
        <w:t>3</w:t>
      </w:r>
      <w:r w:rsidRPr="002850C6">
        <w:rPr>
          <w:noProof/>
        </w:rPr>
        <w:t xml:space="preserve">, le point suivant est ajouté: «d) l’état de préparation du système ferroviaire de l’Union prévu par le règlement (UE) </w:t>
      </w:r>
      <w:r w:rsidRPr="0086652C">
        <w:rPr>
          <w:noProof/>
        </w:rPr>
        <w:t>202</w:t>
      </w:r>
      <w:r w:rsidRPr="002850C6">
        <w:rPr>
          <w:noProof/>
        </w:rPr>
        <w:t>X/XXX.»;</w:t>
      </w:r>
    </w:p>
    <w:p w14:paraId="21DA5764"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à l’article </w:t>
      </w:r>
      <w:r w:rsidRPr="0086652C">
        <w:rPr>
          <w:noProof/>
        </w:rPr>
        <w:t>2</w:t>
      </w:r>
      <w:r w:rsidRPr="002850C6">
        <w:rPr>
          <w:noProof/>
        </w:rPr>
        <w:t>, la dernière phrase est remplacée par le texte suivant: «Dans la poursuite de ces objectifs, l’Agence prend pleinement en compte le processus d’élargissement de l’Union et les contraintes spécifiques relatives aux liaisons ferroviaires avec les pays tiers, et elle contribue à assurer la résilience et les capacités de réaction en matière de sécurité du système ferroviaire de l’Union.»;</w:t>
      </w:r>
    </w:p>
    <w:p w14:paraId="50576733"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à l’article </w:t>
      </w:r>
      <w:r w:rsidRPr="0086652C">
        <w:rPr>
          <w:noProof/>
        </w:rPr>
        <w:t>19</w:t>
      </w:r>
      <w:r w:rsidRPr="002850C6">
        <w:rPr>
          <w:noProof/>
        </w:rPr>
        <w:t>, paragraphe </w:t>
      </w:r>
      <w:r w:rsidRPr="0086652C">
        <w:rPr>
          <w:noProof/>
        </w:rPr>
        <w:t>1</w:t>
      </w:r>
      <w:r w:rsidRPr="002850C6">
        <w:rPr>
          <w:noProof/>
        </w:rPr>
        <w:t>, le point suivant est ajouté: «m) assiste la Commission dans l’élaboration des spécifications techniques relatives à la mobilité militaire pour le recensement des véhicules aptes à être utilisés dans le cadre d’un transport militaire conformément à l’article </w:t>
      </w:r>
      <w:r w:rsidRPr="0086652C">
        <w:rPr>
          <w:noProof/>
        </w:rPr>
        <w:t>37</w:t>
      </w:r>
      <w:r w:rsidRPr="002850C6">
        <w:rPr>
          <w:noProof/>
        </w:rPr>
        <w:t xml:space="preserve"> du règlement (UE) </w:t>
      </w:r>
      <w:r w:rsidRPr="0086652C">
        <w:rPr>
          <w:noProof/>
        </w:rPr>
        <w:t>202</w:t>
      </w:r>
      <w:r w:rsidRPr="002850C6">
        <w:rPr>
          <w:noProof/>
        </w:rPr>
        <w:t>X/XXX.»;</w:t>
      </w:r>
    </w:p>
    <w:p w14:paraId="441F017E"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à l’article </w:t>
      </w:r>
      <w:r w:rsidRPr="0086652C">
        <w:rPr>
          <w:noProof/>
        </w:rPr>
        <w:t>20</w:t>
      </w:r>
      <w:r w:rsidRPr="002850C6">
        <w:rPr>
          <w:noProof/>
        </w:rPr>
        <w:t>, l’alinéa suivant est ajouté: «L’Agence attribue un numéro d’immatriculation européen de véhicule (NEV) conformément à l’article </w:t>
      </w:r>
      <w:r w:rsidRPr="0086652C">
        <w:rPr>
          <w:noProof/>
        </w:rPr>
        <w:t>46</w:t>
      </w:r>
      <w:r w:rsidRPr="002850C6">
        <w:rPr>
          <w:noProof/>
        </w:rPr>
        <w:t>, paragraphe </w:t>
      </w:r>
      <w:r w:rsidRPr="0086652C">
        <w:rPr>
          <w:noProof/>
        </w:rPr>
        <w:t>1</w:t>
      </w:r>
      <w:r w:rsidRPr="002850C6">
        <w:rPr>
          <w:noProof/>
        </w:rPr>
        <w:t xml:space="preserve">, de la directive (UE) </w:t>
      </w:r>
      <w:r w:rsidRPr="0086652C">
        <w:rPr>
          <w:noProof/>
        </w:rPr>
        <w:t>2016</w:t>
      </w:r>
      <w:r w:rsidRPr="002850C6">
        <w:rPr>
          <w:noProof/>
        </w:rPr>
        <w:t>/</w:t>
      </w:r>
      <w:r w:rsidRPr="0086652C">
        <w:rPr>
          <w:noProof/>
        </w:rPr>
        <w:t>797</w:t>
      </w:r>
      <w:r w:rsidRPr="002850C6">
        <w:rPr>
          <w:noProof/>
        </w:rPr>
        <w:t>.»;</w:t>
      </w:r>
    </w:p>
    <w:p w14:paraId="7489232D"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à l’article </w:t>
      </w:r>
      <w:r w:rsidRPr="0086652C">
        <w:rPr>
          <w:noProof/>
        </w:rPr>
        <w:t>80</w:t>
      </w:r>
      <w:r w:rsidRPr="002850C6">
        <w:rPr>
          <w:noProof/>
        </w:rPr>
        <w:t>, paragraphe </w:t>
      </w:r>
      <w:r w:rsidRPr="0086652C">
        <w:rPr>
          <w:noProof/>
        </w:rPr>
        <w:t>2</w:t>
      </w:r>
      <w:r w:rsidRPr="002850C6">
        <w:rPr>
          <w:noProof/>
        </w:rPr>
        <w:t>, le point suivant est ajouté: «e) l’enregistrement des véhicules dans le registre européen des véhicules conformément à l’article </w:t>
      </w:r>
      <w:r w:rsidRPr="0086652C">
        <w:rPr>
          <w:noProof/>
        </w:rPr>
        <w:t>22</w:t>
      </w:r>
      <w:r w:rsidRPr="002850C6">
        <w:rPr>
          <w:noProof/>
        </w:rPr>
        <w:t xml:space="preserve"> de la directive (UE) </w:t>
      </w:r>
      <w:r w:rsidRPr="0086652C">
        <w:rPr>
          <w:noProof/>
        </w:rPr>
        <w:t>2016</w:t>
      </w:r>
      <w:r w:rsidRPr="002850C6">
        <w:rPr>
          <w:noProof/>
        </w:rPr>
        <w:t>/</w:t>
      </w:r>
      <w:r w:rsidRPr="0086652C">
        <w:rPr>
          <w:noProof/>
        </w:rPr>
        <w:t>797</w:t>
      </w:r>
      <w:r w:rsidRPr="002850C6">
        <w:rPr>
          <w:noProof/>
        </w:rPr>
        <w:t>.».</w:t>
      </w:r>
    </w:p>
    <w:p w14:paraId="4C175E79" w14:textId="77777777" w:rsidR="002850C6" w:rsidRPr="002850C6" w:rsidRDefault="002850C6" w:rsidP="002850C6">
      <w:pPr>
        <w:pStyle w:val="Titrearticle"/>
        <w:rPr>
          <w:noProof/>
        </w:rPr>
      </w:pPr>
      <w:r w:rsidRPr="002850C6">
        <w:rPr>
          <w:noProof/>
        </w:rPr>
        <w:t>Article </w:t>
      </w:r>
      <w:r w:rsidRPr="0086652C">
        <w:rPr>
          <w:noProof/>
        </w:rPr>
        <w:t>47</w:t>
      </w:r>
    </w:p>
    <w:p w14:paraId="37901BCD" w14:textId="77777777" w:rsidR="002850C6" w:rsidRPr="002850C6" w:rsidRDefault="002850C6" w:rsidP="002850C6">
      <w:pPr>
        <w:pStyle w:val="NormalCentered"/>
        <w:rPr>
          <w:noProof/>
        </w:rPr>
      </w:pPr>
      <w:r w:rsidRPr="002850C6">
        <w:rPr>
          <w:b/>
          <w:noProof/>
        </w:rPr>
        <w:t xml:space="preserve">Modification de la directive (UE) </w:t>
      </w:r>
      <w:r w:rsidRPr="0086652C">
        <w:rPr>
          <w:b/>
          <w:noProof/>
        </w:rPr>
        <w:t>2016</w:t>
      </w:r>
      <w:r w:rsidRPr="002850C6">
        <w:rPr>
          <w:b/>
          <w:noProof/>
        </w:rPr>
        <w:t>/</w:t>
      </w:r>
      <w:r w:rsidRPr="0086652C">
        <w:rPr>
          <w:b/>
          <w:noProof/>
        </w:rPr>
        <w:t>797</w:t>
      </w:r>
    </w:p>
    <w:p w14:paraId="2E876B21" w14:textId="77777777" w:rsidR="002850C6" w:rsidRPr="002850C6" w:rsidRDefault="002850C6" w:rsidP="002850C6">
      <w:pPr>
        <w:rPr>
          <w:noProof/>
        </w:rPr>
      </w:pPr>
      <w:r w:rsidRPr="002850C6">
        <w:rPr>
          <w:noProof/>
        </w:rPr>
        <w:t xml:space="preserve">La directive (UE) </w:t>
      </w:r>
      <w:r w:rsidRPr="0086652C">
        <w:rPr>
          <w:noProof/>
        </w:rPr>
        <w:t>2016</w:t>
      </w:r>
      <w:r w:rsidRPr="002850C6">
        <w:rPr>
          <w:noProof/>
        </w:rPr>
        <w:t>/</w:t>
      </w:r>
      <w:r w:rsidRPr="0086652C">
        <w:rPr>
          <w:noProof/>
        </w:rPr>
        <w:t>797</w:t>
      </w:r>
      <w:r w:rsidRPr="002850C6">
        <w:rPr>
          <w:noProof/>
        </w:rPr>
        <w:t xml:space="preserve"> est modifiée comme suit:</w:t>
      </w:r>
    </w:p>
    <w:p w14:paraId="1C259ACC"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à l’article </w:t>
      </w:r>
      <w:r w:rsidRPr="0086652C">
        <w:rPr>
          <w:noProof/>
        </w:rPr>
        <w:t>21</w:t>
      </w:r>
      <w:r w:rsidRPr="002850C6">
        <w:rPr>
          <w:noProof/>
        </w:rPr>
        <w:t xml:space="preserve">, le paragraphe suivant est ajouté: </w:t>
      </w:r>
    </w:p>
    <w:p w14:paraId="69B0345C" w14:textId="77777777" w:rsidR="002850C6" w:rsidRPr="002850C6" w:rsidRDefault="002850C6" w:rsidP="002850C6">
      <w:pPr>
        <w:pStyle w:val="Text1"/>
        <w:rPr>
          <w:noProof/>
        </w:rPr>
      </w:pPr>
      <w:r w:rsidRPr="002850C6">
        <w:rPr>
          <w:noProof/>
        </w:rPr>
        <w:t>«</w:t>
      </w:r>
      <w:r w:rsidRPr="0086652C">
        <w:rPr>
          <w:noProof/>
        </w:rPr>
        <w:t>18</w:t>
      </w:r>
      <w:r w:rsidRPr="002850C6">
        <w:rPr>
          <w:noProof/>
        </w:rPr>
        <w:t>. Dans les cas où le domaine d’utilisation est limité à un ou plusieurs réseaux au sein d’un État membre, les États membres peuvent convenir avec l’Agence de déléguer à celle-ci leur pouvoir d’autoriser l’utilisation de véhicules ferroviaires pour des transports militaires, comme indiqué à l’article </w:t>
      </w:r>
      <w:r w:rsidRPr="0086652C">
        <w:rPr>
          <w:noProof/>
        </w:rPr>
        <w:t>37</w:t>
      </w:r>
      <w:r w:rsidRPr="002850C6">
        <w:rPr>
          <w:noProof/>
        </w:rPr>
        <w:t xml:space="preserve"> du règlement (UE) </w:t>
      </w:r>
      <w:r w:rsidRPr="0086652C">
        <w:rPr>
          <w:noProof/>
        </w:rPr>
        <w:t>202</w:t>
      </w:r>
      <w:r w:rsidRPr="002850C6">
        <w:rPr>
          <w:noProof/>
        </w:rPr>
        <w:t>X/XXXX. Les modalités de cette délégation sont arrêtées dans des accords de coopération conformément à l’article </w:t>
      </w:r>
      <w:r w:rsidRPr="0086652C">
        <w:rPr>
          <w:noProof/>
        </w:rPr>
        <w:t>76</w:t>
      </w:r>
      <w:r w:rsidRPr="002850C6">
        <w:rPr>
          <w:noProof/>
        </w:rPr>
        <w:t xml:space="preserve"> du règlement (UE) </w:t>
      </w:r>
      <w:r w:rsidRPr="0086652C">
        <w:rPr>
          <w:noProof/>
        </w:rPr>
        <w:t>2016</w:t>
      </w:r>
      <w:r w:rsidRPr="002850C6">
        <w:rPr>
          <w:noProof/>
        </w:rPr>
        <w:t>/</w:t>
      </w:r>
      <w:r w:rsidRPr="0086652C">
        <w:rPr>
          <w:noProof/>
        </w:rPr>
        <w:t>796</w:t>
      </w:r>
      <w:r w:rsidRPr="002850C6">
        <w:rPr>
          <w:noProof/>
        </w:rPr>
        <w:t>, et l’Agence partage les délégations qu’elle a reçues des États membres par l’intermédiaire du guichet unique établi en vertu de l’article </w:t>
      </w:r>
      <w:r w:rsidRPr="0086652C">
        <w:rPr>
          <w:noProof/>
        </w:rPr>
        <w:t>12</w:t>
      </w:r>
      <w:r w:rsidRPr="002850C6">
        <w:rPr>
          <w:noProof/>
        </w:rPr>
        <w:t xml:space="preserve"> du règlement (UE) </w:t>
      </w:r>
      <w:r w:rsidRPr="0086652C">
        <w:rPr>
          <w:noProof/>
        </w:rPr>
        <w:t>2016</w:t>
      </w:r>
      <w:r w:rsidRPr="002850C6">
        <w:rPr>
          <w:noProof/>
        </w:rPr>
        <w:t>/</w:t>
      </w:r>
      <w:r w:rsidRPr="0086652C">
        <w:rPr>
          <w:noProof/>
        </w:rPr>
        <w:t>796</w:t>
      </w:r>
      <w:r w:rsidRPr="002850C6">
        <w:rPr>
          <w:noProof/>
        </w:rPr>
        <w:t>.»;</w:t>
      </w:r>
    </w:p>
    <w:p w14:paraId="27D5ACBA"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à l’article </w:t>
      </w:r>
      <w:r w:rsidRPr="0086652C">
        <w:rPr>
          <w:noProof/>
        </w:rPr>
        <w:t>22</w:t>
      </w:r>
      <w:r w:rsidRPr="002850C6">
        <w:rPr>
          <w:noProof/>
        </w:rPr>
        <w:t>, le paragraphe </w:t>
      </w:r>
      <w:r w:rsidRPr="0086652C">
        <w:rPr>
          <w:noProof/>
        </w:rPr>
        <w:t>3</w:t>
      </w:r>
      <w:r w:rsidRPr="002850C6">
        <w:rPr>
          <w:noProof/>
        </w:rPr>
        <w:t xml:space="preserve"> est remplacé par le texte suivant: </w:t>
      </w:r>
    </w:p>
    <w:p w14:paraId="4B502659" w14:textId="77777777" w:rsidR="002850C6" w:rsidRPr="002850C6" w:rsidRDefault="002850C6" w:rsidP="002850C6">
      <w:pPr>
        <w:pStyle w:val="Text1"/>
        <w:rPr>
          <w:noProof/>
        </w:rPr>
      </w:pPr>
      <w:r w:rsidRPr="002850C6">
        <w:rPr>
          <w:noProof/>
        </w:rPr>
        <w:t>«</w:t>
      </w:r>
      <w:r w:rsidRPr="0086652C">
        <w:rPr>
          <w:noProof/>
        </w:rPr>
        <w:t>3</w:t>
      </w:r>
      <w:r w:rsidRPr="002850C6">
        <w:rPr>
          <w:noProof/>
        </w:rPr>
        <w:t>. Lorsque le domaine d’utilisation des véhicules couvre le territoire de plusieurs États membres, le véhicule est enregistré dans l’un des États membres concernés ou par l’Agence.»;</w:t>
      </w:r>
    </w:p>
    <w:p w14:paraId="5CDC08CF"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à l’article </w:t>
      </w:r>
      <w:r w:rsidRPr="0086652C">
        <w:rPr>
          <w:noProof/>
        </w:rPr>
        <w:t>46</w:t>
      </w:r>
      <w:r w:rsidRPr="002850C6">
        <w:rPr>
          <w:noProof/>
        </w:rPr>
        <w:t>, le paragraphe </w:t>
      </w:r>
      <w:r w:rsidRPr="0086652C">
        <w:rPr>
          <w:noProof/>
        </w:rPr>
        <w:t>1</w:t>
      </w:r>
      <w:r w:rsidRPr="002850C6">
        <w:rPr>
          <w:noProof/>
        </w:rPr>
        <w:t xml:space="preserve"> est remplacé par le texte suivant: </w:t>
      </w:r>
    </w:p>
    <w:p w14:paraId="004ADD4C" w14:textId="77777777" w:rsidR="002850C6" w:rsidRPr="002850C6" w:rsidRDefault="002850C6" w:rsidP="002850C6">
      <w:pPr>
        <w:pStyle w:val="Text1"/>
        <w:rPr>
          <w:noProof/>
        </w:rPr>
      </w:pPr>
      <w:r w:rsidRPr="002850C6">
        <w:rPr>
          <w:noProof/>
        </w:rPr>
        <w:t>«</w:t>
      </w:r>
      <w:r w:rsidRPr="0086652C">
        <w:rPr>
          <w:noProof/>
        </w:rPr>
        <w:t>1</w:t>
      </w:r>
      <w:r w:rsidRPr="002850C6">
        <w:rPr>
          <w:noProof/>
        </w:rPr>
        <w:t>. L’autorité compétente attribue à chaque véhicule, lors de son enregistrement effectué conformément à l’article </w:t>
      </w:r>
      <w:r w:rsidRPr="0086652C">
        <w:rPr>
          <w:noProof/>
        </w:rPr>
        <w:t>22</w:t>
      </w:r>
      <w:r w:rsidRPr="002850C6">
        <w:rPr>
          <w:noProof/>
        </w:rPr>
        <w:t>, un numéro d’immatriculation européen de véhicule (NEV). Le NEV attribué est marqué sur chaque véhicule.».</w:t>
      </w:r>
    </w:p>
    <w:p w14:paraId="531855E5" w14:textId="77777777" w:rsidR="002850C6" w:rsidRPr="002850C6" w:rsidRDefault="002850C6" w:rsidP="002850C6">
      <w:pPr>
        <w:pStyle w:val="Titrearticle"/>
        <w:rPr>
          <w:noProof/>
        </w:rPr>
      </w:pPr>
      <w:r w:rsidRPr="002850C6">
        <w:rPr>
          <w:noProof/>
        </w:rPr>
        <w:t>Article </w:t>
      </w:r>
      <w:r w:rsidRPr="0086652C">
        <w:rPr>
          <w:noProof/>
        </w:rPr>
        <w:t>48</w:t>
      </w:r>
    </w:p>
    <w:p w14:paraId="67A40F40" w14:textId="77777777" w:rsidR="002850C6" w:rsidRPr="002850C6" w:rsidRDefault="002850C6" w:rsidP="002850C6">
      <w:pPr>
        <w:pStyle w:val="NormalCentered"/>
        <w:rPr>
          <w:noProof/>
        </w:rPr>
      </w:pPr>
      <w:r w:rsidRPr="002850C6">
        <w:rPr>
          <w:b/>
          <w:noProof/>
        </w:rPr>
        <w:t xml:space="preserve">Modification du règlement (UE) </w:t>
      </w:r>
      <w:r w:rsidRPr="0086652C">
        <w:rPr>
          <w:b/>
          <w:noProof/>
        </w:rPr>
        <w:t>2024</w:t>
      </w:r>
      <w:r w:rsidRPr="002850C6">
        <w:rPr>
          <w:b/>
          <w:noProof/>
        </w:rPr>
        <w:t>/</w:t>
      </w:r>
      <w:r w:rsidRPr="0086652C">
        <w:rPr>
          <w:b/>
          <w:noProof/>
        </w:rPr>
        <w:t>2803</w:t>
      </w:r>
    </w:p>
    <w:p w14:paraId="1BEA0968" w14:textId="77777777" w:rsidR="002850C6" w:rsidRPr="002850C6" w:rsidRDefault="002850C6" w:rsidP="002850C6">
      <w:pPr>
        <w:rPr>
          <w:noProof/>
        </w:rPr>
      </w:pPr>
      <w:r w:rsidRPr="002850C6">
        <w:rPr>
          <w:noProof/>
        </w:rPr>
        <w:t xml:space="preserve">Le règlement (UE) </w:t>
      </w:r>
      <w:r w:rsidRPr="0086652C">
        <w:rPr>
          <w:noProof/>
        </w:rPr>
        <w:t>2024</w:t>
      </w:r>
      <w:r w:rsidRPr="002850C6">
        <w:rPr>
          <w:noProof/>
        </w:rPr>
        <w:t>/</w:t>
      </w:r>
      <w:r w:rsidRPr="0086652C">
        <w:rPr>
          <w:noProof/>
        </w:rPr>
        <w:t>2803</w:t>
      </w:r>
      <w:r w:rsidRPr="002850C6">
        <w:rPr>
          <w:noProof/>
        </w:rPr>
        <w:t xml:space="preserve"> est modifié comme suit:</w:t>
      </w:r>
    </w:p>
    <w:p w14:paraId="7C77979F"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à l’article </w:t>
      </w:r>
      <w:r w:rsidRPr="0086652C">
        <w:rPr>
          <w:noProof/>
        </w:rPr>
        <w:t>9</w:t>
      </w:r>
      <w:r w:rsidRPr="002850C6">
        <w:rPr>
          <w:noProof/>
        </w:rPr>
        <w:t>, paragraphe </w:t>
      </w:r>
      <w:r w:rsidRPr="0086652C">
        <w:rPr>
          <w:noProof/>
        </w:rPr>
        <w:t>1</w:t>
      </w:r>
      <w:r w:rsidRPr="002850C6">
        <w:rPr>
          <w:noProof/>
        </w:rPr>
        <w:t>, l’alinéa suivant est inséré après le premier alinéa:</w:t>
      </w:r>
    </w:p>
    <w:p w14:paraId="13009B7C" w14:textId="77777777" w:rsidR="002850C6" w:rsidRPr="002850C6" w:rsidRDefault="002850C6" w:rsidP="002850C6">
      <w:pPr>
        <w:pStyle w:val="Text1"/>
        <w:rPr>
          <w:noProof/>
        </w:rPr>
      </w:pPr>
      <w:r w:rsidRPr="002850C6">
        <w:rPr>
          <w:noProof/>
        </w:rPr>
        <w:t xml:space="preserve">«Par dérogation [au premier alinéa], les prestataires de services de navigation aérienne peuvent, jusqu’au </w:t>
      </w:r>
      <w:r w:rsidRPr="0086652C">
        <w:rPr>
          <w:noProof/>
        </w:rPr>
        <w:t>31</w:t>
      </w:r>
      <w:r w:rsidRPr="002850C6">
        <w:rPr>
          <w:noProof/>
        </w:rPr>
        <w:t xml:space="preserve"> décembre </w:t>
      </w:r>
      <w:r w:rsidRPr="0086652C">
        <w:rPr>
          <w:noProof/>
        </w:rPr>
        <w:t>2030</w:t>
      </w:r>
      <w:r w:rsidRPr="002850C6">
        <w:rPr>
          <w:noProof/>
        </w:rPr>
        <w:t>, recourir aux services de communication d’autres prestataires qui ne sont pas certifiés ou qui n’ont pas déclaré leur capacité conformément à l’article </w:t>
      </w:r>
      <w:r w:rsidRPr="0086652C">
        <w:rPr>
          <w:noProof/>
        </w:rPr>
        <w:t>41</w:t>
      </w:r>
      <w:r w:rsidRPr="002850C6">
        <w:rPr>
          <w:noProof/>
        </w:rPr>
        <w:t xml:space="preserve"> du règlement (UE) </w:t>
      </w:r>
      <w:r w:rsidRPr="0086652C">
        <w:rPr>
          <w:noProof/>
        </w:rPr>
        <w:t>2018</w:t>
      </w:r>
      <w:r w:rsidRPr="002850C6">
        <w:rPr>
          <w:noProof/>
        </w:rPr>
        <w:t>/</w:t>
      </w:r>
      <w:r w:rsidRPr="0086652C">
        <w:rPr>
          <w:noProof/>
        </w:rPr>
        <w:t>1139</w:t>
      </w:r>
      <w:r w:rsidRPr="002850C6">
        <w:rPr>
          <w:noProof/>
        </w:rPr>
        <w:t>, à condition que ces prestataires aient fourni des services de communication dans l’Union avant l’entrée en vigueur du présent règlement.»;</w:t>
      </w:r>
    </w:p>
    <w:p w14:paraId="1959AD1B"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à l’article </w:t>
      </w:r>
      <w:r w:rsidRPr="0086652C">
        <w:rPr>
          <w:noProof/>
        </w:rPr>
        <w:t>11</w:t>
      </w:r>
      <w:r w:rsidRPr="002850C6">
        <w:rPr>
          <w:noProof/>
        </w:rPr>
        <w:t>, paragraphe </w:t>
      </w:r>
      <w:r w:rsidRPr="0086652C">
        <w:rPr>
          <w:noProof/>
        </w:rPr>
        <w:t>6</w:t>
      </w:r>
      <w:r w:rsidRPr="002850C6">
        <w:rPr>
          <w:noProof/>
        </w:rPr>
        <w:t>, les alinéas suivants sont ajoutés:</w:t>
      </w:r>
    </w:p>
    <w:p w14:paraId="20529C1C" w14:textId="77777777" w:rsidR="002850C6" w:rsidRPr="002850C6" w:rsidRDefault="002850C6" w:rsidP="002850C6">
      <w:pPr>
        <w:pStyle w:val="Text1"/>
        <w:rPr>
          <w:noProof/>
        </w:rPr>
      </w:pPr>
      <w:r w:rsidRPr="002850C6">
        <w:rPr>
          <w:noProof/>
        </w:rPr>
        <w:t xml:space="preserve">«Par dérogation au présent paragraphe, tout prestataire de services de communication qui fournissait de tels services dans l’Union avant l’entrée en vigueur du présent règlement peut, jusqu’au </w:t>
      </w:r>
      <w:r w:rsidRPr="0086652C">
        <w:rPr>
          <w:noProof/>
        </w:rPr>
        <w:t>31</w:t>
      </w:r>
      <w:r w:rsidRPr="002850C6">
        <w:rPr>
          <w:noProof/>
        </w:rPr>
        <w:t xml:space="preserve"> décembre </w:t>
      </w:r>
      <w:r w:rsidRPr="0086652C">
        <w:rPr>
          <w:noProof/>
        </w:rPr>
        <w:t>2030</w:t>
      </w:r>
      <w:r w:rsidRPr="002850C6">
        <w:rPr>
          <w:noProof/>
        </w:rPr>
        <w:t>, être sélectionné pour fournir les mêmes services dans l’Union, même s’il ne remplit pas les conditions énoncées au point a).</w:t>
      </w:r>
    </w:p>
    <w:p w14:paraId="1C3B9399" w14:textId="77777777" w:rsidR="002850C6" w:rsidRPr="002850C6" w:rsidRDefault="002850C6" w:rsidP="002850C6">
      <w:pPr>
        <w:pStyle w:val="Text1"/>
        <w:rPr>
          <w:noProof/>
        </w:rPr>
      </w:pPr>
      <w:r w:rsidRPr="002850C6">
        <w:rPr>
          <w:noProof/>
        </w:rPr>
        <w:t xml:space="preserve">Par dérogation au présent paragraphe, tout prestataire de services de communication qui fournissait de tels services dans l’Union avant l’entrée en vigueur du présent règlement peut, jusqu’au </w:t>
      </w:r>
      <w:r w:rsidRPr="0086652C">
        <w:rPr>
          <w:noProof/>
        </w:rPr>
        <w:t>31</w:t>
      </w:r>
      <w:r w:rsidRPr="002850C6">
        <w:rPr>
          <w:noProof/>
        </w:rPr>
        <w:t xml:space="preserve"> décembre </w:t>
      </w:r>
      <w:r w:rsidRPr="0086652C">
        <w:rPr>
          <w:noProof/>
        </w:rPr>
        <w:t>2033</w:t>
      </w:r>
      <w:r w:rsidRPr="002850C6">
        <w:rPr>
          <w:noProof/>
        </w:rPr>
        <w:t>, être sélectionné pour fournir les mêmes services dans l’Union, même s’il ne remplit pas les conditions énoncées aux points b) et c).».</w:t>
      </w:r>
    </w:p>
    <w:p w14:paraId="349A1B9D" w14:textId="77777777" w:rsidR="002850C6" w:rsidRPr="002850C6" w:rsidRDefault="002850C6" w:rsidP="002850C6">
      <w:pPr>
        <w:pStyle w:val="Titrearticle"/>
        <w:rPr>
          <w:noProof/>
        </w:rPr>
      </w:pPr>
      <w:r w:rsidRPr="002850C6">
        <w:rPr>
          <w:noProof/>
        </w:rPr>
        <w:t>Article </w:t>
      </w:r>
      <w:r w:rsidRPr="0086652C">
        <w:rPr>
          <w:noProof/>
        </w:rPr>
        <w:t>49</w:t>
      </w:r>
    </w:p>
    <w:p w14:paraId="1722375F" w14:textId="77777777" w:rsidR="002850C6" w:rsidRPr="002850C6" w:rsidRDefault="002850C6" w:rsidP="002850C6">
      <w:pPr>
        <w:pStyle w:val="NormalCentered"/>
        <w:rPr>
          <w:noProof/>
        </w:rPr>
      </w:pPr>
      <w:r w:rsidRPr="002850C6">
        <w:rPr>
          <w:b/>
          <w:noProof/>
        </w:rPr>
        <w:t xml:space="preserve">Modification du règlement (UE) </w:t>
      </w:r>
      <w:r w:rsidRPr="0086652C">
        <w:rPr>
          <w:b/>
          <w:noProof/>
        </w:rPr>
        <w:t>2018</w:t>
      </w:r>
      <w:r w:rsidRPr="002850C6">
        <w:rPr>
          <w:b/>
          <w:noProof/>
        </w:rPr>
        <w:t>/</w:t>
      </w:r>
      <w:r w:rsidRPr="0086652C">
        <w:rPr>
          <w:b/>
          <w:noProof/>
        </w:rPr>
        <w:t>1139</w:t>
      </w:r>
    </w:p>
    <w:p w14:paraId="16B2E91E" w14:textId="77777777" w:rsidR="002850C6" w:rsidRPr="002850C6" w:rsidRDefault="002850C6" w:rsidP="002850C6">
      <w:pPr>
        <w:rPr>
          <w:noProof/>
        </w:rPr>
      </w:pPr>
      <w:r w:rsidRPr="002850C6">
        <w:rPr>
          <w:noProof/>
        </w:rPr>
        <w:t xml:space="preserve">Le règlement (UE) </w:t>
      </w:r>
      <w:r w:rsidRPr="0086652C">
        <w:rPr>
          <w:noProof/>
        </w:rPr>
        <w:t>2018</w:t>
      </w:r>
      <w:r w:rsidRPr="002850C6">
        <w:rPr>
          <w:noProof/>
        </w:rPr>
        <w:t>/</w:t>
      </w:r>
      <w:r w:rsidRPr="0086652C">
        <w:rPr>
          <w:noProof/>
        </w:rPr>
        <w:t>1139</w:t>
      </w:r>
      <w:r w:rsidRPr="002850C6">
        <w:rPr>
          <w:noProof/>
        </w:rPr>
        <w:t xml:space="preserve"> est modifié comme suit:</w:t>
      </w:r>
    </w:p>
    <w:p w14:paraId="68A5E0D0"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à l’article </w:t>
      </w:r>
      <w:r w:rsidRPr="0086652C">
        <w:rPr>
          <w:noProof/>
        </w:rPr>
        <w:t>3</w:t>
      </w:r>
      <w:r w:rsidRPr="002850C6">
        <w:rPr>
          <w:noProof/>
        </w:rPr>
        <w:t>, le point suivant est ajouté:</w:t>
      </w:r>
    </w:p>
    <w:p w14:paraId="3EAE7F41" w14:textId="77777777" w:rsidR="002850C6" w:rsidRPr="002850C6" w:rsidRDefault="002850C6" w:rsidP="002850C6">
      <w:pPr>
        <w:pStyle w:val="Text1"/>
        <w:rPr>
          <w:noProof/>
        </w:rPr>
      </w:pPr>
      <w:r w:rsidRPr="002850C6">
        <w:rPr>
          <w:noProof/>
        </w:rPr>
        <w:t>«</w:t>
      </w:r>
      <w:r w:rsidRPr="0086652C">
        <w:rPr>
          <w:noProof/>
        </w:rPr>
        <w:t>35</w:t>
      </w:r>
      <w:r w:rsidRPr="002850C6">
        <w:rPr>
          <w:noProof/>
        </w:rPr>
        <w:t>) “bac à sable réglementaire”: un cadre temporaire et contrôlé, établi par un État membre ou l’Agence, pour permettre la conception, la mise au point, le test et la démonstration de produits et services innovants, notamment à double usage, en situation réelle, dans des conditions et selon un calendrier prédéfinis, dans le but de favoriser l’innovation et la mobilité militaire, et sous la supervision d’une autorité compétente.»;</w:t>
      </w:r>
    </w:p>
    <w:p w14:paraId="4754A579"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à l’article </w:t>
      </w:r>
      <w:r w:rsidRPr="0086652C">
        <w:rPr>
          <w:noProof/>
        </w:rPr>
        <w:t>71</w:t>
      </w:r>
      <w:r w:rsidRPr="002850C6">
        <w:rPr>
          <w:noProof/>
        </w:rPr>
        <w:t>, le paragraphe </w:t>
      </w:r>
      <w:r w:rsidRPr="0086652C">
        <w:rPr>
          <w:noProof/>
        </w:rPr>
        <w:t>1</w:t>
      </w:r>
      <w:r w:rsidRPr="002850C6">
        <w:rPr>
          <w:noProof/>
        </w:rPr>
        <w:t xml:space="preserve"> est remplacé par le texte suivant:</w:t>
      </w:r>
    </w:p>
    <w:p w14:paraId="155CEA07" w14:textId="77777777" w:rsidR="002850C6" w:rsidRPr="002850C6" w:rsidRDefault="002850C6" w:rsidP="002850C6">
      <w:pPr>
        <w:pStyle w:val="Text1"/>
        <w:rPr>
          <w:noProof/>
        </w:rPr>
      </w:pPr>
      <w:r w:rsidRPr="002850C6">
        <w:rPr>
          <w:noProof/>
        </w:rPr>
        <w:t>«</w:t>
      </w:r>
      <w:r w:rsidRPr="0086652C">
        <w:rPr>
          <w:noProof/>
        </w:rPr>
        <w:t>1</w:t>
      </w:r>
      <w:r w:rsidRPr="002850C6">
        <w:rPr>
          <w:noProof/>
        </w:rPr>
        <w:t>. Les États membres peuvent accorder à toute personne physique ou morale soumise au présent règlement des dérogations aux exigences qui lui sont applicables en vertu du chapitre III, autres que les exigences essentielles fixées dans ledit chapitre, ou en vertu des actes délégués et des actes d’exécution adoptés sur la base dudit chapitre, dans les circonstances suivantes:</w:t>
      </w:r>
    </w:p>
    <w:p w14:paraId="288AC491" w14:textId="77777777" w:rsidR="002850C6" w:rsidRPr="002850C6" w:rsidRDefault="002850C6" w:rsidP="002850C6">
      <w:pPr>
        <w:pStyle w:val="Point1"/>
        <w:rPr>
          <w:noProof/>
        </w:rPr>
      </w:pPr>
      <w:r w:rsidRPr="002850C6">
        <w:rPr>
          <w:noProof/>
        </w:rPr>
        <w:t>a)</w:t>
      </w:r>
      <w:r w:rsidRPr="002850C6">
        <w:rPr>
          <w:noProof/>
        </w:rPr>
        <w:tab/>
        <w:t>en cas de circonstances imprévisibles urgentes touchant ces personnes ou de besoins opérationnels urgents de ces personnes;</w:t>
      </w:r>
    </w:p>
    <w:p w14:paraId="6EA3C717" w14:textId="77777777" w:rsidR="002850C6" w:rsidRPr="002850C6" w:rsidRDefault="002850C6" w:rsidP="002850C6">
      <w:pPr>
        <w:pStyle w:val="Point1"/>
        <w:rPr>
          <w:noProof/>
        </w:rPr>
      </w:pPr>
      <w:r w:rsidRPr="002850C6">
        <w:rPr>
          <w:noProof/>
        </w:rPr>
        <w:t>b)</w:t>
      </w:r>
      <w:r w:rsidRPr="002850C6">
        <w:rPr>
          <w:noProof/>
        </w:rPr>
        <w:tab/>
        <w:t>lorsque ces exigences empêchent la certification, l’utilisation ou l’exploitation de technologies, produits, équipements, systèmes, composants, concepts opérationnels ou modèles commerciaux innovants.</w:t>
      </w:r>
    </w:p>
    <w:p w14:paraId="1C19A416" w14:textId="77777777" w:rsidR="002850C6" w:rsidRPr="002850C6" w:rsidRDefault="002850C6" w:rsidP="002850C6">
      <w:pPr>
        <w:pStyle w:val="Text1"/>
        <w:rPr>
          <w:noProof/>
        </w:rPr>
      </w:pPr>
      <w:r w:rsidRPr="002850C6">
        <w:rPr>
          <w:noProof/>
        </w:rPr>
        <w:t>Les dérogations visées au premier alinéa peuvent être accordées lorsque toutes les conditions suivantes sont remplies:</w:t>
      </w:r>
    </w:p>
    <w:p w14:paraId="1EB894AB" w14:textId="77777777" w:rsidR="002850C6" w:rsidRPr="002850C6" w:rsidRDefault="002850C6" w:rsidP="002850C6">
      <w:pPr>
        <w:pStyle w:val="Point1"/>
        <w:rPr>
          <w:noProof/>
        </w:rPr>
      </w:pPr>
      <w:r w:rsidRPr="002850C6">
        <w:rPr>
          <w:noProof/>
        </w:rPr>
        <w:t>a)</w:t>
      </w:r>
      <w:r w:rsidRPr="002850C6">
        <w:rPr>
          <w:noProof/>
        </w:rPr>
        <w:tab/>
        <w:t>il n’est pas possible d’agir de manière adéquate face à ces circonstances ou besoins en conformité avec les exigences applicables;</w:t>
      </w:r>
    </w:p>
    <w:p w14:paraId="2A2C3233" w14:textId="77777777" w:rsidR="002850C6" w:rsidRPr="002850C6" w:rsidRDefault="002850C6" w:rsidP="002850C6">
      <w:pPr>
        <w:pStyle w:val="Point1"/>
        <w:rPr>
          <w:noProof/>
        </w:rPr>
      </w:pPr>
      <w:r w:rsidRPr="002850C6">
        <w:rPr>
          <w:noProof/>
        </w:rPr>
        <w:t>b)</w:t>
      </w:r>
      <w:r w:rsidRPr="002850C6">
        <w:rPr>
          <w:noProof/>
        </w:rPr>
        <w:tab/>
        <w:t>la sécurité, la protection de l’environnement et la conformité avec les exigences essentielles applicables sont garanties, si nécessaire par l’application de mesures d’atténuation;</w:t>
      </w:r>
    </w:p>
    <w:p w14:paraId="7C8E8C57" w14:textId="77777777" w:rsidR="002850C6" w:rsidRPr="002850C6" w:rsidRDefault="002850C6" w:rsidP="002850C6">
      <w:pPr>
        <w:pStyle w:val="Point1"/>
        <w:rPr>
          <w:noProof/>
        </w:rPr>
      </w:pPr>
      <w:r w:rsidRPr="002850C6">
        <w:rPr>
          <w:noProof/>
        </w:rPr>
        <w:t>c)</w:t>
      </w:r>
      <w:r w:rsidRPr="002850C6">
        <w:rPr>
          <w:noProof/>
        </w:rPr>
        <w:tab/>
        <w:t>l’État membre a atténué toute distorsion possible des conditions du marché liée à l’octroi de la dérogation; et</w:t>
      </w:r>
    </w:p>
    <w:p w14:paraId="03AAE031" w14:textId="77777777" w:rsidR="002850C6" w:rsidRPr="002850C6" w:rsidRDefault="002850C6" w:rsidP="002850C6">
      <w:pPr>
        <w:pStyle w:val="Point1"/>
        <w:rPr>
          <w:noProof/>
        </w:rPr>
      </w:pPr>
      <w:r w:rsidRPr="002850C6">
        <w:rPr>
          <w:noProof/>
        </w:rPr>
        <w:t>d)</w:t>
      </w:r>
      <w:r w:rsidRPr="002850C6">
        <w:rPr>
          <w:noProof/>
        </w:rPr>
        <w:tab/>
        <w:t>la dérogation est d’une portée et d’une durée limitées au strict nécessaire et est appliquée d’une manière non discriminatoire.</w:t>
      </w:r>
    </w:p>
    <w:p w14:paraId="4D677192" w14:textId="77777777" w:rsidR="002850C6" w:rsidRPr="002850C6" w:rsidRDefault="002850C6" w:rsidP="002850C6">
      <w:pPr>
        <w:pStyle w:val="Text2"/>
        <w:rPr>
          <w:noProof/>
        </w:rPr>
      </w:pPr>
      <w:r w:rsidRPr="002850C6">
        <w:rPr>
          <w:noProof/>
        </w:rPr>
        <w:t>En pareil cas, l’État membre concerné notifie immédiatement à la Commission, à l’Agence et aux autres États membres, au moyen du répertoire établi au titre de l’article </w:t>
      </w:r>
      <w:r w:rsidRPr="0086652C">
        <w:rPr>
          <w:noProof/>
        </w:rPr>
        <w:t>74</w:t>
      </w:r>
      <w:r w:rsidRPr="002850C6">
        <w:rPr>
          <w:noProof/>
        </w:rPr>
        <w:t>, la dérogation accordée, sa durée, les raisons qui la motivent et, le cas échéant, les mesures d’atténuation nécessaires appliquées.»;</w:t>
      </w:r>
    </w:p>
    <w:p w14:paraId="147CC99B"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à l’article </w:t>
      </w:r>
      <w:r w:rsidRPr="0086652C">
        <w:rPr>
          <w:noProof/>
        </w:rPr>
        <w:t>74</w:t>
      </w:r>
      <w:r w:rsidRPr="002850C6">
        <w:rPr>
          <w:noProof/>
        </w:rPr>
        <w:t>, paragraphe </w:t>
      </w:r>
      <w:r w:rsidRPr="0086652C">
        <w:rPr>
          <w:noProof/>
        </w:rPr>
        <w:t>1</w:t>
      </w:r>
      <w:r w:rsidRPr="002850C6">
        <w:rPr>
          <w:noProof/>
        </w:rPr>
        <w:t>, deuxième alinéa, le point suivant est ajouté:</w:t>
      </w:r>
    </w:p>
    <w:p w14:paraId="124EF170" w14:textId="77777777" w:rsidR="002850C6" w:rsidRPr="002850C6" w:rsidRDefault="002850C6" w:rsidP="002850C6">
      <w:pPr>
        <w:pStyle w:val="Text1"/>
        <w:rPr>
          <w:noProof/>
        </w:rPr>
      </w:pPr>
      <w:r w:rsidRPr="002850C6">
        <w:rPr>
          <w:noProof/>
        </w:rPr>
        <w:t>«s) les notifications des décisions des États membres ou de l’Agence concernant la mise en place, la suspension et la suppression des bacs à sable réglementaires conformément à l’article </w:t>
      </w:r>
      <w:r w:rsidRPr="0086652C">
        <w:rPr>
          <w:noProof/>
        </w:rPr>
        <w:t>86</w:t>
      </w:r>
      <w:r w:rsidRPr="002850C6">
        <w:rPr>
          <w:noProof/>
        </w:rPr>
        <w:t> </w:t>
      </w:r>
      <w:r w:rsidRPr="002850C6">
        <w:rPr>
          <w:i/>
          <w:iCs/>
          <w:noProof/>
        </w:rPr>
        <w:t>bis</w:t>
      </w:r>
      <w:r w:rsidRPr="002850C6">
        <w:rPr>
          <w:noProof/>
        </w:rPr>
        <w:t>, ainsi que le rapport conjoint correspondant.»;</w:t>
      </w:r>
    </w:p>
    <w:p w14:paraId="79911D04"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à l’article </w:t>
      </w:r>
      <w:r w:rsidRPr="0086652C">
        <w:rPr>
          <w:noProof/>
        </w:rPr>
        <w:t>75</w:t>
      </w:r>
      <w:r w:rsidRPr="002850C6">
        <w:rPr>
          <w:noProof/>
        </w:rPr>
        <w:t>, paragraphe </w:t>
      </w:r>
      <w:r w:rsidRPr="0086652C">
        <w:rPr>
          <w:noProof/>
        </w:rPr>
        <w:t>2</w:t>
      </w:r>
      <w:r w:rsidRPr="002850C6">
        <w:rPr>
          <w:noProof/>
        </w:rPr>
        <w:t>, le point suivant est ajouté:</w:t>
      </w:r>
    </w:p>
    <w:p w14:paraId="4F131FA8" w14:textId="77777777" w:rsidR="002850C6" w:rsidRPr="002850C6" w:rsidRDefault="002850C6" w:rsidP="002850C6">
      <w:pPr>
        <w:pStyle w:val="Text1"/>
        <w:rPr>
          <w:noProof/>
        </w:rPr>
      </w:pPr>
      <w:r w:rsidRPr="002850C6">
        <w:rPr>
          <w:noProof/>
        </w:rPr>
        <w:t xml:space="preserve">«k) coopère avec les autorités militaires nationales, ainsi qu’avec les organismes de l’Union et les organismes internationaux compétents afin de permettre des solutions de transport aérien à double usage ainsi que leur intégration en toute sécurité dans la circulation aérienne civile.»; </w:t>
      </w:r>
    </w:p>
    <w:p w14:paraId="2BB25DF4" w14:textId="77777777" w:rsidR="002850C6" w:rsidRPr="002850C6" w:rsidRDefault="002850C6" w:rsidP="002850C6">
      <w:pPr>
        <w:pStyle w:val="ManualNumPar1"/>
        <w:rPr>
          <w:noProof/>
        </w:rPr>
      </w:pPr>
      <w:r w:rsidRPr="0086652C">
        <w:rPr>
          <w:noProof/>
        </w:rPr>
        <w:t>5</w:t>
      </w:r>
      <w:r w:rsidRPr="002850C6">
        <w:rPr>
          <w:noProof/>
        </w:rPr>
        <w:t>.</w:t>
      </w:r>
      <w:r w:rsidRPr="002850C6">
        <w:rPr>
          <w:noProof/>
        </w:rPr>
        <w:tab/>
        <w:t>le nouvel article </w:t>
      </w:r>
      <w:r w:rsidRPr="0086652C">
        <w:rPr>
          <w:noProof/>
        </w:rPr>
        <w:t>86</w:t>
      </w:r>
      <w:r w:rsidRPr="002850C6">
        <w:rPr>
          <w:noProof/>
        </w:rPr>
        <w:t> </w:t>
      </w:r>
      <w:r w:rsidRPr="002850C6">
        <w:rPr>
          <w:i/>
          <w:iCs/>
          <w:noProof/>
        </w:rPr>
        <w:t>bis</w:t>
      </w:r>
      <w:r w:rsidRPr="002850C6">
        <w:rPr>
          <w:noProof/>
        </w:rPr>
        <w:t xml:space="preserve"> suivant est inséré:</w:t>
      </w:r>
    </w:p>
    <w:p w14:paraId="74CB1F05" w14:textId="77777777" w:rsidR="002850C6" w:rsidRPr="002850C6" w:rsidRDefault="002850C6" w:rsidP="002850C6">
      <w:pPr>
        <w:pStyle w:val="Text1"/>
        <w:rPr>
          <w:noProof/>
        </w:rPr>
      </w:pPr>
      <w:r w:rsidRPr="002850C6">
        <w:rPr>
          <w:noProof/>
        </w:rPr>
        <w:t>                                                               «Article </w:t>
      </w:r>
      <w:r w:rsidRPr="0086652C">
        <w:rPr>
          <w:noProof/>
        </w:rPr>
        <w:t>86</w:t>
      </w:r>
      <w:r w:rsidRPr="002850C6">
        <w:rPr>
          <w:noProof/>
        </w:rPr>
        <w:t> </w:t>
      </w:r>
      <w:r w:rsidRPr="002850C6">
        <w:rPr>
          <w:i/>
          <w:iCs/>
          <w:noProof/>
        </w:rPr>
        <w:t>bis</w:t>
      </w:r>
    </w:p>
    <w:p w14:paraId="2F720AAA" w14:textId="77777777" w:rsidR="002850C6" w:rsidRPr="002850C6" w:rsidRDefault="002850C6" w:rsidP="002850C6">
      <w:pPr>
        <w:pStyle w:val="Text1"/>
        <w:rPr>
          <w:noProof/>
        </w:rPr>
      </w:pPr>
      <w:r w:rsidRPr="002850C6">
        <w:rPr>
          <w:noProof/>
        </w:rPr>
        <w:t>                                                        Bacs à sable réglementaires</w:t>
      </w:r>
    </w:p>
    <w:p w14:paraId="450FDB5F" w14:textId="77777777" w:rsidR="002850C6" w:rsidRPr="002850C6" w:rsidRDefault="002850C6" w:rsidP="002850C6">
      <w:pPr>
        <w:pStyle w:val="Text1"/>
        <w:rPr>
          <w:noProof/>
        </w:rPr>
      </w:pPr>
      <w:r w:rsidRPr="0086652C">
        <w:rPr>
          <w:noProof/>
        </w:rPr>
        <w:t>1</w:t>
      </w:r>
      <w:r w:rsidRPr="002850C6">
        <w:rPr>
          <w:noProof/>
        </w:rPr>
        <w:t>. Des bacs à sable réglementaires peuvent être mis en place par un État membre ou par l’Agence, de leur propre initiative ou à la demande d’une organisation, afin de contribuer à la réalisation des objectifs suivants:</w:t>
      </w:r>
    </w:p>
    <w:p w14:paraId="0C5FAD85" w14:textId="77777777" w:rsidR="002850C6" w:rsidRPr="002850C6" w:rsidRDefault="002850C6" w:rsidP="002850C6">
      <w:pPr>
        <w:pStyle w:val="Point1"/>
        <w:rPr>
          <w:noProof/>
        </w:rPr>
      </w:pPr>
      <w:r w:rsidRPr="002850C6">
        <w:rPr>
          <w:noProof/>
        </w:rPr>
        <w:t>a)</w:t>
      </w:r>
      <w:r w:rsidRPr="002850C6">
        <w:rPr>
          <w:noProof/>
        </w:rPr>
        <w:tab/>
        <w:t>favoriser l’innovation et la compétitivité dans le secteur de l’aviation;</w:t>
      </w:r>
    </w:p>
    <w:p w14:paraId="4D909145" w14:textId="77777777" w:rsidR="002850C6" w:rsidRPr="002850C6" w:rsidRDefault="002850C6" w:rsidP="002850C6">
      <w:pPr>
        <w:pStyle w:val="Point1"/>
        <w:rPr>
          <w:noProof/>
        </w:rPr>
      </w:pPr>
      <w:r w:rsidRPr="002850C6">
        <w:rPr>
          <w:noProof/>
        </w:rPr>
        <w:t>b)</w:t>
      </w:r>
      <w:r w:rsidRPr="002850C6">
        <w:rPr>
          <w:noProof/>
        </w:rPr>
        <w:tab/>
        <w:t>permettre l’introduction en temps utile et en toute sécurité d’innovations sur le marché de l’aviation de l’Union;</w:t>
      </w:r>
    </w:p>
    <w:p w14:paraId="3E21E89F" w14:textId="77777777" w:rsidR="002850C6" w:rsidRPr="002850C6" w:rsidRDefault="002850C6" w:rsidP="002850C6">
      <w:pPr>
        <w:pStyle w:val="Point1"/>
        <w:rPr>
          <w:noProof/>
        </w:rPr>
      </w:pPr>
      <w:r w:rsidRPr="002850C6">
        <w:rPr>
          <w:noProof/>
        </w:rPr>
        <w:t>c)</w:t>
      </w:r>
      <w:r w:rsidRPr="002850C6">
        <w:rPr>
          <w:noProof/>
        </w:rPr>
        <w:tab/>
        <w:t>améliorer la sécurité juridique et faciliter le respect du présent règlement ainsi que des actes délégués et des actes d’exécution adoptés sur la base de celui-ci et, le cas échéant, d’autres dispositions applicables du droit de l’Union et du droit national; soutenir l’apprentissage réglementaire fondé sur des données probantes et l’élaboration d’exigences fondées sur la performance.  </w:t>
      </w:r>
    </w:p>
    <w:p w14:paraId="35E5EC76" w14:textId="77777777" w:rsidR="002850C6" w:rsidRPr="002850C6" w:rsidRDefault="002850C6" w:rsidP="002850C6">
      <w:pPr>
        <w:pStyle w:val="Text1"/>
        <w:rPr>
          <w:noProof/>
        </w:rPr>
      </w:pPr>
      <w:r w:rsidRPr="0086652C">
        <w:rPr>
          <w:noProof/>
        </w:rPr>
        <w:t>2</w:t>
      </w:r>
      <w:r w:rsidRPr="002850C6">
        <w:rPr>
          <w:noProof/>
        </w:rPr>
        <w:t>. Un bac à sable réglementaire peut être mis en place lorsque les critères suivants sont remplis:</w:t>
      </w:r>
    </w:p>
    <w:p w14:paraId="50AD3665" w14:textId="77777777" w:rsidR="002850C6" w:rsidRPr="002850C6" w:rsidRDefault="002850C6" w:rsidP="002850C6">
      <w:pPr>
        <w:pStyle w:val="Point1"/>
        <w:rPr>
          <w:noProof/>
        </w:rPr>
      </w:pPr>
      <w:r w:rsidRPr="002850C6">
        <w:rPr>
          <w:noProof/>
        </w:rPr>
        <w:t>a)</w:t>
      </w:r>
      <w:r w:rsidRPr="002850C6">
        <w:rPr>
          <w:noProof/>
        </w:rPr>
        <w:tab/>
        <w:t>les technologies, produits, équipements, systèmes, composants, concepts opérationnels ou modèles commerciaux à tester représentent une véritable innovation et devraient apporter des avantages aux consommateurs ou à la société au sens large;</w:t>
      </w:r>
    </w:p>
    <w:p w14:paraId="200C9E21" w14:textId="77777777" w:rsidR="002850C6" w:rsidRPr="002850C6" w:rsidRDefault="002850C6" w:rsidP="002850C6">
      <w:pPr>
        <w:pStyle w:val="Point1"/>
        <w:rPr>
          <w:noProof/>
        </w:rPr>
      </w:pPr>
      <w:r w:rsidRPr="002850C6">
        <w:rPr>
          <w:noProof/>
        </w:rPr>
        <w:t>b)</w:t>
      </w:r>
      <w:r w:rsidRPr="002850C6">
        <w:rPr>
          <w:noProof/>
        </w:rPr>
        <w:tab/>
        <w:t>l’innovation est suffisamment mature pour être testée dans un environnement contrôlé en situation réelle, et des obstacles ou lacunes législatifs pertinents ont été recensés;</w:t>
      </w:r>
    </w:p>
    <w:p w14:paraId="1F1B1EDF" w14:textId="77777777" w:rsidR="002850C6" w:rsidRPr="002850C6" w:rsidRDefault="002850C6" w:rsidP="002850C6">
      <w:pPr>
        <w:pStyle w:val="Point1"/>
        <w:rPr>
          <w:noProof/>
        </w:rPr>
      </w:pPr>
      <w:r w:rsidRPr="002850C6">
        <w:rPr>
          <w:noProof/>
        </w:rPr>
        <w:t>c)</w:t>
      </w:r>
      <w:r w:rsidRPr="002850C6">
        <w:rPr>
          <w:noProof/>
        </w:rPr>
        <w:tab/>
        <w:t>la sécurité, la protection de l’environnement et la conformité avec les exigences essentielles applicables sont garanties, si nécessaire par l’application de mesures d’atténuation.</w:t>
      </w:r>
    </w:p>
    <w:p w14:paraId="6E7C2468" w14:textId="77777777" w:rsidR="002850C6" w:rsidRPr="002850C6" w:rsidRDefault="002850C6" w:rsidP="002850C6">
      <w:pPr>
        <w:pStyle w:val="Text1"/>
        <w:rPr>
          <w:noProof/>
        </w:rPr>
      </w:pPr>
      <w:r w:rsidRPr="0086652C">
        <w:rPr>
          <w:noProof/>
        </w:rPr>
        <w:t>3</w:t>
      </w:r>
      <w:r w:rsidRPr="002850C6">
        <w:rPr>
          <w:noProof/>
        </w:rPr>
        <w:t>. Les éléments suivants du bac à sable réglementaire sont clairement définis:</w:t>
      </w:r>
    </w:p>
    <w:p w14:paraId="2B8D89FE" w14:textId="77777777" w:rsidR="002850C6" w:rsidRPr="002850C6" w:rsidRDefault="002850C6" w:rsidP="002850C6">
      <w:pPr>
        <w:pStyle w:val="Point1"/>
        <w:rPr>
          <w:noProof/>
        </w:rPr>
      </w:pPr>
      <w:r w:rsidRPr="002850C6">
        <w:rPr>
          <w:noProof/>
        </w:rPr>
        <w:t>a)</w:t>
      </w:r>
      <w:r w:rsidRPr="002850C6">
        <w:rPr>
          <w:noProof/>
        </w:rPr>
        <w:tab/>
        <w:t>les objectifs;</w:t>
      </w:r>
    </w:p>
    <w:p w14:paraId="6FF39170" w14:textId="77777777" w:rsidR="002850C6" w:rsidRPr="002850C6" w:rsidRDefault="002850C6" w:rsidP="002850C6">
      <w:pPr>
        <w:pStyle w:val="Point1"/>
        <w:rPr>
          <w:noProof/>
        </w:rPr>
      </w:pPr>
      <w:r w:rsidRPr="002850C6">
        <w:rPr>
          <w:noProof/>
        </w:rPr>
        <w:t>b)</w:t>
      </w:r>
      <w:r w:rsidRPr="002850C6">
        <w:rPr>
          <w:noProof/>
        </w:rPr>
        <w:tab/>
        <w:t>la portée et la durée, qui sont limitées au strict nécessaire pour atteindre les objectifs proposés;</w:t>
      </w:r>
    </w:p>
    <w:p w14:paraId="6E1F706B" w14:textId="77777777" w:rsidR="002850C6" w:rsidRPr="002850C6" w:rsidRDefault="002850C6" w:rsidP="002850C6">
      <w:pPr>
        <w:pStyle w:val="Point1"/>
        <w:rPr>
          <w:noProof/>
        </w:rPr>
      </w:pPr>
      <w:r w:rsidRPr="002850C6">
        <w:rPr>
          <w:noProof/>
        </w:rPr>
        <w:t>c)</w:t>
      </w:r>
      <w:r w:rsidRPr="002850C6">
        <w:rPr>
          <w:noProof/>
        </w:rPr>
        <w:tab/>
        <w:t>la structure de gouvernance, y compris les rôles et responsabilités de toutes les autorités et entités participantes, qui:</w:t>
      </w:r>
    </w:p>
    <w:p w14:paraId="4728A717" w14:textId="77777777" w:rsidR="002850C6" w:rsidRPr="002850C6" w:rsidRDefault="002850C6" w:rsidP="002850C6">
      <w:pPr>
        <w:pStyle w:val="Text2"/>
        <w:rPr>
          <w:noProof/>
        </w:rPr>
      </w:pPr>
      <w:r w:rsidRPr="002850C6">
        <w:rPr>
          <w:noProof/>
        </w:rPr>
        <w:t>i)</w:t>
      </w:r>
      <w:r w:rsidRPr="002850C6">
        <w:rPr>
          <w:noProof/>
        </w:rPr>
        <w:tab/>
        <w:t xml:space="preserve">comprend la désignation d’une autorité compétente responsable de la surveillance et de la supervision du bac à sable; </w:t>
      </w:r>
    </w:p>
    <w:p w14:paraId="7D9EFEAF" w14:textId="77777777" w:rsidR="002850C6" w:rsidRPr="002850C6" w:rsidRDefault="002850C6" w:rsidP="002850C6">
      <w:pPr>
        <w:pStyle w:val="Text2"/>
        <w:rPr>
          <w:noProof/>
        </w:rPr>
      </w:pPr>
      <w:r w:rsidRPr="002850C6">
        <w:rPr>
          <w:noProof/>
        </w:rPr>
        <w:t>ii)</w:t>
      </w:r>
      <w:r w:rsidRPr="002850C6">
        <w:rPr>
          <w:noProof/>
        </w:rPr>
        <w:tab/>
        <w:t>fait en sorte que tous les États membres et toutes les autorités concernés par les objectifs et le champ d’application du bac à sable soient dûment associés à sa mise en place et à sa mise en œuvre;</w:t>
      </w:r>
    </w:p>
    <w:p w14:paraId="579D7DE7" w14:textId="77777777" w:rsidR="002850C6" w:rsidRPr="002850C6" w:rsidRDefault="002850C6" w:rsidP="002850C6">
      <w:pPr>
        <w:pStyle w:val="Text2"/>
        <w:rPr>
          <w:noProof/>
        </w:rPr>
      </w:pPr>
      <w:r w:rsidRPr="002850C6">
        <w:rPr>
          <w:noProof/>
        </w:rPr>
        <w:t>iii)</w:t>
      </w:r>
      <w:r w:rsidRPr="002850C6">
        <w:rPr>
          <w:noProof/>
        </w:rPr>
        <w:tab/>
        <w:t>fait en sorte que l’Agence soit associée, en particulier à l’élaboration du dossier de sécurité et de l’apprentissage réglementaire attendu;</w:t>
      </w:r>
    </w:p>
    <w:p w14:paraId="4FF3EA59" w14:textId="77777777" w:rsidR="002850C6" w:rsidRPr="002850C6" w:rsidRDefault="002850C6" w:rsidP="002850C6">
      <w:pPr>
        <w:pStyle w:val="Point1"/>
        <w:rPr>
          <w:noProof/>
        </w:rPr>
      </w:pPr>
      <w:r w:rsidRPr="002850C6">
        <w:rPr>
          <w:noProof/>
        </w:rPr>
        <w:t>d)</w:t>
      </w:r>
      <w:r w:rsidRPr="002850C6">
        <w:rPr>
          <w:noProof/>
        </w:rPr>
        <w:tab/>
        <w:t>les critères de suivi et d’évaluation;</w:t>
      </w:r>
    </w:p>
    <w:p w14:paraId="5B723398" w14:textId="77777777" w:rsidR="002850C6" w:rsidRPr="002850C6" w:rsidRDefault="002850C6" w:rsidP="002850C6">
      <w:pPr>
        <w:pStyle w:val="Point1"/>
        <w:rPr>
          <w:noProof/>
        </w:rPr>
      </w:pPr>
      <w:r w:rsidRPr="002850C6">
        <w:rPr>
          <w:noProof/>
        </w:rPr>
        <w:t>e)</w:t>
      </w:r>
      <w:r w:rsidRPr="002850C6">
        <w:rPr>
          <w:noProof/>
        </w:rPr>
        <w:tab/>
        <w:t>les critères d’éligibilité et procédures d’admission, qui sont transparents et non discriminatoires;</w:t>
      </w:r>
    </w:p>
    <w:p w14:paraId="47323133" w14:textId="77777777" w:rsidR="002850C6" w:rsidRPr="002850C6" w:rsidRDefault="002850C6" w:rsidP="002850C6">
      <w:pPr>
        <w:pStyle w:val="Point1"/>
        <w:rPr>
          <w:noProof/>
        </w:rPr>
      </w:pPr>
      <w:r w:rsidRPr="002850C6">
        <w:rPr>
          <w:noProof/>
        </w:rPr>
        <w:t>f)</w:t>
      </w:r>
      <w:r w:rsidRPr="002850C6">
        <w:rPr>
          <w:noProof/>
        </w:rPr>
        <w:tab/>
        <w:t>les obligations en matière d’établissement de rapports, qui contribuent à un suivi adéquat des activités.</w:t>
      </w:r>
    </w:p>
    <w:p w14:paraId="6B964957" w14:textId="77777777" w:rsidR="002850C6" w:rsidRPr="002850C6" w:rsidRDefault="002850C6" w:rsidP="002850C6">
      <w:pPr>
        <w:pStyle w:val="Text1"/>
        <w:rPr>
          <w:noProof/>
        </w:rPr>
      </w:pPr>
      <w:r w:rsidRPr="0086652C">
        <w:rPr>
          <w:noProof/>
        </w:rPr>
        <w:t>4</w:t>
      </w:r>
      <w:r w:rsidRPr="002850C6">
        <w:rPr>
          <w:noProof/>
        </w:rPr>
        <w:t>. Une organisation demandant à participer à un bac à sable démontre que les technologies, produits, équipements, systèmes, composants, concepts opérationnels ou modèles commerciaux à tester satisfont aux critères énoncés au paragraphe </w:t>
      </w:r>
      <w:r w:rsidRPr="0086652C">
        <w:rPr>
          <w:noProof/>
        </w:rPr>
        <w:t>2</w:t>
      </w:r>
      <w:r w:rsidRPr="002850C6">
        <w:rPr>
          <w:noProof/>
        </w:rPr>
        <w:t>. Pour ce faire, l’organisation:</w:t>
      </w:r>
    </w:p>
    <w:p w14:paraId="7F888A4F" w14:textId="77777777" w:rsidR="002850C6" w:rsidRPr="002850C6" w:rsidRDefault="002850C6" w:rsidP="002850C6">
      <w:pPr>
        <w:pStyle w:val="Point1"/>
        <w:rPr>
          <w:noProof/>
        </w:rPr>
      </w:pPr>
      <w:r w:rsidRPr="002850C6">
        <w:rPr>
          <w:noProof/>
        </w:rPr>
        <w:t>a)</w:t>
      </w:r>
      <w:r w:rsidRPr="002850C6">
        <w:rPr>
          <w:noProof/>
        </w:rPr>
        <w:tab/>
        <w:t>précise les objectifs du projet ou de la solution innovants;</w:t>
      </w:r>
    </w:p>
    <w:p w14:paraId="342EF4B5" w14:textId="77777777" w:rsidR="002850C6" w:rsidRPr="002850C6" w:rsidRDefault="002850C6" w:rsidP="002850C6">
      <w:pPr>
        <w:pStyle w:val="Point1"/>
        <w:rPr>
          <w:noProof/>
        </w:rPr>
      </w:pPr>
      <w:r w:rsidRPr="002850C6">
        <w:rPr>
          <w:noProof/>
        </w:rPr>
        <w:t>b)</w:t>
      </w:r>
      <w:r w:rsidRPr="002850C6">
        <w:rPr>
          <w:noProof/>
        </w:rPr>
        <w:tab/>
        <w:t>recense les obstacles ou lacunes réglementaires concrets auxquels il convient de remédier;</w:t>
      </w:r>
    </w:p>
    <w:p w14:paraId="086E8EE9" w14:textId="77777777" w:rsidR="002850C6" w:rsidRPr="002850C6" w:rsidRDefault="002850C6" w:rsidP="002850C6">
      <w:pPr>
        <w:pStyle w:val="Point1"/>
        <w:rPr>
          <w:noProof/>
        </w:rPr>
      </w:pPr>
      <w:r w:rsidRPr="002850C6">
        <w:rPr>
          <w:noProof/>
        </w:rPr>
        <w:t>c)</w:t>
      </w:r>
      <w:r w:rsidRPr="002850C6">
        <w:rPr>
          <w:noProof/>
        </w:rPr>
        <w:tab/>
        <w:t>élabore un dossier de sécurité décrivant les mesures d’atténuation à mettre en œuvre pour assurer un niveau adéquat de sécurité et de protection de l’environnement et, dans la mesure du possible, le respect des exigences essentielles applicables.</w:t>
      </w:r>
    </w:p>
    <w:p w14:paraId="146D3B3E" w14:textId="77777777" w:rsidR="002850C6" w:rsidRPr="002850C6" w:rsidRDefault="002850C6" w:rsidP="002850C6">
      <w:pPr>
        <w:pStyle w:val="Text1"/>
        <w:rPr>
          <w:noProof/>
        </w:rPr>
      </w:pPr>
      <w:r w:rsidRPr="0086652C">
        <w:rPr>
          <w:noProof/>
        </w:rPr>
        <w:t>5</w:t>
      </w:r>
      <w:r w:rsidRPr="002850C6">
        <w:rPr>
          <w:noProof/>
        </w:rPr>
        <w:t>. Après avoir reçu une demande ou une candidature d’une organisation, l’État membre ou l’Agence évalue si les mesures d’atténuation prévues sont appropriées et suffisantes pour assurer un niveau de sécurité adéquat et propose toute mesure supplémentaire jugée nécessaire. L’État membre ou l’Agence précise également l’apprentissage réglementaire attendu du bac à sable.</w:t>
      </w:r>
    </w:p>
    <w:p w14:paraId="3D866EA6" w14:textId="77777777" w:rsidR="002850C6" w:rsidRPr="002850C6" w:rsidRDefault="002850C6" w:rsidP="002850C6">
      <w:pPr>
        <w:pStyle w:val="Text1"/>
        <w:rPr>
          <w:noProof/>
        </w:rPr>
      </w:pPr>
      <w:r w:rsidRPr="0086652C">
        <w:rPr>
          <w:noProof/>
        </w:rPr>
        <w:t>6</w:t>
      </w:r>
      <w:r w:rsidRPr="002850C6">
        <w:rPr>
          <w:noProof/>
        </w:rPr>
        <w:t>. Un État membre ou l’Agence qui met en place un bac à sable réglementaire notifie immédiatement aux autres États membres et à l’Agence la création de ce bac à sable. Cette notification contient tous les éléments énumérés au paragraphe </w:t>
      </w:r>
      <w:r w:rsidRPr="0086652C">
        <w:rPr>
          <w:noProof/>
        </w:rPr>
        <w:t>3</w:t>
      </w:r>
      <w:r w:rsidRPr="002850C6">
        <w:rPr>
          <w:noProof/>
        </w:rPr>
        <w:t>.</w:t>
      </w:r>
    </w:p>
    <w:p w14:paraId="694FA7D3" w14:textId="77777777" w:rsidR="002850C6" w:rsidRPr="002850C6" w:rsidRDefault="002850C6" w:rsidP="002850C6">
      <w:pPr>
        <w:pStyle w:val="Text1"/>
        <w:rPr>
          <w:noProof/>
        </w:rPr>
      </w:pPr>
      <w:r w:rsidRPr="0086652C">
        <w:rPr>
          <w:noProof/>
        </w:rPr>
        <w:t>7</w:t>
      </w:r>
      <w:r w:rsidRPr="002850C6">
        <w:rPr>
          <w:noProof/>
        </w:rPr>
        <w:t>. La mise en place d’un bac à sable réglementaire n’affecte pas les pouvoirs de surveillance ou de correction des autorités compétentes chargées de la surveillance du bac à sable. Les autorités nationales compétentes et l’Agence ont le pouvoir de suspendre ou de mettre fin au processus de test ou à la participation au bac à sable si aucune atténuation effective n’est possible. Elles informent l’Agence et les États membres des décisions prises à cet effet au moyen du répertoire établi en application de l’article </w:t>
      </w:r>
      <w:r w:rsidRPr="0086652C">
        <w:rPr>
          <w:noProof/>
        </w:rPr>
        <w:t>74</w:t>
      </w:r>
      <w:r w:rsidRPr="002850C6">
        <w:rPr>
          <w:noProof/>
        </w:rPr>
        <w:t>.</w:t>
      </w:r>
    </w:p>
    <w:p w14:paraId="2FE63B78" w14:textId="77777777" w:rsidR="002850C6" w:rsidRPr="002850C6" w:rsidRDefault="002850C6" w:rsidP="002850C6">
      <w:pPr>
        <w:pStyle w:val="Text1"/>
        <w:rPr>
          <w:noProof/>
        </w:rPr>
      </w:pPr>
      <w:r w:rsidRPr="0086652C">
        <w:rPr>
          <w:noProof/>
        </w:rPr>
        <w:t>8</w:t>
      </w:r>
      <w:r w:rsidRPr="002850C6">
        <w:rPr>
          <w:noProof/>
        </w:rPr>
        <w:t>. Lorsque le bac à sable réglementaire a pris fin, un rapport conjoint est élaboré par l’organisation et l’État membre concerné ou l’Agence. Le rapport détaille les activités menées, les résultats obtenus et les acquis d’apprentissage réglementaire. Les organisations peuvent utiliser ce rapport pour démontrer le respect du présent règlement ainsi que des actes délégués et des actes d’exécution adoptés sur la base de celui-ci. L’Agence inclut ce rapport dans le répertoire établi en application de l’article </w:t>
      </w:r>
      <w:r w:rsidRPr="0086652C">
        <w:rPr>
          <w:noProof/>
        </w:rPr>
        <w:t>74</w:t>
      </w:r>
      <w:r w:rsidRPr="002850C6">
        <w:rPr>
          <w:noProof/>
        </w:rPr>
        <w:t>.</w:t>
      </w:r>
    </w:p>
    <w:p w14:paraId="2E844110" w14:textId="77777777" w:rsidR="002850C6" w:rsidRPr="002850C6" w:rsidRDefault="002850C6" w:rsidP="002850C6">
      <w:pPr>
        <w:pStyle w:val="Text1"/>
        <w:rPr>
          <w:noProof/>
        </w:rPr>
      </w:pPr>
      <w:r w:rsidRPr="0086652C">
        <w:rPr>
          <w:noProof/>
        </w:rPr>
        <w:t>9</w:t>
      </w:r>
      <w:r w:rsidRPr="002850C6">
        <w:rPr>
          <w:noProof/>
        </w:rPr>
        <w:t>. Les États membres et l’Agence coordonnent leurs activités de bac à sable réglementaire et échangent les bonnes pratiques.</w:t>
      </w:r>
    </w:p>
    <w:p w14:paraId="22C0CDD1" w14:textId="77777777" w:rsidR="002850C6" w:rsidRPr="002850C6" w:rsidRDefault="002850C6" w:rsidP="002850C6">
      <w:pPr>
        <w:pStyle w:val="Text1"/>
        <w:rPr>
          <w:noProof/>
        </w:rPr>
      </w:pPr>
      <w:r w:rsidRPr="0086652C">
        <w:rPr>
          <w:noProof/>
        </w:rPr>
        <w:t>10</w:t>
      </w:r>
      <w:r w:rsidRPr="002850C6">
        <w:rPr>
          <w:noProof/>
        </w:rPr>
        <w:t>. Les organisations participant à un bac à sable réglementaire demeurent responsables, en vertu du droit de l’Union et du droit national applicables, de tout préjudice infligé à des tiers en raison de l’expérimentation menée dans le bac à sable. Toutefois, à condition que l’organisation respecte le plan du bac à sable ainsi que ses modalités et conditions, et qu’elle suive de bonne foi les orientations fournies par l’État membre ou l’Agence, aucune amende administrative n’est infligée et aucune mesure n’est prise à l’égard des certificats existants en raison de la violation du présent règlement ainsi que des actes délégués et des actes d’exécution adoptés sur la base de celui-ci.</w:t>
      </w:r>
    </w:p>
    <w:p w14:paraId="59A49DF2" w14:textId="77777777" w:rsidR="002850C6" w:rsidRPr="002850C6" w:rsidRDefault="002850C6" w:rsidP="002850C6">
      <w:pPr>
        <w:pStyle w:val="Text1"/>
        <w:rPr>
          <w:noProof/>
        </w:rPr>
      </w:pPr>
      <w:r w:rsidRPr="0086652C">
        <w:rPr>
          <w:noProof/>
        </w:rPr>
        <w:t>11</w:t>
      </w:r>
      <w:r w:rsidRPr="002850C6">
        <w:rPr>
          <w:noProof/>
        </w:rPr>
        <w:t>. Afin de soutenir la mise en œuvre du présent article, l’Agence adopte, conformément à l’article </w:t>
      </w:r>
      <w:r w:rsidRPr="0086652C">
        <w:rPr>
          <w:noProof/>
        </w:rPr>
        <w:t>115</w:t>
      </w:r>
      <w:r w:rsidRPr="002850C6">
        <w:rPr>
          <w:noProof/>
        </w:rPr>
        <w:t>, des orientations sur la mise en place et le fonctionnement des bacs à sable réglementaires. Ces orientations comprennent, au minimum, des principes et procédures communs sur les éléments suivants:</w:t>
      </w:r>
    </w:p>
    <w:p w14:paraId="1B4C30A5" w14:textId="77777777" w:rsidR="002850C6" w:rsidRPr="002850C6" w:rsidRDefault="002850C6" w:rsidP="002850C6">
      <w:pPr>
        <w:pStyle w:val="Point1"/>
        <w:rPr>
          <w:noProof/>
        </w:rPr>
      </w:pPr>
      <w:r w:rsidRPr="002850C6">
        <w:rPr>
          <w:noProof/>
        </w:rPr>
        <w:t>a)</w:t>
      </w:r>
      <w:r w:rsidRPr="002850C6">
        <w:rPr>
          <w:noProof/>
        </w:rPr>
        <w:tab/>
        <w:t>les critères d’éligibilité et de sélection pour la participation aux bacs à sable réglementaires;</w:t>
      </w:r>
    </w:p>
    <w:p w14:paraId="54F2FAB7" w14:textId="77777777" w:rsidR="002850C6" w:rsidRPr="002850C6" w:rsidRDefault="002850C6" w:rsidP="002850C6">
      <w:pPr>
        <w:pStyle w:val="Point1"/>
        <w:rPr>
          <w:noProof/>
        </w:rPr>
      </w:pPr>
      <w:r w:rsidRPr="002850C6">
        <w:rPr>
          <w:noProof/>
        </w:rPr>
        <w:t>b)</w:t>
      </w:r>
      <w:r w:rsidRPr="002850C6">
        <w:rPr>
          <w:noProof/>
        </w:rPr>
        <w:tab/>
        <w:t>la demande, la surveillance, la sortie et la suppression des bacs à sable réglementaires, ainsi que la participation à ceux-ci, y compris le plan des bacs à sable et le rapport conjoint;</w:t>
      </w:r>
    </w:p>
    <w:p w14:paraId="088910FB" w14:textId="77777777" w:rsidR="002850C6" w:rsidRPr="002850C6" w:rsidRDefault="002850C6" w:rsidP="002850C6">
      <w:pPr>
        <w:pStyle w:val="Point1"/>
        <w:rPr>
          <w:noProof/>
        </w:rPr>
      </w:pPr>
      <w:r w:rsidRPr="002850C6">
        <w:rPr>
          <w:noProof/>
        </w:rPr>
        <w:t>c)</w:t>
      </w:r>
      <w:r w:rsidRPr="002850C6">
        <w:rPr>
          <w:noProof/>
        </w:rPr>
        <w:tab/>
        <w:t>les conditions applicables aux participants.»;</w:t>
      </w:r>
    </w:p>
    <w:p w14:paraId="0D5D2023" w14:textId="77777777" w:rsidR="002850C6" w:rsidRPr="002850C6" w:rsidRDefault="002850C6" w:rsidP="002850C6">
      <w:pPr>
        <w:pStyle w:val="ManualNumPar1"/>
        <w:rPr>
          <w:noProof/>
        </w:rPr>
      </w:pPr>
      <w:r w:rsidRPr="0086652C">
        <w:rPr>
          <w:noProof/>
        </w:rPr>
        <w:t>6</w:t>
      </w:r>
      <w:r w:rsidRPr="002850C6">
        <w:rPr>
          <w:noProof/>
        </w:rPr>
        <w:t>.</w:t>
      </w:r>
      <w:r w:rsidRPr="002850C6">
        <w:rPr>
          <w:noProof/>
        </w:rPr>
        <w:tab/>
        <w:t>à l’article </w:t>
      </w:r>
      <w:r w:rsidRPr="0086652C">
        <w:rPr>
          <w:noProof/>
        </w:rPr>
        <w:t>126</w:t>
      </w:r>
      <w:r w:rsidRPr="002850C6">
        <w:rPr>
          <w:noProof/>
        </w:rPr>
        <w:t>, paragraphe </w:t>
      </w:r>
      <w:r w:rsidRPr="0086652C">
        <w:rPr>
          <w:noProof/>
        </w:rPr>
        <w:t>1</w:t>
      </w:r>
      <w:r w:rsidRPr="002850C6">
        <w:rPr>
          <w:noProof/>
        </w:rPr>
        <w:t>, premier alinéa, le point suivant est ajouté:</w:t>
      </w:r>
    </w:p>
    <w:p w14:paraId="48A6A5F9" w14:textId="77777777" w:rsidR="002850C6" w:rsidRPr="002850C6" w:rsidRDefault="002850C6" w:rsidP="002850C6">
      <w:pPr>
        <w:pStyle w:val="Text1"/>
        <w:rPr>
          <w:noProof/>
        </w:rPr>
      </w:pPr>
      <w:r w:rsidRPr="002850C6">
        <w:rPr>
          <w:noProof/>
        </w:rPr>
        <w:t>«d) la mise en place, le fonctionnement et la surveillance des bacs à sable réglementaires prévus à l’article </w:t>
      </w:r>
      <w:r w:rsidRPr="0086652C">
        <w:rPr>
          <w:noProof/>
        </w:rPr>
        <w:t>86</w:t>
      </w:r>
      <w:r w:rsidRPr="002850C6">
        <w:rPr>
          <w:noProof/>
        </w:rPr>
        <w:t> </w:t>
      </w:r>
      <w:r w:rsidRPr="002850C6">
        <w:rPr>
          <w:i/>
          <w:iCs/>
          <w:noProof/>
        </w:rPr>
        <w:t>bis</w:t>
      </w:r>
      <w:r w:rsidRPr="002850C6">
        <w:rPr>
          <w:noProof/>
        </w:rPr>
        <w:t>.».</w:t>
      </w:r>
    </w:p>
    <w:p w14:paraId="3C3A1155" w14:textId="77777777" w:rsidR="002850C6" w:rsidRPr="002850C6" w:rsidRDefault="002850C6" w:rsidP="002850C6">
      <w:pPr>
        <w:rPr>
          <w:noProof/>
        </w:rPr>
      </w:pPr>
    </w:p>
    <w:p w14:paraId="1AB7B57C" w14:textId="77777777" w:rsidR="002850C6" w:rsidRPr="002850C6" w:rsidRDefault="002850C6" w:rsidP="002850C6">
      <w:pPr>
        <w:pStyle w:val="ChapterTitle"/>
        <w:rPr>
          <w:noProof/>
        </w:rPr>
      </w:pPr>
      <w:r w:rsidRPr="002850C6">
        <w:rPr>
          <w:noProof/>
        </w:rPr>
        <w:t xml:space="preserve">Chapitre VII </w:t>
      </w:r>
      <w:r w:rsidRPr="002850C6">
        <w:rPr>
          <w:noProof/>
        </w:rPr>
        <w:cr/>
      </w:r>
      <w:r w:rsidRPr="002850C6">
        <w:rPr>
          <w:noProof/>
        </w:rPr>
        <w:br/>
        <w:t>Dispositions finales</w:t>
      </w:r>
    </w:p>
    <w:p w14:paraId="14BA1417" w14:textId="77777777" w:rsidR="002850C6" w:rsidRPr="002850C6" w:rsidRDefault="002850C6" w:rsidP="002850C6">
      <w:pPr>
        <w:pStyle w:val="Titrearticle"/>
        <w:rPr>
          <w:noProof/>
        </w:rPr>
      </w:pPr>
      <w:r w:rsidRPr="002850C6">
        <w:rPr>
          <w:noProof/>
        </w:rPr>
        <w:t>Article </w:t>
      </w:r>
      <w:r w:rsidRPr="0086652C">
        <w:rPr>
          <w:noProof/>
        </w:rPr>
        <w:t>50</w:t>
      </w:r>
    </w:p>
    <w:p w14:paraId="41A1791E" w14:textId="77777777" w:rsidR="002850C6" w:rsidRPr="002850C6" w:rsidRDefault="002850C6" w:rsidP="002850C6">
      <w:pPr>
        <w:pStyle w:val="NormalCentered"/>
        <w:rPr>
          <w:b/>
          <w:bCs/>
          <w:noProof/>
        </w:rPr>
      </w:pPr>
      <w:r w:rsidRPr="002850C6">
        <w:rPr>
          <w:b/>
          <w:noProof/>
        </w:rPr>
        <w:t>Règles de confidentialité et de sécurité relatives à la protection des informations reçues</w:t>
      </w:r>
    </w:p>
    <w:p w14:paraId="6AB047AA"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Les informations reçues en application du présent règlement ne sont utilisées qu’aux fins pour lesquelles elles ont été demandées.</w:t>
      </w:r>
    </w:p>
    <w:p w14:paraId="07BA47D0"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et la Commission assurent la protection appropriée des secrets d’affaires et d’autres informations sensibles et confidentielles obtenues et produites en application du présent règlement conformément au droit de l’Union et aux droits nationaux.</w:t>
      </w:r>
    </w:p>
    <w:p w14:paraId="10619E21" w14:textId="77777777" w:rsidR="002850C6" w:rsidRPr="002850C6" w:rsidRDefault="002850C6" w:rsidP="002850C6">
      <w:pPr>
        <w:pStyle w:val="ManualNumPar1"/>
        <w:rPr>
          <w:noProof/>
        </w:rPr>
      </w:pPr>
      <w:r w:rsidRPr="0086652C">
        <w:rPr>
          <w:noProof/>
        </w:rPr>
        <w:t>3</w:t>
      </w:r>
      <w:r w:rsidRPr="002850C6">
        <w:rPr>
          <w:noProof/>
        </w:rPr>
        <w:t>.</w:t>
      </w:r>
      <w:r w:rsidRPr="002850C6">
        <w:rPr>
          <w:noProof/>
        </w:rPr>
        <w:tab/>
        <w:t>La Commission ne communique aucune des informations qu’elle a reçues en vertu du présent règlement d’une manière pouvant conduire à l’identification d’un opérateur économique individuel lorsque le partage des informations entraînerait pour ledit opérateur une atteinte potentielle à sa réputation, un préjudice commercial potentiel ou la divulgation de secrets d’affaires.</w:t>
      </w:r>
    </w:p>
    <w:p w14:paraId="0BFC07DF" w14:textId="77777777" w:rsidR="002850C6" w:rsidRPr="002850C6" w:rsidRDefault="002850C6" w:rsidP="002850C6">
      <w:pPr>
        <w:pStyle w:val="ManualNumPar1"/>
        <w:rPr>
          <w:noProof/>
        </w:rPr>
      </w:pPr>
      <w:r w:rsidRPr="0086652C">
        <w:rPr>
          <w:noProof/>
        </w:rPr>
        <w:t>4</w:t>
      </w:r>
      <w:r w:rsidRPr="002850C6">
        <w:rPr>
          <w:noProof/>
        </w:rPr>
        <w:t>.</w:t>
      </w:r>
      <w:r w:rsidRPr="002850C6">
        <w:rPr>
          <w:noProof/>
        </w:rPr>
        <w:tab/>
        <w:t>Les États membres et la Commission veillent à ce que les informations classifiées fournies ou échangées au titre du présent règlement ne soient pas déclassées ou déclassifiées sans le consentement préalable écrit de l’autorité à l’origine de ces informations.</w:t>
      </w:r>
    </w:p>
    <w:p w14:paraId="5EC6AC1C" w14:textId="77777777" w:rsidR="002850C6" w:rsidRPr="002850C6" w:rsidRDefault="002850C6" w:rsidP="002850C6">
      <w:pPr>
        <w:pStyle w:val="Titrearticle"/>
        <w:rPr>
          <w:noProof/>
        </w:rPr>
      </w:pPr>
      <w:r w:rsidRPr="002850C6">
        <w:rPr>
          <w:noProof/>
        </w:rPr>
        <w:t>Article </w:t>
      </w:r>
      <w:r w:rsidRPr="0086652C">
        <w:rPr>
          <w:noProof/>
        </w:rPr>
        <w:t>51</w:t>
      </w:r>
    </w:p>
    <w:p w14:paraId="06C58D8F" w14:textId="77777777" w:rsidR="002850C6" w:rsidRPr="002850C6" w:rsidRDefault="002850C6" w:rsidP="002850C6">
      <w:pPr>
        <w:pStyle w:val="NormalCentered"/>
        <w:rPr>
          <w:b/>
          <w:bCs/>
          <w:noProof/>
        </w:rPr>
      </w:pPr>
      <w:r w:rsidRPr="002850C6">
        <w:rPr>
          <w:b/>
          <w:noProof/>
        </w:rPr>
        <w:t>Protection des données à caractère personnel</w:t>
      </w:r>
    </w:p>
    <w:p w14:paraId="63D46331" w14:textId="77777777" w:rsidR="002850C6" w:rsidRPr="002850C6" w:rsidRDefault="002850C6" w:rsidP="002850C6">
      <w:pPr>
        <w:pStyle w:val="ManualNumPar1"/>
        <w:rPr>
          <w:noProof/>
        </w:rPr>
      </w:pPr>
      <w:r w:rsidRPr="0086652C">
        <w:rPr>
          <w:noProof/>
        </w:rPr>
        <w:t>1</w:t>
      </w:r>
      <w:r w:rsidRPr="002850C6">
        <w:rPr>
          <w:noProof/>
        </w:rPr>
        <w:t>.</w:t>
      </w:r>
      <w:r w:rsidRPr="002850C6">
        <w:rPr>
          <w:noProof/>
        </w:rPr>
        <w:tab/>
        <w:t xml:space="preserve">Le présent règlement s’entend sans préjudice des obligations des États membres relatives au traitement des données à caractère personnel, notamment en vertu du règlement (UE) </w:t>
      </w:r>
      <w:r w:rsidRPr="0086652C">
        <w:rPr>
          <w:noProof/>
        </w:rPr>
        <w:t>2016</w:t>
      </w:r>
      <w:r w:rsidRPr="002850C6">
        <w:rPr>
          <w:noProof/>
        </w:rPr>
        <w:t>/</w:t>
      </w:r>
      <w:r w:rsidRPr="0086652C">
        <w:rPr>
          <w:noProof/>
        </w:rPr>
        <w:t>679</w:t>
      </w:r>
      <w:r w:rsidRPr="002850C6">
        <w:rPr>
          <w:noProof/>
        </w:rPr>
        <w:t xml:space="preserve"> et de la directive </w:t>
      </w:r>
      <w:r w:rsidRPr="0086652C">
        <w:rPr>
          <w:noProof/>
        </w:rPr>
        <w:t>2002</w:t>
      </w:r>
      <w:r w:rsidRPr="002850C6">
        <w:rPr>
          <w:noProof/>
        </w:rPr>
        <w:t>/</w:t>
      </w:r>
      <w:r w:rsidRPr="0086652C">
        <w:rPr>
          <w:noProof/>
        </w:rPr>
        <w:t>58</w:t>
      </w:r>
      <w:r w:rsidRPr="002850C6">
        <w:rPr>
          <w:noProof/>
        </w:rPr>
        <w:t xml:space="preserve">/CE, ou des obligations de la Commission et, le cas échéant, des autres institutions, organes et organismes de l’Union, relatives au traitement des données à caractère personnel, en particulier en vertu du règlement (UE) </w:t>
      </w:r>
      <w:r w:rsidRPr="0086652C">
        <w:rPr>
          <w:noProof/>
        </w:rPr>
        <w:t>2018</w:t>
      </w:r>
      <w:r w:rsidRPr="002850C6">
        <w:rPr>
          <w:noProof/>
        </w:rPr>
        <w:t>/</w:t>
      </w:r>
      <w:r w:rsidRPr="0086652C">
        <w:rPr>
          <w:noProof/>
        </w:rPr>
        <w:t>1725</w:t>
      </w:r>
      <w:r w:rsidRPr="002850C6">
        <w:rPr>
          <w:noProof/>
        </w:rPr>
        <w:t>, dans l’exercice de leurs responsabilités.</w:t>
      </w:r>
    </w:p>
    <w:p w14:paraId="65EE2A23" w14:textId="77777777" w:rsidR="002850C6" w:rsidRPr="002850C6" w:rsidRDefault="002850C6" w:rsidP="002850C6">
      <w:pPr>
        <w:pStyle w:val="ManualNumPar1"/>
        <w:rPr>
          <w:noProof/>
        </w:rPr>
      </w:pPr>
      <w:r w:rsidRPr="0086652C">
        <w:rPr>
          <w:noProof/>
        </w:rPr>
        <w:t>2</w:t>
      </w:r>
      <w:r w:rsidRPr="002850C6">
        <w:rPr>
          <w:noProof/>
        </w:rPr>
        <w:t>.</w:t>
      </w:r>
      <w:r w:rsidRPr="002850C6">
        <w:rPr>
          <w:noProof/>
        </w:rPr>
        <w:tab/>
        <w:t>Les États membres, la Commission et, le cas échéant, d’autres institutions, organes et organismes de l’Union peuvent traiter des données à caractère personnel lorsque cela est nécessaire pour se conformer aux obligations prévues par le présent règlement ou lorsque cela est nécessaire à l’exercice de l’autorité publique ou à des missions d’intérêt public qui leur sont confiées par le présent règlement.</w:t>
      </w:r>
    </w:p>
    <w:p w14:paraId="7CD36AA9" w14:textId="77777777" w:rsidR="002850C6" w:rsidRPr="002850C6" w:rsidRDefault="002850C6" w:rsidP="002850C6">
      <w:pPr>
        <w:pStyle w:val="Titrearticle"/>
        <w:rPr>
          <w:noProof/>
        </w:rPr>
      </w:pPr>
      <w:r w:rsidRPr="002850C6">
        <w:rPr>
          <w:noProof/>
        </w:rPr>
        <w:t>Article </w:t>
      </w:r>
      <w:r w:rsidRPr="0086652C">
        <w:rPr>
          <w:noProof/>
        </w:rPr>
        <w:t>52</w:t>
      </w:r>
    </w:p>
    <w:p w14:paraId="55AFCF74" w14:textId="77777777" w:rsidR="002850C6" w:rsidRPr="002850C6" w:rsidRDefault="002850C6" w:rsidP="002850C6">
      <w:pPr>
        <w:pStyle w:val="NormalCentered"/>
        <w:rPr>
          <w:noProof/>
        </w:rPr>
      </w:pPr>
      <w:r w:rsidRPr="002850C6">
        <w:rPr>
          <w:b/>
          <w:noProof/>
        </w:rPr>
        <w:t>Évaluation</w:t>
      </w:r>
    </w:p>
    <w:p w14:paraId="54B66AEF" w14:textId="77777777" w:rsidR="002850C6" w:rsidRPr="002850C6" w:rsidRDefault="002850C6" w:rsidP="002850C6">
      <w:pPr>
        <w:rPr>
          <w:noProof/>
        </w:rPr>
      </w:pPr>
      <w:r w:rsidRPr="002850C6">
        <w:rPr>
          <w:noProof/>
        </w:rPr>
        <w:t>La Commission évalue l’application du présent règlement et présente un rapport au Parlement européen et au Conseil à ce sujet au plus tard le [trois ans après l’entrée en vigueur du présent règlement]. Le rapport d’évaluation s’appuie sur les consultations des États membres et des principales parties prenantes.</w:t>
      </w:r>
    </w:p>
    <w:p w14:paraId="75312BD6" w14:textId="77777777" w:rsidR="002850C6" w:rsidRPr="002850C6" w:rsidRDefault="002850C6" w:rsidP="002850C6">
      <w:pPr>
        <w:pStyle w:val="Titrearticle"/>
        <w:rPr>
          <w:noProof/>
        </w:rPr>
      </w:pPr>
      <w:r w:rsidRPr="002850C6">
        <w:rPr>
          <w:noProof/>
        </w:rPr>
        <w:t>Article </w:t>
      </w:r>
      <w:r w:rsidRPr="0086652C">
        <w:rPr>
          <w:noProof/>
        </w:rPr>
        <w:t>53</w:t>
      </w:r>
    </w:p>
    <w:p w14:paraId="7A6BA8D9" w14:textId="77777777" w:rsidR="002850C6" w:rsidRPr="002850C6" w:rsidRDefault="002850C6" w:rsidP="002850C6">
      <w:pPr>
        <w:pStyle w:val="NormalCentered"/>
        <w:rPr>
          <w:noProof/>
        </w:rPr>
      </w:pPr>
      <w:r w:rsidRPr="002850C6">
        <w:rPr>
          <w:b/>
          <w:noProof/>
        </w:rPr>
        <w:t>Entrée en vigueur</w:t>
      </w:r>
    </w:p>
    <w:p w14:paraId="0F3993A2" w14:textId="77777777" w:rsidR="002850C6" w:rsidRPr="002850C6" w:rsidRDefault="002850C6" w:rsidP="002850C6">
      <w:pPr>
        <w:rPr>
          <w:noProof/>
        </w:rPr>
      </w:pPr>
      <w:r w:rsidRPr="002850C6">
        <w:rPr>
          <w:noProof/>
        </w:rPr>
        <w:t xml:space="preserve">Le présent règlement entre en vigueur le vingtième jour suivant celui de sa publication au </w:t>
      </w:r>
      <w:r w:rsidRPr="002850C6">
        <w:rPr>
          <w:i/>
          <w:noProof/>
        </w:rPr>
        <w:t>Journal officiel de l’Union européenne</w:t>
      </w:r>
      <w:r w:rsidRPr="002850C6">
        <w:rPr>
          <w:noProof/>
        </w:rPr>
        <w:t>.</w:t>
      </w:r>
    </w:p>
    <w:p w14:paraId="2EE158A3" w14:textId="77777777" w:rsidR="002850C6" w:rsidRPr="002850C6" w:rsidRDefault="002850C6" w:rsidP="002850C6">
      <w:pPr>
        <w:pStyle w:val="Applicationdirecte"/>
        <w:rPr>
          <w:noProof/>
        </w:rPr>
      </w:pPr>
      <w:r w:rsidRPr="002850C6">
        <w:rPr>
          <w:noProof/>
        </w:rPr>
        <w:t>Le présent règlement est obligatoire dans tous ses éléments et directement applicable dans tout État membre.</w:t>
      </w:r>
    </w:p>
    <w:p w14:paraId="16123431" w14:textId="77777777" w:rsidR="002850C6" w:rsidRPr="002850C6" w:rsidRDefault="00784C74" w:rsidP="004F6A7A">
      <w:pPr>
        <w:pStyle w:val="Fait"/>
        <w:rPr>
          <w:noProof/>
        </w:rPr>
      </w:pPr>
      <w:r>
        <w:rPr>
          <w:noProof/>
        </w:rPr>
        <w:t>Fait à Bruxelles, le</w:t>
      </w:r>
    </w:p>
    <w:p w14:paraId="53690082" w14:textId="77777777" w:rsidR="002850C6" w:rsidRPr="002850C6" w:rsidRDefault="002850C6" w:rsidP="004F6A7A">
      <w:pPr>
        <w:pStyle w:val="Institutionquisigne"/>
        <w:rPr>
          <w:noProof/>
        </w:rPr>
      </w:pPr>
      <w:r w:rsidRPr="002850C6">
        <w:rPr>
          <w:noProof/>
        </w:rPr>
        <w:t>Par le Parlement européen</w:t>
      </w:r>
      <w:r w:rsidRPr="002850C6">
        <w:rPr>
          <w:noProof/>
        </w:rPr>
        <w:tab/>
        <w:t>Par le Conseil</w:t>
      </w:r>
    </w:p>
    <w:p w14:paraId="7E456AB7" w14:textId="77777777" w:rsidR="002850C6" w:rsidRPr="002850C6" w:rsidRDefault="002850C6" w:rsidP="004F6A7A">
      <w:pPr>
        <w:pStyle w:val="Personnequisigne"/>
        <w:keepNext/>
        <w:rPr>
          <w:noProof/>
        </w:rPr>
      </w:pPr>
      <w:r w:rsidRPr="002850C6">
        <w:rPr>
          <w:noProof/>
        </w:rPr>
        <w:t>La présidente</w:t>
      </w:r>
      <w:r w:rsidRPr="002850C6">
        <w:rPr>
          <w:noProof/>
        </w:rPr>
        <w:tab/>
        <w:t>Le président/La présidente</w:t>
      </w:r>
      <w:bookmarkStart w:id="31" w:name="_Hlk219389842"/>
    </w:p>
    <w:bookmarkEnd w:id="31"/>
    <w:p w14:paraId="481BF979" w14:textId="77777777" w:rsidR="00D203ED" w:rsidRPr="00D203ED" w:rsidRDefault="002850C6" w:rsidP="002850C6">
      <w:pPr>
        <w:pStyle w:val="Personnequisigne"/>
        <w:rPr>
          <w:noProof/>
        </w:rPr>
      </w:pPr>
      <w:r w:rsidRPr="002850C6">
        <w:rPr>
          <w:noProof/>
        </w:rPr>
        <w:t>[...]</w:t>
      </w:r>
      <w:r w:rsidRPr="002850C6">
        <w:rPr>
          <w:noProof/>
        </w:rPr>
        <w:tab/>
        <w:t>[...]</w:t>
      </w:r>
    </w:p>
    <w:p w14:paraId="743E6EB2" w14:textId="77777777" w:rsidR="00D203ED" w:rsidRPr="00D203ED" w:rsidRDefault="00D203ED" w:rsidP="00D203ED">
      <w:pPr>
        <w:rPr>
          <w:noProof/>
        </w:rPr>
        <w:sectPr w:rsidR="00D203ED" w:rsidRPr="00D203ED" w:rsidSect="003A339D">
          <w:headerReference w:type="even" r:id="rId11"/>
          <w:footerReference w:type="even" r:id="rId12"/>
          <w:footerReference w:type="default" r:id="rId13"/>
          <w:headerReference w:type="first" r:id="rId14"/>
          <w:footerReference w:type="first" r:id="rId15"/>
          <w:pgSz w:w="11907" w:h="16840" w:code="9"/>
          <w:pgMar w:top="1134" w:right="1418" w:bottom="1134" w:left="1418" w:header="709" w:footer="709" w:gutter="0"/>
          <w:pgNumType w:start="1"/>
          <w:cols w:space="720"/>
          <w:docGrid w:linePitch="360"/>
        </w:sectPr>
      </w:pPr>
    </w:p>
    <w:p w14:paraId="1A299768" w14:textId="77777777" w:rsidR="002850C6" w:rsidRPr="002850C6" w:rsidRDefault="002850C6" w:rsidP="009B03F8">
      <w:pPr>
        <w:pStyle w:val="Fichefinanciretitre"/>
        <w:rPr>
          <w:noProof/>
        </w:rPr>
      </w:pPr>
      <w:bookmarkStart w:id="32" w:name="_Toc213612564"/>
      <w:r w:rsidRPr="002850C6">
        <w:rPr>
          <w:noProof/>
        </w:rPr>
        <w:t>FICHE FINANCIÈRE ET NUMÉRIQUE LÉGISLATIVE - AGENCES</w:t>
      </w:r>
      <w:bookmarkEnd w:id="32"/>
    </w:p>
    <w:sdt>
      <w:sdtPr>
        <w:rPr>
          <w:noProof/>
        </w:rPr>
        <w:id w:val="-722060658"/>
        <w:docPartObj>
          <w:docPartGallery w:val="Table of Contents"/>
          <w:docPartUnique/>
        </w:docPartObj>
      </w:sdtPr>
      <w:sdtEndPr>
        <w:rPr>
          <w:color w:val="000000" w:themeColor="text1"/>
        </w:rPr>
      </w:sdtEndPr>
      <w:sdtContent>
        <w:p w14:paraId="48A22442" w14:textId="77777777" w:rsidR="002850C6" w:rsidRPr="002850C6" w:rsidRDefault="002850C6" w:rsidP="002850C6">
          <w:pPr>
            <w:rPr>
              <w:noProof/>
            </w:rPr>
          </w:pPr>
        </w:p>
        <w:p w14:paraId="0F55C9A7" w14:textId="77777777" w:rsidR="002850C6" w:rsidRPr="002850C6" w:rsidRDefault="002850C6" w:rsidP="002850C6">
          <w:pPr>
            <w:tabs>
              <w:tab w:val="right" w:leader="dot" w:pos="9071"/>
            </w:tabs>
            <w:spacing w:before="60"/>
            <w:ind w:left="850" w:hanging="850"/>
            <w:jc w:val="left"/>
            <w:rPr>
              <w:rFonts w:asciiTheme="minorHAnsi" w:eastAsiaTheme="minorEastAsia" w:hAnsiTheme="minorHAnsi" w:cstheme="minorBidi"/>
              <w:noProof/>
              <w:color w:val="000000" w:themeColor="text1"/>
              <w:kern w:val="2"/>
              <w:szCs w:val="24"/>
              <w14:ligatures w14:val="standardContextual"/>
            </w:rPr>
          </w:pPr>
          <w:r w:rsidRPr="002850C6">
            <w:rPr>
              <w:noProof/>
              <w:color w:val="000000" w:themeColor="text1"/>
            </w:rPr>
            <w:fldChar w:fldCharType="begin" w:fldLock="1"/>
          </w:r>
          <w:r w:rsidRPr="002850C6">
            <w:rPr>
              <w:noProof/>
              <w:color w:val="000000" w:themeColor="text1"/>
            </w:rPr>
            <w:instrText xml:space="preserve"> TOC \o "1-3" \h \z \u </w:instrText>
          </w:r>
          <w:r w:rsidRPr="002850C6">
            <w:rPr>
              <w:noProof/>
              <w:color w:val="000000" w:themeColor="text1"/>
            </w:rPr>
            <w:fldChar w:fldCharType="separate"/>
          </w:r>
          <w:hyperlink w:anchor="_Toc213612544" w:history="1">
            <w:r w:rsidRPr="002850C6">
              <w:rPr>
                <w:noProof/>
                <w:color w:val="000000" w:themeColor="text1"/>
                <w:u w:val="single"/>
              </w:rPr>
              <w:t>1.</w:t>
            </w:r>
            <w:r w:rsidRPr="002850C6">
              <w:rPr>
                <w:noProof/>
              </w:rPr>
              <w:tab/>
            </w:r>
            <w:r w:rsidRPr="002850C6">
              <w:rPr>
                <w:noProof/>
                <w:color w:val="000000" w:themeColor="text1"/>
                <w:u w:val="single"/>
              </w:rPr>
              <w:t>CONTEXT OF THE PROPOSAL</w:t>
            </w:r>
            <w:r w:rsidRPr="002850C6">
              <w:rPr>
                <w:noProof/>
              </w:rPr>
              <w:tab/>
            </w:r>
            <w:r w:rsidRPr="002850C6">
              <w:rPr>
                <w:noProof/>
                <w:webHidden/>
                <w:color w:val="000000" w:themeColor="text1"/>
              </w:rPr>
              <w:fldChar w:fldCharType="begin" w:fldLock="1"/>
            </w:r>
            <w:r w:rsidRPr="002850C6">
              <w:rPr>
                <w:noProof/>
                <w:webHidden/>
                <w:color w:val="000000" w:themeColor="text1"/>
              </w:rPr>
              <w:instrText xml:space="preserve"> PAGEREF _Toc213612544 \h </w:instrText>
            </w:r>
            <w:r w:rsidRPr="002850C6">
              <w:rPr>
                <w:noProof/>
                <w:webHidden/>
                <w:color w:val="000000" w:themeColor="text1"/>
              </w:rPr>
            </w:r>
            <w:r w:rsidRPr="002850C6">
              <w:rPr>
                <w:noProof/>
                <w:webHidden/>
                <w:color w:val="000000" w:themeColor="text1"/>
              </w:rPr>
              <w:fldChar w:fldCharType="separate"/>
            </w:r>
            <w:r w:rsidRPr="002850C6">
              <w:rPr>
                <w:noProof/>
                <w:webHidden/>
                <w:color w:val="000000" w:themeColor="text1"/>
              </w:rPr>
              <w:t>1</w:t>
            </w:r>
            <w:r w:rsidRPr="002850C6">
              <w:rPr>
                <w:noProof/>
                <w:webHidden/>
                <w:color w:val="000000" w:themeColor="text1"/>
              </w:rPr>
              <w:fldChar w:fldCharType="end"/>
            </w:r>
          </w:hyperlink>
        </w:p>
        <w:p w14:paraId="6925BEB1"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45"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Reasons for and objectives of the proposal</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_Toc213612545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w:t>
            </w:r>
            <w:r w:rsidR="002850C6" w:rsidRPr="002850C6">
              <w:rPr>
                <w:noProof/>
                <w:webHidden/>
                <w:color w:val="000000" w:themeColor="text1"/>
              </w:rPr>
              <w:fldChar w:fldCharType="end"/>
            </w:r>
          </w:hyperlink>
        </w:p>
        <w:p w14:paraId="681180E3"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46"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Consistency with existing policy provisions in the policy area</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_Toc213612546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w:t>
            </w:r>
            <w:r w:rsidR="002850C6" w:rsidRPr="002850C6">
              <w:rPr>
                <w:noProof/>
                <w:webHidden/>
                <w:color w:val="000000" w:themeColor="text1"/>
              </w:rPr>
              <w:fldChar w:fldCharType="end"/>
            </w:r>
          </w:hyperlink>
        </w:p>
        <w:p w14:paraId="028A7696"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47"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Consistency with other Union policies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_Toc213612547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4</w:t>
            </w:r>
            <w:r w:rsidR="002850C6" w:rsidRPr="002850C6">
              <w:rPr>
                <w:noProof/>
                <w:webHidden/>
                <w:color w:val="000000" w:themeColor="text1"/>
              </w:rPr>
              <w:fldChar w:fldCharType="end"/>
            </w:r>
          </w:hyperlink>
        </w:p>
        <w:p w14:paraId="14F3FE1C"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48" w:history="1">
            <w:r w:rsidR="002850C6" w:rsidRPr="002850C6">
              <w:rPr>
                <w:noProof/>
                <w:color w:val="000000" w:themeColor="text1"/>
                <w:u w:val="single"/>
              </w:rPr>
              <w:t>2.</w:t>
            </w:r>
            <w:r w:rsidR="002850C6" w:rsidRPr="002850C6">
              <w:rPr>
                <w:noProof/>
              </w:rPr>
              <w:tab/>
            </w:r>
            <w:r w:rsidR="002850C6" w:rsidRPr="002850C6">
              <w:rPr>
                <w:noProof/>
                <w:color w:val="000000" w:themeColor="text1"/>
                <w:u w:val="single"/>
              </w:rPr>
              <w:t>LEGAL BASIS, SUBSIDIARITY AND PROPORTIONALITY</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_Toc213612548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5</w:t>
            </w:r>
            <w:r w:rsidR="002850C6" w:rsidRPr="002850C6">
              <w:rPr>
                <w:noProof/>
                <w:webHidden/>
                <w:color w:val="000000" w:themeColor="text1"/>
              </w:rPr>
              <w:fldChar w:fldCharType="end"/>
            </w:r>
          </w:hyperlink>
        </w:p>
        <w:p w14:paraId="6F6832B1"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49"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Legal basis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_Toc213612549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5</w:t>
            </w:r>
            <w:r w:rsidR="002850C6" w:rsidRPr="002850C6">
              <w:rPr>
                <w:noProof/>
                <w:webHidden/>
                <w:color w:val="000000" w:themeColor="text1"/>
              </w:rPr>
              <w:fldChar w:fldCharType="end"/>
            </w:r>
          </w:hyperlink>
        </w:p>
        <w:p w14:paraId="0B6D9BD4"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0"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Subsidiarity (for non-exclusive competence)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_Toc213612550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5</w:t>
            </w:r>
            <w:r w:rsidR="002850C6" w:rsidRPr="002850C6">
              <w:rPr>
                <w:noProof/>
                <w:webHidden/>
                <w:color w:val="000000" w:themeColor="text1"/>
              </w:rPr>
              <w:fldChar w:fldCharType="end"/>
            </w:r>
          </w:hyperlink>
        </w:p>
        <w:p w14:paraId="06FFBA4F"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1"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Proportionality</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_Toc213612551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6</w:t>
            </w:r>
            <w:r w:rsidR="002850C6" w:rsidRPr="002850C6">
              <w:rPr>
                <w:noProof/>
                <w:webHidden/>
                <w:color w:val="000000" w:themeColor="text1"/>
              </w:rPr>
              <w:fldChar w:fldCharType="end"/>
            </w:r>
          </w:hyperlink>
        </w:p>
        <w:p w14:paraId="1B9B1536"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2"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Choice of the instrument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_Toc213612552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7</w:t>
            </w:r>
            <w:r w:rsidR="002850C6" w:rsidRPr="002850C6">
              <w:rPr>
                <w:noProof/>
                <w:webHidden/>
                <w:color w:val="000000" w:themeColor="text1"/>
              </w:rPr>
              <w:fldChar w:fldCharType="end"/>
            </w:r>
          </w:hyperlink>
        </w:p>
        <w:p w14:paraId="2789680C"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3" w:history="1">
            <w:r w:rsidR="002850C6" w:rsidRPr="002850C6">
              <w:rPr>
                <w:noProof/>
                <w:color w:val="000000" w:themeColor="text1"/>
                <w:u w:val="single"/>
              </w:rPr>
              <w:t>3.</w:t>
            </w:r>
            <w:r w:rsidR="002850C6" w:rsidRPr="002850C6">
              <w:rPr>
                <w:noProof/>
              </w:rPr>
              <w:tab/>
            </w:r>
            <w:r w:rsidR="002850C6" w:rsidRPr="002850C6">
              <w:rPr>
                <w:noProof/>
                <w:color w:val="000000" w:themeColor="text1"/>
                <w:u w:val="single"/>
              </w:rPr>
              <w:t>RESULTS OF EX-POST EVALUATIONS, STAKEHOLDER CONSULTATIONS AND IMPACT ASSESSMENTS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_Toc213612553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7</w:t>
            </w:r>
            <w:r w:rsidR="002850C6" w:rsidRPr="002850C6">
              <w:rPr>
                <w:noProof/>
                <w:webHidden/>
                <w:color w:val="000000" w:themeColor="text1"/>
              </w:rPr>
              <w:fldChar w:fldCharType="end"/>
            </w:r>
          </w:hyperlink>
        </w:p>
        <w:p w14:paraId="5D696D5F"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4"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Ex-post evaluations/fitness checks of existing legislation</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_Toc213612554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7</w:t>
            </w:r>
            <w:r w:rsidR="002850C6" w:rsidRPr="002850C6">
              <w:rPr>
                <w:noProof/>
                <w:webHidden/>
                <w:color w:val="000000" w:themeColor="text1"/>
              </w:rPr>
              <w:fldChar w:fldCharType="end"/>
            </w:r>
          </w:hyperlink>
        </w:p>
        <w:p w14:paraId="3095CD9F"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5"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Stakeholder consultations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_Toc213612555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7</w:t>
            </w:r>
            <w:r w:rsidR="002850C6" w:rsidRPr="002850C6">
              <w:rPr>
                <w:noProof/>
                <w:webHidden/>
                <w:color w:val="000000" w:themeColor="text1"/>
              </w:rPr>
              <w:fldChar w:fldCharType="end"/>
            </w:r>
          </w:hyperlink>
        </w:p>
        <w:p w14:paraId="7DFE2D1E"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6"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Collection and use of expertise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_Toc213612556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8</w:t>
            </w:r>
            <w:r w:rsidR="002850C6" w:rsidRPr="002850C6">
              <w:rPr>
                <w:noProof/>
                <w:webHidden/>
                <w:color w:val="000000" w:themeColor="text1"/>
              </w:rPr>
              <w:fldChar w:fldCharType="end"/>
            </w:r>
          </w:hyperlink>
        </w:p>
        <w:p w14:paraId="1B15C85E"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7"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Impact assessment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_Toc213612557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8</w:t>
            </w:r>
            <w:r w:rsidR="002850C6" w:rsidRPr="002850C6">
              <w:rPr>
                <w:noProof/>
                <w:webHidden/>
                <w:color w:val="000000" w:themeColor="text1"/>
              </w:rPr>
              <w:fldChar w:fldCharType="end"/>
            </w:r>
          </w:hyperlink>
        </w:p>
        <w:p w14:paraId="2DB48A5A"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8"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Regulatory fitness and simplification</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_Toc213612558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8</w:t>
            </w:r>
            <w:r w:rsidR="002850C6" w:rsidRPr="002850C6">
              <w:rPr>
                <w:noProof/>
                <w:webHidden/>
                <w:color w:val="000000" w:themeColor="text1"/>
              </w:rPr>
              <w:fldChar w:fldCharType="end"/>
            </w:r>
          </w:hyperlink>
        </w:p>
        <w:p w14:paraId="022C6E20"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59"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Fundamental rights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_Toc213612559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8</w:t>
            </w:r>
            <w:r w:rsidR="002850C6" w:rsidRPr="002850C6">
              <w:rPr>
                <w:noProof/>
                <w:webHidden/>
                <w:color w:val="000000" w:themeColor="text1"/>
              </w:rPr>
              <w:fldChar w:fldCharType="end"/>
            </w:r>
          </w:hyperlink>
        </w:p>
        <w:p w14:paraId="7D89636A"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0" w:history="1">
            <w:r w:rsidR="002850C6" w:rsidRPr="002850C6">
              <w:rPr>
                <w:noProof/>
                <w:color w:val="000000" w:themeColor="text1"/>
                <w:u w:val="single"/>
              </w:rPr>
              <w:t>4.</w:t>
            </w:r>
            <w:r w:rsidR="002850C6" w:rsidRPr="002850C6">
              <w:rPr>
                <w:noProof/>
              </w:rPr>
              <w:tab/>
            </w:r>
            <w:r w:rsidR="002850C6" w:rsidRPr="002850C6">
              <w:rPr>
                <w:noProof/>
                <w:color w:val="000000" w:themeColor="text1"/>
                <w:u w:val="single"/>
              </w:rPr>
              <w:t>BUDGETARY IMPLICATIONS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_Toc213612560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9</w:t>
            </w:r>
            <w:r w:rsidR="002850C6" w:rsidRPr="002850C6">
              <w:rPr>
                <w:noProof/>
                <w:webHidden/>
                <w:color w:val="000000" w:themeColor="text1"/>
              </w:rPr>
              <w:fldChar w:fldCharType="end"/>
            </w:r>
          </w:hyperlink>
        </w:p>
        <w:p w14:paraId="1AB7D6A5"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1" w:history="1">
            <w:r w:rsidR="002850C6" w:rsidRPr="002850C6">
              <w:rPr>
                <w:noProof/>
                <w:color w:val="000000" w:themeColor="text1"/>
                <w:u w:val="single"/>
              </w:rPr>
              <w:t>5.</w:t>
            </w:r>
            <w:r w:rsidR="002850C6" w:rsidRPr="002850C6">
              <w:rPr>
                <w:noProof/>
              </w:rPr>
              <w:tab/>
            </w:r>
            <w:r w:rsidR="002850C6" w:rsidRPr="002850C6">
              <w:rPr>
                <w:noProof/>
                <w:color w:val="000000" w:themeColor="text1"/>
                <w:u w:val="single"/>
              </w:rPr>
              <w:t>OTHER ELEMENTS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_Toc213612561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10</w:t>
            </w:r>
            <w:r w:rsidR="002850C6" w:rsidRPr="002850C6">
              <w:rPr>
                <w:noProof/>
                <w:webHidden/>
                <w:color w:val="000000" w:themeColor="text1"/>
              </w:rPr>
              <w:fldChar w:fldCharType="end"/>
            </w:r>
          </w:hyperlink>
        </w:p>
        <w:p w14:paraId="19B2292C"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2"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Implementation plans and monitoring, evaluation and reporting arrangements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_Toc213612562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10</w:t>
            </w:r>
            <w:r w:rsidR="002850C6" w:rsidRPr="002850C6">
              <w:rPr>
                <w:noProof/>
                <w:webHidden/>
                <w:color w:val="000000" w:themeColor="text1"/>
              </w:rPr>
              <w:fldChar w:fldCharType="end"/>
            </w:r>
          </w:hyperlink>
        </w:p>
        <w:p w14:paraId="62E23D6C"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3" w:history="1">
            <w:r w:rsidR="002850C6" w:rsidRPr="002850C6">
              <w:rPr>
                <w:noProof/>
                <w:color w:val="000000" w:themeColor="text1"/>
                <w:u w:val="single"/>
              </w:rPr>
              <w:t>•</w:t>
            </w:r>
            <w:r w:rsidR="002850C6" w:rsidRPr="002850C6">
              <w:rPr>
                <w:noProof/>
              </w:rPr>
              <w:tab/>
            </w:r>
            <w:r w:rsidR="002850C6" w:rsidRPr="002850C6">
              <w:rPr>
                <w:noProof/>
                <w:color w:val="000000" w:themeColor="text1"/>
                <w:u w:val="single"/>
              </w:rPr>
              <w:t>Detailed explanation of the specific provisions of the proposal</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_Toc213612563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10</w:t>
            </w:r>
            <w:r w:rsidR="002850C6" w:rsidRPr="002850C6">
              <w:rPr>
                <w:noProof/>
                <w:webHidden/>
                <w:color w:val="000000" w:themeColor="text1"/>
              </w:rPr>
              <w:fldChar w:fldCharType="end"/>
            </w:r>
          </w:hyperlink>
        </w:p>
        <w:p w14:paraId="1C5B3A2B"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4" w:history="1">
            <w:r w:rsidR="002850C6" w:rsidRPr="002850C6">
              <w:rPr>
                <w:noProof/>
                <w:color w:val="000000" w:themeColor="text1"/>
                <w:u w:val="single"/>
              </w:rPr>
              <w:t>LEGISLATIVE FINANCIAL AND DIGITAL STATEMENT - AGENCIES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_Toc213612564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w:t>
            </w:r>
            <w:r w:rsidR="002850C6" w:rsidRPr="002850C6">
              <w:rPr>
                <w:noProof/>
                <w:webHidden/>
                <w:color w:val="000000" w:themeColor="text1"/>
              </w:rPr>
              <w:fldChar w:fldCharType="end"/>
            </w:r>
          </w:hyperlink>
        </w:p>
        <w:p w14:paraId="72D3469B"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5" w:history="1">
            <w:r w:rsidR="002850C6" w:rsidRPr="002850C6">
              <w:rPr>
                <w:noProof/>
                <w:color w:val="000000" w:themeColor="text1"/>
                <w:u w:val="single"/>
              </w:rPr>
              <w:t>1.</w:t>
            </w:r>
            <w:r w:rsidR="002850C6" w:rsidRPr="002850C6">
              <w:rPr>
                <w:noProof/>
              </w:rPr>
              <w:tab/>
            </w:r>
            <w:r w:rsidR="002850C6" w:rsidRPr="002850C6">
              <w:rPr>
                <w:noProof/>
                <w:color w:val="000000" w:themeColor="text1"/>
                <w:u w:val="single"/>
              </w:rPr>
              <w:t>FRAMEWORK OF THE PROPOSAL/INITIATIVE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_Toc213612565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4</w:t>
            </w:r>
            <w:r w:rsidR="002850C6" w:rsidRPr="002850C6">
              <w:rPr>
                <w:noProof/>
                <w:webHidden/>
                <w:color w:val="000000" w:themeColor="text1"/>
              </w:rPr>
              <w:fldChar w:fldCharType="end"/>
            </w:r>
          </w:hyperlink>
        </w:p>
        <w:p w14:paraId="2E4890FC"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6" w:history="1">
            <w:r w:rsidR="002850C6" w:rsidRPr="002850C6">
              <w:rPr>
                <w:noProof/>
                <w:color w:val="000000" w:themeColor="text1"/>
                <w:u w:val="single"/>
              </w:rPr>
              <w:t>1.1.</w:t>
            </w:r>
            <w:r w:rsidR="002850C6" w:rsidRPr="002850C6">
              <w:rPr>
                <w:noProof/>
              </w:rPr>
              <w:tab/>
            </w:r>
            <w:r w:rsidR="002850C6" w:rsidRPr="002850C6">
              <w:rPr>
                <w:noProof/>
                <w:color w:val="000000" w:themeColor="text1"/>
                <w:u w:val="single"/>
              </w:rPr>
              <w:t>Title of the proposal/initiative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_Toc213612566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4</w:t>
            </w:r>
            <w:r w:rsidR="002850C6" w:rsidRPr="002850C6">
              <w:rPr>
                <w:noProof/>
                <w:webHidden/>
                <w:color w:val="000000" w:themeColor="text1"/>
              </w:rPr>
              <w:fldChar w:fldCharType="end"/>
            </w:r>
          </w:hyperlink>
        </w:p>
        <w:p w14:paraId="30EEE3F2"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7" w:history="1">
            <w:r w:rsidR="002850C6" w:rsidRPr="002850C6">
              <w:rPr>
                <w:noProof/>
                <w:color w:val="000000" w:themeColor="text1"/>
                <w:u w:val="single"/>
              </w:rPr>
              <w:t>1.2.</w:t>
            </w:r>
            <w:r w:rsidR="002850C6" w:rsidRPr="002850C6">
              <w:rPr>
                <w:noProof/>
              </w:rPr>
              <w:tab/>
            </w:r>
            <w:r w:rsidR="002850C6" w:rsidRPr="002850C6">
              <w:rPr>
                <w:noProof/>
                <w:color w:val="000000" w:themeColor="text1"/>
                <w:u w:val="single"/>
              </w:rPr>
              <w:t>Policy area(s) concerned</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_Toc213612567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4</w:t>
            </w:r>
            <w:r w:rsidR="002850C6" w:rsidRPr="002850C6">
              <w:rPr>
                <w:noProof/>
                <w:webHidden/>
                <w:color w:val="000000" w:themeColor="text1"/>
              </w:rPr>
              <w:fldChar w:fldCharType="end"/>
            </w:r>
          </w:hyperlink>
        </w:p>
        <w:p w14:paraId="57AB90EE"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8" w:history="1">
            <w:r w:rsidR="002850C6" w:rsidRPr="002850C6">
              <w:rPr>
                <w:noProof/>
                <w:color w:val="000000" w:themeColor="text1"/>
                <w:u w:val="single"/>
              </w:rPr>
              <w:t>1.3.</w:t>
            </w:r>
            <w:r w:rsidR="002850C6" w:rsidRPr="002850C6">
              <w:rPr>
                <w:noProof/>
              </w:rPr>
              <w:tab/>
            </w:r>
            <w:r w:rsidR="002850C6" w:rsidRPr="002850C6">
              <w:rPr>
                <w:noProof/>
                <w:color w:val="000000" w:themeColor="text1"/>
                <w:u w:val="single"/>
              </w:rPr>
              <w:t>Objective(s)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_Toc213612568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4</w:t>
            </w:r>
            <w:r w:rsidR="002850C6" w:rsidRPr="002850C6">
              <w:rPr>
                <w:noProof/>
                <w:webHidden/>
                <w:color w:val="000000" w:themeColor="text1"/>
              </w:rPr>
              <w:fldChar w:fldCharType="end"/>
            </w:r>
          </w:hyperlink>
        </w:p>
        <w:p w14:paraId="6BE3E861"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69" w:history="1">
            <w:r w:rsidR="002850C6" w:rsidRPr="002850C6">
              <w:rPr>
                <w:noProof/>
                <w:color w:val="000000" w:themeColor="text1"/>
                <w:u w:val="single"/>
              </w:rPr>
              <w:t>1.3.1.</w:t>
            </w:r>
            <w:r w:rsidR="002850C6" w:rsidRPr="002850C6">
              <w:rPr>
                <w:noProof/>
              </w:rPr>
              <w:tab/>
            </w:r>
            <w:r w:rsidR="002850C6" w:rsidRPr="002850C6">
              <w:rPr>
                <w:noProof/>
                <w:color w:val="000000" w:themeColor="text1"/>
                <w:u w:val="single"/>
              </w:rPr>
              <w:t>General objective(s)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_Toc213612569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4</w:t>
            </w:r>
            <w:r w:rsidR="002850C6" w:rsidRPr="002850C6">
              <w:rPr>
                <w:noProof/>
                <w:webHidden/>
                <w:color w:val="000000" w:themeColor="text1"/>
              </w:rPr>
              <w:fldChar w:fldCharType="end"/>
            </w:r>
          </w:hyperlink>
        </w:p>
        <w:p w14:paraId="2156BCFD"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0" w:history="1">
            <w:r w:rsidR="002850C6" w:rsidRPr="002850C6">
              <w:rPr>
                <w:noProof/>
                <w:color w:val="000000" w:themeColor="text1"/>
                <w:u w:val="single"/>
              </w:rPr>
              <w:t>1.3.2.</w:t>
            </w:r>
            <w:r w:rsidR="002850C6" w:rsidRPr="002850C6">
              <w:rPr>
                <w:noProof/>
              </w:rPr>
              <w:tab/>
            </w:r>
            <w:r w:rsidR="002850C6" w:rsidRPr="002850C6">
              <w:rPr>
                <w:noProof/>
                <w:color w:val="000000" w:themeColor="text1"/>
                <w:u w:val="single"/>
              </w:rPr>
              <w:t>Specific objective(s)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_Toc213612570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4</w:t>
            </w:r>
            <w:r w:rsidR="002850C6" w:rsidRPr="002850C6">
              <w:rPr>
                <w:noProof/>
                <w:webHidden/>
                <w:color w:val="000000" w:themeColor="text1"/>
              </w:rPr>
              <w:fldChar w:fldCharType="end"/>
            </w:r>
          </w:hyperlink>
        </w:p>
        <w:p w14:paraId="179CF12E"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1" w:history="1">
            <w:r w:rsidR="002850C6" w:rsidRPr="002850C6">
              <w:rPr>
                <w:noProof/>
                <w:color w:val="000000" w:themeColor="text1"/>
                <w:u w:val="single"/>
              </w:rPr>
              <w:t>1.3.3.</w:t>
            </w:r>
            <w:r w:rsidR="002850C6" w:rsidRPr="002850C6">
              <w:rPr>
                <w:noProof/>
              </w:rPr>
              <w:tab/>
            </w:r>
            <w:r w:rsidR="002850C6" w:rsidRPr="002850C6">
              <w:rPr>
                <w:noProof/>
                <w:color w:val="000000" w:themeColor="text1"/>
                <w:u w:val="single"/>
              </w:rPr>
              <w:t>Expected result(s) and impact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_Toc213612571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5</w:t>
            </w:r>
            <w:r w:rsidR="002850C6" w:rsidRPr="002850C6">
              <w:rPr>
                <w:noProof/>
                <w:webHidden/>
                <w:color w:val="000000" w:themeColor="text1"/>
              </w:rPr>
              <w:fldChar w:fldCharType="end"/>
            </w:r>
          </w:hyperlink>
        </w:p>
        <w:p w14:paraId="7ADD3F2F"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2" w:history="1">
            <w:r w:rsidR="002850C6" w:rsidRPr="002850C6">
              <w:rPr>
                <w:noProof/>
                <w:color w:val="000000" w:themeColor="text1"/>
                <w:u w:val="single"/>
              </w:rPr>
              <w:t>Specify the effects which the proposal/initiative should have on the beneficiaries / groups targeted.</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_Toc213612572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5</w:t>
            </w:r>
            <w:r w:rsidR="002850C6" w:rsidRPr="002850C6">
              <w:rPr>
                <w:noProof/>
                <w:webHidden/>
                <w:color w:val="000000" w:themeColor="text1"/>
              </w:rPr>
              <w:fldChar w:fldCharType="end"/>
            </w:r>
          </w:hyperlink>
        </w:p>
        <w:p w14:paraId="14CDE73C"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3" w:history="1">
            <w:r w:rsidR="002850C6" w:rsidRPr="002850C6">
              <w:rPr>
                <w:noProof/>
                <w:color w:val="000000" w:themeColor="text1"/>
                <w:u w:val="single"/>
              </w:rPr>
              <w:t>1.3.4.</w:t>
            </w:r>
            <w:r w:rsidR="002850C6" w:rsidRPr="002850C6">
              <w:rPr>
                <w:noProof/>
              </w:rPr>
              <w:tab/>
            </w:r>
            <w:r w:rsidR="002850C6" w:rsidRPr="002850C6">
              <w:rPr>
                <w:noProof/>
                <w:color w:val="000000" w:themeColor="text1"/>
                <w:u w:val="single"/>
              </w:rPr>
              <w:t>Indicators of performance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_Toc213612573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7</w:t>
            </w:r>
            <w:r w:rsidR="002850C6" w:rsidRPr="002850C6">
              <w:rPr>
                <w:noProof/>
                <w:webHidden/>
                <w:color w:val="000000" w:themeColor="text1"/>
              </w:rPr>
              <w:fldChar w:fldCharType="end"/>
            </w:r>
          </w:hyperlink>
        </w:p>
        <w:p w14:paraId="3A2CB7B2"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4" w:history="1">
            <w:r w:rsidR="002850C6" w:rsidRPr="002850C6">
              <w:rPr>
                <w:noProof/>
                <w:color w:val="000000" w:themeColor="text1"/>
                <w:u w:val="single"/>
              </w:rPr>
              <w:t>Specify the indicators for monitoring progress and achievements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_Toc213612574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7</w:t>
            </w:r>
            <w:r w:rsidR="002850C6" w:rsidRPr="002850C6">
              <w:rPr>
                <w:noProof/>
                <w:webHidden/>
                <w:color w:val="000000" w:themeColor="text1"/>
              </w:rPr>
              <w:fldChar w:fldCharType="end"/>
            </w:r>
          </w:hyperlink>
        </w:p>
        <w:p w14:paraId="60900BC4"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5" w:history="1">
            <w:r w:rsidR="002850C6" w:rsidRPr="002850C6">
              <w:rPr>
                <w:noProof/>
                <w:color w:val="000000" w:themeColor="text1"/>
                <w:u w:val="single"/>
              </w:rPr>
              <w:t>1.4.</w:t>
            </w:r>
            <w:r w:rsidR="002850C6" w:rsidRPr="002850C6">
              <w:rPr>
                <w:noProof/>
              </w:rPr>
              <w:tab/>
            </w:r>
            <w:r w:rsidR="002850C6" w:rsidRPr="002850C6">
              <w:rPr>
                <w:noProof/>
                <w:color w:val="000000" w:themeColor="text1"/>
                <w:u w:val="single"/>
              </w:rPr>
              <w:t>The proposal/initiative relates to:</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_Toc213612575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8</w:t>
            </w:r>
            <w:r w:rsidR="002850C6" w:rsidRPr="002850C6">
              <w:rPr>
                <w:noProof/>
                <w:webHidden/>
                <w:color w:val="000000" w:themeColor="text1"/>
              </w:rPr>
              <w:fldChar w:fldCharType="end"/>
            </w:r>
          </w:hyperlink>
        </w:p>
        <w:p w14:paraId="112051D2"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6" w:history="1">
            <w:r w:rsidR="002850C6" w:rsidRPr="002850C6">
              <w:rPr>
                <w:noProof/>
                <w:color w:val="000000" w:themeColor="text1"/>
                <w:u w:val="single"/>
              </w:rPr>
              <w:t>1.5.</w:t>
            </w:r>
            <w:r w:rsidR="002850C6" w:rsidRPr="002850C6">
              <w:rPr>
                <w:noProof/>
              </w:rPr>
              <w:tab/>
            </w:r>
            <w:r w:rsidR="002850C6" w:rsidRPr="002850C6">
              <w:rPr>
                <w:noProof/>
                <w:color w:val="000000" w:themeColor="text1"/>
                <w:u w:val="single"/>
              </w:rPr>
              <w:t>Grounds for the proposal/initiative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_Toc213612576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8</w:t>
            </w:r>
            <w:r w:rsidR="002850C6" w:rsidRPr="002850C6">
              <w:rPr>
                <w:noProof/>
                <w:webHidden/>
                <w:color w:val="000000" w:themeColor="text1"/>
              </w:rPr>
              <w:fldChar w:fldCharType="end"/>
            </w:r>
          </w:hyperlink>
        </w:p>
        <w:p w14:paraId="1FEFA32F"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7" w:history="1">
            <w:r w:rsidR="002850C6" w:rsidRPr="002850C6">
              <w:rPr>
                <w:noProof/>
                <w:color w:val="000000" w:themeColor="text1"/>
                <w:u w:val="single"/>
              </w:rPr>
              <w:t>1.5.1.</w:t>
            </w:r>
            <w:r w:rsidR="002850C6" w:rsidRPr="002850C6">
              <w:rPr>
                <w:noProof/>
              </w:rPr>
              <w:tab/>
            </w:r>
            <w:r w:rsidR="002850C6" w:rsidRPr="002850C6">
              <w:rPr>
                <w:noProof/>
                <w:color w:val="000000" w:themeColor="text1"/>
                <w:u w:val="single"/>
              </w:rPr>
              <w:t>Requirement(s) to be met in the short or long term including a detailed timeline for roll-out of the implementation of the initiative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_Toc213612577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8</w:t>
            </w:r>
            <w:r w:rsidR="002850C6" w:rsidRPr="002850C6">
              <w:rPr>
                <w:noProof/>
                <w:webHidden/>
                <w:color w:val="000000" w:themeColor="text1"/>
              </w:rPr>
              <w:fldChar w:fldCharType="end"/>
            </w:r>
          </w:hyperlink>
        </w:p>
        <w:p w14:paraId="4753F6E6"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8" w:history="1">
            <w:r w:rsidR="002850C6" w:rsidRPr="002850C6">
              <w:rPr>
                <w:noProof/>
                <w:color w:val="000000" w:themeColor="text1"/>
                <w:u w:val="single"/>
              </w:rPr>
              <w:t>1.5.2.</w:t>
            </w:r>
            <w:r w:rsidR="002850C6" w:rsidRPr="002850C6">
              <w:rPr>
                <w:noProof/>
              </w:rPr>
              <w:tab/>
            </w:r>
            <w:r w:rsidR="002850C6" w:rsidRPr="002850C6">
              <w:rPr>
                <w:noProof/>
                <w:color w:val="000000" w:themeColor="text1"/>
                <w:u w:val="single"/>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_Toc213612578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10</w:t>
            </w:r>
            <w:r w:rsidR="002850C6" w:rsidRPr="002850C6">
              <w:rPr>
                <w:noProof/>
                <w:webHidden/>
                <w:color w:val="000000" w:themeColor="text1"/>
              </w:rPr>
              <w:fldChar w:fldCharType="end"/>
            </w:r>
          </w:hyperlink>
        </w:p>
        <w:p w14:paraId="7B33B190"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79" w:history="1">
            <w:r w:rsidR="002850C6" w:rsidRPr="002850C6">
              <w:rPr>
                <w:noProof/>
                <w:color w:val="000000" w:themeColor="text1"/>
                <w:u w:val="single"/>
              </w:rPr>
              <w:t>1.5.3.</w:t>
            </w:r>
            <w:r w:rsidR="002850C6" w:rsidRPr="002850C6">
              <w:rPr>
                <w:noProof/>
              </w:rPr>
              <w:tab/>
            </w:r>
            <w:r w:rsidR="002850C6" w:rsidRPr="002850C6">
              <w:rPr>
                <w:noProof/>
                <w:color w:val="000000" w:themeColor="text1"/>
                <w:u w:val="single"/>
              </w:rPr>
              <w:t>Lessons learned from similar experiences in the past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_Toc213612579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11</w:t>
            </w:r>
            <w:r w:rsidR="002850C6" w:rsidRPr="002850C6">
              <w:rPr>
                <w:noProof/>
                <w:webHidden/>
                <w:color w:val="000000" w:themeColor="text1"/>
              </w:rPr>
              <w:fldChar w:fldCharType="end"/>
            </w:r>
          </w:hyperlink>
        </w:p>
        <w:p w14:paraId="092FE39E"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0" w:history="1">
            <w:r w:rsidR="002850C6" w:rsidRPr="002850C6">
              <w:rPr>
                <w:noProof/>
                <w:color w:val="000000" w:themeColor="text1"/>
                <w:u w:val="single"/>
              </w:rPr>
              <w:t>1.5.4.</w:t>
            </w:r>
            <w:r w:rsidR="002850C6" w:rsidRPr="002850C6">
              <w:rPr>
                <w:noProof/>
              </w:rPr>
              <w:tab/>
            </w:r>
            <w:r w:rsidR="002850C6" w:rsidRPr="002850C6">
              <w:rPr>
                <w:noProof/>
                <w:color w:val="000000" w:themeColor="text1"/>
                <w:u w:val="single"/>
              </w:rPr>
              <w:t>Compatibility with the multiannual financial framework and possible synergies with other appropriate instruments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_Toc213612580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12</w:t>
            </w:r>
            <w:r w:rsidR="002850C6" w:rsidRPr="002850C6">
              <w:rPr>
                <w:noProof/>
                <w:webHidden/>
                <w:color w:val="000000" w:themeColor="text1"/>
              </w:rPr>
              <w:fldChar w:fldCharType="end"/>
            </w:r>
          </w:hyperlink>
        </w:p>
        <w:p w14:paraId="0D3BD315"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1" w:history="1">
            <w:r w:rsidR="002850C6" w:rsidRPr="002850C6">
              <w:rPr>
                <w:noProof/>
                <w:color w:val="000000" w:themeColor="text1"/>
                <w:u w:val="single"/>
              </w:rPr>
              <w:t>1.5.5.</w:t>
            </w:r>
            <w:r w:rsidR="002850C6" w:rsidRPr="002850C6">
              <w:rPr>
                <w:noProof/>
              </w:rPr>
              <w:tab/>
            </w:r>
            <w:r w:rsidR="002850C6" w:rsidRPr="002850C6">
              <w:rPr>
                <w:noProof/>
                <w:color w:val="000000" w:themeColor="text1"/>
                <w:u w:val="single"/>
              </w:rPr>
              <w:t>Assessment of the different available financing options, including scope for redeployment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_Toc213612581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12</w:t>
            </w:r>
            <w:r w:rsidR="002850C6" w:rsidRPr="002850C6">
              <w:rPr>
                <w:noProof/>
                <w:webHidden/>
                <w:color w:val="000000" w:themeColor="text1"/>
              </w:rPr>
              <w:fldChar w:fldCharType="end"/>
            </w:r>
          </w:hyperlink>
        </w:p>
        <w:p w14:paraId="4B1D8653"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2" w:history="1">
            <w:r w:rsidR="002850C6" w:rsidRPr="002850C6">
              <w:rPr>
                <w:noProof/>
                <w:color w:val="000000" w:themeColor="text1"/>
                <w:u w:val="single"/>
              </w:rPr>
              <w:t>1.6.</w:t>
            </w:r>
            <w:r w:rsidR="002850C6" w:rsidRPr="002850C6">
              <w:rPr>
                <w:noProof/>
              </w:rPr>
              <w:tab/>
            </w:r>
            <w:r w:rsidR="002850C6" w:rsidRPr="002850C6">
              <w:rPr>
                <w:noProof/>
                <w:color w:val="000000" w:themeColor="text1"/>
                <w:u w:val="single"/>
              </w:rPr>
              <w:t>Duration of the proposal/initiative and of its financial impact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_Toc213612582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13</w:t>
            </w:r>
            <w:r w:rsidR="002850C6" w:rsidRPr="002850C6">
              <w:rPr>
                <w:noProof/>
                <w:webHidden/>
                <w:color w:val="000000" w:themeColor="text1"/>
              </w:rPr>
              <w:fldChar w:fldCharType="end"/>
            </w:r>
          </w:hyperlink>
        </w:p>
        <w:p w14:paraId="46B6F2BF"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3" w:history="1">
            <w:r w:rsidR="002850C6" w:rsidRPr="002850C6">
              <w:rPr>
                <w:noProof/>
                <w:color w:val="000000" w:themeColor="text1"/>
                <w:u w:val="single"/>
              </w:rPr>
              <w:t>1.7.</w:t>
            </w:r>
            <w:r w:rsidR="002850C6" w:rsidRPr="002850C6">
              <w:rPr>
                <w:noProof/>
              </w:rPr>
              <w:tab/>
            </w:r>
            <w:r w:rsidR="002850C6" w:rsidRPr="002850C6">
              <w:rPr>
                <w:noProof/>
                <w:color w:val="000000" w:themeColor="text1"/>
                <w:u w:val="single"/>
              </w:rPr>
              <w:t>Method(s) of budget implementation planned</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_Toc213612583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13</w:t>
            </w:r>
            <w:r w:rsidR="002850C6" w:rsidRPr="002850C6">
              <w:rPr>
                <w:noProof/>
                <w:webHidden/>
                <w:color w:val="000000" w:themeColor="text1"/>
              </w:rPr>
              <w:fldChar w:fldCharType="end"/>
            </w:r>
          </w:hyperlink>
        </w:p>
        <w:p w14:paraId="738B65FF"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4" w:history="1">
            <w:r w:rsidR="002850C6" w:rsidRPr="002850C6">
              <w:rPr>
                <w:noProof/>
                <w:color w:val="000000" w:themeColor="text1"/>
                <w:u w:val="single"/>
              </w:rPr>
              <w:t>2.</w:t>
            </w:r>
            <w:r w:rsidR="002850C6" w:rsidRPr="002850C6">
              <w:rPr>
                <w:noProof/>
              </w:rPr>
              <w:tab/>
            </w:r>
            <w:r w:rsidR="002850C6" w:rsidRPr="002850C6">
              <w:rPr>
                <w:noProof/>
                <w:color w:val="000000" w:themeColor="text1"/>
                <w:u w:val="single"/>
              </w:rPr>
              <w:t>MANAGEMENT MEASURES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_Toc213612584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14</w:t>
            </w:r>
            <w:r w:rsidR="002850C6" w:rsidRPr="002850C6">
              <w:rPr>
                <w:noProof/>
                <w:webHidden/>
                <w:color w:val="000000" w:themeColor="text1"/>
              </w:rPr>
              <w:fldChar w:fldCharType="end"/>
            </w:r>
          </w:hyperlink>
        </w:p>
        <w:p w14:paraId="45D4D4F5"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5" w:history="1">
            <w:r w:rsidR="002850C6" w:rsidRPr="002850C6">
              <w:rPr>
                <w:noProof/>
                <w:color w:val="000000" w:themeColor="text1"/>
                <w:u w:val="single"/>
              </w:rPr>
              <w:t>2.1.</w:t>
            </w:r>
            <w:r w:rsidR="002850C6" w:rsidRPr="002850C6">
              <w:rPr>
                <w:noProof/>
              </w:rPr>
              <w:tab/>
            </w:r>
            <w:r w:rsidR="002850C6" w:rsidRPr="002850C6">
              <w:rPr>
                <w:noProof/>
                <w:color w:val="000000" w:themeColor="text1"/>
                <w:u w:val="single"/>
              </w:rPr>
              <w:t>Monitoring and reporting rules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_Toc213612585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14</w:t>
            </w:r>
            <w:r w:rsidR="002850C6" w:rsidRPr="002850C6">
              <w:rPr>
                <w:noProof/>
                <w:webHidden/>
                <w:color w:val="000000" w:themeColor="text1"/>
              </w:rPr>
              <w:fldChar w:fldCharType="end"/>
            </w:r>
          </w:hyperlink>
        </w:p>
        <w:p w14:paraId="10FA9572"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6" w:history="1">
            <w:r w:rsidR="002850C6" w:rsidRPr="002850C6">
              <w:rPr>
                <w:noProof/>
                <w:color w:val="000000" w:themeColor="text1"/>
                <w:u w:val="single"/>
              </w:rPr>
              <w:t>2.2.</w:t>
            </w:r>
            <w:r w:rsidR="002850C6" w:rsidRPr="002850C6">
              <w:rPr>
                <w:noProof/>
              </w:rPr>
              <w:tab/>
            </w:r>
            <w:r w:rsidR="002850C6" w:rsidRPr="002850C6">
              <w:rPr>
                <w:noProof/>
                <w:color w:val="000000" w:themeColor="text1"/>
                <w:u w:val="single"/>
              </w:rPr>
              <w:t>Management and control system(s)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_Toc213612586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14</w:t>
            </w:r>
            <w:r w:rsidR="002850C6" w:rsidRPr="002850C6">
              <w:rPr>
                <w:noProof/>
                <w:webHidden/>
                <w:color w:val="000000" w:themeColor="text1"/>
              </w:rPr>
              <w:fldChar w:fldCharType="end"/>
            </w:r>
          </w:hyperlink>
        </w:p>
        <w:p w14:paraId="7843F31A"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7" w:history="1">
            <w:r w:rsidR="002850C6" w:rsidRPr="002850C6">
              <w:rPr>
                <w:noProof/>
                <w:color w:val="000000" w:themeColor="text1"/>
                <w:u w:val="single"/>
              </w:rPr>
              <w:t>2.2.1.</w:t>
            </w:r>
            <w:r w:rsidR="002850C6" w:rsidRPr="002850C6">
              <w:rPr>
                <w:noProof/>
              </w:rPr>
              <w:tab/>
            </w:r>
            <w:r w:rsidR="002850C6" w:rsidRPr="002850C6">
              <w:rPr>
                <w:noProof/>
                <w:color w:val="000000" w:themeColor="text1"/>
                <w:u w:val="single"/>
              </w:rPr>
              <w:t>Justification of the budget implementation method(s), the funding implementation mechanism(s), the payment modalities and the control strategy proposed</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_Toc213612587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14</w:t>
            </w:r>
            <w:r w:rsidR="002850C6" w:rsidRPr="002850C6">
              <w:rPr>
                <w:noProof/>
                <w:webHidden/>
                <w:color w:val="000000" w:themeColor="text1"/>
              </w:rPr>
              <w:fldChar w:fldCharType="end"/>
            </w:r>
          </w:hyperlink>
        </w:p>
        <w:p w14:paraId="61D23197"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8" w:history="1">
            <w:r w:rsidR="002850C6" w:rsidRPr="002850C6">
              <w:rPr>
                <w:noProof/>
                <w:color w:val="000000" w:themeColor="text1"/>
                <w:u w:val="single"/>
              </w:rPr>
              <w:t>2.2.2.</w:t>
            </w:r>
            <w:r w:rsidR="002850C6" w:rsidRPr="002850C6">
              <w:rPr>
                <w:noProof/>
              </w:rPr>
              <w:tab/>
            </w:r>
            <w:r w:rsidR="002850C6" w:rsidRPr="002850C6">
              <w:rPr>
                <w:noProof/>
                <w:color w:val="000000" w:themeColor="text1"/>
                <w:u w:val="single"/>
              </w:rPr>
              <w:t>Information concerning the risks identified and the internal control system(s) set up to mitigate them</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_Toc213612588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15</w:t>
            </w:r>
            <w:r w:rsidR="002850C6" w:rsidRPr="002850C6">
              <w:rPr>
                <w:noProof/>
                <w:webHidden/>
                <w:color w:val="000000" w:themeColor="text1"/>
              </w:rPr>
              <w:fldChar w:fldCharType="end"/>
            </w:r>
          </w:hyperlink>
        </w:p>
        <w:p w14:paraId="57C56584"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89" w:history="1">
            <w:r w:rsidR="002850C6" w:rsidRPr="002850C6">
              <w:rPr>
                <w:noProof/>
                <w:color w:val="000000" w:themeColor="text1"/>
                <w:u w:val="single"/>
              </w:rPr>
              <w:t>2.2.3.</w:t>
            </w:r>
            <w:r w:rsidR="002850C6" w:rsidRPr="002850C6">
              <w:rPr>
                <w:noProof/>
              </w:rPr>
              <w:tab/>
            </w:r>
            <w:r w:rsidR="002850C6" w:rsidRPr="002850C6">
              <w:rPr>
                <w:noProof/>
                <w:color w:val="000000" w:themeColor="text1"/>
                <w:u w:val="single"/>
              </w:rPr>
              <w:t>Estimation and justification of the cost-effectiveness of the controls (ratio between the control costs and the value of the related funds managed), and assessment of the expected levels of risk of error (at payment &amp; at closure)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_Toc213612589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15</w:t>
            </w:r>
            <w:r w:rsidR="002850C6" w:rsidRPr="002850C6">
              <w:rPr>
                <w:noProof/>
                <w:webHidden/>
                <w:color w:val="000000" w:themeColor="text1"/>
              </w:rPr>
              <w:fldChar w:fldCharType="end"/>
            </w:r>
          </w:hyperlink>
        </w:p>
        <w:p w14:paraId="4AD455DD"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0" w:history="1">
            <w:r w:rsidR="002850C6" w:rsidRPr="002850C6">
              <w:rPr>
                <w:noProof/>
                <w:color w:val="000000" w:themeColor="text1"/>
                <w:u w:val="single"/>
              </w:rPr>
              <w:t>2.3.</w:t>
            </w:r>
            <w:r w:rsidR="002850C6" w:rsidRPr="002850C6">
              <w:rPr>
                <w:noProof/>
              </w:rPr>
              <w:tab/>
            </w:r>
            <w:r w:rsidR="002850C6" w:rsidRPr="002850C6">
              <w:rPr>
                <w:noProof/>
                <w:color w:val="000000" w:themeColor="text1"/>
                <w:u w:val="single"/>
              </w:rPr>
              <w:t>Measures to prevent fraud and irregularities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_Toc213612590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16</w:t>
            </w:r>
            <w:r w:rsidR="002850C6" w:rsidRPr="002850C6">
              <w:rPr>
                <w:noProof/>
                <w:webHidden/>
                <w:color w:val="000000" w:themeColor="text1"/>
              </w:rPr>
              <w:fldChar w:fldCharType="end"/>
            </w:r>
          </w:hyperlink>
        </w:p>
        <w:p w14:paraId="4EEEE21D"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1" w:history="1">
            <w:r w:rsidR="002850C6" w:rsidRPr="002850C6">
              <w:rPr>
                <w:noProof/>
                <w:color w:val="000000" w:themeColor="text1"/>
                <w:u w:val="single"/>
              </w:rPr>
              <w:t>3.</w:t>
            </w:r>
            <w:r w:rsidR="002850C6" w:rsidRPr="002850C6">
              <w:rPr>
                <w:noProof/>
              </w:rPr>
              <w:tab/>
            </w:r>
            <w:r w:rsidR="002850C6" w:rsidRPr="002850C6">
              <w:rPr>
                <w:noProof/>
                <w:color w:val="000000" w:themeColor="text1"/>
                <w:u w:val="single"/>
              </w:rPr>
              <w:t>ESTIMATED FINANCIAL IMPACT OF THE PROPOSAL/INITIATIVE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_Toc213612591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17</w:t>
            </w:r>
            <w:r w:rsidR="002850C6" w:rsidRPr="002850C6">
              <w:rPr>
                <w:noProof/>
                <w:webHidden/>
                <w:color w:val="000000" w:themeColor="text1"/>
              </w:rPr>
              <w:fldChar w:fldCharType="end"/>
            </w:r>
          </w:hyperlink>
        </w:p>
        <w:p w14:paraId="3D6562C7"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2" w:history="1">
            <w:r w:rsidR="002850C6" w:rsidRPr="002850C6">
              <w:rPr>
                <w:noProof/>
                <w:color w:val="000000" w:themeColor="text1"/>
                <w:u w:val="single"/>
              </w:rPr>
              <w:t>3.1.</w:t>
            </w:r>
            <w:r w:rsidR="002850C6" w:rsidRPr="002850C6">
              <w:rPr>
                <w:noProof/>
              </w:rPr>
              <w:tab/>
            </w:r>
            <w:r w:rsidR="002850C6" w:rsidRPr="002850C6">
              <w:rPr>
                <w:noProof/>
                <w:color w:val="000000" w:themeColor="text1"/>
                <w:u w:val="single"/>
              </w:rPr>
              <w:t>Heading(s) of the multiannual financial framework and expenditure budget line(s) affected</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_Toc213612592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17</w:t>
            </w:r>
            <w:r w:rsidR="002850C6" w:rsidRPr="002850C6">
              <w:rPr>
                <w:noProof/>
                <w:webHidden/>
                <w:color w:val="000000" w:themeColor="text1"/>
              </w:rPr>
              <w:fldChar w:fldCharType="end"/>
            </w:r>
          </w:hyperlink>
        </w:p>
        <w:p w14:paraId="758B49E0"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3" w:history="1">
            <w:r w:rsidR="002850C6" w:rsidRPr="002850C6">
              <w:rPr>
                <w:noProof/>
                <w:color w:val="000000" w:themeColor="text1"/>
                <w:u w:val="single"/>
              </w:rPr>
              <w:t>3.2.</w:t>
            </w:r>
            <w:r w:rsidR="002850C6" w:rsidRPr="002850C6">
              <w:rPr>
                <w:noProof/>
              </w:rPr>
              <w:tab/>
            </w:r>
            <w:r w:rsidR="002850C6" w:rsidRPr="002850C6">
              <w:rPr>
                <w:noProof/>
                <w:color w:val="000000" w:themeColor="text1"/>
                <w:u w:val="single"/>
              </w:rPr>
              <w:t>Estimated financial impact of the proposal on appropriations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_Toc213612593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18</w:t>
            </w:r>
            <w:r w:rsidR="002850C6" w:rsidRPr="002850C6">
              <w:rPr>
                <w:noProof/>
                <w:webHidden/>
                <w:color w:val="000000" w:themeColor="text1"/>
              </w:rPr>
              <w:fldChar w:fldCharType="end"/>
            </w:r>
          </w:hyperlink>
        </w:p>
        <w:p w14:paraId="7B9E118E"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4" w:history="1">
            <w:r w:rsidR="002850C6" w:rsidRPr="002850C6">
              <w:rPr>
                <w:noProof/>
                <w:color w:val="000000" w:themeColor="text1"/>
                <w:u w:val="single"/>
              </w:rPr>
              <w:t>3.2.1.</w:t>
            </w:r>
            <w:r w:rsidR="002850C6" w:rsidRPr="002850C6">
              <w:rPr>
                <w:noProof/>
              </w:rPr>
              <w:tab/>
            </w:r>
            <w:r w:rsidR="002850C6" w:rsidRPr="002850C6">
              <w:rPr>
                <w:noProof/>
                <w:color w:val="000000" w:themeColor="text1"/>
                <w:u w:val="single"/>
              </w:rPr>
              <w:t>Summary of estimated impact on operational appropriations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_Toc213612594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18</w:t>
            </w:r>
            <w:r w:rsidR="002850C6" w:rsidRPr="002850C6">
              <w:rPr>
                <w:noProof/>
                <w:webHidden/>
                <w:color w:val="000000" w:themeColor="text1"/>
              </w:rPr>
              <w:fldChar w:fldCharType="end"/>
            </w:r>
          </w:hyperlink>
        </w:p>
        <w:p w14:paraId="7A146619"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5" w:history="1">
            <w:r w:rsidR="002850C6" w:rsidRPr="002850C6">
              <w:rPr>
                <w:noProof/>
                <w:color w:val="000000" w:themeColor="text1"/>
                <w:u w:val="single"/>
              </w:rPr>
              <w:t>3.2.1.1.</w:t>
            </w:r>
            <w:r w:rsidR="002850C6" w:rsidRPr="002850C6">
              <w:rPr>
                <w:noProof/>
              </w:rPr>
              <w:tab/>
            </w:r>
            <w:r w:rsidR="002850C6" w:rsidRPr="002850C6">
              <w:rPr>
                <w:noProof/>
                <w:color w:val="000000" w:themeColor="text1"/>
                <w:u w:val="single"/>
              </w:rPr>
              <w:t>Appropriations from voted budget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_Toc213612595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18</w:t>
            </w:r>
            <w:r w:rsidR="002850C6" w:rsidRPr="002850C6">
              <w:rPr>
                <w:noProof/>
                <w:webHidden/>
                <w:color w:val="000000" w:themeColor="text1"/>
              </w:rPr>
              <w:fldChar w:fldCharType="end"/>
            </w:r>
          </w:hyperlink>
        </w:p>
        <w:p w14:paraId="7B9DD479"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6" w:history="1">
            <w:r w:rsidR="002850C6" w:rsidRPr="002850C6">
              <w:rPr>
                <w:noProof/>
                <w:color w:val="000000" w:themeColor="text1"/>
                <w:u w:val="single"/>
              </w:rPr>
              <w:t>3.2.2.</w:t>
            </w:r>
            <w:r w:rsidR="002850C6" w:rsidRPr="002850C6">
              <w:rPr>
                <w:noProof/>
              </w:rPr>
              <w:tab/>
            </w:r>
            <w:r w:rsidR="002850C6" w:rsidRPr="002850C6">
              <w:rPr>
                <w:noProof/>
                <w:color w:val="000000" w:themeColor="text1"/>
                <w:u w:val="single"/>
              </w:rPr>
              <w:t>Estimated output funded from operational appropriations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_Toc213612596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23</w:t>
            </w:r>
            <w:r w:rsidR="002850C6" w:rsidRPr="002850C6">
              <w:rPr>
                <w:noProof/>
                <w:webHidden/>
                <w:color w:val="000000" w:themeColor="text1"/>
              </w:rPr>
              <w:fldChar w:fldCharType="end"/>
            </w:r>
          </w:hyperlink>
        </w:p>
        <w:p w14:paraId="70ED2ED9"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7" w:history="1">
            <w:r w:rsidR="002850C6" w:rsidRPr="002850C6">
              <w:rPr>
                <w:noProof/>
                <w:color w:val="000000" w:themeColor="text1"/>
                <w:u w:val="single"/>
              </w:rPr>
              <w:t>3.2.3.</w:t>
            </w:r>
            <w:r w:rsidR="002850C6" w:rsidRPr="002850C6">
              <w:rPr>
                <w:noProof/>
              </w:rPr>
              <w:tab/>
            </w:r>
            <w:r w:rsidR="002850C6" w:rsidRPr="002850C6">
              <w:rPr>
                <w:noProof/>
                <w:color w:val="000000" w:themeColor="text1"/>
                <w:u w:val="single"/>
              </w:rPr>
              <w:t>Summary of estimated impact on administrative appropriations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_Toc213612597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24</w:t>
            </w:r>
            <w:r w:rsidR="002850C6" w:rsidRPr="002850C6">
              <w:rPr>
                <w:noProof/>
                <w:webHidden/>
                <w:color w:val="000000" w:themeColor="text1"/>
              </w:rPr>
              <w:fldChar w:fldCharType="end"/>
            </w:r>
          </w:hyperlink>
        </w:p>
        <w:p w14:paraId="562B35A3"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8" w:history="1">
            <w:r w:rsidR="002850C6" w:rsidRPr="002850C6">
              <w:rPr>
                <w:noProof/>
                <w:color w:val="000000" w:themeColor="text1"/>
                <w:u w:val="single"/>
              </w:rPr>
              <w:t xml:space="preserve">3.2.3.1. Appropriations </w:t>
            </w:r>
            <w:r w:rsidR="002850C6" w:rsidRPr="002850C6">
              <w:rPr>
                <w:rFonts w:eastAsia="Calibri"/>
                <w:noProof/>
                <w:color w:val="000000" w:themeColor="text1"/>
                <w:u w:val="single"/>
              </w:rPr>
              <w:t>from</w:t>
            </w:r>
            <w:r w:rsidR="002850C6" w:rsidRPr="002850C6">
              <w:rPr>
                <w:noProof/>
                <w:color w:val="000000" w:themeColor="text1"/>
                <w:u w:val="single"/>
              </w:rPr>
              <w:t xml:space="preserve"> voted budget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_Toc213612598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24</w:t>
            </w:r>
            <w:r w:rsidR="002850C6" w:rsidRPr="002850C6">
              <w:rPr>
                <w:noProof/>
                <w:webHidden/>
                <w:color w:val="000000" w:themeColor="text1"/>
              </w:rPr>
              <w:fldChar w:fldCharType="end"/>
            </w:r>
          </w:hyperlink>
        </w:p>
        <w:p w14:paraId="52B5A354"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599" w:history="1">
            <w:r w:rsidR="002850C6" w:rsidRPr="002850C6">
              <w:rPr>
                <w:noProof/>
                <w:color w:val="000000" w:themeColor="text1"/>
                <w:u w:val="single"/>
              </w:rPr>
              <w:t>3.2.3.3.</w:t>
            </w:r>
            <w:r w:rsidR="002850C6" w:rsidRPr="002850C6">
              <w:rPr>
                <w:noProof/>
              </w:rPr>
              <w:tab/>
            </w:r>
            <w:r w:rsidR="002850C6" w:rsidRPr="002850C6">
              <w:rPr>
                <w:noProof/>
                <w:color w:val="000000" w:themeColor="text1"/>
                <w:u w:val="single"/>
              </w:rPr>
              <w:t>Total appropriations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_Toc213612599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24</w:t>
            </w:r>
            <w:r w:rsidR="002850C6" w:rsidRPr="002850C6">
              <w:rPr>
                <w:noProof/>
                <w:webHidden/>
                <w:color w:val="000000" w:themeColor="text1"/>
              </w:rPr>
              <w:fldChar w:fldCharType="end"/>
            </w:r>
          </w:hyperlink>
        </w:p>
        <w:p w14:paraId="1D47A3B0"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0" w:history="1">
            <w:r w:rsidR="002850C6" w:rsidRPr="002850C6">
              <w:rPr>
                <w:noProof/>
                <w:color w:val="000000" w:themeColor="text1"/>
                <w:u w:val="single"/>
              </w:rPr>
              <w:t>3.2.4.</w:t>
            </w:r>
            <w:r w:rsidR="002850C6" w:rsidRPr="002850C6">
              <w:rPr>
                <w:noProof/>
              </w:rPr>
              <w:tab/>
            </w:r>
            <w:r w:rsidR="002850C6" w:rsidRPr="002850C6">
              <w:rPr>
                <w:noProof/>
                <w:color w:val="000000" w:themeColor="text1"/>
                <w:u w:val="single"/>
              </w:rPr>
              <w:t>Estimated requirements of human resources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_Toc213612600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25</w:t>
            </w:r>
            <w:r w:rsidR="002850C6" w:rsidRPr="002850C6">
              <w:rPr>
                <w:noProof/>
                <w:webHidden/>
                <w:color w:val="000000" w:themeColor="text1"/>
              </w:rPr>
              <w:fldChar w:fldCharType="end"/>
            </w:r>
          </w:hyperlink>
        </w:p>
        <w:p w14:paraId="605F4611"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1" w:history="1">
            <w:r w:rsidR="002850C6" w:rsidRPr="002850C6">
              <w:rPr>
                <w:noProof/>
                <w:color w:val="000000" w:themeColor="text1"/>
                <w:u w:val="single"/>
              </w:rPr>
              <w:t>3.2.4.1.</w:t>
            </w:r>
            <w:r w:rsidR="002850C6" w:rsidRPr="002850C6">
              <w:rPr>
                <w:noProof/>
              </w:rPr>
              <w:tab/>
            </w:r>
            <w:r w:rsidR="002850C6" w:rsidRPr="002850C6">
              <w:rPr>
                <w:noProof/>
                <w:color w:val="000000" w:themeColor="text1"/>
                <w:u w:val="single"/>
              </w:rPr>
              <w:t>Financed from voted budget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_Toc213612601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25</w:t>
            </w:r>
            <w:r w:rsidR="002850C6" w:rsidRPr="002850C6">
              <w:rPr>
                <w:noProof/>
                <w:webHidden/>
                <w:color w:val="000000" w:themeColor="text1"/>
              </w:rPr>
              <w:fldChar w:fldCharType="end"/>
            </w:r>
          </w:hyperlink>
        </w:p>
        <w:p w14:paraId="420FDDAE"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2" w:history="1">
            <w:r w:rsidR="002850C6" w:rsidRPr="002850C6">
              <w:rPr>
                <w:noProof/>
                <w:color w:val="000000" w:themeColor="text1"/>
                <w:u w:val="single"/>
              </w:rPr>
              <w:t>3.2.5.</w:t>
            </w:r>
            <w:r w:rsidR="002850C6" w:rsidRPr="002850C6">
              <w:rPr>
                <w:noProof/>
              </w:rPr>
              <w:tab/>
            </w:r>
            <w:r w:rsidR="002850C6" w:rsidRPr="002850C6">
              <w:rPr>
                <w:noProof/>
                <w:color w:val="000000" w:themeColor="text1"/>
                <w:u w:val="single"/>
              </w:rPr>
              <w:t>Overview of estimated impact on digital technology-related investments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_Toc213612602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27</w:t>
            </w:r>
            <w:r w:rsidR="002850C6" w:rsidRPr="002850C6">
              <w:rPr>
                <w:noProof/>
                <w:webHidden/>
                <w:color w:val="000000" w:themeColor="text1"/>
              </w:rPr>
              <w:fldChar w:fldCharType="end"/>
            </w:r>
          </w:hyperlink>
        </w:p>
        <w:p w14:paraId="75B83E70"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3" w:history="1">
            <w:r w:rsidR="002850C6" w:rsidRPr="002850C6">
              <w:rPr>
                <w:noProof/>
                <w:color w:val="000000" w:themeColor="text1"/>
                <w:u w:val="single"/>
              </w:rPr>
              <w:t>3.2.6.</w:t>
            </w:r>
            <w:r w:rsidR="002850C6" w:rsidRPr="002850C6">
              <w:rPr>
                <w:noProof/>
              </w:rPr>
              <w:tab/>
            </w:r>
            <w:r w:rsidR="002850C6" w:rsidRPr="002850C6">
              <w:rPr>
                <w:noProof/>
                <w:color w:val="000000" w:themeColor="text1"/>
                <w:u w:val="single"/>
              </w:rPr>
              <w:t>Compatibility with the current multiannual financial framework</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_Toc213612603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27</w:t>
            </w:r>
            <w:r w:rsidR="002850C6" w:rsidRPr="002850C6">
              <w:rPr>
                <w:noProof/>
                <w:webHidden/>
                <w:color w:val="000000" w:themeColor="text1"/>
              </w:rPr>
              <w:fldChar w:fldCharType="end"/>
            </w:r>
          </w:hyperlink>
        </w:p>
        <w:p w14:paraId="384053E9"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4" w:history="1">
            <w:r w:rsidR="002850C6" w:rsidRPr="002850C6">
              <w:rPr>
                <w:noProof/>
                <w:color w:val="000000" w:themeColor="text1"/>
                <w:u w:val="single"/>
              </w:rPr>
              <w:t>3.2.7.</w:t>
            </w:r>
            <w:r w:rsidR="002850C6" w:rsidRPr="002850C6">
              <w:rPr>
                <w:noProof/>
              </w:rPr>
              <w:tab/>
            </w:r>
            <w:r w:rsidR="002850C6" w:rsidRPr="002850C6">
              <w:rPr>
                <w:noProof/>
                <w:color w:val="000000" w:themeColor="text1"/>
                <w:u w:val="single"/>
              </w:rPr>
              <w:t>Third-party contributions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_Toc213612604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27</w:t>
            </w:r>
            <w:r w:rsidR="002850C6" w:rsidRPr="002850C6">
              <w:rPr>
                <w:noProof/>
                <w:webHidden/>
                <w:color w:val="000000" w:themeColor="text1"/>
              </w:rPr>
              <w:fldChar w:fldCharType="end"/>
            </w:r>
          </w:hyperlink>
        </w:p>
        <w:p w14:paraId="16DFE9FD"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5" w:history="1">
            <w:r w:rsidR="002850C6" w:rsidRPr="002850C6">
              <w:rPr>
                <w:noProof/>
                <w:color w:val="000000" w:themeColor="text1"/>
                <w:u w:val="single"/>
              </w:rPr>
              <w:t>3.3.</w:t>
            </w:r>
            <w:r w:rsidR="002850C6" w:rsidRPr="002850C6">
              <w:rPr>
                <w:noProof/>
              </w:rPr>
              <w:tab/>
            </w:r>
            <w:r w:rsidR="002850C6" w:rsidRPr="002850C6">
              <w:rPr>
                <w:noProof/>
                <w:color w:val="000000" w:themeColor="text1"/>
                <w:u w:val="single"/>
              </w:rPr>
              <w:t>Estimated impact on revenue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_Toc213612605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33</w:t>
            </w:r>
            <w:r w:rsidR="002850C6" w:rsidRPr="002850C6">
              <w:rPr>
                <w:noProof/>
                <w:webHidden/>
                <w:color w:val="000000" w:themeColor="text1"/>
              </w:rPr>
              <w:fldChar w:fldCharType="end"/>
            </w:r>
          </w:hyperlink>
        </w:p>
        <w:p w14:paraId="2720484F"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6" w:history="1">
            <w:r w:rsidR="002850C6" w:rsidRPr="002850C6">
              <w:rPr>
                <w:noProof/>
                <w:color w:val="000000" w:themeColor="text1"/>
                <w:u w:val="single"/>
              </w:rPr>
              <w:t>4.</w:t>
            </w:r>
            <w:r w:rsidR="002850C6" w:rsidRPr="002850C6">
              <w:rPr>
                <w:noProof/>
              </w:rPr>
              <w:tab/>
            </w:r>
            <w:r w:rsidR="002850C6" w:rsidRPr="002850C6">
              <w:rPr>
                <w:noProof/>
                <w:color w:val="000000" w:themeColor="text1"/>
                <w:u w:val="single"/>
              </w:rPr>
              <w:t>Digital dimensions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_Toc213612606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33</w:t>
            </w:r>
            <w:r w:rsidR="002850C6" w:rsidRPr="002850C6">
              <w:rPr>
                <w:noProof/>
                <w:webHidden/>
                <w:color w:val="000000" w:themeColor="text1"/>
              </w:rPr>
              <w:fldChar w:fldCharType="end"/>
            </w:r>
          </w:hyperlink>
        </w:p>
        <w:p w14:paraId="1C82B76C"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7" w:history="1">
            <w:r w:rsidR="002850C6" w:rsidRPr="002850C6">
              <w:rPr>
                <w:noProof/>
                <w:color w:val="000000" w:themeColor="text1"/>
                <w:u w:val="single"/>
              </w:rPr>
              <w:t>4.1.</w:t>
            </w:r>
            <w:r w:rsidR="002850C6" w:rsidRPr="002850C6">
              <w:rPr>
                <w:noProof/>
              </w:rPr>
              <w:tab/>
            </w:r>
            <w:r w:rsidR="002850C6" w:rsidRPr="002850C6">
              <w:rPr>
                <w:noProof/>
                <w:color w:val="000000" w:themeColor="text1"/>
                <w:u w:val="single"/>
              </w:rPr>
              <w:t>Requirements of digital relevance</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_Toc213612607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34</w:t>
            </w:r>
            <w:r w:rsidR="002850C6" w:rsidRPr="002850C6">
              <w:rPr>
                <w:noProof/>
                <w:webHidden/>
                <w:color w:val="000000" w:themeColor="text1"/>
              </w:rPr>
              <w:fldChar w:fldCharType="end"/>
            </w:r>
          </w:hyperlink>
        </w:p>
        <w:p w14:paraId="5DC370F7"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8" w:history="1">
            <w:r w:rsidR="002850C6" w:rsidRPr="002850C6">
              <w:rPr>
                <w:noProof/>
                <w:color w:val="000000" w:themeColor="text1"/>
                <w:u w:val="single"/>
              </w:rPr>
              <w:t>4.2.</w:t>
            </w:r>
            <w:r w:rsidR="002850C6" w:rsidRPr="002850C6">
              <w:rPr>
                <w:noProof/>
              </w:rPr>
              <w:tab/>
            </w:r>
            <w:r w:rsidR="002850C6" w:rsidRPr="002850C6">
              <w:rPr>
                <w:noProof/>
                <w:color w:val="000000" w:themeColor="text1"/>
                <w:u w:val="single"/>
              </w:rPr>
              <w:t>Data</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_Toc213612608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36</w:t>
            </w:r>
            <w:r w:rsidR="002850C6" w:rsidRPr="002850C6">
              <w:rPr>
                <w:noProof/>
                <w:webHidden/>
                <w:color w:val="000000" w:themeColor="text1"/>
              </w:rPr>
              <w:fldChar w:fldCharType="end"/>
            </w:r>
          </w:hyperlink>
        </w:p>
        <w:p w14:paraId="2DD19F8E"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09" w:history="1">
            <w:r w:rsidR="002850C6" w:rsidRPr="002850C6">
              <w:rPr>
                <w:noProof/>
                <w:color w:val="000000" w:themeColor="text1"/>
                <w:u w:val="single"/>
              </w:rPr>
              <w:t>4.3.</w:t>
            </w:r>
            <w:r w:rsidR="002850C6" w:rsidRPr="002850C6">
              <w:rPr>
                <w:noProof/>
              </w:rPr>
              <w:tab/>
            </w:r>
            <w:r w:rsidR="002850C6" w:rsidRPr="002850C6">
              <w:rPr>
                <w:noProof/>
                <w:color w:val="000000" w:themeColor="text1"/>
                <w:u w:val="single"/>
              </w:rPr>
              <w:t>Digital solutions</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_Toc213612609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36</w:t>
            </w:r>
            <w:r w:rsidR="002850C6" w:rsidRPr="002850C6">
              <w:rPr>
                <w:noProof/>
                <w:webHidden/>
                <w:color w:val="000000" w:themeColor="text1"/>
              </w:rPr>
              <w:fldChar w:fldCharType="end"/>
            </w:r>
          </w:hyperlink>
        </w:p>
        <w:p w14:paraId="5DE2CCAC"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10" w:history="1">
            <w:r w:rsidR="002850C6" w:rsidRPr="002850C6">
              <w:rPr>
                <w:noProof/>
                <w:color w:val="000000" w:themeColor="text1"/>
                <w:u w:val="single"/>
              </w:rPr>
              <w:t>Alignment with the European Data Strategy</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_Toc213612610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37</w:t>
            </w:r>
            <w:r w:rsidR="002850C6" w:rsidRPr="002850C6">
              <w:rPr>
                <w:noProof/>
                <w:webHidden/>
                <w:color w:val="000000" w:themeColor="text1"/>
              </w:rPr>
              <w:fldChar w:fldCharType="end"/>
            </w:r>
          </w:hyperlink>
        </w:p>
        <w:p w14:paraId="60D2C444"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11" w:history="1">
            <w:r w:rsidR="002850C6" w:rsidRPr="002850C6">
              <w:rPr>
                <w:i/>
                <w:noProof/>
                <w:color w:val="000000" w:themeColor="text1"/>
                <w:u w:val="single"/>
              </w:rPr>
              <w:t>4.4.</w:t>
            </w:r>
            <w:r w:rsidR="002850C6" w:rsidRPr="002850C6">
              <w:rPr>
                <w:noProof/>
              </w:rPr>
              <w:tab/>
            </w:r>
            <w:r w:rsidR="002850C6" w:rsidRPr="002850C6">
              <w:rPr>
                <w:i/>
                <w:noProof/>
                <w:color w:val="000000" w:themeColor="text1"/>
                <w:u w:val="single"/>
              </w:rPr>
              <w:t>Interoperability assessment</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_Toc213612611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37</w:t>
            </w:r>
            <w:r w:rsidR="002850C6" w:rsidRPr="002850C6">
              <w:rPr>
                <w:noProof/>
                <w:webHidden/>
                <w:color w:val="000000" w:themeColor="text1"/>
              </w:rPr>
              <w:fldChar w:fldCharType="end"/>
            </w:r>
          </w:hyperlink>
        </w:p>
        <w:p w14:paraId="10C0401E" w14:textId="77777777" w:rsidR="002850C6" w:rsidRPr="002850C6" w:rsidRDefault="00C5766B" w:rsidP="002850C6">
          <w:pPr>
            <w:tabs>
              <w:tab w:val="right" w:leader="dot" w:pos="9071"/>
            </w:tabs>
            <w:spacing w:before="60"/>
            <w:ind w:left="850" w:hanging="850"/>
            <w:jc w:val="left"/>
            <w:rPr>
              <w:rFonts w:asciiTheme="minorHAnsi" w:eastAsiaTheme="minorEastAsia" w:hAnsiTheme="minorHAnsi" w:cstheme="minorBidi"/>
              <w:noProof/>
              <w:color w:val="000000" w:themeColor="text1"/>
            </w:rPr>
          </w:pPr>
          <w:hyperlink w:anchor="_Toc213612612" w:history="1">
            <w:r w:rsidR="002850C6" w:rsidRPr="002850C6">
              <w:rPr>
                <w:noProof/>
                <w:color w:val="000000" w:themeColor="text1"/>
                <w:u w:val="single"/>
              </w:rPr>
              <w:t>4.5.</w:t>
            </w:r>
            <w:r w:rsidR="002850C6" w:rsidRPr="002850C6">
              <w:rPr>
                <w:noProof/>
              </w:rPr>
              <w:tab/>
            </w:r>
            <w:r w:rsidR="002850C6" w:rsidRPr="002850C6">
              <w:rPr>
                <w:noProof/>
                <w:color w:val="000000" w:themeColor="text1"/>
                <w:u w:val="single"/>
              </w:rPr>
              <w:t>Measures to support digital implementation</w:t>
            </w:r>
            <w:r w:rsidR="002850C6" w:rsidRPr="002850C6">
              <w:rPr>
                <w:noProof/>
              </w:rPr>
              <w:tab/>
            </w:r>
            <w:r w:rsidR="002850C6" w:rsidRPr="002850C6">
              <w:rPr>
                <w:noProof/>
                <w:webHidden/>
                <w:color w:val="000000" w:themeColor="text1"/>
              </w:rPr>
              <w:fldChar w:fldCharType="begin" w:fldLock="1"/>
            </w:r>
            <w:r w:rsidR="002850C6" w:rsidRPr="002850C6">
              <w:rPr>
                <w:noProof/>
                <w:webHidden/>
                <w:color w:val="000000" w:themeColor="text1"/>
              </w:rPr>
              <w:instrText xml:space="preserve"> PAGEREF _Toc213612612 \h </w:instrText>
            </w:r>
            <w:r w:rsidR="002850C6" w:rsidRPr="002850C6">
              <w:rPr>
                <w:noProof/>
                <w:webHidden/>
                <w:color w:val="000000" w:themeColor="text1"/>
              </w:rPr>
            </w:r>
            <w:r w:rsidR="002850C6" w:rsidRPr="002850C6">
              <w:rPr>
                <w:noProof/>
                <w:webHidden/>
                <w:color w:val="000000" w:themeColor="text1"/>
              </w:rPr>
              <w:fldChar w:fldCharType="separate"/>
            </w:r>
            <w:r w:rsidR="002850C6" w:rsidRPr="002850C6">
              <w:rPr>
                <w:noProof/>
                <w:webHidden/>
                <w:color w:val="000000" w:themeColor="text1"/>
              </w:rPr>
              <w:t>37</w:t>
            </w:r>
            <w:r w:rsidR="002850C6" w:rsidRPr="002850C6">
              <w:rPr>
                <w:noProof/>
                <w:webHidden/>
                <w:color w:val="000000" w:themeColor="text1"/>
              </w:rPr>
              <w:fldChar w:fldCharType="end"/>
            </w:r>
          </w:hyperlink>
        </w:p>
        <w:p w14:paraId="3A688974" w14:textId="77777777" w:rsidR="002850C6" w:rsidRPr="002850C6" w:rsidRDefault="002850C6" w:rsidP="002850C6">
          <w:pPr>
            <w:rPr>
              <w:noProof/>
              <w:color w:val="000000" w:themeColor="text1"/>
            </w:rPr>
          </w:pPr>
          <w:r w:rsidRPr="002850C6">
            <w:rPr>
              <w:b/>
              <w:noProof/>
              <w:color w:val="000000" w:themeColor="text1"/>
            </w:rPr>
            <w:fldChar w:fldCharType="end"/>
          </w:r>
        </w:p>
      </w:sdtContent>
    </w:sdt>
    <w:p w14:paraId="576DF6B7" w14:textId="77777777" w:rsidR="002850C6" w:rsidRPr="002850C6" w:rsidRDefault="002850C6" w:rsidP="002850C6">
      <w:pPr>
        <w:rPr>
          <w:noProof/>
          <w:color w:val="000000" w:themeColor="text1"/>
        </w:rPr>
      </w:pPr>
    </w:p>
    <w:p w14:paraId="309EA093" w14:textId="77777777" w:rsidR="002850C6" w:rsidRPr="002850C6" w:rsidRDefault="002850C6" w:rsidP="002850C6">
      <w:pPr>
        <w:rPr>
          <w:noProof/>
          <w:color w:val="000000" w:themeColor="text1"/>
        </w:rPr>
        <w:sectPr w:rsidR="002850C6" w:rsidRPr="002850C6" w:rsidSect="003A339D">
          <w:pgSz w:w="11907" w:h="16840" w:code="9"/>
          <w:pgMar w:top="1134" w:right="1418" w:bottom="1134" w:left="1418" w:header="709" w:footer="709" w:gutter="0"/>
          <w:pgNumType w:start="1"/>
          <w:cols w:space="720"/>
          <w:docGrid w:linePitch="360"/>
        </w:sectPr>
      </w:pPr>
    </w:p>
    <w:p w14:paraId="5082F5ED" w14:textId="77777777" w:rsidR="002850C6" w:rsidRPr="002850C6" w:rsidRDefault="002850C6" w:rsidP="002850C6">
      <w:pPr>
        <w:keepNext/>
        <w:tabs>
          <w:tab w:val="left" w:pos="850"/>
        </w:tabs>
        <w:spacing w:before="360"/>
        <w:ind w:left="850" w:hanging="850"/>
        <w:outlineLvl w:val="0"/>
        <w:rPr>
          <w:b/>
          <w:smallCaps/>
          <w:noProof/>
          <w:color w:val="000000" w:themeColor="text1"/>
        </w:rPr>
      </w:pPr>
      <w:bookmarkStart w:id="33" w:name="_Toc514938007"/>
      <w:bookmarkStart w:id="34" w:name="_Toc520485025"/>
      <w:bookmarkStart w:id="35" w:name="_Toc160804567"/>
      <w:bookmarkStart w:id="36" w:name="_Toc213612565"/>
      <w:r w:rsidRPr="002850C6">
        <w:rPr>
          <w:b/>
          <w:smallCaps/>
          <w:noProof/>
          <w:color w:val="000000" w:themeColor="text1"/>
        </w:rPr>
        <w:t>1.</w:t>
      </w:r>
      <w:r w:rsidRPr="002850C6">
        <w:rPr>
          <w:b/>
          <w:smallCaps/>
          <w:noProof/>
        </w:rPr>
        <w:tab/>
      </w:r>
      <w:r w:rsidRPr="002850C6">
        <w:rPr>
          <w:b/>
          <w:smallCaps/>
          <w:noProof/>
          <w:color w:val="000000" w:themeColor="text1"/>
        </w:rPr>
        <w:t>CADRE DE LA PROPOSITION/DE L’INITIATIVE</w:t>
      </w:r>
      <w:bookmarkEnd w:id="33"/>
      <w:bookmarkEnd w:id="34"/>
      <w:bookmarkEnd w:id="35"/>
      <w:bookmarkEnd w:id="36"/>
      <w:r w:rsidRPr="002850C6">
        <w:rPr>
          <w:b/>
          <w:smallCaps/>
          <w:noProof/>
          <w:color w:val="000000" w:themeColor="text1"/>
        </w:rPr>
        <w:t xml:space="preserve"> </w:t>
      </w:r>
    </w:p>
    <w:p w14:paraId="4B216CB9" w14:textId="77777777" w:rsidR="002850C6" w:rsidRPr="002850C6" w:rsidRDefault="002850C6" w:rsidP="002850C6">
      <w:pPr>
        <w:keepNext/>
        <w:tabs>
          <w:tab w:val="left" w:pos="850"/>
        </w:tabs>
        <w:ind w:left="850" w:hanging="850"/>
        <w:outlineLvl w:val="1"/>
        <w:rPr>
          <w:b/>
          <w:noProof/>
          <w:color w:val="000000" w:themeColor="text1"/>
        </w:rPr>
      </w:pPr>
      <w:bookmarkStart w:id="37" w:name="_Toc514938008"/>
      <w:bookmarkStart w:id="38" w:name="_Toc520485026"/>
      <w:bookmarkStart w:id="39" w:name="_Toc160804568"/>
      <w:bookmarkStart w:id="40" w:name="_Toc213612566"/>
      <w:r w:rsidRPr="002850C6">
        <w:rPr>
          <w:b/>
          <w:noProof/>
          <w:color w:val="000000" w:themeColor="text1"/>
        </w:rPr>
        <w:t>1.1.</w:t>
      </w:r>
      <w:r w:rsidRPr="002850C6">
        <w:rPr>
          <w:b/>
          <w:noProof/>
        </w:rPr>
        <w:tab/>
      </w:r>
      <w:r w:rsidRPr="002850C6">
        <w:rPr>
          <w:b/>
          <w:noProof/>
          <w:color w:val="000000" w:themeColor="text1"/>
        </w:rPr>
        <w:t>Dénomination de la proposition/de l’initiative</w:t>
      </w:r>
      <w:bookmarkEnd w:id="37"/>
      <w:bookmarkEnd w:id="38"/>
      <w:bookmarkEnd w:id="39"/>
      <w:bookmarkEnd w:id="40"/>
    </w:p>
    <w:p w14:paraId="5C54D710" w14:textId="77777777" w:rsidR="002850C6" w:rsidRPr="002850C6" w:rsidRDefault="002850C6" w:rsidP="002850C6">
      <w:pPr>
        <w:pBdr>
          <w:top w:val="single" w:sz="4" w:space="0"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Proposition de règlement du Parlement européen et du Conseil établissant un cadre de mesures liées à la mobilité militaire visant à faciliter le transport d’équipements, de marchandises et de personnel militaires dans l’ensemble de l’Union</w:t>
      </w:r>
    </w:p>
    <w:p w14:paraId="3DCB6332" w14:textId="77777777" w:rsidR="002850C6" w:rsidRPr="002850C6" w:rsidRDefault="002850C6" w:rsidP="002850C6">
      <w:pPr>
        <w:pBdr>
          <w:top w:val="single" w:sz="4" w:space="0" w:color="auto"/>
          <w:left w:val="single" w:sz="4" w:space="4" w:color="auto"/>
          <w:bottom w:val="single" w:sz="4" w:space="1" w:color="auto"/>
          <w:right w:val="single" w:sz="4" w:space="4" w:color="auto"/>
        </w:pBdr>
        <w:ind w:left="850"/>
        <w:rPr>
          <w:noProof/>
          <w:color w:val="000000" w:themeColor="text1"/>
        </w:rPr>
      </w:pPr>
    </w:p>
    <w:p w14:paraId="3EA93B99" w14:textId="77777777" w:rsidR="002850C6" w:rsidRPr="002850C6" w:rsidRDefault="002850C6" w:rsidP="002850C6">
      <w:pPr>
        <w:keepNext/>
        <w:tabs>
          <w:tab w:val="left" w:pos="850"/>
        </w:tabs>
        <w:ind w:left="850" w:hanging="850"/>
        <w:outlineLvl w:val="1"/>
        <w:rPr>
          <w:b/>
          <w:i/>
          <w:noProof/>
          <w:color w:val="000000" w:themeColor="text1"/>
        </w:rPr>
      </w:pPr>
      <w:bookmarkStart w:id="41" w:name="_Toc514938011"/>
      <w:bookmarkStart w:id="42" w:name="_Toc520485027"/>
      <w:bookmarkStart w:id="43" w:name="_Toc160804569"/>
      <w:bookmarkStart w:id="44" w:name="_Toc213612567"/>
      <w:r w:rsidRPr="002850C6">
        <w:rPr>
          <w:b/>
          <w:noProof/>
          <w:color w:val="000000" w:themeColor="text1"/>
        </w:rPr>
        <w:t>1.2.</w:t>
      </w:r>
      <w:r w:rsidRPr="002850C6">
        <w:rPr>
          <w:b/>
          <w:noProof/>
        </w:rPr>
        <w:tab/>
      </w:r>
      <w:r w:rsidRPr="002850C6">
        <w:rPr>
          <w:b/>
          <w:noProof/>
          <w:color w:val="000000" w:themeColor="text1"/>
        </w:rPr>
        <w:t>Domaine(s) politique(s) concerné(s)</w:t>
      </w:r>
      <w:bookmarkEnd w:id="41"/>
      <w:bookmarkEnd w:id="42"/>
      <w:bookmarkEnd w:id="43"/>
      <w:bookmarkEnd w:id="44"/>
      <w:r w:rsidRPr="002850C6">
        <w:rPr>
          <w:b/>
          <w:i/>
          <w:noProof/>
          <w:color w:val="000000" w:themeColor="text1"/>
        </w:rPr>
        <w:t xml:space="preserve"> </w:t>
      </w:r>
    </w:p>
    <w:p w14:paraId="7D602C87"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Politique industrielle de défense de l’Union</w:t>
      </w:r>
    </w:p>
    <w:p w14:paraId="6D992FFA"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Politique des transports de l’Union</w:t>
      </w:r>
    </w:p>
    <w:p w14:paraId="28D26A41"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Politique douanière et fiscale de l’Union</w:t>
      </w:r>
    </w:p>
    <w:p w14:paraId="2B4310C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Politique de sécurité des denrées alimentaires de l’Union</w:t>
      </w:r>
    </w:p>
    <w:p w14:paraId="46E6D7D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p>
    <w:p w14:paraId="20F231A3" w14:textId="77777777" w:rsidR="002850C6" w:rsidRPr="002850C6" w:rsidRDefault="002850C6" w:rsidP="002850C6">
      <w:pPr>
        <w:keepNext/>
        <w:tabs>
          <w:tab w:val="left" w:pos="850"/>
        </w:tabs>
        <w:ind w:left="850" w:hanging="850"/>
        <w:outlineLvl w:val="1"/>
        <w:rPr>
          <w:b/>
          <w:noProof/>
          <w:color w:val="000000" w:themeColor="text1"/>
        </w:rPr>
      </w:pPr>
      <w:bookmarkStart w:id="45" w:name="_Toc514938015"/>
      <w:bookmarkStart w:id="46" w:name="_Toc520485029"/>
      <w:bookmarkStart w:id="47" w:name="_Toc160804571"/>
      <w:bookmarkStart w:id="48" w:name="_Toc213612568"/>
      <w:r w:rsidRPr="002850C6">
        <w:rPr>
          <w:b/>
          <w:noProof/>
          <w:color w:val="000000" w:themeColor="text1"/>
        </w:rPr>
        <w:t>1.3.</w:t>
      </w:r>
      <w:r w:rsidRPr="002850C6">
        <w:rPr>
          <w:b/>
          <w:noProof/>
        </w:rPr>
        <w:tab/>
      </w:r>
      <w:r w:rsidRPr="002850C6">
        <w:rPr>
          <w:b/>
          <w:noProof/>
          <w:color w:val="000000" w:themeColor="text1"/>
        </w:rPr>
        <w:t>Objectif(s)</w:t>
      </w:r>
      <w:bookmarkEnd w:id="45"/>
      <w:bookmarkEnd w:id="46"/>
      <w:bookmarkEnd w:id="47"/>
      <w:bookmarkEnd w:id="48"/>
    </w:p>
    <w:p w14:paraId="06670359" w14:textId="77777777" w:rsidR="002850C6" w:rsidRPr="002850C6" w:rsidRDefault="002850C6" w:rsidP="002850C6">
      <w:pPr>
        <w:keepNext/>
        <w:tabs>
          <w:tab w:val="left" w:pos="850"/>
        </w:tabs>
        <w:ind w:left="850" w:hanging="850"/>
        <w:outlineLvl w:val="2"/>
        <w:rPr>
          <w:i/>
          <w:noProof/>
          <w:color w:val="000000" w:themeColor="text1"/>
        </w:rPr>
      </w:pPr>
      <w:bookmarkStart w:id="49" w:name="_Toc514938016"/>
      <w:bookmarkStart w:id="50" w:name="_Toc520485030"/>
      <w:bookmarkStart w:id="51" w:name="_Toc160804572"/>
      <w:bookmarkStart w:id="52" w:name="_Toc213612569"/>
      <w:r w:rsidRPr="002850C6">
        <w:rPr>
          <w:i/>
          <w:noProof/>
          <w:color w:val="000000" w:themeColor="text1"/>
        </w:rPr>
        <w:t>1.3.1.</w:t>
      </w:r>
      <w:r w:rsidRPr="002850C6">
        <w:rPr>
          <w:i/>
          <w:noProof/>
        </w:rPr>
        <w:tab/>
      </w:r>
      <w:r w:rsidRPr="002850C6">
        <w:rPr>
          <w:i/>
          <w:noProof/>
          <w:color w:val="000000" w:themeColor="text1"/>
        </w:rPr>
        <w:t>Objectif général / objectifs généraux</w:t>
      </w:r>
      <w:bookmarkEnd w:id="49"/>
      <w:bookmarkEnd w:id="50"/>
      <w:bookmarkEnd w:id="51"/>
      <w:bookmarkEnd w:id="52"/>
    </w:p>
    <w:p w14:paraId="38F82B99"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L’objectif général du règlement sur la mobilité militaire est d’établir un cadre cohérent et harmonisé à l’échelon de l’UE qui permette, facilite et accélère le transport de personnels, de matériel et d’équipements militaires à travers l’ensemble du territoire de l’Union européenne. </w:t>
      </w:r>
    </w:p>
    <w:p w14:paraId="23AD644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L’objectif du règlement est de tenir compte des besoins et des exigences en matière de transport militaire dans la législation et les programmes de l’UE au moyen de modifications de la législation existante et de nouvelles dispositions autonomes, s’il y a lieu.</w:t>
      </w:r>
    </w:p>
    <w:p w14:paraId="4DEBB2A8" w14:textId="77777777" w:rsidR="002850C6" w:rsidRPr="002850C6" w:rsidRDefault="002850C6" w:rsidP="002850C6">
      <w:pPr>
        <w:keepNext/>
        <w:tabs>
          <w:tab w:val="left" w:pos="850"/>
        </w:tabs>
        <w:ind w:left="850" w:hanging="850"/>
        <w:outlineLvl w:val="2"/>
        <w:rPr>
          <w:i/>
          <w:noProof/>
          <w:color w:val="000000" w:themeColor="text1"/>
        </w:rPr>
      </w:pPr>
      <w:bookmarkStart w:id="53" w:name="_Toc213612570"/>
      <w:bookmarkStart w:id="54" w:name="_Toc514938018"/>
      <w:bookmarkStart w:id="55" w:name="_Toc520485031"/>
      <w:bookmarkStart w:id="56" w:name="_Toc160804573"/>
      <w:r w:rsidRPr="002850C6">
        <w:rPr>
          <w:i/>
          <w:noProof/>
          <w:color w:val="000000" w:themeColor="text1"/>
        </w:rPr>
        <w:t>1.3.2.</w:t>
      </w:r>
      <w:r w:rsidRPr="002850C6">
        <w:rPr>
          <w:i/>
          <w:noProof/>
        </w:rPr>
        <w:tab/>
      </w:r>
      <w:r w:rsidRPr="002850C6">
        <w:rPr>
          <w:i/>
          <w:noProof/>
          <w:color w:val="000000" w:themeColor="text1"/>
        </w:rPr>
        <w:t>Objectif(s) spécifique(s)</w:t>
      </w:r>
      <w:bookmarkEnd w:id="53"/>
    </w:p>
    <w:p w14:paraId="6631B4D7" w14:textId="77777777" w:rsidR="002850C6" w:rsidRPr="002850C6" w:rsidRDefault="002850C6" w:rsidP="002850C6">
      <w:pPr>
        <w:pBdr>
          <w:top w:val="single" w:sz="4" w:space="1" w:color="000000"/>
          <w:left w:val="single" w:sz="4" w:space="4" w:color="000000"/>
          <w:bottom w:val="single" w:sz="4" w:space="1" w:color="000000"/>
          <w:right w:val="single" w:sz="4" w:space="4" w:color="000000"/>
        </w:pBdr>
        <w:ind w:left="850"/>
        <w:rPr>
          <w:noProof/>
          <w:color w:val="000000" w:themeColor="text1"/>
        </w:rPr>
      </w:pPr>
      <w:r w:rsidRPr="002850C6">
        <w:rPr>
          <w:noProof/>
          <w:color w:val="000000" w:themeColor="text1"/>
        </w:rPr>
        <w:t>Rationaliser le transport militaire transfrontière (en établissant un cadre uniforme pour les procédures d’autorisation et en garantissant un transport militaire ininterrompu et sûr), y compris en simplifiant les formalités douanières applicables à ce transport aux frontières extérieures de l’Union;</w:t>
      </w:r>
    </w:p>
    <w:p w14:paraId="1BF385D5" w14:textId="77777777" w:rsidR="002850C6" w:rsidRPr="002850C6" w:rsidRDefault="002850C6" w:rsidP="002850C6">
      <w:pPr>
        <w:pBdr>
          <w:top w:val="single" w:sz="4" w:space="1" w:color="000000"/>
          <w:left w:val="single" w:sz="4" w:space="4" w:color="000000"/>
          <w:bottom w:val="single" w:sz="4" w:space="1" w:color="000000"/>
          <w:right w:val="single" w:sz="4" w:space="4" w:color="000000"/>
        </w:pBdr>
        <w:ind w:left="850"/>
        <w:rPr>
          <w:noProof/>
          <w:color w:val="000000" w:themeColor="text1"/>
        </w:rPr>
      </w:pPr>
      <w:r w:rsidRPr="002850C6">
        <w:rPr>
          <w:noProof/>
          <w:color w:val="000000" w:themeColor="text1"/>
        </w:rPr>
        <w:t>renforcer les réactions d’urgence (en créant un cadre efficient, coordonné et efficace en vue de faciliter le transport militaire en réaction à des situations temporaires, extraordinaires et urgentes);</w:t>
      </w:r>
    </w:p>
    <w:p w14:paraId="6861FB2B" w14:textId="77777777" w:rsidR="002850C6" w:rsidRPr="002850C6" w:rsidRDefault="002850C6" w:rsidP="002850C6">
      <w:pPr>
        <w:pBdr>
          <w:top w:val="single" w:sz="4" w:space="1" w:color="000000"/>
          <w:left w:val="single" w:sz="4" w:space="4" w:color="000000"/>
          <w:bottom w:val="single" w:sz="4" w:space="1" w:color="000000"/>
          <w:right w:val="single" w:sz="4" w:space="4" w:color="000000"/>
        </w:pBdr>
        <w:ind w:left="850"/>
        <w:rPr>
          <w:noProof/>
          <w:color w:val="000000" w:themeColor="text1"/>
        </w:rPr>
      </w:pPr>
      <w:r w:rsidRPr="002850C6">
        <w:rPr>
          <w:noProof/>
          <w:color w:val="000000" w:themeColor="text1"/>
        </w:rPr>
        <w:t>améliorer l’état de préparation et la protection des infrastructures (en établissant des règles visant à renforcer l’état de préparation et la sécurité du déploiement des infrastructures de transport à double usage et à mieux protéger les infrastructures à double usage stratégiques contre tous les dangers et menaces, y compris les menaces portant sur le spectre radioélectrique d’appui des transports);</w:t>
      </w:r>
    </w:p>
    <w:p w14:paraId="11ED82B5" w14:textId="77777777" w:rsidR="002850C6" w:rsidRPr="002850C6" w:rsidRDefault="002850C6" w:rsidP="002850C6">
      <w:pPr>
        <w:pBdr>
          <w:top w:val="single" w:sz="4" w:space="1" w:color="000000"/>
          <w:left w:val="single" w:sz="4" w:space="4" w:color="000000"/>
          <w:bottom w:val="single" w:sz="4" w:space="1" w:color="000000"/>
          <w:right w:val="single" w:sz="4" w:space="4" w:color="000000"/>
        </w:pBdr>
        <w:ind w:left="850"/>
        <w:rPr>
          <w:noProof/>
          <w:color w:val="000000" w:themeColor="text1"/>
        </w:rPr>
      </w:pPr>
      <w:r w:rsidRPr="002850C6">
        <w:rPr>
          <w:noProof/>
          <w:color w:val="000000" w:themeColor="text1"/>
        </w:rPr>
        <w:t>favoriser la solidarité et le partage des capacités (en encourageant le partage et la mise en commun de capacités de transport et de capacités logistiques au moyen d’une réserve de solidarité et en accroissant la visibilité des capacités de transport existantes pour le transport militaire).</w:t>
      </w:r>
    </w:p>
    <w:p w14:paraId="5FBC0450" w14:textId="77777777" w:rsidR="002850C6" w:rsidRPr="002850C6" w:rsidRDefault="002850C6" w:rsidP="002850C6">
      <w:pPr>
        <w:ind w:left="850"/>
        <w:rPr>
          <w:noProof/>
          <w:color w:val="000000" w:themeColor="text1"/>
        </w:rPr>
      </w:pPr>
    </w:p>
    <w:p w14:paraId="4AFE517F" w14:textId="77777777" w:rsidR="002850C6" w:rsidRPr="002850C6" w:rsidRDefault="002850C6" w:rsidP="002850C6">
      <w:pPr>
        <w:keepNext/>
        <w:tabs>
          <w:tab w:val="left" w:pos="850"/>
        </w:tabs>
        <w:ind w:left="850" w:hanging="850"/>
        <w:outlineLvl w:val="2"/>
        <w:rPr>
          <w:i/>
          <w:noProof/>
          <w:color w:val="000000" w:themeColor="text1"/>
        </w:rPr>
      </w:pPr>
      <w:bookmarkStart w:id="57" w:name="_Toc213612571"/>
      <w:r w:rsidRPr="002850C6">
        <w:rPr>
          <w:i/>
          <w:noProof/>
          <w:color w:val="000000" w:themeColor="text1"/>
        </w:rPr>
        <w:t>1.3.3.</w:t>
      </w:r>
      <w:r w:rsidRPr="002850C6">
        <w:rPr>
          <w:i/>
          <w:noProof/>
        </w:rPr>
        <w:tab/>
      </w:r>
      <w:r w:rsidRPr="002850C6">
        <w:rPr>
          <w:i/>
          <w:noProof/>
          <w:color w:val="000000" w:themeColor="text1"/>
        </w:rPr>
        <w:t>Résultat(s) et incidence(s) attendus</w:t>
      </w:r>
      <w:bookmarkEnd w:id="57"/>
      <w:r w:rsidRPr="002850C6">
        <w:rPr>
          <w:i/>
          <w:noProof/>
          <w:color w:val="000000" w:themeColor="text1"/>
        </w:rPr>
        <w:t xml:space="preserve"> </w:t>
      </w:r>
    </w:p>
    <w:p w14:paraId="19894636" w14:textId="77777777" w:rsidR="002850C6" w:rsidRPr="002850C6" w:rsidRDefault="002850C6" w:rsidP="002850C6">
      <w:pPr>
        <w:keepNext/>
        <w:tabs>
          <w:tab w:val="left" w:pos="850"/>
        </w:tabs>
        <w:ind w:left="850" w:hanging="850"/>
        <w:outlineLvl w:val="2"/>
        <w:rPr>
          <w:i/>
          <w:noProof/>
          <w:color w:val="000000" w:themeColor="text1"/>
        </w:rPr>
      </w:pPr>
      <w:bookmarkStart w:id="58" w:name="_Toc213612572"/>
      <w:r w:rsidRPr="002850C6">
        <w:rPr>
          <w:i/>
          <w:noProof/>
          <w:color w:val="000000" w:themeColor="text1"/>
          <w:sz w:val="20"/>
        </w:rPr>
        <w:t>Préciser les effets que la proposition/l’initiative devrait avoir sur les bénéficiaires/la population visée.</w:t>
      </w:r>
      <w:bookmarkEnd w:id="58"/>
    </w:p>
    <w:bookmarkEnd w:id="54"/>
    <w:bookmarkEnd w:id="55"/>
    <w:bookmarkEnd w:id="56"/>
    <w:p w14:paraId="42574DA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Contexte général:</w:t>
      </w:r>
    </w:p>
    <w:p w14:paraId="2A49BBF5"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Le règlement permet d’assurer un juste équilibre entre, d’une part, la nécessité de faciliter les opérations de transport militaire et, d’autre part, celle d’atténuer leur incidence sur les civils. Par son objectif de clarification du cadre réglementaire pour les opérateurs et d’établissement d’une distinction entre les règles normales de transport militaire et les mesures d’urgence prévues par l’EMERS, la démarche adoptée pour le règlement est graduelle et progressive. Cette approche ciblée et proportionnelle réduit au minimum l’incidence sur le secteur civil, la limitant à ce qui est strictement nécessaire pour faire face à l’augmentation des opérations de transport militaire dans l’Union. En outre, les mesures envisagées renforcent la prévisibilité pour les activités civiles et offrent au secteur civil la possibilité de contribuer activement à l’amélioration de la mobilité militaire dans l’Union, propice à un environnement collaboratif et mutuellement bénéfique.</w:t>
      </w:r>
    </w:p>
    <w:p w14:paraId="69BC6EC2" w14:textId="77777777" w:rsidR="002850C6" w:rsidRPr="002850C6" w:rsidRDefault="002850C6" w:rsidP="002850C6">
      <w:pPr>
        <w:ind w:left="1417" w:hanging="567"/>
        <w:rPr>
          <w:noProof/>
        </w:rPr>
      </w:pPr>
      <w:r w:rsidRPr="002850C6">
        <w:rPr>
          <w:noProof/>
        </w:rPr>
        <w:t>d)</w:t>
      </w:r>
      <w:r w:rsidRPr="002850C6">
        <w:rPr>
          <w:noProof/>
        </w:rPr>
        <w:tab/>
        <w:t>Renforcement de la capacité à organiser le transport militaire, en temps de paix, beaucoup plus rapidement qu’actuellement et avec une charge administrative nettement réduite</w:t>
      </w:r>
    </w:p>
    <w:p w14:paraId="7CF1F0A0" w14:textId="77777777" w:rsidR="002850C6" w:rsidRPr="002850C6" w:rsidRDefault="002850C6" w:rsidP="002850C6">
      <w:pPr>
        <w:ind w:left="1417" w:hanging="567"/>
        <w:rPr>
          <w:noProof/>
        </w:rPr>
      </w:pPr>
      <w:r w:rsidRPr="002850C6">
        <w:rPr>
          <w:noProof/>
        </w:rPr>
        <w:t>e)</w:t>
      </w:r>
      <w:r w:rsidRPr="002850C6">
        <w:rPr>
          <w:noProof/>
        </w:rPr>
        <w:tab/>
        <w:t>Disponibilité d’opérateurs de transport par la passation de marchés à des fins de mobilité militaire: disponibilité d’un nombre suffisant d’actifs déplaçables spécialisés pour effectuer les transports; capacité à les utiliser dans toute l’Europe en cas d’urgence, réduction de la charge administrative</w:t>
      </w:r>
    </w:p>
    <w:p w14:paraId="68A91665" w14:textId="77777777" w:rsidR="002850C6" w:rsidRPr="002850C6" w:rsidRDefault="002850C6" w:rsidP="002850C6">
      <w:pPr>
        <w:ind w:left="1417" w:hanging="567"/>
        <w:rPr>
          <w:noProof/>
        </w:rPr>
      </w:pPr>
      <w:r w:rsidRPr="002850C6">
        <w:rPr>
          <w:noProof/>
        </w:rPr>
        <w:t>f)</w:t>
      </w:r>
      <w:r w:rsidRPr="002850C6">
        <w:rPr>
          <w:noProof/>
        </w:rPr>
        <w:tab/>
        <w:t>Opérateurs et gestionnaires d’infrastructure: se préparer à des circonstances opérationnelles extraordinaires et à des mouvements militaires à grande échelle (résilience et sécurité)</w:t>
      </w:r>
    </w:p>
    <w:p w14:paraId="39CD0CAA" w14:textId="77777777" w:rsidR="002850C6" w:rsidRPr="002850C6" w:rsidRDefault="002850C6" w:rsidP="002850C6">
      <w:pPr>
        <w:ind w:left="1417" w:hanging="567"/>
        <w:rPr>
          <w:noProof/>
        </w:rPr>
      </w:pPr>
      <w:r w:rsidRPr="002850C6">
        <w:rPr>
          <w:noProof/>
        </w:rPr>
        <w:t>g)</w:t>
      </w:r>
      <w:r w:rsidRPr="002850C6">
        <w:rPr>
          <w:noProof/>
        </w:rPr>
        <w:tab/>
        <w:t>Renforcement de la résilience et de la protection d’infrastructures stratégiques à double usage</w:t>
      </w:r>
    </w:p>
    <w:p w14:paraId="0A6BA5C9"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rapport avec le groupe sur les transports liés à la mobilité militaire:</w:t>
      </w:r>
    </w:p>
    <w:p w14:paraId="5EC3C332" w14:textId="77777777" w:rsidR="002850C6" w:rsidRPr="002850C6" w:rsidRDefault="002850C6" w:rsidP="002850C6">
      <w:pPr>
        <w:ind w:left="1417" w:hanging="567"/>
        <w:rPr>
          <w:noProof/>
        </w:rPr>
      </w:pPr>
      <w:r w:rsidRPr="002850C6">
        <w:rPr>
          <w:noProof/>
        </w:rPr>
        <w:t>h)</w:t>
      </w:r>
      <w:r w:rsidRPr="002850C6">
        <w:rPr>
          <w:noProof/>
        </w:rPr>
        <w:tab/>
        <w:t>Une meilleure coordination entre les États membres grâce à la création d’un groupe compétent sur les transports liés à la mobilité militaire, capable de superviser la mise en œuvre du présent règlement</w:t>
      </w:r>
    </w:p>
    <w:p w14:paraId="17243154"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ce qui concerne la réserve de solidarité:</w:t>
      </w:r>
    </w:p>
    <w:p w14:paraId="62852706" w14:textId="77777777" w:rsidR="002850C6" w:rsidRPr="002850C6" w:rsidRDefault="002850C6" w:rsidP="002850C6">
      <w:pPr>
        <w:ind w:left="1417" w:hanging="567"/>
        <w:rPr>
          <w:noProof/>
        </w:rPr>
      </w:pPr>
      <w:r w:rsidRPr="002850C6">
        <w:rPr>
          <w:noProof/>
        </w:rPr>
        <w:t>i)</w:t>
      </w:r>
      <w:r w:rsidRPr="002850C6">
        <w:rPr>
          <w:noProof/>
        </w:rPr>
        <w:tab/>
        <w:t>Amélioration de la disponibilité et de l’accès aux capacités de mobilité militaire (actifs de transport et équipements logistiques) grâce à la mise en commun et au partage entre les États membres</w:t>
      </w:r>
    </w:p>
    <w:p w14:paraId="29370445"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rapport avec l’AFE:</w:t>
      </w:r>
    </w:p>
    <w:p w14:paraId="3EABA4E8" w14:textId="77777777" w:rsidR="002850C6" w:rsidRPr="002850C6" w:rsidRDefault="002850C6" w:rsidP="002850C6">
      <w:pPr>
        <w:ind w:left="1417" w:hanging="567"/>
        <w:rPr>
          <w:noProof/>
        </w:rPr>
      </w:pPr>
      <w:r w:rsidRPr="002850C6">
        <w:rPr>
          <w:noProof/>
        </w:rPr>
        <w:t>j)</w:t>
      </w:r>
      <w:r w:rsidRPr="002850C6">
        <w:rPr>
          <w:noProof/>
        </w:rPr>
        <w:tab/>
        <w:t xml:space="preserve">Rationalisation des demandes d’autorisation de véhicules, notamment les adaptations ou mises à niveau militaire de véhicules ferroviaires; </w:t>
      </w:r>
    </w:p>
    <w:p w14:paraId="59E229F4" w14:textId="77777777" w:rsidR="002850C6" w:rsidRPr="002850C6" w:rsidRDefault="002850C6" w:rsidP="002850C6">
      <w:pPr>
        <w:ind w:left="1417" w:hanging="567"/>
        <w:rPr>
          <w:noProof/>
        </w:rPr>
      </w:pPr>
      <w:r w:rsidRPr="002850C6">
        <w:rPr>
          <w:noProof/>
        </w:rPr>
        <w:t>k)</w:t>
      </w:r>
      <w:r w:rsidRPr="002850C6">
        <w:rPr>
          <w:noProof/>
        </w:rPr>
        <w:tab/>
        <w:t>des exigences; Les besoins militaires recensés doivent être transformés en spécifications techniques pour les STI;</w:t>
      </w:r>
    </w:p>
    <w:p w14:paraId="54704F07" w14:textId="77777777" w:rsidR="002850C6" w:rsidRPr="002850C6" w:rsidRDefault="002850C6" w:rsidP="002850C6">
      <w:pPr>
        <w:ind w:left="1417" w:hanging="567"/>
        <w:rPr>
          <w:noProof/>
        </w:rPr>
      </w:pPr>
      <w:r w:rsidRPr="002850C6">
        <w:rPr>
          <w:noProof/>
        </w:rPr>
        <w:t>l)</w:t>
      </w:r>
      <w:r w:rsidRPr="002850C6">
        <w:rPr>
          <w:noProof/>
        </w:rPr>
        <w:tab/>
        <w:t>Identification des exigences nationales et harmonisation des exigences concernant le transport exceptionnel en surcharge/hors gabarit afin de respecter le délai de rotation de 24 heures (actuellement jusqu’à 80 jours) pour les autorisations de mouvement liées à la mobilité militaire et les modalités de transport, similaires à celles applicables au transport routier; (ETP financés par des subventions)</w:t>
      </w:r>
    </w:p>
    <w:p w14:paraId="7394B421" w14:textId="77777777" w:rsidR="002850C6" w:rsidRPr="002850C6" w:rsidRDefault="002850C6" w:rsidP="002850C6">
      <w:pPr>
        <w:ind w:left="1417" w:hanging="567"/>
        <w:rPr>
          <w:noProof/>
        </w:rPr>
      </w:pPr>
      <w:r w:rsidRPr="002850C6">
        <w:rPr>
          <w:noProof/>
        </w:rPr>
        <w:t>m)</w:t>
      </w:r>
      <w:r w:rsidRPr="002850C6">
        <w:rPr>
          <w:noProof/>
        </w:rPr>
        <w:tab/>
        <w:t>Identification – Relevé et numérisation à l’aide du RINF d’itinéraires/de lignes appropriées en vue d’améliorer la prévisibilité des demandes de transports exceptionnels; (ETP financés par des subventions)</w:t>
      </w:r>
    </w:p>
    <w:p w14:paraId="2ACF481B" w14:textId="77777777" w:rsidR="002850C6" w:rsidRPr="002850C6" w:rsidRDefault="002850C6" w:rsidP="002850C6">
      <w:pPr>
        <w:ind w:left="1417" w:hanging="567"/>
        <w:rPr>
          <w:noProof/>
        </w:rPr>
      </w:pPr>
      <w:r w:rsidRPr="002850C6">
        <w:rPr>
          <w:noProof/>
        </w:rPr>
        <w:t>n)</w:t>
      </w:r>
      <w:r w:rsidRPr="002850C6">
        <w:rPr>
          <w:noProof/>
        </w:rPr>
        <w:tab/>
        <w:t>Collaboration avec des parties prenantes à vocation commerciale en ce qui concerne l’identification du matériel roulant au sein de la flotte existante susceptible d’être utilisé également à des fins militaires;</w:t>
      </w:r>
    </w:p>
    <w:p w14:paraId="6D0DFFDC" w14:textId="77777777" w:rsidR="002850C6" w:rsidRPr="002850C6" w:rsidRDefault="002850C6" w:rsidP="002850C6">
      <w:pPr>
        <w:ind w:left="1417" w:hanging="567"/>
        <w:rPr>
          <w:noProof/>
        </w:rPr>
      </w:pPr>
      <w:r w:rsidRPr="002850C6">
        <w:rPr>
          <w:noProof/>
        </w:rPr>
        <w:t>o)</w:t>
      </w:r>
      <w:r w:rsidRPr="002850C6">
        <w:rPr>
          <w:noProof/>
        </w:rPr>
        <w:tab/>
        <w:t>Collaboration supplémentaire avec des parties prenantes à vocation commerciale concernant l’identification du matériel roulant au sein de la flotte existante susceptible d’être utilisé également à des fins militaires (ETP financés par des subventions)</w:t>
      </w:r>
    </w:p>
    <w:p w14:paraId="4D1D82C6" w14:textId="77777777" w:rsidR="002850C6" w:rsidRPr="002850C6" w:rsidRDefault="002850C6" w:rsidP="002850C6">
      <w:pPr>
        <w:ind w:left="1417" w:hanging="567"/>
        <w:rPr>
          <w:noProof/>
        </w:rPr>
      </w:pPr>
      <w:r w:rsidRPr="002850C6">
        <w:rPr>
          <w:noProof/>
        </w:rPr>
        <w:t>p)</w:t>
      </w:r>
      <w:r w:rsidRPr="002850C6">
        <w:rPr>
          <w:noProof/>
        </w:rPr>
        <w:tab/>
        <w:t>Autorisations de véhicules supplémentaires en vue d’étendre le domaine d’utilisation de véhicules existants déterminés pouvant être utilisés dans le cadre de transports militaires en dehors de leur zone d’exploitation commercialement viable;  (ETP financés par des redevances)</w:t>
      </w:r>
    </w:p>
    <w:p w14:paraId="002EB67B" w14:textId="77777777" w:rsidR="002850C6" w:rsidRPr="002850C6" w:rsidRDefault="002850C6" w:rsidP="002850C6">
      <w:pPr>
        <w:ind w:left="1417" w:hanging="567"/>
        <w:rPr>
          <w:noProof/>
        </w:rPr>
      </w:pPr>
      <w:r w:rsidRPr="002850C6">
        <w:rPr>
          <w:noProof/>
        </w:rPr>
        <w:t>q)</w:t>
      </w:r>
      <w:r w:rsidRPr="002850C6">
        <w:rPr>
          <w:noProof/>
        </w:rPr>
        <w:tab/>
        <w:t>Registre – Pour accélérer les processus, l’AFE devra enregistrer le matériel roulant comme le font les États membres, ce qui est une tâche totalement nouvelle qui nécessite des connaissances du droit privé en plus de la compréhension technique (élément essentiel pour améliorer l’efficacité de la délivrance des autorisations de véhicules dans le cadre de la mobilité militaire, qui aura une incidence bénéfique à plus long terme sur toutes les autorisations;) (ETP financés par des redevances);  (ETP financés par des redevances)</w:t>
      </w:r>
    </w:p>
    <w:p w14:paraId="1B1B4A47" w14:textId="77777777" w:rsidR="002850C6" w:rsidRPr="002850C6" w:rsidRDefault="002850C6" w:rsidP="002850C6">
      <w:pPr>
        <w:ind w:left="1417" w:hanging="567"/>
        <w:rPr>
          <w:noProof/>
        </w:rPr>
      </w:pPr>
      <w:r w:rsidRPr="002850C6">
        <w:rPr>
          <w:noProof/>
        </w:rPr>
        <w:t>r)</w:t>
      </w:r>
      <w:r w:rsidRPr="002850C6">
        <w:rPr>
          <w:noProof/>
        </w:rPr>
        <w:tab/>
        <w:t>Harmonisation – Harmonisation des modes de contrôle dégradé et résilient, de commande et de signalisation des trains; (ETP financés par des subventions)</w:t>
      </w:r>
    </w:p>
    <w:p w14:paraId="00FD451D" w14:textId="77777777" w:rsidR="002850C6" w:rsidRPr="002850C6" w:rsidRDefault="002850C6" w:rsidP="002850C6">
      <w:pPr>
        <w:ind w:left="1417" w:hanging="567"/>
        <w:rPr>
          <w:noProof/>
        </w:rPr>
      </w:pPr>
      <w:r w:rsidRPr="002850C6">
        <w:rPr>
          <w:noProof/>
        </w:rPr>
        <w:t>s)</w:t>
      </w:r>
      <w:r w:rsidRPr="002850C6">
        <w:rPr>
          <w:noProof/>
        </w:rPr>
        <w:tab/>
        <w:t>Développement – Mise au point et application de modifications dans les registres de l’AFE afin d’établir un lien entre la gestion de l’enregistrement des véhicules dans le REV et le processus d’autorisation et, éventuellement, le guichet unique lié à l’enregistrement de véhicules par l’AFE; (ETP financés par des subventions)</w:t>
      </w:r>
    </w:p>
    <w:p w14:paraId="0F5117B2" w14:textId="77777777" w:rsidR="002850C6" w:rsidRPr="002850C6" w:rsidRDefault="002850C6" w:rsidP="002850C6">
      <w:pPr>
        <w:ind w:left="1417" w:hanging="567"/>
        <w:rPr>
          <w:noProof/>
        </w:rPr>
      </w:pPr>
      <w:r w:rsidRPr="002850C6">
        <w:rPr>
          <w:noProof/>
        </w:rPr>
        <w:t>t)</w:t>
      </w:r>
      <w:r w:rsidRPr="002850C6">
        <w:rPr>
          <w:noProof/>
        </w:rPr>
        <w:tab/>
        <w:t>Organisation – Organisation et présidence de forums réunissant des experts ferroviaires et des experts militaires pour résoudre des problèmes techniques (JNS militaire); (ETP financés par des subventions)</w:t>
      </w:r>
    </w:p>
    <w:p w14:paraId="3506B6F2" w14:textId="77777777" w:rsidR="002850C6" w:rsidRPr="002850C6" w:rsidRDefault="002850C6" w:rsidP="002850C6">
      <w:pPr>
        <w:ind w:left="1417" w:hanging="567"/>
        <w:rPr>
          <w:noProof/>
        </w:rPr>
      </w:pPr>
      <w:r w:rsidRPr="002850C6">
        <w:rPr>
          <w:noProof/>
        </w:rPr>
        <w:t>u)</w:t>
      </w:r>
      <w:r w:rsidRPr="002850C6">
        <w:rPr>
          <w:noProof/>
        </w:rPr>
        <w:tab/>
        <w:t>Organisation – Organisation et présidence de forums réunissant des experts ferroviaires et des experts militaires pour résoudre des problèmes techniques (JNS militaire); (ETP financés par des subventions)</w:t>
      </w:r>
    </w:p>
    <w:p w14:paraId="5DA5387E" w14:textId="77777777" w:rsidR="002850C6" w:rsidRPr="002850C6" w:rsidRDefault="002850C6" w:rsidP="002850C6">
      <w:pPr>
        <w:ind w:left="1417" w:hanging="567"/>
        <w:rPr>
          <w:noProof/>
        </w:rPr>
      </w:pPr>
      <w:r w:rsidRPr="002850C6">
        <w:rPr>
          <w:noProof/>
        </w:rPr>
        <w:t>v)</w:t>
      </w:r>
      <w:r w:rsidRPr="002850C6">
        <w:rPr>
          <w:noProof/>
        </w:rPr>
        <w:tab/>
        <w:t>Révision et harmonisation des normes militaires existantes;</w:t>
      </w:r>
    </w:p>
    <w:p w14:paraId="2675226A" w14:textId="77777777" w:rsidR="002850C6" w:rsidRPr="002850C6" w:rsidRDefault="002850C6" w:rsidP="002850C6">
      <w:pPr>
        <w:ind w:left="1417" w:hanging="567"/>
        <w:rPr>
          <w:noProof/>
        </w:rPr>
      </w:pPr>
      <w:r w:rsidRPr="002850C6">
        <w:rPr>
          <w:noProof/>
        </w:rPr>
        <w:t>w)</w:t>
      </w:r>
      <w:r w:rsidRPr="002850C6">
        <w:rPr>
          <w:noProof/>
        </w:rPr>
        <w:tab/>
        <w:t>Révision – révision et harmonisation des normes militaires existantes; (ETP financés par des subventions)</w:t>
      </w:r>
    </w:p>
    <w:p w14:paraId="76B5F633" w14:textId="77777777" w:rsidR="002850C6" w:rsidRPr="002850C6" w:rsidRDefault="002850C6" w:rsidP="002850C6">
      <w:pPr>
        <w:ind w:left="1417" w:hanging="567"/>
        <w:rPr>
          <w:noProof/>
        </w:rPr>
      </w:pPr>
      <w:r w:rsidRPr="002850C6">
        <w:rPr>
          <w:noProof/>
        </w:rPr>
        <w:t>x)</w:t>
      </w:r>
      <w:r w:rsidRPr="002850C6">
        <w:rPr>
          <w:noProof/>
        </w:rPr>
        <w:tab/>
        <w:t>Adaptation – Adaptation des STI, MSC, modalités pratiques d’autorisation des véhicules et autres documents concernés.</w:t>
      </w:r>
    </w:p>
    <w:p w14:paraId="3DB2FD7C" w14:textId="77777777" w:rsidR="002850C6" w:rsidRPr="002850C6" w:rsidRDefault="002850C6" w:rsidP="002850C6">
      <w:pPr>
        <w:ind w:left="1417" w:hanging="567"/>
        <w:rPr>
          <w:noProof/>
          <w:color w:val="000000" w:themeColor="text1"/>
        </w:rPr>
      </w:pPr>
      <w:r w:rsidRPr="002850C6">
        <w:rPr>
          <w:noProof/>
        </w:rPr>
        <w:t>y)</w:t>
      </w:r>
      <w:r w:rsidRPr="002850C6">
        <w:rPr>
          <w:noProof/>
        </w:rPr>
        <w:tab/>
      </w:r>
    </w:p>
    <w:p w14:paraId="16B35ABC"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ce qui concerne l’AESA:</w:t>
      </w:r>
    </w:p>
    <w:p w14:paraId="79ACAC38" w14:textId="77777777" w:rsidR="002850C6" w:rsidRPr="002850C6" w:rsidRDefault="002850C6" w:rsidP="002850C6">
      <w:pPr>
        <w:ind w:left="1417" w:hanging="567"/>
        <w:rPr>
          <w:noProof/>
        </w:rPr>
      </w:pPr>
      <w:r w:rsidRPr="002850C6">
        <w:rPr>
          <w:noProof/>
        </w:rPr>
        <w:t>z)</w:t>
      </w:r>
      <w:r w:rsidRPr="002850C6">
        <w:rPr>
          <w:noProof/>
        </w:rPr>
        <w:tab/>
        <w:t>Accélération de l’élaboration de la réglementation applicable aux systèmes d’aéronefs sans équipage à bord (UAS) dans la catégorie certifiée permettant le double usage d’UAS. La contribution à l’élaboration de la réglementation pour l’exploitation civile d’UAS dans la catégorie certifiée accélérera aussi l’élaboration à l’échelle européenne d’UAS à double usage et leur intégration dans l’espace aérien européen. Il convient de donner la priorité à l’élaboration d’un règlement sur les drones de catégorie certifiée par l’AESA en association avec les autorités militaires.</w:t>
      </w:r>
    </w:p>
    <w:p w14:paraId="7057DCF2" w14:textId="77777777" w:rsidR="002850C6" w:rsidRPr="002850C6" w:rsidRDefault="002850C6" w:rsidP="002850C6">
      <w:pPr>
        <w:ind w:left="1417" w:hanging="567"/>
        <w:rPr>
          <w:noProof/>
        </w:rPr>
      </w:pPr>
      <w:r w:rsidRPr="002850C6">
        <w:rPr>
          <w:noProof/>
        </w:rPr>
        <w:t>aa)</w:t>
      </w:r>
      <w:r w:rsidRPr="002850C6">
        <w:rPr>
          <w:noProof/>
        </w:rPr>
        <w:tab/>
        <w:t>Accélération de la fourniture de nouvelles capacités de mobilité militaire rendues possibles par un recours facilité à des systèmes de drones à double usage innovants et d’aéronefs avec équipage à bord et à des systèmes antidrones (C-UAS), par la mise en place d’un réseau de centres d’essais mixtes civils/militaires et d’un cadre harmonisé pour les bacs à sable réglementaires.</w:t>
      </w:r>
    </w:p>
    <w:p w14:paraId="75C432D0" w14:textId="77777777" w:rsidR="002850C6" w:rsidRPr="002850C6" w:rsidRDefault="002850C6" w:rsidP="002850C6">
      <w:pPr>
        <w:ind w:left="1417" w:hanging="567"/>
        <w:rPr>
          <w:noProof/>
        </w:rPr>
      </w:pPr>
      <w:r w:rsidRPr="002850C6">
        <w:rPr>
          <w:noProof/>
        </w:rPr>
        <w:t>bb)</w:t>
      </w:r>
      <w:r w:rsidRPr="002850C6">
        <w:rPr>
          <w:noProof/>
        </w:rPr>
        <w:tab/>
        <w:t>Harmonisation des réglementation et orientations techniques applicables aux systèmes antidrones afin de renforcer la résilience des infrastructures et d’atténuer l’incidence des drones sur la sécurité aérienne.</w:t>
      </w:r>
    </w:p>
    <w:p w14:paraId="02DE3BFE" w14:textId="77777777" w:rsidR="002850C6" w:rsidRPr="002850C6" w:rsidRDefault="002850C6" w:rsidP="002850C6">
      <w:pPr>
        <w:ind w:left="1417" w:hanging="567"/>
        <w:rPr>
          <w:noProof/>
        </w:rPr>
      </w:pPr>
      <w:r w:rsidRPr="002850C6">
        <w:rPr>
          <w:noProof/>
        </w:rPr>
        <w:t>cc)</w:t>
      </w:r>
      <w:r w:rsidRPr="002850C6">
        <w:rPr>
          <w:noProof/>
        </w:rPr>
        <w:tab/>
        <w:t>Harmonisation des réglementation et orientations techniques visant à faciliter la mobilité militaire aérienne et l’interopérabilité avec l’aviation civile tout en assurant un niveau de sécurité approprié dans le domaine de l’exploitation d’aéronefs militaires ou de l’utilisation d’équipements sur les aérodromes à double usage, celui des aéronefs de transport à double usage de la réserve de solidarité, celui de l’utilisation commune UE-OTAN de normes techniques (en particulier pour les drones, avec des fonctions fondées sur l’IA), celui de la méthode d’évaluation de la fiabilité des fonctions fondées sur l’IA des drones et enfin celui de l’intégration du trafic aérien dans les espaces aériens à basse altitude et l’U-space.</w:t>
      </w:r>
    </w:p>
    <w:p w14:paraId="22B03E71" w14:textId="77777777" w:rsidR="002850C6" w:rsidRPr="002850C6" w:rsidRDefault="002850C6" w:rsidP="002850C6">
      <w:pPr>
        <w:ind w:left="1417" w:hanging="567"/>
        <w:rPr>
          <w:noProof/>
        </w:rPr>
      </w:pPr>
      <w:bookmarkStart w:id="59" w:name="_Hlk212808425"/>
      <w:r w:rsidRPr="002850C6">
        <w:rPr>
          <w:noProof/>
        </w:rPr>
        <w:t>dd)</w:t>
      </w:r>
      <w:r w:rsidRPr="002850C6">
        <w:rPr>
          <w:noProof/>
        </w:rPr>
        <w:tab/>
        <w:t>Élaboration de propositions de modifications en vue d’inscrire la protection des infrastructures essentielles de communication, de navigation et de surveillance et du spectre utilisé par ces systèmes sur la liste des services essentiels à protéger au titre de la directive (UE) 2022/2557 sur la résilience des entités critiques et du règlement délégué (UE) 2023/2450 de la Commission établissant une liste de services essentiels.</w:t>
      </w:r>
    </w:p>
    <w:p w14:paraId="5E582D3F" w14:textId="77777777" w:rsidR="002850C6" w:rsidRPr="002850C6" w:rsidRDefault="002850C6" w:rsidP="002850C6">
      <w:pPr>
        <w:ind w:left="1417" w:hanging="567"/>
        <w:rPr>
          <w:noProof/>
        </w:rPr>
      </w:pPr>
      <w:r w:rsidRPr="002850C6">
        <w:rPr>
          <w:noProof/>
        </w:rPr>
        <w:t>ee)</w:t>
      </w:r>
      <w:r w:rsidRPr="002850C6">
        <w:rPr>
          <w:noProof/>
        </w:rPr>
        <w:tab/>
        <w:t>Élaboration d’orientations destinées à renforcer la surveillance des interférences avec les communications par radiofréquence et la coordination avec les autorités locales chargées du contrôle du spectre et de l’application de la législation afin de prévenir les interférences avec les infrastructures CNS et d’y réagir</w:t>
      </w:r>
      <w:bookmarkEnd w:id="59"/>
    </w:p>
    <w:p w14:paraId="77CCC391" w14:textId="77777777" w:rsidR="002850C6" w:rsidRPr="002850C6" w:rsidRDefault="002850C6" w:rsidP="002850C6">
      <w:pPr>
        <w:ind w:left="1417" w:hanging="567"/>
        <w:rPr>
          <w:noProof/>
          <w:color w:val="000000" w:themeColor="text1"/>
        </w:rPr>
      </w:pPr>
      <w:r w:rsidRPr="002850C6">
        <w:rPr>
          <w:noProof/>
        </w:rPr>
        <w:t>ff)</w:t>
      </w:r>
      <w:r w:rsidRPr="002850C6">
        <w:rPr>
          <w:noProof/>
        </w:rPr>
        <w:tab/>
      </w:r>
    </w:p>
    <w:p w14:paraId="05779148" w14:textId="77777777" w:rsidR="002850C6" w:rsidRPr="002850C6" w:rsidRDefault="002850C6" w:rsidP="002850C6">
      <w:pPr>
        <w:keepNext/>
        <w:tabs>
          <w:tab w:val="left" w:pos="850"/>
        </w:tabs>
        <w:ind w:left="850" w:hanging="850"/>
        <w:outlineLvl w:val="2"/>
        <w:rPr>
          <w:i/>
          <w:noProof/>
          <w:color w:val="000000" w:themeColor="text1"/>
        </w:rPr>
      </w:pPr>
      <w:bookmarkStart w:id="60" w:name="_Toc213612573"/>
      <w:r w:rsidRPr="002850C6">
        <w:rPr>
          <w:i/>
          <w:noProof/>
          <w:color w:val="000000" w:themeColor="text1"/>
        </w:rPr>
        <w:t>1.3.4.</w:t>
      </w:r>
      <w:r w:rsidRPr="002850C6">
        <w:rPr>
          <w:i/>
          <w:noProof/>
        </w:rPr>
        <w:tab/>
      </w:r>
      <w:r w:rsidRPr="002850C6">
        <w:rPr>
          <w:i/>
          <w:noProof/>
          <w:color w:val="000000" w:themeColor="text1"/>
        </w:rPr>
        <w:t>Indicateurs de performance</w:t>
      </w:r>
      <w:bookmarkEnd w:id="60"/>
    </w:p>
    <w:p w14:paraId="570D3785" w14:textId="77777777" w:rsidR="002850C6" w:rsidRPr="002850C6" w:rsidRDefault="002850C6" w:rsidP="002850C6">
      <w:pPr>
        <w:keepNext/>
        <w:tabs>
          <w:tab w:val="left" w:pos="850"/>
        </w:tabs>
        <w:ind w:left="850" w:hanging="850"/>
        <w:outlineLvl w:val="2"/>
        <w:rPr>
          <w:i/>
          <w:noProof/>
          <w:color w:val="000000" w:themeColor="text1"/>
        </w:rPr>
      </w:pPr>
      <w:bookmarkStart w:id="61" w:name="_Toc213612574"/>
      <w:r w:rsidRPr="002850C6">
        <w:rPr>
          <w:noProof/>
          <w:color w:val="000000" w:themeColor="text1"/>
          <w:sz w:val="20"/>
        </w:rPr>
        <w:t>Préciser les indicateurs permettant de suivre l’avancement et les réalisations.</w:t>
      </w:r>
      <w:bookmarkEnd w:id="61"/>
    </w:p>
    <w:p w14:paraId="3117C448"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Contexte général:</w:t>
      </w:r>
    </w:p>
    <w:p w14:paraId="77D1C54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Compte tenu de l’objectif général du règlement sur la mobilité militaire, ses résultats et son incidence seront évalués au moyen d’une évaluation rétrospective qui suivra la période de mise en œuvre. La Commission veillera à ce que des indicateurs de performance appropriés soient établis et fassent l’objet d’un suivi, parmi lesquels peuvent figurer:</w:t>
      </w:r>
    </w:p>
    <w:p w14:paraId="458983A4"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la réduction du délai moyen de traitement des autorisations de mouvements militaires transfrontières;</w:t>
      </w:r>
    </w:p>
    <w:p w14:paraId="478BFE6C"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le nombre d’actifs de transport et prestataires de services à double usage enregistrés dans la réserve de solidarité;</w:t>
      </w:r>
    </w:p>
    <w:p w14:paraId="60AC58E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l’augmentation de la disponibilité et de l’interopérabilité des infrastructures à double usage considérées comme stratégiques pour la mobilité militaire; – le nombre d’États membres participant à la réserve de solidarité ou en bénéficiant – le nombre de réunions du groupe sur la mobilité militaire et l’importance de l’assistance en secrétariat fournie par la Commission pour leur organisation; – le nombre d’exercices, de tests de résistance ou de simulations d’urgence menés au titre des cadres de préparation et de résilience;</w:t>
      </w:r>
    </w:p>
    <w:p w14:paraId="4EDAECA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la réduction des goulets d’étranglement en matière de procédures ou d’infrastructures ayant une incidence sur la mobilité militaire dans l’ensemble de l’Union.</w:t>
      </w:r>
    </w:p>
    <w:p w14:paraId="3FB4D978"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En ce qui concerne l’AFE:</w:t>
      </w:r>
    </w:p>
    <w:p w14:paraId="1807A989"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le nombre de véhicules à double usage figurant dans les registres de l’AFE (REV, RETVA) et le nombre de véhicules autorisés par l’AFE à la suite d’une délégation de l’ANS de l’État membre;</w:t>
      </w:r>
    </w:p>
    <w:p w14:paraId="78FFB78B"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la réduction de la durée de la procédure d’autorisation de ces véhicules;</w:t>
      </w:r>
    </w:p>
    <w:p w14:paraId="05315A58"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le nombre de règles techniques et opérationnelles qu’il est recommandé de modifier pour faciliter les transports militaires;</w:t>
      </w:r>
    </w:p>
    <w:p w14:paraId="51638569"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le nombre de paramètres du registre de l’AFE ajoutés pour faciliter les transports exceptionnels.</w:t>
      </w:r>
    </w:p>
    <w:p w14:paraId="7201E3C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xml:space="preserve"> En ce qui concerne l’AESA:</w:t>
      </w:r>
    </w:p>
    <w:p w14:paraId="4D8B88C7"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le nombre de demandes de certification d’aéronefs à double usage ou de modification (UAS inclus) conformément aux règles communes élaborées par l’AESA;</w:t>
      </w:r>
    </w:p>
    <w:p w14:paraId="7D0B2B8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le nombre de bacs à sable réglementaires mis en place pour des technologies innovantes concernant les aéronefs à double usage;</w:t>
      </w:r>
    </w:p>
    <w:p w14:paraId="309105AD"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r w:rsidRPr="002850C6">
        <w:rPr>
          <w:noProof/>
          <w:color w:val="000000" w:themeColor="text1"/>
        </w:rPr>
        <w:t xml:space="preserve">– le nombre de règles techniques et opérationnelles adoptées ou modifiées pour faciliter les transports militaires ou renforcer la résilience des infrastructures critiques. </w:t>
      </w:r>
    </w:p>
    <w:p w14:paraId="4693839B"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1210"/>
        <w:rPr>
          <w:noProof/>
          <w:color w:val="000000" w:themeColor="text1"/>
        </w:rPr>
      </w:pPr>
    </w:p>
    <w:p w14:paraId="242CAF45" w14:textId="77777777" w:rsidR="002850C6" w:rsidRPr="002850C6" w:rsidRDefault="002850C6" w:rsidP="002850C6">
      <w:pPr>
        <w:keepNext/>
        <w:tabs>
          <w:tab w:val="left" w:pos="850"/>
        </w:tabs>
        <w:ind w:left="850" w:hanging="850"/>
        <w:outlineLvl w:val="1"/>
        <w:rPr>
          <w:b/>
          <w:noProof/>
          <w:color w:val="000000" w:themeColor="text1"/>
        </w:rPr>
      </w:pPr>
      <w:bookmarkStart w:id="62" w:name="_Toc213612575"/>
      <w:r w:rsidRPr="002850C6">
        <w:rPr>
          <w:b/>
          <w:noProof/>
          <w:color w:val="000000" w:themeColor="text1"/>
        </w:rPr>
        <w:t>1.4.</w:t>
      </w:r>
      <w:r w:rsidRPr="002850C6">
        <w:rPr>
          <w:b/>
          <w:noProof/>
        </w:rPr>
        <w:tab/>
      </w:r>
      <w:r w:rsidRPr="002850C6">
        <w:rPr>
          <w:b/>
          <w:noProof/>
          <w:color w:val="000000" w:themeColor="text1"/>
        </w:rPr>
        <w:t>La proposition/l’initiative porte sur:</w:t>
      </w:r>
      <w:bookmarkEnd w:id="62"/>
      <w:r w:rsidRPr="002850C6">
        <w:rPr>
          <w:b/>
          <w:noProof/>
          <w:color w:val="000000" w:themeColor="text1"/>
        </w:rPr>
        <w:t xml:space="preserve"> </w:t>
      </w:r>
    </w:p>
    <w:p w14:paraId="614CBB5D" w14:textId="77777777" w:rsidR="002850C6" w:rsidRPr="002850C6" w:rsidRDefault="002850C6" w:rsidP="002850C6">
      <w:pPr>
        <w:ind w:left="850"/>
        <w:rPr>
          <w:noProof/>
          <w:color w:val="000000" w:themeColor="text1"/>
          <w:sz w:val="22"/>
        </w:rPr>
      </w:pPr>
      <w:r w:rsidRPr="002850C6">
        <w:rPr>
          <w:rFonts w:ascii="Wingdings" w:hAnsi="Wingdings"/>
          <w:noProof/>
          <w:color w:val="000000" w:themeColor="text1"/>
          <w:sz w:val="22"/>
        </w:rPr>
        <w:t></w:t>
      </w:r>
      <w:r w:rsidRPr="002850C6">
        <w:rPr>
          <w:noProof/>
        </w:rPr>
        <w:t xml:space="preserve"> une action nouvelle</w:t>
      </w:r>
      <w:r w:rsidRPr="002850C6">
        <w:rPr>
          <w:noProof/>
          <w:color w:val="000000" w:themeColor="text1"/>
          <w:sz w:val="22"/>
        </w:rPr>
        <w:t xml:space="preserve"> </w:t>
      </w:r>
    </w:p>
    <w:p w14:paraId="57BCBBB2" w14:textId="77777777" w:rsidR="002850C6" w:rsidRPr="002850C6" w:rsidRDefault="002850C6" w:rsidP="002850C6">
      <w:pPr>
        <w:ind w:left="850"/>
        <w:rPr>
          <w:noProof/>
          <w:color w:val="000000" w:themeColor="text1"/>
          <w:sz w:val="22"/>
        </w:rPr>
      </w:pPr>
      <w:r w:rsidRPr="002850C6">
        <w:rPr>
          <w:rFonts w:ascii="Wingdings" w:hAnsi="Wingdings"/>
          <w:noProof/>
          <w:color w:val="000000" w:themeColor="text1"/>
          <w:sz w:val="22"/>
        </w:rPr>
        <w:t></w:t>
      </w:r>
      <w:r w:rsidRPr="002850C6">
        <w:rPr>
          <w:i/>
          <w:noProof/>
          <w:color w:val="000000" w:themeColor="text1"/>
          <w:sz w:val="22"/>
        </w:rPr>
        <w:t xml:space="preserve"> </w:t>
      </w:r>
      <w:r w:rsidRPr="002850C6">
        <w:rPr>
          <w:noProof/>
          <w:color w:val="000000" w:themeColor="text1"/>
        </w:rPr>
        <w:t>une action nouvelle suite à un projet pilote/une action préparatoire</w:t>
      </w:r>
      <w:r w:rsidRPr="008F47E2">
        <w:rPr>
          <w:rStyle w:val="FootnoteReference"/>
          <w:noProof/>
        </w:rPr>
        <w:footnoteReference w:id="63"/>
      </w:r>
      <w:r w:rsidRPr="002850C6">
        <w:rPr>
          <w:noProof/>
          <w:color w:val="000000" w:themeColor="text1"/>
          <w:sz w:val="22"/>
        </w:rPr>
        <w:t xml:space="preserve"> </w:t>
      </w:r>
    </w:p>
    <w:p w14:paraId="7E797E7E" w14:textId="77777777" w:rsidR="002850C6" w:rsidRPr="002850C6" w:rsidRDefault="002850C6" w:rsidP="002850C6">
      <w:pPr>
        <w:ind w:left="850"/>
        <w:rPr>
          <w:noProof/>
          <w:color w:val="000000" w:themeColor="text1"/>
          <w:sz w:val="22"/>
        </w:rPr>
      </w:pPr>
      <w:r w:rsidRPr="002850C6">
        <w:rPr>
          <w:rFonts w:ascii="Wingdings" w:hAnsi="Wingdings"/>
          <w:noProof/>
          <w:color w:val="000000" w:themeColor="text1"/>
          <w:sz w:val="22"/>
        </w:rPr>
        <w:t></w:t>
      </w:r>
      <w:r w:rsidRPr="002850C6">
        <w:rPr>
          <w:noProof/>
        </w:rPr>
        <w:t xml:space="preserve"> la prolongation d’une action existante</w:t>
      </w:r>
      <w:r w:rsidRPr="002850C6">
        <w:rPr>
          <w:noProof/>
          <w:color w:val="000000" w:themeColor="text1"/>
          <w:sz w:val="22"/>
        </w:rPr>
        <w:t xml:space="preserve"> </w:t>
      </w:r>
    </w:p>
    <w:p w14:paraId="15F69805" w14:textId="77777777" w:rsidR="002850C6" w:rsidRPr="002850C6" w:rsidRDefault="002850C6" w:rsidP="002850C6">
      <w:pPr>
        <w:ind w:left="850"/>
        <w:rPr>
          <w:noProof/>
          <w:color w:val="000000" w:themeColor="text1"/>
        </w:rPr>
      </w:pPr>
      <w:r w:rsidRPr="002850C6">
        <w:rPr>
          <w:rFonts w:ascii="Wingdings" w:hAnsi="Wingdings"/>
          <w:noProof/>
          <w:color w:val="000000" w:themeColor="text1"/>
          <w:sz w:val="22"/>
        </w:rPr>
        <w:t></w:t>
      </w:r>
      <w:r w:rsidRPr="002850C6">
        <w:rPr>
          <w:noProof/>
        </w:rPr>
        <w:t xml:space="preserve"> une fusion ou une réorientation d’une ou de plusieurs actions vers une autre action/une action nouvelle</w:t>
      </w:r>
    </w:p>
    <w:p w14:paraId="3032AF31" w14:textId="77777777" w:rsidR="002850C6" w:rsidRPr="002850C6" w:rsidRDefault="002850C6" w:rsidP="002850C6">
      <w:pPr>
        <w:keepNext/>
        <w:tabs>
          <w:tab w:val="left" w:pos="850"/>
        </w:tabs>
        <w:ind w:left="850" w:hanging="850"/>
        <w:outlineLvl w:val="1"/>
        <w:rPr>
          <w:b/>
          <w:noProof/>
          <w:color w:val="000000" w:themeColor="text1"/>
          <w:szCs w:val="24"/>
        </w:rPr>
      </w:pPr>
      <w:bookmarkStart w:id="63" w:name="_Toc514938025"/>
      <w:bookmarkStart w:id="64" w:name="_Toc520485034"/>
      <w:bookmarkStart w:id="65" w:name="_Toc160804576"/>
      <w:bookmarkStart w:id="66" w:name="_Toc213612576"/>
      <w:r w:rsidRPr="002850C6">
        <w:rPr>
          <w:b/>
          <w:noProof/>
          <w:color w:val="000000" w:themeColor="text1"/>
        </w:rPr>
        <w:t>1.5.</w:t>
      </w:r>
      <w:r w:rsidRPr="002850C6">
        <w:rPr>
          <w:b/>
          <w:noProof/>
        </w:rPr>
        <w:tab/>
      </w:r>
      <w:r w:rsidRPr="002850C6">
        <w:rPr>
          <w:b/>
          <w:noProof/>
          <w:color w:val="000000" w:themeColor="text1"/>
        </w:rPr>
        <w:t>Justification(s) de la proposition/de l'initiative</w:t>
      </w:r>
      <w:bookmarkEnd w:id="63"/>
      <w:bookmarkEnd w:id="64"/>
      <w:bookmarkEnd w:id="65"/>
      <w:bookmarkEnd w:id="66"/>
      <w:r w:rsidRPr="002850C6">
        <w:rPr>
          <w:b/>
          <w:noProof/>
          <w:color w:val="000000" w:themeColor="text1"/>
        </w:rPr>
        <w:t xml:space="preserve"> </w:t>
      </w:r>
    </w:p>
    <w:p w14:paraId="2377A732" w14:textId="77777777" w:rsidR="002850C6" w:rsidRPr="002850C6" w:rsidRDefault="002850C6" w:rsidP="002850C6">
      <w:pPr>
        <w:keepNext/>
        <w:tabs>
          <w:tab w:val="left" w:pos="850"/>
        </w:tabs>
        <w:ind w:left="850" w:hanging="850"/>
        <w:outlineLvl w:val="2"/>
        <w:rPr>
          <w:i/>
          <w:noProof/>
          <w:color w:val="000000" w:themeColor="text1"/>
        </w:rPr>
      </w:pPr>
      <w:bookmarkStart w:id="67" w:name="_Toc514938026"/>
      <w:bookmarkStart w:id="68" w:name="_Toc520485035"/>
      <w:bookmarkStart w:id="69" w:name="_Toc160804577"/>
      <w:bookmarkStart w:id="70" w:name="_Toc213612577"/>
      <w:r w:rsidRPr="002850C6">
        <w:rPr>
          <w:i/>
          <w:noProof/>
          <w:color w:val="000000" w:themeColor="text1"/>
        </w:rPr>
        <w:t>1.5.1.</w:t>
      </w:r>
      <w:r w:rsidRPr="002850C6">
        <w:rPr>
          <w:i/>
          <w:noProof/>
        </w:rPr>
        <w:tab/>
      </w:r>
      <w:r w:rsidRPr="002850C6">
        <w:rPr>
          <w:i/>
          <w:noProof/>
          <w:color w:val="000000" w:themeColor="text1"/>
        </w:rPr>
        <w:t>Besoin(s) à satisfaire à court ou à long terme, assorti(s) d’un calendrier détaillé pour la mise en œuvre de l’initiative</w:t>
      </w:r>
      <w:bookmarkEnd w:id="67"/>
      <w:bookmarkEnd w:id="68"/>
      <w:bookmarkEnd w:id="69"/>
      <w:bookmarkEnd w:id="70"/>
    </w:p>
    <w:p w14:paraId="4055EC1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Contexte général:</w:t>
      </w:r>
    </w:p>
    <w:p w14:paraId="3B4E769C"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Le règlement établit un cadre juridique harmonisé permettant le transport rapide, sûr et prévisible de personnels et d’équipements militaires dans l’ensemble de l’Union. Ce cadre sera contraignant à partir de la date d’entrée en vigueur du règlement. À court terme, la mise en œuvre sera concentrée sur l’adoption des actes d’exécution nécessaires. Immédiatement après l’entrée en vigueur du règlement, qui devrait encore intervenir dans le cadre du CFP actuel (2021-2027), des mesures concrètes seront prises en vue de mettre en place la réserve de solidarité et d’accroître la visibilité des actifs de transport à double usage disponibles. Il s’agira notamment de mettre en place un module informatique sécurisé permettant d’enregistrer les capacités de mobilité militaire au sein de la réserve et de traiter les demandes d’assistance. Selon les estimations, cela nécessiterait des ressources en informatique (2 ETP) en 2027. </w:t>
      </w:r>
    </w:p>
    <w:p w14:paraId="4C29131E"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outre, immédiatement après l’entrée en vigueur du règlement, pour assurer le secrétariat du groupe sur les transports liés à la mobilité militaire et superviser le processus de mise en place de la réserve de solidarité, la Commission aura besoin de 2 ETP au sein de la DG DEFIS pour 2027.</w:t>
      </w:r>
    </w:p>
    <w:p w14:paraId="5ECF349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Dans le cadre du CFP 2028-2034, l’administration opérationnelle et la gestion de la réserve (enregistrement effectif des capacités, traitement des demandes et déploiements) devraient nécessiter 30 ETP par an au titre du prochain CFP (2028-2034). Le Fonds européen pour la compétitivité prévoit des actions éligibles destinées à soutenir les dépenses liées à la mise en place et au fonctionnement de la réserve de solidarité dans le prochain CFP. </w:t>
      </w:r>
    </w:p>
    <w:p w14:paraId="4E20BA9A"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Le soutien au secrétariat du groupe sur les transports liés à la mobilité militaire et la supervision de la mise en place et du pilotage de la réserve de solidarité continueront de nécessiter 2 ETP par an au sein de la DG DEFIS.</w:t>
      </w:r>
    </w:p>
    <w:p w14:paraId="58A37F8F"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outre, à partir de l’entrée en vigueur du règlement et dans le cadre du prochain CFP (2028-2034), [5] ETP (AD) seront nécessaires au sein de la DG MOVE. Premièrement, des ressources humaines supplémentaires seront nécessaires pour la coordination des quatre corridors de mobilité militaire étant donné que le règlement impose de nouvelles obligations aux États membres et confie de nouvelles tâches et responsabilités à la Commission. La mise à niveau des quatre corridors pour les rendre conformes aux normes en matière d’infrastructures militaires devenant obligatoire, la DG MOVE devra analyser la conformité de ces corridors avec ces normes. Elle devra piloter de nouveaux processus et exercer des tâches de coordination supplémentaires liées à l’alignement des besoins d’investissement et des délais de mise en œuvre le long des corridors, à la cohérence de la planification des investissements et à la coordination entre les ministères de la défense et des transports des États membres. La DG MOVE devra également soutenir les États membres dans leurs nouvelles obligations de coordination énoncées à l’article 32, y compris en ce qui concerne la désignation des itinéraires, des nœuds de transport et des installations sur les corridors et l’évaluation complète des risques. Afin de permettre à la Commission d’exercer la nouvelle responsabilité qui lui incombe au titre du règlement en matière d’aide aux États membres dans le recensement et la mise en œuvre cohérente d’investissements dans les «points névralgiques» le long des corridors (article 32), d’importants travaux de coordination supplémentaires sont nécessaires. Par ailleurs, des ressources supplémentaires seront nécessaires au sein de la DG MOVE, qui devra s’acquitter de la nouvelle responsabilité qui incombe à la Commission d’évaluer régulièrement les listes d’infrastructures stratégiques à double usage présentées par les États membres et de définir des mesures de base et des mesures renforcées de protection et de résilience pour cet exercice (articles 33 et 34). Enfin, la prochaine révision des besoins militaires de l’UE en matière d’infrastructures entraînera des tâches donc des besoins en ressources supplémentaires pour la DG MOVE portant, à moyen terme, sur l’utilisation opérationnelle de procédures harmonisées, les points de contact nationaux et la plateforme numérique pour les autorisations de mouvement. Les objectifs à plus long terme comprennent l’intégration de mesures de résilience pour les infrastructures stratégiques à double usage et la convergence vers une plus grande interopérabilité avec l’OTAN et d’autres partenaires. Le règlement est donc conçu pour un déploiement progressif, une fonctionnalité précoce étant envisagée et une pleine maturité étant possible au cours de la période suivante du cadre financier pluriannuel.</w:t>
      </w:r>
    </w:p>
    <w:p w14:paraId="13617415"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Du côté de la DG TAXUD, un ETP supplémentaire sera nécessaire pour la simplification des formalités douanières et la numérisation du formulaire 302 de l’UE, en ce compris les travaux analytiques et préparatoires destinés à permettre la mise en place du cadre pour l’aspect douanier et les exigences spécifiques, ainsi qu’à assurer le suivi de la mise en œuvre correcte de ces aspects douaniers dans l’éventuel futur outil informatique. </w:t>
      </w:r>
    </w:p>
    <w:p w14:paraId="1CAF0905"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ce qui concerne l’AFE:</w:t>
      </w:r>
    </w:p>
    <w:p w14:paraId="01F9D1EC"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adaptation des STI et des MSC conformément au train de mesures sur la mobilité militaire;</w:t>
      </w:r>
    </w:p>
    <w:p w14:paraId="67F6FAB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 harmonisation des exigences techniques en matière de mobilité militaire; </w:t>
      </w:r>
    </w:p>
    <w:p w14:paraId="08FC156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adaptation des registres et outils de l’AFE].</w:t>
      </w:r>
    </w:p>
    <w:p w14:paraId="49CCA96A"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ce qui concerne l’AESA:</w:t>
      </w:r>
    </w:p>
    <w:p w14:paraId="4B8C216C"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L’AESA devrait d’abord accélérer l’élaboration de la réglementation applicable aux systèmes d’aéronefs sans équipage à bord (UAS) dans la catégorie certifiée, en particulier leur intégration dans la circulation aérienne générale, et promouvoir les bacs à sable réglementaires en conséquence. À la suite d’une première expérimentation, menée à l’initiative de plusieurs États membres de l’UE, l’AESA devrait continuer à élaborer des orientations pour l’évaluation des nouveaux risques liés à l’exploitation d’aéronefs militaires ou à l’installation d’équipements dans des aérodromes civils. Cela nécessitera le renforcement de l’AESA avec 2 ETP supplémentaires à un stade très précoce du processus.</w:t>
      </w:r>
    </w:p>
    <w:p w14:paraId="59EB04E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Réaliser les activités prioritaires liées aux systèmes antidrones ou aux réglementation, orientations et normes harmonisées. Les tâches et objectifs énumérés au point 1.3.3 ne font pas partie du mandat actuel de l’AESA, qui est axé sur le domaine civil. La réalisation de ces objectifs nécessite des ressources supplémentaires estimées à 6 ETP. Certaines des activités correspondantes seront financées par des redevances et des droits (3 ETP au total), tandis que d’autres objectifs et tâches sont de nature purement réglementaire et visent à établir et à maintenir au fil du temps de nouvelles règles permettant de compléter le cadre réglementaire actuel de l’UE et la réalisation d’opérations aériennes à double usage harmonisées, fluides et sûres. Ces objectifs et tâches ne peuvent pas être financés par des droits et redevances et nécessitent donc un financement supplémentaire sous la forme de subventions (3 ETP). L’AESA ne dispose pas de l’expertise nécessaire pour couvrir les activités proposées: le redéploiement interne des ressources a été évalué mais n’a pas été jugé approprié (manque d’expertise) ou possible sans mise en péril des activités actuelles confiées à l’AESA par le règlement de base.</w:t>
      </w:r>
    </w:p>
    <w:p w14:paraId="2826DAA5" w14:textId="77777777" w:rsidR="002850C6" w:rsidRPr="002850C6" w:rsidRDefault="002850C6" w:rsidP="002850C6">
      <w:pPr>
        <w:keepNext/>
        <w:tabs>
          <w:tab w:val="left" w:pos="850"/>
        </w:tabs>
        <w:ind w:left="850" w:hanging="850"/>
        <w:outlineLvl w:val="2"/>
        <w:rPr>
          <w:i/>
          <w:noProof/>
          <w:color w:val="000000" w:themeColor="text1"/>
          <w:szCs w:val="24"/>
        </w:rPr>
      </w:pPr>
      <w:bookmarkStart w:id="71" w:name="_Toc514938029"/>
      <w:bookmarkStart w:id="72" w:name="_Toc520485036"/>
      <w:bookmarkStart w:id="73" w:name="_Toc160804578"/>
      <w:bookmarkStart w:id="74" w:name="_Toc213612578"/>
      <w:r w:rsidRPr="002850C6">
        <w:rPr>
          <w:i/>
          <w:noProof/>
          <w:color w:val="000000" w:themeColor="text1"/>
        </w:rPr>
        <w:t>1.5.2.</w:t>
      </w:r>
      <w:r w:rsidRPr="002850C6">
        <w:rPr>
          <w:i/>
          <w:noProof/>
        </w:rPr>
        <w:tab/>
      </w:r>
      <w:r w:rsidRPr="002850C6">
        <w:rPr>
          <w:i/>
          <w:noProof/>
          <w:color w:val="000000" w:themeColor="text1"/>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71"/>
      <w:bookmarkEnd w:id="72"/>
      <w:bookmarkEnd w:id="73"/>
      <w:bookmarkEnd w:id="74"/>
    </w:p>
    <w:p w14:paraId="759EBA8A"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Justification de l’action au niveau de l’UE (ex ante)</w:t>
      </w:r>
    </w:p>
    <w:p w14:paraId="65672EBA"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La participation de l’UE apporte une valeur ajoutée manifeste car elle permet d’assurer la cohérence, l’interopérabilité et la sécurité juridique entre les États membres dans le domaine de la mobilité militaire (objectifs ne pouvant être atteints par une action nationale seule). Le règlement crée un cadre pour les procédures de transport transfrontières, prévoit des mesures visant à accroître la résilience des infrastructures et la mise en commun des capacités, éliminant ainsi la fragmentation, réduisant la charge administrative et permettant une réaction coordonnée à l’échelle de l’Union dans les situations d’urgence. Il assure la complémentarité avec les processus de planification de l’OTAN et optimise l’efficacité grâce à la création de l’outil numérique l’accent qui est mis sur l’interopérabilité. Le principe de subsidiarité est respecté et la valeur ajoutée européenne confirmée</w:t>
      </w:r>
    </w:p>
    <w:p w14:paraId="4278734E"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Valeur ajoutée de l’UE escomptée (ex post)</w:t>
      </w:r>
    </w:p>
    <w:p w14:paraId="21EC5A18"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L’harmonisation de la réglementation relative à la mobilité militaire à l’échelon de l’UE apportera des avantages en matière de coordination.</w:t>
      </w:r>
    </w:p>
    <w:p w14:paraId="03490DA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ce qui concerne la réserve de solidarité:</w:t>
      </w:r>
    </w:p>
    <w:p w14:paraId="249CBB3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accroissement de la disponibilité des capacités de mobilité militaire;</w:t>
      </w:r>
    </w:p>
    <w:p w14:paraId="2BC6419D"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amélioration de l’utilisation efficace des capacités disponibles;</w:t>
      </w:r>
    </w:p>
    <w:p w14:paraId="6FCFE359"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amélioration de la coordination afin de combler les lacunes en matière de capacités à l’échelon de l’UE.</w:t>
      </w:r>
    </w:p>
    <w:p w14:paraId="1551B9D5"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ce qui concerne le groupe sur les transports liés à la mobilité militaire:</w:t>
      </w:r>
    </w:p>
    <w:p w14:paraId="7B52D47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amélioration de la coordination en matière de mobilité militaire entre les États membres;</w:t>
      </w:r>
    </w:p>
    <w:p w14:paraId="33AD493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amélioration du rapport coût-efficacité des actions des États membres;</w:t>
      </w:r>
    </w:p>
    <w:p w14:paraId="19DDE21A"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fourniture d’un forum pour l’examen par les pairs, l’évaluation des progrès accomplis et la prise de décision stratégique concernant la réserve de solidarité.</w:t>
      </w:r>
    </w:p>
    <w:p w14:paraId="7037B83D"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ce qui concerne l’AFE:</w:t>
      </w:r>
    </w:p>
    <w:p w14:paraId="24A3F03A"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accroissement de l’efficacité grâce à l’utilisation des processus existants pour harmoniser les règles techniques et opérationnelles dans le secteur ferroviaire.</w:t>
      </w:r>
    </w:p>
    <w:p w14:paraId="4043A27C"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ce qui concerne l’AESA:</w:t>
      </w:r>
    </w:p>
    <w:p w14:paraId="7DBD3879"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accroissement de l’efficacité obtenu grâce à l’harmonisation, comme l’ont reconnu les autorités de l’aviation militaire de l’UE, qui ont mis au point des exigences communes dans le contexte du forum des autorités militaires de navigabilité (MAWA) mené par l’AED, mais la mise en œuvre de ces exigences à l’échelon national en a limité l’efficacité. L’expertise technique et le cadre réglementaire de l’AESA améliorent l’efficacité et le rapport coût-efficacité grâce aux synergies avec l’environnement existant de l’aviation civile;</w:t>
      </w:r>
    </w:p>
    <w:p w14:paraId="5F2C7A75"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accroissement de l’harmonisation, le cas échéant, qui se traduira également en une amélioration de l’interopérabilité; cette démarche devrait être étendue à de nouveaux types d’aéronefs tels que les drones à double usage et à d’autres domaines de l’aviation tels que les aérodromes, la gestion du trafic aérien et les services de navigation aérienne;</w:t>
      </w:r>
    </w:p>
    <w:p w14:paraId="4862C82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maintien du niveau de sécurité aérienne dans le contexte des opérations civiles et militaires.</w:t>
      </w:r>
    </w:p>
    <w:p w14:paraId="10A44380" w14:textId="77777777" w:rsidR="002850C6" w:rsidRPr="002850C6" w:rsidRDefault="002850C6" w:rsidP="002850C6">
      <w:pPr>
        <w:keepNext/>
        <w:tabs>
          <w:tab w:val="left" w:pos="850"/>
        </w:tabs>
        <w:ind w:left="850" w:hanging="850"/>
        <w:outlineLvl w:val="2"/>
        <w:rPr>
          <w:i/>
          <w:noProof/>
          <w:color w:val="000000" w:themeColor="text1"/>
        </w:rPr>
      </w:pPr>
      <w:bookmarkStart w:id="75" w:name="_Toc213612579"/>
      <w:r w:rsidRPr="002850C6">
        <w:rPr>
          <w:i/>
          <w:noProof/>
          <w:color w:val="000000" w:themeColor="text1"/>
        </w:rPr>
        <w:t>1.5.3.</w:t>
      </w:r>
      <w:r w:rsidRPr="002850C6">
        <w:rPr>
          <w:i/>
          <w:noProof/>
        </w:rPr>
        <w:tab/>
      </w:r>
      <w:r w:rsidRPr="002850C6">
        <w:rPr>
          <w:i/>
          <w:noProof/>
          <w:color w:val="000000" w:themeColor="text1"/>
        </w:rPr>
        <w:t>Leçons tirées d'expériences similaires</w:t>
      </w:r>
      <w:bookmarkEnd w:id="75"/>
    </w:p>
    <w:p w14:paraId="08BE511B"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L’expérience tirée de l’exécution des précédents plans d’action pour la mobilité militaire et des instruments de financement connexes de l’UE a démontré la nécessité d’une coordination renforcée, de structures de gouvernance plus claires et de procédures juridiquement contraignantes pour assurer une mise en œuvre uniforme dans tous les États membres. Si des progrès substantiels ont été accomplis, les initiatives passées ont permis des progrès inégaux et entraîné des investissements fragmentés et des gains d’interopérabilité limités.</w:t>
      </w:r>
    </w:p>
    <w:p w14:paraId="083A36DA"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Dans son rapport spécial 04/2025, la Cour des comptes européenne a mis en évidence les domaines dans lesquels des améliorations sont possibles en ce qui concerne la hiérarchisation des priorités, le suivi et la sélection des projets. Ces enseignements ont alimenté la réflexion à la base de la conception du présent règlement, par lequel sont introduites des procédures contraignantes en vue d’assurer la cohérence, l’efficacité et la responsabilité dans la mise en œuvre future.</w:t>
      </w:r>
    </w:p>
    <w:p w14:paraId="3C570BF5"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Les ressources allouées à l’AFE dans le cadre du 4</w:t>
      </w:r>
      <w:r w:rsidRPr="002850C6">
        <w:rPr>
          <w:noProof/>
          <w:color w:val="000000" w:themeColor="text1"/>
          <w:vertAlign w:val="superscript"/>
        </w:rPr>
        <w:t>e</w:t>
      </w:r>
      <w:r w:rsidRPr="002850C6">
        <w:rPr>
          <w:noProof/>
          <w:color w:val="000000" w:themeColor="text1"/>
        </w:rPr>
        <w:t xml:space="preserve"> paquet ferroviaire (2016) se sont révélées insuffisantes pour permettre à l’Agence de mener à bien les tâches prévues dans les actes d’exécution et les actes délégués dans le délai imparti.</w:t>
      </w:r>
    </w:p>
    <w:p w14:paraId="727289C5"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Le mandat de l’AESA conformément au règlement fondateur (UE) 2018/1039 ne couvre pas les aéronefs d’État et les aéronefs militaires. Toutefois, certains projets spécifiques concernant des aéronefs de fret militaire de grande capacité et certains hélicoptères dérivés civils militaires ont démontré la valeur ajoutée des activités de certification des biens à double usage. L’extension de ces succès à d’autres domaines de l’aviation présente de nombreux avantages en termes d’efficacité, de rapport coût-efficacité et d’interopérabilité. Le mandat de l’AESA ne portant pas sur les activités à caractère militaire, les ressources actuellement allouées à l’agence ne suffisent pas pour lui permettre de soutenir la Commission dans le domaine de la mobilité aérienne militaire, et singulièrement dans les domaines prioritaires des drones à double usage et des systèmes antidrones, des aérodromes à double usage, de la réserve de transport aérien stratégique et du soutien à la recherche et à l’innovation à double usage. </w:t>
      </w:r>
    </w:p>
    <w:p w14:paraId="2F1C4D9E"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Il est urgent de faciliter la mobilité militaire. Par conséquent, l’AFE et l’AESA devraient disposer de ressources suffisantes pour mener à bien les tâches supplémentaires liées à la mobilité militaire qu’elles doivent accomplir.</w:t>
      </w:r>
    </w:p>
    <w:p w14:paraId="6BDA7465" w14:textId="77777777" w:rsidR="002850C6" w:rsidRPr="002850C6" w:rsidRDefault="002850C6" w:rsidP="002850C6">
      <w:pPr>
        <w:keepNext/>
        <w:tabs>
          <w:tab w:val="left" w:pos="850"/>
        </w:tabs>
        <w:outlineLvl w:val="2"/>
        <w:rPr>
          <w:i/>
          <w:noProof/>
          <w:color w:val="000000" w:themeColor="text1"/>
        </w:rPr>
      </w:pPr>
      <w:bookmarkStart w:id="76" w:name="_Toc514938033"/>
      <w:bookmarkStart w:id="77" w:name="_Toc520485038"/>
      <w:bookmarkStart w:id="78" w:name="_Toc160804580"/>
      <w:bookmarkStart w:id="79" w:name="_Toc213612580"/>
      <w:r w:rsidRPr="002850C6">
        <w:rPr>
          <w:i/>
          <w:noProof/>
          <w:color w:val="000000" w:themeColor="text1"/>
        </w:rPr>
        <w:t>1.5.4.</w:t>
      </w:r>
      <w:r w:rsidRPr="002850C6">
        <w:rPr>
          <w:i/>
          <w:noProof/>
        </w:rPr>
        <w:tab/>
      </w:r>
      <w:r w:rsidRPr="002850C6">
        <w:rPr>
          <w:i/>
          <w:noProof/>
          <w:color w:val="000000" w:themeColor="text1"/>
        </w:rPr>
        <w:t>Compatibilité avec le cadre financier pluriannuel et synergies éventuelles avec d’autres instruments appropriés</w:t>
      </w:r>
      <w:bookmarkEnd w:id="76"/>
      <w:bookmarkEnd w:id="77"/>
      <w:bookmarkEnd w:id="78"/>
      <w:bookmarkEnd w:id="79"/>
    </w:p>
    <w:p w14:paraId="36B04A44"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L’initiative est pleinement cohérente avec le CFP actuel et complète les instruments existants de l’Union en faveur de la sécurité, de la défense et des transports. Elle s’appuie sur les progrès accomplis en matière de numérisation des mouvements transfrontières dans le cadre du Fonds européen de la défense. Des complémentarités supplémentaires sont prévues avec le mécanisme de protection civile de l’Union (rescEU) et l’ERCC, dans le cadre desquels la réserve de solidarité pourrait s’appuyer sur les expériences et, si possible, les structures existantes. Le Fonds européen pour la compétitivité proposé au titre du prochain CFP prévoit la possibilité d’actions éligibles pour soutenir la numérisation et le mécanisme de solidarité ainsi que l’acquisition de capacités de mobilité militaire destinées à être enregistrées dans la réserve.</w:t>
      </w:r>
    </w:p>
    <w:p w14:paraId="241DEB0C"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Des synergies seront réalisées grâce à l’utilisation de processus, d’outils et d’une expertise établis au sein de l’AFE et de l’AESA pour mettre en œuvre des tâches de mobilité militaire.</w:t>
      </w:r>
    </w:p>
    <w:p w14:paraId="2ACEE4C2" w14:textId="77777777" w:rsidR="002850C6" w:rsidRPr="002850C6" w:rsidRDefault="002850C6" w:rsidP="002850C6">
      <w:pPr>
        <w:keepNext/>
        <w:tabs>
          <w:tab w:val="left" w:pos="850"/>
        </w:tabs>
        <w:ind w:left="850" w:hanging="850"/>
        <w:outlineLvl w:val="2"/>
        <w:rPr>
          <w:i/>
          <w:noProof/>
          <w:color w:val="000000" w:themeColor="text1"/>
        </w:rPr>
      </w:pPr>
      <w:bookmarkStart w:id="80" w:name="_Toc514938036"/>
      <w:bookmarkStart w:id="81" w:name="_Toc520485039"/>
      <w:bookmarkStart w:id="82" w:name="_Toc160804581"/>
      <w:bookmarkStart w:id="83" w:name="_Toc213612581"/>
      <w:r w:rsidRPr="002850C6">
        <w:rPr>
          <w:i/>
          <w:noProof/>
          <w:color w:val="000000" w:themeColor="text1"/>
        </w:rPr>
        <w:t>1.5.5.</w:t>
      </w:r>
      <w:r w:rsidRPr="002850C6">
        <w:rPr>
          <w:i/>
          <w:noProof/>
        </w:rPr>
        <w:tab/>
      </w:r>
      <w:r w:rsidRPr="002850C6">
        <w:rPr>
          <w:i/>
          <w:noProof/>
          <w:color w:val="000000" w:themeColor="text1"/>
        </w:rPr>
        <w:t>Évaluation des différentes possibilités de financement disponibles, y compris des possibilités de redéploiement</w:t>
      </w:r>
      <w:bookmarkEnd w:id="80"/>
      <w:bookmarkEnd w:id="81"/>
      <w:bookmarkEnd w:id="82"/>
      <w:bookmarkEnd w:id="83"/>
    </w:p>
    <w:p w14:paraId="5E2A9F3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Les incidences budgétaires de la présente proposition sont traitées dans la présente fiche financière législative. </w:t>
      </w:r>
    </w:p>
    <w:p w14:paraId="242A2E4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En ce qui concerne les dépenses, l’incidence budgétaire spécifique de cette initiative est limitée aux crédits destinés aux ressources humaines (pour assurer le secrétariat du groupe sur les transports liés à la mobilité militaire, superviser la mise en place et le pilotage de la réserve de solidarité, s’acquitter des nouvelles tâches et responsabilités incombant à la Commission en ce qui concerne les corridors de mobilité militaire, les projets de points névralgiques et le recensement et la protection des infrastructures stratégiques à double usage comme indiqué à la section 1.5), ainsi qu’aux ressources financières et humaines destinées à assurer le développement informatique requis pour la réserve de solidarité dans un environnement sûr au cours de la phase de mise en place après l’entrée en vigueur du présent règlement. La poursuite dans le cadre du prochain CFP dépendra de l’issue des négociations. Les travaux exploratoires pour la mise au point de l’outil numérique seront également couverts. </w:t>
      </w:r>
    </w:p>
    <w:p w14:paraId="013D85CD"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L’importance des ressources humaines et financières au titre du CFP actuel découle du fait que la période précédant le prochain CFP devrait être utilisée efficacement pour mettre en place la structure de la réserve de solidarité afin de permettre des progrès rapides et efficaces dans l’enregistrement des actifs, de pouvoir procéder rapidement à la détermination de mesures de protection des infrastructures stratégiques à double usage afin de soutenir les États membres dans leurs nouvelles obligations, d’appuyer la révision des exigences militaires de l’Union pour les infrastructures ainsi que de satisfaire aux nouvelles responsabilités qui incombent à la Commission en ce qui concerne les corridors de mobilité militaire et les projets de «points névralgiques».</w:t>
      </w:r>
    </w:p>
    <w:p w14:paraId="3042CB9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Sur le plan des dépenses, l’incidence budgétaire spécifique de la présente initiative est limitée aux crédits destinés aux ressources humaines pour mener à bien les tâches et atteindre les objectifs énumérés ci-dessus et aux développements informatiques nécessaires pour soutenir la mise au point et la maintenance de bases de données. Celles-ci étendent et accroissent les tâches confiées à l’AFE et l’AESA et spécifiquement liées à la mobilité militaire et seront permanentes, les tâches existantes n’étant pas réduites pour autant. Par conséquent, les ressources pour les périodes relevant du CFP actuel seront couvertes par une réduction correspondante du programme «Mécanisme pour l’interconnexion en Europe» (MIE), la poursuite du financement à partir de 2028 devant quant à elle être compensée par un programme pertinent du prochain CFP, sans préjudice du futur accord sur ce CFP.</w:t>
      </w:r>
    </w:p>
    <w:p w14:paraId="0D880EBC" w14:textId="77777777" w:rsidR="002850C6" w:rsidRPr="002850C6" w:rsidRDefault="002850C6" w:rsidP="002850C6">
      <w:pPr>
        <w:keepNext/>
        <w:tabs>
          <w:tab w:val="left" w:pos="850"/>
        </w:tabs>
        <w:ind w:left="850" w:hanging="850"/>
        <w:outlineLvl w:val="1"/>
        <w:rPr>
          <w:b/>
          <w:bCs/>
          <w:noProof/>
          <w:szCs w:val="24"/>
        </w:rPr>
      </w:pPr>
      <w:r w:rsidRPr="002850C6">
        <w:rPr>
          <w:b/>
          <w:noProof/>
        </w:rPr>
        <w:br w:type="page"/>
      </w:r>
      <w:bookmarkStart w:id="84" w:name="_Toc514938039"/>
      <w:bookmarkStart w:id="85" w:name="_Toc520485040"/>
      <w:bookmarkStart w:id="86" w:name="_Toc160804582"/>
      <w:bookmarkStart w:id="87" w:name="_Toc213612582"/>
      <w:r w:rsidRPr="002850C6">
        <w:rPr>
          <w:b/>
          <w:noProof/>
        </w:rPr>
        <w:t>1.6.</w:t>
      </w:r>
      <w:r w:rsidRPr="002850C6">
        <w:rPr>
          <w:b/>
          <w:noProof/>
        </w:rPr>
        <w:tab/>
        <w:t>Durée de la proposition/de l’initiative</w:t>
      </w:r>
      <w:bookmarkEnd w:id="84"/>
      <w:bookmarkEnd w:id="85"/>
      <w:r w:rsidRPr="002850C6">
        <w:rPr>
          <w:b/>
          <w:noProof/>
        </w:rPr>
        <w:t xml:space="preserve"> et de son incidence financière</w:t>
      </w:r>
      <w:bookmarkEnd w:id="86"/>
      <w:bookmarkEnd w:id="87"/>
    </w:p>
    <w:p w14:paraId="37AA02D9" w14:textId="77777777" w:rsidR="002850C6" w:rsidRPr="002850C6" w:rsidRDefault="002850C6" w:rsidP="002850C6">
      <w:pPr>
        <w:ind w:left="850"/>
        <w:rPr>
          <w:noProof/>
        </w:rPr>
      </w:pPr>
      <w:r w:rsidRPr="002850C6">
        <w:rPr>
          <w:rFonts w:ascii="Wingdings" w:hAnsi="Wingdings"/>
          <w:noProof/>
        </w:rPr>
        <w:t></w:t>
      </w:r>
      <w:r w:rsidRPr="002850C6">
        <w:rPr>
          <w:b/>
          <w:i/>
          <w:noProof/>
        </w:rPr>
        <w:t xml:space="preserve"> </w:t>
      </w:r>
      <w:r w:rsidRPr="002850C6">
        <w:rPr>
          <w:b/>
          <w:noProof/>
        </w:rPr>
        <w:t xml:space="preserve">durée limitée </w:t>
      </w:r>
    </w:p>
    <w:p w14:paraId="103C180A"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 xml:space="preserve">En vigueur à partir de/du [JJ/MM]AAAA jusqu’en/au [JJ/MM]AAAA </w:t>
      </w:r>
    </w:p>
    <w:p w14:paraId="6C72E14A"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 xml:space="preserve">Incidence financière de AAAA jusqu’en AAAA pour les crédits d’engagement et de AAAA jusqu’en AAAA pour les crédits de paiement. </w:t>
      </w:r>
    </w:p>
    <w:p w14:paraId="0E39D3CA" w14:textId="77777777" w:rsidR="002850C6" w:rsidRPr="002850C6" w:rsidRDefault="002850C6" w:rsidP="002850C6">
      <w:pPr>
        <w:ind w:left="850"/>
        <w:rPr>
          <w:noProof/>
        </w:rPr>
      </w:pPr>
      <w:r w:rsidRPr="002850C6">
        <w:rPr>
          <w:rFonts w:ascii="Wingdings" w:hAnsi="Wingdings"/>
          <w:noProof/>
        </w:rPr>
        <w:t></w:t>
      </w:r>
      <w:r w:rsidRPr="002850C6">
        <w:rPr>
          <w:b/>
          <w:i/>
          <w:noProof/>
        </w:rPr>
        <w:t xml:space="preserve"> </w:t>
      </w:r>
      <w:r w:rsidRPr="002850C6">
        <w:rPr>
          <w:b/>
          <w:noProof/>
        </w:rPr>
        <w:t>durée illimitée</w:t>
      </w:r>
    </w:p>
    <w:p w14:paraId="5B7EA241" w14:textId="77777777" w:rsidR="002850C6" w:rsidRPr="002850C6" w:rsidRDefault="002850C6" w:rsidP="008F47E2">
      <w:pPr>
        <w:rPr>
          <w:rFonts w:eastAsia="Times New Roman"/>
          <w:noProof/>
          <w:lang w:eastAsia="de-DE"/>
        </w:rPr>
      </w:pPr>
      <w:r w:rsidRPr="002850C6">
        <w:rPr>
          <w:rFonts w:eastAsia="Times New Roman"/>
          <w:noProof/>
          <w:lang w:eastAsia="de-DE"/>
        </w:rPr>
        <w:t>Mise en œuvre avec une période de montée en puissance de 2027 jusqu'en AAAA,</w:t>
      </w:r>
    </w:p>
    <w:p w14:paraId="24238875" w14:textId="77777777" w:rsidR="002850C6" w:rsidRPr="002850C6" w:rsidRDefault="002850C6" w:rsidP="008F47E2">
      <w:pPr>
        <w:rPr>
          <w:rFonts w:eastAsia="Times New Roman"/>
          <w:noProof/>
          <w:lang w:eastAsia="de-DE"/>
        </w:rPr>
      </w:pPr>
      <w:r w:rsidRPr="002850C6">
        <w:rPr>
          <w:rFonts w:eastAsia="Times New Roman"/>
          <w:noProof/>
          <w:lang w:eastAsia="de-DE"/>
        </w:rPr>
        <w:t>puis un fonctionnement en rythme de croisière au-delà.</w:t>
      </w:r>
    </w:p>
    <w:p w14:paraId="0236B91D" w14:textId="77777777" w:rsidR="002850C6" w:rsidRPr="002850C6" w:rsidRDefault="002850C6" w:rsidP="002850C6">
      <w:pPr>
        <w:keepNext/>
        <w:tabs>
          <w:tab w:val="left" w:pos="850"/>
        </w:tabs>
        <w:ind w:left="850" w:hanging="850"/>
        <w:outlineLvl w:val="1"/>
        <w:rPr>
          <w:b/>
          <w:bCs/>
          <w:noProof/>
          <w:szCs w:val="24"/>
        </w:rPr>
      </w:pPr>
      <w:bookmarkStart w:id="88" w:name="_Toc514938040"/>
      <w:bookmarkStart w:id="89" w:name="_Toc520485041"/>
      <w:bookmarkStart w:id="90" w:name="_Toc160804583"/>
      <w:bookmarkStart w:id="91" w:name="_Toc213612583"/>
      <w:r w:rsidRPr="002850C6">
        <w:rPr>
          <w:b/>
          <w:noProof/>
        </w:rPr>
        <w:t>1.7.</w:t>
      </w:r>
      <w:r w:rsidRPr="002850C6">
        <w:rPr>
          <w:b/>
          <w:noProof/>
        </w:rPr>
        <w:tab/>
        <w:t>Mode(s) d’exécution budgétaire prévu</w:t>
      </w:r>
      <w:bookmarkEnd w:id="88"/>
      <w:bookmarkEnd w:id="89"/>
      <w:bookmarkEnd w:id="90"/>
      <w:r w:rsidRPr="002850C6">
        <w:rPr>
          <w:b/>
          <w:noProof/>
        </w:rPr>
        <w:t>(s)</w:t>
      </w:r>
      <w:bookmarkEnd w:id="91"/>
      <w:r w:rsidRPr="002850C6">
        <w:rPr>
          <w:b/>
          <w:noProof/>
        </w:rPr>
        <w:t xml:space="preserve"> </w:t>
      </w:r>
    </w:p>
    <w:p w14:paraId="08684164" w14:textId="77777777" w:rsidR="002850C6" w:rsidRPr="002850C6" w:rsidRDefault="002850C6" w:rsidP="002850C6">
      <w:pPr>
        <w:ind w:left="850"/>
        <w:rPr>
          <w:noProof/>
        </w:rPr>
      </w:pPr>
      <w:r w:rsidRPr="002850C6">
        <w:rPr>
          <w:rFonts w:ascii="Wingdings" w:hAnsi="Wingdings"/>
          <w:noProof/>
        </w:rPr>
        <w:t></w:t>
      </w:r>
      <w:r w:rsidRPr="002850C6">
        <w:rPr>
          <w:i/>
          <w:noProof/>
        </w:rPr>
        <w:t xml:space="preserve"> </w:t>
      </w:r>
      <w:r w:rsidRPr="002850C6">
        <w:rPr>
          <w:b/>
          <w:noProof/>
        </w:rPr>
        <w:t>Gestion directe</w:t>
      </w:r>
      <w:r w:rsidRPr="002850C6">
        <w:rPr>
          <w:noProof/>
        </w:rPr>
        <w:t xml:space="preserve"> par la Commission</w:t>
      </w:r>
    </w:p>
    <w:p w14:paraId="22A1411F" w14:textId="77777777" w:rsidR="002850C6" w:rsidRPr="002850C6" w:rsidRDefault="002850C6" w:rsidP="008F47E2">
      <w:pPr>
        <w:rPr>
          <w:rFonts w:eastAsia="Times New Roman" w:cs="EUAlbertina"/>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dans ses services, y compris par l’intermédiaire de son personnel dans les délégations de l’Union; </w:t>
      </w:r>
    </w:p>
    <w:p w14:paraId="1F4BF7AE"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 xml:space="preserve">par les agences exécutives. </w:t>
      </w:r>
    </w:p>
    <w:p w14:paraId="406985FF" w14:textId="77777777" w:rsidR="002850C6" w:rsidRPr="002850C6" w:rsidRDefault="002850C6" w:rsidP="002850C6">
      <w:pPr>
        <w:ind w:left="850"/>
        <w:rPr>
          <w:noProof/>
        </w:rPr>
      </w:pPr>
      <w:r w:rsidRPr="002850C6">
        <w:rPr>
          <w:rFonts w:ascii="Wingdings" w:hAnsi="Wingdings"/>
          <w:noProof/>
        </w:rPr>
        <w:t></w:t>
      </w:r>
      <w:r w:rsidRPr="002850C6">
        <w:rPr>
          <w:b/>
          <w:i/>
          <w:noProof/>
        </w:rPr>
        <w:t xml:space="preserve"> </w:t>
      </w:r>
      <w:r w:rsidRPr="002850C6">
        <w:rPr>
          <w:b/>
          <w:noProof/>
        </w:rPr>
        <w:t>Gestion partagée</w:t>
      </w:r>
      <w:r w:rsidRPr="002850C6">
        <w:rPr>
          <w:noProof/>
        </w:rPr>
        <w:t xml:space="preserve"> avec les États membres </w:t>
      </w:r>
    </w:p>
    <w:p w14:paraId="2B46572D" w14:textId="77777777" w:rsidR="002850C6" w:rsidRPr="002850C6" w:rsidRDefault="002850C6" w:rsidP="002850C6">
      <w:pPr>
        <w:ind w:left="850"/>
        <w:rPr>
          <w:noProof/>
        </w:rPr>
      </w:pPr>
      <w:r w:rsidRPr="002850C6">
        <w:rPr>
          <w:rFonts w:ascii="Wingdings" w:hAnsi="Wingdings"/>
          <w:noProof/>
        </w:rPr>
        <w:t></w:t>
      </w:r>
      <w:r w:rsidRPr="002850C6">
        <w:rPr>
          <w:noProof/>
        </w:rPr>
        <w:t xml:space="preserve"> </w:t>
      </w:r>
      <w:r w:rsidRPr="002850C6">
        <w:rPr>
          <w:i/>
          <w:noProof/>
        </w:rPr>
        <w:t xml:space="preserve"> </w:t>
      </w:r>
      <w:r w:rsidRPr="002850C6">
        <w:rPr>
          <w:b/>
          <w:noProof/>
        </w:rPr>
        <w:t>Gestion indirecte</w:t>
      </w:r>
      <w:r w:rsidRPr="002850C6">
        <w:rPr>
          <w:noProof/>
        </w:rPr>
        <w:t xml:space="preserve"> en confiant des tâches d’exécution budgétaire:</w:t>
      </w:r>
    </w:p>
    <w:p w14:paraId="448B18BD"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à des pays tiers ou des organismes qu’ils ont désignés</w:t>
      </w:r>
    </w:p>
    <w:p w14:paraId="2740D7C3"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à des organisations internationales et à leurs agences (à préciser)</w:t>
      </w:r>
    </w:p>
    <w:p w14:paraId="7DA22A27"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à la Banque européenne d'investissement et au Fonds européen d’investissement</w:t>
      </w:r>
    </w:p>
    <w:p w14:paraId="513823F6"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aux organismes visés aux articles 70 et 71 du règlement financier</w:t>
      </w:r>
    </w:p>
    <w:p w14:paraId="71C86FB4"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à des établissements de droit public</w:t>
      </w:r>
    </w:p>
    <w:p w14:paraId="31723657"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à des entités de droit privé investies d’une mission de service public, pour autant qu’elles soient dotées de garanties financières suffisantes</w:t>
      </w:r>
    </w:p>
    <w:p w14:paraId="059B7B74"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à des entités de droit privé d’un État membre qui sont chargées de la mise en œuvre d’un partenariat public-privé et dotées de garanties financières suffisantes</w:t>
      </w:r>
    </w:p>
    <w:p w14:paraId="38DBCE6F"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à des organismes ou des personnes chargés de l’exécution d’actions spécifiques relevant de la politique étrangère et de sécurité commune, en vertu du titre V du traité sur l’Union européenne, identifiés dans l’acte de base concerné</w:t>
      </w:r>
    </w:p>
    <w:p w14:paraId="638B4220"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14:paraId="7074C29A" w14:textId="77777777" w:rsidR="002850C6" w:rsidRPr="002850C6" w:rsidRDefault="002850C6" w:rsidP="002850C6">
      <w:pPr>
        <w:rPr>
          <w:noProof/>
        </w:rPr>
      </w:pPr>
      <w:r w:rsidRPr="002850C6">
        <w:rPr>
          <w:noProof/>
        </w:rPr>
        <w:t xml:space="preserve">Remarques </w:t>
      </w:r>
    </w:p>
    <w:p w14:paraId="4A5A8D40" w14:textId="77777777" w:rsidR="002850C6" w:rsidRPr="002850C6" w:rsidRDefault="002850C6" w:rsidP="002850C6">
      <w:pPr>
        <w:pBdr>
          <w:top w:val="single" w:sz="4" w:space="1" w:color="auto"/>
          <w:left w:val="single" w:sz="4" w:space="4" w:color="auto"/>
          <w:bottom w:val="single" w:sz="4" w:space="1" w:color="auto"/>
          <w:right w:val="single" w:sz="4" w:space="4" w:color="auto"/>
        </w:pBdr>
        <w:rPr>
          <w:noProof/>
        </w:rPr>
      </w:pPr>
    </w:p>
    <w:p w14:paraId="0EE99B1B" w14:textId="77777777" w:rsidR="002850C6" w:rsidRPr="002850C6" w:rsidRDefault="002850C6" w:rsidP="002850C6">
      <w:pPr>
        <w:rPr>
          <w:noProof/>
        </w:rPr>
        <w:sectPr w:rsidR="002850C6" w:rsidRPr="002850C6" w:rsidSect="003A339D">
          <w:pgSz w:w="11907" w:h="16840" w:code="9"/>
          <w:pgMar w:top="1134" w:right="1418" w:bottom="1134" w:left="1418" w:header="709" w:footer="709" w:gutter="0"/>
          <w:cols w:space="708"/>
          <w:docGrid w:linePitch="360"/>
        </w:sectPr>
      </w:pPr>
    </w:p>
    <w:p w14:paraId="32F01FE5" w14:textId="77777777" w:rsidR="002850C6" w:rsidRPr="002850C6" w:rsidRDefault="002850C6" w:rsidP="002850C6">
      <w:pPr>
        <w:keepNext/>
        <w:tabs>
          <w:tab w:val="left" w:pos="850"/>
        </w:tabs>
        <w:spacing w:before="360"/>
        <w:ind w:left="850" w:hanging="850"/>
        <w:outlineLvl w:val="0"/>
        <w:rPr>
          <w:b/>
          <w:smallCaps/>
          <w:noProof/>
          <w:color w:val="000000" w:themeColor="text1"/>
        </w:rPr>
      </w:pPr>
      <w:bookmarkStart w:id="92" w:name="_Toc514938041"/>
      <w:bookmarkStart w:id="93" w:name="_Toc520485042"/>
      <w:bookmarkStart w:id="94" w:name="_Toc160804584"/>
      <w:bookmarkStart w:id="95" w:name="_Toc213612584"/>
      <w:r w:rsidRPr="002850C6">
        <w:rPr>
          <w:b/>
          <w:smallCaps/>
          <w:noProof/>
        </w:rPr>
        <w:t>2.</w:t>
      </w:r>
      <w:r w:rsidRPr="002850C6">
        <w:rPr>
          <w:b/>
          <w:smallCaps/>
          <w:noProof/>
        </w:rPr>
        <w:tab/>
        <w:t>MESURES DE GESTION</w:t>
      </w:r>
      <w:bookmarkEnd w:id="92"/>
      <w:bookmarkEnd w:id="93"/>
      <w:bookmarkEnd w:id="94"/>
      <w:bookmarkEnd w:id="95"/>
      <w:r w:rsidRPr="002850C6">
        <w:rPr>
          <w:b/>
          <w:smallCaps/>
          <w:noProof/>
          <w:color w:val="000000" w:themeColor="text1"/>
        </w:rPr>
        <w:t xml:space="preserve"> </w:t>
      </w:r>
    </w:p>
    <w:p w14:paraId="410459CD" w14:textId="77777777" w:rsidR="002850C6" w:rsidRPr="002850C6" w:rsidRDefault="002850C6" w:rsidP="002850C6">
      <w:pPr>
        <w:keepNext/>
        <w:tabs>
          <w:tab w:val="left" w:pos="850"/>
        </w:tabs>
        <w:ind w:left="850" w:hanging="850"/>
        <w:outlineLvl w:val="1"/>
        <w:rPr>
          <w:b/>
          <w:noProof/>
          <w:color w:val="000000" w:themeColor="text1"/>
        </w:rPr>
      </w:pPr>
      <w:bookmarkStart w:id="96" w:name="_Toc514938042"/>
      <w:bookmarkStart w:id="97" w:name="_Toc520485043"/>
      <w:bookmarkStart w:id="98" w:name="_Toc160804585"/>
      <w:bookmarkStart w:id="99" w:name="_Toc213612585"/>
      <w:r w:rsidRPr="002850C6">
        <w:rPr>
          <w:b/>
          <w:noProof/>
          <w:color w:val="000000" w:themeColor="text1"/>
        </w:rPr>
        <w:t>2.1.</w:t>
      </w:r>
      <w:r w:rsidRPr="002850C6">
        <w:rPr>
          <w:b/>
          <w:noProof/>
        </w:rPr>
        <w:tab/>
      </w:r>
      <w:r w:rsidRPr="002850C6">
        <w:rPr>
          <w:b/>
          <w:noProof/>
          <w:color w:val="000000" w:themeColor="text1"/>
        </w:rPr>
        <w:t>Dispositions en matière de suivi et de compte rendu</w:t>
      </w:r>
      <w:bookmarkEnd w:id="96"/>
      <w:bookmarkEnd w:id="97"/>
      <w:bookmarkEnd w:id="98"/>
      <w:bookmarkEnd w:id="99"/>
      <w:r w:rsidRPr="002850C6">
        <w:rPr>
          <w:b/>
          <w:noProof/>
          <w:color w:val="000000" w:themeColor="text1"/>
        </w:rPr>
        <w:t xml:space="preserve"> </w:t>
      </w:r>
    </w:p>
    <w:p w14:paraId="5EF5DD7F"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La Commission sera de manière générale responsable de la mise en œuvre du règlement proposé et devra faire rapport au Parlement européen et au Conseil sur sa mise en œuvre et son respect.</w:t>
      </w:r>
    </w:p>
    <w:p w14:paraId="193F2AAE"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La Commission rendra compte de la mise en œuvre de la réserve de solidarité au groupe sur les transports liés à la mobilité militaire.</w:t>
      </w:r>
    </w:p>
    <w:p w14:paraId="27550B0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L’AFE rendra compte à intervalles réguliers de la mise en œuvre des conventions de contribution (CFP 2021-2027), des subventions (CFP 2028-2034) et des actions connexes. </w:t>
      </w:r>
    </w:p>
    <w:p w14:paraId="0494359B"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L’AESA rendra compte de la mise en œuvre des conventions de contribution, des subventions et des actions connexes à l’autorité budgétaire dans le cadre de la décharge annuelle.</w:t>
      </w:r>
    </w:p>
    <w:p w14:paraId="44D921AC"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Des données doivent être collectées auprès de différentes sources, y compris auprès des autorités des États membres. La coordination des activités de collecte de données est assurée par chaque agence décentralisée.</w:t>
      </w:r>
    </w:p>
    <w:p w14:paraId="58ED9D5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En ce qui concerne les aspects numériques liés à l’éventuel système d’information numérique sur la mobilité militaire, voir également les explications fournies à la section 4 de la présente fiche financière et numérique législative.</w:t>
      </w:r>
    </w:p>
    <w:p w14:paraId="2EB94AD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Les services de la Commission suivront la mise en œuvre et l’efficacité de cette initiative au moyen de diverses actions et d’un ensemble d’indicateurs de base qui permettront de mesurer les progrès accomplis dans la réalisation des objectifs. Trois ans après la date de fin de mise en œuvre de la législation, les services de la Commission devraient procéder à une évaluation destinée à vérifier la mesure dans laquelle les objectifs ont été atteints.</w:t>
      </w:r>
    </w:p>
    <w:p w14:paraId="15785A0B" w14:textId="77777777" w:rsidR="002850C6" w:rsidRPr="002850C6" w:rsidRDefault="002850C6" w:rsidP="002850C6">
      <w:pPr>
        <w:keepNext/>
        <w:tabs>
          <w:tab w:val="left" w:pos="850"/>
        </w:tabs>
        <w:ind w:left="850" w:hanging="850"/>
        <w:outlineLvl w:val="1"/>
        <w:rPr>
          <w:b/>
          <w:bCs/>
          <w:noProof/>
          <w:color w:val="000000" w:themeColor="text1"/>
          <w:szCs w:val="24"/>
        </w:rPr>
      </w:pPr>
      <w:bookmarkStart w:id="100" w:name="_Toc514938045"/>
      <w:bookmarkStart w:id="101" w:name="_Toc520485044"/>
      <w:bookmarkStart w:id="102" w:name="_Toc160804586"/>
      <w:bookmarkStart w:id="103" w:name="_Toc213612586"/>
      <w:r w:rsidRPr="002850C6">
        <w:rPr>
          <w:b/>
          <w:noProof/>
          <w:color w:val="000000" w:themeColor="text1"/>
        </w:rPr>
        <w:t>2.2.</w:t>
      </w:r>
      <w:r w:rsidRPr="002850C6">
        <w:rPr>
          <w:b/>
          <w:noProof/>
        </w:rPr>
        <w:tab/>
      </w:r>
      <w:r w:rsidRPr="002850C6">
        <w:rPr>
          <w:b/>
          <w:noProof/>
          <w:color w:val="000000" w:themeColor="text1"/>
        </w:rPr>
        <w:t>Système(s) de gestion et de contrôle</w:t>
      </w:r>
      <w:bookmarkEnd w:id="100"/>
      <w:bookmarkEnd w:id="101"/>
      <w:bookmarkEnd w:id="102"/>
      <w:bookmarkEnd w:id="103"/>
      <w:r w:rsidRPr="002850C6">
        <w:rPr>
          <w:b/>
          <w:noProof/>
          <w:color w:val="000000" w:themeColor="text1"/>
        </w:rPr>
        <w:t xml:space="preserve"> </w:t>
      </w:r>
    </w:p>
    <w:p w14:paraId="45232639" w14:textId="77777777" w:rsidR="002850C6" w:rsidRPr="002850C6" w:rsidRDefault="002850C6" w:rsidP="002850C6">
      <w:pPr>
        <w:keepNext/>
        <w:tabs>
          <w:tab w:val="left" w:pos="850"/>
        </w:tabs>
        <w:ind w:left="850" w:hanging="850"/>
        <w:outlineLvl w:val="2"/>
        <w:rPr>
          <w:i/>
          <w:noProof/>
          <w:color w:val="000000" w:themeColor="text1"/>
        </w:rPr>
      </w:pPr>
      <w:bookmarkStart w:id="104" w:name="_Toc514938046"/>
      <w:bookmarkStart w:id="105" w:name="_Toc520485045"/>
      <w:bookmarkStart w:id="106" w:name="_Toc160804587"/>
      <w:bookmarkStart w:id="107" w:name="_Toc213612587"/>
      <w:r w:rsidRPr="002850C6">
        <w:rPr>
          <w:i/>
          <w:noProof/>
          <w:color w:val="000000" w:themeColor="text1"/>
        </w:rPr>
        <w:t>2.2.1.</w:t>
      </w:r>
      <w:r w:rsidRPr="002850C6">
        <w:rPr>
          <w:i/>
          <w:noProof/>
        </w:rPr>
        <w:tab/>
      </w:r>
      <w:r w:rsidRPr="002850C6">
        <w:rPr>
          <w:i/>
          <w:noProof/>
          <w:color w:val="000000" w:themeColor="text1"/>
        </w:rPr>
        <w:t>Justification du (des) mode(s) d’exécution budgétaire, du (des) mécanisme(s) de mise en œuvre du financement, des modalités de paiement et de la stratégie de contrôle proposée</w:t>
      </w:r>
      <w:bookmarkEnd w:id="104"/>
      <w:bookmarkEnd w:id="105"/>
      <w:bookmarkEnd w:id="106"/>
      <w:bookmarkEnd w:id="107"/>
    </w:p>
    <w:p w14:paraId="707E2475"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La Commission sera assistée par l’AFE dans la mise en œuvre des dispositions du règlement relatives au transport ferroviaire, notamment les tâches d’autorisation supplémentaires liées aux véhicules à double usage, y compris en tant qu’entité d’immatriculation, l’harmonisation des normes de mobilité militaire existantes et leur intégration dans les spécifications techniques d’interopérabilité (afin de les rendre exécutoires, s’il y a lieu), et enfin l’harmonisation des règles opérationnelles (de sécurité) et techniques relatives à la mobilité militaire, l’adaptation des registres et des outils et le toilettage des règles nationales existantes rendues superflues par ces nouvelles règles harmonisées.  </w:t>
      </w:r>
    </w:p>
    <w:p w14:paraId="32498ED8"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L’AFE est la mieux placée pour accomplir ces tâches à l’échelon de l’UE, car elles nécessitent une solide expertise en matière d’harmonisation de la réglementation ferroviaire et une compréhension approfondie des questions techniques complexes liées à la fois à l’interopérabilité et à la sécurité, ce qui justifie le mode de gestion indirecte.</w:t>
      </w:r>
    </w:p>
    <w:p w14:paraId="4AF9D58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La Commission sera assistée par l’AESA dans la mise en œuvre des dispositions du règlement relatives à l’aviation. L’AESA est la mieux placée pour accomplir ces tâches à l’échelon de l’UE, car elles nécessitent une solide expertise en matière de certification des produits aéronautiques et des aérodromes et le domaine de la GTA ainsi qu’une compréhension approfondie des questions techniques complexes liées à la fois au double usage et à la sécurité, ce qui justifie le mode de gestion indirecte. </w:t>
      </w:r>
    </w:p>
    <w:p w14:paraId="6D8071F4"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 La DG MOVE, dans le cadre de sa supervision des entités décentralisées, ainsi que l’AFE et l’AESA, appliqueront leurs stratégies de contrôle respectives à ces dépenses.</w:t>
      </w:r>
    </w:p>
    <w:p w14:paraId="73A09167" w14:textId="77777777" w:rsidR="002850C6" w:rsidRPr="002850C6" w:rsidRDefault="002850C6" w:rsidP="002850C6">
      <w:pPr>
        <w:keepNext/>
        <w:tabs>
          <w:tab w:val="left" w:pos="850"/>
        </w:tabs>
        <w:ind w:left="850" w:hanging="850"/>
        <w:outlineLvl w:val="2"/>
        <w:rPr>
          <w:bCs/>
          <w:i/>
          <w:noProof/>
          <w:color w:val="000000" w:themeColor="text1"/>
          <w:szCs w:val="24"/>
        </w:rPr>
      </w:pPr>
      <w:bookmarkStart w:id="108" w:name="_Toc514938047"/>
      <w:bookmarkStart w:id="109" w:name="_Toc520485046"/>
      <w:bookmarkStart w:id="110" w:name="_Toc160804588"/>
      <w:bookmarkStart w:id="111" w:name="_Toc213612588"/>
      <w:r w:rsidRPr="002850C6">
        <w:rPr>
          <w:i/>
          <w:noProof/>
          <w:color w:val="000000" w:themeColor="text1"/>
        </w:rPr>
        <w:t>2.2.2.</w:t>
      </w:r>
      <w:r w:rsidRPr="002850C6">
        <w:rPr>
          <w:i/>
          <w:noProof/>
        </w:rPr>
        <w:tab/>
      </w:r>
      <w:r w:rsidRPr="002850C6">
        <w:rPr>
          <w:i/>
          <w:noProof/>
          <w:color w:val="000000" w:themeColor="text1"/>
        </w:rPr>
        <w:t>Informations sur les risques recensés et sur le(s) système(s) de contrôle interne mis en place pour les atténuer</w:t>
      </w:r>
      <w:bookmarkEnd w:id="108"/>
      <w:bookmarkEnd w:id="109"/>
      <w:bookmarkEnd w:id="110"/>
      <w:bookmarkEnd w:id="111"/>
    </w:p>
    <w:p w14:paraId="71F70EAE"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Les principaux risques recensés concernent les retards potentiels dans la mise en place de la réserve de solidarité (système informatique sécurisé). </w:t>
      </w:r>
    </w:p>
    <w:p w14:paraId="2DFB2991"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Le risque associé est l’insuffisance du volume budgétaire par rapport aux besoins réels. Les risques financiers sont jugés faibles compte tenu de l’exposition budgétaire limitée et de la dépendance à des programmes existants de l’UE dotés de structures de contrôle établies. </w:t>
      </w:r>
    </w:p>
    <w:p w14:paraId="17765900"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Si la responsabilité générale de la mise en œuvre du règlement proposé incombera à la Commission, qui devra en outre faire rapport de sa mise en œuvre et de son respect au Parlement européen et au Conseil, l’AFE et l’AESA seront responsables de l’exécution des tâches et opérations définies ainsi que de la mise en œuvre de son cadre de contrôle interne. L’AFE sera tenue de développer les outils et modules informatiques existants.</w:t>
      </w:r>
    </w:p>
    <w:p w14:paraId="324106C1"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Il incombe à l’AFE et à l’AESA, qui sont des organes autonomes de l’UE, de mettre en place les systèmes de contrôle appropriés permettant de garantir le respect des cinq objectifs de contrôle interne, à savoir la légalité et la régularité, la performance de ses opérations, la prévention de la fraude, la conservation des actifs et la communication exacte et fidèle. Le risque d’erreurs liées, à l’échelon des agences, à la mise en œuvre des contributions de l’UE devrait être nettement inférieur au seuil de signification de 2 %. Les ressources supplémentaires mises à la disposition de l’AFE et de l’AESA seront dès lors soumises aux systèmes de contrôle interne et de gestion des risques respectifs de ces deux agences, qui sont alignés sur les normes internationales pertinentes et comprennent des contrôles spécifiques destinés à prévenir les conflits d’intérêts et à assurer la protection des lanceurs d’alerte.</w:t>
      </w:r>
    </w:p>
    <w:p w14:paraId="03ACE4F8"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À l’échelon de la Commission, la DG MOVE appliquera les contrôles liés à sa supervision de l’AFE et de l’AESA en tant qu’agences décentralisées. Les contributions versées aux agences de l’UE sont considérées comme exemptes de risque d’erreur lors du paiement et de la clôture. Aucun risque spécifique n’est recensé en ce qui concerne l’exécution du budget supplémentaire à fournir à l’AFE et à l’AESA. </w:t>
      </w:r>
    </w:p>
    <w:p w14:paraId="1AD8C32E" w14:textId="77777777" w:rsidR="002850C6" w:rsidRPr="002850C6" w:rsidRDefault="002850C6" w:rsidP="002850C6">
      <w:pPr>
        <w:keepNext/>
        <w:tabs>
          <w:tab w:val="left" w:pos="850"/>
        </w:tabs>
        <w:ind w:left="850" w:hanging="850"/>
        <w:outlineLvl w:val="2"/>
        <w:rPr>
          <w:i/>
          <w:noProof/>
          <w:color w:val="000000" w:themeColor="text1"/>
        </w:rPr>
      </w:pPr>
      <w:bookmarkStart w:id="112" w:name="_Toc514938048"/>
      <w:bookmarkStart w:id="113" w:name="_Toc520485047"/>
      <w:bookmarkStart w:id="114" w:name="_Toc160804589"/>
      <w:bookmarkStart w:id="115" w:name="_Toc213612589"/>
      <w:r w:rsidRPr="002850C6">
        <w:rPr>
          <w:i/>
          <w:noProof/>
          <w:color w:val="000000" w:themeColor="text1"/>
        </w:rPr>
        <w:t>2.2.3.</w:t>
      </w:r>
      <w:r w:rsidRPr="002850C6">
        <w:rPr>
          <w:i/>
          <w:noProof/>
        </w:rPr>
        <w:tab/>
      </w:r>
      <w:r w:rsidRPr="002850C6">
        <w:rPr>
          <w:i/>
          <w:noProof/>
          <w:color w:val="000000" w:themeColor="text1"/>
        </w:rPr>
        <w:t>Estimation et justification du rapport coût/efficacité des contrôles (rapport entre les coûts du contrôle et la valeur des fonds gérés concernés), et évaluation du niveau attendu de risque d’erreur (lors du paiement et lors de la clôture)</w:t>
      </w:r>
      <w:bookmarkEnd w:id="112"/>
      <w:bookmarkEnd w:id="113"/>
      <w:bookmarkEnd w:id="114"/>
      <w:bookmarkEnd w:id="115"/>
      <w:r w:rsidRPr="002850C6">
        <w:rPr>
          <w:i/>
          <w:noProof/>
          <w:color w:val="000000" w:themeColor="text1"/>
        </w:rPr>
        <w:t xml:space="preserve"> </w:t>
      </w:r>
    </w:p>
    <w:p w14:paraId="08C4815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L’AFE et l’AESA sont pleinement responsables de l’exécution de leur budget, tandis que la DG MOVE est responsable du paiement régulier des contributions établies par l’autorité budgétaire au cours du CFP 2021-2027 et de l’augmentation de la subvention établie par l’autorité budgétaire à partir du CFP 2028-2034. Les tâches supplémentaires résultant de la proposition de règlement ne devraient pas donner lieu à des contrôles significatifs supplémentaires. Par conséquent, le coût du contrôle pour la DG MOVE (évalué par rapport à la valeur des fonds gérés) devrait rester stable.</w:t>
      </w:r>
    </w:p>
    <w:p w14:paraId="75A1F6CF"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Sur la base de l’expérience acquise avec des instruments comparables, le risque résiduel d’erreur au moment du paiement devrait rester faible (&lt; 2 %). Dans l’ensemble, le cadre de contrôle est considéré comme proportionné à l’ampleur et au profil de risque des dépenses prévues dans le cadre de l’initiative envisagée.</w:t>
      </w:r>
    </w:p>
    <w:p w14:paraId="6186631A"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p>
    <w:p w14:paraId="7B94B8AE" w14:textId="77777777" w:rsidR="002850C6" w:rsidRPr="002850C6" w:rsidRDefault="002850C6" w:rsidP="002850C6">
      <w:pPr>
        <w:keepNext/>
        <w:tabs>
          <w:tab w:val="left" w:pos="850"/>
        </w:tabs>
        <w:ind w:left="850" w:hanging="850"/>
        <w:outlineLvl w:val="1"/>
        <w:rPr>
          <w:b/>
          <w:bCs/>
          <w:noProof/>
          <w:color w:val="000000" w:themeColor="text1"/>
          <w:szCs w:val="24"/>
        </w:rPr>
      </w:pPr>
      <w:bookmarkStart w:id="116" w:name="_Toc514938049"/>
      <w:bookmarkStart w:id="117" w:name="_Toc520485048"/>
      <w:bookmarkStart w:id="118" w:name="_Toc160804590"/>
      <w:bookmarkStart w:id="119" w:name="_Toc213612590"/>
      <w:r w:rsidRPr="002850C6">
        <w:rPr>
          <w:b/>
          <w:noProof/>
          <w:color w:val="000000" w:themeColor="text1"/>
        </w:rPr>
        <w:t>2.3.</w:t>
      </w:r>
      <w:r w:rsidRPr="002850C6">
        <w:rPr>
          <w:b/>
          <w:noProof/>
        </w:rPr>
        <w:tab/>
      </w:r>
      <w:r w:rsidRPr="002850C6">
        <w:rPr>
          <w:b/>
          <w:noProof/>
          <w:color w:val="000000" w:themeColor="text1"/>
        </w:rPr>
        <w:t>Mesures de prévention des fraudes et irrégularités</w:t>
      </w:r>
      <w:bookmarkEnd w:id="116"/>
      <w:bookmarkEnd w:id="117"/>
      <w:bookmarkEnd w:id="118"/>
      <w:bookmarkEnd w:id="119"/>
      <w:r w:rsidRPr="002850C6">
        <w:rPr>
          <w:b/>
          <w:noProof/>
          <w:color w:val="000000" w:themeColor="text1"/>
        </w:rPr>
        <w:t xml:space="preserve"> </w:t>
      </w:r>
    </w:p>
    <w:p w14:paraId="137DDC0E"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Outre les contrôles découlant de la stratégie de contrôle mentionnée ci-dessus, l’action est soumise au contrôle du service d’audit interne, en sa qualité d’auditeur interne de la Commission et des agences décentralisées, et de la Cour des comptes européenne, en sa qualité d’auditeur externe des institutions de l’UE. </w:t>
      </w:r>
    </w:p>
    <w:p w14:paraId="5E6FCDD7"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L’Office européen de lutte antifraude (OLAF) est compétent pour mener des enquêtes sur les opérations soutenues au titre de la présente initiative. Les actions résultant du présent règlement prévoient une surveillance et un contrôle financier par la Commission, ou tout représentant autorisé par elle, ainsi que des audits par la Cour des comptes européenne, le Parquet européen ou l’OLAF, si nécessaire sur place. </w:t>
      </w:r>
    </w:p>
    <w:p w14:paraId="0238994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Les conventions de contribution entre la Commission et l’AFE ou l’AESA comporteront des dispositions spécifiques visant à faire en sorte que les auditeurs et, si nécessaire, les autorités chargées d’enquêter (Parquet européen, OLAF) puissent avoir un accès illimité aux informations nécessaires. Elles comprendront également les dispositions nécessaires pour veiller à ce que la Commission soit informée en temps utile de tout problème susceptible de compromettre la mise en œuvre des actions.</w:t>
      </w:r>
    </w:p>
    <w:p w14:paraId="505C3EE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La Commission maintient une stratégie antifraude solide, que la DG MOVE complète par des stratégies antifraude locales qui couvrent les activités relevant de leurs compétences respectives. </w:t>
      </w:r>
    </w:p>
    <w:p w14:paraId="7DE54FFF"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 xml:space="preserve">Il incombe à l’AFE et à l’AESA, qui sont des organes autonomes de l’UE, de maintenir une stratégie antifraude et d’assurer la protection des intérêts de l’UE. </w:t>
      </w:r>
    </w:p>
    <w:p w14:paraId="613AF00E"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p>
    <w:p w14:paraId="2D18443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sectPr w:rsidR="002850C6" w:rsidRPr="002850C6" w:rsidSect="003A339D">
          <w:pgSz w:w="11907" w:h="16840" w:code="9"/>
          <w:pgMar w:top="1134" w:right="1418" w:bottom="1134" w:left="1418" w:header="709" w:footer="709" w:gutter="0"/>
          <w:cols w:space="708"/>
          <w:docGrid w:linePitch="360"/>
        </w:sectPr>
      </w:pPr>
    </w:p>
    <w:p w14:paraId="16FCF65A" w14:textId="77777777" w:rsidR="002850C6" w:rsidRPr="002850C6" w:rsidRDefault="002850C6" w:rsidP="002850C6">
      <w:pPr>
        <w:keepNext/>
        <w:tabs>
          <w:tab w:val="left" w:pos="850"/>
        </w:tabs>
        <w:spacing w:before="360"/>
        <w:ind w:left="850" w:hanging="850"/>
        <w:outlineLvl w:val="0"/>
        <w:rPr>
          <w:b/>
          <w:bCs/>
          <w:smallCaps/>
          <w:noProof/>
          <w:color w:val="000000" w:themeColor="text1"/>
          <w:szCs w:val="24"/>
        </w:rPr>
      </w:pPr>
      <w:bookmarkStart w:id="120" w:name="_Toc514938050"/>
      <w:bookmarkStart w:id="121" w:name="_Toc520485049"/>
      <w:bookmarkStart w:id="122" w:name="_Toc160804591"/>
      <w:bookmarkStart w:id="123" w:name="_Toc213612591"/>
      <w:r w:rsidRPr="002850C6">
        <w:rPr>
          <w:b/>
          <w:smallCaps/>
          <w:noProof/>
          <w:color w:val="000000" w:themeColor="text1"/>
        </w:rPr>
        <w:t>3.</w:t>
      </w:r>
      <w:r w:rsidRPr="002850C6">
        <w:rPr>
          <w:b/>
          <w:smallCaps/>
          <w:noProof/>
        </w:rPr>
        <w:tab/>
      </w:r>
      <w:r w:rsidRPr="002850C6">
        <w:rPr>
          <w:b/>
          <w:smallCaps/>
          <w:noProof/>
          <w:color w:val="000000" w:themeColor="text1"/>
        </w:rPr>
        <w:t>INCIDENCE FINANCIÈRE ESTIMÉE DE LA PROPOSITION/DE L'INITIATIVE</w:t>
      </w:r>
      <w:bookmarkEnd w:id="120"/>
      <w:bookmarkEnd w:id="121"/>
      <w:bookmarkEnd w:id="122"/>
      <w:bookmarkEnd w:id="123"/>
      <w:r w:rsidRPr="002850C6">
        <w:rPr>
          <w:b/>
          <w:smallCaps/>
          <w:noProof/>
          <w:color w:val="000000" w:themeColor="text1"/>
        </w:rPr>
        <w:t xml:space="preserve"> </w:t>
      </w:r>
    </w:p>
    <w:p w14:paraId="0183996A" w14:textId="77777777" w:rsidR="002850C6" w:rsidRPr="002850C6" w:rsidRDefault="002850C6" w:rsidP="002850C6">
      <w:pPr>
        <w:keepNext/>
        <w:tabs>
          <w:tab w:val="left" w:pos="850"/>
        </w:tabs>
        <w:ind w:left="850" w:hanging="850"/>
        <w:outlineLvl w:val="1"/>
        <w:rPr>
          <w:b/>
          <w:noProof/>
          <w:color w:val="000000" w:themeColor="text1"/>
        </w:rPr>
      </w:pPr>
      <w:bookmarkStart w:id="124" w:name="_Toc514938051"/>
      <w:bookmarkStart w:id="125" w:name="_Toc520485050"/>
      <w:bookmarkStart w:id="126" w:name="_Toc160804592"/>
      <w:bookmarkStart w:id="127" w:name="_Toc213612592"/>
      <w:r w:rsidRPr="002850C6">
        <w:rPr>
          <w:b/>
          <w:noProof/>
          <w:color w:val="000000" w:themeColor="text1"/>
        </w:rPr>
        <w:t>3.1.</w:t>
      </w:r>
      <w:r w:rsidRPr="002850C6">
        <w:rPr>
          <w:b/>
          <w:noProof/>
        </w:rPr>
        <w:tab/>
      </w:r>
      <w:r w:rsidRPr="002850C6">
        <w:rPr>
          <w:b/>
          <w:noProof/>
          <w:color w:val="000000" w:themeColor="text1"/>
        </w:rPr>
        <w:t>Rubrique(s) du cadre financier pluriannuel et ligne(s) budgétaire(s) de dépenses concernée(s)</w:t>
      </w:r>
      <w:bookmarkEnd w:id="124"/>
      <w:bookmarkEnd w:id="125"/>
      <w:bookmarkEnd w:id="126"/>
      <w:bookmarkEnd w:id="127"/>
      <w:r w:rsidRPr="002850C6">
        <w:rPr>
          <w:b/>
          <w:noProof/>
          <w:color w:val="000000" w:themeColor="text1"/>
        </w:rPr>
        <w:t xml:space="preserve"> </w:t>
      </w:r>
    </w:p>
    <w:p w14:paraId="30A12C42" w14:textId="77777777" w:rsidR="002850C6" w:rsidRPr="002850C6" w:rsidRDefault="002850C6" w:rsidP="008F47E2">
      <w:pPr>
        <w:rPr>
          <w:rFonts w:eastAsia="Times New Roman"/>
          <w:noProof/>
          <w:color w:val="000000" w:themeColor="text1"/>
          <w:lang w:eastAsia="de-DE"/>
        </w:rPr>
      </w:pPr>
      <w:r w:rsidRPr="002850C6">
        <w:rPr>
          <w:rFonts w:eastAsia="Times New Roman"/>
          <w:noProof/>
          <w:color w:val="000000" w:themeColor="text1"/>
          <w:lang w:eastAsia="de-DE"/>
        </w:rPr>
        <w:t>Lignes budgétaires existantes</w:t>
      </w:r>
    </w:p>
    <w:p w14:paraId="322BB506" w14:textId="77777777" w:rsidR="002850C6" w:rsidRPr="002850C6" w:rsidRDefault="002850C6" w:rsidP="002850C6">
      <w:pPr>
        <w:ind w:left="850"/>
        <w:rPr>
          <w:i/>
          <w:noProof/>
          <w:color w:val="000000" w:themeColor="text1"/>
        </w:rPr>
      </w:pPr>
      <w:r w:rsidRPr="002850C6">
        <w:rPr>
          <w:i/>
          <w:noProof/>
          <w:color w:val="000000" w:themeColor="text1"/>
          <w:u w:val="single"/>
        </w:rPr>
        <w:t>Dans l’ordre</w:t>
      </w:r>
      <w:r w:rsidRPr="002850C6">
        <w:rPr>
          <w:i/>
          <w:noProof/>
          <w:color w:val="000000" w:themeColor="text1"/>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2850C6" w:rsidRPr="002850C6" w14:paraId="605E1591" w14:textId="77777777" w:rsidTr="0043630B">
        <w:trPr>
          <w:jc w:val="center"/>
        </w:trPr>
        <w:tc>
          <w:tcPr>
            <w:tcW w:w="1092" w:type="dxa"/>
            <w:vMerge w:val="restart"/>
            <w:vAlign w:val="center"/>
          </w:tcPr>
          <w:p w14:paraId="51CC6C60" w14:textId="77777777" w:rsidR="002850C6" w:rsidRPr="002850C6" w:rsidRDefault="002850C6" w:rsidP="002850C6">
            <w:pPr>
              <w:spacing w:before="60" w:after="60"/>
              <w:jc w:val="center"/>
              <w:rPr>
                <w:noProof/>
                <w:color w:val="000000" w:themeColor="text1"/>
              </w:rPr>
            </w:pPr>
            <w:r w:rsidRPr="002850C6">
              <w:rPr>
                <w:noProof/>
                <w:color w:val="000000" w:themeColor="text1"/>
                <w:sz w:val="18"/>
              </w:rPr>
              <w:t>Rubrique du cadre financier pluriannuel</w:t>
            </w:r>
          </w:p>
        </w:tc>
        <w:tc>
          <w:tcPr>
            <w:tcW w:w="4002" w:type="dxa"/>
            <w:vAlign w:val="center"/>
          </w:tcPr>
          <w:p w14:paraId="2A66821F" w14:textId="77777777" w:rsidR="002850C6" w:rsidRPr="002850C6" w:rsidRDefault="002850C6" w:rsidP="002850C6">
            <w:pPr>
              <w:spacing w:before="60" w:after="60"/>
              <w:jc w:val="center"/>
              <w:rPr>
                <w:noProof/>
                <w:color w:val="000000" w:themeColor="text1"/>
              </w:rPr>
            </w:pPr>
            <w:r w:rsidRPr="002850C6">
              <w:rPr>
                <w:noProof/>
                <w:color w:val="000000" w:themeColor="text1"/>
                <w:sz w:val="20"/>
              </w:rPr>
              <w:t xml:space="preserve">Ligne budgétaire </w:t>
            </w:r>
          </w:p>
        </w:tc>
        <w:tc>
          <w:tcPr>
            <w:tcW w:w="1092" w:type="dxa"/>
            <w:vAlign w:val="center"/>
          </w:tcPr>
          <w:p w14:paraId="399A95F6" w14:textId="77777777" w:rsidR="002850C6" w:rsidRPr="002850C6" w:rsidRDefault="002850C6" w:rsidP="002850C6">
            <w:pPr>
              <w:spacing w:before="60" w:after="60"/>
              <w:jc w:val="center"/>
              <w:rPr>
                <w:noProof/>
                <w:color w:val="000000" w:themeColor="text1"/>
              </w:rPr>
            </w:pPr>
            <w:r w:rsidRPr="002850C6">
              <w:rPr>
                <w:noProof/>
                <w:color w:val="000000" w:themeColor="text1"/>
                <w:sz w:val="18"/>
              </w:rPr>
              <w:t>Nature de la dépense</w:t>
            </w:r>
          </w:p>
        </w:tc>
        <w:tc>
          <w:tcPr>
            <w:tcW w:w="4487" w:type="dxa"/>
            <w:gridSpan w:val="4"/>
            <w:vAlign w:val="center"/>
          </w:tcPr>
          <w:p w14:paraId="7A77C8C5" w14:textId="77777777" w:rsidR="002850C6" w:rsidRPr="002850C6" w:rsidRDefault="002850C6" w:rsidP="002850C6">
            <w:pPr>
              <w:spacing w:before="60" w:after="60"/>
              <w:jc w:val="center"/>
              <w:rPr>
                <w:noProof/>
                <w:color w:val="000000" w:themeColor="text1"/>
              </w:rPr>
            </w:pPr>
            <w:r w:rsidRPr="002850C6">
              <w:rPr>
                <w:noProof/>
                <w:color w:val="000000" w:themeColor="text1"/>
                <w:sz w:val="20"/>
              </w:rPr>
              <w:t xml:space="preserve">Participation </w:t>
            </w:r>
          </w:p>
        </w:tc>
      </w:tr>
      <w:tr w:rsidR="002850C6" w:rsidRPr="002850C6" w14:paraId="072AD4A0" w14:textId="77777777" w:rsidTr="0043630B">
        <w:trPr>
          <w:cantSplit/>
          <w:jc w:val="center"/>
        </w:trPr>
        <w:tc>
          <w:tcPr>
            <w:tcW w:w="1092" w:type="dxa"/>
            <w:vMerge/>
            <w:vAlign w:val="center"/>
          </w:tcPr>
          <w:p w14:paraId="146E3A03" w14:textId="77777777" w:rsidR="002850C6" w:rsidRPr="002850C6" w:rsidRDefault="002850C6" w:rsidP="002850C6">
            <w:pPr>
              <w:jc w:val="center"/>
              <w:rPr>
                <w:noProof/>
                <w:color w:val="000000" w:themeColor="text1"/>
              </w:rPr>
            </w:pPr>
          </w:p>
        </w:tc>
        <w:tc>
          <w:tcPr>
            <w:tcW w:w="4002" w:type="dxa"/>
            <w:vAlign w:val="center"/>
          </w:tcPr>
          <w:p w14:paraId="63B452DD" w14:textId="77777777" w:rsidR="002850C6" w:rsidRPr="002850C6" w:rsidRDefault="002850C6" w:rsidP="002850C6">
            <w:pPr>
              <w:rPr>
                <w:noProof/>
                <w:color w:val="000000" w:themeColor="text1"/>
              </w:rPr>
            </w:pPr>
            <w:r w:rsidRPr="002850C6">
              <w:rPr>
                <w:noProof/>
                <w:color w:val="000000" w:themeColor="text1"/>
                <w:sz w:val="20"/>
              </w:rPr>
              <w:t xml:space="preserve">Numéro </w:t>
            </w:r>
            <w:r w:rsidRPr="002850C6">
              <w:rPr>
                <w:noProof/>
              </w:rPr>
              <w:t xml:space="preserve"> </w:t>
            </w:r>
            <w:r w:rsidRPr="002850C6">
              <w:rPr>
                <w:noProof/>
              </w:rPr>
              <w:br/>
            </w:r>
          </w:p>
        </w:tc>
        <w:tc>
          <w:tcPr>
            <w:tcW w:w="1092" w:type="dxa"/>
            <w:vAlign w:val="center"/>
          </w:tcPr>
          <w:p w14:paraId="17DBD6F5" w14:textId="77777777" w:rsidR="002850C6" w:rsidRPr="002850C6" w:rsidRDefault="002850C6" w:rsidP="002850C6">
            <w:pPr>
              <w:jc w:val="center"/>
              <w:rPr>
                <w:noProof/>
                <w:color w:val="000000" w:themeColor="text1"/>
              </w:rPr>
            </w:pPr>
            <w:r w:rsidRPr="002850C6">
              <w:rPr>
                <w:noProof/>
                <w:color w:val="000000" w:themeColor="text1"/>
                <w:sz w:val="18"/>
              </w:rPr>
              <w:t>CD/CND</w:t>
            </w:r>
          </w:p>
        </w:tc>
        <w:tc>
          <w:tcPr>
            <w:tcW w:w="966" w:type="dxa"/>
            <w:vAlign w:val="center"/>
          </w:tcPr>
          <w:p w14:paraId="67D23358" w14:textId="77777777" w:rsidR="002850C6" w:rsidRPr="002850C6" w:rsidRDefault="002850C6" w:rsidP="002850C6">
            <w:pPr>
              <w:jc w:val="center"/>
              <w:rPr>
                <w:b/>
                <w:noProof/>
                <w:color w:val="000000" w:themeColor="text1"/>
                <w:sz w:val="18"/>
              </w:rPr>
            </w:pPr>
            <w:r w:rsidRPr="002850C6">
              <w:rPr>
                <w:noProof/>
                <w:color w:val="000000" w:themeColor="text1"/>
                <w:sz w:val="18"/>
              </w:rPr>
              <w:t>de pays AELE</w:t>
            </w:r>
          </w:p>
        </w:tc>
        <w:tc>
          <w:tcPr>
            <w:tcW w:w="1092" w:type="dxa"/>
            <w:vAlign w:val="center"/>
          </w:tcPr>
          <w:p w14:paraId="0608959B" w14:textId="77777777" w:rsidR="002850C6" w:rsidRPr="002850C6" w:rsidRDefault="002850C6" w:rsidP="002850C6">
            <w:pPr>
              <w:jc w:val="center"/>
              <w:rPr>
                <w:noProof/>
                <w:color w:val="000000" w:themeColor="text1"/>
                <w:sz w:val="18"/>
              </w:rPr>
            </w:pPr>
            <w:r w:rsidRPr="002850C6">
              <w:rPr>
                <w:noProof/>
                <w:color w:val="000000" w:themeColor="text1"/>
                <w:sz w:val="18"/>
              </w:rPr>
              <w:t>de pays candidats et pays candidats potentiels</w:t>
            </w:r>
          </w:p>
        </w:tc>
        <w:tc>
          <w:tcPr>
            <w:tcW w:w="966" w:type="dxa"/>
            <w:vAlign w:val="center"/>
          </w:tcPr>
          <w:p w14:paraId="12601E99" w14:textId="77777777" w:rsidR="002850C6" w:rsidRPr="002850C6" w:rsidRDefault="002850C6" w:rsidP="002850C6">
            <w:pPr>
              <w:jc w:val="center"/>
              <w:rPr>
                <w:noProof/>
                <w:color w:val="000000" w:themeColor="text1"/>
                <w:sz w:val="18"/>
              </w:rPr>
            </w:pPr>
            <w:r w:rsidRPr="002850C6">
              <w:rPr>
                <w:noProof/>
                <w:color w:val="000000" w:themeColor="text1"/>
                <w:sz w:val="18"/>
              </w:rPr>
              <w:t>d’autres pays tiers</w:t>
            </w:r>
          </w:p>
        </w:tc>
        <w:tc>
          <w:tcPr>
            <w:tcW w:w="1463" w:type="dxa"/>
            <w:vAlign w:val="center"/>
          </w:tcPr>
          <w:p w14:paraId="0C828B68" w14:textId="77777777" w:rsidR="002850C6" w:rsidRPr="002850C6" w:rsidRDefault="002850C6" w:rsidP="002850C6">
            <w:pPr>
              <w:jc w:val="center"/>
              <w:rPr>
                <w:noProof/>
                <w:color w:val="000000" w:themeColor="text1"/>
              </w:rPr>
            </w:pPr>
            <w:r w:rsidRPr="002850C6">
              <w:rPr>
                <w:noProof/>
                <w:color w:val="000000" w:themeColor="text1"/>
                <w:sz w:val="18"/>
              </w:rPr>
              <w:t>autres recettes affectées</w:t>
            </w:r>
          </w:p>
        </w:tc>
      </w:tr>
      <w:tr w:rsidR="002850C6" w:rsidRPr="002850C6" w14:paraId="59C24250" w14:textId="77777777" w:rsidTr="0043630B">
        <w:trPr>
          <w:jc w:val="center"/>
        </w:trPr>
        <w:tc>
          <w:tcPr>
            <w:tcW w:w="1092" w:type="dxa"/>
            <w:vAlign w:val="center"/>
          </w:tcPr>
          <w:p w14:paraId="112BA850" w14:textId="77777777" w:rsidR="002850C6" w:rsidRPr="002850C6" w:rsidRDefault="002850C6" w:rsidP="002850C6">
            <w:pPr>
              <w:jc w:val="center"/>
              <w:rPr>
                <w:noProof/>
                <w:color w:val="000000" w:themeColor="text1"/>
              </w:rPr>
            </w:pPr>
            <w:r w:rsidRPr="002850C6">
              <w:rPr>
                <w:noProof/>
                <w:color w:val="000000" w:themeColor="text1"/>
              </w:rPr>
              <w:t>1</w:t>
            </w:r>
          </w:p>
        </w:tc>
        <w:tc>
          <w:tcPr>
            <w:tcW w:w="4002" w:type="dxa"/>
            <w:vAlign w:val="center"/>
          </w:tcPr>
          <w:p w14:paraId="52E4C2A7" w14:textId="77777777" w:rsidR="002850C6" w:rsidRPr="002850C6" w:rsidRDefault="002850C6" w:rsidP="002850C6">
            <w:pPr>
              <w:spacing w:before="60"/>
              <w:rPr>
                <w:noProof/>
                <w:color w:val="000000" w:themeColor="text1"/>
              </w:rPr>
            </w:pPr>
            <w:r w:rsidRPr="002850C6">
              <w:rPr>
                <w:noProof/>
                <w:color w:val="000000" w:themeColor="text1"/>
                <w:sz w:val="22"/>
              </w:rPr>
              <w:t>02.10.03 –</w:t>
            </w:r>
            <w:r w:rsidRPr="002850C6">
              <w:rPr>
                <w:b/>
                <w:bCs/>
                <w:noProof/>
                <w:color w:val="000000" w:themeColor="text1"/>
                <w:sz w:val="22"/>
              </w:rPr>
              <w:t xml:space="preserve"> </w:t>
            </w:r>
            <w:r w:rsidRPr="002850C6">
              <w:rPr>
                <w:noProof/>
                <w:color w:val="000000" w:themeColor="text1"/>
                <w:sz w:val="22"/>
              </w:rPr>
              <w:t>Agence de l’Union européenne pour les chemins de fer (AFE)</w:t>
            </w:r>
          </w:p>
        </w:tc>
        <w:tc>
          <w:tcPr>
            <w:tcW w:w="1092" w:type="dxa"/>
            <w:vAlign w:val="center"/>
          </w:tcPr>
          <w:p w14:paraId="2D0C6659" w14:textId="77777777" w:rsidR="002850C6" w:rsidRPr="002850C6" w:rsidRDefault="002850C6" w:rsidP="002850C6">
            <w:pPr>
              <w:jc w:val="center"/>
              <w:rPr>
                <w:noProof/>
                <w:color w:val="000000" w:themeColor="text1"/>
              </w:rPr>
            </w:pPr>
            <w:r w:rsidRPr="002850C6">
              <w:rPr>
                <w:noProof/>
                <w:color w:val="000000" w:themeColor="text1"/>
                <w:sz w:val="22"/>
              </w:rPr>
              <w:t>CD</w:t>
            </w:r>
          </w:p>
        </w:tc>
        <w:tc>
          <w:tcPr>
            <w:tcW w:w="966" w:type="dxa"/>
            <w:vAlign w:val="center"/>
          </w:tcPr>
          <w:p w14:paraId="4FBF2A77" w14:textId="77777777" w:rsidR="002850C6" w:rsidRPr="002850C6" w:rsidRDefault="002850C6" w:rsidP="002850C6">
            <w:pPr>
              <w:jc w:val="center"/>
              <w:rPr>
                <w:noProof/>
                <w:color w:val="000000" w:themeColor="text1"/>
                <w:sz w:val="20"/>
                <w:szCs w:val="20"/>
              </w:rPr>
            </w:pPr>
            <w:r w:rsidRPr="002850C6">
              <w:rPr>
                <w:noProof/>
                <w:color w:val="000000" w:themeColor="text1"/>
                <w:sz w:val="20"/>
              </w:rPr>
              <w:t>OUI</w:t>
            </w:r>
          </w:p>
        </w:tc>
        <w:tc>
          <w:tcPr>
            <w:tcW w:w="1092" w:type="dxa"/>
            <w:vAlign w:val="center"/>
          </w:tcPr>
          <w:p w14:paraId="73CCF1AB"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c>
          <w:tcPr>
            <w:tcW w:w="966" w:type="dxa"/>
            <w:vAlign w:val="center"/>
          </w:tcPr>
          <w:p w14:paraId="1860102E"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c>
          <w:tcPr>
            <w:tcW w:w="1463" w:type="dxa"/>
            <w:vAlign w:val="center"/>
          </w:tcPr>
          <w:p w14:paraId="38596D48"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r>
      <w:tr w:rsidR="002850C6" w:rsidRPr="002850C6" w14:paraId="10F40EBE" w14:textId="77777777" w:rsidTr="0043630B">
        <w:trPr>
          <w:jc w:val="center"/>
        </w:trPr>
        <w:tc>
          <w:tcPr>
            <w:tcW w:w="1092" w:type="dxa"/>
            <w:vAlign w:val="center"/>
          </w:tcPr>
          <w:p w14:paraId="0C76EB21" w14:textId="77777777" w:rsidR="002850C6" w:rsidRPr="002850C6" w:rsidRDefault="002850C6" w:rsidP="002850C6">
            <w:pPr>
              <w:jc w:val="center"/>
              <w:rPr>
                <w:noProof/>
                <w:color w:val="000000" w:themeColor="text1"/>
              </w:rPr>
            </w:pPr>
            <w:r w:rsidRPr="002850C6">
              <w:rPr>
                <w:noProof/>
                <w:color w:val="000000" w:themeColor="text1"/>
              </w:rPr>
              <w:t>1</w:t>
            </w:r>
          </w:p>
        </w:tc>
        <w:tc>
          <w:tcPr>
            <w:tcW w:w="4002" w:type="dxa"/>
            <w:vAlign w:val="center"/>
          </w:tcPr>
          <w:p w14:paraId="49271253" w14:textId="77777777" w:rsidR="002850C6" w:rsidRPr="002850C6" w:rsidRDefault="002850C6" w:rsidP="002850C6">
            <w:pPr>
              <w:spacing w:before="60"/>
              <w:rPr>
                <w:noProof/>
                <w:color w:val="000000" w:themeColor="text1"/>
              </w:rPr>
            </w:pPr>
            <w:r w:rsidRPr="002850C6">
              <w:rPr>
                <w:noProof/>
                <w:color w:val="000000" w:themeColor="text1"/>
                <w:sz w:val="22"/>
              </w:rPr>
              <w:t>02.10.01 – Agence de l’Union européenne pour la sécurité aérienne (AESA)</w:t>
            </w:r>
          </w:p>
        </w:tc>
        <w:tc>
          <w:tcPr>
            <w:tcW w:w="1092" w:type="dxa"/>
            <w:vAlign w:val="center"/>
          </w:tcPr>
          <w:p w14:paraId="7AF6E2F9" w14:textId="77777777" w:rsidR="002850C6" w:rsidRPr="002850C6" w:rsidRDefault="002850C6" w:rsidP="002850C6">
            <w:pPr>
              <w:jc w:val="center"/>
              <w:rPr>
                <w:noProof/>
                <w:color w:val="000000" w:themeColor="text1"/>
              </w:rPr>
            </w:pPr>
            <w:r w:rsidRPr="002850C6">
              <w:rPr>
                <w:noProof/>
                <w:color w:val="000000" w:themeColor="text1"/>
                <w:sz w:val="22"/>
              </w:rPr>
              <w:t>CD</w:t>
            </w:r>
          </w:p>
        </w:tc>
        <w:tc>
          <w:tcPr>
            <w:tcW w:w="966" w:type="dxa"/>
            <w:vAlign w:val="center"/>
          </w:tcPr>
          <w:p w14:paraId="6C6E6F14" w14:textId="77777777" w:rsidR="002850C6" w:rsidRPr="002850C6" w:rsidRDefault="002850C6" w:rsidP="002850C6">
            <w:pPr>
              <w:jc w:val="center"/>
              <w:rPr>
                <w:noProof/>
                <w:color w:val="000000" w:themeColor="text1"/>
                <w:sz w:val="20"/>
                <w:szCs w:val="20"/>
              </w:rPr>
            </w:pPr>
            <w:r w:rsidRPr="002850C6">
              <w:rPr>
                <w:noProof/>
                <w:color w:val="000000" w:themeColor="text1"/>
                <w:sz w:val="20"/>
              </w:rPr>
              <w:t>OUI</w:t>
            </w:r>
          </w:p>
        </w:tc>
        <w:tc>
          <w:tcPr>
            <w:tcW w:w="1092" w:type="dxa"/>
            <w:vAlign w:val="center"/>
          </w:tcPr>
          <w:p w14:paraId="63A83F96"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c>
          <w:tcPr>
            <w:tcW w:w="966" w:type="dxa"/>
            <w:vAlign w:val="center"/>
          </w:tcPr>
          <w:p w14:paraId="489C37EE"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c>
          <w:tcPr>
            <w:tcW w:w="1463" w:type="dxa"/>
            <w:vAlign w:val="center"/>
          </w:tcPr>
          <w:p w14:paraId="2C1A8885"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r>
      <w:tr w:rsidR="002850C6" w:rsidRPr="002850C6" w14:paraId="0CB4B6A9" w14:textId="77777777" w:rsidTr="0043630B">
        <w:trPr>
          <w:jc w:val="center"/>
        </w:trPr>
        <w:tc>
          <w:tcPr>
            <w:tcW w:w="1092" w:type="dxa"/>
            <w:vAlign w:val="center"/>
          </w:tcPr>
          <w:p w14:paraId="7DE639E1" w14:textId="77777777" w:rsidR="002850C6" w:rsidRPr="002850C6" w:rsidRDefault="002850C6" w:rsidP="002850C6">
            <w:pPr>
              <w:jc w:val="center"/>
              <w:rPr>
                <w:noProof/>
                <w:color w:val="000000" w:themeColor="text1"/>
              </w:rPr>
            </w:pPr>
            <w:r w:rsidRPr="002850C6">
              <w:rPr>
                <w:noProof/>
                <w:color w:val="000000" w:themeColor="text1"/>
              </w:rPr>
              <w:t>1</w:t>
            </w:r>
          </w:p>
        </w:tc>
        <w:tc>
          <w:tcPr>
            <w:tcW w:w="4002" w:type="dxa"/>
            <w:vAlign w:val="center"/>
          </w:tcPr>
          <w:p w14:paraId="0447690C" w14:textId="77777777" w:rsidR="002850C6" w:rsidRPr="002850C6" w:rsidRDefault="002850C6" w:rsidP="002850C6">
            <w:pPr>
              <w:spacing w:before="60"/>
              <w:rPr>
                <w:noProof/>
                <w:color w:val="000000" w:themeColor="text1"/>
                <w:sz w:val="22"/>
              </w:rPr>
            </w:pPr>
            <w:r w:rsidRPr="002850C6">
              <w:rPr>
                <w:noProof/>
                <w:color w:val="000000" w:themeColor="text1"/>
                <w:sz w:val="22"/>
              </w:rPr>
              <w:t>02.03.01 – Mécanisme pour l'interconnexion en Europe - volet «transports»</w:t>
            </w:r>
          </w:p>
        </w:tc>
        <w:tc>
          <w:tcPr>
            <w:tcW w:w="1092" w:type="dxa"/>
            <w:vAlign w:val="center"/>
          </w:tcPr>
          <w:p w14:paraId="4295B206" w14:textId="77777777" w:rsidR="002850C6" w:rsidRPr="002850C6" w:rsidRDefault="002850C6" w:rsidP="002850C6">
            <w:pPr>
              <w:jc w:val="center"/>
              <w:rPr>
                <w:noProof/>
                <w:color w:val="000000" w:themeColor="text1"/>
                <w:sz w:val="22"/>
              </w:rPr>
            </w:pPr>
            <w:r w:rsidRPr="002850C6">
              <w:rPr>
                <w:noProof/>
                <w:color w:val="000000" w:themeColor="text1"/>
                <w:sz w:val="22"/>
              </w:rPr>
              <w:t>CD</w:t>
            </w:r>
          </w:p>
        </w:tc>
        <w:tc>
          <w:tcPr>
            <w:tcW w:w="966" w:type="dxa"/>
            <w:vAlign w:val="center"/>
          </w:tcPr>
          <w:p w14:paraId="03DB60A8"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c>
          <w:tcPr>
            <w:tcW w:w="1092" w:type="dxa"/>
            <w:vAlign w:val="center"/>
          </w:tcPr>
          <w:p w14:paraId="1217C3A8"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c>
          <w:tcPr>
            <w:tcW w:w="966" w:type="dxa"/>
            <w:vAlign w:val="center"/>
          </w:tcPr>
          <w:p w14:paraId="34B9C778"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c>
          <w:tcPr>
            <w:tcW w:w="1463" w:type="dxa"/>
            <w:vAlign w:val="center"/>
          </w:tcPr>
          <w:p w14:paraId="56260C5A"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r>
      <w:tr w:rsidR="002850C6" w:rsidRPr="002850C6" w14:paraId="46E90377" w14:textId="77777777" w:rsidTr="0043630B">
        <w:trPr>
          <w:jc w:val="center"/>
        </w:trPr>
        <w:tc>
          <w:tcPr>
            <w:tcW w:w="1092" w:type="dxa"/>
            <w:vAlign w:val="center"/>
          </w:tcPr>
          <w:p w14:paraId="0BD01C55" w14:textId="77777777" w:rsidR="002850C6" w:rsidRPr="002850C6" w:rsidRDefault="002850C6" w:rsidP="002850C6">
            <w:pPr>
              <w:jc w:val="center"/>
              <w:rPr>
                <w:noProof/>
                <w:color w:val="000000" w:themeColor="text1"/>
              </w:rPr>
            </w:pPr>
            <w:r w:rsidRPr="002850C6">
              <w:rPr>
                <w:noProof/>
                <w:color w:val="000000" w:themeColor="text1"/>
              </w:rPr>
              <w:t>5</w:t>
            </w:r>
          </w:p>
        </w:tc>
        <w:tc>
          <w:tcPr>
            <w:tcW w:w="4002" w:type="dxa"/>
            <w:vAlign w:val="center"/>
          </w:tcPr>
          <w:p w14:paraId="49DB9F6D" w14:textId="77777777" w:rsidR="002850C6" w:rsidRPr="002850C6" w:rsidRDefault="002850C6" w:rsidP="002850C6">
            <w:pPr>
              <w:spacing w:before="60"/>
              <w:rPr>
                <w:noProof/>
                <w:color w:val="000000" w:themeColor="text1"/>
                <w:sz w:val="22"/>
              </w:rPr>
            </w:pPr>
            <w:r w:rsidRPr="002850C6">
              <w:rPr>
                <w:noProof/>
                <w:color w:val="000000" w:themeColor="text1"/>
                <w:sz w:val="22"/>
              </w:rPr>
              <w:t>13.08.01 – Programme pour l’industrie européenne de la défense (EDIP)</w:t>
            </w:r>
          </w:p>
        </w:tc>
        <w:tc>
          <w:tcPr>
            <w:tcW w:w="1092" w:type="dxa"/>
            <w:vAlign w:val="center"/>
          </w:tcPr>
          <w:p w14:paraId="097FFB6F" w14:textId="77777777" w:rsidR="002850C6" w:rsidRPr="002850C6" w:rsidRDefault="002850C6" w:rsidP="002850C6">
            <w:pPr>
              <w:jc w:val="center"/>
              <w:rPr>
                <w:noProof/>
                <w:color w:val="000000" w:themeColor="text1"/>
                <w:sz w:val="22"/>
              </w:rPr>
            </w:pPr>
            <w:r w:rsidRPr="002850C6">
              <w:rPr>
                <w:noProof/>
                <w:color w:val="000000" w:themeColor="text1"/>
                <w:sz w:val="22"/>
              </w:rPr>
              <w:t>CD</w:t>
            </w:r>
          </w:p>
        </w:tc>
        <w:tc>
          <w:tcPr>
            <w:tcW w:w="966" w:type="dxa"/>
            <w:vAlign w:val="center"/>
          </w:tcPr>
          <w:p w14:paraId="0DDD74D8" w14:textId="77777777" w:rsidR="002850C6" w:rsidRPr="002850C6" w:rsidRDefault="002850C6" w:rsidP="002850C6">
            <w:pPr>
              <w:jc w:val="center"/>
              <w:rPr>
                <w:noProof/>
                <w:color w:val="000000" w:themeColor="text1"/>
                <w:sz w:val="20"/>
                <w:szCs w:val="20"/>
              </w:rPr>
            </w:pPr>
            <w:r w:rsidRPr="002850C6">
              <w:rPr>
                <w:noProof/>
                <w:color w:val="000000" w:themeColor="text1"/>
                <w:sz w:val="20"/>
              </w:rPr>
              <w:t>OUI</w:t>
            </w:r>
          </w:p>
        </w:tc>
        <w:tc>
          <w:tcPr>
            <w:tcW w:w="1092" w:type="dxa"/>
            <w:vAlign w:val="center"/>
          </w:tcPr>
          <w:p w14:paraId="03D839B2"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c>
          <w:tcPr>
            <w:tcW w:w="966" w:type="dxa"/>
            <w:vAlign w:val="center"/>
          </w:tcPr>
          <w:p w14:paraId="192A101F"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c>
          <w:tcPr>
            <w:tcW w:w="1463" w:type="dxa"/>
            <w:vAlign w:val="center"/>
          </w:tcPr>
          <w:p w14:paraId="7DB94069" w14:textId="77777777" w:rsidR="002850C6" w:rsidRPr="002850C6" w:rsidRDefault="002850C6" w:rsidP="002850C6">
            <w:pPr>
              <w:jc w:val="center"/>
              <w:rPr>
                <w:noProof/>
                <w:color w:val="000000" w:themeColor="text1"/>
                <w:sz w:val="20"/>
                <w:szCs w:val="20"/>
              </w:rPr>
            </w:pPr>
            <w:r w:rsidRPr="002850C6">
              <w:rPr>
                <w:noProof/>
                <w:color w:val="000000" w:themeColor="text1"/>
                <w:sz w:val="20"/>
              </w:rPr>
              <w:t>NON</w:t>
            </w:r>
          </w:p>
        </w:tc>
      </w:tr>
    </w:tbl>
    <w:p w14:paraId="7436C7DD" w14:textId="77777777" w:rsidR="002850C6" w:rsidRPr="002850C6" w:rsidRDefault="002850C6" w:rsidP="002850C6">
      <w:pPr>
        <w:rPr>
          <w:noProof/>
          <w:color w:val="000000" w:themeColor="text1"/>
        </w:rPr>
        <w:sectPr w:rsidR="002850C6" w:rsidRPr="002850C6" w:rsidSect="003A339D">
          <w:pgSz w:w="11907" w:h="16840" w:code="1"/>
          <w:pgMar w:top="1134" w:right="1418" w:bottom="1134" w:left="1418" w:header="709" w:footer="709" w:gutter="0"/>
          <w:cols w:space="708"/>
          <w:docGrid w:linePitch="360"/>
        </w:sectPr>
      </w:pPr>
    </w:p>
    <w:p w14:paraId="749E6F1B" w14:textId="77777777" w:rsidR="002850C6" w:rsidRPr="002850C6" w:rsidRDefault="002850C6" w:rsidP="002850C6">
      <w:pPr>
        <w:keepNext/>
        <w:tabs>
          <w:tab w:val="left" w:pos="850"/>
        </w:tabs>
        <w:ind w:left="850" w:hanging="850"/>
        <w:outlineLvl w:val="1"/>
        <w:rPr>
          <w:b/>
          <w:bCs/>
          <w:noProof/>
          <w:szCs w:val="24"/>
        </w:rPr>
      </w:pPr>
      <w:bookmarkStart w:id="128" w:name="_Toc514938052"/>
      <w:bookmarkStart w:id="129" w:name="_Toc520485051"/>
      <w:bookmarkStart w:id="130" w:name="_Toc160804593"/>
      <w:bookmarkStart w:id="131" w:name="_Toc213612593"/>
      <w:r w:rsidRPr="002850C6">
        <w:rPr>
          <w:b/>
          <w:noProof/>
          <w:color w:val="000000" w:themeColor="text1"/>
        </w:rPr>
        <w:t>3.2.</w:t>
      </w:r>
      <w:r w:rsidRPr="002850C6">
        <w:rPr>
          <w:b/>
          <w:noProof/>
        </w:rPr>
        <w:tab/>
        <w:t>Incidence financière estimée de la proposition sur les crédits</w:t>
      </w:r>
      <w:bookmarkEnd w:id="128"/>
      <w:bookmarkEnd w:id="129"/>
      <w:bookmarkEnd w:id="130"/>
      <w:bookmarkEnd w:id="131"/>
      <w:r w:rsidRPr="002850C6">
        <w:rPr>
          <w:b/>
          <w:noProof/>
        </w:rPr>
        <w:t xml:space="preserve"> </w:t>
      </w:r>
    </w:p>
    <w:p w14:paraId="7D194887" w14:textId="77777777" w:rsidR="002850C6" w:rsidRPr="002850C6" w:rsidRDefault="002850C6" w:rsidP="002850C6">
      <w:pPr>
        <w:keepNext/>
        <w:tabs>
          <w:tab w:val="left" w:pos="850"/>
        </w:tabs>
        <w:ind w:left="850" w:hanging="850"/>
        <w:outlineLvl w:val="2"/>
        <w:rPr>
          <w:i/>
          <w:noProof/>
        </w:rPr>
      </w:pPr>
      <w:bookmarkStart w:id="132" w:name="_Toc514938053"/>
      <w:bookmarkStart w:id="133" w:name="_Toc520485052"/>
      <w:bookmarkStart w:id="134" w:name="_Toc160804594"/>
      <w:bookmarkStart w:id="135" w:name="_Toc213612594"/>
      <w:r w:rsidRPr="002850C6">
        <w:rPr>
          <w:i/>
          <w:noProof/>
        </w:rPr>
        <w:t>3.2.1.</w:t>
      </w:r>
      <w:r w:rsidRPr="002850C6">
        <w:rPr>
          <w:i/>
          <w:noProof/>
        </w:rPr>
        <w:tab/>
        <w:t>Synthèse de l’incidence estimée sur les crédits opérationnels</w:t>
      </w:r>
      <w:bookmarkEnd w:id="132"/>
      <w:bookmarkEnd w:id="133"/>
      <w:bookmarkEnd w:id="134"/>
      <w:bookmarkEnd w:id="135"/>
    </w:p>
    <w:p w14:paraId="4E006EA2"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 xml:space="preserve">La proposition/l’initiative n’engendre pas l’utilisation de crédits opérationnels </w:t>
      </w:r>
    </w:p>
    <w:p w14:paraId="01A125FB"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La proposition/l’initiative engendre l’utilisation de crédits opérationnels, comme expliqué ci-après:</w:t>
      </w:r>
    </w:p>
    <w:p w14:paraId="1E3ABB98" w14:textId="77777777" w:rsidR="002850C6" w:rsidRPr="002850C6" w:rsidRDefault="002850C6" w:rsidP="002850C6">
      <w:pPr>
        <w:rPr>
          <w:noProof/>
        </w:rPr>
      </w:pPr>
      <w:r w:rsidRPr="002850C6">
        <w:rPr>
          <w:noProof/>
        </w:rPr>
        <w:t>Les montants pour l’après-2027 sont indicatifs et ne préjugent pas de l’issue des négociations en cours sur le prochain CFP.</w:t>
      </w:r>
    </w:p>
    <w:p w14:paraId="4E3B6C8B" w14:textId="77777777" w:rsidR="002850C6" w:rsidRPr="002850C6" w:rsidRDefault="002850C6" w:rsidP="002850C6">
      <w:pPr>
        <w:rPr>
          <w:noProof/>
        </w:rPr>
      </w:pPr>
    </w:p>
    <w:p w14:paraId="58BFE9EC" w14:textId="77777777" w:rsidR="002850C6" w:rsidRPr="002850C6" w:rsidRDefault="002850C6" w:rsidP="002850C6">
      <w:pPr>
        <w:rPr>
          <w:noProof/>
        </w:rPr>
      </w:pPr>
    </w:p>
    <w:p w14:paraId="557DE796" w14:textId="77777777" w:rsidR="002850C6" w:rsidRPr="002850C6" w:rsidRDefault="002850C6" w:rsidP="002850C6">
      <w:pPr>
        <w:keepNext/>
        <w:tabs>
          <w:tab w:val="left" w:pos="850"/>
        </w:tabs>
        <w:ind w:left="850" w:hanging="850"/>
        <w:outlineLvl w:val="2"/>
        <w:rPr>
          <w:i/>
          <w:noProof/>
        </w:rPr>
      </w:pPr>
      <w:bookmarkStart w:id="136" w:name="_Toc160804595"/>
      <w:bookmarkStart w:id="137" w:name="_Toc213612595"/>
      <w:bookmarkStart w:id="138" w:name="_Hlk177487747"/>
      <w:r w:rsidRPr="002850C6">
        <w:rPr>
          <w:i/>
          <w:noProof/>
        </w:rPr>
        <w:t>3.2.1.1.</w:t>
      </w:r>
      <w:r w:rsidRPr="002850C6">
        <w:rPr>
          <w:i/>
          <w:noProof/>
        </w:rPr>
        <w:tab/>
        <w:t>Crédits issus du budget voté</w:t>
      </w:r>
      <w:bookmarkEnd w:id="136"/>
      <w:bookmarkEnd w:id="137"/>
    </w:p>
    <w:bookmarkEnd w:id="138"/>
    <w:p w14:paraId="5A2A5210" w14:textId="77777777" w:rsidR="002850C6" w:rsidRPr="002850C6" w:rsidRDefault="002850C6" w:rsidP="002850C6">
      <w:pPr>
        <w:jc w:val="right"/>
        <w:rPr>
          <w:noProof/>
          <w:sz w:val="18"/>
          <w:szCs w:val="18"/>
        </w:rPr>
      </w:pPr>
      <w:r w:rsidRPr="002850C6">
        <w:rPr>
          <w:noProof/>
          <w:sz w:val="18"/>
        </w:rPr>
        <w:t>En Mio EUR (à la 3</w:t>
      </w:r>
      <w:r w:rsidRPr="002850C6">
        <w:rPr>
          <w:noProof/>
          <w:sz w:val="18"/>
          <w:vertAlign w:val="superscript"/>
        </w:rPr>
        <w:t>e</w:t>
      </w:r>
      <w:r w:rsidRPr="002850C6">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850C6" w:rsidRPr="002850C6" w14:paraId="427F887E" w14:textId="77777777" w:rsidTr="0043630B">
        <w:tc>
          <w:tcPr>
            <w:tcW w:w="1739" w:type="pct"/>
            <w:shd w:val="thinDiagStripe" w:color="C0C0C0" w:fill="auto"/>
            <w:vAlign w:val="center"/>
          </w:tcPr>
          <w:p w14:paraId="249B1139" w14:textId="77777777" w:rsidR="002850C6" w:rsidRPr="002850C6" w:rsidRDefault="002850C6" w:rsidP="002850C6">
            <w:pPr>
              <w:spacing w:before="60" w:after="60"/>
              <w:jc w:val="center"/>
              <w:rPr>
                <w:b/>
                <w:noProof/>
              </w:rPr>
            </w:pPr>
            <w:r w:rsidRPr="002850C6">
              <w:rPr>
                <w:b/>
                <w:noProof/>
                <w:sz w:val="22"/>
              </w:rPr>
              <w:t xml:space="preserve">Rubrique du cadre financier pluriannuel </w:t>
            </w:r>
          </w:p>
        </w:tc>
        <w:tc>
          <w:tcPr>
            <w:tcW w:w="396" w:type="pct"/>
            <w:vAlign w:val="center"/>
          </w:tcPr>
          <w:p w14:paraId="6BF07047" w14:textId="77777777" w:rsidR="002850C6" w:rsidRPr="002850C6" w:rsidRDefault="002850C6" w:rsidP="002850C6">
            <w:pPr>
              <w:spacing w:before="60" w:after="60"/>
              <w:jc w:val="center"/>
              <w:rPr>
                <w:noProof/>
              </w:rPr>
            </w:pPr>
            <w:r w:rsidRPr="002850C6">
              <w:rPr>
                <w:noProof/>
                <w:sz w:val="22"/>
              </w:rPr>
              <w:t>1</w:t>
            </w:r>
          </w:p>
        </w:tc>
        <w:tc>
          <w:tcPr>
            <w:tcW w:w="2865" w:type="pct"/>
            <w:vAlign w:val="center"/>
          </w:tcPr>
          <w:p w14:paraId="021032F5" w14:textId="77777777" w:rsidR="002850C6" w:rsidRPr="002850C6" w:rsidRDefault="002850C6" w:rsidP="002850C6">
            <w:pPr>
              <w:spacing w:before="60" w:after="60"/>
              <w:rPr>
                <w:noProof/>
              </w:rPr>
            </w:pPr>
            <w:r w:rsidRPr="002850C6">
              <w:rPr>
                <w:noProof/>
              </w:rPr>
              <w:t>Marché unique, innovation et numérique</w:t>
            </w:r>
          </w:p>
        </w:tc>
      </w:tr>
    </w:tbl>
    <w:p w14:paraId="31A4190D" w14:textId="77777777" w:rsidR="002850C6" w:rsidRPr="002850C6" w:rsidRDefault="002850C6" w:rsidP="002850C6">
      <w:pPr>
        <w:rPr>
          <w:noProof/>
          <w:sz w:val="16"/>
        </w:rPr>
      </w:pPr>
    </w:p>
    <w:tbl>
      <w:tblPr>
        <w:tblW w:w="5000" w:type="pct"/>
        <w:tblLook w:val="04A0" w:firstRow="1" w:lastRow="0" w:firstColumn="1" w:lastColumn="0" w:noHBand="0" w:noVBand="1"/>
      </w:tblPr>
      <w:tblGrid>
        <w:gridCol w:w="3775"/>
        <w:gridCol w:w="1536"/>
        <w:gridCol w:w="1456"/>
        <w:gridCol w:w="1453"/>
        <w:gridCol w:w="1453"/>
        <w:gridCol w:w="1453"/>
        <w:gridCol w:w="1408"/>
        <w:gridCol w:w="1686"/>
      </w:tblGrid>
      <w:tr w:rsidR="002850C6" w:rsidRPr="002850C6" w14:paraId="4FC874DC" w14:textId="77777777" w:rsidTr="0043630B">
        <w:trPr>
          <w:trHeight w:val="420"/>
        </w:trPr>
        <w:tc>
          <w:tcPr>
            <w:tcW w:w="2379"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7F61D8F1" w14:textId="77777777" w:rsidR="002850C6" w:rsidRPr="002850C6" w:rsidRDefault="002850C6" w:rsidP="002850C6">
            <w:pPr>
              <w:spacing w:before="0" w:after="0"/>
              <w:jc w:val="center"/>
              <w:rPr>
                <w:noProof/>
                <w:sz w:val="22"/>
              </w:rPr>
            </w:pPr>
            <w:r w:rsidRPr="002850C6">
              <w:rPr>
                <w:noProof/>
                <w:sz w:val="22"/>
              </w:rPr>
              <w:t>DG</w:t>
            </w:r>
          </w:p>
        </w:tc>
        <w:tc>
          <w:tcPr>
            <w:tcW w:w="511" w:type="pct"/>
            <w:tcBorders>
              <w:top w:val="single" w:sz="8" w:space="0" w:color="auto"/>
              <w:left w:val="nil"/>
              <w:bottom w:val="single" w:sz="8" w:space="0" w:color="auto"/>
              <w:right w:val="single" w:sz="8" w:space="0" w:color="auto"/>
            </w:tcBorders>
            <w:vAlign w:val="center"/>
            <w:hideMark/>
          </w:tcPr>
          <w:p w14:paraId="67CC91DB" w14:textId="77777777" w:rsidR="002850C6" w:rsidRPr="002850C6" w:rsidRDefault="002850C6" w:rsidP="002850C6">
            <w:pPr>
              <w:spacing w:before="0" w:after="0"/>
              <w:jc w:val="center"/>
              <w:rPr>
                <w:noProof/>
                <w:sz w:val="20"/>
                <w:szCs w:val="20"/>
              </w:rPr>
            </w:pPr>
            <w:r w:rsidRPr="002850C6">
              <w:rPr>
                <w:noProof/>
                <w:sz w:val="20"/>
              </w:rPr>
              <w:t>Année</w:t>
            </w:r>
          </w:p>
        </w:tc>
        <w:tc>
          <w:tcPr>
            <w:tcW w:w="511" w:type="pct"/>
            <w:tcBorders>
              <w:top w:val="single" w:sz="8" w:space="0" w:color="auto"/>
              <w:left w:val="nil"/>
              <w:bottom w:val="single" w:sz="8" w:space="0" w:color="auto"/>
              <w:right w:val="single" w:sz="8" w:space="0" w:color="auto"/>
            </w:tcBorders>
            <w:vAlign w:val="center"/>
            <w:hideMark/>
          </w:tcPr>
          <w:p w14:paraId="2E046596" w14:textId="77777777" w:rsidR="002850C6" w:rsidRPr="002850C6" w:rsidRDefault="002850C6" w:rsidP="002850C6">
            <w:pPr>
              <w:spacing w:before="0" w:after="0"/>
              <w:jc w:val="center"/>
              <w:rPr>
                <w:noProof/>
                <w:sz w:val="20"/>
                <w:szCs w:val="20"/>
              </w:rPr>
            </w:pPr>
            <w:r w:rsidRPr="002850C6">
              <w:rPr>
                <w:noProof/>
                <w:sz w:val="20"/>
              </w:rPr>
              <w:t>Année</w:t>
            </w:r>
          </w:p>
        </w:tc>
        <w:tc>
          <w:tcPr>
            <w:tcW w:w="511" w:type="pct"/>
            <w:tcBorders>
              <w:top w:val="single" w:sz="8" w:space="0" w:color="auto"/>
              <w:left w:val="nil"/>
              <w:bottom w:val="single" w:sz="8" w:space="0" w:color="auto"/>
              <w:right w:val="single" w:sz="8" w:space="0" w:color="auto"/>
            </w:tcBorders>
            <w:vAlign w:val="center"/>
            <w:hideMark/>
          </w:tcPr>
          <w:p w14:paraId="79B9FBF6" w14:textId="77777777" w:rsidR="002850C6" w:rsidRPr="002850C6" w:rsidRDefault="002850C6" w:rsidP="002850C6">
            <w:pPr>
              <w:spacing w:before="0" w:after="0"/>
              <w:jc w:val="center"/>
              <w:rPr>
                <w:noProof/>
                <w:sz w:val="20"/>
                <w:szCs w:val="20"/>
              </w:rPr>
            </w:pPr>
            <w:r w:rsidRPr="002850C6">
              <w:rPr>
                <w:noProof/>
                <w:sz w:val="20"/>
              </w:rPr>
              <w:t>Année</w:t>
            </w:r>
          </w:p>
        </w:tc>
        <w:tc>
          <w:tcPr>
            <w:tcW w:w="495" w:type="pct"/>
            <w:tcBorders>
              <w:top w:val="single" w:sz="8" w:space="0" w:color="auto"/>
              <w:left w:val="nil"/>
              <w:bottom w:val="single" w:sz="8" w:space="0" w:color="auto"/>
              <w:right w:val="single" w:sz="8" w:space="0" w:color="auto"/>
            </w:tcBorders>
            <w:vAlign w:val="center"/>
            <w:hideMark/>
          </w:tcPr>
          <w:p w14:paraId="6F040FB7" w14:textId="77777777" w:rsidR="002850C6" w:rsidRPr="002850C6" w:rsidRDefault="002850C6" w:rsidP="002850C6">
            <w:pPr>
              <w:spacing w:before="0" w:after="0"/>
              <w:jc w:val="center"/>
              <w:rPr>
                <w:noProof/>
                <w:sz w:val="20"/>
                <w:szCs w:val="20"/>
              </w:rPr>
            </w:pPr>
            <w:r w:rsidRPr="002850C6">
              <w:rPr>
                <w:noProof/>
                <w:sz w:val="20"/>
              </w:rPr>
              <w:t>Année</w:t>
            </w:r>
          </w:p>
        </w:tc>
        <w:tc>
          <w:tcPr>
            <w:tcW w:w="592" w:type="pct"/>
            <w:vMerge w:val="restart"/>
            <w:tcBorders>
              <w:top w:val="single" w:sz="8" w:space="0" w:color="auto"/>
              <w:left w:val="single" w:sz="8" w:space="0" w:color="auto"/>
              <w:bottom w:val="single" w:sz="8" w:space="0" w:color="auto"/>
              <w:right w:val="single" w:sz="8" w:space="0" w:color="auto"/>
            </w:tcBorders>
            <w:vAlign w:val="center"/>
            <w:hideMark/>
          </w:tcPr>
          <w:p w14:paraId="09DBC95C" w14:textId="77777777" w:rsidR="002850C6" w:rsidRPr="002850C6" w:rsidRDefault="002850C6" w:rsidP="002850C6">
            <w:pPr>
              <w:spacing w:before="0" w:after="0"/>
              <w:jc w:val="center"/>
              <w:rPr>
                <w:b/>
                <w:bCs/>
                <w:noProof/>
                <w:sz w:val="20"/>
                <w:szCs w:val="20"/>
              </w:rPr>
            </w:pPr>
            <w:r w:rsidRPr="002850C6">
              <w:rPr>
                <w:b/>
                <w:noProof/>
                <w:sz w:val="20"/>
              </w:rPr>
              <w:t>TOTAL CFP 2021-2027</w:t>
            </w:r>
          </w:p>
        </w:tc>
      </w:tr>
      <w:tr w:rsidR="002850C6" w:rsidRPr="002850C6" w14:paraId="1069E723" w14:textId="77777777" w:rsidTr="0043630B">
        <w:trPr>
          <w:trHeight w:val="288"/>
        </w:trPr>
        <w:tc>
          <w:tcPr>
            <w:tcW w:w="2379" w:type="pct"/>
            <w:gridSpan w:val="3"/>
            <w:vMerge/>
            <w:vAlign w:val="center"/>
            <w:hideMark/>
          </w:tcPr>
          <w:p w14:paraId="5837FCBA" w14:textId="77777777" w:rsidR="002850C6" w:rsidRPr="002850C6" w:rsidRDefault="002850C6" w:rsidP="002850C6">
            <w:pPr>
              <w:spacing w:before="0" w:after="0"/>
              <w:jc w:val="left"/>
              <w:rPr>
                <w:noProof/>
                <w:sz w:val="22"/>
                <w:lang w:eastAsia="en-IE"/>
              </w:rPr>
            </w:pPr>
          </w:p>
        </w:tc>
        <w:tc>
          <w:tcPr>
            <w:tcW w:w="511" w:type="pct"/>
            <w:tcBorders>
              <w:top w:val="nil"/>
              <w:left w:val="nil"/>
              <w:bottom w:val="single" w:sz="8" w:space="0" w:color="auto"/>
              <w:right w:val="single" w:sz="8" w:space="0" w:color="auto"/>
            </w:tcBorders>
            <w:vAlign w:val="center"/>
            <w:hideMark/>
          </w:tcPr>
          <w:p w14:paraId="76E75F7B" w14:textId="77777777" w:rsidR="002850C6" w:rsidRPr="002850C6" w:rsidRDefault="002850C6" w:rsidP="002850C6">
            <w:pPr>
              <w:spacing w:before="0" w:after="0"/>
              <w:jc w:val="center"/>
              <w:rPr>
                <w:b/>
                <w:bCs/>
                <w:noProof/>
                <w:sz w:val="20"/>
                <w:szCs w:val="20"/>
              </w:rPr>
            </w:pPr>
            <w:r w:rsidRPr="002850C6">
              <w:rPr>
                <w:b/>
                <w:noProof/>
                <w:sz w:val="20"/>
              </w:rPr>
              <w:t>2024</w:t>
            </w:r>
          </w:p>
        </w:tc>
        <w:tc>
          <w:tcPr>
            <w:tcW w:w="511" w:type="pct"/>
            <w:tcBorders>
              <w:top w:val="nil"/>
              <w:left w:val="nil"/>
              <w:bottom w:val="single" w:sz="8" w:space="0" w:color="auto"/>
              <w:right w:val="single" w:sz="8" w:space="0" w:color="auto"/>
            </w:tcBorders>
            <w:vAlign w:val="center"/>
            <w:hideMark/>
          </w:tcPr>
          <w:p w14:paraId="2546F1D0" w14:textId="77777777" w:rsidR="002850C6" w:rsidRPr="002850C6" w:rsidRDefault="002850C6" w:rsidP="002850C6">
            <w:pPr>
              <w:spacing w:before="0" w:after="0"/>
              <w:jc w:val="center"/>
              <w:rPr>
                <w:b/>
                <w:bCs/>
                <w:noProof/>
                <w:sz w:val="20"/>
                <w:szCs w:val="20"/>
              </w:rPr>
            </w:pPr>
            <w:r w:rsidRPr="002850C6">
              <w:rPr>
                <w:b/>
                <w:noProof/>
                <w:sz w:val="20"/>
              </w:rPr>
              <w:t>2025</w:t>
            </w:r>
          </w:p>
        </w:tc>
        <w:tc>
          <w:tcPr>
            <w:tcW w:w="511" w:type="pct"/>
            <w:tcBorders>
              <w:top w:val="nil"/>
              <w:left w:val="nil"/>
              <w:bottom w:val="single" w:sz="8" w:space="0" w:color="auto"/>
              <w:right w:val="single" w:sz="8" w:space="0" w:color="auto"/>
            </w:tcBorders>
            <w:vAlign w:val="center"/>
            <w:hideMark/>
          </w:tcPr>
          <w:p w14:paraId="2DB7836B" w14:textId="77777777" w:rsidR="002850C6" w:rsidRPr="002850C6" w:rsidRDefault="002850C6" w:rsidP="002850C6">
            <w:pPr>
              <w:spacing w:before="0" w:after="0"/>
              <w:jc w:val="center"/>
              <w:rPr>
                <w:b/>
                <w:bCs/>
                <w:noProof/>
                <w:sz w:val="20"/>
                <w:szCs w:val="20"/>
              </w:rPr>
            </w:pPr>
            <w:r w:rsidRPr="002850C6">
              <w:rPr>
                <w:b/>
                <w:noProof/>
                <w:sz w:val="20"/>
              </w:rPr>
              <w:t>2026</w:t>
            </w:r>
          </w:p>
        </w:tc>
        <w:tc>
          <w:tcPr>
            <w:tcW w:w="495" w:type="pct"/>
            <w:tcBorders>
              <w:top w:val="nil"/>
              <w:left w:val="nil"/>
              <w:bottom w:val="single" w:sz="8" w:space="0" w:color="auto"/>
              <w:right w:val="single" w:sz="8" w:space="0" w:color="auto"/>
            </w:tcBorders>
            <w:vAlign w:val="center"/>
            <w:hideMark/>
          </w:tcPr>
          <w:p w14:paraId="743964F4" w14:textId="77777777" w:rsidR="002850C6" w:rsidRPr="002850C6" w:rsidRDefault="002850C6" w:rsidP="002850C6">
            <w:pPr>
              <w:spacing w:before="0" w:after="0"/>
              <w:jc w:val="center"/>
              <w:rPr>
                <w:b/>
                <w:bCs/>
                <w:noProof/>
                <w:sz w:val="20"/>
                <w:szCs w:val="20"/>
              </w:rPr>
            </w:pPr>
            <w:r w:rsidRPr="002850C6">
              <w:rPr>
                <w:b/>
                <w:noProof/>
                <w:sz w:val="20"/>
              </w:rPr>
              <w:t>2027</w:t>
            </w:r>
          </w:p>
        </w:tc>
        <w:tc>
          <w:tcPr>
            <w:tcW w:w="592" w:type="pct"/>
            <w:vMerge/>
            <w:vAlign w:val="center"/>
            <w:hideMark/>
          </w:tcPr>
          <w:p w14:paraId="58E2D09C" w14:textId="77777777" w:rsidR="002850C6" w:rsidRPr="002850C6" w:rsidRDefault="002850C6" w:rsidP="002850C6">
            <w:pPr>
              <w:spacing w:before="0" w:after="0"/>
              <w:jc w:val="left"/>
              <w:rPr>
                <w:b/>
                <w:bCs/>
                <w:noProof/>
                <w:sz w:val="20"/>
                <w:szCs w:val="20"/>
                <w:lang w:eastAsia="en-IE"/>
              </w:rPr>
            </w:pPr>
          </w:p>
        </w:tc>
      </w:tr>
      <w:tr w:rsidR="002850C6" w:rsidRPr="002850C6" w14:paraId="073646F7" w14:textId="77777777" w:rsidTr="0043630B">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49D4E3DC" w14:textId="77777777" w:rsidR="002850C6" w:rsidRPr="002850C6" w:rsidRDefault="002850C6" w:rsidP="002850C6">
            <w:pPr>
              <w:spacing w:before="0" w:after="0"/>
              <w:jc w:val="left"/>
              <w:rPr>
                <w:noProof/>
                <w:sz w:val="21"/>
                <w:szCs w:val="21"/>
              </w:rPr>
            </w:pPr>
            <w:r w:rsidRPr="002850C6">
              <w:rPr>
                <w:noProof/>
                <w:sz w:val="21"/>
              </w:rPr>
              <w:t xml:space="preserve">Crédits opérationnels </w:t>
            </w:r>
          </w:p>
        </w:tc>
      </w:tr>
      <w:tr w:rsidR="002850C6" w:rsidRPr="002850C6" w14:paraId="367218E3" w14:textId="77777777" w:rsidTr="0043630B">
        <w:trPr>
          <w:trHeight w:val="288"/>
        </w:trPr>
        <w:tc>
          <w:tcPr>
            <w:tcW w:w="1327" w:type="pct"/>
            <w:vMerge w:val="restart"/>
            <w:tcBorders>
              <w:top w:val="nil"/>
              <w:left w:val="single" w:sz="8" w:space="0" w:color="auto"/>
              <w:bottom w:val="single" w:sz="8" w:space="0" w:color="auto"/>
              <w:right w:val="single" w:sz="8" w:space="0" w:color="auto"/>
            </w:tcBorders>
            <w:noWrap/>
            <w:vAlign w:val="center"/>
            <w:hideMark/>
          </w:tcPr>
          <w:p w14:paraId="484D359E" w14:textId="77777777" w:rsidR="002850C6" w:rsidRPr="002850C6" w:rsidRDefault="002850C6" w:rsidP="002850C6">
            <w:pPr>
              <w:spacing w:before="0" w:after="0"/>
              <w:jc w:val="left"/>
              <w:rPr>
                <w:noProof/>
                <w:sz w:val="20"/>
                <w:szCs w:val="20"/>
              </w:rPr>
            </w:pPr>
            <w:r w:rsidRPr="002850C6">
              <w:rPr>
                <w:noProof/>
                <w:sz w:val="20"/>
              </w:rPr>
              <w:t xml:space="preserve">Ligne budgétaire </w:t>
            </w:r>
          </w:p>
        </w:tc>
        <w:tc>
          <w:tcPr>
            <w:tcW w:w="540" w:type="pct"/>
            <w:tcBorders>
              <w:top w:val="nil"/>
              <w:left w:val="nil"/>
              <w:bottom w:val="single" w:sz="8" w:space="0" w:color="auto"/>
              <w:right w:val="single" w:sz="8" w:space="0" w:color="auto"/>
            </w:tcBorders>
            <w:vAlign w:val="center"/>
            <w:hideMark/>
          </w:tcPr>
          <w:p w14:paraId="550EB79A" w14:textId="77777777" w:rsidR="002850C6" w:rsidRPr="002850C6" w:rsidRDefault="002850C6" w:rsidP="002850C6">
            <w:pPr>
              <w:spacing w:before="0" w:after="0"/>
              <w:rPr>
                <w:noProof/>
                <w:sz w:val="18"/>
                <w:szCs w:val="18"/>
              </w:rPr>
            </w:pPr>
            <w:r w:rsidRPr="002850C6">
              <w:rPr>
                <w:noProof/>
                <w:sz w:val="18"/>
              </w:rPr>
              <w:t>Engagements</w:t>
            </w:r>
          </w:p>
        </w:tc>
        <w:tc>
          <w:tcPr>
            <w:tcW w:w="511" w:type="pct"/>
            <w:tcBorders>
              <w:top w:val="single" w:sz="8" w:space="0" w:color="auto"/>
              <w:left w:val="nil"/>
              <w:bottom w:val="single" w:sz="8" w:space="0" w:color="auto"/>
              <w:right w:val="single" w:sz="8" w:space="0" w:color="auto"/>
            </w:tcBorders>
            <w:vAlign w:val="center"/>
            <w:hideMark/>
          </w:tcPr>
          <w:p w14:paraId="30A67A8B" w14:textId="77777777" w:rsidR="002850C6" w:rsidRPr="002850C6" w:rsidRDefault="002850C6" w:rsidP="002850C6">
            <w:pPr>
              <w:spacing w:before="0" w:after="0"/>
              <w:jc w:val="center"/>
              <w:rPr>
                <w:noProof/>
                <w:sz w:val="14"/>
                <w:szCs w:val="14"/>
              </w:rPr>
            </w:pPr>
            <w:r w:rsidRPr="002850C6">
              <w:rPr>
                <w:noProof/>
                <w:sz w:val="14"/>
              </w:rPr>
              <w:t>(1a)</w:t>
            </w:r>
          </w:p>
        </w:tc>
        <w:tc>
          <w:tcPr>
            <w:tcW w:w="511" w:type="pct"/>
            <w:tcBorders>
              <w:top w:val="nil"/>
              <w:left w:val="nil"/>
              <w:bottom w:val="single" w:sz="8" w:space="0" w:color="auto"/>
              <w:right w:val="single" w:sz="8" w:space="0" w:color="auto"/>
            </w:tcBorders>
            <w:vAlign w:val="center"/>
            <w:hideMark/>
          </w:tcPr>
          <w:p w14:paraId="7DB7FA0A"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16003FC8"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229B8FBC" w14:textId="77777777" w:rsidR="002850C6" w:rsidRPr="002850C6" w:rsidRDefault="002850C6" w:rsidP="002850C6">
            <w:pPr>
              <w:spacing w:before="0" w:after="0"/>
              <w:jc w:val="right"/>
              <w:rPr>
                <w:noProof/>
                <w:sz w:val="20"/>
                <w:szCs w:val="20"/>
              </w:rPr>
            </w:pPr>
            <w:r w:rsidRPr="002850C6">
              <w:rPr>
                <w:noProof/>
                <w:sz w:val="20"/>
              </w:rPr>
              <w:t>0</w:t>
            </w:r>
          </w:p>
        </w:tc>
        <w:tc>
          <w:tcPr>
            <w:tcW w:w="495" w:type="pct"/>
            <w:tcBorders>
              <w:top w:val="nil"/>
              <w:left w:val="nil"/>
              <w:bottom w:val="single" w:sz="8" w:space="0" w:color="auto"/>
              <w:right w:val="single" w:sz="8" w:space="0" w:color="auto"/>
            </w:tcBorders>
            <w:vAlign w:val="center"/>
            <w:hideMark/>
          </w:tcPr>
          <w:p w14:paraId="44E5DBFD" w14:textId="77777777" w:rsidR="002850C6" w:rsidRPr="002850C6" w:rsidRDefault="002850C6" w:rsidP="002850C6">
            <w:pPr>
              <w:spacing w:before="0" w:after="0"/>
              <w:jc w:val="right"/>
              <w:rPr>
                <w:noProof/>
                <w:sz w:val="20"/>
                <w:szCs w:val="20"/>
              </w:rPr>
            </w:pPr>
            <w:r w:rsidRPr="002850C6">
              <w:rPr>
                <w:noProof/>
                <w:sz w:val="20"/>
              </w:rPr>
              <w:t>0</w:t>
            </w: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413557B2" w14:textId="77777777" w:rsidR="002850C6" w:rsidRPr="002850C6" w:rsidRDefault="002850C6" w:rsidP="002850C6">
            <w:pPr>
              <w:spacing w:before="0" w:after="0"/>
              <w:jc w:val="right"/>
              <w:rPr>
                <w:b/>
                <w:bCs/>
                <w:noProof/>
                <w:sz w:val="20"/>
                <w:szCs w:val="20"/>
              </w:rPr>
            </w:pPr>
            <w:r w:rsidRPr="002850C6">
              <w:rPr>
                <w:b/>
                <w:noProof/>
                <w:sz w:val="20"/>
              </w:rPr>
              <w:t>0</w:t>
            </w:r>
          </w:p>
        </w:tc>
      </w:tr>
      <w:tr w:rsidR="002850C6" w:rsidRPr="002850C6" w14:paraId="364B6DFE" w14:textId="77777777" w:rsidTr="0043630B">
        <w:trPr>
          <w:trHeight w:val="315"/>
        </w:trPr>
        <w:tc>
          <w:tcPr>
            <w:tcW w:w="1327" w:type="pct"/>
            <w:vMerge/>
            <w:vAlign w:val="center"/>
            <w:hideMark/>
          </w:tcPr>
          <w:p w14:paraId="52319268" w14:textId="77777777" w:rsidR="002850C6" w:rsidRPr="002850C6" w:rsidRDefault="002850C6" w:rsidP="002850C6">
            <w:pPr>
              <w:spacing w:before="0" w:after="0"/>
              <w:jc w:val="left"/>
              <w:rPr>
                <w:noProof/>
                <w:sz w:val="22"/>
                <w:lang w:eastAsia="en-IE"/>
              </w:rPr>
            </w:pPr>
          </w:p>
        </w:tc>
        <w:tc>
          <w:tcPr>
            <w:tcW w:w="540" w:type="pct"/>
            <w:tcBorders>
              <w:top w:val="nil"/>
              <w:left w:val="nil"/>
              <w:bottom w:val="single" w:sz="8" w:space="0" w:color="auto"/>
              <w:right w:val="single" w:sz="8" w:space="0" w:color="auto"/>
            </w:tcBorders>
            <w:vAlign w:val="center"/>
            <w:hideMark/>
          </w:tcPr>
          <w:p w14:paraId="52CA86BB" w14:textId="77777777" w:rsidR="002850C6" w:rsidRPr="002850C6" w:rsidRDefault="002850C6" w:rsidP="002850C6">
            <w:pPr>
              <w:spacing w:before="0" w:after="0"/>
              <w:rPr>
                <w:noProof/>
                <w:sz w:val="18"/>
                <w:szCs w:val="18"/>
              </w:rPr>
            </w:pPr>
            <w:r w:rsidRPr="002850C6">
              <w:rPr>
                <w:noProof/>
                <w:sz w:val="18"/>
              </w:rPr>
              <w:t>Paiements</w:t>
            </w:r>
          </w:p>
        </w:tc>
        <w:tc>
          <w:tcPr>
            <w:tcW w:w="511" w:type="pct"/>
            <w:tcBorders>
              <w:top w:val="single" w:sz="8" w:space="0" w:color="auto"/>
              <w:left w:val="nil"/>
              <w:bottom w:val="single" w:sz="8" w:space="0" w:color="auto"/>
              <w:right w:val="single" w:sz="8" w:space="0" w:color="auto"/>
            </w:tcBorders>
            <w:vAlign w:val="center"/>
            <w:hideMark/>
          </w:tcPr>
          <w:p w14:paraId="3E9FA3CD" w14:textId="77777777" w:rsidR="002850C6" w:rsidRPr="002850C6" w:rsidRDefault="002850C6" w:rsidP="002850C6">
            <w:pPr>
              <w:spacing w:before="0" w:after="0"/>
              <w:jc w:val="center"/>
              <w:rPr>
                <w:noProof/>
                <w:sz w:val="14"/>
                <w:szCs w:val="14"/>
              </w:rPr>
            </w:pPr>
            <w:r w:rsidRPr="002850C6">
              <w:rPr>
                <w:noProof/>
                <w:sz w:val="14"/>
              </w:rPr>
              <w:t>(2a)</w:t>
            </w:r>
          </w:p>
        </w:tc>
        <w:tc>
          <w:tcPr>
            <w:tcW w:w="511" w:type="pct"/>
            <w:tcBorders>
              <w:top w:val="nil"/>
              <w:left w:val="nil"/>
              <w:bottom w:val="single" w:sz="8" w:space="0" w:color="auto"/>
              <w:right w:val="single" w:sz="8" w:space="0" w:color="auto"/>
            </w:tcBorders>
            <w:vAlign w:val="center"/>
            <w:hideMark/>
          </w:tcPr>
          <w:p w14:paraId="0D5BD095"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165DA731"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21E3CC15" w14:textId="77777777" w:rsidR="002850C6" w:rsidRPr="002850C6" w:rsidRDefault="002850C6" w:rsidP="002850C6">
            <w:pPr>
              <w:spacing w:before="0" w:after="0"/>
              <w:jc w:val="right"/>
              <w:rPr>
                <w:noProof/>
                <w:sz w:val="20"/>
                <w:szCs w:val="20"/>
              </w:rPr>
            </w:pPr>
            <w:r w:rsidRPr="002850C6">
              <w:rPr>
                <w:noProof/>
                <w:sz w:val="20"/>
              </w:rPr>
              <w:t>0</w:t>
            </w:r>
          </w:p>
        </w:tc>
        <w:tc>
          <w:tcPr>
            <w:tcW w:w="495" w:type="pct"/>
            <w:tcBorders>
              <w:top w:val="nil"/>
              <w:left w:val="nil"/>
              <w:bottom w:val="single" w:sz="8" w:space="0" w:color="auto"/>
              <w:right w:val="single" w:sz="8" w:space="0" w:color="auto"/>
            </w:tcBorders>
            <w:vAlign w:val="center"/>
            <w:hideMark/>
          </w:tcPr>
          <w:p w14:paraId="3B190DD5" w14:textId="77777777" w:rsidR="002850C6" w:rsidRPr="002850C6" w:rsidRDefault="002850C6" w:rsidP="002850C6">
            <w:pPr>
              <w:spacing w:before="0" w:after="0"/>
              <w:jc w:val="right"/>
              <w:rPr>
                <w:noProof/>
                <w:sz w:val="20"/>
                <w:szCs w:val="20"/>
              </w:rPr>
            </w:pPr>
            <w:r w:rsidRPr="002850C6">
              <w:rPr>
                <w:noProof/>
                <w:sz w:val="20"/>
              </w:rPr>
              <w:t>0</w:t>
            </w: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4B3473CD" w14:textId="77777777" w:rsidR="002850C6" w:rsidRPr="002850C6" w:rsidRDefault="002850C6" w:rsidP="002850C6">
            <w:pPr>
              <w:spacing w:before="0" w:after="0"/>
              <w:jc w:val="right"/>
              <w:rPr>
                <w:b/>
                <w:bCs/>
                <w:noProof/>
                <w:sz w:val="20"/>
                <w:szCs w:val="20"/>
              </w:rPr>
            </w:pPr>
            <w:r w:rsidRPr="002850C6">
              <w:rPr>
                <w:b/>
                <w:noProof/>
                <w:sz w:val="20"/>
              </w:rPr>
              <w:t>0</w:t>
            </w:r>
          </w:p>
        </w:tc>
      </w:tr>
      <w:tr w:rsidR="002850C6" w:rsidRPr="002850C6" w14:paraId="3958E407" w14:textId="77777777" w:rsidTr="0043630B">
        <w:trPr>
          <w:trHeight w:val="315"/>
        </w:trPr>
        <w:tc>
          <w:tcPr>
            <w:tcW w:w="1327" w:type="pct"/>
            <w:vMerge w:val="restart"/>
            <w:tcBorders>
              <w:top w:val="nil"/>
              <w:left w:val="single" w:sz="8" w:space="0" w:color="auto"/>
              <w:bottom w:val="single" w:sz="8" w:space="0" w:color="auto"/>
              <w:right w:val="single" w:sz="8" w:space="0" w:color="auto"/>
            </w:tcBorders>
            <w:vAlign w:val="center"/>
            <w:hideMark/>
          </w:tcPr>
          <w:p w14:paraId="06C7800B" w14:textId="77777777" w:rsidR="002850C6" w:rsidRPr="002850C6" w:rsidRDefault="002850C6" w:rsidP="002850C6">
            <w:pPr>
              <w:spacing w:before="0" w:after="0"/>
              <w:rPr>
                <w:noProof/>
                <w:sz w:val="20"/>
                <w:szCs w:val="20"/>
              </w:rPr>
            </w:pPr>
            <w:r w:rsidRPr="002850C6">
              <w:rPr>
                <w:noProof/>
                <w:sz w:val="20"/>
              </w:rPr>
              <w:t xml:space="preserve">Ligne budgétaire </w:t>
            </w:r>
          </w:p>
        </w:tc>
        <w:tc>
          <w:tcPr>
            <w:tcW w:w="540" w:type="pct"/>
            <w:tcBorders>
              <w:top w:val="nil"/>
              <w:left w:val="nil"/>
              <w:bottom w:val="single" w:sz="8" w:space="0" w:color="auto"/>
              <w:right w:val="single" w:sz="8" w:space="0" w:color="auto"/>
            </w:tcBorders>
            <w:vAlign w:val="center"/>
            <w:hideMark/>
          </w:tcPr>
          <w:p w14:paraId="2E87E683" w14:textId="77777777" w:rsidR="002850C6" w:rsidRPr="002850C6" w:rsidRDefault="002850C6" w:rsidP="002850C6">
            <w:pPr>
              <w:spacing w:before="0" w:after="0"/>
              <w:rPr>
                <w:noProof/>
                <w:sz w:val="18"/>
                <w:szCs w:val="18"/>
              </w:rPr>
            </w:pPr>
            <w:r w:rsidRPr="002850C6">
              <w:rPr>
                <w:noProof/>
                <w:sz w:val="18"/>
              </w:rPr>
              <w:t>Engagements</w:t>
            </w:r>
          </w:p>
        </w:tc>
        <w:tc>
          <w:tcPr>
            <w:tcW w:w="511" w:type="pct"/>
            <w:tcBorders>
              <w:top w:val="single" w:sz="8" w:space="0" w:color="auto"/>
              <w:left w:val="nil"/>
              <w:bottom w:val="single" w:sz="8" w:space="0" w:color="auto"/>
              <w:right w:val="single" w:sz="8" w:space="0" w:color="auto"/>
            </w:tcBorders>
            <w:vAlign w:val="center"/>
            <w:hideMark/>
          </w:tcPr>
          <w:p w14:paraId="2EA2F221" w14:textId="77777777" w:rsidR="002850C6" w:rsidRPr="002850C6" w:rsidRDefault="002850C6" w:rsidP="002850C6">
            <w:pPr>
              <w:spacing w:before="0" w:after="0"/>
              <w:jc w:val="center"/>
              <w:rPr>
                <w:noProof/>
                <w:sz w:val="14"/>
                <w:szCs w:val="14"/>
              </w:rPr>
            </w:pPr>
            <w:r w:rsidRPr="002850C6">
              <w:rPr>
                <w:noProof/>
                <w:sz w:val="14"/>
              </w:rPr>
              <w:t>(1b)</w:t>
            </w:r>
          </w:p>
        </w:tc>
        <w:tc>
          <w:tcPr>
            <w:tcW w:w="511" w:type="pct"/>
            <w:tcBorders>
              <w:top w:val="nil"/>
              <w:left w:val="nil"/>
              <w:bottom w:val="single" w:sz="8" w:space="0" w:color="auto"/>
              <w:right w:val="single" w:sz="8" w:space="0" w:color="auto"/>
            </w:tcBorders>
            <w:vAlign w:val="center"/>
            <w:hideMark/>
          </w:tcPr>
          <w:p w14:paraId="3C2F9ADB"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09548640"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0AAEEBB1"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495" w:type="pct"/>
            <w:tcBorders>
              <w:top w:val="nil"/>
              <w:left w:val="nil"/>
              <w:bottom w:val="single" w:sz="8" w:space="0" w:color="auto"/>
              <w:right w:val="single" w:sz="8" w:space="0" w:color="auto"/>
            </w:tcBorders>
            <w:vAlign w:val="center"/>
            <w:hideMark/>
          </w:tcPr>
          <w:p w14:paraId="73949FBE" w14:textId="77777777" w:rsidR="002850C6" w:rsidRPr="002850C6" w:rsidRDefault="002850C6" w:rsidP="002850C6">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27C12FF0" w14:textId="77777777" w:rsidR="002850C6" w:rsidRPr="002850C6" w:rsidRDefault="002850C6" w:rsidP="002850C6">
            <w:pPr>
              <w:spacing w:before="0" w:after="0"/>
              <w:jc w:val="right"/>
              <w:rPr>
                <w:b/>
                <w:bCs/>
                <w:noProof/>
                <w:sz w:val="20"/>
                <w:szCs w:val="20"/>
                <w:lang w:eastAsia="en-IE"/>
              </w:rPr>
            </w:pPr>
          </w:p>
        </w:tc>
      </w:tr>
      <w:tr w:rsidR="002850C6" w:rsidRPr="002850C6" w14:paraId="44BD3DFC" w14:textId="77777777" w:rsidTr="0043630B">
        <w:trPr>
          <w:trHeight w:val="315"/>
        </w:trPr>
        <w:tc>
          <w:tcPr>
            <w:tcW w:w="1327" w:type="pct"/>
            <w:vMerge/>
            <w:vAlign w:val="center"/>
            <w:hideMark/>
          </w:tcPr>
          <w:p w14:paraId="2230B238" w14:textId="77777777" w:rsidR="002850C6" w:rsidRPr="002850C6" w:rsidRDefault="002850C6" w:rsidP="002850C6">
            <w:pPr>
              <w:spacing w:before="0" w:after="0"/>
              <w:jc w:val="left"/>
              <w:rPr>
                <w:noProof/>
                <w:sz w:val="20"/>
                <w:szCs w:val="20"/>
                <w:lang w:eastAsia="en-IE"/>
              </w:rPr>
            </w:pPr>
          </w:p>
        </w:tc>
        <w:tc>
          <w:tcPr>
            <w:tcW w:w="540" w:type="pct"/>
            <w:tcBorders>
              <w:top w:val="nil"/>
              <w:left w:val="nil"/>
              <w:bottom w:val="single" w:sz="8" w:space="0" w:color="auto"/>
              <w:right w:val="single" w:sz="8" w:space="0" w:color="auto"/>
            </w:tcBorders>
            <w:vAlign w:val="center"/>
            <w:hideMark/>
          </w:tcPr>
          <w:p w14:paraId="4131C15F" w14:textId="77777777" w:rsidR="002850C6" w:rsidRPr="002850C6" w:rsidRDefault="002850C6" w:rsidP="002850C6">
            <w:pPr>
              <w:spacing w:before="0" w:after="0"/>
              <w:rPr>
                <w:noProof/>
                <w:sz w:val="18"/>
                <w:szCs w:val="18"/>
              </w:rPr>
            </w:pPr>
            <w:r w:rsidRPr="002850C6">
              <w:rPr>
                <w:noProof/>
                <w:sz w:val="18"/>
              </w:rPr>
              <w:t>Paiements</w:t>
            </w:r>
          </w:p>
        </w:tc>
        <w:tc>
          <w:tcPr>
            <w:tcW w:w="511" w:type="pct"/>
            <w:tcBorders>
              <w:top w:val="single" w:sz="8" w:space="0" w:color="auto"/>
              <w:left w:val="nil"/>
              <w:bottom w:val="single" w:sz="8" w:space="0" w:color="auto"/>
              <w:right w:val="single" w:sz="8" w:space="0" w:color="auto"/>
            </w:tcBorders>
            <w:vAlign w:val="center"/>
            <w:hideMark/>
          </w:tcPr>
          <w:p w14:paraId="2CD427BD" w14:textId="77777777" w:rsidR="002850C6" w:rsidRPr="002850C6" w:rsidRDefault="002850C6" w:rsidP="002850C6">
            <w:pPr>
              <w:spacing w:before="0" w:after="0"/>
              <w:jc w:val="center"/>
              <w:rPr>
                <w:noProof/>
                <w:sz w:val="14"/>
                <w:szCs w:val="14"/>
              </w:rPr>
            </w:pPr>
            <w:r w:rsidRPr="002850C6">
              <w:rPr>
                <w:noProof/>
                <w:sz w:val="14"/>
              </w:rPr>
              <w:t>(2b)</w:t>
            </w:r>
          </w:p>
        </w:tc>
        <w:tc>
          <w:tcPr>
            <w:tcW w:w="511" w:type="pct"/>
            <w:tcBorders>
              <w:top w:val="nil"/>
              <w:left w:val="nil"/>
              <w:bottom w:val="single" w:sz="8" w:space="0" w:color="auto"/>
              <w:right w:val="single" w:sz="8" w:space="0" w:color="auto"/>
            </w:tcBorders>
            <w:vAlign w:val="center"/>
            <w:hideMark/>
          </w:tcPr>
          <w:p w14:paraId="62054969"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7FDE337B"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0A69FCEF"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495" w:type="pct"/>
            <w:tcBorders>
              <w:top w:val="nil"/>
              <w:left w:val="nil"/>
              <w:bottom w:val="single" w:sz="8" w:space="0" w:color="auto"/>
              <w:right w:val="single" w:sz="8" w:space="0" w:color="auto"/>
            </w:tcBorders>
            <w:vAlign w:val="center"/>
            <w:hideMark/>
          </w:tcPr>
          <w:p w14:paraId="1F190B0F" w14:textId="77777777" w:rsidR="002850C6" w:rsidRPr="002850C6" w:rsidRDefault="002850C6" w:rsidP="002850C6">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1EC9F4B3" w14:textId="77777777" w:rsidR="002850C6" w:rsidRPr="002850C6" w:rsidRDefault="002850C6" w:rsidP="002850C6">
            <w:pPr>
              <w:spacing w:before="0" w:after="0"/>
              <w:jc w:val="right"/>
              <w:rPr>
                <w:b/>
                <w:bCs/>
                <w:noProof/>
                <w:sz w:val="20"/>
                <w:szCs w:val="20"/>
                <w:lang w:eastAsia="en-IE"/>
              </w:rPr>
            </w:pPr>
          </w:p>
        </w:tc>
      </w:tr>
      <w:tr w:rsidR="002850C6" w:rsidRPr="002850C6" w14:paraId="317EB4BC" w14:textId="77777777" w:rsidTr="0043630B">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2AFFC6E9" w14:textId="77777777" w:rsidR="002850C6" w:rsidRPr="002850C6" w:rsidRDefault="002850C6" w:rsidP="002850C6">
            <w:pPr>
              <w:spacing w:before="0" w:after="0"/>
              <w:jc w:val="left"/>
              <w:rPr>
                <w:noProof/>
                <w:sz w:val="22"/>
              </w:rPr>
            </w:pPr>
            <w:r w:rsidRPr="002850C6">
              <w:rPr>
                <w:noProof/>
                <w:sz w:val="22"/>
              </w:rPr>
              <w:t xml:space="preserve">Crédits de nature administrative financés par l’enveloppe de certains programmes spécifiques </w:t>
            </w:r>
          </w:p>
        </w:tc>
      </w:tr>
      <w:tr w:rsidR="002850C6" w:rsidRPr="002850C6" w14:paraId="6E7D89C8" w14:textId="77777777" w:rsidTr="0043630B">
        <w:trPr>
          <w:trHeight w:val="288"/>
        </w:trPr>
        <w:tc>
          <w:tcPr>
            <w:tcW w:w="1327" w:type="pct"/>
            <w:tcBorders>
              <w:top w:val="nil"/>
              <w:left w:val="single" w:sz="8" w:space="0" w:color="auto"/>
              <w:bottom w:val="single" w:sz="8" w:space="0" w:color="auto"/>
              <w:right w:val="single" w:sz="8" w:space="0" w:color="auto"/>
            </w:tcBorders>
            <w:vAlign w:val="center"/>
            <w:hideMark/>
          </w:tcPr>
          <w:p w14:paraId="64E84CD6" w14:textId="77777777" w:rsidR="002850C6" w:rsidRPr="002850C6" w:rsidRDefault="002850C6" w:rsidP="002850C6">
            <w:pPr>
              <w:spacing w:before="0" w:after="0"/>
              <w:rPr>
                <w:noProof/>
                <w:sz w:val="20"/>
                <w:szCs w:val="20"/>
              </w:rPr>
            </w:pPr>
            <w:r w:rsidRPr="002850C6">
              <w:rPr>
                <w:noProof/>
                <w:sz w:val="20"/>
              </w:rPr>
              <w:t>Ligne budgétaire</w:t>
            </w:r>
          </w:p>
        </w:tc>
        <w:tc>
          <w:tcPr>
            <w:tcW w:w="540" w:type="pct"/>
            <w:tcBorders>
              <w:top w:val="nil"/>
              <w:left w:val="nil"/>
              <w:bottom w:val="single" w:sz="8" w:space="0" w:color="auto"/>
              <w:right w:val="single" w:sz="8" w:space="0" w:color="auto"/>
            </w:tcBorders>
            <w:vAlign w:val="center"/>
            <w:hideMark/>
          </w:tcPr>
          <w:p w14:paraId="3ED8A4F4" w14:textId="77777777" w:rsidR="002850C6" w:rsidRPr="002850C6" w:rsidRDefault="002850C6" w:rsidP="002850C6">
            <w:pPr>
              <w:spacing w:before="0" w:after="0"/>
              <w:jc w:val="right"/>
              <w:rPr>
                <w:noProof/>
                <w:sz w:val="18"/>
                <w:szCs w:val="18"/>
              </w:rPr>
            </w:pPr>
            <w:r w:rsidRPr="002850C6">
              <w:rPr>
                <w:noProof/>
                <w:sz w:val="18"/>
              </w:rPr>
              <w:t xml:space="preserve"> </w:t>
            </w:r>
          </w:p>
        </w:tc>
        <w:tc>
          <w:tcPr>
            <w:tcW w:w="511" w:type="pct"/>
            <w:tcBorders>
              <w:top w:val="single" w:sz="8" w:space="0" w:color="auto"/>
              <w:left w:val="nil"/>
              <w:bottom w:val="single" w:sz="8" w:space="0" w:color="auto"/>
              <w:right w:val="single" w:sz="8" w:space="0" w:color="auto"/>
            </w:tcBorders>
            <w:vAlign w:val="center"/>
            <w:hideMark/>
          </w:tcPr>
          <w:p w14:paraId="183CFE1C" w14:textId="77777777" w:rsidR="002850C6" w:rsidRPr="002850C6" w:rsidRDefault="002850C6" w:rsidP="002850C6">
            <w:pPr>
              <w:spacing w:before="0" w:after="0"/>
              <w:jc w:val="center"/>
              <w:rPr>
                <w:noProof/>
                <w:sz w:val="14"/>
                <w:szCs w:val="14"/>
              </w:rPr>
            </w:pPr>
            <w:r w:rsidRPr="002850C6">
              <w:rPr>
                <w:noProof/>
                <w:sz w:val="14"/>
              </w:rPr>
              <w:t>(3)</w:t>
            </w:r>
          </w:p>
        </w:tc>
        <w:tc>
          <w:tcPr>
            <w:tcW w:w="511" w:type="pct"/>
            <w:tcBorders>
              <w:top w:val="nil"/>
              <w:left w:val="nil"/>
              <w:bottom w:val="single" w:sz="8" w:space="0" w:color="auto"/>
              <w:right w:val="single" w:sz="8" w:space="0" w:color="auto"/>
            </w:tcBorders>
            <w:vAlign w:val="center"/>
            <w:hideMark/>
          </w:tcPr>
          <w:p w14:paraId="76ED2700" w14:textId="77777777" w:rsidR="002850C6" w:rsidRPr="002850C6" w:rsidRDefault="002850C6" w:rsidP="002850C6">
            <w:pPr>
              <w:spacing w:before="0" w:after="0"/>
              <w:jc w:val="right"/>
              <w:rPr>
                <w:b/>
                <w:bCs/>
                <w:noProof/>
                <w:sz w:val="20"/>
                <w:szCs w:val="20"/>
              </w:rPr>
            </w:pPr>
            <w:r w:rsidRPr="002850C6">
              <w:rPr>
                <w:b/>
                <w:noProof/>
                <w:sz w:val="20"/>
              </w:rPr>
              <w:t xml:space="preserve"> </w:t>
            </w:r>
          </w:p>
        </w:tc>
        <w:tc>
          <w:tcPr>
            <w:tcW w:w="511" w:type="pct"/>
            <w:tcBorders>
              <w:top w:val="nil"/>
              <w:left w:val="nil"/>
              <w:bottom w:val="single" w:sz="8" w:space="0" w:color="auto"/>
              <w:right w:val="single" w:sz="8" w:space="0" w:color="auto"/>
            </w:tcBorders>
            <w:vAlign w:val="center"/>
            <w:hideMark/>
          </w:tcPr>
          <w:p w14:paraId="02FE1900" w14:textId="77777777" w:rsidR="002850C6" w:rsidRPr="002850C6" w:rsidRDefault="002850C6" w:rsidP="002850C6">
            <w:pPr>
              <w:spacing w:before="0" w:after="0"/>
              <w:jc w:val="right"/>
              <w:rPr>
                <w:b/>
                <w:bCs/>
                <w:noProof/>
                <w:sz w:val="20"/>
                <w:szCs w:val="20"/>
              </w:rPr>
            </w:pPr>
            <w:r w:rsidRPr="002850C6">
              <w:rPr>
                <w:b/>
                <w:noProof/>
                <w:sz w:val="20"/>
              </w:rPr>
              <w:t xml:space="preserve"> </w:t>
            </w:r>
          </w:p>
        </w:tc>
        <w:tc>
          <w:tcPr>
            <w:tcW w:w="511" w:type="pct"/>
            <w:tcBorders>
              <w:top w:val="nil"/>
              <w:left w:val="nil"/>
              <w:bottom w:val="single" w:sz="8" w:space="0" w:color="auto"/>
              <w:right w:val="single" w:sz="8" w:space="0" w:color="auto"/>
            </w:tcBorders>
            <w:vAlign w:val="center"/>
            <w:hideMark/>
          </w:tcPr>
          <w:p w14:paraId="6911BAFD" w14:textId="77777777" w:rsidR="002850C6" w:rsidRPr="002850C6" w:rsidRDefault="002850C6" w:rsidP="002850C6">
            <w:pPr>
              <w:spacing w:before="0" w:after="0"/>
              <w:jc w:val="right"/>
              <w:rPr>
                <w:b/>
                <w:bCs/>
                <w:noProof/>
                <w:sz w:val="20"/>
                <w:szCs w:val="20"/>
              </w:rPr>
            </w:pPr>
            <w:r w:rsidRPr="002850C6">
              <w:rPr>
                <w:b/>
                <w:noProof/>
                <w:sz w:val="20"/>
              </w:rPr>
              <w:t xml:space="preserve"> </w:t>
            </w:r>
          </w:p>
        </w:tc>
        <w:tc>
          <w:tcPr>
            <w:tcW w:w="495" w:type="pct"/>
            <w:tcBorders>
              <w:top w:val="nil"/>
              <w:left w:val="nil"/>
              <w:bottom w:val="single" w:sz="8" w:space="0" w:color="auto"/>
              <w:right w:val="single" w:sz="8" w:space="0" w:color="auto"/>
            </w:tcBorders>
            <w:vAlign w:val="center"/>
            <w:hideMark/>
          </w:tcPr>
          <w:p w14:paraId="683F5945" w14:textId="77777777" w:rsidR="002850C6" w:rsidRPr="002850C6" w:rsidRDefault="002850C6" w:rsidP="002850C6">
            <w:pPr>
              <w:spacing w:before="0" w:after="0"/>
              <w:jc w:val="right"/>
              <w:rPr>
                <w:b/>
                <w:bCs/>
                <w:noProof/>
                <w:sz w:val="20"/>
                <w:szCs w:val="20"/>
              </w:rPr>
            </w:pPr>
            <w:r w:rsidRPr="002850C6">
              <w:rPr>
                <w:b/>
                <w:noProof/>
                <w:sz w:val="20"/>
              </w:rPr>
              <w:t xml:space="preserve"> </w:t>
            </w: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6150A958" w14:textId="77777777" w:rsidR="002850C6" w:rsidRPr="002850C6" w:rsidRDefault="002850C6" w:rsidP="002850C6">
            <w:pPr>
              <w:spacing w:before="0" w:after="0"/>
              <w:jc w:val="right"/>
              <w:rPr>
                <w:b/>
                <w:bCs/>
                <w:noProof/>
                <w:sz w:val="20"/>
                <w:szCs w:val="20"/>
                <w:lang w:eastAsia="en-IE"/>
              </w:rPr>
            </w:pPr>
          </w:p>
        </w:tc>
      </w:tr>
      <w:tr w:rsidR="002850C6" w:rsidRPr="002850C6" w14:paraId="4C91010F" w14:textId="77777777" w:rsidTr="0043630B">
        <w:trPr>
          <w:trHeight w:val="288"/>
        </w:trPr>
        <w:tc>
          <w:tcPr>
            <w:tcW w:w="1327" w:type="pct"/>
            <w:vMerge w:val="restart"/>
            <w:tcBorders>
              <w:top w:val="nil"/>
              <w:left w:val="single" w:sz="8" w:space="0" w:color="auto"/>
              <w:right w:val="single" w:sz="8" w:space="0" w:color="auto"/>
            </w:tcBorders>
            <w:vAlign w:val="center"/>
            <w:hideMark/>
          </w:tcPr>
          <w:p w14:paraId="611B9E50" w14:textId="77777777" w:rsidR="002850C6" w:rsidRPr="002850C6" w:rsidRDefault="002850C6" w:rsidP="002850C6">
            <w:pPr>
              <w:spacing w:before="0" w:after="0"/>
              <w:jc w:val="center"/>
              <w:rPr>
                <w:b/>
                <w:bCs/>
                <w:noProof/>
                <w:sz w:val="22"/>
              </w:rPr>
            </w:pPr>
            <w:r w:rsidRPr="002850C6">
              <w:rPr>
                <w:b/>
                <w:noProof/>
                <w:sz w:val="22"/>
              </w:rPr>
              <w:t>TOTAL des crédits</w:t>
            </w:r>
          </w:p>
          <w:p w14:paraId="7B954930" w14:textId="77777777" w:rsidR="002850C6" w:rsidRPr="002850C6" w:rsidRDefault="002850C6" w:rsidP="002850C6">
            <w:pPr>
              <w:spacing w:before="0" w:after="0"/>
              <w:jc w:val="center"/>
              <w:rPr>
                <w:b/>
                <w:bCs/>
                <w:noProof/>
                <w:sz w:val="22"/>
                <w:lang w:eastAsia="en-IE"/>
              </w:rPr>
            </w:pPr>
          </w:p>
        </w:tc>
        <w:tc>
          <w:tcPr>
            <w:tcW w:w="540" w:type="pct"/>
            <w:tcBorders>
              <w:top w:val="nil"/>
              <w:left w:val="nil"/>
              <w:bottom w:val="single" w:sz="8" w:space="0" w:color="auto"/>
              <w:right w:val="single" w:sz="8" w:space="0" w:color="auto"/>
            </w:tcBorders>
            <w:vAlign w:val="center"/>
            <w:hideMark/>
          </w:tcPr>
          <w:p w14:paraId="2925A662" w14:textId="77777777" w:rsidR="002850C6" w:rsidRPr="002850C6" w:rsidRDefault="002850C6" w:rsidP="002850C6">
            <w:pPr>
              <w:spacing w:before="0" w:after="0"/>
              <w:rPr>
                <w:noProof/>
                <w:sz w:val="18"/>
                <w:szCs w:val="18"/>
              </w:rPr>
            </w:pPr>
            <w:r w:rsidRPr="002850C6">
              <w:rPr>
                <w:noProof/>
                <w:sz w:val="18"/>
              </w:rPr>
              <w:t>Engagements</w:t>
            </w:r>
          </w:p>
        </w:tc>
        <w:tc>
          <w:tcPr>
            <w:tcW w:w="511" w:type="pct"/>
            <w:tcBorders>
              <w:top w:val="single" w:sz="8" w:space="0" w:color="auto"/>
              <w:left w:val="nil"/>
              <w:bottom w:val="single" w:sz="8" w:space="0" w:color="auto"/>
              <w:right w:val="single" w:sz="8" w:space="0" w:color="auto"/>
            </w:tcBorders>
            <w:vAlign w:val="center"/>
            <w:hideMark/>
          </w:tcPr>
          <w:p w14:paraId="246CBF77" w14:textId="77777777" w:rsidR="002850C6" w:rsidRPr="002850C6" w:rsidRDefault="002850C6" w:rsidP="002850C6">
            <w:pPr>
              <w:spacing w:before="0" w:after="0"/>
              <w:jc w:val="center"/>
              <w:rPr>
                <w:noProof/>
                <w:sz w:val="14"/>
                <w:szCs w:val="14"/>
              </w:rPr>
            </w:pPr>
            <w:r w:rsidRPr="002850C6">
              <w:rPr>
                <w:noProof/>
                <w:sz w:val="14"/>
              </w:rPr>
              <w:t>=1a+1b+3</w:t>
            </w: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7AFA051B" w14:textId="77777777" w:rsidR="002850C6" w:rsidRPr="002850C6" w:rsidRDefault="002850C6" w:rsidP="002850C6">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64A2C495" w14:textId="77777777" w:rsidR="002850C6" w:rsidRPr="002850C6" w:rsidRDefault="002850C6" w:rsidP="002850C6">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535C77FF" w14:textId="77777777" w:rsidR="002850C6" w:rsidRPr="002850C6" w:rsidRDefault="002850C6" w:rsidP="002850C6">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auto" w:fill="D9D9D9" w:themeFill="background1" w:themeFillShade="D9"/>
            <w:vAlign w:val="center"/>
            <w:hideMark/>
          </w:tcPr>
          <w:p w14:paraId="1D7452BF" w14:textId="77777777" w:rsidR="002850C6" w:rsidRPr="002850C6" w:rsidRDefault="002850C6" w:rsidP="002850C6">
            <w:pPr>
              <w:spacing w:before="0" w:after="0"/>
              <w:jc w:val="right"/>
              <w:rPr>
                <w:b/>
                <w:bCs/>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12972C73" w14:textId="77777777" w:rsidR="002850C6" w:rsidRPr="002850C6" w:rsidRDefault="002850C6" w:rsidP="002850C6">
            <w:pPr>
              <w:spacing w:before="0" w:after="0"/>
              <w:jc w:val="right"/>
              <w:rPr>
                <w:b/>
                <w:bCs/>
                <w:noProof/>
                <w:sz w:val="20"/>
                <w:szCs w:val="20"/>
                <w:lang w:eastAsia="en-IE"/>
              </w:rPr>
            </w:pPr>
          </w:p>
        </w:tc>
      </w:tr>
      <w:tr w:rsidR="002850C6" w:rsidRPr="002850C6" w14:paraId="64F439C2" w14:textId="77777777" w:rsidTr="0043630B">
        <w:trPr>
          <w:trHeight w:val="288"/>
        </w:trPr>
        <w:tc>
          <w:tcPr>
            <w:tcW w:w="1327" w:type="pct"/>
            <w:vMerge/>
            <w:vAlign w:val="center"/>
            <w:hideMark/>
          </w:tcPr>
          <w:p w14:paraId="71E268A6" w14:textId="77777777" w:rsidR="002850C6" w:rsidRPr="002850C6" w:rsidRDefault="002850C6" w:rsidP="002850C6">
            <w:pPr>
              <w:spacing w:before="0" w:after="0"/>
              <w:jc w:val="center"/>
              <w:rPr>
                <w:b/>
                <w:bCs/>
                <w:noProof/>
                <w:sz w:val="22"/>
                <w:lang w:eastAsia="en-IE"/>
              </w:rPr>
            </w:pPr>
          </w:p>
        </w:tc>
        <w:tc>
          <w:tcPr>
            <w:tcW w:w="540" w:type="pct"/>
            <w:tcBorders>
              <w:top w:val="nil"/>
              <w:left w:val="single" w:sz="8" w:space="0" w:color="auto"/>
              <w:bottom w:val="single" w:sz="8" w:space="0" w:color="auto"/>
              <w:right w:val="single" w:sz="8" w:space="0" w:color="auto"/>
            </w:tcBorders>
            <w:vAlign w:val="center"/>
            <w:hideMark/>
          </w:tcPr>
          <w:p w14:paraId="15D59E18" w14:textId="77777777" w:rsidR="002850C6" w:rsidRPr="002850C6" w:rsidRDefault="002850C6" w:rsidP="002850C6">
            <w:pPr>
              <w:spacing w:before="0" w:after="0"/>
              <w:rPr>
                <w:noProof/>
                <w:sz w:val="18"/>
                <w:szCs w:val="18"/>
              </w:rPr>
            </w:pPr>
            <w:r w:rsidRPr="002850C6">
              <w:rPr>
                <w:noProof/>
                <w:sz w:val="18"/>
              </w:rPr>
              <w:t>Paiements</w:t>
            </w:r>
          </w:p>
        </w:tc>
        <w:tc>
          <w:tcPr>
            <w:tcW w:w="511" w:type="pct"/>
            <w:tcBorders>
              <w:top w:val="single" w:sz="8" w:space="0" w:color="auto"/>
              <w:left w:val="nil"/>
              <w:bottom w:val="single" w:sz="8" w:space="0" w:color="auto"/>
              <w:right w:val="single" w:sz="8" w:space="0" w:color="auto"/>
            </w:tcBorders>
            <w:vAlign w:val="center"/>
            <w:hideMark/>
          </w:tcPr>
          <w:p w14:paraId="3F1EC6E0" w14:textId="77777777" w:rsidR="002850C6" w:rsidRPr="002850C6" w:rsidRDefault="002850C6" w:rsidP="002850C6">
            <w:pPr>
              <w:spacing w:before="0" w:after="0"/>
              <w:jc w:val="center"/>
              <w:rPr>
                <w:noProof/>
                <w:sz w:val="14"/>
                <w:szCs w:val="14"/>
              </w:rPr>
            </w:pPr>
            <w:r w:rsidRPr="002850C6">
              <w:rPr>
                <w:noProof/>
                <w:sz w:val="14"/>
              </w:rPr>
              <w:t>=2a+2b+3</w:t>
            </w: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1AC05625" w14:textId="77777777" w:rsidR="002850C6" w:rsidRPr="002850C6" w:rsidRDefault="002850C6" w:rsidP="002850C6">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5FB589F4" w14:textId="77777777" w:rsidR="002850C6" w:rsidRPr="002850C6" w:rsidRDefault="002850C6" w:rsidP="002850C6">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auto" w:fill="D9D9D9" w:themeFill="background1" w:themeFillShade="D9"/>
            <w:vAlign w:val="center"/>
            <w:hideMark/>
          </w:tcPr>
          <w:p w14:paraId="527A3E8A" w14:textId="77777777" w:rsidR="002850C6" w:rsidRPr="002850C6" w:rsidRDefault="002850C6" w:rsidP="002850C6">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auto" w:fill="D9D9D9" w:themeFill="background1" w:themeFillShade="D9"/>
            <w:vAlign w:val="center"/>
            <w:hideMark/>
          </w:tcPr>
          <w:p w14:paraId="36BE195D" w14:textId="77777777" w:rsidR="002850C6" w:rsidRPr="002850C6" w:rsidRDefault="002850C6" w:rsidP="002850C6">
            <w:pPr>
              <w:spacing w:before="0" w:after="0"/>
              <w:jc w:val="right"/>
              <w:rPr>
                <w:b/>
                <w:bCs/>
                <w:noProof/>
                <w:sz w:val="20"/>
                <w:szCs w:val="20"/>
                <w:lang w:eastAsia="en-IE"/>
              </w:rPr>
            </w:pPr>
          </w:p>
        </w:tc>
        <w:tc>
          <w:tcPr>
            <w:tcW w:w="592" w:type="pct"/>
            <w:tcBorders>
              <w:top w:val="nil"/>
              <w:left w:val="nil"/>
              <w:bottom w:val="single" w:sz="8" w:space="0" w:color="auto"/>
              <w:right w:val="single" w:sz="8" w:space="0" w:color="auto"/>
            </w:tcBorders>
            <w:shd w:val="clear" w:color="auto" w:fill="D9D9D9" w:themeFill="background1" w:themeFillShade="D9"/>
            <w:vAlign w:val="center"/>
            <w:hideMark/>
          </w:tcPr>
          <w:p w14:paraId="35DFC779" w14:textId="77777777" w:rsidR="002850C6" w:rsidRPr="002850C6" w:rsidRDefault="002850C6" w:rsidP="002850C6">
            <w:pPr>
              <w:spacing w:before="0" w:after="0"/>
              <w:jc w:val="right"/>
              <w:rPr>
                <w:b/>
                <w:bCs/>
                <w:noProof/>
                <w:sz w:val="20"/>
                <w:szCs w:val="20"/>
                <w:lang w:eastAsia="en-IE"/>
              </w:rPr>
            </w:pPr>
          </w:p>
        </w:tc>
      </w:tr>
    </w:tbl>
    <w:p w14:paraId="0858A84A" w14:textId="77777777" w:rsidR="002850C6" w:rsidRPr="002850C6" w:rsidRDefault="002850C6" w:rsidP="002850C6">
      <w:pPr>
        <w:rPr>
          <w:noProof/>
          <w:sz w:val="16"/>
        </w:rPr>
      </w:pPr>
    </w:p>
    <w:p w14:paraId="4C3CC612" w14:textId="77777777" w:rsidR="002850C6" w:rsidRPr="002850C6" w:rsidRDefault="002850C6" w:rsidP="002850C6">
      <w:pPr>
        <w:ind w:right="679"/>
        <w:jc w:val="right"/>
        <w:rPr>
          <w:noProof/>
          <w:sz w:val="18"/>
          <w:szCs w:val="18"/>
        </w:rPr>
      </w:pPr>
      <w:r w:rsidRPr="002850C6">
        <w:rPr>
          <w:noProof/>
          <w:sz w:val="18"/>
        </w:rPr>
        <w:t>En Mio EUR (à la 3</w:t>
      </w:r>
      <w:r w:rsidRPr="002850C6">
        <w:rPr>
          <w:noProof/>
          <w:sz w:val="18"/>
          <w:vertAlign w:val="superscript"/>
        </w:rPr>
        <w:t>e</w:t>
      </w:r>
      <w:r w:rsidRPr="002850C6">
        <w:rPr>
          <w:noProof/>
          <w:sz w:val="18"/>
        </w:rPr>
        <w:t> décimale)</w:t>
      </w: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6"/>
        <w:gridCol w:w="1275"/>
        <w:gridCol w:w="1134"/>
        <w:gridCol w:w="1418"/>
        <w:gridCol w:w="1417"/>
        <w:gridCol w:w="1560"/>
      </w:tblGrid>
      <w:tr w:rsidR="002850C6" w:rsidRPr="002850C6" w14:paraId="33642479" w14:textId="77777777" w:rsidTr="0043630B">
        <w:trPr>
          <w:trHeight w:val="715"/>
        </w:trPr>
        <w:tc>
          <w:tcPr>
            <w:tcW w:w="6096" w:type="dxa"/>
            <w:vAlign w:val="center"/>
          </w:tcPr>
          <w:p w14:paraId="52877A4D" w14:textId="77777777" w:rsidR="002850C6" w:rsidRPr="002850C6" w:rsidRDefault="002850C6" w:rsidP="002850C6">
            <w:pPr>
              <w:jc w:val="center"/>
              <w:rPr>
                <w:noProof/>
                <w:sz w:val="22"/>
              </w:rPr>
            </w:pPr>
            <w:r w:rsidRPr="002850C6">
              <w:rPr>
                <w:noProof/>
                <w:sz w:val="22"/>
              </w:rPr>
              <w:t>Agence de l’Union européenne pour les chemins de fer (AFE)</w:t>
            </w:r>
          </w:p>
        </w:tc>
        <w:tc>
          <w:tcPr>
            <w:tcW w:w="1275" w:type="dxa"/>
            <w:vAlign w:val="center"/>
          </w:tcPr>
          <w:p w14:paraId="326BCD0A" w14:textId="77777777" w:rsidR="002850C6" w:rsidRPr="002850C6" w:rsidRDefault="002850C6" w:rsidP="002850C6">
            <w:pPr>
              <w:jc w:val="center"/>
              <w:rPr>
                <w:noProof/>
                <w:sz w:val="20"/>
                <w:szCs w:val="20"/>
              </w:rPr>
            </w:pPr>
            <w:r w:rsidRPr="002850C6">
              <w:rPr>
                <w:noProof/>
                <w:sz w:val="20"/>
              </w:rPr>
              <w:t>Année</w:t>
            </w:r>
          </w:p>
          <w:p w14:paraId="6CA5D624" w14:textId="77777777" w:rsidR="002850C6" w:rsidRPr="002850C6" w:rsidRDefault="002850C6" w:rsidP="002850C6">
            <w:pPr>
              <w:jc w:val="center"/>
              <w:rPr>
                <w:b/>
                <w:bCs/>
                <w:noProof/>
                <w:sz w:val="20"/>
                <w:szCs w:val="20"/>
              </w:rPr>
            </w:pPr>
            <w:r w:rsidRPr="002850C6">
              <w:rPr>
                <w:b/>
                <w:noProof/>
                <w:sz w:val="20"/>
              </w:rPr>
              <w:t>2025</w:t>
            </w:r>
          </w:p>
        </w:tc>
        <w:tc>
          <w:tcPr>
            <w:tcW w:w="1134" w:type="dxa"/>
            <w:vAlign w:val="center"/>
          </w:tcPr>
          <w:p w14:paraId="3115174B" w14:textId="77777777" w:rsidR="002850C6" w:rsidRPr="002850C6" w:rsidRDefault="002850C6" w:rsidP="002850C6">
            <w:pPr>
              <w:jc w:val="center"/>
              <w:rPr>
                <w:noProof/>
                <w:sz w:val="20"/>
                <w:szCs w:val="20"/>
              </w:rPr>
            </w:pPr>
            <w:r w:rsidRPr="002850C6">
              <w:rPr>
                <w:noProof/>
                <w:sz w:val="20"/>
              </w:rPr>
              <w:t>Année</w:t>
            </w:r>
          </w:p>
          <w:p w14:paraId="112B6799" w14:textId="77777777" w:rsidR="002850C6" w:rsidRPr="002850C6" w:rsidRDefault="002850C6" w:rsidP="002850C6">
            <w:pPr>
              <w:jc w:val="center"/>
              <w:rPr>
                <w:b/>
                <w:bCs/>
                <w:noProof/>
                <w:sz w:val="20"/>
                <w:szCs w:val="20"/>
              </w:rPr>
            </w:pPr>
            <w:r w:rsidRPr="002850C6">
              <w:rPr>
                <w:b/>
                <w:noProof/>
                <w:sz w:val="20"/>
              </w:rPr>
              <w:t>2026</w:t>
            </w:r>
          </w:p>
        </w:tc>
        <w:tc>
          <w:tcPr>
            <w:tcW w:w="1418" w:type="dxa"/>
            <w:vAlign w:val="center"/>
          </w:tcPr>
          <w:p w14:paraId="493219C5" w14:textId="77777777" w:rsidR="002850C6" w:rsidRPr="002850C6" w:rsidRDefault="002850C6" w:rsidP="002850C6">
            <w:pPr>
              <w:jc w:val="center"/>
              <w:rPr>
                <w:noProof/>
                <w:sz w:val="20"/>
                <w:szCs w:val="20"/>
              </w:rPr>
            </w:pPr>
            <w:r w:rsidRPr="002850C6">
              <w:rPr>
                <w:noProof/>
                <w:sz w:val="20"/>
              </w:rPr>
              <w:t>Année</w:t>
            </w:r>
          </w:p>
          <w:p w14:paraId="22137575" w14:textId="77777777" w:rsidR="002850C6" w:rsidRPr="002850C6" w:rsidRDefault="002850C6" w:rsidP="002850C6">
            <w:pPr>
              <w:jc w:val="center"/>
              <w:rPr>
                <w:b/>
                <w:bCs/>
                <w:noProof/>
                <w:sz w:val="20"/>
                <w:szCs w:val="20"/>
              </w:rPr>
            </w:pPr>
            <w:r w:rsidRPr="002850C6">
              <w:rPr>
                <w:b/>
                <w:noProof/>
                <w:sz w:val="20"/>
              </w:rPr>
              <w:t>2027</w:t>
            </w:r>
          </w:p>
        </w:tc>
        <w:tc>
          <w:tcPr>
            <w:tcW w:w="1417" w:type="dxa"/>
            <w:vAlign w:val="center"/>
          </w:tcPr>
          <w:p w14:paraId="5F8DC9A4" w14:textId="77777777" w:rsidR="002850C6" w:rsidRPr="002850C6" w:rsidRDefault="002850C6" w:rsidP="002850C6">
            <w:pPr>
              <w:jc w:val="center"/>
              <w:rPr>
                <w:b/>
                <w:noProof/>
                <w:sz w:val="20"/>
                <w:szCs w:val="20"/>
              </w:rPr>
            </w:pPr>
            <w:r w:rsidRPr="002850C6">
              <w:rPr>
                <w:b/>
                <w:noProof/>
                <w:sz w:val="20"/>
              </w:rPr>
              <w:t>TOTAL CFP 2021-2027</w:t>
            </w:r>
          </w:p>
        </w:tc>
        <w:tc>
          <w:tcPr>
            <w:tcW w:w="1560" w:type="dxa"/>
          </w:tcPr>
          <w:p w14:paraId="5D7D84FF" w14:textId="77777777" w:rsidR="002850C6" w:rsidRPr="002850C6" w:rsidRDefault="002850C6" w:rsidP="002850C6">
            <w:pPr>
              <w:jc w:val="center"/>
              <w:rPr>
                <w:b/>
                <w:bCs/>
                <w:noProof/>
                <w:sz w:val="20"/>
                <w:szCs w:val="20"/>
              </w:rPr>
            </w:pPr>
            <w:r w:rsidRPr="002850C6">
              <w:rPr>
                <w:b/>
                <w:noProof/>
                <w:sz w:val="20"/>
              </w:rPr>
              <w:t>TOTAL CFP 2028-2034</w:t>
            </w:r>
          </w:p>
        </w:tc>
      </w:tr>
      <w:tr w:rsidR="002850C6" w:rsidRPr="002850C6" w14:paraId="68AB9F94" w14:textId="77777777" w:rsidTr="0043630B">
        <w:tc>
          <w:tcPr>
            <w:tcW w:w="6096" w:type="dxa"/>
            <w:vAlign w:val="center"/>
          </w:tcPr>
          <w:p w14:paraId="23D7F6C6" w14:textId="77777777" w:rsidR="002850C6" w:rsidRPr="002850C6" w:rsidRDefault="002850C6" w:rsidP="002850C6">
            <w:pPr>
              <w:jc w:val="left"/>
              <w:rPr>
                <w:bCs/>
                <w:noProof/>
                <w:sz w:val="22"/>
              </w:rPr>
            </w:pPr>
            <w:r w:rsidRPr="002850C6">
              <w:rPr>
                <w:noProof/>
                <w:sz w:val="22"/>
              </w:rPr>
              <w:t>Ligne budgétaire: 02 10 03 – Agence de l’Union européenne pour les chemins de fer (AFE)/Contribution du budget de l’UE à l’Agence</w:t>
            </w:r>
          </w:p>
        </w:tc>
        <w:tc>
          <w:tcPr>
            <w:tcW w:w="1275" w:type="dxa"/>
            <w:vAlign w:val="center"/>
          </w:tcPr>
          <w:p w14:paraId="2F22C1FA" w14:textId="77777777" w:rsidR="002850C6" w:rsidRPr="002850C6" w:rsidRDefault="002850C6" w:rsidP="002850C6">
            <w:pPr>
              <w:spacing w:before="20" w:after="20"/>
              <w:jc w:val="right"/>
              <w:rPr>
                <w:noProof/>
                <w:sz w:val="20"/>
                <w:szCs w:val="20"/>
              </w:rPr>
            </w:pPr>
          </w:p>
        </w:tc>
        <w:tc>
          <w:tcPr>
            <w:tcW w:w="1134" w:type="dxa"/>
            <w:vAlign w:val="center"/>
          </w:tcPr>
          <w:p w14:paraId="63786890" w14:textId="77777777" w:rsidR="002850C6" w:rsidRPr="002850C6" w:rsidRDefault="002850C6" w:rsidP="002850C6">
            <w:pPr>
              <w:spacing w:before="20" w:after="20"/>
              <w:jc w:val="right"/>
              <w:rPr>
                <w:noProof/>
                <w:sz w:val="20"/>
                <w:szCs w:val="20"/>
              </w:rPr>
            </w:pPr>
          </w:p>
        </w:tc>
        <w:tc>
          <w:tcPr>
            <w:tcW w:w="1418" w:type="dxa"/>
            <w:vAlign w:val="center"/>
          </w:tcPr>
          <w:p w14:paraId="1D5046DD" w14:textId="77777777" w:rsidR="002850C6" w:rsidRPr="002850C6" w:rsidRDefault="002850C6" w:rsidP="002850C6">
            <w:pPr>
              <w:spacing w:before="20" w:after="20"/>
              <w:jc w:val="right"/>
              <w:rPr>
                <w:noProof/>
                <w:sz w:val="20"/>
                <w:szCs w:val="20"/>
              </w:rPr>
            </w:pPr>
            <w:r w:rsidRPr="002850C6">
              <w:rPr>
                <w:noProof/>
                <w:sz w:val="20"/>
              </w:rPr>
              <w:t>2,064</w:t>
            </w:r>
          </w:p>
        </w:tc>
        <w:tc>
          <w:tcPr>
            <w:tcW w:w="1417" w:type="dxa"/>
            <w:shd w:val="clear" w:color="auto" w:fill="D9D9D9" w:themeFill="background1" w:themeFillShade="D9"/>
            <w:vAlign w:val="center"/>
          </w:tcPr>
          <w:p w14:paraId="2BBB4B00" w14:textId="77777777" w:rsidR="002850C6" w:rsidRPr="002850C6" w:rsidRDefault="002850C6" w:rsidP="002850C6">
            <w:pPr>
              <w:spacing w:before="20" w:after="20"/>
              <w:jc w:val="right"/>
              <w:rPr>
                <w:b/>
                <w:bCs/>
                <w:noProof/>
                <w:sz w:val="20"/>
                <w:szCs w:val="20"/>
              </w:rPr>
            </w:pPr>
            <w:r w:rsidRPr="002850C6">
              <w:rPr>
                <w:b/>
                <w:noProof/>
                <w:sz w:val="20"/>
              </w:rPr>
              <w:t>2,064</w:t>
            </w:r>
          </w:p>
        </w:tc>
        <w:tc>
          <w:tcPr>
            <w:tcW w:w="1560" w:type="dxa"/>
            <w:shd w:val="clear" w:color="auto" w:fill="D9D9D9" w:themeFill="background1" w:themeFillShade="D9"/>
            <w:vAlign w:val="center"/>
          </w:tcPr>
          <w:p w14:paraId="4B391A1D" w14:textId="77777777" w:rsidR="002850C6" w:rsidRPr="002850C6" w:rsidRDefault="002850C6" w:rsidP="002850C6">
            <w:pPr>
              <w:spacing w:before="20" w:after="20"/>
              <w:jc w:val="right"/>
              <w:rPr>
                <w:b/>
                <w:bCs/>
                <w:noProof/>
                <w:sz w:val="20"/>
                <w:szCs w:val="20"/>
              </w:rPr>
            </w:pPr>
            <w:r w:rsidRPr="002850C6">
              <w:rPr>
                <w:b/>
                <w:noProof/>
                <w:sz w:val="20"/>
              </w:rPr>
              <w:t>11,124</w:t>
            </w:r>
          </w:p>
        </w:tc>
      </w:tr>
    </w:tbl>
    <w:p w14:paraId="1B15D0D4" w14:textId="77777777" w:rsidR="002850C6" w:rsidRPr="002850C6" w:rsidRDefault="002850C6" w:rsidP="002850C6">
      <w:pPr>
        <w:spacing w:after="0"/>
        <w:ind w:left="142" w:right="822"/>
        <w:rPr>
          <w:noProof/>
          <w:szCs w:val="24"/>
        </w:rPr>
      </w:pPr>
      <w:r w:rsidRPr="002850C6">
        <w:rPr>
          <w:noProof/>
        </w:rPr>
        <w:t>Les crédits/la contribution du budget de l’UE à l’agence seront compensés par une réduction de l’enveloppe du programme suivant MIE-Transport / ligne budgétaire: 02.03.01 / durant l’année/les années: 2027. Sans préjudice des négociations sur le prochain CFP, les crédits alloués à l’agence à partir de 2028 seront compensés par une réduction de l’enveloppe de l’un des programmes liés à cette initiative sous la même rubrique du CFP que la subvention de l’agence.</w:t>
      </w:r>
    </w:p>
    <w:p w14:paraId="2EF9033F" w14:textId="77777777" w:rsidR="002850C6" w:rsidRPr="002850C6" w:rsidRDefault="002850C6" w:rsidP="002850C6">
      <w:pPr>
        <w:spacing w:after="0"/>
        <w:ind w:left="142" w:right="822"/>
        <w:rPr>
          <w:noProof/>
          <w:sz w:val="20"/>
          <w:szCs w:val="20"/>
        </w:rPr>
      </w:pPr>
    </w:p>
    <w:tbl>
      <w:tblPr>
        <w:tblW w:w="12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6"/>
        <w:gridCol w:w="1275"/>
        <w:gridCol w:w="1134"/>
        <w:gridCol w:w="1418"/>
        <w:gridCol w:w="1417"/>
        <w:gridCol w:w="1560"/>
      </w:tblGrid>
      <w:tr w:rsidR="002850C6" w:rsidRPr="002850C6" w14:paraId="689FE9F4" w14:textId="77777777" w:rsidTr="0043630B">
        <w:trPr>
          <w:trHeight w:val="715"/>
        </w:trPr>
        <w:tc>
          <w:tcPr>
            <w:tcW w:w="6096" w:type="dxa"/>
            <w:vAlign w:val="center"/>
          </w:tcPr>
          <w:p w14:paraId="21FE6480" w14:textId="77777777" w:rsidR="002850C6" w:rsidRPr="002850C6" w:rsidRDefault="002850C6" w:rsidP="002850C6">
            <w:pPr>
              <w:jc w:val="center"/>
              <w:rPr>
                <w:noProof/>
                <w:sz w:val="22"/>
              </w:rPr>
            </w:pPr>
            <w:r w:rsidRPr="002850C6">
              <w:rPr>
                <w:noProof/>
                <w:sz w:val="22"/>
              </w:rPr>
              <w:t>Agence de l’Union européenne pour la sécurité aérienne (AESA)</w:t>
            </w:r>
          </w:p>
        </w:tc>
        <w:tc>
          <w:tcPr>
            <w:tcW w:w="1275" w:type="dxa"/>
            <w:vAlign w:val="center"/>
          </w:tcPr>
          <w:p w14:paraId="37624975" w14:textId="77777777" w:rsidR="002850C6" w:rsidRPr="002850C6" w:rsidRDefault="002850C6" w:rsidP="002850C6">
            <w:pPr>
              <w:jc w:val="center"/>
              <w:rPr>
                <w:noProof/>
                <w:sz w:val="20"/>
                <w:szCs w:val="20"/>
              </w:rPr>
            </w:pPr>
            <w:r w:rsidRPr="002850C6">
              <w:rPr>
                <w:noProof/>
                <w:sz w:val="20"/>
              </w:rPr>
              <w:t>Année</w:t>
            </w:r>
          </w:p>
          <w:p w14:paraId="50A8E7DE" w14:textId="77777777" w:rsidR="002850C6" w:rsidRPr="002850C6" w:rsidRDefault="002850C6" w:rsidP="002850C6">
            <w:pPr>
              <w:jc w:val="center"/>
              <w:rPr>
                <w:b/>
                <w:bCs/>
                <w:noProof/>
                <w:sz w:val="20"/>
                <w:szCs w:val="20"/>
              </w:rPr>
            </w:pPr>
            <w:r w:rsidRPr="002850C6">
              <w:rPr>
                <w:b/>
                <w:noProof/>
                <w:sz w:val="20"/>
              </w:rPr>
              <w:t>2025</w:t>
            </w:r>
          </w:p>
        </w:tc>
        <w:tc>
          <w:tcPr>
            <w:tcW w:w="1134" w:type="dxa"/>
            <w:vAlign w:val="center"/>
          </w:tcPr>
          <w:p w14:paraId="7AD40BBB" w14:textId="77777777" w:rsidR="002850C6" w:rsidRPr="002850C6" w:rsidRDefault="002850C6" w:rsidP="002850C6">
            <w:pPr>
              <w:jc w:val="center"/>
              <w:rPr>
                <w:noProof/>
                <w:sz w:val="20"/>
                <w:szCs w:val="20"/>
              </w:rPr>
            </w:pPr>
            <w:r w:rsidRPr="002850C6">
              <w:rPr>
                <w:noProof/>
                <w:sz w:val="20"/>
              </w:rPr>
              <w:t>Année</w:t>
            </w:r>
          </w:p>
          <w:p w14:paraId="33D30E34" w14:textId="77777777" w:rsidR="002850C6" w:rsidRPr="002850C6" w:rsidRDefault="002850C6" w:rsidP="002850C6">
            <w:pPr>
              <w:jc w:val="center"/>
              <w:rPr>
                <w:b/>
                <w:bCs/>
                <w:noProof/>
                <w:sz w:val="20"/>
                <w:szCs w:val="20"/>
              </w:rPr>
            </w:pPr>
            <w:r w:rsidRPr="002850C6">
              <w:rPr>
                <w:b/>
                <w:noProof/>
                <w:sz w:val="20"/>
              </w:rPr>
              <w:t>2026</w:t>
            </w:r>
          </w:p>
        </w:tc>
        <w:tc>
          <w:tcPr>
            <w:tcW w:w="1418" w:type="dxa"/>
            <w:vAlign w:val="center"/>
          </w:tcPr>
          <w:p w14:paraId="42D4B1BD" w14:textId="77777777" w:rsidR="002850C6" w:rsidRPr="002850C6" w:rsidRDefault="002850C6" w:rsidP="002850C6">
            <w:pPr>
              <w:jc w:val="center"/>
              <w:rPr>
                <w:noProof/>
                <w:sz w:val="20"/>
                <w:szCs w:val="20"/>
              </w:rPr>
            </w:pPr>
            <w:r w:rsidRPr="002850C6">
              <w:rPr>
                <w:noProof/>
                <w:sz w:val="20"/>
              </w:rPr>
              <w:t>Année</w:t>
            </w:r>
          </w:p>
          <w:p w14:paraId="74B3791F" w14:textId="77777777" w:rsidR="002850C6" w:rsidRPr="002850C6" w:rsidRDefault="002850C6" w:rsidP="002850C6">
            <w:pPr>
              <w:jc w:val="center"/>
              <w:rPr>
                <w:b/>
                <w:bCs/>
                <w:noProof/>
                <w:sz w:val="20"/>
                <w:szCs w:val="20"/>
              </w:rPr>
            </w:pPr>
            <w:r w:rsidRPr="002850C6">
              <w:rPr>
                <w:b/>
                <w:noProof/>
                <w:sz w:val="20"/>
              </w:rPr>
              <w:t>2027</w:t>
            </w:r>
          </w:p>
        </w:tc>
        <w:tc>
          <w:tcPr>
            <w:tcW w:w="1417" w:type="dxa"/>
            <w:vAlign w:val="center"/>
          </w:tcPr>
          <w:p w14:paraId="243A95D2" w14:textId="77777777" w:rsidR="002850C6" w:rsidRPr="002850C6" w:rsidRDefault="002850C6" w:rsidP="002850C6">
            <w:pPr>
              <w:jc w:val="center"/>
              <w:rPr>
                <w:b/>
                <w:noProof/>
                <w:sz w:val="20"/>
                <w:szCs w:val="20"/>
              </w:rPr>
            </w:pPr>
            <w:r w:rsidRPr="002850C6">
              <w:rPr>
                <w:b/>
                <w:noProof/>
                <w:sz w:val="20"/>
              </w:rPr>
              <w:t>TOTAL CFP 2021-2027</w:t>
            </w:r>
          </w:p>
        </w:tc>
        <w:tc>
          <w:tcPr>
            <w:tcW w:w="1560" w:type="dxa"/>
          </w:tcPr>
          <w:p w14:paraId="769260FE" w14:textId="77777777" w:rsidR="002850C6" w:rsidRPr="002850C6" w:rsidRDefault="002850C6" w:rsidP="002850C6">
            <w:pPr>
              <w:jc w:val="center"/>
              <w:rPr>
                <w:b/>
                <w:bCs/>
                <w:noProof/>
                <w:sz w:val="20"/>
                <w:szCs w:val="20"/>
              </w:rPr>
            </w:pPr>
            <w:r w:rsidRPr="002850C6">
              <w:rPr>
                <w:b/>
                <w:noProof/>
                <w:sz w:val="20"/>
              </w:rPr>
              <w:t>TOTAL CFP 2028-2034</w:t>
            </w:r>
          </w:p>
        </w:tc>
      </w:tr>
      <w:tr w:rsidR="002850C6" w:rsidRPr="002850C6" w14:paraId="0EF0C91C" w14:textId="77777777" w:rsidTr="0043630B">
        <w:tc>
          <w:tcPr>
            <w:tcW w:w="6096" w:type="dxa"/>
            <w:vAlign w:val="center"/>
          </w:tcPr>
          <w:p w14:paraId="59DF353E" w14:textId="77777777" w:rsidR="002850C6" w:rsidRPr="002850C6" w:rsidRDefault="002850C6" w:rsidP="002850C6">
            <w:pPr>
              <w:jc w:val="left"/>
              <w:rPr>
                <w:bCs/>
                <w:noProof/>
                <w:sz w:val="22"/>
              </w:rPr>
            </w:pPr>
            <w:r w:rsidRPr="002850C6">
              <w:rPr>
                <w:noProof/>
                <w:sz w:val="22"/>
              </w:rPr>
              <w:t>Ligne budgétaire: 02 10 01 – Agence de l’Union européenne pour la sécurité aérienne/Contribution du budget de l’UE à l’Agence</w:t>
            </w:r>
          </w:p>
        </w:tc>
        <w:tc>
          <w:tcPr>
            <w:tcW w:w="1275" w:type="dxa"/>
            <w:vAlign w:val="center"/>
          </w:tcPr>
          <w:p w14:paraId="630A722C" w14:textId="77777777" w:rsidR="002850C6" w:rsidRPr="002850C6" w:rsidRDefault="002850C6" w:rsidP="002850C6">
            <w:pPr>
              <w:spacing w:before="20" w:after="20"/>
              <w:jc w:val="right"/>
              <w:rPr>
                <w:noProof/>
                <w:sz w:val="20"/>
                <w:szCs w:val="20"/>
              </w:rPr>
            </w:pPr>
          </w:p>
        </w:tc>
        <w:tc>
          <w:tcPr>
            <w:tcW w:w="1134" w:type="dxa"/>
            <w:vAlign w:val="center"/>
          </w:tcPr>
          <w:p w14:paraId="22CAFC58" w14:textId="77777777" w:rsidR="002850C6" w:rsidRPr="002850C6" w:rsidRDefault="002850C6" w:rsidP="002850C6">
            <w:pPr>
              <w:spacing w:before="20" w:after="20"/>
              <w:jc w:val="right"/>
              <w:rPr>
                <w:noProof/>
                <w:sz w:val="20"/>
                <w:szCs w:val="20"/>
              </w:rPr>
            </w:pPr>
          </w:p>
        </w:tc>
        <w:tc>
          <w:tcPr>
            <w:tcW w:w="1418" w:type="dxa"/>
            <w:vAlign w:val="center"/>
          </w:tcPr>
          <w:p w14:paraId="603F8732" w14:textId="77777777" w:rsidR="002850C6" w:rsidRPr="002850C6" w:rsidRDefault="002850C6" w:rsidP="002850C6">
            <w:pPr>
              <w:spacing w:before="20" w:after="20"/>
              <w:jc w:val="right"/>
              <w:rPr>
                <w:noProof/>
                <w:sz w:val="20"/>
                <w:szCs w:val="20"/>
              </w:rPr>
            </w:pPr>
            <w:r w:rsidRPr="002850C6">
              <w:rPr>
                <w:noProof/>
                <w:sz w:val="20"/>
              </w:rPr>
              <w:t>0, 498</w:t>
            </w:r>
          </w:p>
        </w:tc>
        <w:tc>
          <w:tcPr>
            <w:tcW w:w="1417" w:type="dxa"/>
            <w:shd w:val="clear" w:color="auto" w:fill="D9D9D9" w:themeFill="background1" w:themeFillShade="D9"/>
            <w:vAlign w:val="center"/>
          </w:tcPr>
          <w:p w14:paraId="00327118" w14:textId="77777777" w:rsidR="002850C6" w:rsidRPr="002850C6" w:rsidRDefault="002850C6" w:rsidP="002850C6">
            <w:pPr>
              <w:spacing w:before="20" w:after="20"/>
              <w:jc w:val="right"/>
              <w:rPr>
                <w:b/>
                <w:bCs/>
                <w:noProof/>
                <w:sz w:val="20"/>
                <w:szCs w:val="20"/>
              </w:rPr>
            </w:pPr>
            <w:r w:rsidRPr="002850C6">
              <w:rPr>
                <w:b/>
                <w:noProof/>
                <w:sz w:val="20"/>
              </w:rPr>
              <w:t>0,</w:t>
            </w:r>
            <w:r w:rsidRPr="002850C6">
              <w:rPr>
                <w:noProof/>
              </w:rPr>
              <w:t xml:space="preserve"> </w:t>
            </w:r>
            <w:r w:rsidRPr="002850C6">
              <w:rPr>
                <w:b/>
                <w:noProof/>
                <w:sz w:val="20"/>
              </w:rPr>
              <w:t>498</w:t>
            </w:r>
          </w:p>
        </w:tc>
        <w:tc>
          <w:tcPr>
            <w:tcW w:w="1560" w:type="dxa"/>
            <w:shd w:val="clear" w:color="auto" w:fill="D9D9D9" w:themeFill="background1" w:themeFillShade="D9"/>
            <w:vAlign w:val="center"/>
          </w:tcPr>
          <w:p w14:paraId="2A2956B9" w14:textId="77777777" w:rsidR="002850C6" w:rsidRPr="002850C6" w:rsidRDefault="002850C6" w:rsidP="002850C6">
            <w:pPr>
              <w:spacing w:before="20" w:after="20"/>
              <w:jc w:val="right"/>
              <w:rPr>
                <w:b/>
                <w:bCs/>
                <w:noProof/>
                <w:sz w:val="20"/>
                <w:szCs w:val="20"/>
              </w:rPr>
            </w:pPr>
            <w:r w:rsidRPr="002850C6">
              <w:rPr>
                <w:b/>
                <w:noProof/>
                <w:sz w:val="20"/>
              </w:rPr>
              <w:t>3,771</w:t>
            </w:r>
          </w:p>
        </w:tc>
      </w:tr>
    </w:tbl>
    <w:p w14:paraId="465FE720" w14:textId="77777777" w:rsidR="002850C6" w:rsidRPr="002850C6" w:rsidRDefault="002850C6" w:rsidP="002850C6">
      <w:pPr>
        <w:spacing w:after="0"/>
        <w:ind w:left="142" w:right="822"/>
        <w:rPr>
          <w:noProof/>
          <w:szCs w:val="24"/>
        </w:rPr>
      </w:pPr>
      <w:r w:rsidRPr="002850C6">
        <w:rPr>
          <w:noProof/>
        </w:rPr>
        <w:t>Les crédits/la contribution du budget de l’UE à l’agence seront compensés par une réduction de l’enveloppe du programme suivant MIE-Transport / ligne budgétaire: 02.03.01 / durant l’année/les années: 2027. Sans préjudice des négociations sur le prochain CFP, les crédits alloués à l’agence à partir de 2028 seront compensés par une réduction de l’enveloppe de l’un des programmes liés à cette initiative sous la même rubrique du CFP que la subvention de l’agence.</w:t>
      </w:r>
    </w:p>
    <w:p w14:paraId="68329A0D" w14:textId="77777777" w:rsidR="002850C6" w:rsidRPr="002850C6" w:rsidRDefault="002850C6" w:rsidP="002850C6">
      <w:pPr>
        <w:spacing w:after="0"/>
        <w:ind w:left="142" w:right="822"/>
        <w:rPr>
          <w:noProof/>
          <w:sz w:val="20"/>
          <w:szCs w:val="20"/>
        </w:rPr>
      </w:pPr>
    </w:p>
    <w:p w14:paraId="784CE658" w14:textId="77777777" w:rsidR="002850C6" w:rsidRPr="002850C6" w:rsidRDefault="002850C6" w:rsidP="002850C6">
      <w:pPr>
        <w:spacing w:after="40"/>
        <w:rPr>
          <w:noProof/>
          <w:color w:val="008000"/>
        </w:rPr>
      </w:pPr>
    </w:p>
    <w:tbl>
      <w:tblPr>
        <w:tblW w:w="4560" w:type="pct"/>
        <w:tblLook w:val="04A0" w:firstRow="1" w:lastRow="0" w:firstColumn="1" w:lastColumn="0" w:noHBand="0" w:noVBand="1"/>
      </w:tblPr>
      <w:tblGrid>
        <w:gridCol w:w="3588"/>
        <w:gridCol w:w="1360"/>
        <w:gridCol w:w="1254"/>
        <w:gridCol w:w="1250"/>
        <w:gridCol w:w="1250"/>
        <w:gridCol w:w="1250"/>
        <w:gridCol w:w="1515"/>
        <w:gridCol w:w="1502"/>
      </w:tblGrid>
      <w:tr w:rsidR="002850C6" w:rsidRPr="002850C6" w14:paraId="38F9F009" w14:textId="77777777" w:rsidTr="0043630B">
        <w:trPr>
          <w:trHeight w:val="300"/>
        </w:trPr>
        <w:tc>
          <w:tcPr>
            <w:tcW w:w="2390"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392DC750" w14:textId="77777777" w:rsidR="002850C6" w:rsidRPr="002850C6" w:rsidRDefault="002850C6" w:rsidP="002850C6">
            <w:pPr>
              <w:spacing w:before="0" w:after="0"/>
              <w:jc w:val="center"/>
              <w:rPr>
                <w:b/>
                <w:bCs/>
                <w:noProof/>
                <w:sz w:val="22"/>
              </w:rPr>
            </w:pPr>
            <w:r w:rsidRPr="002850C6">
              <w:rPr>
                <w:b/>
                <w:noProof/>
                <w:sz w:val="22"/>
              </w:rPr>
              <w:t xml:space="preserve"> </w:t>
            </w:r>
          </w:p>
        </w:tc>
        <w:tc>
          <w:tcPr>
            <w:tcW w:w="482" w:type="pct"/>
            <w:tcBorders>
              <w:top w:val="single" w:sz="8" w:space="0" w:color="auto"/>
              <w:left w:val="nil"/>
              <w:bottom w:val="single" w:sz="8" w:space="0" w:color="auto"/>
              <w:right w:val="single" w:sz="8" w:space="0" w:color="auto"/>
            </w:tcBorders>
            <w:vAlign w:val="center"/>
            <w:hideMark/>
          </w:tcPr>
          <w:p w14:paraId="2C441FF4" w14:textId="77777777" w:rsidR="002850C6" w:rsidRPr="002850C6" w:rsidRDefault="002850C6" w:rsidP="002850C6">
            <w:pPr>
              <w:spacing w:before="0" w:after="0"/>
              <w:jc w:val="center"/>
              <w:rPr>
                <w:noProof/>
                <w:sz w:val="20"/>
                <w:szCs w:val="20"/>
              </w:rPr>
            </w:pPr>
            <w:r w:rsidRPr="002850C6">
              <w:rPr>
                <w:noProof/>
                <w:sz w:val="20"/>
              </w:rPr>
              <w:t>Année</w:t>
            </w:r>
          </w:p>
        </w:tc>
        <w:tc>
          <w:tcPr>
            <w:tcW w:w="482" w:type="pct"/>
            <w:tcBorders>
              <w:top w:val="single" w:sz="8" w:space="0" w:color="auto"/>
              <w:left w:val="nil"/>
              <w:bottom w:val="single" w:sz="8" w:space="0" w:color="auto"/>
              <w:right w:val="single" w:sz="8" w:space="0" w:color="auto"/>
            </w:tcBorders>
            <w:vAlign w:val="center"/>
            <w:hideMark/>
          </w:tcPr>
          <w:p w14:paraId="4C8AAFF4" w14:textId="77777777" w:rsidR="002850C6" w:rsidRPr="002850C6" w:rsidRDefault="002850C6" w:rsidP="002850C6">
            <w:pPr>
              <w:spacing w:before="0" w:after="0"/>
              <w:jc w:val="center"/>
              <w:rPr>
                <w:noProof/>
                <w:sz w:val="20"/>
                <w:szCs w:val="20"/>
              </w:rPr>
            </w:pPr>
            <w:r w:rsidRPr="002850C6">
              <w:rPr>
                <w:noProof/>
                <w:sz w:val="20"/>
              </w:rPr>
              <w:t>Année</w:t>
            </w:r>
          </w:p>
        </w:tc>
        <w:tc>
          <w:tcPr>
            <w:tcW w:w="482" w:type="pct"/>
            <w:tcBorders>
              <w:top w:val="single" w:sz="8" w:space="0" w:color="auto"/>
              <w:left w:val="nil"/>
              <w:bottom w:val="single" w:sz="8" w:space="0" w:color="auto"/>
              <w:right w:val="single" w:sz="8" w:space="0" w:color="auto"/>
            </w:tcBorders>
            <w:vAlign w:val="center"/>
            <w:hideMark/>
          </w:tcPr>
          <w:p w14:paraId="7F8CF516" w14:textId="77777777" w:rsidR="002850C6" w:rsidRPr="002850C6" w:rsidRDefault="002850C6" w:rsidP="002850C6">
            <w:pPr>
              <w:spacing w:before="0" w:after="0"/>
              <w:jc w:val="center"/>
              <w:rPr>
                <w:noProof/>
                <w:sz w:val="20"/>
                <w:szCs w:val="20"/>
              </w:rPr>
            </w:pPr>
            <w:r w:rsidRPr="002850C6">
              <w:rPr>
                <w:noProof/>
                <w:sz w:val="20"/>
              </w:rPr>
              <w:t>Année</w:t>
            </w:r>
          </w:p>
        </w:tc>
        <w:tc>
          <w:tcPr>
            <w:tcW w:w="584" w:type="pct"/>
            <w:vMerge w:val="restart"/>
            <w:tcBorders>
              <w:top w:val="single" w:sz="8" w:space="0" w:color="auto"/>
              <w:left w:val="single" w:sz="8" w:space="0" w:color="auto"/>
              <w:bottom w:val="single" w:sz="8" w:space="0" w:color="auto"/>
              <w:right w:val="single" w:sz="8" w:space="0" w:color="auto"/>
            </w:tcBorders>
            <w:vAlign w:val="center"/>
            <w:hideMark/>
          </w:tcPr>
          <w:p w14:paraId="5DA337D7" w14:textId="77777777" w:rsidR="002850C6" w:rsidRPr="002850C6" w:rsidRDefault="002850C6" w:rsidP="002850C6">
            <w:pPr>
              <w:spacing w:before="0" w:after="0"/>
              <w:jc w:val="center"/>
              <w:rPr>
                <w:b/>
                <w:bCs/>
                <w:noProof/>
                <w:sz w:val="20"/>
                <w:szCs w:val="20"/>
              </w:rPr>
            </w:pPr>
            <w:r w:rsidRPr="002850C6">
              <w:rPr>
                <w:b/>
                <w:noProof/>
                <w:sz w:val="20"/>
              </w:rPr>
              <w:t>TOTAL CFP 2021-2027</w:t>
            </w:r>
          </w:p>
        </w:tc>
        <w:tc>
          <w:tcPr>
            <w:tcW w:w="579" w:type="pct"/>
            <w:vMerge w:val="restart"/>
            <w:tcBorders>
              <w:top w:val="single" w:sz="8" w:space="0" w:color="auto"/>
              <w:left w:val="single" w:sz="8" w:space="0" w:color="auto"/>
              <w:right w:val="single" w:sz="8" w:space="0" w:color="auto"/>
            </w:tcBorders>
            <w:vAlign w:val="center"/>
          </w:tcPr>
          <w:p w14:paraId="59A20DD8" w14:textId="77777777" w:rsidR="002850C6" w:rsidRPr="002850C6" w:rsidRDefault="002850C6" w:rsidP="002850C6">
            <w:pPr>
              <w:spacing w:before="0" w:after="0"/>
              <w:jc w:val="right"/>
              <w:rPr>
                <w:b/>
                <w:bCs/>
                <w:noProof/>
                <w:sz w:val="20"/>
                <w:szCs w:val="20"/>
              </w:rPr>
            </w:pPr>
            <w:r w:rsidRPr="002850C6">
              <w:rPr>
                <w:b/>
                <w:noProof/>
                <w:sz w:val="20"/>
              </w:rPr>
              <w:t>TOTAL CFP 2028-2034</w:t>
            </w:r>
          </w:p>
        </w:tc>
      </w:tr>
      <w:tr w:rsidR="002850C6" w:rsidRPr="002850C6" w14:paraId="7A60BE23" w14:textId="77777777" w:rsidTr="0043630B">
        <w:trPr>
          <w:trHeight w:val="300"/>
        </w:trPr>
        <w:tc>
          <w:tcPr>
            <w:tcW w:w="2390" w:type="pct"/>
            <w:gridSpan w:val="3"/>
            <w:vMerge/>
            <w:tcBorders>
              <w:top w:val="single" w:sz="8" w:space="0" w:color="auto"/>
              <w:left w:val="single" w:sz="8" w:space="0" w:color="auto"/>
              <w:bottom w:val="single" w:sz="8" w:space="0" w:color="000000"/>
              <w:right w:val="single" w:sz="8" w:space="0" w:color="000000"/>
            </w:tcBorders>
            <w:vAlign w:val="center"/>
            <w:hideMark/>
          </w:tcPr>
          <w:p w14:paraId="677A5791" w14:textId="77777777" w:rsidR="002850C6" w:rsidRPr="002850C6" w:rsidRDefault="002850C6" w:rsidP="002850C6">
            <w:pPr>
              <w:spacing w:before="0" w:after="0"/>
              <w:jc w:val="left"/>
              <w:rPr>
                <w:b/>
                <w:bCs/>
                <w:noProof/>
                <w:sz w:val="22"/>
                <w:lang w:eastAsia="en-IE"/>
              </w:rPr>
            </w:pPr>
          </w:p>
        </w:tc>
        <w:tc>
          <w:tcPr>
            <w:tcW w:w="482" w:type="pct"/>
            <w:tcBorders>
              <w:top w:val="nil"/>
              <w:left w:val="nil"/>
              <w:bottom w:val="single" w:sz="8" w:space="0" w:color="auto"/>
              <w:right w:val="single" w:sz="8" w:space="0" w:color="auto"/>
            </w:tcBorders>
            <w:vAlign w:val="center"/>
            <w:hideMark/>
          </w:tcPr>
          <w:p w14:paraId="5B7E4EC2" w14:textId="77777777" w:rsidR="002850C6" w:rsidRPr="002850C6" w:rsidRDefault="002850C6" w:rsidP="002850C6">
            <w:pPr>
              <w:spacing w:before="0" w:after="0"/>
              <w:jc w:val="center"/>
              <w:rPr>
                <w:b/>
                <w:bCs/>
                <w:noProof/>
                <w:sz w:val="20"/>
                <w:szCs w:val="20"/>
              </w:rPr>
            </w:pPr>
            <w:r w:rsidRPr="002850C6">
              <w:rPr>
                <w:b/>
                <w:noProof/>
                <w:sz w:val="20"/>
              </w:rPr>
              <w:t>2025</w:t>
            </w:r>
          </w:p>
        </w:tc>
        <w:tc>
          <w:tcPr>
            <w:tcW w:w="482" w:type="pct"/>
            <w:tcBorders>
              <w:top w:val="nil"/>
              <w:left w:val="nil"/>
              <w:bottom w:val="single" w:sz="8" w:space="0" w:color="auto"/>
              <w:right w:val="single" w:sz="8" w:space="0" w:color="auto"/>
            </w:tcBorders>
            <w:vAlign w:val="center"/>
            <w:hideMark/>
          </w:tcPr>
          <w:p w14:paraId="17A056B3" w14:textId="77777777" w:rsidR="002850C6" w:rsidRPr="002850C6" w:rsidRDefault="002850C6" w:rsidP="002850C6">
            <w:pPr>
              <w:spacing w:before="0" w:after="0"/>
              <w:jc w:val="center"/>
              <w:rPr>
                <w:b/>
                <w:bCs/>
                <w:noProof/>
                <w:sz w:val="20"/>
                <w:szCs w:val="20"/>
              </w:rPr>
            </w:pPr>
            <w:r w:rsidRPr="002850C6">
              <w:rPr>
                <w:b/>
                <w:noProof/>
                <w:sz w:val="20"/>
              </w:rPr>
              <w:t>2026</w:t>
            </w:r>
          </w:p>
        </w:tc>
        <w:tc>
          <w:tcPr>
            <w:tcW w:w="482" w:type="pct"/>
            <w:tcBorders>
              <w:top w:val="nil"/>
              <w:left w:val="nil"/>
              <w:bottom w:val="single" w:sz="8" w:space="0" w:color="auto"/>
              <w:right w:val="single" w:sz="8" w:space="0" w:color="auto"/>
            </w:tcBorders>
            <w:vAlign w:val="center"/>
            <w:hideMark/>
          </w:tcPr>
          <w:p w14:paraId="7D2ACBEB" w14:textId="77777777" w:rsidR="002850C6" w:rsidRPr="002850C6" w:rsidRDefault="002850C6" w:rsidP="002850C6">
            <w:pPr>
              <w:spacing w:before="0" w:after="0"/>
              <w:jc w:val="center"/>
              <w:rPr>
                <w:b/>
                <w:bCs/>
                <w:noProof/>
                <w:sz w:val="20"/>
                <w:szCs w:val="20"/>
              </w:rPr>
            </w:pPr>
            <w:r w:rsidRPr="002850C6">
              <w:rPr>
                <w:b/>
                <w:noProof/>
                <w:sz w:val="20"/>
              </w:rPr>
              <w:t>2027</w:t>
            </w:r>
          </w:p>
        </w:tc>
        <w:tc>
          <w:tcPr>
            <w:tcW w:w="584" w:type="pct"/>
            <w:vMerge/>
            <w:tcBorders>
              <w:top w:val="single" w:sz="8" w:space="0" w:color="auto"/>
              <w:left w:val="single" w:sz="8" w:space="0" w:color="auto"/>
              <w:bottom w:val="single" w:sz="8" w:space="0" w:color="auto"/>
              <w:right w:val="single" w:sz="8" w:space="0" w:color="auto"/>
            </w:tcBorders>
            <w:vAlign w:val="center"/>
            <w:hideMark/>
          </w:tcPr>
          <w:p w14:paraId="6DDDEDBB" w14:textId="77777777" w:rsidR="002850C6" w:rsidRPr="002850C6" w:rsidRDefault="002850C6" w:rsidP="002850C6">
            <w:pPr>
              <w:spacing w:before="0" w:after="0"/>
              <w:jc w:val="left"/>
              <w:rPr>
                <w:b/>
                <w:bCs/>
                <w:noProof/>
                <w:sz w:val="20"/>
                <w:szCs w:val="20"/>
                <w:lang w:eastAsia="en-IE"/>
              </w:rPr>
            </w:pPr>
          </w:p>
        </w:tc>
        <w:tc>
          <w:tcPr>
            <w:tcW w:w="579" w:type="pct"/>
            <w:vMerge/>
            <w:tcBorders>
              <w:left w:val="single" w:sz="8" w:space="0" w:color="auto"/>
              <w:bottom w:val="single" w:sz="8" w:space="0" w:color="auto"/>
              <w:right w:val="single" w:sz="8" w:space="0" w:color="auto"/>
            </w:tcBorders>
            <w:vAlign w:val="center"/>
          </w:tcPr>
          <w:p w14:paraId="75F60668" w14:textId="77777777" w:rsidR="002850C6" w:rsidRPr="002850C6" w:rsidRDefault="002850C6" w:rsidP="002850C6">
            <w:pPr>
              <w:spacing w:before="0" w:after="0"/>
              <w:jc w:val="right"/>
              <w:rPr>
                <w:b/>
                <w:bCs/>
                <w:noProof/>
                <w:sz w:val="20"/>
                <w:szCs w:val="20"/>
                <w:lang w:eastAsia="en-IE"/>
              </w:rPr>
            </w:pPr>
          </w:p>
        </w:tc>
      </w:tr>
      <w:tr w:rsidR="002850C6" w:rsidRPr="002850C6" w14:paraId="1889A8F4" w14:textId="77777777" w:rsidTr="0043630B">
        <w:trPr>
          <w:trHeight w:val="432"/>
        </w:trPr>
        <w:tc>
          <w:tcPr>
            <w:tcW w:w="1383" w:type="pct"/>
            <w:vMerge w:val="restart"/>
            <w:tcBorders>
              <w:top w:val="nil"/>
              <w:left w:val="single" w:sz="8" w:space="0" w:color="auto"/>
              <w:bottom w:val="single" w:sz="8" w:space="0" w:color="auto"/>
              <w:right w:val="single" w:sz="8" w:space="0" w:color="auto"/>
            </w:tcBorders>
            <w:vAlign w:val="center"/>
            <w:hideMark/>
          </w:tcPr>
          <w:p w14:paraId="6C6B3661" w14:textId="77777777" w:rsidR="002850C6" w:rsidRPr="002850C6" w:rsidRDefault="002850C6" w:rsidP="002850C6">
            <w:pPr>
              <w:spacing w:before="0" w:after="0"/>
              <w:rPr>
                <w:noProof/>
                <w:sz w:val="21"/>
                <w:szCs w:val="21"/>
              </w:rPr>
            </w:pPr>
            <w:r w:rsidRPr="002850C6">
              <w:rPr>
                <w:noProof/>
                <w:sz w:val="21"/>
              </w:rPr>
              <w:t xml:space="preserve">TOTAL des crédits opérationnels </w:t>
            </w:r>
            <w:r w:rsidRPr="002850C6">
              <w:rPr>
                <w:noProof/>
              </w:rPr>
              <w:t xml:space="preserve"> </w:t>
            </w:r>
            <w:r w:rsidRPr="002850C6">
              <w:rPr>
                <w:noProof/>
              </w:rPr>
              <w:br/>
            </w:r>
          </w:p>
        </w:tc>
        <w:tc>
          <w:tcPr>
            <w:tcW w:w="524" w:type="pct"/>
            <w:tcBorders>
              <w:top w:val="nil"/>
              <w:left w:val="nil"/>
              <w:bottom w:val="single" w:sz="8" w:space="0" w:color="auto"/>
              <w:right w:val="single" w:sz="8" w:space="0" w:color="auto"/>
            </w:tcBorders>
            <w:vAlign w:val="center"/>
            <w:hideMark/>
          </w:tcPr>
          <w:p w14:paraId="68121634" w14:textId="77777777" w:rsidR="002850C6" w:rsidRPr="002850C6" w:rsidRDefault="002850C6" w:rsidP="002850C6">
            <w:pPr>
              <w:spacing w:before="0" w:after="0"/>
              <w:rPr>
                <w:noProof/>
                <w:sz w:val="18"/>
                <w:szCs w:val="18"/>
              </w:rPr>
            </w:pPr>
            <w:r w:rsidRPr="002850C6">
              <w:rPr>
                <w:noProof/>
                <w:sz w:val="18"/>
              </w:rPr>
              <w:t>Engagements</w:t>
            </w:r>
          </w:p>
        </w:tc>
        <w:tc>
          <w:tcPr>
            <w:tcW w:w="482" w:type="pct"/>
            <w:tcBorders>
              <w:top w:val="single" w:sz="8" w:space="0" w:color="auto"/>
              <w:left w:val="nil"/>
              <w:bottom w:val="single" w:sz="8" w:space="0" w:color="auto"/>
              <w:right w:val="single" w:sz="8" w:space="0" w:color="auto"/>
            </w:tcBorders>
            <w:vAlign w:val="center"/>
            <w:hideMark/>
          </w:tcPr>
          <w:p w14:paraId="18EAC98C" w14:textId="77777777" w:rsidR="002850C6" w:rsidRPr="002850C6" w:rsidRDefault="002850C6" w:rsidP="002850C6">
            <w:pPr>
              <w:spacing w:before="0" w:after="0"/>
              <w:jc w:val="center"/>
              <w:rPr>
                <w:noProof/>
                <w:sz w:val="14"/>
                <w:szCs w:val="14"/>
              </w:rPr>
            </w:pPr>
            <w:r w:rsidRPr="002850C6">
              <w:rPr>
                <w:noProof/>
                <w:sz w:val="14"/>
              </w:rPr>
              <w:t>(4)</w:t>
            </w:r>
          </w:p>
        </w:tc>
        <w:tc>
          <w:tcPr>
            <w:tcW w:w="482" w:type="pct"/>
            <w:tcBorders>
              <w:top w:val="nil"/>
              <w:left w:val="nil"/>
              <w:bottom w:val="single" w:sz="8" w:space="0" w:color="auto"/>
              <w:right w:val="single" w:sz="8" w:space="0" w:color="auto"/>
            </w:tcBorders>
            <w:shd w:val="clear" w:color="000000" w:fill="D9D9D9"/>
            <w:vAlign w:val="center"/>
            <w:hideMark/>
          </w:tcPr>
          <w:p w14:paraId="0242AE9E" w14:textId="77777777" w:rsidR="002850C6" w:rsidRPr="002850C6" w:rsidRDefault="002850C6" w:rsidP="002850C6">
            <w:pPr>
              <w:spacing w:before="0" w:after="0"/>
              <w:jc w:val="right"/>
              <w:rPr>
                <w:noProof/>
                <w:sz w:val="20"/>
                <w:szCs w:val="20"/>
              </w:rPr>
            </w:pPr>
            <w:r w:rsidRPr="002850C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5331A410" w14:textId="77777777" w:rsidR="002850C6" w:rsidRPr="002850C6" w:rsidRDefault="002850C6" w:rsidP="002850C6">
            <w:pPr>
              <w:spacing w:before="0" w:after="0"/>
              <w:jc w:val="right"/>
              <w:rPr>
                <w:noProof/>
                <w:sz w:val="20"/>
                <w:szCs w:val="20"/>
              </w:rPr>
            </w:pPr>
            <w:r w:rsidRPr="002850C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326FCA4A" w14:textId="77777777" w:rsidR="002850C6" w:rsidRPr="002850C6" w:rsidRDefault="002850C6" w:rsidP="002850C6">
            <w:pPr>
              <w:spacing w:before="0" w:after="0"/>
              <w:jc w:val="right"/>
              <w:rPr>
                <w:noProof/>
                <w:sz w:val="20"/>
                <w:szCs w:val="20"/>
              </w:rPr>
            </w:pPr>
            <w:r w:rsidRPr="002850C6">
              <w:rPr>
                <w:noProof/>
                <w:sz w:val="20"/>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05B04683" w14:textId="77777777" w:rsidR="002850C6" w:rsidRPr="002850C6" w:rsidRDefault="002850C6" w:rsidP="002850C6">
            <w:pPr>
              <w:spacing w:before="0" w:after="0"/>
              <w:jc w:val="right"/>
              <w:rPr>
                <w:b/>
                <w:bCs/>
                <w:noProof/>
                <w:sz w:val="20"/>
                <w:szCs w:val="20"/>
              </w:rPr>
            </w:pPr>
            <w:r w:rsidRPr="002850C6">
              <w:rPr>
                <w:b/>
                <w:noProof/>
                <w:sz w:val="20"/>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568DC9F5" w14:textId="77777777" w:rsidR="002850C6" w:rsidRPr="002850C6" w:rsidRDefault="002850C6" w:rsidP="002850C6">
            <w:pPr>
              <w:spacing w:before="0" w:after="0"/>
              <w:jc w:val="right"/>
              <w:rPr>
                <w:b/>
                <w:bCs/>
                <w:noProof/>
                <w:sz w:val="20"/>
                <w:szCs w:val="20"/>
              </w:rPr>
            </w:pPr>
            <w:r w:rsidRPr="002850C6">
              <w:rPr>
                <w:b/>
                <w:noProof/>
                <w:sz w:val="20"/>
              </w:rPr>
              <w:t>14,894</w:t>
            </w:r>
          </w:p>
        </w:tc>
      </w:tr>
      <w:tr w:rsidR="002850C6" w:rsidRPr="002850C6" w14:paraId="7C804C3E" w14:textId="77777777" w:rsidTr="0043630B">
        <w:trPr>
          <w:trHeight w:val="456"/>
        </w:trPr>
        <w:tc>
          <w:tcPr>
            <w:tcW w:w="1383" w:type="pct"/>
            <w:vMerge/>
            <w:tcBorders>
              <w:top w:val="nil"/>
              <w:left w:val="single" w:sz="8" w:space="0" w:color="auto"/>
              <w:bottom w:val="single" w:sz="8" w:space="0" w:color="auto"/>
              <w:right w:val="single" w:sz="8" w:space="0" w:color="auto"/>
            </w:tcBorders>
            <w:vAlign w:val="center"/>
            <w:hideMark/>
          </w:tcPr>
          <w:p w14:paraId="74235029" w14:textId="77777777" w:rsidR="002850C6" w:rsidRPr="002850C6" w:rsidRDefault="002850C6" w:rsidP="002850C6">
            <w:pPr>
              <w:spacing w:before="0" w:after="0"/>
              <w:jc w:val="left"/>
              <w:rPr>
                <w:noProof/>
                <w:sz w:val="21"/>
                <w:szCs w:val="21"/>
                <w:lang w:eastAsia="en-IE"/>
              </w:rPr>
            </w:pPr>
          </w:p>
        </w:tc>
        <w:tc>
          <w:tcPr>
            <w:tcW w:w="524" w:type="pct"/>
            <w:tcBorders>
              <w:top w:val="nil"/>
              <w:left w:val="nil"/>
              <w:bottom w:val="single" w:sz="8" w:space="0" w:color="auto"/>
              <w:right w:val="single" w:sz="8" w:space="0" w:color="auto"/>
            </w:tcBorders>
            <w:vAlign w:val="center"/>
            <w:hideMark/>
          </w:tcPr>
          <w:p w14:paraId="09C72597" w14:textId="77777777" w:rsidR="002850C6" w:rsidRPr="002850C6" w:rsidRDefault="002850C6" w:rsidP="002850C6">
            <w:pPr>
              <w:spacing w:before="0" w:after="0"/>
              <w:rPr>
                <w:noProof/>
                <w:sz w:val="18"/>
                <w:szCs w:val="18"/>
              </w:rPr>
            </w:pPr>
            <w:r w:rsidRPr="002850C6">
              <w:rPr>
                <w:noProof/>
                <w:sz w:val="18"/>
              </w:rPr>
              <w:t>Paiements</w:t>
            </w:r>
          </w:p>
        </w:tc>
        <w:tc>
          <w:tcPr>
            <w:tcW w:w="482" w:type="pct"/>
            <w:tcBorders>
              <w:top w:val="single" w:sz="8" w:space="0" w:color="auto"/>
              <w:left w:val="nil"/>
              <w:bottom w:val="single" w:sz="8" w:space="0" w:color="auto"/>
              <w:right w:val="single" w:sz="8" w:space="0" w:color="auto"/>
            </w:tcBorders>
            <w:vAlign w:val="center"/>
            <w:hideMark/>
          </w:tcPr>
          <w:p w14:paraId="37F9CC86" w14:textId="77777777" w:rsidR="002850C6" w:rsidRPr="002850C6" w:rsidRDefault="002850C6" w:rsidP="002850C6">
            <w:pPr>
              <w:spacing w:before="0" w:after="0"/>
              <w:jc w:val="center"/>
              <w:rPr>
                <w:noProof/>
                <w:sz w:val="14"/>
                <w:szCs w:val="14"/>
              </w:rPr>
            </w:pPr>
            <w:r w:rsidRPr="002850C6">
              <w:rPr>
                <w:noProof/>
                <w:sz w:val="14"/>
              </w:rPr>
              <w:t>(5)</w:t>
            </w:r>
          </w:p>
        </w:tc>
        <w:tc>
          <w:tcPr>
            <w:tcW w:w="482" w:type="pct"/>
            <w:tcBorders>
              <w:top w:val="nil"/>
              <w:left w:val="nil"/>
              <w:bottom w:val="single" w:sz="8" w:space="0" w:color="auto"/>
              <w:right w:val="single" w:sz="8" w:space="0" w:color="auto"/>
            </w:tcBorders>
            <w:shd w:val="clear" w:color="000000" w:fill="D9D9D9"/>
            <w:vAlign w:val="center"/>
            <w:hideMark/>
          </w:tcPr>
          <w:p w14:paraId="05281324" w14:textId="77777777" w:rsidR="002850C6" w:rsidRPr="002850C6" w:rsidRDefault="002850C6" w:rsidP="002850C6">
            <w:pPr>
              <w:spacing w:before="0" w:after="0"/>
              <w:jc w:val="right"/>
              <w:rPr>
                <w:noProof/>
                <w:sz w:val="20"/>
                <w:szCs w:val="20"/>
              </w:rPr>
            </w:pPr>
            <w:r w:rsidRPr="002850C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6D72F31D" w14:textId="77777777" w:rsidR="002850C6" w:rsidRPr="002850C6" w:rsidRDefault="002850C6" w:rsidP="002850C6">
            <w:pPr>
              <w:spacing w:before="0" w:after="0"/>
              <w:jc w:val="right"/>
              <w:rPr>
                <w:noProof/>
                <w:sz w:val="20"/>
                <w:szCs w:val="20"/>
              </w:rPr>
            </w:pPr>
            <w:r w:rsidRPr="002850C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6DE591B9" w14:textId="77777777" w:rsidR="002850C6" w:rsidRPr="002850C6" w:rsidRDefault="002850C6" w:rsidP="002850C6">
            <w:pPr>
              <w:spacing w:before="0" w:after="0"/>
              <w:jc w:val="right"/>
              <w:rPr>
                <w:noProof/>
                <w:sz w:val="20"/>
                <w:szCs w:val="20"/>
              </w:rPr>
            </w:pPr>
            <w:r w:rsidRPr="002850C6">
              <w:rPr>
                <w:noProof/>
                <w:sz w:val="20"/>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1B145F85" w14:textId="77777777" w:rsidR="002850C6" w:rsidRPr="002850C6" w:rsidRDefault="002850C6" w:rsidP="002850C6">
            <w:pPr>
              <w:spacing w:before="0" w:after="0"/>
              <w:jc w:val="right"/>
              <w:rPr>
                <w:b/>
                <w:noProof/>
                <w:sz w:val="20"/>
                <w:szCs w:val="20"/>
              </w:rPr>
            </w:pPr>
            <w:r w:rsidRPr="002850C6">
              <w:rPr>
                <w:b/>
                <w:noProof/>
                <w:sz w:val="20"/>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77A127C9" w14:textId="77777777" w:rsidR="002850C6" w:rsidRPr="002850C6" w:rsidRDefault="002850C6" w:rsidP="002850C6">
            <w:pPr>
              <w:spacing w:before="0" w:after="0"/>
              <w:jc w:val="right"/>
              <w:rPr>
                <w:b/>
                <w:bCs/>
                <w:noProof/>
                <w:sz w:val="20"/>
                <w:szCs w:val="20"/>
              </w:rPr>
            </w:pPr>
            <w:r w:rsidRPr="002850C6">
              <w:rPr>
                <w:b/>
                <w:noProof/>
                <w:sz w:val="20"/>
              </w:rPr>
              <w:t>14,894</w:t>
            </w:r>
          </w:p>
        </w:tc>
      </w:tr>
      <w:tr w:rsidR="002850C6" w:rsidRPr="002850C6" w14:paraId="5E6F6F7F" w14:textId="77777777" w:rsidTr="0043630B">
        <w:trPr>
          <w:trHeight w:val="924"/>
        </w:trPr>
        <w:tc>
          <w:tcPr>
            <w:tcW w:w="1907" w:type="pct"/>
            <w:gridSpan w:val="2"/>
            <w:tcBorders>
              <w:top w:val="single" w:sz="8" w:space="0" w:color="auto"/>
              <w:left w:val="single" w:sz="8" w:space="0" w:color="auto"/>
              <w:bottom w:val="single" w:sz="8" w:space="0" w:color="auto"/>
              <w:right w:val="single" w:sz="8" w:space="0" w:color="auto"/>
            </w:tcBorders>
            <w:vAlign w:val="center"/>
            <w:hideMark/>
          </w:tcPr>
          <w:p w14:paraId="60F9DB09" w14:textId="77777777" w:rsidR="002850C6" w:rsidRPr="002850C6" w:rsidRDefault="002850C6" w:rsidP="002850C6">
            <w:pPr>
              <w:spacing w:before="0" w:after="0"/>
              <w:rPr>
                <w:noProof/>
                <w:sz w:val="21"/>
                <w:szCs w:val="21"/>
              </w:rPr>
            </w:pPr>
            <w:r w:rsidRPr="002850C6">
              <w:rPr>
                <w:noProof/>
                <w:sz w:val="21"/>
              </w:rPr>
              <w:t xml:space="preserve">TOTAL des crédits de nature administrative financés par l’enveloppe de certains programmes spécifiques </w:t>
            </w:r>
          </w:p>
        </w:tc>
        <w:tc>
          <w:tcPr>
            <w:tcW w:w="482" w:type="pct"/>
            <w:tcBorders>
              <w:top w:val="single" w:sz="8" w:space="0" w:color="auto"/>
              <w:left w:val="nil"/>
              <w:bottom w:val="single" w:sz="8" w:space="0" w:color="auto"/>
              <w:right w:val="single" w:sz="8" w:space="0" w:color="auto"/>
            </w:tcBorders>
            <w:vAlign w:val="center"/>
            <w:hideMark/>
          </w:tcPr>
          <w:p w14:paraId="6C54D37D" w14:textId="77777777" w:rsidR="002850C6" w:rsidRPr="002850C6" w:rsidRDefault="002850C6" w:rsidP="002850C6">
            <w:pPr>
              <w:spacing w:before="0" w:after="0"/>
              <w:jc w:val="center"/>
              <w:rPr>
                <w:noProof/>
                <w:sz w:val="14"/>
                <w:szCs w:val="14"/>
              </w:rPr>
            </w:pPr>
            <w:r w:rsidRPr="002850C6">
              <w:rPr>
                <w:noProof/>
                <w:sz w:val="14"/>
              </w:rPr>
              <w:t>(6)</w:t>
            </w:r>
          </w:p>
        </w:tc>
        <w:tc>
          <w:tcPr>
            <w:tcW w:w="482" w:type="pct"/>
            <w:tcBorders>
              <w:top w:val="nil"/>
              <w:left w:val="nil"/>
              <w:bottom w:val="single" w:sz="8" w:space="0" w:color="auto"/>
              <w:right w:val="single" w:sz="8" w:space="0" w:color="auto"/>
            </w:tcBorders>
            <w:shd w:val="clear" w:color="000000" w:fill="D9D9D9"/>
            <w:vAlign w:val="center"/>
            <w:hideMark/>
          </w:tcPr>
          <w:p w14:paraId="0D425FD8" w14:textId="77777777" w:rsidR="002850C6" w:rsidRPr="002850C6" w:rsidRDefault="002850C6" w:rsidP="002850C6">
            <w:pPr>
              <w:spacing w:before="0" w:after="0"/>
              <w:jc w:val="right"/>
              <w:rPr>
                <w:noProof/>
                <w:sz w:val="20"/>
                <w:szCs w:val="20"/>
              </w:rPr>
            </w:pPr>
            <w:r w:rsidRPr="002850C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466397A4" w14:textId="77777777" w:rsidR="002850C6" w:rsidRPr="002850C6" w:rsidRDefault="002850C6" w:rsidP="002850C6">
            <w:pPr>
              <w:spacing w:before="0" w:after="0"/>
              <w:jc w:val="right"/>
              <w:rPr>
                <w:noProof/>
                <w:sz w:val="20"/>
                <w:szCs w:val="20"/>
              </w:rPr>
            </w:pPr>
            <w:r w:rsidRPr="002850C6">
              <w:rPr>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75BD54ED" w14:textId="77777777" w:rsidR="002850C6" w:rsidRPr="002850C6" w:rsidRDefault="002850C6" w:rsidP="002850C6">
            <w:pPr>
              <w:spacing w:before="0" w:after="0"/>
              <w:jc w:val="right"/>
              <w:rPr>
                <w:noProof/>
                <w:sz w:val="20"/>
                <w:szCs w:val="20"/>
              </w:rPr>
            </w:pPr>
            <w:r w:rsidRPr="002850C6">
              <w:rPr>
                <w:noProof/>
                <w:sz w:val="20"/>
              </w:rPr>
              <w:t>0,000</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7B700CF1" w14:textId="77777777" w:rsidR="002850C6" w:rsidRPr="002850C6" w:rsidRDefault="002850C6" w:rsidP="002850C6">
            <w:pPr>
              <w:spacing w:before="0" w:after="0"/>
              <w:jc w:val="right"/>
              <w:rPr>
                <w:b/>
                <w:bCs/>
                <w:noProof/>
                <w:sz w:val="20"/>
                <w:szCs w:val="20"/>
              </w:rPr>
            </w:pPr>
            <w:r w:rsidRPr="002850C6">
              <w:rPr>
                <w:b/>
                <w:noProof/>
                <w:sz w:val="20"/>
              </w:rPr>
              <w:t>0,000</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14AD7BB4" w14:textId="77777777" w:rsidR="002850C6" w:rsidRPr="002850C6" w:rsidRDefault="002850C6" w:rsidP="002850C6">
            <w:pPr>
              <w:spacing w:before="0" w:after="0"/>
              <w:jc w:val="right"/>
              <w:rPr>
                <w:b/>
                <w:bCs/>
                <w:noProof/>
                <w:sz w:val="20"/>
                <w:szCs w:val="20"/>
              </w:rPr>
            </w:pPr>
            <w:r w:rsidRPr="002850C6">
              <w:rPr>
                <w:b/>
                <w:noProof/>
                <w:sz w:val="20"/>
              </w:rPr>
              <w:t>0,000</w:t>
            </w:r>
          </w:p>
        </w:tc>
      </w:tr>
      <w:tr w:rsidR="002850C6" w:rsidRPr="002850C6" w14:paraId="268247B2" w14:textId="77777777" w:rsidTr="0043630B">
        <w:trPr>
          <w:trHeight w:val="564"/>
        </w:trPr>
        <w:tc>
          <w:tcPr>
            <w:tcW w:w="1383" w:type="pct"/>
            <w:tcBorders>
              <w:top w:val="nil"/>
              <w:left w:val="single" w:sz="8" w:space="0" w:color="auto"/>
              <w:bottom w:val="nil"/>
              <w:right w:val="single" w:sz="8" w:space="0" w:color="auto"/>
            </w:tcBorders>
            <w:shd w:val="thinDiagStripe" w:color="C0C0C0" w:fill="F1F1F1"/>
            <w:vAlign w:val="center"/>
            <w:hideMark/>
          </w:tcPr>
          <w:p w14:paraId="7415436F" w14:textId="77777777" w:rsidR="002850C6" w:rsidRPr="002850C6" w:rsidRDefault="002850C6" w:rsidP="002850C6">
            <w:pPr>
              <w:spacing w:before="0" w:after="0"/>
              <w:jc w:val="center"/>
              <w:rPr>
                <w:b/>
                <w:bCs/>
                <w:noProof/>
                <w:sz w:val="22"/>
              </w:rPr>
            </w:pPr>
            <w:r w:rsidRPr="002850C6">
              <w:rPr>
                <w:b/>
                <w:noProof/>
                <w:sz w:val="22"/>
              </w:rPr>
              <w:t>TOTAL des crédits pour la RUBRIQUE 1</w:t>
            </w:r>
          </w:p>
        </w:tc>
        <w:tc>
          <w:tcPr>
            <w:tcW w:w="524" w:type="pct"/>
            <w:tcBorders>
              <w:top w:val="nil"/>
              <w:left w:val="nil"/>
              <w:bottom w:val="single" w:sz="8" w:space="0" w:color="auto"/>
              <w:right w:val="single" w:sz="8" w:space="0" w:color="auto"/>
            </w:tcBorders>
            <w:vAlign w:val="center"/>
            <w:hideMark/>
          </w:tcPr>
          <w:p w14:paraId="6EC8F388" w14:textId="77777777" w:rsidR="002850C6" w:rsidRPr="002850C6" w:rsidRDefault="002850C6" w:rsidP="002850C6">
            <w:pPr>
              <w:spacing w:before="0" w:after="0"/>
              <w:rPr>
                <w:noProof/>
                <w:sz w:val="18"/>
                <w:szCs w:val="18"/>
              </w:rPr>
            </w:pPr>
            <w:r w:rsidRPr="002850C6">
              <w:rPr>
                <w:noProof/>
                <w:sz w:val="18"/>
              </w:rPr>
              <w:t>Engagements</w:t>
            </w:r>
          </w:p>
        </w:tc>
        <w:tc>
          <w:tcPr>
            <w:tcW w:w="482" w:type="pct"/>
            <w:tcBorders>
              <w:top w:val="single" w:sz="8" w:space="0" w:color="auto"/>
              <w:left w:val="nil"/>
              <w:bottom w:val="single" w:sz="8" w:space="0" w:color="auto"/>
              <w:right w:val="single" w:sz="8" w:space="0" w:color="auto"/>
            </w:tcBorders>
            <w:vAlign w:val="center"/>
            <w:hideMark/>
          </w:tcPr>
          <w:p w14:paraId="2E338C23" w14:textId="77777777" w:rsidR="002850C6" w:rsidRPr="002850C6" w:rsidRDefault="002850C6" w:rsidP="002850C6">
            <w:pPr>
              <w:spacing w:before="0" w:after="0"/>
              <w:jc w:val="center"/>
              <w:rPr>
                <w:noProof/>
                <w:sz w:val="14"/>
                <w:szCs w:val="14"/>
              </w:rPr>
            </w:pPr>
            <w:r w:rsidRPr="002850C6">
              <w:rPr>
                <w:noProof/>
                <w:sz w:val="14"/>
              </w:rPr>
              <w:t>=4+6</w:t>
            </w:r>
          </w:p>
        </w:tc>
        <w:tc>
          <w:tcPr>
            <w:tcW w:w="482" w:type="pct"/>
            <w:tcBorders>
              <w:top w:val="nil"/>
              <w:left w:val="nil"/>
              <w:bottom w:val="single" w:sz="8" w:space="0" w:color="auto"/>
              <w:right w:val="single" w:sz="8" w:space="0" w:color="auto"/>
            </w:tcBorders>
            <w:shd w:val="clear" w:color="000000" w:fill="D9D9D9"/>
            <w:vAlign w:val="center"/>
            <w:hideMark/>
          </w:tcPr>
          <w:p w14:paraId="0A93EB91" w14:textId="77777777" w:rsidR="002850C6" w:rsidRPr="002850C6" w:rsidRDefault="002850C6" w:rsidP="002850C6">
            <w:pPr>
              <w:spacing w:before="0" w:after="0"/>
              <w:jc w:val="right"/>
              <w:rPr>
                <w:b/>
                <w:bCs/>
                <w:noProof/>
                <w:sz w:val="20"/>
                <w:szCs w:val="20"/>
              </w:rPr>
            </w:pPr>
            <w:r w:rsidRPr="002850C6">
              <w:rPr>
                <w:b/>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67C0CCC6" w14:textId="77777777" w:rsidR="002850C6" w:rsidRPr="002850C6" w:rsidRDefault="002850C6" w:rsidP="002850C6">
            <w:pPr>
              <w:spacing w:before="0" w:after="0"/>
              <w:jc w:val="right"/>
              <w:rPr>
                <w:b/>
                <w:bCs/>
                <w:noProof/>
                <w:sz w:val="20"/>
                <w:szCs w:val="20"/>
              </w:rPr>
            </w:pPr>
            <w:r w:rsidRPr="002850C6">
              <w:rPr>
                <w:b/>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6A7CC37C" w14:textId="77777777" w:rsidR="002850C6" w:rsidRPr="002850C6" w:rsidRDefault="002850C6" w:rsidP="002850C6">
            <w:pPr>
              <w:spacing w:before="0" w:after="0"/>
              <w:jc w:val="right"/>
              <w:rPr>
                <w:b/>
                <w:bCs/>
                <w:noProof/>
                <w:sz w:val="20"/>
                <w:szCs w:val="20"/>
              </w:rPr>
            </w:pPr>
            <w:r w:rsidRPr="002850C6">
              <w:rPr>
                <w:b/>
                <w:noProof/>
                <w:sz w:val="20"/>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4F645A0A" w14:textId="77777777" w:rsidR="002850C6" w:rsidRPr="002850C6" w:rsidRDefault="002850C6" w:rsidP="002850C6">
            <w:pPr>
              <w:spacing w:before="0" w:after="0"/>
              <w:jc w:val="right"/>
              <w:rPr>
                <w:b/>
                <w:bCs/>
                <w:noProof/>
                <w:sz w:val="20"/>
                <w:szCs w:val="20"/>
              </w:rPr>
            </w:pPr>
            <w:r w:rsidRPr="002850C6">
              <w:rPr>
                <w:b/>
                <w:noProof/>
                <w:sz w:val="20"/>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57DF2459" w14:textId="77777777" w:rsidR="002850C6" w:rsidRPr="002850C6" w:rsidRDefault="002850C6" w:rsidP="002850C6">
            <w:pPr>
              <w:spacing w:before="0" w:after="0"/>
              <w:jc w:val="right"/>
              <w:rPr>
                <w:b/>
                <w:bCs/>
                <w:noProof/>
                <w:sz w:val="20"/>
                <w:szCs w:val="20"/>
              </w:rPr>
            </w:pPr>
            <w:r w:rsidRPr="002850C6">
              <w:rPr>
                <w:b/>
                <w:noProof/>
                <w:sz w:val="20"/>
              </w:rPr>
              <w:t>14,894</w:t>
            </w:r>
          </w:p>
        </w:tc>
      </w:tr>
      <w:tr w:rsidR="002850C6" w:rsidRPr="002850C6" w14:paraId="36050299" w14:textId="77777777" w:rsidTr="0043630B">
        <w:trPr>
          <w:trHeight w:val="528"/>
        </w:trPr>
        <w:tc>
          <w:tcPr>
            <w:tcW w:w="1383" w:type="pct"/>
            <w:tcBorders>
              <w:top w:val="nil"/>
              <w:left w:val="single" w:sz="8" w:space="0" w:color="auto"/>
              <w:bottom w:val="single" w:sz="8" w:space="0" w:color="auto"/>
              <w:right w:val="single" w:sz="8" w:space="0" w:color="auto"/>
            </w:tcBorders>
            <w:shd w:val="thinDiagStripe" w:color="C0C0C0" w:fill="F1F1F1"/>
            <w:vAlign w:val="center"/>
            <w:hideMark/>
          </w:tcPr>
          <w:p w14:paraId="6F053793" w14:textId="77777777" w:rsidR="002850C6" w:rsidRPr="002850C6" w:rsidRDefault="002850C6" w:rsidP="002850C6">
            <w:pPr>
              <w:spacing w:before="0" w:after="0"/>
              <w:jc w:val="center"/>
              <w:rPr>
                <w:noProof/>
                <w:sz w:val="22"/>
              </w:rPr>
            </w:pPr>
            <w:r w:rsidRPr="002850C6">
              <w:rPr>
                <w:noProof/>
                <w:sz w:val="22"/>
              </w:rPr>
              <w:t>du cadre financier pluriannuel</w:t>
            </w:r>
          </w:p>
        </w:tc>
        <w:tc>
          <w:tcPr>
            <w:tcW w:w="524" w:type="pct"/>
            <w:tcBorders>
              <w:top w:val="nil"/>
              <w:left w:val="nil"/>
              <w:bottom w:val="single" w:sz="8" w:space="0" w:color="auto"/>
              <w:right w:val="single" w:sz="8" w:space="0" w:color="auto"/>
            </w:tcBorders>
            <w:vAlign w:val="center"/>
            <w:hideMark/>
          </w:tcPr>
          <w:p w14:paraId="36320048" w14:textId="77777777" w:rsidR="002850C6" w:rsidRPr="002850C6" w:rsidRDefault="002850C6" w:rsidP="002850C6">
            <w:pPr>
              <w:spacing w:before="0" w:after="0"/>
              <w:rPr>
                <w:noProof/>
                <w:sz w:val="18"/>
                <w:szCs w:val="18"/>
              </w:rPr>
            </w:pPr>
            <w:r w:rsidRPr="002850C6">
              <w:rPr>
                <w:noProof/>
                <w:sz w:val="18"/>
              </w:rPr>
              <w:t>Paiements</w:t>
            </w:r>
          </w:p>
        </w:tc>
        <w:tc>
          <w:tcPr>
            <w:tcW w:w="482" w:type="pct"/>
            <w:tcBorders>
              <w:top w:val="single" w:sz="8" w:space="0" w:color="auto"/>
              <w:left w:val="nil"/>
              <w:bottom w:val="single" w:sz="8" w:space="0" w:color="auto"/>
              <w:right w:val="single" w:sz="8" w:space="0" w:color="auto"/>
            </w:tcBorders>
            <w:vAlign w:val="center"/>
            <w:hideMark/>
          </w:tcPr>
          <w:p w14:paraId="3741A9FE" w14:textId="77777777" w:rsidR="002850C6" w:rsidRPr="002850C6" w:rsidRDefault="002850C6" w:rsidP="002850C6">
            <w:pPr>
              <w:spacing w:before="0" w:after="0"/>
              <w:jc w:val="center"/>
              <w:rPr>
                <w:noProof/>
                <w:sz w:val="14"/>
                <w:szCs w:val="14"/>
              </w:rPr>
            </w:pPr>
            <w:r w:rsidRPr="002850C6">
              <w:rPr>
                <w:noProof/>
                <w:sz w:val="14"/>
              </w:rPr>
              <w:t>=5+6</w:t>
            </w:r>
          </w:p>
        </w:tc>
        <w:tc>
          <w:tcPr>
            <w:tcW w:w="482" w:type="pct"/>
            <w:tcBorders>
              <w:top w:val="nil"/>
              <w:left w:val="nil"/>
              <w:bottom w:val="single" w:sz="8" w:space="0" w:color="auto"/>
              <w:right w:val="single" w:sz="8" w:space="0" w:color="auto"/>
            </w:tcBorders>
            <w:shd w:val="clear" w:color="000000" w:fill="D9D9D9"/>
            <w:vAlign w:val="center"/>
            <w:hideMark/>
          </w:tcPr>
          <w:p w14:paraId="6D2334F6" w14:textId="77777777" w:rsidR="002850C6" w:rsidRPr="002850C6" w:rsidRDefault="002850C6" w:rsidP="002850C6">
            <w:pPr>
              <w:spacing w:before="0" w:after="0"/>
              <w:jc w:val="right"/>
              <w:rPr>
                <w:b/>
                <w:bCs/>
                <w:noProof/>
                <w:sz w:val="20"/>
                <w:szCs w:val="20"/>
              </w:rPr>
            </w:pPr>
            <w:r w:rsidRPr="002850C6">
              <w:rPr>
                <w:b/>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7AB3AA57" w14:textId="77777777" w:rsidR="002850C6" w:rsidRPr="002850C6" w:rsidRDefault="002850C6" w:rsidP="002850C6">
            <w:pPr>
              <w:spacing w:before="0" w:after="0"/>
              <w:jc w:val="right"/>
              <w:rPr>
                <w:b/>
                <w:bCs/>
                <w:noProof/>
                <w:sz w:val="20"/>
                <w:szCs w:val="20"/>
              </w:rPr>
            </w:pPr>
            <w:r w:rsidRPr="002850C6">
              <w:rPr>
                <w:b/>
                <w:noProof/>
                <w:sz w:val="20"/>
              </w:rPr>
              <w:t>0,000</w:t>
            </w:r>
          </w:p>
        </w:tc>
        <w:tc>
          <w:tcPr>
            <w:tcW w:w="482" w:type="pct"/>
            <w:tcBorders>
              <w:top w:val="nil"/>
              <w:left w:val="nil"/>
              <w:bottom w:val="single" w:sz="8" w:space="0" w:color="auto"/>
              <w:right w:val="single" w:sz="8" w:space="0" w:color="auto"/>
            </w:tcBorders>
            <w:shd w:val="clear" w:color="auto" w:fill="D9D9D9" w:themeFill="background1" w:themeFillShade="D9"/>
            <w:vAlign w:val="center"/>
            <w:hideMark/>
          </w:tcPr>
          <w:p w14:paraId="599AB7E0" w14:textId="77777777" w:rsidR="002850C6" w:rsidRPr="002850C6" w:rsidRDefault="002850C6" w:rsidP="002850C6">
            <w:pPr>
              <w:spacing w:before="0" w:after="0"/>
              <w:jc w:val="right"/>
              <w:rPr>
                <w:b/>
                <w:bCs/>
                <w:noProof/>
                <w:sz w:val="20"/>
                <w:szCs w:val="20"/>
              </w:rPr>
            </w:pPr>
            <w:r w:rsidRPr="002850C6">
              <w:rPr>
                <w:b/>
                <w:noProof/>
                <w:sz w:val="20"/>
              </w:rPr>
              <w:t>2,562</w:t>
            </w:r>
          </w:p>
        </w:tc>
        <w:tc>
          <w:tcPr>
            <w:tcW w:w="584" w:type="pct"/>
            <w:tcBorders>
              <w:top w:val="nil"/>
              <w:left w:val="nil"/>
              <w:bottom w:val="single" w:sz="8" w:space="0" w:color="auto"/>
              <w:right w:val="single" w:sz="8" w:space="0" w:color="auto"/>
            </w:tcBorders>
            <w:shd w:val="clear" w:color="auto" w:fill="D9D9D9" w:themeFill="background1" w:themeFillShade="D9"/>
            <w:vAlign w:val="center"/>
            <w:hideMark/>
          </w:tcPr>
          <w:p w14:paraId="1F8CF859" w14:textId="77777777" w:rsidR="002850C6" w:rsidRPr="002850C6" w:rsidRDefault="002850C6" w:rsidP="002850C6">
            <w:pPr>
              <w:spacing w:before="0" w:after="0"/>
              <w:jc w:val="right"/>
              <w:rPr>
                <w:b/>
                <w:bCs/>
                <w:noProof/>
                <w:sz w:val="20"/>
                <w:szCs w:val="20"/>
              </w:rPr>
            </w:pPr>
            <w:r w:rsidRPr="002850C6">
              <w:rPr>
                <w:b/>
                <w:noProof/>
                <w:sz w:val="20"/>
              </w:rPr>
              <w:t>2,562</w:t>
            </w:r>
          </w:p>
        </w:tc>
        <w:tc>
          <w:tcPr>
            <w:tcW w:w="579" w:type="pct"/>
            <w:tcBorders>
              <w:top w:val="nil"/>
              <w:left w:val="nil"/>
              <w:bottom w:val="single" w:sz="8" w:space="0" w:color="auto"/>
              <w:right w:val="single" w:sz="8" w:space="0" w:color="auto"/>
            </w:tcBorders>
            <w:shd w:val="clear" w:color="auto" w:fill="D9D9D9" w:themeFill="background1" w:themeFillShade="D9"/>
            <w:vAlign w:val="center"/>
          </w:tcPr>
          <w:p w14:paraId="7E203E5A" w14:textId="77777777" w:rsidR="002850C6" w:rsidRPr="002850C6" w:rsidRDefault="002850C6" w:rsidP="002850C6">
            <w:pPr>
              <w:spacing w:before="0" w:after="0"/>
              <w:jc w:val="right"/>
              <w:rPr>
                <w:b/>
                <w:bCs/>
                <w:noProof/>
                <w:sz w:val="20"/>
                <w:szCs w:val="20"/>
              </w:rPr>
            </w:pPr>
            <w:r w:rsidRPr="002850C6">
              <w:rPr>
                <w:b/>
                <w:noProof/>
                <w:sz w:val="20"/>
              </w:rPr>
              <w:t>14,894</w:t>
            </w:r>
          </w:p>
        </w:tc>
      </w:tr>
    </w:tbl>
    <w:p w14:paraId="794183D1" w14:textId="77777777" w:rsidR="002850C6" w:rsidRPr="002850C6" w:rsidRDefault="002850C6" w:rsidP="002850C6">
      <w:pPr>
        <w:spacing w:after="40"/>
        <w:rPr>
          <w:noProof/>
          <w:color w:val="008000"/>
        </w:rPr>
      </w:pPr>
    </w:p>
    <w:p w14:paraId="616AD9C4" w14:textId="77777777" w:rsidR="002850C6" w:rsidRPr="002850C6" w:rsidRDefault="002850C6" w:rsidP="002850C6">
      <w:pPr>
        <w:jc w:val="right"/>
        <w:rPr>
          <w:noProof/>
          <w:sz w:val="18"/>
          <w:szCs w:val="18"/>
        </w:rPr>
      </w:pPr>
      <w:r w:rsidRPr="002850C6">
        <w:rPr>
          <w:noProof/>
          <w:sz w:val="18"/>
        </w:rPr>
        <w:t>En Mio EUR (à la 3</w:t>
      </w:r>
      <w:r w:rsidRPr="002850C6">
        <w:rPr>
          <w:noProof/>
          <w:sz w:val="18"/>
          <w:vertAlign w:val="superscript"/>
        </w:rPr>
        <w:t>e</w:t>
      </w:r>
      <w:r w:rsidRPr="002850C6">
        <w:rPr>
          <w:noProof/>
          <w:sz w:val="18"/>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850C6" w:rsidRPr="002850C6" w14:paraId="30D51367" w14:textId="77777777" w:rsidTr="0043630B">
        <w:tc>
          <w:tcPr>
            <w:tcW w:w="1739" w:type="pct"/>
            <w:shd w:val="thinDiagStripe" w:color="C0C0C0" w:fill="auto"/>
            <w:vAlign w:val="center"/>
          </w:tcPr>
          <w:p w14:paraId="5B312352" w14:textId="77777777" w:rsidR="002850C6" w:rsidRPr="002850C6" w:rsidRDefault="002850C6" w:rsidP="002850C6">
            <w:pPr>
              <w:spacing w:before="60" w:after="60"/>
              <w:jc w:val="center"/>
              <w:rPr>
                <w:b/>
                <w:noProof/>
              </w:rPr>
            </w:pPr>
            <w:r w:rsidRPr="002850C6">
              <w:rPr>
                <w:b/>
                <w:noProof/>
                <w:sz w:val="22"/>
              </w:rPr>
              <w:t xml:space="preserve">Rubrique du cadre financier pluriannuel </w:t>
            </w:r>
          </w:p>
        </w:tc>
        <w:tc>
          <w:tcPr>
            <w:tcW w:w="396" w:type="pct"/>
            <w:vAlign w:val="center"/>
          </w:tcPr>
          <w:p w14:paraId="0724E8F1" w14:textId="77777777" w:rsidR="002850C6" w:rsidRPr="002850C6" w:rsidRDefault="002850C6" w:rsidP="002850C6">
            <w:pPr>
              <w:spacing w:before="60" w:after="60"/>
              <w:jc w:val="center"/>
              <w:rPr>
                <w:noProof/>
              </w:rPr>
            </w:pPr>
            <w:r w:rsidRPr="002850C6">
              <w:rPr>
                <w:noProof/>
                <w:sz w:val="22"/>
              </w:rPr>
              <w:t>5</w:t>
            </w:r>
          </w:p>
        </w:tc>
        <w:tc>
          <w:tcPr>
            <w:tcW w:w="2865" w:type="pct"/>
            <w:vAlign w:val="center"/>
          </w:tcPr>
          <w:p w14:paraId="2E092B76" w14:textId="77777777" w:rsidR="002850C6" w:rsidRPr="002850C6" w:rsidRDefault="002850C6" w:rsidP="002850C6">
            <w:pPr>
              <w:spacing w:before="60" w:after="60"/>
              <w:rPr>
                <w:noProof/>
              </w:rPr>
            </w:pPr>
            <w:r w:rsidRPr="002850C6">
              <w:rPr>
                <w:noProof/>
              </w:rPr>
              <w:t xml:space="preserve"> Sécurité et défense</w:t>
            </w:r>
          </w:p>
        </w:tc>
      </w:tr>
    </w:tbl>
    <w:p w14:paraId="79561F78" w14:textId="77777777" w:rsidR="002850C6" w:rsidRPr="002850C6" w:rsidRDefault="002850C6" w:rsidP="002850C6">
      <w:pPr>
        <w:rPr>
          <w:noProof/>
          <w:sz w:val="16"/>
        </w:rPr>
      </w:pPr>
    </w:p>
    <w:tbl>
      <w:tblPr>
        <w:tblW w:w="5000" w:type="pct"/>
        <w:tblLook w:val="04A0" w:firstRow="1" w:lastRow="0" w:firstColumn="1" w:lastColumn="0" w:noHBand="0" w:noVBand="1"/>
      </w:tblPr>
      <w:tblGrid>
        <w:gridCol w:w="3775"/>
        <w:gridCol w:w="1536"/>
        <w:gridCol w:w="1456"/>
        <w:gridCol w:w="1453"/>
        <w:gridCol w:w="1453"/>
        <w:gridCol w:w="1453"/>
        <w:gridCol w:w="1408"/>
        <w:gridCol w:w="1686"/>
      </w:tblGrid>
      <w:tr w:rsidR="002850C6" w:rsidRPr="002850C6" w14:paraId="039C8F3B" w14:textId="77777777" w:rsidTr="0043630B">
        <w:trPr>
          <w:trHeight w:val="420"/>
        </w:trPr>
        <w:tc>
          <w:tcPr>
            <w:tcW w:w="2379"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7802429D" w14:textId="77777777" w:rsidR="002850C6" w:rsidRPr="002850C6" w:rsidRDefault="002850C6" w:rsidP="002850C6">
            <w:pPr>
              <w:spacing w:before="0" w:after="0"/>
              <w:jc w:val="center"/>
              <w:rPr>
                <w:noProof/>
                <w:sz w:val="22"/>
              </w:rPr>
            </w:pPr>
            <w:r w:rsidRPr="002850C6">
              <w:rPr>
                <w:noProof/>
                <w:sz w:val="22"/>
              </w:rPr>
              <w:t>DG DEFIS</w:t>
            </w:r>
          </w:p>
        </w:tc>
        <w:tc>
          <w:tcPr>
            <w:tcW w:w="511" w:type="pct"/>
            <w:tcBorders>
              <w:top w:val="single" w:sz="8" w:space="0" w:color="auto"/>
              <w:left w:val="nil"/>
              <w:bottom w:val="single" w:sz="8" w:space="0" w:color="auto"/>
              <w:right w:val="single" w:sz="8" w:space="0" w:color="auto"/>
            </w:tcBorders>
            <w:vAlign w:val="center"/>
            <w:hideMark/>
          </w:tcPr>
          <w:p w14:paraId="09C28357" w14:textId="77777777" w:rsidR="002850C6" w:rsidRPr="002850C6" w:rsidRDefault="002850C6" w:rsidP="002850C6">
            <w:pPr>
              <w:spacing w:before="0" w:after="0"/>
              <w:jc w:val="center"/>
              <w:rPr>
                <w:noProof/>
                <w:sz w:val="20"/>
                <w:szCs w:val="20"/>
              </w:rPr>
            </w:pPr>
            <w:r w:rsidRPr="002850C6">
              <w:rPr>
                <w:noProof/>
                <w:sz w:val="20"/>
              </w:rPr>
              <w:t>Année</w:t>
            </w:r>
          </w:p>
        </w:tc>
        <w:tc>
          <w:tcPr>
            <w:tcW w:w="511" w:type="pct"/>
            <w:tcBorders>
              <w:top w:val="single" w:sz="8" w:space="0" w:color="auto"/>
              <w:left w:val="nil"/>
              <w:bottom w:val="single" w:sz="8" w:space="0" w:color="auto"/>
              <w:right w:val="single" w:sz="8" w:space="0" w:color="auto"/>
            </w:tcBorders>
            <w:vAlign w:val="center"/>
            <w:hideMark/>
          </w:tcPr>
          <w:p w14:paraId="06354F4A" w14:textId="77777777" w:rsidR="002850C6" w:rsidRPr="002850C6" w:rsidRDefault="002850C6" w:rsidP="002850C6">
            <w:pPr>
              <w:spacing w:before="0" w:after="0"/>
              <w:jc w:val="center"/>
              <w:rPr>
                <w:noProof/>
                <w:sz w:val="20"/>
                <w:szCs w:val="20"/>
              </w:rPr>
            </w:pPr>
            <w:r w:rsidRPr="002850C6">
              <w:rPr>
                <w:noProof/>
                <w:sz w:val="20"/>
              </w:rPr>
              <w:t>Année</w:t>
            </w:r>
          </w:p>
        </w:tc>
        <w:tc>
          <w:tcPr>
            <w:tcW w:w="511" w:type="pct"/>
            <w:tcBorders>
              <w:top w:val="single" w:sz="8" w:space="0" w:color="auto"/>
              <w:left w:val="nil"/>
              <w:bottom w:val="single" w:sz="8" w:space="0" w:color="auto"/>
              <w:right w:val="single" w:sz="8" w:space="0" w:color="auto"/>
            </w:tcBorders>
            <w:vAlign w:val="center"/>
            <w:hideMark/>
          </w:tcPr>
          <w:p w14:paraId="462F8394" w14:textId="77777777" w:rsidR="002850C6" w:rsidRPr="002850C6" w:rsidRDefault="002850C6" w:rsidP="002850C6">
            <w:pPr>
              <w:spacing w:before="0" w:after="0"/>
              <w:jc w:val="center"/>
              <w:rPr>
                <w:noProof/>
                <w:sz w:val="20"/>
                <w:szCs w:val="20"/>
              </w:rPr>
            </w:pPr>
            <w:r w:rsidRPr="002850C6">
              <w:rPr>
                <w:noProof/>
                <w:sz w:val="20"/>
              </w:rPr>
              <w:t>Année</w:t>
            </w:r>
          </w:p>
        </w:tc>
        <w:tc>
          <w:tcPr>
            <w:tcW w:w="495" w:type="pct"/>
            <w:tcBorders>
              <w:top w:val="single" w:sz="8" w:space="0" w:color="auto"/>
              <w:left w:val="nil"/>
              <w:bottom w:val="single" w:sz="8" w:space="0" w:color="auto"/>
              <w:right w:val="single" w:sz="8" w:space="0" w:color="auto"/>
            </w:tcBorders>
            <w:vAlign w:val="center"/>
            <w:hideMark/>
          </w:tcPr>
          <w:p w14:paraId="27D7995D" w14:textId="77777777" w:rsidR="002850C6" w:rsidRPr="002850C6" w:rsidRDefault="002850C6" w:rsidP="002850C6">
            <w:pPr>
              <w:spacing w:before="0" w:after="0"/>
              <w:jc w:val="center"/>
              <w:rPr>
                <w:noProof/>
                <w:sz w:val="20"/>
                <w:szCs w:val="20"/>
              </w:rPr>
            </w:pPr>
            <w:r w:rsidRPr="002850C6">
              <w:rPr>
                <w:noProof/>
                <w:sz w:val="20"/>
              </w:rPr>
              <w:t>Année</w:t>
            </w:r>
          </w:p>
        </w:tc>
        <w:tc>
          <w:tcPr>
            <w:tcW w:w="592" w:type="pct"/>
            <w:vMerge w:val="restart"/>
            <w:tcBorders>
              <w:top w:val="single" w:sz="8" w:space="0" w:color="auto"/>
              <w:left w:val="single" w:sz="8" w:space="0" w:color="auto"/>
              <w:bottom w:val="single" w:sz="8" w:space="0" w:color="auto"/>
              <w:right w:val="single" w:sz="8" w:space="0" w:color="auto"/>
            </w:tcBorders>
            <w:vAlign w:val="center"/>
            <w:hideMark/>
          </w:tcPr>
          <w:p w14:paraId="15233B09" w14:textId="77777777" w:rsidR="002850C6" w:rsidRPr="002850C6" w:rsidRDefault="002850C6" w:rsidP="002850C6">
            <w:pPr>
              <w:spacing w:before="0" w:after="0"/>
              <w:jc w:val="center"/>
              <w:rPr>
                <w:b/>
                <w:bCs/>
                <w:noProof/>
                <w:sz w:val="20"/>
                <w:szCs w:val="20"/>
              </w:rPr>
            </w:pPr>
            <w:r w:rsidRPr="002850C6">
              <w:rPr>
                <w:b/>
                <w:noProof/>
                <w:sz w:val="20"/>
              </w:rPr>
              <w:t>TOTAL CFP 2021-2027</w:t>
            </w:r>
          </w:p>
        </w:tc>
      </w:tr>
      <w:tr w:rsidR="002850C6" w:rsidRPr="002850C6" w14:paraId="10A84EF9" w14:textId="77777777" w:rsidTr="0043630B">
        <w:trPr>
          <w:trHeight w:val="288"/>
        </w:trPr>
        <w:tc>
          <w:tcPr>
            <w:tcW w:w="2379" w:type="pct"/>
            <w:gridSpan w:val="3"/>
            <w:vMerge/>
            <w:tcBorders>
              <w:top w:val="single" w:sz="8" w:space="0" w:color="auto"/>
              <w:left w:val="single" w:sz="8" w:space="0" w:color="auto"/>
              <w:bottom w:val="single" w:sz="8" w:space="0" w:color="auto"/>
              <w:right w:val="single" w:sz="8" w:space="0" w:color="auto"/>
            </w:tcBorders>
            <w:vAlign w:val="center"/>
            <w:hideMark/>
          </w:tcPr>
          <w:p w14:paraId="282F7E70" w14:textId="77777777" w:rsidR="002850C6" w:rsidRPr="002850C6" w:rsidRDefault="002850C6" w:rsidP="002850C6">
            <w:pPr>
              <w:spacing w:before="0" w:after="0"/>
              <w:jc w:val="left"/>
              <w:rPr>
                <w:noProof/>
                <w:sz w:val="22"/>
                <w:lang w:eastAsia="en-IE"/>
              </w:rPr>
            </w:pPr>
          </w:p>
        </w:tc>
        <w:tc>
          <w:tcPr>
            <w:tcW w:w="511" w:type="pct"/>
            <w:tcBorders>
              <w:top w:val="nil"/>
              <w:left w:val="nil"/>
              <w:bottom w:val="single" w:sz="8" w:space="0" w:color="auto"/>
              <w:right w:val="single" w:sz="8" w:space="0" w:color="auto"/>
            </w:tcBorders>
            <w:vAlign w:val="center"/>
            <w:hideMark/>
          </w:tcPr>
          <w:p w14:paraId="41124469" w14:textId="77777777" w:rsidR="002850C6" w:rsidRPr="002850C6" w:rsidRDefault="002850C6" w:rsidP="002850C6">
            <w:pPr>
              <w:spacing w:before="0" w:after="0"/>
              <w:jc w:val="center"/>
              <w:rPr>
                <w:b/>
                <w:bCs/>
                <w:noProof/>
                <w:sz w:val="20"/>
                <w:szCs w:val="20"/>
              </w:rPr>
            </w:pPr>
            <w:r w:rsidRPr="002850C6">
              <w:rPr>
                <w:b/>
                <w:noProof/>
                <w:sz w:val="20"/>
              </w:rPr>
              <w:t>2024</w:t>
            </w:r>
          </w:p>
        </w:tc>
        <w:tc>
          <w:tcPr>
            <w:tcW w:w="511" w:type="pct"/>
            <w:tcBorders>
              <w:top w:val="nil"/>
              <w:left w:val="nil"/>
              <w:bottom w:val="single" w:sz="8" w:space="0" w:color="auto"/>
              <w:right w:val="single" w:sz="8" w:space="0" w:color="auto"/>
            </w:tcBorders>
            <w:vAlign w:val="center"/>
            <w:hideMark/>
          </w:tcPr>
          <w:p w14:paraId="74D7530C" w14:textId="77777777" w:rsidR="002850C6" w:rsidRPr="002850C6" w:rsidRDefault="002850C6" w:rsidP="002850C6">
            <w:pPr>
              <w:spacing w:before="0" w:after="0"/>
              <w:jc w:val="center"/>
              <w:rPr>
                <w:b/>
                <w:bCs/>
                <w:noProof/>
                <w:sz w:val="20"/>
                <w:szCs w:val="20"/>
              </w:rPr>
            </w:pPr>
            <w:r w:rsidRPr="002850C6">
              <w:rPr>
                <w:b/>
                <w:noProof/>
                <w:sz w:val="20"/>
              </w:rPr>
              <w:t>2025</w:t>
            </w:r>
          </w:p>
        </w:tc>
        <w:tc>
          <w:tcPr>
            <w:tcW w:w="511" w:type="pct"/>
            <w:tcBorders>
              <w:top w:val="nil"/>
              <w:left w:val="nil"/>
              <w:bottom w:val="single" w:sz="8" w:space="0" w:color="auto"/>
              <w:right w:val="single" w:sz="8" w:space="0" w:color="auto"/>
            </w:tcBorders>
            <w:vAlign w:val="center"/>
            <w:hideMark/>
          </w:tcPr>
          <w:p w14:paraId="0399EA93" w14:textId="77777777" w:rsidR="002850C6" w:rsidRPr="002850C6" w:rsidRDefault="002850C6" w:rsidP="002850C6">
            <w:pPr>
              <w:spacing w:before="0" w:after="0"/>
              <w:jc w:val="center"/>
              <w:rPr>
                <w:b/>
                <w:bCs/>
                <w:noProof/>
                <w:sz w:val="20"/>
                <w:szCs w:val="20"/>
              </w:rPr>
            </w:pPr>
            <w:r w:rsidRPr="002850C6">
              <w:rPr>
                <w:b/>
                <w:noProof/>
                <w:sz w:val="20"/>
              </w:rPr>
              <w:t>2026</w:t>
            </w:r>
          </w:p>
        </w:tc>
        <w:tc>
          <w:tcPr>
            <w:tcW w:w="495" w:type="pct"/>
            <w:tcBorders>
              <w:top w:val="nil"/>
              <w:left w:val="nil"/>
              <w:bottom w:val="single" w:sz="8" w:space="0" w:color="auto"/>
              <w:right w:val="single" w:sz="8" w:space="0" w:color="auto"/>
            </w:tcBorders>
            <w:vAlign w:val="center"/>
            <w:hideMark/>
          </w:tcPr>
          <w:p w14:paraId="42C8BC94" w14:textId="77777777" w:rsidR="002850C6" w:rsidRPr="002850C6" w:rsidRDefault="002850C6" w:rsidP="002850C6">
            <w:pPr>
              <w:spacing w:before="0" w:after="0"/>
              <w:jc w:val="center"/>
              <w:rPr>
                <w:b/>
                <w:bCs/>
                <w:noProof/>
                <w:sz w:val="20"/>
                <w:szCs w:val="20"/>
              </w:rPr>
            </w:pPr>
            <w:r w:rsidRPr="002850C6">
              <w:rPr>
                <w:b/>
                <w:noProof/>
                <w:sz w:val="20"/>
              </w:rPr>
              <w:t>2027</w:t>
            </w:r>
          </w:p>
        </w:tc>
        <w:tc>
          <w:tcPr>
            <w:tcW w:w="592" w:type="pct"/>
            <w:vMerge/>
            <w:tcBorders>
              <w:top w:val="single" w:sz="8" w:space="0" w:color="auto"/>
              <w:left w:val="single" w:sz="8" w:space="0" w:color="auto"/>
              <w:bottom w:val="single" w:sz="8" w:space="0" w:color="auto"/>
              <w:right w:val="single" w:sz="8" w:space="0" w:color="auto"/>
            </w:tcBorders>
            <w:vAlign w:val="center"/>
            <w:hideMark/>
          </w:tcPr>
          <w:p w14:paraId="29F755EE" w14:textId="77777777" w:rsidR="002850C6" w:rsidRPr="002850C6" w:rsidRDefault="002850C6" w:rsidP="002850C6">
            <w:pPr>
              <w:spacing w:before="0" w:after="0"/>
              <w:jc w:val="left"/>
              <w:rPr>
                <w:b/>
                <w:bCs/>
                <w:noProof/>
                <w:sz w:val="20"/>
                <w:szCs w:val="20"/>
                <w:lang w:eastAsia="en-IE"/>
              </w:rPr>
            </w:pPr>
          </w:p>
        </w:tc>
      </w:tr>
      <w:tr w:rsidR="002850C6" w:rsidRPr="002850C6" w14:paraId="7451ABE9" w14:textId="77777777" w:rsidTr="0043630B">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23EA7330" w14:textId="77777777" w:rsidR="002850C6" w:rsidRPr="002850C6" w:rsidRDefault="002850C6" w:rsidP="002850C6">
            <w:pPr>
              <w:spacing w:before="0" w:after="0"/>
              <w:jc w:val="left"/>
              <w:rPr>
                <w:noProof/>
                <w:sz w:val="21"/>
                <w:szCs w:val="21"/>
              </w:rPr>
            </w:pPr>
            <w:r w:rsidRPr="002850C6">
              <w:rPr>
                <w:noProof/>
                <w:sz w:val="21"/>
              </w:rPr>
              <w:t xml:space="preserve">Crédits opérationnels </w:t>
            </w:r>
          </w:p>
        </w:tc>
      </w:tr>
      <w:tr w:rsidR="002850C6" w:rsidRPr="002850C6" w14:paraId="75D44FEE" w14:textId="77777777" w:rsidTr="0043630B">
        <w:trPr>
          <w:trHeight w:val="288"/>
        </w:trPr>
        <w:tc>
          <w:tcPr>
            <w:tcW w:w="1327" w:type="pct"/>
            <w:vMerge w:val="restart"/>
            <w:tcBorders>
              <w:top w:val="nil"/>
              <w:left w:val="single" w:sz="8" w:space="0" w:color="auto"/>
              <w:bottom w:val="single" w:sz="8" w:space="0" w:color="auto"/>
              <w:right w:val="single" w:sz="8" w:space="0" w:color="auto"/>
            </w:tcBorders>
            <w:noWrap/>
            <w:vAlign w:val="center"/>
            <w:hideMark/>
          </w:tcPr>
          <w:p w14:paraId="7C3D01AD" w14:textId="77777777" w:rsidR="002850C6" w:rsidRPr="002850C6" w:rsidRDefault="002850C6" w:rsidP="002850C6">
            <w:pPr>
              <w:spacing w:before="0" w:after="0"/>
              <w:jc w:val="left"/>
              <w:rPr>
                <w:noProof/>
                <w:sz w:val="22"/>
              </w:rPr>
            </w:pPr>
            <w:r w:rsidRPr="002850C6">
              <w:rPr>
                <w:noProof/>
                <w:sz w:val="22"/>
              </w:rPr>
              <w:t>Ligne budgétaire: 13.08.01 EDIP</w:t>
            </w:r>
          </w:p>
        </w:tc>
        <w:tc>
          <w:tcPr>
            <w:tcW w:w="540" w:type="pct"/>
            <w:tcBorders>
              <w:top w:val="nil"/>
              <w:left w:val="nil"/>
              <w:bottom w:val="single" w:sz="8" w:space="0" w:color="auto"/>
              <w:right w:val="single" w:sz="8" w:space="0" w:color="auto"/>
            </w:tcBorders>
            <w:vAlign w:val="center"/>
            <w:hideMark/>
          </w:tcPr>
          <w:p w14:paraId="4B7649C0" w14:textId="77777777" w:rsidR="002850C6" w:rsidRPr="002850C6" w:rsidRDefault="002850C6" w:rsidP="002850C6">
            <w:pPr>
              <w:spacing w:before="0" w:after="0"/>
              <w:rPr>
                <w:noProof/>
                <w:sz w:val="18"/>
                <w:szCs w:val="18"/>
              </w:rPr>
            </w:pPr>
            <w:r w:rsidRPr="002850C6">
              <w:rPr>
                <w:noProof/>
                <w:sz w:val="18"/>
              </w:rPr>
              <w:t>Engagements</w:t>
            </w:r>
          </w:p>
        </w:tc>
        <w:tc>
          <w:tcPr>
            <w:tcW w:w="511" w:type="pct"/>
            <w:tcBorders>
              <w:top w:val="single" w:sz="8" w:space="0" w:color="auto"/>
              <w:left w:val="nil"/>
              <w:bottom w:val="single" w:sz="8" w:space="0" w:color="auto"/>
              <w:right w:val="single" w:sz="8" w:space="0" w:color="auto"/>
            </w:tcBorders>
            <w:vAlign w:val="center"/>
            <w:hideMark/>
          </w:tcPr>
          <w:p w14:paraId="13F826FD" w14:textId="77777777" w:rsidR="002850C6" w:rsidRPr="002850C6" w:rsidRDefault="002850C6" w:rsidP="002850C6">
            <w:pPr>
              <w:spacing w:before="0" w:after="0"/>
              <w:jc w:val="center"/>
              <w:rPr>
                <w:noProof/>
                <w:sz w:val="14"/>
                <w:szCs w:val="14"/>
              </w:rPr>
            </w:pPr>
            <w:r w:rsidRPr="002850C6">
              <w:rPr>
                <w:noProof/>
                <w:sz w:val="14"/>
              </w:rPr>
              <w:t>(1a)</w:t>
            </w:r>
          </w:p>
        </w:tc>
        <w:tc>
          <w:tcPr>
            <w:tcW w:w="511" w:type="pct"/>
            <w:tcBorders>
              <w:top w:val="nil"/>
              <w:left w:val="nil"/>
              <w:bottom w:val="single" w:sz="8" w:space="0" w:color="auto"/>
              <w:right w:val="single" w:sz="8" w:space="0" w:color="auto"/>
            </w:tcBorders>
            <w:vAlign w:val="center"/>
            <w:hideMark/>
          </w:tcPr>
          <w:p w14:paraId="31FC8264"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3F22FEEF"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3C9AF10A" w14:textId="77777777" w:rsidR="002850C6" w:rsidRPr="002850C6" w:rsidRDefault="002850C6" w:rsidP="002850C6">
            <w:pPr>
              <w:spacing w:before="0" w:after="0"/>
              <w:jc w:val="right"/>
              <w:rPr>
                <w:noProof/>
                <w:sz w:val="20"/>
                <w:szCs w:val="20"/>
              </w:rPr>
            </w:pPr>
            <w:r w:rsidRPr="002850C6">
              <w:rPr>
                <w:noProof/>
                <w:sz w:val="20"/>
              </w:rPr>
              <w:t>0 </w:t>
            </w:r>
          </w:p>
        </w:tc>
        <w:tc>
          <w:tcPr>
            <w:tcW w:w="495" w:type="pct"/>
            <w:tcBorders>
              <w:top w:val="nil"/>
              <w:left w:val="nil"/>
              <w:bottom w:val="single" w:sz="8" w:space="0" w:color="auto"/>
              <w:right w:val="single" w:sz="8" w:space="0" w:color="auto"/>
            </w:tcBorders>
            <w:vAlign w:val="center"/>
            <w:hideMark/>
          </w:tcPr>
          <w:p w14:paraId="1F1DDAC9" w14:textId="77777777" w:rsidR="002850C6" w:rsidRPr="002850C6" w:rsidRDefault="002850C6" w:rsidP="002850C6">
            <w:pPr>
              <w:spacing w:before="0" w:after="0"/>
              <w:jc w:val="right"/>
              <w:rPr>
                <w:noProof/>
                <w:sz w:val="20"/>
                <w:szCs w:val="20"/>
              </w:rPr>
            </w:pPr>
            <w:r w:rsidRPr="002850C6">
              <w:rPr>
                <w:noProof/>
                <w:sz w:val="20"/>
              </w:rPr>
              <w:t>2,500</w:t>
            </w:r>
          </w:p>
        </w:tc>
        <w:tc>
          <w:tcPr>
            <w:tcW w:w="592" w:type="pct"/>
            <w:tcBorders>
              <w:top w:val="nil"/>
              <w:left w:val="nil"/>
              <w:bottom w:val="single" w:sz="8" w:space="0" w:color="auto"/>
              <w:right w:val="single" w:sz="8" w:space="0" w:color="auto"/>
            </w:tcBorders>
            <w:shd w:val="clear" w:color="000000" w:fill="D9D9D9"/>
            <w:vAlign w:val="center"/>
            <w:hideMark/>
          </w:tcPr>
          <w:p w14:paraId="575F15CD" w14:textId="77777777" w:rsidR="002850C6" w:rsidRPr="002850C6" w:rsidRDefault="002850C6" w:rsidP="002850C6">
            <w:pPr>
              <w:spacing w:before="0" w:after="0"/>
              <w:jc w:val="right"/>
              <w:rPr>
                <w:b/>
                <w:bCs/>
                <w:noProof/>
                <w:sz w:val="20"/>
                <w:szCs w:val="20"/>
              </w:rPr>
            </w:pPr>
            <w:r w:rsidRPr="002850C6">
              <w:rPr>
                <w:b/>
                <w:noProof/>
                <w:sz w:val="20"/>
              </w:rPr>
              <w:t>2,500</w:t>
            </w:r>
          </w:p>
        </w:tc>
      </w:tr>
      <w:tr w:rsidR="002850C6" w:rsidRPr="002850C6" w14:paraId="32B2C081" w14:textId="77777777" w:rsidTr="0043630B">
        <w:trPr>
          <w:trHeight w:val="315"/>
        </w:trPr>
        <w:tc>
          <w:tcPr>
            <w:tcW w:w="1327" w:type="pct"/>
            <w:vMerge/>
            <w:tcBorders>
              <w:top w:val="nil"/>
              <w:left w:val="single" w:sz="8" w:space="0" w:color="auto"/>
              <w:bottom w:val="single" w:sz="8" w:space="0" w:color="auto"/>
              <w:right w:val="single" w:sz="8" w:space="0" w:color="auto"/>
            </w:tcBorders>
            <w:vAlign w:val="center"/>
            <w:hideMark/>
          </w:tcPr>
          <w:p w14:paraId="6D0B6454" w14:textId="77777777" w:rsidR="002850C6" w:rsidRPr="002850C6" w:rsidRDefault="002850C6" w:rsidP="002850C6">
            <w:pPr>
              <w:spacing w:before="0" w:after="0"/>
              <w:jc w:val="left"/>
              <w:rPr>
                <w:noProof/>
                <w:sz w:val="22"/>
                <w:lang w:eastAsia="en-IE"/>
              </w:rPr>
            </w:pPr>
          </w:p>
        </w:tc>
        <w:tc>
          <w:tcPr>
            <w:tcW w:w="540" w:type="pct"/>
            <w:tcBorders>
              <w:top w:val="nil"/>
              <w:left w:val="nil"/>
              <w:bottom w:val="single" w:sz="8" w:space="0" w:color="auto"/>
              <w:right w:val="single" w:sz="8" w:space="0" w:color="auto"/>
            </w:tcBorders>
            <w:vAlign w:val="center"/>
            <w:hideMark/>
          </w:tcPr>
          <w:p w14:paraId="6914E8EB" w14:textId="77777777" w:rsidR="002850C6" w:rsidRPr="002850C6" w:rsidRDefault="002850C6" w:rsidP="002850C6">
            <w:pPr>
              <w:spacing w:before="0" w:after="0"/>
              <w:rPr>
                <w:noProof/>
                <w:sz w:val="18"/>
                <w:szCs w:val="18"/>
              </w:rPr>
            </w:pPr>
            <w:r w:rsidRPr="002850C6">
              <w:rPr>
                <w:noProof/>
                <w:sz w:val="18"/>
              </w:rPr>
              <w:t>Paiements</w:t>
            </w:r>
          </w:p>
        </w:tc>
        <w:tc>
          <w:tcPr>
            <w:tcW w:w="511" w:type="pct"/>
            <w:tcBorders>
              <w:top w:val="single" w:sz="8" w:space="0" w:color="auto"/>
              <w:left w:val="nil"/>
              <w:bottom w:val="single" w:sz="8" w:space="0" w:color="auto"/>
              <w:right w:val="single" w:sz="8" w:space="0" w:color="auto"/>
            </w:tcBorders>
            <w:vAlign w:val="center"/>
            <w:hideMark/>
          </w:tcPr>
          <w:p w14:paraId="623869B1" w14:textId="77777777" w:rsidR="002850C6" w:rsidRPr="002850C6" w:rsidRDefault="002850C6" w:rsidP="002850C6">
            <w:pPr>
              <w:spacing w:before="0" w:after="0"/>
              <w:jc w:val="center"/>
              <w:rPr>
                <w:noProof/>
                <w:sz w:val="14"/>
                <w:szCs w:val="14"/>
              </w:rPr>
            </w:pPr>
            <w:r w:rsidRPr="002850C6">
              <w:rPr>
                <w:noProof/>
                <w:sz w:val="14"/>
              </w:rPr>
              <w:t>(2a)</w:t>
            </w:r>
          </w:p>
        </w:tc>
        <w:tc>
          <w:tcPr>
            <w:tcW w:w="511" w:type="pct"/>
            <w:tcBorders>
              <w:top w:val="nil"/>
              <w:left w:val="nil"/>
              <w:bottom w:val="single" w:sz="8" w:space="0" w:color="auto"/>
              <w:right w:val="single" w:sz="8" w:space="0" w:color="auto"/>
            </w:tcBorders>
            <w:vAlign w:val="center"/>
            <w:hideMark/>
          </w:tcPr>
          <w:p w14:paraId="293BA1D7"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6FBC7637"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2C101644" w14:textId="77777777" w:rsidR="002850C6" w:rsidRPr="002850C6" w:rsidRDefault="002850C6" w:rsidP="002850C6">
            <w:pPr>
              <w:spacing w:before="0" w:after="0"/>
              <w:jc w:val="right"/>
              <w:rPr>
                <w:noProof/>
                <w:sz w:val="20"/>
                <w:szCs w:val="20"/>
              </w:rPr>
            </w:pPr>
            <w:r w:rsidRPr="002850C6">
              <w:rPr>
                <w:noProof/>
                <w:sz w:val="20"/>
              </w:rPr>
              <w:t>0</w:t>
            </w:r>
          </w:p>
        </w:tc>
        <w:tc>
          <w:tcPr>
            <w:tcW w:w="495" w:type="pct"/>
            <w:tcBorders>
              <w:top w:val="nil"/>
              <w:left w:val="nil"/>
              <w:bottom w:val="single" w:sz="8" w:space="0" w:color="auto"/>
              <w:right w:val="single" w:sz="8" w:space="0" w:color="auto"/>
            </w:tcBorders>
            <w:vAlign w:val="center"/>
            <w:hideMark/>
          </w:tcPr>
          <w:p w14:paraId="0032F2F8" w14:textId="77777777" w:rsidR="002850C6" w:rsidRPr="002850C6" w:rsidRDefault="002850C6" w:rsidP="002850C6">
            <w:pPr>
              <w:spacing w:before="0" w:after="0"/>
              <w:jc w:val="right"/>
              <w:rPr>
                <w:noProof/>
                <w:sz w:val="20"/>
                <w:szCs w:val="20"/>
              </w:rPr>
            </w:pPr>
            <w:r w:rsidRPr="002850C6">
              <w:rPr>
                <w:noProof/>
                <w:sz w:val="20"/>
              </w:rPr>
              <w:t>2,500</w:t>
            </w:r>
          </w:p>
        </w:tc>
        <w:tc>
          <w:tcPr>
            <w:tcW w:w="592" w:type="pct"/>
            <w:tcBorders>
              <w:top w:val="nil"/>
              <w:left w:val="nil"/>
              <w:bottom w:val="single" w:sz="8" w:space="0" w:color="auto"/>
              <w:right w:val="single" w:sz="8" w:space="0" w:color="auto"/>
            </w:tcBorders>
            <w:shd w:val="clear" w:color="000000" w:fill="D9D9D9"/>
            <w:vAlign w:val="center"/>
            <w:hideMark/>
          </w:tcPr>
          <w:p w14:paraId="3D9FB36A" w14:textId="77777777" w:rsidR="002850C6" w:rsidRPr="002850C6" w:rsidRDefault="002850C6" w:rsidP="002850C6">
            <w:pPr>
              <w:spacing w:before="0" w:after="0"/>
              <w:jc w:val="right"/>
              <w:rPr>
                <w:b/>
                <w:bCs/>
                <w:noProof/>
                <w:sz w:val="20"/>
                <w:szCs w:val="20"/>
              </w:rPr>
            </w:pPr>
            <w:r w:rsidRPr="002850C6">
              <w:rPr>
                <w:b/>
                <w:noProof/>
                <w:sz w:val="20"/>
              </w:rPr>
              <w:t>2,500</w:t>
            </w:r>
          </w:p>
        </w:tc>
      </w:tr>
      <w:tr w:rsidR="002850C6" w:rsidRPr="002850C6" w14:paraId="3F038E40" w14:textId="77777777" w:rsidTr="0043630B">
        <w:trPr>
          <w:trHeight w:val="315"/>
        </w:trPr>
        <w:tc>
          <w:tcPr>
            <w:tcW w:w="1327" w:type="pct"/>
            <w:vMerge w:val="restart"/>
            <w:tcBorders>
              <w:top w:val="nil"/>
              <w:left w:val="single" w:sz="8" w:space="0" w:color="auto"/>
              <w:bottom w:val="single" w:sz="8" w:space="0" w:color="auto"/>
              <w:right w:val="single" w:sz="8" w:space="0" w:color="auto"/>
            </w:tcBorders>
            <w:vAlign w:val="center"/>
            <w:hideMark/>
          </w:tcPr>
          <w:p w14:paraId="0E8FD24F" w14:textId="77777777" w:rsidR="002850C6" w:rsidRPr="002850C6" w:rsidRDefault="002850C6" w:rsidP="002850C6">
            <w:pPr>
              <w:spacing w:before="0" w:after="0"/>
              <w:rPr>
                <w:noProof/>
                <w:sz w:val="20"/>
                <w:szCs w:val="20"/>
              </w:rPr>
            </w:pPr>
            <w:r w:rsidRPr="002850C6">
              <w:rPr>
                <w:noProof/>
                <w:sz w:val="20"/>
              </w:rPr>
              <w:t xml:space="preserve">Ligne budgétaire </w:t>
            </w:r>
          </w:p>
        </w:tc>
        <w:tc>
          <w:tcPr>
            <w:tcW w:w="540" w:type="pct"/>
            <w:tcBorders>
              <w:top w:val="nil"/>
              <w:left w:val="nil"/>
              <w:bottom w:val="single" w:sz="8" w:space="0" w:color="auto"/>
              <w:right w:val="single" w:sz="8" w:space="0" w:color="auto"/>
            </w:tcBorders>
            <w:vAlign w:val="center"/>
            <w:hideMark/>
          </w:tcPr>
          <w:p w14:paraId="3E83D214" w14:textId="77777777" w:rsidR="002850C6" w:rsidRPr="002850C6" w:rsidRDefault="002850C6" w:rsidP="002850C6">
            <w:pPr>
              <w:spacing w:before="0" w:after="0"/>
              <w:rPr>
                <w:noProof/>
                <w:sz w:val="18"/>
                <w:szCs w:val="18"/>
              </w:rPr>
            </w:pPr>
            <w:r w:rsidRPr="002850C6">
              <w:rPr>
                <w:noProof/>
                <w:sz w:val="18"/>
              </w:rPr>
              <w:t>Engagements</w:t>
            </w:r>
          </w:p>
        </w:tc>
        <w:tc>
          <w:tcPr>
            <w:tcW w:w="511" w:type="pct"/>
            <w:tcBorders>
              <w:top w:val="single" w:sz="8" w:space="0" w:color="auto"/>
              <w:left w:val="nil"/>
              <w:bottom w:val="single" w:sz="8" w:space="0" w:color="auto"/>
              <w:right w:val="single" w:sz="8" w:space="0" w:color="auto"/>
            </w:tcBorders>
            <w:vAlign w:val="center"/>
            <w:hideMark/>
          </w:tcPr>
          <w:p w14:paraId="621F17A4" w14:textId="77777777" w:rsidR="002850C6" w:rsidRPr="002850C6" w:rsidRDefault="002850C6" w:rsidP="002850C6">
            <w:pPr>
              <w:spacing w:before="0" w:after="0"/>
              <w:jc w:val="center"/>
              <w:rPr>
                <w:noProof/>
                <w:sz w:val="14"/>
                <w:szCs w:val="14"/>
              </w:rPr>
            </w:pPr>
            <w:r w:rsidRPr="002850C6">
              <w:rPr>
                <w:noProof/>
                <w:sz w:val="14"/>
              </w:rPr>
              <w:t>(1b)</w:t>
            </w:r>
          </w:p>
        </w:tc>
        <w:tc>
          <w:tcPr>
            <w:tcW w:w="511" w:type="pct"/>
            <w:tcBorders>
              <w:top w:val="nil"/>
              <w:left w:val="nil"/>
              <w:bottom w:val="single" w:sz="8" w:space="0" w:color="auto"/>
              <w:right w:val="single" w:sz="8" w:space="0" w:color="auto"/>
            </w:tcBorders>
            <w:vAlign w:val="center"/>
            <w:hideMark/>
          </w:tcPr>
          <w:p w14:paraId="5DDAC844"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2D41C2CE"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4EDB141B"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495" w:type="pct"/>
            <w:tcBorders>
              <w:top w:val="nil"/>
              <w:left w:val="nil"/>
              <w:bottom w:val="single" w:sz="8" w:space="0" w:color="auto"/>
              <w:right w:val="single" w:sz="8" w:space="0" w:color="auto"/>
            </w:tcBorders>
            <w:vAlign w:val="center"/>
            <w:hideMark/>
          </w:tcPr>
          <w:p w14:paraId="459F1D49" w14:textId="77777777" w:rsidR="002850C6" w:rsidRPr="002850C6" w:rsidRDefault="002850C6" w:rsidP="002850C6">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000000" w:fill="D9D9D9"/>
            <w:vAlign w:val="center"/>
            <w:hideMark/>
          </w:tcPr>
          <w:p w14:paraId="04334C52" w14:textId="77777777" w:rsidR="002850C6" w:rsidRPr="002850C6" w:rsidRDefault="002850C6" w:rsidP="002850C6">
            <w:pPr>
              <w:spacing w:before="0" w:after="0"/>
              <w:jc w:val="right"/>
              <w:rPr>
                <w:b/>
                <w:bCs/>
                <w:noProof/>
                <w:sz w:val="20"/>
                <w:szCs w:val="20"/>
                <w:lang w:eastAsia="en-IE"/>
              </w:rPr>
            </w:pPr>
          </w:p>
        </w:tc>
      </w:tr>
      <w:tr w:rsidR="002850C6" w:rsidRPr="002850C6" w14:paraId="2B9620FF" w14:textId="77777777" w:rsidTr="0043630B">
        <w:trPr>
          <w:trHeight w:val="315"/>
        </w:trPr>
        <w:tc>
          <w:tcPr>
            <w:tcW w:w="1327" w:type="pct"/>
            <w:vMerge/>
            <w:tcBorders>
              <w:top w:val="nil"/>
              <w:left w:val="single" w:sz="8" w:space="0" w:color="auto"/>
              <w:bottom w:val="single" w:sz="8" w:space="0" w:color="auto"/>
              <w:right w:val="single" w:sz="8" w:space="0" w:color="auto"/>
            </w:tcBorders>
            <w:vAlign w:val="center"/>
            <w:hideMark/>
          </w:tcPr>
          <w:p w14:paraId="06750A64" w14:textId="77777777" w:rsidR="002850C6" w:rsidRPr="002850C6" w:rsidRDefault="002850C6" w:rsidP="002850C6">
            <w:pPr>
              <w:spacing w:before="0" w:after="0"/>
              <w:jc w:val="left"/>
              <w:rPr>
                <w:noProof/>
                <w:sz w:val="20"/>
                <w:szCs w:val="20"/>
                <w:lang w:eastAsia="en-IE"/>
              </w:rPr>
            </w:pPr>
          </w:p>
        </w:tc>
        <w:tc>
          <w:tcPr>
            <w:tcW w:w="540" w:type="pct"/>
            <w:tcBorders>
              <w:top w:val="nil"/>
              <w:left w:val="nil"/>
              <w:bottom w:val="single" w:sz="8" w:space="0" w:color="auto"/>
              <w:right w:val="single" w:sz="8" w:space="0" w:color="auto"/>
            </w:tcBorders>
            <w:vAlign w:val="center"/>
            <w:hideMark/>
          </w:tcPr>
          <w:p w14:paraId="531C4956" w14:textId="77777777" w:rsidR="002850C6" w:rsidRPr="002850C6" w:rsidRDefault="002850C6" w:rsidP="002850C6">
            <w:pPr>
              <w:spacing w:before="0" w:after="0"/>
              <w:rPr>
                <w:noProof/>
                <w:sz w:val="18"/>
                <w:szCs w:val="18"/>
              </w:rPr>
            </w:pPr>
            <w:r w:rsidRPr="002850C6">
              <w:rPr>
                <w:noProof/>
                <w:sz w:val="18"/>
              </w:rPr>
              <w:t>Paiements</w:t>
            </w:r>
          </w:p>
        </w:tc>
        <w:tc>
          <w:tcPr>
            <w:tcW w:w="511" w:type="pct"/>
            <w:tcBorders>
              <w:top w:val="single" w:sz="8" w:space="0" w:color="auto"/>
              <w:left w:val="nil"/>
              <w:bottom w:val="single" w:sz="8" w:space="0" w:color="auto"/>
              <w:right w:val="single" w:sz="8" w:space="0" w:color="auto"/>
            </w:tcBorders>
            <w:vAlign w:val="center"/>
            <w:hideMark/>
          </w:tcPr>
          <w:p w14:paraId="7F364C1E" w14:textId="77777777" w:rsidR="002850C6" w:rsidRPr="002850C6" w:rsidRDefault="002850C6" w:rsidP="002850C6">
            <w:pPr>
              <w:spacing w:before="0" w:after="0"/>
              <w:jc w:val="center"/>
              <w:rPr>
                <w:noProof/>
                <w:sz w:val="14"/>
                <w:szCs w:val="14"/>
              </w:rPr>
            </w:pPr>
            <w:r w:rsidRPr="002850C6">
              <w:rPr>
                <w:noProof/>
                <w:sz w:val="14"/>
              </w:rPr>
              <w:t>(2b)</w:t>
            </w:r>
          </w:p>
        </w:tc>
        <w:tc>
          <w:tcPr>
            <w:tcW w:w="511" w:type="pct"/>
            <w:tcBorders>
              <w:top w:val="nil"/>
              <w:left w:val="nil"/>
              <w:bottom w:val="single" w:sz="8" w:space="0" w:color="auto"/>
              <w:right w:val="single" w:sz="8" w:space="0" w:color="auto"/>
            </w:tcBorders>
            <w:vAlign w:val="center"/>
            <w:hideMark/>
          </w:tcPr>
          <w:p w14:paraId="61131FF8"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35BE5DB6"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511" w:type="pct"/>
            <w:tcBorders>
              <w:top w:val="nil"/>
              <w:left w:val="nil"/>
              <w:bottom w:val="single" w:sz="8" w:space="0" w:color="auto"/>
              <w:right w:val="single" w:sz="8" w:space="0" w:color="auto"/>
            </w:tcBorders>
            <w:vAlign w:val="center"/>
            <w:hideMark/>
          </w:tcPr>
          <w:p w14:paraId="631DE92E" w14:textId="77777777" w:rsidR="002850C6" w:rsidRPr="002850C6" w:rsidRDefault="002850C6" w:rsidP="002850C6">
            <w:pPr>
              <w:spacing w:before="0" w:after="0"/>
              <w:jc w:val="right"/>
              <w:rPr>
                <w:noProof/>
                <w:sz w:val="20"/>
                <w:szCs w:val="20"/>
              </w:rPr>
            </w:pPr>
            <w:r w:rsidRPr="002850C6">
              <w:rPr>
                <w:noProof/>
                <w:sz w:val="20"/>
              </w:rPr>
              <w:t xml:space="preserve"> </w:t>
            </w:r>
          </w:p>
        </w:tc>
        <w:tc>
          <w:tcPr>
            <w:tcW w:w="495" w:type="pct"/>
            <w:tcBorders>
              <w:top w:val="nil"/>
              <w:left w:val="nil"/>
              <w:bottom w:val="single" w:sz="8" w:space="0" w:color="auto"/>
              <w:right w:val="single" w:sz="8" w:space="0" w:color="auto"/>
            </w:tcBorders>
            <w:vAlign w:val="center"/>
            <w:hideMark/>
          </w:tcPr>
          <w:p w14:paraId="0D87704B" w14:textId="77777777" w:rsidR="002850C6" w:rsidRPr="002850C6" w:rsidRDefault="002850C6" w:rsidP="002850C6">
            <w:pPr>
              <w:spacing w:before="0" w:after="0"/>
              <w:jc w:val="right"/>
              <w:rPr>
                <w:noProof/>
                <w:sz w:val="20"/>
                <w:szCs w:val="20"/>
                <w:lang w:eastAsia="en-IE"/>
              </w:rPr>
            </w:pPr>
          </w:p>
        </w:tc>
        <w:tc>
          <w:tcPr>
            <w:tcW w:w="592" w:type="pct"/>
            <w:tcBorders>
              <w:top w:val="nil"/>
              <w:left w:val="nil"/>
              <w:bottom w:val="single" w:sz="8" w:space="0" w:color="auto"/>
              <w:right w:val="single" w:sz="8" w:space="0" w:color="auto"/>
            </w:tcBorders>
            <w:shd w:val="clear" w:color="000000" w:fill="D9D9D9"/>
            <w:vAlign w:val="center"/>
            <w:hideMark/>
          </w:tcPr>
          <w:p w14:paraId="1FEB93E9" w14:textId="77777777" w:rsidR="002850C6" w:rsidRPr="002850C6" w:rsidRDefault="002850C6" w:rsidP="002850C6">
            <w:pPr>
              <w:spacing w:before="0" w:after="0"/>
              <w:jc w:val="right"/>
              <w:rPr>
                <w:b/>
                <w:bCs/>
                <w:noProof/>
                <w:sz w:val="20"/>
                <w:szCs w:val="20"/>
                <w:lang w:eastAsia="en-IE"/>
              </w:rPr>
            </w:pPr>
          </w:p>
        </w:tc>
      </w:tr>
      <w:tr w:rsidR="002850C6" w:rsidRPr="002850C6" w14:paraId="7BD95489" w14:textId="77777777" w:rsidTr="0043630B">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397C97D3" w14:textId="77777777" w:rsidR="002850C6" w:rsidRPr="002850C6" w:rsidRDefault="002850C6" w:rsidP="002850C6">
            <w:pPr>
              <w:spacing w:before="0" w:after="0"/>
              <w:jc w:val="left"/>
              <w:rPr>
                <w:noProof/>
                <w:sz w:val="22"/>
              </w:rPr>
            </w:pPr>
            <w:r w:rsidRPr="002850C6">
              <w:rPr>
                <w:noProof/>
                <w:sz w:val="22"/>
              </w:rPr>
              <w:t xml:space="preserve">Crédits de nature administrative financés par l’enveloppe de certains programmes spécifiques </w:t>
            </w:r>
          </w:p>
        </w:tc>
      </w:tr>
      <w:tr w:rsidR="002850C6" w:rsidRPr="002850C6" w14:paraId="705EEF39" w14:textId="77777777" w:rsidTr="0043630B">
        <w:trPr>
          <w:trHeight w:val="288"/>
        </w:trPr>
        <w:tc>
          <w:tcPr>
            <w:tcW w:w="1327" w:type="pct"/>
            <w:tcBorders>
              <w:top w:val="nil"/>
              <w:left w:val="single" w:sz="8" w:space="0" w:color="auto"/>
              <w:bottom w:val="single" w:sz="8" w:space="0" w:color="auto"/>
              <w:right w:val="single" w:sz="8" w:space="0" w:color="auto"/>
            </w:tcBorders>
            <w:vAlign w:val="center"/>
            <w:hideMark/>
          </w:tcPr>
          <w:p w14:paraId="5B8D18A2" w14:textId="77777777" w:rsidR="002850C6" w:rsidRPr="002850C6" w:rsidRDefault="002850C6" w:rsidP="002850C6">
            <w:pPr>
              <w:spacing w:before="0" w:after="0"/>
              <w:rPr>
                <w:noProof/>
                <w:sz w:val="20"/>
                <w:szCs w:val="20"/>
              </w:rPr>
            </w:pPr>
            <w:r w:rsidRPr="002850C6">
              <w:rPr>
                <w:noProof/>
                <w:sz w:val="20"/>
              </w:rPr>
              <w:t>Ligne budgétaire</w:t>
            </w:r>
          </w:p>
        </w:tc>
        <w:tc>
          <w:tcPr>
            <w:tcW w:w="540" w:type="pct"/>
            <w:tcBorders>
              <w:top w:val="nil"/>
              <w:left w:val="nil"/>
              <w:bottom w:val="single" w:sz="8" w:space="0" w:color="auto"/>
              <w:right w:val="single" w:sz="8" w:space="0" w:color="auto"/>
            </w:tcBorders>
            <w:vAlign w:val="center"/>
            <w:hideMark/>
          </w:tcPr>
          <w:p w14:paraId="4EF6EB46" w14:textId="77777777" w:rsidR="002850C6" w:rsidRPr="002850C6" w:rsidRDefault="002850C6" w:rsidP="002850C6">
            <w:pPr>
              <w:spacing w:before="0" w:after="0"/>
              <w:jc w:val="right"/>
              <w:rPr>
                <w:noProof/>
                <w:sz w:val="18"/>
                <w:szCs w:val="18"/>
              </w:rPr>
            </w:pPr>
            <w:r w:rsidRPr="002850C6">
              <w:rPr>
                <w:noProof/>
                <w:sz w:val="18"/>
              </w:rPr>
              <w:t xml:space="preserve"> </w:t>
            </w:r>
          </w:p>
        </w:tc>
        <w:tc>
          <w:tcPr>
            <w:tcW w:w="511" w:type="pct"/>
            <w:tcBorders>
              <w:top w:val="single" w:sz="8" w:space="0" w:color="auto"/>
              <w:left w:val="nil"/>
              <w:bottom w:val="single" w:sz="8" w:space="0" w:color="auto"/>
              <w:right w:val="single" w:sz="8" w:space="0" w:color="auto"/>
            </w:tcBorders>
            <w:vAlign w:val="center"/>
            <w:hideMark/>
          </w:tcPr>
          <w:p w14:paraId="71ACAFE6" w14:textId="77777777" w:rsidR="002850C6" w:rsidRPr="002850C6" w:rsidRDefault="002850C6" w:rsidP="002850C6">
            <w:pPr>
              <w:spacing w:before="0" w:after="0"/>
              <w:jc w:val="center"/>
              <w:rPr>
                <w:noProof/>
                <w:sz w:val="14"/>
                <w:szCs w:val="14"/>
              </w:rPr>
            </w:pPr>
            <w:r w:rsidRPr="002850C6">
              <w:rPr>
                <w:noProof/>
                <w:sz w:val="14"/>
              </w:rPr>
              <w:t>(3)</w:t>
            </w:r>
          </w:p>
        </w:tc>
        <w:tc>
          <w:tcPr>
            <w:tcW w:w="511" w:type="pct"/>
            <w:tcBorders>
              <w:top w:val="nil"/>
              <w:left w:val="nil"/>
              <w:bottom w:val="single" w:sz="8" w:space="0" w:color="auto"/>
              <w:right w:val="single" w:sz="8" w:space="0" w:color="auto"/>
            </w:tcBorders>
            <w:vAlign w:val="center"/>
            <w:hideMark/>
          </w:tcPr>
          <w:p w14:paraId="08E4F1BC" w14:textId="77777777" w:rsidR="002850C6" w:rsidRPr="002850C6" w:rsidRDefault="002850C6" w:rsidP="002850C6">
            <w:pPr>
              <w:spacing w:before="0" w:after="0"/>
              <w:jc w:val="right"/>
              <w:rPr>
                <w:b/>
                <w:bCs/>
                <w:noProof/>
                <w:sz w:val="20"/>
                <w:szCs w:val="20"/>
              </w:rPr>
            </w:pPr>
            <w:r w:rsidRPr="002850C6">
              <w:rPr>
                <w:b/>
                <w:noProof/>
                <w:sz w:val="20"/>
              </w:rPr>
              <w:t xml:space="preserve"> </w:t>
            </w:r>
          </w:p>
        </w:tc>
        <w:tc>
          <w:tcPr>
            <w:tcW w:w="511" w:type="pct"/>
            <w:tcBorders>
              <w:top w:val="nil"/>
              <w:left w:val="nil"/>
              <w:bottom w:val="single" w:sz="8" w:space="0" w:color="auto"/>
              <w:right w:val="single" w:sz="8" w:space="0" w:color="auto"/>
            </w:tcBorders>
            <w:vAlign w:val="center"/>
            <w:hideMark/>
          </w:tcPr>
          <w:p w14:paraId="521A716B" w14:textId="77777777" w:rsidR="002850C6" w:rsidRPr="002850C6" w:rsidRDefault="002850C6" w:rsidP="002850C6">
            <w:pPr>
              <w:spacing w:before="0" w:after="0"/>
              <w:jc w:val="right"/>
              <w:rPr>
                <w:b/>
                <w:bCs/>
                <w:noProof/>
                <w:sz w:val="20"/>
                <w:szCs w:val="20"/>
              </w:rPr>
            </w:pPr>
            <w:r w:rsidRPr="002850C6">
              <w:rPr>
                <w:b/>
                <w:noProof/>
                <w:sz w:val="20"/>
              </w:rPr>
              <w:t xml:space="preserve"> </w:t>
            </w:r>
          </w:p>
        </w:tc>
        <w:tc>
          <w:tcPr>
            <w:tcW w:w="511" w:type="pct"/>
            <w:tcBorders>
              <w:top w:val="nil"/>
              <w:left w:val="nil"/>
              <w:bottom w:val="single" w:sz="8" w:space="0" w:color="auto"/>
              <w:right w:val="single" w:sz="8" w:space="0" w:color="auto"/>
            </w:tcBorders>
            <w:vAlign w:val="center"/>
            <w:hideMark/>
          </w:tcPr>
          <w:p w14:paraId="5B7DF195" w14:textId="77777777" w:rsidR="002850C6" w:rsidRPr="002850C6" w:rsidRDefault="002850C6" w:rsidP="002850C6">
            <w:pPr>
              <w:spacing w:before="0" w:after="0"/>
              <w:jc w:val="right"/>
              <w:rPr>
                <w:b/>
                <w:bCs/>
                <w:noProof/>
                <w:sz w:val="20"/>
                <w:szCs w:val="20"/>
              </w:rPr>
            </w:pPr>
            <w:r w:rsidRPr="002850C6">
              <w:rPr>
                <w:b/>
                <w:noProof/>
                <w:sz w:val="20"/>
              </w:rPr>
              <w:t xml:space="preserve"> </w:t>
            </w:r>
          </w:p>
        </w:tc>
        <w:tc>
          <w:tcPr>
            <w:tcW w:w="495" w:type="pct"/>
            <w:tcBorders>
              <w:top w:val="nil"/>
              <w:left w:val="nil"/>
              <w:bottom w:val="single" w:sz="8" w:space="0" w:color="auto"/>
              <w:right w:val="single" w:sz="8" w:space="0" w:color="auto"/>
            </w:tcBorders>
            <w:vAlign w:val="center"/>
            <w:hideMark/>
          </w:tcPr>
          <w:p w14:paraId="09A9C78F" w14:textId="77777777" w:rsidR="002850C6" w:rsidRPr="002850C6" w:rsidRDefault="002850C6" w:rsidP="002850C6">
            <w:pPr>
              <w:spacing w:before="0" w:after="0"/>
              <w:jc w:val="right"/>
              <w:rPr>
                <w:b/>
                <w:bCs/>
                <w:noProof/>
                <w:sz w:val="20"/>
                <w:szCs w:val="20"/>
              </w:rPr>
            </w:pPr>
            <w:r w:rsidRPr="002850C6">
              <w:rPr>
                <w:b/>
                <w:noProof/>
                <w:sz w:val="20"/>
              </w:rPr>
              <w:t xml:space="preserve"> </w:t>
            </w:r>
          </w:p>
        </w:tc>
        <w:tc>
          <w:tcPr>
            <w:tcW w:w="592" w:type="pct"/>
            <w:tcBorders>
              <w:top w:val="nil"/>
              <w:left w:val="nil"/>
              <w:bottom w:val="single" w:sz="8" w:space="0" w:color="auto"/>
              <w:right w:val="single" w:sz="8" w:space="0" w:color="auto"/>
            </w:tcBorders>
            <w:shd w:val="clear" w:color="000000" w:fill="D9D9D9"/>
            <w:vAlign w:val="center"/>
            <w:hideMark/>
          </w:tcPr>
          <w:p w14:paraId="5159780A" w14:textId="77777777" w:rsidR="002850C6" w:rsidRPr="002850C6" w:rsidRDefault="002850C6" w:rsidP="002850C6">
            <w:pPr>
              <w:spacing w:before="0" w:after="0"/>
              <w:jc w:val="right"/>
              <w:rPr>
                <w:b/>
                <w:bCs/>
                <w:noProof/>
                <w:sz w:val="20"/>
                <w:szCs w:val="20"/>
                <w:lang w:eastAsia="en-IE"/>
              </w:rPr>
            </w:pPr>
          </w:p>
        </w:tc>
      </w:tr>
      <w:tr w:rsidR="002850C6" w:rsidRPr="002850C6" w14:paraId="5CEA128F" w14:textId="77777777" w:rsidTr="0043630B">
        <w:trPr>
          <w:trHeight w:val="288"/>
        </w:trPr>
        <w:tc>
          <w:tcPr>
            <w:tcW w:w="1327" w:type="pct"/>
            <w:vMerge w:val="restart"/>
            <w:tcBorders>
              <w:top w:val="nil"/>
              <w:left w:val="single" w:sz="8" w:space="0" w:color="auto"/>
              <w:right w:val="single" w:sz="8" w:space="0" w:color="auto"/>
            </w:tcBorders>
            <w:vAlign w:val="center"/>
            <w:hideMark/>
          </w:tcPr>
          <w:p w14:paraId="050C4483" w14:textId="77777777" w:rsidR="002850C6" w:rsidRPr="002850C6" w:rsidRDefault="002850C6" w:rsidP="002850C6">
            <w:pPr>
              <w:spacing w:before="0" w:after="0"/>
              <w:jc w:val="center"/>
              <w:rPr>
                <w:b/>
                <w:bCs/>
                <w:noProof/>
                <w:sz w:val="22"/>
              </w:rPr>
            </w:pPr>
            <w:r w:rsidRPr="002850C6">
              <w:rPr>
                <w:b/>
                <w:noProof/>
                <w:sz w:val="22"/>
              </w:rPr>
              <w:t>TOTAL des crédits</w:t>
            </w:r>
          </w:p>
          <w:p w14:paraId="42AD1128" w14:textId="77777777" w:rsidR="002850C6" w:rsidRPr="002850C6" w:rsidRDefault="002850C6" w:rsidP="002850C6">
            <w:pPr>
              <w:spacing w:before="0" w:after="0"/>
              <w:jc w:val="center"/>
              <w:rPr>
                <w:noProof/>
                <w:sz w:val="22"/>
              </w:rPr>
            </w:pPr>
            <w:r w:rsidRPr="002850C6">
              <w:rPr>
                <w:b/>
                <w:noProof/>
                <w:sz w:val="22"/>
              </w:rPr>
              <w:t>pour la DG</w:t>
            </w:r>
          </w:p>
        </w:tc>
        <w:tc>
          <w:tcPr>
            <w:tcW w:w="540" w:type="pct"/>
            <w:tcBorders>
              <w:top w:val="nil"/>
              <w:left w:val="nil"/>
              <w:bottom w:val="single" w:sz="8" w:space="0" w:color="auto"/>
              <w:right w:val="single" w:sz="8" w:space="0" w:color="auto"/>
            </w:tcBorders>
            <w:vAlign w:val="center"/>
            <w:hideMark/>
          </w:tcPr>
          <w:p w14:paraId="047814E2" w14:textId="77777777" w:rsidR="002850C6" w:rsidRPr="002850C6" w:rsidRDefault="002850C6" w:rsidP="002850C6">
            <w:pPr>
              <w:spacing w:before="0" w:after="0"/>
              <w:rPr>
                <w:noProof/>
                <w:sz w:val="18"/>
                <w:szCs w:val="18"/>
              </w:rPr>
            </w:pPr>
            <w:r w:rsidRPr="002850C6">
              <w:rPr>
                <w:noProof/>
                <w:sz w:val="18"/>
              </w:rPr>
              <w:t>Engagements</w:t>
            </w:r>
          </w:p>
        </w:tc>
        <w:tc>
          <w:tcPr>
            <w:tcW w:w="511" w:type="pct"/>
            <w:tcBorders>
              <w:top w:val="single" w:sz="8" w:space="0" w:color="auto"/>
              <w:left w:val="nil"/>
              <w:bottom w:val="single" w:sz="8" w:space="0" w:color="auto"/>
              <w:right w:val="single" w:sz="8" w:space="0" w:color="auto"/>
            </w:tcBorders>
            <w:vAlign w:val="center"/>
            <w:hideMark/>
          </w:tcPr>
          <w:p w14:paraId="0DC5E46B" w14:textId="77777777" w:rsidR="002850C6" w:rsidRPr="002850C6" w:rsidRDefault="002850C6" w:rsidP="002850C6">
            <w:pPr>
              <w:spacing w:before="0" w:after="0"/>
              <w:jc w:val="center"/>
              <w:rPr>
                <w:noProof/>
                <w:sz w:val="14"/>
                <w:szCs w:val="14"/>
              </w:rPr>
            </w:pPr>
            <w:r w:rsidRPr="002850C6">
              <w:rPr>
                <w:noProof/>
                <w:sz w:val="14"/>
              </w:rPr>
              <w:t>=1a+1b+3</w:t>
            </w:r>
          </w:p>
        </w:tc>
        <w:tc>
          <w:tcPr>
            <w:tcW w:w="511" w:type="pct"/>
            <w:tcBorders>
              <w:top w:val="nil"/>
              <w:left w:val="nil"/>
              <w:bottom w:val="single" w:sz="8" w:space="0" w:color="auto"/>
              <w:right w:val="single" w:sz="8" w:space="0" w:color="auto"/>
            </w:tcBorders>
            <w:shd w:val="clear" w:color="000000" w:fill="D9D9D9"/>
            <w:vAlign w:val="center"/>
            <w:hideMark/>
          </w:tcPr>
          <w:p w14:paraId="7BD886D4" w14:textId="77777777" w:rsidR="002850C6" w:rsidRPr="002850C6" w:rsidRDefault="002850C6" w:rsidP="002850C6">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3CB9686E" w14:textId="77777777" w:rsidR="002850C6" w:rsidRPr="002850C6" w:rsidRDefault="002850C6" w:rsidP="002850C6">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2FE80FB7" w14:textId="77777777" w:rsidR="002850C6" w:rsidRPr="002850C6" w:rsidRDefault="002850C6" w:rsidP="002850C6">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000000" w:fill="D9D9D9"/>
            <w:vAlign w:val="center"/>
            <w:hideMark/>
          </w:tcPr>
          <w:p w14:paraId="74AFAB74" w14:textId="77777777" w:rsidR="002850C6" w:rsidRPr="002850C6" w:rsidRDefault="002850C6" w:rsidP="002850C6">
            <w:pPr>
              <w:spacing w:before="0" w:after="0"/>
              <w:jc w:val="right"/>
              <w:rPr>
                <w:b/>
                <w:bCs/>
                <w:noProof/>
                <w:sz w:val="20"/>
                <w:szCs w:val="20"/>
              </w:rPr>
            </w:pPr>
            <w:r w:rsidRPr="002850C6">
              <w:rPr>
                <w:b/>
                <w:noProof/>
                <w:sz w:val="20"/>
              </w:rPr>
              <w:t>2,500</w:t>
            </w:r>
          </w:p>
        </w:tc>
        <w:tc>
          <w:tcPr>
            <w:tcW w:w="592" w:type="pct"/>
            <w:tcBorders>
              <w:top w:val="nil"/>
              <w:left w:val="nil"/>
              <w:bottom w:val="single" w:sz="8" w:space="0" w:color="auto"/>
              <w:right w:val="single" w:sz="8" w:space="0" w:color="auto"/>
            </w:tcBorders>
            <w:shd w:val="clear" w:color="000000" w:fill="D9D9D9"/>
            <w:vAlign w:val="center"/>
            <w:hideMark/>
          </w:tcPr>
          <w:p w14:paraId="12518864" w14:textId="77777777" w:rsidR="002850C6" w:rsidRPr="002850C6" w:rsidRDefault="002850C6" w:rsidP="002850C6">
            <w:pPr>
              <w:spacing w:before="0" w:after="0"/>
              <w:jc w:val="right"/>
              <w:rPr>
                <w:b/>
                <w:bCs/>
                <w:noProof/>
                <w:sz w:val="20"/>
                <w:szCs w:val="20"/>
              </w:rPr>
            </w:pPr>
            <w:r w:rsidRPr="002850C6">
              <w:rPr>
                <w:b/>
                <w:noProof/>
                <w:sz w:val="20"/>
              </w:rPr>
              <w:t>2,500</w:t>
            </w:r>
          </w:p>
        </w:tc>
      </w:tr>
      <w:tr w:rsidR="002850C6" w:rsidRPr="002850C6" w14:paraId="6914C4DF" w14:textId="77777777" w:rsidTr="0043630B">
        <w:trPr>
          <w:trHeight w:val="288"/>
        </w:trPr>
        <w:tc>
          <w:tcPr>
            <w:tcW w:w="1327" w:type="pct"/>
            <w:vMerge/>
            <w:tcBorders>
              <w:left w:val="single" w:sz="8" w:space="0" w:color="auto"/>
              <w:bottom w:val="single" w:sz="4" w:space="0" w:color="auto"/>
              <w:right w:val="single" w:sz="8" w:space="0" w:color="auto"/>
            </w:tcBorders>
            <w:vAlign w:val="center"/>
            <w:hideMark/>
          </w:tcPr>
          <w:p w14:paraId="1AD6D490" w14:textId="77777777" w:rsidR="002850C6" w:rsidRPr="002850C6" w:rsidRDefault="002850C6" w:rsidP="002850C6">
            <w:pPr>
              <w:spacing w:before="0" w:after="0"/>
              <w:jc w:val="center"/>
              <w:rPr>
                <w:b/>
                <w:bCs/>
                <w:noProof/>
                <w:sz w:val="22"/>
                <w:lang w:eastAsia="en-IE"/>
              </w:rPr>
            </w:pPr>
          </w:p>
        </w:tc>
        <w:tc>
          <w:tcPr>
            <w:tcW w:w="540" w:type="pct"/>
            <w:tcBorders>
              <w:top w:val="nil"/>
              <w:left w:val="single" w:sz="8" w:space="0" w:color="auto"/>
              <w:bottom w:val="single" w:sz="8" w:space="0" w:color="auto"/>
              <w:right w:val="single" w:sz="8" w:space="0" w:color="auto"/>
            </w:tcBorders>
            <w:vAlign w:val="center"/>
            <w:hideMark/>
          </w:tcPr>
          <w:p w14:paraId="3EA55F45" w14:textId="77777777" w:rsidR="002850C6" w:rsidRPr="002850C6" w:rsidRDefault="002850C6" w:rsidP="002850C6">
            <w:pPr>
              <w:spacing w:before="0" w:after="0"/>
              <w:rPr>
                <w:noProof/>
                <w:sz w:val="18"/>
                <w:szCs w:val="18"/>
              </w:rPr>
            </w:pPr>
            <w:r w:rsidRPr="002850C6">
              <w:rPr>
                <w:noProof/>
                <w:sz w:val="18"/>
              </w:rPr>
              <w:t>Paiements</w:t>
            </w:r>
          </w:p>
        </w:tc>
        <w:tc>
          <w:tcPr>
            <w:tcW w:w="511" w:type="pct"/>
            <w:tcBorders>
              <w:top w:val="single" w:sz="8" w:space="0" w:color="auto"/>
              <w:left w:val="nil"/>
              <w:bottom w:val="single" w:sz="8" w:space="0" w:color="auto"/>
              <w:right w:val="single" w:sz="8" w:space="0" w:color="auto"/>
            </w:tcBorders>
            <w:vAlign w:val="center"/>
            <w:hideMark/>
          </w:tcPr>
          <w:p w14:paraId="6944B46D" w14:textId="77777777" w:rsidR="002850C6" w:rsidRPr="002850C6" w:rsidRDefault="002850C6" w:rsidP="002850C6">
            <w:pPr>
              <w:spacing w:before="0" w:after="0"/>
              <w:jc w:val="center"/>
              <w:rPr>
                <w:noProof/>
                <w:sz w:val="14"/>
                <w:szCs w:val="14"/>
              </w:rPr>
            </w:pPr>
            <w:r w:rsidRPr="002850C6">
              <w:rPr>
                <w:noProof/>
                <w:sz w:val="14"/>
              </w:rPr>
              <w:t>=2a+2b+3</w:t>
            </w:r>
          </w:p>
        </w:tc>
        <w:tc>
          <w:tcPr>
            <w:tcW w:w="511" w:type="pct"/>
            <w:tcBorders>
              <w:top w:val="nil"/>
              <w:left w:val="nil"/>
              <w:bottom w:val="single" w:sz="8" w:space="0" w:color="auto"/>
              <w:right w:val="single" w:sz="8" w:space="0" w:color="auto"/>
            </w:tcBorders>
            <w:shd w:val="clear" w:color="000000" w:fill="D9D9D9"/>
            <w:vAlign w:val="center"/>
            <w:hideMark/>
          </w:tcPr>
          <w:p w14:paraId="0BCABC0D" w14:textId="77777777" w:rsidR="002850C6" w:rsidRPr="002850C6" w:rsidRDefault="002850C6" w:rsidP="002850C6">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7B9CFB43" w14:textId="77777777" w:rsidR="002850C6" w:rsidRPr="002850C6" w:rsidRDefault="002850C6" w:rsidP="002850C6">
            <w:pPr>
              <w:spacing w:before="0" w:after="0"/>
              <w:jc w:val="right"/>
              <w:rPr>
                <w:b/>
                <w:bCs/>
                <w:noProof/>
                <w:sz w:val="20"/>
                <w:szCs w:val="20"/>
                <w:lang w:eastAsia="en-IE"/>
              </w:rPr>
            </w:pPr>
          </w:p>
        </w:tc>
        <w:tc>
          <w:tcPr>
            <w:tcW w:w="511" w:type="pct"/>
            <w:tcBorders>
              <w:top w:val="nil"/>
              <w:left w:val="nil"/>
              <w:bottom w:val="single" w:sz="8" w:space="0" w:color="auto"/>
              <w:right w:val="single" w:sz="8" w:space="0" w:color="auto"/>
            </w:tcBorders>
            <w:shd w:val="clear" w:color="000000" w:fill="D9D9D9"/>
            <w:vAlign w:val="center"/>
            <w:hideMark/>
          </w:tcPr>
          <w:p w14:paraId="5060308D" w14:textId="77777777" w:rsidR="002850C6" w:rsidRPr="002850C6" w:rsidRDefault="002850C6" w:rsidP="002850C6">
            <w:pPr>
              <w:spacing w:before="0" w:after="0"/>
              <w:jc w:val="right"/>
              <w:rPr>
                <w:b/>
                <w:bCs/>
                <w:noProof/>
                <w:sz w:val="20"/>
                <w:szCs w:val="20"/>
                <w:lang w:eastAsia="en-IE"/>
              </w:rPr>
            </w:pPr>
          </w:p>
        </w:tc>
        <w:tc>
          <w:tcPr>
            <w:tcW w:w="495" w:type="pct"/>
            <w:tcBorders>
              <w:top w:val="nil"/>
              <w:left w:val="nil"/>
              <w:bottom w:val="single" w:sz="8" w:space="0" w:color="auto"/>
              <w:right w:val="single" w:sz="8" w:space="0" w:color="auto"/>
            </w:tcBorders>
            <w:shd w:val="clear" w:color="000000" w:fill="D9D9D9"/>
            <w:vAlign w:val="center"/>
            <w:hideMark/>
          </w:tcPr>
          <w:p w14:paraId="15336AC4" w14:textId="77777777" w:rsidR="002850C6" w:rsidRPr="002850C6" w:rsidRDefault="002850C6" w:rsidP="002850C6">
            <w:pPr>
              <w:spacing w:before="0" w:after="0"/>
              <w:jc w:val="right"/>
              <w:rPr>
                <w:b/>
                <w:bCs/>
                <w:noProof/>
                <w:sz w:val="20"/>
                <w:szCs w:val="20"/>
              </w:rPr>
            </w:pPr>
            <w:r w:rsidRPr="002850C6">
              <w:rPr>
                <w:b/>
                <w:noProof/>
                <w:sz w:val="20"/>
              </w:rPr>
              <w:t>2,500</w:t>
            </w:r>
          </w:p>
        </w:tc>
        <w:tc>
          <w:tcPr>
            <w:tcW w:w="592" w:type="pct"/>
            <w:tcBorders>
              <w:top w:val="nil"/>
              <w:left w:val="nil"/>
              <w:bottom w:val="single" w:sz="8" w:space="0" w:color="auto"/>
              <w:right w:val="single" w:sz="8" w:space="0" w:color="auto"/>
            </w:tcBorders>
            <w:shd w:val="clear" w:color="000000" w:fill="D9D9D9"/>
            <w:vAlign w:val="center"/>
            <w:hideMark/>
          </w:tcPr>
          <w:p w14:paraId="70939700" w14:textId="77777777" w:rsidR="002850C6" w:rsidRPr="002850C6" w:rsidRDefault="002850C6" w:rsidP="002850C6">
            <w:pPr>
              <w:spacing w:before="0" w:after="0"/>
              <w:jc w:val="right"/>
              <w:rPr>
                <w:b/>
                <w:bCs/>
                <w:noProof/>
                <w:sz w:val="20"/>
                <w:szCs w:val="20"/>
              </w:rPr>
            </w:pPr>
            <w:r w:rsidRPr="002850C6">
              <w:rPr>
                <w:b/>
                <w:noProof/>
                <w:sz w:val="20"/>
              </w:rPr>
              <w:t>2,500</w:t>
            </w:r>
          </w:p>
        </w:tc>
      </w:tr>
    </w:tbl>
    <w:p w14:paraId="5CD1922D" w14:textId="77777777" w:rsidR="002850C6" w:rsidRPr="002850C6" w:rsidRDefault="002850C6" w:rsidP="002850C6">
      <w:pPr>
        <w:spacing w:after="0"/>
        <w:ind w:left="142" w:right="822"/>
        <w:rPr>
          <w:noProof/>
          <w:szCs w:val="24"/>
        </w:rPr>
      </w:pPr>
      <w:r w:rsidRPr="002850C6">
        <w:rPr>
          <w:noProof/>
        </w:rPr>
        <w:t xml:space="preserve">Les crédits de l’EDIP seront utilisés pour financer l’outil informatique de gestion de la future réserve de solidarité. </w:t>
      </w:r>
    </w:p>
    <w:p w14:paraId="6EE1A927" w14:textId="77777777" w:rsidR="002850C6" w:rsidRPr="002850C6" w:rsidRDefault="002850C6" w:rsidP="002850C6">
      <w:pPr>
        <w:spacing w:after="40"/>
        <w:rPr>
          <w:noProof/>
          <w:color w:val="008000"/>
        </w:rPr>
      </w:pPr>
    </w:p>
    <w:p w14:paraId="62233115" w14:textId="77777777" w:rsidR="002850C6" w:rsidRPr="002850C6" w:rsidRDefault="002850C6" w:rsidP="002850C6">
      <w:pPr>
        <w:spacing w:after="40"/>
        <w:rPr>
          <w:noProof/>
          <w:color w:val="008000"/>
        </w:rPr>
      </w:pPr>
    </w:p>
    <w:p w14:paraId="7B1ECC77" w14:textId="77777777" w:rsidR="002850C6" w:rsidRPr="002850C6" w:rsidRDefault="002850C6" w:rsidP="002850C6">
      <w:pPr>
        <w:spacing w:after="40"/>
        <w:rPr>
          <w:noProof/>
          <w:color w:val="008000"/>
        </w:rPr>
      </w:pPr>
    </w:p>
    <w:tbl>
      <w:tblPr>
        <w:tblW w:w="4606" w:type="pct"/>
        <w:tblLook w:val="04A0" w:firstRow="1" w:lastRow="0" w:firstColumn="1" w:lastColumn="0" w:noHBand="0" w:noVBand="1"/>
      </w:tblPr>
      <w:tblGrid>
        <w:gridCol w:w="3910"/>
        <w:gridCol w:w="1239"/>
        <w:gridCol w:w="935"/>
        <w:gridCol w:w="941"/>
        <w:gridCol w:w="1121"/>
        <w:gridCol w:w="1121"/>
        <w:gridCol w:w="1121"/>
        <w:gridCol w:w="1357"/>
        <w:gridCol w:w="1354"/>
      </w:tblGrid>
      <w:tr w:rsidR="002850C6" w:rsidRPr="002850C6" w14:paraId="4AA84621" w14:textId="77777777" w:rsidTr="0043630B">
        <w:trPr>
          <w:trHeight w:val="288"/>
        </w:trPr>
        <w:tc>
          <w:tcPr>
            <w:tcW w:w="1492" w:type="pct"/>
            <w:tcBorders>
              <w:top w:val="nil"/>
              <w:left w:val="nil"/>
              <w:bottom w:val="nil"/>
              <w:right w:val="nil"/>
            </w:tcBorders>
            <w:noWrap/>
            <w:vAlign w:val="bottom"/>
            <w:hideMark/>
          </w:tcPr>
          <w:p w14:paraId="6796E943" w14:textId="77777777" w:rsidR="002850C6" w:rsidRPr="002850C6" w:rsidRDefault="002850C6" w:rsidP="002850C6">
            <w:pPr>
              <w:spacing w:before="0" w:after="0"/>
              <w:jc w:val="left"/>
              <w:rPr>
                <w:noProof/>
                <w:sz w:val="20"/>
                <w:szCs w:val="24"/>
                <w:lang w:eastAsia="en-IE"/>
              </w:rPr>
            </w:pPr>
          </w:p>
        </w:tc>
        <w:tc>
          <w:tcPr>
            <w:tcW w:w="472" w:type="pct"/>
            <w:tcBorders>
              <w:top w:val="nil"/>
              <w:left w:val="nil"/>
              <w:bottom w:val="nil"/>
              <w:right w:val="nil"/>
            </w:tcBorders>
            <w:noWrap/>
            <w:vAlign w:val="bottom"/>
            <w:hideMark/>
          </w:tcPr>
          <w:p w14:paraId="237FAF3F" w14:textId="77777777" w:rsidR="002850C6" w:rsidRPr="002850C6" w:rsidRDefault="002850C6" w:rsidP="002850C6">
            <w:pPr>
              <w:spacing w:before="0" w:after="0"/>
              <w:jc w:val="left"/>
              <w:rPr>
                <w:noProof/>
                <w:sz w:val="20"/>
                <w:szCs w:val="20"/>
                <w:lang w:eastAsia="en-IE"/>
              </w:rPr>
            </w:pPr>
          </w:p>
        </w:tc>
        <w:tc>
          <w:tcPr>
            <w:tcW w:w="357" w:type="pct"/>
            <w:tcBorders>
              <w:top w:val="nil"/>
              <w:left w:val="nil"/>
              <w:bottom w:val="nil"/>
              <w:right w:val="nil"/>
            </w:tcBorders>
            <w:noWrap/>
            <w:vAlign w:val="bottom"/>
            <w:hideMark/>
          </w:tcPr>
          <w:p w14:paraId="7472B9AF" w14:textId="77777777" w:rsidR="002850C6" w:rsidRPr="002850C6" w:rsidRDefault="002850C6" w:rsidP="002850C6">
            <w:pPr>
              <w:spacing w:before="0" w:after="0"/>
              <w:jc w:val="left"/>
              <w:rPr>
                <w:noProof/>
                <w:sz w:val="20"/>
                <w:szCs w:val="20"/>
                <w:lang w:eastAsia="en-IE"/>
              </w:rPr>
            </w:pPr>
          </w:p>
        </w:tc>
        <w:tc>
          <w:tcPr>
            <w:tcW w:w="358" w:type="pct"/>
            <w:tcBorders>
              <w:top w:val="nil"/>
              <w:left w:val="nil"/>
              <w:bottom w:val="nil"/>
              <w:right w:val="single" w:sz="4" w:space="0" w:color="auto"/>
            </w:tcBorders>
            <w:noWrap/>
            <w:vAlign w:val="bottom"/>
            <w:hideMark/>
          </w:tcPr>
          <w:p w14:paraId="704A5872" w14:textId="77777777" w:rsidR="002850C6" w:rsidRPr="002850C6" w:rsidRDefault="002850C6" w:rsidP="002850C6">
            <w:pPr>
              <w:spacing w:before="0" w:after="0"/>
              <w:jc w:val="left"/>
              <w:rPr>
                <w:noProof/>
                <w:sz w:val="20"/>
                <w:szCs w:val="20"/>
                <w:lang w:eastAsia="en-IE"/>
              </w:rPr>
            </w:pPr>
          </w:p>
        </w:tc>
        <w:tc>
          <w:tcPr>
            <w:tcW w:w="428" w:type="pct"/>
            <w:tcBorders>
              <w:top w:val="single" w:sz="8" w:space="0" w:color="auto"/>
              <w:left w:val="nil"/>
              <w:bottom w:val="nil"/>
              <w:right w:val="single" w:sz="8" w:space="0" w:color="auto"/>
            </w:tcBorders>
            <w:vAlign w:val="center"/>
            <w:hideMark/>
          </w:tcPr>
          <w:p w14:paraId="6F300094" w14:textId="77777777" w:rsidR="002850C6" w:rsidRPr="002850C6" w:rsidRDefault="002850C6" w:rsidP="002850C6">
            <w:pPr>
              <w:spacing w:before="0" w:after="0"/>
              <w:jc w:val="center"/>
              <w:rPr>
                <w:noProof/>
                <w:sz w:val="20"/>
                <w:szCs w:val="20"/>
              </w:rPr>
            </w:pPr>
            <w:r w:rsidRPr="002850C6">
              <w:rPr>
                <w:noProof/>
                <w:sz w:val="20"/>
              </w:rPr>
              <w:t>Année</w:t>
            </w:r>
          </w:p>
        </w:tc>
        <w:tc>
          <w:tcPr>
            <w:tcW w:w="428" w:type="pct"/>
            <w:tcBorders>
              <w:top w:val="single" w:sz="8" w:space="0" w:color="auto"/>
              <w:left w:val="nil"/>
              <w:bottom w:val="nil"/>
              <w:right w:val="single" w:sz="8" w:space="0" w:color="auto"/>
            </w:tcBorders>
            <w:vAlign w:val="center"/>
            <w:hideMark/>
          </w:tcPr>
          <w:p w14:paraId="1F930EA6" w14:textId="77777777" w:rsidR="002850C6" w:rsidRPr="002850C6" w:rsidRDefault="002850C6" w:rsidP="002850C6">
            <w:pPr>
              <w:spacing w:before="0" w:after="0"/>
              <w:jc w:val="center"/>
              <w:rPr>
                <w:noProof/>
                <w:sz w:val="20"/>
                <w:szCs w:val="20"/>
              </w:rPr>
            </w:pPr>
            <w:r w:rsidRPr="002850C6">
              <w:rPr>
                <w:noProof/>
                <w:sz w:val="20"/>
              </w:rPr>
              <w:t>Année</w:t>
            </w:r>
          </w:p>
        </w:tc>
        <w:tc>
          <w:tcPr>
            <w:tcW w:w="428" w:type="pct"/>
            <w:tcBorders>
              <w:top w:val="single" w:sz="8" w:space="0" w:color="auto"/>
              <w:left w:val="nil"/>
              <w:bottom w:val="nil"/>
              <w:right w:val="single" w:sz="8" w:space="0" w:color="auto"/>
            </w:tcBorders>
            <w:vAlign w:val="center"/>
            <w:hideMark/>
          </w:tcPr>
          <w:p w14:paraId="67A5CAE6" w14:textId="77777777" w:rsidR="002850C6" w:rsidRPr="002850C6" w:rsidRDefault="002850C6" w:rsidP="002850C6">
            <w:pPr>
              <w:spacing w:before="0" w:after="0"/>
              <w:jc w:val="center"/>
              <w:rPr>
                <w:noProof/>
                <w:sz w:val="20"/>
                <w:szCs w:val="20"/>
              </w:rPr>
            </w:pPr>
            <w:r w:rsidRPr="002850C6">
              <w:rPr>
                <w:noProof/>
                <w:sz w:val="20"/>
              </w:rPr>
              <w:t>Année</w:t>
            </w:r>
          </w:p>
        </w:tc>
        <w:tc>
          <w:tcPr>
            <w:tcW w:w="518" w:type="pct"/>
            <w:vMerge w:val="restart"/>
            <w:tcBorders>
              <w:top w:val="single" w:sz="8" w:space="0" w:color="auto"/>
              <w:left w:val="single" w:sz="8" w:space="0" w:color="auto"/>
              <w:bottom w:val="single" w:sz="8" w:space="0" w:color="000000"/>
              <w:right w:val="single" w:sz="8" w:space="0" w:color="auto"/>
            </w:tcBorders>
            <w:vAlign w:val="center"/>
            <w:hideMark/>
          </w:tcPr>
          <w:p w14:paraId="5E65B62A" w14:textId="77777777" w:rsidR="002850C6" w:rsidRPr="002850C6" w:rsidRDefault="002850C6" w:rsidP="002850C6">
            <w:pPr>
              <w:spacing w:before="0" w:after="0"/>
              <w:jc w:val="center"/>
              <w:rPr>
                <w:b/>
                <w:bCs/>
                <w:noProof/>
                <w:sz w:val="20"/>
                <w:szCs w:val="20"/>
              </w:rPr>
            </w:pPr>
            <w:r w:rsidRPr="002850C6">
              <w:rPr>
                <w:b/>
                <w:noProof/>
                <w:sz w:val="20"/>
              </w:rPr>
              <w:t>TOTAL CFP 2021-2027</w:t>
            </w:r>
          </w:p>
        </w:tc>
        <w:tc>
          <w:tcPr>
            <w:tcW w:w="518" w:type="pct"/>
            <w:vMerge w:val="restart"/>
            <w:tcBorders>
              <w:top w:val="single" w:sz="8" w:space="0" w:color="auto"/>
              <w:left w:val="single" w:sz="8" w:space="0" w:color="auto"/>
              <w:right w:val="single" w:sz="8" w:space="0" w:color="auto"/>
            </w:tcBorders>
            <w:vAlign w:val="center"/>
          </w:tcPr>
          <w:p w14:paraId="7F0A5693" w14:textId="77777777" w:rsidR="002850C6" w:rsidRPr="002850C6" w:rsidRDefault="002850C6" w:rsidP="002850C6">
            <w:pPr>
              <w:spacing w:before="0" w:after="0"/>
              <w:jc w:val="right"/>
              <w:rPr>
                <w:b/>
                <w:bCs/>
                <w:noProof/>
                <w:sz w:val="20"/>
                <w:szCs w:val="20"/>
              </w:rPr>
            </w:pPr>
            <w:r w:rsidRPr="002850C6">
              <w:rPr>
                <w:b/>
                <w:noProof/>
                <w:sz w:val="20"/>
              </w:rPr>
              <w:t>TOTAL CFP 2028-2034</w:t>
            </w:r>
          </w:p>
        </w:tc>
      </w:tr>
      <w:tr w:rsidR="002850C6" w:rsidRPr="002850C6" w14:paraId="30E10068" w14:textId="77777777" w:rsidTr="0043630B">
        <w:trPr>
          <w:trHeight w:val="300"/>
        </w:trPr>
        <w:tc>
          <w:tcPr>
            <w:tcW w:w="1492" w:type="pct"/>
            <w:tcBorders>
              <w:top w:val="nil"/>
              <w:left w:val="nil"/>
              <w:bottom w:val="nil"/>
              <w:right w:val="nil"/>
            </w:tcBorders>
            <w:noWrap/>
            <w:vAlign w:val="bottom"/>
            <w:hideMark/>
          </w:tcPr>
          <w:p w14:paraId="34973C3A" w14:textId="77777777" w:rsidR="002850C6" w:rsidRPr="002850C6" w:rsidRDefault="002850C6" w:rsidP="002850C6">
            <w:pPr>
              <w:spacing w:before="0" w:after="0"/>
              <w:jc w:val="center"/>
              <w:rPr>
                <w:b/>
                <w:bCs/>
                <w:noProof/>
                <w:sz w:val="20"/>
                <w:szCs w:val="20"/>
                <w:lang w:eastAsia="en-IE"/>
              </w:rPr>
            </w:pPr>
          </w:p>
        </w:tc>
        <w:tc>
          <w:tcPr>
            <w:tcW w:w="472" w:type="pct"/>
            <w:tcBorders>
              <w:top w:val="nil"/>
              <w:left w:val="nil"/>
              <w:bottom w:val="nil"/>
              <w:right w:val="nil"/>
            </w:tcBorders>
            <w:noWrap/>
            <w:vAlign w:val="bottom"/>
            <w:hideMark/>
          </w:tcPr>
          <w:p w14:paraId="28EE478D" w14:textId="77777777" w:rsidR="002850C6" w:rsidRPr="002850C6" w:rsidRDefault="002850C6" w:rsidP="002850C6">
            <w:pPr>
              <w:spacing w:before="0" w:after="0"/>
              <w:jc w:val="left"/>
              <w:rPr>
                <w:noProof/>
                <w:sz w:val="20"/>
                <w:szCs w:val="20"/>
                <w:lang w:eastAsia="en-IE"/>
              </w:rPr>
            </w:pPr>
          </w:p>
        </w:tc>
        <w:tc>
          <w:tcPr>
            <w:tcW w:w="357" w:type="pct"/>
            <w:tcBorders>
              <w:top w:val="nil"/>
              <w:left w:val="nil"/>
              <w:bottom w:val="nil"/>
              <w:right w:val="nil"/>
            </w:tcBorders>
            <w:noWrap/>
            <w:vAlign w:val="bottom"/>
            <w:hideMark/>
          </w:tcPr>
          <w:p w14:paraId="583BB4D4" w14:textId="77777777" w:rsidR="002850C6" w:rsidRPr="002850C6" w:rsidRDefault="002850C6" w:rsidP="002850C6">
            <w:pPr>
              <w:spacing w:before="0" w:after="0"/>
              <w:jc w:val="left"/>
              <w:rPr>
                <w:noProof/>
                <w:sz w:val="20"/>
                <w:szCs w:val="20"/>
                <w:lang w:eastAsia="en-IE"/>
              </w:rPr>
            </w:pPr>
          </w:p>
        </w:tc>
        <w:tc>
          <w:tcPr>
            <w:tcW w:w="358" w:type="pct"/>
            <w:tcBorders>
              <w:top w:val="nil"/>
              <w:left w:val="nil"/>
              <w:bottom w:val="nil"/>
              <w:right w:val="single" w:sz="4" w:space="0" w:color="auto"/>
            </w:tcBorders>
            <w:noWrap/>
            <w:vAlign w:val="bottom"/>
            <w:hideMark/>
          </w:tcPr>
          <w:p w14:paraId="0595033C" w14:textId="77777777" w:rsidR="002850C6" w:rsidRPr="002850C6" w:rsidRDefault="002850C6" w:rsidP="002850C6">
            <w:pPr>
              <w:spacing w:before="0" w:after="0"/>
              <w:jc w:val="left"/>
              <w:rPr>
                <w:noProof/>
                <w:sz w:val="20"/>
                <w:szCs w:val="20"/>
                <w:lang w:eastAsia="en-IE"/>
              </w:rPr>
            </w:pPr>
          </w:p>
        </w:tc>
        <w:tc>
          <w:tcPr>
            <w:tcW w:w="428" w:type="pct"/>
            <w:tcBorders>
              <w:top w:val="nil"/>
              <w:left w:val="nil"/>
              <w:bottom w:val="single" w:sz="8" w:space="0" w:color="auto"/>
              <w:right w:val="single" w:sz="8" w:space="0" w:color="auto"/>
            </w:tcBorders>
            <w:vAlign w:val="center"/>
            <w:hideMark/>
          </w:tcPr>
          <w:p w14:paraId="40A9BC96" w14:textId="77777777" w:rsidR="002850C6" w:rsidRPr="002850C6" w:rsidRDefault="002850C6" w:rsidP="002850C6">
            <w:pPr>
              <w:spacing w:before="0" w:after="0"/>
              <w:jc w:val="center"/>
              <w:rPr>
                <w:b/>
                <w:bCs/>
                <w:noProof/>
                <w:sz w:val="20"/>
                <w:szCs w:val="20"/>
              </w:rPr>
            </w:pPr>
            <w:r w:rsidRPr="002850C6">
              <w:rPr>
                <w:b/>
                <w:noProof/>
                <w:sz w:val="20"/>
              </w:rPr>
              <w:t>2025</w:t>
            </w:r>
          </w:p>
        </w:tc>
        <w:tc>
          <w:tcPr>
            <w:tcW w:w="428" w:type="pct"/>
            <w:tcBorders>
              <w:top w:val="nil"/>
              <w:left w:val="nil"/>
              <w:bottom w:val="single" w:sz="8" w:space="0" w:color="auto"/>
              <w:right w:val="single" w:sz="8" w:space="0" w:color="auto"/>
            </w:tcBorders>
            <w:vAlign w:val="center"/>
            <w:hideMark/>
          </w:tcPr>
          <w:p w14:paraId="4AB48B47" w14:textId="77777777" w:rsidR="002850C6" w:rsidRPr="002850C6" w:rsidRDefault="002850C6" w:rsidP="002850C6">
            <w:pPr>
              <w:spacing w:before="0" w:after="0"/>
              <w:jc w:val="center"/>
              <w:rPr>
                <w:b/>
                <w:bCs/>
                <w:noProof/>
                <w:sz w:val="20"/>
                <w:szCs w:val="20"/>
              </w:rPr>
            </w:pPr>
            <w:r w:rsidRPr="002850C6">
              <w:rPr>
                <w:b/>
                <w:noProof/>
                <w:sz w:val="20"/>
              </w:rPr>
              <w:t>2026</w:t>
            </w:r>
          </w:p>
        </w:tc>
        <w:tc>
          <w:tcPr>
            <w:tcW w:w="428" w:type="pct"/>
            <w:tcBorders>
              <w:top w:val="nil"/>
              <w:left w:val="nil"/>
              <w:bottom w:val="single" w:sz="8" w:space="0" w:color="auto"/>
              <w:right w:val="single" w:sz="8" w:space="0" w:color="auto"/>
            </w:tcBorders>
            <w:vAlign w:val="center"/>
            <w:hideMark/>
          </w:tcPr>
          <w:p w14:paraId="0B4FF2E5" w14:textId="77777777" w:rsidR="002850C6" w:rsidRPr="002850C6" w:rsidRDefault="002850C6" w:rsidP="002850C6">
            <w:pPr>
              <w:spacing w:before="0" w:after="0"/>
              <w:jc w:val="center"/>
              <w:rPr>
                <w:b/>
                <w:bCs/>
                <w:noProof/>
                <w:sz w:val="20"/>
                <w:szCs w:val="20"/>
              </w:rPr>
            </w:pPr>
            <w:r w:rsidRPr="002850C6">
              <w:rPr>
                <w:b/>
                <w:noProof/>
                <w:sz w:val="20"/>
              </w:rPr>
              <w:t>2027</w:t>
            </w:r>
          </w:p>
        </w:tc>
        <w:tc>
          <w:tcPr>
            <w:tcW w:w="518" w:type="pct"/>
            <w:vMerge/>
            <w:tcBorders>
              <w:top w:val="single" w:sz="8" w:space="0" w:color="auto"/>
              <w:left w:val="single" w:sz="8" w:space="0" w:color="auto"/>
              <w:bottom w:val="single" w:sz="8" w:space="0" w:color="000000"/>
              <w:right w:val="single" w:sz="8" w:space="0" w:color="auto"/>
            </w:tcBorders>
            <w:vAlign w:val="center"/>
            <w:hideMark/>
          </w:tcPr>
          <w:p w14:paraId="1525F557" w14:textId="77777777" w:rsidR="002850C6" w:rsidRPr="002850C6" w:rsidRDefault="002850C6" w:rsidP="002850C6">
            <w:pPr>
              <w:spacing w:before="0" w:after="0"/>
              <w:jc w:val="left"/>
              <w:rPr>
                <w:b/>
                <w:bCs/>
                <w:noProof/>
                <w:sz w:val="20"/>
                <w:szCs w:val="20"/>
                <w:lang w:eastAsia="en-IE"/>
              </w:rPr>
            </w:pPr>
          </w:p>
        </w:tc>
        <w:tc>
          <w:tcPr>
            <w:tcW w:w="518" w:type="pct"/>
            <w:vMerge/>
            <w:tcBorders>
              <w:left w:val="single" w:sz="8" w:space="0" w:color="auto"/>
              <w:bottom w:val="single" w:sz="8" w:space="0" w:color="000000"/>
              <w:right w:val="single" w:sz="8" w:space="0" w:color="auto"/>
            </w:tcBorders>
            <w:vAlign w:val="center"/>
          </w:tcPr>
          <w:p w14:paraId="6C41BC48" w14:textId="77777777" w:rsidR="002850C6" w:rsidRPr="002850C6" w:rsidRDefault="002850C6" w:rsidP="002850C6">
            <w:pPr>
              <w:spacing w:before="0" w:after="0"/>
              <w:jc w:val="right"/>
              <w:rPr>
                <w:b/>
                <w:bCs/>
                <w:noProof/>
                <w:sz w:val="20"/>
                <w:szCs w:val="20"/>
                <w:lang w:eastAsia="en-IE"/>
              </w:rPr>
            </w:pPr>
          </w:p>
        </w:tc>
      </w:tr>
      <w:tr w:rsidR="002850C6" w:rsidRPr="002850C6" w14:paraId="0E6C83C6" w14:textId="77777777" w:rsidTr="0043630B">
        <w:trPr>
          <w:trHeight w:val="300"/>
        </w:trPr>
        <w:tc>
          <w:tcPr>
            <w:tcW w:w="1492" w:type="pct"/>
            <w:vMerge w:val="restart"/>
            <w:tcBorders>
              <w:top w:val="single" w:sz="8" w:space="0" w:color="auto"/>
              <w:left w:val="single" w:sz="8" w:space="0" w:color="auto"/>
              <w:bottom w:val="single" w:sz="8" w:space="0" w:color="auto"/>
              <w:right w:val="single" w:sz="8" w:space="0" w:color="auto"/>
            </w:tcBorders>
            <w:vAlign w:val="center"/>
            <w:hideMark/>
          </w:tcPr>
          <w:p w14:paraId="42D95F23" w14:textId="77777777" w:rsidR="002850C6" w:rsidRPr="002850C6" w:rsidRDefault="002850C6" w:rsidP="002850C6">
            <w:pPr>
              <w:spacing w:before="0" w:after="0"/>
              <w:rPr>
                <w:noProof/>
                <w:sz w:val="21"/>
                <w:szCs w:val="21"/>
              </w:rPr>
            </w:pPr>
            <w:r w:rsidRPr="002850C6">
              <w:rPr>
                <w:rFonts w:ascii="Calibri" w:hAnsi="Calibri"/>
                <w:noProof/>
                <w:sz w:val="21"/>
              </w:rPr>
              <w:t xml:space="preserve">• </w:t>
            </w:r>
            <w:r w:rsidRPr="002850C6">
              <w:rPr>
                <w:noProof/>
                <w:sz w:val="21"/>
              </w:rPr>
              <w:t>TOTAL des crédits opérationnels (toutes les rubriques opérationnelles)</w:t>
            </w:r>
          </w:p>
        </w:tc>
        <w:tc>
          <w:tcPr>
            <w:tcW w:w="472" w:type="pct"/>
            <w:tcBorders>
              <w:top w:val="single" w:sz="8" w:space="0" w:color="auto"/>
              <w:left w:val="nil"/>
              <w:bottom w:val="single" w:sz="8" w:space="0" w:color="auto"/>
              <w:right w:val="single" w:sz="8" w:space="0" w:color="auto"/>
            </w:tcBorders>
            <w:vAlign w:val="center"/>
            <w:hideMark/>
          </w:tcPr>
          <w:p w14:paraId="282394E3" w14:textId="77777777" w:rsidR="002850C6" w:rsidRPr="002850C6" w:rsidRDefault="002850C6" w:rsidP="002850C6">
            <w:pPr>
              <w:spacing w:before="0" w:after="0"/>
              <w:rPr>
                <w:noProof/>
                <w:sz w:val="18"/>
                <w:szCs w:val="18"/>
              </w:rPr>
            </w:pPr>
            <w:r w:rsidRPr="002850C6">
              <w:rPr>
                <w:noProof/>
                <w:sz w:val="18"/>
              </w:rPr>
              <w:t>Engagements</w:t>
            </w:r>
          </w:p>
        </w:tc>
        <w:tc>
          <w:tcPr>
            <w:tcW w:w="716" w:type="pct"/>
            <w:gridSpan w:val="2"/>
            <w:tcBorders>
              <w:top w:val="single" w:sz="8" w:space="0" w:color="auto"/>
              <w:left w:val="nil"/>
              <w:bottom w:val="single" w:sz="8" w:space="0" w:color="auto"/>
              <w:right w:val="single" w:sz="8" w:space="0" w:color="000000"/>
            </w:tcBorders>
            <w:vAlign w:val="center"/>
            <w:hideMark/>
          </w:tcPr>
          <w:p w14:paraId="781393C4" w14:textId="77777777" w:rsidR="002850C6" w:rsidRPr="002850C6" w:rsidRDefault="002850C6" w:rsidP="002850C6">
            <w:pPr>
              <w:spacing w:before="0" w:after="0"/>
              <w:jc w:val="center"/>
              <w:rPr>
                <w:noProof/>
                <w:sz w:val="14"/>
                <w:szCs w:val="14"/>
              </w:rPr>
            </w:pPr>
            <w:r w:rsidRPr="002850C6">
              <w:rPr>
                <w:noProof/>
                <w:sz w:val="14"/>
              </w:rPr>
              <w:t>(4)</w:t>
            </w:r>
          </w:p>
        </w:tc>
        <w:tc>
          <w:tcPr>
            <w:tcW w:w="428" w:type="pct"/>
            <w:tcBorders>
              <w:top w:val="nil"/>
              <w:left w:val="nil"/>
              <w:bottom w:val="single" w:sz="8" w:space="0" w:color="auto"/>
              <w:right w:val="single" w:sz="8" w:space="0" w:color="auto"/>
            </w:tcBorders>
            <w:shd w:val="clear" w:color="000000" w:fill="D9D9D9"/>
            <w:vAlign w:val="center"/>
            <w:hideMark/>
          </w:tcPr>
          <w:p w14:paraId="2218B519" w14:textId="77777777" w:rsidR="002850C6" w:rsidRPr="002850C6" w:rsidRDefault="002850C6" w:rsidP="002850C6">
            <w:pPr>
              <w:spacing w:before="0" w:after="0"/>
              <w:jc w:val="right"/>
              <w:rPr>
                <w:noProof/>
                <w:sz w:val="20"/>
                <w:szCs w:val="20"/>
              </w:rPr>
            </w:pPr>
            <w:r w:rsidRPr="002850C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28E85354" w14:textId="77777777" w:rsidR="002850C6" w:rsidRPr="002850C6" w:rsidRDefault="002850C6" w:rsidP="002850C6">
            <w:pPr>
              <w:spacing w:before="0" w:after="0"/>
              <w:jc w:val="right"/>
              <w:rPr>
                <w:noProof/>
                <w:sz w:val="20"/>
                <w:szCs w:val="20"/>
              </w:rPr>
            </w:pPr>
            <w:r w:rsidRPr="002850C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73D18FC9" w14:textId="77777777" w:rsidR="002850C6" w:rsidRPr="002850C6" w:rsidRDefault="002850C6" w:rsidP="002850C6">
            <w:pPr>
              <w:spacing w:before="0" w:after="0"/>
              <w:jc w:val="right"/>
              <w:rPr>
                <w:noProof/>
                <w:sz w:val="20"/>
                <w:szCs w:val="20"/>
              </w:rPr>
            </w:pPr>
            <w:r w:rsidRPr="002850C6">
              <w:rPr>
                <w:noProof/>
                <w:sz w:val="20"/>
              </w:rPr>
              <w:t>5,062</w:t>
            </w:r>
          </w:p>
        </w:tc>
        <w:tc>
          <w:tcPr>
            <w:tcW w:w="518" w:type="pct"/>
            <w:tcBorders>
              <w:top w:val="nil"/>
              <w:left w:val="nil"/>
              <w:bottom w:val="single" w:sz="8" w:space="0" w:color="auto"/>
              <w:right w:val="single" w:sz="8" w:space="0" w:color="auto"/>
            </w:tcBorders>
            <w:shd w:val="clear" w:color="000000" w:fill="D9D9D9"/>
            <w:vAlign w:val="center"/>
            <w:hideMark/>
          </w:tcPr>
          <w:p w14:paraId="4985FCCB" w14:textId="77777777" w:rsidR="002850C6" w:rsidRPr="002850C6" w:rsidRDefault="002850C6" w:rsidP="002850C6">
            <w:pPr>
              <w:spacing w:before="0" w:after="0"/>
              <w:jc w:val="right"/>
              <w:rPr>
                <w:b/>
                <w:bCs/>
                <w:noProof/>
                <w:sz w:val="20"/>
                <w:szCs w:val="20"/>
              </w:rPr>
            </w:pPr>
            <w:r w:rsidRPr="002850C6">
              <w:rPr>
                <w:b/>
                <w:noProof/>
                <w:sz w:val="20"/>
              </w:rPr>
              <w:t>5,062</w:t>
            </w:r>
          </w:p>
        </w:tc>
        <w:tc>
          <w:tcPr>
            <w:tcW w:w="518" w:type="pct"/>
            <w:tcBorders>
              <w:top w:val="nil"/>
              <w:left w:val="nil"/>
              <w:bottom w:val="single" w:sz="8" w:space="0" w:color="auto"/>
              <w:right w:val="single" w:sz="8" w:space="0" w:color="auto"/>
            </w:tcBorders>
            <w:shd w:val="clear" w:color="000000" w:fill="D9D9D9"/>
            <w:vAlign w:val="center"/>
          </w:tcPr>
          <w:p w14:paraId="343FCB71" w14:textId="77777777" w:rsidR="002850C6" w:rsidRPr="002850C6" w:rsidRDefault="002850C6" w:rsidP="002850C6">
            <w:pPr>
              <w:spacing w:before="0" w:after="0"/>
              <w:jc w:val="right"/>
              <w:rPr>
                <w:b/>
                <w:bCs/>
                <w:noProof/>
                <w:sz w:val="20"/>
                <w:szCs w:val="20"/>
              </w:rPr>
            </w:pPr>
            <w:r w:rsidRPr="002850C6">
              <w:rPr>
                <w:b/>
                <w:noProof/>
                <w:sz w:val="20"/>
              </w:rPr>
              <w:t>14,894</w:t>
            </w:r>
          </w:p>
        </w:tc>
      </w:tr>
      <w:tr w:rsidR="002850C6" w:rsidRPr="002850C6" w14:paraId="2ECDEE85" w14:textId="77777777" w:rsidTr="0043630B">
        <w:trPr>
          <w:trHeight w:val="300"/>
        </w:trPr>
        <w:tc>
          <w:tcPr>
            <w:tcW w:w="1492" w:type="pct"/>
            <w:vMerge/>
            <w:tcBorders>
              <w:top w:val="single" w:sz="8" w:space="0" w:color="auto"/>
              <w:left w:val="single" w:sz="8" w:space="0" w:color="auto"/>
              <w:bottom w:val="single" w:sz="8" w:space="0" w:color="auto"/>
              <w:right w:val="single" w:sz="8" w:space="0" w:color="auto"/>
            </w:tcBorders>
            <w:vAlign w:val="center"/>
            <w:hideMark/>
          </w:tcPr>
          <w:p w14:paraId="7407EE9C" w14:textId="77777777" w:rsidR="002850C6" w:rsidRPr="002850C6" w:rsidRDefault="002850C6" w:rsidP="002850C6">
            <w:pPr>
              <w:spacing w:before="0" w:after="0"/>
              <w:jc w:val="left"/>
              <w:rPr>
                <w:noProof/>
                <w:sz w:val="21"/>
                <w:szCs w:val="21"/>
                <w:lang w:eastAsia="en-IE"/>
              </w:rPr>
            </w:pPr>
          </w:p>
        </w:tc>
        <w:tc>
          <w:tcPr>
            <w:tcW w:w="472" w:type="pct"/>
            <w:tcBorders>
              <w:top w:val="nil"/>
              <w:left w:val="nil"/>
              <w:bottom w:val="single" w:sz="8" w:space="0" w:color="auto"/>
              <w:right w:val="single" w:sz="8" w:space="0" w:color="auto"/>
            </w:tcBorders>
            <w:vAlign w:val="center"/>
            <w:hideMark/>
          </w:tcPr>
          <w:p w14:paraId="6F59D2E7" w14:textId="77777777" w:rsidR="002850C6" w:rsidRPr="002850C6" w:rsidRDefault="002850C6" w:rsidP="002850C6">
            <w:pPr>
              <w:spacing w:before="0" w:after="0"/>
              <w:rPr>
                <w:noProof/>
                <w:sz w:val="18"/>
                <w:szCs w:val="18"/>
              </w:rPr>
            </w:pPr>
            <w:r w:rsidRPr="002850C6">
              <w:rPr>
                <w:noProof/>
                <w:sz w:val="18"/>
              </w:rPr>
              <w:t>Paiements</w:t>
            </w:r>
          </w:p>
        </w:tc>
        <w:tc>
          <w:tcPr>
            <w:tcW w:w="716" w:type="pct"/>
            <w:gridSpan w:val="2"/>
            <w:tcBorders>
              <w:top w:val="single" w:sz="8" w:space="0" w:color="auto"/>
              <w:left w:val="nil"/>
              <w:bottom w:val="single" w:sz="8" w:space="0" w:color="auto"/>
              <w:right w:val="single" w:sz="8" w:space="0" w:color="000000"/>
            </w:tcBorders>
            <w:vAlign w:val="center"/>
            <w:hideMark/>
          </w:tcPr>
          <w:p w14:paraId="63FCC80D" w14:textId="77777777" w:rsidR="002850C6" w:rsidRPr="002850C6" w:rsidRDefault="002850C6" w:rsidP="002850C6">
            <w:pPr>
              <w:spacing w:before="0" w:after="0"/>
              <w:jc w:val="center"/>
              <w:rPr>
                <w:noProof/>
                <w:sz w:val="14"/>
                <w:szCs w:val="14"/>
              </w:rPr>
            </w:pPr>
            <w:r w:rsidRPr="002850C6">
              <w:rPr>
                <w:noProof/>
                <w:sz w:val="14"/>
              </w:rPr>
              <w:t>(5)</w:t>
            </w:r>
          </w:p>
        </w:tc>
        <w:tc>
          <w:tcPr>
            <w:tcW w:w="428" w:type="pct"/>
            <w:tcBorders>
              <w:top w:val="nil"/>
              <w:left w:val="nil"/>
              <w:bottom w:val="single" w:sz="8" w:space="0" w:color="auto"/>
              <w:right w:val="single" w:sz="8" w:space="0" w:color="auto"/>
            </w:tcBorders>
            <w:shd w:val="clear" w:color="000000" w:fill="D9D9D9"/>
            <w:vAlign w:val="center"/>
            <w:hideMark/>
          </w:tcPr>
          <w:p w14:paraId="7393765B" w14:textId="77777777" w:rsidR="002850C6" w:rsidRPr="002850C6" w:rsidRDefault="002850C6" w:rsidP="002850C6">
            <w:pPr>
              <w:spacing w:before="0" w:after="0"/>
              <w:jc w:val="right"/>
              <w:rPr>
                <w:noProof/>
                <w:sz w:val="20"/>
                <w:szCs w:val="20"/>
              </w:rPr>
            </w:pPr>
            <w:r w:rsidRPr="002850C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7B3086E1" w14:textId="77777777" w:rsidR="002850C6" w:rsidRPr="002850C6" w:rsidRDefault="002850C6" w:rsidP="002850C6">
            <w:pPr>
              <w:spacing w:before="0" w:after="0"/>
              <w:jc w:val="right"/>
              <w:rPr>
                <w:noProof/>
                <w:sz w:val="20"/>
                <w:szCs w:val="20"/>
              </w:rPr>
            </w:pPr>
            <w:r w:rsidRPr="002850C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0FB34F77" w14:textId="77777777" w:rsidR="002850C6" w:rsidRPr="002850C6" w:rsidRDefault="002850C6" w:rsidP="002850C6">
            <w:pPr>
              <w:spacing w:before="0" w:after="0"/>
              <w:jc w:val="right"/>
              <w:rPr>
                <w:noProof/>
                <w:sz w:val="20"/>
                <w:szCs w:val="20"/>
              </w:rPr>
            </w:pPr>
            <w:r w:rsidRPr="002850C6">
              <w:rPr>
                <w:noProof/>
                <w:sz w:val="20"/>
              </w:rPr>
              <w:t>5,062</w:t>
            </w:r>
          </w:p>
        </w:tc>
        <w:tc>
          <w:tcPr>
            <w:tcW w:w="518" w:type="pct"/>
            <w:tcBorders>
              <w:top w:val="nil"/>
              <w:left w:val="nil"/>
              <w:bottom w:val="single" w:sz="8" w:space="0" w:color="auto"/>
              <w:right w:val="single" w:sz="8" w:space="0" w:color="auto"/>
            </w:tcBorders>
            <w:shd w:val="clear" w:color="000000" w:fill="D9D9D9"/>
            <w:vAlign w:val="center"/>
            <w:hideMark/>
          </w:tcPr>
          <w:p w14:paraId="6CFC4718" w14:textId="77777777" w:rsidR="002850C6" w:rsidRPr="002850C6" w:rsidRDefault="002850C6" w:rsidP="002850C6">
            <w:pPr>
              <w:spacing w:before="0" w:after="0"/>
              <w:jc w:val="right"/>
              <w:rPr>
                <w:b/>
                <w:bCs/>
                <w:noProof/>
                <w:sz w:val="20"/>
                <w:szCs w:val="20"/>
              </w:rPr>
            </w:pPr>
            <w:r w:rsidRPr="002850C6">
              <w:rPr>
                <w:b/>
                <w:noProof/>
                <w:sz w:val="20"/>
              </w:rPr>
              <w:t>5,062</w:t>
            </w:r>
          </w:p>
        </w:tc>
        <w:tc>
          <w:tcPr>
            <w:tcW w:w="518" w:type="pct"/>
            <w:tcBorders>
              <w:top w:val="nil"/>
              <w:left w:val="nil"/>
              <w:bottom w:val="single" w:sz="8" w:space="0" w:color="auto"/>
              <w:right w:val="single" w:sz="8" w:space="0" w:color="auto"/>
            </w:tcBorders>
            <w:shd w:val="clear" w:color="000000" w:fill="D9D9D9"/>
            <w:vAlign w:val="center"/>
          </w:tcPr>
          <w:p w14:paraId="25404CC5" w14:textId="77777777" w:rsidR="002850C6" w:rsidRPr="002850C6" w:rsidRDefault="002850C6" w:rsidP="002850C6">
            <w:pPr>
              <w:spacing w:before="0" w:after="0"/>
              <w:jc w:val="right"/>
              <w:rPr>
                <w:b/>
                <w:bCs/>
                <w:noProof/>
                <w:sz w:val="20"/>
                <w:szCs w:val="20"/>
              </w:rPr>
            </w:pPr>
            <w:r w:rsidRPr="002850C6">
              <w:rPr>
                <w:b/>
                <w:noProof/>
                <w:sz w:val="20"/>
              </w:rPr>
              <w:t>14,894</w:t>
            </w:r>
          </w:p>
        </w:tc>
      </w:tr>
      <w:tr w:rsidR="002850C6" w:rsidRPr="002850C6" w14:paraId="4A733B9B" w14:textId="77777777" w:rsidTr="0043630B">
        <w:trPr>
          <w:trHeight w:val="990"/>
        </w:trPr>
        <w:tc>
          <w:tcPr>
            <w:tcW w:w="1965" w:type="pct"/>
            <w:gridSpan w:val="2"/>
            <w:tcBorders>
              <w:top w:val="single" w:sz="8" w:space="0" w:color="auto"/>
              <w:left w:val="single" w:sz="8" w:space="0" w:color="auto"/>
              <w:bottom w:val="single" w:sz="8" w:space="0" w:color="auto"/>
              <w:right w:val="single" w:sz="8" w:space="0" w:color="000000"/>
            </w:tcBorders>
            <w:vAlign w:val="center"/>
            <w:hideMark/>
          </w:tcPr>
          <w:p w14:paraId="2D442CB3" w14:textId="77777777" w:rsidR="002850C6" w:rsidRPr="002850C6" w:rsidRDefault="002850C6" w:rsidP="002850C6">
            <w:pPr>
              <w:spacing w:before="0" w:after="0"/>
              <w:rPr>
                <w:noProof/>
                <w:sz w:val="21"/>
                <w:szCs w:val="21"/>
              </w:rPr>
            </w:pPr>
            <w:r w:rsidRPr="002850C6">
              <w:rPr>
                <w:rFonts w:ascii="Calibri" w:hAnsi="Calibri"/>
                <w:noProof/>
                <w:sz w:val="21"/>
              </w:rPr>
              <w:t xml:space="preserve">• </w:t>
            </w:r>
            <w:r w:rsidRPr="002850C6">
              <w:rPr>
                <w:noProof/>
                <w:sz w:val="21"/>
              </w:rPr>
              <w:t>TOTAL des crédits de nature administrative financés par l’enveloppe de certains programmes spécifiques (toutes les rubriques opérationnelles)</w:t>
            </w:r>
          </w:p>
        </w:tc>
        <w:tc>
          <w:tcPr>
            <w:tcW w:w="716" w:type="pct"/>
            <w:gridSpan w:val="2"/>
            <w:tcBorders>
              <w:top w:val="single" w:sz="8" w:space="0" w:color="auto"/>
              <w:left w:val="nil"/>
              <w:bottom w:val="single" w:sz="8" w:space="0" w:color="auto"/>
              <w:right w:val="single" w:sz="8" w:space="0" w:color="000000"/>
            </w:tcBorders>
            <w:vAlign w:val="center"/>
            <w:hideMark/>
          </w:tcPr>
          <w:p w14:paraId="2B739456" w14:textId="77777777" w:rsidR="002850C6" w:rsidRPr="002850C6" w:rsidRDefault="002850C6" w:rsidP="002850C6">
            <w:pPr>
              <w:spacing w:before="0" w:after="0"/>
              <w:jc w:val="center"/>
              <w:rPr>
                <w:noProof/>
                <w:sz w:val="14"/>
                <w:szCs w:val="14"/>
              </w:rPr>
            </w:pPr>
            <w:r w:rsidRPr="002850C6">
              <w:rPr>
                <w:noProof/>
                <w:sz w:val="14"/>
              </w:rPr>
              <w:t>(6)</w:t>
            </w:r>
          </w:p>
        </w:tc>
        <w:tc>
          <w:tcPr>
            <w:tcW w:w="428" w:type="pct"/>
            <w:tcBorders>
              <w:top w:val="nil"/>
              <w:left w:val="nil"/>
              <w:bottom w:val="single" w:sz="8" w:space="0" w:color="auto"/>
              <w:right w:val="single" w:sz="8" w:space="0" w:color="auto"/>
            </w:tcBorders>
            <w:shd w:val="clear" w:color="000000" w:fill="D9D9D9"/>
            <w:vAlign w:val="center"/>
            <w:hideMark/>
          </w:tcPr>
          <w:p w14:paraId="0C0E81C2" w14:textId="77777777" w:rsidR="002850C6" w:rsidRPr="002850C6" w:rsidRDefault="002850C6" w:rsidP="002850C6">
            <w:pPr>
              <w:spacing w:before="0" w:after="0"/>
              <w:jc w:val="right"/>
              <w:rPr>
                <w:noProof/>
                <w:sz w:val="20"/>
                <w:szCs w:val="20"/>
              </w:rPr>
            </w:pPr>
            <w:r w:rsidRPr="002850C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2394B324" w14:textId="77777777" w:rsidR="002850C6" w:rsidRPr="002850C6" w:rsidRDefault="002850C6" w:rsidP="002850C6">
            <w:pPr>
              <w:spacing w:before="0" w:after="0"/>
              <w:jc w:val="right"/>
              <w:rPr>
                <w:noProof/>
                <w:sz w:val="20"/>
                <w:szCs w:val="20"/>
              </w:rPr>
            </w:pPr>
            <w:r w:rsidRPr="002850C6">
              <w:rPr>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1AA92061" w14:textId="77777777" w:rsidR="002850C6" w:rsidRPr="002850C6" w:rsidRDefault="002850C6" w:rsidP="002850C6">
            <w:pPr>
              <w:spacing w:before="0" w:after="0"/>
              <w:jc w:val="right"/>
              <w:rPr>
                <w:noProof/>
                <w:sz w:val="20"/>
                <w:szCs w:val="20"/>
              </w:rPr>
            </w:pPr>
            <w:r w:rsidRPr="002850C6">
              <w:rPr>
                <w:noProof/>
                <w:sz w:val="20"/>
              </w:rPr>
              <w:t>0,000</w:t>
            </w:r>
          </w:p>
        </w:tc>
        <w:tc>
          <w:tcPr>
            <w:tcW w:w="518" w:type="pct"/>
            <w:tcBorders>
              <w:top w:val="nil"/>
              <w:left w:val="nil"/>
              <w:bottom w:val="single" w:sz="8" w:space="0" w:color="auto"/>
              <w:right w:val="single" w:sz="8" w:space="0" w:color="auto"/>
            </w:tcBorders>
            <w:shd w:val="clear" w:color="000000" w:fill="D9D9D9"/>
            <w:vAlign w:val="center"/>
            <w:hideMark/>
          </w:tcPr>
          <w:p w14:paraId="654BFAD5" w14:textId="77777777" w:rsidR="002850C6" w:rsidRPr="002850C6" w:rsidRDefault="002850C6" w:rsidP="002850C6">
            <w:pPr>
              <w:spacing w:before="0" w:after="0"/>
              <w:jc w:val="right"/>
              <w:rPr>
                <w:b/>
                <w:bCs/>
                <w:noProof/>
                <w:sz w:val="20"/>
                <w:szCs w:val="20"/>
              </w:rPr>
            </w:pPr>
            <w:r w:rsidRPr="002850C6">
              <w:rPr>
                <w:b/>
                <w:noProof/>
                <w:sz w:val="20"/>
              </w:rPr>
              <w:t>0,000</w:t>
            </w:r>
          </w:p>
        </w:tc>
        <w:tc>
          <w:tcPr>
            <w:tcW w:w="518" w:type="pct"/>
            <w:tcBorders>
              <w:top w:val="nil"/>
              <w:left w:val="nil"/>
              <w:bottom w:val="single" w:sz="8" w:space="0" w:color="auto"/>
              <w:right w:val="single" w:sz="8" w:space="0" w:color="auto"/>
            </w:tcBorders>
            <w:shd w:val="clear" w:color="000000" w:fill="D9D9D9"/>
            <w:vAlign w:val="center"/>
          </w:tcPr>
          <w:p w14:paraId="2EE2B62A" w14:textId="77777777" w:rsidR="002850C6" w:rsidRPr="002850C6" w:rsidRDefault="002850C6" w:rsidP="002850C6">
            <w:pPr>
              <w:spacing w:before="0" w:after="0"/>
              <w:jc w:val="right"/>
              <w:rPr>
                <w:b/>
                <w:bCs/>
                <w:noProof/>
                <w:sz w:val="20"/>
                <w:szCs w:val="20"/>
              </w:rPr>
            </w:pPr>
            <w:r w:rsidRPr="002850C6">
              <w:rPr>
                <w:b/>
                <w:noProof/>
                <w:sz w:val="20"/>
              </w:rPr>
              <w:t>0,000</w:t>
            </w:r>
          </w:p>
        </w:tc>
      </w:tr>
      <w:tr w:rsidR="002850C6" w:rsidRPr="002850C6" w14:paraId="42CCB0BF" w14:textId="77777777" w:rsidTr="0043630B">
        <w:trPr>
          <w:trHeight w:val="564"/>
        </w:trPr>
        <w:tc>
          <w:tcPr>
            <w:tcW w:w="1492" w:type="pct"/>
            <w:tcBorders>
              <w:top w:val="nil"/>
              <w:left w:val="single" w:sz="8" w:space="0" w:color="auto"/>
              <w:bottom w:val="nil"/>
              <w:right w:val="single" w:sz="8" w:space="0" w:color="auto"/>
            </w:tcBorders>
            <w:shd w:val="thinDiagStripe" w:color="C0C0C0" w:fill="F1F1F1"/>
            <w:vAlign w:val="center"/>
            <w:hideMark/>
          </w:tcPr>
          <w:p w14:paraId="41C274B0" w14:textId="77777777" w:rsidR="002850C6" w:rsidRPr="002850C6" w:rsidRDefault="002850C6" w:rsidP="002850C6">
            <w:pPr>
              <w:spacing w:before="0" w:after="0"/>
              <w:jc w:val="center"/>
              <w:rPr>
                <w:b/>
                <w:bCs/>
                <w:noProof/>
                <w:sz w:val="22"/>
              </w:rPr>
            </w:pPr>
            <w:r w:rsidRPr="002850C6">
              <w:rPr>
                <w:b/>
                <w:noProof/>
                <w:sz w:val="22"/>
              </w:rPr>
              <w:t>TOTAL des crédits pour les rubriques 1 à 6</w:t>
            </w:r>
          </w:p>
        </w:tc>
        <w:tc>
          <w:tcPr>
            <w:tcW w:w="472" w:type="pct"/>
            <w:tcBorders>
              <w:top w:val="nil"/>
              <w:left w:val="nil"/>
              <w:bottom w:val="nil"/>
              <w:right w:val="single" w:sz="8" w:space="0" w:color="auto"/>
            </w:tcBorders>
            <w:vAlign w:val="center"/>
            <w:hideMark/>
          </w:tcPr>
          <w:p w14:paraId="5C03536F" w14:textId="77777777" w:rsidR="002850C6" w:rsidRPr="002850C6" w:rsidRDefault="002850C6" w:rsidP="002850C6">
            <w:pPr>
              <w:spacing w:before="0" w:after="0"/>
              <w:rPr>
                <w:noProof/>
                <w:sz w:val="18"/>
                <w:szCs w:val="18"/>
              </w:rPr>
            </w:pPr>
            <w:r w:rsidRPr="002850C6">
              <w:rPr>
                <w:noProof/>
                <w:sz w:val="18"/>
              </w:rPr>
              <w:t>Engagements</w:t>
            </w:r>
          </w:p>
        </w:tc>
        <w:tc>
          <w:tcPr>
            <w:tcW w:w="716" w:type="pct"/>
            <w:gridSpan w:val="2"/>
            <w:tcBorders>
              <w:top w:val="single" w:sz="8" w:space="0" w:color="auto"/>
              <w:left w:val="nil"/>
              <w:bottom w:val="nil"/>
              <w:right w:val="single" w:sz="8" w:space="0" w:color="000000"/>
            </w:tcBorders>
            <w:vAlign w:val="center"/>
            <w:hideMark/>
          </w:tcPr>
          <w:p w14:paraId="06A4BED1" w14:textId="77777777" w:rsidR="002850C6" w:rsidRPr="002850C6" w:rsidRDefault="002850C6" w:rsidP="002850C6">
            <w:pPr>
              <w:spacing w:before="0" w:after="0"/>
              <w:jc w:val="center"/>
              <w:rPr>
                <w:noProof/>
                <w:sz w:val="14"/>
                <w:szCs w:val="14"/>
              </w:rPr>
            </w:pPr>
            <w:r w:rsidRPr="002850C6">
              <w:rPr>
                <w:noProof/>
                <w:sz w:val="14"/>
              </w:rPr>
              <w:t>=4+6</w:t>
            </w:r>
          </w:p>
        </w:tc>
        <w:tc>
          <w:tcPr>
            <w:tcW w:w="428" w:type="pct"/>
            <w:tcBorders>
              <w:top w:val="nil"/>
              <w:left w:val="nil"/>
              <w:bottom w:val="single" w:sz="8" w:space="0" w:color="auto"/>
              <w:right w:val="single" w:sz="8" w:space="0" w:color="auto"/>
            </w:tcBorders>
            <w:shd w:val="clear" w:color="000000" w:fill="D9D9D9"/>
            <w:vAlign w:val="center"/>
            <w:hideMark/>
          </w:tcPr>
          <w:p w14:paraId="79390435" w14:textId="77777777" w:rsidR="002850C6" w:rsidRPr="002850C6" w:rsidRDefault="002850C6" w:rsidP="002850C6">
            <w:pPr>
              <w:spacing w:before="0" w:after="0"/>
              <w:jc w:val="right"/>
              <w:rPr>
                <w:b/>
                <w:bCs/>
                <w:noProof/>
                <w:sz w:val="20"/>
                <w:szCs w:val="20"/>
              </w:rPr>
            </w:pPr>
            <w:r w:rsidRPr="002850C6">
              <w:rPr>
                <w:b/>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1B634C82" w14:textId="77777777" w:rsidR="002850C6" w:rsidRPr="002850C6" w:rsidRDefault="002850C6" w:rsidP="002850C6">
            <w:pPr>
              <w:spacing w:before="0" w:after="0"/>
              <w:jc w:val="right"/>
              <w:rPr>
                <w:b/>
                <w:bCs/>
                <w:noProof/>
                <w:sz w:val="20"/>
                <w:szCs w:val="20"/>
              </w:rPr>
            </w:pPr>
            <w:r w:rsidRPr="002850C6">
              <w:rPr>
                <w:b/>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4B7AD664" w14:textId="77777777" w:rsidR="002850C6" w:rsidRPr="002850C6" w:rsidRDefault="002850C6" w:rsidP="002850C6">
            <w:pPr>
              <w:spacing w:before="0" w:after="0"/>
              <w:jc w:val="right"/>
              <w:rPr>
                <w:b/>
                <w:bCs/>
                <w:noProof/>
                <w:sz w:val="20"/>
                <w:szCs w:val="20"/>
              </w:rPr>
            </w:pPr>
            <w:r w:rsidRPr="002850C6">
              <w:rPr>
                <w:b/>
                <w:noProof/>
                <w:sz w:val="20"/>
              </w:rPr>
              <w:t>5,062</w:t>
            </w:r>
          </w:p>
        </w:tc>
        <w:tc>
          <w:tcPr>
            <w:tcW w:w="518" w:type="pct"/>
            <w:tcBorders>
              <w:top w:val="nil"/>
              <w:left w:val="nil"/>
              <w:bottom w:val="single" w:sz="8" w:space="0" w:color="auto"/>
              <w:right w:val="single" w:sz="8" w:space="0" w:color="auto"/>
            </w:tcBorders>
            <w:shd w:val="clear" w:color="000000" w:fill="D9D9D9"/>
            <w:vAlign w:val="center"/>
            <w:hideMark/>
          </w:tcPr>
          <w:p w14:paraId="427F98E3" w14:textId="77777777" w:rsidR="002850C6" w:rsidRPr="002850C6" w:rsidRDefault="002850C6" w:rsidP="002850C6">
            <w:pPr>
              <w:spacing w:before="0" w:after="0"/>
              <w:jc w:val="right"/>
              <w:rPr>
                <w:b/>
                <w:bCs/>
                <w:noProof/>
                <w:sz w:val="20"/>
                <w:szCs w:val="20"/>
              </w:rPr>
            </w:pPr>
            <w:r w:rsidRPr="002850C6">
              <w:rPr>
                <w:b/>
                <w:noProof/>
                <w:sz w:val="20"/>
              </w:rPr>
              <w:t>5,062</w:t>
            </w:r>
          </w:p>
        </w:tc>
        <w:tc>
          <w:tcPr>
            <w:tcW w:w="518" w:type="pct"/>
            <w:tcBorders>
              <w:top w:val="nil"/>
              <w:left w:val="nil"/>
              <w:bottom w:val="single" w:sz="8" w:space="0" w:color="auto"/>
              <w:right w:val="single" w:sz="8" w:space="0" w:color="auto"/>
            </w:tcBorders>
            <w:shd w:val="clear" w:color="000000" w:fill="D9D9D9"/>
            <w:vAlign w:val="center"/>
          </w:tcPr>
          <w:p w14:paraId="34191F25" w14:textId="77777777" w:rsidR="002850C6" w:rsidRPr="002850C6" w:rsidRDefault="002850C6" w:rsidP="002850C6">
            <w:pPr>
              <w:spacing w:before="0" w:after="0"/>
              <w:jc w:val="right"/>
              <w:rPr>
                <w:b/>
                <w:bCs/>
                <w:noProof/>
                <w:sz w:val="20"/>
                <w:szCs w:val="20"/>
              </w:rPr>
            </w:pPr>
            <w:r w:rsidRPr="002850C6">
              <w:rPr>
                <w:b/>
                <w:noProof/>
                <w:sz w:val="20"/>
              </w:rPr>
              <w:t>14,894</w:t>
            </w:r>
          </w:p>
        </w:tc>
      </w:tr>
      <w:tr w:rsidR="002850C6" w:rsidRPr="002850C6" w14:paraId="1D14818E" w14:textId="77777777" w:rsidTr="0043630B">
        <w:trPr>
          <w:trHeight w:val="588"/>
        </w:trPr>
        <w:tc>
          <w:tcPr>
            <w:tcW w:w="1492" w:type="pct"/>
            <w:tcBorders>
              <w:top w:val="nil"/>
              <w:left w:val="single" w:sz="8" w:space="0" w:color="auto"/>
              <w:bottom w:val="single" w:sz="8" w:space="0" w:color="auto"/>
              <w:right w:val="single" w:sz="8" w:space="0" w:color="auto"/>
            </w:tcBorders>
            <w:shd w:val="thinDiagStripe" w:color="C0C0C0" w:fill="F1F1F1"/>
            <w:vAlign w:val="center"/>
            <w:hideMark/>
          </w:tcPr>
          <w:p w14:paraId="41A57537" w14:textId="77777777" w:rsidR="002850C6" w:rsidRPr="002850C6" w:rsidRDefault="002850C6" w:rsidP="002850C6">
            <w:pPr>
              <w:spacing w:before="0" w:after="0"/>
              <w:jc w:val="center"/>
              <w:rPr>
                <w:noProof/>
                <w:sz w:val="20"/>
                <w:szCs w:val="20"/>
              </w:rPr>
            </w:pPr>
            <w:r w:rsidRPr="002850C6">
              <w:rPr>
                <w:noProof/>
                <w:sz w:val="20"/>
              </w:rPr>
              <w:t>du cadre financier pluriannuel</w:t>
            </w:r>
            <w:r w:rsidRPr="002850C6">
              <w:rPr>
                <w:noProof/>
              </w:rPr>
              <w:t xml:space="preserve"> </w:t>
            </w:r>
            <w:r w:rsidRPr="002850C6">
              <w:rPr>
                <w:noProof/>
              </w:rPr>
              <w:br/>
            </w:r>
            <w:r w:rsidRPr="002850C6">
              <w:rPr>
                <w:noProof/>
                <w:sz w:val="20"/>
              </w:rPr>
              <w:t>(Montant de référence)</w:t>
            </w:r>
          </w:p>
        </w:tc>
        <w:tc>
          <w:tcPr>
            <w:tcW w:w="472" w:type="pct"/>
            <w:tcBorders>
              <w:top w:val="nil"/>
              <w:left w:val="nil"/>
              <w:bottom w:val="single" w:sz="8" w:space="0" w:color="auto"/>
              <w:right w:val="single" w:sz="8" w:space="0" w:color="auto"/>
            </w:tcBorders>
            <w:vAlign w:val="center"/>
            <w:hideMark/>
          </w:tcPr>
          <w:p w14:paraId="038E930E" w14:textId="77777777" w:rsidR="002850C6" w:rsidRPr="002850C6" w:rsidRDefault="002850C6" w:rsidP="002850C6">
            <w:pPr>
              <w:spacing w:before="0" w:after="0"/>
              <w:rPr>
                <w:noProof/>
                <w:sz w:val="18"/>
                <w:szCs w:val="18"/>
              </w:rPr>
            </w:pPr>
            <w:r w:rsidRPr="002850C6">
              <w:rPr>
                <w:noProof/>
                <w:sz w:val="18"/>
              </w:rPr>
              <w:t>Paiements</w:t>
            </w:r>
          </w:p>
        </w:tc>
        <w:tc>
          <w:tcPr>
            <w:tcW w:w="716" w:type="pct"/>
            <w:gridSpan w:val="2"/>
            <w:tcBorders>
              <w:top w:val="single" w:sz="8" w:space="0" w:color="auto"/>
              <w:left w:val="nil"/>
              <w:bottom w:val="single" w:sz="8" w:space="0" w:color="auto"/>
              <w:right w:val="single" w:sz="8" w:space="0" w:color="000000"/>
            </w:tcBorders>
            <w:vAlign w:val="center"/>
            <w:hideMark/>
          </w:tcPr>
          <w:p w14:paraId="0FAC2BEC" w14:textId="77777777" w:rsidR="002850C6" w:rsidRPr="002850C6" w:rsidRDefault="002850C6" w:rsidP="002850C6">
            <w:pPr>
              <w:spacing w:before="0" w:after="0"/>
              <w:jc w:val="center"/>
              <w:rPr>
                <w:noProof/>
                <w:sz w:val="14"/>
                <w:szCs w:val="14"/>
              </w:rPr>
            </w:pPr>
            <w:r w:rsidRPr="002850C6">
              <w:rPr>
                <w:noProof/>
                <w:sz w:val="14"/>
              </w:rPr>
              <w:t>=5+6</w:t>
            </w:r>
          </w:p>
        </w:tc>
        <w:tc>
          <w:tcPr>
            <w:tcW w:w="428" w:type="pct"/>
            <w:tcBorders>
              <w:top w:val="nil"/>
              <w:left w:val="nil"/>
              <w:bottom w:val="single" w:sz="8" w:space="0" w:color="auto"/>
              <w:right w:val="single" w:sz="8" w:space="0" w:color="auto"/>
            </w:tcBorders>
            <w:shd w:val="clear" w:color="000000" w:fill="D9D9D9"/>
            <w:vAlign w:val="center"/>
            <w:hideMark/>
          </w:tcPr>
          <w:p w14:paraId="5B1DBA2D" w14:textId="77777777" w:rsidR="002850C6" w:rsidRPr="002850C6" w:rsidRDefault="002850C6" w:rsidP="002850C6">
            <w:pPr>
              <w:spacing w:before="0" w:after="0"/>
              <w:jc w:val="right"/>
              <w:rPr>
                <w:b/>
                <w:bCs/>
                <w:noProof/>
                <w:sz w:val="20"/>
                <w:szCs w:val="20"/>
              </w:rPr>
            </w:pPr>
            <w:r w:rsidRPr="002850C6">
              <w:rPr>
                <w:b/>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1E7C2817" w14:textId="77777777" w:rsidR="002850C6" w:rsidRPr="002850C6" w:rsidRDefault="002850C6" w:rsidP="002850C6">
            <w:pPr>
              <w:spacing w:before="0" w:after="0"/>
              <w:jc w:val="right"/>
              <w:rPr>
                <w:b/>
                <w:bCs/>
                <w:noProof/>
                <w:sz w:val="20"/>
                <w:szCs w:val="20"/>
              </w:rPr>
            </w:pPr>
            <w:r w:rsidRPr="002850C6">
              <w:rPr>
                <w:b/>
                <w:noProof/>
                <w:sz w:val="20"/>
              </w:rPr>
              <w:t>0,000</w:t>
            </w:r>
          </w:p>
        </w:tc>
        <w:tc>
          <w:tcPr>
            <w:tcW w:w="428" w:type="pct"/>
            <w:tcBorders>
              <w:top w:val="nil"/>
              <w:left w:val="nil"/>
              <w:bottom w:val="single" w:sz="8" w:space="0" w:color="auto"/>
              <w:right w:val="single" w:sz="8" w:space="0" w:color="auto"/>
            </w:tcBorders>
            <w:shd w:val="clear" w:color="000000" w:fill="D9D9D9"/>
            <w:vAlign w:val="center"/>
            <w:hideMark/>
          </w:tcPr>
          <w:p w14:paraId="1C1AC8BC" w14:textId="77777777" w:rsidR="002850C6" w:rsidRPr="002850C6" w:rsidRDefault="002850C6" w:rsidP="002850C6">
            <w:pPr>
              <w:spacing w:before="0" w:after="0"/>
              <w:jc w:val="right"/>
              <w:rPr>
                <w:b/>
                <w:bCs/>
                <w:noProof/>
                <w:sz w:val="20"/>
                <w:szCs w:val="20"/>
              </w:rPr>
            </w:pPr>
            <w:r w:rsidRPr="002850C6">
              <w:rPr>
                <w:b/>
                <w:noProof/>
                <w:sz w:val="20"/>
              </w:rPr>
              <w:t>5,062</w:t>
            </w:r>
          </w:p>
        </w:tc>
        <w:tc>
          <w:tcPr>
            <w:tcW w:w="518" w:type="pct"/>
            <w:tcBorders>
              <w:top w:val="nil"/>
              <w:left w:val="nil"/>
              <w:bottom w:val="single" w:sz="8" w:space="0" w:color="auto"/>
              <w:right w:val="single" w:sz="8" w:space="0" w:color="auto"/>
            </w:tcBorders>
            <w:shd w:val="clear" w:color="000000" w:fill="D9D9D9"/>
            <w:vAlign w:val="center"/>
            <w:hideMark/>
          </w:tcPr>
          <w:p w14:paraId="4A93879F" w14:textId="77777777" w:rsidR="002850C6" w:rsidRPr="002850C6" w:rsidRDefault="002850C6" w:rsidP="002850C6">
            <w:pPr>
              <w:spacing w:before="0" w:after="0"/>
              <w:jc w:val="right"/>
              <w:rPr>
                <w:b/>
                <w:bCs/>
                <w:noProof/>
                <w:sz w:val="20"/>
                <w:szCs w:val="20"/>
              </w:rPr>
            </w:pPr>
            <w:r w:rsidRPr="002850C6">
              <w:rPr>
                <w:b/>
                <w:noProof/>
                <w:sz w:val="20"/>
              </w:rPr>
              <w:t>5,062</w:t>
            </w:r>
          </w:p>
        </w:tc>
        <w:tc>
          <w:tcPr>
            <w:tcW w:w="518" w:type="pct"/>
            <w:tcBorders>
              <w:top w:val="nil"/>
              <w:left w:val="nil"/>
              <w:bottom w:val="single" w:sz="8" w:space="0" w:color="auto"/>
              <w:right w:val="single" w:sz="8" w:space="0" w:color="auto"/>
            </w:tcBorders>
            <w:shd w:val="clear" w:color="000000" w:fill="D9D9D9"/>
            <w:vAlign w:val="center"/>
          </w:tcPr>
          <w:p w14:paraId="18C6C8DD" w14:textId="77777777" w:rsidR="002850C6" w:rsidRPr="002850C6" w:rsidRDefault="002850C6" w:rsidP="002850C6">
            <w:pPr>
              <w:spacing w:before="0" w:after="0"/>
              <w:jc w:val="right"/>
              <w:rPr>
                <w:b/>
                <w:bCs/>
                <w:noProof/>
                <w:sz w:val="20"/>
                <w:szCs w:val="20"/>
              </w:rPr>
            </w:pPr>
            <w:r w:rsidRPr="002850C6">
              <w:rPr>
                <w:b/>
                <w:noProof/>
                <w:sz w:val="20"/>
              </w:rPr>
              <w:t>14,894</w:t>
            </w:r>
          </w:p>
        </w:tc>
      </w:tr>
    </w:tbl>
    <w:p w14:paraId="36BAF210" w14:textId="77777777" w:rsidR="002850C6" w:rsidRPr="002850C6" w:rsidRDefault="002850C6" w:rsidP="002850C6">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2850C6" w:rsidRPr="002850C6" w14:paraId="01D110CE" w14:textId="77777777" w:rsidTr="0043630B">
        <w:trPr>
          <w:jc w:val="center"/>
        </w:trPr>
        <w:tc>
          <w:tcPr>
            <w:tcW w:w="1739" w:type="pct"/>
            <w:shd w:val="thinDiagStripe" w:color="C0C0C0" w:fill="auto"/>
            <w:vAlign w:val="center"/>
          </w:tcPr>
          <w:p w14:paraId="3CE5229C" w14:textId="77777777" w:rsidR="002850C6" w:rsidRPr="002850C6" w:rsidRDefault="002850C6" w:rsidP="002850C6">
            <w:pPr>
              <w:spacing w:before="60" w:after="60"/>
              <w:jc w:val="center"/>
              <w:rPr>
                <w:b/>
                <w:noProof/>
              </w:rPr>
            </w:pPr>
            <w:r w:rsidRPr="002850C6">
              <w:rPr>
                <w:noProof/>
              </w:rPr>
              <w:br w:type="page"/>
            </w:r>
            <w:r w:rsidRPr="002850C6">
              <w:rPr>
                <w:b/>
                <w:noProof/>
                <w:sz w:val="22"/>
              </w:rPr>
              <w:t xml:space="preserve">Rubrique du cadre financier pluriannuel </w:t>
            </w:r>
          </w:p>
        </w:tc>
        <w:tc>
          <w:tcPr>
            <w:tcW w:w="396" w:type="pct"/>
            <w:shd w:val="thinDiagStripe" w:color="C0C0C0" w:fill="auto"/>
            <w:vAlign w:val="center"/>
          </w:tcPr>
          <w:p w14:paraId="3D6D897F" w14:textId="77777777" w:rsidR="002850C6" w:rsidRPr="002850C6" w:rsidRDefault="002850C6" w:rsidP="002850C6">
            <w:pPr>
              <w:spacing w:before="60" w:after="60"/>
              <w:jc w:val="center"/>
              <w:rPr>
                <w:noProof/>
              </w:rPr>
            </w:pPr>
            <w:r w:rsidRPr="002850C6">
              <w:rPr>
                <w:b/>
                <w:noProof/>
                <w:sz w:val="22"/>
              </w:rPr>
              <w:t>7</w:t>
            </w:r>
          </w:p>
        </w:tc>
        <w:tc>
          <w:tcPr>
            <w:tcW w:w="2865" w:type="pct"/>
            <w:vAlign w:val="center"/>
          </w:tcPr>
          <w:p w14:paraId="2E40AA46" w14:textId="77777777" w:rsidR="002850C6" w:rsidRPr="002850C6" w:rsidRDefault="002850C6" w:rsidP="002850C6">
            <w:pPr>
              <w:spacing w:before="60" w:after="60"/>
              <w:rPr>
                <w:noProof/>
              </w:rPr>
            </w:pPr>
            <w:r w:rsidRPr="002850C6">
              <w:rPr>
                <w:noProof/>
                <w:sz w:val="22"/>
              </w:rPr>
              <w:t xml:space="preserve">«Dépenses administratives» </w:t>
            </w:r>
          </w:p>
        </w:tc>
      </w:tr>
    </w:tbl>
    <w:p w14:paraId="4C7E6C5A" w14:textId="77777777" w:rsidR="002850C6" w:rsidRPr="002850C6" w:rsidRDefault="002850C6" w:rsidP="002850C6">
      <w:pPr>
        <w:spacing w:after="40"/>
        <w:rPr>
          <w:noProof/>
        </w:rPr>
      </w:pPr>
    </w:p>
    <w:tbl>
      <w:tblPr>
        <w:tblW w:w="5000" w:type="pct"/>
        <w:tblLook w:val="04A0" w:firstRow="1" w:lastRow="0" w:firstColumn="1" w:lastColumn="0" w:noHBand="0" w:noVBand="1"/>
      </w:tblPr>
      <w:tblGrid>
        <w:gridCol w:w="7344"/>
        <w:gridCol w:w="1645"/>
        <w:gridCol w:w="223"/>
        <w:gridCol w:w="222"/>
        <w:gridCol w:w="738"/>
        <w:gridCol w:w="738"/>
        <w:gridCol w:w="738"/>
        <w:gridCol w:w="738"/>
        <w:gridCol w:w="917"/>
        <w:gridCol w:w="917"/>
      </w:tblGrid>
      <w:tr w:rsidR="002850C6" w:rsidRPr="002850C6" w14:paraId="64D290CE" w14:textId="77777777" w:rsidTr="0043630B">
        <w:trPr>
          <w:trHeight w:val="288"/>
        </w:trPr>
        <w:tc>
          <w:tcPr>
            <w:tcW w:w="3418"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290F9769" w14:textId="77777777" w:rsidR="002850C6" w:rsidRPr="002850C6" w:rsidRDefault="002850C6" w:rsidP="002850C6">
            <w:pPr>
              <w:spacing w:before="0" w:after="0"/>
              <w:jc w:val="center"/>
              <w:rPr>
                <w:noProof/>
                <w:szCs w:val="24"/>
              </w:rPr>
            </w:pPr>
            <w:r w:rsidRPr="002850C6">
              <w:rPr>
                <w:noProof/>
              </w:rPr>
              <w:t>DG: DEFIS</w:t>
            </w:r>
          </w:p>
        </w:tc>
        <w:tc>
          <w:tcPr>
            <w:tcW w:w="234" w:type="pct"/>
            <w:tcBorders>
              <w:top w:val="single" w:sz="8" w:space="0" w:color="auto"/>
              <w:left w:val="nil"/>
              <w:bottom w:val="nil"/>
              <w:right w:val="single" w:sz="8" w:space="0" w:color="auto"/>
            </w:tcBorders>
            <w:vAlign w:val="center"/>
            <w:hideMark/>
          </w:tcPr>
          <w:p w14:paraId="5630520A" w14:textId="77777777" w:rsidR="002850C6" w:rsidRPr="002850C6" w:rsidRDefault="002850C6" w:rsidP="002850C6">
            <w:pPr>
              <w:spacing w:before="0" w:after="0"/>
              <w:jc w:val="center"/>
              <w:rPr>
                <w:noProof/>
                <w:sz w:val="20"/>
                <w:szCs w:val="20"/>
              </w:rPr>
            </w:pPr>
            <w:r w:rsidRPr="002850C6">
              <w:rPr>
                <w:noProof/>
                <w:sz w:val="20"/>
              </w:rPr>
              <w:t>Année</w:t>
            </w:r>
          </w:p>
        </w:tc>
        <w:tc>
          <w:tcPr>
            <w:tcW w:w="234" w:type="pct"/>
            <w:tcBorders>
              <w:top w:val="single" w:sz="8" w:space="0" w:color="auto"/>
              <w:left w:val="nil"/>
              <w:bottom w:val="nil"/>
              <w:right w:val="single" w:sz="8" w:space="0" w:color="auto"/>
            </w:tcBorders>
            <w:vAlign w:val="center"/>
            <w:hideMark/>
          </w:tcPr>
          <w:p w14:paraId="16C81AA2" w14:textId="77777777" w:rsidR="002850C6" w:rsidRPr="002850C6" w:rsidRDefault="002850C6" w:rsidP="002850C6">
            <w:pPr>
              <w:spacing w:before="0" w:after="0"/>
              <w:jc w:val="center"/>
              <w:rPr>
                <w:noProof/>
                <w:sz w:val="20"/>
                <w:szCs w:val="20"/>
              </w:rPr>
            </w:pPr>
            <w:r w:rsidRPr="002850C6">
              <w:rPr>
                <w:noProof/>
                <w:sz w:val="20"/>
              </w:rPr>
              <w:t>Année</w:t>
            </w:r>
          </w:p>
        </w:tc>
        <w:tc>
          <w:tcPr>
            <w:tcW w:w="234" w:type="pct"/>
            <w:tcBorders>
              <w:top w:val="single" w:sz="8" w:space="0" w:color="auto"/>
              <w:left w:val="nil"/>
              <w:bottom w:val="nil"/>
              <w:right w:val="single" w:sz="8" w:space="0" w:color="auto"/>
            </w:tcBorders>
            <w:vAlign w:val="center"/>
            <w:hideMark/>
          </w:tcPr>
          <w:p w14:paraId="15B279E4" w14:textId="77777777" w:rsidR="002850C6" w:rsidRPr="002850C6" w:rsidRDefault="002850C6" w:rsidP="002850C6">
            <w:pPr>
              <w:spacing w:before="0" w:after="0"/>
              <w:jc w:val="center"/>
              <w:rPr>
                <w:noProof/>
                <w:sz w:val="20"/>
                <w:szCs w:val="20"/>
              </w:rPr>
            </w:pPr>
            <w:r w:rsidRPr="002850C6">
              <w:rPr>
                <w:noProof/>
                <w:sz w:val="20"/>
              </w:rPr>
              <w:t>Année</w:t>
            </w:r>
          </w:p>
        </w:tc>
        <w:tc>
          <w:tcPr>
            <w:tcW w:w="234" w:type="pct"/>
            <w:tcBorders>
              <w:top w:val="single" w:sz="8" w:space="0" w:color="auto"/>
              <w:left w:val="nil"/>
              <w:bottom w:val="nil"/>
              <w:right w:val="single" w:sz="8" w:space="0" w:color="auto"/>
            </w:tcBorders>
            <w:vAlign w:val="center"/>
            <w:hideMark/>
          </w:tcPr>
          <w:p w14:paraId="7AFAECC7" w14:textId="77777777" w:rsidR="002850C6" w:rsidRPr="002850C6" w:rsidRDefault="002850C6" w:rsidP="002850C6">
            <w:pPr>
              <w:spacing w:before="0" w:after="0"/>
              <w:jc w:val="center"/>
              <w:rPr>
                <w:noProof/>
                <w:sz w:val="20"/>
                <w:szCs w:val="20"/>
              </w:rPr>
            </w:pPr>
            <w:r w:rsidRPr="002850C6">
              <w:rPr>
                <w:noProof/>
                <w:sz w:val="20"/>
              </w:rPr>
              <w:t>Année</w:t>
            </w:r>
          </w:p>
        </w:tc>
        <w:tc>
          <w:tcPr>
            <w:tcW w:w="322" w:type="pct"/>
            <w:vMerge w:val="restart"/>
            <w:tcBorders>
              <w:top w:val="single" w:sz="8" w:space="0" w:color="auto"/>
              <w:left w:val="single" w:sz="8" w:space="0" w:color="auto"/>
              <w:bottom w:val="single" w:sz="8" w:space="0" w:color="000000"/>
              <w:right w:val="single" w:sz="8" w:space="0" w:color="auto"/>
            </w:tcBorders>
            <w:vAlign w:val="center"/>
            <w:hideMark/>
          </w:tcPr>
          <w:p w14:paraId="075A7D0A" w14:textId="77777777" w:rsidR="002850C6" w:rsidRPr="002850C6" w:rsidRDefault="002850C6" w:rsidP="002850C6">
            <w:pPr>
              <w:spacing w:before="0" w:after="0"/>
              <w:jc w:val="center"/>
              <w:rPr>
                <w:b/>
                <w:bCs/>
                <w:noProof/>
                <w:sz w:val="20"/>
                <w:szCs w:val="20"/>
              </w:rPr>
            </w:pPr>
            <w:r w:rsidRPr="002850C6">
              <w:rPr>
                <w:b/>
                <w:noProof/>
                <w:sz w:val="20"/>
              </w:rPr>
              <w:t>TOTAL CFP 2021-2027</w:t>
            </w:r>
          </w:p>
        </w:tc>
        <w:tc>
          <w:tcPr>
            <w:tcW w:w="322" w:type="pct"/>
            <w:tcBorders>
              <w:top w:val="single" w:sz="8" w:space="0" w:color="auto"/>
              <w:left w:val="single" w:sz="8" w:space="0" w:color="auto"/>
              <w:bottom w:val="single" w:sz="8" w:space="0" w:color="000000"/>
              <w:right w:val="single" w:sz="8" w:space="0" w:color="auto"/>
            </w:tcBorders>
          </w:tcPr>
          <w:p w14:paraId="357BAE18" w14:textId="77777777" w:rsidR="002850C6" w:rsidRPr="002850C6" w:rsidRDefault="002850C6" w:rsidP="002850C6">
            <w:pPr>
              <w:spacing w:before="0" w:after="0"/>
              <w:jc w:val="center"/>
              <w:rPr>
                <w:b/>
                <w:bCs/>
                <w:noProof/>
                <w:sz w:val="20"/>
                <w:szCs w:val="20"/>
              </w:rPr>
            </w:pPr>
            <w:r w:rsidRPr="002850C6">
              <w:rPr>
                <w:b/>
                <w:noProof/>
                <w:sz w:val="20"/>
              </w:rPr>
              <w:t xml:space="preserve">TOTAL CFP </w:t>
            </w:r>
          </w:p>
        </w:tc>
      </w:tr>
      <w:tr w:rsidR="002850C6" w:rsidRPr="002850C6" w14:paraId="5B0680DA" w14:textId="77777777" w:rsidTr="0043630B">
        <w:trPr>
          <w:trHeight w:val="300"/>
        </w:trPr>
        <w:tc>
          <w:tcPr>
            <w:tcW w:w="3418" w:type="pct"/>
            <w:gridSpan w:val="4"/>
            <w:vMerge/>
            <w:tcBorders>
              <w:top w:val="single" w:sz="8" w:space="0" w:color="auto"/>
              <w:left w:val="single" w:sz="8" w:space="0" w:color="auto"/>
              <w:bottom w:val="single" w:sz="8" w:space="0" w:color="auto"/>
              <w:right w:val="single" w:sz="8" w:space="0" w:color="auto"/>
            </w:tcBorders>
            <w:vAlign w:val="center"/>
            <w:hideMark/>
          </w:tcPr>
          <w:p w14:paraId="7D0A109D" w14:textId="77777777" w:rsidR="002850C6" w:rsidRPr="002850C6" w:rsidRDefault="002850C6" w:rsidP="002850C6">
            <w:pPr>
              <w:spacing w:before="0" w:after="0"/>
              <w:jc w:val="left"/>
              <w:rPr>
                <w:noProof/>
                <w:szCs w:val="24"/>
                <w:lang w:eastAsia="en-IE"/>
              </w:rPr>
            </w:pPr>
          </w:p>
        </w:tc>
        <w:tc>
          <w:tcPr>
            <w:tcW w:w="234" w:type="pct"/>
            <w:tcBorders>
              <w:top w:val="nil"/>
              <w:left w:val="nil"/>
              <w:bottom w:val="single" w:sz="8" w:space="0" w:color="auto"/>
              <w:right w:val="single" w:sz="8" w:space="0" w:color="auto"/>
            </w:tcBorders>
            <w:vAlign w:val="center"/>
            <w:hideMark/>
          </w:tcPr>
          <w:p w14:paraId="062C58D1" w14:textId="77777777" w:rsidR="002850C6" w:rsidRPr="002850C6" w:rsidRDefault="002850C6" w:rsidP="002850C6">
            <w:pPr>
              <w:spacing w:before="0" w:after="0"/>
              <w:jc w:val="center"/>
              <w:rPr>
                <w:b/>
                <w:bCs/>
                <w:noProof/>
                <w:sz w:val="20"/>
                <w:szCs w:val="20"/>
              </w:rPr>
            </w:pPr>
            <w:r w:rsidRPr="002850C6">
              <w:rPr>
                <w:b/>
                <w:noProof/>
                <w:sz w:val="20"/>
              </w:rPr>
              <w:t>2024</w:t>
            </w:r>
          </w:p>
        </w:tc>
        <w:tc>
          <w:tcPr>
            <w:tcW w:w="234" w:type="pct"/>
            <w:tcBorders>
              <w:top w:val="nil"/>
              <w:left w:val="nil"/>
              <w:bottom w:val="single" w:sz="8" w:space="0" w:color="auto"/>
              <w:right w:val="single" w:sz="8" w:space="0" w:color="auto"/>
            </w:tcBorders>
            <w:vAlign w:val="center"/>
            <w:hideMark/>
          </w:tcPr>
          <w:p w14:paraId="6E57EE1D" w14:textId="77777777" w:rsidR="002850C6" w:rsidRPr="002850C6" w:rsidRDefault="002850C6" w:rsidP="002850C6">
            <w:pPr>
              <w:spacing w:before="0" w:after="0"/>
              <w:jc w:val="center"/>
              <w:rPr>
                <w:b/>
                <w:bCs/>
                <w:noProof/>
                <w:sz w:val="20"/>
                <w:szCs w:val="20"/>
              </w:rPr>
            </w:pPr>
            <w:r w:rsidRPr="002850C6">
              <w:rPr>
                <w:b/>
                <w:noProof/>
                <w:sz w:val="20"/>
              </w:rPr>
              <w:t>2025</w:t>
            </w:r>
          </w:p>
        </w:tc>
        <w:tc>
          <w:tcPr>
            <w:tcW w:w="234" w:type="pct"/>
            <w:tcBorders>
              <w:top w:val="nil"/>
              <w:left w:val="nil"/>
              <w:bottom w:val="single" w:sz="8" w:space="0" w:color="auto"/>
              <w:right w:val="single" w:sz="8" w:space="0" w:color="auto"/>
            </w:tcBorders>
            <w:vAlign w:val="center"/>
            <w:hideMark/>
          </w:tcPr>
          <w:p w14:paraId="3E56C479" w14:textId="77777777" w:rsidR="002850C6" w:rsidRPr="002850C6" w:rsidRDefault="002850C6" w:rsidP="002850C6">
            <w:pPr>
              <w:spacing w:before="0" w:after="0"/>
              <w:jc w:val="center"/>
              <w:rPr>
                <w:b/>
                <w:bCs/>
                <w:noProof/>
                <w:sz w:val="20"/>
                <w:szCs w:val="20"/>
              </w:rPr>
            </w:pPr>
            <w:r w:rsidRPr="002850C6">
              <w:rPr>
                <w:b/>
                <w:noProof/>
                <w:sz w:val="20"/>
              </w:rPr>
              <w:t>2026</w:t>
            </w:r>
          </w:p>
        </w:tc>
        <w:tc>
          <w:tcPr>
            <w:tcW w:w="234" w:type="pct"/>
            <w:tcBorders>
              <w:top w:val="nil"/>
              <w:left w:val="nil"/>
              <w:bottom w:val="single" w:sz="8" w:space="0" w:color="auto"/>
              <w:right w:val="single" w:sz="8" w:space="0" w:color="auto"/>
            </w:tcBorders>
            <w:vAlign w:val="center"/>
            <w:hideMark/>
          </w:tcPr>
          <w:p w14:paraId="21BC2C34" w14:textId="77777777" w:rsidR="002850C6" w:rsidRPr="002850C6" w:rsidRDefault="002850C6" w:rsidP="002850C6">
            <w:pPr>
              <w:spacing w:before="0" w:after="0"/>
              <w:jc w:val="center"/>
              <w:rPr>
                <w:b/>
                <w:bCs/>
                <w:noProof/>
                <w:sz w:val="20"/>
                <w:szCs w:val="20"/>
              </w:rPr>
            </w:pPr>
            <w:r w:rsidRPr="002850C6">
              <w:rPr>
                <w:b/>
                <w:noProof/>
                <w:sz w:val="20"/>
              </w:rPr>
              <w:t>2027</w:t>
            </w:r>
          </w:p>
        </w:tc>
        <w:tc>
          <w:tcPr>
            <w:tcW w:w="322" w:type="pct"/>
            <w:vMerge/>
            <w:tcBorders>
              <w:top w:val="single" w:sz="8" w:space="0" w:color="auto"/>
              <w:left w:val="single" w:sz="8" w:space="0" w:color="auto"/>
              <w:bottom w:val="single" w:sz="8" w:space="0" w:color="000000"/>
              <w:right w:val="single" w:sz="8" w:space="0" w:color="auto"/>
            </w:tcBorders>
            <w:vAlign w:val="center"/>
            <w:hideMark/>
          </w:tcPr>
          <w:p w14:paraId="4AF87CFD" w14:textId="77777777" w:rsidR="002850C6" w:rsidRPr="002850C6" w:rsidRDefault="002850C6" w:rsidP="002850C6">
            <w:pPr>
              <w:spacing w:before="0" w:after="0"/>
              <w:jc w:val="left"/>
              <w:rPr>
                <w:b/>
                <w:bCs/>
                <w:noProof/>
                <w:sz w:val="20"/>
                <w:szCs w:val="20"/>
                <w:lang w:eastAsia="en-IE"/>
              </w:rPr>
            </w:pPr>
          </w:p>
        </w:tc>
        <w:tc>
          <w:tcPr>
            <w:tcW w:w="322" w:type="pct"/>
            <w:tcBorders>
              <w:top w:val="single" w:sz="8" w:space="0" w:color="auto"/>
              <w:left w:val="single" w:sz="8" w:space="0" w:color="auto"/>
              <w:bottom w:val="single" w:sz="8" w:space="0" w:color="000000"/>
              <w:right w:val="single" w:sz="8" w:space="0" w:color="auto"/>
            </w:tcBorders>
          </w:tcPr>
          <w:p w14:paraId="39DFD54B" w14:textId="77777777" w:rsidR="002850C6" w:rsidRPr="002850C6" w:rsidRDefault="002850C6" w:rsidP="002850C6">
            <w:pPr>
              <w:spacing w:before="0" w:after="0"/>
              <w:jc w:val="center"/>
              <w:rPr>
                <w:b/>
                <w:bCs/>
                <w:noProof/>
                <w:sz w:val="20"/>
                <w:szCs w:val="20"/>
              </w:rPr>
            </w:pPr>
            <w:r w:rsidRPr="002850C6">
              <w:rPr>
                <w:b/>
                <w:noProof/>
                <w:sz w:val="20"/>
              </w:rPr>
              <w:t>2028-2034</w:t>
            </w:r>
          </w:p>
        </w:tc>
      </w:tr>
      <w:tr w:rsidR="002850C6" w:rsidRPr="002850C6" w14:paraId="68CBF7D7" w14:textId="77777777" w:rsidTr="0043630B">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238A0689" w14:textId="77777777" w:rsidR="002850C6" w:rsidRPr="002850C6" w:rsidRDefault="002850C6" w:rsidP="002850C6">
            <w:pPr>
              <w:spacing w:before="0" w:after="0"/>
              <w:jc w:val="left"/>
              <w:rPr>
                <w:rFonts w:ascii="Wingdings" w:hAnsi="Wingdings" w:cs="Calibri"/>
                <w:noProof/>
                <w:sz w:val="22"/>
              </w:rPr>
            </w:pPr>
            <w:r w:rsidRPr="002850C6">
              <w:rPr>
                <w:rFonts w:ascii="Wingdings" w:hAnsi="Wingdings"/>
                <w:noProof/>
                <w:sz w:val="22"/>
              </w:rPr>
              <w:t></w:t>
            </w:r>
            <w:r w:rsidRPr="002850C6">
              <w:rPr>
                <w:noProof/>
                <w:sz w:val="22"/>
              </w:rPr>
              <w:t xml:space="preserve"> Ressources humaines </w:t>
            </w:r>
          </w:p>
        </w:tc>
        <w:tc>
          <w:tcPr>
            <w:tcW w:w="234" w:type="pct"/>
            <w:tcBorders>
              <w:top w:val="nil"/>
              <w:left w:val="nil"/>
              <w:bottom w:val="single" w:sz="8" w:space="0" w:color="auto"/>
              <w:right w:val="single" w:sz="8" w:space="0" w:color="auto"/>
            </w:tcBorders>
            <w:shd w:val="clear" w:color="000000" w:fill="D9D9D9"/>
            <w:vAlign w:val="center"/>
            <w:hideMark/>
          </w:tcPr>
          <w:p w14:paraId="0129795C"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2F216BC1"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302FA0D5"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2E39E8EE" w14:textId="77777777" w:rsidR="002850C6" w:rsidRPr="002850C6" w:rsidRDefault="002850C6" w:rsidP="002850C6">
            <w:pPr>
              <w:spacing w:before="0" w:after="0"/>
              <w:jc w:val="right"/>
              <w:rPr>
                <w:noProof/>
                <w:sz w:val="20"/>
                <w:szCs w:val="20"/>
              </w:rPr>
            </w:pPr>
            <w:r w:rsidRPr="002850C6">
              <w:rPr>
                <w:noProof/>
                <w:sz w:val="20"/>
              </w:rPr>
              <w:t>0,376</w:t>
            </w:r>
          </w:p>
        </w:tc>
        <w:tc>
          <w:tcPr>
            <w:tcW w:w="322" w:type="pct"/>
            <w:tcBorders>
              <w:top w:val="nil"/>
              <w:left w:val="nil"/>
              <w:bottom w:val="single" w:sz="8" w:space="0" w:color="auto"/>
              <w:right w:val="single" w:sz="8" w:space="0" w:color="auto"/>
            </w:tcBorders>
            <w:shd w:val="clear" w:color="000000" w:fill="D9D9D9"/>
            <w:vAlign w:val="center"/>
            <w:hideMark/>
          </w:tcPr>
          <w:p w14:paraId="7EA9B09C" w14:textId="77777777" w:rsidR="002850C6" w:rsidRPr="002850C6" w:rsidRDefault="002850C6" w:rsidP="002850C6">
            <w:pPr>
              <w:spacing w:before="0" w:after="0"/>
              <w:jc w:val="right"/>
              <w:rPr>
                <w:b/>
                <w:bCs/>
                <w:noProof/>
                <w:sz w:val="20"/>
                <w:szCs w:val="20"/>
              </w:rPr>
            </w:pPr>
            <w:r w:rsidRPr="002850C6">
              <w:rPr>
                <w:b/>
                <w:noProof/>
                <w:sz w:val="20"/>
              </w:rPr>
              <w:t>0,376</w:t>
            </w:r>
          </w:p>
        </w:tc>
        <w:tc>
          <w:tcPr>
            <w:tcW w:w="322" w:type="pct"/>
            <w:tcBorders>
              <w:top w:val="nil"/>
              <w:left w:val="nil"/>
              <w:bottom w:val="single" w:sz="8" w:space="0" w:color="auto"/>
              <w:right w:val="single" w:sz="8" w:space="0" w:color="auto"/>
            </w:tcBorders>
            <w:shd w:val="clear" w:color="000000" w:fill="D9D9D9"/>
          </w:tcPr>
          <w:p w14:paraId="4EE9576E" w14:textId="77777777" w:rsidR="002850C6" w:rsidRPr="002850C6" w:rsidRDefault="002850C6" w:rsidP="002850C6">
            <w:pPr>
              <w:spacing w:before="0" w:after="0"/>
              <w:jc w:val="right"/>
              <w:rPr>
                <w:b/>
                <w:bCs/>
                <w:noProof/>
                <w:sz w:val="20"/>
                <w:szCs w:val="20"/>
              </w:rPr>
            </w:pPr>
            <w:r w:rsidRPr="002850C6">
              <w:rPr>
                <w:b/>
                <w:noProof/>
                <w:sz w:val="20"/>
              </w:rPr>
              <w:t>2,632</w:t>
            </w:r>
          </w:p>
        </w:tc>
      </w:tr>
      <w:tr w:rsidR="002850C6" w:rsidRPr="002850C6" w14:paraId="16571A87" w14:textId="77777777" w:rsidTr="0043630B">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73EFEDFC" w14:textId="77777777" w:rsidR="002850C6" w:rsidRPr="002850C6" w:rsidRDefault="002850C6" w:rsidP="002850C6">
            <w:pPr>
              <w:spacing w:before="0" w:after="0"/>
              <w:jc w:val="left"/>
              <w:rPr>
                <w:rFonts w:ascii="Wingdings" w:hAnsi="Wingdings" w:cs="Calibri"/>
                <w:noProof/>
                <w:sz w:val="22"/>
              </w:rPr>
            </w:pPr>
            <w:r w:rsidRPr="002850C6">
              <w:rPr>
                <w:rFonts w:ascii="Wingdings" w:hAnsi="Wingdings"/>
                <w:noProof/>
                <w:sz w:val="22"/>
              </w:rPr>
              <w:t></w:t>
            </w:r>
            <w:r w:rsidRPr="002850C6">
              <w:rPr>
                <w:noProof/>
                <w:sz w:val="22"/>
              </w:rPr>
              <w:t xml:space="preserve"> Autres dépenses administratives </w:t>
            </w:r>
          </w:p>
        </w:tc>
        <w:tc>
          <w:tcPr>
            <w:tcW w:w="234" w:type="pct"/>
            <w:tcBorders>
              <w:top w:val="nil"/>
              <w:left w:val="nil"/>
              <w:bottom w:val="single" w:sz="8" w:space="0" w:color="auto"/>
              <w:right w:val="single" w:sz="8" w:space="0" w:color="auto"/>
            </w:tcBorders>
            <w:shd w:val="clear" w:color="000000" w:fill="D9D9D9"/>
            <w:vAlign w:val="center"/>
            <w:hideMark/>
          </w:tcPr>
          <w:p w14:paraId="5689D88D"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01458ABE"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63E8559E"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632969E3" w14:textId="77777777" w:rsidR="002850C6" w:rsidRPr="002850C6" w:rsidRDefault="002850C6" w:rsidP="002850C6">
            <w:pPr>
              <w:spacing w:before="0" w:after="0"/>
              <w:jc w:val="right"/>
              <w:rPr>
                <w:noProof/>
                <w:sz w:val="20"/>
                <w:szCs w:val="20"/>
              </w:rPr>
            </w:pPr>
            <w:r w:rsidRPr="002850C6">
              <w:rPr>
                <w:noProof/>
                <w:sz w:val="20"/>
              </w:rPr>
              <w:t>0,000</w:t>
            </w:r>
          </w:p>
        </w:tc>
        <w:tc>
          <w:tcPr>
            <w:tcW w:w="322" w:type="pct"/>
            <w:tcBorders>
              <w:top w:val="nil"/>
              <w:left w:val="nil"/>
              <w:bottom w:val="single" w:sz="8" w:space="0" w:color="auto"/>
              <w:right w:val="single" w:sz="8" w:space="0" w:color="auto"/>
            </w:tcBorders>
            <w:shd w:val="clear" w:color="000000" w:fill="D9D9D9"/>
            <w:vAlign w:val="center"/>
            <w:hideMark/>
          </w:tcPr>
          <w:p w14:paraId="46D00673" w14:textId="77777777" w:rsidR="002850C6" w:rsidRPr="002850C6" w:rsidRDefault="002850C6" w:rsidP="002850C6">
            <w:pPr>
              <w:spacing w:before="0" w:after="0"/>
              <w:jc w:val="right"/>
              <w:rPr>
                <w:b/>
                <w:bCs/>
                <w:noProof/>
                <w:sz w:val="20"/>
                <w:szCs w:val="20"/>
              </w:rPr>
            </w:pPr>
            <w:r w:rsidRPr="002850C6">
              <w:rPr>
                <w:b/>
                <w:noProof/>
                <w:sz w:val="20"/>
              </w:rPr>
              <w:t>0,000</w:t>
            </w:r>
          </w:p>
        </w:tc>
        <w:tc>
          <w:tcPr>
            <w:tcW w:w="322" w:type="pct"/>
            <w:tcBorders>
              <w:top w:val="nil"/>
              <w:left w:val="nil"/>
              <w:bottom w:val="single" w:sz="8" w:space="0" w:color="auto"/>
              <w:right w:val="single" w:sz="8" w:space="0" w:color="auto"/>
            </w:tcBorders>
            <w:shd w:val="clear" w:color="000000" w:fill="D9D9D9"/>
          </w:tcPr>
          <w:p w14:paraId="35945394" w14:textId="77777777" w:rsidR="002850C6" w:rsidRPr="002850C6" w:rsidRDefault="002850C6" w:rsidP="002850C6">
            <w:pPr>
              <w:spacing w:before="0" w:after="0"/>
              <w:jc w:val="right"/>
              <w:rPr>
                <w:b/>
                <w:bCs/>
                <w:noProof/>
                <w:sz w:val="20"/>
                <w:szCs w:val="20"/>
              </w:rPr>
            </w:pPr>
            <w:r w:rsidRPr="002850C6">
              <w:rPr>
                <w:b/>
                <w:noProof/>
                <w:sz w:val="20"/>
              </w:rPr>
              <w:t>0,000</w:t>
            </w:r>
          </w:p>
        </w:tc>
      </w:tr>
      <w:tr w:rsidR="002850C6" w:rsidRPr="002850C6" w14:paraId="482B0EF3" w14:textId="77777777" w:rsidTr="0043630B">
        <w:trPr>
          <w:trHeight w:val="300"/>
        </w:trPr>
        <w:tc>
          <w:tcPr>
            <w:tcW w:w="2852" w:type="pct"/>
            <w:tcBorders>
              <w:top w:val="nil"/>
              <w:left w:val="single" w:sz="8" w:space="0" w:color="auto"/>
              <w:bottom w:val="single" w:sz="8" w:space="0" w:color="auto"/>
              <w:right w:val="single" w:sz="8" w:space="0" w:color="auto"/>
            </w:tcBorders>
            <w:vAlign w:val="center"/>
            <w:hideMark/>
          </w:tcPr>
          <w:p w14:paraId="26A164A4" w14:textId="77777777" w:rsidR="002850C6" w:rsidRPr="002850C6" w:rsidRDefault="002850C6" w:rsidP="002850C6">
            <w:pPr>
              <w:spacing w:before="0" w:after="0"/>
              <w:jc w:val="center"/>
              <w:rPr>
                <w:b/>
                <w:bCs/>
                <w:noProof/>
                <w:sz w:val="22"/>
              </w:rPr>
            </w:pPr>
            <w:r w:rsidRPr="002850C6">
              <w:rPr>
                <w:b/>
                <w:noProof/>
                <w:sz w:val="22"/>
              </w:rPr>
              <w:t>TOTAL pour la DG DEFIS</w:t>
            </w:r>
          </w:p>
        </w:tc>
        <w:tc>
          <w:tcPr>
            <w:tcW w:w="566" w:type="pct"/>
            <w:gridSpan w:val="3"/>
            <w:tcBorders>
              <w:top w:val="single" w:sz="8" w:space="0" w:color="auto"/>
              <w:left w:val="nil"/>
              <w:bottom w:val="single" w:sz="8" w:space="0" w:color="auto"/>
              <w:right w:val="single" w:sz="8" w:space="0" w:color="auto"/>
            </w:tcBorders>
            <w:vAlign w:val="center"/>
            <w:hideMark/>
          </w:tcPr>
          <w:p w14:paraId="189EB8E1" w14:textId="77777777" w:rsidR="002850C6" w:rsidRPr="002850C6" w:rsidRDefault="002850C6" w:rsidP="002850C6">
            <w:pPr>
              <w:spacing w:before="0" w:after="0"/>
              <w:jc w:val="left"/>
              <w:rPr>
                <w:noProof/>
                <w:sz w:val="18"/>
                <w:szCs w:val="18"/>
              </w:rPr>
            </w:pPr>
            <w:r w:rsidRPr="002850C6">
              <w:rPr>
                <w:noProof/>
                <w:sz w:val="18"/>
              </w:rPr>
              <w:t xml:space="preserve">Crédits </w:t>
            </w:r>
          </w:p>
        </w:tc>
        <w:tc>
          <w:tcPr>
            <w:tcW w:w="234" w:type="pct"/>
            <w:tcBorders>
              <w:top w:val="nil"/>
              <w:left w:val="nil"/>
              <w:bottom w:val="single" w:sz="8" w:space="0" w:color="auto"/>
              <w:right w:val="single" w:sz="8" w:space="0" w:color="auto"/>
            </w:tcBorders>
            <w:shd w:val="clear" w:color="000000" w:fill="D9D9D9"/>
            <w:vAlign w:val="center"/>
            <w:hideMark/>
          </w:tcPr>
          <w:p w14:paraId="1C27464A" w14:textId="77777777" w:rsidR="002850C6" w:rsidRPr="002850C6" w:rsidRDefault="002850C6" w:rsidP="002850C6">
            <w:pPr>
              <w:spacing w:before="0" w:after="0"/>
              <w:jc w:val="right"/>
              <w:rPr>
                <w:b/>
                <w:bCs/>
                <w:noProof/>
                <w:sz w:val="20"/>
                <w:szCs w:val="20"/>
              </w:rPr>
            </w:pPr>
            <w:r w:rsidRPr="002850C6">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29C0415A" w14:textId="77777777" w:rsidR="002850C6" w:rsidRPr="002850C6" w:rsidRDefault="002850C6" w:rsidP="002850C6">
            <w:pPr>
              <w:spacing w:before="0" w:after="0"/>
              <w:jc w:val="right"/>
              <w:rPr>
                <w:b/>
                <w:bCs/>
                <w:noProof/>
                <w:sz w:val="20"/>
                <w:szCs w:val="20"/>
              </w:rPr>
            </w:pPr>
            <w:r w:rsidRPr="002850C6">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4F97E393" w14:textId="77777777" w:rsidR="002850C6" w:rsidRPr="002850C6" w:rsidRDefault="002850C6" w:rsidP="002850C6">
            <w:pPr>
              <w:spacing w:before="0" w:after="0"/>
              <w:jc w:val="right"/>
              <w:rPr>
                <w:b/>
                <w:bCs/>
                <w:noProof/>
                <w:sz w:val="20"/>
                <w:szCs w:val="20"/>
              </w:rPr>
            </w:pPr>
            <w:r w:rsidRPr="002850C6">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11025BFE" w14:textId="77777777" w:rsidR="002850C6" w:rsidRPr="002850C6" w:rsidRDefault="002850C6" w:rsidP="002850C6">
            <w:pPr>
              <w:spacing w:before="0" w:after="0"/>
              <w:jc w:val="right"/>
              <w:rPr>
                <w:b/>
                <w:bCs/>
                <w:noProof/>
                <w:sz w:val="20"/>
                <w:szCs w:val="20"/>
              </w:rPr>
            </w:pPr>
            <w:r w:rsidRPr="002850C6">
              <w:rPr>
                <w:b/>
                <w:noProof/>
                <w:sz w:val="20"/>
              </w:rPr>
              <w:t>0,376</w:t>
            </w:r>
          </w:p>
        </w:tc>
        <w:tc>
          <w:tcPr>
            <w:tcW w:w="322" w:type="pct"/>
            <w:tcBorders>
              <w:top w:val="nil"/>
              <w:left w:val="nil"/>
              <w:bottom w:val="single" w:sz="8" w:space="0" w:color="auto"/>
              <w:right w:val="single" w:sz="8" w:space="0" w:color="auto"/>
            </w:tcBorders>
            <w:shd w:val="clear" w:color="000000" w:fill="D9D9D9"/>
            <w:vAlign w:val="center"/>
            <w:hideMark/>
          </w:tcPr>
          <w:p w14:paraId="228FCDBB" w14:textId="77777777" w:rsidR="002850C6" w:rsidRPr="002850C6" w:rsidRDefault="002850C6" w:rsidP="002850C6">
            <w:pPr>
              <w:spacing w:before="0" w:after="0"/>
              <w:jc w:val="right"/>
              <w:rPr>
                <w:b/>
                <w:bCs/>
                <w:noProof/>
                <w:sz w:val="20"/>
                <w:szCs w:val="20"/>
              </w:rPr>
            </w:pPr>
            <w:r w:rsidRPr="002850C6">
              <w:rPr>
                <w:b/>
                <w:noProof/>
                <w:sz w:val="20"/>
              </w:rPr>
              <w:t>0,376</w:t>
            </w:r>
          </w:p>
        </w:tc>
        <w:tc>
          <w:tcPr>
            <w:tcW w:w="322" w:type="pct"/>
            <w:tcBorders>
              <w:top w:val="nil"/>
              <w:left w:val="nil"/>
              <w:bottom w:val="single" w:sz="8" w:space="0" w:color="auto"/>
              <w:right w:val="single" w:sz="8" w:space="0" w:color="auto"/>
            </w:tcBorders>
            <w:shd w:val="clear" w:color="000000" w:fill="D9D9D9"/>
          </w:tcPr>
          <w:p w14:paraId="01D44A17" w14:textId="77777777" w:rsidR="002850C6" w:rsidRPr="002850C6" w:rsidRDefault="002850C6" w:rsidP="002850C6">
            <w:pPr>
              <w:spacing w:before="0" w:after="0"/>
              <w:jc w:val="right"/>
              <w:rPr>
                <w:b/>
                <w:bCs/>
                <w:noProof/>
                <w:sz w:val="20"/>
                <w:szCs w:val="20"/>
              </w:rPr>
            </w:pPr>
            <w:r w:rsidRPr="002850C6">
              <w:rPr>
                <w:b/>
                <w:noProof/>
                <w:sz w:val="20"/>
              </w:rPr>
              <w:t>2,632</w:t>
            </w:r>
          </w:p>
        </w:tc>
      </w:tr>
      <w:tr w:rsidR="002850C6" w:rsidRPr="002850C6" w14:paraId="2718E360" w14:textId="77777777" w:rsidTr="0043630B">
        <w:trPr>
          <w:trHeight w:val="300"/>
        </w:trPr>
        <w:tc>
          <w:tcPr>
            <w:tcW w:w="2852" w:type="pct"/>
            <w:tcBorders>
              <w:top w:val="nil"/>
              <w:left w:val="nil"/>
              <w:bottom w:val="nil"/>
              <w:right w:val="nil"/>
            </w:tcBorders>
            <w:noWrap/>
            <w:vAlign w:val="bottom"/>
            <w:hideMark/>
          </w:tcPr>
          <w:p w14:paraId="36E95BC5" w14:textId="77777777" w:rsidR="002850C6" w:rsidRPr="002850C6" w:rsidRDefault="002850C6" w:rsidP="002850C6">
            <w:pPr>
              <w:spacing w:before="0" w:after="0"/>
              <w:jc w:val="right"/>
              <w:rPr>
                <w:b/>
                <w:bCs/>
                <w:noProof/>
                <w:sz w:val="20"/>
                <w:szCs w:val="20"/>
                <w:lang w:eastAsia="en-IE"/>
              </w:rPr>
            </w:pPr>
          </w:p>
        </w:tc>
        <w:tc>
          <w:tcPr>
            <w:tcW w:w="146" w:type="pct"/>
            <w:tcBorders>
              <w:top w:val="nil"/>
              <w:left w:val="nil"/>
              <w:bottom w:val="nil"/>
              <w:right w:val="nil"/>
            </w:tcBorders>
            <w:noWrap/>
            <w:vAlign w:val="bottom"/>
            <w:hideMark/>
          </w:tcPr>
          <w:p w14:paraId="317256BB" w14:textId="77777777" w:rsidR="002850C6" w:rsidRPr="002850C6" w:rsidRDefault="002850C6" w:rsidP="002850C6">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0A760653" w14:textId="77777777" w:rsidR="002850C6" w:rsidRPr="002850C6" w:rsidRDefault="002850C6" w:rsidP="002850C6">
            <w:pPr>
              <w:spacing w:before="0" w:after="0"/>
              <w:jc w:val="left"/>
              <w:rPr>
                <w:noProof/>
                <w:sz w:val="20"/>
                <w:szCs w:val="20"/>
                <w:lang w:eastAsia="en-IE"/>
              </w:rPr>
            </w:pPr>
          </w:p>
        </w:tc>
        <w:tc>
          <w:tcPr>
            <w:tcW w:w="211" w:type="pct"/>
            <w:tcBorders>
              <w:top w:val="nil"/>
              <w:left w:val="nil"/>
              <w:bottom w:val="nil"/>
              <w:right w:val="nil"/>
            </w:tcBorders>
            <w:noWrap/>
            <w:vAlign w:val="bottom"/>
            <w:hideMark/>
          </w:tcPr>
          <w:p w14:paraId="6CDD4F14" w14:textId="77777777" w:rsidR="002850C6" w:rsidRPr="002850C6" w:rsidRDefault="002850C6" w:rsidP="002850C6">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012FA390" w14:textId="77777777" w:rsidR="002850C6" w:rsidRPr="002850C6" w:rsidRDefault="002850C6" w:rsidP="002850C6">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1BA27101" w14:textId="77777777" w:rsidR="002850C6" w:rsidRPr="002850C6" w:rsidRDefault="002850C6" w:rsidP="002850C6">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41D5F4DA" w14:textId="77777777" w:rsidR="002850C6" w:rsidRPr="002850C6" w:rsidRDefault="002850C6" w:rsidP="002850C6">
            <w:pPr>
              <w:spacing w:before="0" w:after="0"/>
              <w:jc w:val="left"/>
              <w:rPr>
                <w:noProof/>
                <w:sz w:val="20"/>
                <w:szCs w:val="20"/>
                <w:lang w:eastAsia="en-IE"/>
              </w:rPr>
            </w:pPr>
          </w:p>
        </w:tc>
        <w:tc>
          <w:tcPr>
            <w:tcW w:w="234" w:type="pct"/>
            <w:tcBorders>
              <w:top w:val="nil"/>
              <w:left w:val="nil"/>
              <w:bottom w:val="nil"/>
              <w:right w:val="nil"/>
            </w:tcBorders>
            <w:noWrap/>
            <w:vAlign w:val="bottom"/>
            <w:hideMark/>
          </w:tcPr>
          <w:p w14:paraId="481F2B18" w14:textId="77777777" w:rsidR="002850C6" w:rsidRPr="002850C6" w:rsidRDefault="002850C6" w:rsidP="002850C6">
            <w:pPr>
              <w:spacing w:before="0" w:after="0"/>
              <w:jc w:val="left"/>
              <w:rPr>
                <w:noProof/>
                <w:sz w:val="20"/>
                <w:szCs w:val="20"/>
                <w:lang w:eastAsia="en-IE"/>
              </w:rPr>
            </w:pPr>
          </w:p>
        </w:tc>
        <w:tc>
          <w:tcPr>
            <w:tcW w:w="322" w:type="pct"/>
            <w:tcBorders>
              <w:top w:val="nil"/>
              <w:left w:val="nil"/>
              <w:bottom w:val="nil"/>
              <w:right w:val="nil"/>
            </w:tcBorders>
            <w:noWrap/>
            <w:vAlign w:val="bottom"/>
            <w:hideMark/>
          </w:tcPr>
          <w:p w14:paraId="6EC51C6B" w14:textId="77777777" w:rsidR="002850C6" w:rsidRPr="002850C6" w:rsidRDefault="002850C6" w:rsidP="002850C6">
            <w:pPr>
              <w:spacing w:before="0" w:after="0"/>
              <w:jc w:val="left"/>
              <w:rPr>
                <w:noProof/>
                <w:sz w:val="20"/>
                <w:szCs w:val="20"/>
                <w:lang w:eastAsia="en-IE"/>
              </w:rPr>
            </w:pPr>
          </w:p>
        </w:tc>
        <w:tc>
          <w:tcPr>
            <w:tcW w:w="322" w:type="pct"/>
            <w:tcBorders>
              <w:top w:val="nil"/>
              <w:left w:val="nil"/>
              <w:bottom w:val="nil"/>
              <w:right w:val="nil"/>
            </w:tcBorders>
          </w:tcPr>
          <w:p w14:paraId="1AE039DF" w14:textId="77777777" w:rsidR="002850C6" w:rsidRPr="002850C6" w:rsidRDefault="002850C6" w:rsidP="002850C6">
            <w:pPr>
              <w:spacing w:before="0" w:after="0"/>
              <w:jc w:val="left"/>
              <w:rPr>
                <w:noProof/>
                <w:sz w:val="20"/>
                <w:szCs w:val="20"/>
                <w:lang w:eastAsia="en-IE"/>
              </w:rPr>
            </w:pPr>
          </w:p>
        </w:tc>
      </w:tr>
      <w:tr w:rsidR="002850C6" w:rsidRPr="002850C6" w14:paraId="31E3ACAD" w14:textId="77777777" w:rsidTr="0043630B">
        <w:trPr>
          <w:trHeight w:val="315"/>
        </w:trPr>
        <w:tc>
          <w:tcPr>
            <w:tcW w:w="3418"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00D798AB" w14:textId="77777777" w:rsidR="002850C6" w:rsidRPr="002850C6" w:rsidRDefault="002850C6" w:rsidP="002850C6">
            <w:pPr>
              <w:spacing w:before="0" w:after="0"/>
              <w:jc w:val="center"/>
              <w:rPr>
                <w:noProof/>
                <w:szCs w:val="24"/>
              </w:rPr>
            </w:pPr>
            <w:r w:rsidRPr="002850C6">
              <w:rPr>
                <w:noProof/>
              </w:rPr>
              <w:t>DG ECHO</w:t>
            </w:r>
          </w:p>
        </w:tc>
        <w:tc>
          <w:tcPr>
            <w:tcW w:w="234" w:type="pct"/>
            <w:tcBorders>
              <w:top w:val="single" w:sz="8" w:space="0" w:color="auto"/>
              <w:left w:val="nil"/>
              <w:bottom w:val="nil"/>
              <w:right w:val="single" w:sz="8" w:space="0" w:color="auto"/>
            </w:tcBorders>
            <w:vAlign w:val="center"/>
            <w:hideMark/>
          </w:tcPr>
          <w:p w14:paraId="6A0893D6" w14:textId="77777777" w:rsidR="002850C6" w:rsidRPr="002850C6" w:rsidRDefault="002850C6" w:rsidP="002850C6">
            <w:pPr>
              <w:spacing w:before="0" w:after="0"/>
              <w:jc w:val="center"/>
              <w:rPr>
                <w:noProof/>
                <w:sz w:val="20"/>
                <w:szCs w:val="20"/>
              </w:rPr>
            </w:pPr>
            <w:r w:rsidRPr="002850C6">
              <w:rPr>
                <w:noProof/>
                <w:sz w:val="20"/>
              </w:rPr>
              <w:t>Année</w:t>
            </w:r>
          </w:p>
        </w:tc>
        <w:tc>
          <w:tcPr>
            <w:tcW w:w="234" w:type="pct"/>
            <w:tcBorders>
              <w:top w:val="single" w:sz="8" w:space="0" w:color="auto"/>
              <w:left w:val="nil"/>
              <w:bottom w:val="nil"/>
              <w:right w:val="single" w:sz="8" w:space="0" w:color="auto"/>
            </w:tcBorders>
            <w:vAlign w:val="center"/>
            <w:hideMark/>
          </w:tcPr>
          <w:p w14:paraId="661C7007" w14:textId="77777777" w:rsidR="002850C6" w:rsidRPr="002850C6" w:rsidRDefault="002850C6" w:rsidP="002850C6">
            <w:pPr>
              <w:spacing w:before="0" w:after="0"/>
              <w:jc w:val="center"/>
              <w:rPr>
                <w:noProof/>
                <w:sz w:val="20"/>
                <w:szCs w:val="20"/>
              </w:rPr>
            </w:pPr>
            <w:r w:rsidRPr="002850C6">
              <w:rPr>
                <w:noProof/>
                <w:sz w:val="20"/>
              </w:rPr>
              <w:t>Année</w:t>
            </w:r>
          </w:p>
        </w:tc>
        <w:tc>
          <w:tcPr>
            <w:tcW w:w="234" w:type="pct"/>
            <w:tcBorders>
              <w:top w:val="single" w:sz="8" w:space="0" w:color="auto"/>
              <w:left w:val="nil"/>
              <w:bottom w:val="nil"/>
              <w:right w:val="single" w:sz="8" w:space="0" w:color="auto"/>
            </w:tcBorders>
            <w:vAlign w:val="center"/>
            <w:hideMark/>
          </w:tcPr>
          <w:p w14:paraId="6C02A870" w14:textId="77777777" w:rsidR="002850C6" w:rsidRPr="002850C6" w:rsidRDefault="002850C6" w:rsidP="002850C6">
            <w:pPr>
              <w:spacing w:before="0" w:after="0"/>
              <w:jc w:val="center"/>
              <w:rPr>
                <w:noProof/>
                <w:sz w:val="20"/>
                <w:szCs w:val="20"/>
              </w:rPr>
            </w:pPr>
            <w:r w:rsidRPr="002850C6">
              <w:rPr>
                <w:noProof/>
                <w:sz w:val="20"/>
              </w:rPr>
              <w:t>Année</w:t>
            </w:r>
          </w:p>
        </w:tc>
        <w:tc>
          <w:tcPr>
            <w:tcW w:w="234" w:type="pct"/>
            <w:tcBorders>
              <w:top w:val="single" w:sz="8" w:space="0" w:color="auto"/>
              <w:left w:val="nil"/>
              <w:bottom w:val="nil"/>
              <w:right w:val="single" w:sz="8" w:space="0" w:color="auto"/>
            </w:tcBorders>
            <w:vAlign w:val="center"/>
            <w:hideMark/>
          </w:tcPr>
          <w:p w14:paraId="3D04C01B" w14:textId="77777777" w:rsidR="002850C6" w:rsidRPr="002850C6" w:rsidRDefault="002850C6" w:rsidP="002850C6">
            <w:pPr>
              <w:spacing w:before="0" w:after="0"/>
              <w:jc w:val="center"/>
              <w:rPr>
                <w:noProof/>
                <w:sz w:val="20"/>
                <w:szCs w:val="20"/>
              </w:rPr>
            </w:pPr>
            <w:r w:rsidRPr="002850C6">
              <w:rPr>
                <w:noProof/>
                <w:sz w:val="20"/>
              </w:rPr>
              <w:t>Année</w:t>
            </w:r>
          </w:p>
        </w:tc>
        <w:tc>
          <w:tcPr>
            <w:tcW w:w="322" w:type="pct"/>
            <w:vMerge w:val="restart"/>
            <w:tcBorders>
              <w:top w:val="single" w:sz="8" w:space="0" w:color="auto"/>
              <w:left w:val="single" w:sz="8" w:space="0" w:color="auto"/>
              <w:bottom w:val="single" w:sz="8" w:space="0" w:color="000000"/>
              <w:right w:val="single" w:sz="8" w:space="0" w:color="auto"/>
            </w:tcBorders>
            <w:vAlign w:val="center"/>
            <w:hideMark/>
          </w:tcPr>
          <w:p w14:paraId="7A4AA98A" w14:textId="77777777" w:rsidR="002850C6" w:rsidRPr="002850C6" w:rsidRDefault="002850C6" w:rsidP="002850C6">
            <w:pPr>
              <w:spacing w:before="0" w:after="0"/>
              <w:jc w:val="center"/>
              <w:rPr>
                <w:b/>
                <w:bCs/>
                <w:noProof/>
                <w:sz w:val="20"/>
                <w:szCs w:val="20"/>
              </w:rPr>
            </w:pPr>
            <w:r w:rsidRPr="002850C6">
              <w:rPr>
                <w:b/>
                <w:noProof/>
                <w:sz w:val="20"/>
              </w:rPr>
              <w:t>TOTAL CFP</w:t>
            </w:r>
            <w:r w:rsidRPr="002850C6">
              <w:rPr>
                <w:noProof/>
              </w:rPr>
              <w:t xml:space="preserve"> </w:t>
            </w:r>
            <w:r w:rsidRPr="002850C6">
              <w:rPr>
                <w:noProof/>
              </w:rPr>
              <w:br/>
            </w:r>
            <w:r w:rsidRPr="002850C6">
              <w:rPr>
                <w:b/>
                <w:noProof/>
                <w:sz w:val="20"/>
              </w:rPr>
              <w:t>2021-2027</w:t>
            </w:r>
          </w:p>
        </w:tc>
        <w:tc>
          <w:tcPr>
            <w:tcW w:w="322" w:type="pct"/>
            <w:tcBorders>
              <w:top w:val="single" w:sz="8" w:space="0" w:color="auto"/>
              <w:left w:val="single" w:sz="8" w:space="0" w:color="auto"/>
              <w:bottom w:val="single" w:sz="8" w:space="0" w:color="000000"/>
              <w:right w:val="single" w:sz="8" w:space="0" w:color="auto"/>
            </w:tcBorders>
          </w:tcPr>
          <w:p w14:paraId="1D571C41" w14:textId="77777777" w:rsidR="002850C6" w:rsidRPr="002850C6" w:rsidRDefault="002850C6" w:rsidP="002850C6">
            <w:pPr>
              <w:spacing w:before="0" w:after="0"/>
              <w:jc w:val="center"/>
              <w:rPr>
                <w:b/>
                <w:bCs/>
                <w:noProof/>
                <w:sz w:val="20"/>
                <w:szCs w:val="20"/>
              </w:rPr>
            </w:pPr>
            <w:r w:rsidRPr="002850C6">
              <w:rPr>
                <w:b/>
                <w:noProof/>
                <w:sz w:val="20"/>
              </w:rPr>
              <w:t xml:space="preserve">TOTAL CFP </w:t>
            </w:r>
          </w:p>
        </w:tc>
      </w:tr>
      <w:tr w:rsidR="002850C6" w:rsidRPr="002850C6" w14:paraId="0C35ADD7" w14:textId="77777777" w:rsidTr="0043630B">
        <w:trPr>
          <w:trHeight w:val="300"/>
        </w:trPr>
        <w:tc>
          <w:tcPr>
            <w:tcW w:w="3418" w:type="pct"/>
            <w:gridSpan w:val="4"/>
            <w:vMerge/>
            <w:tcBorders>
              <w:top w:val="single" w:sz="8" w:space="0" w:color="auto"/>
              <w:left w:val="single" w:sz="8" w:space="0" w:color="auto"/>
              <w:bottom w:val="single" w:sz="8" w:space="0" w:color="auto"/>
              <w:right w:val="single" w:sz="8" w:space="0" w:color="auto"/>
            </w:tcBorders>
            <w:vAlign w:val="center"/>
            <w:hideMark/>
          </w:tcPr>
          <w:p w14:paraId="06643222" w14:textId="77777777" w:rsidR="002850C6" w:rsidRPr="002850C6" w:rsidRDefault="002850C6" w:rsidP="002850C6">
            <w:pPr>
              <w:spacing w:before="0" w:after="0"/>
              <w:jc w:val="left"/>
              <w:rPr>
                <w:noProof/>
                <w:szCs w:val="24"/>
                <w:lang w:eastAsia="en-IE"/>
              </w:rPr>
            </w:pPr>
          </w:p>
        </w:tc>
        <w:tc>
          <w:tcPr>
            <w:tcW w:w="234" w:type="pct"/>
            <w:tcBorders>
              <w:top w:val="nil"/>
              <w:left w:val="nil"/>
              <w:bottom w:val="single" w:sz="8" w:space="0" w:color="auto"/>
              <w:right w:val="single" w:sz="8" w:space="0" w:color="auto"/>
            </w:tcBorders>
            <w:vAlign w:val="center"/>
            <w:hideMark/>
          </w:tcPr>
          <w:p w14:paraId="4CE3E831" w14:textId="77777777" w:rsidR="002850C6" w:rsidRPr="002850C6" w:rsidRDefault="002850C6" w:rsidP="002850C6">
            <w:pPr>
              <w:spacing w:before="0" w:after="0"/>
              <w:jc w:val="center"/>
              <w:rPr>
                <w:b/>
                <w:bCs/>
                <w:noProof/>
                <w:sz w:val="20"/>
                <w:szCs w:val="20"/>
              </w:rPr>
            </w:pPr>
            <w:r w:rsidRPr="002850C6">
              <w:rPr>
                <w:b/>
                <w:noProof/>
                <w:sz w:val="20"/>
              </w:rPr>
              <w:t>2024</w:t>
            </w:r>
          </w:p>
        </w:tc>
        <w:tc>
          <w:tcPr>
            <w:tcW w:w="234" w:type="pct"/>
            <w:tcBorders>
              <w:top w:val="nil"/>
              <w:left w:val="nil"/>
              <w:bottom w:val="single" w:sz="8" w:space="0" w:color="auto"/>
              <w:right w:val="single" w:sz="8" w:space="0" w:color="auto"/>
            </w:tcBorders>
            <w:vAlign w:val="center"/>
            <w:hideMark/>
          </w:tcPr>
          <w:p w14:paraId="5E4F6F39" w14:textId="77777777" w:rsidR="002850C6" w:rsidRPr="002850C6" w:rsidRDefault="002850C6" w:rsidP="002850C6">
            <w:pPr>
              <w:spacing w:before="0" w:after="0"/>
              <w:jc w:val="center"/>
              <w:rPr>
                <w:b/>
                <w:bCs/>
                <w:noProof/>
                <w:sz w:val="20"/>
                <w:szCs w:val="20"/>
              </w:rPr>
            </w:pPr>
            <w:r w:rsidRPr="002850C6">
              <w:rPr>
                <w:b/>
                <w:noProof/>
                <w:sz w:val="20"/>
              </w:rPr>
              <w:t>2025</w:t>
            </w:r>
          </w:p>
        </w:tc>
        <w:tc>
          <w:tcPr>
            <w:tcW w:w="234" w:type="pct"/>
            <w:tcBorders>
              <w:top w:val="nil"/>
              <w:left w:val="nil"/>
              <w:bottom w:val="single" w:sz="8" w:space="0" w:color="auto"/>
              <w:right w:val="single" w:sz="8" w:space="0" w:color="auto"/>
            </w:tcBorders>
            <w:vAlign w:val="center"/>
            <w:hideMark/>
          </w:tcPr>
          <w:p w14:paraId="286ACC3A" w14:textId="77777777" w:rsidR="002850C6" w:rsidRPr="002850C6" w:rsidRDefault="002850C6" w:rsidP="002850C6">
            <w:pPr>
              <w:spacing w:before="0" w:after="0"/>
              <w:jc w:val="center"/>
              <w:rPr>
                <w:b/>
                <w:bCs/>
                <w:noProof/>
                <w:sz w:val="20"/>
                <w:szCs w:val="20"/>
              </w:rPr>
            </w:pPr>
            <w:r w:rsidRPr="002850C6">
              <w:rPr>
                <w:b/>
                <w:noProof/>
                <w:sz w:val="20"/>
              </w:rPr>
              <w:t>2026</w:t>
            </w:r>
          </w:p>
        </w:tc>
        <w:tc>
          <w:tcPr>
            <w:tcW w:w="234" w:type="pct"/>
            <w:tcBorders>
              <w:top w:val="nil"/>
              <w:left w:val="nil"/>
              <w:bottom w:val="single" w:sz="8" w:space="0" w:color="auto"/>
              <w:right w:val="single" w:sz="8" w:space="0" w:color="auto"/>
            </w:tcBorders>
            <w:vAlign w:val="center"/>
            <w:hideMark/>
          </w:tcPr>
          <w:p w14:paraId="2429A3D7" w14:textId="77777777" w:rsidR="002850C6" w:rsidRPr="002850C6" w:rsidRDefault="002850C6" w:rsidP="002850C6">
            <w:pPr>
              <w:spacing w:before="0" w:after="0"/>
              <w:jc w:val="center"/>
              <w:rPr>
                <w:b/>
                <w:bCs/>
                <w:noProof/>
                <w:sz w:val="20"/>
                <w:szCs w:val="20"/>
              </w:rPr>
            </w:pPr>
            <w:r w:rsidRPr="002850C6">
              <w:rPr>
                <w:b/>
                <w:noProof/>
                <w:sz w:val="20"/>
              </w:rPr>
              <w:t>2027</w:t>
            </w:r>
          </w:p>
        </w:tc>
        <w:tc>
          <w:tcPr>
            <w:tcW w:w="322" w:type="pct"/>
            <w:vMerge/>
            <w:tcBorders>
              <w:top w:val="single" w:sz="8" w:space="0" w:color="auto"/>
              <w:left w:val="single" w:sz="8" w:space="0" w:color="auto"/>
              <w:bottom w:val="single" w:sz="8" w:space="0" w:color="000000"/>
              <w:right w:val="single" w:sz="8" w:space="0" w:color="auto"/>
            </w:tcBorders>
            <w:vAlign w:val="center"/>
            <w:hideMark/>
          </w:tcPr>
          <w:p w14:paraId="6C7F2F9E" w14:textId="77777777" w:rsidR="002850C6" w:rsidRPr="002850C6" w:rsidRDefault="002850C6" w:rsidP="002850C6">
            <w:pPr>
              <w:spacing w:before="0" w:after="0"/>
              <w:jc w:val="left"/>
              <w:rPr>
                <w:b/>
                <w:bCs/>
                <w:noProof/>
                <w:sz w:val="20"/>
                <w:szCs w:val="20"/>
                <w:lang w:eastAsia="en-IE"/>
              </w:rPr>
            </w:pPr>
          </w:p>
        </w:tc>
        <w:tc>
          <w:tcPr>
            <w:tcW w:w="322" w:type="pct"/>
            <w:tcBorders>
              <w:top w:val="single" w:sz="8" w:space="0" w:color="auto"/>
              <w:left w:val="single" w:sz="8" w:space="0" w:color="auto"/>
              <w:bottom w:val="single" w:sz="8" w:space="0" w:color="000000"/>
              <w:right w:val="single" w:sz="8" w:space="0" w:color="auto"/>
            </w:tcBorders>
          </w:tcPr>
          <w:p w14:paraId="6652A94C" w14:textId="77777777" w:rsidR="002850C6" w:rsidRPr="002850C6" w:rsidRDefault="002850C6" w:rsidP="002850C6">
            <w:pPr>
              <w:spacing w:before="0" w:after="0"/>
              <w:jc w:val="center"/>
              <w:rPr>
                <w:b/>
                <w:bCs/>
                <w:noProof/>
                <w:sz w:val="20"/>
                <w:szCs w:val="20"/>
              </w:rPr>
            </w:pPr>
            <w:r w:rsidRPr="002850C6">
              <w:rPr>
                <w:b/>
                <w:noProof/>
                <w:sz w:val="20"/>
              </w:rPr>
              <w:t>2028-2034</w:t>
            </w:r>
          </w:p>
        </w:tc>
      </w:tr>
      <w:tr w:rsidR="002850C6" w:rsidRPr="002850C6" w14:paraId="110A5974" w14:textId="77777777" w:rsidTr="0043630B">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025AD3CC" w14:textId="77777777" w:rsidR="002850C6" w:rsidRPr="002850C6" w:rsidRDefault="002850C6" w:rsidP="002850C6">
            <w:pPr>
              <w:spacing w:before="0" w:after="0"/>
              <w:jc w:val="left"/>
              <w:rPr>
                <w:rFonts w:ascii="Wingdings" w:hAnsi="Wingdings" w:cs="Calibri"/>
                <w:noProof/>
                <w:sz w:val="22"/>
              </w:rPr>
            </w:pPr>
            <w:r w:rsidRPr="002850C6">
              <w:rPr>
                <w:rFonts w:ascii="Wingdings" w:hAnsi="Wingdings"/>
                <w:noProof/>
                <w:sz w:val="22"/>
              </w:rPr>
              <w:t></w:t>
            </w:r>
            <w:r w:rsidRPr="002850C6">
              <w:rPr>
                <w:noProof/>
                <w:sz w:val="22"/>
              </w:rPr>
              <w:t xml:space="preserve"> Ressources humaines </w:t>
            </w:r>
          </w:p>
        </w:tc>
        <w:tc>
          <w:tcPr>
            <w:tcW w:w="234" w:type="pct"/>
            <w:tcBorders>
              <w:top w:val="nil"/>
              <w:left w:val="nil"/>
              <w:bottom w:val="single" w:sz="8" w:space="0" w:color="auto"/>
              <w:right w:val="single" w:sz="8" w:space="0" w:color="auto"/>
            </w:tcBorders>
            <w:shd w:val="clear" w:color="000000" w:fill="D9D9D9"/>
            <w:vAlign w:val="center"/>
            <w:hideMark/>
          </w:tcPr>
          <w:p w14:paraId="717BDF8B"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383BDEAB"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6BDA2ABF" w14:textId="77777777" w:rsidR="002850C6" w:rsidRPr="002850C6" w:rsidRDefault="002850C6" w:rsidP="002850C6">
            <w:pPr>
              <w:spacing w:before="0" w:after="0"/>
              <w:jc w:val="right"/>
              <w:rPr>
                <w:noProof/>
                <w:sz w:val="20"/>
                <w:szCs w:val="20"/>
              </w:rPr>
            </w:pPr>
            <w:r w:rsidRPr="002850C6">
              <w:rPr>
                <w:noProof/>
                <w:sz w:val="20"/>
              </w:rPr>
              <w:t>1,504</w:t>
            </w:r>
          </w:p>
        </w:tc>
        <w:tc>
          <w:tcPr>
            <w:tcW w:w="234" w:type="pct"/>
            <w:tcBorders>
              <w:top w:val="nil"/>
              <w:left w:val="nil"/>
              <w:bottom w:val="single" w:sz="8" w:space="0" w:color="auto"/>
              <w:right w:val="single" w:sz="8" w:space="0" w:color="auto"/>
            </w:tcBorders>
            <w:shd w:val="clear" w:color="000000" w:fill="D9D9D9"/>
            <w:vAlign w:val="center"/>
            <w:hideMark/>
          </w:tcPr>
          <w:p w14:paraId="2BA6DF6B" w14:textId="77777777" w:rsidR="002850C6" w:rsidRPr="002850C6" w:rsidRDefault="002850C6" w:rsidP="002850C6">
            <w:pPr>
              <w:spacing w:before="0" w:after="0"/>
              <w:jc w:val="right"/>
              <w:rPr>
                <w:noProof/>
                <w:sz w:val="20"/>
                <w:szCs w:val="20"/>
              </w:rPr>
            </w:pPr>
            <w:r w:rsidRPr="002850C6">
              <w:rPr>
                <w:noProof/>
                <w:sz w:val="20"/>
              </w:rPr>
              <w:t>1,504</w:t>
            </w:r>
          </w:p>
        </w:tc>
        <w:tc>
          <w:tcPr>
            <w:tcW w:w="322" w:type="pct"/>
            <w:tcBorders>
              <w:top w:val="nil"/>
              <w:left w:val="nil"/>
              <w:bottom w:val="single" w:sz="8" w:space="0" w:color="auto"/>
              <w:right w:val="single" w:sz="8" w:space="0" w:color="auto"/>
            </w:tcBorders>
            <w:shd w:val="clear" w:color="000000" w:fill="D9D9D9"/>
            <w:vAlign w:val="center"/>
            <w:hideMark/>
          </w:tcPr>
          <w:p w14:paraId="3BD5D36E" w14:textId="77777777" w:rsidR="002850C6" w:rsidRPr="002850C6" w:rsidRDefault="002850C6" w:rsidP="002850C6">
            <w:pPr>
              <w:spacing w:before="0" w:after="0"/>
              <w:jc w:val="right"/>
              <w:rPr>
                <w:b/>
                <w:bCs/>
                <w:noProof/>
                <w:sz w:val="20"/>
                <w:szCs w:val="20"/>
              </w:rPr>
            </w:pPr>
            <w:r w:rsidRPr="002850C6">
              <w:rPr>
                <w:b/>
                <w:noProof/>
                <w:sz w:val="20"/>
              </w:rPr>
              <w:t>3,008</w:t>
            </w:r>
          </w:p>
        </w:tc>
        <w:tc>
          <w:tcPr>
            <w:tcW w:w="322" w:type="pct"/>
            <w:tcBorders>
              <w:top w:val="nil"/>
              <w:left w:val="nil"/>
              <w:bottom w:val="single" w:sz="8" w:space="0" w:color="auto"/>
              <w:right w:val="single" w:sz="8" w:space="0" w:color="auto"/>
            </w:tcBorders>
            <w:shd w:val="clear" w:color="000000" w:fill="D9D9D9"/>
          </w:tcPr>
          <w:p w14:paraId="151CE859" w14:textId="77777777" w:rsidR="002850C6" w:rsidRPr="002850C6" w:rsidRDefault="002850C6" w:rsidP="002850C6">
            <w:pPr>
              <w:spacing w:before="0" w:after="0"/>
              <w:jc w:val="right"/>
              <w:rPr>
                <w:b/>
                <w:bCs/>
                <w:noProof/>
                <w:sz w:val="20"/>
                <w:szCs w:val="20"/>
              </w:rPr>
            </w:pPr>
            <w:r w:rsidRPr="002850C6">
              <w:rPr>
                <w:b/>
                <w:noProof/>
                <w:sz w:val="20"/>
              </w:rPr>
              <w:t>39,480</w:t>
            </w:r>
          </w:p>
        </w:tc>
      </w:tr>
      <w:tr w:rsidR="002850C6" w:rsidRPr="002850C6" w14:paraId="11896EFD" w14:textId="77777777" w:rsidTr="0043630B">
        <w:trPr>
          <w:trHeight w:val="300"/>
        </w:trPr>
        <w:tc>
          <w:tcPr>
            <w:tcW w:w="3418" w:type="pct"/>
            <w:gridSpan w:val="4"/>
            <w:tcBorders>
              <w:top w:val="single" w:sz="8" w:space="0" w:color="auto"/>
              <w:left w:val="single" w:sz="8" w:space="0" w:color="auto"/>
              <w:bottom w:val="single" w:sz="8" w:space="0" w:color="auto"/>
              <w:right w:val="single" w:sz="8" w:space="0" w:color="auto"/>
            </w:tcBorders>
            <w:vAlign w:val="center"/>
            <w:hideMark/>
          </w:tcPr>
          <w:p w14:paraId="551676AE" w14:textId="77777777" w:rsidR="002850C6" w:rsidRPr="002850C6" w:rsidRDefault="002850C6" w:rsidP="002850C6">
            <w:pPr>
              <w:spacing w:before="0" w:after="0"/>
              <w:jc w:val="left"/>
              <w:rPr>
                <w:rFonts w:ascii="Wingdings" w:hAnsi="Wingdings" w:cs="Calibri"/>
                <w:noProof/>
                <w:sz w:val="22"/>
              </w:rPr>
            </w:pPr>
            <w:r w:rsidRPr="002850C6">
              <w:rPr>
                <w:rFonts w:ascii="Wingdings" w:hAnsi="Wingdings"/>
                <w:noProof/>
                <w:sz w:val="22"/>
              </w:rPr>
              <w:t></w:t>
            </w:r>
            <w:r w:rsidRPr="002850C6">
              <w:rPr>
                <w:noProof/>
                <w:sz w:val="22"/>
              </w:rPr>
              <w:t xml:space="preserve"> Autres dépenses administratives </w:t>
            </w:r>
          </w:p>
        </w:tc>
        <w:tc>
          <w:tcPr>
            <w:tcW w:w="234" w:type="pct"/>
            <w:tcBorders>
              <w:top w:val="nil"/>
              <w:left w:val="nil"/>
              <w:bottom w:val="single" w:sz="8" w:space="0" w:color="auto"/>
              <w:right w:val="single" w:sz="8" w:space="0" w:color="auto"/>
            </w:tcBorders>
            <w:shd w:val="clear" w:color="000000" w:fill="D9D9D9"/>
            <w:vAlign w:val="center"/>
            <w:hideMark/>
          </w:tcPr>
          <w:p w14:paraId="59D3CC3F"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2D4F8154"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5E213154" w14:textId="77777777" w:rsidR="002850C6" w:rsidRPr="002850C6" w:rsidRDefault="002850C6" w:rsidP="002850C6">
            <w:pPr>
              <w:spacing w:before="0" w:after="0"/>
              <w:jc w:val="right"/>
              <w:rPr>
                <w:noProof/>
                <w:sz w:val="20"/>
                <w:szCs w:val="20"/>
              </w:rPr>
            </w:pPr>
            <w:r w:rsidRPr="002850C6">
              <w:rPr>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3A6E5E19" w14:textId="77777777" w:rsidR="002850C6" w:rsidRPr="002850C6" w:rsidRDefault="002850C6" w:rsidP="002850C6">
            <w:pPr>
              <w:spacing w:before="0" w:after="0"/>
              <w:jc w:val="right"/>
              <w:rPr>
                <w:noProof/>
                <w:sz w:val="20"/>
                <w:szCs w:val="20"/>
              </w:rPr>
            </w:pPr>
            <w:r w:rsidRPr="002850C6">
              <w:rPr>
                <w:noProof/>
                <w:sz w:val="20"/>
              </w:rPr>
              <w:t>0,000</w:t>
            </w:r>
          </w:p>
        </w:tc>
        <w:tc>
          <w:tcPr>
            <w:tcW w:w="322" w:type="pct"/>
            <w:tcBorders>
              <w:top w:val="nil"/>
              <w:left w:val="nil"/>
              <w:bottom w:val="single" w:sz="8" w:space="0" w:color="auto"/>
              <w:right w:val="single" w:sz="8" w:space="0" w:color="auto"/>
            </w:tcBorders>
            <w:shd w:val="clear" w:color="000000" w:fill="D9D9D9"/>
            <w:vAlign w:val="center"/>
            <w:hideMark/>
          </w:tcPr>
          <w:p w14:paraId="371CC537" w14:textId="77777777" w:rsidR="002850C6" w:rsidRPr="002850C6" w:rsidRDefault="002850C6" w:rsidP="002850C6">
            <w:pPr>
              <w:spacing w:before="0" w:after="0"/>
              <w:jc w:val="right"/>
              <w:rPr>
                <w:b/>
                <w:bCs/>
                <w:noProof/>
                <w:sz w:val="20"/>
                <w:szCs w:val="20"/>
              </w:rPr>
            </w:pPr>
            <w:r w:rsidRPr="002850C6">
              <w:rPr>
                <w:b/>
                <w:noProof/>
                <w:sz w:val="20"/>
              </w:rPr>
              <w:t>0,000</w:t>
            </w:r>
          </w:p>
        </w:tc>
        <w:tc>
          <w:tcPr>
            <w:tcW w:w="322" w:type="pct"/>
            <w:tcBorders>
              <w:top w:val="nil"/>
              <w:left w:val="nil"/>
              <w:bottom w:val="single" w:sz="8" w:space="0" w:color="auto"/>
              <w:right w:val="single" w:sz="8" w:space="0" w:color="auto"/>
            </w:tcBorders>
            <w:shd w:val="clear" w:color="000000" w:fill="D9D9D9"/>
          </w:tcPr>
          <w:p w14:paraId="65C6AA8A" w14:textId="77777777" w:rsidR="002850C6" w:rsidRPr="002850C6" w:rsidRDefault="002850C6" w:rsidP="002850C6">
            <w:pPr>
              <w:spacing w:before="0" w:after="0"/>
              <w:jc w:val="right"/>
              <w:rPr>
                <w:b/>
                <w:bCs/>
                <w:noProof/>
                <w:sz w:val="20"/>
                <w:szCs w:val="20"/>
              </w:rPr>
            </w:pPr>
            <w:r w:rsidRPr="002850C6">
              <w:rPr>
                <w:b/>
                <w:noProof/>
                <w:sz w:val="20"/>
              </w:rPr>
              <w:t>0,000</w:t>
            </w:r>
          </w:p>
        </w:tc>
      </w:tr>
      <w:tr w:rsidR="002850C6" w:rsidRPr="002850C6" w14:paraId="144BB57C" w14:textId="77777777" w:rsidTr="0043630B">
        <w:trPr>
          <w:trHeight w:val="300"/>
        </w:trPr>
        <w:tc>
          <w:tcPr>
            <w:tcW w:w="2852" w:type="pct"/>
            <w:tcBorders>
              <w:top w:val="nil"/>
              <w:left w:val="single" w:sz="8" w:space="0" w:color="auto"/>
              <w:bottom w:val="single" w:sz="8" w:space="0" w:color="auto"/>
              <w:right w:val="single" w:sz="8" w:space="0" w:color="auto"/>
            </w:tcBorders>
            <w:vAlign w:val="center"/>
            <w:hideMark/>
          </w:tcPr>
          <w:p w14:paraId="6073A73E" w14:textId="77777777" w:rsidR="002850C6" w:rsidRPr="002850C6" w:rsidRDefault="002850C6" w:rsidP="002850C6">
            <w:pPr>
              <w:spacing w:before="0" w:after="0"/>
              <w:jc w:val="center"/>
              <w:rPr>
                <w:b/>
                <w:bCs/>
                <w:noProof/>
                <w:sz w:val="22"/>
              </w:rPr>
            </w:pPr>
            <w:r w:rsidRPr="002850C6">
              <w:rPr>
                <w:b/>
                <w:noProof/>
                <w:sz w:val="22"/>
              </w:rPr>
              <w:t>TOTAL pour la DG ECHO</w:t>
            </w:r>
          </w:p>
        </w:tc>
        <w:tc>
          <w:tcPr>
            <w:tcW w:w="566" w:type="pct"/>
            <w:gridSpan w:val="3"/>
            <w:tcBorders>
              <w:top w:val="single" w:sz="8" w:space="0" w:color="auto"/>
              <w:left w:val="nil"/>
              <w:bottom w:val="single" w:sz="8" w:space="0" w:color="auto"/>
              <w:right w:val="single" w:sz="8" w:space="0" w:color="auto"/>
            </w:tcBorders>
            <w:vAlign w:val="center"/>
            <w:hideMark/>
          </w:tcPr>
          <w:p w14:paraId="4FE3CC5D" w14:textId="77777777" w:rsidR="002850C6" w:rsidRPr="002850C6" w:rsidRDefault="002850C6" w:rsidP="002850C6">
            <w:pPr>
              <w:spacing w:before="0" w:after="0"/>
              <w:jc w:val="left"/>
              <w:rPr>
                <w:noProof/>
                <w:sz w:val="18"/>
                <w:szCs w:val="18"/>
              </w:rPr>
            </w:pPr>
            <w:r w:rsidRPr="002850C6">
              <w:rPr>
                <w:noProof/>
                <w:sz w:val="18"/>
              </w:rPr>
              <w:t xml:space="preserve">Crédits </w:t>
            </w:r>
          </w:p>
        </w:tc>
        <w:tc>
          <w:tcPr>
            <w:tcW w:w="234" w:type="pct"/>
            <w:tcBorders>
              <w:top w:val="nil"/>
              <w:left w:val="nil"/>
              <w:bottom w:val="single" w:sz="8" w:space="0" w:color="auto"/>
              <w:right w:val="single" w:sz="8" w:space="0" w:color="auto"/>
            </w:tcBorders>
            <w:shd w:val="clear" w:color="000000" w:fill="D9D9D9"/>
            <w:vAlign w:val="center"/>
            <w:hideMark/>
          </w:tcPr>
          <w:p w14:paraId="7123F9A1" w14:textId="77777777" w:rsidR="002850C6" w:rsidRPr="002850C6" w:rsidRDefault="002850C6" w:rsidP="002850C6">
            <w:pPr>
              <w:spacing w:before="0" w:after="0"/>
              <w:jc w:val="right"/>
              <w:rPr>
                <w:b/>
                <w:bCs/>
                <w:noProof/>
                <w:sz w:val="20"/>
                <w:szCs w:val="20"/>
              </w:rPr>
            </w:pPr>
            <w:r w:rsidRPr="002850C6">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0C2C7A45" w14:textId="77777777" w:rsidR="002850C6" w:rsidRPr="002850C6" w:rsidRDefault="002850C6" w:rsidP="002850C6">
            <w:pPr>
              <w:spacing w:before="0" w:after="0"/>
              <w:jc w:val="right"/>
              <w:rPr>
                <w:b/>
                <w:bCs/>
                <w:noProof/>
                <w:sz w:val="20"/>
                <w:szCs w:val="20"/>
              </w:rPr>
            </w:pPr>
            <w:r w:rsidRPr="002850C6">
              <w:rPr>
                <w:b/>
                <w:noProof/>
                <w:sz w:val="20"/>
              </w:rPr>
              <w:t>0,000</w:t>
            </w:r>
          </w:p>
        </w:tc>
        <w:tc>
          <w:tcPr>
            <w:tcW w:w="234" w:type="pct"/>
            <w:tcBorders>
              <w:top w:val="nil"/>
              <w:left w:val="nil"/>
              <w:bottom w:val="single" w:sz="8" w:space="0" w:color="auto"/>
              <w:right w:val="single" w:sz="8" w:space="0" w:color="auto"/>
            </w:tcBorders>
            <w:shd w:val="clear" w:color="000000" w:fill="D9D9D9"/>
            <w:vAlign w:val="center"/>
            <w:hideMark/>
          </w:tcPr>
          <w:p w14:paraId="215B6862" w14:textId="77777777" w:rsidR="002850C6" w:rsidRPr="002850C6" w:rsidRDefault="002850C6" w:rsidP="002850C6">
            <w:pPr>
              <w:spacing w:before="0" w:after="0"/>
              <w:jc w:val="right"/>
              <w:rPr>
                <w:b/>
                <w:bCs/>
                <w:noProof/>
                <w:sz w:val="20"/>
                <w:szCs w:val="20"/>
              </w:rPr>
            </w:pPr>
            <w:r w:rsidRPr="002850C6">
              <w:rPr>
                <w:b/>
                <w:noProof/>
                <w:sz w:val="20"/>
              </w:rPr>
              <w:t>1,504</w:t>
            </w:r>
          </w:p>
        </w:tc>
        <w:tc>
          <w:tcPr>
            <w:tcW w:w="234" w:type="pct"/>
            <w:tcBorders>
              <w:top w:val="nil"/>
              <w:left w:val="nil"/>
              <w:bottom w:val="single" w:sz="8" w:space="0" w:color="auto"/>
              <w:right w:val="single" w:sz="8" w:space="0" w:color="auto"/>
            </w:tcBorders>
            <w:shd w:val="clear" w:color="000000" w:fill="D9D9D9"/>
            <w:vAlign w:val="center"/>
            <w:hideMark/>
          </w:tcPr>
          <w:p w14:paraId="4AC03DBC" w14:textId="77777777" w:rsidR="002850C6" w:rsidRPr="002850C6" w:rsidRDefault="002850C6" w:rsidP="002850C6">
            <w:pPr>
              <w:spacing w:before="0" w:after="0"/>
              <w:jc w:val="right"/>
              <w:rPr>
                <w:b/>
                <w:bCs/>
                <w:noProof/>
                <w:sz w:val="20"/>
                <w:szCs w:val="20"/>
              </w:rPr>
            </w:pPr>
            <w:r w:rsidRPr="002850C6">
              <w:rPr>
                <w:b/>
                <w:noProof/>
                <w:sz w:val="20"/>
              </w:rPr>
              <w:t>1,504</w:t>
            </w:r>
          </w:p>
        </w:tc>
        <w:tc>
          <w:tcPr>
            <w:tcW w:w="322" w:type="pct"/>
            <w:tcBorders>
              <w:top w:val="nil"/>
              <w:left w:val="nil"/>
              <w:bottom w:val="single" w:sz="8" w:space="0" w:color="auto"/>
              <w:right w:val="single" w:sz="8" w:space="0" w:color="auto"/>
            </w:tcBorders>
            <w:shd w:val="clear" w:color="000000" w:fill="D9D9D9"/>
            <w:vAlign w:val="center"/>
            <w:hideMark/>
          </w:tcPr>
          <w:p w14:paraId="4C0D2FBC" w14:textId="77777777" w:rsidR="002850C6" w:rsidRPr="002850C6" w:rsidRDefault="002850C6" w:rsidP="002850C6">
            <w:pPr>
              <w:spacing w:before="0" w:after="0"/>
              <w:jc w:val="right"/>
              <w:rPr>
                <w:b/>
                <w:bCs/>
                <w:noProof/>
                <w:sz w:val="20"/>
                <w:szCs w:val="20"/>
              </w:rPr>
            </w:pPr>
            <w:r w:rsidRPr="002850C6">
              <w:rPr>
                <w:b/>
                <w:noProof/>
                <w:sz w:val="20"/>
              </w:rPr>
              <w:t>3,008</w:t>
            </w:r>
          </w:p>
        </w:tc>
        <w:tc>
          <w:tcPr>
            <w:tcW w:w="322" w:type="pct"/>
            <w:tcBorders>
              <w:top w:val="nil"/>
              <w:left w:val="nil"/>
              <w:bottom w:val="single" w:sz="8" w:space="0" w:color="auto"/>
              <w:right w:val="single" w:sz="8" w:space="0" w:color="auto"/>
            </w:tcBorders>
            <w:shd w:val="clear" w:color="000000" w:fill="D9D9D9"/>
          </w:tcPr>
          <w:p w14:paraId="30ED225A" w14:textId="77777777" w:rsidR="002850C6" w:rsidRPr="002850C6" w:rsidRDefault="002850C6" w:rsidP="002850C6">
            <w:pPr>
              <w:spacing w:before="0" w:after="0"/>
              <w:jc w:val="right"/>
              <w:rPr>
                <w:b/>
                <w:bCs/>
                <w:noProof/>
                <w:sz w:val="20"/>
                <w:szCs w:val="20"/>
              </w:rPr>
            </w:pPr>
            <w:r w:rsidRPr="002850C6">
              <w:rPr>
                <w:b/>
                <w:noProof/>
                <w:sz w:val="20"/>
              </w:rPr>
              <w:t>39,480</w:t>
            </w:r>
          </w:p>
        </w:tc>
      </w:tr>
      <w:tr w:rsidR="002850C6" w:rsidRPr="002850C6" w14:paraId="73B9F6A6" w14:textId="77777777" w:rsidTr="0043630B">
        <w:trPr>
          <w:trHeight w:val="300"/>
        </w:trPr>
        <w:tc>
          <w:tcPr>
            <w:tcW w:w="1512" w:type="pct"/>
            <w:tcBorders>
              <w:top w:val="nil"/>
              <w:left w:val="nil"/>
              <w:bottom w:val="nil"/>
              <w:right w:val="nil"/>
            </w:tcBorders>
            <w:noWrap/>
            <w:vAlign w:val="bottom"/>
            <w:hideMark/>
          </w:tcPr>
          <w:p w14:paraId="377E00E8" w14:textId="77777777" w:rsidR="002850C6" w:rsidRPr="002850C6" w:rsidRDefault="002850C6" w:rsidP="002850C6">
            <w:pPr>
              <w:spacing w:before="0" w:after="0"/>
              <w:jc w:val="right"/>
              <w:rPr>
                <w:b/>
                <w:noProof/>
                <w:sz w:val="20"/>
                <w:szCs w:val="20"/>
                <w:lang w:eastAsia="en-IE"/>
              </w:rPr>
            </w:pPr>
          </w:p>
          <w:p w14:paraId="77F59A39" w14:textId="77777777" w:rsidR="002850C6" w:rsidRPr="002850C6" w:rsidRDefault="002850C6" w:rsidP="002850C6">
            <w:pPr>
              <w:spacing w:after="40"/>
              <w:rPr>
                <w:noProof/>
              </w:rPr>
            </w:pPr>
          </w:p>
          <w:p w14:paraId="242A63A9" w14:textId="77777777" w:rsidR="002850C6" w:rsidRPr="002850C6" w:rsidRDefault="002850C6" w:rsidP="002850C6">
            <w:pPr>
              <w:spacing w:before="0" w:after="0"/>
              <w:jc w:val="right"/>
              <w:rPr>
                <w:b/>
                <w:noProof/>
                <w:sz w:val="20"/>
                <w:szCs w:val="20"/>
                <w:lang w:eastAsia="en-IE"/>
              </w:rPr>
            </w:pPr>
          </w:p>
        </w:tc>
        <w:tc>
          <w:tcPr>
            <w:tcW w:w="848" w:type="pct"/>
            <w:tcBorders>
              <w:top w:val="nil"/>
              <w:left w:val="nil"/>
              <w:bottom w:val="nil"/>
              <w:right w:val="nil"/>
            </w:tcBorders>
            <w:noWrap/>
            <w:vAlign w:val="bottom"/>
            <w:hideMark/>
          </w:tcPr>
          <w:p w14:paraId="093E140D" w14:textId="77777777" w:rsidR="002850C6" w:rsidRPr="002850C6" w:rsidRDefault="002850C6" w:rsidP="002850C6">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2D93FF68" w14:textId="77777777" w:rsidR="002850C6" w:rsidRPr="002850C6" w:rsidRDefault="002850C6" w:rsidP="002850C6">
            <w:pPr>
              <w:spacing w:before="0" w:after="0"/>
              <w:jc w:val="left"/>
              <w:rPr>
                <w:noProof/>
                <w:sz w:val="20"/>
                <w:szCs w:val="20"/>
                <w:lang w:eastAsia="en-IE"/>
              </w:rPr>
            </w:pPr>
          </w:p>
        </w:tc>
        <w:tc>
          <w:tcPr>
            <w:tcW w:w="211" w:type="pct"/>
            <w:tcBorders>
              <w:top w:val="nil"/>
              <w:left w:val="nil"/>
              <w:bottom w:val="nil"/>
              <w:right w:val="nil"/>
            </w:tcBorders>
            <w:noWrap/>
            <w:vAlign w:val="bottom"/>
            <w:hideMark/>
          </w:tcPr>
          <w:p w14:paraId="21B9F39A" w14:textId="77777777" w:rsidR="002850C6" w:rsidRPr="002850C6" w:rsidRDefault="002850C6" w:rsidP="002850C6">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75C324F9" w14:textId="77777777" w:rsidR="002850C6" w:rsidRPr="002850C6" w:rsidRDefault="002850C6" w:rsidP="002850C6">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5A6E4FFA" w14:textId="77777777" w:rsidR="002850C6" w:rsidRPr="002850C6" w:rsidRDefault="002850C6" w:rsidP="002850C6">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54FF1CD6" w14:textId="77777777" w:rsidR="002850C6" w:rsidRPr="002850C6" w:rsidRDefault="002850C6" w:rsidP="002850C6">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5A02109D" w14:textId="77777777" w:rsidR="002850C6" w:rsidRPr="002850C6" w:rsidRDefault="002850C6" w:rsidP="002850C6">
            <w:pPr>
              <w:spacing w:before="0" w:after="0"/>
              <w:jc w:val="left"/>
              <w:rPr>
                <w:noProof/>
                <w:sz w:val="20"/>
                <w:szCs w:val="20"/>
                <w:lang w:eastAsia="en-IE"/>
              </w:rPr>
            </w:pPr>
          </w:p>
        </w:tc>
        <w:tc>
          <w:tcPr>
            <w:tcW w:w="424" w:type="pct"/>
            <w:tcBorders>
              <w:top w:val="nil"/>
              <w:left w:val="nil"/>
              <w:bottom w:val="nil"/>
              <w:right w:val="nil"/>
            </w:tcBorders>
            <w:noWrap/>
            <w:vAlign w:val="bottom"/>
            <w:hideMark/>
          </w:tcPr>
          <w:p w14:paraId="1C442CD5" w14:textId="77777777" w:rsidR="002850C6" w:rsidRPr="002850C6" w:rsidRDefault="002850C6" w:rsidP="002850C6">
            <w:pPr>
              <w:spacing w:before="0" w:after="0"/>
              <w:jc w:val="left"/>
              <w:rPr>
                <w:noProof/>
                <w:sz w:val="20"/>
                <w:szCs w:val="20"/>
                <w:lang w:eastAsia="en-IE"/>
              </w:rPr>
            </w:pPr>
          </w:p>
        </w:tc>
        <w:tc>
          <w:tcPr>
            <w:tcW w:w="423" w:type="pct"/>
            <w:tcBorders>
              <w:top w:val="nil"/>
              <w:left w:val="nil"/>
              <w:bottom w:val="nil"/>
              <w:right w:val="nil"/>
            </w:tcBorders>
          </w:tcPr>
          <w:p w14:paraId="7E789A07" w14:textId="77777777" w:rsidR="002850C6" w:rsidRPr="002850C6" w:rsidRDefault="002850C6" w:rsidP="002850C6">
            <w:pPr>
              <w:spacing w:before="0" w:after="0"/>
              <w:jc w:val="left"/>
              <w:rPr>
                <w:noProof/>
                <w:sz w:val="20"/>
                <w:szCs w:val="20"/>
                <w:lang w:eastAsia="en-IE"/>
              </w:rPr>
            </w:pPr>
          </w:p>
        </w:tc>
      </w:tr>
    </w:tbl>
    <w:p w14:paraId="4038451A" w14:textId="77777777" w:rsidR="002850C6" w:rsidRPr="002850C6" w:rsidRDefault="002850C6" w:rsidP="002850C6">
      <w:pPr>
        <w:rPr>
          <w:noProof/>
          <w:sz w:val="20"/>
        </w:rPr>
      </w:pPr>
    </w:p>
    <w:tbl>
      <w:tblPr>
        <w:tblW w:w="5000" w:type="pct"/>
        <w:tblLook w:val="04A0" w:firstRow="1" w:lastRow="0" w:firstColumn="1" w:lastColumn="0" w:noHBand="0" w:noVBand="1"/>
      </w:tblPr>
      <w:tblGrid>
        <w:gridCol w:w="4272"/>
        <w:gridCol w:w="3586"/>
        <w:gridCol w:w="924"/>
        <w:gridCol w:w="950"/>
        <w:gridCol w:w="950"/>
        <w:gridCol w:w="950"/>
        <w:gridCol w:w="1180"/>
        <w:gridCol w:w="1408"/>
      </w:tblGrid>
      <w:tr w:rsidR="002850C6" w:rsidRPr="002850C6" w14:paraId="5DB339C9" w14:textId="77777777" w:rsidTr="0043630B">
        <w:trPr>
          <w:trHeight w:val="315"/>
        </w:trPr>
        <w:tc>
          <w:tcPr>
            <w:tcW w:w="2763"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49BFC798" w14:textId="77777777" w:rsidR="002850C6" w:rsidRPr="002850C6" w:rsidRDefault="002850C6" w:rsidP="002850C6">
            <w:pPr>
              <w:spacing w:before="0" w:after="0"/>
              <w:jc w:val="center"/>
              <w:rPr>
                <w:noProof/>
                <w:szCs w:val="24"/>
              </w:rPr>
            </w:pPr>
            <w:r w:rsidRPr="002850C6">
              <w:rPr>
                <w:noProof/>
              </w:rPr>
              <w:t>DG TAXUD</w:t>
            </w:r>
          </w:p>
        </w:tc>
        <w:tc>
          <w:tcPr>
            <w:tcW w:w="325" w:type="pct"/>
            <w:tcBorders>
              <w:top w:val="single" w:sz="8" w:space="0" w:color="auto"/>
              <w:left w:val="nil"/>
              <w:bottom w:val="nil"/>
              <w:right w:val="single" w:sz="8" w:space="0" w:color="auto"/>
            </w:tcBorders>
            <w:vAlign w:val="center"/>
            <w:hideMark/>
          </w:tcPr>
          <w:p w14:paraId="5D58E131" w14:textId="77777777" w:rsidR="002850C6" w:rsidRPr="002850C6" w:rsidRDefault="002850C6" w:rsidP="002850C6">
            <w:pPr>
              <w:spacing w:before="0" w:after="0"/>
              <w:jc w:val="center"/>
              <w:rPr>
                <w:noProof/>
                <w:sz w:val="20"/>
                <w:szCs w:val="20"/>
              </w:rPr>
            </w:pPr>
            <w:r w:rsidRPr="002850C6">
              <w:rPr>
                <w:noProof/>
                <w:sz w:val="20"/>
              </w:rPr>
              <w:t>Année</w:t>
            </w:r>
          </w:p>
        </w:tc>
        <w:tc>
          <w:tcPr>
            <w:tcW w:w="334" w:type="pct"/>
            <w:tcBorders>
              <w:top w:val="single" w:sz="8" w:space="0" w:color="auto"/>
              <w:left w:val="nil"/>
              <w:bottom w:val="nil"/>
              <w:right w:val="single" w:sz="8" w:space="0" w:color="auto"/>
            </w:tcBorders>
            <w:vAlign w:val="center"/>
            <w:hideMark/>
          </w:tcPr>
          <w:p w14:paraId="35C3FFE0" w14:textId="77777777" w:rsidR="002850C6" w:rsidRPr="002850C6" w:rsidRDefault="002850C6" w:rsidP="002850C6">
            <w:pPr>
              <w:spacing w:before="0" w:after="0"/>
              <w:jc w:val="center"/>
              <w:rPr>
                <w:noProof/>
                <w:sz w:val="20"/>
                <w:szCs w:val="20"/>
              </w:rPr>
            </w:pPr>
            <w:r w:rsidRPr="002850C6">
              <w:rPr>
                <w:noProof/>
                <w:sz w:val="20"/>
              </w:rPr>
              <w:t>Année</w:t>
            </w:r>
          </w:p>
        </w:tc>
        <w:tc>
          <w:tcPr>
            <w:tcW w:w="334" w:type="pct"/>
            <w:tcBorders>
              <w:top w:val="single" w:sz="8" w:space="0" w:color="auto"/>
              <w:left w:val="nil"/>
              <w:bottom w:val="nil"/>
              <w:right w:val="single" w:sz="8" w:space="0" w:color="auto"/>
            </w:tcBorders>
            <w:vAlign w:val="center"/>
            <w:hideMark/>
          </w:tcPr>
          <w:p w14:paraId="3B3BFD81" w14:textId="77777777" w:rsidR="002850C6" w:rsidRPr="002850C6" w:rsidRDefault="002850C6" w:rsidP="002850C6">
            <w:pPr>
              <w:spacing w:before="0" w:after="0"/>
              <w:jc w:val="center"/>
              <w:rPr>
                <w:noProof/>
                <w:sz w:val="20"/>
                <w:szCs w:val="20"/>
              </w:rPr>
            </w:pPr>
            <w:r w:rsidRPr="002850C6">
              <w:rPr>
                <w:noProof/>
                <w:sz w:val="20"/>
              </w:rPr>
              <w:t>Année</w:t>
            </w:r>
          </w:p>
        </w:tc>
        <w:tc>
          <w:tcPr>
            <w:tcW w:w="334" w:type="pct"/>
            <w:tcBorders>
              <w:top w:val="single" w:sz="8" w:space="0" w:color="auto"/>
              <w:left w:val="nil"/>
              <w:bottom w:val="nil"/>
              <w:right w:val="single" w:sz="8" w:space="0" w:color="auto"/>
            </w:tcBorders>
            <w:vAlign w:val="center"/>
            <w:hideMark/>
          </w:tcPr>
          <w:p w14:paraId="0779227F" w14:textId="77777777" w:rsidR="002850C6" w:rsidRPr="002850C6" w:rsidRDefault="002850C6" w:rsidP="002850C6">
            <w:pPr>
              <w:spacing w:before="0" w:after="0"/>
              <w:jc w:val="center"/>
              <w:rPr>
                <w:noProof/>
                <w:sz w:val="20"/>
                <w:szCs w:val="20"/>
              </w:rPr>
            </w:pPr>
            <w:r w:rsidRPr="002850C6">
              <w:rPr>
                <w:noProof/>
                <w:sz w:val="20"/>
              </w:rPr>
              <w:t>Année</w:t>
            </w:r>
          </w:p>
        </w:tc>
        <w:tc>
          <w:tcPr>
            <w:tcW w:w="415" w:type="pct"/>
            <w:vMerge w:val="restart"/>
            <w:tcBorders>
              <w:top w:val="single" w:sz="8" w:space="0" w:color="auto"/>
              <w:left w:val="single" w:sz="8" w:space="0" w:color="auto"/>
              <w:bottom w:val="single" w:sz="8" w:space="0" w:color="000000"/>
              <w:right w:val="single" w:sz="8" w:space="0" w:color="auto"/>
            </w:tcBorders>
            <w:vAlign w:val="center"/>
            <w:hideMark/>
          </w:tcPr>
          <w:p w14:paraId="4D2D1370" w14:textId="77777777" w:rsidR="002850C6" w:rsidRPr="002850C6" w:rsidRDefault="002850C6" w:rsidP="002850C6">
            <w:pPr>
              <w:spacing w:before="0" w:after="0"/>
              <w:jc w:val="center"/>
              <w:rPr>
                <w:b/>
                <w:bCs/>
                <w:noProof/>
                <w:sz w:val="20"/>
                <w:szCs w:val="20"/>
              </w:rPr>
            </w:pPr>
            <w:r w:rsidRPr="002850C6">
              <w:rPr>
                <w:b/>
                <w:noProof/>
                <w:sz w:val="20"/>
              </w:rPr>
              <w:t>TOTAL CFP</w:t>
            </w:r>
            <w:r w:rsidRPr="002850C6">
              <w:rPr>
                <w:noProof/>
              </w:rPr>
              <w:t xml:space="preserve"> </w:t>
            </w:r>
            <w:r w:rsidRPr="002850C6">
              <w:rPr>
                <w:noProof/>
              </w:rPr>
              <w:br/>
            </w:r>
            <w:r w:rsidRPr="002850C6">
              <w:rPr>
                <w:b/>
                <w:noProof/>
                <w:sz w:val="20"/>
              </w:rPr>
              <w:t>2021-2027</w:t>
            </w:r>
          </w:p>
        </w:tc>
        <w:tc>
          <w:tcPr>
            <w:tcW w:w="496" w:type="pct"/>
            <w:vMerge w:val="restart"/>
            <w:tcBorders>
              <w:top w:val="single" w:sz="8" w:space="0" w:color="auto"/>
              <w:left w:val="single" w:sz="8" w:space="0" w:color="auto"/>
              <w:right w:val="single" w:sz="8" w:space="0" w:color="auto"/>
            </w:tcBorders>
            <w:vAlign w:val="center"/>
          </w:tcPr>
          <w:p w14:paraId="554F9D75" w14:textId="77777777" w:rsidR="002850C6" w:rsidRPr="002850C6" w:rsidRDefault="002850C6" w:rsidP="002850C6">
            <w:pPr>
              <w:spacing w:before="0" w:after="0"/>
              <w:jc w:val="center"/>
              <w:rPr>
                <w:b/>
                <w:bCs/>
                <w:noProof/>
                <w:sz w:val="20"/>
                <w:szCs w:val="20"/>
              </w:rPr>
            </w:pPr>
            <w:r w:rsidRPr="002850C6">
              <w:rPr>
                <w:b/>
                <w:noProof/>
                <w:sz w:val="20"/>
              </w:rPr>
              <w:t>TOTAL CFP</w:t>
            </w:r>
          </w:p>
          <w:p w14:paraId="6A586F50" w14:textId="77777777" w:rsidR="002850C6" w:rsidRPr="002850C6" w:rsidRDefault="002850C6" w:rsidP="002850C6">
            <w:pPr>
              <w:spacing w:before="0" w:after="0"/>
              <w:jc w:val="center"/>
              <w:rPr>
                <w:b/>
                <w:bCs/>
                <w:noProof/>
                <w:sz w:val="20"/>
                <w:szCs w:val="20"/>
              </w:rPr>
            </w:pPr>
            <w:r w:rsidRPr="002850C6">
              <w:rPr>
                <w:b/>
                <w:noProof/>
                <w:sz w:val="20"/>
              </w:rPr>
              <w:t>2028-2034</w:t>
            </w:r>
          </w:p>
        </w:tc>
      </w:tr>
      <w:tr w:rsidR="002850C6" w:rsidRPr="002850C6" w14:paraId="3E5053D7" w14:textId="77777777" w:rsidTr="0043630B">
        <w:trPr>
          <w:trHeight w:val="300"/>
        </w:trPr>
        <w:tc>
          <w:tcPr>
            <w:tcW w:w="2763" w:type="pct"/>
            <w:gridSpan w:val="2"/>
            <w:vMerge/>
            <w:tcBorders>
              <w:top w:val="single" w:sz="8" w:space="0" w:color="auto"/>
              <w:left w:val="single" w:sz="8" w:space="0" w:color="auto"/>
              <w:bottom w:val="single" w:sz="8" w:space="0" w:color="auto"/>
              <w:right w:val="single" w:sz="8" w:space="0" w:color="auto"/>
            </w:tcBorders>
            <w:vAlign w:val="center"/>
            <w:hideMark/>
          </w:tcPr>
          <w:p w14:paraId="3FBCB92C" w14:textId="77777777" w:rsidR="002850C6" w:rsidRPr="002850C6" w:rsidRDefault="002850C6" w:rsidP="002850C6">
            <w:pPr>
              <w:spacing w:before="0" w:after="0"/>
              <w:jc w:val="left"/>
              <w:rPr>
                <w:noProof/>
                <w:szCs w:val="24"/>
                <w:lang w:eastAsia="en-IE"/>
              </w:rPr>
            </w:pPr>
          </w:p>
        </w:tc>
        <w:tc>
          <w:tcPr>
            <w:tcW w:w="325" w:type="pct"/>
            <w:tcBorders>
              <w:top w:val="nil"/>
              <w:left w:val="nil"/>
              <w:bottom w:val="single" w:sz="8" w:space="0" w:color="auto"/>
              <w:right w:val="single" w:sz="8" w:space="0" w:color="auto"/>
            </w:tcBorders>
            <w:vAlign w:val="center"/>
            <w:hideMark/>
          </w:tcPr>
          <w:p w14:paraId="4618AF11" w14:textId="77777777" w:rsidR="002850C6" w:rsidRPr="002850C6" w:rsidRDefault="002850C6" w:rsidP="002850C6">
            <w:pPr>
              <w:spacing w:before="0" w:after="0"/>
              <w:jc w:val="center"/>
              <w:rPr>
                <w:b/>
                <w:bCs/>
                <w:noProof/>
                <w:sz w:val="20"/>
                <w:szCs w:val="20"/>
              </w:rPr>
            </w:pPr>
            <w:r w:rsidRPr="002850C6">
              <w:rPr>
                <w:b/>
                <w:noProof/>
                <w:sz w:val="20"/>
              </w:rPr>
              <w:t>2024</w:t>
            </w:r>
          </w:p>
        </w:tc>
        <w:tc>
          <w:tcPr>
            <w:tcW w:w="334" w:type="pct"/>
            <w:tcBorders>
              <w:top w:val="nil"/>
              <w:left w:val="nil"/>
              <w:bottom w:val="single" w:sz="8" w:space="0" w:color="auto"/>
              <w:right w:val="single" w:sz="8" w:space="0" w:color="auto"/>
            </w:tcBorders>
            <w:vAlign w:val="center"/>
            <w:hideMark/>
          </w:tcPr>
          <w:p w14:paraId="3C00F019" w14:textId="77777777" w:rsidR="002850C6" w:rsidRPr="002850C6" w:rsidRDefault="002850C6" w:rsidP="002850C6">
            <w:pPr>
              <w:spacing w:before="0" w:after="0"/>
              <w:jc w:val="center"/>
              <w:rPr>
                <w:b/>
                <w:bCs/>
                <w:noProof/>
                <w:sz w:val="20"/>
                <w:szCs w:val="20"/>
              </w:rPr>
            </w:pPr>
            <w:r w:rsidRPr="002850C6">
              <w:rPr>
                <w:b/>
                <w:noProof/>
                <w:sz w:val="20"/>
              </w:rPr>
              <w:t>2025</w:t>
            </w:r>
          </w:p>
        </w:tc>
        <w:tc>
          <w:tcPr>
            <w:tcW w:w="334" w:type="pct"/>
            <w:tcBorders>
              <w:top w:val="nil"/>
              <w:left w:val="nil"/>
              <w:bottom w:val="single" w:sz="8" w:space="0" w:color="auto"/>
              <w:right w:val="single" w:sz="8" w:space="0" w:color="auto"/>
            </w:tcBorders>
            <w:vAlign w:val="center"/>
            <w:hideMark/>
          </w:tcPr>
          <w:p w14:paraId="0B07CF85" w14:textId="77777777" w:rsidR="002850C6" w:rsidRPr="002850C6" w:rsidRDefault="002850C6" w:rsidP="002850C6">
            <w:pPr>
              <w:spacing w:before="0" w:after="0"/>
              <w:jc w:val="center"/>
              <w:rPr>
                <w:b/>
                <w:bCs/>
                <w:noProof/>
                <w:sz w:val="20"/>
                <w:szCs w:val="20"/>
              </w:rPr>
            </w:pPr>
            <w:r w:rsidRPr="002850C6">
              <w:rPr>
                <w:b/>
                <w:noProof/>
                <w:sz w:val="20"/>
              </w:rPr>
              <w:t>2026</w:t>
            </w:r>
          </w:p>
        </w:tc>
        <w:tc>
          <w:tcPr>
            <w:tcW w:w="334" w:type="pct"/>
            <w:tcBorders>
              <w:top w:val="nil"/>
              <w:left w:val="nil"/>
              <w:bottom w:val="single" w:sz="8" w:space="0" w:color="auto"/>
              <w:right w:val="single" w:sz="8" w:space="0" w:color="auto"/>
            </w:tcBorders>
            <w:vAlign w:val="center"/>
            <w:hideMark/>
          </w:tcPr>
          <w:p w14:paraId="45B0CC07" w14:textId="77777777" w:rsidR="002850C6" w:rsidRPr="002850C6" w:rsidRDefault="002850C6" w:rsidP="002850C6">
            <w:pPr>
              <w:spacing w:before="0" w:after="0"/>
              <w:jc w:val="center"/>
              <w:rPr>
                <w:b/>
                <w:bCs/>
                <w:noProof/>
                <w:sz w:val="20"/>
                <w:szCs w:val="20"/>
              </w:rPr>
            </w:pPr>
            <w:r w:rsidRPr="002850C6">
              <w:rPr>
                <w:b/>
                <w:noProof/>
                <w:sz w:val="20"/>
              </w:rPr>
              <w:t>2027</w:t>
            </w:r>
          </w:p>
        </w:tc>
        <w:tc>
          <w:tcPr>
            <w:tcW w:w="415" w:type="pct"/>
            <w:vMerge/>
            <w:tcBorders>
              <w:top w:val="single" w:sz="8" w:space="0" w:color="auto"/>
              <w:left w:val="single" w:sz="8" w:space="0" w:color="auto"/>
              <w:bottom w:val="single" w:sz="8" w:space="0" w:color="000000"/>
              <w:right w:val="single" w:sz="8" w:space="0" w:color="auto"/>
            </w:tcBorders>
            <w:vAlign w:val="center"/>
            <w:hideMark/>
          </w:tcPr>
          <w:p w14:paraId="2A8FF08D" w14:textId="77777777" w:rsidR="002850C6" w:rsidRPr="002850C6" w:rsidRDefault="002850C6" w:rsidP="002850C6">
            <w:pPr>
              <w:spacing w:before="0" w:after="0"/>
              <w:jc w:val="left"/>
              <w:rPr>
                <w:b/>
                <w:bCs/>
                <w:noProof/>
                <w:sz w:val="20"/>
                <w:szCs w:val="20"/>
                <w:lang w:eastAsia="en-IE"/>
              </w:rPr>
            </w:pPr>
          </w:p>
        </w:tc>
        <w:tc>
          <w:tcPr>
            <w:tcW w:w="496" w:type="pct"/>
            <w:vMerge/>
            <w:tcBorders>
              <w:left w:val="single" w:sz="8" w:space="0" w:color="auto"/>
              <w:bottom w:val="single" w:sz="8" w:space="0" w:color="000000"/>
              <w:right w:val="single" w:sz="8" w:space="0" w:color="auto"/>
            </w:tcBorders>
            <w:vAlign w:val="center"/>
          </w:tcPr>
          <w:p w14:paraId="6F0C1A0D" w14:textId="77777777" w:rsidR="002850C6" w:rsidRPr="002850C6" w:rsidRDefault="002850C6" w:rsidP="002850C6">
            <w:pPr>
              <w:spacing w:before="0" w:after="0"/>
              <w:jc w:val="center"/>
              <w:rPr>
                <w:b/>
                <w:bCs/>
                <w:noProof/>
                <w:sz w:val="20"/>
                <w:szCs w:val="20"/>
                <w:lang w:eastAsia="en-IE"/>
              </w:rPr>
            </w:pPr>
          </w:p>
        </w:tc>
      </w:tr>
      <w:tr w:rsidR="002850C6" w:rsidRPr="002850C6" w14:paraId="557A387E" w14:textId="77777777" w:rsidTr="0043630B">
        <w:trPr>
          <w:trHeight w:val="300"/>
        </w:trPr>
        <w:tc>
          <w:tcPr>
            <w:tcW w:w="2763" w:type="pct"/>
            <w:gridSpan w:val="2"/>
            <w:tcBorders>
              <w:top w:val="single" w:sz="8" w:space="0" w:color="auto"/>
              <w:left w:val="single" w:sz="8" w:space="0" w:color="auto"/>
              <w:bottom w:val="single" w:sz="8" w:space="0" w:color="auto"/>
              <w:right w:val="single" w:sz="8" w:space="0" w:color="auto"/>
            </w:tcBorders>
            <w:vAlign w:val="center"/>
            <w:hideMark/>
          </w:tcPr>
          <w:p w14:paraId="2AAD4755" w14:textId="77777777" w:rsidR="002850C6" w:rsidRPr="002850C6" w:rsidRDefault="002850C6" w:rsidP="002850C6">
            <w:pPr>
              <w:spacing w:before="0" w:after="0"/>
              <w:jc w:val="left"/>
              <w:rPr>
                <w:rFonts w:ascii="Wingdings" w:hAnsi="Wingdings" w:cs="Calibri"/>
                <w:noProof/>
                <w:sz w:val="22"/>
              </w:rPr>
            </w:pPr>
            <w:r w:rsidRPr="002850C6">
              <w:rPr>
                <w:rFonts w:ascii="Wingdings" w:hAnsi="Wingdings"/>
                <w:noProof/>
                <w:sz w:val="22"/>
              </w:rPr>
              <w:t></w:t>
            </w:r>
            <w:r w:rsidRPr="002850C6">
              <w:rPr>
                <w:noProof/>
                <w:sz w:val="22"/>
              </w:rPr>
              <w:t xml:space="preserve"> Ressources humaines </w:t>
            </w:r>
          </w:p>
        </w:tc>
        <w:tc>
          <w:tcPr>
            <w:tcW w:w="325" w:type="pct"/>
            <w:tcBorders>
              <w:top w:val="nil"/>
              <w:left w:val="nil"/>
              <w:bottom w:val="single" w:sz="8" w:space="0" w:color="auto"/>
              <w:right w:val="single" w:sz="8" w:space="0" w:color="auto"/>
            </w:tcBorders>
            <w:shd w:val="clear" w:color="000000" w:fill="D9D9D9"/>
            <w:vAlign w:val="center"/>
            <w:hideMark/>
          </w:tcPr>
          <w:p w14:paraId="549654C1" w14:textId="77777777" w:rsidR="002850C6" w:rsidRPr="002850C6" w:rsidRDefault="002850C6" w:rsidP="002850C6">
            <w:pPr>
              <w:spacing w:before="0" w:after="0"/>
              <w:jc w:val="right"/>
              <w:rPr>
                <w:noProof/>
                <w:sz w:val="20"/>
                <w:szCs w:val="20"/>
              </w:rPr>
            </w:pPr>
            <w:r w:rsidRPr="002850C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263E57E4" w14:textId="77777777" w:rsidR="002850C6" w:rsidRPr="002850C6" w:rsidRDefault="002850C6" w:rsidP="002850C6">
            <w:pPr>
              <w:spacing w:before="0" w:after="0"/>
              <w:jc w:val="right"/>
              <w:rPr>
                <w:noProof/>
                <w:sz w:val="20"/>
                <w:szCs w:val="20"/>
              </w:rPr>
            </w:pPr>
            <w:r w:rsidRPr="002850C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40BE8F42" w14:textId="77777777" w:rsidR="002850C6" w:rsidRPr="002850C6" w:rsidRDefault="002850C6" w:rsidP="002850C6">
            <w:pPr>
              <w:spacing w:before="0" w:after="0"/>
              <w:jc w:val="right"/>
              <w:rPr>
                <w:noProof/>
                <w:sz w:val="20"/>
                <w:szCs w:val="20"/>
              </w:rPr>
            </w:pPr>
            <w:r w:rsidRPr="002850C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698AB11D" w14:textId="77777777" w:rsidR="002850C6" w:rsidRPr="002850C6" w:rsidRDefault="002850C6" w:rsidP="002850C6">
            <w:pPr>
              <w:spacing w:before="0" w:after="0"/>
              <w:jc w:val="right"/>
              <w:rPr>
                <w:noProof/>
                <w:sz w:val="20"/>
                <w:szCs w:val="20"/>
              </w:rPr>
            </w:pPr>
            <w:r w:rsidRPr="002850C6">
              <w:rPr>
                <w:noProof/>
                <w:sz w:val="20"/>
              </w:rPr>
              <w:t>0,101</w:t>
            </w:r>
          </w:p>
        </w:tc>
        <w:tc>
          <w:tcPr>
            <w:tcW w:w="415" w:type="pct"/>
            <w:tcBorders>
              <w:top w:val="nil"/>
              <w:left w:val="nil"/>
              <w:bottom w:val="single" w:sz="8" w:space="0" w:color="auto"/>
              <w:right w:val="single" w:sz="8" w:space="0" w:color="auto"/>
            </w:tcBorders>
            <w:shd w:val="clear" w:color="000000" w:fill="D9D9D9"/>
            <w:vAlign w:val="center"/>
            <w:hideMark/>
          </w:tcPr>
          <w:p w14:paraId="08B99316" w14:textId="77777777" w:rsidR="002850C6" w:rsidRPr="002850C6" w:rsidRDefault="002850C6" w:rsidP="002850C6">
            <w:pPr>
              <w:spacing w:before="0" w:after="0"/>
              <w:jc w:val="right"/>
              <w:rPr>
                <w:b/>
                <w:bCs/>
                <w:noProof/>
                <w:sz w:val="20"/>
                <w:szCs w:val="20"/>
              </w:rPr>
            </w:pPr>
            <w:r w:rsidRPr="002850C6">
              <w:rPr>
                <w:b/>
                <w:noProof/>
                <w:sz w:val="20"/>
              </w:rPr>
              <w:t>0,101</w:t>
            </w:r>
          </w:p>
        </w:tc>
        <w:tc>
          <w:tcPr>
            <w:tcW w:w="496" w:type="pct"/>
            <w:tcBorders>
              <w:top w:val="nil"/>
              <w:left w:val="nil"/>
              <w:bottom w:val="single" w:sz="8" w:space="0" w:color="auto"/>
              <w:right w:val="single" w:sz="8" w:space="0" w:color="auto"/>
            </w:tcBorders>
            <w:shd w:val="clear" w:color="000000" w:fill="D9D9D9"/>
            <w:vAlign w:val="center"/>
          </w:tcPr>
          <w:p w14:paraId="524C5589" w14:textId="77777777" w:rsidR="002850C6" w:rsidRPr="002850C6" w:rsidRDefault="002850C6" w:rsidP="002850C6">
            <w:pPr>
              <w:spacing w:before="0" w:after="0"/>
              <w:jc w:val="right"/>
              <w:rPr>
                <w:b/>
                <w:bCs/>
                <w:noProof/>
                <w:sz w:val="20"/>
                <w:szCs w:val="20"/>
              </w:rPr>
            </w:pPr>
            <w:r w:rsidRPr="002850C6">
              <w:rPr>
                <w:b/>
                <w:noProof/>
                <w:sz w:val="20"/>
              </w:rPr>
              <w:t>0,303</w:t>
            </w:r>
          </w:p>
        </w:tc>
      </w:tr>
      <w:tr w:rsidR="002850C6" w:rsidRPr="002850C6" w14:paraId="0B66D992" w14:textId="77777777" w:rsidTr="0043630B">
        <w:trPr>
          <w:trHeight w:val="300"/>
        </w:trPr>
        <w:tc>
          <w:tcPr>
            <w:tcW w:w="2763" w:type="pct"/>
            <w:gridSpan w:val="2"/>
            <w:tcBorders>
              <w:top w:val="single" w:sz="8" w:space="0" w:color="auto"/>
              <w:left w:val="single" w:sz="8" w:space="0" w:color="auto"/>
              <w:bottom w:val="single" w:sz="8" w:space="0" w:color="auto"/>
              <w:right w:val="single" w:sz="8" w:space="0" w:color="auto"/>
            </w:tcBorders>
            <w:vAlign w:val="center"/>
            <w:hideMark/>
          </w:tcPr>
          <w:p w14:paraId="4CD61DCD" w14:textId="77777777" w:rsidR="002850C6" w:rsidRPr="002850C6" w:rsidRDefault="002850C6" w:rsidP="002850C6">
            <w:pPr>
              <w:spacing w:before="0" w:after="0"/>
              <w:jc w:val="left"/>
              <w:rPr>
                <w:rFonts w:ascii="Wingdings" w:hAnsi="Wingdings" w:cs="Calibri"/>
                <w:noProof/>
                <w:sz w:val="22"/>
              </w:rPr>
            </w:pPr>
            <w:r w:rsidRPr="002850C6">
              <w:rPr>
                <w:rFonts w:ascii="Wingdings" w:hAnsi="Wingdings"/>
                <w:noProof/>
                <w:sz w:val="22"/>
              </w:rPr>
              <w:t></w:t>
            </w:r>
            <w:r w:rsidRPr="002850C6">
              <w:rPr>
                <w:noProof/>
                <w:sz w:val="22"/>
              </w:rPr>
              <w:t xml:space="preserve"> Autres dépenses administratives </w:t>
            </w:r>
          </w:p>
        </w:tc>
        <w:tc>
          <w:tcPr>
            <w:tcW w:w="325" w:type="pct"/>
            <w:tcBorders>
              <w:top w:val="nil"/>
              <w:left w:val="nil"/>
              <w:bottom w:val="single" w:sz="8" w:space="0" w:color="auto"/>
              <w:right w:val="single" w:sz="8" w:space="0" w:color="auto"/>
            </w:tcBorders>
            <w:shd w:val="clear" w:color="000000" w:fill="D9D9D9"/>
            <w:vAlign w:val="center"/>
            <w:hideMark/>
          </w:tcPr>
          <w:p w14:paraId="4D422E1E" w14:textId="77777777" w:rsidR="002850C6" w:rsidRPr="002850C6" w:rsidRDefault="002850C6" w:rsidP="002850C6">
            <w:pPr>
              <w:spacing w:before="0" w:after="0"/>
              <w:jc w:val="right"/>
              <w:rPr>
                <w:noProof/>
                <w:sz w:val="20"/>
                <w:szCs w:val="20"/>
              </w:rPr>
            </w:pPr>
            <w:r w:rsidRPr="002850C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7EF01D45" w14:textId="77777777" w:rsidR="002850C6" w:rsidRPr="002850C6" w:rsidRDefault="002850C6" w:rsidP="002850C6">
            <w:pPr>
              <w:spacing w:before="0" w:after="0"/>
              <w:jc w:val="right"/>
              <w:rPr>
                <w:noProof/>
                <w:sz w:val="20"/>
                <w:szCs w:val="20"/>
              </w:rPr>
            </w:pPr>
            <w:r w:rsidRPr="002850C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5C9FE13E" w14:textId="77777777" w:rsidR="002850C6" w:rsidRPr="002850C6" w:rsidRDefault="002850C6" w:rsidP="002850C6">
            <w:pPr>
              <w:spacing w:before="0" w:after="0"/>
              <w:jc w:val="right"/>
              <w:rPr>
                <w:noProof/>
                <w:sz w:val="20"/>
                <w:szCs w:val="20"/>
              </w:rPr>
            </w:pPr>
            <w:r w:rsidRPr="002850C6">
              <w:rPr>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7C90E70E" w14:textId="77777777" w:rsidR="002850C6" w:rsidRPr="002850C6" w:rsidRDefault="002850C6" w:rsidP="002850C6">
            <w:pPr>
              <w:spacing w:before="0" w:after="0"/>
              <w:jc w:val="right"/>
              <w:rPr>
                <w:noProof/>
                <w:sz w:val="20"/>
                <w:szCs w:val="20"/>
              </w:rPr>
            </w:pPr>
            <w:r w:rsidRPr="002850C6">
              <w:rPr>
                <w:noProof/>
                <w:sz w:val="20"/>
              </w:rPr>
              <w:t>0,000</w:t>
            </w:r>
          </w:p>
        </w:tc>
        <w:tc>
          <w:tcPr>
            <w:tcW w:w="415" w:type="pct"/>
            <w:tcBorders>
              <w:top w:val="nil"/>
              <w:left w:val="nil"/>
              <w:bottom w:val="single" w:sz="8" w:space="0" w:color="auto"/>
              <w:right w:val="single" w:sz="8" w:space="0" w:color="auto"/>
            </w:tcBorders>
            <w:shd w:val="clear" w:color="000000" w:fill="D9D9D9"/>
            <w:vAlign w:val="center"/>
            <w:hideMark/>
          </w:tcPr>
          <w:p w14:paraId="5DFCF4A0" w14:textId="77777777" w:rsidR="002850C6" w:rsidRPr="002850C6" w:rsidRDefault="002850C6" w:rsidP="002850C6">
            <w:pPr>
              <w:spacing w:before="0" w:after="0"/>
              <w:jc w:val="right"/>
              <w:rPr>
                <w:b/>
                <w:bCs/>
                <w:noProof/>
                <w:sz w:val="20"/>
                <w:szCs w:val="20"/>
              </w:rPr>
            </w:pPr>
            <w:r w:rsidRPr="002850C6">
              <w:rPr>
                <w:b/>
                <w:noProof/>
                <w:sz w:val="20"/>
              </w:rPr>
              <w:t>0,000</w:t>
            </w:r>
          </w:p>
        </w:tc>
        <w:tc>
          <w:tcPr>
            <w:tcW w:w="496" w:type="pct"/>
            <w:tcBorders>
              <w:top w:val="nil"/>
              <w:left w:val="nil"/>
              <w:bottom w:val="single" w:sz="8" w:space="0" w:color="auto"/>
              <w:right w:val="single" w:sz="8" w:space="0" w:color="auto"/>
            </w:tcBorders>
            <w:shd w:val="clear" w:color="000000" w:fill="D9D9D9"/>
            <w:vAlign w:val="center"/>
          </w:tcPr>
          <w:p w14:paraId="4C4197BC" w14:textId="77777777" w:rsidR="002850C6" w:rsidRPr="002850C6" w:rsidRDefault="002850C6" w:rsidP="002850C6">
            <w:pPr>
              <w:spacing w:before="0" w:after="0"/>
              <w:jc w:val="right"/>
              <w:rPr>
                <w:b/>
                <w:bCs/>
                <w:noProof/>
                <w:sz w:val="20"/>
                <w:szCs w:val="20"/>
              </w:rPr>
            </w:pPr>
            <w:r w:rsidRPr="002850C6">
              <w:rPr>
                <w:b/>
                <w:noProof/>
                <w:sz w:val="20"/>
              </w:rPr>
              <w:t>0,00</w:t>
            </w:r>
          </w:p>
        </w:tc>
      </w:tr>
      <w:tr w:rsidR="002850C6" w:rsidRPr="002850C6" w14:paraId="01105EC1" w14:textId="77777777" w:rsidTr="0043630B">
        <w:trPr>
          <w:trHeight w:val="300"/>
        </w:trPr>
        <w:tc>
          <w:tcPr>
            <w:tcW w:w="1502" w:type="pct"/>
            <w:tcBorders>
              <w:top w:val="nil"/>
              <w:left w:val="single" w:sz="8" w:space="0" w:color="auto"/>
              <w:bottom w:val="single" w:sz="8" w:space="0" w:color="auto"/>
              <w:right w:val="single" w:sz="8" w:space="0" w:color="auto"/>
            </w:tcBorders>
            <w:vAlign w:val="center"/>
            <w:hideMark/>
          </w:tcPr>
          <w:p w14:paraId="03B57A74" w14:textId="77777777" w:rsidR="002850C6" w:rsidRPr="002850C6" w:rsidRDefault="002850C6" w:rsidP="002850C6">
            <w:pPr>
              <w:spacing w:before="0" w:after="0"/>
              <w:jc w:val="center"/>
              <w:rPr>
                <w:b/>
                <w:bCs/>
                <w:noProof/>
                <w:sz w:val="22"/>
              </w:rPr>
            </w:pPr>
            <w:r w:rsidRPr="002850C6">
              <w:rPr>
                <w:b/>
                <w:noProof/>
                <w:sz w:val="22"/>
              </w:rPr>
              <w:t>TOTAL pour la DG TAXUD</w:t>
            </w:r>
          </w:p>
        </w:tc>
        <w:tc>
          <w:tcPr>
            <w:tcW w:w="1261" w:type="pct"/>
            <w:tcBorders>
              <w:top w:val="single" w:sz="8" w:space="0" w:color="auto"/>
              <w:left w:val="nil"/>
              <w:bottom w:val="single" w:sz="8" w:space="0" w:color="auto"/>
              <w:right w:val="single" w:sz="8" w:space="0" w:color="auto"/>
            </w:tcBorders>
            <w:vAlign w:val="center"/>
            <w:hideMark/>
          </w:tcPr>
          <w:p w14:paraId="64276165" w14:textId="77777777" w:rsidR="002850C6" w:rsidRPr="002850C6" w:rsidRDefault="002850C6" w:rsidP="002850C6">
            <w:pPr>
              <w:spacing w:before="0" w:after="0"/>
              <w:jc w:val="left"/>
              <w:rPr>
                <w:noProof/>
                <w:sz w:val="18"/>
                <w:szCs w:val="18"/>
              </w:rPr>
            </w:pPr>
            <w:r w:rsidRPr="002850C6">
              <w:rPr>
                <w:noProof/>
                <w:sz w:val="18"/>
              </w:rPr>
              <w:t xml:space="preserve">Crédits </w:t>
            </w:r>
          </w:p>
        </w:tc>
        <w:tc>
          <w:tcPr>
            <w:tcW w:w="325" w:type="pct"/>
            <w:tcBorders>
              <w:top w:val="nil"/>
              <w:left w:val="nil"/>
              <w:bottom w:val="single" w:sz="8" w:space="0" w:color="auto"/>
              <w:right w:val="single" w:sz="8" w:space="0" w:color="auto"/>
            </w:tcBorders>
            <w:shd w:val="clear" w:color="000000" w:fill="D9D9D9"/>
            <w:vAlign w:val="center"/>
            <w:hideMark/>
          </w:tcPr>
          <w:p w14:paraId="55D054CE" w14:textId="77777777" w:rsidR="002850C6" w:rsidRPr="002850C6" w:rsidRDefault="002850C6" w:rsidP="002850C6">
            <w:pPr>
              <w:spacing w:before="0" w:after="0"/>
              <w:jc w:val="right"/>
              <w:rPr>
                <w:b/>
                <w:bCs/>
                <w:noProof/>
                <w:sz w:val="20"/>
                <w:szCs w:val="20"/>
              </w:rPr>
            </w:pPr>
            <w:r w:rsidRPr="002850C6">
              <w:rPr>
                <w:b/>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34523901" w14:textId="77777777" w:rsidR="002850C6" w:rsidRPr="002850C6" w:rsidRDefault="002850C6" w:rsidP="002850C6">
            <w:pPr>
              <w:spacing w:before="0" w:after="0"/>
              <w:jc w:val="right"/>
              <w:rPr>
                <w:b/>
                <w:bCs/>
                <w:noProof/>
                <w:sz w:val="20"/>
                <w:szCs w:val="20"/>
              </w:rPr>
            </w:pPr>
            <w:r w:rsidRPr="002850C6">
              <w:rPr>
                <w:b/>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5161B0DB" w14:textId="77777777" w:rsidR="002850C6" w:rsidRPr="002850C6" w:rsidRDefault="002850C6" w:rsidP="002850C6">
            <w:pPr>
              <w:spacing w:before="0" w:after="0"/>
              <w:jc w:val="right"/>
              <w:rPr>
                <w:b/>
                <w:bCs/>
                <w:noProof/>
                <w:sz w:val="20"/>
                <w:szCs w:val="20"/>
              </w:rPr>
            </w:pPr>
            <w:r w:rsidRPr="002850C6">
              <w:rPr>
                <w:b/>
                <w:noProof/>
                <w:sz w:val="20"/>
              </w:rPr>
              <w:t>0,000</w:t>
            </w:r>
          </w:p>
        </w:tc>
        <w:tc>
          <w:tcPr>
            <w:tcW w:w="334" w:type="pct"/>
            <w:tcBorders>
              <w:top w:val="nil"/>
              <w:left w:val="nil"/>
              <w:bottom w:val="single" w:sz="8" w:space="0" w:color="auto"/>
              <w:right w:val="single" w:sz="8" w:space="0" w:color="auto"/>
            </w:tcBorders>
            <w:shd w:val="clear" w:color="000000" w:fill="D9D9D9"/>
            <w:vAlign w:val="center"/>
            <w:hideMark/>
          </w:tcPr>
          <w:p w14:paraId="2BCAA511" w14:textId="77777777" w:rsidR="002850C6" w:rsidRPr="002850C6" w:rsidRDefault="002850C6" w:rsidP="002850C6">
            <w:pPr>
              <w:spacing w:before="0" w:after="0"/>
              <w:jc w:val="right"/>
              <w:rPr>
                <w:b/>
                <w:bCs/>
                <w:noProof/>
                <w:sz w:val="20"/>
                <w:szCs w:val="20"/>
              </w:rPr>
            </w:pPr>
            <w:r w:rsidRPr="002850C6">
              <w:rPr>
                <w:b/>
                <w:noProof/>
                <w:sz w:val="20"/>
              </w:rPr>
              <w:t>0,101</w:t>
            </w:r>
          </w:p>
        </w:tc>
        <w:tc>
          <w:tcPr>
            <w:tcW w:w="415" w:type="pct"/>
            <w:tcBorders>
              <w:top w:val="nil"/>
              <w:left w:val="nil"/>
              <w:bottom w:val="single" w:sz="8" w:space="0" w:color="auto"/>
              <w:right w:val="single" w:sz="8" w:space="0" w:color="auto"/>
            </w:tcBorders>
            <w:shd w:val="clear" w:color="000000" w:fill="D9D9D9"/>
            <w:vAlign w:val="center"/>
            <w:hideMark/>
          </w:tcPr>
          <w:p w14:paraId="182B390C" w14:textId="77777777" w:rsidR="002850C6" w:rsidRPr="002850C6" w:rsidRDefault="002850C6" w:rsidP="002850C6">
            <w:pPr>
              <w:spacing w:before="0" w:after="0"/>
              <w:jc w:val="right"/>
              <w:rPr>
                <w:b/>
                <w:bCs/>
                <w:noProof/>
                <w:sz w:val="20"/>
                <w:szCs w:val="20"/>
              </w:rPr>
            </w:pPr>
            <w:r w:rsidRPr="002850C6">
              <w:rPr>
                <w:b/>
                <w:noProof/>
                <w:sz w:val="20"/>
              </w:rPr>
              <w:t>0,101</w:t>
            </w:r>
          </w:p>
        </w:tc>
        <w:tc>
          <w:tcPr>
            <w:tcW w:w="496" w:type="pct"/>
            <w:tcBorders>
              <w:top w:val="nil"/>
              <w:left w:val="nil"/>
              <w:bottom w:val="single" w:sz="8" w:space="0" w:color="auto"/>
              <w:right w:val="single" w:sz="8" w:space="0" w:color="auto"/>
            </w:tcBorders>
            <w:shd w:val="clear" w:color="000000" w:fill="D9D9D9"/>
            <w:vAlign w:val="center"/>
          </w:tcPr>
          <w:p w14:paraId="4D3839DB" w14:textId="77777777" w:rsidR="002850C6" w:rsidRPr="002850C6" w:rsidRDefault="002850C6" w:rsidP="002850C6">
            <w:pPr>
              <w:spacing w:before="0" w:after="0"/>
              <w:jc w:val="right"/>
              <w:rPr>
                <w:b/>
                <w:bCs/>
                <w:noProof/>
                <w:sz w:val="20"/>
                <w:szCs w:val="20"/>
              </w:rPr>
            </w:pPr>
            <w:r w:rsidRPr="002850C6">
              <w:rPr>
                <w:b/>
                <w:noProof/>
                <w:sz w:val="20"/>
              </w:rPr>
              <w:t>0,303</w:t>
            </w:r>
          </w:p>
        </w:tc>
      </w:tr>
    </w:tbl>
    <w:p w14:paraId="6C0FBD92" w14:textId="77777777" w:rsidR="002850C6" w:rsidRPr="002850C6" w:rsidRDefault="002850C6" w:rsidP="002850C6">
      <w:pPr>
        <w:jc w:val="right"/>
        <w:rPr>
          <w:noProof/>
        </w:rPr>
      </w:pPr>
      <w:r w:rsidRPr="002850C6">
        <w:rPr>
          <w:noProof/>
          <w:sz w:val="20"/>
        </w:rPr>
        <w:t>En Mio EUR (à la 3</w:t>
      </w:r>
      <w:r w:rsidRPr="002850C6">
        <w:rPr>
          <w:noProof/>
          <w:sz w:val="20"/>
          <w:vertAlign w:val="superscript"/>
        </w:rPr>
        <w:t>e</w:t>
      </w:r>
      <w:r w:rsidRPr="002850C6">
        <w:rPr>
          <w:noProof/>
          <w:sz w:val="20"/>
        </w:rPr>
        <w:t> décimale)</w:t>
      </w:r>
    </w:p>
    <w:tbl>
      <w:tblPr>
        <w:tblW w:w="5000" w:type="pct"/>
        <w:tblLook w:val="04A0" w:firstRow="1" w:lastRow="0" w:firstColumn="1" w:lastColumn="0" w:noHBand="0" w:noVBand="1"/>
      </w:tblPr>
      <w:tblGrid>
        <w:gridCol w:w="4301"/>
        <w:gridCol w:w="2418"/>
        <w:gridCol w:w="598"/>
        <w:gridCol w:w="600"/>
        <w:gridCol w:w="975"/>
        <w:gridCol w:w="975"/>
        <w:gridCol w:w="975"/>
        <w:gridCol w:w="975"/>
        <w:gridCol w:w="1206"/>
        <w:gridCol w:w="1197"/>
      </w:tblGrid>
      <w:tr w:rsidR="002850C6" w:rsidRPr="002850C6" w14:paraId="127FB39F" w14:textId="77777777" w:rsidTr="0043630B">
        <w:trPr>
          <w:trHeight w:val="315"/>
        </w:trPr>
        <w:tc>
          <w:tcPr>
            <w:tcW w:w="2783"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32E8715E" w14:textId="77777777" w:rsidR="002850C6" w:rsidRPr="002850C6" w:rsidRDefault="002850C6" w:rsidP="002850C6">
            <w:pPr>
              <w:spacing w:before="0" w:after="0"/>
              <w:jc w:val="center"/>
              <w:rPr>
                <w:noProof/>
                <w:szCs w:val="24"/>
              </w:rPr>
            </w:pPr>
            <w:r w:rsidRPr="002850C6">
              <w:rPr>
                <w:noProof/>
              </w:rPr>
              <w:t>DG MOVE</w:t>
            </w:r>
          </w:p>
        </w:tc>
        <w:tc>
          <w:tcPr>
            <w:tcW w:w="343" w:type="pct"/>
            <w:tcBorders>
              <w:top w:val="single" w:sz="8" w:space="0" w:color="auto"/>
              <w:left w:val="nil"/>
              <w:bottom w:val="nil"/>
              <w:right w:val="single" w:sz="8" w:space="0" w:color="auto"/>
            </w:tcBorders>
            <w:vAlign w:val="center"/>
            <w:hideMark/>
          </w:tcPr>
          <w:p w14:paraId="1A51F4BF" w14:textId="77777777" w:rsidR="002850C6" w:rsidRPr="002850C6" w:rsidRDefault="002850C6" w:rsidP="002850C6">
            <w:pPr>
              <w:spacing w:before="0" w:after="0"/>
              <w:jc w:val="center"/>
              <w:rPr>
                <w:noProof/>
                <w:sz w:val="20"/>
                <w:szCs w:val="20"/>
              </w:rPr>
            </w:pPr>
            <w:r w:rsidRPr="002850C6">
              <w:rPr>
                <w:noProof/>
                <w:sz w:val="20"/>
              </w:rPr>
              <w:t>Année</w:t>
            </w:r>
          </w:p>
        </w:tc>
        <w:tc>
          <w:tcPr>
            <w:tcW w:w="343" w:type="pct"/>
            <w:tcBorders>
              <w:top w:val="single" w:sz="8" w:space="0" w:color="auto"/>
              <w:left w:val="nil"/>
              <w:bottom w:val="nil"/>
              <w:right w:val="single" w:sz="8" w:space="0" w:color="auto"/>
            </w:tcBorders>
            <w:vAlign w:val="center"/>
            <w:hideMark/>
          </w:tcPr>
          <w:p w14:paraId="552715CF" w14:textId="77777777" w:rsidR="002850C6" w:rsidRPr="002850C6" w:rsidRDefault="002850C6" w:rsidP="002850C6">
            <w:pPr>
              <w:spacing w:before="0" w:after="0"/>
              <w:jc w:val="center"/>
              <w:rPr>
                <w:noProof/>
                <w:sz w:val="20"/>
                <w:szCs w:val="20"/>
              </w:rPr>
            </w:pPr>
            <w:r w:rsidRPr="002850C6">
              <w:rPr>
                <w:noProof/>
                <w:sz w:val="20"/>
              </w:rPr>
              <w:t>Année</w:t>
            </w:r>
          </w:p>
        </w:tc>
        <w:tc>
          <w:tcPr>
            <w:tcW w:w="343" w:type="pct"/>
            <w:tcBorders>
              <w:top w:val="single" w:sz="8" w:space="0" w:color="auto"/>
              <w:left w:val="nil"/>
              <w:bottom w:val="nil"/>
              <w:right w:val="single" w:sz="8" w:space="0" w:color="auto"/>
            </w:tcBorders>
            <w:vAlign w:val="center"/>
            <w:hideMark/>
          </w:tcPr>
          <w:p w14:paraId="577C788B" w14:textId="77777777" w:rsidR="002850C6" w:rsidRPr="002850C6" w:rsidRDefault="002850C6" w:rsidP="002850C6">
            <w:pPr>
              <w:spacing w:before="0" w:after="0"/>
              <w:jc w:val="center"/>
              <w:rPr>
                <w:noProof/>
                <w:sz w:val="20"/>
                <w:szCs w:val="20"/>
              </w:rPr>
            </w:pPr>
            <w:r w:rsidRPr="002850C6">
              <w:rPr>
                <w:noProof/>
                <w:sz w:val="20"/>
              </w:rPr>
              <w:t>Année</w:t>
            </w:r>
          </w:p>
        </w:tc>
        <w:tc>
          <w:tcPr>
            <w:tcW w:w="343" w:type="pct"/>
            <w:tcBorders>
              <w:top w:val="single" w:sz="8" w:space="0" w:color="auto"/>
              <w:left w:val="nil"/>
              <w:bottom w:val="nil"/>
              <w:right w:val="single" w:sz="8" w:space="0" w:color="auto"/>
            </w:tcBorders>
            <w:vAlign w:val="center"/>
            <w:hideMark/>
          </w:tcPr>
          <w:p w14:paraId="5D295E3C" w14:textId="77777777" w:rsidR="002850C6" w:rsidRPr="002850C6" w:rsidRDefault="002850C6" w:rsidP="002850C6">
            <w:pPr>
              <w:spacing w:before="0" w:after="0"/>
              <w:jc w:val="center"/>
              <w:rPr>
                <w:noProof/>
                <w:sz w:val="20"/>
                <w:szCs w:val="20"/>
              </w:rPr>
            </w:pPr>
            <w:r w:rsidRPr="002850C6">
              <w:rPr>
                <w:noProof/>
                <w:sz w:val="20"/>
              </w:rPr>
              <w:t>Année</w:t>
            </w:r>
          </w:p>
        </w:tc>
        <w:tc>
          <w:tcPr>
            <w:tcW w:w="424" w:type="pct"/>
            <w:vMerge w:val="restart"/>
            <w:tcBorders>
              <w:top w:val="single" w:sz="8" w:space="0" w:color="auto"/>
              <w:left w:val="single" w:sz="8" w:space="0" w:color="auto"/>
              <w:bottom w:val="single" w:sz="8" w:space="0" w:color="000000"/>
              <w:right w:val="single" w:sz="8" w:space="0" w:color="auto"/>
            </w:tcBorders>
            <w:vAlign w:val="center"/>
            <w:hideMark/>
          </w:tcPr>
          <w:p w14:paraId="171119A9" w14:textId="77777777" w:rsidR="002850C6" w:rsidRPr="002850C6" w:rsidRDefault="002850C6" w:rsidP="002850C6">
            <w:pPr>
              <w:spacing w:before="0" w:after="0"/>
              <w:jc w:val="center"/>
              <w:rPr>
                <w:b/>
                <w:bCs/>
                <w:noProof/>
                <w:sz w:val="20"/>
                <w:szCs w:val="20"/>
              </w:rPr>
            </w:pPr>
            <w:r w:rsidRPr="002850C6">
              <w:rPr>
                <w:b/>
                <w:noProof/>
                <w:sz w:val="20"/>
              </w:rPr>
              <w:t>TOTAL CFP</w:t>
            </w:r>
            <w:r w:rsidRPr="002850C6">
              <w:rPr>
                <w:noProof/>
              </w:rPr>
              <w:t xml:space="preserve"> </w:t>
            </w:r>
            <w:r w:rsidRPr="002850C6">
              <w:rPr>
                <w:noProof/>
              </w:rPr>
              <w:br/>
            </w:r>
            <w:r w:rsidRPr="002850C6">
              <w:rPr>
                <w:b/>
                <w:noProof/>
                <w:sz w:val="20"/>
              </w:rPr>
              <w:t>2021-2027</w:t>
            </w:r>
          </w:p>
        </w:tc>
        <w:tc>
          <w:tcPr>
            <w:tcW w:w="422" w:type="pct"/>
            <w:vMerge w:val="restart"/>
            <w:tcBorders>
              <w:top w:val="single" w:sz="8" w:space="0" w:color="auto"/>
              <w:left w:val="single" w:sz="8" w:space="0" w:color="auto"/>
              <w:right w:val="single" w:sz="8" w:space="0" w:color="auto"/>
            </w:tcBorders>
            <w:vAlign w:val="center"/>
          </w:tcPr>
          <w:p w14:paraId="06123786" w14:textId="77777777" w:rsidR="002850C6" w:rsidRPr="002850C6" w:rsidRDefault="002850C6" w:rsidP="002850C6">
            <w:pPr>
              <w:spacing w:before="0" w:after="0"/>
              <w:jc w:val="center"/>
              <w:rPr>
                <w:b/>
                <w:bCs/>
                <w:noProof/>
                <w:sz w:val="20"/>
                <w:szCs w:val="20"/>
              </w:rPr>
            </w:pPr>
            <w:r w:rsidRPr="002850C6">
              <w:rPr>
                <w:b/>
                <w:noProof/>
                <w:sz w:val="20"/>
              </w:rPr>
              <w:t>TOTAL CFP</w:t>
            </w:r>
          </w:p>
          <w:p w14:paraId="03E8BBF7" w14:textId="77777777" w:rsidR="002850C6" w:rsidRPr="002850C6" w:rsidRDefault="002850C6" w:rsidP="002850C6">
            <w:pPr>
              <w:spacing w:before="0" w:after="0"/>
              <w:jc w:val="center"/>
              <w:rPr>
                <w:b/>
                <w:bCs/>
                <w:noProof/>
                <w:sz w:val="20"/>
                <w:szCs w:val="20"/>
              </w:rPr>
            </w:pPr>
            <w:r w:rsidRPr="002850C6">
              <w:rPr>
                <w:b/>
                <w:noProof/>
                <w:sz w:val="20"/>
              </w:rPr>
              <w:t>2028-2034</w:t>
            </w:r>
          </w:p>
        </w:tc>
      </w:tr>
      <w:tr w:rsidR="002850C6" w:rsidRPr="002850C6" w14:paraId="00F0B192" w14:textId="77777777" w:rsidTr="0043630B">
        <w:trPr>
          <w:trHeight w:val="300"/>
        </w:trPr>
        <w:tc>
          <w:tcPr>
            <w:tcW w:w="2783" w:type="pct"/>
            <w:gridSpan w:val="4"/>
            <w:vMerge/>
            <w:tcBorders>
              <w:top w:val="single" w:sz="8" w:space="0" w:color="auto"/>
              <w:left w:val="single" w:sz="8" w:space="0" w:color="auto"/>
              <w:bottom w:val="single" w:sz="8" w:space="0" w:color="auto"/>
              <w:right w:val="single" w:sz="8" w:space="0" w:color="auto"/>
            </w:tcBorders>
            <w:vAlign w:val="center"/>
            <w:hideMark/>
          </w:tcPr>
          <w:p w14:paraId="481A99C7" w14:textId="77777777" w:rsidR="002850C6" w:rsidRPr="002850C6" w:rsidRDefault="002850C6" w:rsidP="002850C6">
            <w:pPr>
              <w:spacing w:before="0" w:after="0"/>
              <w:jc w:val="left"/>
              <w:rPr>
                <w:noProof/>
                <w:szCs w:val="24"/>
                <w:lang w:eastAsia="en-IE"/>
              </w:rPr>
            </w:pPr>
          </w:p>
        </w:tc>
        <w:tc>
          <w:tcPr>
            <w:tcW w:w="343" w:type="pct"/>
            <w:tcBorders>
              <w:top w:val="nil"/>
              <w:left w:val="nil"/>
              <w:bottom w:val="single" w:sz="8" w:space="0" w:color="auto"/>
              <w:right w:val="single" w:sz="8" w:space="0" w:color="auto"/>
            </w:tcBorders>
            <w:vAlign w:val="center"/>
            <w:hideMark/>
          </w:tcPr>
          <w:p w14:paraId="3F8A37EB" w14:textId="77777777" w:rsidR="002850C6" w:rsidRPr="002850C6" w:rsidRDefault="002850C6" w:rsidP="002850C6">
            <w:pPr>
              <w:spacing w:before="0" w:after="0"/>
              <w:jc w:val="center"/>
              <w:rPr>
                <w:b/>
                <w:bCs/>
                <w:noProof/>
                <w:sz w:val="20"/>
                <w:szCs w:val="20"/>
              </w:rPr>
            </w:pPr>
            <w:r w:rsidRPr="002850C6">
              <w:rPr>
                <w:b/>
                <w:noProof/>
                <w:sz w:val="20"/>
              </w:rPr>
              <w:t>2024</w:t>
            </w:r>
          </w:p>
        </w:tc>
        <w:tc>
          <w:tcPr>
            <w:tcW w:w="343" w:type="pct"/>
            <w:tcBorders>
              <w:top w:val="nil"/>
              <w:left w:val="nil"/>
              <w:bottom w:val="single" w:sz="8" w:space="0" w:color="auto"/>
              <w:right w:val="single" w:sz="8" w:space="0" w:color="auto"/>
            </w:tcBorders>
            <w:vAlign w:val="center"/>
            <w:hideMark/>
          </w:tcPr>
          <w:p w14:paraId="348FF6EE" w14:textId="77777777" w:rsidR="002850C6" w:rsidRPr="002850C6" w:rsidRDefault="002850C6" w:rsidP="002850C6">
            <w:pPr>
              <w:spacing w:before="0" w:after="0"/>
              <w:jc w:val="center"/>
              <w:rPr>
                <w:b/>
                <w:bCs/>
                <w:noProof/>
                <w:sz w:val="20"/>
                <w:szCs w:val="20"/>
              </w:rPr>
            </w:pPr>
            <w:r w:rsidRPr="002850C6">
              <w:rPr>
                <w:b/>
                <w:noProof/>
                <w:sz w:val="20"/>
              </w:rPr>
              <w:t>2025</w:t>
            </w:r>
          </w:p>
        </w:tc>
        <w:tc>
          <w:tcPr>
            <w:tcW w:w="343" w:type="pct"/>
            <w:tcBorders>
              <w:top w:val="nil"/>
              <w:left w:val="nil"/>
              <w:bottom w:val="single" w:sz="8" w:space="0" w:color="auto"/>
              <w:right w:val="single" w:sz="8" w:space="0" w:color="auto"/>
            </w:tcBorders>
            <w:vAlign w:val="center"/>
            <w:hideMark/>
          </w:tcPr>
          <w:p w14:paraId="1200EA05" w14:textId="77777777" w:rsidR="002850C6" w:rsidRPr="002850C6" w:rsidRDefault="002850C6" w:rsidP="002850C6">
            <w:pPr>
              <w:spacing w:before="0" w:after="0"/>
              <w:jc w:val="center"/>
              <w:rPr>
                <w:b/>
                <w:bCs/>
                <w:noProof/>
                <w:sz w:val="20"/>
                <w:szCs w:val="20"/>
              </w:rPr>
            </w:pPr>
            <w:r w:rsidRPr="002850C6">
              <w:rPr>
                <w:b/>
                <w:noProof/>
                <w:sz w:val="20"/>
              </w:rPr>
              <w:t>2026</w:t>
            </w:r>
          </w:p>
        </w:tc>
        <w:tc>
          <w:tcPr>
            <w:tcW w:w="343" w:type="pct"/>
            <w:tcBorders>
              <w:top w:val="nil"/>
              <w:left w:val="nil"/>
              <w:bottom w:val="single" w:sz="8" w:space="0" w:color="auto"/>
              <w:right w:val="single" w:sz="8" w:space="0" w:color="auto"/>
            </w:tcBorders>
            <w:vAlign w:val="center"/>
            <w:hideMark/>
          </w:tcPr>
          <w:p w14:paraId="481E8853" w14:textId="77777777" w:rsidR="002850C6" w:rsidRPr="002850C6" w:rsidRDefault="002850C6" w:rsidP="002850C6">
            <w:pPr>
              <w:spacing w:before="0" w:after="0"/>
              <w:jc w:val="center"/>
              <w:rPr>
                <w:b/>
                <w:bCs/>
                <w:noProof/>
                <w:sz w:val="20"/>
                <w:szCs w:val="20"/>
              </w:rPr>
            </w:pPr>
            <w:r w:rsidRPr="002850C6">
              <w:rPr>
                <w:b/>
                <w:noProof/>
                <w:sz w:val="20"/>
              </w:rPr>
              <w:t>2027</w:t>
            </w:r>
          </w:p>
        </w:tc>
        <w:tc>
          <w:tcPr>
            <w:tcW w:w="424" w:type="pct"/>
            <w:vMerge/>
            <w:tcBorders>
              <w:top w:val="single" w:sz="8" w:space="0" w:color="auto"/>
              <w:left w:val="single" w:sz="8" w:space="0" w:color="auto"/>
              <w:bottom w:val="single" w:sz="8" w:space="0" w:color="000000"/>
              <w:right w:val="single" w:sz="8" w:space="0" w:color="auto"/>
            </w:tcBorders>
            <w:vAlign w:val="center"/>
            <w:hideMark/>
          </w:tcPr>
          <w:p w14:paraId="5660AF11" w14:textId="77777777" w:rsidR="002850C6" w:rsidRPr="002850C6" w:rsidRDefault="002850C6" w:rsidP="002850C6">
            <w:pPr>
              <w:spacing w:before="0" w:after="0"/>
              <w:jc w:val="left"/>
              <w:rPr>
                <w:b/>
                <w:bCs/>
                <w:noProof/>
                <w:sz w:val="20"/>
                <w:szCs w:val="20"/>
                <w:lang w:eastAsia="en-IE"/>
              </w:rPr>
            </w:pPr>
          </w:p>
        </w:tc>
        <w:tc>
          <w:tcPr>
            <w:tcW w:w="422" w:type="pct"/>
            <w:vMerge/>
            <w:tcBorders>
              <w:left w:val="single" w:sz="8" w:space="0" w:color="auto"/>
              <w:bottom w:val="single" w:sz="8" w:space="0" w:color="000000"/>
              <w:right w:val="single" w:sz="8" w:space="0" w:color="auto"/>
            </w:tcBorders>
            <w:vAlign w:val="center"/>
          </w:tcPr>
          <w:p w14:paraId="562913FD" w14:textId="77777777" w:rsidR="002850C6" w:rsidRPr="002850C6" w:rsidRDefault="002850C6" w:rsidP="002850C6">
            <w:pPr>
              <w:spacing w:before="0" w:after="0"/>
              <w:jc w:val="center"/>
              <w:rPr>
                <w:b/>
                <w:bCs/>
                <w:noProof/>
                <w:sz w:val="20"/>
                <w:szCs w:val="20"/>
                <w:lang w:eastAsia="en-IE"/>
              </w:rPr>
            </w:pPr>
          </w:p>
        </w:tc>
      </w:tr>
      <w:tr w:rsidR="002850C6" w:rsidRPr="002850C6" w14:paraId="02E8CCD1" w14:textId="77777777" w:rsidTr="0043630B">
        <w:trPr>
          <w:trHeight w:val="300"/>
        </w:trPr>
        <w:tc>
          <w:tcPr>
            <w:tcW w:w="2783" w:type="pct"/>
            <w:gridSpan w:val="4"/>
            <w:tcBorders>
              <w:top w:val="single" w:sz="8" w:space="0" w:color="auto"/>
              <w:left w:val="single" w:sz="8" w:space="0" w:color="auto"/>
              <w:bottom w:val="single" w:sz="8" w:space="0" w:color="auto"/>
              <w:right w:val="single" w:sz="8" w:space="0" w:color="auto"/>
            </w:tcBorders>
            <w:vAlign w:val="center"/>
            <w:hideMark/>
          </w:tcPr>
          <w:p w14:paraId="2CD8EDA8" w14:textId="77777777" w:rsidR="002850C6" w:rsidRPr="002850C6" w:rsidRDefault="002850C6" w:rsidP="002850C6">
            <w:pPr>
              <w:spacing w:before="0" w:after="0"/>
              <w:jc w:val="left"/>
              <w:rPr>
                <w:rFonts w:ascii="Wingdings" w:hAnsi="Wingdings" w:cs="Calibri"/>
                <w:noProof/>
                <w:sz w:val="22"/>
              </w:rPr>
            </w:pPr>
            <w:r w:rsidRPr="002850C6">
              <w:rPr>
                <w:rFonts w:ascii="Wingdings" w:hAnsi="Wingdings"/>
                <w:noProof/>
                <w:sz w:val="22"/>
              </w:rPr>
              <w:t></w:t>
            </w:r>
            <w:r w:rsidRPr="002850C6">
              <w:rPr>
                <w:noProof/>
                <w:sz w:val="22"/>
              </w:rPr>
              <w:t xml:space="preserve"> Ressources humaines </w:t>
            </w:r>
          </w:p>
        </w:tc>
        <w:tc>
          <w:tcPr>
            <w:tcW w:w="343" w:type="pct"/>
            <w:tcBorders>
              <w:top w:val="nil"/>
              <w:left w:val="nil"/>
              <w:bottom w:val="single" w:sz="8" w:space="0" w:color="auto"/>
              <w:right w:val="single" w:sz="8" w:space="0" w:color="auto"/>
            </w:tcBorders>
            <w:shd w:val="clear" w:color="000000" w:fill="D9D9D9"/>
            <w:vAlign w:val="center"/>
            <w:hideMark/>
          </w:tcPr>
          <w:p w14:paraId="192201AE" w14:textId="77777777" w:rsidR="002850C6" w:rsidRPr="002850C6" w:rsidRDefault="002850C6" w:rsidP="002850C6">
            <w:pPr>
              <w:spacing w:before="0" w:after="0"/>
              <w:jc w:val="right"/>
              <w:rPr>
                <w:noProof/>
                <w:sz w:val="20"/>
                <w:szCs w:val="20"/>
              </w:rPr>
            </w:pPr>
            <w:r w:rsidRPr="002850C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48A71F4E" w14:textId="77777777" w:rsidR="002850C6" w:rsidRPr="002850C6" w:rsidRDefault="002850C6" w:rsidP="002850C6">
            <w:pPr>
              <w:spacing w:before="0" w:after="0"/>
              <w:jc w:val="right"/>
              <w:rPr>
                <w:noProof/>
                <w:sz w:val="20"/>
                <w:szCs w:val="20"/>
              </w:rPr>
            </w:pPr>
            <w:r w:rsidRPr="002850C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4E68C02D" w14:textId="77777777" w:rsidR="002850C6" w:rsidRPr="002850C6" w:rsidRDefault="002850C6" w:rsidP="002850C6">
            <w:pPr>
              <w:spacing w:before="0" w:after="0"/>
              <w:jc w:val="right"/>
              <w:rPr>
                <w:noProof/>
                <w:sz w:val="20"/>
                <w:szCs w:val="20"/>
              </w:rPr>
            </w:pPr>
            <w:r w:rsidRPr="002850C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23A14F6C" w14:textId="77777777" w:rsidR="002850C6" w:rsidRPr="002850C6" w:rsidRDefault="002850C6" w:rsidP="002850C6">
            <w:pPr>
              <w:spacing w:before="0" w:after="0"/>
              <w:jc w:val="right"/>
              <w:rPr>
                <w:noProof/>
                <w:sz w:val="20"/>
                <w:szCs w:val="20"/>
              </w:rPr>
            </w:pPr>
            <w:r w:rsidRPr="002850C6">
              <w:rPr>
                <w:noProof/>
                <w:sz w:val="20"/>
              </w:rPr>
              <w:t>0,940</w:t>
            </w:r>
          </w:p>
        </w:tc>
        <w:tc>
          <w:tcPr>
            <w:tcW w:w="424" w:type="pct"/>
            <w:tcBorders>
              <w:top w:val="nil"/>
              <w:left w:val="nil"/>
              <w:bottom w:val="single" w:sz="8" w:space="0" w:color="auto"/>
              <w:right w:val="single" w:sz="8" w:space="0" w:color="auto"/>
            </w:tcBorders>
            <w:shd w:val="clear" w:color="000000" w:fill="D9D9D9"/>
            <w:vAlign w:val="center"/>
            <w:hideMark/>
          </w:tcPr>
          <w:p w14:paraId="7E70AA3D" w14:textId="77777777" w:rsidR="002850C6" w:rsidRPr="002850C6" w:rsidRDefault="002850C6" w:rsidP="002850C6">
            <w:pPr>
              <w:spacing w:before="0" w:after="0"/>
              <w:jc w:val="right"/>
              <w:rPr>
                <w:b/>
                <w:bCs/>
                <w:noProof/>
                <w:sz w:val="20"/>
                <w:szCs w:val="20"/>
              </w:rPr>
            </w:pPr>
            <w:r w:rsidRPr="002850C6">
              <w:rPr>
                <w:b/>
                <w:noProof/>
                <w:sz w:val="20"/>
              </w:rPr>
              <w:t>0,940</w:t>
            </w:r>
          </w:p>
        </w:tc>
        <w:tc>
          <w:tcPr>
            <w:tcW w:w="422" w:type="pct"/>
            <w:tcBorders>
              <w:top w:val="nil"/>
              <w:left w:val="nil"/>
              <w:bottom w:val="single" w:sz="8" w:space="0" w:color="auto"/>
              <w:right w:val="single" w:sz="8" w:space="0" w:color="auto"/>
            </w:tcBorders>
            <w:shd w:val="clear" w:color="000000" w:fill="D9D9D9"/>
            <w:vAlign w:val="center"/>
          </w:tcPr>
          <w:p w14:paraId="433FD55B" w14:textId="77777777" w:rsidR="002850C6" w:rsidRPr="002850C6" w:rsidRDefault="002850C6" w:rsidP="002850C6">
            <w:pPr>
              <w:spacing w:before="0" w:after="0"/>
              <w:jc w:val="right"/>
              <w:rPr>
                <w:b/>
                <w:bCs/>
                <w:noProof/>
                <w:sz w:val="20"/>
                <w:szCs w:val="20"/>
              </w:rPr>
            </w:pPr>
            <w:r w:rsidRPr="002850C6">
              <w:rPr>
                <w:b/>
                <w:noProof/>
                <w:sz w:val="20"/>
              </w:rPr>
              <w:t>6,580</w:t>
            </w:r>
          </w:p>
        </w:tc>
      </w:tr>
      <w:tr w:rsidR="002850C6" w:rsidRPr="002850C6" w14:paraId="5C93F472" w14:textId="77777777" w:rsidTr="0043630B">
        <w:trPr>
          <w:trHeight w:val="300"/>
        </w:trPr>
        <w:tc>
          <w:tcPr>
            <w:tcW w:w="2783" w:type="pct"/>
            <w:gridSpan w:val="4"/>
            <w:tcBorders>
              <w:top w:val="single" w:sz="8" w:space="0" w:color="auto"/>
              <w:left w:val="single" w:sz="8" w:space="0" w:color="auto"/>
              <w:bottom w:val="single" w:sz="8" w:space="0" w:color="auto"/>
              <w:right w:val="single" w:sz="8" w:space="0" w:color="auto"/>
            </w:tcBorders>
            <w:vAlign w:val="center"/>
            <w:hideMark/>
          </w:tcPr>
          <w:p w14:paraId="38062FB7" w14:textId="77777777" w:rsidR="002850C6" w:rsidRPr="002850C6" w:rsidRDefault="002850C6" w:rsidP="002850C6">
            <w:pPr>
              <w:spacing w:before="0" w:after="0"/>
              <w:jc w:val="left"/>
              <w:rPr>
                <w:rFonts w:ascii="Wingdings" w:hAnsi="Wingdings" w:cs="Calibri"/>
                <w:noProof/>
                <w:sz w:val="22"/>
              </w:rPr>
            </w:pPr>
            <w:r w:rsidRPr="002850C6">
              <w:rPr>
                <w:rFonts w:ascii="Wingdings" w:hAnsi="Wingdings"/>
                <w:noProof/>
                <w:sz w:val="22"/>
              </w:rPr>
              <w:t></w:t>
            </w:r>
            <w:r w:rsidRPr="002850C6">
              <w:rPr>
                <w:noProof/>
                <w:sz w:val="22"/>
              </w:rPr>
              <w:t xml:space="preserve"> Autres dépenses administratives </w:t>
            </w:r>
          </w:p>
        </w:tc>
        <w:tc>
          <w:tcPr>
            <w:tcW w:w="343" w:type="pct"/>
            <w:tcBorders>
              <w:top w:val="nil"/>
              <w:left w:val="nil"/>
              <w:bottom w:val="single" w:sz="8" w:space="0" w:color="auto"/>
              <w:right w:val="single" w:sz="8" w:space="0" w:color="auto"/>
            </w:tcBorders>
            <w:shd w:val="clear" w:color="000000" w:fill="D9D9D9"/>
            <w:vAlign w:val="center"/>
            <w:hideMark/>
          </w:tcPr>
          <w:p w14:paraId="60614564" w14:textId="77777777" w:rsidR="002850C6" w:rsidRPr="002850C6" w:rsidRDefault="002850C6" w:rsidP="002850C6">
            <w:pPr>
              <w:spacing w:before="0" w:after="0"/>
              <w:jc w:val="right"/>
              <w:rPr>
                <w:noProof/>
                <w:sz w:val="20"/>
                <w:szCs w:val="20"/>
              </w:rPr>
            </w:pPr>
            <w:r w:rsidRPr="002850C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0EAFE9DE" w14:textId="77777777" w:rsidR="002850C6" w:rsidRPr="002850C6" w:rsidRDefault="002850C6" w:rsidP="002850C6">
            <w:pPr>
              <w:spacing w:before="0" w:after="0"/>
              <w:jc w:val="right"/>
              <w:rPr>
                <w:noProof/>
                <w:sz w:val="20"/>
                <w:szCs w:val="20"/>
              </w:rPr>
            </w:pPr>
            <w:r w:rsidRPr="002850C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0DABA9A4" w14:textId="77777777" w:rsidR="002850C6" w:rsidRPr="002850C6" w:rsidRDefault="002850C6" w:rsidP="002850C6">
            <w:pPr>
              <w:spacing w:before="0" w:after="0"/>
              <w:jc w:val="right"/>
              <w:rPr>
                <w:noProof/>
                <w:sz w:val="20"/>
                <w:szCs w:val="20"/>
              </w:rPr>
            </w:pPr>
            <w:r w:rsidRPr="002850C6">
              <w:rPr>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0D97B0B4" w14:textId="77777777" w:rsidR="002850C6" w:rsidRPr="002850C6" w:rsidRDefault="002850C6" w:rsidP="002850C6">
            <w:pPr>
              <w:spacing w:before="0" w:after="0"/>
              <w:jc w:val="right"/>
              <w:rPr>
                <w:noProof/>
                <w:sz w:val="20"/>
                <w:szCs w:val="20"/>
              </w:rPr>
            </w:pPr>
            <w:r w:rsidRPr="002850C6">
              <w:rPr>
                <w:noProof/>
                <w:sz w:val="20"/>
              </w:rPr>
              <w:t>0,030</w:t>
            </w:r>
          </w:p>
        </w:tc>
        <w:tc>
          <w:tcPr>
            <w:tcW w:w="424" w:type="pct"/>
            <w:tcBorders>
              <w:top w:val="nil"/>
              <w:left w:val="nil"/>
              <w:bottom w:val="single" w:sz="8" w:space="0" w:color="auto"/>
              <w:right w:val="single" w:sz="8" w:space="0" w:color="auto"/>
            </w:tcBorders>
            <w:shd w:val="clear" w:color="000000" w:fill="D9D9D9"/>
            <w:vAlign w:val="center"/>
            <w:hideMark/>
          </w:tcPr>
          <w:p w14:paraId="0F629EBE" w14:textId="77777777" w:rsidR="002850C6" w:rsidRPr="002850C6" w:rsidRDefault="002850C6" w:rsidP="002850C6">
            <w:pPr>
              <w:spacing w:before="0" w:after="0"/>
              <w:jc w:val="right"/>
              <w:rPr>
                <w:b/>
                <w:bCs/>
                <w:noProof/>
                <w:sz w:val="20"/>
                <w:szCs w:val="20"/>
              </w:rPr>
            </w:pPr>
            <w:r w:rsidRPr="002850C6">
              <w:rPr>
                <w:b/>
                <w:noProof/>
                <w:sz w:val="20"/>
              </w:rPr>
              <w:t>0,030</w:t>
            </w:r>
          </w:p>
        </w:tc>
        <w:tc>
          <w:tcPr>
            <w:tcW w:w="422" w:type="pct"/>
            <w:tcBorders>
              <w:top w:val="nil"/>
              <w:left w:val="nil"/>
              <w:bottom w:val="single" w:sz="8" w:space="0" w:color="auto"/>
              <w:right w:val="single" w:sz="8" w:space="0" w:color="auto"/>
            </w:tcBorders>
            <w:shd w:val="clear" w:color="000000" w:fill="D9D9D9"/>
            <w:vAlign w:val="center"/>
          </w:tcPr>
          <w:p w14:paraId="55709F16" w14:textId="77777777" w:rsidR="002850C6" w:rsidRPr="002850C6" w:rsidRDefault="002850C6" w:rsidP="002850C6">
            <w:pPr>
              <w:spacing w:before="0" w:after="0"/>
              <w:jc w:val="right"/>
              <w:rPr>
                <w:b/>
                <w:bCs/>
                <w:noProof/>
                <w:sz w:val="20"/>
                <w:szCs w:val="20"/>
              </w:rPr>
            </w:pPr>
            <w:r w:rsidRPr="002850C6">
              <w:rPr>
                <w:b/>
                <w:noProof/>
                <w:sz w:val="20"/>
              </w:rPr>
              <w:t>0,210</w:t>
            </w:r>
          </w:p>
        </w:tc>
      </w:tr>
      <w:tr w:rsidR="002850C6" w:rsidRPr="002850C6" w14:paraId="78914A5D" w14:textId="77777777" w:rsidTr="0043630B">
        <w:trPr>
          <w:trHeight w:val="300"/>
        </w:trPr>
        <w:tc>
          <w:tcPr>
            <w:tcW w:w="1512" w:type="pct"/>
            <w:tcBorders>
              <w:top w:val="nil"/>
              <w:left w:val="single" w:sz="8" w:space="0" w:color="auto"/>
              <w:bottom w:val="single" w:sz="8" w:space="0" w:color="auto"/>
              <w:right w:val="single" w:sz="8" w:space="0" w:color="auto"/>
            </w:tcBorders>
            <w:vAlign w:val="center"/>
            <w:hideMark/>
          </w:tcPr>
          <w:p w14:paraId="33159102" w14:textId="77777777" w:rsidR="002850C6" w:rsidRPr="002850C6" w:rsidRDefault="002850C6" w:rsidP="002850C6">
            <w:pPr>
              <w:spacing w:before="0" w:after="0"/>
              <w:jc w:val="center"/>
              <w:rPr>
                <w:b/>
                <w:bCs/>
                <w:noProof/>
                <w:sz w:val="22"/>
              </w:rPr>
            </w:pPr>
            <w:r w:rsidRPr="002850C6">
              <w:rPr>
                <w:b/>
                <w:noProof/>
                <w:sz w:val="22"/>
              </w:rPr>
              <w:t>TOTAL pour la DG MOVE</w:t>
            </w:r>
          </w:p>
        </w:tc>
        <w:tc>
          <w:tcPr>
            <w:tcW w:w="1270" w:type="pct"/>
            <w:gridSpan w:val="3"/>
            <w:tcBorders>
              <w:top w:val="single" w:sz="8" w:space="0" w:color="auto"/>
              <w:left w:val="nil"/>
              <w:bottom w:val="single" w:sz="8" w:space="0" w:color="auto"/>
              <w:right w:val="single" w:sz="8" w:space="0" w:color="auto"/>
            </w:tcBorders>
            <w:vAlign w:val="center"/>
            <w:hideMark/>
          </w:tcPr>
          <w:p w14:paraId="5D68BA2A" w14:textId="77777777" w:rsidR="002850C6" w:rsidRPr="002850C6" w:rsidRDefault="002850C6" w:rsidP="002850C6">
            <w:pPr>
              <w:spacing w:before="0" w:after="0"/>
              <w:jc w:val="left"/>
              <w:rPr>
                <w:noProof/>
                <w:sz w:val="18"/>
                <w:szCs w:val="18"/>
              </w:rPr>
            </w:pPr>
            <w:r w:rsidRPr="002850C6">
              <w:rPr>
                <w:noProof/>
                <w:sz w:val="18"/>
              </w:rPr>
              <w:t xml:space="preserve">Crédits </w:t>
            </w:r>
          </w:p>
        </w:tc>
        <w:tc>
          <w:tcPr>
            <w:tcW w:w="343" w:type="pct"/>
            <w:tcBorders>
              <w:top w:val="nil"/>
              <w:left w:val="nil"/>
              <w:bottom w:val="single" w:sz="8" w:space="0" w:color="auto"/>
              <w:right w:val="single" w:sz="8" w:space="0" w:color="auto"/>
            </w:tcBorders>
            <w:shd w:val="clear" w:color="000000" w:fill="D9D9D9"/>
            <w:vAlign w:val="center"/>
            <w:hideMark/>
          </w:tcPr>
          <w:p w14:paraId="15BABF31" w14:textId="77777777" w:rsidR="002850C6" w:rsidRPr="002850C6" w:rsidRDefault="002850C6" w:rsidP="002850C6">
            <w:pPr>
              <w:spacing w:before="0" w:after="0"/>
              <w:jc w:val="right"/>
              <w:rPr>
                <w:b/>
                <w:bCs/>
                <w:noProof/>
                <w:sz w:val="20"/>
                <w:szCs w:val="20"/>
              </w:rPr>
            </w:pPr>
            <w:r w:rsidRPr="002850C6">
              <w:rPr>
                <w:b/>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38457DCA" w14:textId="77777777" w:rsidR="002850C6" w:rsidRPr="002850C6" w:rsidRDefault="002850C6" w:rsidP="002850C6">
            <w:pPr>
              <w:spacing w:before="0" w:after="0"/>
              <w:jc w:val="right"/>
              <w:rPr>
                <w:b/>
                <w:bCs/>
                <w:noProof/>
                <w:sz w:val="20"/>
                <w:szCs w:val="20"/>
              </w:rPr>
            </w:pPr>
            <w:r w:rsidRPr="002850C6">
              <w:rPr>
                <w:b/>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5CF770B1" w14:textId="77777777" w:rsidR="002850C6" w:rsidRPr="002850C6" w:rsidRDefault="002850C6" w:rsidP="002850C6">
            <w:pPr>
              <w:spacing w:before="0" w:after="0"/>
              <w:jc w:val="right"/>
              <w:rPr>
                <w:b/>
                <w:bCs/>
                <w:noProof/>
                <w:sz w:val="20"/>
                <w:szCs w:val="20"/>
              </w:rPr>
            </w:pPr>
            <w:r w:rsidRPr="002850C6">
              <w:rPr>
                <w:b/>
                <w:noProof/>
                <w:sz w:val="20"/>
              </w:rPr>
              <w:t>0,000</w:t>
            </w:r>
          </w:p>
        </w:tc>
        <w:tc>
          <w:tcPr>
            <w:tcW w:w="343" w:type="pct"/>
            <w:tcBorders>
              <w:top w:val="nil"/>
              <w:left w:val="nil"/>
              <w:bottom w:val="single" w:sz="8" w:space="0" w:color="auto"/>
              <w:right w:val="single" w:sz="8" w:space="0" w:color="auto"/>
            </w:tcBorders>
            <w:shd w:val="clear" w:color="000000" w:fill="D9D9D9"/>
            <w:vAlign w:val="center"/>
            <w:hideMark/>
          </w:tcPr>
          <w:p w14:paraId="1BAB2CFD" w14:textId="77777777" w:rsidR="002850C6" w:rsidRPr="002850C6" w:rsidRDefault="002850C6" w:rsidP="002850C6">
            <w:pPr>
              <w:spacing w:before="0" w:after="0"/>
              <w:jc w:val="right"/>
              <w:rPr>
                <w:b/>
                <w:bCs/>
                <w:noProof/>
                <w:sz w:val="20"/>
                <w:szCs w:val="20"/>
              </w:rPr>
            </w:pPr>
            <w:r w:rsidRPr="002850C6">
              <w:rPr>
                <w:b/>
                <w:noProof/>
                <w:sz w:val="20"/>
              </w:rPr>
              <w:t>0,970</w:t>
            </w:r>
          </w:p>
        </w:tc>
        <w:tc>
          <w:tcPr>
            <w:tcW w:w="424" w:type="pct"/>
            <w:tcBorders>
              <w:top w:val="nil"/>
              <w:left w:val="nil"/>
              <w:bottom w:val="single" w:sz="8" w:space="0" w:color="auto"/>
              <w:right w:val="single" w:sz="8" w:space="0" w:color="auto"/>
            </w:tcBorders>
            <w:shd w:val="clear" w:color="000000" w:fill="D9D9D9"/>
            <w:vAlign w:val="center"/>
            <w:hideMark/>
          </w:tcPr>
          <w:p w14:paraId="10E9B4F6" w14:textId="77777777" w:rsidR="002850C6" w:rsidRPr="002850C6" w:rsidRDefault="002850C6" w:rsidP="002850C6">
            <w:pPr>
              <w:spacing w:before="0" w:after="0"/>
              <w:jc w:val="right"/>
              <w:rPr>
                <w:b/>
                <w:bCs/>
                <w:noProof/>
                <w:sz w:val="20"/>
                <w:szCs w:val="20"/>
              </w:rPr>
            </w:pPr>
            <w:r w:rsidRPr="002850C6">
              <w:rPr>
                <w:b/>
                <w:noProof/>
                <w:sz w:val="20"/>
              </w:rPr>
              <w:t>0,970</w:t>
            </w:r>
          </w:p>
        </w:tc>
        <w:tc>
          <w:tcPr>
            <w:tcW w:w="422" w:type="pct"/>
            <w:tcBorders>
              <w:top w:val="nil"/>
              <w:left w:val="nil"/>
              <w:bottom w:val="single" w:sz="8" w:space="0" w:color="auto"/>
              <w:right w:val="single" w:sz="8" w:space="0" w:color="auto"/>
            </w:tcBorders>
            <w:shd w:val="clear" w:color="000000" w:fill="D9D9D9"/>
            <w:vAlign w:val="center"/>
          </w:tcPr>
          <w:p w14:paraId="70D00D0B" w14:textId="77777777" w:rsidR="002850C6" w:rsidRPr="002850C6" w:rsidRDefault="002850C6" w:rsidP="002850C6">
            <w:pPr>
              <w:spacing w:before="0" w:after="0"/>
              <w:jc w:val="right"/>
              <w:rPr>
                <w:b/>
                <w:bCs/>
                <w:noProof/>
                <w:sz w:val="20"/>
                <w:szCs w:val="20"/>
              </w:rPr>
            </w:pPr>
            <w:r w:rsidRPr="002850C6">
              <w:rPr>
                <w:b/>
                <w:noProof/>
                <w:sz w:val="20"/>
              </w:rPr>
              <w:t>6,790</w:t>
            </w:r>
          </w:p>
        </w:tc>
      </w:tr>
      <w:tr w:rsidR="002850C6" w:rsidRPr="002850C6" w14:paraId="2EE16BCD" w14:textId="77777777" w:rsidTr="0043630B">
        <w:trPr>
          <w:trHeight w:val="300"/>
        </w:trPr>
        <w:tc>
          <w:tcPr>
            <w:tcW w:w="1512" w:type="pct"/>
            <w:tcBorders>
              <w:top w:val="nil"/>
              <w:left w:val="nil"/>
              <w:bottom w:val="nil"/>
              <w:right w:val="nil"/>
            </w:tcBorders>
            <w:noWrap/>
            <w:vAlign w:val="bottom"/>
            <w:hideMark/>
          </w:tcPr>
          <w:p w14:paraId="78DEDD39" w14:textId="77777777" w:rsidR="002850C6" w:rsidRPr="002850C6" w:rsidRDefault="002850C6" w:rsidP="002850C6">
            <w:pPr>
              <w:spacing w:before="0" w:after="0"/>
              <w:jc w:val="right"/>
              <w:rPr>
                <w:b/>
                <w:bCs/>
                <w:noProof/>
                <w:sz w:val="20"/>
                <w:szCs w:val="20"/>
                <w:lang w:eastAsia="en-IE"/>
              </w:rPr>
            </w:pPr>
          </w:p>
        </w:tc>
        <w:tc>
          <w:tcPr>
            <w:tcW w:w="850" w:type="pct"/>
            <w:tcBorders>
              <w:top w:val="nil"/>
              <w:left w:val="nil"/>
              <w:bottom w:val="nil"/>
              <w:right w:val="nil"/>
            </w:tcBorders>
            <w:noWrap/>
            <w:vAlign w:val="bottom"/>
            <w:hideMark/>
          </w:tcPr>
          <w:p w14:paraId="18D9D543" w14:textId="77777777" w:rsidR="002850C6" w:rsidRPr="002850C6" w:rsidRDefault="002850C6" w:rsidP="002850C6">
            <w:pPr>
              <w:spacing w:before="0" w:after="0"/>
              <w:jc w:val="left"/>
              <w:rPr>
                <w:noProof/>
                <w:sz w:val="20"/>
                <w:szCs w:val="20"/>
                <w:lang w:eastAsia="en-IE"/>
              </w:rPr>
            </w:pPr>
          </w:p>
        </w:tc>
        <w:tc>
          <w:tcPr>
            <w:tcW w:w="210" w:type="pct"/>
            <w:tcBorders>
              <w:top w:val="nil"/>
              <w:left w:val="nil"/>
              <w:bottom w:val="nil"/>
              <w:right w:val="nil"/>
            </w:tcBorders>
            <w:noWrap/>
            <w:vAlign w:val="bottom"/>
            <w:hideMark/>
          </w:tcPr>
          <w:p w14:paraId="77D7210F" w14:textId="77777777" w:rsidR="002850C6" w:rsidRPr="002850C6" w:rsidRDefault="002850C6" w:rsidP="002850C6">
            <w:pPr>
              <w:spacing w:before="0" w:after="0"/>
              <w:jc w:val="left"/>
              <w:rPr>
                <w:noProof/>
                <w:sz w:val="20"/>
                <w:szCs w:val="20"/>
                <w:lang w:eastAsia="en-IE"/>
              </w:rPr>
            </w:pPr>
          </w:p>
        </w:tc>
        <w:tc>
          <w:tcPr>
            <w:tcW w:w="211" w:type="pct"/>
            <w:tcBorders>
              <w:top w:val="nil"/>
              <w:left w:val="nil"/>
              <w:bottom w:val="nil"/>
              <w:right w:val="nil"/>
            </w:tcBorders>
            <w:noWrap/>
            <w:vAlign w:val="bottom"/>
            <w:hideMark/>
          </w:tcPr>
          <w:p w14:paraId="131C45B9" w14:textId="77777777" w:rsidR="002850C6" w:rsidRPr="002850C6" w:rsidRDefault="002850C6" w:rsidP="002850C6">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3EAB74B1" w14:textId="77777777" w:rsidR="002850C6" w:rsidRPr="002850C6" w:rsidRDefault="002850C6" w:rsidP="002850C6">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52A883C4" w14:textId="77777777" w:rsidR="002850C6" w:rsidRPr="002850C6" w:rsidRDefault="002850C6" w:rsidP="002850C6">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25D3CB66" w14:textId="77777777" w:rsidR="002850C6" w:rsidRPr="002850C6" w:rsidRDefault="002850C6" w:rsidP="002850C6">
            <w:pPr>
              <w:spacing w:before="0" w:after="0"/>
              <w:jc w:val="left"/>
              <w:rPr>
                <w:noProof/>
                <w:sz w:val="20"/>
                <w:szCs w:val="20"/>
                <w:lang w:eastAsia="en-IE"/>
              </w:rPr>
            </w:pPr>
          </w:p>
        </w:tc>
        <w:tc>
          <w:tcPr>
            <w:tcW w:w="343" w:type="pct"/>
            <w:tcBorders>
              <w:top w:val="nil"/>
              <w:left w:val="nil"/>
              <w:bottom w:val="nil"/>
              <w:right w:val="nil"/>
            </w:tcBorders>
            <w:noWrap/>
            <w:vAlign w:val="bottom"/>
            <w:hideMark/>
          </w:tcPr>
          <w:p w14:paraId="492ECFB0" w14:textId="77777777" w:rsidR="002850C6" w:rsidRPr="002850C6" w:rsidRDefault="002850C6" w:rsidP="002850C6">
            <w:pPr>
              <w:spacing w:before="0" w:after="0"/>
              <w:jc w:val="left"/>
              <w:rPr>
                <w:noProof/>
                <w:sz w:val="20"/>
                <w:szCs w:val="20"/>
                <w:lang w:eastAsia="en-IE"/>
              </w:rPr>
            </w:pPr>
          </w:p>
        </w:tc>
        <w:tc>
          <w:tcPr>
            <w:tcW w:w="424" w:type="pct"/>
            <w:tcBorders>
              <w:top w:val="nil"/>
              <w:left w:val="nil"/>
              <w:bottom w:val="nil"/>
              <w:right w:val="nil"/>
            </w:tcBorders>
            <w:noWrap/>
            <w:vAlign w:val="bottom"/>
            <w:hideMark/>
          </w:tcPr>
          <w:p w14:paraId="23E25F4B" w14:textId="77777777" w:rsidR="002850C6" w:rsidRPr="002850C6" w:rsidRDefault="002850C6" w:rsidP="002850C6">
            <w:pPr>
              <w:spacing w:before="0" w:after="0"/>
              <w:jc w:val="left"/>
              <w:rPr>
                <w:noProof/>
                <w:sz w:val="20"/>
                <w:szCs w:val="20"/>
                <w:lang w:eastAsia="en-IE"/>
              </w:rPr>
            </w:pPr>
          </w:p>
        </w:tc>
        <w:tc>
          <w:tcPr>
            <w:tcW w:w="422" w:type="pct"/>
            <w:tcBorders>
              <w:top w:val="nil"/>
              <w:left w:val="nil"/>
              <w:bottom w:val="nil"/>
              <w:right w:val="nil"/>
            </w:tcBorders>
            <w:vAlign w:val="center"/>
          </w:tcPr>
          <w:p w14:paraId="3E6E773E" w14:textId="77777777" w:rsidR="002850C6" w:rsidRPr="002850C6" w:rsidRDefault="002850C6" w:rsidP="002850C6">
            <w:pPr>
              <w:spacing w:before="0" w:after="0"/>
              <w:jc w:val="right"/>
              <w:rPr>
                <w:noProof/>
                <w:sz w:val="20"/>
                <w:szCs w:val="20"/>
                <w:lang w:eastAsia="en-IE"/>
              </w:rPr>
            </w:pPr>
          </w:p>
        </w:tc>
      </w:tr>
      <w:tr w:rsidR="002850C6" w:rsidRPr="002850C6" w14:paraId="0412458E" w14:textId="77777777" w:rsidTr="0043630B">
        <w:trPr>
          <w:trHeight w:val="900"/>
        </w:trPr>
        <w:tc>
          <w:tcPr>
            <w:tcW w:w="2362"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18F16EFE" w14:textId="77777777" w:rsidR="002850C6" w:rsidRPr="002850C6" w:rsidRDefault="002850C6" w:rsidP="002850C6">
            <w:pPr>
              <w:spacing w:before="0" w:after="0"/>
              <w:jc w:val="center"/>
              <w:rPr>
                <w:b/>
                <w:bCs/>
                <w:noProof/>
                <w:sz w:val="22"/>
              </w:rPr>
            </w:pPr>
            <w:r w:rsidRPr="002850C6">
              <w:rPr>
                <w:b/>
                <w:noProof/>
                <w:sz w:val="22"/>
              </w:rPr>
              <w:t xml:space="preserve">TOTAL des crédits pour la RUBRIQUE 7 du cadre financier pluriannuel </w:t>
            </w:r>
          </w:p>
        </w:tc>
        <w:tc>
          <w:tcPr>
            <w:tcW w:w="421" w:type="pct"/>
            <w:gridSpan w:val="2"/>
            <w:tcBorders>
              <w:top w:val="single" w:sz="8" w:space="0" w:color="auto"/>
              <w:left w:val="nil"/>
              <w:bottom w:val="single" w:sz="8" w:space="0" w:color="auto"/>
              <w:right w:val="single" w:sz="8" w:space="0" w:color="auto"/>
            </w:tcBorders>
            <w:vAlign w:val="center"/>
            <w:hideMark/>
          </w:tcPr>
          <w:p w14:paraId="013BBFBF" w14:textId="77777777" w:rsidR="002850C6" w:rsidRPr="002850C6" w:rsidRDefault="002850C6" w:rsidP="002850C6">
            <w:pPr>
              <w:spacing w:before="0" w:after="0"/>
              <w:jc w:val="center"/>
              <w:rPr>
                <w:noProof/>
                <w:sz w:val="18"/>
                <w:szCs w:val="18"/>
              </w:rPr>
            </w:pPr>
            <w:r w:rsidRPr="002850C6">
              <w:rPr>
                <w:noProof/>
                <w:sz w:val="18"/>
              </w:rPr>
              <w:t>(Total engagements = Total paiements)</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6C37C213" w14:textId="77777777" w:rsidR="002850C6" w:rsidRPr="002850C6" w:rsidRDefault="002850C6" w:rsidP="002850C6">
            <w:pPr>
              <w:spacing w:before="0" w:after="0"/>
              <w:jc w:val="right"/>
              <w:rPr>
                <w:b/>
                <w:bCs/>
                <w:noProof/>
                <w:sz w:val="20"/>
                <w:szCs w:val="20"/>
              </w:rPr>
            </w:pPr>
            <w:r w:rsidRPr="002850C6">
              <w:rPr>
                <w:b/>
                <w:noProof/>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321D3BE1" w14:textId="77777777" w:rsidR="002850C6" w:rsidRPr="002850C6" w:rsidRDefault="002850C6" w:rsidP="002850C6">
            <w:pPr>
              <w:spacing w:before="0" w:after="0"/>
              <w:jc w:val="right"/>
              <w:rPr>
                <w:b/>
                <w:bCs/>
                <w:noProof/>
                <w:sz w:val="20"/>
                <w:szCs w:val="20"/>
              </w:rPr>
            </w:pPr>
            <w:r w:rsidRPr="002850C6">
              <w:rPr>
                <w:b/>
                <w:noProof/>
                <w:sz w:val="20"/>
              </w:rPr>
              <w:t>0,000</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268EF830" w14:textId="77777777" w:rsidR="002850C6" w:rsidRPr="002850C6" w:rsidRDefault="002850C6" w:rsidP="002850C6">
            <w:pPr>
              <w:spacing w:before="0" w:after="0"/>
              <w:jc w:val="right"/>
              <w:rPr>
                <w:b/>
                <w:bCs/>
                <w:noProof/>
                <w:sz w:val="20"/>
                <w:szCs w:val="20"/>
              </w:rPr>
            </w:pPr>
            <w:r w:rsidRPr="002850C6">
              <w:rPr>
                <w:b/>
                <w:noProof/>
                <w:sz w:val="20"/>
              </w:rPr>
              <w:t>1,504</w:t>
            </w:r>
          </w:p>
        </w:tc>
        <w:tc>
          <w:tcPr>
            <w:tcW w:w="343" w:type="pct"/>
            <w:tcBorders>
              <w:top w:val="single" w:sz="8" w:space="0" w:color="auto"/>
              <w:left w:val="nil"/>
              <w:bottom w:val="single" w:sz="8" w:space="0" w:color="auto"/>
              <w:right w:val="single" w:sz="8" w:space="0" w:color="auto"/>
            </w:tcBorders>
            <w:shd w:val="clear" w:color="000000" w:fill="D9D9D9"/>
            <w:vAlign w:val="center"/>
            <w:hideMark/>
          </w:tcPr>
          <w:p w14:paraId="55D40DEC" w14:textId="77777777" w:rsidR="002850C6" w:rsidRPr="002850C6" w:rsidRDefault="002850C6" w:rsidP="002850C6">
            <w:pPr>
              <w:spacing w:before="0" w:after="0"/>
              <w:jc w:val="right"/>
              <w:rPr>
                <w:b/>
                <w:bCs/>
                <w:noProof/>
                <w:sz w:val="20"/>
                <w:szCs w:val="20"/>
              </w:rPr>
            </w:pPr>
            <w:r w:rsidRPr="002850C6">
              <w:rPr>
                <w:b/>
                <w:noProof/>
                <w:sz w:val="20"/>
              </w:rPr>
              <w:t>2,951</w:t>
            </w:r>
          </w:p>
        </w:tc>
        <w:tc>
          <w:tcPr>
            <w:tcW w:w="424" w:type="pct"/>
            <w:tcBorders>
              <w:top w:val="single" w:sz="8" w:space="0" w:color="auto"/>
              <w:left w:val="nil"/>
              <w:bottom w:val="single" w:sz="8" w:space="0" w:color="auto"/>
              <w:right w:val="single" w:sz="8" w:space="0" w:color="auto"/>
            </w:tcBorders>
            <w:shd w:val="clear" w:color="000000" w:fill="D9D9D9"/>
            <w:vAlign w:val="center"/>
            <w:hideMark/>
          </w:tcPr>
          <w:p w14:paraId="4326F153" w14:textId="77777777" w:rsidR="002850C6" w:rsidRPr="002850C6" w:rsidRDefault="002850C6" w:rsidP="002850C6">
            <w:pPr>
              <w:spacing w:before="0" w:after="0"/>
              <w:rPr>
                <w:b/>
                <w:bCs/>
                <w:noProof/>
                <w:sz w:val="20"/>
                <w:szCs w:val="20"/>
              </w:rPr>
            </w:pPr>
            <w:r w:rsidRPr="002850C6">
              <w:rPr>
                <w:b/>
                <w:noProof/>
                <w:sz w:val="20"/>
              </w:rPr>
              <w:t>4,455</w:t>
            </w:r>
          </w:p>
        </w:tc>
        <w:tc>
          <w:tcPr>
            <w:tcW w:w="422" w:type="pct"/>
            <w:tcBorders>
              <w:top w:val="single" w:sz="8" w:space="0" w:color="auto"/>
              <w:left w:val="nil"/>
              <w:bottom w:val="single" w:sz="8" w:space="0" w:color="auto"/>
              <w:right w:val="single" w:sz="8" w:space="0" w:color="auto"/>
            </w:tcBorders>
            <w:shd w:val="clear" w:color="000000" w:fill="D9D9D9"/>
            <w:vAlign w:val="center"/>
          </w:tcPr>
          <w:p w14:paraId="4804C7C8" w14:textId="77777777" w:rsidR="002850C6" w:rsidRPr="002850C6" w:rsidRDefault="002850C6" w:rsidP="002850C6">
            <w:pPr>
              <w:spacing w:before="0" w:after="0"/>
              <w:jc w:val="right"/>
              <w:rPr>
                <w:b/>
                <w:bCs/>
                <w:noProof/>
                <w:sz w:val="20"/>
                <w:szCs w:val="20"/>
                <w:lang w:eastAsia="en-IE"/>
              </w:rPr>
            </w:pPr>
          </w:p>
          <w:p w14:paraId="7A711A32" w14:textId="77777777" w:rsidR="002850C6" w:rsidRPr="002850C6" w:rsidRDefault="002850C6" w:rsidP="002850C6">
            <w:pPr>
              <w:spacing w:before="0" w:after="0"/>
              <w:jc w:val="right"/>
              <w:rPr>
                <w:b/>
                <w:bCs/>
                <w:noProof/>
                <w:sz w:val="20"/>
                <w:szCs w:val="20"/>
              </w:rPr>
            </w:pPr>
            <w:r w:rsidRPr="002850C6">
              <w:rPr>
                <w:b/>
                <w:noProof/>
                <w:sz w:val="20"/>
              </w:rPr>
              <w:t>49,205</w:t>
            </w:r>
          </w:p>
          <w:p w14:paraId="6006E87F" w14:textId="77777777" w:rsidR="002850C6" w:rsidRPr="002850C6" w:rsidRDefault="002850C6" w:rsidP="002850C6">
            <w:pPr>
              <w:spacing w:before="0" w:after="0"/>
              <w:jc w:val="right"/>
              <w:rPr>
                <w:b/>
                <w:bCs/>
                <w:noProof/>
                <w:sz w:val="20"/>
                <w:szCs w:val="20"/>
                <w:lang w:eastAsia="en-IE"/>
              </w:rPr>
            </w:pPr>
          </w:p>
        </w:tc>
      </w:tr>
    </w:tbl>
    <w:p w14:paraId="4C02FDE6" w14:textId="77777777" w:rsidR="002850C6" w:rsidRPr="002850C6" w:rsidRDefault="002850C6" w:rsidP="002850C6">
      <w:pPr>
        <w:jc w:val="right"/>
        <w:rPr>
          <w:noProof/>
          <w:sz w:val="20"/>
        </w:rPr>
      </w:pPr>
      <w:bookmarkStart w:id="139" w:name="_Toc514938054"/>
      <w:bookmarkStart w:id="140" w:name="_Toc520485053"/>
      <w:bookmarkStart w:id="141" w:name="_Toc160804597"/>
      <w:r w:rsidRPr="002850C6">
        <w:rPr>
          <w:noProof/>
          <w:sz w:val="20"/>
        </w:rPr>
        <w:t>En Mio EUR (à la 3</w:t>
      </w:r>
      <w:r w:rsidRPr="002850C6">
        <w:rPr>
          <w:noProof/>
          <w:sz w:val="20"/>
          <w:vertAlign w:val="superscript"/>
        </w:rPr>
        <w:t>e</w:t>
      </w:r>
      <w:r w:rsidRPr="002850C6">
        <w:rPr>
          <w:noProof/>
          <w:sz w:val="20"/>
        </w:rPr>
        <w:t> décimale)</w:t>
      </w:r>
    </w:p>
    <w:tbl>
      <w:tblPr>
        <w:tblW w:w="5000" w:type="pct"/>
        <w:tblLook w:val="04A0" w:firstRow="1" w:lastRow="0" w:firstColumn="1" w:lastColumn="0" w:noHBand="0" w:noVBand="1"/>
      </w:tblPr>
      <w:tblGrid>
        <w:gridCol w:w="5067"/>
        <w:gridCol w:w="1880"/>
        <w:gridCol w:w="1135"/>
        <w:gridCol w:w="1132"/>
        <w:gridCol w:w="1132"/>
        <w:gridCol w:w="1132"/>
        <w:gridCol w:w="1371"/>
        <w:gridCol w:w="1371"/>
      </w:tblGrid>
      <w:tr w:rsidR="002850C6" w:rsidRPr="002850C6" w14:paraId="79B5D319" w14:textId="77777777" w:rsidTr="0043630B">
        <w:trPr>
          <w:trHeight w:val="288"/>
        </w:trPr>
        <w:tc>
          <w:tcPr>
            <w:tcW w:w="2443"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29D34BEE" w14:textId="77777777" w:rsidR="002850C6" w:rsidRPr="002850C6" w:rsidRDefault="002850C6" w:rsidP="002850C6">
            <w:pPr>
              <w:spacing w:before="0" w:after="0"/>
              <w:jc w:val="center"/>
              <w:rPr>
                <w:noProof/>
                <w:szCs w:val="24"/>
              </w:rPr>
            </w:pPr>
            <w:r w:rsidRPr="002850C6">
              <w:rPr>
                <w:noProof/>
              </w:rPr>
              <w:t xml:space="preserve"> </w:t>
            </w:r>
          </w:p>
        </w:tc>
        <w:tc>
          <w:tcPr>
            <w:tcW w:w="399" w:type="pct"/>
            <w:tcBorders>
              <w:top w:val="single" w:sz="8" w:space="0" w:color="auto"/>
              <w:left w:val="nil"/>
              <w:bottom w:val="nil"/>
              <w:right w:val="single" w:sz="8" w:space="0" w:color="auto"/>
            </w:tcBorders>
            <w:vAlign w:val="center"/>
            <w:hideMark/>
          </w:tcPr>
          <w:p w14:paraId="2A14A81A" w14:textId="77777777" w:rsidR="002850C6" w:rsidRPr="002850C6" w:rsidRDefault="002850C6" w:rsidP="002850C6">
            <w:pPr>
              <w:spacing w:before="0" w:after="0"/>
              <w:jc w:val="center"/>
              <w:rPr>
                <w:noProof/>
                <w:sz w:val="20"/>
                <w:szCs w:val="20"/>
              </w:rPr>
            </w:pPr>
            <w:r w:rsidRPr="002850C6">
              <w:rPr>
                <w:noProof/>
                <w:sz w:val="20"/>
              </w:rPr>
              <w:t>Année</w:t>
            </w:r>
          </w:p>
        </w:tc>
        <w:tc>
          <w:tcPr>
            <w:tcW w:w="398" w:type="pct"/>
            <w:tcBorders>
              <w:top w:val="single" w:sz="8" w:space="0" w:color="auto"/>
              <w:left w:val="nil"/>
              <w:bottom w:val="nil"/>
              <w:right w:val="single" w:sz="8" w:space="0" w:color="auto"/>
            </w:tcBorders>
            <w:vAlign w:val="center"/>
            <w:hideMark/>
          </w:tcPr>
          <w:p w14:paraId="7581C196" w14:textId="77777777" w:rsidR="002850C6" w:rsidRPr="002850C6" w:rsidRDefault="002850C6" w:rsidP="002850C6">
            <w:pPr>
              <w:spacing w:before="0" w:after="0"/>
              <w:jc w:val="center"/>
              <w:rPr>
                <w:noProof/>
                <w:sz w:val="20"/>
                <w:szCs w:val="20"/>
              </w:rPr>
            </w:pPr>
            <w:r w:rsidRPr="002850C6">
              <w:rPr>
                <w:noProof/>
                <w:sz w:val="20"/>
              </w:rPr>
              <w:t>Année</w:t>
            </w:r>
          </w:p>
        </w:tc>
        <w:tc>
          <w:tcPr>
            <w:tcW w:w="398" w:type="pct"/>
            <w:tcBorders>
              <w:top w:val="single" w:sz="8" w:space="0" w:color="auto"/>
              <w:left w:val="nil"/>
              <w:bottom w:val="nil"/>
              <w:right w:val="single" w:sz="8" w:space="0" w:color="auto"/>
            </w:tcBorders>
            <w:vAlign w:val="center"/>
            <w:hideMark/>
          </w:tcPr>
          <w:p w14:paraId="0DEC9706" w14:textId="77777777" w:rsidR="002850C6" w:rsidRPr="002850C6" w:rsidRDefault="002850C6" w:rsidP="002850C6">
            <w:pPr>
              <w:spacing w:before="0" w:after="0"/>
              <w:jc w:val="center"/>
              <w:rPr>
                <w:noProof/>
                <w:sz w:val="20"/>
                <w:szCs w:val="20"/>
              </w:rPr>
            </w:pPr>
            <w:r w:rsidRPr="002850C6">
              <w:rPr>
                <w:noProof/>
                <w:sz w:val="20"/>
              </w:rPr>
              <w:t>Année</w:t>
            </w:r>
          </w:p>
        </w:tc>
        <w:tc>
          <w:tcPr>
            <w:tcW w:w="398" w:type="pct"/>
            <w:tcBorders>
              <w:top w:val="single" w:sz="8" w:space="0" w:color="auto"/>
              <w:left w:val="nil"/>
              <w:bottom w:val="nil"/>
              <w:right w:val="single" w:sz="8" w:space="0" w:color="auto"/>
            </w:tcBorders>
            <w:vAlign w:val="center"/>
            <w:hideMark/>
          </w:tcPr>
          <w:p w14:paraId="486A7AA6" w14:textId="77777777" w:rsidR="002850C6" w:rsidRPr="002850C6" w:rsidRDefault="002850C6" w:rsidP="002850C6">
            <w:pPr>
              <w:spacing w:before="0" w:after="0"/>
              <w:jc w:val="center"/>
              <w:rPr>
                <w:noProof/>
                <w:sz w:val="20"/>
                <w:szCs w:val="20"/>
              </w:rPr>
            </w:pPr>
            <w:r w:rsidRPr="002850C6">
              <w:rPr>
                <w:noProof/>
                <w:sz w:val="20"/>
              </w:rPr>
              <w:t>Année</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14:paraId="37F0185C" w14:textId="77777777" w:rsidR="002850C6" w:rsidRPr="002850C6" w:rsidRDefault="002850C6" w:rsidP="002850C6">
            <w:pPr>
              <w:spacing w:before="0" w:after="0"/>
              <w:jc w:val="center"/>
              <w:rPr>
                <w:b/>
                <w:bCs/>
                <w:noProof/>
                <w:sz w:val="20"/>
                <w:szCs w:val="20"/>
              </w:rPr>
            </w:pPr>
            <w:r w:rsidRPr="002850C6">
              <w:rPr>
                <w:b/>
                <w:noProof/>
                <w:sz w:val="20"/>
              </w:rPr>
              <w:t>TOTAL CFP 2021-2027</w:t>
            </w:r>
          </w:p>
        </w:tc>
        <w:tc>
          <w:tcPr>
            <w:tcW w:w="482" w:type="pct"/>
            <w:vMerge w:val="restart"/>
            <w:tcBorders>
              <w:top w:val="single" w:sz="8" w:space="0" w:color="auto"/>
              <w:left w:val="single" w:sz="8" w:space="0" w:color="auto"/>
              <w:right w:val="single" w:sz="8" w:space="0" w:color="auto"/>
            </w:tcBorders>
          </w:tcPr>
          <w:p w14:paraId="10E34409" w14:textId="77777777" w:rsidR="002850C6" w:rsidRPr="002850C6" w:rsidRDefault="002850C6" w:rsidP="002850C6">
            <w:pPr>
              <w:spacing w:before="0" w:after="0"/>
              <w:jc w:val="center"/>
              <w:rPr>
                <w:b/>
                <w:bCs/>
                <w:noProof/>
                <w:sz w:val="20"/>
                <w:szCs w:val="20"/>
              </w:rPr>
            </w:pPr>
            <w:r w:rsidRPr="002850C6">
              <w:rPr>
                <w:b/>
                <w:noProof/>
                <w:sz w:val="20"/>
              </w:rPr>
              <w:t>TOTAL CFP 2028-2034</w:t>
            </w:r>
          </w:p>
        </w:tc>
      </w:tr>
      <w:tr w:rsidR="002850C6" w:rsidRPr="002850C6" w14:paraId="435DD12B" w14:textId="77777777" w:rsidTr="0043630B">
        <w:trPr>
          <w:trHeight w:val="300"/>
        </w:trPr>
        <w:tc>
          <w:tcPr>
            <w:tcW w:w="2443" w:type="pct"/>
            <w:gridSpan w:val="2"/>
            <w:vMerge/>
            <w:tcBorders>
              <w:top w:val="single" w:sz="8" w:space="0" w:color="auto"/>
              <w:left w:val="single" w:sz="8" w:space="0" w:color="auto"/>
              <w:bottom w:val="single" w:sz="8" w:space="0" w:color="auto"/>
              <w:right w:val="single" w:sz="8" w:space="0" w:color="auto"/>
            </w:tcBorders>
            <w:vAlign w:val="center"/>
            <w:hideMark/>
          </w:tcPr>
          <w:p w14:paraId="4F707160" w14:textId="77777777" w:rsidR="002850C6" w:rsidRPr="002850C6" w:rsidRDefault="002850C6" w:rsidP="002850C6">
            <w:pPr>
              <w:spacing w:before="0" w:after="0"/>
              <w:jc w:val="left"/>
              <w:rPr>
                <w:noProof/>
                <w:szCs w:val="24"/>
                <w:lang w:eastAsia="en-IE"/>
              </w:rPr>
            </w:pPr>
          </w:p>
        </w:tc>
        <w:tc>
          <w:tcPr>
            <w:tcW w:w="399" w:type="pct"/>
            <w:tcBorders>
              <w:top w:val="nil"/>
              <w:left w:val="nil"/>
              <w:bottom w:val="single" w:sz="8" w:space="0" w:color="auto"/>
              <w:right w:val="single" w:sz="8" w:space="0" w:color="auto"/>
            </w:tcBorders>
            <w:vAlign w:val="center"/>
            <w:hideMark/>
          </w:tcPr>
          <w:p w14:paraId="27BA3D21" w14:textId="77777777" w:rsidR="002850C6" w:rsidRPr="002850C6" w:rsidRDefault="002850C6" w:rsidP="002850C6">
            <w:pPr>
              <w:spacing w:before="0" w:after="0"/>
              <w:jc w:val="center"/>
              <w:rPr>
                <w:b/>
                <w:bCs/>
                <w:noProof/>
                <w:sz w:val="20"/>
                <w:szCs w:val="20"/>
              </w:rPr>
            </w:pPr>
            <w:r w:rsidRPr="002850C6">
              <w:rPr>
                <w:b/>
                <w:noProof/>
                <w:sz w:val="20"/>
              </w:rPr>
              <w:t>2024</w:t>
            </w:r>
          </w:p>
        </w:tc>
        <w:tc>
          <w:tcPr>
            <w:tcW w:w="398" w:type="pct"/>
            <w:tcBorders>
              <w:top w:val="nil"/>
              <w:left w:val="nil"/>
              <w:bottom w:val="single" w:sz="8" w:space="0" w:color="auto"/>
              <w:right w:val="single" w:sz="8" w:space="0" w:color="auto"/>
            </w:tcBorders>
            <w:vAlign w:val="center"/>
            <w:hideMark/>
          </w:tcPr>
          <w:p w14:paraId="2EC7D8E1" w14:textId="77777777" w:rsidR="002850C6" w:rsidRPr="002850C6" w:rsidRDefault="002850C6" w:rsidP="002850C6">
            <w:pPr>
              <w:spacing w:before="0" w:after="0"/>
              <w:jc w:val="center"/>
              <w:rPr>
                <w:b/>
                <w:bCs/>
                <w:noProof/>
                <w:sz w:val="20"/>
                <w:szCs w:val="20"/>
              </w:rPr>
            </w:pPr>
            <w:r w:rsidRPr="002850C6">
              <w:rPr>
                <w:b/>
                <w:noProof/>
                <w:sz w:val="20"/>
              </w:rPr>
              <w:t>2025</w:t>
            </w:r>
          </w:p>
        </w:tc>
        <w:tc>
          <w:tcPr>
            <w:tcW w:w="398" w:type="pct"/>
            <w:tcBorders>
              <w:top w:val="nil"/>
              <w:left w:val="nil"/>
              <w:bottom w:val="single" w:sz="8" w:space="0" w:color="auto"/>
              <w:right w:val="single" w:sz="8" w:space="0" w:color="auto"/>
            </w:tcBorders>
            <w:vAlign w:val="center"/>
            <w:hideMark/>
          </w:tcPr>
          <w:p w14:paraId="43D80AED" w14:textId="77777777" w:rsidR="002850C6" w:rsidRPr="002850C6" w:rsidRDefault="002850C6" w:rsidP="002850C6">
            <w:pPr>
              <w:spacing w:before="0" w:after="0"/>
              <w:jc w:val="center"/>
              <w:rPr>
                <w:b/>
                <w:bCs/>
                <w:noProof/>
                <w:sz w:val="20"/>
                <w:szCs w:val="20"/>
              </w:rPr>
            </w:pPr>
            <w:r w:rsidRPr="002850C6">
              <w:rPr>
                <w:b/>
                <w:noProof/>
                <w:sz w:val="20"/>
              </w:rPr>
              <w:t>2026</w:t>
            </w:r>
          </w:p>
        </w:tc>
        <w:tc>
          <w:tcPr>
            <w:tcW w:w="398" w:type="pct"/>
            <w:tcBorders>
              <w:top w:val="nil"/>
              <w:left w:val="nil"/>
              <w:bottom w:val="single" w:sz="8" w:space="0" w:color="auto"/>
              <w:right w:val="single" w:sz="8" w:space="0" w:color="auto"/>
            </w:tcBorders>
            <w:vAlign w:val="center"/>
            <w:hideMark/>
          </w:tcPr>
          <w:p w14:paraId="5228021C" w14:textId="77777777" w:rsidR="002850C6" w:rsidRPr="002850C6" w:rsidRDefault="002850C6" w:rsidP="002850C6">
            <w:pPr>
              <w:spacing w:before="0" w:after="0"/>
              <w:jc w:val="center"/>
              <w:rPr>
                <w:b/>
                <w:bCs/>
                <w:noProof/>
                <w:sz w:val="20"/>
                <w:szCs w:val="20"/>
              </w:rPr>
            </w:pPr>
            <w:r w:rsidRPr="002850C6">
              <w:rPr>
                <w:b/>
                <w:noProof/>
                <w:sz w:val="20"/>
              </w:rPr>
              <w:t>2027</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14:paraId="63E5C81B" w14:textId="77777777" w:rsidR="002850C6" w:rsidRPr="002850C6" w:rsidRDefault="002850C6" w:rsidP="002850C6">
            <w:pPr>
              <w:spacing w:before="0" w:after="0"/>
              <w:jc w:val="left"/>
              <w:rPr>
                <w:b/>
                <w:bCs/>
                <w:noProof/>
                <w:sz w:val="20"/>
                <w:szCs w:val="20"/>
                <w:lang w:eastAsia="en-IE"/>
              </w:rPr>
            </w:pPr>
          </w:p>
        </w:tc>
        <w:tc>
          <w:tcPr>
            <w:tcW w:w="482" w:type="pct"/>
            <w:vMerge/>
            <w:tcBorders>
              <w:left w:val="single" w:sz="8" w:space="0" w:color="auto"/>
              <w:bottom w:val="single" w:sz="8" w:space="0" w:color="000000"/>
              <w:right w:val="single" w:sz="8" w:space="0" w:color="auto"/>
            </w:tcBorders>
          </w:tcPr>
          <w:p w14:paraId="013AAF25" w14:textId="77777777" w:rsidR="002850C6" w:rsidRPr="002850C6" w:rsidRDefault="002850C6" w:rsidP="002850C6">
            <w:pPr>
              <w:spacing w:before="0" w:after="0"/>
              <w:jc w:val="left"/>
              <w:rPr>
                <w:b/>
                <w:bCs/>
                <w:noProof/>
                <w:sz w:val="20"/>
                <w:szCs w:val="20"/>
                <w:lang w:eastAsia="en-IE"/>
              </w:rPr>
            </w:pPr>
          </w:p>
        </w:tc>
      </w:tr>
      <w:tr w:rsidR="002850C6" w:rsidRPr="002850C6" w14:paraId="4AD0B596" w14:textId="77777777" w:rsidTr="0043630B">
        <w:trPr>
          <w:trHeight w:val="564"/>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012E3757" w14:textId="77777777" w:rsidR="002850C6" w:rsidRPr="002850C6" w:rsidRDefault="002850C6" w:rsidP="002850C6">
            <w:pPr>
              <w:spacing w:before="0" w:after="0"/>
              <w:jc w:val="center"/>
              <w:rPr>
                <w:b/>
                <w:bCs/>
                <w:noProof/>
                <w:sz w:val="22"/>
              </w:rPr>
            </w:pPr>
            <w:r w:rsidRPr="002850C6">
              <w:rPr>
                <w:b/>
                <w:noProof/>
                <w:sz w:val="22"/>
              </w:rPr>
              <w:t>TOTAL des crédits pour les RUBRIQUES 1 à 7</w:t>
            </w:r>
          </w:p>
        </w:tc>
        <w:tc>
          <w:tcPr>
            <w:tcW w:w="661" w:type="pct"/>
            <w:tcBorders>
              <w:top w:val="single" w:sz="8" w:space="0" w:color="auto"/>
              <w:left w:val="nil"/>
              <w:bottom w:val="single" w:sz="8" w:space="0" w:color="auto"/>
              <w:right w:val="single" w:sz="8" w:space="0" w:color="auto"/>
            </w:tcBorders>
            <w:vAlign w:val="center"/>
            <w:hideMark/>
          </w:tcPr>
          <w:p w14:paraId="650DC5F1" w14:textId="77777777" w:rsidR="002850C6" w:rsidRPr="002850C6" w:rsidRDefault="002850C6" w:rsidP="002850C6">
            <w:pPr>
              <w:spacing w:before="0" w:after="0"/>
              <w:rPr>
                <w:noProof/>
                <w:sz w:val="18"/>
                <w:szCs w:val="18"/>
              </w:rPr>
            </w:pPr>
            <w:r w:rsidRPr="002850C6">
              <w:rPr>
                <w:noProof/>
                <w:sz w:val="18"/>
              </w:rPr>
              <w:t>Engagements</w:t>
            </w:r>
          </w:p>
        </w:tc>
        <w:tc>
          <w:tcPr>
            <w:tcW w:w="399" w:type="pct"/>
            <w:tcBorders>
              <w:top w:val="nil"/>
              <w:left w:val="nil"/>
              <w:bottom w:val="single" w:sz="8" w:space="0" w:color="auto"/>
              <w:right w:val="single" w:sz="8" w:space="0" w:color="auto"/>
            </w:tcBorders>
            <w:shd w:val="clear" w:color="000000" w:fill="D9D9D9"/>
            <w:vAlign w:val="center"/>
            <w:hideMark/>
          </w:tcPr>
          <w:p w14:paraId="5C6F9760" w14:textId="77777777" w:rsidR="002850C6" w:rsidRPr="002850C6" w:rsidRDefault="002850C6" w:rsidP="002850C6">
            <w:pPr>
              <w:spacing w:before="0" w:after="0"/>
              <w:jc w:val="right"/>
              <w:rPr>
                <w:b/>
                <w:bCs/>
                <w:noProof/>
                <w:szCs w:val="24"/>
              </w:rPr>
            </w:pPr>
            <w:r w:rsidRPr="002850C6">
              <w:rPr>
                <w:b/>
                <w:noProof/>
              </w:rPr>
              <w:t>0,000</w:t>
            </w:r>
          </w:p>
        </w:tc>
        <w:tc>
          <w:tcPr>
            <w:tcW w:w="398" w:type="pct"/>
            <w:tcBorders>
              <w:top w:val="nil"/>
              <w:left w:val="nil"/>
              <w:bottom w:val="single" w:sz="8" w:space="0" w:color="auto"/>
              <w:right w:val="single" w:sz="8" w:space="0" w:color="auto"/>
            </w:tcBorders>
            <w:shd w:val="clear" w:color="000000" w:fill="D9D9D9"/>
            <w:vAlign w:val="center"/>
            <w:hideMark/>
          </w:tcPr>
          <w:p w14:paraId="400F2799" w14:textId="77777777" w:rsidR="002850C6" w:rsidRPr="002850C6" w:rsidRDefault="002850C6" w:rsidP="002850C6">
            <w:pPr>
              <w:spacing w:before="0" w:after="0"/>
              <w:jc w:val="right"/>
              <w:rPr>
                <w:b/>
                <w:bCs/>
                <w:noProof/>
                <w:szCs w:val="24"/>
              </w:rPr>
            </w:pPr>
            <w:r w:rsidRPr="002850C6">
              <w:rPr>
                <w:b/>
                <w:noProof/>
              </w:rPr>
              <w:t>0,000</w:t>
            </w:r>
          </w:p>
        </w:tc>
        <w:tc>
          <w:tcPr>
            <w:tcW w:w="398" w:type="pct"/>
            <w:tcBorders>
              <w:top w:val="nil"/>
              <w:left w:val="nil"/>
              <w:bottom w:val="single" w:sz="8" w:space="0" w:color="auto"/>
              <w:right w:val="single" w:sz="8" w:space="0" w:color="auto"/>
            </w:tcBorders>
            <w:shd w:val="clear" w:color="000000" w:fill="D9D9D9"/>
            <w:vAlign w:val="center"/>
            <w:hideMark/>
          </w:tcPr>
          <w:p w14:paraId="206EFDBD" w14:textId="77777777" w:rsidR="002850C6" w:rsidRPr="002850C6" w:rsidRDefault="002850C6" w:rsidP="002850C6">
            <w:pPr>
              <w:spacing w:before="0" w:after="0"/>
              <w:jc w:val="right"/>
              <w:rPr>
                <w:b/>
                <w:bCs/>
                <w:noProof/>
                <w:szCs w:val="24"/>
              </w:rPr>
            </w:pPr>
            <w:r w:rsidRPr="002850C6">
              <w:rPr>
                <w:b/>
                <w:noProof/>
              </w:rPr>
              <w:t>1,504</w:t>
            </w:r>
          </w:p>
        </w:tc>
        <w:tc>
          <w:tcPr>
            <w:tcW w:w="398" w:type="pct"/>
            <w:tcBorders>
              <w:top w:val="nil"/>
              <w:left w:val="nil"/>
              <w:bottom w:val="single" w:sz="8" w:space="0" w:color="auto"/>
              <w:right w:val="single" w:sz="8" w:space="0" w:color="auto"/>
            </w:tcBorders>
            <w:shd w:val="clear" w:color="000000" w:fill="D9D9D9"/>
            <w:vAlign w:val="center"/>
            <w:hideMark/>
          </w:tcPr>
          <w:p w14:paraId="5D08F760" w14:textId="77777777" w:rsidR="002850C6" w:rsidRPr="002850C6" w:rsidRDefault="002850C6" w:rsidP="002850C6">
            <w:pPr>
              <w:spacing w:before="0" w:after="0"/>
              <w:jc w:val="right"/>
              <w:rPr>
                <w:b/>
                <w:bCs/>
                <w:noProof/>
                <w:szCs w:val="24"/>
              </w:rPr>
            </w:pPr>
            <w:r w:rsidRPr="002850C6">
              <w:rPr>
                <w:b/>
                <w:noProof/>
              </w:rPr>
              <w:t>8,013</w:t>
            </w:r>
          </w:p>
        </w:tc>
        <w:tc>
          <w:tcPr>
            <w:tcW w:w="482" w:type="pct"/>
            <w:tcBorders>
              <w:top w:val="nil"/>
              <w:left w:val="nil"/>
              <w:bottom w:val="single" w:sz="8" w:space="0" w:color="auto"/>
              <w:right w:val="single" w:sz="8" w:space="0" w:color="auto"/>
            </w:tcBorders>
            <w:shd w:val="clear" w:color="000000" w:fill="D9D9D9"/>
            <w:vAlign w:val="center"/>
            <w:hideMark/>
          </w:tcPr>
          <w:p w14:paraId="3C071529" w14:textId="77777777" w:rsidR="002850C6" w:rsidRPr="002850C6" w:rsidRDefault="002850C6" w:rsidP="002850C6">
            <w:pPr>
              <w:spacing w:before="0" w:after="0"/>
              <w:jc w:val="right"/>
              <w:rPr>
                <w:b/>
                <w:bCs/>
                <w:noProof/>
                <w:szCs w:val="24"/>
              </w:rPr>
            </w:pPr>
            <w:r w:rsidRPr="002850C6">
              <w:rPr>
                <w:b/>
                <w:noProof/>
              </w:rPr>
              <w:t>9,517</w:t>
            </w:r>
          </w:p>
        </w:tc>
        <w:tc>
          <w:tcPr>
            <w:tcW w:w="482" w:type="pct"/>
            <w:tcBorders>
              <w:top w:val="nil"/>
              <w:left w:val="nil"/>
              <w:bottom w:val="single" w:sz="8" w:space="0" w:color="auto"/>
              <w:right w:val="single" w:sz="8" w:space="0" w:color="auto"/>
            </w:tcBorders>
            <w:shd w:val="clear" w:color="000000" w:fill="D9D9D9"/>
            <w:vAlign w:val="center"/>
          </w:tcPr>
          <w:p w14:paraId="76C3A653" w14:textId="77777777" w:rsidR="002850C6" w:rsidRPr="002850C6" w:rsidRDefault="002850C6" w:rsidP="002850C6">
            <w:pPr>
              <w:spacing w:before="0" w:after="0"/>
              <w:jc w:val="right"/>
              <w:rPr>
                <w:b/>
                <w:bCs/>
                <w:noProof/>
                <w:szCs w:val="24"/>
              </w:rPr>
            </w:pPr>
            <w:r w:rsidRPr="002850C6">
              <w:rPr>
                <w:b/>
                <w:noProof/>
              </w:rPr>
              <w:t>64,099</w:t>
            </w:r>
          </w:p>
        </w:tc>
      </w:tr>
      <w:tr w:rsidR="002850C6" w:rsidRPr="002850C6" w14:paraId="297FA715" w14:textId="77777777" w:rsidTr="0043630B">
        <w:trPr>
          <w:trHeight w:val="540"/>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43D32A03" w14:textId="77777777" w:rsidR="002850C6" w:rsidRPr="002850C6" w:rsidRDefault="002850C6" w:rsidP="002850C6">
            <w:pPr>
              <w:spacing w:before="0" w:after="0"/>
              <w:jc w:val="center"/>
              <w:rPr>
                <w:noProof/>
                <w:sz w:val="22"/>
              </w:rPr>
            </w:pPr>
            <w:r w:rsidRPr="002850C6">
              <w:rPr>
                <w:noProof/>
                <w:sz w:val="22"/>
              </w:rPr>
              <w:t>du cadre financier pluriannuel</w:t>
            </w:r>
            <w:r w:rsidRPr="002850C6">
              <w:rPr>
                <w:b/>
                <w:noProof/>
                <w:sz w:val="22"/>
              </w:rPr>
              <w:t xml:space="preserve"> </w:t>
            </w:r>
          </w:p>
        </w:tc>
        <w:tc>
          <w:tcPr>
            <w:tcW w:w="661" w:type="pct"/>
            <w:tcBorders>
              <w:top w:val="single" w:sz="8" w:space="0" w:color="auto"/>
              <w:left w:val="nil"/>
              <w:bottom w:val="single" w:sz="8" w:space="0" w:color="auto"/>
              <w:right w:val="single" w:sz="8" w:space="0" w:color="auto"/>
            </w:tcBorders>
            <w:vAlign w:val="center"/>
            <w:hideMark/>
          </w:tcPr>
          <w:p w14:paraId="16FF8BDC" w14:textId="77777777" w:rsidR="002850C6" w:rsidRPr="002850C6" w:rsidRDefault="002850C6" w:rsidP="002850C6">
            <w:pPr>
              <w:spacing w:before="0" w:after="0"/>
              <w:rPr>
                <w:noProof/>
                <w:sz w:val="18"/>
                <w:szCs w:val="18"/>
              </w:rPr>
            </w:pPr>
            <w:r w:rsidRPr="002850C6">
              <w:rPr>
                <w:noProof/>
                <w:sz w:val="18"/>
              </w:rPr>
              <w:t>Paiements</w:t>
            </w:r>
          </w:p>
        </w:tc>
        <w:tc>
          <w:tcPr>
            <w:tcW w:w="399" w:type="pct"/>
            <w:tcBorders>
              <w:top w:val="nil"/>
              <w:left w:val="nil"/>
              <w:bottom w:val="single" w:sz="8" w:space="0" w:color="auto"/>
              <w:right w:val="single" w:sz="8" w:space="0" w:color="auto"/>
            </w:tcBorders>
            <w:shd w:val="clear" w:color="000000" w:fill="D9D9D9"/>
            <w:vAlign w:val="center"/>
            <w:hideMark/>
          </w:tcPr>
          <w:p w14:paraId="64A5376F" w14:textId="77777777" w:rsidR="002850C6" w:rsidRPr="002850C6" w:rsidRDefault="002850C6" w:rsidP="002850C6">
            <w:pPr>
              <w:spacing w:before="0" w:after="0"/>
              <w:jc w:val="right"/>
              <w:rPr>
                <w:b/>
                <w:bCs/>
                <w:noProof/>
                <w:szCs w:val="24"/>
              </w:rPr>
            </w:pPr>
            <w:r w:rsidRPr="002850C6">
              <w:rPr>
                <w:b/>
                <w:noProof/>
              </w:rPr>
              <w:t>0,000</w:t>
            </w:r>
          </w:p>
        </w:tc>
        <w:tc>
          <w:tcPr>
            <w:tcW w:w="398" w:type="pct"/>
            <w:tcBorders>
              <w:top w:val="nil"/>
              <w:left w:val="nil"/>
              <w:bottom w:val="single" w:sz="8" w:space="0" w:color="auto"/>
              <w:right w:val="single" w:sz="8" w:space="0" w:color="auto"/>
            </w:tcBorders>
            <w:shd w:val="clear" w:color="000000" w:fill="D9D9D9"/>
            <w:vAlign w:val="center"/>
            <w:hideMark/>
          </w:tcPr>
          <w:p w14:paraId="314C863A" w14:textId="77777777" w:rsidR="002850C6" w:rsidRPr="002850C6" w:rsidRDefault="002850C6" w:rsidP="002850C6">
            <w:pPr>
              <w:spacing w:before="0" w:after="0"/>
              <w:jc w:val="right"/>
              <w:rPr>
                <w:b/>
                <w:bCs/>
                <w:noProof/>
                <w:szCs w:val="24"/>
              </w:rPr>
            </w:pPr>
            <w:r w:rsidRPr="002850C6">
              <w:rPr>
                <w:b/>
                <w:noProof/>
              </w:rPr>
              <w:t>0,000</w:t>
            </w:r>
          </w:p>
        </w:tc>
        <w:tc>
          <w:tcPr>
            <w:tcW w:w="398" w:type="pct"/>
            <w:tcBorders>
              <w:top w:val="nil"/>
              <w:left w:val="nil"/>
              <w:bottom w:val="single" w:sz="8" w:space="0" w:color="auto"/>
              <w:right w:val="single" w:sz="8" w:space="0" w:color="auto"/>
            </w:tcBorders>
            <w:shd w:val="clear" w:color="000000" w:fill="D9D9D9"/>
            <w:vAlign w:val="center"/>
            <w:hideMark/>
          </w:tcPr>
          <w:p w14:paraId="5FC61DEF" w14:textId="77777777" w:rsidR="002850C6" w:rsidRPr="002850C6" w:rsidRDefault="002850C6" w:rsidP="002850C6">
            <w:pPr>
              <w:spacing w:before="0" w:after="0"/>
              <w:jc w:val="right"/>
              <w:rPr>
                <w:b/>
                <w:bCs/>
                <w:noProof/>
                <w:szCs w:val="24"/>
              </w:rPr>
            </w:pPr>
            <w:r w:rsidRPr="002850C6">
              <w:rPr>
                <w:b/>
                <w:noProof/>
              </w:rPr>
              <w:t>1,504</w:t>
            </w:r>
          </w:p>
        </w:tc>
        <w:tc>
          <w:tcPr>
            <w:tcW w:w="398" w:type="pct"/>
            <w:tcBorders>
              <w:top w:val="nil"/>
              <w:left w:val="nil"/>
              <w:bottom w:val="single" w:sz="8" w:space="0" w:color="auto"/>
              <w:right w:val="single" w:sz="8" w:space="0" w:color="auto"/>
            </w:tcBorders>
            <w:shd w:val="clear" w:color="000000" w:fill="D9D9D9"/>
            <w:vAlign w:val="center"/>
            <w:hideMark/>
          </w:tcPr>
          <w:p w14:paraId="4E7742E0" w14:textId="77777777" w:rsidR="002850C6" w:rsidRPr="002850C6" w:rsidRDefault="002850C6" w:rsidP="002850C6">
            <w:pPr>
              <w:spacing w:before="0" w:after="0"/>
              <w:jc w:val="right"/>
              <w:rPr>
                <w:b/>
                <w:bCs/>
                <w:noProof/>
                <w:szCs w:val="24"/>
              </w:rPr>
            </w:pPr>
            <w:r w:rsidRPr="002850C6">
              <w:rPr>
                <w:b/>
                <w:noProof/>
              </w:rPr>
              <w:t>8,013</w:t>
            </w:r>
          </w:p>
        </w:tc>
        <w:tc>
          <w:tcPr>
            <w:tcW w:w="482" w:type="pct"/>
            <w:tcBorders>
              <w:top w:val="nil"/>
              <w:left w:val="nil"/>
              <w:bottom w:val="single" w:sz="8" w:space="0" w:color="auto"/>
              <w:right w:val="single" w:sz="8" w:space="0" w:color="auto"/>
            </w:tcBorders>
            <w:shd w:val="clear" w:color="000000" w:fill="D9D9D9"/>
            <w:vAlign w:val="center"/>
            <w:hideMark/>
          </w:tcPr>
          <w:p w14:paraId="504D582D" w14:textId="77777777" w:rsidR="002850C6" w:rsidRPr="002850C6" w:rsidRDefault="002850C6" w:rsidP="002850C6">
            <w:pPr>
              <w:spacing w:before="0" w:after="0"/>
              <w:jc w:val="right"/>
              <w:rPr>
                <w:b/>
                <w:bCs/>
                <w:noProof/>
                <w:szCs w:val="24"/>
              </w:rPr>
            </w:pPr>
            <w:r w:rsidRPr="002850C6">
              <w:rPr>
                <w:b/>
                <w:noProof/>
              </w:rPr>
              <w:t>9,517</w:t>
            </w:r>
          </w:p>
        </w:tc>
        <w:tc>
          <w:tcPr>
            <w:tcW w:w="482" w:type="pct"/>
            <w:tcBorders>
              <w:top w:val="nil"/>
              <w:left w:val="nil"/>
              <w:bottom w:val="single" w:sz="8" w:space="0" w:color="auto"/>
              <w:right w:val="single" w:sz="8" w:space="0" w:color="auto"/>
            </w:tcBorders>
            <w:shd w:val="clear" w:color="000000" w:fill="D9D9D9"/>
            <w:vAlign w:val="center"/>
          </w:tcPr>
          <w:p w14:paraId="423C9728" w14:textId="77777777" w:rsidR="002850C6" w:rsidRPr="002850C6" w:rsidRDefault="002850C6" w:rsidP="002850C6">
            <w:pPr>
              <w:spacing w:before="0" w:after="0"/>
              <w:jc w:val="right"/>
              <w:rPr>
                <w:b/>
                <w:bCs/>
                <w:noProof/>
                <w:szCs w:val="24"/>
              </w:rPr>
            </w:pPr>
            <w:r w:rsidRPr="002850C6">
              <w:rPr>
                <w:b/>
                <w:noProof/>
              </w:rPr>
              <w:t>64,099</w:t>
            </w:r>
          </w:p>
        </w:tc>
      </w:tr>
    </w:tbl>
    <w:p w14:paraId="2139AA65" w14:textId="77777777" w:rsidR="002850C6" w:rsidRPr="002850C6" w:rsidRDefault="002850C6" w:rsidP="002850C6">
      <w:pPr>
        <w:keepNext/>
        <w:tabs>
          <w:tab w:val="left" w:pos="850"/>
        </w:tabs>
        <w:ind w:left="850" w:hanging="850"/>
        <w:outlineLvl w:val="2"/>
        <w:rPr>
          <w:bCs/>
          <w:i/>
          <w:noProof/>
          <w:szCs w:val="24"/>
        </w:rPr>
      </w:pPr>
      <w:bookmarkStart w:id="142" w:name="_Toc213612596"/>
      <w:r w:rsidRPr="002850C6">
        <w:rPr>
          <w:i/>
          <w:noProof/>
        </w:rPr>
        <w:t>3.2.2.</w:t>
      </w:r>
      <w:r w:rsidRPr="002850C6">
        <w:rPr>
          <w:i/>
          <w:noProof/>
        </w:rPr>
        <w:tab/>
        <w:t>Estimation des réalisations financées à partir des crédits opérationnels</w:t>
      </w:r>
      <w:bookmarkEnd w:id="139"/>
      <w:bookmarkEnd w:id="140"/>
      <w:bookmarkEnd w:id="142"/>
      <w:r w:rsidRPr="002850C6">
        <w:rPr>
          <w:i/>
          <w:noProof/>
        </w:rPr>
        <w:t xml:space="preserve"> </w:t>
      </w:r>
      <w:bookmarkEnd w:id="141"/>
    </w:p>
    <w:p w14:paraId="3C4AAF65" w14:textId="77777777" w:rsidR="002850C6" w:rsidRPr="002850C6" w:rsidRDefault="002850C6" w:rsidP="002850C6">
      <w:pPr>
        <w:jc w:val="right"/>
        <w:rPr>
          <w:noProof/>
          <w:sz w:val="20"/>
        </w:rPr>
      </w:pPr>
      <w:r w:rsidRPr="002850C6">
        <w:rPr>
          <w:noProof/>
          <w:sz w:val="20"/>
        </w:rPr>
        <w:t>Crédits d’engagement en Mio EUR (à la 3</w:t>
      </w:r>
      <w:r w:rsidRPr="002850C6">
        <w:rPr>
          <w:noProof/>
          <w:sz w:val="20"/>
          <w:vertAlign w:val="superscript"/>
        </w:rPr>
        <w:t>e</w:t>
      </w:r>
      <w:r w:rsidRPr="002850C6">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882"/>
        <w:gridCol w:w="18"/>
        <w:gridCol w:w="720"/>
        <w:gridCol w:w="540"/>
        <w:gridCol w:w="648"/>
        <w:gridCol w:w="432"/>
        <w:gridCol w:w="720"/>
        <w:gridCol w:w="540"/>
        <w:gridCol w:w="720"/>
        <w:gridCol w:w="720"/>
        <w:gridCol w:w="900"/>
      </w:tblGrid>
      <w:tr w:rsidR="002850C6" w:rsidRPr="002850C6" w14:paraId="31904913" w14:textId="77777777" w:rsidTr="0043630B">
        <w:trPr>
          <w:jc w:val="center"/>
        </w:trPr>
        <w:tc>
          <w:tcPr>
            <w:tcW w:w="1423" w:type="dxa"/>
            <w:vMerge w:val="restart"/>
            <w:vAlign w:val="center"/>
          </w:tcPr>
          <w:p w14:paraId="18379334" w14:textId="77777777" w:rsidR="002850C6" w:rsidRPr="002850C6" w:rsidRDefault="002850C6" w:rsidP="002850C6">
            <w:pPr>
              <w:ind w:right="-29"/>
              <w:jc w:val="center"/>
              <w:rPr>
                <w:b/>
                <w:noProof/>
                <w:sz w:val="18"/>
                <w:szCs w:val="18"/>
              </w:rPr>
            </w:pPr>
            <w:r w:rsidRPr="002850C6">
              <w:rPr>
                <w:b/>
                <w:noProof/>
                <w:sz w:val="18"/>
              </w:rPr>
              <w:t xml:space="preserve">Indiquer les objectifs et les réalisations </w:t>
            </w:r>
          </w:p>
          <w:p w14:paraId="2716FFBE" w14:textId="77777777" w:rsidR="002850C6" w:rsidRPr="002850C6" w:rsidRDefault="002850C6" w:rsidP="002850C6">
            <w:pPr>
              <w:ind w:right="-29"/>
              <w:jc w:val="center"/>
              <w:rPr>
                <w:b/>
                <w:noProof/>
                <w:sz w:val="18"/>
                <w:szCs w:val="18"/>
              </w:rPr>
            </w:pPr>
          </w:p>
          <w:p w14:paraId="385DEB4C" w14:textId="77777777" w:rsidR="002850C6" w:rsidRPr="002850C6" w:rsidRDefault="002850C6" w:rsidP="002850C6">
            <w:pPr>
              <w:ind w:right="-29"/>
              <w:jc w:val="center"/>
              <w:rPr>
                <w:noProof/>
                <w:sz w:val="18"/>
                <w:szCs w:val="18"/>
              </w:rPr>
            </w:pPr>
            <w:r w:rsidRPr="002850C6">
              <w:rPr>
                <w:rFonts w:ascii="Wingdings" w:hAnsi="Wingdings"/>
                <w:noProof/>
                <w:sz w:val="18"/>
              </w:rPr>
              <w:t></w:t>
            </w:r>
          </w:p>
        </w:tc>
        <w:tc>
          <w:tcPr>
            <w:tcW w:w="720" w:type="dxa"/>
            <w:vAlign w:val="center"/>
          </w:tcPr>
          <w:p w14:paraId="0618A332" w14:textId="77777777" w:rsidR="002850C6" w:rsidRPr="002850C6" w:rsidRDefault="002850C6" w:rsidP="002850C6">
            <w:pPr>
              <w:ind w:right="-29"/>
              <w:jc w:val="center"/>
              <w:rPr>
                <w:noProof/>
                <w:sz w:val="18"/>
                <w:szCs w:val="18"/>
              </w:rPr>
            </w:pPr>
          </w:p>
        </w:tc>
        <w:tc>
          <w:tcPr>
            <w:tcW w:w="701" w:type="dxa"/>
            <w:vAlign w:val="center"/>
          </w:tcPr>
          <w:p w14:paraId="7A396DCE" w14:textId="77777777" w:rsidR="002850C6" w:rsidRPr="002850C6" w:rsidRDefault="002850C6" w:rsidP="002850C6">
            <w:pPr>
              <w:ind w:right="-29"/>
              <w:jc w:val="center"/>
              <w:rPr>
                <w:noProof/>
                <w:sz w:val="18"/>
                <w:szCs w:val="18"/>
              </w:rPr>
            </w:pPr>
          </w:p>
        </w:tc>
        <w:tc>
          <w:tcPr>
            <w:tcW w:w="1224" w:type="dxa"/>
            <w:gridSpan w:val="2"/>
            <w:tcBorders>
              <w:left w:val="nil"/>
            </w:tcBorders>
            <w:vAlign w:val="center"/>
          </w:tcPr>
          <w:p w14:paraId="08368455" w14:textId="77777777" w:rsidR="002850C6" w:rsidRPr="002850C6" w:rsidRDefault="002850C6" w:rsidP="002850C6">
            <w:pPr>
              <w:ind w:right="-29"/>
              <w:jc w:val="center"/>
              <w:rPr>
                <w:noProof/>
                <w:sz w:val="18"/>
                <w:szCs w:val="18"/>
              </w:rPr>
            </w:pPr>
            <w:r w:rsidRPr="002850C6">
              <w:rPr>
                <w:noProof/>
                <w:sz w:val="18"/>
              </w:rPr>
              <w:t xml:space="preserve">Année </w:t>
            </w:r>
            <w:r w:rsidRPr="002850C6">
              <w:rPr>
                <w:noProof/>
              </w:rPr>
              <w:br/>
            </w:r>
            <w:r w:rsidRPr="002850C6">
              <w:rPr>
                <w:b/>
                <w:noProof/>
                <w:sz w:val="18"/>
              </w:rPr>
              <w:t>2024</w:t>
            </w:r>
          </w:p>
        </w:tc>
        <w:tc>
          <w:tcPr>
            <w:tcW w:w="1260" w:type="dxa"/>
            <w:gridSpan w:val="2"/>
            <w:vAlign w:val="center"/>
          </w:tcPr>
          <w:p w14:paraId="2E7F542C" w14:textId="77777777" w:rsidR="002850C6" w:rsidRPr="002850C6" w:rsidRDefault="002850C6" w:rsidP="002850C6">
            <w:pPr>
              <w:ind w:right="-29"/>
              <w:jc w:val="center"/>
              <w:rPr>
                <w:noProof/>
                <w:sz w:val="18"/>
                <w:szCs w:val="18"/>
              </w:rPr>
            </w:pPr>
            <w:r w:rsidRPr="002850C6">
              <w:rPr>
                <w:noProof/>
                <w:sz w:val="18"/>
              </w:rPr>
              <w:t xml:space="preserve">Année </w:t>
            </w:r>
            <w:r w:rsidRPr="002850C6">
              <w:rPr>
                <w:noProof/>
              </w:rPr>
              <w:br/>
            </w:r>
            <w:r w:rsidRPr="002850C6">
              <w:rPr>
                <w:b/>
                <w:noProof/>
                <w:sz w:val="18"/>
              </w:rPr>
              <w:t>2025</w:t>
            </w:r>
          </w:p>
        </w:tc>
        <w:tc>
          <w:tcPr>
            <w:tcW w:w="1440" w:type="dxa"/>
            <w:gridSpan w:val="2"/>
            <w:vAlign w:val="center"/>
          </w:tcPr>
          <w:p w14:paraId="65CCE4AA" w14:textId="77777777" w:rsidR="002850C6" w:rsidRPr="002850C6" w:rsidRDefault="002850C6" w:rsidP="002850C6">
            <w:pPr>
              <w:ind w:right="-29"/>
              <w:jc w:val="center"/>
              <w:rPr>
                <w:noProof/>
                <w:sz w:val="18"/>
                <w:szCs w:val="18"/>
              </w:rPr>
            </w:pPr>
            <w:r w:rsidRPr="002850C6">
              <w:rPr>
                <w:noProof/>
                <w:sz w:val="18"/>
              </w:rPr>
              <w:t xml:space="preserve">Année </w:t>
            </w:r>
            <w:r w:rsidRPr="002850C6">
              <w:rPr>
                <w:noProof/>
              </w:rPr>
              <w:br/>
            </w:r>
            <w:r w:rsidRPr="002850C6">
              <w:rPr>
                <w:b/>
                <w:noProof/>
                <w:sz w:val="18"/>
              </w:rPr>
              <w:t>2026</w:t>
            </w:r>
          </w:p>
        </w:tc>
        <w:tc>
          <w:tcPr>
            <w:tcW w:w="1620" w:type="dxa"/>
            <w:gridSpan w:val="3"/>
            <w:vAlign w:val="center"/>
          </w:tcPr>
          <w:p w14:paraId="006D2EF2" w14:textId="77777777" w:rsidR="002850C6" w:rsidRPr="002850C6" w:rsidRDefault="002850C6" w:rsidP="002850C6">
            <w:pPr>
              <w:ind w:right="-29"/>
              <w:jc w:val="center"/>
              <w:rPr>
                <w:noProof/>
                <w:sz w:val="18"/>
                <w:szCs w:val="18"/>
              </w:rPr>
            </w:pPr>
            <w:r w:rsidRPr="002850C6">
              <w:rPr>
                <w:noProof/>
                <w:sz w:val="18"/>
              </w:rPr>
              <w:t xml:space="preserve">Année </w:t>
            </w:r>
            <w:r w:rsidRPr="002850C6">
              <w:rPr>
                <w:noProof/>
              </w:rPr>
              <w:br/>
            </w:r>
            <w:r w:rsidRPr="002850C6">
              <w:rPr>
                <w:b/>
                <w:noProof/>
                <w:sz w:val="18"/>
              </w:rPr>
              <w:t>2027</w:t>
            </w:r>
          </w:p>
        </w:tc>
        <w:tc>
          <w:tcPr>
            <w:tcW w:w="3600" w:type="dxa"/>
            <w:gridSpan w:val="6"/>
            <w:vAlign w:val="center"/>
          </w:tcPr>
          <w:p w14:paraId="77AE9D94" w14:textId="77777777" w:rsidR="002850C6" w:rsidRPr="002850C6" w:rsidRDefault="002850C6" w:rsidP="002850C6">
            <w:pPr>
              <w:jc w:val="center"/>
              <w:rPr>
                <w:noProof/>
                <w:sz w:val="18"/>
                <w:szCs w:val="18"/>
              </w:rPr>
            </w:pPr>
            <w:r w:rsidRPr="002850C6">
              <w:rPr>
                <w:noProof/>
                <w:sz w:val="18"/>
              </w:rPr>
              <w:t>Insérer autant d’années que nécessaire, pour refléter la durée de l’incidence (cf. section 1.6)</w:t>
            </w:r>
          </w:p>
        </w:tc>
        <w:tc>
          <w:tcPr>
            <w:tcW w:w="1620" w:type="dxa"/>
            <w:gridSpan w:val="2"/>
            <w:tcBorders>
              <w:left w:val="nil"/>
              <w:bottom w:val="nil"/>
            </w:tcBorders>
            <w:vAlign w:val="center"/>
          </w:tcPr>
          <w:p w14:paraId="00E0224B" w14:textId="77777777" w:rsidR="002850C6" w:rsidRPr="002850C6" w:rsidRDefault="002850C6" w:rsidP="002850C6">
            <w:pPr>
              <w:ind w:right="-29"/>
              <w:jc w:val="center"/>
              <w:rPr>
                <w:noProof/>
                <w:sz w:val="18"/>
                <w:szCs w:val="18"/>
              </w:rPr>
            </w:pPr>
            <w:r w:rsidRPr="002850C6">
              <w:rPr>
                <w:b/>
                <w:noProof/>
                <w:sz w:val="18"/>
              </w:rPr>
              <w:t>TOTAL</w:t>
            </w:r>
          </w:p>
        </w:tc>
      </w:tr>
      <w:tr w:rsidR="002850C6" w:rsidRPr="002850C6" w14:paraId="040490E8" w14:textId="77777777" w:rsidTr="0043630B">
        <w:trPr>
          <w:jc w:val="center"/>
        </w:trPr>
        <w:tc>
          <w:tcPr>
            <w:tcW w:w="1423" w:type="dxa"/>
            <w:vMerge/>
            <w:vAlign w:val="center"/>
          </w:tcPr>
          <w:p w14:paraId="07502FBB" w14:textId="77777777" w:rsidR="002850C6" w:rsidRPr="002850C6" w:rsidRDefault="002850C6" w:rsidP="002850C6">
            <w:pPr>
              <w:ind w:right="-29"/>
              <w:jc w:val="center"/>
              <w:rPr>
                <w:noProof/>
                <w:sz w:val="18"/>
                <w:szCs w:val="18"/>
              </w:rPr>
            </w:pPr>
          </w:p>
        </w:tc>
        <w:tc>
          <w:tcPr>
            <w:tcW w:w="12185" w:type="dxa"/>
            <w:gridSpan w:val="19"/>
            <w:vAlign w:val="center"/>
          </w:tcPr>
          <w:p w14:paraId="2A43BF09" w14:textId="77777777" w:rsidR="002850C6" w:rsidRPr="002850C6" w:rsidRDefault="002850C6" w:rsidP="002850C6">
            <w:pPr>
              <w:spacing w:before="60" w:after="60"/>
              <w:ind w:right="-29"/>
              <w:jc w:val="center"/>
              <w:rPr>
                <w:noProof/>
                <w:sz w:val="18"/>
                <w:szCs w:val="18"/>
              </w:rPr>
            </w:pPr>
            <w:r w:rsidRPr="002850C6">
              <w:rPr>
                <w:b/>
                <w:noProof/>
                <w:sz w:val="18"/>
              </w:rPr>
              <w:t>RÉALISATIONS (outputs)</w:t>
            </w:r>
          </w:p>
        </w:tc>
      </w:tr>
      <w:tr w:rsidR="002850C6" w:rsidRPr="002850C6" w14:paraId="2ECA00AB" w14:textId="77777777" w:rsidTr="0043630B">
        <w:trPr>
          <w:cantSplit/>
          <w:trHeight w:val="1134"/>
          <w:jc w:val="center"/>
        </w:trPr>
        <w:tc>
          <w:tcPr>
            <w:tcW w:w="1423" w:type="dxa"/>
            <w:vMerge/>
            <w:vAlign w:val="center"/>
          </w:tcPr>
          <w:p w14:paraId="3E37BAD5" w14:textId="77777777" w:rsidR="002850C6" w:rsidRPr="002850C6" w:rsidRDefault="002850C6" w:rsidP="002850C6">
            <w:pPr>
              <w:rPr>
                <w:noProof/>
                <w:sz w:val="18"/>
                <w:szCs w:val="18"/>
              </w:rPr>
            </w:pPr>
          </w:p>
        </w:tc>
        <w:tc>
          <w:tcPr>
            <w:tcW w:w="720" w:type="dxa"/>
            <w:vAlign w:val="center"/>
          </w:tcPr>
          <w:p w14:paraId="7B075574" w14:textId="77777777" w:rsidR="002850C6" w:rsidRPr="002850C6" w:rsidRDefault="002850C6" w:rsidP="002850C6">
            <w:pPr>
              <w:jc w:val="center"/>
              <w:rPr>
                <w:noProof/>
                <w:sz w:val="18"/>
                <w:szCs w:val="18"/>
              </w:rPr>
            </w:pPr>
            <w:r w:rsidRPr="002850C6">
              <w:rPr>
                <w:noProof/>
                <w:sz w:val="18"/>
              </w:rPr>
              <w:t>Type</w:t>
            </w:r>
            <w:r w:rsidRPr="008F47E2">
              <w:rPr>
                <w:rStyle w:val="FootnoteReference"/>
                <w:noProof/>
              </w:rPr>
              <w:footnoteReference w:id="64"/>
            </w:r>
          </w:p>
          <w:p w14:paraId="63664404" w14:textId="77777777" w:rsidR="002850C6" w:rsidRPr="002850C6" w:rsidRDefault="002850C6" w:rsidP="002850C6">
            <w:pPr>
              <w:spacing w:before="0" w:after="0"/>
              <w:jc w:val="center"/>
              <w:rPr>
                <w:noProof/>
                <w:sz w:val="18"/>
                <w:szCs w:val="18"/>
              </w:rPr>
            </w:pPr>
          </w:p>
        </w:tc>
        <w:tc>
          <w:tcPr>
            <w:tcW w:w="701" w:type="dxa"/>
            <w:vAlign w:val="center"/>
          </w:tcPr>
          <w:p w14:paraId="654C377A" w14:textId="77777777" w:rsidR="002850C6" w:rsidRPr="002850C6" w:rsidRDefault="002850C6" w:rsidP="002850C6">
            <w:pPr>
              <w:jc w:val="center"/>
              <w:rPr>
                <w:noProof/>
                <w:sz w:val="18"/>
                <w:szCs w:val="18"/>
              </w:rPr>
            </w:pPr>
            <w:r w:rsidRPr="002850C6">
              <w:rPr>
                <w:noProof/>
                <w:sz w:val="18"/>
              </w:rPr>
              <w:t>Coût moyen</w:t>
            </w:r>
          </w:p>
        </w:tc>
        <w:tc>
          <w:tcPr>
            <w:tcW w:w="504" w:type="dxa"/>
            <w:tcBorders>
              <w:left w:val="nil"/>
              <w:right w:val="dashSmallGap" w:sz="4" w:space="0" w:color="auto"/>
            </w:tcBorders>
            <w:shd w:val="pct10" w:color="auto" w:fill="auto"/>
            <w:textDirection w:val="btLr"/>
            <w:vAlign w:val="center"/>
          </w:tcPr>
          <w:p w14:paraId="37F91DFC" w14:textId="77777777" w:rsidR="002850C6" w:rsidRPr="002850C6" w:rsidRDefault="002850C6" w:rsidP="002850C6">
            <w:pPr>
              <w:ind w:left="113" w:right="113"/>
              <w:jc w:val="center"/>
              <w:rPr>
                <w:noProof/>
                <w:sz w:val="18"/>
                <w:szCs w:val="18"/>
              </w:rPr>
            </w:pPr>
            <w:r w:rsidRPr="002850C6">
              <w:rPr>
                <w:noProof/>
                <w:sz w:val="18"/>
              </w:rPr>
              <w:t>Nbre</w:t>
            </w:r>
          </w:p>
        </w:tc>
        <w:tc>
          <w:tcPr>
            <w:tcW w:w="720" w:type="dxa"/>
            <w:tcBorders>
              <w:left w:val="dashSmallGap" w:sz="4" w:space="0" w:color="auto"/>
            </w:tcBorders>
            <w:shd w:val="pct10" w:color="auto" w:fill="auto"/>
            <w:vAlign w:val="center"/>
          </w:tcPr>
          <w:p w14:paraId="6B001E24" w14:textId="77777777" w:rsidR="002850C6" w:rsidRPr="002850C6" w:rsidRDefault="002850C6" w:rsidP="002850C6">
            <w:pPr>
              <w:jc w:val="center"/>
              <w:rPr>
                <w:noProof/>
                <w:sz w:val="18"/>
                <w:szCs w:val="18"/>
              </w:rPr>
            </w:pPr>
            <w:r w:rsidRPr="002850C6">
              <w:rPr>
                <w:noProof/>
                <w:sz w:val="18"/>
              </w:rPr>
              <w:t>Coût</w:t>
            </w:r>
          </w:p>
        </w:tc>
        <w:tc>
          <w:tcPr>
            <w:tcW w:w="540" w:type="dxa"/>
            <w:tcBorders>
              <w:right w:val="dashSmallGap" w:sz="4" w:space="0" w:color="auto"/>
            </w:tcBorders>
            <w:shd w:val="pct10" w:color="auto" w:fill="auto"/>
            <w:textDirection w:val="btLr"/>
            <w:vAlign w:val="center"/>
          </w:tcPr>
          <w:p w14:paraId="7E9143DC" w14:textId="77777777" w:rsidR="002850C6" w:rsidRPr="002850C6" w:rsidRDefault="002850C6" w:rsidP="002850C6">
            <w:pPr>
              <w:ind w:left="113" w:right="113"/>
              <w:jc w:val="center"/>
              <w:rPr>
                <w:noProof/>
                <w:sz w:val="18"/>
                <w:szCs w:val="18"/>
              </w:rPr>
            </w:pPr>
            <w:r w:rsidRPr="002850C6">
              <w:rPr>
                <w:noProof/>
                <w:sz w:val="18"/>
              </w:rPr>
              <w:t>Nbre</w:t>
            </w:r>
          </w:p>
        </w:tc>
        <w:tc>
          <w:tcPr>
            <w:tcW w:w="720" w:type="dxa"/>
            <w:tcBorders>
              <w:left w:val="dashSmallGap" w:sz="4" w:space="0" w:color="auto"/>
            </w:tcBorders>
            <w:shd w:val="pct10" w:color="auto" w:fill="auto"/>
            <w:vAlign w:val="center"/>
          </w:tcPr>
          <w:p w14:paraId="25E547A2" w14:textId="77777777" w:rsidR="002850C6" w:rsidRPr="002850C6" w:rsidRDefault="002850C6" w:rsidP="002850C6">
            <w:pPr>
              <w:jc w:val="center"/>
              <w:rPr>
                <w:noProof/>
                <w:sz w:val="18"/>
                <w:szCs w:val="18"/>
              </w:rPr>
            </w:pPr>
            <w:r w:rsidRPr="002850C6">
              <w:rPr>
                <w:noProof/>
                <w:sz w:val="18"/>
              </w:rPr>
              <w:t>Coût</w:t>
            </w:r>
          </w:p>
        </w:tc>
        <w:tc>
          <w:tcPr>
            <w:tcW w:w="720" w:type="dxa"/>
            <w:tcBorders>
              <w:right w:val="dashSmallGap" w:sz="4" w:space="0" w:color="auto"/>
            </w:tcBorders>
            <w:shd w:val="pct10" w:color="auto" w:fill="auto"/>
            <w:textDirection w:val="btLr"/>
            <w:vAlign w:val="center"/>
          </w:tcPr>
          <w:p w14:paraId="67F9DD4D" w14:textId="77777777" w:rsidR="002850C6" w:rsidRPr="002850C6" w:rsidRDefault="002850C6" w:rsidP="002850C6">
            <w:pPr>
              <w:ind w:left="113" w:right="113"/>
              <w:jc w:val="center"/>
              <w:rPr>
                <w:noProof/>
                <w:sz w:val="18"/>
                <w:szCs w:val="18"/>
              </w:rPr>
            </w:pPr>
            <w:r w:rsidRPr="002850C6">
              <w:rPr>
                <w:noProof/>
                <w:sz w:val="18"/>
              </w:rPr>
              <w:t>Nbre</w:t>
            </w:r>
          </w:p>
        </w:tc>
        <w:tc>
          <w:tcPr>
            <w:tcW w:w="720" w:type="dxa"/>
            <w:tcBorders>
              <w:left w:val="dashSmallGap" w:sz="4" w:space="0" w:color="auto"/>
            </w:tcBorders>
            <w:shd w:val="pct10" w:color="auto" w:fill="auto"/>
            <w:vAlign w:val="center"/>
          </w:tcPr>
          <w:p w14:paraId="77ABCFCD" w14:textId="77777777" w:rsidR="002850C6" w:rsidRPr="002850C6" w:rsidRDefault="002850C6" w:rsidP="002850C6">
            <w:pPr>
              <w:jc w:val="center"/>
              <w:rPr>
                <w:noProof/>
                <w:sz w:val="18"/>
                <w:szCs w:val="18"/>
              </w:rPr>
            </w:pPr>
            <w:r w:rsidRPr="002850C6">
              <w:rPr>
                <w:noProof/>
                <w:sz w:val="18"/>
              </w:rPr>
              <w:t>Coût</w:t>
            </w:r>
          </w:p>
        </w:tc>
        <w:tc>
          <w:tcPr>
            <w:tcW w:w="900" w:type="dxa"/>
            <w:gridSpan w:val="2"/>
            <w:tcBorders>
              <w:right w:val="dashSmallGap" w:sz="4" w:space="0" w:color="auto"/>
            </w:tcBorders>
            <w:shd w:val="pct10" w:color="auto" w:fill="auto"/>
            <w:textDirection w:val="btLr"/>
            <w:vAlign w:val="center"/>
          </w:tcPr>
          <w:p w14:paraId="154FDCD8" w14:textId="77777777" w:rsidR="002850C6" w:rsidRPr="002850C6" w:rsidRDefault="002850C6" w:rsidP="002850C6">
            <w:pPr>
              <w:ind w:left="113" w:right="113"/>
              <w:jc w:val="center"/>
              <w:rPr>
                <w:noProof/>
                <w:sz w:val="18"/>
                <w:szCs w:val="18"/>
              </w:rPr>
            </w:pPr>
            <w:r w:rsidRPr="002850C6">
              <w:rPr>
                <w:noProof/>
                <w:sz w:val="18"/>
              </w:rPr>
              <w:t>Nbre</w:t>
            </w:r>
          </w:p>
        </w:tc>
        <w:tc>
          <w:tcPr>
            <w:tcW w:w="720" w:type="dxa"/>
            <w:tcBorders>
              <w:left w:val="dashSmallGap" w:sz="4" w:space="0" w:color="auto"/>
            </w:tcBorders>
            <w:shd w:val="pct10" w:color="auto" w:fill="auto"/>
            <w:vAlign w:val="center"/>
          </w:tcPr>
          <w:p w14:paraId="33D7F734" w14:textId="77777777" w:rsidR="002850C6" w:rsidRPr="002850C6" w:rsidRDefault="002850C6" w:rsidP="002850C6">
            <w:pPr>
              <w:jc w:val="center"/>
              <w:rPr>
                <w:noProof/>
                <w:sz w:val="18"/>
                <w:szCs w:val="18"/>
              </w:rPr>
            </w:pPr>
            <w:r w:rsidRPr="002850C6">
              <w:rPr>
                <w:noProof/>
                <w:sz w:val="18"/>
              </w:rPr>
              <w:t>Coût</w:t>
            </w:r>
          </w:p>
        </w:tc>
        <w:tc>
          <w:tcPr>
            <w:tcW w:w="540" w:type="dxa"/>
            <w:tcBorders>
              <w:right w:val="dashSmallGap" w:sz="4" w:space="0" w:color="auto"/>
            </w:tcBorders>
            <w:shd w:val="pct10" w:color="auto" w:fill="auto"/>
            <w:textDirection w:val="btLr"/>
            <w:vAlign w:val="center"/>
          </w:tcPr>
          <w:p w14:paraId="7F334A39" w14:textId="77777777" w:rsidR="002850C6" w:rsidRPr="002850C6" w:rsidRDefault="002850C6" w:rsidP="002850C6">
            <w:pPr>
              <w:ind w:left="113" w:right="113"/>
              <w:jc w:val="center"/>
              <w:rPr>
                <w:noProof/>
                <w:sz w:val="18"/>
                <w:szCs w:val="18"/>
              </w:rPr>
            </w:pPr>
            <w:r w:rsidRPr="002850C6">
              <w:rPr>
                <w:noProof/>
                <w:sz w:val="18"/>
              </w:rPr>
              <w:t>Nbre</w:t>
            </w:r>
          </w:p>
        </w:tc>
        <w:tc>
          <w:tcPr>
            <w:tcW w:w="648" w:type="dxa"/>
            <w:tcBorders>
              <w:left w:val="dashSmallGap" w:sz="4" w:space="0" w:color="auto"/>
            </w:tcBorders>
            <w:shd w:val="pct10" w:color="auto" w:fill="auto"/>
            <w:vAlign w:val="center"/>
          </w:tcPr>
          <w:p w14:paraId="6DB35FB8" w14:textId="77777777" w:rsidR="002850C6" w:rsidRPr="002850C6" w:rsidRDefault="002850C6" w:rsidP="002850C6">
            <w:pPr>
              <w:jc w:val="center"/>
              <w:rPr>
                <w:noProof/>
                <w:sz w:val="18"/>
                <w:szCs w:val="18"/>
              </w:rPr>
            </w:pPr>
            <w:r w:rsidRPr="002850C6">
              <w:rPr>
                <w:noProof/>
                <w:sz w:val="18"/>
              </w:rPr>
              <w:t>Coût</w:t>
            </w:r>
          </w:p>
        </w:tc>
        <w:tc>
          <w:tcPr>
            <w:tcW w:w="432" w:type="dxa"/>
            <w:tcBorders>
              <w:right w:val="dashSmallGap" w:sz="4" w:space="0" w:color="auto"/>
            </w:tcBorders>
            <w:shd w:val="pct10" w:color="auto" w:fill="auto"/>
            <w:textDirection w:val="btLr"/>
            <w:vAlign w:val="center"/>
          </w:tcPr>
          <w:p w14:paraId="156C0F28" w14:textId="77777777" w:rsidR="002850C6" w:rsidRPr="002850C6" w:rsidRDefault="002850C6" w:rsidP="002850C6">
            <w:pPr>
              <w:ind w:left="113" w:right="113"/>
              <w:jc w:val="center"/>
              <w:rPr>
                <w:noProof/>
                <w:sz w:val="18"/>
                <w:szCs w:val="18"/>
              </w:rPr>
            </w:pPr>
            <w:r w:rsidRPr="002850C6">
              <w:rPr>
                <w:noProof/>
                <w:sz w:val="18"/>
              </w:rPr>
              <w:t>Nbre</w:t>
            </w:r>
          </w:p>
        </w:tc>
        <w:tc>
          <w:tcPr>
            <w:tcW w:w="720" w:type="dxa"/>
            <w:tcBorders>
              <w:left w:val="dashSmallGap" w:sz="4" w:space="0" w:color="auto"/>
            </w:tcBorders>
            <w:shd w:val="pct10" w:color="auto" w:fill="auto"/>
            <w:vAlign w:val="center"/>
          </w:tcPr>
          <w:p w14:paraId="6D8E2800" w14:textId="77777777" w:rsidR="002850C6" w:rsidRPr="002850C6" w:rsidRDefault="002850C6" w:rsidP="002850C6">
            <w:pPr>
              <w:jc w:val="center"/>
              <w:rPr>
                <w:noProof/>
                <w:sz w:val="18"/>
                <w:szCs w:val="18"/>
              </w:rPr>
            </w:pPr>
            <w:r w:rsidRPr="002850C6">
              <w:rPr>
                <w:noProof/>
                <w:sz w:val="18"/>
              </w:rPr>
              <w:t>Coût</w:t>
            </w:r>
          </w:p>
        </w:tc>
        <w:tc>
          <w:tcPr>
            <w:tcW w:w="540" w:type="dxa"/>
            <w:tcBorders>
              <w:right w:val="dashSmallGap" w:sz="4" w:space="0" w:color="auto"/>
            </w:tcBorders>
            <w:shd w:val="pct10" w:color="auto" w:fill="auto"/>
            <w:textDirection w:val="btLr"/>
            <w:vAlign w:val="center"/>
          </w:tcPr>
          <w:p w14:paraId="01A18A3B" w14:textId="77777777" w:rsidR="002850C6" w:rsidRPr="002850C6" w:rsidRDefault="002850C6" w:rsidP="002850C6">
            <w:pPr>
              <w:ind w:left="113" w:right="113"/>
              <w:jc w:val="center"/>
              <w:rPr>
                <w:noProof/>
                <w:sz w:val="18"/>
                <w:szCs w:val="18"/>
              </w:rPr>
            </w:pPr>
            <w:r w:rsidRPr="002850C6">
              <w:rPr>
                <w:noProof/>
                <w:sz w:val="18"/>
              </w:rPr>
              <w:t>Nbre</w:t>
            </w:r>
          </w:p>
        </w:tc>
        <w:tc>
          <w:tcPr>
            <w:tcW w:w="720" w:type="dxa"/>
            <w:tcBorders>
              <w:left w:val="dashSmallGap" w:sz="4" w:space="0" w:color="auto"/>
            </w:tcBorders>
            <w:shd w:val="pct10" w:color="auto" w:fill="auto"/>
            <w:vAlign w:val="center"/>
          </w:tcPr>
          <w:p w14:paraId="2D40A139" w14:textId="77777777" w:rsidR="002850C6" w:rsidRPr="002850C6" w:rsidRDefault="002850C6" w:rsidP="002850C6">
            <w:pPr>
              <w:jc w:val="center"/>
              <w:rPr>
                <w:noProof/>
                <w:sz w:val="18"/>
                <w:szCs w:val="18"/>
              </w:rPr>
            </w:pPr>
            <w:r w:rsidRPr="002850C6">
              <w:rPr>
                <w:noProof/>
                <w:sz w:val="18"/>
              </w:rPr>
              <w:t>Coût</w:t>
            </w:r>
          </w:p>
        </w:tc>
        <w:tc>
          <w:tcPr>
            <w:tcW w:w="720" w:type="dxa"/>
            <w:tcBorders>
              <w:right w:val="dashSmallGap" w:sz="4" w:space="0" w:color="auto"/>
            </w:tcBorders>
            <w:shd w:val="pct10" w:color="auto" w:fill="auto"/>
            <w:vAlign w:val="center"/>
          </w:tcPr>
          <w:p w14:paraId="2375CC7F" w14:textId="77777777" w:rsidR="002850C6" w:rsidRPr="002850C6" w:rsidRDefault="002850C6" w:rsidP="002850C6">
            <w:pPr>
              <w:jc w:val="center"/>
              <w:rPr>
                <w:noProof/>
                <w:sz w:val="18"/>
                <w:szCs w:val="18"/>
              </w:rPr>
            </w:pPr>
            <w:r w:rsidRPr="002850C6">
              <w:rPr>
                <w:noProof/>
                <w:sz w:val="18"/>
              </w:rPr>
              <w:t>Nbre total</w:t>
            </w:r>
          </w:p>
        </w:tc>
        <w:tc>
          <w:tcPr>
            <w:tcW w:w="900" w:type="dxa"/>
            <w:tcBorders>
              <w:left w:val="dashSmallGap" w:sz="4" w:space="0" w:color="auto"/>
            </w:tcBorders>
            <w:shd w:val="pct10" w:color="auto" w:fill="auto"/>
            <w:vAlign w:val="center"/>
          </w:tcPr>
          <w:p w14:paraId="7932D95F" w14:textId="77777777" w:rsidR="002850C6" w:rsidRPr="002850C6" w:rsidRDefault="002850C6" w:rsidP="002850C6">
            <w:pPr>
              <w:jc w:val="center"/>
              <w:rPr>
                <w:noProof/>
                <w:sz w:val="18"/>
                <w:szCs w:val="18"/>
              </w:rPr>
            </w:pPr>
            <w:r w:rsidRPr="002850C6">
              <w:rPr>
                <w:noProof/>
                <w:sz w:val="18"/>
              </w:rPr>
              <w:t>Coût total</w:t>
            </w:r>
          </w:p>
        </w:tc>
      </w:tr>
      <w:tr w:rsidR="002850C6" w:rsidRPr="002850C6" w14:paraId="3566086D" w14:textId="77777777" w:rsidTr="0043630B">
        <w:trPr>
          <w:jc w:val="center"/>
        </w:trPr>
        <w:tc>
          <w:tcPr>
            <w:tcW w:w="2844" w:type="dxa"/>
            <w:gridSpan w:val="3"/>
            <w:vAlign w:val="center"/>
          </w:tcPr>
          <w:p w14:paraId="1688789D" w14:textId="77777777" w:rsidR="002850C6" w:rsidRPr="002850C6" w:rsidRDefault="002850C6" w:rsidP="002850C6">
            <w:pPr>
              <w:spacing w:before="60" w:after="60"/>
              <w:ind w:right="-29"/>
              <w:jc w:val="center"/>
              <w:rPr>
                <w:noProof/>
                <w:sz w:val="18"/>
                <w:szCs w:val="18"/>
              </w:rPr>
            </w:pPr>
            <w:r w:rsidRPr="002850C6">
              <w:rPr>
                <w:noProof/>
                <w:sz w:val="18"/>
              </w:rPr>
              <w:t>OBJECTIF SPÉCIFIQUE nº 1</w:t>
            </w:r>
            <w:r w:rsidRPr="008F47E2">
              <w:rPr>
                <w:rStyle w:val="FootnoteReference"/>
                <w:noProof/>
              </w:rPr>
              <w:footnoteReference w:id="65"/>
            </w:r>
            <w:r w:rsidRPr="002850C6">
              <w:rPr>
                <w:noProof/>
                <w:sz w:val="18"/>
              </w:rPr>
              <w:t>...</w:t>
            </w:r>
          </w:p>
        </w:tc>
        <w:tc>
          <w:tcPr>
            <w:tcW w:w="504" w:type="dxa"/>
            <w:tcBorders>
              <w:top w:val="nil"/>
              <w:left w:val="nil"/>
              <w:bottom w:val="nil"/>
              <w:right w:val="nil"/>
            </w:tcBorders>
          </w:tcPr>
          <w:p w14:paraId="0C87E65F"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549D7AFD" w14:textId="77777777" w:rsidR="002850C6" w:rsidRPr="002850C6" w:rsidRDefault="002850C6" w:rsidP="002850C6">
            <w:pPr>
              <w:spacing w:before="60" w:after="60"/>
              <w:ind w:right="-29"/>
              <w:jc w:val="center"/>
              <w:rPr>
                <w:noProof/>
                <w:sz w:val="18"/>
                <w:szCs w:val="18"/>
              </w:rPr>
            </w:pPr>
          </w:p>
        </w:tc>
        <w:tc>
          <w:tcPr>
            <w:tcW w:w="540" w:type="dxa"/>
            <w:tcBorders>
              <w:top w:val="nil"/>
              <w:left w:val="nil"/>
              <w:bottom w:val="nil"/>
              <w:right w:val="nil"/>
            </w:tcBorders>
          </w:tcPr>
          <w:p w14:paraId="388429C1"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4142B5E4"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3748D16F"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7F974E7C" w14:textId="77777777" w:rsidR="002850C6" w:rsidRPr="002850C6" w:rsidRDefault="002850C6" w:rsidP="002850C6">
            <w:pPr>
              <w:spacing w:before="60" w:after="60"/>
              <w:ind w:right="-29"/>
              <w:jc w:val="center"/>
              <w:rPr>
                <w:noProof/>
                <w:sz w:val="18"/>
                <w:szCs w:val="18"/>
              </w:rPr>
            </w:pPr>
          </w:p>
        </w:tc>
        <w:tc>
          <w:tcPr>
            <w:tcW w:w="900" w:type="dxa"/>
            <w:gridSpan w:val="2"/>
            <w:tcBorders>
              <w:top w:val="nil"/>
              <w:left w:val="nil"/>
              <w:bottom w:val="nil"/>
              <w:right w:val="nil"/>
            </w:tcBorders>
          </w:tcPr>
          <w:p w14:paraId="6AAAEFF8"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3AC4DFED" w14:textId="77777777" w:rsidR="002850C6" w:rsidRPr="002850C6" w:rsidRDefault="002850C6" w:rsidP="002850C6">
            <w:pPr>
              <w:spacing w:before="60" w:after="60"/>
              <w:ind w:right="-29"/>
              <w:jc w:val="center"/>
              <w:rPr>
                <w:noProof/>
                <w:sz w:val="18"/>
                <w:szCs w:val="18"/>
              </w:rPr>
            </w:pPr>
          </w:p>
        </w:tc>
        <w:tc>
          <w:tcPr>
            <w:tcW w:w="540" w:type="dxa"/>
            <w:tcBorders>
              <w:top w:val="nil"/>
              <w:left w:val="nil"/>
              <w:bottom w:val="nil"/>
              <w:right w:val="nil"/>
            </w:tcBorders>
          </w:tcPr>
          <w:p w14:paraId="2DCF50FA" w14:textId="77777777" w:rsidR="002850C6" w:rsidRPr="002850C6" w:rsidRDefault="002850C6" w:rsidP="002850C6">
            <w:pPr>
              <w:spacing w:before="60" w:after="60"/>
              <w:ind w:right="-29"/>
              <w:jc w:val="center"/>
              <w:rPr>
                <w:noProof/>
                <w:sz w:val="18"/>
                <w:szCs w:val="18"/>
              </w:rPr>
            </w:pPr>
          </w:p>
        </w:tc>
        <w:tc>
          <w:tcPr>
            <w:tcW w:w="648" w:type="dxa"/>
            <w:tcBorders>
              <w:top w:val="nil"/>
              <w:left w:val="nil"/>
              <w:bottom w:val="nil"/>
              <w:right w:val="nil"/>
            </w:tcBorders>
          </w:tcPr>
          <w:p w14:paraId="05626469" w14:textId="77777777" w:rsidR="002850C6" w:rsidRPr="002850C6" w:rsidRDefault="002850C6" w:rsidP="002850C6">
            <w:pPr>
              <w:spacing w:before="60" w:after="60"/>
              <w:ind w:right="-29"/>
              <w:jc w:val="center"/>
              <w:rPr>
                <w:noProof/>
                <w:sz w:val="18"/>
                <w:szCs w:val="18"/>
              </w:rPr>
            </w:pPr>
          </w:p>
        </w:tc>
        <w:tc>
          <w:tcPr>
            <w:tcW w:w="432" w:type="dxa"/>
            <w:tcBorders>
              <w:top w:val="nil"/>
              <w:left w:val="nil"/>
              <w:bottom w:val="nil"/>
              <w:right w:val="nil"/>
            </w:tcBorders>
          </w:tcPr>
          <w:p w14:paraId="2AB2BE9A"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2646E51A" w14:textId="77777777" w:rsidR="002850C6" w:rsidRPr="002850C6" w:rsidRDefault="002850C6" w:rsidP="002850C6">
            <w:pPr>
              <w:spacing w:before="60" w:after="60"/>
              <w:ind w:right="-29"/>
              <w:jc w:val="center"/>
              <w:rPr>
                <w:noProof/>
                <w:sz w:val="18"/>
                <w:szCs w:val="18"/>
              </w:rPr>
            </w:pPr>
          </w:p>
        </w:tc>
        <w:tc>
          <w:tcPr>
            <w:tcW w:w="540" w:type="dxa"/>
            <w:tcBorders>
              <w:top w:val="nil"/>
              <w:left w:val="nil"/>
              <w:bottom w:val="nil"/>
              <w:right w:val="nil"/>
            </w:tcBorders>
          </w:tcPr>
          <w:p w14:paraId="08CFD10B"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2793481F"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58429EC8" w14:textId="77777777" w:rsidR="002850C6" w:rsidRPr="002850C6" w:rsidRDefault="002850C6" w:rsidP="002850C6">
            <w:pPr>
              <w:spacing w:before="60" w:after="60"/>
              <w:ind w:right="-29"/>
              <w:jc w:val="center"/>
              <w:rPr>
                <w:noProof/>
                <w:sz w:val="18"/>
                <w:szCs w:val="18"/>
              </w:rPr>
            </w:pPr>
          </w:p>
        </w:tc>
        <w:tc>
          <w:tcPr>
            <w:tcW w:w="900" w:type="dxa"/>
            <w:tcBorders>
              <w:top w:val="nil"/>
              <w:left w:val="nil"/>
              <w:bottom w:val="nil"/>
              <w:right w:val="nil"/>
            </w:tcBorders>
          </w:tcPr>
          <w:p w14:paraId="0ED2507A" w14:textId="77777777" w:rsidR="002850C6" w:rsidRPr="002850C6" w:rsidRDefault="002850C6" w:rsidP="002850C6">
            <w:pPr>
              <w:spacing w:before="60" w:after="60"/>
              <w:ind w:right="-29"/>
              <w:jc w:val="center"/>
              <w:rPr>
                <w:noProof/>
                <w:sz w:val="18"/>
                <w:szCs w:val="18"/>
              </w:rPr>
            </w:pPr>
          </w:p>
        </w:tc>
      </w:tr>
      <w:tr w:rsidR="002850C6" w:rsidRPr="002850C6" w14:paraId="331988DF" w14:textId="77777777" w:rsidTr="0043630B">
        <w:trPr>
          <w:trHeight w:hRule="exact" w:val="369"/>
          <w:jc w:val="center"/>
        </w:trPr>
        <w:tc>
          <w:tcPr>
            <w:tcW w:w="1423" w:type="dxa"/>
          </w:tcPr>
          <w:p w14:paraId="265E089A" w14:textId="77777777" w:rsidR="002850C6" w:rsidRPr="002850C6" w:rsidRDefault="002850C6" w:rsidP="002850C6">
            <w:pPr>
              <w:ind w:right="-29"/>
              <w:jc w:val="center"/>
              <w:rPr>
                <w:noProof/>
                <w:sz w:val="18"/>
                <w:szCs w:val="18"/>
              </w:rPr>
            </w:pPr>
            <w:r w:rsidRPr="002850C6">
              <w:rPr>
                <w:noProof/>
                <w:sz w:val="18"/>
              </w:rPr>
              <w:t>- Réalisation</w:t>
            </w:r>
          </w:p>
        </w:tc>
        <w:tc>
          <w:tcPr>
            <w:tcW w:w="720" w:type="dxa"/>
          </w:tcPr>
          <w:p w14:paraId="007CCEF8" w14:textId="77777777" w:rsidR="002850C6" w:rsidRPr="002850C6" w:rsidRDefault="002850C6" w:rsidP="002850C6">
            <w:pPr>
              <w:ind w:right="-29"/>
              <w:jc w:val="center"/>
              <w:rPr>
                <w:noProof/>
                <w:sz w:val="18"/>
                <w:szCs w:val="18"/>
              </w:rPr>
            </w:pPr>
          </w:p>
        </w:tc>
        <w:tc>
          <w:tcPr>
            <w:tcW w:w="701" w:type="dxa"/>
          </w:tcPr>
          <w:p w14:paraId="4F1CBD76" w14:textId="77777777" w:rsidR="002850C6" w:rsidRPr="002850C6" w:rsidRDefault="002850C6" w:rsidP="002850C6">
            <w:pPr>
              <w:ind w:right="-29"/>
              <w:jc w:val="center"/>
              <w:rPr>
                <w:noProof/>
                <w:sz w:val="18"/>
                <w:szCs w:val="18"/>
              </w:rPr>
            </w:pPr>
          </w:p>
        </w:tc>
        <w:tc>
          <w:tcPr>
            <w:tcW w:w="504" w:type="dxa"/>
            <w:tcBorders>
              <w:right w:val="dashSmallGap" w:sz="4" w:space="0" w:color="auto"/>
            </w:tcBorders>
          </w:tcPr>
          <w:p w14:paraId="1C9D28A5"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542CF98A" w14:textId="77777777" w:rsidR="002850C6" w:rsidRPr="002850C6" w:rsidRDefault="002850C6" w:rsidP="002850C6">
            <w:pPr>
              <w:ind w:right="-29"/>
              <w:jc w:val="center"/>
              <w:rPr>
                <w:noProof/>
                <w:sz w:val="18"/>
                <w:szCs w:val="18"/>
              </w:rPr>
            </w:pPr>
          </w:p>
        </w:tc>
        <w:tc>
          <w:tcPr>
            <w:tcW w:w="540" w:type="dxa"/>
            <w:tcBorders>
              <w:right w:val="dashSmallGap" w:sz="4" w:space="0" w:color="auto"/>
            </w:tcBorders>
          </w:tcPr>
          <w:p w14:paraId="5C6DF46E"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0146FCE0" w14:textId="77777777" w:rsidR="002850C6" w:rsidRPr="002850C6" w:rsidRDefault="002850C6" w:rsidP="002850C6">
            <w:pPr>
              <w:ind w:right="-29"/>
              <w:jc w:val="center"/>
              <w:rPr>
                <w:noProof/>
                <w:sz w:val="18"/>
                <w:szCs w:val="18"/>
              </w:rPr>
            </w:pPr>
          </w:p>
        </w:tc>
        <w:tc>
          <w:tcPr>
            <w:tcW w:w="720" w:type="dxa"/>
            <w:tcBorders>
              <w:right w:val="dashSmallGap" w:sz="4" w:space="0" w:color="auto"/>
            </w:tcBorders>
          </w:tcPr>
          <w:p w14:paraId="1B5FD9D8"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4734FD59" w14:textId="77777777" w:rsidR="002850C6" w:rsidRPr="002850C6" w:rsidRDefault="002850C6" w:rsidP="002850C6">
            <w:pPr>
              <w:ind w:right="-29"/>
              <w:jc w:val="center"/>
              <w:rPr>
                <w:noProof/>
                <w:sz w:val="18"/>
                <w:szCs w:val="18"/>
              </w:rPr>
            </w:pPr>
          </w:p>
        </w:tc>
        <w:tc>
          <w:tcPr>
            <w:tcW w:w="900" w:type="dxa"/>
            <w:gridSpan w:val="2"/>
            <w:tcBorders>
              <w:right w:val="dashSmallGap" w:sz="4" w:space="0" w:color="auto"/>
            </w:tcBorders>
          </w:tcPr>
          <w:p w14:paraId="56E8286B"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23637461" w14:textId="77777777" w:rsidR="002850C6" w:rsidRPr="002850C6" w:rsidRDefault="002850C6" w:rsidP="002850C6">
            <w:pPr>
              <w:ind w:right="-29"/>
              <w:jc w:val="center"/>
              <w:rPr>
                <w:noProof/>
                <w:sz w:val="18"/>
                <w:szCs w:val="18"/>
              </w:rPr>
            </w:pPr>
          </w:p>
        </w:tc>
        <w:tc>
          <w:tcPr>
            <w:tcW w:w="540" w:type="dxa"/>
            <w:tcBorders>
              <w:right w:val="dashSmallGap" w:sz="4" w:space="0" w:color="auto"/>
            </w:tcBorders>
          </w:tcPr>
          <w:p w14:paraId="3974691B" w14:textId="77777777" w:rsidR="002850C6" w:rsidRPr="002850C6" w:rsidRDefault="002850C6" w:rsidP="002850C6">
            <w:pPr>
              <w:ind w:right="-29"/>
              <w:jc w:val="center"/>
              <w:rPr>
                <w:noProof/>
                <w:sz w:val="18"/>
                <w:szCs w:val="18"/>
              </w:rPr>
            </w:pPr>
          </w:p>
        </w:tc>
        <w:tc>
          <w:tcPr>
            <w:tcW w:w="648" w:type="dxa"/>
            <w:tcBorders>
              <w:left w:val="dashSmallGap" w:sz="4" w:space="0" w:color="auto"/>
            </w:tcBorders>
          </w:tcPr>
          <w:p w14:paraId="41F10FAB" w14:textId="77777777" w:rsidR="002850C6" w:rsidRPr="002850C6" w:rsidRDefault="002850C6" w:rsidP="002850C6">
            <w:pPr>
              <w:ind w:right="-29"/>
              <w:jc w:val="center"/>
              <w:rPr>
                <w:noProof/>
                <w:sz w:val="18"/>
                <w:szCs w:val="18"/>
              </w:rPr>
            </w:pPr>
          </w:p>
        </w:tc>
        <w:tc>
          <w:tcPr>
            <w:tcW w:w="432" w:type="dxa"/>
            <w:tcBorders>
              <w:right w:val="dashSmallGap" w:sz="4" w:space="0" w:color="auto"/>
            </w:tcBorders>
          </w:tcPr>
          <w:p w14:paraId="57F2EB50"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1D3A2DE3" w14:textId="77777777" w:rsidR="002850C6" w:rsidRPr="002850C6" w:rsidRDefault="002850C6" w:rsidP="002850C6">
            <w:pPr>
              <w:ind w:right="-29"/>
              <w:jc w:val="center"/>
              <w:rPr>
                <w:noProof/>
                <w:sz w:val="18"/>
                <w:szCs w:val="18"/>
              </w:rPr>
            </w:pPr>
          </w:p>
        </w:tc>
        <w:tc>
          <w:tcPr>
            <w:tcW w:w="540" w:type="dxa"/>
            <w:tcBorders>
              <w:right w:val="dashSmallGap" w:sz="4" w:space="0" w:color="auto"/>
            </w:tcBorders>
          </w:tcPr>
          <w:p w14:paraId="5BFF1E6D"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653F27F1" w14:textId="77777777" w:rsidR="002850C6" w:rsidRPr="002850C6" w:rsidRDefault="002850C6" w:rsidP="002850C6">
            <w:pPr>
              <w:ind w:right="-29"/>
              <w:jc w:val="center"/>
              <w:rPr>
                <w:noProof/>
                <w:sz w:val="18"/>
                <w:szCs w:val="18"/>
              </w:rPr>
            </w:pPr>
          </w:p>
        </w:tc>
        <w:tc>
          <w:tcPr>
            <w:tcW w:w="720" w:type="dxa"/>
          </w:tcPr>
          <w:p w14:paraId="42EC3B6A" w14:textId="77777777" w:rsidR="002850C6" w:rsidRPr="002850C6" w:rsidRDefault="002850C6" w:rsidP="002850C6">
            <w:pPr>
              <w:ind w:right="-29"/>
              <w:jc w:val="center"/>
              <w:rPr>
                <w:noProof/>
                <w:sz w:val="18"/>
                <w:szCs w:val="18"/>
              </w:rPr>
            </w:pPr>
          </w:p>
        </w:tc>
        <w:tc>
          <w:tcPr>
            <w:tcW w:w="900" w:type="dxa"/>
          </w:tcPr>
          <w:p w14:paraId="7BB03CCD" w14:textId="77777777" w:rsidR="002850C6" w:rsidRPr="002850C6" w:rsidRDefault="002850C6" w:rsidP="002850C6">
            <w:pPr>
              <w:ind w:right="-29"/>
              <w:jc w:val="center"/>
              <w:rPr>
                <w:noProof/>
                <w:sz w:val="18"/>
                <w:szCs w:val="18"/>
              </w:rPr>
            </w:pPr>
          </w:p>
        </w:tc>
      </w:tr>
      <w:tr w:rsidR="002850C6" w:rsidRPr="002850C6" w14:paraId="38943391" w14:textId="77777777" w:rsidTr="0043630B">
        <w:trPr>
          <w:trHeight w:hRule="exact" w:val="369"/>
          <w:jc w:val="center"/>
        </w:trPr>
        <w:tc>
          <w:tcPr>
            <w:tcW w:w="1423" w:type="dxa"/>
          </w:tcPr>
          <w:p w14:paraId="75A4AB59" w14:textId="77777777" w:rsidR="002850C6" w:rsidRPr="002850C6" w:rsidRDefault="002850C6" w:rsidP="002850C6">
            <w:pPr>
              <w:ind w:right="-29"/>
              <w:jc w:val="center"/>
              <w:rPr>
                <w:noProof/>
                <w:sz w:val="18"/>
                <w:szCs w:val="18"/>
              </w:rPr>
            </w:pPr>
            <w:r w:rsidRPr="002850C6">
              <w:rPr>
                <w:noProof/>
                <w:sz w:val="18"/>
              </w:rPr>
              <w:t>- Réalisation</w:t>
            </w:r>
          </w:p>
        </w:tc>
        <w:tc>
          <w:tcPr>
            <w:tcW w:w="720" w:type="dxa"/>
          </w:tcPr>
          <w:p w14:paraId="494E7B74" w14:textId="77777777" w:rsidR="002850C6" w:rsidRPr="002850C6" w:rsidRDefault="002850C6" w:rsidP="002850C6">
            <w:pPr>
              <w:ind w:right="-29"/>
              <w:jc w:val="center"/>
              <w:rPr>
                <w:noProof/>
                <w:sz w:val="18"/>
                <w:szCs w:val="18"/>
              </w:rPr>
            </w:pPr>
          </w:p>
        </w:tc>
        <w:tc>
          <w:tcPr>
            <w:tcW w:w="701" w:type="dxa"/>
          </w:tcPr>
          <w:p w14:paraId="62E2F05F" w14:textId="77777777" w:rsidR="002850C6" w:rsidRPr="002850C6" w:rsidRDefault="002850C6" w:rsidP="002850C6">
            <w:pPr>
              <w:ind w:right="-29"/>
              <w:jc w:val="center"/>
              <w:rPr>
                <w:noProof/>
                <w:sz w:val="18"/>
                <w:szCs w:val="18"/>
              </w:rPr>
            </w:pPr>
          </w:p>
        </w:tc>
        <w:tc>
          <w:tcPr>
            <w:tcW w:w="504" w:type="dxa"/>
            <w:tcBorders>
              <w:right w:val="dashSmallGap" w:sz="4" w:space="0" w:color="auto"/>
            </w:tcBorders>
          </w:tcPr>
          <w:p w14:paraId="372C678B"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3D8D2314" w14:textId="77777777" w:rsidR="002850C6" w:rsidRPr="002850C6" w:rsidRDefault="002850C6" w:rsidP="002850C6">
            <w:pPr>
              <w:ind w:right="-29"/>
              <w:jc w:val="center"/>
              <w:rPr>
                <w:noProof/>
                <w:sz w:val="18"/>
                <w:szCs w:val="18"/>
              </w:rPr>
            </w:pPr>
          </w:p>
        </w:tc>
        <w:tc>
          <w:tcPr>
            <w:tcW w:w="540" w:type="dxa"/>
            <w:tcBorders>
              <w:right w:val="dashSmallGap" w:sz="4" w:space="0" w:color="auto"/>
            </w:tcBorders>
          </w:tcPr>
          <w:p w14:paraId="6A877919"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6A3DB52E" w14:textId="77777777" w:rsidR="002850C6" w:rsidRPr="002850C6" w:rsidRDefault="002850C6" w:rsidP="002850C6">
            <w:pPr>
              <w:ind w:right="-29"/>
              <w:jc w:val="center"/>
              <w:rPr>
                <w:noProof/>
                <w:sz w:val="18"/>
                <w:szCs w:val="18"/>
              </w:rPr>
            </w:pPr>
          </w:p>
        </w:tc>
        <w:tc>
          <w:tcPr>
            <w:tcW w:w="720" w:type="dxa"/>
            <w:tcBorders>
              <w:right w:val="dashSmallGap" w:sz="4" w:space="0" w:color="auto"/>
            </w:tcBorders>
          </w:tcPr>
          <w:p w14:paraId="5C5CA4A3"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6924F5E0" w14:textId="77777777" w:rsidR="002850C6" w:rsidRPr="002850C6" w:rsidRDefault="002850C6" w:rsidP="002850C6">
            <w:pPr>
              <w:ind w:right="-29"/>
              <w:jc w:val="center"/>
              <w:rPr>
                <w:noProof/>
                <w:sz w:val="18"/>
                <w:szCs w:val="18"/>
              </w:rPr>
            </w:pPr>
          </w:p>
        </w:tc>
        <w:tc>
          <w:tcPr>
            <w:tcW w:w="900" w:type="dxa"/>
            <w:gridSpan w:val="2"/>
            <w:tcBorders>
              <w:right w:val="dashSmallGap" w:sz="4" w:space="0" w:color="auto"/>
            </w:tcBorders>
          </w:tcPr>
          <w:p w14:paraId="49F98B75"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0567F5BA" w14:textId="77777777" w:rsidR="002850C6" w:rsidRPr="002850C6" w:rsidRDefault="002850C6" w:rsidP="002850C6">
            <w:pPr>
              <w:ind w:right="-29"/>
              <w:jc w:val="center"/>
              <w:rPr>
                <w:noProof/>
                <w:sz w:val="18"/>
                <w:szCs w:val="18"/>
              </w:rPr>
            </w:pPr>
          </w:p>
        </w:tc>
        <w:tc>
          <w:tcPr>
            <w:tcW w:w="540" w:type="dxa"/>
            <w:tcBorders>
              <w:right w:val="dashSmallGap" w:sz="4" w:space="0" w:color="auto"/>
            </w:tcBorders>
          </w:tcPr>
          <w:p w14:paraId="004A9B78" w14:textId="77777777" w:rsidR="002850C6" w:rsidRPr="002850C6" w:rsidRDefault="002850C6" w:rsidP="002850C6">
            <w:pPr>
              <w:ind w:right="-29"/>
              <w:jc w:val="center"/>
              <w:rPr>
                <w:noProof/>
                <w:sz w:val="18"/>
                <w:szCs w:val="18"/>
              </w:rPr>
            </w:pPr>
          </w:p>
        </w:tc>
        <w:tc>
          <w:tcPr>
            <w:tcW w:w="648" w:type="dxa"/>
            <w:tcBorders>
              <w:left w:val="dashSmallGap" w:sz="4" w:space="0" w:color="auto"/>
            </w:tcBorders>
          </w:tcPr>
          <w:p w14:paraId="493AF53A" w14:textId="77777777" w:rsidR="002850C6" w:rsidRPr="002850C6" w:rsidRDefault="002850C6" w:rsidP="002850C6">
            <w:pPr>
              <w:ind w:right="-29"/>
              <w:jc w:val="center"/>
              <w:rPr>
                <w:noProof/>
                <w:sz w:val="18"/>
                <w:szCs w:val="18"/>
              </w:rPr>
            </w:pPr>
          </w:p>
        </w:tc>
        <w:tc>
          <w:tcPr>
            <w:tcW w:w="432" w:type="dxa"/>
            <w:tcBorders>
              <w:right w:val="dashSmallGap" w:sz="4" w:space="0" w:color="auto"/>
            </w:tcBorders>
          </w:tcPr>
          <w:p w14:paraId="75DE9978"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77B2924B" w14:textId="77777777" w:rsidR="002850C6" w:rsidRPr="002850C6" w:rsidRDefault="002850C6" w:rsidP="002850C6">
            <w:pPr>
              <w:ind w:right="-29"/>
              <w:jc w:val="center"/>
              <w:rPr>
                <w:noProof/>
                <w:sz w:val="18"/>
                <w:szCs w:val="18"/>
              </w:rPr>
            </w:pPr>
          </w:p>
        </w:tc>
        <w:tc>
          <w:tcPr>
            <w:tcW w:w="540" w:type="dxa"/>
            <w:tcBorders>
              <w:right w:val="dashSmallGap" w:sz="4" w:space="0" w:color="auto"/>
            </w:tcBorders>
          </w:tcPr>
          <w:p w14:paraId="18A33146" w14:textId="77777777" w:rsidR="002850C6" w:rsidRPr="002850C6" w:rsidRDefault="002850C6" w:rsidP="002850C6">
            <w:pPr>
              <w:ind w:right="-29"/>
              <w:jc w:val="center"/>
              <w:rPr>
                <w:noProof/>
                <w:sz w:val="18"/>
                <w:szCs w:val="18"/>
              </w:rPr>
            </w:pPr>
          </w:p>
        </w:tc>
        <w:tc>
          <w:tcPr>
            <w:tcW w:w="720" w:type="dxa"/>
            <w:tcBorders>
              <w:left w:val="dashSmallGap" w:sz="4" w:space="0" w:color="auto"/>
            </w:tcBorders>
          </w:tcPr>
          <w:p w14:paraId="47A5FECE" w14:textId="77777777" w:rsidR="002850C6" w:rsidRPr="002850C6" w:rsidRDefault="002850C6" w:rsidP="002850C6">
            <w:pPr>
              <w:ind w:right="-29"/>
              <w:jc w:val="center"/>
              <w:rPr>
                <w:noProof/>
                <w:sz w:val="18"/>
                <w:szCs w:val="18"/>
              </w:rPr>
            </w:pPr>
          </w:p>
        </w:tc>
        <w:tc>
          <w:tcPr>
            <w:tcW w:w="720" w:type="dxa"/>
          </w:tcPr>
          <w:p w14:paraId="462CFD67" w14:textId="77777777" w:rsidR="002850C6" w:rsidRPr="002850C6" w:rsidRDefault="002850C6" w:rsidP="002850C6">
            <w:pPr>
              <w:ind w:right="-29"/>
              <w:jc w:val="center"/>
              <w:rPr>
                <w:noProof/>
                <w:sz w:val="18"/>
                <w:szCs w:val="18"/>
              </w:rPr>
            </w:pPr>
          </w:p>
        </w:tc>
        <w:tc>
          <w:tcPr>
            <w:tcW w:w="900" w:type="dxa"/>
          </w:tcPr>
          <w:p w14:paraId="470226B8" w14:textId="77777777" w:rsidR="002850C6" w:rsidRPr="002850C6" w:rsidRDefault="002850C6" w:rsidP="002850C6">
            <w:pPr>
              <w:ind w:right="-29"/>
              <w:jc w:val="center"/>
              <w:rPr>
                <w:noProof/>
                <w:sz w:val="18"/>
                <w:szCs w:val="18"/>
              </w:rPr>
            </w:pPr>
          </w:p>
        </w:tc>
      </w:tr>
      <w:tr w:rsidR="002850C6" w:rsidRPr="002850C6" w14:paraId="649CF053" w14:textId="77777777" w:rsidTr="0043630B">
        <w:trPr>
          <w:trHeight w:hRule="exact" w:val="369"/>
          <w:jc w:val="center"/>
        </w:trPr>
        <w:tc>
          <w:tcPr>
            <w:tcW w:w="1423" w:type="dxa"/>
          </w:tcPr>
          <w:p w14:paraId="288B0989" w14:textId="77777777" w:rsidR="002850C6" w:rsidRPr="002850C6" w:rsidRDefault="002850C6" w:rsidP="002850C6">
            <w:pPr>
              <w:ind w:right="-29"/>
              <w:jc w:val="center"/>
              <w:rPr>
                <w:noProof/>
                <w:sz w:val="18"/>
                <w:szCs w:val="18"/>
              </w:rPr>
            </w:pPr>
            <w:r w:rsidRPr="002850C6">
              <w:rPr>
                <w:noProof/>
                <w:sz w:val="18"/>
              </w:rPr>
              <w:t>- Réalisation</w:t>
            </w:r>
          </w:p>
        </w:tc>
        <w:tc>
          <w:tcPr>
            <w:tcW w:w="720" w:type="dxa"/>
          </w:tcPr>
          <w:p w14:paraId="78F987A9" w14:textId="77777777" w:rsidR="002850C6" w:rsidRPr="002850C6" w:rsidRDefault="002850C6" w:rsidP="002850C6">
            <w:pPr>
              <w:ind w:right="-29"/>
              <w:jc w:val="center"/>
              <w:rPr>
                <w:noProof/>
                <w:sz w:val="18"/>
                <w:szCs w:val="18"/>
              </w:rPr>
            </w:pPr>
          </w:p>
        </w:tc>
        <w:tc>
          <w:tcPr>
            <w:tcW w:w="701" w:type="dxa"/>
          </w:tcPr>
          <w:p w14:paraId="17D655C2" w14:textId="77777777" w:rsidR="002850C6" w:rsidRPr="002850C6" w:rsidRDefault="002850C6" w:rsidP="002850C6">
            <w:pPr>
              <w:ind w:right="-29"/>
              <w:jc w:val="center"/>
              <w:rPr>
                <w:noProof/>
                <w:sz w:val="18"/>
                <w:szCs w:val="18"/>
              </w:rPr>
            </w:pPr>
          </w:p>
        </w:tc>
        <w:tc>
          <w:tcPr>
            <w:tcW w:w="504" w:type="dxa"/>
          </w:tcPr>
          <w:p w14:paraId="14A4B498" w14:textId="77777777" w:rsidR="002850C6" w:rsidRPr="002850C6" w:rsidRDefault="002850C6" w:rsidP="002850C6">
            <w:pPr>
              <w:ind w:right="-29"/>
              <w:jc w:val="center"/>
              <w:rPr>
                <w:noProof/>
                <w:sz w:val="18"/>
                <w:szCs w:val="18"/>
              </w:rPr>
            </w:pPr>
          </w:p>
        </w:tc>
        <w:tc>
          <w:tcPr>
            <w:tcW w:w="720" w:type="dxa"/>
          </w:tcPr>
          <w:p w14:paraId="0DB0D8C7" w14:textId="77777777" w:rsidR="002850C6" w:rsidRPr="002850C6" w:rsidRDefault="002850C6" w:rsidP="002850C6">
            <w:pPr>
              <w:ind w:right="-29"/>
              <w:jc w:val="center"/>
              <w:rPr>
                <w:noProof/>
                <w:sz w:val="18"/>
                <w:szCs w:val="18"/>
              </w:rPr>
            </w:pPr>
          </w:p>
        </w:tc>
        <w:tc>
          <w:tcPr>
            <w:tcW w:w="540" w:type="dxa"/>
          </w:tcPr>
          <w:p w14:paraId="54790E8D" w14:textId="77777777" w:rsidR="002850C6" w:rsidRPr="002850C6" w:rsidRDefault="002850C6" w:rsidP="002850C6">
            <w:pPr>
              <w:ind w:right="-29"/>
              <w:jc w:val="center"/>
              <w:rPr>
                <w:noProof/>
                <w:sz w:val="18"/>
                <w:szCs w:val="18"/>
              </w:rPr>
            </w:pPr>
          </w:p>
        </w:tc>
        <w:tc>
          <w:tcPr>
            <w:tcW w:w="720" w:type="dxa"/>
          </w:tcPr>
          <w:p w14:paraId="43302345" w14:textId="77777777" w:rsidR="002850C6" w:rsidRPr="002850C6" w:rsidRDefault="002850C6" w:rsidP="002850C6">
            <w:pPr>
              <w:ind w:right="-29"/>
              <w:jc w:val="center"/>
              <w:rPr>
                <w:noProof/>
                <w:sz w:val="18"/>
                <w:szCs w:val="18"/>
              </w:rPr>
            </w:pPr>
          </w:p>
        </w:tc>
        <w:tc>
          <w:tcPr>
            <w:tcW w:w="720" w:type="dxa"/>
          </w:tcPr>
          <w:p w14:paraId="28C5E50F" w14:textId="77777777" w:rsidR="002850C6" w:rsidRPr="002850C6" w:rsidRDefault="002850C6" w:rsidP="002850C6">
            <w:pPr>
              <w:ind w:right="-29"/>
              <w:jc w:val="center"/>
              <w:rPr>
                <w:noProof/>
                <w:sz w:val="18"/>
                <w:szCs w:val="18"/>
              </w:rPr>
            </w:pPr>
          </w:p>
        </w:tc>
        <w:tc>
          <w:tcPr>
            <w:tcW w:w="720" w:type="dxa"/>
          </w:tcPr>
          <w:p w14:paraId="4AF145DE" w14:textId="77777777" w:rsidR="002850C6" w:rsidRPr="002850C6" w:rsidRDefault="002850C6" w:rsidP="002850C6">
            <w:pPr>
              <w:ind w:right="-29"/>
              <w:jc w:val="center"/>
              <w:rPr>
                <w:noProof/>
                <w:sz w:val="18"/>
                <w:szCs w:val="18"/>
              </w:rPr>
            </w:pPr>
          </w:p>
        </w:tc>
        <w:tc>
          <w:tcPr>
            <w:tcW w:w="900" w:type="dxa"/>
            <w:gridSpan w:val="2"/>
          </w:tcPr>
          <w:p w14:paraId="25123230" w14:textId="77777777" w:rsidR="002850C6" w:rsidRPr="002850C6" w:rsidRDefault="002850C6" w:rsidP="002850C6">
            <w:pPr>
              <w:ind w:right="-29"/>
              <w:jc w:val="center"/>
              <w:rPr>
                <w:noProof/>
                <w:sz w:val="18"/>
                <w:szCs w:val="18"/>
              </w:rPr>
            </w:pPr>
          </w:p>
        </w:tc>
        <w:tc>
          <w:tcPr>
            <w:tcW w:w="720" w:type="dxa"/>
          </w:tcPr>
          <w:p w14:paraId="461C1B6D" w14:textId="77777777" w:rsidR="002850C6" w:rsidRPr="002850C6" w:rsidRDefault="002850C6" w:rsidP="002850C6">
            <w:pPr>
              <w:ind w:right="-29"/>
              <w:jc w:val="center"/>
              <w:rPr>
                <w:noProof/>
                <w:sz w:val="18"/>
                <w:szCs w:val="18"/>
              </w:rPr>
            </w:pPr>
          </w:p>
        </w:tc>
        <w:tc>
          <w:tcPr>
            <w:tcW w:w="540" w:type="dxa"/>
          </w:tcPr>
          <w:p w14:paraId="3F550315" w14:textId="77777777" w:rsidR="002850C6" w:rsidRPr="002850C6" w:rsidRDefault="002850C6" w:rsidP="002850C6">
            <w:pPr>
              <w:ind w:right="-29"/>
              <w:jc w:val="center"/>
              <w:rPr>
                <w:noProof/>
                <w:sz w:val="18"/>
                <w:szCs w:val="18"/>
              </w:rPr>
            </w:pPr>
          </w:p>
        </w:tc>
        <w:tc>
          <w:tcPr>
            <w:tcW w:w="648" w:type="dxa"/>
          </w:tcPr>
          <w:p w14:paraId="3B641857" w14:textId="77777777" w:rsidR="002850C6" w:rsidRPr="002850C6" w:rsidRDefault="002850C6" w:rsidP="002850C6">
            <w:pPr>
              <w:ind w:right="-29"/>
              <w:jc w:val="center"/>
              <w:rPr>
                <w:noProof/>
                <w:sz w:val="18"/>
                <w:szCs w:val="18"/>
              </w:rPr>
            </w:pPr>
          </w:p>
        </w:tc>
        <w:tc>
          <w:tcPr>
            <w:tcW w:w="432" w:type="dxa"/>
          </w:tcPr>
          <w:p w14:paraId="0A06A809" w14:textId="77777777" w:rsidR="002850C6" w:rsidRPr="002850C6" w:rsidRDefault="002850C6" w:rsidP="002850C6">
            <w:pPr>
              <w:ind w:right="-29"/>
              <w:jc w:val="center"/>
              <w:rPr>
                <w:noProof/>
                <w:sz w:val="18"/>
                <w:szCs w:val="18"/>
              </w:rPr>
            </w:pPr>
          </w:p>
        </w:tc>
        <w:tc>
          <w:tcPr>
            <w:tcW w:w="720" w:type="dxa"/>
          </w:tcPr>
          <w:p w14:paraId="3C69205C" w14:textId="77777777" w:rsidR="002850C6" w:rsidRPr="002850C6" w:rsidRDefault="002850C6" w:rsidP="002850C6">
            <w:pPr>
              <w:ind w:right="-29"/>
              <w:jc w:val="center"/>
              <w:rPr>
                <w:noProof/>
                <w:sz w:val="18"/>
                <w:szCs w:val="18"/>
              </w:rPr>
            </w:pPr>
          </w:p>
        </w:tc>
        <w:tc>
          <w:tcPr>
            <w:tcW w:w="540" w:type="dxa"/>
          </w:tcPr>
          <w:p w14:paraId="280B4104" w14:textId="77777777" w:rsidR="002850C6" w:rsidRPr="002850C6" w:rsidRDefault="002850C6" w:rsidP="002850C6">
            <w:pPr>
              <w:ind w:right="-29"/>
              <w:jc w:val="center"/>
              <w:rPr>
                <w:noProof/>
                <w:sz w:val="18"/>
                <w:szCs w:val="18"/>
              </w:rPr>
            </w:pPr>
          </w:p>
        </w:tc>
        <w:tc>
          <w:tcPr>
            <w:tcW w:w="720" w:type="dxa"/>
          </w:tcPr>
          <w:p w14:paraId="52C9F6E4" w14:textId="77777777" w:rsidR="002850C6" w:rsidRPr="002850C6" w:rsidRDefault="002850C6" w:rsidP="002850C6">
            <w:pPr>
              <w:ind w:right="-29"/>
              <w:jc w:val="center"/>
              <w:rPr>
                <w:noProof/>
                <w:sz w:val="18"/>
                <w:szCs w:val="18"/>
              </w:rPr>
            </w:pPr>
          </w:p>
        </w:tc>
        <w:tc>
          <w:tcPr>
            <w:tcW w:w="720" w:type="dxa"/>
          </w:tcPr>
          <w:p w14:paraId="29116AC3" w14:textId="77777777" w:rsidR="002850C6" w:rsidRPr="002850C6" w:rsidRDefault="002850C6" w:rsidP="002850C6">
            <w:pPr>
              <w:ind w:right="-29"/>
              <w:jc w:val="center"/>
              <w:rPr>
                <w:noProof/>
                <w:sz w:val="18"/>
                <w:szCs w:val="18"/>
              </w:rPr>
            </w:pPr>
          </w:p>
        </w:tc>
        <w:tc>
          <w:tcPr>
            <w:tcW w:w="900" w:type="dxa"/>
          </w:tcPr>
          <w:p w14:paraId="1C397DD4" w14:textId="77777777" w:rsidR="002850C6" w:rsidRPr="002850C6" w:rsidRDefault="002850C6" w:rsidP="002850C6">
            <w:pPr>
              <w:ind w:right="-29"/>
              <w:jc w:val="center"/>
              <w:rPr>
                <w:noProof/>
                <w:sz w:val="18"/>
                <w:szCs w:val="18"/>
              </w:rPr>
            </w:pPr>
          </w:p>
        </w:tc>
      </w:tr>
      <w:tr w:rsidR="002850C6" w:rsidRPr="002850C6" w14:paraId="7077389E" w14:textId="77777777" w:rsidTr="0043630B">
        <w:trPr>
          <w:trHeight w:val="77"/>
          <w:jc w:val="center"/>
        </w:trPr>
        <w:tc>
          <w:tcPr>
            <w:tcW w:w="2844" w:type="dxa"/>
            <w:gridSpan w:val="3"/>
            <w:tcBorders>
              <w:bottom w:val="single" w:sz="12" w:space="0" w:color="auto"/>
            </w:tcBorders>
            <w:vAlign w:val="center"/>
          </w:tcPr>
          <w:p w14:paraId="73BC96D6" w14:textId="77777777" w:rsidR="002850C6" w:rsidRPr="002850C6" w:rsidRDefault="002850C6" w:rsidP="002850C6">
            <w:pPr>
              <w:ind w:right="-29"/>
              <w:jc w:val="center"/>
              <w:rPr>
                <w:noProof/>
                <w:sz w:val="18"/>
                <w:szCs w:val="18"/>
              </w:rPr>
            </w:pPr>
            <w:r w:rsidRPr="002850C6">
              <w:rPr>
                <w:noProof/>
                <w:sz w:val="18"/>
              </w:rPr>
              <w:t>Sous-total objectif spécifique nº 1</w:t>
            </w:r>
          </w:p>
        </w:tc>
        <w:tc>
          <w:tcPr>
            <w:tcW w:w="504" w:type="dxa"/>
            <w:tcBorders>
              <w:bottom w:val="single" w:sz="12" w:space="0" w:color="auto"/>
            </w:tcBorders>
          </w:tcPr>
          <w:p w14:paraId="24F38528"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2D481B49" w14:textId="77777777" w:rsidR="002850C6" w:rsidRPr="002850C6" w:rsidRDefault="002850C6" w:rsidP="002850C6">
            <w:pPr>
              <w:ind w:right="-29"/>
              <w:jc w:val="center"/>
              <w:rPr>
                <w:noProof/>
                <w:sz w:val="18"/>
                <w:szCs w:val="18"/>
              </w:rPr>
            </w:pPr>
          </w:p>
        </w:tc>
        <w:tc>
          <w:tcPr>
            <w:tcW w:w="540" w:type="dxa"/>
            <w:tcBorders>
              <w:bottom w:val="single" w:sz="12" w:space="0" w:color="auto"/>
            </w:tcBorders>
          </w:tcPr>
          <w:p w14:paraId="424B8B7F"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67336804"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3A2A5C56"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062524E4" w14:textId="77777777" w:rsidR="002850C6" w:rsidRPr="002850C6" w:rsidRDefault="002850C6" w:rsidP="002850C6">
            <w:pPr>
              <w:ind w:right="-29"/>
              <w:jc w:val="center"/>
              <w:rPr>
                <w:noProof/>
                <w:sz w:val="18"/>
                <w:szCs w:val="18"/>
              </w:rPr>
            </w:pPr>
          </w:p>
        </w:tc>
        <w:tc>
          <w:tcPr>
            <w:tcW w:w="900" w:type="dxa"/>
            <w:gridSpan w:val="2"/>
            <w:tcBorders>
              <w:bottom w:val="single" w:sz="12" w:space="0" w:color="auto"/>
            </w:tcBorders>
          </w:tcPr>
          <w:p w14:paraId="5A04E38B"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089A257D" w14:textId="77777777" w:rsidR="002850C6" w:rsidRPr="002850C6" w:rsidRDefault="002850C6" w:rsidP="002850C6">
            <w:pPr>
              <w:ind w:right="-29"/>
              <w:jc w:val="center"/>
              <w:rPr>
                <w:noProof/>
                <w:sz w:val="18"/>
                <w:szCs w:val="18"/>
              </w:rPr>
            </w:pPr>
          </w:p>
        </w:tc>
        <w:tc>
          <w:tcPr>
            <w:tcW w:w="540" w:type="dxa"/>
            <w:tcBorders>
              <w:bottom w:val="single" w:sz="12" w:space="0" w:color="auto"/>
            </w:tcBorders>
          </w:tcPr>
          <w:p w14:paraId="1C9CE5A8" w14:textId="77777777" w:rsidR="002850C6" w:rsidRPr="002850C6" w:rsidRDefault="002850C6" w:rsidP="002850C6">
            <w:pPr>
              <w:ind w:right="-29"/>
              <w:jc w:val="center"/>
              <w:rPr>
                <w:noProof/>
                <w:sz w:val="18"/>
                <w:szCs w:val="18"/>
              </w:rPr>
            </w:pPr>
          </w:p>
        </w:tc>
        <w:tc>
          <w:tcPr>
            <w:tcW w:w="648" w:type="dxa"/>
            <w:tcBorders>
              <w:bottom w:val="single" w:sz="12" w:space="0" w:color="auto"/>
            </w:tcBorders>
          </w:tcPr>
          <w:p w14:paraId="4A232F2E" w14:textId="77777777" w:rsidR="002850C6" w:rsidRPr="002850C6" w:rsidRDefault="002850C6" w:rsidP="002850C6">
            <w:pPr>
              <w:ind w:right="-29"/>
              <w:jc w:val="center"/>
              <w:rPr>
                <w:noProof/>
                <w:sz w:val="18"/>
                <w:szCs w:val="18"/>
              </w:rPr>
            </w:pPr>
          </w:p>
        </w:tc>
        <w:tc>
          <w:tcPr>
            <w:tcW w:w="432" w:type="dxa"/>
            <w:tcBorders>
              <w:bottom w:val="single" w:sz="12" w:space="0" w:color="auto"/>
            </w:tcBorders>
          </w:tcPr>
          <w:p w14:paraId="42D5C6AF"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1E3412A6" w14:textId="77777777" w:rsidR="002850C6" w:rsidRPr="002850C6" w:rsidRDefault="002850C6" w:rsidP="002850C6">
            <w:pPr>
              <w:ind w:right="-29"/>
              <w:jc w:val="center"/>
              <w:rPr>
                <w:noProof/>
                <w:sz w:val="18"/>
                <w:szCs w:val="18"/>
              </w:rPr>
            </w:pPr>
          </w:p>
        </w:tc>
        <w:tc>
          <w:tcPr>
            <w:tcW w:w="540" w:type="dxa"/>
            <w:tcBorders>
              <w:bottom w:val="single" w:sz="12" w:space="0" w:color="auto"/>
            </w:tcBorders>
          </w:tcPr>
          <w:p w14:paraId="4EBC336F"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250E0DF4"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273A214F" w14:textId="77777777" w:rsidR="002850C6" w:rsidRPr="002850C6" w:rsidRDefault="002850C6" w:rsidP="002850C6">
            <w:pPr>
              <w:ind w:right="-29"/>
              <w:jc w:val="center"/>
              <w:rPr>
                <w:noProof/>
                <w:sz w:val="18"/>
                <w:szCs w:val="18"/>
              </w:rPr>
            </w:pPr>
          </w:p>
        </w:tc>
        <w:tc>
          <w:tcPr>
            <w:tcW w:w="900" w:type="dxa"/>
            <w:tcBorders>
              <w:bottom w:val="single" w:sz="12" w:space="0" w:color="auto"/>
            </w:tcBorders>
          </w:tcPr>
          <w:p w14:paraId="7C1C9B1A" w14:textId="77777777" w:rsidR="002850C6" w:rsidRPr="002850C6" w:rsidRDefault="002850C6" w:rsidP="002850C6">
            <w:pPr>
              <w:ind w:right="-29"/>
              <w:jc w:val="center"/>
              <w:rPr>
                <w:noProof/>
                <w:sz w:val="18"/>
                <w:szCs w:val="18"/>
              </w:rPr>
            </w:pPr>
          </w:p>
        </w:tc>
      </w:tr>
      <w:tr w:rsidR="002850C6" w:rsidRPr="002850C6" w14:paraId="401DE65B" w14:textId="77777777" w:rsidTr="0043630B">
        <w:trPr>
          <w:jc w:val="center"/>
        </w:trPr>
        <w:tc>
          <w:tcPr>
            <w:tcW w:w="2844" w:type="dxa"/>
            <w:gridSpan w:val="3"/>
            <w:vAlign w:val="center"/>
          </w:tcPr>
          <w:p w14:paraId="28C3EF20" w14:textId="77777777" w:rsidR="002850C6" w:rsidRPr="002850C6" w:rsidRDefault="002850C6" w:rsidP="002850C6">
            <w:pPr>
              <w:spacing w:before="60" w:after="60"/>
              <w:ind w:right="-29"/>
              <w:jc w:val="center"/>
              <w:rPr>
                <w:noProof/>
                <w:sz w:val="18"/>
                <w:szCs w:val="18"/>
              </w:rPr>
            </w:pPr>
            <w:r w:rsidRPr="002850C6">
              <w:rPr>
                <w:noProof/>
                <w:sz w:val="18"/>
              </w:rPr>
              <w:t>OBJECTIF SPÉCIFIQUE nº 2…</w:t>
            </w:r>
          </w:p>
        </w:tc>
        <w:tc>
          <w:tcPr>
            <w:tcW w:w="504" w:type="dxa"/>
            <w:tcBorders>
              <w:top w:val="nil"/>
              <w:left w:val="nil"/>
              <w:bottom w:val="nil"/>
              <w:right w:val="nil"/>
            </w:tcBorders>
          </w:tcPr>
          <w:p w14:paraId="7FB95D7C"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05446D77" w14:textId="77777777" w:rsidR="002850C6" w:rsidRPr="002850C6" w:rsidRDefault="002850C6" w:rsidP="002850C6">
            <w:pPr>
              <w:spacing w:before="60" w:after="60"/>
              <w:ind w:right="-29"/>
              <w:jc w:val="center"/>
              <w:rPr>
                <w:noProof/>
                <w:sz w:val="18"/>
                <w:szCs w:val="18"/>
              </w:rPr>
            </w:pPr>
          </w:p>
        </w:tc>
        <w:tc>
          <w:tcPr>
            <w:tcW w:w="540" w:type="dxa"/>
            <w:tcBorders>
              <w:top w:val="nil"/>
              <w:left w:val="nil"/>
              <w:bottom w:val="nil"/>
              <w:right w:val="nil"/>
            </w:tcBorders>
          </w:tcPr>
          <w:p w14:paraId="2D2814D2"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75B384AB"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02F57FCC"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1F346956" w14:textId="77777777" w:rsidR="002850C6" w:rsidRPr="002850C6" w:rsidRDefault="002850C6" w:rsidP="002850C6">
            <w:pPr>
              <w:spacing w:before="60" w:after="60"/>
              <w:ind w:right="-29"/>
              <w:jc w:val="center"/>
              <w:rPr>
                <w:noProof/>
                <w:sz w:val="18"/>
                <w:szCs w:val="18"/>
              </w:rPr>
            </w:pPr>
          </w:p>
        </w:tc>
        <w:tc>
          <w:tcPr>
            <w:tcW w:w="900" w:type="dxa"/>
            <w:gridSpan w:val="2"/>
            <w:tcBorders>
              <w:top w:val="nil"/>
              <w:left w:val="nil"/>
              <w:bottom w:val="nil"/>
              <w:right w:val="nil"/>
            </w:tcBorders>
          </w:tcPr>
          <w:p w14:paraId="38B9D2E0"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4BDBA28E" w14:textId="77777777" w:rsidR="002850C6" w:rsidRPr="002850C6" w:rsidRDefault="002850C6" w:rsidP="002850C6">
            <w:pPr>
              <w:spacing w:before="60" w:after="60"/>
              <w:ind w:right="-29"/>
              <w:jc w:val="center"/>
              <w:rPr>
                <w:noProof/>
                <w:sz w:val="18"/>
                <w:szCs w:val="18"/>
              </w:rPr>
            </w:pPr>
          </w:p>
        </w:tc>
        <w:tc>
          <w:tcPr>
            <w:tcW w:w="540" w:type="dxa"/>
            <w:tcBorders>
              <w:top w:val="nil"/>
              <w:left w:val="nil"/>
              <w:bottom w:val="nil"/>
              <w:right w:val="nil"/>
            </w:tcBorders>
          </w:tcPr>
          <w:p w14:paraId="43F810DB" w14:textId="77777777" w:rsidR="002850C6" w:rsidRPr="002850C6" w:rsidRDefault="002850C6" w:rsidP="002850C6">
            <w:pPr>
              <w:spacing w:before="60" w:after="60"/>
              <w:ind w:right="-29"/>
              <w:jc w:val="center"/>
              <w:rPr>
                <w:noProof/>
                <w:sz w:val="18"/>
                <w:szCs w:val="18"/>
              </w:rPr>
            </w:pPr>
          </w:p>
        </w:tc>
        <w:tc>
          <w:tcPr>
            <w:tcW w:w="648" w:type="dxa"/>
            <w:tcBorders>
              <w:top w:val="nil"/>
              <w:left w:val="nil"/>
              <w:bottom w:val="nil"/>
              <w:right w:val="nil"/>
            </w:tcBorders>
          </w:tcPr>
          <w:p w14:paraId="1EAB7149" w14:textId="77777777" w:rsidR="002850C6" w:rsidRPr="002850C6" w:rsidRDefault="002850C6" w:rsidP="002850C6">
            <w:pPr>
              <w:spacing w:before="60" w:after="60"/>
              <w:ind w:right="-29"/>
              <w:jc w:val="center"/>
              <w:rPr>
                <w:noProof/>
                <w:sz w:val="18"/>
                <w:szCs w:val="18"/>
              </w:rPr>
            </w:pPr>
          </w:p>
        </w:tc>
        <w:tc>
          <w:tcPr>
            <w:tcW w:w="432" w:type="dxa"/>
            <w:tcBorders>
              <w:top w:val="nil"/>
              <w:left w:val="nil"/>
              <w:bottom w:val="nil"/>
              <w:right w:val="nil"/>
            </w:tcBorders>
          </w:tcPr>
          <w:p w14:paraId="3225BB30"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6C8AE6B8" w14:textId="77777777" w:rsidR="002850C6" w:rsidRPr="002850C6" w:rsidRDefault="002850C6" w:rsidP="002850C6">
            <w:pPr>
              <w:spacing w:before="60" w:after="60"/>
              <w:ind w:right="-29"/>
              <w:jc w:val="center"/>
              <w:rPr>
                <w:noProof/>
                <w:sz w:val="18"/>
                <w:szCs w:val="18"/>
              </w:rPr>
            </w:pPr>
          </w:p>
        </w:tc>
        <w:tc>
          <w:tcPr>
            <w:tcW w:w="540" w:type="dxa"/>
            <w:tcBorders>
              <w:top w:val="nil"/>
              <w:left w:val="nil"/>
              <w:bottom w:val="nil"/>
              <w:right w:val="nil"/>
            </w:tcBorders>
          </w:tcPr>
          <w:p w14:paraId="27C20938"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59E8843B" w14:textId="77777777" w:rsidR="002850C6" w:rsidRPr="002850C6" w:rsidRDefault="002850C6" w:rsidP="002850C6">
            <w:pPr>
              <w:spacing w:before="60" w:after="60"/>
              <w:ind w:right="-29"/>
              <w:jc w:val="center"/>
              <w:rPr>
                <w:noProof/>
                <w:sz w:val="18"/>
                <w:szCs w:val="18"/>
              </w:rPr>
            </w:pPr>
          </w:p>
        </w:tc>
        <w:tc>
          <w:tcPr>
            <w:tcW w:w="720" w:type="dxa"/>
            <w:tcBorders>
              <w:top w:val="nil"/>
              <w:left w:val="nil"/>
              <w:bottom w:val="nil"/>
              <w:right w:val="nil"/>
            </w:tcBorders>
          </w:tcPr>
          <w:p w14:paraId="4825B1EF" w14:textId="77777777" w:rsidR="002850C6" w:rsidRPr="002850C6" w:rsidRDefault="002850C6" w:rsidP="002850C6">
            <w:pPr>
              <w:spacing w:before="60" w:after="60"/>
              <w:ind w:right="-29"/>
              <w:jc w:val="center"/>
              <w:rPr>
                <w:noProof/>
                <w:sz w:val="18"/>
                <w:szCs w:val="18"/>
              </w:rPr>
            </w:pPr>
          </w:p>
        </w:tc>
        <w:tc>
          <w:tcPr>
            <w:tcW w:w="900" w:type="dxa"/>
            <w:tcBorders>
              <w:top w:val="nil"/>
              <w:left w:val="nil"/>
              <w:bottom w:val="nil"/>
              <w:right w:val="nil"/>
            </w:tcBorders>
          </w:tcPr>
          <w:p w14:paraId="69280A3E" w14:textId="77777777" w:rsidR="002850C6" w:rsidRPr="002850C6" w:rsidRDefault="002850C6" w:rsidP="002850C6">
            <w:pPr>
              <w:spacing w:before="60" w:after="60"/>
              <w:ind w:right="-29"/>
              <w:jc w:val="center"/>
              <w:rPr>
                <w:noProof/>
                <w:sz w:val="18"/>
                <w:szCs w:val="18"/>
              </w:rPr>
            </w:pPr>
          </w:p>
        </w:tc>
      </w:tr>
      <w:tr w:rsidR="002850C6" w:rsidRPr="002850C6" w14:paraId="1BA59686" w14:textId="77777777" w:rsidTr="0043630B">
        <w:trPr>
          <w:trHeight w:hRule="exact" w:val="369"/>
          <w:jc w:val="center"/>
        </w:trPr>
        <w:tc>
          <w:tcPr>
            <w:tcW w:w="1423" w:type="dxa"/>
          </w:tcPr>
          <w:p w14:paraId="561B183C" w14:textId="77777777" w:rsidR="002850C6" w:rsidRPr="002850C6" w:rsidRDefault="002850C6" w:rsidP="002850C6">
            <w:pPr>
              <w:ind w:right="-29"/>
              <w:jc w:val="center"/>
              <w:rPr>
                <w:noProof/>
                <w:sz w:val="18"/>
                <w:szCs w:val="18"/>
              </w:rPr>
            </w:pPr>
            <w:r w:rsidRPr="002850C6">
              <w:rPr>
                <w:noProof/>
                <w:sz w:val="18"/>
              </w:rPr>
              <w:t>- Réalisation</w:t>
            </w:r>
          </w:p>
        </w:tc>
        <w:tc>
          <w:tcPr>
            <w:tcW w:w="720" w:type="dxa"/>
          </w:tcPr>
          <w:p w14:paraId="687D9434" w14:textId="77777777" w:rsidR="002850C6" w:rsidRPr="002850C6" w:rsidRDefault="002850C6" w:rsidP="002850C6">
            <w:pPr>
              <w:ind w:right="-29"/>
              <w:jc w:val="center"/>
              <w:rPr>
                <w:noProof/>
                <w:sz w:val="18"/>
                <w:szCs w:val="18"/>
              </w:rPr>
            </w:pPr>
          </w:p>
        </w:tc>
        <w:tc>
          <w:tcPr>
            <w:tcW w:w="701" w:type="dxa"/>
          </w:tcPr>
          <w:p w14:paraId="34AB8A00" w14:textId="77777777" w:rsidR="002850C6" w:rsidRPr="002850C6" w:rsidRDefault="002850C6" w:rsidP="002850C6">
            <w:pPr>
              <w:ind w:right="-29"/>
              <w:jc w:val="center"/>
              <w:rPr>
                <w:noProof/>
                <w:sz w:val="18"/>
                <w:szCs w:val="18"/>
              </w:rPr>
            </w:pPr>
          </w:p>
        </w:tc>
        <w:tc>
          <w:tcPr>
            <w:tcW w:w="504" w:type="dxa"/>
          </w:tcPr>
          <w:p w14:paraId="33D9E630" w14:textId="77777777" w:rsidR="002850C6" w:rsidRPr="002850C6" w:rsidRDefault="002850C6" w:rsidP="002850C6">
            <w:pPr>
              <w:ind w:right="-29"/>
              <w:jc w:val="center"/>
              <w:rPr>
                <w:noProof/>
                <w:sz w:val="18"/>
                <w:szCs w:val="18"/>
              </w:rPr>
            </w:pPr>
          </w:p>
        </w:tc>
        <w:tc>
          <w:tcPr>
            <w:tcW w:w="720" w:type="dxa"/>
          </w:tcPr>
          <w:p w14:paraId="49607E27" w14:textId="77777777" w:rsidR="002850C6" w:rsidRPr="002850C6" w:rsidRDefault="002850C6" w:rsidP="002850C6">
            <w:pPr>
              <w:ind w:right="-29"/>
              <w:jc w:val="center"/>
              <w:rPr>
                <w:noProof/>
                <w:sz w:val="18"/>
                <w:szCs w:val="18"/>
              </w:rPr>
            </w:pPr>
          </w:p>
        </w:tc>
        <w:tc>
          <w:tcPr>
            <w:tcW w:w="540" w:type="dxa"/>
          </w:tcPr>
          <w:p w14:paraId="15D47949" w14:textId="77777777" w:rsidR="002850C6" w:rsidRPr="002850C6" w:rsidRDefault="002850C6" w:rsidP="002850C6">
            <w:pPr>
              <w:ind w:right="-29"/>
              <w:jc w:val="center"/>
              <w:rPr>
                <w:noProof/>
                <w:sz w:val="18"/>
                <w:szCs w:val="18"/>
              </w:rPr>
            </w:pPr>
          </w:p>
        </w:tc>
        <w:tc>
          <w:tcPr>
            <w:tcW w:w="720" w:type="dxa"/>
          </w:tcPr>
          <w:p w14:paraId="133D9434" w14:textId="77777777" w:rsidR="002850C6" w:rsidRPr="002850C6" w:rsidRDefault="002850C6" w:rsidP="002850C6">
            <w:pPr>
              <w:ind w:right="-29"/>
              <w:jc w:val="center"/>
              <w:rPr>
                <w:noProof/>
                <w:sz w:val="18"/>
                <w:szCs w:val="18"/>
              </w:rPr>
            </w:pPr>
          </w:p>
        </w:tc>
        <w:tc>
          <w:tcPr>
            <w:tcW w:w="720" w:type="dxa"/>
          </w:tcPr>
          <w:p w14:paraId="3C6B4896" w14:textId="77777777" w:rsidR="002850C6" w:rsidRPr="002850C6" w:rsidRDefault="002850C6" w:rsidP="002850C6">
            <w:pPr>
              <w:ind w:right="-29"/>
              <w:jc w:val="center"/>
              <w:rPr>
                <w:noProof/>
                <w:sz w:val="18"/>
                <w:szCs w:val="18"/>
              </w:rPr>
            </w:pPr>
          </w:p>
        </w:tc>
        <w:tc>
          <w:tcPr>
            <w:tcW w:w="720" w:type="dxa"/>
          </w:tcPr>
          <w:p w14:paraId="7ACC7715" w14:textId="77777777" w:rsidR="002850C6" w:rsidRPr="002850C6" w:rsidRDefault="002850C6" w:rsidP="002850C6">
            <w:pPr>
              <w:ind w:right="-29"/>
              <w:jc w:val="center"/>
              <w:rPr>
                <w:noProof/>
                <w:sz w:val="18"/>
                <w:szCs w:val="18"/>
              </w:rPr>
            </w:pPr>
          </w:p>
        </w:tc>
        <w:tc>
          <w:tcPr>
            <w:tcW w:w="900" w:type="dxa"/>
            <w:gridSpan w:val="2"/>
          </w:tcPr>
          <w:p w14:paraId="1101639B" w14:textId="77777777" w:rsidR="002850C6" w:rsidRPr="002850C6" w:rsidRDefault="002850C6" w:rsidP="002850C6">
            <w:pPr>
              <w:ind w:right="-29"/>
              <w:jc w:val="center"/>
              <w:rPr>
                <w:noProof/>
                <w:sz w:val="18"/>
                <w:szCs w:val="18"/>
              </w:rPr>
            </w:pPr>
          </w:p>
        </w:tc>
        <w:tc>
          <w:tcPr>
            <w:tcW w:w="720" w:type="dxa"/>
          </w:tcPr>
          <w:p w14:paraId="7D56F843" w14:textId="77777777" w:rsidR="002850C6" w:rsidRPr="002850C6" w:rsidRDefault="002850C6" w:rsidP="002850C6">
            <w:pPr>
              <w:ind w:right="-29"/>
              <w:jc w:val="center"/>
              <w:rPr>
                <w:noProof/>
                <w:sz w:val="18"/>
                <w:szCs w:val="18"/>
              </w:rPr>
            </w:pPr>
          </w:p>
        </w:tc>
        <w:tc>
          <w:tcPr>
            <w:tcW w:w="540" w:type="dxa"/>
          </w:tcPr>
          <w:p w14:paraId="0C7F2312" w14:textId="77777777" w:rsidR="002850C6" w:rsidRPr="002850C6" w:rsidRDefault="002850C6" w:rsidP="002850C6">
            <w:pPr>
              <w:ind w:right="-29"/>
              <w:jc w:val="center"/>
              <w:rPr>
                <w:noProof/>
                <w:sz w:val="18"/>
                <w:szCs w:val="18"/>
              </w:rPr>
            </w:pPr>
          </w:p>
        </w:tc>
        <w:tc>
          <w:tcPr>
            <w:tcW w:w="648" w:type="dxa"/>
          </w:tcPr>
          <w:p w14:paraId="04711F6B" w14:textId="77777777" w:rsidR="002850C6" w:rsidRPr="002850C6" w:rsidRDefault="002850C6" w:rsidP="002850C6">
            <w:pPr>
              <w:ind w:right="-29"/>
              <w:jc w:val="center"/>
              <w:rPr>
                <w:noProof/>
                <w:sz w:val="18"/>
                <w:szCs w:val="18"/>
              </w:rPr>
            </w:pPr>
          </w:p>
        </w:tc>
        <w:tc>
          <w:tcPr>
            <w:tcW w:w="432" w:type="dxa"/>
          </w:tcPr>
          <w:p w14:paraId="02CEEFFE" w14:textId="77777777" w:rsidR="002850C6" w:rsidRPr="002850C6" w:rsidRDefault="002850C6" w:rsidP="002850C6">
            <w:pPr>
              <w:ind w:right="-29"/>
              <w:jc w:val="center"/>
              <w:rPr>
                <w:noProof/>
                <w:sz w:val="18"/>
                <w:szCs w:val="18"/>
              </w:rPr>
            </w:pPr>
          </w:p>
        </w:tc>
        <w:tc>
          <w:tcPr>
            <w:tcW w:w="720" w:type="dxa"/>
          </w:tcPr>
          <w:p w14:paraId="57D98584" w14:textId="77777777" w:rsidR="002850C6" w:rsidRPr="002850C6" w:rsidRDefault="002850C6" w:rsidP="002850C6">
            <w:pPr>
              <w:ind w:right="-29"/>
              <w:jc w:val="center"/>
              <w:rPr>
                <w:noProof/>
                <w:sz w:val="18"/>
                <w:szCs w:val="18"/>
              </w:rPr>
            </w:pPr>
          </w:p>
        </w:tc>
        <w:tc>
          <w:tcPr>
            <w:tcW w:w="540" w:type="dxa"/>
          </w:tcPr>
          <w:p w14:paraId="4EE3F32B" w14:textId="77777777" w:rsidR="002850C6" w:rsidRPr="002850C6" w:rsidRDefault="002850C6" w:rsidP="002850C6">
            <w:pPr>
              <w:ind w:right="-29"/>
              <w:jc w:val="center"/>
              <w:rPr>
                <w:noProof/>
                <w:sz w:val="18"/>
                <w:szCs w:val="18"/>
              </w:rPr>
            </w:pPr>
          </w:p>
        </w:tc>
        <w:tc>
          <w:tcPr>
            <w:tcW w:w="720" w:type="dxa"/>
          </w:tcPr>
          <w:p w14:paraId="19F49DC7" w14:textId="77777777" w:rsidR="002850C6" w:rsidRPr="002850C6" w:rsidRDefault="002850C6" w:rsidP="002850C6">
            <w:pPr>
              <w:ind w:right="-29"/>
              <w:jc w:val="center"/>
              <w:rPr>
                <w:noProof/>
                <w:sz w:val="18"/>
                <w:szCs w:val="18"/>
              </w:rPr>
            </w:pPr>
          </w:p>
        </w:tc>
        <w:tc>
          <w:tcPr>
            <w:tcW w:w="720" w:type="dxa"/>
          </w:tcPr>
          <w:p w14:paraId="58559702" w14:textId="77777777" w:rsidR="002850C6" w:rsidRPr="002850C6" w:rsidRDefault="002850C6" w:rsidP="002850C6">
            <w:pPr>
              <w:ind w:right="-29"/>
              <w:jc w:val="center"/>
              <w:rPr>
                <w:noProof/>
                <w:sz w:val="18"/>
                <w:szCs w:val="18"/>
              </w:rPr>
            </w:pPr>
          </w:p>
        </w:tc>
        <w:tc>
          <w:tcPr>
            <w:tcW w:w="900" w:type="dxa"/>
          </w:tcPr>
          <w:p w14:paraId="668F1F03" w14:textId="77777777" w:rsidR="002850C6" w:rsidRPr="002850C6" w:rsidRDefault="002850C6" w:rsidP="002850C6">
            <w:pPr>
              <w:ind w:right="-29"/>
              <w:jc w:val="center"/>
              <w:rPr>
                <w:noProof/>
                <w:sz w:val="18"/>
                <w:szCs w:val="18"/>
              </w:rPr>
            </w:pPr>
          </w:p>
        </w:tc>
      </w:tr>
      <w:tr w:rsidR="002850C6" w:rsidRPr="002850C6" w14:paraId="0D5A03CC" w14:textId="77777777" w:rsidTr="0043630B">
        <w:trPr>
          <w:jc w:val="center"/>
        </w:trPr>
        <w:tc>
          <w:tcPr>
            <w:tcW w:w="2844" w:type="dxa"/>
            <w:gridSpan w:val="3"/>
            <w:tcBorders>
              <w:bottom w:val="single" w:sz="12" w:space="0" w:color="auto"/>
            </w:tcBorders>
            <w:vAlign w:val="center"/>
          </w:tcPr>
          <w:p w14:paraId="3A8C63C1" w14:textId="77777777" w:rsidR="002850C6" w:rsidRPr="002850C6" w:rsidRDefault="002850C6" w:rsidP="002850C6">
            <w:pPr>
              <w:jc w:val="center"/>
              <w:rPr>
                <w:noProof/>
                <w:sz w:val="18"/>
                <w:szCs w:val="18"/>
              </w:rPr>
            </w:pPr>
            <w:r w:rsidRPr="002850C6">
              <w:rPr>
                <w:noProof/>
                <w:sz w:val="18"/>
              </w:rPr>
              <w:t>Sous-total objectif spécifique nº 2</w:t>
            </w:r>
          </w:p>
        </w:tc>
        <w:tc>
          <w:tcPr>
            <w:tcW w:w="504" w:type="dxa"/>
            <w:tcBorders>
              <w:bottom w:val="single" w:sz="12" w:space="0" w:color="auto"/>
            </w:tcBorders>
          </w:tcPr>
          <w:p w14:paraId="36DBAB1F"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24408D18" w14:textId="77777777" w:rsidR="002850C6" w:rsidRPr="002850C6" w:rsidRDefault="002850C6" w:rsidP="002850C6">
            <w:pPr>
              <w:ind w:right="-29"/>
              <w:jc w:val="center"/>
              <w:rPr>
                <w:noProof/>
                <w:sz w:val="18"/>
                <w:szCs w:val="18"/>
              </w:rPr>
            </w:pPr>
          </w:p>
        </w:tc>
        <w:tc>
          <w:tcPr>
            <w:tcW w:w="540" w:type="dxa"/>
            <w:tcBorders>
              <w:bottom w:val="single" w:sz="12" w:space="0" w:color="auto"/>
            </w:tcBorders>
          </w:tcPr>
          <w:p w14:paraId="5B719A79"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303FFC1C"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21B78415"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1852DF2A" w14:textId="77777777" w:rsidR="002850C6" w:rsidRPr="002850C6" w:rsidRDefault="002850C6" w:rsidP="002850C6">
            <w:pPr>
              <w:ind w:right="-29"/>
              <w:jc w:val="center"/>
              <w:rPr>
                <w:noProof/>
                <w:sz w:val="18"/>
                <w:szCs w:val="18"/>
              </w:rPr>
            </w:pPr>
          </w:p>
        </w:tc>
        <w:tc>
          <w:tcPr>
            <w:tcW w:w="882" w:type="dxa"/>
            <w:tcBorders>
              <w:bottom w:val="single" w:sz="12" w:space="0" w:color="auto"/>
            </w:tcBorders>
          </w:tcPr>
          <w:p w14:paraId="3E481750" w14:textId="77777777" w:rsidR="002850C6" w:rsidRPr="002850C6" w:rsidRDefault="002850C6" w:rsidP="002850C6">
            <w:pPr>
              <w:ind w:right="-29"/>
              <w:jc w:val="center"/>
              <w:rPr>
                <w:noProof/>
                <w:sz w:val="18"/>
                <w:szCs w:val="18"/>
              </w:rPr>
            </w:pPr>
          </w:p>
        </w:tc>
        <w:tc>
          <w:tcPr>
            <w:tcW w:w="738" w:type="dxa"/>
            <w:gridSpan w:val="2"/>
            <w:tcBorders>
              <w:bottom w:val="single" w:sz="12" w:space="0" w:color="auto"/>
            </w:tcBorders>
          </w:tcPr>
          <w:p w14:paraId="6EB335B8" w14:textId="77777777" w:rsidR="002850C6" w:rsidRPr="002850C6" w:rsidRDefault="002850C6" w:rsidP="002850C6">
            <w:pPr>
              <w:ind w:right="-29"/>
              <w:jc w:val="center"/>
              <w:rPr>
                <w:noProof/>
                <w:sz w:val="18"/>
                <w:szCs w:val="18"/>
              </w:rPr>
            </w:pPr>
          </w:p>
        </w:tc>
        <w:tc>
          <w:tcPr>
            <w:tcW w:w="540" w:type="dxa"/>
            <w:tcBorders>
              <w:bottom w:val="single" w:sz="12" w:space="0" w:color="auto"/>
            </w:tcBorders>
          </w:tcPr>
          <w:p w14:paraId="6C20D5FE" w14:textId="77777777" w:rsidR="002850C6" w:rsidRPr="002850C6" w:rsidRDefault="002850C6" w:rsidP="002850C6">
            <w:pPr>
              <w:ind w:right="-29"/>
              <w:jc w:val="center"/>
              <w:rPr>
                <w:noProof/>
                <w:sz w:val="18"/>
                <w:szCs w:val="18"/>
              </w:rPr>
            </w:pPr>
          </w:p>
        </w:tc>
        <w:tc>
          <w:tcPr>
            <w:tcW w:w="648" w:type="dxa"/>
            <w:tcBorders>
              <w:bottom w:val="single" w:sz="12" w:space="0" w:color="auto"/>
            </w:tcBorders>
          </w:tcPr>
          <w:p w14:paraId="42BE5EBE" w14:textId="77777777" w:rsidR="002850C6" w:rsidRPr="002850C6" w:rsidRDefault="002850C6" w:rsidP="002850C6">
            <w:pPr>
              <w:ind w:right="-29"/>
              <w:jc w:val="center"/>
              <w:rPr>
                <w:noProof/>
                <w:sz w:val="18"/>
                <w:szCs w:val="18"/>
              </w:rPr>
            </w:pPr>
          </w:p>
        </w:tc>
        <w:tc>
          <w:tcPr>
            <w:tcW w:w="432" w:type="dxa"/>
            <w:tcBorders>
              <w:bottom w:val="single" w:sz="12" w:space="0" w:color="auto"/>
            </w:tcBorders>
          </w:tcPr>
          <w:p w14:paraId="1C458767"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32682EDE" w14:textId="77777777" w:rsidR="002850C6" w:rsidRPr="002850C6" w:rsidRDefault="002850C6" w:rsidP="002850C6">
            <w:pPr>
              <w:ind w:right="-29"/>
              <w:jc w:val="center"/>
              <w:rPr>
                <w:noProof/>
                <w:sz w:val="18"/>
                <w:szCs w:val="18"/>
              </w:rPr>
            </w:pPr>
          </w:p>
        </w:tc>
        <w:tc>
          <w:tcPr>
            <w:tcW w:w="540" w:type="dxa"/>
            <w:tcBorders>
              <w:bottom w:val="single" w:sz="12" w:space="0" w:color="auto"/>
            </w:tcBorders>
          </w:tcPr>
          <w:p w14:paraId="61DADA2E"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23F10741" w14:textId="77777777" w:rsidR="002850C6" w:rsidRPr="002850C6" w:rsidRDefault="002850C6" w:rsidP="002850C6">
            <w:pPr>
              <w:ind w:right="-29"/>
              <w:jc w:val="center"/>
              <w:rPr>
                <w:noProof/>
                <w:sz w:val="18"/>
                <w:szCs w:val="18"/>
              </w:rPr>
            </w:pPr>
          </w:p>
        </w:tc>
        <w:tc>
          <w:tcPr>
            <w:tcW w:w="720" w:type="dxa"/>
            <w:tcBorders>
              <w:bottom w:val="single" w:sz="12" w:space="0" w:color="auto"/>
            </w:tcBorders>
          </w:tcPr>
          <w:p w14:paraId="70B01BB5" w14:textId="77777777" w:rsidR="002850C6" w:rsidRPr="002850C6" w:rsidRDefault="002850C6" w:rsidP="002850C6">
            <w:pPr>
              <w:ind w:right="-29"/>
              <w:jc w:val="center"/>
              <w:rPr>
                <w:noProof/>
                <w:sz w:val="18"/>
                <w:szCs w:val="18"/>
              </w:rPr>
            </w:pPr>
          </w:p>
        </w:tc>
        <w:tc>
          <w:tcPr>
            <w:tcW w:w="900" w:type="dxa"/>
            <w:tcBorders>
              <w:bottom w:val="single" w:sz="12" w:space="0" w:color="auto"/>
            </w:tcBorders>
          </w:tcPr>
          <w:p w14:paraId="2F23D974" w14:textId="77777777" w:rsidR="002850C6" w:rsidRPr="002850C6" w:rsidRDefault="002850C6" w:rsidP="002850C6">
            <w:pPr>
              <w:ind w:right="-29"/>
              <w:jc w:val="center"/>
              <w:rPr>
                <w:noProof/>
                <w:sz w:val="18"/>
                <w:szCs w:val="18"/>
              </w:rPr>
            </w:pPr>
          </w:p>
        </w:tc>
      </w:tr>
      <w:tr w:rsidR="002850C6" w:rsidRPr="002850C6" w14:paraId="2877A63D" w14:textId="77777777" w:rsidTr="0043630B">
        <w:trPr>
          <w:jc w:val="center"/>
        </w:trPr>
        <w:tc>
          <w:tcPr>
            <w:tcW w:w="2844" w:type="dxa"/>
            <w:gridSpan w:val="3"/>
            <w:tcBorders>
              <w:top w:val="single" w:sz="12" w:space="0" w:color="auto"/>
              <w:left w:val="single" w:sz="12" w:space="0" w:color="auto"/>
              <w:bottom w:val="single" w:sz="12" w:space="0" w:color="auto"/>
            </w:tcBorders>
            <w:vAlign w:val="center"/>
          </w:tcPr>
          <w:p w14:paraId="5150559E" w14:textId="77777777" w:rsidR="002850C6" w:rsidRPr="002850C6" w:rsidRDefault="002850C6" w:rsidP="002850C6">
            <w:pPr>
              <w:ind w:right="-29"/>
              <w:jc w:val="center"/>
              <w:rPr>
                <w:noProof/>
                <w:sz w:val="18"/>
                <w:szCs w:val="18"/>
              </w:rPr>
            </w:pPr>
            <w:r w:rsidRPr="002850C6">
              <w:rPr>
                <w:b/>
                <w:noProof/>
                <w:sz w:val="18"/>
              </w:rPr>
              <w:t>TOTAUX</w:t>
            </w:r>
          </w:p>
        </w:tc>
        <w:tc>
          <w:tcPr>
            <w:tcW w:w="504" w:type="dxa"/>
            <w:tcBorders>
              <w:top w:val="single" w:sz="12" w:space="0" w:color="auto"/>
              <w:bottom w:val="single" w:sz="12" w:space="0" w:color="auto"/>
            </w:tcBorders>
          </w:tcPr>
          <w:p w14:paraId="11F16432" w14:textId="77777777" w:rsidR="002850C6" w:rsidRPr="002850C6" w:rsidRDefault="002850C6" w:rsidP="002850C6">
            <w:pPr>
              <w:spacing w:before="180" w:after="180"/>
              <w:ind w:right="-29"/>
              <w:jc w:val="center"/>
              <w:rPr>
                <w:noProof/>
                <w:sz w:val="18"/>
                <w:szCs w:val="18"/>
              </w:rPr>
            </w:pPr>
          </w:p>
        </w:tc>
        <w:tc>
          <w:tcPr>
            <w:tcW w:w="720" w:type="dxa"/>
            <w:tcBorders>
              <w:top w:val="single" w:sz="12" w:space="0" w:color="auto"/>
              <w:bottom w:val="single" w:sz="12" w:space="0" w:color="auto"/>
            </w:tcBorders>
          </w:tcPr>
          <w:p w14:paraId="749D84D0" w14:textId="77777777" w:rsidR="002850C6" w:rsidRPr="002850C6" w:rsidRDefault="002850C6" w:rsidP="002850C6">
            <w:pPr>
              <w:spacing w:before="180" w:after="180"/>
              <w:ind w:right="-29"/>
              <w:jc w:val="center"/>
              <w:rPr>
                <w:noProof/>
                <w:sz w:val="18"/>
                <w:szCs w:val="18"/>
              </w:rPr>
            </w:pPr>
          </w:p>
        </w:tc>
        <w:tc>
          <w:tcPr>
            <w:tcW w:w="540" w:type="dxa"/>
            <w:tcBorders>
              <w:top w:val="single" w:sz="12" w:space="0" w:color="auto"/>
              <w:bottom w:val="single" w:sz="12" w:space="0" w:color="auto"/>
            </w:tcBorders>
          </w:tcPr>
          <w:p w14:paraId="59FD17AC" w14:textId="77777777" w:rsidR="002850C6" w:rsidRPr="002850C6" w:rsidRDefault="002850C6" w:rsidP="002850C6">
            <w:pPr>
              <w:spacing w:before="180" w:after="180"/>
              <w:ind w:right="-29"/>
              <w:jc w:val="center"/>
              <w:rPr>
                <w:noProof/>
                <w:sz w:val="18"/>
                <w:szCs w:val="18"/>
              </w:rPr>
            </w:pPr>
          </w:p>
        </w:tc>
        <w:tc>
          <w:tcPr>
            <w:tcW w:w="720" w:type="dxa"/>
            <w:tcBorders>
              <w:top w:val="single" w:sz="12" w:space="0" w:color="auto"/>
              <w:bottom w:val="single" w:sz="12" w:space="0" w:color="auto"/>
            </w:tcBorders>
          </w:tcPr>
          <w:p w14:paraId="5D8201EA" w14:textId="77777777" w:rsidR="002850C6" w:rsidRPr="002850C6" w:rsidRDefault="002850C6" w:rsidP="002850C6">
            <w:pPr>
              <w:spacing w:before="180" w:after="180"/>
              <w:ind w:right="-29"/>
              <w:jc w:val="center"/>
              <w:rPr>
                <w:noProof/>
                <w:sz w:val="18"/>
                <w:szCs w:val="18"/>
              </w:rPr>
            </w:pPr>
          </w:p>
        </w:tc>
        <w:tc>
          <w:tcPr>
            <w:tcW w:w="720" w:type="dxa"/>
            <w:tcBorders>
              <w:top w:val="single" w:sz="12" w:space="0" w:color="auto"/>
              <w:bottom w:val="single" w:sz="12" w:space="0" w:color="auto"/>
            </w:tcBorders>
          </w:tcPr>
          <w:p w14:paraId="5F906571" w14:textId="77777777" w:rsidR="002850C6" w:rsidRPr="002850C6" w:rsidRDefault="002850C6" w:rsidP="002850C6">
            <w:pPr>
              <w:spacing w:before="180" w:after="180"/>
              <w:ind w:right="-29"/>
              <w:jc w:val="center"/>
              <w:rPr>
                <w:noProof/>
                <w:sz w:val="18"/>
                <w:szCs w:val="18"/>
              </w:rPr>
            </w:pPr>
          </w:p>
        </w:tc>
        <w:tc>
          <w:tcPr>
            <w:tcW w:w="720" w:type="dxa"/>
            <w:tcBorders>
              <w:top w:val="single" w:sz="12" w:space="0" w:color="auto"/>
              <w:bottom w:val="single" w:sz="12" w:space="0" w:color="auto"/>
            </w:tcBorders>
          </w:tcPr>
          <w:p w14:paraId="41908E6C" w14:textId="77777777" w:rsidR="002850C6" w:rsidRPr="002850C6" w:rsidRDefault="002850C6" w:rsidP="002850C6">
            <w:pPr>
              <w:spacing w:before="180" w:after="180"/>
              <w:ind w:right="-29"/>
              <w:jc w:val="center"/>
              <w:rPr>
                <w:noProof/>
                <w:sz w:val="18"/>
                <w:szCs w:val="18"/>
              </w:rPr>
            </w:pPr>
          </w:p>
        </w:tc>
        <w:tc>
          <w:tcPr>
            <w:tcW w:w="900" w:type="dxa"/>
            <w:gridSpan w:val="2"/>
            <w:tcBorders>
              <w:top w:val="single" w:sz="12" w:space="0" w:color="auto"/>
              <w:bottom w:val="single" w:sz="12" w:space="0" w:color="auto"/>
            </w:tcBorders>
          </w:tcPr>
          <w:p w14:paraId="61B48E10" w14:textId="77777777" w:rsidR="002850C6" w:rsidRPr="002850C6" w:rsidRDefault="002850C6" w:rsidP="002850C6">
            <w:pPr>
              <w:spacing w:before="180" w:after="180"/>
              <w:ind w:right="-29"/>
              <w:jc w:val="center"/>
              <w:rPr>
                <w:noProof/>
                <w:sz w:val="18"/>
                <w:szCs w:val="18"/>
              </w:rPr>
            </w:pPr>
          </w:p>
        </w:tc>
        <w:tc>
          <w:tcPr>
            <w:tcW w:w="720" w:type="dxa"/>
            <w:tcBorders>
              <w:top w:val="single" w:sz="12" w:space="0" w:color="auto"/>
              <w:bottom w:val="single" w:sz="12" w:space="0" w:color="auto"/>
            </w:tcBorders>
          </w:tcPr>
          <w:p w14:paraId="66BAEAEE" w14:textId="77777777" w:rsidR="002850C6" w:rsidRPr="002850C6" w:rsidRDefault="002850C6" w:rsidP="002850C6">
            <w:pPr>
              <w:spacing w:before="180" w:after="180"/>
              <w:ind w:right="-29"/>
              <w:jc w:val="center"/>
              <w:rPr>
                <w:noProof/>
                <w:sz w:val="18"/>
                <w:szCs w:val="18"/>
              </w:rPr>
            </w:pPr>
          </w:p>
        </w:tc>
        <w:tc>
          <w:tcPr>
            <w:tcW w:w="540" w:type="dxa"/>
            <w:tcBorders>
              <w:top w:val="single" w:sz="12" w:space="0" w:color="auto"/>
              <w:bottom w:val="single" w:sz="12" w:space="0" w:color="auto"/>
            </w:tcBorders>
          </w:tcPr>
          <w:p w14:paraId="2BD3949D" w14:textId="77777777" w:rsidR="002850C6" w:rsidRPr="002850C6" w:rsidRDefault="002850C6" w:rsidP="002850C6">
            <w:pPr>
              <w:spacing w:before="180" w:after="180"/>
              <w:ind w:right="-29"/>
              <w:jc w:val="center"/>
              <w:rPr>
                <w:noProof/>
                <w:sz w:val="18"/>
                <w:szCs w:val="18"/>
              </w:rPr>
            </w:pPr>
          </w:p>
        </w:tc>
        <w:tc>
          <w:tcPr>
            <w:tcW w:w="648" w:type="dxa"/>
            <w:tcBorders>
              <w:top w:val="single" w:sz="12" w:space="0" w:color="auto"/>
              <w:bottom w:val="single" w:sz="12" w:space="0" w:color="auto"/>
            </w:tcBorders>
          </w:tcPr>
          <w:p w14:paraId="6EF910F1" w14:textId="77777777" w:rsidR="002850C6" w:rsidRPr="002850C6" w:rsidRDefault="002850C6" w:rsidP="002850C6">
            <w:pPr>
              <w:spacing w:before="180" w:after="180"/>
              <w:ind w:right="-29"/>
              <w:jc w:val="center"/>
              <w:rPr>
                <w:noProof/>
                <w:sz w:val="18"/>
                <w:szCs w:val="18"/>
              </w:rPr>
            </w:pPr>
          </w:p>
        </w:tc>
        <w:tc>
          <w:tcPr>
            <w:tcW w:w="432" w:type="dxa"/>
            <w:tcBorders>
              <w:top w:val="single" w:sz="12" w:space="0" w:color="auto"/>
              <w:bottom w:val="single" w:sz="12" w:space="0" w:color="auto"/>
            </w:tcBorders>
          </w:tcPr>
          <w:p w14:paraId="640BD972" w14:textId="77777777" w:rsidR="002850C6" w:rsidRPr="002850C6" w:rsidRDefault="002850C6" w:rsidP="002850C6">
            <w:pPr>
              <w:spacing w:before="180" w:after="180"/>
              <w:ind w:right="-29"/>
              <w:jc w:val="center"/>
              <w:rPr>
                <w:noProof/>
                <w:sz w:val="18"/>
                <w:szCs w:val="18"/>
              </w:rPr>
            </w:pPr>
          </w:p>
        </w:tc>
        <w:tc>
          <w:tcPr>
            <w:tcW w:w="720" w:type="dxa"/>
            <w:tcBorders>
              <w:top w:val="single" w:sz="12" w:space="0" w:color="auto"/>
              <w:bottom w:val="single" w:sz="12" w:space="0" w:color="auto"/>
            </w:tcBorders>
          </w:tcPr>
          <w:p w14:paraId="35A1D9D5" w14:textId="77777777" w:rsidR="002850C6" w:rsidRPr="002850C6" w:rsidRDefault="002850C6" w:rsidP="002850C6">
            <w:pPr>
              <w:spacing w:before="180" w:after="180"/>
              <w:ind w:right="-29"/>
              <w:jc w:val="center"/>
              <w:rPr>
                <w:noProof/>
                <w:sz w:val="18"/>
                <w:szCs w:val="18"/>
              </w:rPr>
            </w:pPr>
          </w:p>
        </w:tc>
        <w:tc>
          <w:tcPr>
            <w:tcW w:w="540" w:type="dxa"/>
            <w:tcBorders>
              <w:top w:val="single" w:sz="12" w:space="0" w:color="auto"/>
              <w:bottom w:val="single" w:sz="12" w:space="0" w:color="auto"/>
            </w:tcBorders>
          </w:tcPr>
          <w:p w14:paraId="1D2E9E0B" w14:textId="77777777" w:rsidR="002850C6" w:rsidRPr="002850C6" w:rsidRDefault="002850C6" w:rsidP="002850C6">
            <w:pPr>
              <w:spacing w:before="180" w:after="180"/>
              <w:ind w:right="-29"/>
              <w:jc w:val="center"/>
              <w:rPr>
                <w:noProof/>
                <w:sz w:val="18"/>
                <w:szCs w:val="18"/>
              </w:rPr>
            </w:pPr>
          </w:p>
        </w:tc>
        <w:tc>
          <w:tcPr>
            <w:tcW w:w="720" w:type="dxa"/>
            <w:tcBorders>
              <w:top w:val="single" w:sz="12" w:space="0" w:color="auto"/>
              <w:bottom w:val="single" w:sz="12" w:space="0" w:color="auto"/>
            </w:tcBorders>
          </w:tcPr>
          <w:p w14:paraId="2071C16C" w14:textId="77777777" w:rsidR="002850C6" w:rsidRPr="002850C6" w:rsidRDefault="002850C6" w:rsidP="002850C6">
            <w:pPr>
              <w:spacing w:before="180" w:after="180"/>
              <w:ind w:right="-29"/>
              <w:jc w:val="center"/>
              <w:rPr>
                <w:noProof/>
                <w:sz w:val="18"/>
                <w:szCs w:val="18"/>
              </w:rPr>
            </w:pPr>
          </w:p>
        </w:tc>
        <w:tc>
          <w:tcPr>
            <w:tcW w:w="720" w:type="dxa"/>
            <w:tcBorders>
              <w:top w:val="single" w:sz="12" w:space="0" w:color="auto"/>
              <w:bottom w:val="single" w:sz="12" w:space="0" w:color="auto"/>
            </w:tcBorders>
          </w:tcPr>
          <w:p w14:paraId="47161344" w14:textId="77777777" w:rsidR="002850C6" w:rsidRPr="002850C6" w:rsidRDefault="002850C6" w:rsidP="002850C6">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34EDF909" w14:textId="77777777" w:rsidR="002850C6" w:rsidRPr="002850C6" w:rsidRDefault="002850C6" w:rsidP="002850C6">
            <w:pPr>
              <w:spacing w:before="180" w:after="180"/>
              <w:ind w:right="-29"/>
              <w:jc w:val="center"/>
              <w:rPr>
                <w:noProof/>
                <w:sz w:val="18"/>
                <w:szCs w:val="18"/>
              </w:rPr>
            </w:pPr>
          </w:p>
        </w:tc>
      </w:tr>
    </w:tbl>
    <w:p w14:paraId="11312F14" w14:textId="77777777" w:rsidR="002850C6" w:rsidRPr="002850C6" w:rsidRDefault="002850C6" w:rsidP="002850C6">
      <w:pPr>
        <w:rPr>
          <w:noProof/>
        </w:rPr>
        <w:sectPr w:rsidR="002850C6" w:rsidRPr="002850C6" w:rsidSect="003A339D">
          <w:headerReference w:type="default" r:id="rId16"/>
          <w:footerReference w:type="default" r:id="rId17"/>
          <w:pgSz w:w="16840" w:h="11907" w:orient="landscape" w:code="9"/>
          <w:pgMar w:top="1134" w:right="1418" w:bottom="567" w:left="1418" w:header="709" w:footer="709" w:gutter="0"/>
          <w:cols w:space="708"/>
          <w:docGrid w:linePitch="360"/>
        </w:sectPr>
      </w:pPr>
    </w:p>
    <w:p w14:paraId="26E7DF98" w14:textId="77777777" w:rsidR="002850C6" w:rsidRPr="002850C6" w:rsidRDefault="002850C6" w:rsidP="002850C6">
      <w:pPr>
        <w:keepNext/>
        <w:tabs>
          <w:tab w:val="left" w:pos="850"/>
        </w:tabs>
        <w:ind w:left="850" w:hanging="850"/>
        <w:outlineLvl w:val="2"/>
        <w:rPr>
          <w:noProof/>
          <w:color w:val="008000"/>
        </w:rPr>
      </w:pPr>
      <w:bookmarkStart w:id="143" w:name="_Toc514938055"/>
      <w:bookmarkStart w:id="144" w:name="_Toc520485054"/>
      <w:bookmarkStart w:id="145" w:name="_Toc160804598"/>
      <w:bookmarkStart w:id="146" w:name="_Toc213612597"/>
      <w:r w:rsidRPr="002850C6">
        <w:rPr>
          <w:i/>
          <w:noProof/>
        </w:rPr>
        <w:t>3.2.3.</w:t>
      </w:r>
      <w:r w:rsidRPr="002850C6">
        <w:rPr>
          <w:i/>
          <w:noProof/>
        </w:rPr>
        <w:tab/>
      </w:r>
      <w:bookmarkStart w:id="147" w:name="_Hlk177486126"/>
      <w:r w:rsidRPr="002850C6">
        <w:rPr>
          <w:i/>
          <w:noProof/>
        </w:rPr>
        <w:t>Synthèse de l’incidence estimée sur les crédits administratifs</w:t>
      </w:r>
      <w:bookmarkEnd w:id="143"/>
      <w:bookmarkEnd w:id="144"/>
      <w:bookmarkEnd w:id="145"/>
      <w:bookmarkEnd w:id="146"/>
      <w:bookmarkEnd w:id="147"/>
    </w:p>
    <w:p w14:paraId="28798F14"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 xml:space="preserve">La proposition/l’initiative n’engendre pas l’utilisation de crédits de nature administrative. </w:t>
      </w:r>
    </w:p>
    <w:p w14:paraId="5A72C955"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ascii="Wingdings" w:eastAsia="Times New Roman" w:hAnsi="Wingdings"/>
          <w:noProof/>
          <w:lang w:eastAsia="de-DE"/>
        </w:rPr>
        <w:tab/>
      </w:r>
      <w:r w:rsidRPr="002850C6">
        <w:rPr>
          <w:rFonts w:eastAsia="Times New Roman"/>
          <w:noProof/>
          <w:lang w:eastAsia="de-DE"/>
        </w:rPr>
        <w:t>La proposition/l’initiative engendre l’utilisation de crédits de nature administrative, comme expliqué ci-après:</w:t>
      </w:r>
    </w:p>
    <w:p w14:paraId="00A29E45" w14:textId="77777777" w:rsidR="002850C6" w:rsidRPr="002850C6" w:rsidRDefault="002850C6" w:rsidP="002850C6">
      <w:pPr>
        <w:keepNext/>
        <w:tabs>
          <w:tab w:val="left" w:pos="850"/>
        </w:tabs>
        <w:ind w:left="850" w:hanging="850"/>
        <w:outlineLvl w:val="2"/>
        <w:rPr>
          <w:i/>
          <w:noProof/>
        </w:rPr>
      </w:pPr>
      <w:bookmarkStart w:id="148" w:name="_Toc213612598"/>
      <w:r w:rsidRPr="002850C6">
        <w:rPr>
          <w:i/>
          <w:noProof/>
        </w:rPr>
        <w:t>3.2.3.1. Crédits issus du budget voté</w:t>
      </w:r>
      <w:bookmarkEnd w:id="148"/>
    </w:p>
    <w:tbl>
      <w:tblPr>
        <w:tblW w:w="5000" w:type="pct"/>
        <w:tblLook w:val="04A0" w:firstRow="1" w:lastRow="0" w:firstColumn="1" w:lastColumn="0" w:noHBand="0" w:noVBand="1"/>
      </w:tblPr>
      <w:tblGrid>
        <w:gridCol w:w="224"/>
        <w:gridCol w:w="2421"/>
        <w:gridCol w:w="835"/>
        <w:gridCol w:w="835"/>
        <w:gridCol w:w="835"/>
        <w:gridCol w:w="868"/>
        <w:gridCol w:w="1312"/>
        <w:gridCol w:w="1959"/>
      </w:tblGrid>
      <w:tr w:rsidR="002850C6" w:rsidRPr="002850C6" w14:paraId="04EAFAC5" w14:textId="77777777" w:rsidTr="0043630B">
        <w:trPr>
          <w:trHeight w:val="300"/>
        </w:trPr>
        <w:tc>
          <w:tcPr>
            <w:tcW w:w="143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99E6F1E" w14:textId="77777777" w:rsidR="002850C6" w:rsidRPr="002850C6" w:rsidRDefault="002850C6" w:rsidP="002850C6">
            <w:pPr>
              <w:spacing w:before="0" w:after="0"/>
              <w:jc w:val="center"/>
              <w:rPr>
                <w:b/>
                <w:bCs/>
                <w:noProof/>
                <w:sz w:val="18"/>
                <w:szCs w:val="18"/>
              </w:rPr>
            </w:pPr>
            <w:r w:rsidRPr="002850C6">
              <w:rPr>
                <w:b/>
                <w:noProof/>
                <w:sz w:val="18"/>
              </w:rPr>
              <w:t>CRÉDITS VOTÉS</w:t>
            </w:r>
          </w:p>
        </w:tc>
        <w:tc>
          <w:tcPr>
            <w:tcW w:w="458" w:type="pct"/>
            <w:tcBorders>
              <w:top w:val="single" w:sz="8" w:space="0" w:color="auto"/>
              <w:left w:val="nil"/>
              <w:bottom w:val="single" w:sz="8" w:space="0" w:color="auto"/>
              <w:right w:val="single" w:sz="8" w:space="0" w:color="auto"/>
            </w:tcBorders>
            <w:vAlign w:val="center"/>
            <w:hideMark/>
          </w:tcPr>
          <w:p w14:paraId="4E19B8A0" w14:textId="77777777" w:rsidR="002850C6" w:rsidRPr="002850C6" w:rsidRDefault="002850C6" w:rsidP="002850C6">
            <w:pPr>
              <w:spacing w:before="0" w:after="0"/>
              <w:jc w:val="center"/>
              <w:rPr>
                <w:noProof/>
                <w:sz w:val="18"/>
                <w:szCs w:val="18"/>
              </w:rPr>
            </w:pPr>
            <w:r w:rsidRPr="002850C6">
              <w:rPr>
                <w:noProof/>
                <w:sz w:val="18"/>
              </w:rPr>
              <w:t>Année</w:t>
            </w:r>
          </w:p>
        </w:tc>
        <w:tc>
          <w:tcPr>
            <w:tcW w:w="458" w:type="pct"/>
            <w:tcBorders>
              <w:top w:val="single" w:sz="8" w:space="0" w:color="auto"/>
              <w:left w:val="nil"/>
              <w:bottom w:val="single" w:sz="8" w:space="0" w:color="auto"/>
              <w:right w:val="single" w:sz="8" w:space="0" w:color="auto"/>
            </w:tcBorders>
            <w:vAlign w:val="center"/>
            <w:hideMark/>
          </w:tcPr>
          <w:p w14:paraId="4BCCB8B4" w14:textId="77777777" w:rsidR="002850C6" w:rsidRPr="002850C6" w:rsidRDefault="002850C6" w:rsidP="002850C6">
            <w:pPr>
              <w:spacing w:before="0" w:after="0"/>
              <w:jc w:val="center"/>
              <w:rPr>
                <w:noProof/>
                <w:sz w:val="18"/>
                <w:szCs w:val="18"/>
              </w:rPr>
            </w:pPr>
            <w:r w:rsidRPr="002850C6">
              <w:rPr>
                <w:noProof/>
                <w:sz w:val="18"/>
              </w:rPr>
              <w:t>Année</w:t>
            </w:r>
          </w:p>
        </w:tc>
        <w:tc>
          <w:tcPr>
            <w:tcW w:w="458" w:type="pct"/>
            <w:tcBorders>
              <w:top w:val="single" w:sz="8" w:space="0" w:color="auto"/>
              <w:left w:val="nil"/>
              <w:bottom w:val="single" w:sz="8" w:space="0" w:color="auto"/>
              <w:right w:val="single" w:sz="8" w:space="0" w:color="auto"/>
            </w:tcBorders>
            <w:vAlign w:val="center"/>
            <w:hideMark/>
          </w:tcPr>
          <w:p w14:paraId="07D69E6C" w14:textId="77777777" w:rsidR="002850C6" w:rsidRPr="002850C6" w:rsidRDefault="002850C6" w:rsidP="002850C6">
            <w:pPr>
              <w:spacing w:before="0" w:after="0"/>
              <w:jc w:val="center"/>
              <w:rPr>
                <w:noProof/>
                <w:sz w:val="18"/>
                <w:szCs w:val="18"/>
              </w:rPr>
            </w:pPr>
            <w:r w:rsidRPr="002850C6">
              <w:rPr>
                <w:noProof/>
                <w:sz w:val="18"/>
              </w:rPr>
              <w:t>Année</w:t>
            </w:r>
          </w:p>
        </w:tc>
        <w:tc>
          <w:tcPr>
            <w:tcW w:w="476" w:type="pct"/>
            <w:tcBorders>
              <w:top w:val="single" w:sz="8" w:space="0" w:color="auto"/>
              <w:left w:val="nil"/>
              <w:bottom w:val="single" w:sz="8" w:space="0" w:color="auto"/>
              <w:right w:val="single" w:sz="8" w:space="0" w:color="auto"/>
            </w:tcBorders>
            <w:vAlign w:val="center"/>
            <w:hideMark/>
          </w:tcPr>
          <w:p w14:paraId="4F883E38" w14:textId="77777777" w:rsidR="002850C6" w:rsidRPr="002850C6" w:rsidRDefault="002850C6" w:rsidP="002850C6">
            <w:pPr>
              <w:spacing w:before="0" w:after="0"/>
              <w:jc w:val="center"/>
              <w:rPr>
                <w:noProof/>
                <w:sz w:val="18"/>
                <w:szCs w:val="18"/>
              </w:rPr>
            </w:pPr>
            <w:r w:rsidRPr="002850C6">
              <w:rPr>
                <w:noProof/>
                <w:sz w:val="18"/>
              </w:rPr>
              <w:t>Année</w:t>
            </w:r>
          </w:p>
        </w:tc>
        <w:tc>
          <w:tcPr>
            <w:tcW w:w="655" w:type="pct"/>
            <w:vMerge w:val="restart"/>
            <w:tcBorders>
              <w:top w:val="single" w:sz="8" w:space="0" w:color="auto"/>
              <w:left w:val="single" w:sz="8" w:space="0" w:color="auto"/>
              <w:bottom w:val="single" w:sz="8" w:space="0" w:color="auto"/>
              <w:right w:val="single" w:sz="8" w:space="0" w:color="auto"/>
            </w:tcBorders>
            <w:vAlign w:val="center"/>
            <w:hideMark/>
          </w:tcPr>
          <w:p w14:paraId="38C7D1E5" w14:textId="77777777" w:rsidR="002850C6" w:rsidRPr="002850C6" w:rsidRDefault="002850C6" w:rsidP="002850C6">
            <w:pPr>
              <w:spacing w:before="0" w:after="0"/>
              <w:jc w:val="center"/>
              <w:rPr>
                <w:b/>
                <w:bCs/>
                <w:noProof/>
                <w:sz w:val="18"/>
                <w:szCs w:val="18"/>
              </w:rPr>
            </w:pPr>
            <w:r w:rsidRPr="002850C6">
              <w:rPr>
                <w:b/>
                <w:noProof/>
                <w:sz w:val="18"/>
              </w:rPr>
              <w:t>TOTAL 2021-2027</w:t>
            </w:r>
          </w:p>
        </w:tc>
        <w:tc>
          <w:tcPr>
            <w:tcW w:w="1064" w:type="pct"/>
            <w:vMerge w:val="restart"/>
            <w:tcBorders>
              <w:top w:val="single" w:sz="8" w:space="0" w:color="auto"/>
              <w:left w:val="single" w:sz="8" w:space="0" w:color="auto"/>
              <w:right w:val="single" w:sz="8" w:space="0" w:color="auto"/>
            </w:tcBorders>
            <w:vAlign w:val="center"/>
          </w:tcPr>
          <w:p w14:paraId="64CC1914" w14:textId="77777777" w:rsidR="002850C6" w:rsidRPr="002850C6" w:rsidRDefault="002850C6" w:rsidP="002850C6">
            <w:pPr>
              <w:spacing w:before="0" w:after="0"/>
              <w:jc w:val="center"/>
              <w:rPr>
                <w:b/>
                <w:bCs/>
                <w:noProof/>
                <w:sz w:val="18"/>
                <w:szCs w:val="18"/>
              </w:rPr>
            </w:pPr>
            <w:r w:rsidRPr="002850C6">
              <w:rPr>
                <w:b/>
                <w:noProof/>
                <w:sz w:val="18"/>
              </w:rPr>
              <w:t>TOTAL 2028-2034</w:t>
            </w:r>
          </w:p>
        </w:tc>
      </w:tr>
      <w:tr w:rsidR="002850C6" w:rsidRPr="002850C6" w14:paraId="606DBEFB" w14:textId="77777777" w:rsidTr="0043630B">
        <w:trPr>
          <w:trHeight w:val="300"/>
        </w:trPr>
        <w:tc>
          <w:tcPr>
            <w:tcW w:w="1432" w:type="pct"/>
            <w:gridSpan w:val="2"/>
            <w:vMerge/>
            <w:tcBorders>
              <w:top w:val="single" w:sz="8" w:space="0" w:color="auto"/>
              <w:left w:val="single" w:sz="8" w:space="0" w:color="auto"/>
              <w:bottom w:val="single" w:sz="8" w:space="0" w:color="auto"/>
              <w:right w:val="single" w:sz="8" w:space="0" w:color="auto"/>
            </w:tcBorders>
            <w:vAlign w:val="center"/>
            <w:hideMark/>
          </w:tcPr>
          <w:p w14:paraId="45A31DA0" w14:textId="77777777" w:rsidR="002850C6" w:rsidRPr="002850C6" w:rsidRDefault="002850C6" w:rsidP="002850C6">
            <w:pPr>
              <w:spacing w:before="0" w:after="0"/>
              <w:jc w:val="left"/>
              <w:rPr>
                <w:b/>
                <w:bCs/>
                <w:noProof/>
                <w:sz w:val="18"/>
                <w:szCs w:val="18"/>
                <w:lang w:eastAsia="en-IE"/>
              </w:rPr>
            </w:pPr>
          </w:p>
        </w:tc>
        <w:tc>
          <w:tcPr>
            <w:tcW w:w="458" w:type="pct"/>
            <w:tcBorders>
              <w:top w:val="nil"/>
              <w:left w:val="nil"/>
              <w:bottom w:val="single" w:sz="8" w:space="0" w:color="auto"/>
              <w:right w:val="single" w:sz="8" w:space="0" w:color="auto"/>
            </w:tcBorders>
            <w:vAlign w:val="center"/>
            <w:hideMark/>
          </w:tcPr>
          <w:p w14:paraId="1DB45699" w14:textId="77777777" w:rsidR="002850C6" w:rsidRPr="002850C6" w:rsidRDefault="002850C6" w:rsidP="002850C6">
            <w:pPr>
              <w:spacing w:before="0" w:after="0"/>
              <w:jc w:val="center"/>
              <w:rPr>
                <w:b/>
                <w:bCs/>
                <w:noProof/>
                <w:sz w:val="18"/>
                <w:szCs w:val="18"/>
              </w:rPr>
            </w:pPr>
            <w:r w:rsidRPr="002850C6">
              <w:rPr>
                <w:b/>
                <w:noProof/>
                <w:sz w:val="18"/>
              </w:rPr>
              <w:t>2024</w:t>
            </w:r>
          </w:p>
        </w:tc>
        <w:tc>
          <w:tcPr>
            <w:tcW w:w="458" w:type="pct"/>
            <w:tcBorders>
              <w:top w:val="nil"/>
              <w:left w:val="nil"/>
              <w:bottom w:val="single" w:sz="8" w:space="0" w:color="auto"/>
              <w:right w:val="single" w:sz="8" w:space="0" w:color="auto"/>
            </w:tcBorders>
            <w:vAlign w:val="center"/>
            <w:hideMark/>
          </w:tcPr>
          <w:p w14:paraId="2A6AEC66" w14:textId="77777777" w:rsidR="002850C6" w:rsidRPr="002850C6" w:rsidRDefault="002850C6" w:rsidP="002850C6">
            <w:pPr>
              <w:spacing w:before="0" w:after="0"/>
              <w:jc w:val="center"/>
              <w:rPr>
                <w:b/>
                <w:bCs/>
                <w:noProof/>
                <w:sz w:val="18"/>
                <w:szCs w:val="18"/>
              </w:rPr>
            </w:pPr>
            <w:r w:rsidRPr="002850C6">
              <w:rPr>
                <w:b/>
                <w:noProof/>
                <w:sz w:val="18"/>
              </w:rPr>
              <w:t>2025</w:t>
            </w:r>
          </w:p>
        </w:tc>
        <w:tc>
          <w:tcPr>
            <w:tcW w:w="458" w:type="pct"/>
            <w:tcBorders>
              <w:top w:val="nil"/>
              <w:left w:val="nil"/>
              <w:bottom w:val="single" w:sz="8" w:space="0" w:color="auto"/>
              <w:right w:val="single" w:sz="8" w:space="0" w:color="auto"/>
            </w:tcBorders>
            <w:vAlign w:val="center"/>
            <w:hideMark/>
          </w:tcPr>
          <w:p w14:paraId="62FBBD19" w14:textId="77777777" w:rsidR="002850C6" w:rsidRPr="002850C6" w:rsidRDefault="002850C6" w:rsidP="002850C6">
            <w:pPr>
              <w:spacing w:before="0" w:after="0"/>
              <w:jc w:val="center"/>
              <w:rPr>
                <w:b/>
                <w:bCs/>
                <w:noProof/>
                <w:sz w:val="18"/>
                <w:szCs w:val="18"/>
              </w:rPr>
            </w:pPr>
            <w:r w:rsidRPr="002850C6">
              <w:rPr>
                <w:b/>
                <w:noProof/>
                <w:sz w:val="18"/>
              </w:rPr>
              <w:t>2026</w:t>
            </w:r>
          </w:p>
        </w:tc>
        <w:tc>
          <w:tcPr>
            <w:tcW w:w="476" w:type="pct"/>
            <w:tcBorders>
              <w:top w:val="nil"/>
              <w:left w:val="nil"/>
              <w:bottom w:val="single" w:sz="8" w:space="0" w:color="auto"/>
              <w:right w:val="single" w:sz="8" w:space="0" w:color="auto"/>
            </w:tcBorders>
            <w:vAlign w:val="center"/>
            <w:hideMark/>
          </w:tcPr>
          <w:p w14:paraId="6E926330" w14:textId="77777777" w:rsidR="002850C6" w:rsidRPr="002850C6" w:rsidRDefault="002850C6" w:rsidP="002850C6">
            <w:pPr>
              <w:spacing w:before="0" w:after="0"/>
              <w:jc w:val="center"/>
              <w:rPr>
                <w:b/>
                <w:bCs/>
                <w:noProof/>
                <w:sz w:val="18"/>
                <w:szCs w:val="18"/>
              </w:rPr>
            </w:pPr>
            <w:r w:rsidRPr="002850C6">
              <w:rPr>
                <w:b/>
                <w:noProof/>
                <w:sz w:val="18"/>
              </w:rPr>
              <w:t>2027</w:t>
            </w:r>
          </w:p>
        </w:tc>
        <w:tc>
          <w:tcPr>
            <w:tcW w:w="655" w:type="pct"/>
            <w:vMerge/>
            <w:tcBorders>
              <w:top w:val="single" w:sz="8" w:space="0" w:color="auto"/>
              <w:left w:val="single" w:sz="8" w:space="0" w:color="auto"/>
              <w:bottom w:val="single" w:sz="8" w:space="0" w:color="auto"/>
              <w:right w:val="single" w:sz="8" w:space="0" w:color="auto"/>
            </w:tcBorders>
            <w:vAlign w:val="center"/>
            <w:hideMark/>
          </w:tcPr>
          <w:p w14:paraId="00F412FD" w14:textId="77777777" w:rsidR="002850C6" w:rsidRPr="002850C6" w:rsidRDefault="002850C6" w:rsidP="002850C6">
            <w:pPr>
              <w:spacing w:before="0" w:after="0"/>
              <w:jc w:val="left"/>
              <w:rPr>
                <w:b/>
                <w:bCs/>
                <w:noProof/>
                <w:sz w:val="18"/>
                <w:szCs w:val="18"/>
                <w:lang w:eastAsia="en-IE"/>
              </w:rPr>
            </w:pPr>
          </w:p>
        </w:tc>
        <w:tc>
          <w:tcPr>
            <w:tcW w:w="1064" w:type="pct"/>
            <w:vMerge/>
            <w:tcBorders>
              <w:left w:val="single" w:sz="8" w:space="0" w:color="auto"/>
              <w:bottom w:val="single" w:sz="8" w:space="0" w:color="auto"/>
              <w:right w:val="single" w:sz="8" w:space="0" w:color="auto"/>
            </w:tcBorders>
          </w:tcPr>
          <w:p w14:paraId="2E8932C7" w14:textId="77777777" w:rsidR="002850C6" w:rsidRPr="002850C6" w:rsidRDefault="002850C6" w:rsidP="002850C6">
            <w:pPr>
              <w:spacing w:before="0" w:after="0"/>
              <w:jc w:val="left"/>
              <w:rPr>
                <w:b/>
                <w:bCs/>
                <w:noProof/>
                <w:sz w:val="18"/>
                <w:szCs w:val="18"/>
                <w:lang w:eastAsia="en-IE"/>
              </w:rPr>
            </w:pPr>
          </w:p>
        </w:tc>
      </w:tr>
      <w:tr w:rsidR="002850C6" w:rsidRPr="002850C6" w14:paraId="41C019C3" w14:textId="77777777" w:rsidTr="0043630B">
        <w:trPr>
          <w:trHeight w:val="300"/>
        </w:trPr>
        <w:tc>
          <w:tcPr>
            <w:tcW w:w="120" w:type="pct"/>
            <w:tcBorders>
              <w:top w:val="single" w:sz="8" w:space="0" w:color="auto"/>
              <w:left w:val="single" w:sz="8" w:space="0" w:color="auto"/>
              <w:bottom w:val="single" w:sz="8" w:space="0" w:color="auto"/>
              <w:right w:val="single" w:sz="4" w:space="0" w:color="auto"/>
            </w:tcBorders>
          </w:tcPr>
          <w:p w14:paraId="6D447B7C" w14:textId="77777777" w:rsidR="002850C6" w:rsidRPr="002850C6" w:rsidRDefault="002850C6" w:rsidP="002850C6">
            <w:pPr>
              <w:spacing w:before="0" w:after="0"/>
              <w:jc w:val="left"/>
              <w:rPr>
                <w:b/>
                <w:bCs/>
                <w:noProof/>
                <w:sz w:val="16"/>
                <w:szCs w:val="16"/>
                <w:lang w:eastAsia="en-IE"/>
              </w:rPr>
            </w:pPr>
          </w:p>
        </w:tc>
        <w:tc>
          <w:tcPr>
            <w:tcW w:w="0" w:type="auto"/>
            <w:gridSpan w:val="7"/>
            <w:tcBorders>
              <w:top w:val="single" w:sz="8" w:space="0" w:color="auto"/>
              <w:left w:val="single" w:sz="8" w:space="0" w:color="auto"/>
              <w:bottom w:val="single" w:sz="8" w:space="0" w:color="auto"/>
              <w:right w:val="single" w:sz="4" w:space="0" w:color="auto"/>
            </w:tcBorders>
            <w:vAlign w:val="center"/>
            <w:hideMark/>
          </w:tcPr>
          <w:p w14:paraId="7742338A" w14:textId="77777777" w:rsidR="002850C6" w:rsidRPr="002850C6" w:rsidRDefault="002850C6" w:rsidP="002850C6">
            <w:pPr>
              <w:spacing w:before="0" w:after="0"/>
              <w:jc w:val="left"/>
              <w:rPr>
                <w:b/>
                <w:bCs/>
                <w:noProof/>
                <w:sz w:val="16"/>
                <w:szCs w:val="16"/>
              </w:rPr>
            </w:pPr>
            <w:r w:rsidRPr="002850C6">
              <w:rPr>
                <w:b/>
                <w:noProof/>
                <w:sz w:val="16"/>
              </w:rPr>
              <w:t>RUBRIQUE 7</w:t>
            </w:r>
          </w:p>
        </w:tc>
      </w:tr>
      <w:tr w:rsidR="002850C6" w:rsidRPr="002850C6" w14:paraId="28C53E7E" w14:textId="77777777" w:rsidTr="0043630B">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01A92596" w14:textId="77777777" w:rsidR="002850C6" w:rsidRPr="002850C6" w:rsidRDefault="002850C6" w:rsidP="002850C6">
            <w:pPr>
              <w:spacing w:before="0" w:after="0"/>
              <w:jc w:val="left"/>
              <w:rPr>
                <w:noProof/>
                <w:sz w:val="16"/>
                <w:szCs w:val="16"/>
              </w:rPr>
            </w:pPr>
            <w:r w:rsidRPr="002850C6">
              <w:rPr>
                <w:noProof/>
                <w:sz w:val="16"/>
              </w:rPr>
              <w:t xml:space="preserve">Ressources humaines </w:t>
            </w:r>
          </w:p>
        </w:tc>
        <w:tc>
          <w:tcPr>
            <w:tcW w:w="458" w:type="pct"/>
            <w:tcBorders>
              <w:top w:val="nil"/>
              <w:left w:val="nil"/>
              <w:bottom w:val="single" w:sz="8" w:space="0" w:color="auto"/>
              <w:right w:val="single" w:sz="8" w:space="0" w:color="auto"/>
            </w:tcBorders>
            <w:shd w:val="clear" w:color="000000" w:fill="D9D9D9"/>
            <w:vAlign w:val="center"/>
            <w:hideMark/>
          </w:tcPr>
          <w:p w14:paraId="51139381" w14:textId="77777777" w:rsidR="002850C6" w:rsidRPr="002850C6" w:rsidRDefault="002850C6" w:rsidP="002850C6">
            <w:pPr>
              <w:spacing w:before="0" w:after="0"/>
              <w:jc w:val="right"/>
              <w:rPr>
                <w:noProof/>
                <w:sz w:val="16"/>
                <w:szCs w:val="16"/>
              </w:rPr>
            </w:pPr>
            <w:r w:rsidRPr="002850C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770E958D" w14:textId="77777777" w:rsidR="002850C6" w:rsidRPr="002850C6" w:rsidRDefault="002850C6" w:rsidP="002850C6">
            <w:pPr>
              <w:spacing w:before="0" w:after="0"/>
              <w:jc w:val="right"/>
              <w:rPr>
                <w:noProof/>
                <w:sz w:val="16"/>
                <w:szCs w:val="16"/>
              </w:rPr>
            </w:pPr>
            <w:r w:rsidRPr="002850C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058C37CA" w14:textId="77777777" w:rsidR="002850C6" w:rsidRPr="002850C6" w:rsidRDefault="002850C6" w:rsidP="002850C6">
            <w:pPr>
              <w:spacing w:before="0" w:after="0"/>
              <w:jc w:val="right"/>
              <w:rPr>
                <w:noProof/>
                <w:sz w:val="16"/>
                <w:szCs w:val="16"/>
              </w:rPr>
            </w:pPr>
            <w:r w:rsidRPr="002850C6">
              <w:rPr>
                <w:noProof/>
                <w:sz w:val="16"/>
              </w:rPr>
              <w:t>1,504</w:t>
            </w:r>
          </w:p>
        </w:tc>
        <w:tc>
          <w:tcPr>
            <w:tcW w:w="476" w:type="pct"/>
            <w:tcBorders>
              <w:top w:val="nil"/>
              <w:left w:val="nil"/>
              <w:bottom w:val="single" w:sz="8" w:space="0" w:color="auto"/>
              <w:right w:val="single" w:sz="8" w:space="0" w:color="auto"/>
            </w:tcBorders>
            <w:shd w:val="clear" w:color="000000" w:fill="D9D9D9"/>
            <w:vAlign w:val="center"/>
            <w:hideMark/>
          </w:tcPr>
          <w:p w14:paraId="6F44F3B5" w14:textId="77777777" w:rsidR="002850C6" w:rsidRPr="002850C6" w:rsidRDefault="002850C6" w:rsidP="002850C6">
            <w:pPr>
              <w:spacing w:before="0" w:after="0"/>
              <w:jc w:val="right"/>
              <w:rPr>
                <w:noProof/>
                <w:sz w:val="16"/>
                <w:szCs w:val="16"/>
              </w:rPr>
            </w:pPr>
            <w:r w:rsidRPr="002850C6">
              <w:rPr>
                <w:noProof/>
                <w:sz w:val="16"/>
              </w:rPr>
              <w:t>2,921</w:t>
            </w:r>
          </w:p>
        </w:tc>
        <w:tc>
          <w:tcPr>
            <w:tcW w:w="655" w:type="pct"/>
            <w:tcBorders>
              <w:top w:val="nil"/>
              <w:left w:val="nil"/>
              <w:bottom w:val="single" w:sz="8" w:space="0" w:color="auto"/>
              <w:right w:val="single" w:sz="8" w:space="0" w:color="auto"/>
            </w:tcBorders>
            <w:shd w:val="clear" w:color="000000" w:fill="D9D9D9"/>
            <w:vAlign w:val="center"/>
            <w:hideMark/>
          </w:tcPr>
          <w:p w14:paraId="434650DA" w14:textId="77777777" w:rsidR="002850C6" w:rsidRPr="002850C6" w:rsidRDefault="002850C6" w:rsidP="002850C6">
            <w:pPr>
              <w:spacing w:before="0" w:after="0"/>
              <w:jc w:val="right"/>
              <w:rPr>
                <w:b/>
                <w:bCs/>
                <w:noProof/>
                <w:sz w:val="16"/>
                <w:szCs w:val="16"/>
              </w:rPr>
            </w:pPr>
            <w:r w:rsidRPr="002850C6">
              <w:rPr>
                <w:b/>
                <w:noProof/>
                <w:sz w:val="16"/>
              </w:rPr>
              <w:t>4,425</w:t>
            </w:r>
          </w:p>
        </w:tc>
        <w:tc>
          <w:tcPr>
            <w:tcW w:w="1064" w:type="pct"/>
            <w:tcBorders>
              <w:top w:val="nil"/>
              <w:left w:val="nil"/>
              <w:bottom w:val="single" w:sz="8" w:space="0" w:color="auto"/>
              <w:right w:val="single" w:sz="8" w:space="0" w:color="auto"/>
            </w:tcBorders>
            <w:shd w:val="clear" w:color="000000" w:fill="D9D9D9"/>
          </w:tcPr>
          <w:p w14:paraId="7B989CD3" w14:textId="77777777" w:rsidR="002850C6" w:rsidRPr="002850C6" w:rsidRDefault="002850C6" w:rsidP="002850C6">
            <w:pPr>
              <w:spacing w:before="0" w:after="0"/>
              <w:jc w:val="right"/>
              <w:rPr>
                <w:b/>
                <w:bCs/>
                <w:noProof/>
                <w:sz w:val="16"/>
                <w:szCs w:val="16"/>
              </w:rPr>
            </w:pPr>
            <w:r w:rsidRPr="002850C6">
              <w:rPr>
                <w:b/>
                <w:noProof/>
                <w:sz w:val="16"/>
              </w:rPr>
              <w:t>48,995</w:t>
            </w:r>
          </w:p>
        </w:tc>
      </w:tr>
      <w:tr w:rsidR="002850C6" w:rsidRPr="002850C6" w14:paraId="76A9DD5B" w14:textId="77777777" w:rsidTr="0043630B">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31FB3AB8" w14:textId="77777777" w:rsidR="002850C6" w:rsidRPr="002850C6" w:rsidRDefault="002850C6" w:rsidP="002850C6">
            <w:pPr>
              <w:spacing w:before="0" w:after="0"/>
              <w:jc w:val="left"/>
              <w:rPr>
                <w:noProof/>
                <w:sz w:val="16"/>
                <w:szCs w:val="16"/>
              </w:rPr>
            </w:pPr>
            <w:r w:rsidRPr="002850C6">
              <w:rPr>
                <w:noProof/>
                <w:sz w:val="16"/>
              </w:rPr>
              <w:t xml:space="preserve">Autres dépenses administratives </w:t>
            </w:r>
          </w:p>
        </w:tc>
        <w:tc>
          <w:tcPr>
            <w:tcW w:w="458" w:type="pct"/>
            <w:tcBorders>
              <w:top w:val="nil"/>
              <w:left w:val="nil"/>
              <w:bottom w:val="single" w:sz="8" w:space="0" w:color="auto"/>
              <w:right w:val="single" w:sz="8" w:space="0" w:color="auto"/>
            </w:tcBorders>
            <w:shd w:val="clear" w:color="000000" w:fill="D9D9D9"/>
            <w:vAlign w:val="center"/>
            <w:hideMark/>
          </w:tcPr>
          <w:p w14:paraId="0E08819C" w14:textId="77777777" w:rsidR="002850C6" w:rsidRPr="002850C6" w:rsidRDefault="002850C6" w:rsidP="002850C6">
            <w:pPr>
              <w:spacing w:before="0" w:after="0"/>
              <w:jc w:val="right"/>
              <w:rPr>
                <w:noProof/>
                <w:sz w:val="16"/>
                <w:szCs w:val="16"/>
              </w:rPr>
            </w:pPr>
            <w:r w:rsidRPr="002850C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7760EC33" w14:textId="77777777" w:rsidR="002850C6" w:rsidRPr="002850C6" w:rsidRDefault="002850C6" w:rsidP="002850C6">
            <w:pPr>
              <w:spacing w:before="0" w:after="0"/>
              <w:jc w:val="right"/>
              <w:rPr>
                <w:noProof/>
                <w:sz w:val="16"/>
                <w:szCs w:val="16"/>
              </w:rPr>
            </w:pPr>
            <w:r w:rsidRPr="002850C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5C525903" w14:textId="77777777" w:rsidR="002850C6" w:rsidRPr="002850C6" w:rsidRDefault="002850C6" w:rsidP="002850C6">
            <w:pPr>
              <w:spacing w:before="0" w:after="0"/>
              <w:jc w:val="right"/>
              <w:rPr>
                <w:noProof/>
                <w:sz w:val="16"/>
                <w:szCs w:val="16"/>
              </w:rPr>
            </w:pPr>
            <w:r w:rsidRPr="002850C6">
              <w:rPr>
                <w:noProof/>
                <w:sz w:val="16"/>
              </w:rPr>
              <w:t>0,000</w:t>
            </w:r>
          </w:p>
        </w:tc>
        <w:tc>
          <w:tcPr>
            <w:tcW w:w="476" w:type="pct"/>
            <w:tcBorders>
              <w:top w:val="nil"/>
              <w:left w:val="nil"/>
              <w:bottom w:val="single" w:sz="8" w:space="0" w:color="auto"/>
              <w:right w:val="single" w:sz="8" w:space="0" w:color="auto"/>
            </w:tcBorders>
            <w:shd w:val="clear" w:color="000000" w:fill="D9D9D9"/>
            <w:vAlign w:val="center"/>
            <w:hideMark/>
          </w:tcPr>
          <w:p w14:paraId="5E2DA4ED" w14:textId="77777777" w:rsidR="002850C6" w:rsidRPr="002850C6" w:rsidRDefault="002850C6" w:rsidP="002850C6">
            <w:pPr>
              <w:spacing w:before="0" w:after="0"/>
              <w:jc w:val="right"/>
              <w:rPr>
                <w:noProof/>
                <w:sz w:val="16"/>
                <w:szCs w:val="16"/>
              </w:rPr>
            </w:pPr>
            <w:r w:rsidRPr="002850C6">
              <w:rPr>
                <w:noProof/>
                <w:sz w:val="16"/>
              </w:rPr>
              <w:t>0,030</w:t>
            </w:r>
          </w:p>
        </w:tc>
        <w:tc>
          <w:tcPr>
            <w:tcW w:w="655" w:type="pct"/>
            <w:tcBorders>
              <w:top w:val="nil"/>
              <w:left w:val="nil"/>
              <w:bottom w:val="single" w:sz="8" w:space="0" w:color="auto"/>
              <w:right w:val="single" w:sz="8" w:space="0" w:color="auto"/>
            </w:tcBorders>
            <w:shd w:val="clear" w:color="000000" w:fill="D9D9D9"/>
            <w:vAlign w:val="center"/>
            <w:hideMark/>
          </w:tcPr>
          <w:p w14:paraId="181CF3F6" w14:textId="77777777" w:rsidR="002850C6" w:rsidRPr="002850C6" w:rsidRDefault="002850C6" w:rsidP="002850C6">
            <w:pPr>
              <w:spacing w:before="0" w:after="0"/>
              <w:jc w:val="right"/>
              <w:rPr>
                <w:b/>
                <w:noProof/>
                <w:sz w:val="16"/>
                <w:szCs w:val="16"/>
              </w:rPr>
            </w:pPr>
            <w:r w:rsidRPr="002850C6">
              <w:rPr>
                <w:b/>
                <w:noProof/>
                <w:sz w:val="16"/>
              </w:rPr>
              <w:t>0,030</w:t>
            </w:r>
          </w:p>
        </w:tc>
        <w:tc>
          <w:tcPr>
            <w:tcW w:w="1064" w:type="pct"/>
            <w:tcBorders>
              <w:top w:val="nil"/>
              <w:left w:val="nil"/>
              <w:bottom w:val="single" w:sz="8" w:space="0" w:color="auto"/>
              <w:right w:val="single" w:sz="8" w:space="0" w:color="auto"/>
            </w:tcBorders>
            <w:shd w:val="clear" w:color="000000" w:fill="D9D9D9"/>
          </w:tcPr>
          <w:p w14:paraId="29C7F25F" w14:textId="77777777" w:rsidR="002850C6" w:rsidRPr="002850C6" w:rsidRDefault="002850C6" w:rsidP="002850C6">
            <w:pPr>
              <w:spacing w:before="0" w:after="0"/>
              <w:jc w:val="right"/>
              <w:rPr>
                <w:b/>
                <w:noProof/>
                <w:sz w:val="16"/>
                <w:szCs w:val="16"/>
              </w:rPr>
            </w:pPr>
            <w:r w:rsidRPr="002850C6">
              <w:rPr>
                <w:b/>
                <w:noProof/>
                <w:sz w:val="16"/>
              </w:rPr>
              <w:t>0,210</w:t>
            </w:r>
          </w:p>
        </w:tc>
      </w:tr>
      <w:tr w:rsidR="002850C6" w:rsidRPr="002850C6" w14:paraId="5D275CE8" w14:textId="77777777" w:rsidTr="0043630B">
        <w:trPr>
          <w:trHeight w:val="300"/>
        </w:trPr>
        <w:tc>
          <w:tcPr>
            <w:tcW w:w="1432" w:type="pct"/>
            <w:gridSpan w:val="2"/>
            <w:tcBorders>
              <w:top w:val="nil"/>
              <w:left w:val="single" w:sz="8" w:space="0" w:color="auto"/>
              <w:bottom w:val="single" w:sz="8" w:space="0" w:color="auto"/>
              <w:right w:val="single" w:sz="8" w:space="0" w:color="auto"/>
            </w:tcBorders>
            <w:shd w:val="clear" w:color="000000" w:fill="CCCCCC"/>
            <w:vAlign w:val="center"/>
            <w:hideMark/>
          </w:tcPr>
          <w:p w14:paraId="6D9DEAC3" w14:textId="77777777" w:rsidR="002850C6" w:rsidRPr="002850C6" w:rsidRDefault="002850C6" w:rsidP="002850C6">
            <w:pPr>
              <w:spacing w:before="0" w:after="0"/>
              <w:jc w:val="center"/>
              <w:rPr>
                <w:b/>
                <w:bCs/>
                <w:noProof/>
                <w:sz w:val="16"/>
                <w:szCs w:val="16"/>
              </w:rPr>
            </w:pPr>
            <w:r w:rsidRPr="002850C6">
              <w:rPr>
                <w:b/>
                <w:noProof/>
                <w:sz w:val="16"/>
              </w:rPr>
              <w:t>Sous-total RUBRIQUE 7</w:t>
            </w:r>
          </w:p>
        </w:tc>
        <w:tc>
          <w:tcPr>
            <w:tcW w:w="458" w:type="pct"/>
            <w:tcBorders>
              <w:top w:val="nil"/>
              <w:left w:val="nil"/>
              <w:bottom w:val="single" w:sz="8" w:space="0" w:color="auto"/>
              <w:right w:val="single" w:sz="8" w:space="0" w:color="auto"/>
            </w:tcBorders>
            <w:shd w:val="clear" w:color="000000" w:fill="D9D9D9"/>
            <w:vAlign w:val="center"/>
            <w:hideMark/>
          </w:tcPr>
          <w:p w14:paraId="5E441AAC" w14:textId="77777777" w:rsidR="002850C6" w:rsidRPr="002850C6" w:rsidRDefault="002850C6" w:rsidP="002850C6">
            <w:pPr>
              <w:spacing w:before="0" w:after="0"/>
              <w:jc w:val="right"/>
              <w:rPr>
                <w:b/>
                <w:bCs/>
                <w:noProof/>
                <w:sz w:val="16"/>
                <w:szCs w:val="16"/>
              </w:rPr>
            </w:pPr>
            <w:r w:rsidRPr="002850C6">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75C01E9C" w14:textId="77777777" w:rsidR="002850C6" w:rsidRPr="002850C6" w:rsidRDefault="002850C6" w:rsidP="002850C6">
            <w:pPr>
              <w:spacing w:before="0" w:after="0"/>
              <w:jc w:val="right"/>
              <w:rPr>
                <w:b/>
                <w:bCs/>
                <w:noProof/>
                <w:sz w:val="16"/>
                <w:szCs w:val="16"/>
              </w:rPr>
            </w:pPr>
            <w:r w:rsidRPr="002850C6">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6663369D" w14:textId="77777777" w:rsidR="002850C6" w:rsidRPr="002850C6" w:rsidRDefault="002850C6" w:rsidP="002850C6">
            <w:pPr>
              <w:spacing w:before="0" w:after="0"/>
              <w:jc w:val="right"/>
              <w:rPr>
                <w:b/>
                <w:bCs/>
                <w:noProof/>
                <w:sz w:val="16"/>
                <w:szCs w:val="16"/>
              </w:rPr>
            </w:pPr>
            <w:r w:rsidRPr="002850C6">
              <w:rPr>
                <w:b/>
                <w:noProof/>
                <w:sz w:val="16"/>
              </w:rPr>
              <w:t>1,504</w:t>
            </w:r>
          </w:p>
        </w:tc>
        <w:tc>
          <w:tcPr>
            <w:tcW w:w="476" w:type="pct"/>
            <w:tcBorders>
              <w:top w:val="nil"/>
              <w:left w:val="nil"/>
              <w:bottom w:val="single" w:sz="8" w:space="0" w:color="auto"/>
              <w:right w:val="single" w:sz="8" w:space="0" w:color="auto"/>
            </w:tcBorders>
            <w:shd w:val="clear" w:color="000000" w:fill="D9D9D9"/>
            <w:vAlign w:val="center"/>
            <w:hideMark/>
          </w:tcPr>
          <w:p w14:paraId="07330D44" w14:textId="77777777" w:rsidR="002850C6" w:rsidRPr="002850C6" w:rsidRDefault="002850C6" w:rsidP="002850C6">
            <w:pPr>
              <w:spacing w:before="0" w:after="0"/>
              <w:jc w:val="right"/>
              <w:rPr>
                <w:b/>
                <w:bCs/>
                <w:noProof/>
                <w:sz w:val="16"/>
                <w:szCs w:val="16"/>
              </w:rPr>
            </w:pPr>
            <w:r w:rsidRPr="002850C6">
              <w:rPr>
                <w:b/>
                <w:noProof/>
                <w:sz w:val="16"/>
              </w:rPr>
              <w:t>2,951</w:t>
            </w:r>
          </w:p>
        </w:tc>
        <w:tc>
          <w:tcPr>
            <w:tcW w:w="655" w:type="pct"/>
            <w:tcBorders>
              <w:top w:val="nil"/>
              <w:left w:val="nil"/>
              <w:bottom w:val="single" w:sz="8" w:space="0" w:color="auto"/>
              <w:right w:val="single" w:sz="8" w:space="0" w:color="auto"/>
            </w:tcBorders>
            <w:shd w:val="clear" w:color="000000" w:fill="D9D9D9"/>
            <w:vAlign w:val="center"/>
            <w:hideMark/>
          </w:tcPr>
          <w:p w14:paraId="4C909037" w14:textId="77777777" w:rsidR="002850C6" w:rsidRPr="002850C6" w:rsidRDefault="002850C6" w:rsidP="002850C6">
            <w:pPr>
              <w:spacing w:before="0" w:after="0"/>
              <w:jc w:val="right"/>
              <w:rPr>
                <w:b/>
                <w:bCs/>
                <w:noProof/>
                <w:sz w:val="16"/>
                <w:szCs w:val="16"/>
              </w:rPr>
            </w:pPr>
            <w:r w:rsidRPr="002850C6">
              <w:rPr>
                <w:b/>
                <w:noProof/>
                <w:sz w:val="16"/>
              </w:rPr>
              <w:t>4,455</w:t>
            </w:r>
          </w:p>
        </w:tc>
        <w:tc>
          <w:tcPr>
            <w:tcW w:w="1064" w:type="pct"/>
            <w:tcBorders>
              <w:top w:val="nil"/>
              <w:left w:val="nil"/>
              <w:bottom w:val="single" w:sz="8" w:space="0" w:color="auto"/>
              <w:right w:val="single" w:sz="8" w:space="0" w:color="auto"/>
            </w:tcBorders>
            <w:shd w:val="clear" w:color="000000" w:fill="D9D9D9"/>
          </w:tcPr>
          <w:p w14:paraId="60F975C1" w14:textId="77777777" w:rsidR="002850C6" w:rsidRPr="002850C6" w:rsidRDefault="002850C6" w:rsidP="002850C6">
            <w:pPr>
              <w:spacing w:before="0" w:after="0"/>
              <w:jc w:val="right"/>
              <w:rPr>
                <w:b/>
                <w:bCs/>
                <w:noProof/>
                <w:sz w:val="16"/>
                <w:szCs w:val="16"/>
              </w:rPr>
            </w:pPr>
            <w:r w:rsidRPr="002850C6">
              <w:rPr>
                <w:b/>
                <w:noProof/>
                <w:sz w:val="16"/>
              </w:rPr>
              <w:t>49,205</w:t>
            </w:r>
          </w:p>
        </w:tc>
      </w:tr>
      <w:tr w:rsidR="002850C6" w:rsidRPr="002850C6" w14:paraId="08D409C8" w14:textId="77777777" w:rsidTr="0043630B">
        <w:trPr>
          <w:trHeight w:val="300"/>
        </w:trPr>
        <w:tc>
          <w:tcPr>
            <w:tcW w:w="120" w:type="pct"/>
            <w:tcBorders>
              <w:top w:val="single" w:sz="8" w:space="0" w:color="auto"/>
              <w:left w:val="single" w:sz="8" w:space="0" w:color="auto"/>
              <w:bottom w:val="single" w:sz="8" w:space="0" w:color="auto"/>
              <w:right w:val="single" w:sz="4" w:space="0" w:color="auto"/>
            </w:tcBorders>
          </w:tcPr>
          <w:p w14:paraId="4A240A6B" w14:textId="77777777" w:rsidR="002850C6" w:rsidRPr="002850C6" w:rsidRDefault="002850C6" w:rsidP="002850C6">
            <w:pPr>
              <w:spacing w:before="0" w:after="0"/>
              <w:jc w:val="left"/>
              <w:rPr>
                <w:b/>
                <w:bCs/>
                <w:noProof/>
                <w:sz w:val="16"/>
                <w:szCs w:val="16"/>
                <w:lang w:eastAsia="en-IE"/>
              </w:rPr>
            </w:pPr>
          </w:p>
        </w:tc>
        <w:tc>
          <w:tcPr>
            <w:tcW w:w="0" w:type="auto"/>
            <w:gridSpan w:val="7"/>
            <w:tcBorders>
              <w:top w:val="single" w:sz="8" w:space="0" w:color="auto"/>
              <w:left w:val="single" w:sz="8" w:space="0" w:color="auto"/>
              <w:bottom w:val="single" w:sz="8" w:space="0" w:color="auto"/>
              <w:right w:val="single" w:sz="4" w:space="0" w:color="auto"/>
            </w:tcBorders>
            <w:vAlign w:val="center"/>
            <w:hideMark/>
          </w:tcPr>
          <w:p w14:paraId="63B0986A" w14:textId="77777777" w:rsidR="002850C6" w:rsidRPr="002850C6" w:rsidRDefault="002850C6" w:rsidP="002850C6">
            <w:pPr>
              <w:spacing w:before="0" w:after="0"/>
              <w:jc w:val="left"/>
              <w:rPr>
                <w:b/>
                <w:bCs/>
                <w:noProof/>
                <w:sz w:val="16"/>
                <w:szCs w:val="16"/>
              </w:rPr>
            </w:pPr>
            <w:r w:rsidRPr="002850C6">
              <w:rPr>
                <w:b/>
                <w:noProof/>
                <w:sz w:val="16"/>
              </w:rPr>
              <w:t>Hors RUBRIQUE 7</w:t>
            </w:r>
          </w:p>
        </w:tc>
      </w:tr>
      <w:tr w:rsidR="002850C6" w:rsidRPr="002850C6" w14:paraId="507DF150" w14:textId="77777777" w:rsidTr="0043630B">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4987E704" w14:textId="77777777" w:rsidR="002850C6" w:rsidRPr="002850C6" w:rsidRDefault="002850C6" w:rsidP="002850C6">
            <w:pPr>
              <w:spacing w:before="0" w:after="0"/>
              <w:jc w:val="left"/>
              <w:rPr>
                <w:noProof/>
                <w:sz w:val="16"/>
                <w:szCs w:val="16"/>
              </w:rPr>
            </w:pPr>
            <w:r w:rsidRPr="002850C6">
              <w:rPr>
                <w:noProof/>
                <w:sz w:val="16"/>
              </w:rPr>
              <w:t xml:space="preserve">Ressources humaines </w:t>
            </w:r>
          </w:p>
        </w:tc>
        <w:tc>
          <w:tcPr>
            <w:tcW w:w="458" w:type="pct"/>
            <w:tcBorders>
              <w:top w:val="nil"/>
              <w:left w:val="nil"/>
              <w:bottom w:val="single" w:sz="8" w:space="0" w:color="auto"/>
              <w:right w:val="single" w:sz="8" w:space="0" w:color="auto"/>
            </w:tcBorders>
            <w:shd w:val="clear" w:color="000000" w:fill="D9D9D9"/>
            <w:vAlign w:val="center"/>
            <w:hideMark/>
          </w:tcPr>
          <w:p w14:paraId="7DB6687B" w14:textId="77777777" w:rsidR="002850C6" w:rsidRPr="002850C6" w:rsidRDefault="002850C6" w:rsidP="002850C6">
            <w:pPr>
              <w:spacing w:before="0" w:after="0"/>
              <w:jc w:val="right"/>
              <w:rPr>
                <w:noProof/>
                <w:sz w:val="16"/>
                <w:szCs w:val="16"/>
              </w:rPr>
            </w:pPr>
            <w:r w:rsidRPr="002850C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59D32354" w14:textId="77777777" w:rsidR="002850C6" w:rsidRPr="002850C6" w:rsidRDefault="002850C6" w:rsidP="002850C6">
            <w:pPr>
              <w:spacing w:before="0" w:after="0"/>
              <w:jc w:val="right"/>
              <w:rPr>
                <w:noProof/>
                <w:sz w:val="16"/>
                <w:szCs w:val="16"/>
              </w:rPr>
            </w:pPr>
            <w:r w:rsidRPr="002850C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13FF360B" w14:textId="77777777" w:rsidR="002850C6" w:rsidRPr="002850C6" w:rsidRDefault="002850C6" w:rsidP="002850C6">
            <w:pPr>
              <w:spacing w:before="0" w:after="0"/>
              <w:jc w:val="right"/>
              <w:rPr>
                <w:noProof/>
                <w:sz w:val="16"/>
                <w:szCs w:val="16"/>
              </w:rPr>
            </w:pPr>
            <w:r w:rsidRPr="002850C6">
              <w:rPr>
                <w:noProof/>
                <w:sz w:val="16"/>
              </w:rPr>
              <w:t>0,000</w:t>
            </w:r>
          </w:p>
        </w:tc>
        <w:tc>
          <w:tcPr>
            <w:tcW w:w="476" w:type="pct"/>
            <w:tcBorders>
              <w:top w:val="nil"/>
              <w:left w:val="nil"/>
              <w:bottom w:val="single" w:sz="8" w:space="0" w:color="auto"/>
              <w:right w:val="single" w:sz="8" w:space="0" w:color="auto"/>
            </w:tcBorders>
            <w:shd w:val="clear" w:color="000000" w:fill="D9D9D9"/>
            <w:vAlign w:val="center"/>
            <w:hideMark/>
          </w:tcPr>
          <w:p w14:paraId="40C90662" w14:textId="77777777" w:rsidR="002850C6" w:rsidRPr="002850C6" w:rsidRDefault="002850C6" w:rsidP="002850C6">
            <w:pPr>
              <w:spacing w:before="0" w:after="0"/>
              <w:jc w:val="right"/>
              <w:rPr>
                <w:noProof/>
                <w:sz w:val="16"/>
                <w:szCs w:val="16"/>
              </w:rPr>
            </w:pPr>
            <w:r w:rsidRPr="002850C6">
              <w:rPr>
                <w:noProof/>
                <w:sz w:val="16"/>
              </w:rPr>
              <w:t>0,000</w:t>
            </w:r>
          </w:p>
        </w:tc>
        <w:tc>
          <w:tcPr>
            <w:tcW w:w="655" w:type="pct"/>
            <w:tcBorders>
              <w:top w:val="nil"/>
              <w:left w:val="nil"/>
              <w:bottom w:val="single" w:sz="8" w:space="0" w:color="auto"/>
              <w:right w:val="single" w:sz="8" w:space="0" w:color="auto"/>
            </w:tcBorders>
            <w:shd w:val="clear" w:color="000000" w:fill="D9D9D9"/>
            <w:vAlign w:val="center"/>
            <w:hideMark/>
          </w:tcPr>
          <w:p w14:paraId="7B06B4E4" w14:textId="77777777" w:rsidR="002850C6" w:rsidRPr="002850C6" w:rsidRDefault="002850C6" w:rsidP="002850C6">
            <w:pPr>
              <w:spacing w:before="0" w:after="0"/>
              <w:jc w:val="right"/>
              <w:rPr>
                <w:b/>
                <w:bCs/>
                <w:noProof/>
                <w:sz w:val="16"/>
                <w:szCs w:val="16"/>
              </w:rPr>
            </w:pPr>
            <w:r w:rsidRPr="002850C6">
              <w:rPr>
                <w:b/>
                <w:noProof/>
                <w:sz w:val="16"/>
              </w:rPr>
              <w:t>0,000</w:t>
            </w:r>
          </w:p>
        </w:tc>
        <w:tc>
          <w:tcPr>
            <w:tcW w:w="1064" w:type="pct"/>
            <w:tcBorders>
              <w:top w:val="nil"/>
              <w:left w:val="nil"/>
              <w:bottom w:val="single" w:sz="8" w:space="0" w:color="auto"/>
              <w:right w:val="single" w:sz="8" w:space="0" w:color="auto"/>
            </w:tcBorders>
            <w:shd w:val="clear" w:color="000000" w:fill="D9D9D9"/>
          </w:tcPr>
          <w:p w14:paraId="4B56801F" w14:textId="77777777" w:rsidR="002850C6" w:rsidRPr="002850C6" w:rsidRDefault="002850C6" w:rsidP="002850C6">
            <w:pPr>
              <w:spacing w:before="0" w:after="0"/>
              <w:jc w:val="right"/>
              <w:rPr>
                <w:b/>
                <w:bCs/>
                <w:noProof/>
                <w:sz w:val="16"/>
                <w:szCs w:val="16"/>
                <w:lang w:eastAsia="en-IE"/>
              </w:rPr>
            </w:pPr>
          </w:p>
        </w:tc>
      </w:tr>
      <w:tr w:rsidR="002850C6" w:rsidRPr="002850C6" w14:paraId="3317492E" w14:textId="77777777" w:rsidTr="0043630B">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0A9F71EB" w14:textId="77777777" w:rsidR="002850C6" w:rsidRPr="002850C6" w:rsidRDefault="002850C6" w:rsidP="002850C6">
            <w:pPr>
              <w:spacing w:before="0" w:after="0"/>
              <w:jc w:val="left"/>
              <w:rPr>
                <w:noProof/>
                <w:sz w:val="16"/>
                <w:szCs w:val="16"/>
              </w:rPr>
            </w:pPr>
            <w:r w:rsidRPr="002850C6">
              <w:rPr>
                <w:noProof/>
                <w:sz w:val="16"/>
              </w:rPr>
              <w:t>Autres dépenses de nature administrative</w:t>
            </w:r>
          </w:p>
        </w:tc>
        <w:tc>
          <w:tcPr>
            <w:tcW w:w="458" w:type="pct"/>
            <w:tcBorders>
              <w:top w:val="nil"/>
              <w:left w:val="nil"/>
              <w:bottom w:val="single" w:sz="8" w:space="0" w:color="auto"/>
              <w:right w:val="single" w:sz="8" w:space="0" w:color="auto"/>
            </w:tcBorders>
            <w:shd w:val="clear" w:color="000000" w:fill="D9D9D9"/>
            <w:vAlign w:val="center"/>
            <w:hideMark/>
          </w:tcPr>
          <w:p w14:paraId="21E1EE68" w14:textId="77777777" w:rsidR="002850C6" w:rsidRPr="002850C6" w:rsidRDefault="002850C6" w:rsidP="002850C6">
            <w:pPr>
              <w:spacing w:before="0" w:after="0"/>
              <w:jc w:val="right"/>
              <w:rPr>
                <w:noProof/>
                <w:sz w:val="16"/>
                <w:szCs w:val="16"/>
              </w:rPr>
            </w:pPr>
            <w:r w:rsidRPr="002850C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7383E1CC" w14:textId="77777777" w:rsidR="002850C6" w:rsidRPr="002850C6" w:rsidRDefault="002850C6" w:rsidP="002850C6">
            <w:pPr>
              <w:spacing w:before="0" w:after="0"/>
              <w:jc w:val="right"/>
              <w:rPr>
                <w:noProof/>
                <w:sz w:val="16"/>
                <w:szCs w:val="16"/>
              </w:rPr>
            </w:pPr>
            <w:r w:rsidRPr="002850C6">
              <w:rPr>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257A3D08" w14:textId="77777777" w:rsidR="002850C6" w:rsidRPr="002850C6" w:rsidRDefault="002850C6" w:rsidP="002850C6">
            <w:pPr>
              <w:spacing w:before="0" w:after="0"/>
              <w:jc w:val="right"/>
              <w:rPr>
                <w:noProof/>
                <w:sz w:val="16"/>
                <w:szCs w:val="16"/>
              </w:rPr>
            </w:pPr>
            <w:r w:rsidRPr="002850C6">
              <w:rPr>
                <w:noProof/>
                <w:sz w:val="16"/>
              </w:rPr>
              <w:t>0,000</w:t>
            </w:r>
          </w:p>
        </w:tc>
        <w:tc>
          <w:tcPr>
            <w:tcW w:w="476" w:type="pct"/>
            <w:tcBorders>
              <w:top w:val="nil"/>
              <w:left w:val="nil"/>
              <w:bottom w:val="single" w:sz="8" w:space="0" w:color="auto"/>
              <w:right w:val="single" w:sz="8" w:space="0" w:color="auto"/>
            </w:tcBorders>
            <w:shd w:val="clear" w:color="000000" w:fill="D9D9D9"/>
            <w:vAlign w:val="center"/>
            <w:hideMark/>
          </w:tcPr>
          <w:p w14:paraId="5D84215D" w14:textId="77777777" w:rsidR="002850C6" w:rsidRPr="002850C6" w:rsidRDefault="002850C6" w:rsidP="002850C6">
            <w:pPr>
              <w:spacing w:before="0" w:after="0"/>
              <w:jc w:val="right"/>
              <w:rPr>
                <w:noProof/>
                <w:sz w:val="16"/>
                <w:szCs w:val="16"/>
              </w:rPr>
            </w:pPr>
            <w:r w:rsidRPr="002850C6">
              <w:rPr>
                <w:noProof/>
                <w:sz w:val="16"/>
              </w:rPr>
              <w:t>0,000</w:t>
            </w:r>
          </w:p>
        </w:tc>
        <w:tc>
          <w:tcPr>
            <w:tcW w:w="655" w:type="pct"/>
            <w:tcBorders>
              <w:top w:val="nil"/>
              <w:left w:val="nil"/>
              <w:bottom w:val="single" w:sz="8" w:space="0" w:color="auto"/>
              <w:right w:val="single" w:sz="8" w:space="0" w:color="auto"/>
            </w:tcBorders>
            <w:shd w:val="clear" w:color="000000" w:fill="D9D9D9"/>
            <w:vAlign w:val="center"/>
            <w:hideMark/>
          </w:tcPr>
          <w:p w14:paraId="3100D53D" w14:textId="77777777" w:rsidR="002850C6" w:rsidRPr="002850C6" w:rsidRDefault="002850C6" w:rsidP="002850C6">
            <w:pPr>
              <w:spacing w:before="0" w:after="0"/>
              <w:jc w:val="right"/>
              <w:rPr>
                <w:b/>
                <w:bCs/>
                <w:noProof/>
                <w:sz w:val="16"/>
                <w:szCs w:val="16"/>
              </w:rPr>
            </w:pPr>
            <w:r w:rsidRPr="002850C6">
              <w:rPr>
                <w:b/>
                <w:noProof/>
                <w:sz w:val="16"/>
              </w:rPr>
              <w:t>0,000</w:t>
            </w:r>
          </w:p>
        </w:tc>
        <w:tc>
          <w:tcPr>
            <w:tcW w:w="1064" w:type="pct"/>
            <w:tcBorders>
              <w:top w:val="nil"/>
              <w:left w:val="nil"/>
              <w:bottom w:val="single" w:sz="8" w:space="0" w:color="auto"/>
              <w:right w:val="single" w:sz="8" w:space="0" w:color="auto"/>
            </w:tcBorders>
            <w:shd w:val="clear" w:color="000000" w:fill="D9D9D9"/>
          </w:tcPr>
          <w:p w14:paraId="08014095" w14:textId="77777777" w:rsidR="002850C6" w:rsidRPr="002850C6" w:rsidRDefault="002850C6" w:rsidP="002850C6">
            <w:pPr>
              <w:spacing w:before="0" w:after="0"/>
              <w:jc w:val="right"/>
              <w:rPr>
                <w:b/>
                <w:bCs/>
                <w:noProof/>
                <w:sz w:val="16"/>
                <w:szCs w:val="16"/>
                <w:lang w:eastAsia="en-IE"/>
              </w:rPr>
            </w:pPr>
          </w:p>
        </w:tc>
      </w:tr>
      <w:tr w:rsidR="002850C6" w:rsidRPr="002850C6" w14:paraId="5D9B6EA8" w14:textId="77777777" w:rsidTr="0043630B">
        <w:trPr>
          <w:trHeight w:val="300"/>
        </w:trPr>
        <w:tc>
          <w:tcPr>
            <w:tcW w:w="1432" w:type="pct"/>
            <w:gridSpan w:val="2"/>
            <w:tcBorders>
              <w:top w:val="nil"/>
              <w:left w:val="single" w:sz="8" w:space="0" w:color="auto"/>
              <w:bottom w:val="single" w:sz="8" w:space="0" w:color="auto"/>
              <w:right w:val="single" w:sz="8" w:space="0" w:color="auto"/>
            </w:tcBorders>
            <w:shd w:val="clear" w:color="000000" w:fill="CCCCCC"/>
            <w:vAlign w:val="center"/>
            <w:hideMark/>
          </w:tcPr>
          <w:p w14:paraId="1F5F3444" w14:textId="77777777" w:rsidR="002850C6" w:rsidRPr="002850C6" w:rsidRDefault="002850C6" w:rsidP="002850C6">
            <w:pPr>
              <w:spacing w:before="0" w:after="0"/>
              <w:jc w:val="center"/>
              <w:rPr>
                <w:b/>
                <w:bCs/>
                <w:noProof/>
                <w:sz w:val="16"/>
                <w:szCs w:val="16"/>
              </w:rPr>
            </w:pPr>
            <w:r w:rsidRPr="002850C6">
              <w:rPr>
                <w:b/>
                <w:noProof/>
                <w:sz w:val="16"/>
              </w:rPr>
              <w:t>Sous-total hors RUBRIQUE 7</w:t>
            </w:r>
          </w:p>
        </w:tc>
        <w:tc>
          <w:tcPr>
            <w:tcW w:w="458" w:type="pct"/>
            <w:tcBorders>
              <w:top w:val="nil"/>
              <w:left w:val="nil"/>
              <w:bottom w:val="single" w:sz="8" w:space="0" w:color="auto"/>
              <w:right w:val="single" w:sz="8" w:space="0" w:color="auto"/>
            </w:tcBorders>
            <w:shd w:val="clear" w:color="000000" w:fill="D9D9D9"/>
            <w:vAlign w:val="center"/>
            <w:hideMark/>
          </w:tcPr>
          <w:p w14:paraId="2264E447" w14:textId="77777777" w:rsidR="002850C6" w:rsidRPr="002850C6" w:rsidRDefault="002850C6" w:rsidP="002850C6">
            <w:pPr>
              <w:spacing w:before="0" w:after="0"/>
              <w:jc w:val="right"/>
              <w:rPr>
                <w:b/>
                <w:bCs/>
                <w:noProof/>
                <w:sz w:val="16"/>
                <w:szCs w:val="16"/>
              </w:rPr>
            </w:pPr>
            <w:r w:rsidRPr="002850C6">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13964DE3" w14:textId="77777777" w:rsidR="002850C6" w:rsidRPr="002850C6" w:rsidRDefault="002850C6" w:rsidP="002850C6">
            <w:pPr>
              <w:spacing w:before="0" w:after="0"/>
              <w:jc w:val="right"/>
              <w:rPr>
                <w:b/>
                <w:bCs/>
                <w:noProof/>
                <w:sz w:val="16"/>
                <w:szCs w:val="16"/>
              </w:rPr>
            </w:pPr>
            <w:r w:rsidRPr="002850C6">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0836CBFE" w14:textId="77777777" w:rsidR="002850C6" w:rsidRPr="002850C6" w:rsidRDefault="002850C6" w:rsidP="002850C6">
            <w:pPr>
              <w:spacing w:before="0" w:after="0"/>
              <w:jc w:val="right"/>
              <w:rPr>
                <w:b/>
                <w:bCs/>
                <w:noProof/>
                <w:sz w:val="16"/>
                <w:szCs w:val="16"/>
              </w:rPr>
            </w:pPr>
            <w:r w:rsidRPr="002850C6">
              <w:rPr>
                <w:b/>
                <w:noProof/>
                <w:sz w:val="16"/>
              </w:rPr>
              <w:t>0,000</w:t>
            </w:r>
          </w:p>
        </w:tc>
        <w:tc>
          <w:tcPr>
            <w:tcW w:w="476" w:type="pct"/>
            <w:tcBorders>
              <w:top w:val="nil"/>
              <w:left w:val="nil"/>
              <w:bottom w:val="single" w:sz="8" w:space="0" w:color="auto"/>
              <w:right w:val="single" w:sz="8" w:space="0" w:color="auto"/>
            </w:tcBorders>
            <w:shd w:val="clear" w:color="000000" w:fill="D9D9D9"/>
            <w:vAlign w:val="center"/>
            <w:hideMark/>
          </w:tcPr>
          <w:p w14:paraId="393C9089" w14:textId="77777777" w:rsidR="002850C6" w:rsidRPr="002850C6" w:rsidRDefault="002850C6" w:rsidP="002850C6">
            <w:pPr>
              <w:spacing w:before="0" w:after="0"/>
              <w:jc w:val="right"/>
              <w:rPr>
                <w:b/>
                <w:bCs/>
                <w:noProof/>
                <w:sz w:val="16"/>
                <w:szCs w:val="16"/>
              </w:rPr>
            </w:pPr>
            <w:r w:rsidRPr="002850C6">
              <w:rPr>
                <w:b/>
                <w:noProof/>
                <w:sz w:val="16"/>
              </w:rPr>
              <w:t>0,000</w:t>
            </w:r>
          </w:p>
        </w:tc>
        <w:tc>
          <w:tcPr>
            <w:tcW w:w="655" w:type="pct"/>
            <w:tcBorders>
              <w:top w:val="nil"/>
              <w:left w:val="nil"/>
              <w:bottom w:val="single" w:sz="8" w:space="0" w:color="auto"/>
              <w:right w:val="single" w:sz="8" w:space="0" w:color="auto"/>
            </w:tcBorders>
            <w:shd w:val="clear" w:color="000000" w:fill="D9D9D9"/>
            <w:vAlign w:val="center"/>
            <w:hideMark/>
          </w:tcPr>
          <w:p w14:paraId="6381B9A0" w14:textId="77777777" w:rsidR="002850C6" w:rsidRPr="002850C6" w:rsidRDefault="002850C6" w:rsidP="002850C6">
            <w:pPr>
              <w:spacing w:before="0" w:after="0"/>
              <w:jc w:val="right"/>
              <w:rPr>
                <w:b/>
                <w:bCs/>
                <w:noProof/>
                <w:sz w:val="16"/>
                <w:szCs w:val="16"/>
              </w:rPr>
            </w:pPr>
            <w:r w:rsidRPr="002850C6">
              <w:rPr>
                <w:b/>
                <w:noProof/>
                <w:sz w:val="16"/>
              </w:rPr>
              <w:t>0,000</w:t>
            </w:r>
          </w:p>
        </w:tc>
        <w:tc>
          <w:tcPr>
            <w:tcW w:w="1064" w:type="pct"/>
            <w:tcBorders>
              <w:top w:val="nil"/>
              <w:left w:val="nil"/>
              <w:bottom w:val="single" w:sz="8" w:space="0" w:color="auto"/>
              <w:right w:val="single" w:sz="8" w:space="0" w:color="auto"/>
            </w:tcBorders>
            <w:shd w:val="clear" w:color="000000" w:fill="D9D9D9"/>
          </w:tcPr>
          <w:p w14:paraId="02BB1183" w14:textId="77777777" w:rsidR="002850C6" w:rsidRPr="002850C6" w:rsidRDefault="002850C6" w:rsidP="002850C6">
            <w:pPr>
              <w:spacing w:before="0" w:after="0"/>
              <w:jc w:val="right"/>
              <w:rPr>
                <w:b/>
                <w:bCs/>
                <w:noProof/>
                <w:sz w:val="16"/>
                <w:szCs w:val="16"/>
                <w:lang w:eastAsia="en-IE"/>
              </w:rPr>
            </w:pPr>
          </w:p>
        </w:tc>
      </w:tr>
      <w:tr w:rsidR="002850C6" w:rsidRPr="002850C6" w14:paraId="551461B6" w14:textId="77777777" w:rsidTr="0043630B">
        <w:trPr>
          <w:trHeight w:val="300"/>
        </w:trPr>
        <w:tc>
          <w:tcPr>
            <w:tcW w:w="120" w:type="pct"/>
            <w:tcBorders>
              <w:top w:val="single" w:sz="8" w:space="0" w:color="auto"/>
              <w:left w:val="single" w:sz="8" w:space="0" w:color="auto"/>
              <w:bottom w:val="single" w:sz="8" w:space="0" w:color="auto"/>
              <w:right w:val="single" w:sz="4" w:space="0" w:color="auto"/>
            </w:tcBorders>
          </w:tcPr>
          <w:p w14:paraId="2EF11959" w14:textId="77777777" w:rsidR="002850C6" w:rsidRPr="002850C6" w:rsidRDefault="002850C6" w:rsidP="002850C6">
            <w:pPr>
              <w:spacing w:before="0" w:after="0"/>
              <w:jc w:val="center"/>
              <w:rPr>
                <w:noProof/>
                <w:sz w:val="16"/>
                <w:szCs w:val="16"/>
                <w:lang w:eastAsia="en-IE"/>
              </w:rPr>
            </w:pPr>
          </w:p>
        </w:tc>
        <w:tc>
          <w:tcPr>
            <w:tcW w:w="0" w:type="auto"/>
            <w:gridSpan w:val="7"/>
            <w:tcBorders>
              <w:top w:val="single" w:sz="8" w:space="0" w:color="auto"/>
              <w:left w:val="single" w:sz="8" w:space="0" w:color="auto"/>
              <w:bottom w:val="single" w:sz="8" w:space="0" w:color="auto"/>
              <w:right w:val="single" w:sz="4" w:space="0" w:color="auto"/>
            </w:tcBorders>
            <w:noWrap/>
            <w:vAlign w:val="center"/>
            <w:hideMark/>
          </w:tcPr>
          <w:p w14:paraId="72662E8A" w14:textId="77777777" w:rsidR="002850C6" w:rsidRPr="002850C6" w:rsidRDefault="002850C6" w:rsidP="002850C6">
            <w:pPr>
              <w:spacing w:before="0" w:after="0"/>
              <w:jc w:val="center"/>
              <w:rPr>
                <w:noProof/>
                <w:sz w:val="16"/>
                <w:szCs w:val="16"/>
              </w:rPr>
            </w:pPr>
            <w:r w:rsidRPr="002850C6">
              <w:rPr>
                <w:noProof/>
                <w:sz w:val="16"/>
              </w:rPr>
              <w:t xml:space="preserve"> </w:t>
            </w:r>
          </w:p>
        </w:tc>
      </w:tr>
      <w:tr w:rsidR="002850C6" w:rsidRPr="002850C6" w14:paraId="1BB90397" w14:textId="77777777" w:rsidTr="0043630B">
        <w:trPr>
          <w:trHeight w:val="300"/>
        </w:trPr>
        <w:tc>
          <w:tcPr>
            <w:tcW w:w="1432" w:type="pct"/>
            <w:gridSpan w:val="2"/>
            <w:tcBorders>
              <w:top w:val="nil"/>
              <w:left w:val="single" w:sz="8" w:space="0" w:color="auto"/>
              <w:bottom w:val="single" w:sz="8" w:space="0" w:color="auto"/>
              <w:right w:val="single" w:sz="8" w:space="0" w:color="auto"/>
            </w:tcBorders>
            <w:vAlign w:val="center"/>
            <w:hideMark/>
          </w:tcPr>
          <w:p w14:paraId="09F56D72" w14:textId="77777777" w:rsidR="002850C6" w:rsidRPr="002850C6" w:rsidRDefault="002850C6" w:rsidP="002850C6">
            <w:pPr>
              <w:spacing w:before="0" w:after="0"/>
              <w:jc w:val="center"/>
              <w:rPr>
                <w:b/>
                <w:bCs/>
                <w:noProof/>
                <w:sz w:val="16"/>
                <w:szCs w:val="16"/>
              </w:rPr>
            </w:pPr>
            <w:r w:rsidRPr="002850C6">
              <w:rPr>
                <w:b/>
                <w:noProof/>
                <w:sz w:val="16"/>
              </w:rPr>
              <w:t>TOTAL</w:t>
            </w:r>
          </w:p>
        </w:tc>
        <w:tc>
          <w:tcPr>
            <w:tcW w:w="458" w:type="pct"/>
            <w:tcBorders>
              <w:top w:val="nil"/>
              <w:left w:val="nil"/>
              <w:bottom w:val="single" w:sz="8" w:space="0" w:color="auto"/>
              <w:right w:val="single" w:sz="8" w:space="0" w:color="auto"/>
            </w:tcBorders>
            <w:shd w:val="clear" w:color="000000" w:fill="D9D9D9"/>
            <w:vAlign w:val="center"/>
            <w:hideMark/>
          </w:tcPr>
          <w:p w14:paraId="2774583A" w14:textId="77777777" w:rsidR="002850C6" w:rsidRPr="002850C6" w:rsidRDefault="002850C6" w:rsidP="002850C6">
            <w:pPr>
              <w:spacing w:before="0" w:after="0"/>
              <w:jc w:val="right"/>
              <w:rPr>
                <w:b/>
                <w:bCs/>
                <w:noProof/>
                <w:sz w:val="16"/>
                <w:szCs w:val="16"/>
              </w:rPr>
            </w:pPr>
            <w:r w:rsidRPr="002850C6">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35696A2F" w14:textId="77777777" w:rsidR="002850C6" w:rsidRPr="002850C6" w:rsidRDefault="002850C6" w:rsidP="002850C6">
            <w:pPr>
              <w:spacing w:before="0" w:after="0"/>
              <w:jc w:val="right"/>
              <w:rPr>
                <w:b/>
                <w:bCs/>
                <w:noProof/>
                <w:sz w:val="16"/>
                <w:szCs w:val="16"/>
              </w:rPr>
            </w:pPr>
            <w:r w:rsidRPr="002850C6">
              <w:rPr>
                <w:b/>
                <w:noProof/>
                <w:sz w:val="16"/>
              </w:rPr>
              <w:t>0,000</w:t>
            </w:r>
          </w:p>
        </w:tc>
        <w:tc>
          <w:tcPr>
            <w:tcW w:w="458" w:type="pct"/>
            <w:tcBorders>
              <w:top w:val="nil"/>
              <w:left w:val="nil"/>
              <w:bottom w:val="single" w:sz="8" w:space="0" w:color="auto"/>
              <w:right w:val="single" w:sz="8" w:space="0" w:color="auto"/>
            </w:tcBorders>
            <w:shd w:val="clear" w:color="000000" w:fill="D9D9D9"/>
            <w:vAlign w:val="center"/>
            <w:hideMark/>
          </w:tcPr>
          <w:p w14:paraId="281B60FF" w14:textId="77777777" w:rsidR="002850C6" w:rsidRPr="002850C6" w:rsidRDefault="002850C6" w:rsidP="002850C6">
            <w:pPr>
              <w:spacing w:before="0" w:after="0"/>
              <w:jc w:val="right"/>
              <w:rPr>
                <w:b/>
                <w:bCs/>
                <w:noProof/>
                <w:sz w:val="16"/>
                <w:szCs w:val="16"/>
              </w:rPr>
            </w:pPr>
            <w:r w:rsidRPr="002850C6">
              <w:rPr>
                <w:b/>
                <w:noProof/>
                <w:sz w:val="16"/>
              </w:rPr>
              <w:t>1,504</w:t>
            </w:r>
          </w:p>
        </w:tc>
        <w:tc>
          <w:tcPr>
            <w:tcW w:w="476" w:type="pct"/>
            <w:tcBorders>
              <w:top w:val="nil"/>
              <w:left w:val="nil"/>
              <w:bottom w:val="single" w:sz="8" w:space="0" w:color="auto"/>
              <w:right w:val="single" w:sz="8" w:space="0" w:color="auto"/>
            </w:tcBorders>
            <w:shd w:val="clear" w:color="000000" w:fill="D9D9D9"/>
            <w:vAlign w:val="center"/>
            <w:hideMark/>
          </w:tcPr>
          <w:p w14:paraId="3D64DAE6" w14:textId="77777777" w:rsidR="002850C6" w:rsidRPr="002850C6" w:rsidRDefault="002850C6" w:rsidP="002850C6">
            <w:pPr>
              <w:spacing w:before="0" w:after="0"/>
              <w:jc w:val="right"/>
              <w:rPr>
                <w:b/>
                <w:bCs/>
                <w:noProof/>
                <w:sz w:val="16"/>
                <w:szCs w:val="16"/>
              </w:rPr>
            </w:pPr>
            <w:r w:rsidRPr="002850C6">
              <w:rPr>
                <w:b/>
                <w:noProof/>
                <w:sz w:val="16"/>
              </w:rPr>
              <w:t>2,951</w:t>
            </w:r>
          </w:p>
        </w:tc>
        <w:tc>
          <w:tcPr>
            <w:tcW w:w="655" w:type="pct"/>
            <w:tcBorders>
              <w:top w:val="nil"/>
              <w:left w:val="nil"/>
              <w:bottom w:val="single" w:sz="8" w:space="0" w:color="auto"/>
              <w:right w:val="single" w:sz="8" w:space="0" w:color="auto"/>
            </w:tcBorders>
            <w:shd w:val="clear" w:color="000000" w:fill="D9D9D9"/>
            <w:vAlign w:val="center"/>
            <w:hideMark/>
          </w:tcPr>
          <w:p w14:paraId="612E6F3C" w14:textId="77777777" w:rsidR="002850C6" w:rsidRPr="002850C6" w:rsidRDefault="002850C6" w:rsidP="002850C6">
            <w:pPr>
              <w:spacing w:before="0" w:after="0"/>
              <w:jc w:val="right"/>
              <w:rPr>
                <w:b/>
                <w:bCs/>
                <w:noProof/>
                <w:sz w:val="16"/>
                <w:szCs w:val="16"/>
              </w:rPr>
            </w:pPr>
            <w:r w:rsidRPr="002850C6">
              <w:rPr>
                <w:b/>
                <w:noProof/>
                <w:sz w:val="16"/>
              </w:rPr>
              <w:t>4,455</w:t>
            </w:r>
          </w:p>
        </w:tc>
        <w:tc>
          <w:tcPr>
            <w:tcW w:w="1064" w:type="pct"/>
            <w:tcBorders>
              <w:top w:val="nil"/>
              <w:left w:val="nil"/>
              <w:bottom w:val="single" w:sz="8" w:space="0" w:color="auto"/>
              <w:right w:val="single" w:sz="8" w:space="0" w:color="auto"/>
            </w:tcBorders>
            <w:shd w:val="clear" w:color="000000" w:fill="D9D9D9"/>
          </w:tcPr>
          <w:p w14:paraId="4D6E4E27" w14:textId="77777777" w:rsidR="002850C6" w:rsidRPr="002850C6" w:rsidRDefault="002850C6" w:rsidP="002850C6">
            <w:pPr>
              <w:spacing w:before="0" w:after="0"/>
              <w:jc w:val="right"/>
              <w:rPr>
                <w:b/>
                <w:bCs/>
                <w:noProof/>
                <w:sz w:val="16"/>
                <w:szCs w:val="16"/>
              </w:rPr>
            </w:pPr>
            <w:r w:rsidRPr="002850C6">
              <w:rPr>
                <w:b/>
                <w:noProof/>
                <w:sz w:val="16"/>
              </w:rPr>
              <w:t>49,205</w:t>
            </w:r>
          </w:p>
        </w:tc>
      </w:tr>
    </w:tbl>
    <w:p w14:paraId="23CB6E08" w14:textId="77777777" w:rsidR="002850C6" w:rsidRPr="002850C6" w:rsidRDefault="002850C6" w:rsidP="002850C6">
      <w:pPr>
        <w:spacing w:after="40"/>
        <w:rPr>
          <w:noProof/>
          <w:color w:val="008000"/>
        </w:rPr>
      </w:pPr>
    </w:p>
    <w:p w14:paraId="4E48E8E5" w14:textId="77777777" w:rsidR="002850C6" w:rsidRPr="002850C6" w:rsidRDefault="002850C6" w:rsidP="002850C6">
      <w:pPr>
        <w:keepNext/>
        <w:tabs>
          <w:tab w:val="left" w:pos="850"/>
        </w:tabs>
        <w:ind w:left="850" w:hanging="850"/>
        <w:outlineLvl w:val="2"/>
        <w:rPr>
          <w:i/>
          <w:noProof/>
        </w:rPr>
      </w:pPr>
      <w:bookmarkStart w:id="149" w:name="_Toc213612599"/>
      <w:r w:rsidRPr="002850C6">
        <w:rPr>
          <w:i/>
          <w:noProof/>
        </w:rPr>
        <w:t>3.2.3.3.</w:t>
      </w:r>
      <w:r w:rsidRPr="002850C6">
        <w:rPr>
          <w:i/>
          <w:noProof/>
        </w:rPr>
        <w:tab/>
        <w:t>Total des crédits</w:t>
      </w:r>
      <w:bookmarkEnd w:id="149"/>
    </w:p>
    <w:tbl>
      <w:tblPr>
        <w:tblW w:w="9289" w:type="dxa"/>
        <w:tblLayout w:type="fixed"/>
        <w:tblLook w:val="04A0" w:firstRow="1" w:lastRow="0" w:firstColumn="1" w:lastColumn="0" w:noHBand="0" w:noVBand="1"/>
      </w:tblPr>
      <w:tblGrid>
        <w:gridCol w:w="3227"/>
        <w:gridCol w:w="850"/>
        <w:gridCol w:w="851"/>
        <w:gridCol w:w="992"/>
        <w:gridCol w:w="992"/>
        <w:gridCol w:w="1134"/>
        <w:gridCol w:w="1243"/>
      </w:tblGrid>
      <w:tr w:rsidR="002850C6" w:rsidRPr="002850C6" w14:paraId="047BF64C" w14:textId="77777777" w:rsidTr="0043630B">
        <w:trPr>
          <w:trHeight w:val="519"/>
        </w:trPr>
        <w:tc>
          <w:tcPr>
            <w:tcW w:w="3227" w:type="dxa"/>
            <w:vMerge w:val="restart"/>
            <w:tcBorders>
              <w:top w:val="single" w:sz="8" w:space="0" w:color="auto"/>
              <w:left w:val="single" w:sz="8" w:space="0" w:color="auto"/>
              <w:bottom w:val="single" w:sz="8" w:space="0" w:color="000000"/>
              <w:right w:val="single" w:sz="8" w:space="0" w:color="auto"/>
            </w:tcBorders>
            <w:vAlign w:val="center"/>
            <w:hideMark/>
          </w:tcPr>
          <w:p w14:paraId="5E1B77AD" w14:textId="77777777" w:rsidR="002850C6" w:rsidRPr="002850C6" w:rsidRDefault="002850C6" w:rsidP="002850C6">
            <w:pPr>
              <w:spacing w:before="0" w:after="0"/>
              <w:jc w:val="center"/>
              <w:rPr>
                <w:b/>
                <w:bCs/>
                <w:noProof/>
                <w:sz w:val="18"/>
                <w:szCs w:val="18"/>
              </w:rPr>
            </w:pPr>
            <w:r w:rsidRPr="002850C6">
              <w:rPr>
                <w:b/>
                <w:noProof/>
                <w:sz w:val="18"/>
              </w:rPr>
              <w:t>TOTAL                                                        CRÉDITS VOTÉS                                 +                                                                    RECETTES AFFECTÉES EXTERNES</w:t>
            </w:r>
          </w:p>
        </w:tc>
        <w:tc>
          <w:tcPr>
            <w:tcW w:w="850" w:type="dxa"/>
            <w:tcBorders>
              <w:top w:val="single" w:sz="8" w:space="0" w:color="auto"/>
              <w:left w:val="nil"/>
              <w:bottom w:val="single" w:sz="8" w:space="0" w:color="auto"/>
              <w:right w:val="single" w:sz="8" w:space="0" w:color="auto"/>
            </w:tcBorders>
            <w:vAlign w:val="center"/>
            <w:hideMark/>
          </w:tcPr>
          <w:p w14:paraId="5ECB038F" w14:textId="77777777" w:rsidR="002850C6" w:rsidRPr="002850C6" w:rsidRDefault="002850C6" w:rsidP="002850C6">
            <w:pPr>
              <w:spacing w:before="0" w:after="0"/>
              <w:jc w:val="center"/>
              <w:rPr>
                <w:noProof/>
                <w:sz w:val="18"/>
                <w:szCs w:val="18"/>
              </w:rPr>
            </w:pPr>
            <w:r w:rsidRPr="002850C6">
              <w:rPr>
                <w:noProof/>
                <w:sz w:val="18"/>
              </w:rPr>
              <w:t>Année</w:t>
            </w:r>
          </w:p>
        </w:tc>
        <w:tc>
          <w:tcPr>
            <w:tcW w:w="851" w:type="dxa"/>
            <w:tcBorders>
              <w:top w:val="single" w:sz="8" w:space="0" w:color="auto"/>
              <w:left w:val="single" w:sz="8" w:space="0" w:color="auto"/>
              <w:bottom w:val="single" w:sz="8" w:space="0" w:color="auto"/>
              <w:right w:val="single" w:sz="8" w:space="0" w:color="auto"/>
            </w:tcBorders>
            <w:vAlign w:val="center"/>
            <w:hideMark/>
          </w:tcPr>
          <w:p w14:paraId="2D546B61" w14:textId="77777777" w:rsidR="002850C6" w:rsidRPr="002850C6" w:rsidRDefault="002850C6" w:rsidP="002850C6">
            <w:pPr>
              <w:spacing w:before="0" w:after="0"/>
              <w:jc w:val="center"/>
              <w:rPr>
                <w:noProof/>
                <w:sz w:val="18"/>
                <w:szCs w:val="18"/>
              </w:rPr>
            </w:pPr>
            <w:r w:rsidRPr="002850C6">
              <w:rPr>
                <w:noProof/>
                <w:sz w:val="18"/>
              </w:rPr>
              <w:t>Année</w:t>
            </w:r>
          </w:p>
        </w:tc>
        <w:tc>
          <w:tcPr>
            <w:tcW w:w="992" w:type="dxa"/>
            <w:tcBorders>
              <w:top w:val="single" w:sz="8" w:space="0" w:color="auto"/>
              <w:left w:val="single" w:sz="8" w:space="0" w:color="auto"/>
              <w:bottom w:val="single" w:sz="8" w:space="0" w:color="auto"/>
              <w:right w:val="single" w:sz="8" w:space="0" w:color="auto"/>
            </w:tcBorders>
            <w:vAlign w:val="center"/>
            <w:hideMark/>
          </w:tcPr>
          <w:p w14:paraId="1AA82755" w14:textId="77777777" w:rsidR="002850C6" w:rsidRPr="002850C6" w:rsidRDefault="002850C6" w:rsidP="002850C6">
            <w:pPr>
              <w:spacing w:before="0" w:after="0"/>
              <w:jc w:val="center"/>
              <w:rPr>
                <w:noProof/>
                <w:sz w:val="18"/>
                <w:szCs w:val="18"/>
              </w:rPr>
            </w:pPr>
            <w:r w:rsidRPr="002850C6">
              <w:rPr>
                <w:noProof/>
                <w:sz w:val="18"/>
              </w:rPr>
              <w:t>Année</w:t>
            </w:r>
          </w:p>
        </w:tc>
        <w:tc>
          <w:tcPr>
            <w:tcW w:w="992" w:type="dxa"/>
            <w:tcBorders>
              <w:top w:val="single" w:sz="8" w:space="0" w:color="auto"/>
              <w:left w:val="single" w:sz="8" w:space="0" w:color="auto"/>
              <w:bottom w:val="single" w:sz="8" w:space="0" w:color="auto"/>
              <w:right w:val="single" w:sz="8" w:space="0" w:color="auto"/>
            </w:tcBorders>
            <w:vAlign w:val="center"/>
            <w:hideMark/>
          </w:tcPr>
          <w:p w14:paraId="3FF9991B" w14:textId="77777777" w:rsidR="002850C6" w:rsidRPr="002850C6" w:rsidRDefault="002850C6" w:rsidP="002850C6">
            <w:pPr>
              <w:spacing w:before="0" w:after="0"/>
              <w:jc w:val="center"/>
              <w:rPr>
                <w:noProof/>
                <w:sz w:val="18"/>
                <w:szCs w:val="18"/>
              </w:rPr>
            </w:pPr>
            <w:r w:rsidRPr="002850C6">
              <w:rPr>
                <w:noProof/>
                <w:sz w:val="18"/>
              </w:rPr>
              <w:t>Année</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6573879C" w14:textId="77777777" w:rsidR="002850C6" w:rsidRPr="002850C6" w:rsidRDefault="002850C6" w:rsidP="002850C6">
            <w:pPr>
              <w:spacing w:before="0" w:after="0"/>
              <w:jc w:val="center"/>
              <w:rPr>
                <w:b/>
                <w:bCs/>
                <w:noProof/>
                <w:sz w:val="18"/>
                <w:szCs w:val="18"/>
              </w:rPr>
            </w:pPr>
            <w:r w:rsidRPr="002850C6">
              <w:rPr>
                <w:b/>
                <w:noProof/>
                <w:sz w:val="18"/>
              </w:rPr>
              <w:t>TOTAL 2021-2027</w:t>
            </w:r>
          </w:p>
        </w:tc>
        <w:tc>
          <w:tcPr>
            <w:tcW w:w="1243" w:type="dxa"/>
            <w:vMerge w:val="restart"/>
            <w:tcBorders>
              <w:top w:val="single" w:sz="8" w:space="0" w:color="auto"/>
              <w:left w:val="single" w:sz="8" w:space="0" w:color="auto"/>
              <w:right w:val="single" w:sz="8" w:space="0" w:color="auto"/>
            </w:tcBorders>
            <w:vAlign w:val="center"/>
          </w:tcPr>
          <w:p w14:paraId="1C264D9B" w14:textId="77777777" w:rsidR="002850C6" w:rsidRPr="002850C6" w:rsidRDefault="002850C6" w:rsidP="002850C6">
            <w:pPr>
              <w:spacing w:before="0" w:after="0"/>
              <w:jc w:val="center"/>
              <w:rPr>
                <w:b/>
                <w:bCs/>
                <w:noProof/>
                <w:sz w:val="18"/>
                <w:szCs w:val="18"/>
              </w:rPr>
            </w:pPr>
            <w:r w:rsidRPr="002850C6">
              <w:rPr>
                <w:b/>
                <w:noProof/>
                <w:sz w:val="18"/>
              </w:rPr>
              <w:t>TOTAL 2028-2034</w:t>
            </w:r>
          </w:p>
        </w:tc>
      </w:tr>
      <w:tr w:rsidR="002850C6" w:rsidRPr="002850C6" w14:paraId="10AF50FD" w14:textId="77777777" w:rsidTr="0043630B">
        <w:trPr>
          <w:trHeight w:val="519"/>
        </w:trPr>
        <w:tc>
          <w:tcPr>
            <w:tcW w:w="3227" w:type="dxa"/>
            <w:vMerge/>
            <w:tcBorders>
              <w:top w:val="single" w:sz="8" w:space="0" w:color="auto"/>
              <w:left w:val="single" w:sz="8" w:space="0" w:color="auto"/>
              <w:bottom w:val="single" w:sz="8" w:space="0" w:color="auto"/>
              <w:right w:val="single" w:sz="8" w:space="0" w:color="auto"/>
            </w:tcBorders>
            <w:vAlign w:val="center"/>
            <w:hideMark/>
          </w:tcPr>
          <w:p w14:paraId="22A483EC" w14:textId="77777777" w:rsidR="002850C6" w:rsidRPr="002850C6" w:rsidRDefault="002850C6" w:rsidP="002850C6">
            <w:pPr>
              <w:spacing w:before="0" w:after="0"/>
              <w:jc w:val="left"/>
              <w:rPr>
                <w:b/>
                <w:bCs/>
                <w:noProof/>
                <w:sz w:val="18"/>
                <w:szCs w:val="18"/>
                <w:lang w:eastAsia="en-IE"/>
              </w:rPr>
            </w:pPr>
          </w:p>
        </w:tc>
        <w:tc>
          <w:tcPr>
            <w:tcW w:w="850" w:type="dxa"/>
            <w:tcBorders>
              <w:top w:val="single" w:sz="8" w:space="0" w:color="auto"/>
              <w:left w:val="nil"/>
              <w:bottom w:val="single" w:sz="8" w:space="0" w:color="auto"/>
              <w:right w:val="single" w:sz="8" w:space="0" w:color="auto"/>
            </w:tcBorders>
            <w:vAlign w:val="center"/>
            <w:hideMark/>
          </w:tcPr>
          <w:p w14:paraId="1C65C50F" w14:textId="77777777" w:rsidR="002850C6" w:rsidRPr="002850C6" w:rsidRDefault="002850C6" w:rsidP="002850C6">
            <w:pPr>
              <w:spacing w:before="0" w:after="0"/>
              <w:jc w:val="center"/>
              <w:rPr>
                <w:b/>
                <w:bCs/>
                <w:noProof/>
                <w:sz w:val="18"/>
                <w:szCs w:val="18"/>
              </w:rPr>
            </w:pPr>
            <w:r w:rsidRPr="002850C6">
              <w:rPr>
                <w:b/>
                <w:noProof/>
                <w:sz w:val="18"/>
              </w:rPr>
              <w:t>2024</w:t>
            </w:r>
          </w:p>
        </w:tc>
        <w:tc>
          <w:tcPr>
            <w:tcW w:w="851" w:type="dxa"/>
            <w:tcBorders>
              <w:top w:val="single" w:sz="8" w:space="0" w:color="auto"/>
              <w:left w:val="single" w:sz="8" w:space="0" w:color="auto"/>
              <w:bottom w:val="single" w:sz="8" w:space="0" w:color="auto"/>
              <w:right w:val="single" w:sz="8" w:space="0" w:color="auto"/>
            </w:tcBorders>
            <w:vAlign w:val="center"/>
            <w:hideMark/>
          </w:tcPr>
          <w:p w14:paraId="07459F81" w14:textId="77777777" w:rsidR="002850C6" w:rsidRPr="002850C6" w:rsidRDefault="002850C6" w:rsidP="002850C6">
            <w:pPr>
              <w:spacing w:before="0" w:after="0"/>
              <w:jc w:val="center"/>
              <w:rPr>
                <w:b/>
                <w:bCs/>
                <w:noProof/>
                <w:sz w:val="18"/>
                <w:szCs w:val="18"/>
              </w:rPr>
            </w:pPr>
            <w:r w:rsidRPr="002850C6">
              <w:rPr>
                <w:b/>
                <w:noProof/>
                <w:sz w:val="18"/>
              </w:rPr>
              <w:t>2025</w:t>
            </w:r>
          </w:p>
        </w:tc>
        <w:tc>
          <w:tcPr>
            <w:tcW w:w="992" w:type="dxa"/>
            <w:tcBorders>
              <w:top w:val="single" w:sz="8" w:space="0" w:color="auto"/>
              <w:left w:val="single" w:sz="8" w:space="0" w:color="auto"/>
              <w:bottom w:val="single" w:sz="8" w:space="0" w:color="auto"/>
              <w:right w:val="single" w:sz="8" w:space="0" w:color="auto"/>
            </w:tcBorders>
            <w:vAlign w:val="center"/>
            <w:hideMark/>
          </w:tcPr>
          <w:p w14:paraId="1504BD2E" w14:textId="77777777" w:rsidR="002850C6" w:rsidRPr="002850C6" w:rsidRDefault="002850C6" w:rsidP="002850C6">
            <w:pPr>
              <w:spacing w:before="0" w:after="0"/>
              <w:jc w:val="center"/>
              <w:rPr>
                <w:b/>
                <w:bCs/>
                <w:noProof/>
                <w:sz w:val="18"/>
                <w:szCs w:val="18"/>
              </w:rPr>
            </w:pPr>
            <w:r w:rsidRPr="002850C6">
              <w:rPr>
                <w:b/>
                <w:noProof/>
                <w:sz w:val="18"/>
              </w:rPr>
              <w:t>2026</w:t>
            </w:r>
          </w:p>
        </w:tc>
        <w:tc>
          <w:tcPr>
            <w:tcW w:w="992" w:type="dxa"/>
            <w:tcBorders>
              <w:top w:val="single" w:sz="8" w:space="0" w:color="auto"/>
              <w:left w:val="single" w:sz="8" w:space="0" w:color="auto"/>
              <w:bottom w:val="single" w:sz="8" w:space="0" w:color="auto"/>
              <w:right w:val="single" w:sz="8" w:space="0" w:color="auto"/>
            </w:tcBorders>
            <w:vAlign w:val="center"/>
            <w:hideMark/>
          </w:tcPr>
          <w:p w14:paraId="71DA52B8" w14:textId="77777777" w:rsidR="002850C6" w:rsidRPr="002850C6" w:rsidRDefault="002850C6" w:rsidP="002850C6">
            <w:pPr>
              <w:spacing w:before="0" w:after="0"/>
              <w:jc w:val="center"/>
              <w:rPr>
                <w:b/>
                <w:bCs/>
                <w:noProof/>
                <w:sz w:val="18"/>
                <w:szCs w:val="18"/>
              </w:rPr>
            </w:pPr>
            <w:r w:rsidRPr="002850C6">
              <w:rPr>
                <w:b/>
                <w:noProof/>
                <w:sz w:val="18"/>
              </w:rPr>
              <w:t>2027</w:t>
            </w: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5FA441D8" w14:textId="77777777" w:rsidR="002850C6" w:rsidRPr="002850C6" w:rsidRDefault="002850C6" w:rsidP="002850C6">
            <w:pPr>
              <w:spacing w:before="0" w:after="0"/>
              <w:jc w:val="left"/>
              <w:rPr>
                <w:b/>
                <w:bCs/>
                <w:noProof/>
                <w:sz w:val="18"/>
                <w:szCs w:val="18"/>
                <w:lang w:eastAsia="en-IE"/>
              </w:rPr>
            </w:pPr>
          </w:p>
        </w:tc>
        <w:tc>
          <w:tcPr>
            <w:tcW w:w="1243" w:type="dxa"/>
            <w:vMerge/>
            <w:tcBorders>
              <w:left w:val="single" w:sz="8" w:space="0" w:color="auto"/>
              <w:bottom w:val="single" w:sz="8" w:space="0" w:color="auto"/>
              <w:right w:val="single" w:sz="8" w:space="0" w:color="auto"/>
            </w:tcBorders>
          </w:tcPr>
          <w:p w14:paraId="3B7EF5FA" w14:textId="77777777" w:rsidR="002850C6" w:rsidRPr="002850C6" w:rsidRDefault="002850C6" w:rsidP="002850C6">
            <w:pPr>
              <w:spacing w:before="0" w:after="0"/>
              <w:jc w:val="left"/>
              <w:rPr>
                <w:b/>
                <w:bCs/>
                <w:noProof/>
                <w:sz w:val="18"/>
                <w:szCs w:val="18"/>
                <w:lang w:eastAsia="en-IE"/>
              </w:rPr>
            </w:pPr>
          </w:p>
        </w:tc>
      </w:tr>
      <w:tr w:rsidR="002850C6" w:rsidRPr="002850C6" w14:paraId="3E020A14" w14:textId="77777777" w:rsidTr="0043630B">
        <w:trPr>
          <w:trHeight w:val="300"/>
        </w:trPr>
        <w:tc>
          <w:tcPr>
            <w:tcW w:w="8046" w:type="dxa"/>
            <w:gridSpan w:val="6"/>
            <w:tcBorders>
              <w:top w:val="single" w:sz="8" w:space="0" w:color="auto"/>
              <w:left w:val="single" w:sz="8" w:space="0" w:color="auto"/>
              <w:bottom w:val="single" w:sz="8" w:space="0" w:color="auto"/>
              <w:right w:val="single" w:sz="4" w:space="0" w:color="auto"/>
            </w:tcBorders>
            <w:vAlign w:val="center"/>
            <w:hideMark/>
          </w:tcPr>
          <w:p w14:paraId="30C2B33B" w14:textId="77777777" w:rsidR="002850C6" w:rsidRPr="002850C6" w:rsidRDefault="002850C6" w:rsidP="002850C6">
            <w:pPr>
              <w:spacing w:before="0" w:after="0"/>
              <w:jc w:val="left"/>
              <w:rPr>
                <w:b/>
                <w:bCs/>
                <w:noProof/>
                <w:sz w:val="16"/>
                <w:szCs w:val="16"/>
              </w:rPr>
            </w:pPr>
            <w:r w:rsidRPr="002850C6">
              <w:rPr>
                <w:b/>
                <w:noProof/>
                <w:sz w:val="16"/>
              </w:rPr>
              <w:t>RUBRIQUE 7</w:t>
            </w:r>
          </w:p>
        </w:tc>
        <w:tc>
          <w:tcPr>
            <w:tcW w:w="1243" w:type="dxa"/>
            <w:tcBorders>
              <w:top w:val="single" w:sz="8" w:space="0" w:color="auto"/>
              <w:left w:val="single" w:sz="8" w:space="0" w:color="auto"/>
              <w:bottom w:val="single" w:sz="8" w:space="0" w:color="auto"/>
              <w:right w:val="single" w:sz="4" w:space="0" w:color="auto"/>
            </w:tcBorders>
          </w:tcPr>
          <w:p w14:paraId="3862B68D" w14:textId="77777777" w:rsidR="002850C6" w:rsidRPr="002850C6" w:rsidRDefault="002850C6" w:rsidP="002850C6">
            <w:pPr>
              <w:spacing w:before="0" w:after="0"/>
              <w:jc w:val="left"/>
              <w:rPr>
                <w:b/>
                <w:bCs/>
                <w:noProof/>
                <w:sz w:val="16"/>
                <w:szCs w:val="16"/>
                <w:lang w:eastAsia="en-IE"/>
              </w:rPr>
            </w:pPr>
          </w:p>
        </w:tc>
      </w:tr>
      <w:tr w:rsidR="002850C6" w:rsidRPr="002850C6" w14:paraId="1F859A59" w14:textId="77777777" w:rsidTr="0043630B">
        <w:trPr>
          <w:trHeight w:val="300"/>
        </w:trPr>
        <w:tc>
          <w:tcPr>
            <w:tcW w:w="3227" w:type="dxa"/>
            <w:tcBorders>
              <w:top w:val="nil"/>
              <w:left w:val="single" w:sz="8" w:space="0" w:color="auto"/>
              <w:bottom w:val="single" w:sz="8" w:space="0" w:color="auto"/>
              <w:right w:val="single" w:sz="8" w:space="0" w:color="auto"/>
            </w:tcBorders>
            <w:vAlign w:val="center"/>
            <w:hideMark/>
          </w:tcPr>
          <w:p w14:paraId="6F496659" w14:textId="77777777" w:rsidR="002850C6" w:rsidRPr="002850C6" w:rsidRDefault="002850C6" w:rsidP="002850C6">
            <w:pPr>
              <w:spacing w:before="0" w:after="0"/>
              <w:jc w:val="left"/>
              <w:rPr>
                <w:noProof/>
                <w:sz w:val="16"/>
                <w:szCs w:val="16"/>
              </w:rPr>
            </w:pPr>
            <w:r w:rsidRPr="002850C6">
              <w:rPr>
                <w:noProof/>
                <w:sz w:val="16"/>
              </w:rPr>
              <w:t xml:space="preserve">Ressources humaines </w:t>
            </w:r>
          </w:p>
        </w:tc>
        <w:tc>
          <w:tcPr>
            <w:tcW w:w="850" w:type="dxa"/>
            <w:tcBorders>
              <w:top w:val="nil"/>
              <w:left w:val="nil"/>
              <w:bottom w:val="single" w:sz="8" w:space="0" w:color="auto"/>
              <w:right w:val="single" w:sz="8" w:space="0" w:color="auto"/>
            </w:tcBorders>
            <w:shd w:val="clear" w:color="000000" w:fill="D9D9D9"/>
            <w:vAlign w:val="center"/>
            <w:hideMark/>
          </w:tcPr>
          <w:p w14:paraId="6DE8504D" w14:textId="77777777" w:rsidR="002850C6" w:rsidRPr="002850C6" w:rsidRDefault="002850C6" w:rsidP="002850C6">
            <w:pPr>
              <w:spacing w:before="0" w:after="0"/>
              <w:jc w:val="right"/>
              <w:rPr>
                <w:noProof/>
                <w:sz w:val="16"/>
                <w:szCs w:val="16"/>
              </w:rPr>
            </w:pPr>
            <w:r w:rsidRPr="002850C6">
              <w:rPr>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045D9070" w14:textId="77777777" w:rsidR="002850C6" w:rsidRPr="002850C6" w:rsidRDefault="002850C6" w:rsidP="002850C6">
            <w:pPr>
              <w:spacing w:before="0" w:after="0"/>
              <w:jc w:val="right"/>
              <w:rPr>
                <w:noProof/>
                <w:sz w:val="16"/>
                <w:szCs w:val="16"/>
              </w:rPr>
            </w:pPr>
            <w:r w:rsidRPr="002850C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147AD2E9" w14:textId="77777777" w:rsidR="002850C6" w:rsidRPr="002850C6" w:rsidRDefault="002850C6" w:rsidP="002850C6">
            <w:pPr>
              <w:spacing w:before="0" w:after="0"/>
              <w:jc w:val="right"/>
              <w:rPr>
                <w:noProof/>
                <w:sz w:val="16"/>
                <w:szCs w:val="16"/>
              </w:rPr>
            </w:pPr>
            <w:r w:rsidRPr="002850C6">
              <w:rPr>
                <w:noProof/>
                <w:sz w:val="16"/>
              </w:rPr>
              <w:t>1,504</w:t>
            </w:r>
          </w:p>
        </w:tc>
        <w:tc>
          <w:tcPr>
            <w:tcW w:w="992" w:type="dxa"/>
            <w:tcBorders>
              <w:top w:val="nil"/>
              <w:left w:val="nil"/>
              <w:bottom w:val="single" w:sz="8" w:space="0" w:color="auto"/>
              <w:right w:val="single" w:sz="8" w:space="0" w:color="auto"/>
            </w:tcBorders>
            <w:shd w:val="clear" w:color="000000" w:fill="D9D9D9"/>
            <w:vAlign w:val="center"/>
            <w:hideMark/>
          </w:tcPr>
          <w:p w14:paraId="46F9ED4A" w14:textId="77777777" w:rsidR="002850C6" w:rsidRPr="002850C6" w:rsidRDefault="002850C6" w:rsidP="002850C6">
            <w:pPr>
              <w:spacing w:before="0" w:after="0"/>
              <w:jc w:val="right"/>
              <w:rPr>
                <w:noProof/>
                <w:sz w:val="16"/>
                <w:szCs w:val="16"/>
              </w:rPr>
            </w:pPr>
            <w:r w:rsidRPr="002850C6">
              <w:rPr>
                <w:noProof/>
                <w:sz w:val="16"/>
              </w:rPr>
              <w:t>2,921</w:t>
            </w:r>
          </w:p>
        </w:tc>
        <w:tc>
          <w:tcPr>
            <w:tcW w:w="1134" w:type="dxa"/>
            <w:tcBorders>
              <w:top w:val="nil"/>
              <w:left w:val="nil"/>
              <w:bottom w:val="single" w:sz="8" w:space="0" w:color="auto"/>
              <w:right w:val="single" w:sz="8" w:space="0" w:color="auto"/>
            </w:tcBorders>
            <w:shd w:val="clear" w:color="000000" w:fill="D9D9D9"/>
            <w:vAlign w:val="center"/>
            <w:hideMark/>
          </w:tcPr>
          <w:p w14:paraId="7D111602" w14:textId="77777777" w:rsidR="002850C6" w:rsidRPr="002850C6" w:rsidRDefault="002850C6" w:rsidP="002850C6">
            <w:pPr>
              <w:spacing w:before="0" w:after="0"/>
              <w:jc w:val="right"/>
              <w:rPr>
                <w:b/>
                <w:bCs/>
                <w:noProof/>
                <w:sz w:val="16"/>
                <w:szCs w:val="16"/>
              </w:rPr>
            </w:pPr>
            <w:r w:rsidRPr="002850C6">
              <w:rPr>
                <w:b/>
                <w:noProof/>
                <w:sz w:val="16"/>
              </w:rPr>
              <w:t>4,425</w:t>
            </w:r>
          </w:p>
        </w:tc>
        <w:tc>
          <w:tcPr>
            <w:tcW w:w="1243" w:type="dxa"/>
            <w:tcBorders>
              <w:top w:val="nil"/>
              <w:left w:val="nil"/>
              <w:bottom w:val="single" w:sz="8" w:space="0" w:color="auto"/>
              <w:right w:val="single" w:sz="8" w:space="0" w:color="auto"/>
            </w:tcBorders>
            <w:shd w:val="clear" w:color="000000" w:fill="D9D9D9"/>
          </w:tcPr>
          <w:p w14:paraId="13863AAC" w14:textId="77777777" w:rsidR="002850C6" w:rsidRPr="002850C6" w:rsidRDefault="002850C6" w:rsidP="002850C6">
            <w:pPr>
              <w:spacing w:before="0" w:after="0"/>
              <w:jc w:val="right"/>
              <w:rPr>
                <w:b/>
                <w:bCs/>
                <w:noProof/>
                <w:sz w:val="16"/>
                <w:szCs w:val="16"/>
              </w:rPr>
            </w:pPr>
            <w:r w:rsidRPr="002850C6">
              <w:rPr>
                <w:b/>
                <w:noProof/>
                <w:sz w:val="16"/>
              </w:rPr>
              <w:t>48,995</w:t>
            </w:r>
          </w:p>
        </w:tc>
      </w:tr>
      <w:tr w:rsidR="002850C6" w:rsidRPr="002850C6" w14:paraId="2751CA53" w14:textId="77777777" w:rsidTr="0043630B">
        <w:trPr>
          <w:trHeight w:val="300"/>
        </w:trPr>
        <w:tc>
          <w:tcPr>
            <w:tcW w:w="3227" w:type="dxa"/>
            <w:tcBorders>
              <w:top w:val="nil"/>
              <w:left w:val="single" w:sz="8" w:space="0" w:color="auto"/>
              <w:bottom w:val="single" w:sz="8" w:space="0" w:color="auto"/>
              <w:right w:val="single" w:sz="8" w:space="0" w:color="auto"/>
            </w:tcBorders>
            <w:vAlign w:val="center"/>
            <w:hideMark/>
          </w:tcPr>
          <w:p w14:paraId="637F1535" w14:textId="77777777" w:rsidR="002850C6" w:rsidRPr="002850C6" w:rsidRDefault="002850C6" w:rsidP="002850C6">
            <w:pPr>
              <w:spacing w:before="0" w:after="0"/>
              <w:jc w:val="left"/>
              <w:rPr>
                <w:noProof/>
                <w:sz w:val="16"/>
                <w:szCs w:val="16"/>
              </w:rPr>
            </w:pPr>
            <w:r w:rsidRPr="002850C6">
              <w:rPr>
                <w:noProof/>
                <w:sz w:val="16"/>
              </w:rPr>
              <w:t xml:space="preserve">Autres dépenses administratives </w:t>
            </w:r>
          </w:p>
        </w:tc>
        <w:tc>
          <w:tcPr>
            <w:tcW w:w="850" w:type="dxa"/>
            <w:tcBorders>
              <w:top w:val="nil"/>
              <w:left w:val="nil"/>
              <w:bottom w:val="single" w:sz="8" w:space="0" w:color="auto"/>
              <w:right w:val="single" w:sz="8" w:space="0" w:color="auto"/>
            </w:tcBorders>
            <w:shd w:val="clear" w:color="000000" w:fill="D9D9D9"/>
            <w:vAlign w:val="center"/>
            <w:hideMark/>
          </w:tcPr>
          <w:p w14:paraId="1D5D7A08" w14:textId="77777777" w:rsidR="002850C6" w:rsidRPr="002850C6" w:rsidRDefault="002850C6" w:rsidP="002850C6">
            <w:pPr>
              <w:spacing w:before="0" w:after="0"/>
              <w:jc w:val="right"/>
              <w:rPr>
                <w:noProof/>
                <w:sz w:val="16"/>
                <w:szCs w:val="16"/>
              </w:rPr>
            </w:pPr>
            <w:r w:rsidRPr="002850C6">
              <w:rPr>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261F4E56" w14:textId="77777777" w:rsidR="002850C6" w:rsidRPr="002850C6" w:rsidRDefault="002850C6" w:rsidP="002850C6">
            <w:pPr>
              <w:spacing w:before="0" w:after="0"/>
              <w:jc w:val="right"/>
              <w:rPr>
                <w:noProof/>
                <w:sz w:val="16"/>
                <w:szCs w:val="16"/>
              </w:rPr>
            </w:pPr>
            <w:r w:rsidRPr="002850C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1A0D1362" w14:textId="77777777" w:rsidR="002850C6" w:rsidRPr="002850C6" w:rsidRDefault="002850C6" w:rsidP="002850C6">
            <w:pPr>
              <w:spacing w:before="0" w:after="0"/>
              <w:jc w:val="right"/>
              <w:rPr>
                <w:noProof/>
                <w:sz w:val="16"/>
                <w:szCs w:val="16"/>
              </w:rPr>
            </w:pPr>
            <w:r w:rsidRPr="002850C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02AD5DCA" w14:textId="77777777" w:rsidR="002850C6" w:rsidRPr="002850C6" w:rsidRDefault="002850C6" w:rsidP="002850C6">
            <w:pPr>
              <w:spacing w:before="0" w:after="0"/>
              <w:jc w:val="right"/>
              <w:rPr>
                <w:noProof/>
                <w:sz w:val="16"/>
                <w:szCs w:val="16"/>
              </w:rPr>
            </w:pPr>
            <w:r w:rsidRPr="002850C6">
              <w:rPr>
                <w:noProof/>
                <w:sz w:val="16"/>
              </w:rPr>
              <w:t>0,030</w:t>
            </w:r>
          </w:p>
        </w:tc>
        <w:tc>
          <w:tcPr>
            <w:tcW w:w="1134" w:type="dxa"/>
            <w:tcBorders>
              <w:top w:val="nil"/>
              <w:left w:val="nil"/>
              <w:bottom w:val="single" w:sz="8" w:space="0" w:color="auto"/>
              <w:right w:val="single" w:sz="8" w:space="0" w:color="auto"/>
            </w:tcBorders>
            <w:shd w:val="clear" w:color="000000" w:fill="D9D9D9"/>
            <w:vAlign w:val="center"/>
            <w:hideMark/>
          </w:tcPr>
          <w:p w14:paraId="4FF3B0ED" w14:textId="77777777" w:rsidR="002850C6" w:rsidRPr="002850C6" w:rsidRDefault="002850C6" w:rsidP="002850C6">
            <w:pPr>
              <w:spacing w:before="0" w:after="0"/>
              <w:jc w:val="right"/>
              <w:rPr>
                <w:b/>
                <w:bCs/>
                <w:noProof/>
                <w:sz w:val="16"/>
                <w:szCs w:val="16"/>
              </w:rPr>
            </w:pPr>
            <w:r w:rsidRPr="002850C6">
              <w:rPr>
                <w:b/>
                <w:noProof/>
                <w:sz w:val="16"/>
              </w:rPr>
              <w:t>0,030</w:t>
            </w:r>
          </w:p>
        </w:tc>
        <w:tc>
          <w:tcPr>
            <w:tcW w:w="1243" w:type="dxa"/>
            <w:tcBorders>
              <w:top w:val="nil"/>
              <w:left w:val="nil"/>
              <w:bottom w:val="single" w:sz="8" w:space="0" w:color="auto"/>
              <w:right w:val="single" w:sz="8" w:space="0" w:color="auto"/>
            </w:tcBorders>
            <w:shd w:val="clear" w:color="000000" w:fill="D9D9D9"/>
          </w:tcPr>
          <w:p w14:paraId="52D743D3" w14:textId="77777777" w:rsidR="002850C6" w:rsidRPr="002850C6" w:rsidRDefault="002850C6" w:rsidP="002850C6">
            <w:pPr>
              <w:spacing w:before="0" w:after="0"/>
              <w:jc w:val="right"/>
              <w:rPr>
                <w:b/>
                <w:bCs/>
                <w:noProof/>
                <w:sz w:val="16"/>
                <w:szCs w:val="16"/>
              </w:rPr>
            </w:pPr>
            <w:r w:rsidRPr="002850C6">
              <w:rPr>
                <w:b/>
                <w:noProof/>
                <w:sz w:val="16"/>
              </w:rPr>
              <w:t>0,210</w:t>
            </w:r>
          </w:p>
        </w:tc>
      </w:tr>
      <w:tr w:rsidR="002850C6" w:rsidRPr="002850C6" w14:paraId="0354A29F" w14:textId="77777777" w:rsidTr="0043630B">
        <w:trPr>
          <w:trHeight w:val="300"/>
        </w:trPr>
        <w:tc>
          <w:tcPr>
            <w:tcW w:w="3227" w:type="dxa"/>
            <w:tcBorders>
              <w:top w:val="nil"/>
              <w:left w:val="single" w:sz="8" w:space="0" w:color="auto"/>
              <w:bottom w:val="single" w:sz="8" w:space="0" w:color="auto"/>
              <w:right w:val="single" w:sz="8" w:space="0" w:color="auto"/>
            </w:tcBorders>
            <w:shd w:val="clear" w:color="000000" w:fill="CCCCCC"/>
            <w:vAlign w:val="center"/>
            <w:hideMark/>
          </w:tcPr>
          <w:p w14:paraId="07CB8F5F" w14:textId="77777777" w:rsidR="002850C6" w:rsidRPr="002850C6" w:rsidRDefault="002850C6" w:rsidP="002850C6">
            <w:pPr>
              <w:spacing w:before="0" w:after="0"/>
              <w:jc w:val="center"/>
              <w:rPr>
                <w:b/>
                <w:bCs/>
                <w:noProof/>
                <w:sz w:val="16"/>
                <w:szCs w:val="16"/>
              </w:rPr>
            </w:pPr>
            <w:r w:rsidRPr="002850C6">
              <w:rPr>
                <w:b/>
                <w:noProof/>
                <w:sz w:val="16"/>
              </w:rPr>
              <w:t>Sous-total RUBRIQUE 7</w:t>
            </w:r>
          </w:p>
        </w:tc>
        <w:tc>
          <w:tcPr>
            <w:tcW w:w="850" w:type="dxa"/>
            <w:tcBorders>
              <w:top w:val="nil"/>
              <w:left w:val="nil"/>
              <w:bottom w:val="single" w:sz="8" w:space="0" w:color="auto"/>
              <w:right w:val="single" w:sz="8" w:space="0" w:color="auto"/>
            </w:tcBorders>
            <w:shd w:val="clear" w:color="000000" w:fill="D9D9D9"/>
            <w:vAlign w:val="center"/>
            <w:hideMark/>
          </w:tcPr>
          <w:p w14:paraId="2747F259" w14:textId="77777777" w:rsidR="002850C6" w:rsidRPr="002850C6" w:rsidRDefault="002850C6" w:rsidP="002850C6">
            <w:pPr>
              <w:spacing w:before="0" w:after="0"/>
              <w:jc w:val="right"/>
              <w:rPr>
                <w:b/>
                <w:bCs/>
                <w:noProof/>
                <w:sz w:val="16"/>
                <w:szCs w:val="16"/>
              </w:rPr>
            </w:pPr>
            <w:r w:rsidRPr="002850C6">
              <w:rPr>
                <w:b/>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0E291B13" w14:textId="77777777" w:rsidR="002850C6" w:rsidRPr="002850C6" w:rsidRDefault="002850C6" w:rsidP="002850C6">
            <w:pPr>
              <w:spacing w:before="0" w:after="0"/>
              <w:jc w:val="right"/>
              <w:rPr>
                <w:b/>
                <w:bCs/>
                <w:noProof/>
                <w:sz w:val="16"/>
                <w:szCs w:val="16"/>
              </w:rPr>
            </w:pPr>
            <w:r w:rsidRPr="002850C6">
              <w:rPr>
                <w:b/>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5A005A1A" w14:textId="77777777" w:rsidR="002850C6" w:rsidRPr="002850C6" w:rsidRDefault="002850C6" w:rsidP="002850C6">
            <w:pPr>
              <w:spacing w:before="0" w:after="0"/>
              <w:jc w:val="right"/>
              <w:rPr>
                <w:b/>
                <w:bCs/>
                <w:noProof/>
                <w:sz w:val="16"/>
                <w:szCs w:val="16"/>
              </w:rPr>
            </w:pPr>
            <w:r w:rsidRPr="002850C6">
              <w:rPr>
                <w:b/>
                <w:noProof/>
                <w:sz w:val="16"/>
              </w:rPr>
              <w:t>1,504</w:t>
            </w:r>
          </w:p>
        </w:tc>
        <w:tc>
          <w:tcPr>
            <w:tcW w:w="992" w:type="dxa"/>
            <w:tcBorders>
              <w:top w:val="nil"/>
              <w:left w:val="nil"/>
              <w:bottom w:val="single" w:sz="8" w:space="0" w:color="auto"/>
              <w:right w:val="single" w:sz="8" w:space="0" w:color="auto"/>
            </w:tcBorders>
            <w:shd w:val="clear" w:color="000000" w:fill="D9D9D9"/>
            <w:vAlign w:val="center"/>
            <w:hideMark/>
          </w:tcPr>
          <w:p w14:paraId="5A8D8C1B" w14:textId="77777777" w:rsidR="002850C6" w:rsidRPr="002850C6" w:rsidRDefault="002850C6" w:rsidP="002850C6">
            <w:pPr>
              <w:spacing w:before="0" w:after="0"/>
              <w:jc w:val="right"/>
              <w:rPr>
                <w:b/>
                <w:bCs/>
                <w:noProof/>
                <w:sz w:val="16"/>
                <w:szCs w:val="16"/>
              </w:rPr>
            </w:pPr>
            <w:r w:rsidRPr="002850C6">
              <w:rPr>
                <w:b/>
                <w:noProof/>
                <w:sz w:val="16"/>
              </w:rPr>
              <w:t>2,951</w:t>
            </w:r>
          </w:p>
        </w:tc>
        <w:tc>
          <w:tcPr>
            <w:tcW w:w="1134" w:type="dxa"/>
            <w:tcBorders>
              <w:top w:val="nil"/>
              <w:left w:val="nil"/>
              <w:bottom w:val="single" w:sz="8" w:space="0" w:color="auto"/>
              <w:right w:val="single" w:sz="8" w:space="0" w:color="auto"/>
            </w:tcBorders>
            <w:shd w:val="clear" w:color="000000" w:fill="D9D9D9"/>
            <w:vAlign w:val="center"/>
            <w:hideMark/>
          </w:tcPr>
          <w:p w14:paraId="0344E0E6" w14:textId="77777777" w:rsidR="002850C6" w:rsidRPr="002850C6" w:rsidRDefault="002850C6" w:rsidP="002850C6">
            <w:pPr>
              <w:spacing w:before="0" w:after="0"/>
              <w:jc w:val="right"/>
              <w:rPr>
                <w:b/>
                <w:bCs/>
                <w:noProof/>
                <w:sz w:val="16"/>
                <w:szCs w:val="16"/>
              </w:rPr>
            </w:pPr>
            <w:r w:rsidRPr="002850C6">
              <w:rPr>
                <w:b/>
                <w:noProof/>
                <w:sz w:val="16"/>
              </w:rPr>
              <w:t>4,455</w:t>
            </w:r>
          </w:p>
        </w:tc>
        <w:tc>
          <w:tcPr>
            <w:tcW w:w="1243" w:type="dxa"/>
            <w:tcBorders>
              <w:top w:val="nil"/>
              <w:left w:val="nil"/>
              <w:bottom w:val="single" w:sz="8" w:space="0" w:color="auto"/>
              <w:right w:val="single" w:sz="8" w:space="0" w:color="auto"/>
            </w:tcBorders>
            <w:shd w:val="clear" w:color="000000" w:fill="D9D9D9"/>
          </w:tcPr>
          <w:p w14:paraId="0474790D" w14:textId="77777777" w:rsidR="002850C6" w:rsidRPr="002850C6" w:rsidRDefault="002850C6" w:rsidP="002850C6">
            <w:pPr>
              <w:spacing w:before="0" w:after="0"/>
              <w:jc w:val="right"/>
              <w:rPr>
                <w:b/>
                <w:bCs/>
                <w:noProof/>
                <w:sz w:val="16"/>
                <w:szCs w:val="16"/>
              </w:rPr>
            </w:pPr>
            <w:r w:rsidRPr="002850C6">
              <w:rPr>
                <w:b/>
                <w:noProof/>
                <w:sz w:val="16"/>
              </w:rPr>
              <w:t>49,205</w:t>
            </w:r>
          </w:p>
        </w:tc>
      </w:tr>
      <w:tr w:rsidR="002850C6" w:rsidRPr="002850C6" w14:paraId="464865E1" w14:textId="77777777" w:rsidTr="0043630B">
        <w:trPr>
          <w:trHeight w:val="300"/>
        </w:trPr>
        <w:tc>
          <w:tcPr>
            <w:tcW w:w="8046" w:type="dxa"/>
            <w:gridSpan w:val="6"/>
            <w:tcBorders>
              <w:top w:val="single" w:sz="8" w:space="0" w:color="auto"/>
              <w:left w:val="single" w:sz="8" w:space="0" w:color="auto"/>
              <w:bottom w:val="single" w:sz="8" w:space="0" w:color="auto"/>
              <w:right w:val="single" w:sz="4" w:space="0" w:color="auto"/>
            </w:tcBorders>
            <w:vAlign w:val="center"/>
            <w:hideMark/>
          </w:tcPr>
          <w:p w14:paraId="60EF6F63" w14:textId="77777777" w:rsidR="002850C6" w:rsidRPr="002850C6" w:rsidRDefault="002850C6" w:rsidP="002850C6">
            <w:pPr>
              <w:spacing w:before="0" w:after="0"/>
              <w:jc w:val="left"/>
              <w:rPr>
                <w:b/>
                <w:bCs/>
                <w:noProof/>
                <w:sz w:val="16"/>
                <w:szCs w:val="16"/>
              </w:rPr>
            </w:pPr>
            <w:r w:rsidRPr="002850C6">
              <w:rPr>
                <w:b/>
                <w:noProof/>
                <w:sz w:val="16"/>
              </w:rPr>
              <w:t>Hors RUBRIQUE 7</w:t>
            </w:r>
          </w:p>
        </w:tc>
        <w:tc>
          <w:tcPr>
            <w:tcW w:w="1243" w:type="dxa"/>
            <w:tcBorders>
              <w:top w:val="single" w:sz="8" w:space="0" w:color="auto"/>
              <w:left w:val="single" w:sz="8" w:space="0" w:color="auto"/>
              <w:bottom w:val="single" w:sz="8" w:space="0" w:color="auto"/>
              <w:right w:val="single" w:sz="4" w:space="0" w:color="auto"/>
            </w:tcBorders>
          </w:tcPr>
          <w:p w14:paraId="5C911E68" w14:textId="77777777" w:rsidR="002850C6" w:rsidRPr="002850C6" w:rsidRDefault="002850C6" w:rsidP="002850C6">
            <w:pPr>
              <w:spacing w:before="0" w:after="0"/>
              <w:jc w:val="left"/>
              <w:rPr>
                <w:b/>
                <w:bCs/>
                <w:noProof/>
                <w:sz w:val="16"/>
                <w:szCs w:val="16"/>
                <w:lang w:eastAsia="en-IE"/>
              </w:rPr>
            </w:pPr>
          </w:p>
        </w:tc>
      </w:tr>
      <w:tr w:rsidR="002850C6" w:rsidRPr="002850C6" w14:paraId="55D24F4A" w14:textId="77777777" w:rsidTr="0043630B">
        <w:trPr>
          <w:trHeight w:val="300"/>
        </w:trPr>
        <w:tc>
          <w:tcPr>
            <w:tcW w:w="3227" w:type="dxa"/>
            <w:tcBorders>
              <w:top w:val="nil"/>
              <w:left w:val="single" w:sz="8" w:space="0" w:color="auto"/>
              <w:bottom w:val="single" w:sz="8" w:space="0" w:color="auto"/>
              <w:right w:val="single" w:sz="8" w:space="0" w:color="auto"/>
            </w:tcBorders>
            <w:vAlign w:val="center"/>
            <w:hideMark/>
          </w:tcPr>
          <w:p w14:paraId="62794A5E" w14:textId="77777777" w:rsidR="002850C6" w:rsidRPr="002850C6" w:rsidRDefault="002850C6" w:rsidP="002850C6">
            <w:pPr>
              <w:spacing w:before="0" w:after="0"/>
              <w:jc w:val="left"/>
              <w:rPr>
                <w:noProof/>
                <w:sz w:val="16"/>
                <w:szCs w:val="16"/>
              </w:rPr>
            </w:pPr>
            <w:r w:rsidRPr="002850C6">
              <w:rPr>
                <w:noProof/>
                <w:sz w:val="16"/>
              </w:rPr>
              <w:t xml:space="preserve">Ressources humaines </w:t>
            </w:r>
          </w:p>
        </w:tc>
        <w:tc>
          <w:tcPr>
            <w:tcW w:w="850" w:type="dxa"/>
            <w:tcBorders>
              <w:top w:val="nil"/>
              <w:left w:val="nil"/>
              <w:bottom w:val="single" w:sz="8" w:space="0" w:color="auto"/>
              <w:right w:val="single" w:sz="8" w:space="0" w:color="auto"/>
            </w:tcBorders>
            <w:shd w:val="clear" w:color="000000" w:fill="D9D9D9"/>
            <w:vAlign w:val="center"/>
            <w:hideMark/>
          </w:tcPr>
          <w:p w14:paraId="6226EBFC" w14:textId="77777777" w:rsidR="002850C6" w:rsidRPr="002850C6" w:rsidRDefault="002850C6" w:rsidP="002850C6">
            <w:pPr>
              <w:spacing w:before="0" w:after="0"/>
              <w:jc w:val="right"/>
              <w:rPr>
                <w:noProof/>
                <w:sz w:val="16"/>
                <w:szCs w:val="16"/>
              </w:rPr>
            </w:pPr>
            <w:r w:rsidRPr="002850C6">
              <w:rPr>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0A381BB6" w14:textId="77777777" w:rsidR="002850C6" w:rsidRPr="002850C6" w:rsidRDefault="002850C6" w:rsidP="002850C6">
            <w:pPr>
              <w:spacing w:before="0" w:after="0"/>
              <w:jc w:val="right"/>
              <w:rPr>
                <w:noProof/>
                <w:sz w:val="16"/>
                <w:szCs w:val="16"/>
              </w:rPr>
            </w:pPr>
            <w:r w:rsidRPr="002850C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258BBD95" w14:textId="77777777" w:rsidR="002850C6" w:rsidRPr="002850C6" w:rsidRDefault="002850C6" w:rsidP="002850C6">
            <w:pPr>
              <w:spacing w:before="0" w:after="0"/>
              <w:jc w:val="right"/>
              <w:rPr>
                <w:noProof/>
                <w:sz w:val="16"/>
                <w:szCs w:val="16"/>
              </w:rPr>
            </w:pPr>
            <w:r w:rsidRPr="002850C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7CF4B3E6" w14:textId="77777777" w:rsidR="002850C6" w:rsidRPr="002850C6" w:rsidRDefault="002850C6" w:rsidP="002850C6">
            <w:pPr>
              <w:spacing w:before="0" w:after="0"/>
              <w:jc w:val="right"/>
              <w:rPr>
                <w:noProof/>
                <w:sz w:val="16"/>
                <w:szCs w:val="16"/>
              </w:rPr>
            </w:pPr>
            <w:r w:rsidRPr="002850C6">
              <w:rPr>
                <w:noProof/>
                <w:sz w:val="16"/>
              </w:rPr>
              <w:t>0,000</w:t>
            </w:r>
          </w:p>
        </w:tc>
        <w:tc>
          <w:tcPr>
            <w:tcW w:w="1134" w:type="dxa"/>
            <w:tcBorders>
              <w:top w:val="nil"/>
              <w:left w:val="nil"/>
              <w:bottom w:val="single" w:sz="8" w:space="0" w:color="auto"/>
              <w:right w:val="single" w:sz="8" w:space="0" w:color="auto"/>
            </w:tcBorders>
            <w:shd w:val="clear" w:color="000000" w:fill="D9D9D9"/>
            <w:vAlign w:val="center"/>
            <w:hideMark/>
          </w:tcPr>
          <w:p w14:paraId="52A6764A" w14:textId="77777777" w:rsidR="002850C6" w:rsidRPr="002850C6" w:rsidRDefault="002850C6" w:rsidP="002850C6">
            <w:pPr>
              <w:spacing w:before="0" w:after="0"/>
              <w:jc w:val="right"/>
              <w:rPr>
                <w:b/>
                <w:bCs/>
                <w:noProof/>
                <w:sz w:val="16"/>
                <w:szCs w:val="16"/>
              </w:rPr>
            </w:pPr>
            <w:r w:rsidRPr="002850C6">
              <w:rPr>
                <w:b/>
                <w:noProof/>
                <w:sz w:val="16"/>
              </w:rPr>
              <w:t>0,000</w:t>
            </w:r>
          </w:p>
        </w:tc>
        <w:tc>
          <w:tcPr>
            <w:tcW w:w="1243" w:type="dxa"/>
            <w:tcBorders>
              <w:top w:val="nil"/>
              <w:left w:val="nil"/>
              <w:bottom w:val="single" w:sz="8" w:space="0" w:color="auto"/>
              <w:right w:val="single" w:sz="8" w:space="0" w:color="auto"/>
            </w:tcBorders>
            <w:shd w:val="clear" w:color="000000" w:fill="D9D9D9"/>
          </w:tcPr>
          <w:p w14:paraId="5714D8E9" w14:textId="77777777" w:rsidR="002850C6" w:rsidRPr="002850C6" w:rsidRDefault="002850C6" w:rsidP="002850C6">
            <w:pPr>
              <w:spacing w:before="0" w:after="0"/>
              <w:jc w:val="right"/>
              <w:rPr>
                <w:b/>
                <w:bCs/>
                <w:noProof/>
                <w:sz w:val="16"/>
                <w:szCs w:val="16"/>
                <w:lang w:eastAsia="en-IE"/>
              </w:rPr>
            </w:pPr>
          </w:p>
        </w:tc>
      </w:tr>
      <w:tr w:rsidR="002850C6" w:rsidRPr="002850C6" w14:paraId="104922B9" w14:textId="77777777" w:rsidTr="0043630B">
        <w:trPr>
          <w:trHeight w:val="300"/>
        </w:trPr>
        <w:tc>
          <w:tcPr>
            <w:tcW w:w="3227" w:type="dxa"/>
            <w:tcBorders>
              <w:top w:val="nil"/>
              <w:left w:val="single" w:sz="8" w:space="0" w:color="auto"/>
              <w:bottom w:val="single" w:sz="8" w:space="0" w:color="auto"/>
              <w:right w:val="single" w:sz="8" w:space="0" w:color="auto"/>
            </w:tcBorders>
            <w:vAlign w:val="center"/>
            <w:hideMark/>
          </w:tcPr>
          <w:p w14:paraId="0038B243" w14:textId="77777777" w:rsidR="002850C6" w:rsidRPr="002850C6" w:rsidRDefault="002850C6" w:rsidP="002850C6">
            <w:pPr>
              <w:spacing w:before="0" w:after="0"/>
              <w:jc w:val="left"/>
              <w:rPr>
                <w:noProof/>
                <w:sz w:val="16"/>
                <w:szCs w:val="16"/>
              </w:rPr>
            </w:pPr>
            <w:r w:rsidRPr="002850C6">
              <w:rPr>
                <w:noProof/>
                <w:sz w:val="16"/>
              </w:rPr>
              <w:t>Autres dépenses de nature administrative</w:t>
            </w:r>
          </w:p>
        </w:tc>
        <w:tc>
          <w:tcPr>
            <w:tcW w:w="850" w:type="dxa"/>
            <w:tcBorders>
              <w:top w:val="nil"/>
              <w:left w:val="nil"/>
              <w:bottom w:val="single" w:sz="8" w:space="0" w:color="auto"/>
              <w:right w:val="single" w:sz="8" w:space="0" w:color="auto"/>
            </w:tcBorders>
            <w:shd w:val="clear" w:color="000000" w:fill="D9D9D9"/>
            <w:vAlign w:val="center"/>
            <w:hideMark/>
          </w:tcPr>
          <w:p w14:paraId="1A1B68CB" w14:textId="77777777" w:rsidR="002850C6" w:rsidRPr="002850C6" w:rsidRDefault="002850C6" w:rsidP="002850C6">
            <w:pPr>
              <w:spacing w:before="0" w:after="0"/>
              <w:jc w:val="right"/>
              <w:rPr>
                <w:noProof/>
                <w:sz w:val="16"/>
                <w:szCs w:val="16"/>
              </w:rPr>
            </w:pPr>
            <w:r w:rsidRPr="002850C6">
              <w:rPr>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288FECEB" w14:textId="77777777" w:rsidR="002850C6" w:rsidRPr="002850C6" w:rsidRDefault="002850C6" w:rsidP="002850C6">
            <w:pPr>
              <w:spacing w:before="0" w:after="0"/>
              <w:jc w:val="right"/>
              <w:rPr>
                <w:noProof/>
                <w:sz w:val="16"/>
                <w:szCs w:val="16"/>
              </w:rPr>
            </w:pPr>
            <w:r w:rsidRPr="002850C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3480CBEB" w14:textId="77777777" w:rsidR="002850C6" w:rsidRPr="002850C6" w:rsidRDefault="002850C6" w:rsidP="002850C6">
            <w:pPr>
              <w:spacing w:before="0" w:after="0"/>
              <w:jc w:val="right"/>
              <w:rPr>
                <w:noProof/>
                <w:sz w:val="16"/>
                <w:szCs w:val="16"/>
              </w:rPr>
            </w:pPr>
            <w:r w:rsidRPr="002850C6">
              <w:rPr>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4C1BCC8A" w14:textId="77777777" w:rsidR="002850C6" w:rsidRPr="002850C6" w:rsidRDefault="002850C6" w:rsidP="002850C6">
            <w:pPr>
              <w:spacing w:before="0" w:after="0"/>
              <w:jc w:val="right"/>
              <w:rPr>
                <w:noProof/>
                <w:sz w:val="16"/>
                <w:szCs w:val="16"/>
              </w:rPr>
            </w:pPr>
            <w:r w:rsidRPr="002850C6">
              <w:rPr>
                <w:noProof/>
                <w:sz w:val="16"/>
              </w:rPr>
              <w:t>0,000</w:t>
            </w:r>
          </w:p>
        </w:tc>
        <w:tc>
          <w:tcPr>
            <w:tcW w:w="1134" w:type="dxa"/>
            <w:tcBorders>
              <w:top w:val="nil"/>
              <w:left w:val="nil"/>
              <w:bottom w:val="single" w:sz="8" w:space="0" w:color="auto"/>
              <w:right w:val="single" w:sz="8" w:space="0" w:color="auto"/>
            </w:tcBorders>
            <w:shd w:val="clear" w:color="000000" w:fill="D9D9D9"/>
            <w:vAlign w:val="center"/>
            <w:hideMark/>
          </w:tcPr>
          <w:p w14:paraId="61829FA0" w14:textId="77777777" w:rsidR="002850C6" w:rsidRPr="002850C6" w:rsidRDefault="002850C6" w:rsidP="002850C6">
            <w:pPr>
              <w:spacing w:before="0" w:after="0"/>
              <w:jc w:val="right"/>
              <w:rPr>
                <w:b/>
                <w:bCs/>
                <w:noProof/>
                <w:sz w:val="16"/>
                <w:szCs w:val="16"/>
              </w:rPr>
            </w:pPr>
            <w:r w:rsidRPr="002850C6">
              <w:rPr>
                <w:b/>
                <w:noProof/>
                <w:sz w:val="16"/>
              </w:rPr>
              <w:t>0,000</w:t>
            </w:r>
          </w:p>
        </w:tc>
        <w:tc>
          <w:tcPr>
            <w:tcW w:w="1243" w:type="dxa"/>
            <w:tcBorders>
              <w:top w:val="nil"/>
              <w:left w:val="nil"/>
              <w:bottom w:val="single" w:sz="8" w:space="0" w:color="auto"/>
              <w:right w:val="single" w:sz="8" w:space="0" w:color="auto"/>
            </w:tcBorders>
            <w:shd w:val="clear" w:color="000000" w:fill="D9D9D9"/>
          </w:tcPr>
          <w:p w14:paraId="6B32A0A1" w14:textId="77777777" w:rsidR="002850C6" w:rsidRPr="002850C6" w:rsidRDefault="002850C6" w:rsidP="002850C6">
            <w:pPr>
              <w:spacing w:before="0" w:after="0"/>
              <w:jc w:val="right"/>
              <w:rPr>
                <w:b/>
                <w:bCs/>
                <w:noProof/>
                <w:sz w:val="16"/>
                <w:szCs w:val="16"/>
                <w:lang w:eastAsia="en-IE"/>
              </w:rPr>
            </w:pPr>
          </w:p>
        </w:tc>
      </w:tr>
      <w:tr w:rsidR="002850C6" w:rsidRPr="002850C6" w14:paraId="21236989" w14:textId="77777777" w:rsidTr="0043630B">
        <w:trPr>
          <w:trHeight w:val="300"/>
        </w:trPr>
        <w:tc>
          <w:tcPr>
            <w:tcW w:w="3227" w:type="dxa"/>
            <w:tcBorders>
              <w:top w:val="nil"/>
              <w:left w:val="single" w:sz="8" w:space="0" w:color="auto"/>
              <w:bottom w:val="single" w:sz="8" w:space="0" w:color="auto"/>
              <w:right w:val="single" w:sz="8" w:space="0" w:color="auto"/>
            </w:tcBorders>
            <w:shd w:val="clear" w:color="000000" w:fill="CCCCCC"/>
            <w:vAlign w:val="center"/>
            <w:hideMark/>
          </w:tcPr>
          <w:p w14:paraId="60C5CBC7" w14:textId="77777777" w:rsidR="002850C6" w:rsidRPr="002850C6" w:rsidRDefault="002850C6" w:rsidP="002850C6">
            <w:pPr>
              <w:spacing w:before="0" w:after="0"/>
              <w:jc w:val="center"/>
              <w:rPr>
                <w:b/>
                <w:bCs/>
                <w:noProof/>
                <w:sz w:val="16"/>
                <w:szCs w:val="16"/>
              </w:rPr>
            </w:pPr>
            <w:r w:rsidRPr="002850C6">
              <w:rPr>
                <w:b/>
                <w:noProof/>
                <w:sz w:val="16"/>
              </w:rPr>
              <w:t>Sous-total hors RUBRIQUE 7</w:t>
            </w:r>
          </w:p>
        </w:tc>
        <w:tc>
          <w:tcPr>
            <w:tcW w:w="850" w:type="dxa"/>
            <w:tcBorders>
              <w:top w:val="nil"/>
              <w:left w:val="nil"/>
              <w:bottom w:val="single" w:sz="8" w:space="0" w:color="auto"/>
              <w:right w:val="single" w:sz="8" w:space="0" w:color="auto"/>
            </w:tcBorders>
            <w:shd w:val="clear" w:color="000000" w:fill="D9D9D9"/>
            <w:vAlign w:val="center"/>
            <w:hideMark/>
          </w:tcPr>
          <w:p w14:paraId="1F277074" w14:textId="77777777" w:rsidR="002850C6" w:rsidRPr="002850C6" w:rsidRDefault="002850C6" w:rsidP="002850C6">
            <w:pPr>
              <w:spacing w:before="0" w:after="0"/>
              <w:jc w:val="right"/>
              <w:rPr>
                <w:b/>
                <w:bCs/>
                <w:noProof/>
                <w:sz w:val="16"/>
                <w:szCs w:val="16"/>
              </w:rPr>
            </w:pPr>
            <w:r w:rsidRPr="002850C6">
              <w:rPr>
                <w:b/>
                <w:noProof/>
                <w:sz w:val="16"/>
              </w:rPr>
              <w:t>0,000</w:t>
            </w:r>
          </w:p>
        </w:tc>
        <w:tc>
          <w:tcPr>
            <w:tcW w:w="851" w:type="dxa"/>
            <w:tcBorders>
              <w:top w:val="nil"/>
              <w:left w:val="nil"/>
              <w:bottom w:val="single" w:sz="8" w:space="0" w:color="auto"/>
              <w:right w:val="single" w:sz="8" w:space="0" w:color="auto"/>
            </w:tcBorders>
            <w:shd w:val="clear" w:color="000000" w:fill="D9D9D9"/>
            <w:vAlign w:val="center"/>
            <w:hideMark/>
          </w:tcPr>
          <w:p w14:paraId="4711DFD7" w14:textId="77777777" w:rsidR="002850C6" w:rsidRPr="002850C6" w:rsidRDefault="002850C6" w:rsidP="002850C6">
            <w:pPr>
              <w:spacing w:before="0" w:after="0"/>
              <w:jc w:val="right"/>
              <w:rPr>
                <w:b/>
                <w:bCs/>
                <w:noProof/>
                <w:sz w:val="16"/>
                <w:szCs w:val="16"/>
              </w:rPr>
            </w:pPr>
            <w:r w:rsidRPr="002850C6">
              <w:rPr>
                <w:b/>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13C522CF" w14:textId="77777777" w:rsidR="002850C6" w:rsidRPr="002850C6" w:rsidRDefault="002850C6" w:rsidP="002850C6">
            <w:pPr>
              <w:spacing w:before="0" w:after="0"/>
              <w:jc w:val="right"/>
              <w:rPr>
                <w:b/>
                <w:bCs/>
                <w:noProof/>
                <w:sz w:val="16"/>
                <w:szCs w:val="16"/>
              </w:rPr>
            </w:pPr>
            <w:r w:rsidRPr="002850C6">
              <w:rPr>
                <w:b/>
                <w:noProof/>
                <w:sz w:val="16"/>
              </w:rPr>
              <w:t>0,000</w:t>
            </w:r>
          </w:p>
        </w:tc>
        <w:tc>
          <w:tcPr>
            <w:tcW w:w="992" w:type="dxa"/>
            <w:tcBorders>
              <w:top w:val="nil"/>
              <w:left w:val="nil"/>
              <w:bottom w:val="single" w:sz="8" w:space="0" w:color="auto"/>
              <w:right w:val="single" w:sz="8" w:space="0" w:color="auto"/>
            </w:tcBorders>
            <w:shd w:val="clear" w:color="000000" w:fill="D9D9D9"/>
            <w:vAlign w:val="center"/>
            <w:hideMark/>
          </w:tcPr>
          <w:p w14:paraId="0CD521AA" w14:textId="77777777" w:rsidR="002850C6" w:rsidRPr="002850C6" w:rsidRDefault="002850C6" w:rsidP="002850C6">
            <w:pPr>
              <w:spacing w:before="0" w:after="0"/>
              <w:jc w:val="right"/>
              <w:rPr>
                <w:b/>
                <w:bCs/>
                <w:noProof/>
                <w:sz w:val="16"/>
                <w:szCs w:val="16"/>
              </w:rPr>
            </w:pPr>
            <w:r w:rsidRPr="002850C6">
              <w:rPr>
                <w:b/>
                <w:noProof/>
                <w:sz w:val="16"/>
              </w:rPr>
              <w:t>0,000</w:t>
            </w:r>
          </w:p>
        </w:tc>
        <w:tc>
          <w:tcPr>
            <w:tcW w:w="1134" w:type="dxa"/>
            <w:tcBorders>
              <w:top w:val="nil"/>
              <w:left w:val="nil"/>
              <w:bottom w:val="single" w:sz="8" w:space="0" w:color="auto"/>
              <w:right w:val="single" w:sz="8" w:space="0" w:color="auto"/>
            </w:tcBorders>
            <w:shd w:val="clear" w:color="000000" w:fill="D9D9D9"/>
            <w:vAlign w:val="center"/>
            <w:hideMark/>
          </w:tcPr>
          <w:p w14:paraId="67792EA7" w14:textId="77777777" w:rsidR="002850C6" w:rsidRPr="002850C6" w:rsidRDefault="002850C6" w:rsidP="002850C6">
            <w:pPr>
              <w:spacing w:before="0" w:after="0"/>
              <w:jc w:val="right"/>
              <w:rPr>
                <w:b/>
                <w:bCs/>
                <w:noProof/>
                <w:sz w:val="16"/>
                <w:szCs w:val="16"/>
              </w:rPr>
            </w:pPr>
            <w:r w:rsidRPr="002850C6">
              <w:rPr>
                <w:b/>
                <w:noProof/>
                <w:sz w:val="16"/>
              </w:rPr>
              <w:t>0,000</w:t>
            </w:r>
          </w:p>
        </w:tc>
        <w:tc>
          <w:tcPr>
            <w:tcW w:w="1243" w:type="dxa"/>
            <w:tcBorders>
              <w:top w:val="nil"/>
              <w:left w:val="nil"/>
              <w:bottom w:val="single" w:sz="8" w:space="0" w:color="auto"/>
              <w:right w:val="single" w:sz="8" w:space="0" w:color="auto"/>
            </w:tcBorders>
            <w:shd w:val="clear" w:color="000000" w:fill="D9D9D9"/>
          </w:tcPr>
          <w:p w14:paraId="2EFFA9D7" w14:textId="77777777" w:rsidR="002850C6" w:rsidRPr="002850C6" w:rsidRDefault="002850C6" w:rsidP="002850C6">
            <w:pPr>
              <w:spacing w:before="0" w:after="0"/>
              <w:jc w:val="right"/>
              <w:rPr>
                <w:b/>
                <w:bCs/>
                <w:noProof/>
                <w:sz w:val="16"/>
                <w:szCs w:val="16"/>
                <w:lang w:eastAsia="en-IE"/>
              </w:rPr>
            </w:pPr>
          </w:p>
        </w:tc>
      </w:tr>
      <w:tr w:rsidR="002850C6" w:rsidRPr="002850C6" w14:paraId="43E58A08" w14:textId="77777777" w:rsidTr="0043630B">
        <w:trPr>
          <w:trHeight w:val="300"/>
        </w:trPr>
        <w:tc>
          <w:tcPr>
            <w:tcW w:w="8046" w:type="dxa"/>
            <w:gridSpan w:val="6"/>
            <w:tcBorders>
              <w:top w:val="single" w:sz="8" w:space="0" w:color="auto"/>
              <w:left w:val="single" w:sz="8" w:space="0" w:color="auto"/>
              <w:bottom w:val="single" w:sz="8" w:space="0" w:color="auto"/>
              <w:right w:val="single" w:sz="4" w:space="0" w:color="auto"/>
            </w:tcBorders>
            <w:noWrap/>
            <w:vAlign w:val="center"/>
            <w:hideMark/>
          </w:tcPr>
          <w:p w14:paraId="66946ABC" w14:textId="77777777" w:rsidR="002850C6" w:rsidRPr="002850C6" w:rsidRDefault="002850C6" w:rsidP="002850C6">
            <w:pPr>
              <w:spacing w:before="0" w:after="0"/>
              <w:jc w:val="center"/>
              <w:rPr>
                <w:noProof/>
                <w:sz w:val="16"/>
                <w:szCs w:val="16"/>
              </w:rPr>
            </w:pPr>
            <w:r w:rsidRPr="002850C6">
              <w:rPr>
                <w:noProof/>
                <w:sz w:val="16"/>
              </w:rPr>
              <w:t xml:space="preserve"> </w:t>
            </w:r>
          </w:p>
        </w:tc>
        <w:tc>
          <w:tcPr>
            <w:tcW w:w="1243" w:type="dxa"/>
            <w:tcBorders>
              <w:top w:val="single" w:sz="8" w:space="0" w:color="auto"/>
              <w:left w:val="single" w:sz="8" w:space="0" w:color="auto"/>
              <w:bottom w:val="single" w:sz="8" w:space="0" w:color="auto"/>
              <w:right w:val="single" w:sz="4" w:space="0" w:color="auto"/>
            </w:tcBorders>
          </w:tcPr>
          <w:p w14:paraId="66CF9073" w14:textId="77777777" w:rsidR="002850C6" w:rsidRPr="002850C6" w:rsidRDefault="002850C6" w:rsidP="002850C6">
            <w:pPr>
              <w:spacing w:before="0" w:after="0"/>
              <w:jc w:val="center"/>
              <w:rPr>
                <w:noProof/>
                <w:sz w:val="16"/>
                <w:szCs w:val="16"/>
                <w:lang w:eastAsia="en-IE"/>
              </w:rPr>
            </w:pPr>
          </w:p>
        </w:tc>
      </w:tr>
      <w:tr w:rsidR="002850C6" w:rsidRPr="002850C6" w14:paraId="65573E89" w14:textId="77777777" w:rsidTr="0043630B">
        <w:trPr>
          <w:trHeight w:val="312"/>
        </w:trPr>
        <w:tc>
          <w:tcPr>
            <w:tcW w:w="3227" w:type="dxa"/>
            <w:tcBorders>
              <w:top w:val="single" w:sz="12" w:space="0" w:color="auto"/>
              <w:left w:val="single" w:sz="12" w:space="0" w:color="auto"/>
              <w:bottom w:val="single" w:sz="12" w:space="0" w:color="auto"/>
              <w:right w:val="single" w:sz="8" w:space="0" w:color="auto"/>
            </w:tcBorders>
            <w:vAlign w:val="center"/>
            <w:hideMark/>
          </w:tcPr>
          <w:p w14:paraId="57ED3137" w14:textId="77777777" w:rsidR="002850C6" w:rsidRPr="002850C6" w:rsidRDefault="002850C6" w:rsidP="002850C6">
            <w:pPr>
              <w:spacing w:before="0" w:after="0"/>
              <w:jc w:val="center"/>
              <w:rPr>
                <w:b/>
                <w:bCs/>
                <w:noProof/>
                <w:sz w:val="16"/>
                <w:szCs w:val="16"/>
              </w:rPr>
            </w:pPr>
            <w:r w:rsidRPr="002850C6">
              <w:rPr>
                <w:b/>
                <w:noProof/>
                <w:sz w:val="16"/>
              </w:rPr>
              <w:t>TOTAL</w:t>
            </w:r>
          </w:p>
        </w:tc>
        <w:tc>
          <w:tcPr>
            <w:tcW w:w="850" w:type="dxa"/>
            <w:tcBorders>
              <w:top w:val="single" w:sz="12" w:space="0" w:color="auto"/>
              <w:left w:val="nil"/>
              <w:bottom w:val="single" w:sz="12" w:space="0" w:color="auto"/>
              <w:right w:val="single" w:sz="8" w:space="0" w:color="auto"/>
            </w:tcBorders>
            <w:shd w:val="clear" w:color="000000" w:fill="D9D9D9"/>
            <w:vAlign w:val="center"/>
            <w:hideMark/>
          </w:tcPr>
          <w:p w14:paraId="418602CB" w14:textId="77777777" w:rsidR="002850C6" w:rsidRPr="002850C6" w:rsidRDefault="002850C6" w:rsidP="002850C6">
            <w:pPr>
              <w:spacing w:before="0" w:after="0"/>
              <w:jc w:val="right"/>
              <w:rPr>
                <w:b/>
                <w:bCs/>
                <w:noProof/>
                <w:sz w:val="16"/>
                <w:szCs w:val="16"/>
              </w:rPr>
            </w:pPr>
            <w:r w:rsidRPr="002850C6">
              <w:rPr>
                <w:b/>
                <w:noProof/>
                <w:sz w:val="16"/>
              </w:rPr>
              <w:t>0,000</w:t>
            </w:r>
          </w:p>
        </w:tc>
        <w:tc>
          <w:tcPr>
            <w:tcW w:w="851" w:type="dxa"/>
            <w:tcBorders>
              <w:top w:val="single" w:sz="12" w:space="0" w:color="auto"/>
              <w:left w:val="nil"/>
              <w:bottom w:val="single" w:sz="12" w:space="0" w:color="auto"/>
              <w:right w:val="single" w:sz="8" w:space="0" w:color="auto"/>
            </w:tcBorders>
            <w:shd w:val="clear" w:color="000000" w:fill="D9D9D9"/>
            <w:vAlign w:val="center"/>
            <w:hideMark/>
          </w:tcPr>
          <w:p w14:paraId="4D25EA3B" w14:textId="77777777" w:rsidR="002850C6" w:rsidRPr="002850C6" w:rsidRDefault="002850C6" w:rsidP="002850C6">
            <w:pPr>
              <w:spacing w:before="0" w:after="0"/>
              <w:jc w:val="right"/>
              <w:rPr>
                <w:b/>
                <w:bCs/>
                <w:noProof/>
                <w:sz w:val="16"/>
                <w:szCs w:val="16"/>
              </w:rPr>
            </w:pPr>
            <w:r w:rsidRPr="002850C6">
              <w:rPr>
                <w:b/>
                <w:noProof/>
                <w:sz w:val="16"/>
              </w:rPr>
              <w:t>0,000</w:t>
            </w:r>
          </w:p>
        </w:tc>
        <w:tc>
          <w:tcPr>
            <w:tcW w:w="992" w:type="dxa"/>
            <w:tcBorders>
              <w:top w:val="single" w:sz="12" w:space="0" w:color="auto"/>
              <w:left w:val="nil"/>
              <w:bottom w:val="single" w:sz="12" w:space="0" w:color="auto"/>
              <w:right w:val="single" w:sz="8" w:space="0" w:color="auto"/>
            </w:tcBorders>
            <w:shd w:val="clear" w:color="000000" w:fill="D9D9D9"/>
            <w:vAlign w:val="center"/>
            <w:hideMark/>
          </w:tcPr>
          <w:p w14:paraId="4297B406" w14:textId="77777777" w:rsidR="002850C6" w:rsidRPr="002850C6" w:rsidRDefault="002850C6" w:rsidP="002850C6">
            <w:pPr>
              <w:spacing w:before="0" w:after="0"/>
              <w:jc w:val="right"/>
              <w:rPr>
                <w:b/>
                <w:bCs/>
                <w:noProof/>
                <w:sz w:val="16"/>
                <w:szCs w:val="16"/>
              </w:rPr>
            </w:pPr>
            <w:r w:rsidRPr="002850C6">
              <w:rPr>
                <w:b/>
                <w:noProof/>
                <w:sz w:val="16"/>
              </w:rPr>
              <w:t>1,504</w:t>
            </w:r>
          </w:p>
        </w:tc>
        <w:tc>
          <w:tcPr>
            <w:tcW w:w="992" w:type="dxa"/>
            <w:tcBorders>
              <w:top w:val="single" w:sz="12" w:space="0" w:color="auto"/>
              <w:left w:val="nil"/>
              <w:bottom w:val="single" w:sz="12" w:space="0" w:color="auto"/>
              <w:right w:val="single" w:sz="8" w:space="0" w:color="auto"/>
            </w:tcBorders>
            <w:shd w:val="clear" w:color="000000" w:fill="D9D9D9"/>
            <w:vAlign w:val="center"/>
            <w:hideMark/>
          </w:tcPr>
          <w:p w14:paraId="50E214CF" w14:textId="77777777" w:rsidR="002850C6" w:rsidRPr="002850C6" w:rsidRDefault="002850C6" w:rsidP="002850C6">
            <w:pPr>
              <w:spacing w:before="0" w:after="0"/>
              <w:jc w:val="right"/>
              <w:rPr>
                <w:b/>
                <w:bCs/>
                <w:noProof/>
                <w:sz w:val="16"/>
                <w:szCs w:val="16"/>
              </w:rPr>
            </w:pPr>
            <w:r w:rsidRPr="002850C6">
              <w:rPr>
                <w:b/>
                <w:noProof/>
                <w:sz w:val="16"/>
              </w:rPr>
              <w:t>2,951</w:t>
            </w:r>
          </w:p>
        </w:tc>
        <w:tc>
          <w:tcPr>
            <w:tcW w:w="1134" w:type="dxa"/>
            <w:tcBorders>
              <w:top w:val="single" w:sz="12" w:space="0" w:color="auto"/>
              <w:left w:val="nil"/>
              <w:bottom w:val="single" w:sz="12" w:space="0" w:color="auto"/>
              <w:right w:val="single" w:sz="8" w:space="0" w:color="auto"/>
            </w:tcBorders>
            <w:shd w:val="clear" w:color="000000" w:fill="D9D9D9"/>
            <w:vAlign w:val="center"/>
            <w:hideMark/>
          </w:tcPr>
          <w:p w14:paraId="0C451FBF" w14:textId="77777777" w:rsidR="002850C6" w:rsidRPr="002850C6" w:rsidRDefault="002850C6" w:rsidP="002850C6">
            <w:pPr>
              <w:spacing w:before="0" w:after="0"/>
              <w:jc w:val="right"/>
              <w:rPr>
                <w:b/>
                <w:bCs/>
                <w:noProof/>
                <w:sz w:val="16"/>
                <w:szCs w:val="16"/>
              </w:rPr>
            </w:pPr>
            <w:r w:rsidRPr="002850C6">
              <w:rPr>
                <w:b/>
                <w:noProof/>
                <w:sz w:val="16"/>
              </w:rPr>
              <w:t>4,455</w:t>
            </w:r>
          </w:p>
        </w:tc>
        <w:tc>
          <w:tcPr>
            <w:tcW w:w="1243" w:type="dxa"/>
            <w:tcBorders>
              <w:top w:val="single" w:sz="12" w:space="0" w:color="auto"/>
              <w:left w:val="nil"/>
              <w:bottom w:val="single" w:sz="12" w:space="0" w:color="auto"/>
              <w:right w:val="single" w:sz="8" w:space="0" w:color="auto"/>
            </w:tcBorders>
            <w:shd w:val="clear" w:color="000000" w:fill="D9D9D9"/>
          </w:tcPr>
          <w:p w14:paraId="52DF8DFF" w14:textId="77777777" w:rsidR="002850C6" w:rsidRPr="002850C6" w:rsidRDefault="002850C6" w:rsidP="002850C6">
            <w:pPr>
              <w:spacing w:before="0" w:after="0"/>
              <w:jc w:val="right"/>
              <w:rPr>
                <w:b/>
                <w:bCs/>
                <w:noProof/>
                <w:sz w:val="16"/>
                <w:szCs w:val="16"/>
              </w:rPr>
            </w:pPr>
            <w:r w:rsidRPr="002850C6">
              <w:rPr>
                <w:b/>
                <w:noProof/>
                <w:sz w:val="16"/>
              </w:rPr>
              <w:t>49,205</w:t>
            </w:r>
          </w:p>
        </w:tc>
      </w:tr>
    </w:tbl>
    <w:p w14:paraId="5F06F1DF" w14:textId="77777777" w:rsidR="002850C6" w:rsidRPr="002850C6" w:rsidRDefault="002850C6" w:rsidP="002850C6">
      <w:pPr>
        <w:rPr>
          <w:noProof/>
        </w:rPr>
      </w:pPr>
    </w:p>
    <w:p w14:paraId="2879EBA1" w14:textId="77777777" w:rsidR="002850C6" w:rsidRPr="002850C6" w:rsidRDefault="002850C6" w:rsidP="002850C6">
      <w:pPr>
        <w:spacing w:before="0" w:after="0"/>
        <w:jc w:val="left"/>
        <w:rPr>
          <w:rFonts w:eastAsia="Calibri"/>
          <w:noProof/>
          <w:szCs w:val="24"/>
        </w:rPr>
      </w:pPr>
      <w:r w:rsidRPr="002850C6">
        <w:rPr>
          <w:noProof/>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14:paraId="68513D60" w14:textId="77777777" w:rsidR="002850C6" w:rsidRPr="002850C6" w:rsidRDefault="002850C6" w:rsidP="002850C6">
      <w:pPr>
        <w:rPr>
          <w:noProof/>
        </w:rPr>
      </w:pPr>
    </w:p>
    <w:p w14:paraId="0FAC8D6E" w14:textId="77777777" w:rsidR="002850C6" w:rsidRPr="002850C6" w:rsidRDefault="002850C6" w:rsidP="002850C6">
      <w:pPr>
        <w:keepNext/>
        <w:tabs>
          <w:tab w:val="left" w:pos="850"/>
        </w:tabs>
        <w:ind w:left="850" w:hanging="850"/>
        <w:outlineLvl w:val="2"/>
        <w:rPr>
          <w:noProof/>
          <w:color w:val="008000"/>
        </w:rPr>
      </w:pPr>
      <w:bookmarkStart w:id="150" w:name="_Toc213612600"/>
      <w:r w:rsidRPr="002850C6">
        <w:rPr>
          <w:i/>
          <w:noProof/>
        </w:rPr>
        <w:t>3.2.4.</w:t>
      </w:r>
      <w:r w:rsidRPr="002850C6">
        <w:rPr>
          <w:i/>
          <w:noProof/>
        </w:rPr>
        <w:tab/>
      </w:r>
      <w:bookmarkStart w:id="151" w:name="_Hlk177486230"/>
      <w:r w:rsidRPr="002850C6">
        <w:rPr>
          <w:i/>
          <w:noProof/>
        </w:rPr>
        <w:t>Besoins estimés en ressources humaines</w:t>
      </w:r>
      <w:bookmarkEnd w:id="150"/>
      <w:r w:rsidRPr="002850C6">
        <w:rPr>
          <w:i/>
          <w:noProof/>
        </w:rPr>
        <w:t xml:space="preserve"> </w:t>
      </w:r>
      <w:bookmarkEnd w:id="151"/>
    </w:p>
    <w:p w14:paraId="69BA6A9B" w14:textId="77777777" w:rsidR="002850C6" w:rsidRPr="002850C6" w:rsidRDefault="002850C6" w:rsidP="008F47E2">
      <w:pPr>
        <w:rPr>
          <w:rFonts w:eastAsia="Times New Roman"/>
          <w:noProof/>
          <w:lang w:eastAsia="de-DE"/>
        </w:rPr>
      </w:pPr>
      <w:r w:rsidRPr="002850C6">
        <w:rPr>
          <w:rFonts w:eastAsia="Times New Roman"/>
          <w:noProof/>
          <w:lang w:eastAsia="de-DE"/>
        </w:rPr>
        <w:tab/>
        <w:t xml:space="preserve">La proposition/l’initiative n’engendre pas l’utilisation de ressources humaines. </w:t>
      </w:r>
    </w:p>
    <w:p w14:paraId="2F98BE9C"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La proposition/l’initiative engendre l’utilisation de ressources humaines, comme expliqué ci-après:</w:t>
      </w:r>
    </w:p>
    <w:p w14:paraId="11D53BA5" w14:textId="77777777" w:rsidR="002850C6" w:rsidRPr="002850C6" w:rsidRDefault="002850C6" w:rsidP="002850C6">
      <w:pPr>
        <w:keepNext/>
        <w:tabs>
          <w:tab w:val="left" w:pos="850"/>
        </w:tabs>
        <w:ind w:left="850" w:hanging="850"/>
        <w:outlineLvl w:val="2"/>
        <w:rPr>
          <w:i/>
          <w:noProof/>
        </w:rPr>
      </w:pPr>
      <w:bookmarkStart w:id="152" w:name="_Toc213612601"/>
      <w:r w:rsidRPr="002850C6">
        <w:rPr>
          <w:i/>
          <w:noProof/>
        </w:rPr>
        <w:t>3.2.4.1.</w:t>
      </w:r>
      <w:r w:rsidRPr="002850C6">
        <w:rPr>
          <w:i/>
          <w:noProof/>
        </w:rPr>
        <w:tab/>
        <w:t>Financement sur le budget voté</w:t>
      </w:r>
      <w:bookmarkEnd w:id="152"/>
    </w:p>
    <w:p w14:paraId="3C5DDBAB" w14:textId="77777777" w:rsidR="002850C6" w:rsidRPr="002850C6" w:rsidRDefault="002850C6" w:rsidP="002850C6">
      <w:pPr>
        <w:spacing w:after="60"/>
        <w:jc w:val="right"/>
        <w:rPr>
          <w:i/>
          <w:noProof/>
          <w:sz w:val="20"/>
        </w:rPr>
      </w:pPr>
      <w:r w:rsidRPr="002850C6">
        <w:rPr>
          <w:i/>
          <w:noProof/>
          <w:sz w:val="20"/>
        </w:rPr>
        <w:t>Estimation à exprimer en équivalents temps plein (ETP)</w:t>
      </w:r>
    </w:p>
    <w:p w14:paraId="77C107D5" w14:textId="77777777" w:rsidR="002850C6" w:rsidRPr="002850C6" w:rsidRDefault="002850C6" w:rsidP="002850C6">
      <w:pPr>
        <w:spacing w:before="60" w:after="60"/>
        <w:ind w:left="-426" w:right="-427"/>
        <w:rPr>
          <w:b/>
          <w:noProof/>
          <w:sz w:val="18"/>
          <w:szCs w:val="18"/>
        </w:rPr>
      </w:pPr>
      <w:bookmarkStart w:id="153" w:name="_Hlk156979231"/>
    </w:p>
    <w:tbl>
      <w:tblPr>
        <w:tblW w:w="5000" w:type="pct"/>
        <w:tblLook w:val="04A0" w:firstRow="1" w:lastRow="0" w:firstColumn="1" w:lastColumn="0" w:noHBand="0" w:noVBand="1"/>
      </w:tblPr>
      <w:tblGrid>
        <w:gridCol w:w="1513"/>
        <w:gridCol w:w="3898"/>
        <w:gridCol w:w="970"/>
        <w:gridCol w:w="970"/>
        <w:gridCol w:w="970"/>
        <w:gridCol w:w="968"/>
      </w:tblGrid>
      <w:tr w:rsidR="002850C6" w:rsidRPr="002850C6" w14:paraId="352C5D52" w14:textId="77777777" w:rsidTr="0043630B">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435678FB" w14:textId="77777777" w:rsidR="002850C6" w:rsidRPr="002850C6" w:rsidRDefault="002850C6" w:rsidP="002850C6">
            <w:pPr>
              <w:spacing w:before="0" w:after="0"/>
              <w:jc w:val="center"/>
              <w:rPr>
                <w:b/>
                <w:bCs/>
                <w:noProof/>
                <w:sz w:val="18"/>
                <w:szCs w:val="18"/>
              </w:rPr>
            </w:pPr>
            <w:r w:rsidRPr="002850C6">
              <w:rPr>
                <w:b/>
                <w:noProof/>
                <w:sz w:val="18"/>
              </w:rPr>
              <w:t>CRÉDITS VOTÉS</w:t>
            </w:r>
          </w:p>
        </w:tc>
        <w:tc>
          <w:tcPr>
            <w:tcW w:w="522" w:type="pct"/>
            <w:tcBorders>
              <w:top w:val="single" w:sz="8" w:space="0" w:color="auto"/>
              <w:left w:val="nil"/>
              <w:bottom w:val="nil"/>
              <w:right w:val="single" w:sz="8" w:space="0" w:color="auto"/>
            </w:tcBorders>
            <w:vAlign w:val="center"/>
            <w:hideMark/>
          </w:tcPr>
          <w:p w14:paraId="676BFFBC" w14:textId="77777777" w:rsidR="002850C6" w:rsidRPr="002850C6" w:rsidRDefault="002850C6" w:rsidP="002850C6">
            <w:pPr>
              <w:spacing w:before="0" w:after="0"/>
              <w:jc w:val="center"/>
              <w:rPr>
                <w:noProof/>
                <w:sz w:val="20"/>
                <w:szCs w:val="20"/>
              </w:rPr>
            </w:pPr>
            <w:r w:rsidRPr="002850C6">
              <w:rPr>
                <w:noProof/>
                <w:sz w:val="20"/>
              </w:rPr>
              <w:t>Année</w:t>
            </w:r>
          </w:p>
        </w:tc>
        <w:tc>
          <w:tcPr>
            <w:tcW w:w="522" w:type="pct"/>
            <w:tcBorders>
              <w:top w:val="single" w:sz="8" w:space="0" w:color="auto"/>
              <w:left w:val="nil"/>
              <w:bottom w:val="nil"/>
              <w:right w:val="single" w:sz="8" w:space="0" w:color="auto"/>
            </w:tcBorders>
            <w:vAlign w:val="center"/>
            <w:hideMark/>
          </w:tcPr>
          <w:p w14:paraId="353EC53C" w14:textId="77777777" w:rsidR="002850C6" w:rsidRPr="002850C6" w:rsidRDefault="002850C6" w:rsidP="002850C6">
            <w:pPr>
              <w:spacing w:before="0" w:after="0"/>
              <w:jc w:val="center"/>
              <w:rPr>
                <w:noProof/>
                <w:sz w:val="20"/>
                <w:szCs w:val="20"/>
              </w:rPr>
            </w:pPr>
            <w:r w:rsidRPr="002850C6">
              <w:rPr>
                <w:noProof/>
                <w:sz w:val="20"/>
              </w:rPr>
              <w:t>Année</w:t>
            </w:r>
          </w:p>
        </w:tc>
        <w:tc>
          <w:tcPr>
            <w:tcW w:w="522" w:type="pct"/>
            <w:tcBorders>
              <w:top w:val="single" w:sz="8" w:space="0" w:color="auto"/>
              <w:left w:val="nil"/>
              <w:bottom w:val="nil"/>
              <w:right w:val="single" w:sz="8" w:space="0" w:color="auto"/>
            </w:tcBorders>
            <w:vAlign w:val="center"/>
            <w:hideMark/>
          </w:tcPr>
          <w:p w14:paraId="442164E4" w14:textId="77777777" w:rsidR="002850C6" w:rsidRPr="002850C6" w:rsidRDefault="002850C6" w:rsidP="002850C6">
            <w:pPr>
              <w:spacing w:before="0" w:after="0"/>
              <w:jc w:val="center"/>
              <w:rPr>
                <w:noProof/>
                <w:sz w:val="20"/>
                <w:szCs w:val="20"/>
              </w:rPr>
            </w:pPr>
            <w:r w:rsidRPr="002850C6">
              <w:rPr>
                <w:noProof/>
                <w:sz w:val="20"/>
              </w:rPr>
              <w:t>Année</w:t>
            </w:r>
          </w:p>
        </w:tc>
        <w:tc>
          <w:tcPr>
            <w:tcW w:w="522" w:type="pct"/>
            <w:tcBorders>
              <w:top w:val="single" w:sz="8" w:space="0" w:color="auto"/>
              <w:left w:val="nil"/>
              <w:bottom w:val="nil"/>
              <w:right w:val="single" w:sz="8" w:space="0" w:color="auto"/>
            </w:tcBorders>
            <w:vAlign w:val="center"/>
            <w:hideMark/>
          </w:tcPr>
          <w:p w14:paraId="50284D5A" w14:textId="77777777" w:rsidR="002850C6" w:rsidRPr="002850C6" w:rsidRDefault="002850C6" w:rsidP="002850C6">
            <w:pPr>
              <w:spacing w:before="0" w:after="0"/>
              <w:jc w:val="center"/>
              <w:rPr>
                <w:noProof/>
                <w:sz w:val="20"/>
                <w:szCs w:val="20"/>
              </w:rPr>
            </w:pPr>
            <w:r w:rsidRPr="002850C6">
              <w:rPr>
                <w:noProof/>
                <w:sz w:val="20"/>
              </w:rPr>
              <w:t>Année</w:t>
            </w:r>
          </w:p>
        </w:tc>
      </w:tr>
      <w:tr w:rsidR="002850C6" w:rsidRPr="002850C6" w14:paraId="114E357B" w14:textId="77777777" w:rsidTr="0043630B">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0204F4A6" w14:textId="77777777" w:rsidR="002850C6" w:rsidRPr="002850C6" w:rsidRDefault="002850C6" w:rsidP="002850C6">
            <w:pPr>
              <w:spacing w:before="0" w:after="0"/>
              <w:jc w:val="left"/>
              <w:rPr>
                <w:b/>
                <w:bCs/>
                <w:noProof/>
                <w:sz w:val="18"/>
                <w:szCs w:val="18"/>
                <w:lang w:eastAsia="en-IE"/>
              </w:rPr>
            </w:pPr>
          </w:p>
        </w:tc>
        <w:tc>
          <w:tcPr>
            <w:tcW w:w="522" w:type="pct"/>
            <w:tcBorders>
              <w:top w:val="nil"/>
              <w:left w:val="nil"/>
              <w:bottom w:val="single" w:sz="8" w:space="0" w:color="auto"/>
              <w:right w:val="single" w:sz="8" w:space="0" w:color="auto"/>
            </w:tcBorders>
            <w:vAlign w:val="center"/>
            <w:hideMark/>
          </w:tcPr>
          <w:p w14:paraId="132A4053" w14:textId="77777777" w:rsidR="002850C6" w:rsidRPr="002850C6" w:rsidRDefault="002850C6" w:rsidP="002850C6">
            <w:pPr>
              <w:spacing w:before="0" w:after="0"/>
              <w:jc w:val="center"/>
              <w:rPr>
                <w:b/>
                <w:bCs/>
                <w:noProof/>
                <w:sz w:val="20"/>
                <w:szCs w:val="20"/>
              </w:rPr>
            </w:pPr>
            <w:r w:rsidRPr="002850C6">
              <w:rPr>
                <w:b/>
                <w:noProof/>
                <w:sz w:val="20"/>
              </w:rPr>
              <w:t>2024</w:t>
            </w:r>
          </w:p>
        </w:tc>
        <w:tc>
          <w:tcPr>
            <w:tcW w:w="522" w:type="pct"/>
            <w:tcBorders>
              <w:top w:val="nil"/>
              <w:left w:val="nil"/>
              <w:bottom w:val="single" w:sz="8" w:space="0" w:color="auto"/>
              <w:right w:val="single" w:sz="8" w:space="0" w:color="auto"/>
            </w:tcBorders>
            <w:vAlign w:val="center"/>
            <w:hideMark/>
          </w:tcPr>
          <w:p w14:paraId="56F27696" w14:textId="77777777" w:rsidR="002850C6" w:rsidRPr="002850C6" w:rsidRDefault="002850C6" w:rsidP="002850C6">
            <w:pPr>
              <w:spacing w:before="0" w:after="0"/>
              <w:jc w:val="center"/>
              <w:rPr>
                <w:b/>
                <w:bCs/>
                <w:noProof/>
                <w:sz w:val="20"/>
                <w:szCs w:val="20"/>
              </w:rPr>
            </w:pPr>
            <w:r w:rsidRPr="002850C6">
              <w:rPr>
                <w:b/>
                <w:noProof/>
                <w:sz w:val="20"/>
              </w:rPr>
              <w:t>2025</w:t>
            </w:r>
          </w:p>
        </w:tc>
        <w:tc>
          <w:tcPr>
            <w:tcW w:w="522" w:type="pct"/>
            <w:tcBorders>
              <w:top w:val="nil"/>
              <w:left w:val="nil"/>
              <w:bottom w:val="single" w:sz="8" w:space="0" w:color="auto"/>
              <w:right w:val="single" w:sz="8" w:space="0" w:color="auto"/>
            </w:tcBorders>
            <w:vAlign w:val="center"/>
            <w:hideMark/>
          </w:tcPr>
          <w:p w14:paraId="2EBC3F72" w14:textId="77777777" w:rsidR="002850C6" w:rsidRPr="002850C6" w:rsidRDefault="002850C6" w:rsidP="002850C6">
            <w:pPr>
              <w:spacing w:before="0" w:after="0"/>
              <w:jc w:val="center"/>
              <w:rPr>
                <w:b/>
                <w:bCs/>
                <w:noProof/>
                <w:sz w:val="20"/>
                <w:szCs w:val="20"/>
              </w:rPr>
            </w:pPr>
            <w:r w:rsidRPr="002850C6">
              <w:rPr>
                <w:b/>
                <w:noProof/>
                <w:sz w:val="20"/>
              </w:rPr>
              <w:t>2026</w:t>
            </w:r>
          </w:p>
        </w:tc>
        <w:tc>
          <w:tcPr>
            <w:tcW w:w="522" w:type="pct"/>
            <w:tcBorders>
              <w:top w:val="nil"/>
              <w:left w:val="nil"/>
              <w:bottom w:val="single" w:sz="8" w:space="0" w:color="auto"/>
              <w:right w:val="single" w:sz="8" w:space="0" w:color="auto"/>
            </w:tcBorders>
            <w:vAlign w:val="center"/>
            <w:hideMark/>
          </w:tcPr>
          <w:p w14:paraId="06DAC1EC" w14:textId="77777777" w:rsidR="002850C6" w:rsidRPr="002850C6" w:rsidRDefault="002850C6" w:rsidP="002850C6">
            <w:pPr>
              <w:spacing w:before="0" w:after="0"/>
              <w:jc w:val="center"/>
              <w:rPr>
                <w:b/>
                <w:bCs/>
                <w:noProof/>
                <w:sz w:val="20"/>
                <w:szCs w:val="20"/>
              </w:rPr>
            </w:pPr>
            <w:r w:rsidRPr="002850C6">
              <w:rPr>
                <w:b/>
                <w:noProof/>
                <w:sz w:val="20"/>
              </w:rPr>
              <w:t>2027</w:t>
            </w:r>
          </w:p>
        </w:tc>
      </w:tr>
      <w:tr w:rsidR="002850C6" w:rsidRPr="002850C6" w14:paraId="754CD2AA" w14:textId="77777777" w:rsidTr="0043630B">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06672C0" w14:textId="77777777" w:rsidR="002850C6" w:rsidRPr="002850C6" w:rsidRDefault="002850C6" w:rsidP="002850C6">
            <w:pPr>
              <w:spacing w:before="0" w:after="0"/>
              <w:jc w:val="left"/>
              <w:rPr>
                <w:rFonts w:ascii="Wingdings" w:hAnsi="Wingdings" w:cs="Calibri"/>
                <w:b/>
                <w:bCs/>
                <w:noProof/>
                <w:sz w:val="16"/>
                <w:szCs w:val="16"/>
              </w:rPr>
            </w:pPr>
            <w:r w:rsidRPr="002850C6">
              <w:rPr>
                <w:rFonts w:ascii="Wingdings" w:hAnsi="Wingdings"/>
                <w:b/>
                <w:noProof/>
                <w:sz w:val="16"/>
              </w:rPr>
              <w:t></w:t>
            </w:r>
            <w:r w:rsidRPr="002850C6">
              <w:rPr>
                <w:b/>
                <w:noProof/>
                <w:sz w:val="16"/>
              </w:rPr>
              <w:t xml:space="preserve"> Emplois du tableau des effectifs (fonctionnaires et agents temporaires)</w:t>
            </w:r>
          </w:p>
        </w:tc>
      </w:tr>
      <w:tr w:rsidR="002850C6" w:rsidRPr="002850C6" w14:paraId="1C6ED4FE"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F3AB654" w14:textId="77777777" w:rsidR="002850C6" w:rsidRPr="002850C6" w:rsidRDefault="002850C6" w:rsidP="002850C6">
            <w:pPr>
              <w:spacing w:before="0" w:after="0"/>
              <w:ind w:firstLineChars="100" w:firstLine="160"/>
              <w:jc w:val="left"/>
              <w:rPr>
                <w:noProof/>
                <w:sz w:val="16"/>
                <w:szCs w:val="16"/>
              </w:rPr>
            </w:pPr>
            <w:r w:rsidRPr="002850C6">
              <w:rPr>
                <w:noProof/>
                <w:sz w:val="16"/>
              </w:rPr>
              <w:t>20 01 02 01</w:t>
            </w:r>
            <w:r w:rsidRPr="002850C6">
              <w:rPr>
                <w:rFonts w:ascii="Arial Narrow" w:hAnsi="Arial Narrow"/>
                <w:noProof/>
                <w:sz w:val="20"/>
              </w:rPr>
              <w:t xml:space="preserve"> </w:t>
            </w:r>
            <w:r w:rsidRPr="002850C6">
              <w:rPr>
                <w:noProof/>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14:paraId="2A716C0A"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C4A85F6"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2020F67" w14:textId="77777777" w:rsidR="002850C6" w:rsidRPr="002850C6" w:rsidRDefault="002850C6" w:rsidP="002850C6">
            <w:pPr>
              <w:spacing w:before="0" w:after="0"/>
              <w:jc w:val="center"/>
              <w:rPr>
                <w:noProof/>
                <w:sz w:val="16"/>
                <w:szCs w:val="16"/>
              </w:rPr>
            </w:pPr>
            <w:r w:rsidRPr="002850C6">
              <w:rPr>
                <w:noProof/>
                <w:sz w:val="16"/>
              </w:rPr>
              <w:t>8</w:t>
            </w:r>
          </w:p>
        </w:tc>
        <w:tc>
          <w:tcPr>
            <w:tcW w:w="522" w:type="pct"/>
            <w:tcBorders>
              <w:top w:val="nil"/>
              <w:left w:val="nil"/>
              <w:bottom w:val="single" w:sz="8" w:space="0" w:color="auto"/>
              <w:right w:val="single" w:sz="8" w:space="0" w:color="auto"/>
            </w:tcBorders>
            <w:shd w:val="clear" w:color="000000" w:fill="D9D9D9"/>
            <w:vAlign w:val="center"/>
            <w:hideMark/>
          </w:tcPr>
          <w:p w14:paraId="14159E83" w14:textId="77777777" w:rsidR="002850C6" w:rsidRPr="002850C6" w:rsidRDefault="002850C6" w:rsidP="002850C6">
            <w:pPr>
              <w:spacing w:before="0" w:after="0"/>
              <w:jc w:val="center"/>
              <w:rPr>
                <w:noProof/>
                <w:sz w:val="16"/>
                <w:szCs w:val="16"/>
              </w:rPr>
            </w:pPr>
            <w:r w:rsidRPr="002850C6">
              <w:rPr>
                <w:noProof/>
                <w:sz w:val="16"/>
              </w:rPr>
              <w:t>15</w:t>
            </w:r>
          </w:p>
        </w:tc>
      </w:tr>
      <w:tr w:rsidR="002850C6" w:rsidRPr="002850C6" w14:paraId="0081D25A"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2EDE019" w14:textId="77777777" w:rsidR="002850C6" w:rsidRPr="002850C6" w:rsidRDefault="002850C6" w:rsidP="002850C6">
            <w:pPr>
              <w:spacing w:before="0" w:after="0"/>
              <w:ind w:firstLineChars="100" w:firstLine="160"/>
              <w:jc w:val="left"/>
              <w:rPr>
                <w:noProof/>
                <w:sz w:val="16"/>
                <w:szCs w:val="16"/>
              </w:rPr>
            </w:pPr>
            <w:r w:rsidRPr="002850C6">
              <w:rPr>
                <w:noProof/>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5ABB1864"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6A39117"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C01F43F"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2040D5F"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61185064"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F6F7C33" w14:textId="77777777" w:rsidR="002850C6" w:rsidRPr="002850C6" w:rsidRDefault="002850C6" w:rsidP="002850C6">
            <w:pPr>
              <w:spacing w:before="0" w:after="0"/>
              <w:ind w:firstLineChars="100" w:firstLine="160"/>
              <w:jc w:val="left"/>
              <w:rPr>
                <w:noProof/>
                <w:sz w:val="16"/>
                <w:szCs w:val="16"/>
              </w:rPr>
            </w:pPr>
            <w:r w:rsidRPr="002850C6">
              <w:rPr>
                <w:noProof/>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42FC582A"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5CF2BF8"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7D6B00B"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22C85DD"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77F805A5"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CD0F5C0" w14:textId="77777777" w:rsidR="002850C6" w:rsidRPr="002850C6" w:rsidRDefault="002850C6" w:rsidP="002850C6">
            <w:pPr>
              <w:spacing w:before="0" w:after="0"/>
              <w:ind w:firstLineChars="100" w:firstLine="160"/>
              <w:jc w:val="left"/>
              <w:rPr>
                <w:noProof/>
                <w:sz w:val="16"/>
                <w:szCs w:val="16"/>
              </w:rPr>
            </w:pPr>
            <w:r w:rsidRPr="002850C6">
              <w:rPr>
                <w:noProof/>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7770B664"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A120D0B"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18B3C6E"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59A3535"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1B9BF768"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0FD9184" w14:textId="77777777" w:rsidR="002850C6" w:rsidRPr="002850C6" w:rsidRDefault="002850C6" w:rsidP="002850C6">
            <w:pPr>
              <w:spacing w:before="0" w:after="0"/>
              <w:ind w:firstLineChars="100" w:firstLine="160"/>
              <w:jc w:val="left"/>
              <w:rPr>
                <w:noProof/>
                <w:sz w:val="16"/>
                <w:szCs w:val="16"/>
              </w:rPr>
            </w:pPr>
            <w:r w:rsidRPr="002850C6">
              <w:rPr>
                <w:noProof/>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14:paraId="1AC43120"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39D46A1"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3AB880E"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8F8989"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450B723E" w14:textId="77777777" w:rsidTr="0043630B">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96F11D2" w14:textId="77777777" w:rsidR="002850C6" w:rsidRPr="002850C6" w:rsidRDefault="002850C6" w:rsidP="002850C6">
            <w:pPr>
              <w:spacing w:before="0" w:after="0"/>
              <w:jc w:val="left"/>
              <w:rPr>
                <w:rFonts w:ascii="Wingdings" w:hAnsi="Wingdings" w:cs="Calibri"/>
                <w:b/>
                <w:bCs/>
                <w:noProof/>
                <w:sz w:val="16"/>
                <w:szCs w:val="16"/>
              </w:rPr>
            </w:pPr>
            <w:r w:rsidRPr="002850C6">
              <w:rPr>
                <w:rFonts w:ascii="Calibri" w:hAnsi="Calibri"/>
                <w:b/>
                <w:noProof/>
                <w:sz w:val="16"/>
              </w:rPr>
              <w:t>•</w:t>
            </w:r>
            <w:r w:rsidRPr="002850C6">
              <w:rPr>
                <w:b/>
                <w:noProof/>
                <w:sz w:val="16"/>
              </w:rPr>
              <w:t xml:space="preserve"> Personnel externe (en ETP)</w:t>
            </w:r>
          </w:p>
        </w:tc>
      </w:tr>
      <w:tr w:rsidR="002850C6" w:rsidRPr="002850C6" w14:paraId="677127E6"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32A7CE7" w14:textId="77777777" w:rsidR="002850C6" w:rsidRPr="002850C6" w:rsidRDefault="002850C6" w:rsidP="002850C6">
            <w:pPr>
              <w:spacing w:before="0" w:after="0"/>
              <w:ind w:firstLineChars="100" w:firstLine="160"/>
              <w:jc w:val="left"/>
              <w:rPr>
                <w:noProof/>
                <w:sz w:val="16"/>
                <w:szCs w:val="16"/>
              </w:rPr>
            </w:pPr>
            <w:r w:rsidRPr="002850C6">
              <w:rPr>
                <w:noProof/>
                <w:sz w:val="16"/>
              </w:rPr>
              <w:t>20 02 01</w:t>
            </w:r>
            <w:r w:rsidRPr="002850C6">
              <w:rPr>
                <w:rFonts w:ascii="Arial Narrow" w:hAnsi="Arial Narrow"/>
                <w:noProof/>
                <w:sz w:val="20"/>
              </w:rPr>
              <w:t xml:space="preserve"> </w:t>
            </w:r>
            <w:r w:rsidRPr="002850C6">
              <w:rPr>
                <w:noProof/>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14:paraId="70069596"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7A59C5E"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76CAC2C"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F15EEA5" w14:textId="77777777" w:rsidR="002850C6" w:rsidRPr="002850C6" w:rsidRDefault="002850C6" w:rsidP="002850C6">
            <w:pPr>
              <w:spacing w:before="0" w:after="0"/>
              <w:jc w:val="center"/>
              <w:rPr>
                <w:noProof/>
                <w:sz w:val="16"/>
                <w:szCs w:val="16"/>
              </w:rPr>
            </w:pPr>
            <w:r w:rsidRPr="002850C6">
              <w:rPr>
                <w:noProof/>
                <w:sz w:val="16"/>
              </w:rPr>
              <w:t>1</w:t>
            </w:r>
          </w:p>
        </w:tc>
      </w:tr>
      <w:tr w:rsidR="002850C6" w:rsidRPr="002850C6" w14:paraId="5C998B12"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149B56" w14:textId="77777777" w:rsidR="002850C6" w:rsidRPr="002850C6" w:rsidRDefault="002850C6" w:rsidP="002850C6">
            <w:pPr>
              <w:spacing w:before="0" w:after="0"/>
              <w:ind w:firstLineChars="100" w:firstLine="160"/>
              <w:jc w:val="left"/>
              <w:rPr>
                <w:noProof/>
                <w:sz w:val="16"/>
                <w:szCs w:val="16"/>
              </w:rPr>
            </w:pPr>
            <w:r w:rsidRPr="002850C6">
              <w:rPr>
                <w:noProof/>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14:paraId="60982AF3"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48B49E18"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421D52F"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0FC5D71"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1DFC091C" w14:textId="77777777" w:rsidTr="0043630B">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09791546" w14:textId="77777777" w:rsidR="002850C6" w:rsidRPr="002850C6" w:rsidRDefault="002850C6" w:rsidP="002850C6">
            <w:pPr>
              <w:spacing w:before="0" w:after="0"/>
              <w:jc w:val="center"/>
              <w:rPr>
                <w:noProof/>
                <w:sz w:val="16"/>
                <w:szCs w:val="16"/>
              </w:rPr>
            </w:pPr>
            <w:r w:rsidRPr="002850C6">
              <w:rPr>
                <w:noProof/>
                <w:sz w:val="16"/>
              </w:rPr>
              <w:t>Ligne d’appui administratif</w:t>
            </w:r>
            <w:r w:rsidRPr="002850C6">
              <w:rPr>
                <w:noProof/>
              </w:rPr>
              <w:t xml:space="preserve"> </w:t>
            </w:r>
            <w:r w:rsidRPr="002850C6">
              <w:rPr>
                <w:noProof/>
              </w:rPr>
              <w:br/>
            </w:r>
            <w:r w:rsidRPr="002850C6">
              <w:rPr>
                <w:noProof/>
                <w:sz w:val="16"/>
              </w:rPr>
              <w:t>[XX.01.YY.YY]</w:t>
            </w:r>
          </w:p>
        </w:tc>
        <w:tc>
          <w:tcPr>
            <w:tcW w:w="2098" w:type="pct"/>
            <w:tcBorders>
              <w:top w:val="nil"/>
              <w:left w:val="nil"/>
              <w:bottom w:val="single" w:sz="8" w:space="0" w:color="auto"/>
              <w:right w:val="single" w:sz="8" w:space="0" w:color="auto"/>
            </w:tcBorders>
            <w:vAlign w:val="center"/>
            <w:hideMark/>
          </w:tcPr>
          <w:p w14:paraId="0531C8D8" w14:textId="77777777" w:rsidR="002850C6" w:rsidRPr="002850C6" w:rsidRDefault="002850C6" w:rsidP="002850C6">
            <w:pPr>
              <w:spacing w:before="0" w:after="0"/>
              <w:ind w:firstLineChars="100" w:firstLine="160"/>
              <w:jc w:val="left"/>
              <w:rPr>
                <w:noProof/>
                <w:sz w:val="16"/>
                <w:szCs w:val="16"/>
              </w:rPr>
            </w:pPr>
            <w:r w:rsidRPr="002850C6">
              <w:rPr>
                <w:noProof/>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14:paraId="61F2B29A"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6BA9743"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F49AC99"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86F3975"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292FE83D" w14:textId="77777777" w:rsidTr="0043630B">
        <w:trPr>
          <w:trHeight w:val="300"/>
        </w:trPr>
        <w:tc>
          <w:tcPr>
            <w:tcW w:w="815" w:type="pct"/>
            <w:vMerge/>
            <w:tcBorders>
              <w:top w:val="nil"/>
              <w:left w:val="single" w:sz="8" w:space="0" w:color="auto"/>
              <w:bottom w:val="single" w:sz="8" w:space="0" w:color="auto"/>
              <w:right w:val="single" w:sz="8" w:space="0" w:color="auto"/>
            </w:tcBorders>
            <w:vAlign w:val="center"/>
            <w:hideMark/>
          </w:tcPr>
          <w:p w14:paraId="68F63536" w14:textId="77777777" w:rsidR="002850C6" w:rsidRPr="002850C6" w:rsidRDefault="002850C6" w:rsidP="002850C6">
            <w:pPr>
              <w:spacing w:before="0" w:after="0"/>
              <w:jc w:val="left"/>
              <w:rPr>
                <w:noProof/>
                <w:sz w:val="16"/>
                <w:szCs w:val="16"/>
                <w:lang w:eastAsia="en-IE"/>
              </w:rPr>
            </w:pPr>
          </w:p>
        </w:tc>
        <w:tc>
          <w:tcPr>
            <w:tcW w:w="2098" w:type="pct"/>
            <w:tcBorders>
              <w:top w:val="nil"/>
              <w:left w:val="nil"/>
              <w:bottom w:val="single" w:sz="8" w:space="0" w:color="auto"/>
              <w:right w:val="single" w:sz="8" w:space="0" w:color="auto"/>
            </w:tcBorders>
            <w:vAlign w:val="center"/>
            <w:hideMark/>
          </w:tcPr>
          <w:p w14:paraId="486441BE" w14:textId="77777777" w:rsidR="002850C6" w:rsidRPr="002850C6" w:rsidRDefault="002850C6" w:rsidP="002850C6">
            <w:pPr>
              <w:spacing w:before="0" w:after="0"/>
              <w:ind w:firstLineChars="100" w:firstLine="160"/>
              <w:jc w:val="left"/>
              <w:rPr>
                <w:noProof/>
                <w:sz w:val="16"/>
                <w:szCs w:val="16"/>
              </w:rPr>
            </w:pPr>
            <w:r w:rsidRPr="002850C6">
              <w:rPr>
                <w:noProof/>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14:paraId="493AE9CB"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427ED6E"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ACC8940"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53BA327E"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44BDB3E0"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DED252F" w14:textId="77777777" w:rsidR="002850C6" w:rsidRPr="002850C6" w:rsidRDefault="002850C6" w:rsidP="002850C6">
            <w:pPr>
              <w:spacing w:before="0" w:after="0"/>
              <w:ind w:firstLineChars="100" w:firstLine="160"/>
              <w:jc w:val="left"/>
              <w:rPr>
                <w:noProof/>
                <w:sz w:val="16"/>
                <w:szCs w:val="16"/>
              </w:rPr>
            </w:pPr>
            <w:r w:rsidRPr="002850C6">
              <w:rPr>
                <w:noProof/>
                <w:sz w:val="16"/>
              </w:rPr>
              <w:t>01 01 01 02</w:t>
            </w:r>
            <w:r w:rsidRPr="002850C6">
              <w:rPr>
                <w:rFonts w:ascii="Arial Narrow" w:hAnsi="Arial Narrow"/>
                <w:noProof/>
                <w:sz w:val="20"/>
              </w:rPr>
              <w:t xml:space="preserve"> </w:t>
            </w:r>
            <w:r w:rsidRPr="002850C6">
              <w:rPr>
                <w:noProof/>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14:paraId="7DB83850"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F5556C4"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7EE60DD"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F06D8F2"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028AE2FC"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CAA6ADF" w14:textId="77777777" w:rsidR="002850C6" w:rsidRPr="002850C6" w:rsidRDefault="002850C6" w:rsidP="002850C6">
            <w:pPr>
              <w:spacing w:before="0" w:after="0"/>
              <w:ind w:firstLineChars="100" w:firstLine="160"/>
              <w:jc w:val="left"/>
              <w:rPr>
                <w:noProof/>
                <w:sz w:val="16"/>
                <w:szCs w:val="16"/>
              </w:rPr>
            </w:pPr>
            <w:r w:rsidRPr="002850C6">
              <w:rPr>
                <w:noProof/>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14:paraId="70D2C653"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610F4BC5"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2DABAE1"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C401C4F"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17C16D42"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532A0AF" w14:textId="77777777" w:rsidR="002850C6" w:rsidRPr="002850C6" w:rsidRDefault="002850C6" w:rsidP="002850C6">
            <w:pPr>
              <w:spacing w:before="0" w:after="0"/>
              <w:ind w:firstLineChars="100" w:firstLine="160"/>
              <w:jc w:val="left"/>
              <w:rPr>
                <w:noProof/>
                <w:sz w:val="16"/>
                <w:szCs w:val="16"/>
              </w:rPr>
            </w:pPr>
            <w:r w:rsidRPr="002850C6">
              <w:rPr>
                <w:noProof/>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14:paraId="224B29D4"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89062BD"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1628B365"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276EF27"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0322B48F"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2893864" w14:textId="77777777" w:rsidR="002850C6" w:rsidRPr="002850C6" w:rsidRDefault="002850C6" w:rsidP="002850C6">
            <w:pPr>
              <w:spacing w:before="0" w:after="0"/>
              <w:ind w:firstLineChars="100" w:firstLine="160"/>
              <w:jc w:val="left"/>
              <w:rPr>
                <w:noProof/>
                <w:sz w:val="16"/>
                <w:szCs w:val="16"/>
              </w:rPr>
            </w:pPr>
            <w:r w:rsidRPr="002850C6">
              <w:rPr>
                <w:noProof/>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14:paraId="1545561B"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2005145D"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7DEB035B" w14:textId="77777777" w:rsidR="002850C6" w:rsidRPr="002850C6" w:rsidRDefault="002850C6" w:rsidP="002850C6">
            <w:pPr>
              <w:spacing w:before="0" w:after="0"/>
              <w:jc w:val="center"/>
              <w:rPr>
                <w:noProof/>
                <w:sz w:val="16"/>
                <w:szCs w:val="16"/>
              </w:rPr>
            </w:pPr>
            <w:r w:rsidRPr="002850C6">
              <w:rPr>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BECB684" w14:textId="77777777" w:rsidR="002850C6" w:rsidRPr="002850C6" w:rsidRDefault="002850C6" w:rsidP="002850C6">
            <w:pPr>
              <w:spacing w:before="0" w:after="0"/>
              <w:jc w:val="center"/>
              <w:rPr>
                <w:noProof/>
                <w:sz w:val="16"/>
                <w:szCs w:val="16"/>
              </w:rPr>
            </w:pPr>
            <w:r w:rsidRPr="002850C6">
              <w:rPr>
                <w:noProof/>
                <w:sz w:val="16"/>
              </w:rPr>
              <w:t>0</w:t>
            </w:r>
          </w:p>
        </w:tc>
      </w:tr>
      <w:tr w:rsidR="002850C6" w:rsidRPr="002850C6" w14:paraId="74DF4A26" w14:textId="77777777" w:rsidTr="0043630B">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57573D1" w14:textId="77777777" w:rsidR="002850C6" w:rsidRPr="002850C6" w:rsidRDefault="002850C6" w:rsidP="002850C6">
            <w:pPr>
              <w:spacing w:before="0" w:after="0"/>
              <w:ind w:firstLineChars="100" w:firstLine="160"/>
              <w:jc w:val="left"/>
              <w:rPr>
                <w:b/>
                <w:bCs/>
                <w:noProof/>
                <w:sz w:val="16"/>
                <w:szCs w:val="16"/>
              </w:rPr>
            </w:pPr>
            <w:r w:rsidRPr="002850C6">
              <w:rPr>
                <w:b/>
                <w:noProof/>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14:paraId="65E8F6A9" w14:textId="77777777" w:rsidR="002850C6" w:rsidRPr="002850C6" w:rsidRDefault="002850C6" w:rsidP="002850C6">
            <w:pPr>
              <w:spacing w:before="0" w:after="0"/>
              <w:jc w:val="center"/>
              <w:rPr>
                <w:b/>
                <w:bCs/>
                <w:noProof/>
                <w:sz w:val="16"/>
                <w:szCs w:val="16"/>
              </w:rPr>
            </w:pPr>
            <w:r w:rsidRPr="002850C6">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54BAB27" w14:textId="77777777" w:rsidR="002850C6" w:rsidRPr="002850C6" w:rsidRDefault="002850C6" w:rsidP="002850C6">
            <w:pPr>
              <w:spacing w:before="0" w:after="0"/>
              <w:jc w:val="center"/>
              <w:rPr>
                <w:b/>
                <w:bCs/>
                <w:noProof/>
                <w:sz w:val="16"/>
                <w:szCs w:val="16"/>
              </w:rPr>
            </w:pPr>
            <w:r w:rsidRPr="002850C6">
              <w:rPr>
                <w:b/>
                <w:noProof/>
                <w:sz w:val="16"/>
              </w:rPr>
              <w:t>0</w:t>
            </w:r>
          </w:p>
        </w:tc>
        <w:tc>
          <w:tcPr>
            <w:tcW w:w="522" w:type="pct"/>
            <w:tcBorders>
              <w:top w:val="nil"/>
              <w:left w:val="nil"/>
              <w:bottom w:val="single" w:sz="8" w:space="0" w:color="auto"/>
              <w:right w:val="single" w:sz="8" w:space="0" w:color="auto"/>
            </w:tcBorders>
            <w:shd w:val="clear" w:color="000000" w:fill="D9D9D9"/>
            <w:vAlign w:val="center"/>
            <w:hideMark/>
          </w:tcPr>
          <w:p w14:paraId="32F1D761" w14:textId="77777777" w:rsidR="002850C6" w:rsidRPr="002850C6" w:rsidRDefault="002850C6" w:rsidP="002850C6">
            <w:pPr>
              <w:spacing w:before="0" w:after="0"/>
              <w:jc w:val="center"/>
              <w:rPr>
                <w:b/>
                <w:bCs/>
                <w:noProof/>
                <w:sz w:val="16"/>
                <w:szCs w:val="16"/>
              </w:rPr>
            </w:pPr>
            <w:r w:rsidRPr="002850C6">
              <w:rPr>
                <w:b/>
                <w:noProof/>
                <w:sz w:val="16"/>
              </w:rPr>
              <w:t>8</w:t>
            </w:r>
          </w:p>
        </w:tc>
        <w:tc>
          <w:tcPr>
            <w:tcW w:w="522" w:type="pct"/>
            <w:tcBorders>
              <w:top w:val="nil"/>
              <w:left w:val="nil"/>
              <w:bottom w:val="single" w:sz="8" w:space="0" w:color="auto"/>
              <w:right w:val="single" w:sz="8" w:space="0" w:color="auto"/>
            </w:tcBorders>
            <w:shd w:val="clear" w:color="000000" w:fill="D9D9D9"/>
            <w:vAlign w:val="center"/>
            <w:hideMark/>
          </w:tcPr>
          <w:p w14:paraId="02E06069" w14:textId="77777777" w:rsidR="002850C6" w:rsidRPr="002850C6" w:rsidRDefault="002850C6" w:rsidP="002850C6">
            <w:pPr>
              <w:spacing w:before="0" w:after="0"/>
              <w:jc w:val="center"/>
              <w:rPr>
                <w:b/>
                <w:bCs/>
                <w:noProof/>
                <w:sz w:val="16"/>
                <w:szCs w:val="16"/>
              </w:rPr>
            </w:pPr>
            <w:r w:rsidRPr="002850C6">
              <w:rPr>
                <w:b/>
                <w:noProof/>
                <w:sz w:val="16"/>
              </w:rPr>
              <w:t>16</w:t>
            </w:r>
          </w:p>
        </w:tc>
      </w:tr>
    </w:tbl>
    <w:p w14:paraId="352C81E1" w14:textId="77777777" w:rsidR="002850C6" w:rsidRPr="002850C6" w:rsidRDefault="002850C6" w:rsidP="002850C6">
      <w:pPr>
        <w:rPr>
          <w:noProof/>
        </w:rPr>
      </w:pPr>
    </w:p>
    <w:p w14:paraId="077F58B4" w14:textId="77777777" w:rsidR="002850C6" w:rsidRPr="002850C6" w:rsidRDefault="002850C6" w:rsidP="002850C6">
      <w:pPr>
        <w:ind w:left="-426"/>
        <w:rPr>
          <w:noProof/>
        </w:rPr>
      </w:pPr>
    </w:p>
    <w:p w14:paraId="3B7A9B34" w14:textId="77777777" w:rsidR="002850C6" w:rsidRPr="002850C6" w:rsidRDefault="002850C6" w:rsidP="002850C6">
      <w:pPr>
        <w:ind w:left="-426"/>
        <w:rPr>
          <w:noProof/>
        </w:rPr>
      </w:pPr>
      <w:r w:rsidRPr="002850C6">
        <w:rPr>
          <w:noProof/>
        </w:rPr>
        <w:t>Personnel nécessaire à la mise en œuvre de la proposition (en ETP):</w:t>
      </w:r>
    </w:p>
    <w:tbl>
      <w:tblPr>
        <w:tblStyle w:val="TableGrid2"/>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5"/>
        <w:gridCol w:w="1764"/>
        <w:gridCol w:w="4022"/>
        <w:gridCol w:w="999"/>
        <w:gridCol w:w="1255"/>
      </w:tblGrid>
      <w:tr w:rsidR="002850C6" w:rsidRPr="002850C6" w14:paraId="0B7DB358" w14:textId="77777777" w:rsidTr="0043630B">
        <w:trPr>
          <w:gridAfter w:val="2"/>
          <w:wAfter w:w="2" w:type="dxa"/>
        </w:trPr>
        <w:tc>
          <w:tcPr>
            <w:tcW w:w="2061" w:type="dxa"/>
          </w:tcPr>
          <w:p w14:paraId="69A0DB00" w14:textId="77777777" w:rsidR="002850C6" w:rsidRPr="002850C6" w:rsidRDefault="002850C6" w:rsidP="002850C6">
            <w:pPr>
              <w:jc w:val="center"/>
              <w:rPr>
                <w:b/>
                <w:bCs/>
                <w:noProof/>
                <w:sz w:val="22"/>
                <w:szCs w:val="28"/>
              </w:rPr>
            </w:pPr>
            <w:r w:rsidRPr="002850C6">
              <w:rPr>
                <w:b/>
                <w:noProof/>
                <w:sz w:val="22"/>
              </w:rPr>
              <w:t>2026</w:t>
            </w:r>
          </w:p>
        </w:tc>
        <w:tc>
          <w:tcPr>
            <w:tcW w:w="1993" w:type="dxa"/>
          </w:tcPr>
          <w:p w14:paraId="5AFE8948" w14:textId="77777777" w:rsidR="002850C6" w:rsidRPr="002850C6" w:rsidRDefault="002850C6" w:rsidP="002850C6">
            <w:pPr>
              <w:jc w:val="center"/>
              <w:rPr>
                <w:b/>
                <w:bCs/>
                <w:noProof/>
                <w:sz w:val="22"/>
                <w:szCs w:val="28"/>
              </w:rPr>
            </w:pPr>
            <w:r w:rsidRPr="002850C6">
              <w:rPr>
                <w:b/>
                <w:noProof/>
                <w:sz w:val="22"/>
              </w:rPr>
              <w:t>Personnel actuellement disponible dans les services de la Commission</w:t>
            </w:r>
          </w:p>
        </w:tc>
        <w:tc>
          <w:tcPr>
            <w:tcW w:w="5433" w:type="dxa"/>
          </w:tcPr>
          <w:p w14:paraId="71E579C7" w14:textId="77777777" w:rsidR="002850C6" w:rsidRPr="002850C6" w:rsidRDefault="002850C6" w:rsidP="002850C6">
            <w:pPr>
              <w:jc w:val="center"/>
              <w:rPr>
                <w:b/>
                <w:bCs/>
                <w:noProof/>
                <w:sz w:val="22"/>
                <w:szCs w:val="28"/>
              </w:rPr>
            </w:pPr>
            <w:r w:rsidRPr="002850C6">
              <w:rPr>
                <w:b/>
                <w:noProof/>
                <w:sz w:val="22"/>
              </w:rPr>
              <w:t>Effectifs supplémentaires*</w:t>
            </w:r>
          </w:p>
        </w:tc>
      </w:tr>
      <w:tr w:rsidR="002850C6" w:rsidRPr="002850C6" w14:paraId="18C4F052" w14:textId="77777777" w:rsidTr="0043630B">
        <w:tc>
          <w:tcPr>
            <w:tcW w:w="2061" w:type="dxa"/>
          </w:tcPr>
          <w:p w14:paraId="7055E7BF" w14:textId="77777777" w:rsidR="002850C6" w:rsidRPr="002850C6" w:rsidRDefault="002850C6" w:rsidP="002850C6">
            <w:pPr>
              <w:jc w:val="center"/>
              <w:rPr>
                <w:b/>
                <w:bCs/>
                <w:noProof/>
                <w:sz w:val="22"/>
                <w:szCs w:val="28"/>
              </w:rPr>
            </w:pPr>
          </w:p>
        </w:tc>
        <w:tc>
          <w:tcPr>
            <w:tcW w:w="1993" w:type="dxa"/>
          </w:tcPr>
          <w:p w14:paraId="2AA86DBE" w14:textId="77777777" w:rsidR="002850C6" w:rsidRPr="002850C6" w:rsidRDefault="002850C6" w:rsidP="002850C6">
            <w:pPr>
              <w:jc w:val="center"/>
              <w:rPr>
                <w:b/>
                <w:bCs/>
                <w:noProof/>
                <w:sz w:val="22"/>
                <w:szCs w:val="28"/>
              </w:rPr>
            </w:pPr>
          </w:p>
        </w:tc>
        <w:tc>
          <w:tcPr>
            <w:tcW w:w="5433" w:type="dxa"/>
          </w:tcPr>
          <w:p w14:paraId="1A86E678" w14:textId="77777777" w:rsidR="002850C6" w:rsidRPr="002850C6" w:rsidRDefault="002850C6" w:rsidP="002850C6">
            <w:pPr>
              <w:jc w:val="center"/>
              <w:rPr>
                <w:b/>
                <w:bCs/>
                <w:noProof/>
                <w:sz w:val="22"/>
                <w:szCs w:val="28"/>
              </w:rPr>
            </w:pPr>
            <w:r w:rsidRPr="002850C6">
              <w:rPr>
                <w:b/>
                <w:noProof/>
                <w:sz w:val="22"/>
              </w:rPr>
              <w:t>À financer sur la rubrique 7 ou la recherche</w:t>
            </w:r>
          </w:p>
        </w:tc>
        <w:tc>
          <w:tcPr>
            <w:tcW w:w="1" w:type="dxa"/>
          </w:tcPr>
          <w:p w14:paraId="44445845" w14:textId="77777777" w:rsidR="002850C6" w:rsidRPr="002850C6" w:rsidRDefault="002850C6" w:rsidP="002850C6">
            <w:pPr>
              <w:jc w:val="center"/>
              <w:rPr>
                <w:b/>
                <w:bCs/>
                <w:noProof/>
                <w:sz w:val="22"/>
                <w:szCs w:val="28"/>
              </w:rPr>
            </w:pPr>
            <w:r w:rsidRPr="002850C6">
              <w:rPr>
                <w:b/>
                <w:noProof/>
                <w:sz w:val="22"/>
              </w:rPr>
              <w:t>À financer sur la ligne BA</w:t>
            </w:r>
          </w:p>
        </w:tc>
        <w:tc>
          <w:tcPr>
            <w:tcW w:w="1" w:type="dxa"/>
          </w:tcPr>
          <w:p w14:paraId="0CFB1E45" w14:textId="77777777" w:rsidR="002850C6" w:rsidRPr="002850C6" w:rsidRDefault="002850C6" w:rsidP="002850C6">
            <w:pPr>
              <w:jc w:val="center"/>
              <w:rPr>
                <w:b/>
                <w:bCs/>
                <w:noProof/>
                <w:sz w:val="22"/>
                <w:szCs w:val="28"/>
              </w:rPr>
            </w:pPr>
            <w:r w:rsidRPr="002850C6">
              <w:rPr>
                <w:b/>
                <w:noProof/>
                <w:sz w:val="22"/>
              </w:rPr>
              <w:t>À financer sur les redevances</w:t>
            </w:r>
          </w:p>
        </w:tc>
      </w:tr>
      <w:tr w:rsidR="002850C6" w:rsidRPr="002850C6" w14:paraId="6578355B" w14:textId="77777777" w:rsidTr="0043630B">
        <w:tc>
          <w:tcPr>
            <w:tcW w:w="2061" w:type="dxa"/>
          </w:tcPr>
          <w:p w14:paraId="5644368E" w14:textId="77777777" w:rsidR="002850C6" w:rsidRPr="002850C6" w:rsidRDefault="002850C6" w:rsidP="002850C6">
            <w:pPr>
              <w:rPr>
                <w:noProof/>
                <w:sz w:val="22"/>
                <w:szCs w:val="28"/>
              </w:rPr>
            </w:pPr>
            <w:r w:rsidRPr="002850C6">
              <w:rPr>
                <w:noProof/>
                <w:sz w:val="22"/>
              </w:rPr>
              <w:t>Emplois du tableau des effectifs</w:t>
            </w:r>
          </w:p>
        </w:tc>
        <w:tc>
          <w:tcPr>
            <w:tcW w:w="1993" w:type="dxa"/>
          </w:tcPr>
          <w:p w14:paraId="11EDCB57" w14:textId="77777777" w:rsidR="002850C6" w:rsidRPr="002850C6" w:rsidRDefault="002850C6" w:rsidP="002850C6">
            <w:pPr>
              <w:rPr>
                <w:noProof/>
                <w:sz w:val="22"/>
                <w:szCs w:val="28"/>
              </w:rPr>
            </w:pPr>
            <w:r w:rsidRPr="002850C6">
              <w:rPr>
                <w:noProof/>
                <w:sz w:val="22"/>
              </w:rPr>
              <w:t>8</w:t>
            </w:r>
          </w:p>
        </w:tc>
        <w:tc>
          <w:tcPr>
            <w:tcW w:w="5433" w:type="dxa"/>
          </w:tcPr>
          <w:p w14:paraId="6A9E95B4" w14:textId="77777777" w:rsidR="002850C6" w:rsidRPr="002850C6" w:rsidRDefault="002850C6" w:rsidP="002850C6">
            <w:pPr>
              <w:rPr>
                <w:noProof/>
                <w:sz w:val="22"/>
                <w:szCs w:val="28"/>
              </w:rPr>
            </w:pPr>
          </w:p>
        </w:tc>
        <w:tc>
          <w:tcPr>
            <w:tcW w:w="1" w:type="dxa"/>
          </w:tcPr>
          <w:p w14:paraId="60E21712" w14:textId="77777777" w:rsidR="002850C6" w:rsidRPr="002850C6" w:rsidRDefault="002850C6" w:rsidP="002850C6">
            <w:pPr>
              <w:rPr>
                <w:noProof/>
                <w:sz w:val="22"/>
                <w:szCs w:val="28"/>
              </w:rPr>
            </w:pPr>
          </w:p>
        </w:tc>
        <w:tc>
          <w:tcPr>
            <w:tcW w:w="1" w:type="dxa"/>
          </w:tcPr>
          <w:p w14:paraId="5C9BF0F8" w14:textId="77777777" w:rsidR="002850C6" w:rsidRPr="002850C6" w:rsidRDefault="002850C6" w:rsidP="002850C6">
            <w:pPr>
              <w:rPr>
                <w:noProof/>
                <w:sz w:val="22"/>
                <w:szCs w:val="28"/>
              </w:rPr>
            </w:pPr>
          </w:p>
        </w:tc>
      </w:tr>
      <w:tr w:rsidR="002850C6" w:rsidRPr="002850C6" w14:paraId="507D4D43" w14:textId="77777777" w:rsidTr="0043630B">
        <w:tc>
          <w:tcPr>
            <w:tcW w:w="2061" w:type="dxa"/>
          </w:tcPr>
          <w:p w14:paraId="4FA3C70A" w14:textId="77777777" w:rsidR="002850C6" w:rsidRPr="002850C6" w:rsidRDefault="002850C6" w:rsidP="002850C6">
            <w:pPr>
              <w:rPr>
                <w:noProof/>
                <w:sz w:val="22"/>
                <w:szCs w:val="28"/>
              </w:rPr>
            </w:pPr>
            <w:r w:rsidRPr="002850C6">
              <w:rPr>
                <w:noProof/>
                <w:sz w:val="22"/>
              </w:rPr>
              <w:t>Personnel externe (AC, END, INT)</w:t>
            </w:r>
          </w:p>
        </w:tc>
        <w:tc>
          <w:tcPr>
            <w:tcW w:w="1993" w:type="dxa"/>
          </w:tcPr>
          <w:p w14:paraId="5917A273" w14:textId="77777777" w:rsidR="002850C6" w:rsidRPr="002850C6" w:rsidRDefault="002850C6" w:rsidP="002850C6">
            <w:pPr>
              <w:rPr>
                <w:noProof/>
                <w:sz w:val="22"/>
                <w:szCs w:val="28"/>
              </w:rPr>
            </w:pPr>
          </w:p>
        </w:tc>
        <w:tc>
          <w:tcPr>
            <w:tcW w:w="5433" w:type="dxa"/>
          </w:tcPr>
          <w:p w14:paraId="7ABFEB1E" w14:textId="77777777" w:rsidR="002850C6" w:rsidRPr="002850C6" w:rsidRDefault="002850C6" w:rsidP="002850C6">
            <w:pPr>
              <w:rPr>
                <w:noProof/>
                <w:sz w:val="22"/>
                <w:szCs w:val="28"/>
              </w:rPr>
            </w:pPr>
          </w:p>
        </w:tc>
        <w:tc>
          <w:tcPr>
            <w:tcW w:w="1" w:type="dxa"/>
          </w:tcPr>
          <w:p w14:paraId="2FABD9D5" w14:textId="77777777" w:rsidR="002850C6" w:rsidRPr="002850C6" w:rsidRDefault="002850C6" w:rsidP="002850C6">
            <w:pPr>
              <w:rPr>
                <w:noProof/>
                <w:sz w:val="22"/>
                <w:szCs w:val="28"/>
              </w:rPr>
            </w:pPr>
          </w:p>
        </w:tc>
        <w:tc>
          <w:tcPr>
            <w:tcW w:w="1" w:type="dxa"/>
          </w:tcPr>
          <w:p w14:paraId="6ED084A3" w14:textId="77777777" w:rsidR="002850C6" w:rsidRPr="002850C6" w:rsidRDefault="002850C6" w:rsidP="002850C6">
            <w:pPr>
              <w:rPr>
                <w:noProof/>
                <w:sz w:val="22"/>
                <w:szCs w:val="28"/>
              </w:rPr>
            </w:pPr>
          </w:p>
        </w:tc>
      </w:tr>
    </w:tbl>
    <w:p w14:paraId="7209DA7B" w14:textId="77777777" w:rsidR="002850C6" w:rsidRPr="002850C6" w:rsidRDefault="002850C6" w:rsidP="002850C6">
      <w:pPr>
        <w:ind w:left="-426"/>
        <w:rPr>
          <w:noProof/>
        </w:rPr>
      </w:pPr>
    </w:p>
    <w:p w14:paraId="7F0F8409" w14:textId="77777777" w:rsidR="002850C6" w:rsidRPr="002850C6" w:rsidRDefault="002850C6" w:rsidP="002850C6">
      <w:pPr>
        <w:ind w:left="-426"/>
        <w:rPr>
          <w:noProof/>
        </w:rPr>
      </w:pPr>
    </w:p>
    <w:tbl>
      <w:tblPr>
        <w:tblStyle w:val="TableGrid2"/>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993"/>
        <w:gridCol w:w="1747"/>
        <w:gridCol w:w="1938"/>
        <w:gridCol w:w="1748"/>
      </w:tblGrid>
      <w:tr w:rsidR="002850C6" w:rsidRPr="002850C6" w14:paraId="78AD2240" w14:textId="77777777" w:rsidTr="0043630B">
        <w:tc>
          <w:tcPr>
            <w:tcW w:w="2061" w:type="dxa"/>
          </w:tcPr>
          <w:p w14:paraId="11494815" w14:textId="77777777" w:rsidR="002850C6" w:rsidRPr="002850C6" w:rsidRDefault="002850C6" w:rsidP="002850C6">
            <w:pPr>
              <w:jc w:val="center"/>
              <w:rPr>
                <w:b/>
                <w:bCs/>
                <w:noProof/>
                <w:sz w:val="22"/>
                <w:szCs w:val="28"/>
              </w:rPr>
            </w:pPr>
            <w:r w:rsidRPr="002850C6">
              <w:rPr>
                <w:b/>
                <w:noProof/>
                <w:sz w:val="22"/>
              </w:rPr>
              <w:t>2027</w:t>
            </w:r>
          </w:p>
        </w:tc>
        <w:tc>
          <w:tcPr>
            <w:tcW w:w="1993" w:type="dxa"/>
          </w:tcPr>
          <w:p w14:paraId="435EF604" w14:textId="77777777" w:rsidR="002850C6" w:rsidRPr="002850C6" w:rsidRDefault="002850C6" w:rsidP="002850C6">
            <w:pPr>
              <w:jc w:val="center"/>
              <w:rPr>
                <w:b/>
                <w:bCs/>
                <w:noProof/>
                <w:sz w:val="22"/>
                <w:szCs w:val="28"/>
              </w:rPr>
            </w:pPr>
            <w:r w:rsidRPr="002850C6">
              <w:rPr>
                <w:b/>
                <w:noProof/>
                <w:sz w:val="22"/>
              </w:rPr>
              <w:t>Personnel actuellement disponible dans les services de la Commission</w:t>
            </w:r>
          </w:p>
        </w:tc>
        <w:tc>
          <w:tcPr>
            <w:tcW w:w="5433" w:type="dxa"/>
            <w:gridSpan w:val="3"/>
          </w:tcPr>
          <w:p w14:paraId="2D10CD9F" w14:textId="77777777" w:rsidR="002850C6" w:rsidRPr="002850C6" w:rsidRDefault="002850C6" w:rsidP="002850C6">
            <w:pPr>
              <w:jc w:val="center"/>
              <w:rPr>
                <w:b/>
                <w:bCs/>
                <w:noProof/>
                <w:sz w:val="22"/>
                <w:szCs w:val="28"/>
              </w:rPr>
            </w:pPr>
            <w:r w:rsidRPr="002850C6">
              <w:rPr>
                <w:b/>
                <w:noProof/>
                <w:sz w:val="22"/>
              </w:rPr>
              <w:t>Effectifs supplémentaires*</w:t>
            </w:r>
          </w:p>
        </w:tc>
      </w:tr>
      <w:tr w:rsidR="002850C6" w:rsidRPr="002850C6" w14:paraId="07676454" w14:textId="77777777" w:rsidTr="0043630B">
        <w:tc>
          <w:tcPr>
            <w:tcW w:w="2061" w:type="dxa"/>
          </w:tcPr>
          <w:p w14:paraId="2507FB1F" w14:textId="77777777" w:rsidR="002850C6" w:rsidRPr="002850C6" w:rsidRDefault="002850C6" w:rsidP="002850C6">
            <w:pPr>
              <w:jc w:val="center"/>
              <w:rPr>
                <w:b/>
                <w:bCs/>
                <w:noProof/>
                <w:sz w:val="22"/>
                <w:szCs w:val="28"/>
              </w:rPr>
            </w:pPr>
          </w:p>
        </w:tc>
        <w:tc>
          <w:tcPr>
            <w:tcW w:w="1993" w:type="dxa"/>
          </w:tcPr>
          <w:p w14:paraId="3E399021" w14:textId="77777777" w:rsidR="002850C6" w:rsidRPr="002850C6" w:rsidRDefault="002850C6" w:rsidP="002850C6">
            <w:pPr>
              <w:jc w:val="center"/>
              <w:rPr>
                <w:b/>
                <w:bCs/>
                <w:noProof/>
                <w:sz w:val="22"/>
                <w:szCs w:val="28"/>
              </w:rPr>
            </w:pPr>
          </w:p>
        </w:tc>
        <w:tc>
          <w:tcPr>
            <w:tcW w:w="1747" w:type="dxa"/>
          </w:tcPr>
          <w:p w14:paraId="415B20D9" w14:textId="77777777" w:rsidR="002850C6" w:rsidRPr="002850C6" w:rsidRDefault="002850C6" w:rsidP="002850C6">
            <w:pPr>
              <w:jc w:val="center"/>
              <w:rPr>
                <w:b/>
                <w:bCs/>
                <w:noProof/>
                <w:sz w:val="22"/>
                <w:szCs w:val="28"/>
              </w:rPr>
            </w:pPr>
            <w:r w:rsidRPr="002850C6">
              <w:rPr>
                <w:b/>
                <w:noProof/>
                <w:sz w:val="22"/>
              </w:rPr>
              <w:t>À financer sur la rubrique 7 ou la recherche</w:t>
            </w:r>
          </w:p>
        </w:tc>
        <w:tc>
          <w:tcPr>
            <w:tcW w:w="1938" w:type="dxa"/>
          </w:tcPr>
          <w:p w14:paraId="6007FD05" w14:textId="77777777" w:rsidR="002850C6" w:rsidRPr="002850C6" w:rsidRDefault="002850C6" w:rsidP="002850C6">
            <w:pPr>
              <w:jc w:val="center"/>
              <w:rPr>
                <w:b/>
                <w:bCs/>
                <w:noProof/>
                <w:sz w:val="22"/>
                <w:szCs w:val="28"/>
              </w:rPr>
            </w:pPr>
            <w:r w:rsidRPr="002850C6">
              <w:rPr>
                <w:b/>
                <w:noProof/>
                <w:sz w:val="22"/>
              </w:rPr>
              <w:t>À financer sur la ligne BA</w:t>
            </w:r>
          </w:p>
        </w:tc>
        <w:tc>
          <w:tcPr>
            <w:tcW w:w="1748" w:type="dxa"/>
          </w:tcPr>
          <w:p w14:paraId="2D82A101" w14:textId="77777777" w:rsidR="002850C6" w:rsidRPr="002850C6" w:rsidRDefault="002850C6" w:rsidP="002850C6">
            <w:pPr>
              <w:jc w:val="center"/>
              <w:rPr>
                <w:b/>
                <w:bCs/>
                <w:noProof/>
                <w:sz w:val="22"/>
                <w:szCs w:val="28"/>
              </w:rPr>
            </w:pPr>
            <w:r w:rsidRPr="002850C6">
              <w:rPr>
                <w:b/>
                <w:noProof/>
                <w:sz w:val="22"/>
              </w:rPr>
              <w:t>À financer sur les redevances</w:t>
            </w:r>
          </w:p>
        </w:tc>
      </w:tr>
      <w:tr w:rsidR="002850C6" w:rsidRPr="002850C6" w14:paraId="57C34F0B" w14:textId="77777777" w:rsidTr="0043630B">
        <w:tc>
          <w:tcPr>
            <w:tcW w:w="2061" w:type="dxa"/>
          </w:tcPr>
          <w:p w14:paraId="2480B080" w14:textId="77777777" w:rsidR="002850C6" w:rsidRPr="002850C6" w:rsidRDefault="002850C6" w:rsidP="002850C6">
            <w:pPr>
              <w:rPr>
                <w:noProof/>
                <w:sz w:val="22"/>
                <w:szCs w:val="28"/>
              </w:rPr>
            </w:pPr>
            <w:r w:rsidRPr="002850C6">
              <w:rPr>
                <w:noProof/>
                <w:sz w:val="22"/>
              </w:rPr>
              <w:t>Emplois du tableau des effectifs</w:t>
            </w:r>
          </w:p>
        </w:tc>
        <w:tc>
          <w:tcPr>
            <w:tcW w:w="1993" w:type="dxa"/>
          </w:tcPr>
          <w:p w14:paraId="77FFEB00" w14:textId="77777777" w:rsidR="002850C6" w:rsidRPr="002850C6" w:rsidRDefault="002850C6" w:rsidP="002850C6">
            <w:pPr>
              <w:rPr>
                <w:noProof/>
                <w:sz w:val="22"/>
                <w:szCs w:val="28"/>
              </w:rPr>
            </w:pPr>
            <w:r w:rsidRPr="002850C6">
              <w:rPr>
                <w:noProof/>
                <w:sz w:val="22"/>
              </w:rPr>
              <w:t>15</w:t>
            </w:r>
          </w:p>
        </w:tc>
        <w:tc>
          <w:tcPr>
            <w:tcW w:w="1747" w:type="dxa"/>
          </w:tcPr>
          <w:p w14:paraId="2FE74A4C" w14:textId="77777777" w:rsidR="002850C6" w:rsidRPr="002850C6" w:rsidRDefault="002850C6" w:rsidP="002850C6">
            <w:pPr>
              <w:rPr>
                <w:noProof/>
                <w:sz w:val="22"/>
                <w:szCs w:val="28"/>
              </w:rPr>
            </w:pPr>
          </w:p>
        </w:tc>
        <w:tc>
          <w:tcPr>
            <w:tcW w:w="1938" w:type="dxa"/>
          </w:tcPr>
          <w:p w14:paraId="571A23A5" w14:textId="77777777" w:rsidR="002850C6" w:rsidRPr="002850C6" w:rsidRDefault="002850C6" w:rsidP="002850C6">
            <w:pPr>
              <w:rPr>
                <w:noProof/>
                <w:sz w:val="22"/>
                <w:szCs w:val="28"/>
              </w:rPr>
            </w:pPr>
          </w:p>
        </w:tc>
        <w:tc>
          <w:tcPr>
            <w:tcW w:w="1748" w:type="dxa"/>
          </w:tcPr>
          <w:p w14:paraId="20D64936" w14:textId="77777777" w:rsidR="002850C6" w:rsidRPr="002850C6" w:rsidRDefault="002850C6" w:rsidP="002850C6">
            <w:pPr>
              <w:rPr>
                <w:noProof/>
                <w:sz w:val="22"/>
                <w:szCs w:val="28"/>
              </w:rPr>
            </w:pPr>
          </w:p>
        </w:tc>
      </w:tr>
      <w:tr w:rsidR="002850C6" w:rsidRPr="002850C6" w14:paraId="739B28A0" w14:textId="77777777" w:rsidTr="0043630B">
        <w:tc>
          <w:tcPr>
            <w:tcW w:w="2061" w:type="dxa"/>
          </w:tcPr>
          <w:p w14:paraId="7ABC3C33" w14:textId="77777777" w:rsidR="002850C6" w:rsidRPr="002850C6" w:rsidRDefault="002850C6" w:rsidP="002850C6">
            <w:pPr>
              <w:rPr>
                <w:noProof/>
                <w:sz w:val="22"/>
                <w:szCs w:val="28"/>
              </w:rPr>
            </w:pPr>
            <w:r w:rsidRPr="002850C6">
              <w:rPr>
                <w:noProof/>
                <w:sz w:val="22"/>
              </w:rPr>
              <w:t>Personnel externe (AC, END, INT)</w:t>
            </w:r>
          </w:p>
        </w:tc>
        <w:tc>
          <w:tcPr>
            <w:tcW w:w="1993" w:type="dxa"/>
          </w:tcPr>
          <w:p w14:paraId="225E5D40" w14:textId="77777777" w:rsidR="002850C6" w:rsidRPr="002850C6" w:rsidRDefault="002850C6" w:rsidP="002850C6">
            <w:pPr>
              <w:rPr>
                <w:noProof/>
                <w:sz w:val="22"/>
                <w:szCs w:val="28"/>
              </w:rPr>
            </w:pPr>
            <w:r w:rsidRPr="002850C6">
              <w:rPr>
                <w:noProof/>
                <w:sz w:val="22"/>
              </w:rPr>
              <w:t>1</w:t>
            </w:r>
          </w:p>
        </w:tc>
        <w:tc>
          <w:tcPr>
            <w:tcW w:w="1747" w:type="dxa"/>
          </w:tcPr>
          <w:p w14:paraId="192C294F" w14:textId="77777777" w:rsidR="002850C6" w:rsidRPr="002850C6" w:rsidRDefault="002850C6" w:rsidP="002850C6">
            <w:pPr>
              <w:rPr>
                <w:noProof/>
                <w:sz w:val="22"/>
                <w:szCs w:val="28"/>
              </w:rPr>
            </w:pPr>
          </w:p>
        </w:tc>
        <w:tc>
          <w:tcPr>
            <w:tcW w:w="1938" w:type="dxa"/>
          </w:tcPr>
          <w:p w14:paraId="4E3972FF" w14:textId="77777777" w:rsidR="002850C6" w:rsidRPr="002850C6" w:rsidRDefault="002850C6" w:rsidP="002850C6">
            <w:pPr>
              <w:rPr>
                <w:noProof/>
                <w:sz w:val="22"/>
                <w:szCs w:val="28"/>
              </w:rPr>
            </w:pPr>
          </w:p>
        </w:tc>
        <w:tc>
          <w:tcPr>
            <w:tcW w:w="1748" w:type="dxa"/>
          </w:tcPr>
          <w:p w14:paraId="0CFD7C6D" w14:textId="77777777" w:rsidR="002850C6" w:rsidRPr="002850C6" w:rsidRDefault="002850C6" w:rsidP="002850C6">
            <w:pPr>
              <w:rPr>
                <w:noProof/>
                <w:sz w:val="22"/>
                <w:szCs w:val="28"/>
              </w:rPr>
            </w:pPr>
          </w:p>
        </w:tc>
      </w:tr>
    </w:tbl>
    <w:p w14:paraId="227289D3" w14:textId="77777777" w:rsidR="002850C6" w:rsidRPr="002850C6" w:rsidRDefault="002850C6" w:rsidP="002850C6">
      <w:pPr>
        <w:rPr>
          <w:noProof/>
        </w:rPr>
      </w:pPr>
    </w:p>
    <w:tbl>
      <w:tblPr>
        <w:tblStyle w:val="TableGrid1"/>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993"/>
        <w:gridCol w:w="1747"/>
        <w:gridCol w:w="1938"/>
        <w:gridCol w:w="1748"/>
      </w:tblGrid>
      <w:tr w:rsidR="002850C6" w:rsidRPr="002850C6" w14:paraId="40E0F261" w14:textId="77777777" w:rsidTr="0043630B">
        <w:tc>
          <w:tcPr>
            <w:tcW w:w="2061" w:type="dxa"/>
          </w:tcPr>
          <w:p w14:paraId="1F1E1555" w14:textId="77777777" w:rsidR="002850C6" w:rsidRPr="002850C6" w:rsidRDefault="002850C6" w:rsidP="002850C6">
            <w:pPr>
              <w:jc w:val="center"/>
              <w:rPr>
                <w:b/>
                <w:noProof/>
                <w:sz w:val="22"/>
                <w:szCs w:val="28"/>
              </w:rPr>
            </w:pPr>
            <w:r w:rsidRPr="002850C6">
              <w:rPr>
                <w:b/>
                <w:noProof/>
                <w:sz w:val="22"/>
              </w:rPr>
              <w:t>2028-2034</w:t>
            </w:r>
          </w:p>
        </w:tc>
        <w:tc>
          <w:tcPr>
            <w:tcW w:w="1993" w:type="dxa"/>
          </w:tcPr>
          <w:p w14:paraId="602521C3" w14:textId="77777777" w:rsidR="002850C6" w:rsidRPr="002850C6" w:rsidRDefault="002850C6" w:rsidP="002850C6">
            <w:pPr>
              <w:jc w:val="center"/>
              <w:rPr>
                <w:b/>
                <w:noProof/>
                <w:sz w:val="22"/>
                <w:szCs w:val="28"/>
              </w:rPr>
            </w:pPr>
            <w:r w:rsidRPr="002850C6">
              <w:rPr>
                <w:b/>
                <w:noProof/>
                <w:sz w:val="22"/>
              </w:rPr>
              <w:t>Personnel actuellement disponible dans les services de la Commission</w:t>
            </w:r>
          </w:p>
        </w:tc>
        <w:tc>
          <w:tcPr>
            <w:tcW w:w="5433" w:type="dxa"/>
            <w:gridSpan w:val="3"/>
          </w:tcPr>
          <w:p w14:paraId="0B8D2569" w14:textId="77777777" w:rsidR="002850C6" w:rsidRPr="002850C6" w:rsidRDefault="002850C6" w:rsidP="002850C6">
            <w:pPr>
              <w:jc w:val="center"/>
              <w:rPr>
                <w:b/>
                <w:noProof/>
                <w:sz w:val="22"/>
                <w:szCs w:val="28"/>
              </w:rPr>
            </w:pPr>
            <w:r w:rsidRPr="002850C6">
              <w:rPr>
                <w:b/>
                <w:noProof/>
                <w:sz w:val="22"/>
              </w:rPr>
              <w:t>Effectifs supplémentaires*</w:t>
            </w:r>
          </w:p>
        </w:tc>
      </w:tr>
      <w:tr w:rsidR="002850C6" w:rsidRPr="002850C6" w14:paraId="111B0C62" w14:textId="77777777" w:rsidTr="0043630B">
        <w:tc>
          <w:tcPr>
            <w:tcW w:w="2061" w:type="dxa"/>
          </w:tcPr>
          <w:p w14:paraId="10BF46C9" w14:textId="77777777" w:rsidR="002850C6" w:rsidRPr="002850C6" w:rsidRDefault="002850C6" w:rsidP="002850C6">
            <w:pPr>
              <w:jc w:val="center"/>
              <w:rPr>
                <w:b/>
                <w:noProof/>
                <w:sz w:val="22"/>
                <w:szCs w:val="28"/>
              </w:rPr>
            </w:pPr>
          </w:p>
        </w:tc>
        <w:tc>
          <w:tcPr>
            <w:tcW w:w="1993" w:type="dxa"/>
          </w:tcPr>
          <w:p w14:paraId="150B54CE" w14:textId="77777777" w:rsidR="002850C6" w:rsidRPr="002850C6" w:rsidRDefault="002850C6" w:rsidP="002850C6">
            <w:pPr>
              <w:jc w:val="center"/>
              <w:rPr>
                <w:b/>
                <w:noProof/>
                <w:sz w:val="22"/>
                <w:szCs w:val="28"/>
              </w:rPr>
            </w:pPr>
          </w:p>
        </w:tc>
        <w:tc>
          <w:tcPr>
            <w:tcW w:w="1747" w:type="dxa"/>
          </w:tcPr>
          <w:p w14:paraId="6EC116C2" w14:textId="77777777" w:rsidR="002850C6" w:rsidRPr="002850C6" w:rsidRDefault="002850C6" w:rsidP="002850C6">
            <w:pPr>
              <w:jc w:val="center"/>
              <w:rPr>
                <w:b/>
                <w:noProof/>
                <w:sz w:val="22"/>
                <w:szCs w:val="28"/>
              </w:rPr>
            </w:pPr>
            <w:r w:rsidRPr="002850C6">
              <w:rPr>
                <w:b/>
                <w:noProof/>
                <w:sz w:val="22"/>
              </w:rPr>
              <w:t>À financer sur la rubrique 7 ou la recherche</w:t>
            </w:r>
          </w:p>
        </w:tc>
        <w:tc>
          <w:tcPr>
            <w:tcW w:w="1938" w:type="dxa"/>
          </w:tcPr>
          <w:p w14:paraId="00930BF6" w14:textId="77777777" w:rsidR="002850C6" w:rsidRPr="002850C6" w:rsidRDefault="002850C6" w:rsidP="002850C6">
            <w:pPr>
              <w:jc w:val="center"/>
              <w:rPr>
                <w:b/>
                <w:noProof/>
                <w:sz w:val="22"/>
                <w:szCs w:val="28"/>
              </w:rPr>
            </w:pPr>
            <w:r w:rsidRPr="002850C6">
              <w:rPr>
                <w:b/>
                <w:noProof/>
                <w:sz w:val="22"/>
              </w:rPr>
              <w:t>À financer sur la ligne BA</w:t>
            </w:r>
          </w:p>
        </w:tc>
        <w:tc>
          <w:tcPr>
            <w:tcW w:w="1748" w:type="dxa"/>
          </w:tcPr>
          <w:p w14:paraId="243E9D08" w14:textId="77777777" w:rsidR="002850C6" w:rsidRPr="002850C6" w:rsidRDefault="002850C6" w:rsidP="002850C6">
            <w:pPr>
              <w:jc w:val="center"/>
              <w:rPr>
                <w:b/>
                <w:noProof/>
                <w:sz w:val="22"/>
                <w:szCs w:val="28"/>
              </w:rPr>
            </w:pPr>
            <w:r w:rsidRPr="002850C6">
              <w:rPr>
                <w:b/>
                <w:noProof/>
                <w:sz w:val="22"/>
              </w:rPr>
              <w:t>À financer sur les redevances</w:t>
            </w:r>
          </w:p>
        </w:tc>
      </w:tr>
      <w:tr w:rsidR="002850C6" w:rsidRPr="002850C6" w14:paraId="67E77AC7" w14:textId="77777777" w:rsidTr="0043630B">
        <w:tc>
          <w:tcPr>
            <w:tcW w:w="2061" w:type="dxa"/>
          </w:tcPr>
          <w:p w14:paraId="55B6CDBA" w14:textId="77777777" w:rsidR="002850C6" w:rsidRPr="002850C6" w:rsidRDefault="002850C6" w:rsidP="002850C6">
            <w:pPr>
              <w:rPr>
                <w:noProof/>
                <w:sz w:val="22"/>
                <w:szCs w:val="28"/>
              </w:rPr>
            </w:pPr>
            <w:r w:rsidRPr="002850C6">
              <w:rPr>
                <w:noProof/>
                <w:sz w:val="22"/>
              </w:rPr>
              <w:t>Emplois du tableau des effectifs</w:t>
            </w:r>
          </w:p>
        </w:tc>
        <w:tc>
          <w:tcPr>
            <w:tcW w:w="1993" w:type="dxa"/>
          </w:tcPr>
          <w:p w14:paraId="60FF2AA7" w14:textId="77777777" w:rsidR="002850C6" w:rsidRPr="002850C6" w:rsidRDefault="002850C6" w:rsidP="002850C6">
            <w:pPr>
              <w:rPr>
                <w:noProof/>
                <w:sz w:val="22"/>
                <w:szCs w:val="28"/>
              </w:rPr>
            </w:pPr>
            <w:r w:rsidRPr="002850C6">
              <w:rPr>
                <w:noProof/>
                <w:sz w:val="22"/>
              </w:rPr>
              <w:t>37</w:t>
            </w:r>
          </w:p>
        </w:tc>
        <w:tc>
          <w:tcPr>
            <w:tcW w:w="1747" w:type="dxa"/>
          </w:tcPr>
          <w:p w14:paraId="3814352A" w14:textId="77777777" w:rsidR="002850C6" w:rsidRPr="002850C6" w:rsidRDefault="002850C6" w:rsidP="002850C6">
            <w:pPr>
              <w:rPr>
                <w:noProof/>
                <w:sz w:val="22"/>
                <w:szCs w:val="28"/>
              </w:rPr>
            </w:pPr>
          </w:p>
        </w:tc>
        <w:tc>
          <w:tcPr>
            <w:tcW w:w="1938" w:type="dxa"/>
          </w:tcPr>
          <w:p w14:paraId="7A4866B1" w14:textId="77777777" w:rsidR="002850C6" w:rsidRPr="002850C6" w:rsidRDefault="002850C6" w:rsidP="002850C6">
            <w:pPr>
              <w:rPr>
                <w:noProof/>
                <w:sz w:val="22"/>
                <w:szCs w:val="28"/>
              </w:rPr>
            </w:pPr>
          </w:p>
        </w:tc>
        <w:tc>
          <w:tcPr>
            <w:tcW w:w="1748" w:type="dxa"/>
          </w:tcPr>
          <w:p w14:paraId="46989DB8" w14:textId="77777777" w:rsidR="002850C6" w:rsidRPr="002850C6" w:rsidRDefault="002850C6" w:rsidP="002850C6">
            <w:pPr>
              <w:rPr>
                <w:noProof/>
                <w:sz w:val="22"/>
                <w:szCs w:val="28"/>
              </w:rPr>
            </w:pPr>
          </w:p>
        </w:tc>
      </w:tr>
      <w:tr w:rsidR="002850C6" w:rsidRPr="002850C6" w14:paraId="2A79C0D7" w14:textId="77777777" w:rsidTr="0043630B">
        <w:tc>
          <w:tcPr>
            <w:tcW w:w="2061" w:type="dxa"/>
          </w:tcPr>
          <w:p w14:paraId="365E0374" w14:textId="77777777" w:rsidR="002850C6" w:rsidRPr="002850C6" w:rsidRDefault="002850C6" w:rsidP="002850C6">
            <w:pPr>
              <w:rPr>
                <w:noProof/>
                <w:sz w:val="22"/>
                <w:szCs w:val="28"/>
              </w:rPr>
            </w:pPr>
            <w:r w:rsidRPr="002850C6">
              <w:rPr>
                <w:noProof/>
                <w:sz w:val="22"/>
              </w:rPr>
              <w:t>Personnel externe (AC, END, INT)</w:t>
            </w:r>
          </w:p>
        </w:tc>
        <w:tc>
          <w:tcPr>
            <w:tcW w:w="1993" w:type="dxa"/>
          </w:tcPr>
          <w:p w14:paraId="4FB746D7" w14:textId="77777777" w:rsidR="002850C6" w:rsidRPr="002850C6" w:rsidRDefault="002850C6" w:rsidP="002850C6">
            <w:pPr>
              <w:rPr>
                <w:noProof/>
                <w:sz w:val="22"/>
                <w:szCs w:val="28"/>
              </w:rPr>
            </w:pPr>
            <w:r w:rsidRPr="002850C6">
              <w:rPr>
                <w:noProof/>
                <w:sz w:val="22"/>
              </w:rPr>
              <w:t>1</w:t>
            </w:r>
          </w:p>
        </w:tc>
        <w:tc>
          <w:tcPr>
            <w:tcW w:w="1747" w:type="dxa"/>
          </w:tcPr>
          <w:p w14:paraId="45258DCE" w14:textId="77777777" w:rsidR="002850C6" w:rsidRPr="002850C6" w:rsidRDefault="002850C6" w:rsidP="002850C6">
            <w:pPr>
              <w:rPr>
                <w:noProof/>
                <w:sz w:val="22"/>
                <w:szCs w:val="28"/>
              </w:rPr>
            </w:pPr>
          </w:p>
        </w:tc>
        <w:tc>
          <w:tcPr>
            <w:tcW w:w="1938" w:type="dxa"/>
          </w:tcPr>
          <w:p w14:paraId="4CBE00A9" w14:textId="77777777" w:rsidR="002850C6" w:rsidRPr="002850C6" w:rsidRDefault="002850C6" w:rsidP="002850C6">
            <w:pPr>
              <w:rPr>
                <w:noProof/>
                <w:sz w:val="22"/>
                <w:szCs w:val="28"/>
              </w:rPr>
            </w:pPr>
          </w:p>
        </w:tc>
        <w:tc>
          <w:tcPr>
            <w:tcW w:w="1748" w:type="dxa"/>
          </w:tcPr>
          <w:p w14:paraId="302C31A8" w14:textId="77777777" w:rsidR="002850C6" w:rsidRPr="002850C6" w:rsidRDefault="002850C6" w:rsidP="002850C6">
            <w:pPr>
              <w:rPr>
                <w:noProof/>
                <w:sz w:val="22"/>
                <w:szCs w:val="28"/>
              </w:rPr>
            </w:pPr>
          </w:p>
        </w:tc>
      </w:tr>
    </w:tbl>
    <w:p w14:paraId="1BE7C489" w14:textId="77777777" w:rsidR="002850C6" w:rsidRPr="002850C6" w:rsidRDefault="002850C6" w:rsidP="002850C6">
      <w:pPr>
        <w:ind w:left="-426"/>
        <w:rPr>
          <w:noProof/>
          <w:sz w:val="22"/>
        </w:rPr>
      </w:pPr>
      <w:r w:rsidRPr="002850C6">
        <w:rPr>
          <w:noProof/>
          <w:sz w:val="22"/>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 Les chiffres pour l’après-2027 sont indicatifs et ne préjugent pas de l’issue des négociations en cours sur le prochain CFP.</w:t>
      </w:r>
    </w:p>
    <w:p w14:paraId="256B79BD" w14:textId="77777777" w:rsidR="002850C6" w:rsidRPr="002850C6" w:rsidRDefault="002850C6" w:rsidP="002850C6">
      <w:pPr>
        <w:ind w:left="-426" w:right="-427"/>
        <w:rPr>
          <w:noProof/>
        </w:rPr>
      </w:pPr>
      <w:r w:rsidRPr="002850C6">
        <w:rPr>
          <w:noProof/>
        </w:rPr>
        <w:t>Description des tâches à effectuer par:</w:t>
      </w:r>
    </w:p>
    <w:tbl>
      <w:tblPr>
        <w:tblW w:w="9649"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1286"/>
        <w:gridCol w:w="8363"/>
      </w:tblGrid>
      <w:tr w:rsidR="002850C6" w:rsidRPr="002850C6" w14:paraId="4E4BA671" w14:textId="77777777" w:rsidTr="0043630B">
        <w:tc>
          <w:tcPr>
            <w:tcW w:w="1286" w:type="dxa"/>
          </w:tcPr>
          <w:p w14:paraId="272A0374" w14:textId="77777777" w:rsidR="002850C6" w:rsidRPr="002850C6" w:rsidRDefault="002850C6" w:rsidP="002850C6">
            <w:pPr>
              <w:jc w:val="left"/>
              <w:rPr>
                <w:noProof/>
                <w:sz w:val="20"/>
              </w:rPr>
            </w:pPr>
            <w:r w:rsidRPr="002850C6">
              <w:rPr>
                <w:noProof/>
                <w:sz w:val="20"/>
              </w:rPr>
              <w:t>les fonctionnaires et agents temporaires</w:t>
            </w:r>
          </w:p>
        </w:tc>
        <w:tc>
          <w:tcPr>
            <w:tcW w:w="8363" w:type="dxa"/>
          </w:tcPr>
          <w:p w14:paraId="11D35109" w14:textId="77777777" w:rsidR="002850C6" w:rsidRPr="002850C6" w:rsidRDefault="002850C6" w:rsidP="002850C6">
            <w:pPr>
              <w:rPr>
                <w:noProof/>
                <w:sz w:val="20"/>
              </w:rPr>
            </w:pPr>
            <w:r w:rsidRPr="002850C6">
              <w:rPr>
                <w:noProof/>
                <w:sz w:val="20"/>
              </w:rPr>
              <w:t xml:space="preserve">En 2026: </w:t>
            </w:r>
          </w:p>
          <w:p w14:paraId="72D87C37" w14:textId="77777777" w:rsidR="002850C6" w:rsidRPr="002850C6" w:rsidRDefault="002850C6" w:rsidP="002850C6">
            <w:pPr>
              <w:rPr>
                <w:noProof/>
                <w:sz w:val="20"/>
              </w:rPr>
            </w:pPr>
            <w:r w:rsidRPr="002850C6">
              <w:rPr>
                <w:noProof/>
                <w:sz w:val="20"/>
              </w:rPr>
              <w:t>8 ETP pour la DG ECHO: 4 ETP (personnel informatique AD) pour superviser la mise en place du module sécurisé de l’outil informatique de gestion de la future réserve de solidarité + 4 ETP (personnel AD) pour renforcer le centre de coordination de la réaction d’urgence afin de le préparer à de nouvelles fonctionnalités</w:t>
            </w:r>
          </w:p>
          <w:p w14:paraId="762241CA" w14:textId="77777777" w:rsidR="002850C6" w:rsidRPr="002850C6" w:rsidRDefault="002850C6" w:rsidP="002850C6">
            <w:pPr>
              <w:rPr>
                <w:noProof/>
                <w:sz w:val="20"/>
              </w:rPr>
            </w:pPr>
            <w:r w:rsidRPr="002850C6">
              <w:rPr>
                <w:noProof/>
                <w:sz w:val="20"/>
              </w:rPr>
              <w:t>En 2027:</w:t>
            </w:r>
          </w:p>
          <w:p w14:paraId="1B42CD4F" w14:textId="77777777" w:rsidR="002850C6" w:rsidRPr="002850C6" w:rsidRDefault="002850C6" w:rsidP="002850C6">
            <w:pPr>
              <w:rPr>
                <w:noProof/>
                <w:sz w:val="20"/>
              </w:rPr>
            </w:pPr>
            <w:r w:rsidRPr="002850C6">
              <w:rPr>
                <w:noProof/>
                <w:sz w:val="20"/>
              </w:rPr>
              <w:t>2 ETP (AD) pour permettre à la DG DEFIS d’assurer le secrétariat du groupe sur les transports liés à la mobilité militaire et de superviser la mise en place et le pilotage de la réserve de solidarité</w:t>
            </w:r>
          </w:p>
          <w:p w14:paraId="6CCB0AF7" w14:textId="77777777" w:rsidR="002850C6" w:rsidRPr="002850C6" w:rsidRDefault="002850C6" w:rsidP="002850C6">
            <w:pPr>
              <w:rPr>
                <w:noProof/>
                <w:sz w:val="20"/>
              </w:rPr>
            </w:pPr>
            <w:r w:rsidRPr="002850C6">
              <w:rPr>
                <w:noProof/>
                <w:sz w:val="20"/>
              </w:rPr>
              <w:t xml:space="preserve">8 ETP pour la DG ECHO: 4 ETP (personnel informatique AD) pour superviser la mise en place du module sécurisé de l’outil informatique de gestion de la future réserve de solidarité + 4 ETP (personnel AD) pour renforcer le centre de coordination de la réaction d’urgence afin de le préparer à de nouvelles fonctionnalités.  </w:t>
            </w:r>
          </w:p>
          <w:p w14:paraId="44709992" w14:textId="77777777" w:rsidR="002850C6" w:rsidRPr="002850C6" w:rsidRDefault="002850C6" w:rsidP="002850C6">
            <w:pPr>
              <w:rPr>
                <w:noProof/>
                <w:color w:val="000000" w:themeColor="text1"/>
                <w:sz w:val="20"/>
                <w:szCs w:val="20"/>
              </w:rPr>
            </w:pPr>
            <w:r w:rsidRPr="002850C6">
              <w:rPr>
                <w:noProof/>
                <w:color w:val="000000" w:themeColor="text1"/>
                <w:sz w:val="20"/>
              </w:rPr>
              <w:t xml:space="preserve">5 ETP (AD) pour permettre à la DG MOVE de s’acquitter des nouvelles responsabilités de la Commission en ce qui concerne la coordination des quatre corridors de mobilité militaire et la mise en œuvre des projets de «points névralgiques» (tels que décrits à la section 1.5.1), de définir des mesures de base et des mesures renforcées de protection et de résilience pour les infrastructures stratégiques à double usage, d’évaluer les listes de ces infrastructures présentées par les États membres et de soutenir la révision des besoins militaires de l’UE en matière d’infrastructures. </w:t>
            </w:r>
          </w:p>
          <w:p w14:paraId="2EC048FC" w14:textId="77777777" w:rsidR="002850C6" w:rsidRPr="002850C6" w:rsidRDefault="002850C6" w:rsidP="002850C6">
            <w:pPr>
              <w:rPr>
                <w:noProof/>
                <w:sz w:val="20"/>
                <w:szCs w:val="20"/>
              </w:rPr>
            </w:pPr>
            <w:r w:rsidRPr="002850C6">
              <w:rPr>
                <w:noProof/>
                <w:sz w:val="20"/>
              </w:rPr>
              <w:t>En 2028-2034:</w:t>
            </w:r>
          </w:p>
          <w:p w14:paraId="21BCC84F" w14:textId="77777777" w:rsidR="002850C6" w:rsidRPr="002850C6" w:rsidRDefault="002850C6" w:rsidP="002850C6">
            <w:pPr>
              <w:rPr>
                <w:noProof/>
                <w:sz w:val="20"/>
                <w:szCs w:val="20"/>
              </w:rPr>
            </w:pPr>
            <w:r w:rsidRPr="002850C6">
              <w:rPr>
                <w:noProof/>
                <w:sz w:val="20"/>
              </w:rPr>
              <w:t>2 ETP (AD) pour permettre à la DG DEFIS d’assurer le secrétariat du groupe sur les transports liés à la mobilité militaire et de superviser la mise en place et le pilotage de la réserve de solidarité</w:t>
            </w:r>
          </w:p>
          <w:p w14:paraId="625D5397" w14:textId="77777777" w:rsidR="002850C6" w:rsidRPr="002850C6" w:rsidRDefault="002850C6" w:rsidP="002850C6">
            <w:pPr>
              <w:rPr>
                <w:noProof/>
                <w:sz w:val="20"/>
                <w:szCs w:val="20"/>
              </w:rPr>
            </w:pPr>
            <w:r w:rsidRPr="002850C6">
              <w:rPr>
                <w:noProof/>
                <w:sz w:val="20"/>
              </w:rPr>
              <w:t>30 ETP pour la DG ECHO pour la gestion opérationnelle et administrative de la réserve de solidarité. Ces chiffres proviennent de la DG ECHO et ont trait à la gestion de la réserve de solidarité en matière de mobilité militaire.</w:t>
            </w:r>
          </w:p>
          <w:p w14:paraId="315CC057" w14:textId="77777777" w:rsidR="002850C6" w:rsidRPr="002850C6" w:rsidRDefault="002850C6" w:rsidP="002850C6">
            <w:pPr>
              <w:rPr>
                <w:noProof/>
              </w:rPr>
            </w:pPr>
            <w:r w:rsidRPr="002850C6">
              <w:rPr>
                <w:noProof/>
                <w:sz w:val="20"/>
              </w:rPr>
              <w:t>Les 5 ETP (AD) demandés pour la DG MOVE pour 2027 seraient maintenus dans le prochain CFP afin d’évaluer à intervalles réguliers les listes d’infrastructures stratégiques à double usage présentées par les États membres et, s’il y a lieu, de mettre à jour les mesures de base et les mesures renforcées de protection et de résilience nécessaires à cet exercice, de permettre l’exécution des responsabilités supplémentaires de la Commission en matière de coordination au titre du règlement en ce qui concerne les corridors de mobilité militaire et le recensement des projets de «points névralgiques» pour aider les États membres à s’acquitter de leurs nouvelles obligations.</w:t>
            </w:r>
            <w:r w:rsidRPr="002850C6">
              <w:rPr>
                <w:noProof/>
                <w:color w:val="000000" w:themeColor="text1"/>
                <w:sz w:val="20"/>
              </w:rPr>
              <w:t xml:space="preserve"> </w:t>
            </w:r>
          </w:p>
        </w:tc>
      </w:tr>
      <w:tr w:rsidR="002850C6" w:rsidRPr="002850C6" w14:paraId="083B04F1" w14:textId="77777777" w:rsidTr="0043630B">
        <w:tc>
          <w:tcPr>
            <w:tcW w:w="1286" w:type="dxa"/>
          </w:tcPr>
          <w:p w14:paraId="473D18EA" w14:textId="77777777" w:rsidR="002850C6" w:rsidRPr="002850C6" w:rsidRDefault="002850C6" w:rsidP="002850C6">
            <w:pPr>
              <w:spacing w:before="60" w:after="60"/>
              <w:rPr>
                <w:noProof/>
                <w:sz w:val="20"/>
              </w:rPr>
            </w:pPr>
            <w:r w:rsidRPr="002850C6">
              <w:rPr>
                <w:noProof/>
                <w:sz w:val="20"/>
              </w:rPr>
              <w:t>le personnel externe</w:t>
            </w:r>
          </w:p>
        </w:tc>
        <w:tc>
          <w:tcPr>
            <w:tcW w:w="8363" w:type="dxa"/>
          </w:tcPr>
          <w:p w14:paraId="0DF19703" w14:textId="77777777" w:rsidR="002850C6" w:rsidRPr="002850C6" w:rsidRDefault="002850C6" w:rsidP="002850C6">
            <w:pPr>
              <w:rPr>
                <w:noProof/>
                <w:sz w:val="20"/>
              </w:rPr>
            </w:pPr>
            <w:r w:rsidRPr="002850C6">
              <w:rPr>
                <w:noProof/>
                <w:sz w:val="20"/>
              </w:rPr>
              <w:t>1 ETP (AC GF IV) pour la DG TAXUD pour 2027 et jusqu’en 2030 pour la numérisation du formulaire 302 de l’UE, en ce compris les travaux analytiques et préparatoires destinés à permettre la mise en place du cadre douanier et à définir des exigences spécifiques, ainsi que la supervision de la mise en œuvre correcte de la dimension douanière dans le futur outil informatique.</w:t>
            </w:r>
          </w:p>
        </w:tc>
      </w:tr>
    </w:tbl>
    <w:p w14:paraId="5B394387" w14:textId="77777777" w:rsidR="002850C6" w:rsidRPr="002850C6" w:rsidRDefault="002850C6" w:rsidP="002850C6">
      <w:pPr>
        <w:keepNext/>
        <w:tabs>
          <w:tab w:val="left" w:pos="850"/>
        </w:tabs>
        <w:ind w:left="850" w:hanging="850"/>
        <w:outlineLvl w:val="2"/>
        <w:rPr>
          <w:noProof/>
        </w:rPr>
      </w:pPr>
      <w:bookmarkStart w:id="154" w:name="_Toc213612602"/>
      <w:r w:rsidRPr="002850C6">
        <w:rPr>
          <w:i/>
          <w:noProof/>
        </w:rPr>
        <w:t>3.2.5.</w:t>
      </w:r>
      <w:r w:rsidRPr="002850C6">
        <w:rPr>
          <w:i/>
          <w:noProof/>
        </w:rPr>
        <w:tab/>
        <w:t>Vue d’ensemble de l’incidence estimée sur les investissements liés aux technologies numériques</w:t>
      </w:r>
      <w:bookmarkEnd w:id="154"/>
      <w:r w:rsidRPr="002850C6">
        <w:rPr>
          <w:i/>
          <w:noProof/>
        </w:rPr>
        <w:t xml:space="preserve"> </w:t>
      </w:r>
    </w:p>
    <w:tbl>
      <w:tblPr>
        <w:tblW w:w="0" w:type="auto"/>
        <w:tblLayout w:type="fixed"/>
        <w:tblLook w:val="04A0" w:firstRow="1" w:lastRow="0" w:firstColumn="1" w:lastColumn="0" w:noHBand="0" w:noVBand="1"/>
      </w:tblPr>
      <w:tblGrid>
        <w:gridCol w:w="3214"/>
        <w:gridCol w:w="835"/>
        <w:gridCol w:w="835"/>
        <w:gridCol w:w="835"/>
        <w:gridCol w:w="835"/>
        <w:gridCol w:w="981"/>
      </w:tblGrid>
      <w:tr w:rsidR="002850C6" w:rsidRPr="002850C6" w14:paraId="473C3D42" w14:textId="77777777" w:rsidTr="0043630B">
        <w:trPr>
          <w:trHeight w:val="525"/>
        </w:trPr>
        <w:tc>
          <w:tcPr>
            <w:tcW w:w="3214"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071CD" w14:textId="77777777" w:rsidR="002850C6" w:rsidRPr="002850C6" w:rsidRDefault="002850C6" w:rsidP="002850C6">
            <w:pPr>
              <w:spacing w:before="0" w:after="0"/>
              <w:jc w:val="center"/>
              <w:rPr>
                <w:b/>
                <w:bCs/>
                <w:noProof/>
                <w:sz w:val="18"/>
                <w:szCs w:val="18"/>
              </w:rPr>
            </w:pPr>
            <w:r w:rsidRPr="002850C6">
              <w:rPr>
                <w:b/>
                <w:noProof/>
                <w:sz w:val="18"/>
              </w:rPr>
              <w:t>TOTAL des crédits numériques et informatiques</w:t>
            </w:r>
          </w:p>
        </w:tc>
        <w:tc>
          <w:tcPr>
            <w:tcW w:w="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AA48F" w14:textId="77777777" w:rsidR="002850C6" w:rsidRPr="002850C6" w:rsidRDefault="002850C6" w:rsidP="002850C6">
            <w:pPr>
              <w:spacing w:before="0" w:after="0"/>
              <w:jc w:val="center"/>
              <w:rPr>
                <w:noProof/>
                <w:sz w:val="18"/>
                <w:szCs w:val="18"/>
              </w:rPr>
            </w:pPr>
            <w:r w:rsidRPr="002850C6">
              <w:rPr>
                <w:noProof/>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5307C8AE" w14:textId="77777777" w:rsidR="002850C6" w:rsidRPr="002850C6" w:rsidRDefault="002850C6" w:rsidP="002850C6">
            <w:pPr>
              <w:spacing w:before="0" w:after="0"/>
              <w:jc w:val="center"/>
              <w:rPr>
                <w:noProof/>
                <w:sz w:val="18"/>
                <w:szCs w:val="18"/>
              </w:rPr>
            </w:pPr>
            <w:r w:rsidRPr="002850C6">
              <w:rPr>
                <w:noProof/>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6CAAA708" w14:textId="77777777" w:rsidR="002850C6" w:rsidRPr="002850C6" w:rsidRDefault="002850C6" w:rsidP="002850C6">
            <w:pPr>
              <w:spacing w:before="0" w:after="0"/>
              <w:jc w:val="center"/>
              <w:rPr>
                <w:noProof/>
                <w:sz w:val="18"/>
                <w:szCs w:val="18"/>
              </w:rPr>
            </w:pPr>
            <w:r w:rsidRPr="002850C6">
              <w:rPr>
                <w:noProof/>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69D6C65B" w14:textId="77777777" w:rsidR="002850C6" w:rsidRPr="002850C6" w:rsidRDefault="002850C6" w:rsidP="002850C6">
            <w:pPr>
              <w:spacing w:before="0" w:after="0"/>
              <w:jc w:val="center"/>
              <w:rPr>
                <w:noProof/>
                <w:sz w:val="18"/>
                <w:szCs w:val="18"/>
              </w:rPr>
            </w:pPr>
            <w:r w:rsidRPr="002850C6">
              <w:rPr>
                <w:noProof/>
                <w:sz w:val="18"/>
              </w:rPr>
              <w:t>Année</w:t>
            </w:r>
          </w:p>
        </w:tc>
        <w:tc>
          <w:tcPr>
            <w:tcW w:w="981"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8472FD" w14:textId="77777777" w:rsidR="002850C6" w:rsidRPr="002850C6" w:rsidRDefault="002850C6" w:rsidP="002850C6">
            <w:pPr>
              <w:spacing w:before="0" w:after="0"/>
              <w:jc w:val="center"/>
              <w:rPr>
                <w:b/>
                <w:bCs/>
                <w:noProof/>
                <w:sz w:val="18"/>
                <w:szCs w:val="18"/>
              </w:rPr>
            </w:pPr>
            <w:r w:rsidRPr="002850C6">
              <w:rPr>
                <w:b/>
                <w:noProof/>
                <w:sz w:val="18"/>
              </w:rPr>
              <w:t>TOTAL CFP 2021-2027</w:t>
            </w:r>
          </w:p>
        </w:tc>
      </w:tr>
      <w:tr w:rsidR="002850C6" w:rsidRPr="002850C6" w14:paraId="75A5E3EF" w14:textId="77777777" w:rsidTr="0043630B">
        <w:trPr>
          <w:trHeight w:val="525"/>
        </w:trPr>
        <w:tc>
          <w:tcPr>
            <w:tcW w:w="3214" w:type="dxa"/>
            <w:vMerge/>
            <w:tcBorders>
              <w:top w:val="single" w:sz="8" w:space="0" w:color="auto"/>
              <w:left w:val="single" w:sz="8" w:space="0" w:color="auto"/>
              <w:bottom w:val="single" w:sz="8" w:space="0" w:color="auto"/>
              <w:right w:val="single" w:sz="8" w:space="0" w:color="auto"/>
            </w:tcBorders>
            <w:vAlign w:val="center"/>
          </w:tcPr>
          <w:p w14:paraId="6D06F5CC" w14:textId="77777777" w:rsidR="002850C6" w:rsidRPr="002850C6" w:rsidRDefault="002850C6" w:rsidP="002850C6">
            <w:pPr>
              <w:rPr>
                <w:noProof/>
              </w:rPr>
            </w:pPr>
          </w:p>
        </w:tc>
        <w:tc>
          <w:tcPr>
            <w:tcW w:w="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1097BC" w14:textId="77777777" w:rsidR="002850C6" w:rsidRPr="002850C6" w:rsidRDefault="002850C6" w:rsidP="002850C6">
            <w:pPr>
              <w:spacing w:before="0" w:after="0"/>
              <w:jc w:val="center"/>
              <w:rPr>
                <w:b/>
                <w:bCs/>
                <w:noProof/>
                <w:sz w:val="18"/>
                <w:szCs w:val="18"/>
              </w:rPr>
            </w:pPr>
            <w:r w:rsidRPr="002850C6">
              <w:rPr>
                <w:b/>
                <w:noProof/>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7A99CE40" w14:textId="77777777" w:rsidR="002850C6" w:rsidRPr="002850C6" w:rsidRDefault="002850C6" w:rsidP="002850C6">
            <w:pPr>
              <w:spacing w:before="0" w:after="0"/>
              <w:jc w:val="center"/>
              <w:rPr>
                <w:b/>
                <w:bCs/>
                <w:noProof/>
                <w:sz w:val="18"/>
                <w:szCs w:val="18"/>
              </w:rPr>
            </w:pPr>
            <w:r w:rsidRPr="002850C6">
              <w:rPr>
                <w:b/>
                <w:noProof/>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798A6DF9" w14:textId="77777777" w:rsidR="002850C6" w:rsidRPr="002850C6" w:rsidRDefault="002850C6" w:rsidP="002850C6">
            <w:pPr>
              <w:spacing w:before="0" w:after="0"/>
              <w:jc w:val="center"/>
              <w:rPr>
                <w:b/>
                <w:bCs/>
                <w:noProof/>
                <w:sz w:val="18"/>
                <w:szCs w:val="18"/>
              </w:rPr>
            </w:pPr>
            <w:r w:rsidRPr="002850C6">
              <w:rPr>
                <w:b/>
                <w:noProof/>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4EA9EC0E" w14:textId="77777777" w:rsidR="002850C6" w:rsidRPr="002850C6" w:rsidRDefault="002850C6" w:rsidP="002850C6">
            <w:pPr>
              <w:spacing w:before="0" w:after="0"/>
              <w:jc w:val="center"/>
              <w:rPr>
                <w:b/>
                <w:bCs/>
                <w:noProof/>
                <w:sz w:val="18"/>
                <w:szCs w:val="18"/>
              </w:rPr>
            </w:pPr>
            <w:r w:rsidRPr="002850C6">
              <w:rPr>
                <w:b/>
                <w:noProof/>
                <w:sz w:val="18"/>
              </w:rPr>
              <w:t>2027</w:t>
            </w:r>
          </w:p>
        </w:tc>
        <w:tc>
          <w:tcPr>
            <w:tcW w:w="981" w:type="dxa"/>
            <w:vMerge/>
            <w:tcBorders>
              <w:top w:val="single" w:sz="8" w:space="0" w:color="auto"/>
              <w:bottom w:val="single" w:sz="8" w:space="0" w:color="auto"/>
              <w:right w:val="single" w:sz="8" w:space="0" w:color="auto"/>
            </w:tcBorders>
            <w:vAlign w:val="center"/>
          </w:tcPr>
          <w:p w14:paraId="67D1C600" w14:textId="77777777" w:rsidR="002850C6" w:rsidRPr="002850C6" w:rsidRDefault="002850C6" w:rsidP="002850C6">
            <w:pPr>
              <w:rPr>
                <w:noProof/>
              </w:rPr>
            </w:pPr>
          </w:p>
        </w:tc>
      </w:tr>
      <w:tr w:rsidR="002850C6" w:rsidRPr="002850C6" w14:paraId="6F164CC1" w14:textId="77777777" w:rsidTr="0043630B">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78264447" w14:textId="77777777" w:rsidR="002850C6" w:rsidRPr="002850C6" w:rsidRDefault="002850C6" w:rsidP="002850C6">
            <w:pPr>
              <w:spacing w:before="0" w:after="0"/>
              <w:jc w:val="left"/>
              <w:rPr>
                <w:b/>
                <w:bCs/>
                <w:noProof/>
                <w:sz w:val="16"/>
                <w:szCs w:val="16"/>
              </w:rPr>
            </w:pPr>
            <w:r w:rsidRPr="002850C6">
              <w:rPr>
                <w:b/>
                <w:noProof/>
                <w:sz w:val="16"/>
              </w:rPr>
              <w:t>RUBRIQUE 7</w:t>
            </w:r>
          </w:p>
        </w:tc>
      </w:tr>
      <w:tr w:rsidR="002850C6" w:rsidRPr="002850C6" w14:paraId="68FF30CF" w14:textId="77777777" w:rsidTr="0043630B">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8B76C8" w14:textId="77777777" w:rsidR="002850C6" w:rsidRPr="002850C6" w:rsidRDefault="002850C6" w:rsidP="002850C6">
            <w:pPr>
              <w:spacing w:before="0" w:after="0"/>
              <w:jc w:val="left"/>
              <w:rPr>
                <w:noProof/>
                <w:sz w:val="16"/>
                <w:szCs w:val="16"/>
              </w:rPr>
            </w:pPr>
            <w:r w:rsidRPr="002850C6">
              <w:rPr>
                <w:rFonts w:ascii="Arial Narrow" w:hAnsi="Arial Narrow"/>
                <w:noProof/>
                <w:sz w:val="20"/>
              </w:rPr>
              <w:t>Dépenses informatiques (institutionnelles)</w:t>
            </w:r>
            <w:r w:rsidRPr="002850C6">
              <w:rPr>
                <w:noProof/>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58BB70" w14:textId="77777777" w:rsidR="002850C6" w:rsidRPr="002850C6" w:rsidRDefault="002850C6" w:rsidP="002850C6">
            <w:pPr>
              <w:spacing w:before="0" w:after="0"/>
              <w:jc w:val="right"/>
              <w:rPr>
                <w:noProof/>
                <w:sz w:val="16"/>
                <w:szCs w:val="16"/>
              </w:rPr>
            </w:pPr>
            <w:r w:rsidRPr="002850C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1B76ED" w14:textId="77777777" w:rsidR="002850C6" w:rsidRPr="002850C6" w:rsidRDefault="002850C6" w:rsidP="002850C6">
            <w:pPr>
              <w:spacing w:before="0" w:after="0"/>
              <w:jc w:val="right"/>
              <w:rPr>
                <w:noProof/>
                <w:sz w:val="16"/>
                <w:szCs w:val="16"/>
              </w:rPr>
            </w:pPr>
            <w:r w:rsidRPr="002850C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5AE47A0" w14:textId="77777777" w:rsidR="002850C6" w:rsidRPr="002850C6" w:rsidRDefault="002850C6" w:rsidP="002850C6">
            <w:pPr>
              <w:spacing w:before="0" w:after="0"/>
              <w:jc w:val="right"/>
              <w:rPr>
                <w:noProof/>
                <w:sz w:val="16"/>
                <w:szCs w:val="16"/>
              </w:rPr>
            </w:pPr>
            <w:r w:rsidRPr="002850C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9FEA3C2" w14:textId="77777777" w:rsidR="002850C6" w:rsidRPr="002850C6" w:rsidRDefault="002850C6" w:rsidP="002850C6">
            <w:pPr>
              <w:spacing w:before="0" w:after="0"/>
              <w:jc w:val="right"/>
              <w:rPr>
                <w:noProof/>
                <w:sz w:val="16"/>
                <w:szCs w:val="16"/>
              </w:rPr>
            </w:pPr>
            <w:r w:rsidRPr="002850C6">
              <w:rPr>
                <w:noProof/>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8DD3320" w14:textId="77777777" w:rsidR="002850C6" w:rsidRPr="002850C6" w:rsidRDefault="002850C6" w:rsidP="002850C6">
            <w:pPr>
              <w:spacing w:before="0" w:after="0"/>
              <w:jc w:val="right"/>
              <w:rPr>
                <w:b/>
                <w:bCs/>
                <w:noProof/>
                <w:sz w:val="16"/>
                <w:szCs w:val="16"/>
              </w:rPr>
            </w:pPr>
            <w:r w:rsidRPr="002850C6">
              <w:rPr>
                <w:b/>
                <w:noProof/>
                <w:sz w:val="16"/>
              </w:rPr>
              <w:t>0,000</w:t>
            </w:r>
          </w:p>
        </w:tc>
      </w:tr>
      <w:tr w:rsidR="002850C6" w:rsidRPr="002850C6" w14:paraId="01A4B9B6" w14:textId="77777777" w:rsidTr="0043630B">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1005B67" w14:textId="77777777" w:rsidR="002850C6" w:rsidRPr="002850C6" w:rsidRDefault="002850C6" w:rsidP="002850C6">
            <w:pPr>
              <w:spacing w:before="0" w:after="0"/>
              <w:jc w:val="center"/>
              <w:rPr>
                <w:b/>
                <w:bCs/>
                <w:noProof/>
                <w:sz w:val="16"/>
                <w:szCs w:val="16"/>
              </w:rPr>
            </w:pPr>
            <w:r w:rsidRPr="002850C6">
              <w:rPr>
                <w:b/>
                <w:noProof/>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5BF4EF8" w14:textId="77777777" w:rsidR="002850C6" w:rsidRPr="002850C6" w:rsidRDefault="002850C6" w:rsidP="002850C6">
            <w:pPr>
              <w:spacing w:before="0" w:after="0"/>
              <w:jc w:val="right"/>
              <w:rPr>
                <w:b/>
                <w:bCs/>
                <w:noProof/>
                <w:sz w:val="16"/>
                <w:szCs w:val="16"/>
              </w:rPr>
            </w:pPr>
            <w:r w:rsidRPr="002850C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7453DB0" w14:textId="77777777" w:rsidR="002850C6" w:rsidRPr="002850C6" w:rsidRDefault="002850C6" w:rsidP="002850C6">
            <w:pPr>
              <w:spacing w:before="0" w:after="0"/>
              <w:jc w:val="right"/>
              <w:rPr>
                <w:b/>
                <w:bCs/>
                <w:noProof/>
                <w:sz w:val="16"/>
                <w:szCs w:val="16"/>
              </w:rPr>
            </w:pPr>
            <w:r w:rsidRPr="002850C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65C4840" w14:textId="77777777" w:rsidR="002850C6" w:rsidRPr="002850C6" w:rsidRDefault="002850C6" w:rsidP="002850C6">
            <w:pPr>
              <w:spacing w:before="0" w:after="0"/>
              <w:jc w:val="right"/>
              <w:rPr>
                <w:b/>
                <w:bCs/>
                <w:noProof/>
                <w:sz w:val="16"/>
                <w:szCs w:val="16"/>
              </w:rPr>
            </w:pPr>
            <w:r w:rsidRPr="002850C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D4CABBF" w14:textId="77777777" w:rsidR="002850C6" w:rsidRPr="002850C6" w:rsidRDefault="002850C6" w:rsidP="002850C6">
            <w:pPr>
              <w:spacing w:before="0" w:after="0"/>
              <w:jc w:val="right"/>
              <w:rPr>
                <w:b/>
                <w:bCs/>
                <w:noProof/>
                <w:sz w:val="16"/>
                <w:szCs w:val="16"/>
              </w:rPr>
            </w:pPr>
            <w:r w:rsidRPr="002850C6">
              <w:rPr>
                <w:b/>
                <w:noProof/>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6598D4" w14:textId="77777777" w:rsidR="002850C6" w:rsidRPr="002850C6" w:rsidRDefault="002850C6" w:rsidP="002850C6">
            <w:pPr>
              <w:spacing w:before="0" w:after="0"/>
              <w:jc w:val="right"/>
              <w:rPr>
                <w:b/>
                <w:bCs/>
                <w:noProof/>
                <w:sz w:val="16"/>
                <w:szCs w:val="16"/>
              </w:rPr>
            </w:pPr>
            <w:r w:rsidRPr="002850C6">
              <w:rPr>
                <w:b/>
                <w:noProof/>
                <w:sz w:val="16"/>
              </w:rPr>
              <w:t>0,000</w:t>
            </w:r>
          </w:p>
        </w:tc>
      </w:tr>
      <w:tr w:rsidR="002850C6" w:rsidRPr="002850C6" w14:paraId="5647065B" w14:textId="77777777" w:rsidTr="0043630B">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75338A" w14:textId="77777777" w:rsidR="002850C6" w:rsidRPr="002850C6" w:rsidRDefault="002850C6" w:rsidP="002850C6">
            <w:pPr>
              <w:spacing w:before="0" w:after="0"/>
              <w:jc w:val="left"/>
              <w:rPr>
                <w:b/>
                <w:bCs/>
                <w:noProof/>
                <w:sz w:val="16"/>
                <w:szCs w:val="16"/>
              </w:rPr>
            </w:pPr>
            <w:r w:rsidRPr="002850C6">
              <w:rPr>
                <w:b/>
                <w:noProof/>
                <w:sz w:val="16"/>
              </w:rPr>
              <w:t>Hors RUBRIQUE 7</w:t>
            </w:r>
          </w:p>
        </w:tc>
      </w:tr>
      <w:tr w:rsidR="002850C6" w:rsidRPr="002850C6" w14:paraId="7F3E9892" w14:textId="77777777" w:rsidTr="0043630B">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BB280" w14:textId="77777777" w:rsidR="002850C6" w:rsidRPr="002850C6" w:rsidRDefault="002850C6" w:rsidP="002850C6">
            <w:pPr>
              <w:spacing w:before="0" w:after="0"/>
              <w:jc w:val="left"/>
              <w:rPr>
                <w:rFonts w:ascii="Arial Narrow" w:eastAsia="Arial Narrow" w:hAnsi="Arial Narrow" w:cs="Arial Narrow"/>
                <w:noProof/>
                <w:sz w:val="20"/>
                <w:szCs w:val="20"/>
              </w:rPr>
            </w:pPr>
            <w:r w:rsidRPr="002850C6">
              <w:rPr>
                <w:rFonts w:ascii="Arial Narrow" w:hAnsi="Arial Narrow"/>
                <w:noProof/>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A8BCE24" w14:textId="77777777" w:rsidR="002850C6" w:rsidRPr="002850C6" w:rsidRDefault="002850C6" w:rsidP="002850C6">
            <w:pPr>
              <w:spacing w:before="0" w:after="0"/>
              <w:jc w:val="right"/>
              <w:rPr>
                <w:noProof/>
                <w:sz w:val="16"/>
                <w:szCs w:val="16"/>
              </w:rPr>
            </w:pPr>
            <w:r w:rsidRPr="002850C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06FF573" w14:textId="77777777" w:rsidR="002850C6" w:rsidRPr="002850C6" w:rsidRDefault="002850C6" w:rsidP="002850C6">
            <w:pPr>
              <w:spacing w:before="0" w:after="0"/>
              <w:jc w:val="right"/>
              <w:rPr>
                <w:noProof/>
                <w:sz w:val="16"/>
                <w:szCs w:val="16"/>
              </w:rPr>
            </w:pPr>
            <w:r w:rsidRPr="002850C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228035C" w14:textId="77777777" w:rsidR="002850C6" w:rsidRPr="002850C6" w:rsidRDefault="002850C6" w:rsidP="002850C6">
            <w:pPr>
              <w:spacing w:before="0" w:after="0"/>
              <w:jc w:val="right"/>
              <w:rPr>
                <w:noProof/>
                <w:sz w:val="16"/>
                <w:szCs w:val="16"/>
              </w:rPr>
            </w:pPr>
            <w:r w:rsidRPr="002850C6">
              <w:rPr>
                <w:noProof/>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415BE4E" w14:textId="77777777" w:rsidR="002850C6" w:rsidRPr="002850C6" w:rsidRDefault="002850C6" w:rsidP="002850C6">
            <w:pPr>
              <w:spacing w:before="0" w:after="0"/>
              <w:jc w:val="right"/>
              <w:rPr>
                <w:noProof/>
                <w:sz w:val="16"/>
                <w:szCs w:val="16"/>
              </w:rPr>
            </w:pPr>
            <w:r w:rsidRPr="002850C6">
              <w:rPr>
                <w:noProof/>
                <w:sz w:val="16"/>
              </w:rPr>
              <w:t>2,500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132A708" w14:textId="77777777" w:rsidR="002850C6" w:rsidRPr="002850C6" w:rsidRDefault="002850C6" w:rsidP="002850C6">
            <w:pPr>
              <w:spacing w:before="0" w:after="0"/>
              <w:jc w:val="right"/>
              <w:rPr>
                <w:b/>
                <w:bCs/>
                <w:noProof/>
                <w:sz w:val="16"/>
                <w:szCs w:val="16"/>
              </w:rPr>
            </w:pPr>
            <w:r w:rsidRPr="002850C6">
              <w:rPr>
                <w:b/>
                <w:noProof/>
                <w:sz w:val="16"/>
              </w:rPr>
              <w:t>2,500</w:t>
            </w:r>
          </w:p>
        </w:tc>
      </w:tr>
      <w:tr w:rsidR="002850C6" w:rsidRPr="002850C6" w14:paraId="329CB6F4" w14:textId="77777777" w:rsidTr="0043630B">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1F7021DC" w14:textId="77777777" w:rsidR="002850C6" w:rsidRPr="002850C6" w:rsidRDefault="002850C6" w:rsidP="002850C6">
            <w:pPr>
              <w:spacing w:before="0" w:after="0"/>
              <w:jc w:val="center"/>
              <w:rPr>
                <w:b/>
                <w:bCs/>
                <w:noProof/>
                <w:sz w:val="16"/>
                <w:szCs w:val="16"/>
              </w:rPr>
            </w:pPr>
            <w:r w:rsidRPr="002850C6">
              <w:rPr>
                <w:b/>
                <w:noProof/>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BCFC279" w14:textId="77777777" w:rsidR="002850C6" w:rsidRPr="002850C6" w:rsidRDefault="002850C6" w:rsidP="002850C6">
            <w:pPr>
              <w:spacing w:before="0" w:after="0"/>
              <w:jc w:val="right"/>
              <w:rPr>
                <w:b/>
                <w:bCs/>
                <w:noProof/>
                <w:sz w:val="16"/>
                <w:szCs w:val="16"/>
              </w:rPr>
            </w:pPr>
            <w:r w:rsidRPr="002850C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C6475B8" w14:textId="77777777" w:rsidR="002850C6" w:rsidRPr="002850C6" w:rsidRDefault="002850C6" w:rsidP="002850C6">
            <w:pPr>
              <w:spacing w:before="0" w:after="0"/>
              <w:jc w:val="right"/>
              <w:rPr>
                <w:b/>
                <w:bCs/>
                <w:noProof/>
                <w:sz w:val="16"/>
                <w:szCs w:val="16"/>
              </w:rPr>
            </w:pPr>
            <w:r w:rsidRPr="002850C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50504EA" w14:textId="77777777" w:rsidR="002850C6" w:rsidRPr="002850C6" w:rsidRDefault="002850C6" w:rsidP="002850C6">
            <w:pPr>
              <w:spacing w:before="0" w:after="0"/>
              <w:jc w:val="right"/>
              <w:rPr>
                <w:b/>
                <w:bCs/>
                <w:noProof/>
                <w:sz w:val="16"/>
                <w:szCs w:val="16"/>
              </w:rPr>
            </w:pPr>
            <w:r w:rsidRPr="002850C6">
              <w:rPr>
                <w:b/>
                <w:noProof/>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C9A3C27" w14:textId="77777777" w:rsidR="002850C6" w:rsidRPr="002850C6" w:rsidRDefault="002850C6" w:rsidP="002850C6">
            <w:pPr>
              <w:spacing w:before="0" w:after="0"/>
              <w:jc w:val="right"/>
              <w:rPr>
                <w:b/>
                <w:bCs/>
                <w:noProof/>
                <w:sz w:val="16"/>
                <w:szCs w:val="16"/>
              </w:rPr>
            </w:pPr>
            <w:r w:rsidRPr="002850C6">
              <w:rPr>
                <w:b/>
                <w:noProof/>
                <w:sz w:val="16"/>
              </w:rPr>
              <w:t>2,500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4029862" w14:textId="77777777" w:rsidR="002850C6" w:rsidRPr="002850C6" w:rsidRDefault="002850C6" w:rsidP="002850C6">
            <w:pPr>
              <w:spacing w:before="0" w:after="0"/>
              <w:jc w:val="right"/>
              <w:rPr>
                <w:b/>
                <w:bCs/>
                <w:noProof/>
                <w:sz w:val="16"/>
                <w:szCs w:val="16"/>
              </w:rPr>
            </w:pPr>
            <w:r w:rsidRPr="002850C6">
              <w:rPr>
                <w:b/>
                <w:noProof/>
                <w:sz w:val="16"/>
              </w:rPr>
              <w:t>2,500</w:t>
            </w:r>
          </w:p>
        </w:tc>
      </w:tr>
      <w:tr w:rsidR="002850C6" w:rsidRPr="002850C6" w14:paraId="0785F2E8" w14:textId="77777777" w:rsidTr="0043630B">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236FD4" w14:textId="77777777" w:rsidR="002850C6" w:rsidRPr="002850C6" w:rsidRDefault="002850C6" w:rsidP="002850C6">
            <w:pPr>
              <w:spacing w:before="0" w:after="0"/>
              <w:jc w:val="center"/>
              <w:rPr>
                <w:noProof/>
                <w:sz w:val="16"/>
                <w:szCs w:val="16"/>
              </w:rPr>
            </w:pPr>
            <w:r w:rsidRPr="002850C6">
              <w:rPr>
                <w:noProof/>
                <w:sz w:val="16"/>
              </w:rPr>
              <w:t xml:space="preserve"> </w:t>
            </w:r>
          </w:p>
        </w:tc>
      </w:tr>
      <w:tr w:rsidR="002850C6" w:rsidRPr="002850C6" w14:paraId="68EB0E4B" w14:textId="77777777" w:rsidTr="0043630B">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38C46E6C" w14:textId="77777777" w:rsidR="002850C6" w:rsidRPr="002850C6" w:rsidRDefault="002850C6" w:rsidP="002850C6">
            <w:pPr>
              <w:spacing w:before="0" w:after="0"/>
              <w:jc w:val="center"/>
              <w:rPr>
                <w:b/>
                <w:bCs/>
                <w:noProof/>
                <w:sz w:val="16"/>
                <w:szCs w:val="16"/>
              </w:rPr>
            </w:pPr>
            <w:r w:rsidRPr="002850C6">
              <w:rPr>
                <w:b/>
                <w:noProof/>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2CCEB4A" w14:textId="77777777" w:rsidR="002850C6" w:rsidRPr="002850C6" w:rsidRDefault="002850C6" w:rsidP="002850C6">
            <w:pPr>
              <w:spacing w:before="0" w:after="0"/>
              <w:jc w:val="right"/>
              <w:rPr>
                <w:b/>
                <w:bCs/>
                <w:noProof/>
                <w:sz w:val="16"/>
                <w:szCs w:val="16"/>
              </w:rPr>
            </w:pPr>
            <w:r w:rsidRPr="002850C6">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A6B6FB7" w14:textId="77777777" w:rsidR="002850C6" w:rsidRPr="002850C6" w:rsidRDefault="002850C6" w:rsidP="002850C6">
            <w:pPr>
              <w:spacing w:before="0" w:after="0"/>
              <w:jc w:val="right"/>
              <w:rPr>
                <w:b/>
                <w:bCs/>
                <w:noProof/>
                <w:sz w:val="16"/>
                <w:szCs w:val="16"/>
              </w:rPr>
            </w:pPr>
            <w:r w:rsidRPr="002850C6">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6A9A6A8" w14:textId="77777777" w:rsidR="002850C6" w:rsidRPr="002850C6" w:rsidRDefault="002850C6" w:rsidP="002850C6">
            <w:pPr>
              <w:spacing w:before="0" w:after="0"/>
              <w:jc w:val="right"/>
              <w:rPr>
                <w:b/>
                <w:bCs/>
                <w:noProof/>
                <w:sz w:val="16"/>
                <w:szCs w:val="16"/>
              </w:rPr>
            </w:pPr>
            <w:r w:rsidRPr="002850C6">
              <w:rPr>
                <w:b/>
                <w:noProof/>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56B5971" w14:textId="77777777" w:rsidR="002850C6" w:rsidRPr="002850C6" w:rsidRDefault="002850C6" w:rsidP="002850C6">
            <w:pPr>
              <w:spacing w:before="0" w:after="0"/>
              <w:jc w:val="right"/>
              <w:rPr>
                <w:b/>
                <w:bCs/>
                <w:noProof/>
                <w:sz w:val="16"/>
                <w:szCs w:val="16"/>
              </w:rPr>
            </w:pPr>
            <w:r w:rsidRPr="002850C6">
              <w:rPr>
                <w:b/>
                <w:noProof/>
                <w:sz w:val="16"/>
              </w:rPr>
              <w:t>2,500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225318CC" w14:textId="77777777" w:rsidR="002850C6" w:rsidRPr="002850C6" w:rsidRDefault="002850C6" w:rsidP="002850C6">
            <w:pPr>
              <w:spacing w:before="0" w:after="0"/>
              <w:jc w:val="right"/>
              <w:rPr>
                <w:b/>
                <w:bCs/>
                <w:noProof/>
                <w:sz w:val="16"/>
                <w:szCs w:val="16"/>
              </w:rPr>
            </w:pPr>
            <w:r w:rsidRPr="002850C6">
              <w:rPr>
                <w:b/>
                <w:noProof/>
                <w:sz w:val="16"/>
              </w:rPr>
              <w:t>2,500</w:t>
            </w:r>
          </w:p>
        </w:tc>
      </w:tr>
    </w:tbl>
    <w:p w14:paraId="1C903854" w14:textId="77777777" w:rsidR="002850C6" w:rsidRPr="002850C6" w:rsidRDefault="002850C6" w:rsidP="002850C6">
      <w:pPr>
        <w:keepNext/>
        <w:tabs>
          <w:tab w:val="left" w:pos="850"/>
        </w:tabs>
        <w:ind w:left="850" w:hanging="850"/>
        <w:outlineLvl w:val="2"/>
        <w:rPr>
          <w:noProof/>
          <w:color w:val="008000"/>
        </w:rPr>
      </w:pPr>
      <w:bookmarkStart w:id="155" w:name="_Toc514938056"/>
      <w:bookmarkStart w:id="156" w:name="_Toc520485055"/>
      <w:bookmarkStart w:id="157" w:name="_Toc160804599"/>
      <w:bookmarkStart w:id="158" w:name="_Toc213612603"/>
      <w:bookmarkEnd w:id="153"/>
      <w:r w:rsidRPr="002850C6">
        <w:rPr>
          <w:i/>
          <w:noProof/>
        </w:rPr>
        <w:t>3.2.6.</w:t>
      </w:r>
      <w:r w:rsidRPr="002850C6">
        <w:rPr>
          <w:i/>
          <w:noProof/>
        </w:rPr>
        <w:tab/>
        <w:t>Compatibilité avec le cadre financier pluriannuel actuel</w:t>
      </w:r>
      <w:bookmarkEnd w:id="155"/>
      <w:bookmarkEnd w:id="156"/>
      <w:bookmarkEnd w:id="157"/>
      <w:bookmarkEnd w:id="158"/>
      <w:r w:rsidRPr="002850C6">
        <w:rPr>
          <w:i/>
          <w:noProof/>
        </w:rPr>
        <w:t xml:space="preserve"> </w:t>
      </w:r>
    </w:p>
    <w:p w14:paraId="63CDA343" w14:textId="77777777" w:rsidR="002850C6" w:rsidRPr="002850C6" w:rsidRDefault="002850C6" w:rsidP="002850C6">
      <w:pPr>
        <w:ind w:left="850"/>
        <w:rPr>
          <w:noProof/>
        </w:rPr>
      </w:pPr>
      <w:r w:rsidRPr="002850C6">
        <w:rPr>
          <w:noProof/>
        </w:rPr>
        <w:t>La proposition/l’initiative:</w:t>
      </w:r>
    </w:p>
    <w:p w14:paraId="62FD3CBF" w14:textId="77777777" w:rsidR="002850C6" w:rsidRPr="002850C6" w:rsidRDefault="002850C6" w:rsidP="008F47E2">
      <w:pPr>
        <w:rPr>
          <w:rFonts w:eastAsia="Times New Roman"/>
          <w:noProof/>
          <w:color w:val="000000" w:themeColor="text1"/>
          <w:lang w:eastAsia="de-DE"/>
        </w:rPr>
      </w:pPr>
      <w:r w:rsidRPr="002850C6">
        <w:rPr>
          <w:rFonts w:ascii="Wingdings" w:eastAsia="Times New Roman" w:hAnsi="Wingdings"/>
          <w:noProof/>
          <w:lang w:eastAsia="de-DE"/>
        </w:rPr>
        <w:t></w:t>
      </w:r>
      <w:r w:rsidRPr="002850C6">
        <w:rPr>
          <w:rFonts w:eastAsia="Times New Roman"/>
          <w:noProof/>
          <w:lang w:eastAsia="de-DE"/>
        </w:rPr>
        <w:tab/>
        <w:t>peut être intégralement financée par voie de redéploiement au sein de la rubrique concernée du cadre financier pluriannuel (CFP).</w:t>
      </w:r>
    </w:p>
    <w:p w14:paraId="28104B72"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Le budget actuel des programmes sera utilisé pour financer l’incidence sur les coûts de fonctionnement.</w:t>
      </w:r>
    </w:p>
    <w:p w14:paraId="142B2903" w14:textId="77777777" w:rsidR="002850C6" w:rsidRPr="002850C6" w:rsidRDefault="002850C6" w:rsidP="008F47E2">
      <w:pPr>
        <w:rPr>
          <w:rFonts w:eastAsia="Times New Roman"/>
          <w:noProof/>
          <w:lang w:eastAsia="de-DE"/>
        </w:rPr>
      </w:pPr>
      <w:r w:rsidRPr="002850C6">
        <w:rPr>
          <w:rFonts w:ascii="Wingdings" w:eastAsia="Times New Roman" w:hAnsi="Wingdings"/>
          <w:noProof/>
          <w:color w:val="000000" w:themeColor="text1"/>
          <w:lang w:eastAsia="de-DE"/>
        </w:rPr>
        <w:t></w:t>
      </w:r>
      <w:r w:rsidRPr="002850C6">
        <w:rPr>
          <w:rFonts w:eastAsia="Times New Roman"/>
          <w:noProof/>
          <w:lang w:eastAsia="de-DE"/>
        </w:rPr>
        <w:tab/>
        <w:t>nécessite l’utilisation de la marge non allouée sous la rubrique correspondante du CFP et/ou le recours aux instruments spéciaux comme le prévoit le règlement CFP.</w:t>
      </w:r>
    </w:p>
    <w:p w14:paraId="56D10E56"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nécessite une révision du CFP.</w:t>
      </w:r>
    </w:p>
    <w:p w14:paraId="2D1FE690" w14:textId="77777777" w:rsidR="002850C6" w:rsidRPr="002850C6" w:rsidRDefault="002850C6" w:rsidP="002850C6">
      <w:pPr>
        <w:keepNext/>
        <w:tabs>
          <w:tab w:val="left" w:pos="850"/>
        </w:tabs>
        <w:ind w:left="850" w:hanging="850"/>
        <w:outlineLvl w:val="2"/>
        <w:rPr>
          <w:i/>
          <w:noProof/>
        </w:rPr>
      </w:pPr>
      <w:bookmarkStart w:id="159" w:name="_Toc514938058"/>
      <w:bookmarkStart w:id="160" w:name="_Toc520485056"/>
      <w:bookmarkStart w:id="161" w:name="_Toc160804600"/>
      <w:bookmarkStart w:id="162" w:name="_Toc213612604"/>
      <w:r w:rsidRPr="002850C6">
        <w:rPr>
          <w:i/>
          <w:noProof/>
        </w:rPr>
        <w:t>3.2.7.</w:t>
      </w:r>
      <w:r w:rsidRPr="002850C6">
        <w:rPr>
          <w:i/>
          <w:noProof/>
        </w:rPr>
        <w:tab/>
        <w:t>Participation de tiers au financement</w:t>
      </w:r>
      <w:bookmarkEnd w:id="159"/>
      <w:bookmarkEnd w:id="160"/>
      <w:bookmarkEnd w:id="161"/>
      <w:bookmarkEnd w:id="162"/>
      <w:r w:rsidRPr="002850C6">
        <w:rPr>
          <w:i/>
          <w:noProof/>
        </w:rPr>
        <w:t xml:space="preserve"> </w:t>
      </w:r>
    </w:p>
    <w:p w14:paraId="3BDCFCAD" w14:textId="77777777" w:rsidR="002850C6" w:rsidRPr="002850C6" w:rsidRDefault="002850C6" w:rsidP="002850C6">
      <w:pPr>
        <w:ind w:left="850"/>
        <w:rPr>
          <w:noProof/>
        </w:rPr>
      </w:pPr>
      <w:r w:rsidRPr="002850C6">
        <w:rPr>
          <w:noProof/>
        </w:rPr>
        <w:t>La proposition/l’initiative:</w:t>
      </w:r>
    </w:p>
    <w:p w14:paraId="27D654F0"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ne prévoit pas de cofinancement par des tierces parties</w:t>
      </w:r>
    </w:p>
    <w:p w14:paraId="648537BA"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prévoit le cofinancement par des tierces parties estimé ci‑après:</w:t>
      </w:r>
    </w:p>
    <w:p w14:paraId="65B7D1C7" w14:textId="77777777" w:rsidR="002850C6" w:rsidRPr="002850C6" w:rsidRDefault="002850C6" w:rsidP="002850C6">
      <w:pPr>
        <w:jc w:val="right"/>
        <w:rPr>
          <w:noProof/>
          <w:sz w:val="20"/>
        </w:rPr>
      </w:pPr>
      <w:r w:rsidRPr="002850C6">
        <w:rPr>
          <w:noProof/>
          <w:sz w:val="20"/>
        </w:rPr>
        <w:t>Crédits en Mio EUR (à la 3</w:t>
      </w:r>
      <w:r w:rsidRPr="002850C6">
        <w:rPr>
          <w:noProof/>
          <w:sz w:val="20"/>
          <w:vertAlign w:val="superscript"/>
        </w:rPr>
        <w:t>e</w:t>
      </w:r>
      <w:r w:rsidRPr="002850C6">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2850C6" w:rsidRPr="002850C6" w14:paraId="5BA1A32C" w14:textId="77777777" w:rsidTr="0043630B">
        <w:trPr>
          <w:cantSplit/>
        </w:trPr>
        <w:tc>
          <w:tcPr>
            <w:tcW w:w="1591" w:type="pct"/>
          </w:tcPr>
          <w:p w14:paraId="57F7BF1F" w14:textId="77777777" w:rsidR="002850C6" w:rsidRPr="002850C6" w:rsidRDefault="002850C6" w:rsidP="002850C6">
            <w:pPr>
              <w:spacing w:before="60" w:after="60"/>
              <w:rPr>
                <w:noProof/>
                <w:sz w:val="20"/>
              </w:rPr>
            </w:pPr>
          </w:p>
        </w:tc>
        <w:tc>
          <w:tcPr>
            <w:tcW w:w="655" w:type="pct"/>
            <w:vAlign w:val="center"/>
          </w:tcPr>
          <w:p w14:paraId="566BDD74"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2024</w:t>
            </w:r>
          </w:p>
        </w:tc>
        <w:tc>
          <w:tcPr>
            <w:tcW w:w="655" w:type="pct"/>
            <w:vAlign w:val="center"/>
          </w:tcPr>
          <w:p w14:paraId="031B9924"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2025</w:t>
            </w:r>
          </w:p>
        </w:tc>
        <w:tc>
          <w:tcPr>
            <w:tcW w:w="655" w:type="pct"/>
            <w:vAlign w:val="center"/>
          </w:tcPr>
          <w:p w14:paraId="54CEA011"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2026</w:t>
            </w:r>
          </w:p>
        </w:tc>
        <w:tc>
          <w:tcPr>
            <w:tcW w:w="655" w:type="pct"/>
            <w:vAlign w:val="center"/>
          </w:tcPr>
          <w:p w14:paraId="15DF898B"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2027</w:t>
            </w:r>
          </w:p>
        </w:tc>
        <w:tc>
          <w:tcPr>
            <w:tcW w:w="787" w:type="pct"/>
            <w:vAlign w:val="center"/>
          </w:tcPr>
          <w:p w14:paraId="3BAC4A0D" w14:textId="77777777" w:rsidR="002850C6" w:rsidRPr="002850C6" w:rsidRDefault="002850C6" w:rsidP="002850C6">
            <w:pPr>
              <w:spacing w:before="60" w:after="60"/>
              <w:jc w:val="center"/>
              <w:rPr>
                <w:noProof/>
                <w:sz w:val="20"/>
              </w:rPr>
            </w:pPr>
            <w:r w:rsidRPr="002850C6">
              <w:rPr>
                <w:noProof/>
                <w:sz w:val="20"/>
              </w:rPr>
              <w:t>Total</w:t>
            </w:r>
          </w:p>
        </w:tc>
      </w:tr>
      <w:tr w:rsidR="002850C6" w:rsidRPr="002850C6" w14:paraId="09C342E9" w14:textId="77777777" w:rsidTr="0043630B">
        <w:trPr>
          <w:cantSplit/>
        </w:trPr>
        <w:tc>
          <w:tcPr>
            <w:tcW w:w="1591" w:type="pct"/>
          </w:tcPr>
          <w:p w14:paraId="62FDAFA4" w14:textId="77777777" w:rsidR="002850C6" w:rsidRPr="002850C6" w:rsidRDefault="002850C6" w:rsidP="002850C6">
            <w:pPr>
              <w:rPr>
                <w:noProof/>
              </w:rPr>
            </w:pPr>
            <w:r w:rsidRPr="002850C6">
              <w:rPr>
                <w:noProof/>
                <w:sz w:val="20"/>
              </w:rPr>
              <w:t>Préciser l'organisme de cofinancement</w:t>
            </w:r>
            <w:r w:rsidRPr="002850C6">
              <w:rPr>
                <w:i/>
                <w:noProof/>
                <w:sz w:val="20"/>
              </w:rPr>
              <w:t xml:space="preserve"> </w:t>
            </w:r>
          </w:p>
        </w:tc>
        <w:tc>
          <w:tcPr>
            <w:tcW w:w="655" w:type="pct"/>
            <w:vAlign w:val="center"/>
          </w:tcPr>
          <w:p w14:paraId="39480C8E" w14:textId="77777777" w:rsidR="002850C6" w:rsidRPr="002850C6" w:rsidRDefault="002850C6" w:rsidP="002850C6">
            <w:pPr>
              <w:spacing w:before="60" w:after="60"/>
              <w:jc w:val="center"/>
              <w:rPr>
                <w:noProof/>
                <w:sz w:val="20"/>
              </w:rPr>
            </w:pPr>
          </w:p>
        </w:tc>
        <w:tc>
          <w:tcPr>
            <w:tcW w:w="655" w:type="pct"/>
            <w:vAlign w:val="center"/>
          </w:tcPr>
          <w:p w14:paraId="1C168598" w14:textId="77777777" w:rsidR="002850C6" w:rsidRPr="002850C6" w:rsidRDefault="002850C6" w:rsidP="002850C6">
            <w:pPr>
              <w:spacing w:before="60" w:after="60"/>
              <w:jc w:val="center"/>
              <w:rPr>
                <w:noProof/>
                <w:sz w:val="20"/>
              </w:rPr>
            </w:pPr>
          </w:p>
        </w:tc>
        <w:tc>
          <w:tcPr>
            <w:tcW w:w="655" w:type="pct"/>
            <w:vAlign w:val="center"/>
          </w:tcPr>
          <w:p w14:paraId="270FE22D" w14:textId="77777777" w:rsidR="002850C6" w:rsidRPr="002850C6" w:rsidRDefault="002850C6" w:rsidP="002850C6">
            <w:pPr>
              <w:spacing w:before="60" w:after="60"/>
              <w:jc w:val="center"/>
              <w:rPr>
                <w:noProof/>
                <w:sz w:val="20"/>
              </w:rPr>
            </w:pPr>
          </w:p>
        </w:tc>
        <w:tc>
          <w:tcPr>
            <w:tcW w:w="655" w:type="pct"/>
            <w:vAlign w:val="center"/>
          </w:tcPr>
          <w:p w14:paraId="2764968A" w14:textId="77777777" w:rsidR="002850C6" w:rsidRPr="002850C6" w:rsidRDefault="002850C6" w:rsidP="002850C6">
            <w:pPr>
              <w:spacing w:before="60" w:after="60"/>
              <w:jc w:val="center"/>
              <w:rPr>
                <w:noProof/>
                <w:sz w:val="20"/>
              </w:rPr>
            </w:pPr>
          </w:p>
        </w:tc>
        <w:tc>
          <w:tcPr>
            <w:tcW w:w="787" w:type="pct"/>
            <w:vAlign w:val="center"/>
          </w:tcPr>
          <w:p w14:paraId="58EFFCD4" w14:textId="77777777" w:rsidR="002850C6" w:rsidRPr="002850C6" w:rsidRDefault="002850C6" w:rsidP="002850C6">
            <w:pPr>
              <w:spacing w:before="60" w:after="60"/>
              <w:jc w:val="center"/>
              <w:rPr>
                <w:noProof/>
                <w:sz w:val="20"/>
              </w:rPr>
            </w:pPr>
          </w:p>
        </w:tc>
      </w:tr>
      <w:tr w:rsidR="002850C6" w:rsidRPr="002850C6" w14:paraId="00541AB1" w14:textId="77777777" w:rsidTr="0043630B">
        <w:trPr>
          <w:cantSplit/>
        </w:trPr>
        <w:tc>
          <w:tcPr>
            <w:tcW w:w="1591" w:type="pct"/>
          </w:tcPr>
          <w:p w14:paraId="22EA9BB8" w14:textId="77777777" w:rsidR="002850C6" w:rsidRPr="002850C6" w:rsidRDefault="002850C6" w:rsidP="002850C6">
            <w:pPr>
              <w:spacing w:before="60" w:after="60"/>
              <w:jc w:val="left"/>
              <w:rPr>
                <w:noProof/>
                <w:sz w:val="20"/>
              </w:rPr>
            </w:pPr>
            <w:r w:rsidRPr="002850C6">
              <w:rPr>
                <w:noProof/>
                <w:sz w:val="20"/>
              </w:rPr>
              <w:t xml:space="preserve">TOTAL crédits cofinancés </w:t>
            </w:r>
          </w:p>
        </w:tc>
        <w:tc>
          <w:tcPr>
            <w:tcW w:w="655" w:type="pct"/>
            <w:vAlign w:val="center"/>
          </w:tcPr>
          <w:p w14:paraId="1D64A8BA" w14:textId="77777777" w:rsidR="002850C6" w:rsidRPr="002850C6" w:rsidRDefault="002850C6" w:rsidP="002850C6">
            <w:pPr>
              <w:spacing w:before="60" w:after="60"/>
              <w:jc w:val="center"/>
              <w:rPr>
                <w:noProof/>
                <w:sz w:val="20"/>
              </w:rPr>
            </w:pPr>
          </w:p>
        </w:tc>
        <w:tc>
          <w:tcPr>
            <w:tcW w:w="655" w:type="pct"/>
            <w:vAlign w:val="center"/>
          </w:tcPr>
          <w:p w14:paraId="39A9BAF7" w14:textId="77777777" w:rsidR="002850C6" w:rsidRPr="002850C6" w:rsidRDefault="002850C6" w:rsidP="002850C6">
            <w:pPr>
              <w:spacing w:before="60" w:after="60"/>
              <w:jc w:val="center"/>
              <w:rPr>
                <w:noProof/>
                <w:sz w:val="20"/>
              </w:rPr>
            </w:pPr>
          </w:p>
        </w:tc>
        <w:tc>
          <w:tcPr>
            <w:tcW w:w="655" w:type="pct"/>
            <w:vAlign w:val="center"/>
          </w:tcPr>
          <w:p w14:paraId="3F7675F0" w14:textId="77777777" w:rsidR="002850C6" w:rsidRPr="002850C6" w:rsidRDefault="002850C6" w:rsidP="002850C6">
            <w:pPr>
              <w:spacing w:before="60" w:after="60"/>
              <w:jc w:val="center"/>
              <w:rPr>
                <w:noProof/>
                <w:sz w:val="20"/>
              </w:rPr>
            </w:pPr>
          </w:p>
        </w:tc>
        <w:tc>
          <w:tcPr>
            <w:tcW w:w="655" w:type="pct"/>
            <w:vAlign w:val="center"/>
          </w:tcPr>
          <w:p w14:paraId="3E975AB8" w14:textId="77777777" w:rsidR="002850C6" w:rsidRPr="002850C6" w:rsidRDefault="002850C6" w:rsidP="002850C6">
            <w:pPr>
              <w:spacing w:before="60" w:after="60"/>
              <w:jc w:val="center"/>
              <w:rPr>
                <w:noProof/>
                <w:sz w:val="20"/>
              </w:rPr>
            </w:pPr>
          </w:p>
        </w:tc>
        <w:tc>
          <w:tcPr>
            <w:tcW w:w="787" w:type="pct"/>
            <w:vAlign w:val="center"/>
          </w:tcPr>
          <w:p w14:paraId="4F801936" w14:textId="77777777" w:rsidR="002850C6" w:rsidRPr="002850C6" w:rsidRDefault="002850C6" w:rsidP="002850C6">
            <w:pPr>
              <w:spacing w:before="60" w:after="60"/>
              <w:jc w:val="center"/>
              <w:rPr>
                <w:noProof/>
                <w:sz w:val="20"/>
              </w:rPr>
            </w:pPr>
          </w:p>
        </w:tc>
      </w:tr>
    </w:tbl>
    <w:p w14:paraId="3590A542" w14:textId="77777777" w:rsidR="002850C6" w:rsidRPr="002850C6" w:rsidRDefault="002850C6" w:rsidP="002850C6">
      <w:pPr>
        <w:rPr>
          <w:noProof/>
        </w:rPr>
      </w:pPr>
    </w:p>
    <w:p w14:paraId="0920AE39" w14:textId="77777777" w:rsidR="002850C6" w:rsidRPr="002850C6" w:rsidRDefault="002850C6" w:rsidP="002850C6">
      <w:pPr>
        <w:rPr>
          <w:b/>
          <w:bCs/>
          <w:noProof/>
          <w:szCs w:val="24"/>
        </w:rPr>
      </w:pPr>
      <w:bookmarkStart w:id="163" w:name="_Toc160804601"/>
      <w:bookmarkStart w:id="164" w:name="_Hlk177486416"/>
      <w:r w:rsidRPr="002850C6">
        <w:rPr>
          <w:b/>
          <w:noProof/>
        </w:rPr>
        <w:t>3.2.8.</w:t>
      </w:r>
      <w:r w:rsidRPr="002850C6">
        <w:rPr>
          <w:noProof/>
        </w:rPr>
        <w:tab/>
      </w:r>
      <w:r w:rsidRPr="002850C6">
        <w:rPr>
          <w:b/>
          <w:noProof/>
        </w:rPr>
        <w:t>Estimation des ressources humaines et utilisation des crédits nécessaires dans un organisme décentralisé</w:t>
      </w:r>
      <w:bookmarkEnd w:id="163"/>
      <w:r w:rsidRPr="002850C6">
        <w:rPr>
          <w:b/>
          <w:noProof/>
        </w:rPr>
        <w:t xml:space="preserve"> </w:t>
      </w:r>
      <w:bookmarkEnd w:id="164"/>
    </w:p>
    <w:p w14:paraId="45C86905" w14:textId="77777777" w:rsidR="002850C6" w:rsidRPr="002850C6" w:rsidRDefault="002850C6" w:rsidP="002850C6">
      <w:pPr>
        <w:ind w:left="-142"/>
        <w:jc w:val="left"/>
        <w:rPr>
          <w:noProof/>
          <w:sz w:val="22"/>
          <w:u w:val="single"/>
        </w:rPr>
      </w:pPr>
      <w:r w:rsidRPr="002850C6">
        <w:rPr>
          <w:noProof/>
          <w:sz w:val="22"/>
          <w:u w:val="single"/>
        </w:rPr>
        <w:t>Besoins en personnel (en équivalents temps plein)</w:t>
      </w: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2850C6" w:rsidRPr="002850C6" w14:paraId="0823B9D3" w14:textId="77777777" w:rsidTr="0043630B">
        <w:trPr>
          <w:trHeight w:val="585"/>
          <w:jc w:val="center"/>
        </w:trPr>
        <w:tc>
          <w:tcPr>
            <w:tcW w:w="3697" w:type="dxa"/>
            <w:vAlign w:val="center"/>
          </w:tcPr>
          <w:p w14:paraId="3471B404" w14:textId="77777777" w:rsidR="002850C6" w:rsidRPr="002850C6" w:rsidRDefault="002850C6" w:rsidP="002850C6">
            <w:pPr>
              <w:spacing w:before="60" w:after="60"/>
              <w:jc w:val="center"/>
              <w:rPr>
                <w:b/>
                <w:bCs/>
                <w:noProof/>
                <w:sz w:val="20"/>
                <w:szCs w:val="20"/>
              </w:rPr>
            </w:pPr>
            <w:r w:rsidRPr="002850C6">
              <w:rPr>
                <w:b/>
                <w:noProof/>
                <w:sz w:val="20"/>
                <w:shd w:val="clear" w:color="auto" w:fill="FFFFFF"/>
              </w:rPr>
              <w:t>Agence: Agence de l’Union européenne pour les chemins de fer (AFE)</w:t>
            </w:r>
          </w:p>
        </w:tc>
        <w:tc>
          <w:tcPr>
            <w:tcW w:w="1450" w:type="dxa"/>
            <w:vAlign w:val="center"/>
          </w:tcPr>
          <w:p w14:paraId="0913D712"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2025</w:t>
            </w:r>
          </w:p>
        </w:tc>
        <w:tc>
          <w:tcPr>
            <w:tcW w:w="1449" w:type="dxa"/>
            <w:vAlign w:val="center"/>
          </w:tcPr>
          <w:p w14:paraId="592E8A4E"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2026</w:t>
            </w:r>
          </w:p>
        </w:tc>
        <w:tc>
          <w:tcPr>
            <w:tcW w:w="1450" w:type="dxa"/>
            <w:vAlign w:val="center"/>
          </w:tcPr>
          <w:p w14:paraId="697CB816"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2027</w:t>
            </w:r>
          </w:p>
        </w:tc>
        <w:tc>
          <w:tcPr>
            <w:tcW w:w="1450" w:type="dxa"/>
          </w:tcPr>
          <w:p w14:paraId="70AF1774" w14:textId="77777777" w:rsidR="002850C6" w:rsidRPr="002850C6" w:rsidRDefault="002850C6" w:rsidP="002850C6">
            <w:pPr>
              <w:spacing w:before="60" w:after="60"/>
              <w:jc w:val="center"/>
              <w:rPr>
                <w:b/>
                <w:bCs/>
                <w:noProof/>
                <w:sz w:val="20"/>
                <w:szCs w:val="20"/>
              </w:rPr>
            </w:pPr>
            <w:r w:rsidRPr="002850C6">
              <w:rPr>
                <w:b/>
                <w:noProof/>
                <w:sz w:val="20"/>
              </w:rPr>
              <w:t>CFP 2028-2034</w:t>
            </w:r>
          </w:p>
        </w:tc>
      </w:tr>
      <w:tr w:rsidR="002850C6" w:rsidRPr="002850C6" w14:paraId="6710BE94" w14:textId="77777777" w:rsidTr="0043630B">
        <w:trPr>
          <w:trHeight w:val="585"/>
          <w:jc w:val="center"/>
        </w:trPr>
        <w:tc>
          <w:tcPr>
            <w:tcW w:w="3697" w:type="dxa"/>
            <w:vAlign w:val="center"/>
          </w:tcPr>
          <w:p w14:paraId="5D9C90B8" w14:textId="77777777" w:rsidR="002850C6" w:rsidRPr="002850C6" w:rsidRDefault="002850C6" w:rsidP="002850C6">
            <w:pPr>
              <w:spacing w:before="60" w:after="60"/>
              <w:jc w:val="left"/>
              <w:rPr>
                <w:noProof/>
                <w:sz w:val="20"/>
                <w:szCs w:val="20"/>
              </w:rPr>
            </w:pPr>
            <w:r w:rsidRPr="002850C6">
              <w:rPr>
                <w:noProof/>
                <w:sz w:val="20"/>
              </w:rPr>
              <w:t>Agents temporaires (grades AD)</w:t>
            </w:r>
          </w:p>
        </w:tc>
        <w:tc>
          <w:tcPr>
            <w:tcW w:w="1450" w:type="dxa"/>
            <w:vAlign w:val="center"/>
          </w:tcPr>
          <w:p w14:paraId="5A68BE1B" w14:textId="77777777" w:rsidR="002850C6" w:rsidRPr="002850C6" w:rsidRDefault="002850C6" w:rsidP="002850C6">
            <w:pPr>
              <w:spacing w:before="60" w:after="60"/>
              <w:jc w:val="right"/>
              <w:rPr>
                <w:noProof/>
                <w:sz w:val="20"/>
                <w:szCs w:val="20"/>
              </w:rPr>
            </w:pPr>
          </w:p>
        </w:tc>
        <w:tc>
          <w:tcPr>
            <w:tcW w:w="1449" w:type="dxa"/>
            <w:vAlign w:val="center"/>
          </w:tcPr>
          <w:p w14:paraId="7F51F4C9" w14:textId="77777777" w:rsidR="002850C6" w:rsidRPr="002850C6" w:rsidRDefault="002850C6" w:rsidP="002850C6">
            <w:pPr>
              <w:spacing w:before="60" w:after="60"/>
              <w:jc w:val="right"/>
              <w:rPr>
                <w:noProof/>
                <w:sz w:val="20"/>
                <w:szCs w:val="20"/>
              </w:rPr>
            </w:pPr>
          </w:p>
        </w:tc>
        <w:tc>
          <w:tcPr>
            <w:tcW w:w="1450" w:type="dxa"/>
            <w:vAlign w:val="center"/>
          </w:tcPr>
          <w:p w14:paraId="0628C134" w14:textId="77777777" w:rsidR="002850C6" w:rsidRPr="002850C6" w:rsidRDefault="002850C6" w:rsidP="002850C6">
            <w:pPr>
              <w:spacing w:before="60" w:after="60"/>
              <w:jc w:val="right"/>
              <w:rPr>
                <w:noProof/>
                <w:sz w:val="20"/>
                <w:szCs w:val="20"/>
              </w:rPr>
            </w:pPr>
            <w:r w:rsidRPr="002850C6">
              <w:rPr>
                <w:noProof/>
                <w:sz w:val="20"/>
              </w:rPr>
              <w:t>9</w:t>
            </w:r>
            <w:r w:rsidRPr="008F47E2">
              <w:rPr>
                <w:rStyle w:val="FootnoteReference"/>
                <w:noProof/>
              </w:rPr>
              <w:footnoteReference w:id="66"/>
            </w:r>
          </w:p>
        </w:tc>
        <w:tc>
          <w:tcPr>
            <w:tcW w:w="1450" w:type="dxa"/>
            <w:vAlign w:val="center"/>
          </w:tcPr>
          <w:p w14:paraId="648896DE" w14:textId="77777777" w:rsidR="002850C6" w:rsidRPr="002850C6" w:rsidRDefault="002850C6" w:rsidP="002850C6">
            <w:pPr>
              <w:spacing w:before="60" w:after="60"/>
              <w:jc w:val="right"/>
              <w:rPr>
                <w:noProof/>
                <w:sz w:val="20"/>
                <w:szCs w:val="20"/>
              </w:rPr>
            </w:pPr>
            <w:r w:rsidRPr="002850C6">
              <w:rPr>
                <w:noProof/>
                <w:sz w:val="20"/>
              </w:rPr>
              <w:t>9</w:t>
            </w:r>
          </w:p>
        </w:tc>
      </w:tr>
      <w:tr w:rsidR="002850C6" w:rsidRPr="002850C6" w14:paraId="666A66BB" w14:textId="77777777" w:rsidTr="0043630B">
        <w:trPr>
          <w:trHeight w:val="585"/>
          <w:jc w:val="center"/>
        </w:trPr>
        <w:tc>
          <w:tcPr>
            <w:tcW w:w="3697" w:type="dxa"/>
            <w:vAlign w:val="center"/>
          </w:tcPr>
          <w:p w14:paraId="086C1E3E" w14:textId="77777777" w:rsidR="002850C6" w:rsidRPr="002850C6" w:rsidRDefault="002850C6" w:rsidP="002850C6">
            <w:pPr>
              <w:spacing w:before="60" w:after="60"/>
              <w:jc w:val="left"/>
              <w:rPr>
                <w:noProof/>
                <w:sz w:val="20"/>
                <w:szCs w:val="20"/>
              </w:rPr>
            </w:pPr>
            <w:r w:rsidRPr="002850C6">
              <w:rPr>
                <w:noProof/>
                <w:sz w:val="20"/>
              </w:rPr>
              <w:t>Agents temporaires (grades AST)</w:t>
            </w:r>
          </w:p>
        </w:tc>
        <w:tc>
          <w:tcPr>
            <w:tcW w:w="1450" w:type="dxa"/>
            <w:vAlign w:val="center"/>
          </w:tcPr>
          <w:p w14:paraId="36D0E845" w14:textId="77777777" w:rsidR="002850C6" w:rsidRPr="002850C6" w:rsidRDefault="002850C6" w:rsidP="002850C6">
            <w:pPr>
              <w:spacing w:before="60" w:after="60"/>
              <w:jc w:val="right"/>
              <w:rPr>
                <w:noProof/>
                <w:sz w:val="20"/>
                <w:szCs w:val="20"/>
              </w:rPr>
            </w:pPr>
          </w:p>
        </w:tc>
        <w:tc>
          <w:tcPr>
            <w:tcW w:w="1449" w:type="dxa"/>
            <w:vAlign w:val="center"/>
          </w:tcPr>
          <w:p w14:paraId="076B7E4E" w14:textId="77777777" w:rsidR="002850C6" w:rsidRPr="002850C6" w:rsidRDefault="002850C6" w:rsidP="002850C6">
            <w:pPr>
              <w:spacing w:before="60" w:after="60"/>
              <w:jc w:val="right"/>
              <w:rPr>
                <w:b/>
                <w:bCs/>
                <w:noProof/>
                <w:sz w:val="20"/>
                <w:szCs w:val="20"/>
              </w:rPr>
            </w:pPr>
          </w:p>
        </w:tc>
        <w:tc>
          <w:tcPr>
            <w:tcW w:w="1450" w:type="dxa"/>
            <w:vAlign w:val="center"/>
          </w:tcPr>
          <w:p w14:paraId="41D924A4" w14:textId="77777777" w:rsidR="002850C6" w:rsidRPr="002850C6" w:rsidRDefault="002850C6" w:rsidP="002850C6">
            <w:pPr>
              <w:spacing w:before="60" w:after="60"/>
              <w:jc w:val="right"/>
              <w:rPr>
                <w:noProof/>
                <w:sz w:val="20"/>
                <w:szCs w:val="20"/>
              </w:rPr>
            </w:pPr>
          </w:p>
        </w:tc>
        <w:tc>
          <w:tcPr>
            <w:tcW w:w="1450" w:type="dxa"/>
            <w:vAlign w:val="center"/>
          </w:tcPr>
          <w:p w14:paraId="425F8B28" w14:textId="77777777" w:rsidR="002850C6" w:rsidRPr="002850C6" w:rsidRDefault="002850C6" w:rsidP="002850C6">
            <w:pPr>
              <w:spacing w:before="60" w:after="60"/>
              <w:jc w:val="right"/>
              <w:rPr>
                <w:noProof/>
                <w:sz w:val="20"/>
                <w:szCs w:val="20"/>
              </w:rPr>
            </w:pPr>
          </w:p>
        </w:tc>
      </w:tr>
      <w:tr w:rsidR="002850C6" w:rsidRPr="002850C6" w14:paraId="3B2BA030" w14:textId="77777777" w:rsidTr="0043630B">
        <w:trPr>
          <w:trHeight w:val="585"/>
          <w:jc w:val="center"/>
        </w:trPr>
        <w:tc>
          <w:tcPr>
            <w:tcW w:w="3697" w:type="dxa"/>
            <w:vAlign w:val="center"/>
          </w:tcPr>
          <w:p w14:paraId="1AF3EEAD" w14:textId="77777777" w:rsidR="002850C6" w:rsidRPr="002850C6" w:rsidRDefault="002850C6" w:rsidP="002850C6">
            <w:pPr>
              <w:spacing w:before="60" w:after="60"/>
              <w:jc w:val="left"/>
              <w:rPr>
                <w:i/>
                <w:iCs/>
                <w:noProof/>
                <w:sz w:val="20"/>
                <w:szCs w:val="20"/>
              </w:rPr>
            </w:pPr>
            <w:r w:rsidRPr="002850C6">
              <w:rPr>
                <w:i/>
                <w:noProof/>
                <w:sz w:val="20"/>
              </w:rPr>
              <w:t>Sous-total des agents temporaires (AD+AST)</w:t>
            </w:r>
          </w:p>
        </w:tc>
        <w:tc>
          <w:tcPr>
            <w:tcW w:w="1450" w:type="dxa"/>
            <w:vAlign w:val="center"/>
          </w:tcPr>
          <w:p w14:paraId="1B18150D"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vAlign w:val="center"/>
          </w:tcPr>
          <w:p w14:paraId="05EC6207" w14:textId="77777777" w:rsidR="002850C6" w:rsidRPr="002850C6" w:rsidRDefault="002850C6" w:rsidP="002850C6">
            <w:pPr>
              <w:spacing w:before="60" w:after="60"/>
              <w:jc w:val="right"/>
              <w:rPr>
                <w:b/>
                <w:bCs/>
                <w:i/>
                <w:iCs/>
                <w:noProof/>
                <w:sz w:val="20"/>
                <w:szCs w:val="20"/>
              </w:rPr>
            </w:pPr>
          </w:p>
        </w:tc>
        <w:tc>
          <w:tcPr>
            <w:tcW w:w="1450" w:type="dxa"/>
            <w:vAlign w:val="center"/>
          </w:tcPr>
          <w:p w14:paraId="587952E6" w14:textId="77777777" w:rsidR="002850C6" w:rsidRPr="002850C6" w:rsidRDefault="002850C6" w:rsidP="002850C6">
            <w:pPr>
              <w:spacing w:before="60" w:after="60"/>
              <w:jc w:val="right"/>
              <w:rPr>
                <w:i/>
                <w:iCs/>
                <w:noProof/>
                <w:sz w:val="20"/>
                <w:szCs w:val="20"/>
              </w:rPr>
            </w:pPr>
            <w:r w:rsidRPr="002850C6">
              <w:rPr>
                <w:b/>
                <w:i/>
                <w:noProof/>
                <w:sz w:val="20"/>
              </w:rPr>
              <w:t>9</w:t>
            </w:r>
          </w:p>
        </w:tc>
        <w:tc>
          <w:tcPr>
            <w:tcW w:w="1450" w:type="dxa"/>
            <w:vAlign w:val="center"/>
          </w:tcPr>
          <w:p w14:paraId="416E2FC6" w14:textId="77777777" w:rsidR="002850C6" w:rsidRPr="002850C6" w:rsidRDefault="002850C6" w:rsidP="002850C6">
            <w:pPr>
              <w:spacing w:before="60" w:after="60"/>
              <w:jc w:val="right"/>
              <w:rPr>
                <w:b/>
                <w:bCs/>
                <w:i/>
                <w:iCs/>
                <w:noProof/>
                <w:sz w:val="20"/>
                <w:szCs w:val="20"/>
              </w:rPr>
            </w:pPr>
            <w:r w:rsidRPr="002850C6">
              <w:rPr>
                <w:b/>
                <w:i/>
                <w:noProof/>
                <w:sz w:val="20"/>
              </w:rPr>
              <w:t>9</w:t>
            </w:r>
          </w:p>
        </w:tc>
      </w:tr>
      <w:tr w:rsidR="002850C6" w:rsidRPr="002850C6" w14:paraId="40DD9C9D" w14:textId="77777777" w:rsidTr="0043630B">
        <w:trPr>
          <w:trHeight w:val="585"/>
          <w:jc w:val="center"/>
        </w:trPr>
        <w:tc>
          <w:tcPr>
            <w:tcW w:w="3697" w:type="dxa"/>
            <w:vAlign w:val="center"/>
          </w:tcPr>
          <w:p w14:paraId="13AD2270" w14:textId="77777777" w:rsidR="002850C6" w:rsidRPr="002850C6" w:rsidRDefault="002850C6" w:rsidP="002850C6">
            <w:pPr>
              <w:spacing w:before="60" w:after="60"/>
              <w:jc w:val="left"/>
              <w:rPr>
                <w:noProof/>
                <w:sz w:val="20"/>
                <w:szCs w:val="20"/>
              </w:rPr>
            </w:pPr>
            <w:r w:rsidRPr="002850C6">
              <w:rPr>
                <w:noProof/>
                <w:sz w:val="20"/>
              </w:rPr>
              <w:t>Agents contractuels</w:t>
            </w:r>
          </w:p>
        </w:tc>
        <w:tc>
          <w:tcPr>
            <w:tcW w:w="1450" w:type="dxa"/>
            <w:vAlign w:val="center"/>
          </w:tcPr>
          <w:p w14:paraId="740EE3B9" w14:textId="77777777" w:rsidR="002850C6" w:rsidRPr="002850C6" w:rsidRDefault="002850C6" w:rsidP="002850C6">
            <w:pPr>
              <w:spacing w:before="60" w:after="60"/>
              <w:jc w:val="right"/>
              <w:rPr>
                <w:noProof/>
                <w:sz w:val="20"/>
                <w:szCs w:val="20"/>
              </w:rPr>
            </w:pPr>
          </w:p>
        </w:tc>
        <w:tc>
          <w:tcPr>
            <w:tcW w:w="1449" w:type="dxa"/>
            <w:vAlign w:val="center"/>
          </w:tcPr>
          <w:p w14:paraId="7A432385" w14:textId="77777777" w:rsidR="002850C6" w:rsidRPr="002850C6" w:rsidRDefault="002850C6" w:rsidP="002850C6">
            <w:pPr>
              <w:spacing w:before="60" w:after="60"/>
              <w:jc w:val="right"/>
              <w:rPr>
                <w:noProof/>
                <w:sz w:val="20"/>
                <w:szCs w:val="20"/>
              </w:rPr>
            </w:pPr>
          </w:p>
        </w:tc>
        <w:tc>
          <w:tcPr>
            <w:tcW w:w="1450" w:type="dxa"/>
            <w:vAlign w:val="center"/>
          </w:tcPr>
          <w:p w14:paraId="7CB69422" w14:textId="77777777" w:rsidR="002850C6" w:rsidRPr="002850C6" w:rsidRDefault="002850C6" w:rsidP="002850C6">
            <w:pPr>
              <w:spacing w:before="60" w:after="60"/>
              <w:jc w:val="right"/>
              <w:rPr>
                <w:noProof/>
                <w:sz w:val="20"/>
                <w:szCs w:val="20"/>
              </w:rPr>
            </w:pPr>
            <w:r w:rsidRPr="002850C6">
              <w:rPr>
                <w:noProof/>
                <w:sz w:val="20"/>
              </w:rPr>
              <w:t>3</w:t>
            </w:r>
            <w:r w:rsidRPr="008F47E2">
              <w:rPr>
                <w:rStyle w:val="FootnoteReference"/>
                <w:noProof/>
              </w:rPr>
              <w:footnoteReference w:id="67"/>
            </w:r>
          </w:p>
        </w:tc>
        <w:tc>
          <w:tcPr>
            <w:tcW w:w="1450" w:type="dxa"/>
            <w:vAlign w:val="center"/>
          </w:tcPr>
          <w:p w14:paraId="035DCF12" w14:textId="77777777" w:rsidR="002850C6" w:rsidRPr="002850C6" w:rsidRDefault="002850C6" w:rsidP="002850C6">
            <w:pPr>
              <w:spacing w:before="60" w:after="60"/>
              <w:jc w:val="right"/>
              <w:rPr>
                <w:noProof/>
                <w:sz w:val="20"/>
                <w:szCs w:val="20"/>
              </w:rPr>
            </w:pPr>
            <w:r w:rsidRPr="002850C6">
              <w:rPr>
                <w:noProof/>
                <w:sz w:val="20"/>
              </w:rPr>
              <w:t>3</w:t>
            </w:r>
          </w:p>
        </w:tc>
      </w:tr>
      <w:tr w:rsidR="002850C6" w:rsidRPr="002850C6" w14:paraId="50C24133" w14:textId="77777777" w:rsidTr="0043630B">
        <w:trPr>
          <w:trHeight w:val="585"/>
          <w:jc w:val="center"/>
        </w:trPr>
        <w:tc>
          <w:tcPr>
            <w:tcW w:w="3697" w:type="dxa"/>
            <w:vAlign w:val="center"/>
          </w:tcPr>
          <w:p w14:paraId="10CDF9EC" w14:textId="77777777" w:rsidR="002850C6" w:rsidRPr="002850C6" w:rsidRDefault="002850C6" w:rsidP="002850C6">
            <w:pPr>
              <w:spacing w:before="60" w:after="60"/>
              <w:jc w:val="left"/>
              <w:rPr>
                <w:noProof/>
                <w:sz w:val="20"/>
                <w:szCs w:val="20"/>
              </w:rPr>
            </w:pPr>
            <w:r w:rsidRPr="002850C6">
              <w:rPr>
                <w:noProof/>
                <w:sz w:val="20"/>
              </w:rPr>
              <w:t>Experts nationaux détachés</w:t>
            </w:r>
          </w:p>
        </w:tc>
        <w:tc>
          <w:tcPr>
            <w:tcW w:w="1450" w:type="dxa"/>
            <w:vAlign w:val="center"/>
          </w:tcPr>
          <w:p w14:paraId="48F97FC4" w14:textId="77777777" w:rsidR="002850C6" w:rsidRPr="002850C6" w:rsidRDefault="002850C6" w:rsidP="002850C6">
            <w:pPr>
              <w:spacing w:before="60" w:after="60"/>
              <w:jc w:val="right"/>
              <w:rPr>
                <w:noProof/>
                <w:sz w:val="20"/>
                <w:szCs w:val="20"/>
              </w:rPr>
            </w:pPr>
          </w:p>
        </w:tc>
        <w:tc>
          <w:tcPr>
            <w:tcW w:w="1449" w:type="dxa"/>
            <w:vAlign w:val="center"/>
          </w:tcPr>
          <w:p w14:paraId="26A7626A" w14:textId="77777777" w:rsidR="002850C6" w:rsidRPr="002850C6" w:rsidRDefault="002850C6" w:rsidP="002850C6">
            <w:pPr>
              <w:spacing w:before="60" w:after="60"/>
              <w:jc w:val="right"/>
              <w:rPr>
                <w:noProof/>
                <w:sz w:val="20"/>
                <w:szCs w:val="20"/>
              </w:rPr>
            </w:pPr>
          </w:p>
        </w:tc>
        <w:tc>
          <w:tcPr>
            <w:tcW w:w="1450" w:type="dxa"/>
            <w:vAlign w:val="center"/>
          </w:tcPr>
          <w:p w14:paraId="7E7738AC" w14:textId="77777777" w:rsidR="002850C6" w:rsidRPr="002850C6" w:rsidRDefault="002850C6" w:rsidP="002850C6">
            <w:pPr>
              <w:spacing w:before="60" w:after="60"/>
              <w:jc w:val="right"/>
              <w:rPr>
                <w:noProof/>
                <w:sz w:val="20"/>
                <w:szCs w:val="20"/>
              </w:rPr>
            </w:pPr>
          </w:p>
        </w:tc>
        <w:tc>
          <w:tcPr>
            <w:tcW w:w="1450" w:type="dxa"/>
            <w:vAlign w:val="center"/>
          </w:tcPr>
          <w:p w14:paraId="3EC61938" w14:textId="77777777" w:rsidR="002850C6" w:rsidRPr="002850C6" w:rsidRDefault="002850C6" w:rsidP="002850C6">
            <w:pPr>
              <w:spacing w:before="60" w:after="60"/>
              <w:jc w:val="right"/>
              <w:rPr>
                <w:noProof/>
                <w:sz w:val="20"/>
                <w:szCs w:val="20"/>
              </w:rPr>
            </w:pPr>
          </w:p>
        </w:tc>
      </w:tr>
      <w:tr w:rsidR="002850C6" w:rsidRPr="002850C6" w14:paraId="3A5A32EB" w14:textId="77777777" w:rsidTr="0043630B">
        <w:trPr>
          <w:trHeight w:val="585"/>
          <w:jc w:val="center"/>
        </w:trPr>
        <w:tc>
          <w:tcPr>
            <w:tcW w:w="3697" w:type="dxa"/>
            <w:tcBorders>
              <w:bottom w:val="single" w:sz="4" w:space="0" w:color="auto"/>
            </w:tcBorders>
            <w:vAlign w:val="center"/>
          </w:tcPr>
          <w:p w14:paraId="474C22C9" w14:textId="77777777" w:rsidR="002850C6" w:rsidRPr="002850C6" w:rsidRDefault="002850C6" w:rsidP="002850C6">
            <w:pPr>
              <w:spacing w:before="60" w:after="60"/>
              <w:jc w:val="left"/>
              <w:rPr>
                <w:i/>
                <w:iCs/>
                <w:noProof/>
                <w:sz w:val="20"/>
                <w:szCs w:val="20"/>
              </w:rPr>
            </w:pPr>
            <w:r w:rsidRPr="002850C6">
              <w:rPr>
                <w:i/>
                <w:noProof/>
                <w:sz w:val="20"/>
              </w:rPr>
              <w:t>Sous-total des agents contractuels et experts nationaux détachés</w:t>
            </w:r>
          </w:p>
        </w:tc>
        <w:tc>
          <w:tcPr>
            <w:tcW w:w="1450" w:type="dxa"/>
            <w:tcBorders>
              <w:bottom w:val="single" w:sz="4" w:space="0" w:color="auto"/>
            </w:tcBorders>
            <w:vAlign w:val="center"/>
          </w:tcPr>
          <w:p w14:paraId="4EDF4A04"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tcBorders>
              <w:bottom w:val="single" w:sz="4" w:space="0" w:color="auto"/>
            </w:tcBorders>
            <w:vAlign w:val="center"/>
          </w:tcPr>
          <w:p w14:paraId="672762DA" w14:textId="77777777" w:rsidR="002850C6" w:rsidRPr="002850C6" w:rsidRDefault="002850C6" w:rsidP="002850C6">
            <w:pPr>
              <w:spacing w:before="60" w:after="60"/>
              <w:jc w:val="right"/>
              <w:rPr>
                <w:b/>
                <w:i/>
                <w:noProof/>
                <w:sz w:val="20"/>
                <w:szCs w:val="20"/>
              </w:rPr>
            </w:pPr>
            <w:r w:rsidRPr="002850C6">
              <w:rPr>
                <w:b/>
                <w:i/>
                <w:noProof/>
                <w:sz w:val="20"/>
              </w:rPr>
              <w:t>0</w:t>
            </w:r>
          </w:p>
        </w:tc>
        <w:tc>
          <w:tcPr>
            <w:tcW w:w="1450" w:type="dxa"/>
            <w:tcBorders>
              <w:bottom w:val="single" w:sz="4" w:space="0" w:color="auto"/>
            </w:tcBorders>
            <w:vAlign w:val="center"/>
          </w:tcPr>
          <w:p w14:paraId="6D083882" w14:textId="77777777" w:rsidR="002850C6" w:rsidRPr="002850C6" w:rsidRDefault="002850C6" w:rsidP="002850C6">
            <w:pPr>
              <w:spacing w:before="60" w:after="60"/>
              <w:jc w:val="right"/>
              <w:rPr>
                <w:b/>
                <w:i/>
                <w:noProof/>
                <w:sz w:val="20"/>
                <w:szCs w:val="20"/>
              </w:rPr>
            </w:pPr>
            <w:r w:rsidRPr="002850C6">
              <w:rPr>
                <w:b/>
                <w:i/>
                <w:noProof/>
                <w:sz w:val="20"/>
              </w:rPr>
              <w:t>3</w:t>
            </w:r>
          </w:p>
        </w:tc>
        <w:tc>
          <w:tcPr>
            <w:tcW w:w="1450" w:type="dxa"/>
            <w:tcBorders>
              <w:bottom w:val="single" w:sz="4" w:space="0" w:color="auto"/>
            </w:tcBorders>
            <w:vAlign w:val="center"/>
          </w:tcPr>
          <w:p w14:paraId="6F6CC1F8" w14:textId="77777777" w:rsidR="002850C6" w:rsidRPr="002850C6" w:rsidRDefault="002850C6" w:rsidP="002850C6">
            <w:pPr>
              <w:spacing w:before="60" w:after="60"/>
              <w:jc w:val="right"/>
              <w:rPr>
                <w:b/>
                <w:bCs/>
                <w:i/>
                <w:iCs/>
                <w:noProof/>
                <w:sz w:val="20"/>
                <w:szCs w:val="20"/>
              </w:rPr>
            </w:pPr>
            <w:r w:rsidRPr="002850C6">
              <w:rPr>
                <w:b/>
                <w:i/>
                <w:noProof/>
                <w:sz w:val="20"/>
              </w:rPr>
              <w:t>3</w:t>
            </w:r>
          </w:p>
        </w:tc>
      </w:tr>
      <w:tr w:rsidR="002850C6" w:rsidRPr="002850C6" w14:paraId="5567D790" w14:textId="77777777" w:rsidTr="004363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31602389" w14:textId="77777777" w:rsidR="002850C6" w:rsidRPr="002850C6" w:rsidRDefault="002850C6" w:rsidP="002850C6">
            <w:pPr>
              <w:spacing w:before="60" w:after="60"/>
              <w:jc w:val="left"/>
              <w:rPr>
                <w:noProof/>
                <w:sz w:val="20"/>
                <w:szCs w:val="20"/>
              </w:rPr>
            </w:pPr>
            <w:r w:rsidRPr="002850C6">
              <w:rPr>
                <w:b/>
                <w:noProof/>
                <w:sz w:val="20"/>
              </w:rPr>
              <w:t>TOTAL des effectifs</w:t>
            </w:r>
          </w:p>
        </w:tc>
        <w:tc>
          <w:tcPr>
            <w:tcW w:w="1450" w:type="dxa"/>
            <w:tcBorders>
              <w:top w:val="single" w:sz="4" w:space="0" w:color="auto"/>
              <w:left w:val="single" w:sz="4" w:space="0" w:color="auto"/>
              <w:bottom w:val="single" w:sz="4" w:space="0" w:color="auto"/>
              <w:right w:val="single" w:sz="4" w:space="0" w:color="auto"/>
            </w:tcBorders>
            <w:vAlign w:val="center"/>
          </w:tcPr>
          <w:p w14:paraId="50400128" w14:textId="77777777" w:rsidR="002850C6" w:rsidRPr="002850C6" w:rsidRDefault="002850C6" w:rsidP="002850C6">
            <w:pPr>
              <w:spacing w:before="60" w:after="60"/>
              <w:jc w:val="right"/>
              <w:rPr>
                <w:b/>
                <w:noProof/>
                <w:sz w:val="20"/>
                <w:szCs w:val="20"/>
              </w:rPr>
            </w:pPr>
            <w:r w:rsidRPr="002850C6">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427932D3" w14:textId="77777777" w:rsidR="002850C6" w:rsidRPr="002850C6" w:rsidRDefault="002850C6" w:rsidP="002850C6">
            <w:pPr>
              <w:spacing w:before="60" w:after="60"/>
              <w:jc w:val="right"/>
              <w:rPr>
                <w:b/>
                <w:noProof/>
                <w:sz w:val="20"/>
                <w:szCs w:val="20"/>
              </w:rPr>
            </w:pPr>
            <w:r w:rsidRPr="002850C6">
              <w:rPr>
                <w:b/>
                <w:noProof/>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14:paraId="3E9F9395" w14:textId="77777777" w:rsidR="002850C6" w:rsidRPr="002850C6" w:rsidRDefault="002850C6" w:rsidP="002850C6">
            <w:pPr>
              <w:spacing w:before="60" w:after="60"/>
              <w:jc w:val="right"/>
              <w:rPr>
                <w:b/>
                <w:noProof/>
                <w:sz w:val="20"/>
                <w:szCs w:val="20"/>
              </w:rPr>
            </w:pPr>
            <w:r w:rsidRPr="002850C6">
              <w:rPr>
                <w:b/>
                <w:noProof/>
                <w:sz w:val="20"/>
              </w:rPr>
              <w:t>12</w:t>
            </w:r>
          </w:p>
        </w:tc>
        <w:tc>
          <w:tcPr>
            <w:tcW w:w="1450" w:type="dxa"/>
            <w:tcBorders>
              <w:top w:val="single" w:sz="4" w:space="0" w:color="auto"/>
              <w:left w:val="single" w:sz="4" w:space="0" w:color="auto"/>
              <w:bottom w:val="single" w:sz="4" w:space="0" w:color="auto"/>
              <w:right w:val="single" w:sz="4" w:space="0" w:color="auto"/>
            </w:tcBorders>
            <w:vAlign w:val="center"/>
          </w:tcPr>
          <w:p w14:paraId="0AED872F" w14:textId="77777777" w:rsidR="002850C6" w:rsidRPr="002850C6" w:rsidDel="00214D1B" w:rsidRDefault="002850C6" w:rsidP="002850C6">
            <w:pPr>
              <w:spacing w:before="60" w:after="60"/>
              <w:jc w:val="right"/>
              <w:rPr>
                <w:b/>
                <w:bCs/>
                <w:noProof/>
                <w:sz w:val="20"/>
                <w:szCs w:val="20"/>
              </w:rPr>
            </w:pPr>
            <w:r w:rsidRPr="002850C6">
              <w:rPr>
                <w:b/>
                <w:noProof/>
                <w:sz w:val="20"/>
              </w:rPr>
              <w:t>12</w:t>
            </w:r>
          </w:p>
        </w:tc>
      </w:tr>
    </w:tbl>
    <w:p w14:paraId="0BC57FB7" w14:textId="77777777" w:rsidR="002850C6" w:rsidRPr="002850C6" w:rsidRDefault="002850C6" w:rsidP="002850C6">
      <w:pPr>
        <w:spacing w:before="240"/>
        <w:rPr>
          <w:noProof/>
          <w:sz w:val="22"/>
        </w:rPr>
      </w:pPr>
      <w:r w:rsidRPr="002850C6">
        <w:rPr>
          <w:noProof/>
          <w:sz w:val="22"/>
        </w:rPr>
        <w:t>Dans le cadre de sa mission de base d’harmonisation technique du système ferroviaire de l’UE, et sous l’angle du double usage des infrastructures, l’AFE a entrepris des tâches préliminaires dans le domaine de la mobilité militaire. À cet effet, l’AFE a redéployé en interne des ETP pour soutenir d’autres organisations et agences de l’UE (telles que l’OTAN et l’AED) et apporter un soutien préalable aux fournisseurs en ce qui concerne la production de voitures d’escorte militaire. En outre, le nombre de demandes d’autorisation de véhicules ayant atteint des niveaux sans précédent et la charge de travail de l’AFE ayant augmenté de manière exponentielle, l’Agence ne pourra redéployer d’autres ETP pour les tâches attribuées au titre de la présente proposition.</w:t>
      </w:r>
    </w:p>
    <w:p w14:paraId="32C13F23" w14:textId="77777777" w:rsidR="002850C6" w:rsidRPr="002850C6" w:rsidRDefault="002850C6" w:rsidP="002850C6">
      <w:pPr>
        <w:spacing w:before="240"/>
        <w:rPr>
          <w:noProof/>
          <w:sz w:val="22"/>
        </w:rPr>
      </w:pPr>
      <w:r w:rsidRPr="002850C6">
        <w:rPr>
          <w:noProof/>
          <w:sz w:val="22"/>
        </w:rPr>
        <w:t>Les tâches supplémentaires attribuées à l’Agence au titre de la présente proposition comprennent, sans s’y limiter, le recensement des besoins militaires et leur traduction en spécifications techniques pour les STI, l’harmonisation des exigences nationales en vue d’accélérer la délivrance d’autorisations pour le transport de marchandises militaires hors gabarit et l’extension des autorisations de véhicules à usage militaire au-delà des zones commerciales, le financement de ces tâches étant assuré tantôt par des subventions, tantôt par des redevances. En outre, l’établissement d’un registre du matériel roulant semblable à celui des États membres est requis afin d’améliorer l’efficacité de l’autorisation des véhicules, ce qui nécessite une expertise à la fois technique et juridique. Une autre tâche consiste à harmoniser les normes de contrôle, de commande et de signalisation, ainsi que les normes militaires existantes, ce qui est essentiel pour garantir la résilience et la cohérence des opérations; cette tâche sera financée par des subventions.</w:t>
      </w:r>
    </w:p>
    <w:p w14:paraId="3A9FE946" w14:textId="77777777" w:rsidR="002850C6" w:rsidRPr="002850C6" w:rsidRDefault="002850C6" w:rsidP="002850C6">
      <w:pPr>
        <w:spacing w:before="240"/>
        <w:rPr>
          <w:noProof/>
          <w:sz w:val="22"/>
        </w:rPr>
      </w:pPr>
      <w:r w:rsidRPr="002850C6">
        <w:rPr>
          <w:noProof/>
          <w:sz w:val="22"/>
        </w:rPr>
        <w:t>L’AFE aura besoin de 6 ETP (grades AD AT) financés par des subventions et de 6 ETP (3 AC GF IV et 3 AT AD) financés par des droits et redevances pour exécuter les tâches supplémentaires qui lui sont attribuées.</w:t>
      </w:r>
    </w:p>
    <w:p w14:paraId="23C4E7D1" w14:textId="77777777" w:rsidR="002850C6" w:rsidRPr="002850C6" w:rsidRDefault="002850C6" w:rsidP="002850C6">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2850C6" w:rsidRPr="002850C6" w14:paraId="01BFD0D2" w14:textId="77777777" w:rsidTr="0043630B">
        <w:trPr>
          <w:trHeight w:val="585"/>
          <w:jc w:val="center"/>
        </w:trPr>
        <w:tc>
          <w:tcPr>
            <w:tcW w:w="3697" w:type="dxa"/>
            <w:vAlign w:val="center"/>
          </w:tcPr>
          <w:p w14:paraId="53FDF80B" w14:textId="77777777" w:rsidR="002850C6" w:rsidRPr="002850C6" w:rsidRDefault="002850C6" w:rsidP="002850C6">
            <w:pPr>
              <w:spacing w:before="60" w:after="60"/>
              <w:jc w:val="center"/>
              <w:rPr>
                <w:b/>
                <w:bCs/>
                <w:noProof/>
                <w:sz w:val="20"/>
                <w:szCs w:val="20"/>
              </w:rPr>
            </w:pPr>
            <w:r w:rsidRPr="002850C6">
              <w:rPr>
                <w:b/>
                <w:noProof/>
                <w:sz w:val="20"/>
                <w:shd w:val="clear" w:color="auto" w:fill="FFFFFF"/>
              </w:rPr>
              <w:t>Agence: Agence de l’Union européenne pour la sécurité aérienne (AESA)</w:t>
            </w:r>
          </w:p>
        </w:tc>
        <w:tc>
          <w:tcPr>
            <w:tcW w:w="1450" w:type="dxa"/>
            <w:vAlign w:val="center"/>
          </w:tcPr>
          <w:p w14:paraId="5121A3E6"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2025</w:t>
            </w:r>
          </w:p>
        </w:tc>
        <w:tc>
          <w:tcPr>
            <w:tcW w:w="1449" w:type="dxa"/>
            <w:vAlign w:val="center"/>
          </w:tcPr>
          <w:p w14:paraId="12998998"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2026</w:t>
            </w:r>
          </w:p>
        </w:tc>
        <w:tc>
          <w:tcPr>
            <w:tcW w:w="1450" w:type="dxa"/>
            <w:vAlign w:val="center"/>
          </w:tcPr>
          <w:p w14:paraId="27405A4C"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2027</w:t>
            </w:r>
          </w:p>
        </w:tc>
        <w:tc>
          <w:tcPr>
            <w:tcW w:w="1450" w:type="dxa"/>
          </w:tcPr>
          <w:p w14:paraId="6AD4D36C" w14:textId="77777777" w:rsidR="002850C6" w:rsidRPr="002850C6" w:rsidRDefault="002850C6" w:rsidP="002850C6">
            <w:pPr>
              <w:spacing w:before="60" w:after="60"/>
              <w:jc w:val="center"/>
              <w:rPr>
                <w:b/>
                <w:bCs/>
                <w:noProof/>
                <w:sz w:val="20"/>
                <w:szCs w:val="20"/>
              </w:rPr>
            </w:pPr>
            <w:r w:rsidRPr="002850C6">
              <w:rPr>
                <w:b/>
                <w:noProof/>
                <w:sz w:val="20"/>
              </w:rPr>
              <w:t>CFP 2028-2034</w:t>
            </w:r>
          </w:p>
        </w:tc>
      </w:tr>
      <w:tr w:rsidR="002850C6" w:rsidRPr="002850C6" w14:paraId="4369DBD9" w14:textId="77777777" w:rsidTr="0043630B">
        <w:trPr>
          <w:trHeight w:val="585"/>
          <w:jc w:val="center"/>
        </w:trPr>
        <w:tc>
          <w:tcPr>
            <w:tcW w:w="3697" w:type="dxa"/>
            <w:vAlign w:val="center"/>
          </w:tcPr>
          <w:p w14:paraId="36BAC20F" w14:textId="77777777" w:rsidR="002850C6" w:rsidRPr="002850C6" w:rsidRDefault="002850C6" w:rsidP="002850C6">
            <w:pPr>
              <w:spacing w:before="60" w:after="60"/>
              <w:jc w:val="left"/>
              <w:rPr>
                <w:noProof/>
                <w:sz w:val="20"/>
                <w:szCs w:val="20"/>
              </w:rPr>
            </w:pPr>
            <w:r w:rsidRPr="002850C6">
              <w:rPr>
                <w:noProof/>
                <w:sz w:val="20"/>
              </w:rPr>
              <w:t>Agents temporaires (grades AD)</w:t>
            </w:r>
          </w:p>
        </w:tc>
        <w:tc>
          <w:tcPr>
            <w:tcW w:w="1450" w:type="dxa"/>
            <w:vAlign w:val="center"/>
          </w:tcPr>
          <w:p w14:paraId="35B39504" w14:textId="77777777" w:rsidR="002850C6" w:rsidRPr="002850C6" w:rsidRDefault="002850C6" w:rsidP="002850C6">
            <w:pPr>
              <w:spacing w:before="60" w:after="60"/>
              <w:jc w:val="right"/>
              <w:rPr>
                <w:noProof/>
                <w:sz w:val="20"/>
                <w:szCs w:val="20"/>
              </w:rPr>
            </w:pPr>
          </w:p>
        </w:tc>
        <w:tc>
          <w:tcPr>
            <w:tcW w:w="1449" w:type="dxa"/>
            <w:vAlign w:val="center"/>
          </w:tcPr>
          <w:p w14:paraId="45688395" w14:textId="77777777" w:rsidR="002850C6" w:rsidRPr="002850C6" w:rsidRDefault="002850C6" w:rsidP="002850C6">
            <w:pPr>
              <w:spacing w:before="60" w:after="60"/>
              <w:jc w:val="right"/>
              <w:rPr>
                <w:noProof/>
                <w:sz w:val="20"/>
                <w:szCs w:val="20"/>
              </w:rPr>
            </w:pPr>
          </w:p>
        </w:tc>
        <w:tc>
          <w:tcPr>
            <w:tcW w:w="1450" w:type="dxa"/>
            <w:vAlign w:val="center"/>
          </w:tcPr>
          <w:p w14:paraId="558CCFC2" w14:textId="77777777" w:rsidR="002850C6" w:rsidRPr="002850C6" w:rsidRDefault="002850C6" w:rsidP="002850C6">
            <w:pPr>
              <w:spacing w:before="60" w:after="60"/>
              <w:jc w:val="right"/>
              <w:rPr>
                <w:noProof/>
                <w:sz w:val="20"/>
                <w:szCs w:val="20"/>
              </w:rPr>
            </w:pPr>
            <w:r w:rsidRPr="002850C6">
              <w:rPr>
                <w:noProof/>
                <w:sz w:val="20"/>
              </w:rPr>
              <w:t>4</w:t>
            </w:r>
            <w:r w:rsidRPr="008F47E2">
              <w:rPr>
                <w:rStyle w:val="FootnoteReference"/>
                <w:noProof/>
              </w:rPr>
              <w:footnoteReference w:id="68"/>
            </w:r>
          </w:p>
        </w:tc>
        <w:tc>
          <w:tcPr>
            <w:tcW w:w="1450" w:type="dxa"/>
            <w:vAlign w:val="center"/>
          </w:tcPr>
          <w:p w14:paraId="160B1D25" w14:textId="77777777" w:rsidR="002850C6" w:rsidRPr="002850C6" w:rsidRDefault="002850C6" w:rsidP="002850C6">
            <w:pPr>
              <w:spacing w:before="60" w:after="60"/>
              <w:jc w:val="right"/>
              <w:rPr>
                <w:noProof/>
                <w:sz w:val="20"/>
                <w:szCs w:val="20"/>
              </w:rPr>
            </w:pPr>
            <w:r w:rsidRPr="002850C6">
              <w:rPr>
                <w:noProof/>
                <w:sz w:val="20"/>
              </w:rPr>
              <w:t>4</w:t>
            </w:r>
          </w:p>
        </w:tc>
      </w:tr>
      <w:tr w:rsidR="002850C6" w:rsidRPr="002850C6" w14:paraId="383D2748" w14:textId="77777777" w:rsidTr="0043630B">
        <w:trPr>
          <w:trHeight w:val="585"/>
          <w:jc w:val="center"/>
        </w:trPr>
        <w:tc>
          <w:tcPr>
            <w:tcW w:w="3697" w:type="dxa"/>
            <w:vAlign w:val="center"/>
          </w:tcPr>
          <w:p w14:paraId="4F23F1A4" w14:textId="77777777" w:rsidR="002850C6" w:rsidRPr="002850C6" w:rsidRDefault="002850C6" w:rsidP="002850C6">
            <w:pPr>
              <w:spacing w:before="60" w:after="60"/>
              <w:jc w:val="left"/>
              <w:rPr>
                <w:noProof/>
                <w:sz w:val="20"/>
                <w:szCs w:val="20"/>
              </w:rPr>
            </w:pPr>
            <w:r w:rsidRPr="002850C6">
              <w:rPr>
                <w:noProof/>
                <w:sz w:val="20"/>
              </w:rPr>
              <w:t>Agents temporaires (grades AST)</w:t>
            </w:r>
          </w:p>
        </w:tc>
        <w:tc>
          <w:tcPr>
            <w:tcW w:w="1450" w:type="dxa"/>
            <w:vAlign w:val="center"/>
          </w:tcPr>
          <w:p w14:paraId="30FA0A4E" w14:textId="77777777" w:rsidR="002850C6" w:rsidRPr="002850C6" w:rsidRDefault="002850C6" w:rsidP="002850C6">
            <w:pPr>
              <w:spacing w:before="60" w:after="60"/>
              <w:jc w:val="right"/>
              <w:rPr>
                <w:noProof/>
                <w:sz w:val="20"/>
                <w:szCs w:val="20"/>
              </w:rPr>
            </w:pPr>
          </w:p>
        </w:tc>
        <w:tc>
          <w:tcPr>
            <w:tcW w:w="1449" w:type="dxa"/>
            <w:vAlign w:val="center"/>
          </w:tcPr>
          <w:p w14:paraId="036A1121" w14:textId="77777777" w:rsidR="002850C6" w:rsidRPr="002850C6" w:rsidRDefault="002850C6" w:rsidP="002850C6">
            <w:pPr>
              <w:spacing w:before="60" w:after="60"/>
              <w:jc w:val="right"/>
              <w:rPr>
                <w:noProof/>
                <w:sz w:val="20"/>
                <w:szCs w:val="20"/>
              </w:rPr>
            </w:pPr>
          </w:p>
        </w:tc>
        <w:tc>
          <w:tcPr>
            <w:tcW w:w="1450" w:type="dxa"/>
            <w:vAlign w:val="center"/>
          </w:tcPr>
          <w:p w14:paraId="171FDAB5" w14:textId="77777777" w:rsidR="002850C6" w:rsidRPr="002850C6" w:rsidRDefault="002850C6" w:rsidP="002850C6">
            <w:pPr>
              <w:spacing w:before="60" w:after="60"/>
              <w:jc w:val="right"/>
              <w:rPr>
                <w:noProof/>
                <w:sz w:val="20"/>
                <w:szCs w:val="20"/>
              </w:rPr>
            </w:pPr>
          </w:p>
        </w:tc>
        <w:tc>
          <w:tcPr>
            <w:tcW w:w="1450" w:type="dxa"/>
            <w:vAlign w:val="center"/>
          </w:tcPr>
          <w:p w14:paraId="3C1622AD" w14:textId="77777777" w:rsidR="002850C6" w:rsidRPr="002850C6" w:rsidRDefault="002850C6" w:rsidP="002850C6">
            <w:pPr>
              <w:spacing w:before="60" w:after="60"/>
              <w:jc w:val="right"/>
              <w:rPr>
                <w:noProof/>
                <w:sz w:val="20"/>
                <w:szCs w:val="20"/>
              </w:rPr>
            </w:pPr>
          </w:p>
        </w:tc>
      </w:tr>
      <w:tr w:rsidR="002850C6" w:rsidRPr="002850C6" w14:paraId="5EEC4706" w14:textId="77777777" w:rsidTr="0043630B">
        <w:trPr>
          <w:trHeight w:val="585"/>
          <w:jc w:val="center"/>
        </w:trPr>
        <w:tc>
          <w:tcPr>
            <w:tcW w:w="3697" w:type="dxa"/>
            <w:vAlign w:val="center"/>
          </w:tcPr>
          <w:p w14:paraId="1D18C63B" w14:textId="77777777" w:rsidR="002850C6" w:rsidRPr="002850C6" w:rsidRDefault="002850C6" w:rsidP="002850C6">
            <w:pPr>
              <w:spacing w:before="60" w:after="60"/>
              <w:jc w:val="left"/>
              <w:rPr>
                <w:i/>
                <w:iCs/>
                <w:noProof/>
                <w:sz w:val="20"/>
                <w:szCs w:val="20"/>
              </w:rPr>
            </w:pPr>
            <w:r w:rsidRPr="002850C6">
              <w:rPr>
                <w:i/>
                <w:noProof/>
                <w:sz w:val="20"/>
              </w:rPr>
              <w:t>Sous-total des agents temporaires (AD+AST)</w:t>
            </w:r>
          </w:p>
        </w:tc>
        <w:tc>
          <w:tcPr>
            <w:tcW w:w="1450" w:type="dxa"/>
            <w:vAlign w:val="center"/>
          </w:tcPr>
          <w:p w14:paraId="5A798D70"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vAlign w:val="center"/>
          </w:tcPr>
          <w:p w14:paraId="0433F0E3" w14:textId="77777777" w:rsidR="002850C6" w:rsidRPr="002850C6" w:rsidRDefault="002850C6" w:rsidP="002850C6">
            <w:pPr>
              <w:spacing w:before="60" w:after="60"/>
              <w:jc w:val="right"/>
              <w:rPr>
                <w:b/>
                <w:bCs/>
                <w:i/>
                <w:iCs/>
                <w:noProof/>
                <w:sz w:val="20"/>
                <w:szCs w:val="20"/>
              </w:rPr>
            </w:pPr>
            <w:r w:rsidRPr="002850C6">
              <w:rPr>
                <w:b/>
                <w:i/>
                <w:noProof/>
                <w:sz w:val="20"/>
              </w:rPr>
              <w:t>0</w:t>
            </w:r>
          </w:p>
        </w:tc>
        <w:tc>
          <w:tcPr>
            <w:tcW w:w="1450" w:type="dxa"/>
            <w:vAlign w:val="center"/>
          </w:tcPr>
          <w:p w14:paraId="57ACD6DB" w14:textId="77777777" w:rsidR="002850C6" w:rsidRPr="002850C6" w:rsidRDefault="002850C6" w:rsidP="002850C6">
            <w:pPr>
              <w:spacing w:before="60" w:after="60"/>
              <w:jc w:val="right"/>
              <w:rPr>
                <w:i/>
                <w:iCs/>
                <w:noProof/>
                <w:sz w:val="20"/>
                <w:szCs w:val="20"/>
              </w:rPr>
            </w:pPr>
            <w:r w:rsidRPr="002850C6">
              <w:rPr>
                <w:i/>
                <w:noProof/>
                <w:sz w:val="20"/>
              </w:rPr>
              <w:t>4</w:t>
            </w:r>
          </w:p>
        </w:tc>
        <w:tc>
          <w:tcPr>
            <w:tcW w:w="1450" w:type="dxa"/>
            <w:vAlign w:val="center"/>
          </w:tcPr>
          <w:p w14:paraId="1CBB77B6" w14:textId="77777777" w:rsidR="002850C6" w:rsidRPr="002850C6" w:rsidRDefault="002850C6" w:rsidP="002850C6">
            <w:pPr>
              <w:spacing w:before="60" w:after="60"/>
              <w:jc w:val="right"/>
              <w:rPr>
                <w:b/>
                <w:bCs/>
                <w:i/>
                <w:iCs/>
                <w:noProof/>
                <w:sz w:val="20"/>
                <w:szCs w:val="20"/>
              </w:rPr>
            </w:pPr>
            <w:r w:rsidRPr="002850C6">
              <w:rPr>
                <w:b/>
                <w:i/>
                <w:noProof/>
                <w:sz w:val="20"/>
              </w:rPr>
              <w:t>4</w:t>
            </w:r>
          </w:p>
        </w:tc>
      </w:tr>
      <w:tr w:rsidR="002850C6" w:rsidRPr="002850C6" w14:paraId="711524DD" w14:textId="77777777" w:rsidTr="0043630B">
        <w:trPr>
          <w:trHeight w:val="585"/>
          <w:jc w:val="center"/>
        </w:trPr>
        <w:tc>
          <w:tcPr>
            <w:tcW w:w="3697" w:type="dxa"/>
            <w:vAlign w:val="center"/>
          </w:tcPr>
          <w:p w14:paraId="296D9D14" w14:textId="77777777" w:rsidR="002850C6" w:rsidRPr="002850C6" w:rsidRDefault="002850C6" w:rsidP="002850C6">
            <w:pPr>
              <w:spacing w:before="60" w:after="60"/>
              <w:jc w:val="left"/>
              <w:rPr>
                <w:noProof/>
                <w:sz w:val="20"/>
                <w:szCs w:val="20"/>
              </w:rPr>
            </w:pPr>
            <w:r w:rsidRPr="002850C6">
              <w:rPr>
                <w:noProof/>
                <w:sz w:val="20"/>
              </w:rPr>
              <w:t>Agents contractuels</w:t>
            </w:r>
          </w:p>
        </w:tc>
        <w:tc>
          <w:tcPr>
            <w:tcW w:w="1450" w:type="dxa"/>
            <w:vAlign w:val="center"/>
          </w:tcPr>
          <w:p w14:paraId="6D2FD151" w14:textId="77777777" w:rsidR="002850C6" w:rsidRPr="002850C6" w:rsidRDefault="002850C6" w:rsidP="002850C6">
            <w:pPr>
              <w:spacing w:before="60" w:after="60"/>
              <w:jc w:val="right"/>
              <w:rPr>
                <w:noProof/>
                <w:sz w:val="20"/>
                <w:szCs w:val="20"/>
              </w:rPr>
            </w:pPr>
          </w:p>
        </w:tc>
        <w:tc>
          <w:tcPr>
            <w:tcW w:w="1449" w:type="dxa"/>
            <w:vAlign w:val="center"/>
          </w:tcPr>
          <w:p w14:paraId="5E7E1473" w14:textId="77777777" w:rsidR="002850C6" w:rsidRPr="002850C6" w:rsidRDefault="002850C6" w:rsidP="002850C6">
            <w:pPr>
              <w:spacing w:before="60" w:after="60"/>
              <w:jc w:val="right"/>
              <w:rPr>
                <w:noProof/>
                <w:sz w:val="20"/>
                <w:szCs w:val="20"/>
              </w:rPr>
            </w:pPr>
          </w:p>
        </w:tc>
        <w:tc>
          <w:tcPr>
            <w:tcW w:w="1450" w:type="dxa"/>
            <w:vAlign w:val="center"/>
          </w:tcPr>
          <w:p w14:paraId="25E35BB7" w14:textId="77777777" w:rsidR="002850C6" w:rsidRPr="002850C6" w:rsidRDefault="002850C6" w:rsidP="002850C6">
            <w:pPr>
              <w:spacing w:before="60" w:after="60"/>
              <w:jc w:val="right"/>
              <w:rPr>
                <w:noProof/>
                <w:sz w:val="20"/>
                <w:szCs w:val="20"/>
              </w:rPr>
            </w:pPr>
            <w:r w:rsidRPr="002850C6">
              <w:rPr>
                <w:noProof/>
                <w:sz w:val="20"/>
              </w:rPr>
              <w:t>2</w:t>
            </w:r>
            <w:r w:rsidRPr="008F47E2">
              <w:rPr>
                <w:rStyle w:val="FootnoteReference"/>
                <w:noProof/>
              </w:rPr>
              <w:footnoteReference w:id="69"/>
            </w:r>
          </w:p>
        </w:tc>
        <w:tc>
          <w:tcPr>
            <w:tcW w:w="1450" w:type="dxa"/>
            <w:vAlign w:val="center"/>
          </w:tcPr>
          <w:p w14:paraId="1E425074" w14:textId="77777777" w:rsidR="002850C6" w:rsidRPr="002850C6" w:rsidRDefault="002850C6" w:rsidP="002850C6">
            <w:pPr>
              <w:spacing w:before="60" w:after="60"/>
              <w:jc w:val="right"/>
              <w:rPr>
                <w:noProof/>
                <w:sz w:val="20"/>
                <w:szCs w:val="20"/>
              </w:rPr>
            </w:pPr>
            <w:r w:rsidRPr="002850C6">
              <w:rPr>
                <w:noProof/>
                <w:sz w:val="20"/>
              </w:rPr>
              <w:t>2</w:t>
            </w:r>
          </w:p>
        </w:tc>
      </w:tr>
      <w:tr w:rsidR="002850C6" w:rsidRPr="002850C6" w14:paraId="09BA9322" w14:textId="77777777" w:rsidTr="0043630B">
        <w:trPr>
          <w:trHeight w:val="585"/>
          <w:jc w:val="center"/>
        </w:trPr>
        <w:tc>
          <w:tcPr>
            <w:tcW w:w="3697" w:type="dxa"/>
            <w:vAlign w:val="center"/>
          </w:tcPr>
          <w:p w14:paraId="5334315D" w14:textId="77777777" w:rsidR="002850C6" w:rsidRPr="002850C6" w:rsidRDefault="002850C6" w:rsidP="002850C6">
            <w:pPr>
              <w:spacing w:before="60" w:after="60"/>
              <w:jc w:val="left"/>
              <w:rPr>
                <w:noProof/>
                <w:sz w:val="20"/>
                <w:szCs w:val="20"/>
              </w:rPr>
            </w:pPr>
            <w:r w:rsidRPr="002850C6">
              <w:rPr>
                <w:noProof/>
                <w:sz w:val="20"/>
              </w:rPr>
              <w:t>Experts nationaux détachés</w:t>
            </w:r>
          </w:p>
        </w:tc>
        <w:tc>
          <w:tcPr>
            <w:tcW w:w="1450" w:type="dxa"/>
            <w:vAlign w:val="center"/>
          </w:tcPr>
          <w:p w14:paraId="14569906" w14:textId="77777777" w:rsidR="002850C6" w:rsidRPr="002850C6" w:rsidRDefault="002850C6" w:rsidP="002850C6">
            <w:pPr>
              <w:spacing w:before="60" w:after="60"/>
              <w:jc w:val="right"/>
              <w:rPr>
                <w:noProof/>
                <w:sz w:val="20"/>
                <w:szCs w:val="20"/>
              </w:rPr>
            </w:pPr>
          </w:p>
        </w:tc>
        <w:tc>
          <w:tcPr>
            <w:tcW w:w="1449" w:type="dxa"/>
            <w:vAlign w:val="center"/>
          </w:tcPr>
          <w:p w14:paraId="593945A8" w14:textId="77777777" w:rsidR="002850C6" w:rsidRPr="002850C6" w:rsidRDefault="002850C6" w:rsidP="002850C6">
            <w:pPr>
              <w:spacing w:before="60" w:after="60"/>
              <w:jc w:val="right"/>
              <w:rPr>
                <w:noProof/>
                <w:sz w:val="20"/>
                <w:szCs w:val="20"/>
              </w:rPr>
            </w:pPr>
          </w:p>
        </w:tc>
        <w:tc>
          <w:tcPr>
            <w:tcW w:w="1450" w:type="dxa"/>
            <w:vAlign w:val="center"/>
          </w:tcPr>
          <w:p w14:paraId="05322D01" w14:textId="77777777" w:rsidR="002850C6" w:rsidRPr="002850C6" w:rsidRDefault="002850C6" w:rsidP="002850C6">
            <w:pPr>
              <w:spacing w:before="60" w:after="60"/>
              <w:jc w:val="right"/>
              <w:rPr>
                <w:noProof/>
                <w:sz w:val="20"/>
                <w:szCs w:val="20"/>
              </w:rPr>
            </w:pPr>
          </w:p>
        </w:tc>
        <w:tc>
          <w:tcPr>
            <w:tcW w:w="1450" w:type="dxa"/>
            <w:vAlign w:val="center"/>
          </w:tcPr>
          <w:p w14:paraId="70F53336" w14:textId="77777777" w:rsidR="002850C6" w:rsidRPr="002850C6" w:rsidRDefault="002850C6" w:rsidP="002850C6">
            <w:pPr>
              <w:spacing w:before="60" w:after="60"/>
              <w:jc w:val="right"/>
              <w:rPr>
                <w:noProof/>
                <w:sz w:val="20"/>
                <w:szCs w:val="20"/>
              </w:rPr>
            </w:pPr>
          </w:p>
        </w:tc>
      </w:tr>
      <w:tr w:rsidR="002850C6" w:rsidRPr="002850C6" w14:paraId="62F25590" w14:textId="77777777" w:rsidTr="0043630B">
        <w:trPr>
          <w:trHeight w:val="585"/>
          <w:jc w:val="center"/>
        </w:trPr>
        <w:tc>
          <w:tcPr>
            <w:tcW w:w="3697" w:type="dxa"/>
            <w:tcBorders>
              <w:bottom w:val="single" w:sz="4" w:space="0" w:color="auto"/>
            </w:tcBorders>
            <w:vAlign w:val="center"/>
          </w:tcPr>
          <w:p w14:paraId="55AB4436" w14:textId="77777777" w:rsidR="002850C6" w:rsidRPr="002850C6" w:rsidRDefault="002850C6" w:rsidP="002850C6">
            <w:pPr>
              <w:spacing w:before="60" w:after="60"/>
              <w:jc w:val="left"/>
              <w:rPr>
                <w:i/>
                <w:iCs/>
                <w:noProof/>
                <w:sz w:val="20"/>
                <w:szCs w:val="20"/>
              </w:rPr>
            </w:pPr>
            <w:r w:rsidRPr="002850C6">
              <w:rPr>
                <w:i/>
                <w:noProof/>
                <w:sz w:val="20"/>
              </w:rPr>
              <w:t>Sous-total des agents contractuels et experts nationaux détachés</w:t>
            </w:r>
          </w:p>
        </w:tc>
        <w:tc>
          <w:tcPr>
            <w:tcW w:w="1450" w:type="dxa"/>
            <w:tcBorders>
              <w:bottom w:val="single" w:sz="4" w:space="0" w:color="auto"/>
            </w:tcBorders>
            <w:vAlign w:val="center"/>
          </w:tcPr>
          <w:p w14:paraId="2664A2B0"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tcBorders>
              <w:bottom w:val="single" w:sz="4" w:space="0" w:color="auto"/>
            </w:tcBorders>
            <w:vAlign w:val="center"/>
          </w:tcPr>
          <w:p w14:paraId="7DC1EFF5" w14:textId="77777777" w:rsidR="002850C6" w:rsidRPr="002850C6" w:rsidRDefault="002850C6" w:rsidP="002850C6">
            <w:pPr>
              <w:spacing w:before="60" w:after="60"/>
              <w:jc w:val="right"/>
              <w:rPr>
                <w:b/>
                <w:bCs/>
                <w:i/>
                <w:iCs/>
                <w:noProof/>
                <w:sz w:val="20"/>
                <w:szCs w:val="20"/>
              </w:rPr>
            </w:pPr>
            <w:r w:rsidRPr="002850C6">
              <w:rPr>
                <w:b/>
                <w:i/>
                <w:noProof/>
                <w:sz w:val="20"/>
              </w:rPr>
              <w:t>0</w:t>
            </w:r>
          </w:p>
        </w:tc>
        <w:tc>
          <w:tcPr>
            <w:tcW w:w="1450" w:type="dxa"/>
            <w:tcBorders>
              <w:bottom w:val="single" w:sz="4" w:space="0" w:color="auto"/>
            </w:tcBorders>
            <w:vAlign w:val="center"/>
          </w:tcPr>
          <w:p w14:paraId="141F88C9" w14:textId="77777777" w:rsidR="002850C6" w:rsidRPr="002850C6" w:rsidRDefault="002850C6" w:rsidP="002850C6">
            <w:pPr>
              <w:spacing w:before="60" w:after="60"/>
              <w:jc w:val="right"/>
              <w:rPr>
                <w:i/>
                <w:iCs/>
                <w:noProof/>
                <w:sz w:val="20"/>
                <w:szCs w:val="20"/>
              </w:rPr>
            </w:pPr>
            <w:r w:rsidRPr="002850C6">
              <w:rPr>
                <w:b/>
                <w:i/>
                <w:noProof/>
                <w:sz w:val="20"/>
              </w:rPr>
              <w:t>2</w:t>
            </w:r>
          </w:p>
        </w:tc>
        <w:tc>
          <w:tcPr>
            <w:tcW w:w="1450" w:type="dxa"/>
            <w:tcBorders>
              <w:bottom w:val="single" w:sz="4" w:space="0" w:color="auto"/>
            </w:tcBorders>
            <w:vAlign w:val="center"/>
          </w:tcPr>
          <w:p w14:paraId="18CF4763" w14:textId="77777777" w:rsidR="002850C6" w:rsidRPr="002850C6" w:rsidRDefault="002850C6" w:rsidP="002850C6">
            <w:pPr>
              <w:spacing w:before="60" w:after="60"/>
              <w:jc w:val="right"/>
              <w:rPr>
                <w:b/>
                <w:bCs/>
                <w:i/>
                <w:iCs/>
                <w:noProof/>
                <w:sz w:val="20"/>
                <w:szCs w:val="20"/>
              </w:rPr>
            </w:pPr>
            <w:r w:rsidRPr="002850C6">
              <w:rPr>
                <w:b/>
                <w:i/>
                <w:noProof/>
                <w:sz w:val="20"/>
              </w:rPr>
              <w:t>2</w:t>
            </w:r>
          </w:p>
        </w:tc>
      </w:tr>
      <w:tr w:rsidR="002850C6" w:rsidRPr="002850C6" w14:paraId="5B055999" w14:textId="77777777" w:rsidTr="004363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05C962C9" w14:textId="77777777" w:rsidR="002850C6" w:rsidRPr="002850C6" w:rsidRDefault="002850C6" w:rsidP="002850C6">
            <w:pPr>
              <w:spacing w:before="60" w:after="60"/>
              <w:jc w:val="left"/>
              <w:rPr>
                <w:noProof/>
                <w:sz w:val="20"/>
                <w:szCs w:val="20"/>
              </w:rPr>
            </w:pPr>
            <w:r w:rsidRPr="002850C6">
              <w:rPr>
                <w:b/>
                <w:noProof/>
                <w:sz w:val="20"/>
              </w:rPr>
              <w:t>TOTAL des effectifs</w:t>
            </w:r>
          </w:p>
        </w:tc>
        <w:tc>
          <w:tcPr>
            <w:tcW w:w="1450" w:type="dxa"/>
            <w:tcBorders>
              <w:top w:val="single" w:sz="4" w:space="0" w:color="auto"/>
              <w:left w:val="single" w:sz="4" w:space="0" w:color="auto"/>
              <w:bottom w:val="single" w:sz="4" w:space="0" w:color="auto"/>
              <w:right w:val="single" w:sz="4" w:space="0" w:color="auto"/>
            </w:tcBorders>
            <w:vAlign w:val="center"/>
          </w:tcPr>
          <w:p w14:paraId="19DF7AF6" w14:textId="77777777" w:rsidR="002850C6" w:rsidRPr="002850C6" w:rsidRDefault="002850C6" w:rsidP="002850C6">
            <w:pPr>
              <w:spacing w:before="60" w:after="60"/>
              <w:jc w:val="right"/>
              <w:rPr>
                <w:b/>
                <w:noProof/>
                <w:sz w:val="20"/>
                <w:szCs w:val="20"/>
              </w:rPr>
            </w:pPr>
            <w:r w:rsidRPr="002850C6">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2D7CDCDA" w14:textId="77777777" w:rsidR="002850C6" w:rsidRPr="002850C6" w:rsidRDefault="002850C6" w:rsidP="002850C6">
            <w:pPr>
              <w:spacing w:before="60" w:after="60"/>
              <w:jc w:val="right"/>
              <w:rPr>
                <w:b/>
                <w:noProof/>
                <w:sz w:val="20"/>
                <w:szCs w:val="20"/>
              </w:rPr>
            </w:pPr>
            <w:r w:rsidRPr="002850C6">
              <w:rPr>
                <w:b/>
                <w:noProof/>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14:paraId="2A31547D" w14:textId="77777777" w:rsidR="002850C6" w:rsidRPr="002850C6" w:rsidRDefault="002850C6" w:rsidP="002850C6">
            <w:pPr>
              <w:spacing w:before="60" w:after="60"/>
              <w:jc w:val="right"/>
              <w:rPr>
                <w:b/>
                <w:noProof/>
                <w:sz w:val="20"/>
                <w:szCs w:val="20"/>
              </w:rPr>
            </w:pPr>
            <w:r w:rsidRPr="002850C6">
              <w:rPr>
                <w:b/>
                <w:noProof/>
                <w:sz w:val="20"/>
              </w:rPr>
              <w:t>6</w:t>
            </w:r>
          </w:p>
        </w:tc>
        <w:tc>
          <w:tcPr>
            <w:tcW w:w="1450" w:type="dxa"/>
            <w:tcBorders>
              <w:top w:val="single" w:sz="4" w:space="0" w:color="auto"/>
              <w:left w:val="single" w:sz="4" w:space="0" w:color="auto"/>
              <w:bottom w:val="single" w:sz="4" w:space="0" w:color="auto"/>
              <w:right w:val="single" w:sz="4" w:space="0" w:color="auto"/>
            </w:tcBorders>
            <w:vAlign w:val="center"/>
          </w:tcPr>
          <w:p w14:paraId="41830937" w14:textId="77777777" w:rsidR="002850C6" w:rsidRPr="002850C6" w:rsidDel="00214D1B" w:rsidRDefault="002850C6" w:rsidP="002850C6">
            <w:pPr>
              <w:spacing w:before="60" w:after="60"/>
              <w:jc w:val="right"/>
              <w:rPr>
                <w:b/>
                <w:bCs/>
                <w:noProof/>
                <w:sz w:val="20"/>
                <w:szCs w:val="20"/>
              </w:rPr>
            </w:pPr>
            <w:r w:rsidRPr="002850C6">
              <w:rPr>
                <w:b/>
                <w:noProof/>
                <w:sz w:val="20"/>
              </w:rPr>
              <w:t>6</w:t>
            </w:r>
          </w:p>
        </w:tc>
      </w:tr>
    </w:tbl>
    <w:p w14:paraId="774B1B85" w14:textId="77777777" w:rsidR="002850C6" w:rsidRPr="002850C6" w:rsidRDefault="002850C6" w:rsidP="002850C6">
      <w:pPr>
        <w:spacing w:before="240"/>
        <w:rPr>
          <w:noProof/>
          <w:sz w:val="22"/>
        </w:rPr>
      </w:pPr>
      <w:r w:rsidRPr="002850C6">
        <w:rPr>
          <w:noProof/>
          <w:sz w:val="22"/>
        </w:rPr>
        <w:t xml:space="preserve">Les tâches et objectifs énumérés au point 1.3.3 ne font pas partie du mandat actuel de l’AESA, qui est axé sur le domaine civil. La réalisation de ces objectifs nécessite des ressources supplémentaires estimées à 6 ETP. Certaines des activités correspondantes seront financées par des droits et redevances (3 ETP au total). D’autres objectifs et tâches sont de nature purement réglementaire et ont pour objet d’établir une nouvelle réglementation, à maintenir dans le temps, permettant de compléter le cadre réglementaire actuel de l’UE et la réalisation d’opérations aériennes à double usage harmonisées, fluides et sûres. Ces objectifs et tâches ne peuvent pas être financés par des droits et redevances et nécessitent donc un financement supplémentaire sous la forme de subventions (3 ETP). </w:t>
      </w:r>
    </w:p>
    <w:p w14:paraId="176BAE76" w14:textId="77777777" w:rsidR="002850C6" w:rsidRPr="002850C6" w:rsidRDefault="002850C6" w:rsidP="002850C6">
      <w:pPr>
        <w:spacing w:before="240"/>
        <w:rPr>
          <w:noProof/>
          <w:sz w:val="22"/>
        </w:rPr>
      </w:pPr>
      <w:r w:rsidRPr="002850C6">
        <w:rPr>
          <w:noProof/>
          <w:sz w:val="22"/>
        </w:rPr>
        <w:t>Ces besoins ne peuvent être satisfaits par un redéploiement interne en raison de l’indisponibilité de ressources dotées d’une expertise spécifique et des besoins. Il y a un risque que l’AESA ne dispose pas d’une expertise spécifique lui permettant d’assurer les activités proposées exclusivement par une affectation complète des ressources existantes, ce qui rend impossible un redéploiement interne des ressources sans mise en péril des activités en cours confiées à l’AESA par le règlement de base.</w:t>
      </w:r>
    </w:p>
    <w:p w14:paraId="1910A323" w14:textId="77777777" w:rsidR="002850C6" w:rsidRPr="002850C6" w:rsidRDefault="002850C6" w:rsidP="002850C6">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2850C6" w:rsidRPr="002850C6" w14:paraId="1B9D7F3C" w14:textId="77777777" w:rsidTr="0043630B">
        <w:trPr>
          <w:trHeight w:val="585"/>
          <w:jc w:val="center"/>
        </w:trPr>
        <w:tc>
          <w:tcPr>
            <w:tcW w:w="3697" w:type="dxa"/>
            <w:vAlign w:val="center"/>
          </w:tcPr>
          <w:p w14:paraId="2E4F2705" w14:textId="77777777" w:rsidR="002850C6" w:rsidRPr="002850C6" w:rsidRDefault="002850C6" w:rsidP="002850C6">
            <w:pPr>
              <w:spacing w:before="60" w:after="60"/>
              <w:jc w:val="center"/>
              <w:rPr>
                <w:b/>
                <w:bCs/>
                <w:noProof/>
                <w:sz w:val="20"/>
                <w:szCs w:val="20"/>
              </w:rPr>
            </w:pPr>
            <w:r w:rsidRPr="002850C6">
              <w:rPr>
                <w:b/>
                <w:noProof/>
                <w:sz w:val="20"/>
                <w:shd w:val="clear" w:color="auto" w:fill="FFFFFF"/>
              </w:rPr>
              <w:t>DG DEFIS</w:t>
            </w:r>
          </w:p>
        </w:tc>
        <w:tc>
          <w:tcPr>
            <w:tcW w:w="1450" w:type="dxa"/>
            <w:vAlign w:val="center"/>
          </w:tcPr>
          <w:p w14:paraId="2D98B239"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2025</w:t>
            </w:r>
          </w:p>
        </w:tc>
        <w:tc>
          <w:tcPr>
            <w:tcW w:w="1449" w:type="dxa"/>
            <w:vAlign w:val="center"/>
          </w:tcPr>
          <w:p w14:paraId="55FA1284"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2026</w:t>
            </w:r>
          </w:p>
        </w:tc>
        <w:tc>
          <w:tcPr>
            <w:tcW w:w="1450" w:type="dxa"/>
            <w:vAlign w:val="center"/>
          </w:tcPr>
          <w:p w14:paraId="75A53BAD"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2027</w:t>
            </w:r>
          </w:p>
        </w:tc>
        <w:tc>
          <w:tcPr>
            <w:tcW w:w="1450" w:type="dxa"/>
          </w:tcPr>
          <w:p w14:paraId="5EEF4100" w14:textId="77777777" w:rsidR="002850C6" w:rsidRPr="002850C6" w:rsidRDefault="002850C6" w:rsidP="002850C6">
            <w:pPr>
              <w:spacing w:before="60" w:after="60"/>
              <w:jc w:val="center"/>
              <w:rPr>
                <w:b/>
                <w:bCs/>
                <w:noProof/>
                <w:sz w:val="20"/>
                <w:szCs w:val="20"/>
              </w:rPr>
            </w:pPr>
            <w:r w:rsidRPr="002850C6">
              <w:rPr>
                <w:b/>
                <w:noProof/>
                <w:sz w:val="20"/>
              </w:rPr>
              <w:t>CFP 2028-2034</w:t>
            </w:r>
          </w:p>
        </w:tc>
      </w:tr>
      <w:tr w:rsidR="002850C6" w:rsidRPr="002850C6" w14:paraId="3989648B" w14:textId="77777777" w:rsidTr="0043630B">
        <w:trPr>
          <w:trHeight w:val="585"/>
          <w:jc w:val="center"/>
        </w:trPr>
        <w:tc>
          <w:tcPr>
            <w:tcW w:w="3697" w:type="dxa"/>
            <w:vAlign w:val="center"/>
          </w:tcPr>
          <w:p w14:paraId="0426D94C" w14:textId="77777777" w:rsidR="002850C6" w:rsidRPr="002850C6" w:rsidRDefault="002850C6" w:rsidP="002850C6">
            <w:pPr>
              <w:spacing w:before="60" w:after="60"/>
              <w:jc w:val="left"/>
              <w:rPr>
                <w:noProof/>
                <w:sz w:val="20"/>
                <w:szCs w:val="20"/>
              </w:rPr>
            </w:pPr>
            <w:r w:rsidRPr="002850C6">
              <w:rPr>
                <w:noProof/>
                <w:sz w:val="20"/>
              </w:rPr>
              <w:t>Agents temporaires (grades AD)</w:t>
            </w:r>
          </w:p>
        </w:tc>
        <w:tc>
          <w:tcPr>
            <w:tcW w:w="1450" w:type="dxa"/>
            <w:vAlign w:val="center"/>
          </w:tcPr>
          <w:p w14:paraId="616AEA6F" w14:textId="77777777" w:rsidR="002850C6" w:rsidRPr="002850C6" w:rsidRDefault="002850C6" w:rsidP="002850C6">
            <w:pPr>
              <w:spacing w:before="60" w:after="60"/>
              <w:jc w:val="right"/>
              <w:rPr>
                <w:noProof/>
                <w:sz w:val="20"/>
                <w:szCs w:val="20"/>
              </w:rPr>
            </w:pPr>
          </w:p>
        </w:tc>
        <w:tc>
          <w:tcPr>
            <w:tcW w:w="1449" w:type="dxa"/>
            <w:vAlign w:val="center"/>
          </w:tcPr>
          <w:p w14:paraId="5DB09C82" w14:textId="77777777" w:rsidR="002850C6" w:rsidRPr="002850C6" w:rsidRDefault="002850C6" w:rsidP="002850C6">
            <w:pPr>
              <w:spacing w:before="60" w:after="60"/>
              <w:jc w:val="right"/>
              <w:rPr>
                <w:noProof/>
                <w:sz w:val="20"/>
                <w:szCs w:val="20"/>
              </w:rPr>
            </w:pPr>
          </w:p>
        </w:tc>
        <w:tc>
          <w:tcPr>
            <w:tcW w:w="1450" w:type="dxa"/>
            <w:vAlign w:val="center"/>
          </w:tcPr>
          <w:p w14:paraId="5B710E8D" w14:textId="77777777" w:rsidR="002850C6" w:rsidRPr="002850C6" w:rsidRDefault="002850C6" w:rsidP="002850C6">
            <w:pPr>
              <w:spacing w:before="60" w:after="60"/>
              <w:jc w:val="right"/>
              <w:rPr>
                <w:noProof/>
                <w:sz w:val="20"/>
                <w:szCs w:val="20"/>
              </w:rPr>
            </w:pPr>
            <w:r w:rsidRPr="002850C6">
              <w:rPr>
                <w:noProof/>
                <w:sz w:val="20"/>
              </w:rPr>
              <w:t>2</w:t>
            </w:r>
          </w:p>
        </w:tc>
        <w:tc>
          <w:tcPr>
            <w:tcW w:w="1450" w:type="dxa"/>
            <w:vAlign w:val="center"/>
          </w:tcPr>
          <w:p w14:paraId="1B482392" w14:textId="77777777" w:rsidR="002850C6" w:rsidRPr="002850C6" w:rsidRDefault="002850C6" w:rsidP="002850C6">
            <w:pPr>
              <w:spacing w:before="60" w:after="60"/>
              <w:jc w:val="right"/>
              <w:rPr>
                <w:noProof/>
                <w:sz w:val="20"/>
                <w:szCs w:val="20"/>
              </w:rPr>
            </w:pPr>
            <w:r w:rsidRPr="002850C6">
              <w:rPr>
                <w:noProof/>
                <w:sz w:val="20"/>
              </w:rPr>
              <w:t>14 (2 ETP x 7 ans)</w:t>
            </w:r>
          </w:p>
        </w:tc>
      </w:tr>
      <w:tr w:rsidR="002850C6" w:rsidRPr="002850C6" w14:paraId="58403B98" w14:textId="77777777" w:rsidTr="0043630B">
        <w:trPr>
          <w:trHeight w:val="585"/>
          <w:jc w:val="center"/>
        </w:trPr>
        <w:tc>
          <w:tcPr>
            <w:tcW w:w="3697" w:type="dxa"/>
            <w:vAlign w:val="center"/>
          </w:tcPr>
          <w:p w14:paraId="66E2ED6E" w14:textId="77777777" w:rsidR="002850C6" w:rsidRPr="002850C6" w:rsidRDefault="002850C6" w:rsidP="002850C6">
            <w:pPr>
              <w:spacing w:before="60" w:after="60"/>
              <w:jc w:val="left"/>
              <w:rPr>
                <w:noProof/>
                <w:sz w:val="20"/>
                <w:szCs w:val="20"/>
              </w:rPr>
            </w:pPr>
            <w:r w:rsidRPr="002850C6">
              <w:rPr>
                <w:noProof/>
                <w:sz w:val="20"/>
              </w:rPr>
              <w:t>Agents temporaires (grades AST)</w:t>
            </w:r>
          </w:p>
        </w:tc>
        <w:tc>
          <w:tcPr>
            <w:tcW w:w="1450" w:type="dxa"/>
            <w:vAlign w:val="center"/>
          </w:tcPr>
          <w:p w14:paraId="2ABB72FF" w14:textId="77777777" w:rsidR="002850C6" w:rsidRPr="002850C6" w:rsidRDefault="002850C6" w:rsidP="002850C6">
            <w:pPr>
              <w:spacing w:before="60" w:after="60"/>
              <w:jc w:val="right"/>
              <w:rPr>
                <w:noProof/>
                <w:sz w:val="20"/>
                <w:szCs w:val="20"/>
              </w:rPr>
            </w:pPr>
          </w:p>
        </w:tc>
        <w:tc>
          <w:tcPr>
            <w:tcW w:w="1449" w:type="dxa"/>
            <w:vAlign w:val="center"/>
          </w:tcPr>
          <w:p w14:paraId="743778E6" w14:textId="77777777" w:rsidR="002850C6" w:rsidRPr="002850C6" w:rsidRDefault="002850C6" w:rsidP="002850C6">
            <w:pPr>
              <w:spacing w:before="60" w:after="60"/>
              <w:jc w:val="right"/>
              <w:rPr>
                <w:b/>
                <w:bCs/>
                <w:noProof/>
                <w:sz w:val="20"/>
                <w:szCs w:val="20"/>
              </w:rPr>
            </w:pPr>
          </w:p>
        </w:tc>
        <w:tc>
          <w:tcPr>
            <w:tcW w:w="1450" w:type="dxa"/>
            <w:vAlign w:val="center"/>
          </w:tcPr>
          <w:p w14:paraId="0F260EB6" w14:textId="77777777" w:rsidR="002850C6" w:rsidRPr="002850C6" w:rsidRDefault="002850C6" w:rsidP="002850C6">
            <w:pPr>
              <w:spacing w:before="60" w:after="60"/>
              <w:jc w:val="right"/>
              <w:rPr>
                <w:noProof/>
                <w:sz w:val="20"/>
                <w:szCs w:val="20"/>
              </w:rPr>
            </w:pPr>
          </w:p>
        </w:tc>
        <w:tc>
          <w:tcPr>
            <w:tcW w:w="1450" w:type="dxa"/>
            <w:vAlign w:val="center"/>
          </w:tcPr>
          <w:p w14:paraId="420F1909" w14:textId="77777777" w:rsidR="002850C6" w:rsidRPr="002850C6" w:rsidRDefault="002850C6" w:rsidP="002850C6">
            <w:pPr>
              <w:spacing w:before="60" w:after="60"/>
              <w:jc w:val="right"/>
              <w:rPr>
                <w:noProof/>
                <w:sz w:val="20"/>
                <w:szCs w:val="20"/>
              </w:rPr>
            </w:pPr>
          </w:p>
        </w:tc>
      </w:tr>
      <w:tr w:rsidR="002850C6" w:rsidRPr="002850C6" w14:paraId="6EF9E313" w14:textId="77777777" w:rsidTr="0043630B">
        <w:trPr>
          <w:trHeight w:val="585"/>
          <w:jc w:val="center"/>
        </w:trPr>
        <w:tc>
          <w:tcPr>
            <w:tcW w:w="3697" w:type="dxa"/>
            <w:vAlign w:val="center"/>
          </w:tcPr>
          <w:p w14:paraId="333B2171" w14:textId="77777777" w:rsidR="002850C6" w:rsidRPr="002850C6" w:rsidRDefault="002850C6" w:rsidP="002850C6">
            <w:pPr>
              <w:spacing w:before="60" w:after="60"/>
              <w:jc w:val="left"/>
              <w:rPr>
                <w:i/>
                <w:iCs/>
                <w:noProof/>
                <w:sz w:val="20"/>
                <w:szCs w:val="20"/>
              </w:rPr>
            </w:pPr>
            <w:r w:rsidRPr="002850C6">
              <w:rPr>
                <w:i/>
                <w:noProof/>
                <w:sz w:val="20"/>
              </w:rPr>
              <w:t>Sous-total des agents temporaires (AD+AST)</w:t>
            </w:r>
          </w:p>
        </w:tc>
        <w:tc>
          <w:tcPr>
            <w:tcW w:w="1450" w:type="dxa"/>
            <w:vAlign w:val="center"/>
          </w:tcPr>
          <w:p w14:paraId="7E7EC31D"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vAlign w:val="center"/>
          </w:tcPr>
          <w:p w14:paraId="60103249" w14:textId="77777777" w:rsidR="002850C6" w:rsidRPr="002850C6" w:rsidRDefault="002850C6" w:rsidP="002850C6">
            <w:pPr>
              <w:spacing w:before="60" w:after="60"/>
              <w:jc w:val="right"/>
              <w:rPr>
                <w:b/>
                <w:bCs/>
                <w:i/>
                <w:iCs/>
                <w:noProof/>
                <w:sz w:val="20"/>
                <w:szCs w:val="20"/>
              </w:rPr>
            </w:pPr>
            <w:r w:rsidRPr="002850C6">
              <w:rPr>
                <w:b/>
                <w:i/>
                <w:noProof/>
                <w:sz w:val="20"/>
              </w:rPr>
              <w:t>0</w:t>
            </w:r>
          </w:p>
        </w:tc>
        <w:tc>
          <w:tcPr>
            <w:tcW w:w="1450" w:type="dxa"/>
            <w:vAlign w:val="center"/>
          </w:tcPr>
          <w:p w14:paraId="6865F302" w14:textId="77777777" w:rsidR="002850C6" w:rsidRPr="002850C6" w:rsidRDefault="002850C6" w:rsidP="002850C6">
            <w:pPr>
              <w:spacing w:before="60" w:after="60"/>
              <w:jc w:val="right"/>
              <w:rPr>
                <w:i/>
                <w:iCs/>
                <w:noProof/>
                <w:sz w:val="20"/>
                <w:szCs w:val="20"/>
              </w:rPr>
            </w:pPr>
            <w:r w:rsidRPr="002850C6">
              <w:rPr>
                <w:i/>
                <w:noProof/>
                <w:sz w:val="20"/>
              </w:rPr>
              <w:t>2</w:t>
            </w:r>
          </w:p>
        </w:tc>
        <w:tc>
          <w:tcPr>
            <w:tcW w:w="1450" w:type="dxa"/>
            <w:vAlign w:val="center"/>
          </w:tcPr>
          <w:p w14:paraId="2A28816C" w14:textId="77777777" w:rsidR="002850C6" w:rsidRPr="002850C6" w:rsidRDefault="002850C6" w:rsidP="002850C6">
            <w:pPr>
              <w:spacing w:before="60" w:after="60"/>
              <w:jc w:val="right"/>
              <w:rPr>
                <w:b/>
                <w:bCs/>
                <w:i/>
                <w:iCs/>
                <w:noProof/>
                <w:sz w:val="20"/>
                <w:szCs w:val="20"/>
              </w:rPr>
            </w:pPr>
            <w:r w:rsidRPr="002850C6">
              <w:rPr>
                <w:b/>
                <w:i/>
                <w:noProof/>
                <w:sz w:val="20"/>
              </w:rPr>
              <w:t>14 (2 ETP x 7 ans)</w:t>
            </w:r>
          </w:p>
        </w:tc>
      </w:tr>
      <w:tr w:rsidR="002850C6" w:rsidRPr="002850C6" w14:paraId="0B0C98AA" w14:textId="77777777" w:rsidTr="0043630B">
        <w:trPr>
          <w:trHeight w:val="585"/>
          <w:jc w:val="center"/>
        </w:trPr>
        <w:tc>
          <w:tcPr>
            <w:tcW w:w="3697" w:type="dxa"/>
            <w:vAlign w:val="center"/>
          </w:tcPr>
          <w:p w14:paraId="03893DC0" w14:textId="77777777" w:rsidR="002850C6" w:rsidRPr="002850C6" w:rsidRDefault="002850C6" w:rsidP="002850C6">
            <w:pPr>
              <w:spacing w:before="60" w:after="60"/>
              <w:jc w:val="left"/>
              <w:rPr>
                <w:noProof/>
                <w:sz w:val="20"/>
                <w:szCs w:val="20"/>
              </w:rPr>
            </w:pPr>
            <w:r w:rsidRPr="002850C6">
              <w:rPr>
                <w:noProof/>
                <w:sz w:val="20"/>
              </w:rPr>
              <w:t>Agents contractuels</w:t>
            </w:r>
          </w:p>
        </w:tc>
        <w:tc>
          <w:tcPr>
            <w:tcW w:w="1450" w:type="dxa"/>
            <w:vAlign w:val="center"/>
          </w:tcPr>
          <w:p w14:paraId="4312AD51" w14:textId="77777777" w:rsidR="002850C6" w:rsidRPr="002850C6" w:rsidRDefault="002850C6" w:rsidP="002850C6">
            <w:pPr>
              <w:spacing w:before="60" w:after="60"/>
              <w:jc w:val="right"/>
              <w:rPr>
                <w:noProof/>
                <w:sz w:val="20"/>
                <w:szCs w:val="20"/>
              </w:rPr>
            </w:pPr>
          </w:p>
        </w:tc>
        <w:tc>
          <w:tcPr>
            <w:tcW w:w="1449" w:type="dxa"/>
            <w:vAlign w:val="center"/>
          </w:tcPr>
          <w:p w14:paraId="3E8FC99A" w14:textId="77777777" w:rsidR="002850C6" w:rsidRPr="002850C6" w:rsidRDefault="002850C6" w:rsidP="002850C6">
            <w:pPr>
              <w:spacing w:before="60" w:after="60"/>
              <w:jc w:val="right"/>
              <w:rPr>
                <w:noProof/>
                <w:sz w:val="20"/>
                <w:szCs w:val="20"/>
              </w:rPr>
            </w:pPr>
          </w:p>
        </w:tc>
        <w:tc>
          <w:tcPr>
            <w:tcW w:w="1450" w:type="dxa"/>
            <w:vAlign w:val="center"/>
          </w:tcPr>
          <w:p w14:paraId="2D35F63C" w14:textId="77777777" w:rsidR="002850C6" w:rsidRPr="002850C6" w:rsidRDefault="002850C6" w:rsidP="002850C6">
            <w:pPr>
              <w:spacing w:before="60" w:after="60"/>
              <w:jc w:val="right"/>
              <w:rPr>
                <w:noProof/>
                <w:sz w:val="20"/>
                <w:szCs w:val="20"/>
              </w:rPr>
            </w:pPr>
          </w:p>
        </w:tc>
        <w:tc>
          <w:tcPr>
            <w:tcW w:w="1450" w:type="dxa"/>
            <w:vAlign w:val="center"/>
          </w:tcPr>
          <w:p w14:paraId="0A3414BF" w14:textId="77777777" w:rsidR="002850C6" w:rsidRPr="002850C6" w:rsidRDefault="002850C6" w:rsidP="002850C6">
            <w:pPr>
              <w:spacing w:before="60" w:after="60"/>
              <w:jc w:val="right"/>
              <w:rPr>
                <w:noProof/>
                <w:sz w:val="20"/>
                <w:szCs w:val="20"/>
              </w:rPr>
            </w:pPr>
          </w:p>
        </w:tc>
      </w:tr>
      <w:tr w:rsidR="002850C6" w:rsidRPr="002850C6" w14:paraId="04B0A7BE" w14:textId="77777777" w:rsidTr="0043630B">
        <w:trPr>
          <w:trHeight w:val="585"/>
          <w:jc w:val="center"/>
        </w:trPr>
        <w:tc>
          <w:tcPr>
            <w:tcW w:w="3697" w:type="dxa"/>
            <w:vAlign w:val="center"/>
          </w:tcPr>
          <w:p w14:paraId="7D496ADA" w14:textId="77777777" w:rsidR="002850C6" w:rsidRPr="002850C6" w:rsidRDefault="002850C6" w:rsidP="002850C6">
            <w:pPr>
              <w:spacing w:before="60" w:after="60"/>
              <w:jc w:val="left"/>
              <w:rPr>
                <w:noProof/>
                <w:sz w:val="20"/>
                <w:szCs w:val="20"/>
              </w:rPr>
            </w:pPr>
            <w:r w:rsidRPr="002850C6">
              <w:rPr>
                <w:noProof/>
                <w:sz w:val="20"/>
              </w:rPr>
              <w:t>Experts nationaux détachés</w:t>
            </w:r>
          </w:p>
        </w:tc>
        <w:tc>
          <w:tcPr>
            <w:tcW w:w="1450" w:type="dxa"/>
            <w:vAlign w:val="center"/>
          </w:tcPr>
          <w:p w14:paraId="049516C6" w14:textId="77777777" w:rsidR="002850C6" w:rsidRPr="002850C6" w:rsidRDefault="002850C6" w:rsidP="002850C6">
            <w:pPr>
              <w:spacing w:before="60" w:after="60"/>
              <w:jc w:val="right"/>
              <w:rPr>
                <w:noProof/>
                <w:sz w:val="20"/>
                <w:szCs w:val="20"/>
              </w:rPr>
            </w:pPr>
          </w:p>
        </w:tc>
        <w:tc>
          <w:tcPr>
            <w:tcW w:w="1449" w:type="dxa"/>
            <w:vAlign w:val="center"/>
          </w:tcPr>
          <w:p w14:paraId="66975ADB" w14:textId="77777777" w:rsidR="002850C6" w:rsidRPr="002850C6" w:rsidRDefault="002850C6" w:rsidP="002850C6">
            <w:pPr>
              <w:spacing w:before="60" w:after="60"/>
              <w:jc w:val="right"/>
              <w:rPr>
                <w:noProof/>
                <w:sz w:val="20"/>
                <w:szCs w:val="20"/>
              </w:rPr>
            </w:pPr>
          </w:p>
        </w:tc>
        <w:tc>
          <w:tcPr>
            <w:tcW w:w="1450" w:type="dxa"/>
            <w:vAlign w:val="center"/>
          </w:tcPr>
          <w:p w14:paraId="578574D9" w14:textId="77777777" w:rsidR="002850C6" w:rsidRPr="002850C6" w:rsidRDefault="002850C6" w:rsidP="002850C6">
            <w:pPr>
              <w:spacing w:before="60" w:after="60"/>
              <w:jc w:val="right"/>
              <w:rPr>
                <w:noProof/>
                <w:sz w:val="20"/>
                <w:szCs w:val="20"/>
              </w:rPr>
            </w:pPr>
          </w:p>
        </w:tc>
        <w:tc>
          <w:tcPr>
            <w:tcW w:w="1450" w:type="dxa"/>
            <w:vAlign w:val="center"/>
          </w:tcPr>
          <w:p w14:paraId="35E09B40" w14:textId="77777777" w:rsidR="002850C6" w:rsidRPr="002850C6" w:rsidRDefault="002850C6" w:rsidP="002850C6">
            <w:pPr>
              <w:spacing w:before="60" w:after="60"/>
              <w:jc w:val="right"/>
              <w:rPr>
                <w:noProof/>
                <w:sz w:val="20"/>
                <w:szCs w:val="20"/>
              </w:rPr>
            </w:pPr>
          </w:p>
        </w:tc>
      </w:tr>
      <w:tr w:rsidR="002850C6" w:rsidRPr="002850C6" w14:paraId="1BC3884C" w14:textId="77777777" w:rsidTr="0043630B">
        <w:trPr>
          <w:trHeight w:val="585"/>
          <w:jc w:val="center"/>
        </w:trPr>
        <w:tc>
          <w:tcPr>
            <w:tcW w:w="3697" w:type="dxa"/>
            <w:tcBorders>
              <w:bottom w:val="single" w:sz="4" w:space="0" w:color="auto"/>
            </w:tcBorders>
            <w:vAlign w:val="center"/>
          </w:tcPr>
          <w:p w14:paraId="081FCE10" w14:textId="77777777" w:rsidR="002850C6" w:rsidRPr="002850C6" w:rsidRDefault="002850C6" w:rsidP="002850C6">
            <w:pPr>
              <w:spacing w:before="60" w:after="60"/>
              <w:jc w:val="left"/>
              <w:rPr>
                <w:i/>
                <w:iCs/>
                <w:noProof/>
                <w:sz w:val="20"/>
                <w:szCs w:val="20"/>
              </w:rPr>
            </w:pPr>
            <w:r w:rsidRPr="002850C6">
              <w:rPr>
                <w:i/>
                <w:noProof/>
                <w:sz w:val="20"/>
              </w:rPr>
              <w:t>Sous-total des agents contractuels et experts nationaux détachés</w:t>
            </w:r>
          </w:p>
        </w:tc>
        <w:tc>
          <w:tcPr>
            <w:tcW w:w="1450" w:type="dxa"/>
            <w:tcBorders>
              <w:bottom w:val="single" w:sz="4" w:space="0" w:color="auto"/>
            </w:tcBorders>
            <w:vAlign w:val="center"/>
          </w:tcPr>
          <w:p w14:paraId="4730EB77"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tcBorders>
              <w:bottom w:val="single" w:sz="4" w:space="0" w:color="auto"/>
            </w:tcBorders>
            <w:vAlign w:val="center"/>
          </w:tcPr>
          <w:p w14:paraId="3AC62227" w14:textId="77777777" w:rsidR="002850C6" w:rsidRPr="002850C6" w:rsidRDefault="002850C6" w:rsidP="002850C6">
            <w:pPr>
              <w:spacing w:before="60" w:after="60"/>
              <w:jc w:val="right"/>
              <w:rPr>
                <w:i/>
                <w:iCs/>
                <w:noProof/>
                <w:sz w:val="20"/>
                <w:szCs w:val="20"/>
              </w:rPr>
            </w:pPr>
            <w:r w:rsidRPr="002850C6">
              <w:rPr>
                <w:i/>
                <w:noProof/>
                <w:sz w:val="20"/>
              </w:rPr>
              <w:t>0</w:t>
            </w:r>
          </w:p>
        </w:tc>
        <w:tc>
          <w:tcPr>
            <w:tcW w:w="1450" w:type="dxa"/>
            <w:tcBorders>
              <w:bottom w:val="single" w:sz="4" w:space="0" w:color="auto"/>
            </w:tcBorders>
            <w:vAlign w:val="center"/>
          </w:tcPr>
          <w:p w14:paraId="5E18F78D" w14:textId="77777777" w:rsidR="002850C6" w:rsidRPr="002850C6" w:rsidRDefault="002850C6" w:rsidP="002850C6">
            <w:pPr>
              <w:spacing w:before="60" w:after="60"/>
              <w:jc w:val="right"/>
              <w:rPr>
                <w:i/>
                <w:iCs/>
                <w:noProof/>
                <w:sz w:val="20"/>
                <w:szCs w:val="20"/>
              </w:rPr>
            </w:pPr>
            <w:r w:rsidRPr="002850C6">
              <w:rPr>
                <w:i/>
                <w:noProof/>
                <w:sz w:val="20"/>
              </w:rPr>
              <w:t>0</w:t>
            </w:r>
          </w:p>
        </w:tc>
        <w:tc>
          <w:tcPr>
            <w:tcW w:w="1450" w:type="dxa"/>
            <w:tcBorders>
              <w:bottom w:val="single" w:sz="4" w:space="0" w:color="auto"/>
            </w:tcBorders>
            <w:vAlign w:val="center"/>
          </w:tcPr>
          <w:p w14:paraId="7EDDBDB3" w14:textId="77777777" w:rsidR="002850C6" w:rsidRPr="002850C6" w:rsidRDefault="002850C6" w:rsidP="002850C6">
            <w:pPr>
              <w:spacing w:before="60" w:after="60"/>
              <w:jc w:val="right"/>
              <w:rPr>
                <w:b/>
                <w:bCs/>
                <w:i/>
                <w:iCs/>
                <w:noProof/>
                <w:sz w:val="20"/>
                <w:szCs w:val="20"/>
              </w:rPr>
            </w:pPr>
            <w:r w:rsidRPr="002850C6">
              <w:rPr>
                <w:b/>
                <w:i/>
                <w:noProof/>
                <w:sz w:val="20"/>
              </w:rPr>
              <w:t>0</w:t>
            </w:r>
          </w:p>
        </w:tc>
      </w:tr>
      <w:tr w:rsidR="002850C6" w:rsidRPr="002850C6" w:rsidDel="00214D1B" w14:paraId="2D8DF2E0" w14:textId="77777777" w:rsidTr="004363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37508049" w14:textId="77777777" w:rsidR="002850C6" w:rsidRPr="002850C6" w:rsidRDefault="002850C6" w:rsidP="002850C6">
            <w:pPr>
              <w:spacing w:before="60" w:after="60"/>
              <w:jc w:val="left"/>
              <w:rPr>
                <w:noProof/>
                <w:sz w:val="20"/>
                <w:szCs w:val="20"/>
              </w:rPr>
            </w:pPr>
            <w:r w:rsidRPr="002850C6">
              <w:rPr>
                <w:b/>
                <w:noProof/>
                <w:sz w:val="20"/>
              </w:rPr>
              <w:t>TOTAL des effectifs</w:t>
            </w:r>
          </w:p>
        </w:tc>
        <w:tc>
          <w:tcPr>
            <w:tcW w:w="1450" w:type="dxa"/>
            <w:tcBorders>
              <w:top w:val="single" w:sz="4" w:space="0" w:color="auto"/>
              <w:left w:val="single" w:sz="4" w:space="0" w:color="auto"/>
              <w:bottom w:val="single" w:sz="4" w:space="0" w:color="auto"/>
              <w:right w:val="single" w:sz="4" w:space="0" w:color="auto"/>
            </w:tcBorders>
            <w:vAlign w:val="center"/>
          </w:tcPr>
          <w:p w14:paraId="26563E99" w14:textId="77777777" w:rsidR="002850C6" w:rsidRPr="002850C6" w:rsidRDefault="002850C6" w:rsidP="002850C6">
            <w:pPr>
              <w:spacing w:before="60" w:after="60"/>
              <w:jc w:val="right"/>
              <w:rPr>
                <w:b/>
                <w:noProof/>
                <w:sz w:val="20"/>
                <w:szCs w:val="20"/>
              </w:rPr>
            </w:pPr>
            <w:r w:rsidRPr="002850C6">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55AC3166" w14:textId="77777777" w:rsidR="002850C6" w:rsidRPr="002850C6" w:rsidRDefault="002850C6" w:rsidP="002850C6">
            <w:pPr>
              <w:spacing w:before="60" w:after="60"/>
              <w:jc w:val="right"/>
              <w:rPr>
                <w:b/>
                <w:noProof/>
                <w:sz w:val="20"/>
                <w:szCs w:val="20"/>
              </w:rPr>
            </w:pPr>
            <w:r w:rsidRPr="002850C6">
              <w:rPr>
                <w:b/>
                <w:noProof/>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14:paraId="49EFEA46" w14:textId="77777777" w:rsidR="002850C6" w:rsidRPr="002850C6" w:rsidRDefault="002850C6" w:rsidP="002850C6">
            <w:pPr>
              <w:spacing w:before="60" w:after="60"/>
              <w:jc w:val="right"/>
              <w:rPr>
                <w:b/>
                <w:noProof/>
                <w:sz w:val="20"/>
                <w:szCs w:val="20"/>
              </w:rPr>
            </w:pPr>
            <w:r w:rsidRPr="002850C6">
              <w:rPr>
                <w:b/>
                <w:noProof/>
                <w:sz w:val="20"/>
              </w:rPr>
              <w:t>2</w:t>
            </w:r>
          </w:p>
        </w:tc>
        <w:tc>
          <w:tcPr>
            <w:tcW w:w="1450" w:type="dxa"/>
            <w:tcBorders>
              <w:top w:val="single" w:sz="4" w:space="0" w:color="auto"/>
              <w:left w:val="single" w:sz="4" w:space="0" w:color="auto"/>
              <w:bottom w:val="single" w:sz="4" w:space="0" w:color="auto"/>
              <w:right w:val="single" w:sz="4" w:space="0" w:color="auto"/>
            </w:tcBorders>
            <w:vAlign w:val="center"/>
          </w:tcPr>
          <w:p w14:paraId="13FB5F91" w14:textId="77777777" w:rsidR="002850C6" w:rsidRPr="002850C6" w:rsidDel="00214D1B" w:rsidRDefault="002850C6" w:rsidP="002850C6">
            <w:pPr>
              <w:spacing w:before="60" w:after="60"/>
              <w:jc w:val="right"/>
              <w:rPr>
                <w:b/>
                <w:bCs/>
                <w:noProof/>
                <w:sz w:val="20"/>
                <w:szCs w:val="20"/>
              </w:rPr>
            </w:pPr>
            <w:r w:rsidRPr="002850C6">
              <w:rPr>
                <w:b/>
                <w:noProof/>
                <w:sz w:val="20"/>
              </w:rPr>
              <w:t>14 (2 ETP x 7 ans)</w:t>
            </w:r>
          </w:p>
        </w:tc>
      </w:tr>
    </w:tbl>
    <w:p w14:paraId="39AB53DE" w14:textId="77777777" w:rsidR="002850C6" w:rsidRPr="002850C6" w:rsidRDefault="002850C6" w:rsidP="002850C6">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2850C6" w:rsidRPr="002850C6" w14:paraId="79ECA440" w14:textId="77777777" w:rsidTr="0043630B">
        <w:trPr>
          <w:trHeight w:val="585"/>
          <w:jc w:val="center"/>
        </w:trPr>
        <w:tc>
          <w:tcPr>
            <w:tcW w:w="3697" w:type="dxa"/>
            <w:vAlign w:val="center"/>
          </w:tcPr>
          <w:p w14:paraId="7CBD32FA" w14:textId="77777777" w:rsidR="002850C6" w:rsidRPr="002850C6" w:rsidRDefault="002850C6" w:rsidP="002850C6">
            <w:pPr>
              <w:spacing w:before="60" w:after="60"/>
              <w:jc w:val="center"/>
              <w:rPr>
                <w:b/>
                <w:bCs/>
                <w:noProof/>
                <w:sz w:val="20"/>
                <w:szCs w:val="20"/>
              </w:rPr>
            </w:pPr>
            <w:r w:rsidRPr="002850C6">
              <w:rPr>
                <w:b/>
                <w:noProof/>
                <w:sz w:val="20"/>
                <w:shd w:val="clear" w:color="auto" w:fill="FFFFFF"/>
              </w:rPr>
              <w:t>DG MOVE</w:t>
            </w:r>
          </w:p>
        </w:tc>
        <w:tc>
          <w:tcPr>
            <w:tcW w:w="1450" w:type="dxa"/>
            <w:vAlign w:val="center"/>
          </w:tcPr>
          <w:p w14:paraId="01599E08"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2025</w:t>
            </w:r>
          </w:p>
        </w:tc>
        <w:tc>
          <w:tcPr>
            <w:tcW w:w="1449" w:type="dxa"/>
            <w:vAlign w:val="center"/>
          </w:tcPr>
          <w:p w14:paraId="66103A19"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2026</w:t>
            </w:r>
          </w:p>
        </w:tc>
        <w:tc>
          <w:tcPr>
            <w:tcW w:w="1450" w:type="dxa"/>
            <w:vAlign w:val="center"/>
          </w:tcPr>
          <w:p w14:paraId="1791BCD5"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2027</w:t>
            </w:r>
          </w:p>
        </w:tc>
        <w:tc>
          <w:tcPr>
            <w:tcW w:w="1450" w:type="dxa"/>
          </w:tcPr>
          <w:p w14:paraId="4D05FDF6" w14:textId="77777777" w:rsidR="002850C6" w:rsidRPr="002850C6" w:rsidRDefault="002850C6" w:rsidP="002850C6">
            <w:pPr>
              <w:spacing w:before="60" w:after="60"/>
              <w:jc w:val="center"/>
              <w:rPr>
                <w:b/>
                <w:bCs/>
                <w:noProof/>
                <w:sz w:val="20"/>
                <w:szCs w:val="20"/>
              </w:rPr>
            </w:pPr>
            <w:r w:rsidRPr="002850C6">
              <w:rPr>
                <w:b/>
                <w:noProof/>
                <w:sz w:val="20"/>
              </w:rPr>
              <w:t>TOTAL CFP 2028-2034</w:t>
            </w:r>
          </w:p>
        </w:tc>
      </w:tr>
      <w:tr w:rsidR="002850C6" w:rsidRPr="002850C6" w14:paraId="440345C3" w14:textId="77777777" w:rsidTr="0043630B">
        <w:trPr>
          <w:trHeight w:val="585"/>
          <w:jc w:val="center"/>
        </w:trPr>
        <w:tc>
          <w:tcPr>
            <w:tcW w:w="3697" w:type="dxa"/>
            <w:vAlign w:val="center"/>
          </w:tcPr>
          <w:p w14:paraId="06661BF2" w14:textId="77777777" w:rsidR="002850C6" w:rsidRPr="002850C6" w:rsidRDefault="002850C6" w:rsidP="002850C6">
            <w:pPr>
              <w:spacing w:before="60" w:after="60"/>
              <w:jc w:val="left"/>
              <w:rPr>
                <w:noProof/>
                <w:sz w:val="20"/>
                <w:szCs w:val="20"/>
              </w:rPr>
            </w:pPr>
            <w:r w:rsidRPr="002850C6">
              <w:rPr>
                <w:noProof/>
                <w:sz w:val="20"/>
              </w:rPr>
              <w:t>Agents temporaires (grades AD)</w:t>
            </w:r>
          </w:p>
        </w:tc>
        <w:tc>
          <w:tcPr>
            <w:tcW w:w="1450" w:type="dxa"/>
            <w:vAlign w:val="center"/>
          </w:tcPr>
          <w:p w14:paraId="164ACD96" w14:textId="77777777" w:rsidR="002850C6" w:rsidRPr="002850C6" w:rsidRDefault="002850C6" w:rsidP="002850C6">
            <w:pPr>
              <w:spacing w:before="60" w:after="60"/>
              <w:jc w:val="right"/>
              <w:rPr>
                <w:noProof/>
                <w:sz w:val="20"/>
                <w:szCs w:val="20"/>
              </w:rPr>
            </w:pPr>
          </w:p>
        </w:tc>
        <w:tc>
          <w:tcPr>
            <w:tcW w:w="1449" w:type="dxa"/>
            <w:vAlign w:val="center"/>
          </w:tcPr>
          <w:p w14:paraId="4EBDAF96" w14:textId="77777777" w:rsidR="002850C6" w:rsidRPr="002850C6" w:rsidRDefault="002850C6" w:rsidP="002850C6">
            <w:pPr>
              <w:spacing w:before="60" w:after="60"/>
              <w:jc w:val="right"/>
              <w:rPr>
                <w:noProof/>
                <w:sz w:val="20"/>
                <w:szCs w:val="20"/>
              </w:rPr>
            </w:pPr>
          </w:p>
        </w:tc>
        <w:tc>
          <w:tcPr>
            <w:tcW w:w="1450" w:type="dxa"/>
            <w:vAlign w:val="center"/>
          </w:tcPr>
          <w:p w14:paraId="5E05DAE4" w14:textId="77777777" w:rsidR="002850C6" w:rsidRPr="002850C6" w:rsidRDefault="002850C6" w:rsidP="002850C6">
            <w:pPr>
              <w:spacing w:before="60" w:after="60"/>
              <w:jc w:val="right"/>
              <w:rPr>
                <w:noProof/>
                <w:sz w:val="20"/>
                <w:szCs w:val="20"/>
              </w:rPr>
            </w:pPr>
            <w:r w:rsidRPr="002850C6">
              <w:rPr>
                <w:noProof/>
                <w:sz w:val="20"/>
              </w:rPr>
              <w:t>5</w:t>
            </w:r>
          </w:p>
        </w:tc>
        <w:tc>
          <w:tcPr>
            <w:tcW w:w="1450" w:type="dxa"/>
            <w:vAlign w:val="center"/>
          </w:tcPr>
          <w:p w14:paraId="21AB4F05" w14:textId="77777777" w:rsidR="002850C6" w:rsidRPr="002850C6" w:rsidRDefault="002850C6" w:rsidP="002850C6">
            <w:pPr>
              <w:spacing w:before="60" w:after="60"/>
              <w:jc w:val="right"/>
              <w:rPr>
                <w:noProof/>
                <w:sz w:val="20"/>
                <w:szCs w:val="20"/>
              </w:rPr>
            </w:pPr>
            <w:r w:rsidRPr="002850C6">
              <w:rPr>
                <w:noProof/>
                <w:sz w:val="20"/>
              </w:rPr>
              <w:t>5 (par an)</w:t>
            </w:r>
          </w:p>
        </w:tc>
      </w:tr>
      <w:tr w:rsidR="002850C6" w:rsidRPr="002850C6" w14:paraId="7640F670" w14:textId="77777777" w:rsidTr="0043630B">
        <w:trPr>
          <w:trHeight w:val="585"/>
          <w:jc w:val="center"/>
        </w:trPr>
        <w:tc>
          <w:tcPr>
            <w:tcW w:w="3697" w:type="dxa"/>
            <w:vAlign w:val="center"/>
          </w:tcPr>
          <w:p w14:paraId="4C98269A" w14:textId="77777777" w:rsidR="002850C6" w:rsidRPr="002850C6" w:rsidRDefault="002850C6" w:rsidP="002850C6">
            <w:pPr>
              <w:spacing w:before="60" w:after="60"/>
              <w:jc w:val="left"/>
              <w:rPr>
                <w:noProof/>
                <w:sz w:val="20"/>
                <w:szCs w:val="20"/>
              </w:rPr>
            </w:pPr>
            <w:r w:rsidRPr="002850C6">
              <w:rPr>
                <w:noProof/>
                <w:sz w:val="20"/>
              </w:rPr>
              <w:t>Agents temporaires (grades AST)</w:t>
            </w:r>
          </w:p>
        </w:tc>
        <w:tc>
          <w:tcPr>
            <w:tcW w:w="1450" w:type="dxa"/>
            <w:vAlign w:val="center"/>
          </w:tcPr>
          <w:p w14:paraId="040DB6D8" w14:textId="77777777" w:rsidR="002850C6" w:rsidRPr="002850C6" w:rsidRDefault="002850C6" w:rsidP="002850C6">
            <w:pPr>
              <w:spacing w:before="60" w:after="60"/>
              <w:jc w:val="right"/>
              <w:rPr>
                <w:noProof/>
                <w:sz w:val="20"/>
                <w:szCs w:val="20"/>
              </w:rPr>
            </w:pPr>
          </w:p>
        </w:tc>
        <w:tc>
          <w:tcPr>
            <w:tcW w:w="1449" w:type="dxa"/>
            <w:vAlign w:val="center"/>
          </w:tcPr>
          <w:p w14:paraId="1D2C283B" w14:textId="77777777" w:rsidR="002850C6" w:rsidRPr="002850C6" w:rsidRDefault="002850C6" w:rsidP="002850C6">
            <w:pPr>
              <w:spacing w:before="60" w:after="60"/>
              <w:jc w:val="right"/>
              <w:rPr>
                <w:b/>
                <w:bCs/>
                <w:noProof/>
                <w:sz w:val="20"/>
                <w:szCs w:val="20"/>
              </w:rPr>
            </w:pPr>
          </w:p>
        </w:tc>
        <w:tc>
          <w:tcPr>
            <w:tcW w:w="1450" w:type="dxa"/>
            <w:vAlign w:val="center"/>
          </w:tcPr>
          <w:p w14:paraId="421015E8" w14:textId="77777777" w:rsidR="002850C6" w:rsidRPr="002850C6" w:rsidRDefault="002850C6" w:rsidP="002850C6">
            <w:pPr>
              <w:spacing w:before="60" w:after="60"/>
              <w:jc w:val="right"/>
              <w:rPr>
                <w:noProof/>
                <w:sz w:val="20"/>
                <w:szCs w:val="20"/>
              </w:rPr>
            </w:pPr>
          </w:p>
        </w:tc>
        <w:tc>
          <w:tcPr>
            <w:tcW w:w="1450" w:type="dxa"/>
            <w:vAlign w:val="center"/>
          </w:tcPr>
          <w:p w14:paraId="7E254124" w14:textId="77777777" w:rsidR="002850C6" w:rsidRPr="002850C6" w:rsidRDefault="002850C6" w:rsidP="002850C6">
            <w:pPr>
              <w:spacing w:before="60" w:after="60"/>
              <w:jc w:val="right"/>
              <w:rPr>
                <w:noProof/>
                <w:sz w:val="20"/>
                <w:szCs w:val="20"/>
              </w:rPr>
            </w:pPr>
          </w:p>
        </w:tc>
      </w:tr>
      <w:tr w:rsidR="002850C6" w:rsidRPr="002850C6" w14:paraId="71A74325" w14:textId="77777777" w:rsidTr="0043630B">
        <w:trPr>
          <w:trHeight w:val="585"/>
          <w:jc w:val="center"/>
        </w:trPr>
        <w:tc>
          <w:tcPr>
            <w:tcW w:w="3697" w:type="dxa"/>
            <w:vAlign w:val="center"/>
          </w:tcPr>
          <w:p w14:paraId="353B2A56" w14:textId="77777777" w:rsidR="002850C6" w:rsidRPr="002850C6" w:rsidRDefault="002850C6" w:rsidP="002850C6">
            <w:pPr>
              <w:spacing w:before="60" w:after="60"/>
              <w:jc w:val="left"/>
              <w:rPr>
                <w:i/>
                <w:iCs/>
                <w:noProof/>
                <w:sz w:val="20"/>
                <w:szCs w:val="20"/>
              </w:rPr>
            </w:pPr>
            <w:r w:rsidRPr="002850C6">
              <w:rPr>
                <w:i/>
                <w:noProof/>
                <w:sz w:val="20"/>
              </w:rPr>
              <w:t>Sous-total des agents temporaires (AD+AST)</w:t>
            </w:r>
          </w:p>
        </w:tc>
        <w:tc>
          <w:tcPr>
            <w:tcW w:w="1450" w:type="dxa"/>
            <w:vAlign w:val="center"/>
          </w:tcPr>
          <w:p w14:paraId="39D404A0"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vAlign w:val="center"/>
          </w:tcPr>
          <w:p w14:paraId="15C250BC" w14:textId="77777777" w:rsidR="002850C6" w:rsidRPr="002850C6" w:rsidRDefault="002850C6" w:rsidP="002850C6">
            <w:pPr>
              <w:spacing w:before="60" w:after="60"/>
              <w:jc w:val="right"/>
              <w:rPr>
                <w:b/>
                <w:bCs/>
                <w:i/>
                <w:iCs/>
                <w:noProof/>
                <w:sz w:val="20"/>
                <w:szCs w:val="20"/>
              </w:rPr>
            </w:pPr>
            <w:r w:rsidRPr="002850C6">
              <w:rPr>
                <w:b/>
                <w:i/>
                <w:noProof/>
                <w:sz w:val="20"/>
              </w:rPr>
              <w:t>0</w:t>
            </w:r>
          </w:p>
        </w:tc>
        <w:tc>
          <w:tcPr>
            <w:tcW w:w="1450" w:type="dxa"/>
            <w:vAlign w:val="center"/>
          </w:tcPr>
          <w:p w14:paraId="5A9FF145" w14:textId="77777777" w:rsidR="002850C6" w:rsidRPr="002850C6" w:rsidRDefault="002850C6" w:rsidP="002850C6">
            <w:pPr>
              <w:spacing w:before="60" w:after="60"/>
              <w:jc w:val="right"/>
              <w:rPr>
                <w:i/>
                <w:iCs/>
                <w:noProof/>
                <w:sz w:val="20"/>
                <w:szCs w:val="20"/>
              </w:rPr>
            </w:pPr>
            <w:r w:rsidRPr="002850C6">
              <w:rPr>
                <w:i/>
                <w:noProof/>
                <w:sz w:val="20"/>
              </w:rPr>
              <w:t>5</w:t>
            </w:r>
          </w:p>
        </w:tc>
        <w:tc>
          <w:tcPr>
            <w:tcW w:w="1450" w:type="dxa"/>
            <w:vAlign w:val="center"/>
          </w:tcPr>
          <w:p w14:paraId="44F7CE04" w14:textId="77777777" w:rsidR="002850C6" w:rsidRPr="002850C6" w:rsidRDefault="002850C6" w:rsidP="002850C6">
            <w:pPr>
              <w:spacing w:before="60" w:after="60"/>
              <w:jc w:val="right"/>
              <w:rPr>
                <w:b/>
                <w:bCs/>
                <w:i/>
                <w:iCs/>
                <w:noProof/>
                <w:sz w:val="20"/>
                <w:szCs w:val="20"/>
              </w:rPr>
            </w:pPr>
            <w:r w:rsidRPr="002850C6">
              <w:rPr>
                <w:b/>
                <w:i/>
                <w:noProof/>
                <w:sz w:val="20"/>
              </w:rPr>
              <w:t>5 (par an)</w:t>
            </w:r>
          </w:p>
        </w:tc>
      </w:tr>
      <w:tr w:rsidR="002850C6" w:rsidRPr="002850C6" w14:paraId="1C0793E8" w14:textId="77777777" w:rsidTr="0043630B">
        <w:trPr>
          <w:trHeight w:val="585"/>
          <w:jc w:val="center"/>
        </w:trPr>
        <w:tc>
          <w:tcPr>
            <w:tcW w:w="3697" w:type="dxa"/>
            <w:vAlign w:val="center"/>
          </w:tcPr>
          <w:p w14:paraId="38C7DE86" w14:textId="77777777" w:rsidR="002850C6" w:rsidRPr="002850C6" w:rsidRDefault="002850C6" w:rsidP="002850C6">
            <w:pPr>
              <w:spacing w:before="60" w:after="60"/>
              <w:jc w:val="left"/>
              <w:rPr>
                <w:noProof/>
                <w:sz w:val="20"/>
                <w:szCs w:val="20"/>
              </w:rPr>
            </w:pPr>
            <w:r w:rsidRPr="002850C6">
              <w:rPr>
                <w:noProof/>
                <w:sz w:val="20"/>
              </w:rPr>
              <w:t>Agents contractuels</w:t>
            </w:r>
          </w:p>
        </w:tc>
        <w:tc>
          <w:tcPr>
            <w:tcW w:w="1450" w:type="dxa"/>
            <w:vAlign w:val="center"/>
          </w:tcPr>
          <w:p w14:paraId="66B08CB9" w14:textId="77777777" w:rsidR="002850C6" w:rsidRPr="002850C6" w:rsidRDefault="002850C6" w:rsidP="002850C6">
            <w:pPr>
              <w:spacing w:before="60" w:after="60"/>
              <w:jc w:val="right"/>
              <w:rPr>
                <w:noProof/>
                <w:sz w:val="20"/>
                <w:szCs w:val="20"/>
              </w:rPr>
            </w:pPr>
          </w:p>
        </w:tc>
        <w:tc>
          <w:tcPr>
            <w:tcW w:w="1449" w:type="dxa"/>
            <w:vAlign w:val="center"/>
          </w:tcPr>
          <w:p w14:paraId="1E139171" w14:textId="77777777" w:rsidR="002850C6" w:rsidRPr="002850C6" w:rsidRDefault="002850C6" w:rsidP="002850C6">
            <w:pPr>
              <w:spacing w:before="60" w:after="60"/>
              <w:jc w:val="right"/>
              <w:rPr>
                <w:noProof/>
                <w:sz w:val="20"/>
                <w:szCs w:val="20"/>
              </w:rPr>
            </w:pPr>
          </w:p>
        </w:tc>
        <w:tc>
          <w:tcPr>
            <w:tcW w:w="1450" w:type="dxa"/>
            <w:vAlign w:val="center"/>
          </w:tcPr>
          <w:p w14:paraId="6FBF55AB" w14:textId="77777777" w:rsidR="002850C6" w:rsidRPr="002850C6" w:rsidRDefault="002850C6" w:rsidP="002850C6">
            <w:pPr>
              <w:spacing w:before="60" w:after="60"/>
              <w:jc w:val="right"/>
              <w:rPr>
                <w:noProof/>
                <w:sz w:val="20"/>
                <w:szCs w:val="20"/>
              </w:rPr>
            </w:pPr>
          </w:p>
        </w:tc>
        <w:tc>
          <w:tcPr>
            <w:tcW w:w="1450" w:type="dxa"/>
            <w:vAlign w:val="center"/>
          </w:tcPr>
          <w:p w14:paraId="1A46751D" w14:textId="77777777" w:rsidR="002850C6" w:rsidRPr="002850C6" w:rsidRDefault="002850C6" w:rsidP="002850C6">
            <w:pPr>
              <w:spacing w:before="60" w:after="60"/>
              <w:jc w:val="right"/>
              <w:rPr>
                <w:noProof/>
                <w:sz w:val="20"/>
                <w:szCs w:val="20"/>
              </w:rPr>
            </w:pPr>
          </w:p>
        </w:tc>
      </w:tr>
      <w:tr w:rsidR="002850C6" w:rsidRPr="002850C6" w14:paraId="6D264BBF" w14:textId="77777777" w:rsidTr="0043630B">
        <w:trPr>
          <w:trHeight w:val="585"/>
          <w:jc w:val="center"/>
        </w:trPr>
        <w:tc>
          <w:tcPr>
            <w:tcW w:w="3697" w:type="dxa"/>
            <w:vAlign w:val="center"/>
          </w:tcPr>
          <w:p w14:paraId="69C1F1DD" w14:textId="77777777" w:rsidR="002850C6" w:rsidRPr="002850C6" w:rsidRDefault="002850C6" w:rsidP="002850C6">
            <w:pPr>
              <w:spacing w:before="60" w:after="60"/>
              <w:jc w:val="left"/>
              <w:rPr>
                <w:noProof/>
                <w:sz w:val="20"/>
                <w:szCs w:val="20"/>
              </w:rPr>
            </w:pPr>
            <w:r w:rsidRPr="002850C6">
              <w:rPr>
                <w:noProof/>
                <w:sz w:val="20"/>
              </w:rPr>
              <w:t>Experts nationaux détachés</w:t>
            </w:r>
          </w:p>
        </w:tc>
        <w:tc>
          <w:tcPr>
            <w:tcW w:w="1450" w:type="dxa"/>
            <w:vAlign w:val="center"/>
          </w:tcPr>
          <w:p w14:paraId="5068892B" w14:textId="77777777" w:rsidR="002850C6" w:rsidRPr="002850C6" w:rsidRDefault="002850C6" w:rsidP="002850C6">
            <w:pPr>
              <w:spacing w:before="60" w:after="60"/>
              <w:jc w:val="right"/>
              <w:rPr>
                <w:noProof/>
                <w:sz w:val="20"/>
                <w:szCs w:val="20"/>
              </w:rPr>
            </w:pPr>
          </w:p>
        </w:tc>
        <w:tc>
          <w:tcPr>
            <w:tcW w:w="1449" w:type="dxa"/>
            <w:vAlign w:val="center"/>
          </w:tcPr>
          <w:p w14:paraId="55632750" w14:textId="77777777" w:rsidR="002850C6" w:rsidRPr="002850C6" w:rsidRDefault="002850C6" w:rsidP="002850C6">
            <w:pPr>
              <w:spacing w:before="60" w:after="60"/>
              <w:jc w:val="right"/>
              <w:rPr>
                <w:noProof/>
                <w:sz w:val="20"/>
                <w:szCs w:val="20"/>
              </w:rPr>
            </w:pPr>
          </w:p>
        </w:tc>
        <w:tc>
          <w:tcPr>
            <w:tcW w:w="1450" w:type="dxa"/>
            <w:vAlign w:val="center"/>
          </w:tcPr>
          <w:p w14:paraId="57E80918" w14:textId="77777777" w:rsidR="002850C6" w:rsidRPr="002850C6" w:rsidRDefault="002850C6" w:rsidP="002850C6">
            <w:pPr>
              <w:spacing w:before="60" w:after="60"/>
              <w:jc w:val="right"/>
              <w:rPr>
                <w:noProof/>
                <w:sz w:val="20"/>
                <w:szCs w:val="20"/>
              </w:rPr>
            </w:pPr>
          </w:p>
        </w:tc>
        <w:tc>
          <w:tcPr>
            <w:tcW w:w="1450" w:type="dxa"/>
            <w:vAlign w:val="center"/>
          </w:tcPr>
          <w:p w14:paraId="7BB1C02C" w14:textId="77777777" w:rsidR="002850C6" w:rsidRPr="002850C6" w:rsidRDefault="002850C6" w:rsidP="002850C6">
            <w:pPr>
              <w:spacing w:before="60" w:after="60"/>
              <w:jc w:val="right"/>
              <w:rPr>
                <w:noProof/>
                <w:sz w:val="20"/>
                <w:szCs w:val="20"/>
              </w:rPr>
            </w:pPr>
          </w:p>
        </w:tc>
      </w:tr>
      <w:tr w:rsidR="002850C6" w:rsidRPr="002850C6" w14:paraId="100775D9" w14:textId="77777777" w:rsidTr="0043630B">
        <w:trPr>
          <w:trHeight w:val="585"/>
          <w:jc w:val="center"/>
        </w:trPr>
        <w:tc>
          <w:tcPr>
            <w:tcW w:w="3697" w:type="dxa"/>
            <w:tcBorders>
              <w:bottom w:val="single" w:sz="4" w:space="0" w:color="auto"/>
            </w:tcBorders>
            <w:vAlign w:val="center"/>
          </w:tcPr>
          <w:p w14:paraId="7134D0A6" w14:textId="77777777" w:rsidR="002850C6" w:rsidRPr="002850C6" w:rsidRDefault="002850C6" w:rsidP="002850C6">
            <w:pPr>
              <w:spacing w:before="60" w:after="60"/>
              <w:jc w:val="left"/>
              <w:rPr>
                <w:i/>
                <w:iCs/>
                <w:noProof/>
                <w:sz w:val="20"/>
                <w:szCs w:val="20"/>
              </w:rPr>
            </w:pPr>
            <w:r w:rsidRPr="002850C6">
              <w:rPr>
                <w:i/>
                <w:noProof/>
                <w:sz w:val="20"/>
              </w:rPr>
              <w:t>Sous-total des agents contractuels et experts nationaux détachés</w:t>
            </w:r>
          </w:p>
        </w:tc>
        <w:tc>
          <w:tcPr>
            <w:tcW w:w="1450" w:type="dxa"/>
            <w:tcBorders>
              <w:bottom w:val="single" w:sz="4" w:space="0" w:color="auto"/>
            </w:tcBorders>
            <w:vAlign w:val="center"/>
          </w:tcPr>
          <w:p w14:paraId="123570A9"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tcBorders>
              <w:bottom w:val="single" w:sz="4" w:space="0" w:color="auto"/>
            </w:tcBorders>
            <w:vAlign w:val="center"/>
          </w:tcPr>
          <w:p w14:paraId="272FBCB7" w14:textId="77777777" w:rsidR="002850C6" w:rsidRPr="002850C6" w:rsidRDefault="002850C6" w:rsidP="002850C6">
            <w:pPr>
              <w:spacing w:before="60" w:after="60"/>
              <w:jc w:val="right"/>
              <w:rPr>
                <w:i/>
                <w:iCs/>
                <w:noProof/>
                <w:sz w:val="20"/>
                <w:szCs w:val="20"/>
              </w:rPr>
            </w:pPr>
            <w:r w:rsidRPr="002850C6">
              <w:rPr>
                <w:i/>
                <w:noProof/>
                <w:sz w:val="20"/>
              </w:rPr>
              <w:t>0</w:t>
            </w:r>
          </w:p>
        </w:tc>
        <w:tc>
          <w:tcPr>
            <w:tcW w:w="1450" w:type="dxa"/>
            <w:tcBorders>
              <w:bottom w:val="single" w:sz="4" w:space="0" w:color="auto"/>
            </w:tcBorders>
            <w:vAlign w:val="center"/>
          </w:tcPr>
          <w:p w14:paraId="6D679098" w14:textId="77777777" w:rsidR="002850C6" w:rsidRPr="002850C6" w:rsidRDefault="002850C6" w:rsidP="002850C6">
            <w:pPr>
              <w:spacing w:before="60" w:after="60"/>
              <w:jc w:val="right"/>
              <w:rPr>
                <w:i/>
                <w:iCs/>
                <w:noProof/>
                <w:sz w:val="20"/>
                <w:szCs w:val="20"/>
              </w:rPr>
            </w:pPr>
            <w:r w:rsidRPr="002850C6">
              <w:rPr>
                <w:i/>
                <w:noProof/>
                <w:sz w:val="20"/>
              </w:rPr>
              <w:t>0</w:t>
            </w:r>
          </w:p>
        </w:tc>
        <w:tc>
          <w:tcPr>
            <w:tcW w:w="1450" w:type="dxa"/>
            <w:tcBorders>
              <w:bottom w:val="single" w:sz="4" w:space="0" w:color="auto"/>
            </w:tcBorders>
            <w:vAlign w:val="center"/>
          </w:tcPr>
          <w:p w14:paraId="39230870" w14:textId="77777777" w:rsidR="002850C6" w:rsidRPr="002850C6" w:rsidRDefault="002850C6" w:rsidP="002850C6">
            <w:pPr>
              <w:spacing w:before="60" w:after="60"/>
              <w:jc w:val="right"/>
              <w:rPr>
                <w:b/>
                <w:bCs/>
                <w:i/>
                <w:iCs/>
                <w:noProof/>
                <w:sz w:val="20"/>
                <w:szCs w:val="20"/>
              </w:rPr>
            </w:pPr>
            <w:r w:rsidRPr="002850C6">
              <w:rPr>
                <w:b/>
                <w:i/>
                <w:noProof/>
                <w:sz w:val="20"/>
              </w:rPr>
              <w:t>0</w:t>
            </w:r>
          </w:p>
        </w:tc>
      </w:tr>
      <w:tr w:rsidR="002850C6" w:rsidRPr="002850C6" w:rsidDel="00214D1B" w14:paraId="36E3F4AC" w14:textId="77777777" w:rsidTr="004363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0940D26A" w14:textId="77777777" w:rsidR="002850C6" w:rsidRPr="002850C6" w:rsidRDefault="002850C6" w:rsidP="002850C6">
            <w:pPr>
              <w:spacing w:before="60" w:after="60"/>
              <w:jc w:val="left"/>
              <w:rPr>
                <w:noProof/>
                <w:sz w:val="20"/>
                <w:szCs w:val="20"/>
              </w:rPr>
            </w:pPr>
            <w:r w:rsidRPr="002850C6">
              <w:rPr>
                <w:b/>
                <w:noProof/>
                <w:sz w:val="20"/>
              </w:rPr>
              <w:t>TOTAL des effectifs</w:t>
            </w:r>
          </w:p>
        </w:tc>
        <w:tc>
          <w:tcPr>
            <w:tcW w:w="1450" w:type="dxa"/>
            <w:tcBorders>
              <w:top w:val="single" w:sz="4" w:space="0" w:color="auto"/>
              <w:left w:val="single" w:sz="4" w:space="0" w:color="auto"/>
              <w:bottom w:val="single" w:sz="4" w:space="0" w:color="auto"/>
              <w:right w:val="single" w:sz="4" w:space="0" w:color="auto"/>
            </w:tcBorders>
            <w:vAlign w:val="center"/>
          </w:tcPr>
          <w:p w14:paraId="16D4D20D" w14:textId="77777777" w:rsidR="002850C6" w:rsidRPr="002850C6" w:rsidRDefault="002850C6" w:rsidP="002850C6">
            <w:pPr>
              <w:spacing w:before="60" w:after="60"/>
              <w:jc w:val="right"/>
              <w:rPr>
                <w:b/>
                <w:noProof/>
                <w:sz w:val="20"/>
                <w:szCs w:val="20"/>
              </w:rPr>
            </w:pPr>
            <w:r w:rsidRPr="002850C6">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7D8AF045" w14:textId="77777777" w:rsidR="002850C6" w:rsidRPr="002850C6" w:rsidRDefault="002850C6" w:rsidP="002850C6">
            <w:pPr>
              <w:spacing w:before="60" w:after="60"/>
              <w:jc w:val="right"/>
              <w:rPr>
                <w:b/>
                <w:noProof/>
                <w:sz w:val="20"/>
                <w:szCs w:val="20"/>
              </w:rPr>
            </w:pPr>
            <w:r w:rsidRPr="002850C6">
              <w:rPr>
                <w:b/>
                <w:noProof/>
                <w:sz w:val="20"/>
              </w:rPr>
              <w:t>0</w:t>
            </w:r>
          </w:p>
        </w:tc>
        <w:tc>
          <w:tcPr>
            <w:tcW w:w="1450" w:type="dxa"/>
            <w:tcBorders>
              <w:top w:val="single" w:sz="4" w:space="0" w:color="auto"/>
              <w:left w:val="single" w:sz="4" w:space="0" w:color="auto"/>
              <w:bottom w:val="single" w:sz="4" w:space="0" w:color="auto"/>
              <w:right w:val="single" w:sz="4" w:space="0" w:color="auto"/>
            </w:tcBorders>
            <w:vAlign w:val="center"/>
          </w:tcPr>
          <w:p w14:paraId="56308612" w14:textId="77777777" w:rsidR="002850C6" w:rsidRPr="002850C6" w:rsidRDefault="002850C6" w:rsidP="002850C6">
            <w:pPr>
              <w:spacing w:before="60" w:after="60"/>
              <w:jc w:val="right"/>
              <w:rPr>
                <w:b/>
                <w:noProof/>
                <w:sz w:val="20"/>
                <w:szCs w:val="20"/>
              </w:rPr>
            </w:pPr>
            <w:r w:rsidRPr="002850C6">
              <w:rPr>
                <w:b/>
                <w:noProof/>
                <w:sz w:val="20"/>
              </w:rPr>
              <w:t>5</w:t>
            </w:r>
          </w:p>
        </w:tc>
        <w:tc>
          <w:tcPr>
            <w:tcW w:w="1450" w:type="dxa"/>
            <w:tcBorders>
              <w:top w:val="single" w:sz="4" w:space="0" w:color="auto"/>
              <w:left w:val="single" w:sz="4" w:space="0" w:color="auto"/>
              <w:bottom w:val="single" w:sz="4" w:space="0" w:color="auto"/>
              <w:right w:val="single" w:sz="4" w:space="0" w:color="auto"/>
            </w:tcBorders>
            <w:vAlign w:val="center"/>
          </w:tcPr>
          <w:p w14:paraId="1E9435E2" w14:textId="77777777" w:rsidR="002850C6" w:rsidRPr="002850C6" w:rsidDel="00214D1B" w:rsidRDefault="002850C6" w:rsidP="002850C6">
            <w:pPr>
              <w:spacing w:before="60" w:after="60"/>
              <w:jc w:val="right"/>
              <w:rPr>
                <w:b/>
                <w:bCs/>
                <w:noProof/>
                <w:sz w:val="20"/>
                <w:szCs w:val="20"/>
              </w:rPr>
            </w:pPr>
            <w:r w:rsidRPr="002850C6">
              <w:rPr>
                <w:b/>
                <w:noProof/>
                <w:sz w:val="20"/>
              </w:rPr>
              <w:t>5 (par an)</w:t>
            </w:r>
          </w:p>
        </w:tc>
      </w:tr>
    </w:tbl>
    <w:p w14:paraId="622E2E98" w14:textId="77777777" w:rsidR="002850C6" w:rsidRPr="002850C6" w:rsidRDefault="002850C6" w:rsidP="002850C6">
      <w:pPr>
        <w:spacing w:before="240"/>
        <w:rPr>
          <w:noProof/>
          <w:sz w:val="22"/>
          <w:u w:val="single"/>
        </w:rPr>
      </w:pPr>
    </w:p>
    <w:tbl>
      <w:tblPr>
        <w:tblW w:w="949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97"/>
        <w:gridCol w:w="1450"/>
        <w:gridCol w:w="1449"/>
        <w:gridCol w:w="1450"/>
        <w:gridCol w:w="1450"/>
      </w:tblGrid>
      <w:tr w:rsidR="002850C6" w:rsidRPr="002850C6" w14:paraId="0F787790" w14:textId="77777777" w:rsidTr="0043630B">
        <w:trPr>
          <w:trHeight w:val="585"/>
          <w:jc w:val="center"/>
        </w:trPr>
        <w:tc>
          <w:tcPr>
            <w:tcW w:w="3697" w:type="dxa"/>
            <w:vAlign w:val="center"/>
          </w:tcPr>
          <w:p w14:paraId="20BE5B55" w14:textId="77777777" w:rsidR="002850C6" w:rsidRPr="002850C6" w:rsidRDefault="002850C6" w:rsidP="002850C6">
            <w:pPr>
              <w:spacing w:before="60" w:after="60"/>
              <w:jc w:val="center"/>
              <w:rPr>
                <w:b/>
                <w:bCs/>
                <w:noProof/>
                <w:sz w:val="20"/>
                <w:szCs w:val="20"/>
              </w:rPr>
            </w:pPr>
            <w:r w:rsidRPr="002850C6">
              <w:rPr>
                <w:b/>
                <w:noProof/>
                <w:sz w:val="20"/>
                <w:shd w:val="clear" w:color="auto" w:fill="FFFFFF"/>
              </w:rPr>
              <w:t>DG ECHO</w:t>
            </w:r>
          </w:p>
        </w:tc>
        <w:tc>
          <w:tcPr>
            <w:tcW w:w="1450" w:type="dxa"/>
            <w:vAlign w:val="center"/>
          </w:tcPr>
          <w:p w14:paraId="41C284C0"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2025</w:t>
            </w:r>
          </w:p>
        </w:tc>
        <w:tc>
          <w:tcPr>
            <w:tcW w:w="1449" w:type="dxa"/>
            <w:vAlign w:val="center"/>
          </w:tcPr>
          <w:p w14:paraId="5E6B8E6B"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2026</w:t>
            </w:r>
          </w:p>
        </w:tc>
        <w:tc>
          <w:tcPr>
            <w:tcW w:w="1450" w:type="dxa"/>
            <w:vAlign w:val="center"/>
          </w:tcPr>
          <w:p w14:paraId="5F438273" w14:textId="77777777" w:rsidR="002850C6" w:rsidRPr="002850C6" w:rsidRDefault="002850C6" w:rsidP="002850C6">
            <w:pPr>
              <w:spacing w:before="60" w:after="60"/>
              <w:jc w:val="center"/>
              <w:rPr>
                <w:noProof/>
                <w:sz w:val="20"/>
                <w:szCs w:val="20"/>
              </w:rPr>
            </w:pPr>
            <w:r w:rsidRPr="002850C6">
              <w:rPr>
                <w:noProof/>
                <w:sz w:val="20"/>
              </w:rPr>
              <w:t xml:space="preserve">Année </w:t>
            </w:r>
            <w:r w:rsidRPr="002850C6">
              <w:rPr>
                <w:b/>
                <w:noProof/>
                <w:sz w:val="20"/>
              </w:rPr>
              <w:t>2027</w:t>
            </w:r>
          </w:p>
        </w:tc>
        <w:tc>
          <w:tcPr>
            <w:tcW w:w="1450" w:type="dxa"/>
          </w:tcPr>
          <w:p w14:paraId="3BF05EFA" w14:textId="77777777" w:rsidR="002850C6" w:rsidRPr="002850C6" w:rsidRDefault="002850C6" w:rsidP="002850C6">
            <w:pPr>
              <w:spacing w:before="60" w:after="60"/>
              <w:jc w:val="center"/>
              <w:rPr>
                <w:b/>
                <w:bCs/>
                <w:noProof/>
                <w:sz w:val="20"/>
                <w:szCs w:val="20"/>
              </w:rPr>
            </w:pPr>
            <w:r w:rsidRPr="002850C6">
              <w:rPr>
                <w:b/>
                <w:noProof/>
                <w:sz w:val="20"/>
              </w:rPr>
              <w:t>CFP 2028-2034</w:t>
            </w:r>
          </w:p>
        </w:tc>
      </w:tr>
      <w:tr w:rsidR="002850C6" w:rsidRPr="002850C6" w14:paraId="25C5F09B" w14:textId="77777777" w:rsidTr="0043630B">
        <w:trPr>
          <w:trHeight w:val="585"/>
          <w:jc w:val="center"/>
        </w:trPr>
        <w:tc>
          <w:tcPr>
            <w:tcW w:w="3697" w:type="dxa"/>
            <w:vAlign w:val="center"/>
          </w:tcPr>
          <w:p w14:paraId="1B8F8184" w14:textId="77777777" w:rsidR="002850C6" w:rsidRPr="002850C6" w:rsidRDefault="002850C6" w:rsidP="002850C6">
            <w:pPr>
              <w:spacing w:before="60" w:after="60"/>
              <w:jc w:val="left"/>
              <w:rPr>
                <w:noProof/>
                <w:sz w:val="20"/>
                <w:szCs w:val="20"/>
              </w:rPr>
            </w:pPr>
            <w:r w:rsidRPr="002850C6">
              <w:rPr>
                <w:noProof/>
                <w:sz w:val="20"/>
              </w:rPr>
              <w:t>Agents temporaires (grades AD)</w:t>
            </w:r>
          </w:p>
        </w:tc>
        <w:tc>
          <w:tcPr>
            <w:tcW w:w="1450" w:type="dxa"/>
            <w:vAlign w:val="center"/>
          </w:tcPr>
          <w:p w14:paraId="6B687340" w14:textId="77777777" w:rsidR="002850C6" w:rsidRPr="002850C6" w:rsidRDefault="002850C6" w:rsidP="002850C6">
            <w:pPr>
              <w:spacing w:before="60" w:after="60"/>
              <w:jc w:val="right"/>
              <w:rPr>
                <w:noProof/>
                <w:sz w:val="20"/>
                <w:szCs w:val="20"/>
              </w:rPr>
            </w:pPr>
          </w:p>
        </w:tc>
        <w:tc>
          <w:tcPr>
            <w:tcW w:w="1449" w:type="dxa"/>
            <w:vAlign w:val="center"/>
          </w:tcPr>
          <w:p w14:paraId="211A5756" w14:textId="77777777" w:rsidR="002850C6" w:rsidRPr="002850C6" w:rsidRDefault="002850C6" w:rsidP="002850C6">
            <w:pPr>
              <w:spacing w:before="60" w:after="60"/>
              <w:jc w:val="right"/>
              <w:rPr>
                <w:noProof/>
                <w:sz w:val="20"/>
                <w:szCs w:val="20"/>
              </w:rPr>
            </w:pPr>
            <w:r w:rsidRPr="002850C6">
              <w:rPr>
                <w:noProof/>
                <w:sz w:val="20"/>
              </w:rPr>
              <w:t>8</w:t>
            </w:r>
          </w:p>
        </w:tc>
        <w:tc>
          <w:tcPr>
            <w:tcW w:w="1450" w:type="dxa"/>
            <w:vAlign w:val="center"/>
          </w:tcPr>
          <w:p w14:paraId="0A95461A" w14:textId="77777777" w:rsidR="002850C6" w:rsidRPr="002850C6" w:rsidRDefault="002850C6" w:rsidP="002850C6">
            <w:pPr>
              <w:spacing w:before="60" w:after="60"/>
              <w:jc w:val="right"/>
              <w:rPr>
                <w:noProof/>
                <w:sz w:val="20"/>
                <w:szCs w:val="20"/>
              </w:rPr>
            </w:pPr>
            <w:r w:rsidRPr="002850C6">
              <w:rPr>
                <w:noProof/>
                <w:sz w:val="20"/>
              </w:rPr>
              <w:t>8</w:t>
            </w:r>
          </w:p>
        </w:tc>
        <w:tc>
          <w:tcPr>
            <w:tcW w:w="1450" w:type="dxa"/>
            <w:vAlign w:val="center"/>
          </w:tcPr>
          <w:p w14:paraId="1BAF0E57" w14:textId="77777777" w:rsidR="002850C6" w:rsidRPr="002850C6" w:rsidRDefault="002850C6" w:rsidP="002850C6">
            <w:pPr>
              <w:spacing w:before="60" w:after="60"/>
              <w:jc w:val="right"/>
              <w:rPr>
                <w:noProof/>
                <w:sz w:val="20"/>
                <w:szCs w:val="20"/>
              </w:rPr>
            </w:pPr>
            <w:r w:rsidRPr="002850C6">
              <w:rPr>
                <w:noProof/>
                <w:sz w:val="20"/>
              </w:rPr>
              <w:t>210 (30 ETP x 7 ans)</w:t>
            </w:r>
          </w:p>
        </w:tc>
      </w:tr>
      <w:tr w:rsidR="002850C6" w:rsidRPr="002850C6" w14:paraId="6B7E7226" w14:textId="77777777" w:rsidTr="0043630B">
        <w:trPr>
          <w:trHeight w:val="585"/>
          <w:jc w:val="center"/>
        </w:trPr>
        <w:tc>
          <w:tcPr>
            <w:tcW w:w="3697" w:type="dxa"/>
            <w:vAlign w:val="center"/>
          </w:tcPr>
          <w:p w14:paraId="35AC2B59" w14:textId="77777777" w:rsidR="002850C6" w:rsidRPr="002850C6" w:rsidRDefault="002850C6" w:rsidP="002850C6">
            <w:pPr>
              <w:spacing w:before="60" w:after="60"/>
              <w:jc w:val="left"/>
              <w:rPr>
                <w:noProof/>
                <w:sz w:val="20"/>
                <w:szCs w:val="20"/>
              </w:rPr>
            </w:pPr>
            <w:r w:rsidRPr="002850C6">
              <w:rPr>
                <w:noProof/>
                <w:sz w:val="20"/>
              </w:rPr>
              <w:t>Agents temporaires (grades AST)</w:t>
            </w:r>
          </w:p>
        </w:tc>
        <w:tc>
          <w:tcPr>
            <w:tcW w:w="1450" w:type="dxa"/>
            <w:vAlign w:val="center"/>
          </w:tcPr>
          <w:p w14:paraId="2907C249" w14:textId="77777777" w:rsidR="002850C6" w:rsidRPr="002850C6" w:rsidRDefault="002850C6" w:rsidP="002850C6">
            <w:pPr>
              <w:spacing w:before="60" w:after="60"/>
              <w:jc w:val="right"/>
              <w:rPr>
                <w:noProof/>
                <w:sz w:val="20"/>
                <w:szCs w:val="20"/>
              </w:rPr>
            </w:pPr>
          </w:p>
        </w:tc>
        <w:tc>
          <w:tcPr>
            <w:tcW w:w="1449" w:type="dxa"/>
            <w:vAlign w:val="center"/>
          </w:tcPr>
          <w:p w14:paraId="29B532E7" w14:textId="77777777" w:rsidR="002850C6" w:rsidRPr="002850C6" w:rsidRDefault="002850C6" w:rsidP="002850C6">
            <w:pPr>
              <w:spacing w:before="60" w:after="60"/>
              <w:jc w:val="right"/>
              <w:rPr>
                <w:b/>
                <w:bCs/>
                <w:noProof/>
                <w:sz w:val="20"/>
                <w:szCs w:val="20"/>
              </w:rPr>
            </w:pPr>
          </w:p>
        </w:tc>
        <w:tc>
          <w:tcPr>
            <w:tcW w:w="1450" w:type="dxa"/>
            <w:vAlign w:val="center"/>
          </w:tcPr>
          <w:p w14:paraId="276E8D3A" w14:textId="77777777" w:rsidR="002850C6" w:rsidRPr="002850C6" w:rsidRDefault="002850C6" w:rsidP="002850C6">
            <w:pPr>
              <w:spacing w:before="60" w:after="60"/>
              <w:jc w:val="right"/>
              <w:rPr>
                <w:noProof/>
                <w:sz w:val="20"/>
                <w:szCs w:val="20"/>
              </w:rPr>
            </w:pPr>
          </w:p>
        </w:tc>
        <w:tc>
          <w:tcPr>
            <w:tcW w:w="1450" w:type="dxa"/>
            <w:vAlign w:val="center"/>
          </w:tcPr>
          <w:p w14:paraId="572CC495" w14:textId="77777777" w:rsidR="002850C6" w:rsidRPr="002850C6" w:rsidRDefault="002850C6" w:rsidP="002850C6">
            <w:pPr>
              <w:spacing w:before="60" w:after="60"/>
              <w:jc w:val="right"/>
              <w:rPr>
                <w:noProof/>
                <w:sz w:val="20"/>
                <w:szCs w:val="20"/>
              </w:rPr>
            </w:pPr>
          </w:p>
        </w:tc>
      </w:tr>
      <w:tr w:rsidR="002850C6" w:rsidRPr="002850C6" w14:paraId="4AAC39C4" w14:textId="77777777" w:rsidTr="0043630B">
        <w:trPr>
          <w:trHeight w:val="585"/>
          <w:jc w:val="center"/>
        </w:trPr>
        <w:tc>
          <w:tcPr>
            <w:tcW w:w="3697" w:type="dxa"/>
            <w:vAlign w:val="center"/>
          </w:tcPr>
          <w:p w14:paraId="6CEE1CD4" w14:textId="77777777" w:rsidR="002850C6" w:rsidRPr="002850C6" w:rsidRDefault="002850C6" w:rsidP="002850C6">
            <w:pPr>
              <w:spacing w:before="60" w:after="60"/>
              <w:jc w:val="left"/>
              <w:rPr>
                <w:i/>
                <w:iCs/>
                <w:noProof/>
                <w:sz w:val="20"/>
                <w:szCs w:val="20"/>
              </w:rPr>
            </w:pPr>
            <w:r w:rsidRPr="002850C6">
              <w:rPr>
                <w:i/>
                <w:noProof/>
                <w:sz w:val="20"/>
              </w:rPr>
              <w:t>Sous-total des agents temporaires (AD+AST)</w:t>
            </w:r>
          </w:p>
        </w:tc>
        <w:tc>
          <w:tcPr>
            <w:tcW w:w="1450" w:type="dxa"/>
            <w:vAlign w:val="center"/>
          </w:tcPr>
          <w:p w14:paraId="05D4E921"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vAlign w:val="center"/>
          </w:tcPr>
          <w:p w14:paraId="5400510F" w14:textId="77777777" w:rsidR="002850C6" w:rsidRPr="002850C6" w:rsidRDefault="002850C6" w:rsidP="002850C6">
            <w:pPr>
              <w:spacing w:before="60" w:after="60"/>
              <w:jc w:val="right"/>
              <w:rPr>
                <w:b/>
                <w:bCs/>
                <w:i/>
                <w:iCs/>
                <w:noProof/>
                <w:sz w:val="20"/>
                <w:szCs w:val="20"/>
              </w:rPr>
            </w:pPr>
            <w:r w:rsidRPr="002850C6">
              <w:rPr>
                <w:b/>
                <w:i/>
                <w:noProof/>
                <w:sz w:val="20"/>
              </w:rPr>
              <w:t>8</w:t>
            </w:r>
          </w:p>
        </w:tc>
        <w:tc>
          <w:tcPr>
            <w:tcW w:w="1450" w:type="dxa"/>
            <w:vAlign w:val="center"/>
          </w:tcPr>
          <w:p w14:paraId="2B327D86" w14:textId="77777777" w:rsidR="002850C6" w:rsidRPr="002850C6" w:rsidRDefault="002850C6" w:rsidP="002850C6">
            <w:pPr>
              <w:spacing w:before="60" w:after="60"/>
              <w:jc w:val="right"/>
              <w:rPr>
                <w:i/>
                <w:iCs/>
                <w:noProof/>
                <w:sz w:val="20"/>
                <w:szCs w:val="20"/>
              </w:rPr>
            </w:pPr>
            <w:r w:rsidRPr="002850C6">
              <w:rPr>
                <w:i/>
                <w:noProof/>
                <w:sz w:val="20"/>
              </w:rPr>
              <w:t>8</w:t>
            </w:r>
          </w:p>
        </w:tc>
        <w:tc>
          <w:tcPr>
            <w:tcW w:w="1450" w:type="dxa"/>
            <w:vAlign w:val="center"/>
          </w:tcPr>
          <w:p w14:paraId="4B0645AF" w14:textId="77777777" w:rsidR="002850C6" w:rsidRPr="002850C6" w:rsidRDefault="002850C6" w:rsidP="002850C6">
            <w:pPr>
              <w:spacing w:before="60" w:after="60"/>
              <w:jc w:val="right"/>
              <w:rPr>
                <w:b/>
                <w:bCs/>
                <w:i/>
                <w:iCs/>
                <w:noProof/>
                <w:sz w:val="20"/>
                <w:szCs w:val="20"/>
              </w:rPr>
            </w:pPr>
            <w:r w:rsidRPr="002850C6">
              <w:rPr>
                <w:b/>
                <w:i/>
                <w:noProof/>
                <w:sz w:val="20"/>
              </w:rPr>
              <w:t>210 (30 ETP x 7 ans)</w:t>
            </w:r>
          </w:p>
        </w:tc>
      </w:tr>
      <w:tr w:rsidR="002850C6" w:rsidRPr="002850C6" w14:paraId="3D64A2B1" w14:textId="77777777" w:rsidTr="0043630B">
        <w:trPr>
          <w:trHeight w:val="585"/>
          <w:jc w:val="center"/>
        </w:trPr>
        <w:tc>
          <w:tcPr>
            <w:tcW w:w="3697" w:type="dxa"/>
            <w:vAlign w:val="center"/>
          </w:tcPr>
          <w:p w14:paraId="4C310352" w14:textId="77777777" w:rsidR="002850C6" w:rsidRPr="002850C6" w:rsidRDefault="002850C6" w:rsidP="002850C6">
            <w:pPr>
              <w:spacing w:before="60" w:after="60"/>
              <w:jc w:val="left"/>
              <w:rPr>
                <w:noProof/>
                <w:sz w:val="20"/>
                <w:szCs w:val="20"/>
              </w:rPr>
            </w:pPr>
            <w:r w:rsidRPr="002850C6">
              <w:rPr>
                <w:noProof/>
                <w:sz w:val="20"/>
              </w:rPr>
              <w:t>Agents contractuels</w:t>
            </w:r>
          </w:p>
        </w:tc>
        <w:tc>
          <w:tcPr>
            <w:tcW w:w="1450" w:type="dxa"/>
            <w:vAlign w:val="center"/>
          </w:tcPr>
          <w:p w14:paraId="0F5948F1" w14:textId="77777777" w:rsidR="002850C6" w:rsidRPr="002850C6" w:rsidRDefault="002850C6" w:rsidP="002850C6">
            <w:pPr>
              <w:spacing w:before="60" w:after="60"/>
              <w:jc w:val="right"/>
              <w:rPr>
                <w:noProof/>
                <w:sz w:val="20"/>
                <w:szCs w:val="20"/>
              </w:rPr>
            </w:pPr>
          </w:p>
        </w:tc>
        <w:tc>
          <w:tcPr>
            <w:tcW w:w="1449" w:type="dxa"/>
            <w:vAlign w:val="center"/>
          </w:tcPr>
          <w:p w14:paraId="6F500B75" w14:textId="77777777" w:rsidR="002850C6" w:rsidRPr="002850C6" w:rsidRDefault="002850C6" w:rsidP="002850C6">
            <w:pPr>
              <w:spacing w:before="60" w:after="60"/>
              <w:jc w:val="right"/>
              <w:rPr>
                <w:noProof/>
                <w:sz w:val="20"/>
                <w:szCs w:val="20"/>
              </w:rPr>
            </w:pPr>
          </w:p>
        </w:tc>
        <w:tc>
          <w:tcPr>
            <w:tcW w:w="1450" w:type="dxa"/>
            <w:vAlign w:val="center"/>
          </w:tcPr>
          <w:p w14:paraId="6CD47366" w14:textId="77777777" w:rsidR="002850C6" w:rsidRPr="002850C6" w:rsidRDefault="002850C6" w:rsidP="002850C6">
            <w:pPr>
              <w:spacing w:before="60" w:after="60"/>
              <w:jc w:val="right"/>
              <w:rPr>
                <w:noProof/>
                <w:sz w:val="20"/>
                <w:szCs w:val="20"/>
              </w:rPr>
            </w:pPr>
          </w:p>
        </w:tc>
        <w:tc>
          <w:tcPr>
            <w:tcW w:w="1450" w:type="dxa"/>
            <w:vAlign w:val="center"/>
          </w:tcPr>
          <w:p w14:paraId="2D5BFF79" w14:textId="77777777" w:rsidR="002850C6" w:rsidRPr="002850C6" w:rsidRDefault="002850C6" w:rsidP="002850C6">
            <w:pPr>
              <w:spacing w:before="60" w:after="60"/>
              <w:jc w:val="right"/>
              <w:rPr>
                <w:noProof/>
                <w:sz w:val="20"/>
                <w:szCs w:val="20"/>
              </w:rPr>
            </w:pPr>
          </w:p>
        </w:tc>
      </w:tr>
      <w:tr w:rsidR="002850C6" w:rsidRPr="002850C6" w14:paraId="7BDF5259" w14:textId="77777777" w:rsidTr="0043630B">
        <w:trPr>
          <w:trHeight w:val="585"/>
          <w:jc w:val="center"/>
        </w:trPr>
        <w:tc>
          <w:tcPr>
            <w:tcW w:w="3697" w:type="dxa"/>
            <w:vAlign w:val="center"/>
          </w:tcPr>
          <w:p w14:paraId="58C2430E" w14:textId="77777777" w:rsidR="002850C6" w:rsidRPr="002850C6" w:rsidRDefault="002850C6" w:rsidP="002850C6">
            <w:pPr>
              <w:spacing w:before="60" w:after="60"/>
              <w:jc w:val="left"/>
              <w:rPr>
                <w:noProof/>
                <w:sz w:val="20"/>
                <w:szCs w:val="20"/>
              </w:rPr>
            </w:pPr>
            <w:r w:rsidRPr="002850C6">
              <w:rPr>
                <w:noProof/>
                <w:sz w:val="20"/>
              </w:rPr>
              <w:t>Experts nationaux détachés</w:t>
            </w:r>
          </w:p>
        </w:tc>
        <w:tc>
          <w:tcPr>
            <w:tcW w:w="1450" w:type="dxa"/>
            <w:vAlign w:val="center"/>
          </w:tcPr>
          <w:p w14:paraId="2F93595D" w14:textId="77777777" w:rsidR="002850C6" w:rsidRPr="002850C6" w:rsidRDefault="002850C6" w:rsidP="002850C6">
            <w:pPr>
              <w:spacing w:before="60" w:after="60"/>
              <w:jc w:val="right"/>
              <w:rPr>
                <w:noProof/>
                <w:sz w:val="20"/>
                <w:szCs w:val="20"/>
              </w:rPr>
            </w:pPr>
          </w:p>
        </w:tc>
        <w:tc>
          <w:tcPr>
            <w:tcW w:w="1449" w:type="dxa"/>
            <w:vAlign w:val="center"/>
          </w:tcPr>
          <w:p w14:paraId="42D80021" w14:textId="77777777" w:rsidR="002850C6" w:rsidRPr="002850C6" w:rsidRDefault="002850C6" w:rsidP="002850C6">
            <w:pPr>
              <w:spacing w:before="60" w:after="60"/>
              <w:jc w:val="right"/>
              <w:rPr>
                <w:noProof/>
                <w:sz w:val="20"/>
                <w:szCs w:val="20"/>
              </w:rPr>
            </w:pPr>
          </w:p>
        </w:tc>
        <w:tc>
          <w:tcPr>
            <w:tcW w:w="1450" w:type="dxa"/>
            <w:vAlign w:val="center"/>
          </w:tcPr>
          <w:p w14:paraId="7389C66E" w14:textId="77777777" w:rsidR="002850C6" w:rsidRPr="002850C6" w:rsidRDefault="002850C6" w:rsidP="002850C6">
            <w:pPr>
              <w:spacing w:before="60" w:after="60"/>
              <w:jc w:val="right"/>
              <w:rPr>
                <w:noProof/>
                <w:sz w:val="20"/>
                <w:szCs w:val="20"/>
              </w:rPr>
            </w:pPr>
          </w:p>
        </w:tc>
        <w:tc>
          <w:tcPr>
            <w:tcW w:w="1450" w:type="dxa"/>
            <w:vAlign w:val="center"/>
          </w:tcPr>
          <w:p w14:paraId="078E5F01" w14:textId="77777777" w:rsidR="002850C6" w:rsidRPr="002850C6" w:rsidRDefault="002850C6" w:rsidP="002850C6">
            <w:pPr>
              <w:spacing w:before="60" w:after="60"/>
              <w:jc w:val="right"/>
              <w:rPr>
                <w:noProof/>
                <w:sz w:val="20"/>
                <w:szCs w:val="20"/>
              </w:rPr>
            </w:pPr>
          </w:p>
        </w:tc>
      </w:tr>
      <w:tr w:rsidR="002850C6" w:rsidRPr="002850C6" w14:paraId="0DAD625C" w14:textId="77777777" w:rsidTr="0043630B">
        <w:trPr>
          <w:trHeight w:val="585"/>
          <w:jc w:val="center"/>
        </w:trPr>
        <w:tc>
          <w:tcPr>
            <w:tcW w:w="3697" w:type="dxa"/>
            <w:tcBorders>
              <w:bottom w:val="single" w:sz="4" w:space="0" w:color="auto"/>
            </w:tcBorders>
            <w:vAlign w:val="center"/>
          </w:tcPr>
          <w:p w14:paraId="416707E2" w14:textId="77777777" w:rsidR="002850C6" w:rsidRPr="002850C6" w:rsidRDefault="002850C6" w:rsidP="002850C6">
            <w:pPr>
              <w:spacing w:before="60" w:after="60"/>
              <w:jc w:val="left"/>
              <w:rPr>
                <w:i/>
                <w:iCs/>
                <w:noProof/>
                <w:sz w:val="20"/>
                <w:szCs w:val="20"/>
              </w:rPr>
            </w:pPr>
            <w:r w:rsidRPr="002850C6">
              <w:rPr>
                <w:i/>
                <w:noProof/>
                <w:sz w:val="20"/>
              </w:rPr>
              <w:t>Sous-total des agents contractuels et experts nationaux détachés</w:t>
            </w:r>
          </w:p>
        </w:tc>
        <w:tc>
          <w:tcPr>
            <w:tcW w:w="1450" w:type="dxa"/>
            <w:tcBorders>
              <w:bottom w:val="single" w:sz="4" w:space="0" w:color="auto"/>
            </w:tcBorders>
            <w:vAlign w:val="center"/>
          </w:tcPr>
          <w:p w14:paraId="28A64424" w14:textId="77777777" w:rsidR="002850C6" w:rsidRPr="002850C6" w:rsidRDefault="002850C6" w:rsidP="002850C6">
            <w:pPr>
              <w:spacing w:before="60" w:after="60"/>
              <w:jc w:val="right"/>
              <w:rPr>
                <w:i/>
                <w:iCs/>
                <w:noProof/>
                <w:sz w:val="20"/>
                <w:szCs w:val="20"/>
              </w:rPr>
            </w:pPr>
            <w:r w:rsidRPr="002850C6">
              <w:rPr>
                <w:b/>
                <w:i/>
                <w:noProof/>
                <w:sz w:val="20"/>
              </w:rPr>
              <w:t>0</w:t>
            </w:r>
          </w:p>
        </w:tc>
        <w:tc>
          <w:tcPr>
            <w:tcW w:w="1449" w:type="dxa"/>
            <w:tcBorders>
              <w:bottom w:val="single" w:sz="4" w:space="0" w:color="auto"/>
            </w:tcBorders>
            <w:vAlign w:val="center"/>
          </w:tcPr>
          <w:p w14:paraId="0D90E728" w14:textId="77777777" w:rsidR="002850C6" w:rsidRPr="002850C6" w:rsidRDefault="002850C6" w:rsidP="002850C6">
            <w:pPr>
              <w:spacing w:before="60" w:after="60"/>
              <w:jc w:val="right"/>
              <w:rPr>
                <w:i/>
                <w:iCs/>
                <w:noProof/>
                <w:sz w:val="20"/>
                <w:szCs w:val="20"/>
              </w:rPr>
            </w:pPr>
            <w:r w:rsidRPr="002850C6">
              <w:rPr>
                <w:i/>
                <w:noProof/>
                <w:sz w:val="20"/>
              </w:rPr>
              <w:t>0</w:t>
            </w:r>
          </w:p>
        </w:tc>
        <w:tc>
          <w:tcPr>
            <w:tcW w:w="1450" w:type="dxa"/>
            <w:tcBorders>
              <w:bottom w:val="single" w:sz="4" w:space="0" w:color="auto"/>
            </w:tcBorders>
            <w:vAlign w:val="center"/>
          </w:tcPr>
          <w:p w14:paraId="0B00A75A" w14:textId="77777777" w:rsidR="002850C6" w:rsidRPr="002850C6" w:rsidRDefault="002850C6" w:rsidP="002850C6">
            <w:pPr>
              <w:spacing w:before="60" w:after="60"/>
              <w:jc w:val="right"/>
              <w:rPr>
                <w:i/>
                <w:iCs/>
                <w:noProof/>
                <w:sz w:val="20"/>
                <w:szCs w:val="20"/>
              </w:rPr>
            </w:pPr>
            <w:r w:rsidRPr="002850C6">
              <w:rPr>
                <w:i/>
                <w:noProof/>
                <w:sz w:val="20"/>
              </w:rPr>
              <w:t>0</w:t>
            </w:r>
          </w:p>
        </w:tc>
        <w:tc>
          <w:tcPr>
            <w:tcW w:w="1450" w:type="dxa"/>
            <w:tcBorders>
              <w:bottom w:val="single" w:sz="4" w:space="0" w:color="auto"/>
            </w:tcBorders>
            <w:vAlign w:val="center"/>
          </w:tcPr>
          <w:p w14:paraId="3320D58D" w14:textId="77777777" w:rsidR="002850C6" w:rsidRPr="002850C6" w:rsidRDefault="002850C6" w:rsidP="002850C6">
            <w:pPr>
              <w:spacing w:before="60" w:after="60"/>
              <w:jc w:val="right"/>
              <w:rPr>
                <w:b/>
                <w:bCs/>
                <w:i/>
                <w:iCs/>
                <w:noProof/>
                <w:sz w:val="20"/>
                <w:szCs w:val="20"/>
              </w:rPr>
            </w:pPr>
            <w:r w:rsidRPr="002850C6">
              <w:rPr>
                <w:b/>
                <w:i/>
                <w:noProof/>
                <w:sz w:val="20"/>
              </w:rPr>
              <w:t>0</w:t>
            </w:r>
          </w:p>
        </w:tc>
      </w:tr>
      <w:tr w:rsidR="002850C6" w:rsidRPr="002850C6" w:rsidDel="00214D1B" w14:paraId="53AD12C8" w14:textId="77777777" w:rsidTr="004363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14:paraId="4FA3189F" w14:textId="77777777" w:rsidR="002850C6" w:rsidRPr="002850C6" w:rsidRDefault="002850C6" w:rsidP="002850C6">
            <w:pPr>
              <w:spacing w:before="60" w:after="60"/>
              <w:jc w:val="left"/>
              <w:rPr>
                <w:noProof/>
                <w:sz w:val="20"/>
                <w:szCs w:val="20"/>
              </w:rPr>
            </w:pPr>
            <w:r w:rsidRPr="002850C6">
              <w:rPr>
                <w:b/>
                <w:noProof/>
                <w:sz w:val="20"/>
              </w:rPr>
              <w:t>TOTAL des effectifs</w:t>
            </w:r>
          </w:p>
        </w:tc>
        <w:tc>
          <w:tcPr>
            <w:tcW w:w="1450" w:type="dxa"/>
            <w:tcBorders>
              <w:top w:val="single" w:sz="4" w:space="0" w:color="auto"/>
              <w:left w:val="single" w:sz="4" w:space="0" w:color="auto"/>
              <w:bottom w:val="single" w:sz="4" w:space="0" w:color="auto"/>
              <w:right w:val="single" w:sz="4" w:space="0" w:color="auto"/>
            </w:tcBorders>
            <w:vAlign w:val="center"/>
          </w:tcPr>
          <w:p w14:paraId="3EF46441" w14:textId="77777777" w:rsidR="002850C6" w:rsidRPr="002850C6" w:rsidRDefault="002850C6" w:rsidP="002850C6">
            <w:pPr>
              <w:spacing w:before="60" w:after="60"/>
              <w:jc w:val="right"/>
              <w:rPr>
                <w:b/>
                <w:noProof/>
                <w:sz w:val="20"/>
                <w:szCs w:val="20"/>
              </w:rPr>
            </w:pPr>
            <w:r w:rsidRPr="002850C6">
              <w:rPr>
                <w:b/>
                <w:noProof/>
                <w:sz w:val="20"/>
              </w:rPr>
              <w:t>0</w:t>
            </w:r>
          </w:p>
        </w:tc>
        <w:tc>
          <w:tcPr>
            <w:tcW w:w="1449" w:type="dxa"/>
            <w:tcBorders>
              <w:top w:val="single" w:sz="4" w:space="0" w:color="auto"/>
              <w:left w:val="single" w:sz="4" w:space="0" w:color="auto"/>
              <w:bottom w:val="single" w:sz="4" w:space="0" w:color="auto"/>
              <w:right w:val="single" w:sz="4" w:space="0" w:color="auto"/>
            </w:tcBorders>
            <w:vAlign w:val="center"/>
          </w:tcPr>
          <w:p w14:paraId="40B6D8F2" w14:textId="77777777" w:rsidR="002850C6" w:rsidRPr="002850C6" w:rsidRDefault="002850C6" w:rsidP="002850C6">
            <w:pPr>
              <w:spacing w:before="60" w:after="60"/>
              <w:jc w:val="right"/>
              <w:rPr>
                <w:b/>
                <w:noProof/>
                <w:sz w:val="20"/>
                <w:szCs w:val="20"/>
              </w:rPr>
            </w:pPr>
            <w:r w:rsidRPr="002850C6">
              <w:rPr>
                <w:b/>
                <w:noProof/>
                <w:sz w:val="20"/>
              </w:rPr>
              <w:t>8</w:t>
            </w:r>
          </w:p>
        </w:tc>
        <w:tc>
          <w:tcPr>
            <w:tcW w:w="1450" w:type="dxa"/>
            <w:tcBorders>
              <w:top w:val="single" w:sz="4" w:space="0" w:color="auto"/>
              <w:left w:val="single" w:sz="4" w:space="0" w:color="auto"/>
              <w:bottom w:val="single" w:sz="4" w:space="0" w:color="auto"/>
              <w:right w:val="single" w:sz="4" w:space="0" w:color="auto"/>
            </w:tcBorders>
            <w:vAlign w:val="center"/>
          </w:tcPr>
          <w:p w14:paraId="41AD92C2" w14:textId="77777777" w:rsidR="002850C6" w:rsidRPr="002850C6" w:rsidRDefault="002850C6" w:rsidP="002850C6">
            <w:pPr>
              <w:spacing w:before="60" w:after="60"/>
              <w:jc w:val="right"/>
              <w:rPr>
                <w:b/>
                <w:noProof/>
                <w:sz w:val="20"/>
                <w:szCs w:val="20"/>
              </w:rPr>
            </w:pPr>
            <w:r w:rsidRPr="002850C6">
              <w:rPr>
                <w:b/>
                <w:noProof/>
                <w:sz w:val="20"/>
              </w:rPr>
              <w:t>8</w:t>
            </w:r>
          </w:p>
        </w:tc>
        <w:tc>
          <w:tcPr>
            <w:tcW w:w="1450" w:type="dxa"/>
            <w:tcBorders>
              <w:top w:val="single" w:sz="4" w:space="0" w:color="auto"/>
              <w:left w:val="single" w:sz="4" w:space="0" w:color="auto"/>
              <w:bottom w:val="single" w:sz="4" w:space="0" w:color="auto"/>
              <w:right w:val="single" w:sz="4" w:space="0" w:color="auto"/>
            </w:tcBorders>
            <w:vAlign w:val="center"/>
          </w:tcPr>
          <w:p w14:paraId="3AE3E3F5" w14:textId="77777777" w:rsidR="002850C6" w:rsidRPr="002850C6" w:rsidDel="00214D1B" w:rsidRDefault="002850C6" w:rsidP="002850C6">
            <w:pPr>
              <w:spacing w:before="60" w:after="60"/>
              <w:jc w:val="right"/>
              <w:rPr>
                <w:b/>
                <w:bCs/>
                <w:noProof/>
                <w:sz w:val="20"/>
                <w:szCs w:val="20"/>
              </w:rPr>
            </w:pPr>
            <w:r w:rsidRPr="002850C6">
              <w:rPr>
                <w:b/>
                <w:noProof/>
                <w:sz w:val="20"/>
              </w:rPr>
              <w:t>210 (30 ETP x 7 ans)</w:t>
            </w:r>
          </w:p>
        </w:tc>
      </w:tr>
    </w:tbl>
    <w:p w14:paraId="31B66843" w14:textId="77777777" w:rsidR="002850C6" w:rsidRPr="002850C6" w:rsidRDefault="002850C6" w:rsidP="002850C6">
      <w:pPr>
        <w:spacing w:before="240"/>
        <w:rPr>
          <w:noProof/>
          <w:sz w:val="22"/>
          <w:u w:val="single"/>
        </w:rPr>
      </w:pPr>
      <w:r w:rsidRPr="002850C6">
        <w:rPr>
          <w:noProof/>
          <w:sz w:val="22"/>
          <w:u w:val="single"/>
        </w:rPr>
        <w:t>Crédits couverts par la contribution du budget de l’UE en Mio EUR (à la 3</w:t>
      </w:r>
      <w:r w:rsidRPr="002850C6">
        <w:rPr>
          <w:noProof/>
          <w:sz w:val="22"/>
          <w:u w:val="single"/>
          <w:vertAlign w:val="superscript"/>
        </w:rPr>
        <w:t>e</w:t>
      </w:r>
      <w:r w:rsidRPr="002850C6">
        <w:rPr>
          <w:noProof/>
          <w:sz w:val="22"/>
          <w:u w:val="single"/>
        </w:rPr>
        <w:t xml:space="preserve"> décimale)</w:t>
      </w:r>
    </w:p>
    <w:p w14:paraId="3DCA9181" w14:textId="77777777" w:rsidR="002850C6" w:rsidRPr="002850C6" w:rsidRDefault="002850C6" w:rsidP="002850C6">
      <w:pPr>
        <w:spacing w:before="240"/>
        <w:rPr>
          <w:noProof/>
          <w:sz w:val="22"/>
          <w:u w:val="single"/>
        </w:rPr>
      </w:pPr>
    </w:p>
    <w:tbl>
      <w:tblPr>
        <w:tblW w:w="9656"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812"/>
        <w:gridCol w:w="1109"/>
        <w:gridCol w:w="1109"/>
        <w:gridCol w:w="1109"/>
        <w:gridCol w:w="1239"/>
        <w:gridCol w:w="1278"/>
      </w:tblGrid>
      <w:tr w:rsidR="002850C6" w:rsidRPr="002850C6" w14:paraId="09E606A2" w14:textId="77777777" w:rsidTr="0043630B">
        <w:trPr>
          <w:cantSplit/>
        </w:trPr>
        <w:tc>
          <w:tcPr>
            <w:tcW w:w="3812" w:type="dxa"/>
            <w:vAlign w:val="center"/>
          </w:tcPr>
          <w:p w14:paraId="1F3CE06D" w14:textId="77777777" w:rsidR="002850C6" w:rsidRPr="002850C6" w:rsidRDefault="002850C6" w:rsidP="002850C6">
            <w:pPr>
              <w:spacing w:before="60" w:after="60"/>
              <w:jc w:val="center"/>
              <w:rPr>
                <w:b/>
                <w:bCs/>
                <w:noProof/>
                <w:sz w:val="20"/>
                <w:szCs w:val="20"/>
                <w:shd w:val="clear" w:color="auto" w:fill="FFFFFF"/>
              </w:rPr>
            </w:pPr>
            <w:r w:rsidRPr="002850C6">
              <w:rPr>
                <w:b/>
                <w:noProof/>
                <w:sz w:val="20"/>
                <w:shd w:val="clear" w:color="auto" w:fill="FFFFFF"/>
              </w:rPr>
              <w:t>Agence: AFE</w:t>
            </w:r>
          </w:p>
        </w:tc>
        <w:tc>
          <w:tcPr>
            <w:tcW w:w="1109" w:type="dxa"/>
            <w:vAlign w:val="center"/>
          </w:tcPr>
          <w:p w14:paraId="7D7A71E9"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2025</w:t>
            </w:r>
          </w:p>
        </w:tc>
        <w:tc>
          <w:tcPr>
            <w:tcW w:w="1109" w:type="dxa"/>
            <w:vAlign w:val="center"/>
          </w:tcPr>
          <w:p w14:paraId="5D710050"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2026</w:t>
            </w:r>
          </w:p>
        </w:tc>
        <w:tc>
          <w:tcPr>
            <w:tcW w:w="1109" w:type="dxa"/>
            <w:vAlign w:val="center"/>
          </w:tcPr>
          <w:p w14:paraId="5325E2E4"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2027</w:t>
            </w:r>
          </w:p>
        </w:tc>
        <w:tc>
          <w:tcPr>
            <w:tcW w:w="1239" w:type="dxa"/>
            <w:vAlign w:val="center"/>
          </w:tcPr>
          <w:p w14:paraId="6F7E18E5" w14:textId="77777777" w:rsidR="002850C6" w:rsidRPr="002850C6" w:rsidRDefault="002850C6" w:rsidP="002850C6">
            <w:pPr>
              <w:spacing w:before="60" w:after="60"/>
              <w:jc w:val="center"/>
              <w:rPr>
                <w:noProof/>
                <w:sz w:val="20"/>
                <w:szCs w:val="20"/>
              </w:rPr>
            </w:pPr>
            <w:r w:rsidRPr="002850C6">
              <w:rPr>
                <w:b/>
                <w:noProof/>
                <w:sz w:val="20"/>
              </w:rPr>
              <w:t>TOTAL 2021-2027</w:t>
            </w:r>
          </w:p>
        </w:tc>
        <w:tc>
          <w:tcPr>
            <w:tcW w:w="1278" w:type="dxa"/>
            <w:vAlign w:val="center"/>
          </w:tcPr>
          <w:p w14:paraId="538E01C0" w14:textId="77777777" w:rsidR="002850C6" w:rsidRPr="002850C6" w:rsidRDefault="002850C6" w:rsidP="002850C6">
            <w:pPr>
              <w:spacing w:before="60" w:after="60"/>
              <w:jc w:val="center"/>
              <w:rPr>
                <w:b/>
                <w:bCs/>
                <w:noProof/>
                <w:sz w:val="20"/>
                <w:szCs w:val="20"/>
              </w:rPr>
            </w:pPr>
            <w:r w:rsidRPr="002850C6">
              <w:rPr>
                <w:b/>
                <w:noProof/>
                <w:sz w:val="20"/>
              </w:rPr>
              <w:t>TOTAL 2028-2034</w:t>
            </w:r>
            <w:r w:rsidRPr="008F47E2">
              <w:rPr>
                <w:rStyle w:val="FootnoteReference"/>
                <w:noProof/>
              </w:rPr>
              <w:footnoteReference w:id="70"/>
            </w:r>
          </w:p>
        </w:tc>
      </w:tr>
      <w:tr w:rsidR="002850C6" w:rsidRPr="002850C6" w14:paraId="6775027D" w14:textId="77777777" w:rsidTr="0043630B">
        <w:trPr>
          <w:cantSplit/>
          <w:trHeight w:val="700"/>
        </w:trPr>
        <w:tc>
          <w:tcPr>
            <w:tcW w:w="3812" w:type="dxa"/>
            <w:vAlign w:val="center"/>
          </w:tcPr>
          <w:p w14:paraId="58992D32" w14:textId="77777777" w:rsidR="002850C6" w:rsidRPr="002850C6" w:rsidRDefault="002850C6" w:rsidP="002850C6">
            <w:pPr>
              <w:jc w:val="left"/>
              <w:rPr>
                <w:noProof/>
              </w:rPr>
            </w:pPr>
            <w:r w:rsidRPr="002850C6">
              <w:rPr>
                <w:noProof/>
                <w:sz w:val="20"/>
              </w:rPr>
              <w:t>Titre 1: Dépenses de personnel</w:t>
            </w:r>
          </w:p>
        </w:tc>
        <w:tc>
          <w:tcPr>
            <w:tcW w:w="1109" w:type="dxa"/>
            <w:vAlign w:val="center"/>
          </w:tcPr>
          <w:p w14:paraId="0767C7C9" w14:textId="77777777" w:rsidR="002850C6" w:rsidRPr="002850C6" w:rsidRDefault="002850C6" w:rsidP="002850C6">
            <w:pPr>
              <w:spacing w:before="60" w:after="60"/>
              <w:jc w:val="right"/>
              <w:rPr>
                <w:noProof/>
                <w:sz w:val="20"/>
              </w:rPr>
            </w:pPr>
          </w:p>
        </w:tc>
        <w:tc>
          <w:tcPr>
            <w:tcW w:w="1109" w:type="dxa"/>
            <w:vAlign w:val="center"/>
          </w:tcPr>
          <w:p w14:paraId="33681DB9" w14:textId="77777777" w:rsidR="002850C6" w:rsidRPr="002850C6" w:rsidRDefault="002850C6" w:rsidP="002850C6">
            <w:pPr>
              <w:spacing w:before="60" w:after="60"/>
              <w:jc w:val="right"/>
              <w:rPr>
                <w:noProof/>
                <w:sz w:val="20"/>
              </w:rPr>
            </w:pPr>
          </w:p>
        </w:tc>
        <w:tc>
          <w:tcPr>
            <w:tcW w:w="1109" w:type="dxa"/>
            <w:vAlign w:val="center"/>
          </w:tcPr>
          <w:p w14:paraId="3C49026C" w14:textId="77777777" w:rsidR="002850C6" w:rsidRPr="002850C6" w:rsidRDefault="002850C6" w:rsidP="002850C6">
            <w:pPr>
              <w:spacing w:before="60" w:after="60"/>
              <w:jc w:val="right"/>
              <w:rPr>
                <w:noProof/>
                <w:sz w:val="20"/>
              </w:rPr>
            </w:pPr>
            <w:r w:rsidRPr="002850C6">
              <w:rPr>
                <w:noProof/>
                <w:sz w:val="20"/>
              </w:rPr>
              <w:t>1,314</w:t>
            </w:r>
          </w:p>
        </w:tc>
        <w:tc>
          <w:tcPr>
            <w:tcW w:w="1239" w:type="dxa"/>
            <w:vAlign w:val="center"/>
          </w:tcPr>
          <w:p w14:paraId="57EEB642" w14:textId="77777777" w:rsidR="002850C6" w:rsidRPr="002850C6" w:rsidRDefault="002850C6" w:rsidP="002850C6">
            <w:pPr>
              <w:spacing w:before="60" w:after="60"/>
              <w:jc w:val="right"/>
              <w:rPr>
                <w:noProof/>
                <w:sz w:val="20"/>
                <w:szCs w:val="20"/>
              </w:rPr>
            </w:pPr>
            <w:r w:rsidRPr="002850C6">
              <w:rPr>
                <w:b/>
                <w:noProof/>
                <w:sz w:val="20"/>
              </w:rPr>
              <w:t>1,314</w:t>
            </w:r>
          </w:p>
        </w:tc>
        <w:tc>
          <w:tcPr>
            <w:tcW w:w="1278" w:type="dxa"/>
            <w:vAlign w:val="center"/>
          </w:tcPr>
          <w:p w14:paraId="7BD2F7B0" w14:textId="77777777" w:rsidR="002850C6" w:rsidRPr="002850C6" w:rsidDel="001E35B3" w:rsidRDefault="002850C6" w:rsidP="002850C6">
            <w:pPr>
              <w:spacing w:before="60" w:after="60"/>
              <w:jc w:val="right"/>
              <w:rPr>
                <w:b/>
                <w:noProof/>
                <w:sz w:val="20"/>
                <w:szCs w:val="20"/>
              </w:rPr>
            </w:pPr>
            <w:r w:rsidRPr="002850C6">
              <w:rPr>
                <w:b/>
                <w:noProof/>
                <w:sz w:val="20"/>
              </w:rPr>
              <w:t>9,964</w:t>
            </w:r>
          </w:p>
        </w:tc>
      </w:tr>
      <w:tr w:rsidR="002850C6" w:rsidRPr="002850C6" w14:paraId="4EEFC7F7" w14:textId="77777777" w:rsidTr="0043630B">
        <w:trPr>
          <w:cantSplit/>
          <w:trHeight w:val="700"/>
        </w:trPr>
        <w:tc>
          <w:tcPr>
            <w:tcW w:w="3812" w:type="dxa"/>
            <w:vAlign w:val="center"/>
          </w:tcPr>
          <w:p w14:paraId="0EED5074" w14:textId="77777777" w:rsidR="002850C6" w:rsidRPr="002850C6" w:rsidRDefault="002850C6" w:rsidP="002850C6">
            <w:pPr>
              <w:jc w:val="left"/>
              <w:rPr>
                <w:noProof/>
                <w:sz w:val="20"/>
              </w:rPr>
            </w:pPr>
            <w:r w:rsidRPr="002850C6">
              <w:rPr>
                <w:noProof/>
                <w:sz w:val="20"/>
              </w:rPr>
              <w:t>Titre 2: Dépenses d’infrastructure et de fonctionnement</w:t>
            </w:r>
          </w:p>
        </w:tc>
        <w:tc>
          <w:tcPr>
            <w:tcW w:w="1109" w:type="dxa"/>
            <w:vAlign w:val="center"/>
          </w:tcPr>
          <w:p w14:paraId="413419DA" w14:textId="77777777" w:rsidR="002850C6" w:rsidRPr="002850C6" w:rsidRDefault="002850C6" w:rsidP="002850C6">
            <w:pPr>
              <w:spacing w:before="60" w:after="60"/>
              <w:jc w:val="right"/>
              <w:rPr>
                <w:noProof/>
                <w:sz w:val="20"/>
              </w:rPr>
            </w:pPr>
          </w:p>
        </w:tc>
        <w:tc>
          <w:tcPr>
            <w:tcW w:w="1109" w:type="dxa"/>
            <w:vAlign w:val="center"/>
          </w:tcPr>
          <w:p w14:paraId="06D0A461" w14:textId="77777777" w:rsidR="002850C6" w:rsidRPr="002850C6" w:rsidRDefault="002850C6" w:rsidP="002850C6">
            <w:pPr>
              <w:spacing w:before="60" w:after="60"/>
              <w:jc w:val="right"/>
              <w:rPr>
                <w:noProof/>
                <w:sz w:val="20"/>
              </w:rPr>
            </w:pPr>
          </w:p>
        </w:tc>
        <w:tc>
          <w:tcPr>
            <w:tcW w:w="1109" w:type="dxa"/>
            <w:vAlign w:val="center"/>
          </w:tcPr>
          <w:p w14:paraId="0D3ECB19" w14:textId="77777777" w:rsidR="002850C6" w:rsidRPr="002850C6" w:rsidRDefault="002850C6" w:rsidP="002850C6">
            <w:pPr>
              <w:spacing w:before="60" w:after="60"/>
              <w:jc w:val="right"/>
              <w:rPr>
                <w:noProof/>
                <w:sz w:val="20"/>
              </w:rPr>
            </w:pPr>
          </w:p>
        </w:tc>
        <w:tc>
          <w:tcPr>
            <w:tcW w:w="1239" w:type="dxa"/>
            <w:vAlign w:val="center"/>
          </w:tcPr>
          <w:p w14:paraId="3D0237DA" w14:textId="77777777" w:rsidR="002850C6" w:rsidRPr="002850C6" w:rsidRDefault="002850C6" w:rsidP="002850C6">
            <w:pPr>
              <w:spacing w:before="60" w:after="60"/>
              <w:jc w:val="right"/>
              <w:rPr>
                <w:noProof/>
                <w:sz w:val="20"/>
                <w:szCs w:val="20"/>
              </w:rPr>
            </w:pPr>
            <w:r w:rsidRPr="002850C6">
              <w:rPr>
                <w:b/>
                <w:noProof/>
                <w:sz w:val="20"/>
              </w:rPr>
              <w:t>0,000</w:t>
            </w:r>
          </w:p>
        </w:tc>
        <w:tc>
          <w:tcPr>
            <w:tcW w:w="1278" w:type="dxa"/>
            <w:vAlign w:val="center"/>
          </w:tcPr>
          <w:p w14:paraId="192581C3" w14:textId="77777777" w:rsidR="002850C6" w:rsidRPr="002850C6" w:rsidRDefault="002850C6" w:rsidP="002850C6">
            <w:pPr>
              <w:spacing w:before="60" w:after="60"/>
              <w:jc w:val="right"/>
              <w:rPr>
                <w:b/>
                <w:bCs/>
                <w:noProof/>
                <w:sz w:val="20"/>
                <w:szCs w:val="20"/>
              </w:rPr>
            </w:pPr>
            <w:r w:rsidRPr="002850C6">
              <w:rPr>
                <w:b/>
                <w:noProof/>
                <w:sz w:val="20"/>
              </w:rPr>
              <w:t>0,000</w:t>
            </w:r>
          </w:p>
        </w:tc>
      </w:tr>
      <w:tr w:rsidR="002850C6" w:rsidRPr="002850C6" w14:paraId="2D218770" w14:textId="77777777" w:rsidTr="0043630B">
        <w:trPr>
          <w:cantSplit/>
          <w:trHeight w:val="700"/>
        </w:trPr>
        <w:tc>
          <w:tcPr>
            <w:tcW w:w="3812" w:type="dxa"/>
            <w:vAlign w:val="center"/>
          </w:tcPr>
          <w:p w14:paraId="5FD73C6D" w14:textId="77777777" w:rsidR="002850C6" w:rsidRPr="002850C6" w:rsidRDefault="002850C6" w:rsidP="002850C6">
            <w:pPr>
              <w:jc w:val="left"/>
              <w:rPr>
                <w:noProof/>
                <w:sz w:val="20"/>
              </w:rPr>
            </w:pPr>
            <w:r w:rsidRPr="002850C6">
              <w:rPr>
                <w:noProof/>
                <w:sz w:val="20"/>
              </w:rPr>
              <w:t>Titre 3: Dépenses opérationnelles</w:t>
            </w:r>
          </w:p>
        </w:tc>
        <w:tc>
          <w:tcPr>
            <w:tcW w:w="1109" w:type="dxa"/>
            <w:vAlign w:val="center"/>
          </w:tcPr>
          <w:p w14:paraId="5F35F870" w14:textId="77777777" w:rsidR="002850C6" w:rsidRPr="002850C6" w:rsidRDefault="002850C6" w:rsidP="002850C6">
            <w:pPr>
              <w:spacing w:before="60" w:after="60"/>
              <w:jc w:val="right"/>
              <w:rPr>
                <w:noProof/>
                <w:sz w:val="20"/>
              </w:rPr>
            </w:pPr>
          </w:p>
        </w:tc>
        <w:tc>
          <w:tcPr>
            <w:tcW w:w="1109" w:type="dxa"/>
            <w:vAlign w:val="center"/>
          </w:tcPr>
          <w:p w14:paraId="3488CE89" w14:textId="77777777" w:rsidR="002850C6" w:rsidRPr="002850C6" w:rsidRDefault="002850C6" w:rsidP="002850C6">
            <w:pPr>
              <w:spacing w:before="60" w:after="60"/>
              <w:jc w:val="right"/>
              <w:rPr>
                <w:noProof/>
                <w:sz w:val="20"/>
              </w:rPr>
            </w:pPr>
          </w:p>
        </w:tc>
        <w:tc>
          <w:tcPr>
            <w:tcW w:w="1109" w:type="dxa"/>
            <w:vAlign w:val="center"/>
          </w:tcPr>
          <w:p w14:paraId="7F681C2E" w14:textId="77777777" w:rsidR="002850C6" w:rsidRPr="002850C6" w:rsidRDefault="002850C6" w:rsidP="002850C6">
            <w:pPr>
              <w:spacing w:before="60" w:after="60"/>
              <w:jc w:val="right"/>
              <w:rPr>
                <w:noProof/>
                <w:sz w:val="20"/>
              </w:rPr>
            </w:pPr>
            <w:r w:rsidRPr="002850C6">
              <w:rPr>
                <w:noProof/>
                <w:sz w:val="20"/>
              </w:rPr>
              <w:t>0,750</w:t>
            </w:r>
          </w:p>
        </w:tc>
        <w:tc>
          <w:tcPr>
            <w:tcW w:w="1239" w:type="dxa"/>
            <w:vAlign w:val="center"/>
          </w:tcPr>
          <w:p w14:paraId="580E1CAD" w14:textId="77777777" w:rsidR="002850C6" w:rsidRPr="002850C6" w:rsidRDefault="002850C6" w:rsidP="002850C6">
            <w:pPr>
              <w:spacing w:before="60" w:after="60"/>
              <w:jc w:val="right"/>
              <w:rPr>
                <w:noProof/>
                <w:sz w:val="20"/>
                <w:szCs w:val="20"/>
              </w:rPr>
            </w:pPr>
            <w:r w:rsidRPr="002850C6">
              <w:rPr>
                <w:b/>
                <w:noProof/>
                <w:sz w:val="20"/>
              </w:rPr>
              <w:t>0,750</w:t>
            </w:r>
          </w:p>
        </w:tc>
        <w:tc>
          <w:tcPr>
            <w:tcW w:w="1278" w:type="dxa"/>
            <w:vAlign w:val="center"/>
          </w:tcPr>
          <w:p w14:paraId="306EFE60" w14:textId="77777777" w:rsidR="002850C6" w:rsidRPr="002850C6" w:rsidRDefault="002850C6" w:rsidP="002850C6">
            <w:pPr>
              <w:spacing w:before="60" w:after="60"/>
              <w:jc w:val="right"/>
              <w:rPr>
                <w:b/>
                <w:bCs/>
                <w:noProof/>
                <w:sz w:val="20"/>
                <w:szCs w:val="20"/>
              </w:rPr>
            </w:pPr>
            <w:r w:rsidRPr="002850C6">
              <w:rPr>
                <w:b/>
                <w:noProof/>
                <w:sz w:val="20"/>
              </w:rPr>
              <w:t>1,160</w:t>
            </w:r>
          </w:p>
        </w:tc>
      </w:tr>
      <w:tr w:rsidR="002850C6" w:rsidRPr="002850C6" w14:paraId="0864CD73" w14:textId="77777777" w:rsidTr="0043630B">
        <w:trPr>
          <w:cantSplit/>
          <w:trHeight w:val="700"/>
        </w:trPr>
        <w:tc>
          <w:tcPr>
            <w:tcW w:w="3812" w:type="dxa"/>
            <w:vAlign w:val="center"/>
          </w:tcPr>
          <w:p w14:paraId="7A559000" w14:textId="77777777" w:rsidR="002850C6" w:rsidRPr="002850C6" w:rsidRDefault="002850C6" w:rsidP="002850C6">
            <w:pPr>
              <w:spacing w:before="60" w:after="60"/>
              <w:jc w:val="left"/>
              <w:rPr>
                <w:b/>
                <w:bCs/>
                <w:noProof/>
                <w:sz w:val="20"/>
              </w:rPr>
            </w:pPr>
            <w:r w:rsidRPr="002850C6">
              <w:rPr>
                <w:b/>
                <w:noProof/>
                <w:sz w:val="20"/>
              </w:rPr>
              <w:t xml:space="preserve">TOTAL des crédits couverts par le budget de l’UE </w:t>
            </w:r>
          </w:p>
        </w:tc>
        <w:tc>
          <w:tcPr>
            <w:tcW w:w="1109" w:type="dxa"/>
            <w:vAlign w:val="center"/>
          </w:tcPr>
          <w:p w14:paraId="3F8258AB" w14:textId="77777777" w:rsidR="002850C6" w:rsidRPr="002850C6" w:rsidRDefault="002850C6" w:rsidP="002850C6">
            <w:pPr>
              <w:spacing w:before="60" w:after="60"/>
              <w:jc w:val="right"/>
              <w:rPr>
                <w:noProof/>
                <w:sz w:val="20"/>
              </w:rPr>
            </w:pPr>
            <w:r w:rsidRPr="002850C6">
              <w:rPr>
                <w:b/>
                <w:noProof/>
                <w:sz w:val="20"/>
              </w:rPr>
              <w:t>0,000</w:t>
            </w:r>
          </w:p>
        </w:tc>
        <w:tc>
          <w:tcPr>
            <w:tcW w:w="1109" w:type="dxa"/>
            <w:vAlign w:val="center"/>
          </w:tcPr>
          <w:p w14:paraId="06907DF4" w14:textId="77777777" w:rsidR="002850C6" w:rsidRPr="002850C6" w:rsidRDefault="002850C6" w:rsidP="002850C6">
            <w:pPr>
              <w:spacing w:before="60" w:after="60"/>
              <w:jc w:val="right"/>
              <w:rPr>
                <w:noProof/>
                <w:sz w:val="20"/>
              </w:rPr>
            </w:pPr>
            <w:r w:rsidRPr="002850C6">
              <w:rPr>
                <w:b/>
                <w:noProof/>
                <w:sz w:val="20"/>
              </w:rPr>
              <w:t>0,000</w:t>
            </w:r>
          </w:p>
        </w:tc>
        <w:tc>
          <w:tcPr>
            <w:tcW w:w="1109" w:type="dxa"/>
            <w:vAlign w:val="center"/>
          </w:tcPr>
          <w:p w14:paraId="703CA758" w14:textId="77777777" w:rsidR="002850C6" w:rsidRPr="002850C6" w:rsidRDefault="002850C6" w:rsidP="002850C6">
            <w:pPr>
              <w:spacing w:before="60" w:after="60"/>
              <w:jc w:val="right"/>
              <w:rPr>
                <w:noProof/>
                <w:sz w:val="20"/>
              </w:rPr>
            </w:pPr>
            <w:r w:rsidRPr="002850C6">
              <w:rPr>
                <w:b/>
                <w:noProof/>
                <w:sz w:val="20"/>
              </w:rPr>
              <w:t>2,064</w:t>
            </w:r>
          </w:p>
        </w:tc>
        <w:tc>
          <w:tcPr>
            <w:tcW w:w="1239" w:type="dxa"/>
            <w:vAlign w:val="center"/>
          </w:tcPr>
          <w:p w14:paraId="61ECD387" w14:textId="77777777" w:rsidR="002850C6" w:rsidRPr="002850C6" w:rsidRDefault="002850C6" w:rsidP="002850C6">
            <w:pPr>
              <w:spacing w:before="60" w:after="60"/>
              <w:jc w:val="right"/>
              <w:rPr>
                <w:b/>
                <w:noProof/>
                <w:sz w:val="20"/>
              </w:rPr>
            </w:pPr>
            <w:r w:rsidRPr="002850C6">
              <w:rPr>
                <w:b/>
                <w:noProof/>
                <w:sz w:val="20"/>
              </w:rPr>
              <w:t>2,064</w:t>
            </w:r>
          </w:p>
        </w:tc>
        <w:tc>
          <w:tcPr>
            <w:tcW w:w="1278" w:type="dxa"/>
            <w:vAlign w:val="center"/>
          </w:tcPr>
          <w:p w14:paraId="557BC5EC" w14:textId="77777777" w:rsidR="002850C6" w:rsidRPr="002850C6" w:rsidDel="00152EA9" w:rsidRDefault="002850C6" w:rsidP="002850C6">
            <w:pPr>
              <w:spacing w:before="60" w:after="60"/>
              <w:jc w:val="right"/>
              <w:rPr>
                <w:b/>
                <w:noProof/>
                <w:sz w:val="20"/>
              </w:rPr>
            </w:pPr>
            <w:r w:rsidRPr="002850C6">
              <w:rPr>
                <w:b/>
                <w:noProof/>
                <w:sz w:val="20"/>
              </w:rPr>
              <w:t>11,124</w:t>
            </w:r>
          </w:p>
        </w:tc>
      </w:tr>
    </w:tbl>
    <w:p w14:paraId="1E2A58AC" w14:textId="77777777" w:rsidR="002850C6" w:rsidRPr="002850C6" w:rsidRDefault="002850C6" w:rsidP="002850C6">
      <w:pPr>
        <w:spacing w:before="240"/>
        <w:rPr>
          <w:noProof/>
          <w:sz w:val="22"/>
          <w:u w:val="single"/>
        </w:rPr>
      </w:pP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2850C6" w:rsidRPr="002850C6" w14:paraId="765A49CE" w14:textId="77777777" w:rsidTr="0043630B">
        <w:trPr>
          <w:cantSplit/>
        </w:trPr>
        <w:tc>
          <w:tcPr>
            <w:tcW w:w="3659" w:type="dxa"/>
            <w:vAlign w:val="center"/>
          </w:tcPr>
          <w:p w14:paraId="5998722F" w14:textId="77777777" w:rsidR="002850C6" w:rsidRPr="002850C6" w:rsidRDefault="002850C6" w:rsidP="002850C6">
            <w:pPr>
              <w:spacing w:before="60" w:after="60"/>
              <w:jc w:val="center"/>
              <w:rPr>
                <w:b/>
                <w:bCs/>
                <w:noProof/>
                <w:sz w:val="20"/>
                <w:szCs w:val="20"/>
                <w:shd w:val="clear" w:color="auto" w:fill="FFFFFF"/>
              </w:rPr>
            </w:pPr>
            <w:r w:rsidRPr="002850C6">
              <w:rPr>
                <w:b/>
                <w:noProof/>
                <w:sz w:val="20"/>
                <w:shd w:val="clear" w:color="auto" w:fill="FFFFFF"/>
              </w:rPr>
              <w:t>Agence: AESA</w:t>
            </w:r>
          </w:p>
        </w:tc>
        <w:tc>
          <w:tcPr>
            <w:tcW w:w="1141" w:type="dxa"/>
            <w:vAlign w:val="center"/>
          </w:tcPr>
          <w:p w14:paraId="48615BA7"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2025</w:t>
            </w:r>
          </w:p>
        </w:tc>
        <w:tc>
          <w:tcPr>
            <w:tcW w:w="1141" w:type="dxa"/>
            <w:vAlign w:val="center"/>
          </w:tcPr>
          <w:p w14:paraId="5A05E2B1"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2026</w:t>
            </w:r>
          </w:p>
        </w:tc>
        <w:tc>
          <w:tcPr>
            <w:tcW w:w="1141" w:type="dxa"/>
            <w:vAlign w:val="center"/>
          </w:tcPr>
          <w:p w14:paraId="2ED69604"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2027</w:t>
            </w:r>
          </w:p>
        </w:tc>
        <w:tc>
          <w:tcPr>
            <w:tcW w:w="1276" w:type="dxa"/>
            <w:vAlign w:val="center"/>
          </w:tcPr>
          <w:p w14:paraId="7945D8A3" w14:textId="77777777" w:rsidR="002850C6" w:rsidRPr="002850C6" w:rsidRDefault="002850C6" w:rsidP="002850C6">
            <w:pPr>
              <w:spacing w:before="60" w:after="60"/>
              <w:jc w:val="center"/>
              <w:rPr>
                <w:noProof/>
                <w:sz w:val="20"/>
                <w:szCs w:val="20"/>
              </w:rPr>
            </w:pPr>
            <w:r w:rsidRPr="002850C6">
              <w:rPr>
                <w:b/>
                <w:noProof/>
                <w:sz w:val="20"/>
              </w:rPr>
              <w:t>TOTAL 2021-2027</w:t>
            </w:r>
          </w:p>
        </w:tc>
        <w:tc>
          <w:tcPr>
            <w:tcW w:w="1276" w:type="dxa"/>
            <w:vAlign w:val="center"/>
          </w:tcPr>
          <w:p w14:paraId="0794E678" w14:textId="77777777" w:rsidR="002850C6" w:rsidRPr="002850C6" w:rsidRDefault="002850C6" w:rsidP="002850C6">
            <w:pPr>
              <w:spacing w:before="60" w:after="60"/>
              <w:jc w:val="right"/>
              <w:rPr>
                <w:b/>
                <w:bCs/>
                <w:noProof/>
                <w:sz w:val="20"/>
                <w:szCs w:val="20"/>
              </w:rPr>
            </w:pPr>
            <w:r w:rsidRPr="002850C6">
              <w:rPr>
                <w:b/>
                <w:noProof/>
                <w:sz w:val="20"/>
              </w:rPr>
              <w:t>TOTAL 2028-2034</w:t>
            </w:r>
            <w:r w:rsidRPr="008F47E2">
              <w:rPr>
                <w:rStyle w:val="FootnoteReference"/>
                <w:noProof/>
              </w:rPr>
              <w:footnoteReference w:id="71"/>
            </w:r>
          </w:p>
        </w:tc>
      </w:tr>
      <w:tr w:rsidR="002850C6" w:rsidRPr="002850C6" w14:paraId="65D939FF" w14:textId="77777777" w:rsidTr="0043630B">
        <w:trPr>
          <w:cantSplit/>
          <w:trHeight w:val="700"/>
        </w:trPr>
        <w:tc>
          <w:tcPr>
            <w:tcW w:w="3659" w:type="dxa"/>
            <w:vAlign w:val="center"/>
          </w:tcPr>
          <w:p w14:paraId="00CE573B" w14:textId="77777777" w:rsidR="002850C6" w:rsidRPr="002850C6" w:rsidRDefault="002850C6" w:rsidP="002850C6">
            <w:pPr>
              <w:jc w:val="left"/>
              <w:rPr>
                <w:noProof/>
              </w:rPr>
            </w:pPr>
            <w:r w:rsidRPr="002850C6">
              <w:rPr>
                <w:noProof/>
                <w:sz w:val="20"/>
              </w:rPr>
              <w:t>Titre 1: Dépenses de personnel</w:t>
            </w:r>
          </w:p>
        </w:tc>
        <w:tc>
          <w:tcPr>
            <w:tcW w:w="1141" w:type="dxa"/>
            <w:vAlign w:val="center"/>
          </w:tcPr>
          <w:p w14:paraId="06F51B6C" w14:textId="77777777" w:rsidR="002850C6" w:rsidRPr="002850C6" w:rsidRDefault="002850C6" w:rsidP="002850C6">
            <w:pPr>
              <w:spacing w:before="60" w:after="60"/>
              <w:jc w:val="right"/>
              <w:rPr>
                <w:noProof/>
                <w:sz w:val="20"/>
              </w:rPr>
            </w:pPr>
          </w:p>
        </w:tc>
        <w:tc>
          <w:tcPr>
            <w:tcW w:w="1141" w:type="dxa"/>
            <w:vAlign w:val="center"/>
          </w:tcPr>
          <w:p w14:paraId="0429BF6D" w14:textId="77777777" w:rsidR="002850C6" w:rsidRPr="002850C6" w:rsidRDefault="002850C6" w:rsidP="002850C6">
            <w:pPr>
              <w:spacing w:before="60" w:after="60"/>
              <w:jc w:val="right"/>
              <w:rPr>
                <w:noProof/>
                <w:sz w:val="20"/>
              </w:rPr>
            </w:pPr>
          </w:p>
        </w:tc>
        <w:tc>
          <w:tcPr>
            <w:tcW w:w="1141" w:type="dxa"/>
            <w:vAlign w:val="center"/>
          </w:tcPr>
          <w:p w14:paraId="50A178A0" w14:textId="77777777" w:rsidR="002850C6" w:rsidRPr="002850C6" w:rsidRDefault="002850C6" w:rsidP="002850C6">
            <w:pPr>
              <w:spacing w:before="60" w:after="60"/>
              <w:jc w:val="right"/>
              <w:rPr>
                <w:noProof/>
                <w:sz w:val="20"/>
              </w:rPr>
            </w:pPr>
            <w:r w:rsidRPr="002850C6">
              <w:rPr>
                <w:noProof/>
                <w:sz w:val="20"/>
              </w:rPr>
              <w:t>0,498</w:t>
            </w:r>
          </w:p>
        </w:tc>
        <w:tc>
          <w:tcPr>
            <w:tcW w:w="1276" w:type="dxa"/>
            <w:vAlign w:val="center"/>
          </w:tcPr>
          <w:p w14:paraId="5D9D60E9" w14:textId="77777777" w:rsidR="002850C6" w:rsidRPr="002850C6" w:rsidRDefault="002850C6" w:rsidP="002850C6">
            <w:pPr>
              <w:spacing w:before="60" w:after="60"/>
              <w:jc w:val="right"/>
              <w:rPr>
                <w:noProof/>
                <w:sz w:val="20"/>
                <w:szCs w:val="20"/>
              </w:rPr>
            </w:pPr>
            <w:r w:rsidRPr="002850C6">
              <w:rPr>
                <w:b/>
                <w:noProof/>
                <w:sz w:val="20"/>
              </w:rPr>
              <w:t>0,498</w:t>
            </w:r>
          </w:p>
        </w:tc>
        <w:tc>
          <w:tcPr>
            <w:tcW w:w="1276" w:type="dxa"/>
            <w:vAlign w:val="center"/>
          </w:tcPr>
          <w:p w14:paraId="799BB770" w14:textId="77777777" w:rsidR="002850C6" w:rsidRPr="002850C6" w:rsidDel="001E35B3" w:rsidRDefault="002850C6" w:rsidP="002850C6">
            <w:pPr>
              <w:spacing w:before="60" w:after="60"/>
              <w:jc w:val="right"/>
              <w:rPr>
                <w:b/>
                <w:bCs/>
                <w:noProof/>
                <w:sz w:val="20"/>
                <w:szCs w:val="20"/>
              </w:rPr>
            </w:pPr>
            <w:r w:rsidRPr="002850C6">
              <w:rPr>
                <w:b/>
                <w:noProof/>
                <w:sz w:val="20"/>
              </w:rPr>
              <w:t>3,771</w:t>
            </w:r>
          </w:p>
        </w:tc>
      </w:tr>
      <w:tr w:rsidR="002850C6" w:rsidRPr="002850C6" w14:paraId="6F486B81" w14:textId="77777777" w:rsidTr="0043630B">
        <w:trPr>
          <w:cantSplit/>
          <w:trHeight w:val="700"/>
        </w:trPr>
        <w:tc>
          <w:tcPr>
            <w:tcW w:w="3659" w:type="dxa"/>
            <w:vAlign w:val="center"/>
          </w:tcPr>
          <w:p w14:paraId="5992E4A5" w14:textId="77777777" w:rsidR="002850C6" w:rsidRPr="002850C6" w:rsidRDefault="002850C6" w:rsidP="002850C6">
            <w:pPr>
              <w:jc w:val="left"/>
              <w:rPr>
                <w:noProof/>
                <w:sz w:val="20"/>
              </w:rPr>
            </w:pPr>
            <w:r w:rsidRPr="002850C6">
              <w:rPr>
                <w:noProof/>
                <w:sz w:val="20"/>
              </w:rPr>
              <w:t>Titre 2: Dépenses d’infrastructure et de fonctionnement</w:t>
            </w:r>
          </w:p>
        </w:tc>
        <w:tc>
          <w:tcPr>
            <w:tcW w:w="1141" w:type="dxa"/>
            <w:vAlign w:val="center"/>
          </w:tcPr>
          <w:p w14:paraId="735A7531" w14:textId="77777777" w:rsidR="002850C6" w:rsidRPr="002850C6" w:rsidRDefault="002850C6" w:rsidP="002850C6">
            <w:pPr>
              <w:spacing w:before="60" w:after="60"/>
              <w:jc w:val="right"/>
              <w:rPr>
                <w:noProof/>
                <w:sz w:val="20"/>
              </w:rPr>
            </w:pPr>
          </w:p>
        </w:tc>
        <w:tc>
          <w:tcPr>
            <w:tcW w:w="1141" w:type="dxa"/>
            <w:vAlign w:val="center"/>
          </w:tcPr>
          <w:p w14:paraId="704EBE2D" w14:textId="77777777" w:rsidR="002850C6" w:rsidRPr="002850C6" w:rsidRDefault="002850C6" w:rsidP="002850C6">
            <w:pPr>
              <w:spacing w:before="60" w:after="60"/>
              <w:jc w:val="right"/>
              <w:rPr>
                <w:noProof/>
                <w:sz w:val="20"/>
              </w:rPr>
            </w:pPr>
          </w:p>
        </w:tc>
        <w:tc>
          <w:tcPr>
            <w:tcW w:w="1141" w:type="dxa"/>
            <w:vAlign w:val="center"/>
          </w:tcPr>
          <w:p w14:paraId="17E2BB69" w14:textId="77777777" w:rsidR="002850C6" w:rsidRPr="002850C6" w:rsidRDefault="002850C6" w:rsidP="002850C6">
            <w:pPr>
              <w:spacing w:before="60" w:after="60"/>
              <w:jc w:val="right"/>
              <w:rPr>
                <w:noProof/>
                <w:sz w:val="20"/>
              </w:rPr>
            </w:pPr>
          </w:p>
        </w:tc>
        <w:tc>
          <w:tcPr>
            <w:tcW w:w="1276" w:type="dxa"/>
            <w:vAlign w:val="center"/>
          </w:tcPr>
          <w:p w14:paraId="703C76BF" w14:textId="77777777" w:rsidR="002850C6" w:rsidRPr="002850C6" w:rsidRDefault="002850C6" w:rsidP="002850C6">
            <w:pPr>
              <w:spacing w:before="60" w:after="60"/>
              <w:jc w:val="right"/>
              <w:rPr>
                <w:noProof/>
                <w:sz w:val="20"/>
                <w:szCs w:val="20"/>
              </w:rPr>
            </w:pPr>
            <w:r w:rsidRPr="002850C6">
              <w:rPr>
                <w:b/>
                <w:noProof/>
                <w:sz w:val="20"/>
              </w:rPr>
              <w:t>0,000</w:t>
            </w:r>
          </w:p>
        </w:tc>
        <w:tc>
          <w:tcPr>
            <w:tcW w:w="1276" w:type="dxa"/>
            <w:vAlign w:val="center"/>
          </w:tcPr>
          <w:p w14:paraId="5AA461CA" w14:textId="77777777" w:rsidR="002850C6" w:rsidRPr="002850C6" w:rsidRDefault="002850C6" w:rsidP="002850C6">
            <w:pPr>
              <w:spacing w:before="60" w:after="60"/>
              <w:jc w:val="right"/>
              <w:rPr>
                <w:b/>
                <w:bCs/>
                <w:noProof/>
                <w:sz w:val="20"/>
                <w:szCs w:val="20"/>
              </w:rPr>
            </w:pPr>
          </w:p>
        </w:tc>
      </w:tr>
      <w:tr w:rsidR="002850C6" w:rsidRPr="002850C6" w14:paraId="74B8479C" w14:textId="77777777" w:rsidTr="0043630B">
        <w:trPr>
          <w:cantSplit/>
          <w:trHeight w:val="700"/>
        </w:trPr>
        <w:tc>
          <w:tcPr>
            <w:tcW w:w="3659" w:type="dxa"/>
            <w:vAlign w:val="center"/>
          </w:tcPr>
          <w:p w14:paraId="48512DFF" w14:textId="77777777" w:rsidR="002850C6" w:rsidRPr="002850C6" w:rsidRDefault="002850C6" w:rsidP="002850C6">
            <w:pPr>
              <w:jc w:val="left"/>
              <w:rPr>
                <w:noProof/>
                <w:sz w:val="20"/>
              </w:rPr>
            </w:pPr>
            <w:r w:rsidRPr="002850C6">
              <w:rPr>
                <w:noProof/>
                <w:sz w:val="20"/>
              </w:rPr>
              <w:t>Titre 3: Dépenses opérationnelles</w:t>
            </w:r>
          </w:p>
        </w:tc>
        <w:tc>
          <w:tcPr>
            <w:tcW w:w="1141" w:type="dxa"/>
            <w:vAlign w:val="center"/>
          </w:tcPr>
          <w:p w14:paraId="6D5E6C78" w14:textId="77777777" w:rsidR="002850C6" w:rsidRPr="002850C6" w:rsidRDefault="002850C6" w:rsidP="002850C6">
            <w:pPr>
              <w:spacing w:before="60" w:after="60"/>
              <w:jc w:val="right"/>
              <w:rPr>
                <w:noProof/>
                <w:sz w:val="20"/>
              </w:rPr>
            </w:pPr>
          </w:p>
        </w:tc>
        <w:tc>
          <w:tcPr>
            <w:tcW w:w="1141" w:type="dxa"/>
            <w:vAlign w:val="center"/>
          </w:tcPr>
          <w:p w14:paraId="5A7439D1" w14:textId="77777777" w:rsidR="002850C6" w:rsidRPr="002850C6" w:rsidRDefault="002850C6" w:rsidP="002850C6">
            <w:pPr>
              <w:spacing w:before="60" w:after="60"/>
              <w:jc w:val="right"/>
              <w:rPr>
                <w:noProof/>
                <w:sz w:val="20"/>
              </w:rPr>
            </w:pPr>
          </w:p>
        </w:tc>
        <w:tc>
          <w:tcPr>
            <w:tcW w:w="1141" w:type="dxa"/>
            <w:vAlign w:val="center"/>
          </w:tcPr>
          <w:p w14:paraId="37DAFB71" w14:textId="77777777" w:rsidR="002850C6" w:rsidRPr="002850C6" w:rsidRDefault="002850C6" w:rsidP="002850C6">
            <w:pPr>
              <w:spacing w:before="60" w:after="60"/>
              <w:jc w:val="right"/>
              <w:rPr>
                <w:noProof/>
                <w:sz w:val="20"/>
              </w:rPr>
            </w:pPr>
          </w:p>
        </w:tc>
        <w:tc>
          <w:tcPr>
            <w:tcW w:w="1276" w:type="dxa"/>
            <w:vAlign w:val="center"/>
          </w:tcPr>
          <w:p w14:paraId="66ECE2D5" w14:textId="77777777" w:rsidR="002850C6" w:rsidRPr="002850C6" w:rsidRDefault="002850C6" w:rsidP="002850C6">
            <w:pPr>
              <w:spacing w:before="60" w:after="60"/>
              <w:jc w:val="right"/>
              <w:rPr>
                <w:noProof/>
                <w:sz w:val="20"/>
                <w:szCs w:val="20"/>
              </w:rPr>
            </w:pPr>
            <w:r w:rsidRPr="002850C6">
              <w:rPr>
                <w:b/>
                <w:noProof/>
                <w:sz w:val="20"/>
              </w:rPr>
              <w:t>0,000</w:t>
            </w:r>
          </w:p>
        </w:tc>
        <w:tc>
          <w:tcPr>
            <w:tcW w:w="1276" w:type="dxa"/>
            <w:vAlign w:val="center"/>
          </w:tcPr>
          <w:p w14:paraId="28C6FBD8" w14:textId="77777777" w:rsidR="002850C6" w:rsidRPr="002850C6" w:rsidRDefault="002850C6" w:rsidP="002850C6">
            <w:pPr>
              <w:spacing w:before="60" w:after="60"/>
              <w:jc w:val="right"/>
              <w:rPr>
                <w:b/>
                <w:bCs/>
                <w:noProof/>
                <w:sz w:val="20"/>
                <w:szCs w:val="20"/>
              </w:rPr>
            </w:pPr>
          </w:p>
        </w:tc>
      </w:tr>
      <w:tr w:rsidR="002850C6" w:rsidRPr="002850C6" w14:paraId="64F19052" w14:textId="77777777" w:rsidTr="0043630B">
        <w:trPr>
          <w:cantSplit/>
          <w:trHeight w:val="700"/>
        </w:trPr>
        <w:tc>
          <w:tcPr>
            <w:tcW w:w="3659" w:type="dxa"/>
            <w:vAlign w:val="center"/>
          </w:tcPr>
          <w:p w14:paraId="5CA02A13" w14:textId="77777777" w:rsidR="002850C6" w:rsidRPr="002850C6" w:rsidRDefault="002850C6" w:rsidP="002850C6">
            <w:pPr>
              <w:spacing w:before="60" w:after="60"/>
              <w:jc w:val="left"/>
              <w:rPr>
                <w:b/>
                <w:bCs/>
                <w:noProof/>
                <w:sz w:val="20"/>
              </w:rPr>
            </w:pPr>
            <w:r w:rsidRPr="002850C6">
              <w:rPr>
                <w:b/>
                <w:noProof/>
                <w:sz w:val="20"/>
              </w:rPr>
              <w:t xml:space="preserve">TOTAL des crédits couverts par le budget de l’UE </w:t>
            </w:r>
          </w:p>
        </w:tc>
        <w:tc>
          <w:tcPr>
            <w:tcW w:w="1141" w:type="dxa"/>
            <w:vAlign w:val="center"/>
          </w:tcPr>
          <w:p w14:paraId="077B053B" w14:textId="77777777" w:rsidR="002850C6" w:rsidRPr="002850C6" w:rsidRDefault="002850C6" w:rsidP="002850C6">
            <w:pPr>
              <w:spacing w:before="60" w:after="60"/>
              <w:jc w:val="right"/>
              <w:rPr>
                <w:noProof/>
                <w:sz w:val="20"/>
              </w:rPr>
            </w:pPr>
            <w:r w:rsidRPr="002850C6">
              <w:rPr>
                <w:b/>
                <w:noProof/>
                <w:sz w:val="20"/>
              </w:rPr>
              <w:t>0,000</w:t>
            </w:r>
          </w:p>
        </w:tc>
        <w:tc>
          <w:tcPr>
            <w:tcW w:w="1141" w:type="dxa"/>
            <w:vAlign w:val="center"/>
          </w:tcPr>
          <w:p w14:paraId="1584523F" w14:textId="77777777" w:rsidR="002850C6" w:rsidRPr="002850C6" w:rsidRDefault="002850C6" w:rsidP="002850C6">
            <w:pPr>
              <w:spacing w:before="60" w:after="60"/>
              <w:jc w:val="right"/>
              <w:rPr>
                <w:noProof/>
                <w:sz w:val="20"/>
              </w:rPr>
            </w:pPr>
            <w:r w:rsidRPr="002850C6">
              <w:rPr>
                <w:b/>
                <w:noProof/>
                <w:sz w:val="20"/>
              </w:rPr>
              <w:t>0,000</w:t>
            </w:r>
          </w:p>
        </w:tc>
        <w:tc>
          <w:tcPr>
            <w:tcW w:w="1141" w:type="dxa"/>
            <w:vAlign w:val="center"/>
          </w:tcPr>
          <w:p w14:paraId="1053FC01" w14:textId="77777777" w:rsidR="002850C6" w:rsidRPr="002850C6" w:rsidRDefault="002850C6" w:rsidP="002850C6">
            <w:pPr>
              <w:spacing w:before="60" w:after="60"/>
              <w:jc w:val="right"/>
              <w:rPr>
                <w:noProof/>
                <w:sz w:val="20"/>
              </w:rPr>
            </w:pPr>
            <w:r w:rsidRPr="002850C6">
              <w:rPr>
                <w:b/>
                <w:noProof/>
                <w:sz w:val="20"/>
              </w:rPr>
              <w:t>0,498</w:t>
            </w:r>
          </w:p>
        </w:tc>
        <w:tc>
          <w:tcPr>
            <w:tcW w:w="1276" w:type="dxa"/>
            <w:vAlign w:val="center"/>
          </w:tcPr>
          <w:p w14:paraId="00F75FED" w14:textId="77777777" w:rsidR="002850C6" w:rsidRPr="002850C6" w:rsidRDefault="002850C6" w:rsidP="002850C6">
            <w:pPr>
              <w:spacing w:before="60" w:after="60"/>
              <w:jc w:val="right"/>
              <w:rPr>
                <w:noProof/>
                <w:sz w:val="20"/>
              </w:rPr>
            </w:pPr>
            <w:r w:rsidRPr="002850C6">
              <w:rPr>
                <w:b/>
                <w:noProof/>
                <w:sz w:val="20"/>
              </w:rPr>
              <w:t>0,498</w:t>
            </w:r>
          </w:p>
        </w:tc>
        <w:tc>
          <w:tcPr>
            <w:tcW w:w="1276" w:type="dxa"/>
            <w:vAlign w:val="center"/>
          </w:tcPr>
          <w:p w14:paraId="2D27A4FF" w14:textId="77777777" w:rsidR="002850C6" w:rsidRPr="002850C6" w:rsidDel="00152EA9" w:rsidRDefault="002850C6" w:rsidP="002850C6">
            <w:pPr>
              <w:spacing w:before="60" w:after="60"/>
              <w:jc w:val="right"/>
              <w:rPr>
                <w:b/>
                <w:bCs/>
                <w:noProof/>
                <w:sz w:val="20"/>
              </w:rPr>
            </w:pPr>
            <w:r w:rsidRPr="002850C6">
              <w:rPr>
                <w:b/>
                <w:noProof/>
                <w:sz w:val="20"/>
              </w:rPr>
              <w:t>3,771</w:t>
            </w:r>
          </w:p>
        </w:tc>
      </w:tr>
    </w:tbl>
    <w:p w14:paraId="223A7C49" w14:textId="77777777" w:rsidR="002850C6" w:rsidRPr="002850C6" w:rsidRDefault="002850C6" w:rsidP="002850C6">
      <w:pPr>
        <w:spacing w:before="240"/>
        <w:rPr>
          <w:noProof/>
          <w:sz w:val="22"/>
          <w:u w:val="single"/>
        </w:rPr>
      </w:pPr>
      <w:r w:rsidRPr="002850C6">
        <w:rPr>
          <w:noProof/>
          <w:sz w:val="22"/>
          <w:u w:val="single"/>
        </w:rPr>
        <w:t>Crédits couverts par des redevances, le cas échéant, en Mio EUR (à la 3</w:t>
      </w:r>
      <w:r w:rsidRPr="002850C6">
        <w:rPr>
          <w:noProof/>
          <w:sz w:val="22"/>
          <w:u w:val="single"/>
          <w:vertAlign w:val="superscript"/>
        </w:rPr>
        <w:t>e</w:t>
      </w:r>
      <w:r w:rsidRPr="002850C6">
        <w:rPr>
          <w:noProof/>
          <w:sz w:val="22"/>
          <w:u w:val="single"/>
        </w:rPr>
        <w:t xml:space="preserve"> décimale)</w:t>
      </w: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2850C6" w:rsidRPr="002850C6" w14:paraId="154DA734" w14:textId="77777777" w:rsidTr="0043630B">
        <w:trPr>
          <w:cantSplit/>
        </w:trPr>
        <w:tc>
          <w:tcPr>
            <w:tcW w:w="3659" w:type="dxa"/>
            <w:vAlign w:val="center"/>
          </w:tcPr>
          <w:p w14:paraId="38BEBA43" w14:textId="77777777" w:rsidR="002850C6" w:rsidRPr="002850C6" w:rsidRDefault="002850C6" w:rsidP="002850C6">
            <w:pPr>
              <w:spacing w:before="60" w:after="60"/>
              <w:jc w:val="center"/>
              <w:rPr>
                <w:b/>
                <w:bCs/>
                <w:noProof/>
                <w:sz w:val="20"/>
                <w:szCs w:val="20"/>
                <w:shd w:val="clear" w:color="auto" w:fill="FFFFFF"/>
              </w:rPr>
            </w:pPr>
            <w:r w:rsidRPr="002850C6">
              <w:rPr>
                <w:b/>
                <w:noProof/>
                <w:sz w:val="20"/>
                <w:shd w:val="clear" w:color="auto" w:fill="FFFFFF"/>
              </w:rPr>
              <w:t>Agence: AFE</w:t>
            </w:r>
          </w:p>
        </w:tc>
        <w:tc>
          <w:tcPr>
            <w:tcW w:w="1141" w:type="dxa"/>
            <w:vAlign w:val="center"/>
          </w:tcPr>
          <w:p w14:paraId="07FC6998"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2025</w:t>
            </w:r>
          </w:p>
        </w:tc>
        <w:tc>
          <w:tcPr>
            <w:tcW w:w="1141" w:type="dxa"/>
            <w:vAlign w:val="center"/>
          </w:tcPr>
          <w:p w14:paraId="796BAA1B"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2026</w:t>
            </w:r>
          </w:p>
        </w:tc>
        <w:tc>
          <w:tcPr>
            <w:tcW w:w="1141" w:type="dxa"/>
            <w:vAlign w:val="center"/>
          </w:tcPr>
          <w:p w14:paraId="3269CF5C"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2027</w:t>
            </w:r>
          </w:p>
        </w:tc>
        <w:tc>
          <w:tcPr>
            <w:tcW w:w="1276" w:type="dxa"/>
            <w:vAlign w:val="center"/>
          </w:tcPr>
          <w:p w14:paraId="2044D883" w14:textId="77777777" w:rsidR="002850C6" w:rsidRPr="002850C6" w:rsidRDefault="002850C6" w:rsidP="002850C6">
            <w:pPr>
              <w:spacing w:before="60" w:after="60"/>
              <w:jc w:val="center"/>
              <w:rPr>
                <w:noProof/>
                <w:sz w:val="20"/>
                <w:szCs w:val="20"/>
              </w:rPr>
            </w:pPr>
            <w:r w:rsidRPr="002850C6">
              <w:rPr>
                <w:b/>
                <w:noProof/>
                <w:sz w:val="20"/>
              </w:rPr>
              <w:t>TOTAL 2021-2027</w:t>
            </w:r>
          </w:p>
        </w:tc>
        <w:tc>
          <w:tcPr>
            <w:tcW w:w="1276" w:type="dxa"/>
            <w:vAlign w:val="center"/>
          </w:tcPr>
          <w:p w14:paraId="0C32D623" w14:textId="77777777" w:rsidR="002850C6" w:rsidRPr="002850C6" w:rsidRDefault="002850C6" w:rsidP="002850C6">
            <w:pPr>
              <w:spacing w:before="60" w:after="60"/>
              <w:jc w:val="center"/>
              <w:rPr>
                <w:b/>
                <w:bCs/>
                <w:noProof/>
                <w:sz w:val="20"/>
                <w:szCs w:val="20"/>
              </w:rPr>
            </w:pPr>
            <w:r w:rsidRPr="002850C6">
              <w:rPr>
                <w:b/>
                <w:noProof/>
                <w:sz w:val="20"/>
              </w:rPr>
              <w:t>TOTAL 2028-2034</w:t>
            </w:r>
            <w:r w:rsidRPr="008F47E2">
              <w:rPr>
                <w:rStyle w:val="FootnoteReference"/>
                <w:noProof/>
              </w:rPr>
              <w:footnoteReference w:id="72"/>
            </w:r>
          </w:p>
        </w:tc>
      </w:tr>
      <w:tr w:rsidR="002850C6" w:rsidRPr="002850C6" w14:paraId="431C1B8B" w14:textId="77777777" w:rsidTr="0043630B">
        <w:trPr>
          <w:cantSplit/>
          <w:trHeight w:val="700"/>
        </w:trPr>
        <w:tc>
          <w:tcPr>
            <w:tcW w:w="3659" w:type="dxa"/>
            <w:vAlign w:val="center"/>
          </w:tcPr>
          <w:p w14:paraId="5F1428FD" w14:textId="77777777" w:rsidR="002850C6" w:rsidRPr="002850C6" w:rsidRDefault="002850C6" w:rsidP="002850C6">
            <w:pPr>
              <w:jc w:val="left"/>
              <w:rPr>
                <w:noProof/>
              </w:rPr>
            </w:pPr>
            <w:r w:rsidRPr="002850C6">
              <w:rPr>
                <w:noProof/>
                <w:sz w:val="20"/>
              </w:rPr>
              <w:t>Titre 1: Dépenses de personnel</w:t>
            </w:r>
          </w:p>
        </w:tc>
        <w:tc>
          <w:tcPr>
            <w:tcW w:w="1141" w:type="dxa"/>
            <w:vAlign w:val="center"/>
          </w:tcPr>
          <w:p w14:paraId="23756D78" w14:textId="77777777" w:rsidR="002850C6" w:rsidRPr="002850C6" w:rsidRDefault="002850C6" w:rsidP="002850C6">
            <w:pPr>
              <w:spacing w:before="60" w:after="60"/>
              <w:jc w:val="right"/>
              <w:rPr>
                <w:noProof/>
                <w:sz w:val="20"/>
              </w:rPr>
            </w:pPr>
          </w:p>
        </w:tc>
        <w:tc>
          <w:tcPr>
            <w:tcW w:w="1141" w:type="dxa"/>
            <w:vAlign w:val="center"/>
          </w:tcPr>
          <w:p w14:paraId="6AF55C39" w14:textId="77777777" w:rsidR="002850C6" w:rsidRPr="002850C6" w:rsidRDefault="002850C6" w:rsidP="002850C6">
            <w:pPr>
              <w:spacing w:before="60" w:after="60"/>
              <w:jc w:val="right"/>
              <w:rPr>
                <w:noProof/>
                <w:sz w:val="20"/>
              </w:rPr>
            </w:pPr>
          </w:p>
        </w:tc>
        <w:tc>
          <w:tcPr>
            <w:tcW w:w="1141" w:type="dxa"/>
            <w:vAlign w:val="center"/>
          </w:tcPr>
          <w:p w14:paraId="61DFE96C" w14:textId="77777777" w:rsidR="002850C6" w:rsidRPr="002850C6" w:rsidRDefault="002850C6" w:rsidP="002850C6">
            <w:pPr>
              <w:spacing w:before="60" w:after="60"/>
              <w:jc w:val="right"/>
              <w:rPr>
                <w:noProof/>
                <w:sz w:val="20"/>
              </w:rPr>
            </w:pPr>
            <w:r w:rsidRPr="002850C6">
              <w:rPr>
                <w:noProof/>
                <w:sz w:val="20"/>
              </w:rPr>
              <w:t>1,010</w:t>
            </w:r>
          </w:p>
        </w:tc>
        <w:tc>
          <w:tcPr>
            <w:tcW w:w="1276" w:type="dxa"/>
            <w:vAlign w:val="center"/>
          </w:tcPr>
          <w:p w14:paraId="660AB1AB" w14:textId="77777777" w:rsidR="002850C6" w:rsidRPr="002850C6" w:rsidRDefault="002850C6" w:rsidP="002850C6">
            <w:pPr>
              <w:spacing w:before="60" w:after="60"/>
              <w:jc w:val="right"/>
              <w:rPr>
                <w:noProof/>
                <w:sz w:val="20"/>
                <w:szCs w:val="20"/>
              </w:rPr>
            </w:pPr>
            <w:r w:rsidRPr="002850C6">
              <w:rPr>
                <w:b/>
                <w:noProof/>
                <w:sz w:val="20"/>
              </w:rPr>
              <w:t>1,010</w:t>
            </w:r>
          </w:p>
        </w:tc>
        <w:tc>
          <w:tcPr>
            <w:tcW w:w="1276" w:type="dxa"/>
            <w:vAlign w:val="center"/>
          </w:tcPr>
          <w:p w14:paraId="434EDA5E" w14:textId="77777777" w:rsidR="002850C6" w:rsidRPr="002850C6" w:rsidDel="00F72183" w:rsidRDefault="002850C6" w:rsidP="002850C6">
            <w:pPr>
              <w:spacing w:before="60" w:after="60"/>
              <w:jc w:val="right"/>
              <w:rPr>
                <w:b/>
                <w:noProof/>
                <w:sz w:val="20"/>
                <w:szCs w:val="20"/>
              </w:rPr>
            </w:pPr>
            <w:r w:rsidRPr="002850C6">
              <w:rPr>
                <w:b/>
                <w:noProof/>
                <w:sz w:val="20"/>
              </w:rPr>
              <w:t>7,658</w:t>
            </w:r>
          </w:p>
        </w:tc>
      </w:tr>
      <w:tr w:rsidR="002850C6" w:rsidRPr="002850C6" w14:paraId="55F7F2C6" w14:textId="77777777" w:rsidTr="0043630B">
        <w:trPr>
          <w:cantSplit/>
          <w:trHeight w:val="700"/>
        </w:trPr>
        <w:tc>
          <w:tcPr>
            <w:tcW w:w="3659" w:type="dxa"/>
            <w:vAlign w:val="center"/>
          </w:tcPr>
          <w:p w14:paraId="285983B5" w14:textId="77777777" w:rsidR="002850C6" w:rsidRPr="002850C6" w:rsidRDefault="002850C6" w:rsidP="002850C6">
            <w:pPr>
              <w:jc w:val="left"/>
              <w:rPr>
                <w:noProof/>
                <w:sz w:val="20"/>
              </w:rPr>
            </w:pPr>
            <w:r w:rsidRPr="002850C6">
              <w:rPr>
                <w:noProof/>
                <w:sz w:val="20"/>
              </w:rPr>
              <w:t>Titre 2: Dépenses d’infrastructure et de fonctionnement</w:t>
            </w:r>
          </w:p>
        </w:tc>
        <w:tc>
          <w:tcPr>
            <w:tcW w:w="1141" w:type="dxa"/>
            <w:vAlign w:val="center"/>
          </w:tcPr>
          <w:p w14:paraId="0D1E72ED" w14:textId="77777777" w:rsidR="002850C6" w:rsidRPr="002850C6" w:rsidRDefault="002850C6" w:rsidP="002850C6">
            <w:pPr>
              <w:spacing w:before="60" w:after="60"/>
              <w:jc w:val="right"/>
              <w:rPr>
                <w:noProof/>
                <w:sz w:val="20"/>
              </w:rPr>
            </w:pPr>
          </w:p>
        </w:tc>
        <w:tc>
          <w:tcPr>
            <w:tcW w:w="1141" w:type="dxa"/>
            <w:vAlign w:val="center"/>
          </w:tcPr>
          <w:p w14:paraId="642B9C1A" w14:textId="77777777" w:rsidR="002850C6" w:rsidRPr="002850C6" w:rsidRDefault="002850C6" w:rsidP="002850C6">
            <w:pPr>
              <w:spacing w:before="60" w:after="60"/>
              <w:jc w:val="right"/>
              <w:rPr>
                <w:noProof/>
                <w:sz w:val="20"/>
              </w:rPr>
            </w:pPr>
          </w:p>
        </w:tc>
        <w:tc>
          <w:tcPr>
            <w:tcW w:w="1141" w:type="dxa"/>
            <w:vAlign w:val="center"/>
          </w:tcPr>
          <w:p w14:paraId="78107F83" w14:textId="77777777" w:rsidR="002850C6" w:rsidRPr="002850C6" w:rsidRDefault="002850C6" w:rsidP="002850C6">
            <w:pPr>
              <w:spacing w:before="60" w:after="60"/>
              <w:jc w:val="right"/>
              <w:rPr>
                <w:noProof/>
                <w:sz w:val="20"/>
              </w:rPr>
            </w:pPr>
          </w:p>
        </w:tc>
        <w:tc>
          <w:tcPr>
            <w:tcW w:w="1276" w:type="dxa"/>
            <w:vAlign w:val="center"/>
          </w:tcPr>
          <w:p w14:paraId="2BF8BE46" w14:textId="77777777" w:rsidR="002850C6" w:rsidRPr="002850C6" w:rsidRDefault="002850C6" w:rsidP="002850C6">
            <w:pPr>
              <w:spacing w:before="60" w:after="60"/>
              <w:jc w:val="right"/>
              <w:rPr>
                <w:noProof/>
                <w:sz w:val="20"/>
                <w:szCs w:val="20"/>
              </w:rPr>
            </w:pPr>
            <w:r w:rsidRPr="002850C6">
              <w:rPr>
                <w:b/>
                <w:noProof/>
                <w:sz w:val="20"/>
              </w:rPr>
              <w:t>0,000</w:t>
            </w:r>
          </w:p>
        </w:tc>
        <w:tc>
          <w:tcPr>
            <w:tcW w:w="1276" w:type="dxa"/>
            <w:vAlign w:val="center"/>
          </w:tcPr>
          <w:p w14:paraId="00A85CAC" w14:textId="77777777" w:rsidR="002850C6" w:rsidRPr="002850C6" w:rsidRDefault="002850C6" w:rsidP="002850C6">
            <w:pPr>
              <w:spacing w:before="60" w:after="60"/>
              <w:jc w:val="right"/>
              <w:rPr>
                <w:b/>
                <w:bCs/>
                <w:noProof/>
                <w:sz w:val="20"/>
                <w:szCs w:val="20"/>
              </w:rPr>
            </w:pPr>
          </w:p>
        </w:tc>
      </w:tr>
      <w:tr w:rsidR="002850C6" w:rsidRPr="002850C6" w14:paraId="1F19DD04" w14:textId="77777777" w:rsidTr="0043630B">
        <w:trPr>
          <w:cantSplit/>
          <w:trHeight w:val="700"/>
        </w:trPr>
        <w:tc>
          <w:tcPr>
            <w:tcW w:w="3659" w:type="dxa"/>
            <w:vAlign w:val="center"/>
          </w:tcPr>
          <w:p w14:paraId="242969ED" w14:textId="77777777" w:rsidR="002850C6" w:rsidRPr="002850C6" w:rsidRDefault="002850C6" w:rsidP="002850C6">
            <w:pPr>
              <w:jc w:val="left"/>
              <w:rPr>
                <w:noProof/>
                <w:sz w:val="20"/>
              </w:rPr>
            </w:pPr>
            <w:r w:rsidRPr="002850C6">
              <w:rPr>
                <w:noProof/>
                <w:sz w:val="20"/>
              </w:rPr>
              <w:t>Titre 3: Dépenses opérationnelles</w:t>
            </w:r>
          </w:p>
        </w:tc>
        <w:tc>
          <w:tcPr>
            <w:tcW w:w="1141" w:type="dxa"/>
            <w:vAlign w:val="center"/>
          </w:tcPr>
          <w:p w14:paraId="63D17FCA" w14:textId="77777777" w:rsidR="002850C6" w:rsidRPr="002850C6" w:rsidRDefault="002850C6" w:rsidP="002850C6">
            <w:pPr>
              <w:spacing w:before="60" w:after="60"/>
              <w:jc w:val="right"/>
              <w:rPr>
                <w:noProof/>
                <w:sz w:val="20"/>
              </w:rPr>
            </w:pPr>
          </w:p>
        </w:tc>
        <w:tc>
          <w:tcPr>
            <w:tcW w:w="1141" w:type="dxa"/>
            <w:vAlign w:val="center"/>
          </w:tcPr>
          <w:p w14:paraId="7720484A" w14:textId="77777777" w:rsidR="002850C6" w:rsidRPr="002850C6" w:rsidRDefault="002850C6" w:rsidP="002850C6">
            <w:pPr>
              <w:spacing w:before="60" w:after="60"/>
              <w:jc w:val="right"/>
              <w:rPr>
                <w:noProof/>
                <w:sz w:val="20"/>
              </w:rPr>
            </w:pPr>
          </w:p>
        </w:tc>
        <w:tc>
          <w:tcPr>
            <w:tcW w:w="1141" w:type="dxa"/>
            <w:vAlign w:val="center"/>
          </w:tcPr>
          <w:p w14:paraId="2C822BE8" w14:textId="77777777" w:rsidR="002850C6" w:rsidRPr="002850C6" w:rsidRDefault="002850C6" w:rsidP="002850C6">
            <w:pPr>
              <w:spacing w:before="60" w:after="60"/>
              <w:jc w:val="right"/>
              <w:rPr>
                <w:noProof/>
                <w:sz w:val="20"/>
              </w:rPr>
            </w:pPr>
          </w:p>
        </w:tc>
        <w:tc>
          <w:tcPr>
            <w:tcW w:w="1276" w:type="dxa"/>
            <w:vAlign w:val="center"/>
          </w:tcPr>
          <w:p w14:paraId="18DB21D9" w14:textId="77777777" w:rsidR="002850C6" w:rsidRPr="002850C6" w:rsidRDefault="002850C6" w:rsidP="002850C6">
            <w:pPr>
              <w:spacing w:before="60" w:after="60"/>
              <w:jc w:val="right"/>
              <w:rPr>
                <w:noProof/>
                <w:sz w:val="20"/>
                <w:szCs w:val="20"/>
              </w:rPr>
            </w:pPr>
            <w:r w:rsidRPr="002850C6">
              <w:rPr>
                <w:b/>
                <w:noProof/>
                <w:sz w:val="20"/>
              </w:rPr>
              <w:t>0,000</w:t>
            </w:r>
          </w:p>
        </w:tc>
        <w:tc>
          <w:tcPr>
            <w:tcW w:w="1276" w:type="dxa"/>
            <w:vAlign w:val="center"/>
          </w:tcPr>
          <w:p w14:paraId="29AE4F03" w14:textId="77777777" w:rsidR="002850C6" w:rsidRPr="002850C6" w:rsidRDefault="002850C6" w:rsidP="002850C6">
            <w:pPr>
              <w:spacing w:before="60" w:after="60"/>
              <w:jc w:val="right"/>
              <w:rPr>
                <w:b/>
                <w:bCs/>
                <w:noProof/>
                <w:sz w:val="20"/>
                <w:szCs w:val="20"/>
              </w:rPr>
            </w:pPr>
          </w:p>
        </w:tc>
      </w:tr>
      <w:tr w:rsidR="002850C6" w:rsidRPr="002850C6" w14:paraId="5F83D7C3" w14:textId="77777777" w:rsidTr="0043630B">
        <w:trPr>
          <w:cantSplit/>
          <w:trHeight w:val="700"/>
        </w:trPr>
        <w:tc>
          <w:tcPr>
            <w:tcW w:w="3659" w:type="dxa"/>
            <w:vAlign w:val="center"/>
          </w:tcPr>
          <w:p w14:paraId="3E409B66" w14:textId="77777777" w:rsidR="002850C6" w:rsidRPr="002850C6" w:rsidRDefault="002850C6" w:rsidP="002850C6">
            <w:pPr>
              <w:spacing w:before="60" w:after="60"/>
              <w:jc w:val="left"/>
              <w:rPr>
                <w:b/>
                <w:bCs/>
                <w:noProof/>
                <w:sz w:val="20"/>
              </w:rPr>
            </w:pPr>
            <w:r w:rsidRPr="002850C6">
              <w:rPr>
                <w:b/>
                <w:noProof/>
                <w:sz w:val="20"/>
              </w:rPr>
              <w:t xml:space="preserve">TOTAL des crédits couverts par des redevances </w:t>
            </w:r>
          </w:p>
        </w:tc>
        <w:tc>
          <w:tcPr>
            <w:tcW w:w="1141" w:type="dxa"/>
            <w:vAlign w:val="center"/>
          </w:tcPr>
          <w:p w14:paraId="4F9673B1" w14:textId="77777777" w:rsidR="002850C6" w:rsidRPr="002850C6" w:rsidRDefault="002850C6" w:rsidP="002850C6">
            <w:pPr>
              <w:spacing w:before="60" w:after="60"/>
              <w:jc w:val="right"/>
              <w:rPr>
                <w:noProof/>
                <w:sz w:val="20"/>
              </w:rPr>
            </w:pPr>
            <w:r w:rsidRPr="002850C6">
              <w:rPr>
                <w:b/>
                <w:noProof/>
                <w:sz w:val="20"/>
              </w:rPr>
              <w:t>0,000</w:t>
            </w:r>
          </w:p>
        </w:tc>
        <w:tc>
          <w:tcPr>
            <w:tcW w:w="1141" w:type="dxa"/>
            <w:vAlign w:val="center"/>
          </w:tcPr>
          <w:p w14:paraId="59E12CC2" w14:textId="77777777" w:rsidR="002850C6" w:rsidRPr="002850C6" w:rsidRDefault="002850C6" w:rsidP="002850C6">
            <w:pPr>
              <w:spacing w:before="60" w:after="60"/>
              <w:jc w:val="right"/>
              <w:rPr>
                <w:noProof/>
                <w:sz w:val="20"/>
              </w:rPr>
            </w:pPr>
            <w:r w:rsidRPr="002850C6">
              <w:rPr>
                <w:b/>
                <w:noProof/>
                <w:sz w:val="20"/>
              </w:rPr>
              <w:t>0,000</w:t>
            </w:r>
          </w:p>
        </w:tc>
        <w:tc>
          <w:tcPr>
            <w:tcW w:w="1141" w:type="dxa"/>
            <w:vAlign w:val="center"/>
          </w:tcPr>
          <w:p w14:paraId="2E7EF80D" w14:textId="77777777" w:rsidR="002850C6" w:rsidRPr="002850C6" w:rsidRDefault="002850C6" w:rsidP="002850C6">
            <w:pPr>
              <w:spacing w:before="60" w:after="60"/>
              <w:jc w:val="right"/>
              <w:rPr>
                <w:noProof/>
                <w:sz w:val="20"/>
              </w:rPr>
            </w:pPr>
            <w:r w:rsidRPr="002850C6">
              <w:rPr>
                <w:b/>
                <w:noProof/>
                <w:sz w:val="20"/>
              </w:rPr>
              <w:t>1,010</w:t>
            </w:r>
          </w:p>
        </w:tc>
        <w:tc>
          <w:tcPr>
            <w:tcW w:w="1276" w:type="dxa"/>
            <w:vAlign w:val="center"/>
          </w:tcPr>
          <w:p w14:paraId="57FEE1F0" w14:textId="77777777" w:rsidR="002850C6" w:rsidRPr="002850C6" w:rsidRDefault="002850C6" w:rsidP="002850C6">
            <w:pPr>
              <w:spacing w:before="60" w:after="60"/>
              <w:jc w:val="right"/>
              <w:rPr>
                <w:noProof/>
                <w:sz w:val="20"/>
              </w:rPr>
            </w:pPr>
            <w:r w:rsidRPr="002850C6">
              <w:rPr>
                <w:b/>
                <w:noProof/>
                <w:sz w:val="20"/>
              </w:rPr>
              <w:t>1,010</w:t>
            </w:r>
          </w:p>
        </w:tc>
        <w:tc>
          <w:tcPr>
            <w:tcW w:w="1276" w:type="dxa"/>
            <w:vAlign w:val="center"/>
          </w:tcPr>
          <w:p w14:paraId="682E9E82" w14:textId="77777777" w:rsidR="002850C6" w:rsidRPr="002850C6" w:rsidRDefault="002850C6" w:rsidP="002850C6">
            <w:pPr>
              <w:spacing w:before="60" w:after="60"/>
              <w:jc w:val="right"/>
              <w:rPr>
                <w:b/>
                <w:bCs/>
                <w:noProof/>
                <w:sz w:val="20"/>
              </w:rPr>
            </w:pPr>
            <w:r w:rsidRPr="002850C6">
              <w:rPr>
                <w:b/>
                <w:noProof/>
                <w:sz w:val="20"/>
              </w:rPr>
              <w:t>7,658</w:t>
            </w:r>
          </w:p>
        </w:tc>
      </w:tr>
    </w:tbl>
    <w:p w14:paraId="5FF93B50" w14:textId="77777777" w:rsidR="002850C6" w:rsidRPr="002850C6" w:rsidRDefault="002850C6" w:rsidP="002850C6">
      <w:pPr>
        <w:spacing w:before="240"/>
        <w:rPr>
          <w:b/>
          <w:noProof/>
          <w:sz w:val="22"/>
          <w:u w:val="single"/>
        </w:rPr>
      </w:pP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2850C6" w:rsidRPr="002850C6" w14:paraId="373F660E" w14:textId="77777777" w:rsidTr="0043630B">
        <w:trPr>
          <w:cantSplit/>
        </w:trPr>
        <w:tc>
          <w:tcPr>
            <w:tcW w:w="3659" w:type="dxa"/>
            <w:vAlign w:val="center"/>
          </w:tcPr>
          <w:p w14:paraId="77656658" w14:textId="77777777" w:rsidR="002850C6" w:rsidRPr="002850C6" w:rsidRDefault="002850C6" w:rsidP="002850C6">
            <w:pPr>
              <w:spacing w:before="60" w:after="60"/>
              <w:jc w:val="center"/>
              <w:rPr>
                <w:b/>
                <w:bCs/>
                <w:noProof/>
                <w:sz w:val="20"/>
                <w:szCs w:val="20"/>
                <w:shd w:val="clear" w:color="auto" w:fill="FFFFFF"/>
              </w:rPr>
            </w:pPr>
            <w:r w:rsidRPr="002850C6">
              <w:rPr>
                <w:b/>
                <w:noProof/>
                <w:sz w:val="20"/>
                <w:shd w:val="clear" w:color="auto" w:fill="FFFFFF"/>
              </w:rPr>
              <w:t>Agence: AESA</w:t>
            </w:r>
          </w:p>
        </w:tc>
        <w:tc>
          <w:tcPr>
            <w:tcW w:w="1141" w:type="dxa"/>
            <w:vAlign w:val="center"/>
          </w:tcPr>
          <w:p w14:paraId="08142898"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2025</w:t>
            </w:r>
          </w:p>
        </w:tc>
        <w:tc>
          <w:tcPr>
            <w:tcW w:w="1141" w:type="dxa"/>
            <w:vAlign w:val="center"/>
          </w:tcPr>
          <w:p w14:paraId="086614FB"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2026</w:t>
            </w:r>
          </w:p>
        </w:tc>
        <w:tc>
          <w:tcPr>
            <w:tcW w:w="1141" w:type="dxa"/>
            <w:vAlign w:val="center"/>
          </w:tcPr>
          <w:p w14:paraId="4F3F98C8"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2027</w:t>
            </w:r>
          </w:p>
        </w:tc>
        <w:tc>
          <w:tcPr>
            <w:tcW w:w="1276" w:type="dxa"/>
            <w:vAlign w:val="center"/>
          </w:tcPr>
          <w:p w14:paraId="55D501F4" w14:textId="77777777" w:rsidR="002850C6" w:rsidRPr="002850C6" w:rsidRDefault="002850C6" w:rsidP="002850C6">
            <w:pPr>
              <w:spacing w:before="60" w:after="60"/>
              <w:jc w:val="center"/>
              <w:rPr>
                <w:noProof/>
                <w:sz w:val="20"/>
                <w:szCs w:val="20"/>
              </w:rPr>
            </w:pPr>
            <w:r w:rsidRPr="002850C6">
              <w:rPr>
                <w:b/>
                <w:noProof/>
                <w:sz w:val="20"/>
              </w:rPr>
              <w:t>TOTAL 2021-2027</w:t>
            </w:r>
          </w:p>
        </w:tc>
        <w:tc>
          <w:tcPr>
            <w:tcW w:w="1276" w:type="dxa"/>
            <w:vAlign w:val="center"/>
          </w:tcPr>
          <w:p w14:paraId="67B8CA8D" w14:textId="77777777" w:rsidR="002850C6" w:rsidRPr="002850C6" w:rsidRDefault="002850C6" w:rsidP="002850C6">
            <w:pPr>
              <w:spacing w:before="60" w:after="60"/>
              <w:jc w:val="right"/>
              <w:rPr>
                <w:b/>
                <w:noProof/>
                <w:sz w:val="20"/>
                <w:szCs w:val="20"/>
              </w:rPr>
            </w:pPr>
            <w:r w:rsidRPr="002850C6">
              <w:rPr>
                <w:b/>
                <w:noProof/>
                <w:sz w:val="20"/>
              </w:rPr>
              <w:t>TOTAL 2028-2034</w:t>
            </w:r>
            <w:r w:rsidRPr="008F47E2">
              <w:rPr>
                <w:rStyle w:val="FootnoteReference"/>
                <w:noProof/>
              </w:rPr>
              <w:footnoteReference w:id="73"/>
            </w:r>
          </w:p>
        </w:tc>
      </w:tr>
      <w:tr w:rsidR="002850C6" w:rsidRPr="002850C6" w14:paraId="257D1841" w14:textId="77777777" w:rsidTr="0043630B">
        <w:trPr>
          <w:cantSplit/>
          <w:trHeight w:val="700"/>
        </w:trPr>
        <w:tc>
          <w:tcPr>
            <w:tcW w:w="3659" w:type="dxa"/>
            <w:vAlign w:val="center"/>
          </w:tcPr>
          <w:p w14:paraId="163AF0F8" w14:textId="77777777" w:rsidR="002850C6" w:rsidRPr="002850C6" w:rsidRDefault="002850C6" w:rsidP="002850C6">
            <w:pPr>
              <w:jc w:val="left"/>
              <w:rPr>
                <w:noProof/>
              </w:rPr>
            </w:pPr>
            <w:r w:rsidRPr="002850C6">
              <w:rPr>
                <w:noProof/>
                <w:sz w:val="20"/>
              </w:rPr>
              <w:t>Titre 1: Dépenses de personnel</w:t>
            </w:r>
          </w:p>
        </w:tc>
        <w:tc>
          <w:tcPr>
            <w:tcW w:w="1141" w:type="dxa"/>
            <w:vAlign w:val="center"/>
          </w:tcPr>
          <w:p w14:paraId="6E3B1150" w14:textId="77777777" w:rsidR="002850C6" w:rsidRPr="002850C6" w:rsidRDefault="002850C6" w:rsidP="002850C6">
            <w:pPr>
              <w:spacing w:before="60" w:after="60"/>
              <w:jc w:val="right"/>
              <w:rPr>
                <w:noProof/>
                <w:sz w:val="20"/>
              </w:rPr>
            </w:pPr>
          </w:p>
        </w:tc>
        <w:tc>
          <w:tcPr>
            <w:tcW w:w="1141" w:type="dxa"/>
            <w:vAlign w:val="center"/>
          </w:tcPr>
          <w:p w14:paraId="6B14253E" w14:textId="77777777" w:rsidR="002850C6" w:rsidRPr="002850C6" w:rsidRDefault="002850C6" w:rsidP="002850C6">
            <w:pPr>
              <w:spacing w:before="60" w:after="60"/>
              <w:jc w:val="right"/>
              <w:rPr>
                <w:noProof/>
                <w:sz w:val="20"/>
              </w:rPr>
            </w:pPr>
          </w:p>
        </w:tc>
        <w:tc>
          <w:tcPr>
            <w:tcW w:w="1141" w:type="dxa"/>
            <w:vAlign w:val="center"/>
          </w:tcPr>
          <w:p w14:paraId="7EE5AD09" w14:textId="77777777" w:rsidR="002850C6" w:rsidRPr="002850C6" w:rsidRDefault="002850C6" w:rsidP="002850C6">
            <w:pPr>
              <w:spacing w:before="60" w:after="60"/>
              <w:jc w:val="right"/>
              <w:rPr>
                <w:noProof/>
                <w:sz w:val="20"/>
              </w:rPr>
            </w:pPr>
            <w:r w:rsidRPr="002850C6">
              <w:rPr>
                <w:noProof/>
                <w:sz w:val="20"/>
              </w:rPr>
              <w:t>0,498</w:t>
            </w:r>
          </w:p>
        </w:tc>
        <w:tc>
          <w:tcPr>
            <w:tcW w:w="1276" w:type="dxa"/>
            <w:vAlign w:val="center"/>
          </w:tcPr>
          <w:p w14:paraId="4C2C39AA" w14:textId="77777777" w:rsidR="002850C6" w:rsidRPr="002850C6" w:rsidRDefault="002850C6" w:rsidP="002850C6">
            <w:pPr>
              <w:spacing w:before="60" w:after="60"/>
              <w:jc w:val="right"/>
              <w:rPr>
                <w:noProof/>
                <w:sz w:val="20"/>
                <w:szCs w:val="20"/>
              </w:rPr>
            </w:pPr>
            <w:r w:rsidRPr="002850C6">
              <w:rPr>
                <w:b/>
                <w:noProof/>
                <w:sz w:val="20"/>
              </w:rPr>
              <w:t>0,498</w:t>
            </w:r>
          </w:p>
        </w:tc>
        <w:tc>
          <w:tcPr>
            <w:tcW w:w="1276" w:type="dxa"/>
            <w:vAlign w:val="center"/>
          </w:tcPr>
          <w:p w14:paraId="57AD114A" w14:textId="77777777" w:rsidR="002850C6" w:rsidRPr="002850C6" w:rsidDel="00F72183" w:rsidRDefault="002850C6" w:rsidP="002850C6">
            <w:pPr>
              <w:spacing w:before="60" w:after="60"/>
              <w:jc w:val="right"/>
              <w:rPr>
                <w:b/>
                <w:noProof/>
                <w:sz w:val="20"/>
                <w:szCs w:val="20"/>
              </w:rPr>
            </w:pPr>
            <w:r w:rsidRPr="002850C6">
              <w:rPr>
                <w:b/>
                <w:noProof/>
                <w:sz w:val="20"/>
              </w:rPr>
              <w:t>3,771</w:t>
            </w:r>
          </w:p>
        </w:tc>
      </w:tr>
      <w:tr w:rsidR="002850C6" w:rsidRPr="002850C6" w14:paraId="22B3B57A" w14:textId="77777777" w:rsidTr="0043630B">
        <w:trPr>
          <w:cantSplit/>
          <w:trHeight w:val="700"/>
        </w:trPr>
        <w:tc>
          <w:tcPr>
            <w:tcW w:w="3659" w:type="dxa"/>
            <w:vAlign w:val="center"/>
          </w:tcPr>
          <w:p w14:paraId="4B183D52" w14:textId="77777777" w:rsidR="002850C6" w:rsidRPr="002850C6" w:rsidRDefault="002850C6" w:rsidP="002850C6">
            <w:pPr>
              <w:jc w:val="left"/>
              <w:rPr>
                <w:noProof/>
                <w:sz w:val="20"/>
              </w:rPr>
            </w:pPr>
            <w:r w:rsidRPr="002850C6">
              <w:rPr>
                <w:noProof/>
                <w:sz w:val="20"/>
              </w:rPr>
              <w:t>Titre 2: Dépenses d’infrastructure et de fonctionnement</w:t>
            </w:r>
          </w:p>
        </w:tc>
        <w:tc>
          <w:tcPr>
            <w:tcW w:w="1141" w:type="dxa"/>
            <w:vAlign w:val="center"/>
          </w:tcPr>
          <w:p w14:paraId="7BF5461B" w14:textId="77777777" w:rsidR="002850C6" w:rsidRPr="002850C6" w:rsidRDefault="002850C6" w:rsidP="002850C6">
            <w:pPr>
              <w:spacing w:before="60" w:after="60"/>
              <w:jc w:val="right"/>
              <w:rPr>
                <w:noProof/>
                <w:sz w:val="20"/>
              </w:rPr>
            </w:pPr>
          </w:p>
        </w:tc>
        <w:tc>
          <w:tcPr>
            <w:tcW w:w="1141" w:type="dxa"/>
            <w:vAlign w:val="center"/>
          </w:tcPr>
          <w:p w14:paraId="0B8F796A" w14:textId="77777777" w:rsidR="002850C6" w:rsidRPr="002850C6" w:rsidRDefault="002850C6" w:rsidP="002850C6">
            <w:pPr>
              <w:spacing w:before="60" w:after="60"/>
              <w:jc w:val="right"/>
              <w:rPr>
                <w:noProof/>
                <w:sz w:val="20"/>
              </w:rPr>
            </w:pPr>
          </w:p>
        </w:tc>
        <w:tc>
          <w:tcPr>
            <w:tcW w:w="1141" w:type="dxa"/>
            <w:vAlign w:val="center"/>
          </w:tcPr>
          <w:p w14:paraId="1A3197E0" w14:textId="77777777" w:rsidR="002850C6" w:rsidRPr="002850C6" w:rsidRDefault="002850C6" w:rsidP="002850C6">
            <w:pPr>
              <w:spacing w:before="60" w:after="60"/>
              <w:jc w:val="right"/>
              <w:rPr>
                <w:noProof/>
                <w:sz w:val="20"/>
              </w:rPr>
            </w:pPr>
          </w:p>
        </w:tc>
        <w:tc>
          <w:tcPr>
            <w:tcW w:w="1276" w:type="dxa"/>
            <w:vAlign w:val="center"/>
          </w:tcPr>
          <w:p w14:paraId="7B9C20F9" w14:textId="77777777" w:rsidR="002850C6" w:rsidRPr="002850C6" w:rsidRDefault="002850C6" w:rsidP="002850C6">
            <w:pPr>
              <w:spacing w:before="60" w:after="60"/>
              <w:jc w:val="right"/>
              <w:rPr>
                <w:noProof/>
                <w:sz w:val="20"/>
                <w:szCs w:val="20"/>
              </w:rPr>
            </w:pPr>
            <w:r w:rsidRPr="002850C6">
              <w:rPr>
                <w:b/>
                <w:noProof/>
                <w:sz w:val="20"/>
              </w:rPr>
              <w:t>0,000</w:t>
            </w:r>
          </w:p>
        </w:tc>
        <w:tc>
          <w:tcPr>
            <w:tcW w:w="1276" w:type="dxa"/>
            <w:vAlign w:val="center"/>
          </w:tcPr>
          <w:p w14:paraId="2FA9DDEE" w14:textId="77777777" w:rsidR="002850C6" w:rsidRPr="002850C6" w:rsidRDefault="002850C6" w:rsidP="002850C6">
            <w:pPr>
              <w:spacing w:before="60" w:after="60"/>
              <w:jc w:val="right"/>
              <w:rPr>
                <w:b/>
                <w:noProof/>
                <w:sz w:val="20"/>
                <w:szCs w:val="20"/>
              </w:rPr>
            </w:pPr>
          </w:p>
        </w:tc>
      </w:tr>
      <w:tr w:rsidR="002850C6" w:rsidRPr="002850C6" w14:paraId="6D11FA2C" w14:textId="77777777" w:rsidTr="0043630B">
        <w:trPr>
          <w:cantSplit/>
          <w:trHeight w:val="700"/>
        </w:trPr>
        <w:tc>
          <w:tcPr>
            <w:tcW w:w="3659" w:type="dxa"/>
            <w:vAlign w:val="center"/>
          </w:tcPr>
          <w:p w14:paraId="6345BDC5" w14:textId="77777777" w:rsidR="002850C6" w:rsidRPr="002850C6" w:rsidRDefault="002850C6" w:rsidP="002850C6">
            <w:pPr>
              <w:jc w:val="left"/>
              <w:rPr>
                <w:noProof/>
                <w:sz w:val="20"/>
              </w:rPr>
            </w:pPr>
            <w:r w:rsidRPr="002850C6">
              <w:rPr>
                <w:noProof/>
                <w:sz w:val="20"/>
              </w:rPr>
              <w:t>Titre 3: Dépenses opérationnelles</w:t>
            </w:r>
          </w:p>
        </w:tc>
        <w:tc>
          <w:tcPr>
            <w:tcW w:w="1141" w:type="dxa"/>
            <w:vAlign w:val="center"/>
          </w:tcPr>
          <w:p w14:paraId="058E0E1B" w14:textId="77777777" w:rsidR="002850C6" w:rsidRPr="002850C6" w:rsidRDefault="002850C6" w:rsidP="002850C6">
            <w:pPr>
              <w:spacing w:before="60" w:after="60"/>
              <w:jc w:val="right"/>
              <w:rPr>
                <w:noProof/>
                <w:sz w:val="20"/>
              </w:rPr>
            </w:pPr>
          </w:p>
        </w:tc>
        <w:tc>
          <w:tcPr>
            <w:tcW w:w="1141" w:type="dxa"/>
            <w:vAlign w:val="center"/>
          </w:tcPr>
          <w:p w14:paraId="35BFC5A0" w14:textId="77777777" w:rsidR="002850C6" w:rsidRPr="002850C6" w:rsidRDefault="002850C6" w:rsidP="002850C6">
            <w:pPr>
              <w:spacing w:before="60" w:after="60"/>
              <w:jc w:val="right"/>
              <w:rPr>
                <w:noProof/>
                <w:sz w:val="20"/>
              </w:rPr>
            </w:pPr>
          </w:p>
        </w:tc>
        <w:tc>
          <w:tcPr>
            <w:tcW w:w="1141" w:type="dxa"/>
            <w:vAlign w:val="center"/>
          </w:tcPr>
          <w:p w14:paraId="190D5E39" w14:textId="77777777" w:rsidR="002850C6" w:rsidRPr="002850C6" w:rsidRDefault="002850C6" w:rsidP="002850C6">
            <w:pPr>
              <w:spacing w:before="60" w:after="60"/>
              <w:jc w:val="right"/>
              <w:rPr>
                <w:noProof/>
                <w:sz w:val="20"/>
              </w:rPr>
            </w:pPr>
          </w:p>
        </w:tc>
        <w:tc>
          <w:tcPr>
            <w:tcW w:w="1276" w:type="dxa"/>
            <w:vAlign w:val="center"/>
          </w:tcPr>
          <w:p w14:paraId="30E4750B" w14:textId="77777777" w:rsidR="002850C6" w:rsidRPr="002850C6" w:rsidRDefault="002850C6" w:rsidP="002850C6">
            <w:pPr>
              <w:spacing w:before="60" w:after="60"/>
              <w:jc w:val="right"/>
              <w:rPr>
                <w:noProof/>
                <w:sz w:val="20"/>
                <w:szCs w:val="20"/>
              </w:rPr>
            </w:pPr>
            <w:r w:rsidRPr="002850C6">
              <w:rPr>
                <w:b/>
                <w:noProof/>
                <w:sz w:val="20"/>
              </w:rPr>
              <w:t>0,000</w:t>
            </w:r>
          </w:p>
        </w:tc>
        <w:tc>
          <w:tcPr>
            <w:tcW w:w="1276" w:type="dxa"/>
            <w:vAlign w:val="center"/>
          </w:tcPr>
          <w:p w14:paraId="476AF3A6" w14:textId="77777777" w:rsidR="002850C6" w:rsidRPr="002850C6" w:rsidRDefault="002850C6" w:rsidP="002850C6">
            <w:pPr>
              <w:spacing w:before="60" w:after="60"/>
              <w:jc w:val="right"/>
              <w:rPr>
                <w:b/>
                <w:noProof/>
                <w:sz w:val="20"/>
                <w:szCs w:val="20"/>
              </w:rPr>
            </w:pPr>
          </w:p>
        </w:tc>
      </w:tr>
      <w:tr w:rsidR="002850C6" w:rsidRPr="002850C6" w14:paraId="616B99CB" w14:textId="77777777" w:rsidTr="0043630B">
        <w:trPr>
          <w:cantSplit/>
          <w:trHeight w:val="700"/>
        </w:trPr>
        <w:tc>
          <w:tcPr>
            <w:tcW w:w="3659" w:type="dxa"/>
            <w:vAlign w:val="center"/>
          </w:tcPr>
          <w:p w14:paraId="65B76623" w14:textId="77777777" w:rsidR="002850C6" w:rsidRPr="002850C6" w:rsidRDefault="002850C6" w:rsidP="002850C6">
            <w:pPr>
              <w:spacing w:before="60" w:after="60"/>
              <w:jc w:val="left"/>
              <w:rPr>
                <w:b/>
                <w:noProof/>
                <w:sz w:val="20"/>
              </w:rPr>
            </w:pPr>
            <w:r w:rsidRPr="002850C6">
              <w:rPr>
                <w:b/>
                <w:noProof/>
                <w:sz w:val="20"/>
              </w:rPr>
              <w:t xml:space="preserve">TOTAL des crédits couverts par des redevances </w:t>
            </w:r>
          </w:p>
        </w:tc>
        <w:tc>
          <w:tcPr>
            <w:tcW w:w="1141" w:type="dxa"/>
            <w:vAlign w:val="center"/>
          </w:tcPr>
          <w:p w14:paraId="47D64C2B" w14:textId="77777777" w:rsidR="002850C6" w:rsidRPr="002850C6" w:rsidRDefault="002850C6" w:rsidP="002850C6">
            <w:pPr>
              <w:spacing w:before="60" w:after="60"/>
              <w:jc w:val="right"/>
              <w:rPr>
                <w:noProof/>
                <w:sz w:val="20"/>
              </w:rPr>
            </w:pPr>
            <w:r w:rsidRPr="002850C6">
              <w:rPr>
                <w:b/>
                <w:noProof/>
                <w:sz w:val="20"/>
              </w:rPr>
              <w:t>0,000</w:t>
            </w:r>
          </w:p>
        </w:tc>
        <w:tc>
          <w:tcPr>
            <w:tcW w:w="1141" w:type="dxa"/>
            <w:vAlign w:val="center"/>
          </w:tcPr>
          <w:p w14:paraId="0334E657" w14:textId="77777777" w:rsidR="002850C6" w:rsidRPr="002850C6" w:rsidRDefault="002850C6" w:rsidP="002850C6">
            <w:pPr>
              <w:spacing w:before="60" w:after="60"/>
              <w:jc w:val="right"/>
              <w:rPr>
                <w:noProof/>
                <w:sz w:val="20"/>
              </w:rPr>
            </w:pPr>
            <w:r w:rsidRPr="002850C6">
              <w:rPr>
                <w:b/>
                <w:noProof/>
                <w:sz w:val="20"/>
              </w:rPr>
              <w:t>0,000</w:t>
            </w:r>
          </w:p>
        </w:tc>
        <w:tc>
          <w:tcPr>
            <w:tcW w:w="1141" w:type="dxa"/>
            <w:vAlign w:val="center"/>
          </w:tcPr>
          <w:p w14:paraId="1F754D7B" w14:textId="77777777" w:rsidR="002850C6" w:rsidRPr="002850C6" w:rsidRDefault="002850C6" w:rsidP="002850C6">
            <w:pPr>
              <w:spacing w:before="60" w:after="60"/>
              <w:jc w:val="right"/>
              <w:rPr>
                <w:noProof/>
                <w:sz w:val="20"/>
              </w:rPr>
            </w:pPr>
            <w:r w:rsidRPr="002850C6">
              <w:rPr>
                <w:b/>
                <w:noProof/>
                <w:sz w:val="20"/>
              </w:rPr>
              <w:t>0,498</w:t>
            </w:r>
          </w:p>
        </w:tc>
        <w:tc>
          <w:tcPr>
            <w:tcW w:w="1276" w:type="dxa"/>
            <w:vAlign w:val="center"/>
          </w:tcPr>
          <w:p w14:paraId="722A3229" w14:textId="77777777" w:rsidR="002850C6" w:rsidRPr="002850C6" w:rsidRDefault="002850C6" w:rsidP="002850C6">
            <w:pPr>
              <w:spacing w:before="60" w:after="60"/>
              <w:jc w:val="right"/>
              <w:rPr>
                <w:noProof/>
                <w:sz w:val="20"/>
              </w:rPr>
            </w:pPr>
            <w:r w:rsidRPr="002850C6">
              <w:rPr>
                <w:b/>
                <w:noProof/>
                <w:sz w:val="20"/>
              </w:rPr>
              <w:t>0,498</w:t>
            </w:r>
          </w:p>
        </w:tc>
        <w:tc>
          <w:tcPr>
            <w:tcW w:w="1276" w:type="dxa"/>
            <w:vAlign w:val="center"/>
          </w:tcPr>
          <w:p w14:paraId="57D354DD" w14:textId="77777777" w:rsidR="002850C6" w:rsidRPr="002850C6" w:rsidRDefault="002850C6" w:rsidP="002850C6">
            <w:pPr>
              <w:spacing w:before="60" w:after="60"/>
              <w:jc w:val="right"/>
              <w:rPr>
                <w:b/>
                <w:noProof/>
                <w:sz w:val="20"/>
              </w:rPr>
            </w:pPr>
            <w:r w:rsidRPr="002850C6">
              <w:rPr>
                <w:b/>
                <w:noProof/>
                <w:sz w:val="20"/>
              </w:rPr>
              <w:t>3,771</w:t>
            </w:r>
          </w:p>
        </w:tc>
      </w:tr>
    </w:tbl>
    <w:p w14:paraId="77F7F615" w14:textId="77777777" w:rsidR="002850C6" w:rsidRPr="002850C6" w:rsidRDefault="002850C6" w:rsidP="002850C6">
      <w:pPr>
        <w:spacing w:before="240"/>
        <w:rPr>
          <w:b/>
          <w:bCs/>
          <w:noProof/>
          <w:sz w:val="22"/>
          <w:u w:val="single"/>
        </w:rPr>
      </w:pPr>
      <w:r w:rsidRPr="002850C6">
        <w:rPr>
          <w:b/>
          <w:noProof/>
          <w:sz w:val="22"/>
          <w:u w:val="single"/>
        </w:rPr>
        <w:t xml:space="preserve">Vue d’ensemble/synthèse des ressources humaines et des crédits (en Mio EUR) nécessaires à la proposition/l’initiative dans un organisme décentralisé </w:t>
      </w: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2850C6" w:rsidRPr="002850C6" w14:paraId="693966C3" w14:textId="77777777" w:rsidTr="0043630B">
        <w:trPr>
          <w:cantSplit/>
        </w:trPr>
        <w:tc>
          <w:tcPr>
            <w:tcW w:w="3659" w:type="dxa"/>
            <w:vAlign w:val="center"/>
          </w:tcPr>
          <w:p w14:paraId="7EA86EB3" w14:textId="77777777" w:rsidR="002850C6" w:rsidRPr="002850C6" w:rsidRDefault="002850C6" w:rsidP="002850C6">
            <w:pPr>
              <w:spacing w:before="60" w:after="60"/>
              <w:jc w:val="center"/>
              <w:rPr>
                <w:b/>
                <w:bCs/>
                <w:noProof/>
                <w:sz w:val="20"/>
              </w:rPr>
            </w:pPr>
            <w:r w:rsidRPr="002850C6">
              <w:rPr>
                <w:b/>
                <w:noProof/>
                <w:sz w:val="20"/>
                <w:shd w:val="clear" w:color="auto" w:fill="FFFFFF"/>
              </w:rPr>
              <w:t>Agence: AFE</w:t>
            </w:r>
          </w:p>
        </w:tc>
        <w:tc>
          <w:tcPr>
            <w:tcW w:w="1141" w:type="dxa"/>
            <w:vAlign w:val="center"/>
          </w:tcPr>
          <w:p w14:paraId="1EABB899"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2025</w:t>
            </w:r>
          </w:p>
        </w:tc>
        <w:tc>
          <w:tcPr>
            <w:tcW w:w="1141" w:type="dxa"/>
            <w:vAlign w:val="center"/>
          </w:tcPr>
          <w:p w14:paraId="3CD58AE4"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2026</w:t>
            </w:r>
          </w:p>
        </w:tc>
        <w:tc>
          <w:tcPr>
            <w:tcW w:w="1141" w:type="dxa"/>
            <w:vAlign w:val="center"/>
          </w:tcPr>
          <w:p w14:paraId="673E2757"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2027</w:t>
            </w:r>
          </w:p>
        </w:tc>
        <w:tc>
          <w:tcPr>
            <w:tcW w:w="1276" w:type="dxa"/>
            <w:vAlign w:val="center"/>
          </w:tcPr>
          <w:p w14:paraId="56781EA1" w14:textId="77777777" w:rsidR="002850C6" w:rsidRPr="002850C6" w:rsidRDefault="002850C6" w:rsidP="002850C6">
            <w:pPr>
              <w:spacing w:before="60" w:after="60"/>
              <w:jc w:val="center"/>
              <w:rPr>
                <w:noProof/>
                <w:sz w:val="20"/>
                <w:szCs w:val="20"/>
              </w:rPr>
            </w:pPr>
            <w:r w:rsidRPr="002850C6">
              <w:rPr>
                <w:b/>
                <w:noProof/>
                <w:sz w:val="20"/>
              </w:rPr>
              <w:t>TOTAL 2021-2027</w:t>
            </w:r>
          </w:p>
        </w:tc>
        <w:tc>
          <w:tcPr>
            <w:tcW w:w="1276" w:type="dxa"/>
            <w:vAlign w:val="center"/>
          </w:tcPr>
          <w:p w14:paraId="593BE126" w14:textId="77777777" w:rsidR="002850C6" w:rsidRPr="002850C6" w:rsidRDefault="002850C6" w:rsidP="002850C6">
            <w:pPr>
              <w:spacing w:before="60" w:after="60"/>
              <w:jc w:val="center"/>
              <w:rPr>
                <w:b/>
                <w:bCs/>
                <w:noProof/>
                <w:sz w:val="20"/>
                <w:szCs w:val="20"/>
              </w:rPr>
            </w:pPr>
            <w:r w:rsidRPr="002850C6">
              <w:rPr>
                <w:b/>
                <w:noProof/>
                <w:sz w:val="20"/>
              </w:rPr>
              <w:t>TOTAL CFP 2028-2034</w:t>
            </w:r>
          </w:p>
        </w:tc>
      </w:tr>
      <w:tr w:rsidR="002850C6" w:rsidRPr="002850C6" w14:paraId="357202EC" w14:textId="77777777" w:rsidTr="0043630B">
        <w:trPr>
          <w:cantSplit/>
          <w:trHeight w:val="700"/>
        </w:trPr>
        <w:tc>
          <w:tcPr>
            <w:tcW w:w="3659" w:type="dxa"/>
            <w:vAlign w:val="center"/>
          </w:tcPr>
          <w:p w14:paraId="5A283F9F" w14:textId="77777777" w:rsidR="002850C6" w:rsidRPr="002850C6" w:rsidRDefault="002850C6" w:rsidP="002850C6">
            <w:pPr>
              <w:jc w:val="left"/>
              <w:rPr>
                <w:noProof/>
              </w:rPr>
            </w:pPr>
            <w:r w:rsidRPr="002850C6">
              <w:rPr>
                <w:noProof/>
                <w:sz w:val="20"/>
              </w:rPr>
              <w:t>Agents temporaires (AD+AST)</w:t>
            </w:r>
          </w:p>
        </w:tc>
        <w:tc>
          <w:tcPr>
            <w:tcW w:w="1141" w:type="dxa"/>
            <w:vAlign w:val="center"/>
          </w:tcPr>
          <w:p w14:paraId="551DAF78"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6EE18055"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5C0532BD" w14:textId="77777777" w:rsidR="002850C6" w:rsidRPr="002850C6" w:rsidRDefault="002850C6" w:rsidP="002850C6">
            <w:pPr>
              <w:spacing w:before="60" w:after="60"/>
              <w:jc w:val="right"/>
              <w:rPr>
                <w:noProof/>
                <w:sz w:val="20"/>
                <w:szCs w:val="20"/>
              </w:rPr>
            </w:pPr>
            <w:r w:rsidRPr="002850C6">
              <w:rPr>
                <w:noProof/>
                <w:sz w:val="20"/>
              </w:rPr>
              <w:t>9</w:t>
            </w:r>
          </w:p>
        </w:tc>
        <w:tc>
          <w:tcPr>
            <w:tcW w:w="1276" w:type="dxa"/>
            <w:vAlign w:val="center"/>
          </w:tcPr>
          <w:p w14:paraId="4E787239" w14:textId="77777777" w:rsidR="002850C6" w:rsidRPr="002850C6" w:rsidRDefault="002850C6" w:rsidP="002850C6">
            <w:pPr>
              <w:spacing w:before="60" w:after="60"/>
              <w:jc w:val="right"/>
              <w:rPr>
                <w:b/>
                <w:bCs/>
                <w:noProof/>
                <w:sz w:val="20"/>
                <w:szCs w:val="20"/>
              </w:rPr>
            </w:pPr>
            <w:r w:rsidRPr="002850C6">
              <w:rPr>
                <w:b/>
                <w:noProof/>
                <w:sz w:val="20"/>
              </w:rPr>
              <w:t>9</w:t>
            </w:r>
          </w:p>
        </w:tc>
        <w:tc>
          <w:tcPr>
            <w:tcW w:w="1276" w:type="dxa"/>
            <w:vAlign w:val="center"/>
          </w:tcPr>
          <w:p w14:paraId="7DC2CE51" w14:textId="77777777" w:rsidR="002850C6" w:rsidRPr="002850C6" w:rsidRDefault="002850C6" w:rsidP="002850C6">
            <w:pPr>
              <w:spacing w:before="60" w:after="60"/>
              <w:jc w:val="right"/>
              <w:rPr>
                <w:b/>
                <w:bCs/>
                <w:noProof/>
                <w:sz w:val="20"/>
                <w:szCs w:val="20"/>
              </w:rPr>
            </w:pPr>
            <w:r w:rsidRPr="002850C6">
              <w:rPr>
                <w:b/>
                <w:noProof/>
                <w:sz w:val="20"/>
              </w:rPr>
              <w:t>9</w:t>
            </w:r>
          </w:p>
        </w:tc>
      </w:tr>
      <w:tr w:rsidR="002850C6" w:rsidRPr="002850C6" w14:paraId="65C367D7" w14:textId="77777777" w:rsidTr="0043630B">
        <w:trPr>
          <w:cantSplit/>
          <w:trHeight w:val="700"/>
        </w:trPr>
        <w:tc>
          <w:tcPr>
            <w:tcW w:w="3659" w:type="dxa"/>
            <w:vAlign w:val="center"/>
          </w:tcPr>
          <w:p w14:paraId="71E6D732" w14:textId="77777777" w:rsidR="002850C6" w:rsidRPr="002850C6" w:rsidRDefault="002850C6" w:rsidP="002850C6">
            <w:pPr>
              <w:jc w:val="left"/>
              <w:rPr>
                <w:noProof/>
                <w:sz w:val="20"/>
              </w:rPr>
            </w:pPr>
            <w:r w:rsidRPr="002850C6">
              <w:rPr>
                <w:noProof/>
                <w:sz w:val="20"/>
              </w:rPr>
              <w:t>Agents contractuels</w:t>
            </w:r>
          </w:p>
        </w:tc>
        <w:tc>
          <w:tcPr>
            <w:tcW w:w="1141" w:type="dxa"/>
            <w:vAlign w:val="center"/>
          </w:tcPr>
          <w:p w14:paraId="3FDA9399"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3F5D26EE"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73AB43D6" w14:textId="77777777" w:rsidR="002850C6" w:rsidRPr="002850C6" w:rsidRDefault="002850C6" w:rsidP="002850C6">
            <w:pPr>
              <w:spacing w:before="60" w:after="60"/>
              <w:jc w:val="right"/>
              <w:rPr>
                <w:noProof/>
                <w:sz w:val="20"/>
                <w:szCs w:val="20"/>
              </w:rPr>
            </w:pPr>
            <w:r w:rsidRPr="002850C6">
              <w:rPr>
                <w:noProof/>
                <w:sz w:val="20"/>
              </w:rPr>
              <w:t>3</w:t>
            </w:r>
          </w:p>
        </w:tc>
        <w:tc>
          <w:tcPr>
            <w:tcW w:w="1276" w:type="dxa"/>
            <w:vAlign w:val="center"/>
          </w:tcPr>
          <w:p w14:paraId="0C565E9C" w14:textId="77777777" w:rsidR="002850C6" w:rsidRPr="002850C6" w:rsidRDefault="002850C6" w:rsidP="002850C6">
            <w:pPr>
              <w:spacing w:before="60" w:after="60"/>
              <w:jc w:val="right"/>
              <w:rPr>
                <w:b/>
                <w:bCs/>
                <w:noProof/>
                <w:sz w:val="20"/>
                <w:szCs w:val="20"/>
              </w:rPr>
            </w:pPr>
            <w:r w:rsidRPr="002850C6">
              <w:rPr>
                <w:b/>
                <w:noProof/>
                <w:sz w:val="20"/>
              </w:rPr>
              <w:t>3</w:t>
            </w:r>
          </w:p>
        </w:tc>
        <w:tc>
          <w:tcPr>
            <w:tcW w:w="1276" w:type="dxa"/>
            <w:vAlign w:val="center"/>
          </w:tcPr>
          <w:p w14:paraId="68782F81" w14:textId="77777777" w:rsidR="002850C6" w:rsidRPr="002850C6" w:rsidDel="00005E5C" w:rsidRDefault="002850C6" w:rsidP="002850C6">
            <w:pPr>
              <w:spacing w:before="60" w:after="60"/>
              <w:jc w:val="right"/>
              <w:rPr>
                <w:b/>
                <w:bCs/>
                <w:noProof/>
                <w:sz w:val="20"/>
                <w:szCs w:val="20"/>
              </w:rPr>
            </w:pPr>
            <w:r w:rsidRPr="002850C6">
              <w:rPr>
                <w:b/>
                <w:noProof/>
                <w:sz w:val="20"/>
              </w:rPr>
              <w:t>3</w:t>
            </w:r>
          </w:p>
        </w:tc>
      </w:tr>
      <w:tr w:rsidR="002850C6" w:rsidRPr="002850C6" w14:paraId="6065EF08" w14:textId="77777777" w:rsidTr="0043630B">
        <w:trPr>
          <w:cantSplit/>
          <w:trHeight w:val="700"/>
        </w:trPr>
        <w:tc>
          <w:tcPr>
            <w:tcW w:w="3659" w:type="dxa"/>
            <w:vAlign w:val="center"/>
          </w:tcPr>
          <w:p w14:paraId="1473863D" w14:textId="77777777" w:rsidR="002850C6" w:rsidRPr="002850C6" w:rsidRDefault="002850C6" w:rsidP="002850C6">
            <w:pPr>
              <w:jc w:val="left"/>
              <w:rPr>
                <w:noProof/>
                <w:sz w:val="20"/>
              </w:rPr>
            </w:pPr>
            <w:r w:rsidRPr="002850C6">
              <w:rPr>
                <w:noProof/>
                <w:sz w:val="20"/>
              </w:rPr>
              <w:t>Experts nationaux détachés</w:t>
            </w:r>
          </w:p>
        </w:tc>
        <w:tc>
          <w:tcPr>
            <w:tcW w:w="1141" w:type="dxa"/>
            <w:vAlign w:val="center"/>
          </w:tcPr>
          <w:p w14:paraId="2EF1918D"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04699B54"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62789578" w14:textId="77777777" w:rsidR="002850C6" w:rsidRPr="002850C6" w:rsidRDefault="002850C6" w:rsidP="002850C6">
            <w:pPr>
              <w:spacing w:before="60" w:after="60"/>
              <w:jc w:val="right"/>
              <w:rPr>
                <w:noProof/>
                <w:sz w:val="20"/>
                <w:szCs w:val="20"/>
              </w:rPr>
            </w:pPr>
            <w:r w:rsidRPr="002850C6">
              <w:rPr>
                <w:noProof/>
                <w:sz w:val="20"/>
              </w:rPr>
              <w:t>0</w:t>
            </w:r>
          </w:p>
        </w:tc>
        <w:tc>
          <w:tcPr>
            <w:tcW w:w="1276" w:type="dxa"/>
            <w:vAlign w:val="center"/>
          </w:tcPr>
          <w:p w14:paraId="470B0006" w14:textId="77777777" w:rsidR="002850C6" w:rsidRPr="002850C6" w:rsidRDefault="002850C6" w:rsidP="002850C6">
            <w:pPr>
              <w:spacing w:before="60" w:after="60"/>
              <w:jc w:val="right"/>
              <w:rPr>
                <w:b/>
                <w:bCs/>
                <w:noProof/>
                <w:sz w:val="20"/>
                <w:szCs w:val="20"/>
              </w:rPr>
            </w:pPr>
            <w:r w:rsidRPr="002850C6">
              <w:rPr>
                <w:b/>
                <w:noProof/>
                <w:sz w:val="20"/>
              </w:rPr>
              <w:t>0</w:t>
            </w:r>
          </w:p>
        </w:tc>
        <w:tc>
          <w:tcPr>
            <w:tcW w:w="1276" w:type="dxa"/>
            <w:vAlign w:val="center"/>
          </w:tcPr>
          <w:p w14:paraId="0C0CC172" w14:textId="77777777" w:rsidR="002850C6" w:rsidRPr="002850C6" w:rsidRDefault="002850C6" w:rsidP="002850C6">
            <w:pPr>
              <w:spacing w:before="60" w:after="60"/>
              <w:jc w:val="right"/>
              <w:rPr>
                <w:b/>
                <w:bCs/>
                <w:noProof/>
                <w:sz w:val="20"/>
                <w:szCs w:val="20"/>
              </w:rPr>
            </w:pPr>
            <w:r w:rsidRPr="002850C6">
              <w:rPr>
                <w:b/>
                <w:noProof/>
                <w:sz w:val="20"/>
              </w:rPr>
              <w:t>0</w:t>
            </w:r>
          </w:p>
        </w:tc>
      </w:tr>
      <w:tr w:rsidR="002850C6" w:rsidRPr="002850C6" w14:paraId="6FB5CDBA" w14:textId="77777777" w:rsidTr="0043630B">
        <w:trPr>
          <w:cantSplit/>
          <w:trHeight w:val="700"/>
        </w:trPr>
        <w:tc>
          <w:tcPr>
            <w:tcW w:w="3659" w:type="dxa"/>
            <w:vAlign w:val="center"/>
          </w:tcPr>
          <w:p w14:paraId="418FDDB9" w14:textId="77777777" w:rsidR="002850C6" w:rsidRPr="002850C6" w:rsidRDefault="002850C6" w:rsidP="002850C6">
            <w:pPr>
              <w:spacing w:before="60" w:after="60"/>
              <w:jc w:val="left"/>
              <w:rPr>
                <w:b/>
                <w:bCs/>
                <w:noProof/>
                <w:sz w:val="20"/>
              </w:rPr>
            </w:pPr>
            <w:r w:rsidRPr="002850C6">
              <w:rPr>
                <w:b/>
                <w:noProof/>
                <w:sz w:val="20"/>
              </w:rPr>
              <w:t>Total des effectifs</w:t>
            </w:r>
          </w:p>
        </w:tc>
        <w:tc>
          <w:tcPr>
            <w:tcW w:w="1141" w:type="dxa"/>
            <w:vAlign w:val="center"/>
          </w:tcPr>
          <w:p w14:paraId="4739D78D" w14:textId="77777777" w:rsidR="002850C6" w:rsidRPr="002850C6" w:rsidRDefault="002850C6" w:rsidP="002850C6">
            <w:pPr>
              <w:spacing w:before="60" w:after="60"/>
              <w:jc w:val="right"/>
              <w:rPr>
                <w:noProof/>
                <w:sz w:val="20"/>
              </w:rPr>
            </w:pPr>
            <w:r w:rsidRPr="002850C6">
              <w:rPr>
                <w:b/>
                <w:noProof/>
                <w:sz w:val="20"/>
              </w:rPr>
              <w:t>0</w:t>
            </w:r>
          </w:p>
        </w:tc>
        <w:tc>
          <w:tcPr>
            <w:tcW w:w="1141" w:type="dxa"/>
            <w:vAlign w:val="center"/>
          </w:tcPr>
          <w:p w14:paraId="110F11CB" w14:textId="77777777" w:rsidR="002850C6" w:rsidRPr="002850C6" w:rsidRDefault="002850C6" w:rsidP="002850C6">
            <w:pPr>
              <w:spacing w:before="60" w:after="60"/>
              <w:jc w:val="right"/>
              <w:rPr>
                <w:noProof/>
                <w:sz w:val="20"/>
              </w:rPr>
            </w:pPr>
            <w:r w:rsidRPr="002850C6">
              <w:rPr>
                <w:b/>
                <w:noProof/>
                <w:sz w:val="20"/>
              </w:rPr>
              <w:t>0</w:t>
            </w:r>
          </w:p>
        </w:tc>
        <w:tc>
          <w:tcPr>
            <w:tcW w:w="1141" w:type="dxa"/>
            <w:vAlign w:val="center"/>
          </w:tcPr>
          <w:p w14:paraId="0A2A5CDC" w14:textId="77777777" w:rsidR="002850C6" w:rsidRPr="002850C6" w:rsidRDefault="002850C6" w:rsidP="002850C6">
            <w:pPr>
              <w:spacing w:before="60" w:after="60"/>
              <w:jc w:val="right"/>
              <w:rPr>
                <w:noProof/>
                <w:sz w:val="20"/>
              </w:rPr>
            </w:pPr>
            <w:r w:rsidRPr="002850C6">
              <w:rPr>
                <w:b/>
                <w:noProof/>
                <w:sz w:val="20"/>
              </w:rPr>
              <w:t>12</w:t>
            </w:r>
          </w:p>
        </w:tc>
        <w:tc>
          <w:tcPr>
            <w:tcW w:w="1276" w:type="dxa"/>
            <w:vAlign w:val="center"/>
          </w:tcPr>
          <w:p w14:paraId="16391BAC" w14:textId="77777777" w:rsidR="002850C6" w:rsidRPr="002850C6" w:rsidRDefault="002850C6" w:rsidP="002850C6">
            <w:pPr>
              <w:spacing w:before="60" w:after="60"/>
              <w:jc w:val="right"/>
              <w:rPr>
                <w:b/>
                <w:bCs/>
                <w:noProof/>
                <w:sz w:val="20"/>
                <w:szCs w:val="20"/>
              </w:rPr>
            </w:pPr>
            <w:r w:rsidRPr="002850C6">
              <w:rPr>
                <w:b/>
                <w:noProof/>
                <w:sz w:val="20"/>
              </w:rPr>
              <w:t>12</w:t>
            </w:r>
          </w:p>
        </w:tc>
        <w:tc>
          <w:tcPr>
            <w:tcW w:w="1276" w:type="dxa"/>
            <w:vAlign w:val="center"/>
          </w:tcPr>
          <w:p w14:paraId="27E74E5B" w14:textId="77777777" w:rsidR="002850C6" w:rsidRPr="002850C6" w:rsidRDefault="002850C6" w:rsidP="002850C6">
            <w:pPr>
              <w:spacing w:before="60" w:after="60"/>
              <w:jc w:val="right"/>
              <w:rPr>
                <w:b/>
                <w:bCs/>
                <w:noProof/>
                <w:sz w:val="20"/>
                <w:szCs w:val="20"/>
              </w:rPr>
            </w:pPr>
            <w:r w:rsidRPr="002850C6">
              <w:rPr>
                <w:b/>
                <w:noProof/>
                <w:sz w:val="20"/>
              </w:rPr>
              <w:t>12</w:t>
            </w:r>
          </w:p>
        </w:tc>
      </w:tr>
      <w:tr w:rsidR="002850C6" w:rsidRPr="002850C6" w14:paraId="761C29DA" w14:textId="77777777" w:rsidTr="0043630B">
        <w:trPr>
          <w:cantSplit/>
          <w:trHeight w:val="700"/>
        </w:trPr>
        <w:tc>
          <w:tcPr>
            <w:tcW w:w="3659" w:type="dxa"/>
            <w:vAlign w:val="center"/>
          </w:tcPr>
          <w:p w14:paraId="2CA23C27" w14:textId="77777777" w:rsidR="002850C6" w:rsidRPr="002850C6" w:rsidRDefault="002850C6" w:rsidP="002850C6">
            <w:pPr>
              <w:spacing w:before="60" w:after="60"/>
              <w:jc w:val="left"/>
              <w:rPr>
                <w:noProof/>
                <w:sz w:val="20"/>
              </w:rPr>
            </w:pPr>
            <w:r w:rsidRPr="002850C6">
              <w:rPr>
                <w:noProof/>
                <w:sz w:val="20"/>
              </w:rPr>
              <w:t>Crédits couverts par le budget de l’UE</w:t>
            </w:r>
          </w:p>
        </w:tc>
        <w:tc>
          <w:tcPr>
            <w:tcW w:w="1141" w:type="dxa"/>
            <w:vAlign w:val="center"/>
          </w:tcPr>
          <w:p w14:paraId="66EA6714"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49814BF9"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004C63E8" w14:textId="77777777" w:rsidR="002850C6" w:rsidRPr="002850C6" w:rsidRDefault="002850C6" w:rsidP="002850C6">
            <w:pPr>
              <w:spacing w:before="60" w:after="60"/>
              <w:jc w:val="right"/>
              <w:rPr>
                <w:noProof/>
                <w:sz w:val="20"/>
              </w:rPr>
            </w:pPr>
            <w:r w:rsidRPr="002850C6">
              <w:rPr>
                <w:noProof/>
                <w:sz w:val="20"/>
              </w:rPr>
              <w:t>2,064</w:t>
            </w:r>
          </w:p>
        </w:tc>
        <w:tc>
          <w:tcPr>
            <w:tcW w:w="1276" w:type="dxa"/>
            <w:vAlign w:val="center"/>
          </w:tcPr>
          <w:p w14:paraId="0DA16399" w14:textId="77777777" w:rsidR="002850C6" w:rsidRPr="002850C6" w:rsidRDefault="002850C6" w:rsidP="002850C6">
            <w:pPr>
              <w:spacing w:before="60" w:after="60"/>
              <w:jc w:val="right"/>
              <w:rPr>
                <w:b/>
                <w:bCs/>
                <w:noProof/>
                <w:sz w:val="20"/>
                <w:szCs w:val="20"/>
              </w:rPr>
            </w:pPr>
            <w:r w:rsidRPr="002850C6">
              <w:rPr>
                <w:b/>
                <w:noProof/>
                <w:sz w:val="20"/>
              </w:rPr>
              <w:t>2,064</w:t>
            </w:r>
          </w:p>
        </w:tc>
        <w:tc>
          <w:tcPr>
            <w:tcW w:w="1276" w:type="dxa"/>
            <w:vAlign w:val="center"/>
          </w:tcPr>
          <w:p w14:paraId="03768D6C" w14:textId="77777777" w:rsidR="002850C6" w:rsidRPr="002850C6" w:rsidRDefault="002850C6" w:rsidP="002850C6">
            <w:pPr>
              <w:spacing w:before="60" w:after="60"/>
              <w:jc w:val="right"/>
              <w:rPr>
                <w:b/>
                <w:bCs/>
                <w:noProof/>
                <w:sz w:val="20"/>
                <w:szCs w:val="20"/>
              </w:rPr>
            </w:pPr>
            <w:r w:rsidRPr="002850C6">
              <w:rPr>
                <w:b/>
                <w:noProof/>
                <w:sz w:val="20"/>
              </w:rPr>
              <w:t>11,124</w:t>
            </w:r>
          </w:p>
        </w:tc>
      </w:tr>
      <w:tr w:rsidR="002850C6" w:rsidRPr="002850C6" w14:paraId="4644F433" w14:textId="77777777" w:rsidTr="0043630B">
        <w:trPr>
          <w:cantSplit/>
          <w:trHeight w:val="700"/>
        </w:trPr>
        <w:tc>
          <w:tcPr>
            <w:tcW w:w="3659" w:type="dxa"/>
            <w:vAlign w:val="center"/>
          </w:tcPr>
          <w:p w14:paraId="317E7661" w14:textId="77777777" w:rsidR="002850C6" w:rsidRPr="002850C6" w:rsidRDefault="002850C6" w:rsidP="002850C6">
            <w:pPr>
              <w:spacing w:before="60" w:after="60"/>
              <w:jc w:val="left"/>
              <w:rPr>
                <w:noProof/>
                <w:sz w:val="20"/>
              </w:rPr>
            </w:pPr>
            <w:r w:rsidRPr="002850C6">
              <w:rPr>
                <w:noProof/>
                <w:sz w:val="20"/>
              </w:rPr>
              <w:t xml:space="preserve">Crédits couverts par des redevances </w:t>
            </w:r>
          </w:p>
          <w:p w14:paraId="5B903FBA" w14:textId="77777777" w:rsidR="002850C6" w:rsidRPr="002850C6" w:rsidRDefault="002850C6" w:rsidP="002850C6">
            <w:pPr>
              <w:spacing w:before="60" w:after="60"/>
              <w:jc w:val="left"/>
              <w:rPr>
                <w:noProof/>
                <w:sz w:val="20"/>
              </w:rPr>
            </w:pPr>
            <w:r w:rsidRPr="002850C6">
              <w:rPr>
                <w:noProof/>
                <w:sz w:val="20"/>
              </w:rPr>
              <w:t>(le cas échéant)</w:t>
            </w:r>
          </w:p>
        </w:tc>
        <w:tc>
          <w:tcPr>
            <w:tcW w:w="1141" w:type="dxa"/>
            <w:vAlign w:val="center"/>
          </w:tcPr>
          <w:p w14:paraId="47E9B044"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6B1BF78B"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2AF47D58" w14:textId="77777777" w:rsidR="002850C6" w:rsidRPr="002850C6" w:rsidRDefault="002850C6" w:rsidP="002850C6">
            <w:pPr>
              <w:spacing w:before="60" w:after="60"/>
              <w:jc w:val="right"/>
              <w:rPr>
                <w:noProof/>
                <w:sz w:val="20"/>
              </w:rPr>
            </w:pPr>
            <w:r w:rsidRPr="002850C6">
              <w:rPr>
                <w:noProof/>
                <w:sz w:val="20"/>
              </w:rPr>
              <w:t>1,010</w:t>
            </w:r>
          </w:p>
        </w:tc>
        <w:tc>
          <w:tcPr>
            <w:tcW w:w="1276" w:type="dxa"/>
            <w:vAlign w:val="center"/>
          </w:tcPr>
          <w:p w14:paraId="0079578A" w14:textId="77777777" w:rsidR="002850C6" w:rsidRPr="002850C6" w:rsidRDefault="002850C6" w:rsidP="002850C6">
            <w:pPr>
              <w:spacing w:before="60" w:after="60"/>
              <w:jc w:val="right"/>
              <w:rPr>
                <w:b/>
                <w:noProof/>
                <w:sz w:val="20"/>
                <w:szCs w:val="20"/>
              </w:rPr>
            </w:pPr>
            <w:r w:rsidRPr="002850C6">
              <w:rPr>
                <w:b/>
                <w:noProof/>
                <w:sz w:val="20"/>
              </w:rPr>
              <w:t>1,010</w:t>
            </w:r>
          </w:p>
        </w:tc>
        <w:tc>
          <w:tcPr>
            <w:tcW w:w="1276" w:type="dxa"/>
            <w:vAlign w:val="center"/>
          </w:tcPr>
          <w:p w14:paraId="4A1FEFF2" w14:textId="77777777" w:rsidR="002850C6" w:rsidRPr="002850C6" w:rsidRDefault="002850C6" w:rsidP="002850C6">
            <w:pPr>
              <w:spacing w:before="60" w:after="60"/>
              <w:jc w:val="right"/>
              <w:rPr>
                <w:b/>
                <w:noProof/>
                <w:sz w:val="20"/>
                <w:szCs w:val="20"/>
              </w:rPr>
            </w:pPr>
            <w:r w:rsidRPr="002850C6">
              <w:rPr>
                <w:b/>
                <w:noProof/>
                <w:sz w:val="20"/>
              </w:rPr>
              <w:t>7,658</w:t>
            </w:r>
          </w:p>
        </w:tc>
      </w:tr>
      <w:tr w:rsidR="002850C6" w:rsidRPr="002850C6" w14:paraId="07F813A2" w14:textId="77777777" w:rsidTr="0043630B">
        <w:trPr>
          <w:cantSplit/>
          <w:trHeight w:val="700"/>
        </w:trPr>
        <w:tc>
          <w:tcPr>
            <w:tcW w:w="3659" w:type="dxa"/>
            <w:vAlign w:val="center"/>
          </w:tcPr>
          <w:p w14:paraId="5E59334C" w14:textId="77777777" w:rsidR="002850C6" w:rsidRPr="002850C6" w:rsidRDefault="002850C6" w:rsidP="002850C6">
            <w:pPr>
              <w:spacing w:before="60" w:after="60"/>
              <w:jc w:val="left"/>
              <w:rPr>
                <w:noProof/>
                <w:sz w:val="20"/>
              </w:rPr>
            </w:pPr>
            <w:r w:rsidRPr="002850C6">
              <w:rPr>
                <w:noProof/>
                <w:sz w:val="20"/>
              </w:rPr>
              <w:t xml:space="preserve">Crédits cofinancés </w:t>
            </w:r>
          </w:p>
          <w:p w14:paraId="1F11E498" w14:textId="77777777" w:rsidR="002850C6" w:rsidRPr="002850C6" w:rsidRDefault="002850C6" w:rsidP="002850C6">
            <w:pPr>
              <w:spacing w:before="60" w:after="60"/>
              <w:jc w:val="left"/>
              <w:rPr>
                <w:noProof/>
                <w:sz w:val="20"/>
              </w:rPr>
            </w:pPr>
            <w:r w:rsidRPr="002850C6">
              <w:rPr>
                <w:noProof/>
                <w:sz w:val="20"/>
              </w:rPr>
              <w:t>(le cas échéant)</w:t>
            </w:r>
          </w:p>
        </w:tc>
        <w:tc>
          <w:tcPr>
            <w:tcW w:w="1141" w:type="dxa"/>
            <w:vAlign w:val="center"/>
          </w:tcPr>
          <w:p w14:paraId="0C7B69F9"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759D2542"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28AB50D6" w14:textId="77777777" w:rsidR="002850C6" w:rsidRPr="002850C6" w:rsidRDefault="002850C6" w:rsidP="002850C6">
            <w:pPr>
              <w:spacing w:before="60" w:after="60"/>
              <w:jc w:val="right"/>
              <w:rPr>
                <w:noProof/>
                <w:sz w:val="20"/>
              </w:rPr>
            </w:pPr>
            <w:r w:rsidRPr="002850C6">
              <w:rPr>
                <w:noProof/>
                <w:sz w:val="20"/>
              </w:rPr>
              <w:t>0,000</w:t>
            </w:r>
          </w:p>
        </w:tc>
        <w:tc>
          <w:tcPr>
            <w:tcW w:w="1276" w:type="dxa"/>
            <w:vAlign w:val="center"/>
          </w:tcPr>
          <w:p w14:paraId="4F48DEF5" w14:textId="77777777" w:rsidR="002850C6" w:rsidRPr="002850C6" w:rsidRDefault="002850C6" w:rsidP="002850C6">
            <w:pPr>
              <w:spacing w:before="60" w:after="60"/>
              <w:jc w:val="right"/>
              <w:rPr>
                <w:b/>
                <w:noProof/>
                <w:sz w:val="20"/>
                <w:szCs w:val="20"/>
              </w:rPr>
            </w:pPr>
            <w:r w:rsidRPr="002850C6">
              <w:rPr>
                <w:b/>
                <w:noProof/>
                <w:sz w:val="20"/>
              </w:rPr>
              <w:t>0,000</w:t>
            </w:r>
          </w:p>
        </w:tc>
        <w:tc>
          <w:tcPr>
            <w:tcW w:w="1276" w:type="dxa"/>
            <w:vAlign w:val="center"/>
          </w:tcPr>
          <w:p w14:paraId="399E4634" w14:textId="77777777" w:rsidR="002850C6" w:rsidRPr="002850C6" w:rsidRDefault="002850C6" w:rsidP="002850C6">
            <w:pPr>
              <w:spacing w:before="60" w:after="60"/>
              <w:jc w:val="right"/>
              <w:rPr>
                <w:b/>
                <w:noProof/>
                <w:sz w:val="20"/>
                <w:szCs w:val="20"/>
              </w:rPr>
            </w:pPr>
            <w:r w:rsidRPr="002850C6">
              <w:rPr>
                <w:b/>
                <w:noProof/>
                <w:sz w:val="20"/>
              </w:rPr>
              <w:t>0,000</w:t>
            </w:r>
          </w:p>
        </w:tc>
      </w:tr>
      <w:tr w:rsidR="002850C6" w:rsidRPr="002850C6" w14:paraId="64534690" w14:textId="77777777" w:rsidTr="0043630B">
        <w:trPr>
          <w:cantSplit/>
          <w:trHeight w:val="700"/>
        </w:trPr>
        <w:tc>
          <w:tcPr>
            <w:tcW w:w="3659" w:type="dxa"/>
            <w:vAlign w:val="center"/>
          </w:tcPr>
          <w:p w14:paraId="5315E00D" w14:textId="77777777" w:rsidR="002850C6" w:rsidRPr="002850C6" w:rsidRDefault="002850C6" w:rsidP="002850C6">
            <w:pPr>
              <w:spacing w:before="60" w:after="60"/>
              <w:jc w:val="left"/>
              <w:rPr>
                <w:b/>
                <w:bCs/>
                <w:noProof/>
                <w:sz w:val="20"/>
              </w:rPr>
            </w:pPr>
            <w:r w:rsidRPr="002850C6">
              <w:rPr>
                <w:b/>
                <w:noProof/>
                <w:sz w:val="20"/>
              </w:rPr>
              <w:t>TOTAL des crédits</w:t>
            </w:r>
          </w:p>
        </w:tc>
        <w:tc>
          <w:tcPr>
            <w:tcW w:w="1141" w:type="dxa"/>
            <w:vAlign w:val="center"/>
          </w:tcPr>
          <w:p w14:paraId="09414764" w14:textId="77777777" w:rsidR="002850C6" w:rsidRPr="002850C6" w:rsidRDefault="002850C6" w:rsidP="002850C6">
            <w:pPr>
              <w:spacing w:before="60" w:after="60"/>
              <w:jc w:val="right"/>
              <w:rPr>
                <w:b/>
                <w:noProof/>
                <w:sz w:val="20"/>
              </w:rPr>
            </w:pPr>
            <w:r w:rsidRPr="002850C6">
              <w:rPr>
                <w:b/>
                <w:noProof/>
                <w:sz w:val="20"/>
              </w:rPr>
              <w:t>0,000</w:t>
            </w:r>
          </w:p>
        </w:tc>
        <w:tc>
          <w:tcPr>
            <w:tcW w:w="1141" w:type="dxa"/>
            <w:vAlign w:val="center"/>
          </w:tcPr>
          <w:p w14:paraId="285C73B0" w14:textId="77777777" w:rsidR="002850C6" w:rsidRPr="002850C6" w:rsidRDefault="002850C6" w:rsidP="002850C6">
            <w:pPr>
              <w:spacing w:before="60" w:after="60"/>
              <w:jc w:val="right"/>
              <w:rPr>
                <w:b/>
                <w:noProof/>
                <w:sz w:val="20"/>
              </w:rPr>
            </w:pPr>
            <w:r w:rsidRPr="002850C6">
              <w:rPr>
                <w:b/>
                <w:noProof/>
                <w:sz w:val="20"/>
              </w:rPr>
              <w:t>0,000</w:t>
            </w:r>
          </w:p>
        </w:tc>
        <w:tc>
          <w:tcPr>
            <w:tcW w:w="1141" w:type="dxa"/>
            <w:vAlign w:val="center"/>
          </w:tcPr>
          <w:p w14:paraId="7DCEEECA" w14:textId="77777777" w:rsidR="002850C6" w:rsidRPr="002850C6" w:rsidRDefault="002850C6" w:rsidP="002850C6">
            <w:pPr>
              <w:spacing w:before="60" w:after="60"/>
              <w:jc w:val="right"/>
              <w:rPr>
                <w:b/>
                <w:noProof/>
                <w:sz w:val="20"/>
              </w:rPr>
            </w:pPr>
            <w:r w:rsidRPr="002850C6">
              <w:rPr>
                <w:b/>
                <w:noProof/>
                <w:sz w:val="20"/>
              </w:rPr>
              <w:t>3,074</w:t>
            </w:r>
          </w:p>
        </w:tc>
        <w:tc>
          <w:tcPr>
            <w:tcW w:w="1276" w:type="dxa"/>
            <w:vAlign w:val="center"/>
          </w:tcPr>
          <w:p w14:paraId="06ABC302" w14:textId="77777777" w:rsidR="002850C6" w:rsidRPr="002850C6" w:rsidRDefault="002850C6" w:rsidP="002850C6">
            <w:pPr>
              <w:spacing w:before="60" w:after="60"/>
              <w:jc w:val="right"/>
              <w:rPr>
                <w:b/>
                <w:noProof/>
                <w:sz w:val="20"/>
              </w:rPr>
            </w:pPr>
            <w:r w:rsidRPr="002850C6">
              <w:rPr>
                <w:b/>
                <w:noProof/>
                <w:sz w:val="20"/>
              </w:rPr>
              <w:t>3,074</w:t>
            </w:r>
          </w:p>
        </w:tc>
        <w:tc>
          <w:tcPr>
            <w:tcW w:w="1276" w:type="dxa"/>
            <w:vAlign w:val="center"/>
          </w:tcPr>
          <w:p w14:paraId="0664CE84" w14:textId="77777777" w:rsidR="002850C6" w:rsidRPr="002850C6" w:rsidRDefault="002850C6" w:rsidP="002850C6">
            <w:pPr>
              <w:spacing w:before="60" w:after="60"/>
              <w:jc w:val="right"/>
              <w:rPr>
                <w:b/>
                <w:noProof/>
                <w:sz w:val="20"/>
              </w:rPr>
            </w:pPr>
            <w:r w:rsidRPr="002850C6">
              <w:rPr>
                <w:b/>
                <w:noProof/>
                <w:sz w:val="20"/>
              </w:rPr>
              <w:t>18,782</w:t>
            </w:r>
          </w:p>
        </w:tc>
      </w:tr>
    </w:tbl>
    <w:p w14:paraId="69C6ED62" w14:textId="77777777" w:rsidR="002850C6" w:rsidRPr="002850C6" w:rsidRDefault="002850C6" w:rsidP="002850C6">
      <w:pPr>
        <w:keepNext/>
        <w:tabs>
          <w:tab w:val="left" w:pos="850"/>
        </w:tabs>
        <w:outlineLvl w:val="1"/>
        <w:rPr>
          <w:b/>
          <w:noProof/>
        </w:rPr>
      </w:pPr>
    </w:p>
    <w:tbl>
      <w:tblPr>
        <w:tblW w:w="963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3659"/>
        <w:gridCol w:w="1141"/>
        <w:gridCol w:w="1141"/>
        <w:gridCol w:w="1141"/>
        <w:gridCol w:w="1276"/>
        <w:gridCol w:w="1276"/>
      </w:tblGrid>
      <w:tr w:rsidR="002850C6" w:rsidRPr="002850C6" w14:paraId="2B381A38" w14:textId="77777777" w:rsidTr="0043630B">
        <w:trPr>
          <w:cantSplit/>
        </w:trPr>
        <w:tc>
          <w:tcPr>
            <w:tcW w:w="3659" w:type="dxa"/>
            <w:vAlign w:val="center"/>
          </w:tcPr>
          <w:p w14:paraId="0F8DB819" w14:textId="77777777" w:rsidR="002850C6" w:rsidRPr="002850C6" w:rsidRDefault="002850C6" w:rsidP="002850C6">
            <w:pPr>
              <w:spacing w:before="60" w:after="60"/>
              <w:jc w:val="center"/>
              <w:rPr>
                <w:b/>
                <w:bCs/>
                <w:noProof/>
                <w:sz w:val="20"/>
              </w:rPr>
            </w:pPr>
            <w:r w:rsidRPr="002850C6">
              <w:rPr>
                <w:b/>
                <w:noProof/>
                <w:sz w:val="20"/>
                <w:shd w:val="clear" w:color="auto" w:fill="FFFFFF"/>
              </w:rPr>
              <w:t>Agence: AESA</w:t>
            </w:r>
          </w:p>
        </w:tc>
        <w:tc>
          <w:tcPr>
            <w:tcW w:w="1141" w:type="dxa"/>
            <w:vAlign w:val="center"/>
          </w:tcPr>
          <w:p w14:paraId="4ADC5559"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2025</w:t>
            </w:r>
          </w:p>
        </w:tc>
        <w:tc>
          <w:tcPr>
            <w:tcW w:w="1141" w:type="dxa"/>
            <w:vAlign w:val="center"/>
          </w:tcPr>
          <w:p w14:paraId="01C30F01"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2026</w:t>
            </w:r>
          </w:p>
        </w:tc>
        <w:tc>
          <w:tcPr>
            <w:tcW w:w="1141" w:type="dxa"/>
            <w:vAlign w:val="center"/>
          </w:tcPr>
          <w:p w14:paraId="33233A68" w14:textId="77777777" w:rsidR="002850C6" w:rsidRPr="002850C6" w:rsidRDefault="002850C6" w:rsidP="002850C6">
            <w:pPr>
              <w:jc w:val="center"/>
              <w:rPr>
                <w:noProof/>
                <w:sz w:val="20"/>
              </w:rPr>
            </w:pPr>
            <w:r w:rsidRPr="002850C6">
              <w:rPr>
                <w:noProof/>
                <w:sz w:val="20"/>
              </w:rPr>
              <w:t xml:space="preserve">Année </w:t>
            </w:r>
            <w:r w:rsidRPr="002850C6">
              <w:rPr>
                <w:b/>
                <w:noProof/>
                <w:sz w:val="20"/>
              </w:rPr>
              <w:t>2027</w:t>
            </w:r>
          </w:p>
        </w:tc>
        <w:tc>
          <w:tcPr>
            <w:tcW w:w="1276" w:type="dxa"/>
            <w:vAlign w:val="center"/>
          </w:tcPr>
          <w:p w14:paraId="69848597" w14:textId="77777777" w:rsidR="002850C6" w:rsidRPr="002850C6" w:rsidRDefault="002850C6" w:rsidP="002850C6">
            <w:pPr>
              <w:spacing w:before="60" w:after="60"/>
              <w:jc w:val="center"/>
              <w:rPr>
                <w:noProof/>
                <w:sz w:val="20"/>
                <w:szCs w:val="20"/>
              </w:rPr>
            </w:pPr>
            <w:r w:rsidRPr="002850C6">
              <w:rPr>
                <w:b/>
                <w:noProof/>
                <w:sz w:val="20"/>
              </w:rPr>
              <w:t>TOTAL 2021-2027</w:t>
            </w:r>
          </w:p>
        </w:tc>
        <w:tc>
          <w:tcPr>
            <w:tcW w:w="1276" w:type="dxa"/>
            <w:vAlign w:val="center"/>
          </w:tcPr>
          <w:p w14:paraId="1C05F296" w14:textId="77777777" w:rsidR="002850C6" w:rsidRPr="002850C6" w:rsidRDefault="002850C6" w:rsidP="002850C6">
            <w:pPr>
              <w:spacing w:before="60" w:after="60"/>
              <w:jc w:val="center"/>
              <w:rPr>
                <w:b/>
                <w:bCs/>
                <w:noProof/>
                <w:sz w:val="20"/>
                <w:szCs w:val="20"/>
              </w:rPr>
            </w:pPr>
            <w:r w:rsidRPr="002850C6">
              <w:rPr>
                <w:b/>
                <w:noProof/>
                <w:sz w:val="20"/>
              </w:rPr>
              <w:t>TOTAL CFP 2028-2034</w:t>
            </w:r>
          </w:p>
        </w:tc>
      </w:tr>
      <w:tr w:rsidR="002850C6" w:rsidRPr="002850C6" w14:paraId="34C5F072" w14:textId="77777777" w:rsidTr="0043630B">
        <w:trPr>
          <w:cantSplit/>
          <w:trHeight w:val="700"/>
        </w:trPr>
        <w:tc>
          <w:tcPr>
            <w:tcW w:w="3659" w:type="dxa"/>
            <w:vAlign w:val="center"/>
          </w:tcPr>
          <w:p w14:paraId="225292E3" w14:textId="77777777" w:rsidR="002850C6" w:rsidRPr="002850C6" w:rsidRDefault="002850C6" w:rsidP="002850C6">
            <w:pPr>
              <w:jc w:val="left"/>
              <w:rPr>
                <w:noProof/>
              </w:rPr>
            </w:pPr>
            <w:r w:rsidRPr="002850C6">
              <w:rPr>
                <w:noProof/>
                <w:sz w:val="20"/>
              </w:rPr>
              <w:t>Agents temporaires (AD+AST)</w:t>
            </w:r>
          </w:p>
        </w:tc>
        <w:tc>
          <w:tcPr>
            <w:tcW w:w="1141" w:type="dxa"/>
            <w:vAlign w:val="center"/>
          </w:tcPr>
          <w:p w14:paraId="54D9DF50"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4558D987"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7C9DE53C" w14:textId="77777777" w:rsidR="002850C6" w:rsidRPr="002850C6" w:rsidRDefault="002850C6" w:rsidP="002850C6">
            <w:pPr>
              <w:spacing w:before="60" w:after="60"/>
              <w:jc w:val="right"/>
              <w:rPr>
                <w:noProof/>
                <w:sz w:val="20"/>
                <w:szCs w:val="20"/>
              </w:rPr>
            </w:pPr>
            <w:r w:rsidRPr="002850C6">
              <w:rPr>
                <w:noProof/>
                <w:sz w:val="20"/>
              </w:rPr>
              <w:t>4</w:t>
            </w:r>
          </w:p>
        </w:tc>
        <w:tc>
          <w:tcPr>
            <w:tcW w:w="1276" w:type="dxa"/>
            <w:vAlign w:val="center"/>
          </w:tcPr>
          <w:p w14:paraId="50701CCA" w14:textId="77777777" w:rsidR="002850C6" w:rsidRPr="002850C6" w:rsidRDefault="002850C6" w:rsidP="002850C6">
            <w:pPr>
              <w:spacing w:before="60" w:after="60"/>
              <w:jc w:val="right"/>
              <w:rPr>
                <w:b/>
                <w:bCs/>
                <w:noProof/>
                <w:sz w:val="20"/>
                <w:szCs w:val="20"/>
              </w:rPr>
            </w:pPr>
            <w:r w:rsidRPr="002850C6">
              <w:rPr>
                <w:b/>
                <w:noProof/>
                <w:sz w:val="20"/>
              </w:rPr>
              <w:t>4</w:t>
            </w:r>
          </w:p>
        </w:tc>
        <w:tc>
          <w:tcPr>
            <w:tcW w:w="1276" w:type="dxa"/>
            <w:vAlign w:val="center"/>
          </w:tcPr>
          <w:p w14:paraId="780D6418" w14:textId="77777777" w:rsidR="002850C6" w:rsidRPr="002850C6" w:rsidRDefault="002850C6" w:rsidP="002850C6">
            <w:pPr>
              <w:spacing w:before="60" w:after="60"/>
              <w:jc w:val="right"/>
              <w:rPr>
                <w:b/>
                <w:bCs/>
                <w:noProof/>
                <w:sz w:val="20"/>
                <w:szCs w:val="20"/>
              </w:rPr>
            </w:pPr>
            <w:r w:rsidRPr="002850C6">
              <w:rPr>
                <w:b/>
                <w:noProof/>
                <w:sz w:val="20"/>
              </w:rPr>
              <w:t>4</w:t>
            </w:r>
          </w:p>
        </w:tc>
      </w:tr>
      <w:tr w:rsidR="002850C6" w:rsidRPr="002850C6" w14:paraId="4253B076" w14:textId="77777777" w:rsidTr="0043630B">
        <w:trPr>
          <w:cantSplit/>
          <w:trHeight w:val="700"/>
        </w:trPr>
        <w:tc>
          <w:tcPr>
            <w:tcW w:w="3659" w:type="dxa"/>
            <w:vAlign w:val="center"/>
          </w:tcPr>
          <w:p w14:paraId="28A6057B" w14:textId="77777777" w:rsidR="002850C6" w:rsidRPr="002850C6" w:rsidRDefault="002850C6" w:rsidP="002850C6">
            <w:pPr>
              <w:jc w:val="left"/>
              <w:rPr>
                <w:noProof/>
                <w:sz w:val="20"/>
              </w:rPr>
            </w:pPr>
            <w:r w:rsidRPr="002850C6">
              <w:rPr>
                <w:noProof/>
                <w:sz w:val="20"/>
              </w:rPr>
              <w:t>Agents contractuels</w:t>
            </w:r>
          </w:p>
        </w:tc>
        <w:tc>
          <w:tcPr>
            <w:tcW w:w="1141" w:type="dxa"/>
            <w:vAlign w:val="center"/>
          </w:tcPr>
          <w:p w14:paraId="042CFEC7"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4D36C985"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49DDDA1E" w14:textId="77777777" w:rsidR="002850C6" w:rsidRPr="002850C6" w:rsidRDefault="002850C6" w:rsidP="002850C6">
            <w:pPr>
              <w:spacing w:before="60" w:after="60"/>
              <w:jc w:val="right"/>
              <w:rPr>
                <w:noProof/>
                <w:sz w:val="20"/>
                <w:szCs w:val="20"/>
              </w:rPr>
            </w:pPr>
            <w:r w:rsidRPr="002850C6">
              <w:rPr>
                <w:noProof/>
                <w:sz w:val="20"/>
              </w:rPr>
              <w:t>2</w:t>
            </w:r>
          </w:p>
        </w:tc>
        <w:tc>
          <w:tcPr>
            <w:tcW w:w="1276" w:type="dxa"/>
            <w:vAlign w:val="center"/>
          </w:tcPr>
          <w:p w14:paraId="5F0592D4" w14:textId="77777777" w:rsidR="002850C6" w:rsidRPr="002850C6" w:rsidRDefault="002850C6" w:rsidP="002850C6">
            <w:pPr>
              <w:spacing w:before="60" w:after="60"/>
              <w:jc w:val="right"/>
              <w:rPr>
                <w:b/>
                <w:bCs/>
                <w:noProof/>
                <w:sz w:val="20"/>
                <w:szCs w:val="20"/>
              </w:rPr>
            </w:pPr>
            <w:r w:rsidRPr="002850C6">
              <w:rPr>
                <w:b/>
                <w:noProof/>
                <w:sz w:val="20"/>
              </w:rPr>
              <w:t>2</w:t>
            </w:r>
          </w:p>
        </w:tc>
        <w:tc>
          <w:tcPr>
            <w:tcW w:w="1276" w:type="dxa"/>
            <w:vAlign w:val="center"/>
          </w:tcPr>
          <w:p w14:paraId="73DEB85D" w14:textId="77777777" w:rsidR="002850C6" w:rsidRPr="002850C6" w:rsidDel="00005E5C" w:rsidRDefault="002850C6" w:rsidP="002850C6">
            <w:pPr>
              <w:spacing w:before="60" w:after="60"/>
              <w:jc w:val="right"/>
              <w:rPr>
                <w:b/>
                <w:bCs/>
                <w:noProof/>
                <w:sz w:val="20"/>
                <w:szCs w:val="20"/>
              </w:rPr>
            </w:pPr>
            <w:r w:rsidRPr="002850C6">
              <w:rPr>
                <w:b/>
                <w:noProof/>
                <w:sz w:val="20"/>
              </w:rPr>
              <w:t>2</w:t>
            </w:r>
          </w:p>
        </w:tc>
      </w:tr>
      <w:tr w:rsidR="002850C6" w:rsidRPr="002850C6" w14:paraId="12E14E76" w14:textId="77777777" w:rsidTr="0043630B">
        <w:trPr>
          <w:cantSplit/>
          <w:trHeight w:val="700"/>
        </w:trPr>
        <w:tc>
          <w:tcPr>
            <w:tcW w:w="3659" w:type="dxa"/>
            <w:vAlign w:val="center"/>
          </w:tcPr>
          <w:p w14:paraId="1FA56F44" w14:textId="77777777" w:rsidR="002850C6" w:rsidRPr="002850C6" w:rsidRDefault="002850C6" w:rsidP="002850C6">
            <w:pPr>
              <w:jc w:val="left"/>
              <w:rPr>
                <w:noProof/>
                <w:sz w:val="20"/>
              </w:rPr>
            </w:pPr>
            <w:r w:rsidRPr="002850C6">
              <w:rPr>
                <w:noProof/>
                <w:sz w:val="20"/>
              </w:rPr>
              <w:t>Experts nationaux détachés</w:t>
            </w:r>
          </w:p>
        </w:tc>
        <w:tc>
          <w:tcPr>
            <w:tcW w:w="1141" w:type="dxa"/>
            <w:vAlign w:val="center"/>
          </w:tcPr>
          <w:p w14:paraId="28AA59B9"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2A40D5C4" w14:textId="77777777" w:rsidR="002850C6" w:rsidRPr="002850C6" w:rsidRDefault="002850C6" w:rsidP="002850C6">
            <w:pPr>
              <w:spacing w:before="60" w:after="60"/>
              <w:jc w:val="right"/>
              <w:rPr>
                <w:noProof/>
                <w:sz w:val="20"/>
                <w:szCs w:val="20"/>
              </w:rPr>
            </w:pPr>
            <w:r w:rsidRPr="002850C6">
              <w:rPr>
                <w:noProof/>
                <w:sz w:val="20"/>
              </w:rPr>
              <w:t>0</w:t>
            </w:r>
          </w:p>
        </w:tc>
        <w:tc>
          <w:tcPr>
            <w:tcW w:w="1141" w:type="dxa"/>
            <w:vAlign w:val="center"/>
          </w:tcPr>
          <w:p w14:paraId="14558597" w14:textId="77777777" w:rsidR="002850C6" w:rsidRPr="002850C6" w:rsidRDefault="002850C6" w:rsidP="002850C6">
            <w:pPr>
              <w:spacing w:before="60" w:after="60"/>
              <w:jc w:val="right"/>
              <w:rPr>
                <w:noProof/>
                <w:sz w:val="20"/>
                <w:szCs w:val="20"/>
              </w:rPr>
            </w:pPr>
            <w:r w:rsidRPr="002850C6">
              <w:rPr>
                <w:noProof/>
                <w:sz w:val="20"/>
              </w:rPr>
              <w:t>0</w:t>
            </w:r>
          </w:p>
        </w:tc>
        <w:tc>
          <w:tcPr>
            <w:tcW w:w="1276" w:type="dxa"/>
            <w:vAlign w:val="center"/>
          </w:tcPr>
          <w:p w14:paraId="2FF2ACFA" w14:textId="77777777" w:rsidR="002850C6" w:rsidRPr="002850C6" w:rsidRDefault="002850C6" w:rsidP="002850C6">
            <w:pPr>
              <w:spacing w:before="60" w:after="60"/>
              <w:jc w:val="right"/>
              <w:rPr>
                <w:b/>
                <w:bCs/>
                <w:noProof/>
                <w:sz w:val="20"/>
                <w:szCs w:val="20"/>
              </w:rPr>
            </w:pPr>
            <w:r w:rsidRPr="002850C6">
              <w:rPr>
                <w:b/>
                <w:noProof/>
                <w:sz w:val="20"/>
              </w:rPr>
              <w:t>0</w:t>
            </w:r>
          </w:p>
        </w:tc>
        <w:tc>
          <w:tcPr>
            <w:tcW w:w="1276" w:type="dxa"/>
            <w:vAlign w:val="center"/>
          </w:tcPr>
          <w:p w14:paraId="0BE2B25D" w14:textId="77777777" w:rsidR="002850C6" w:rsidRPr="002850C6" w:rsidRDefault="002850C6" w:rsidP="002850C6">
            <w:pPr>
              <w:spacing w:before="60" w:after="60"/>
              <w:jc w:val="right"/>
              <w:rPr>
                <w:b/>
                <w:bCs/>
                <w:noProof/>
                <w:sz w:val="20"/>
                <w:szCs w:val="20"/>
              </w:rPr>
            </w:pPr>
            <w:r w:rsidRPr="002850C6">
              <w:rPr>
                <w:b/>
                <w:noProof/>
                <w:sz w:val="20"/>
              </w:rPr>
              <w:t>0</w:t>
            </w:r>
          </w:p>
        </w:tc>
      </w:tr>
      <w:tr w:rsidR="002850C6" w:rsidRPr="002850C6" w14:paraId="7ABDFFAB" w14:textId="77777777" w:rsidTr="0043630B">
        <w:trPr>
          <w:cantSplit/>
          <w:trHeight w:val="700"/>
        </w:trPr>
        <w:tc>
          <w:tcPr>
            <w:tcW w:w="3659" w:type="dxa"/>
            <w:vAlign w:val="center"/>
          </w:tcPr>
          <w:p w14:paraId="688BD2F1" w14:textId="77777777" w:rsidR="002850C6" w:rsidRPr="002850C6" w:rsidRDefault="002850C6" w:rsidP="002850C6">
            <w:pPr>
              <w:spacing w:before="60" w:after="60"/>
              <w:jc w:val="left"/>
              <w:rPr>
                <w:b/>
                <w:bCs/>
                <w:noProof/>
                <w:sz w:val="20"/>
              </w:rPr>
            </w:pPr>
            <w:r w:rsidRPr="002850C6">
              <w:rPr>
                <w:b/>
                <w:noProof/>
                <w:sz w:val="20"/>
              </w:rPr>
              <w:t>Total des effectifs</w:t>
            </w:r>
          </w:p>
        </w:tc>
        <w:tc>
          <w:tcPr>
            <w:tcW w:w="1141" w:type="dxa"/>
            <w:vAlign w:val="center"/>
          </w:tcPr>
          <w:p w14:paraId="57284BBB" w14:textId="77777777" w:rsidR="002850C6" w:rsidRPr="002850C6" w:rsidRDefault="002850C6" w:rsidP="002850C6">
            <w:pPr>
              <w:spacing w:before="60" w:after="60"/>
              <w:jc w:val="right"/>
              <w:rPr>
                <w:noProof/>
                <w:sz w:val="20"/>
              </w:rPr>
            </w:pPr>
            <w:r w:rsidRPr="002850C6">
              <w:rPr>
                <w:b/>
                <w:noProof/>
                <w:sz w:val="20"/>
              </w:rPr>
              <w:t>0</w:t>
            </w:r>
          </w:p>
        </w:tc>
        <w:tc>
          <w:tcPr>
            <w:tcW w:w="1141" w:type="dxa"/>
            <w:vAlign w:val="center"/>
          </w:tcPr>
          <w:p w14:paraId="3FEE1927" w14:textId="77777777" w:rsidR="002850C6" w:rsidRPr="002850C6" w:rsidRDefault="002850C6" w:rsidP="002850C6">
            <w:pPr>
              <w:spacing w:before="60" w:after="60"/>
              <w:jc w:val="right"/>
              <w:rPr>
                <w:noProof/>
                <w:sz w:val="20"/>
              </w:rPr>
            </w:pPr>
            <w:r w:rsidRPr="002850C6">
              <w:rPr>
                <w:b/>
                <w:noProof/>
                <w:sz w:val="20"/>
              </w:rPr>
              <w:t>0</w:t>
            </w:r>
          </w:p>
        </w:tc>
        <w:tc>
          <w:tcPr>
            <w:tcW w:w="1141" w:type="dxa"/>
            <w:vAlign w:val="center"/>
          </w:tcPr>
          <w:p w14:paraId="2C47CD4D" w14:textId="77777777" w:rsidR="002850C6" w:rsidRPr="002850C6" w:rsidRDefault="002850C6" w:rsidP="002850C6">
            <w:pPr>
              <w:spacing w:before="60" w:after="60"/>
              <w:jc w:val="right"/>
              <w:rPr>
                <w:noProof/>
                <w:sz w:val="20"/>
              </w:rPr>
            </w:pPr>
            <w:r w:rsidRPr="002850C6">
              <w:rPr>
                <w:b/>
                <w:noProof/>
                <w:sz w:val="20"/>
              </w:rPr>
              <w:t>6</w:t>
            </w:r>
          </w:p>
        </w:tc>
        <w:tc>
          <w:tcPr>
            <w:tcW w:w="1276" w:type="dxa"/>
            <w:vAlign w:val="center"/>
          </w:tcPr>
          <w:p w14:paraId="599BDE89" w14:textId="77777777" w:rsidR="002850C6" w:rsidRPr="002850C6" w:rsidRDefault="002850C6" w:rsidP="002850C6">
            <w:pPr>
              <w:spacing w:before="60" w:after="60"/>
              <w:jc w:val="right"/>
              <w:rPr>
                <w:b/>
                <w:bCs/>
                <w:noProof/>
                <w:sz w:val="20"/>
                <w:szCs w:val="20"/>
              </w:rPr>
            </w:pPr>
            <w:r w:rsidRPr="002850C6">
              <w:rPr>
                <w:b/>
                <w:noProof/>
                <w:sz w:val="20"/>
              </w:rPr>
              <w:t>6</w:t>
            </w:r>
          </w:p>
        </w:tc>
        <w:tc>
          <w:tcPr>
            <w:tcW w:w="1276" w:type="dxa"/>
            <w:vAlign w:val="center"/>
          </w:tcPr>
          <w:p w14:paraId="4BB50642" w14:textId="77777777" w:rsidR="002850C6" w:rsidRPr="002850C6" w:rsidRDefault="002850C6" w:rsidP="002850C6">
            <w:pPr>
              <w:spacing w:before="60" w:after="60"/>
              <w:jc w:val="right"/>
              <w:rPr>
                <w:b/>
                <w:bCs/>
                <w:noProof/>
                <w:sz w:val="20"/>
                <w:szCs w:val="20"/>
              </w:rPr>
            </w:pPr>
            <w:r w:rsidRPr="002850C6">
              <w:rPr>
                <w:b/>
                <w:noProof/>
                <w:sz w:val="20"/>
              </w:rPr>
              <w:t>6</w:t>
            </w:r>
          </w:p>
        </w:tc>
      </w:tr>
      <w:tr w:rsidR="002850C6" w:rsidRPr="002850C6" w14:paraId="646A4814" w14:textId="77777777" w:rsidTr="0043630B">
        <w:trPr>
          <w:cantSplit/>
          <w:trHeight w:val="700"/>
        </w:trPr>
        <w:tc>
          <w:tcPr>
            <w:tcW w:w="3659" w:type="dxa"/>
            <w:vAlign w:val="center"/>
          </w:tcPr>
          <w:p w14:paraId="66064053" w14:textId="77777777" w:rsidR="002850C6" w:rsidRPr="002850C6" w:rsidRDefault="002850C6" w:rsidP="002850C6">
            <w:pPr>
              <w:spacing w:before="60" w:after="60"/>
              <w:jc w:val="left"/>
              <w:rPr>
                <w:noProof/>
                <w:sz w:val="20"/>
              </w:rPr>
            </w:pPr>
            <w:r w:rsidRPr="002850C6">
              <w:rPr>
                <w:noProof/>
                <w:sz w:val="20"/>
              </w:rPr>
              <w:t>Crédits couverts par le budget de l’UE</w:t>
            </w:r>
          </w:p>
        </w:tc>
        <w:tc>
          <w:tcPr>
            <w:tcW w:w="1141" w:type="dxa"/>
            <w:vAlign w:val="center"/>
          </w:tcPr>
          <w:p w14:paraId="18DE9E13"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2F63044A"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04A84601" w14:textId="77777777" w:rsidR="002850C6" w:rsidRPr="002850C6" w:rsidRDefault="002850C6" w:rsidP="002850C6">
            <w:pPr>
              <w:spacing w:before="60" w:after="60"/>
              <w:jc w:val="right"/>
              <w:rPr>
                <w:noProof/>
                <w:sz w:val="20"/>
              </w:rPr>
            </w:pPr>
            <w:r w:rsidRPr="002850C6">
              <w:rPr>
                <w:noProof/>
                <w:sz w:val="20"/>
              </w:rPr>
              <w:t>0,498</w:t>
            </w:r>
          </w:p>
        </w:tc>
        <w:tc>
          <w:tcPr>
            <w:tcW w:w="1276" w:type="dxa"/>
            <w:vAlign w:val="center"/>
          </w:tcPr>
          <w:p w14:paraId="469253E7" w14:textId="77777777" w:rsidR="002850C6" w:rsidRPr="002850C6" w:rsidRDefault="002850C6" w:rsidP="002850C6">
            <w:pPr>
              <w:spacing w:before="60" w:after="60"/>
              <w:jc w:val="right"/>
              <w:rPr>
                <w:b/>
                <w:bCs/>
                <w:noProof/>
                <w:sz w:val="20"/>
                <w:szCs w:val="20"/>
              </w:rPr>
            </w:pPr>
            <w:r w:rsidRPr="002850C6">
              <w:rPr>
                <w:b/>
                <w:noProof/>
                <w:sz w:val="20"/>
              </w:rPr>
              <w:t>0,498</w:t>
            </w:r>
          </w:p>
        </w:tc>
        <w:tc>
          <w:tcPr>
            <w:tcW w:w="1276" w:type="dxa"/>
            <w:vAlign w:val="center"/>
          </w:tcPr>
          <w:p w14:paraId="76A99FF4" w14:textId="77777777" w:rsidR="002850C6" w:rsidRPr="002850C6" w:rsidRDefault="002850C6" w:rsidP="002850C6">
            <w:pPr>
              <w:spacing w:before="60" w:after="60"/>
              <w:jc w:val="center"/>
              <w:rPr>
                <w:b/>
                <w:bCs/>
                <w:noProof/>
                <w:sz w:val="20"/>
                <w:szCs w:val="20"/>
              </w:rPr>
            </w:pPr>
            <w:r w:rsidRPr="002850C6">
              <w:rPr>
                <w:b/>
                <w:noProof/>
                <w:sz w:val="20"/>
              </w:rPr>
              <w:t>3,771</w:t>
            </w:r>
          </w:p>
        </w:tc>
      </w:tr>
      <w:tr w:rsidR="002850C6" w:rsidRPr="002850C6" w14:paraId="2D2C94BF" w14:textId="77777777" w:rsidTr="0043630B">
        <w:trPr>
          <w:cantSplit/>
          <w:trHeight w:val="700"/>
        </w:trPr>
        <w:tc>
          <w:tcPr>
            <w:tcW w:w="3659" w:type="dxa"/>
            <w:vAlign w:val="center"/>
          </w:tcPr>
          <w:p w14:paraId="5C5C0B98" w14:textId="77777777" w:rsidR="002850C6" w:rsidRPr="002850C6" w:rsidRDefault="002850C6" w:rsidP="002850C6">
            <w:pPr>
              <w:spacing w:before="60" w:after="60"/>
              <w:jc w:val="left"/>
              <w:rPr>
                <w:noProof/>
                <w:sz w:val="20"/>
              </w:rPr>
            </w:pPr>
            <w:r w:rsidRPr="002850C6">
              <w:rPr>
                <w:noProof/>
                <w:sz w:val="20"/>
              </w:rPr>
              <w:t xml:space="preserve">Crédits couverts par des redevances </w:t>
            </w:r>
          </w:p>
          <w:p w14:paraId="5235A860" w14:textId="77777777" w:rsidR="002850C6" w:rsidRPr="002850C6" w:rsidRDefault="002850C6" w:rsidP="002850C6">
            <w:pPr>
              <w:spacing w:before="60" w:after="60"/>
              <w:jc w:val="left"/>
              <w:rPr>
                <w:noProof/>
                <w:sz w:val="20"/>
              </w:rPr>
            </w:pPr>
            <w:r w:rsidRPr="002850C6">
              <w:rPr>
                <w:noProof/>
                <w:sz w:val="20"/>
              </w:rPr>
              <w:t>(le cas échéant)</w:t>
            </w:r>
          </w:p>
        </w:tc>
        <w:tc>
          <w:tcPr>
            <w:tcW w:w="1141" w:type="dxa"/>
            <w:vAlign w:val="center"/>
          </w:tcPr>
          <w:p w14:paraId="6F8942C3"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7FD33583"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64B8DA66" w14:textId="77777777" w:rsidR="002850C6" w:rsidRPr="002850C6" w:rsidRDefault="002850C6" w:rsidP="002850C6">
            <w:pPr>
              <w:spacing w:before="60" w:after="60"/>
              <w:jc w:val="right"/>
              <w:rPr>
                <w:noProof/>
                <w:sz w:val="20"/>
              </w:rPr>
            </w:pPr>
            <w:r w:rsidRPr="002850C6">
              <w:rPr>
                <w:noProof/>
                <w:sz w:val="20"/>
              </w:rPr>
              <w:t>0,498</w:t>
            </w:r>
          </w:p>
        </w:tc>
        <w:tc>
          <w:tcPr>
            <w:tcW w:w="1276" w:type="dxa"/>
            <w:vAlign w:val="center"/>
          </w:tcPr>
          <w:p w14:paraId="229F65FB" w14:textId="77777777" w:rsidR="002850C6" w:rsidRPr="002850C6" w:rsidRDefault="002850C6" w:rsidP="002850C6">
            <w:pPr>
              <w:spacing w:before="60" w:after="60"/>
              <w:jc w:val="right"/>
              <w:rPr>
                <w:b/>
                <w:bCs/>
                <w:noProof/>
                <w:sz w:val="20"/>
                <w:szCs w:val="20"/>
              </w:rPr>
            </w:pPr>
            <w:r w:rsidRPr="002850C6">
              <w:rPr>
                <w:b/>
                <w:noProof/>
                <w:sz w:val="20"/>
              </w:rPr>
              <w:t>0,498</w:t>
            </w:r>
          </w:p>
        </w:tc>
        <w:tc>
          <w:tcPr>
            <w:tcW w:w="1276" w:type="dxa"/>
            <w:vAlign w:val="center"/>
          </w:tcPr>
          <w:p w14:paraId="58180960" w14:textId="77777777" w:rsidR="002850C6" w:rsidRPr="002850C6" w:rsidRDefault="002850C6" w:rsidP="002850C6">
            <w:pPr>
              <w:spacing w:before="60" w:after="60"/>
              <w:jc w:val="center"/>
              <w:rPr>
                <w:b/>
                <w:bCs/>
                <w:noProof/>
                <w:sz w:val="20"/>
                <w:szCs w:val="20"/>
              </w:rPr>
            </w:pPr>
            <w:r w:rsidRPr="002850C6">
              <w:rPr>
                <w:b/>
                <w:noProof/>
                <w:sz w:val="20"/>
              </w:rPr>
              <w:t>3,771</w:t>
            </w:r>
          </w:p>
        </w:tc>
      </w:tr>
      <w:tr w:rsidR="002850C6" w:rsidRPr="002850C6" w14:paraId="5F876FE6" w14:textId="77777777" w:rsidTr="0043630B">
        <w:trPr>
          <w:cantSplit/>
          <w:trHeight w:val="700"/>
        </w:trPr>
        <w:tc>
          <w:tcPr>
            <w:tcW w:w="3659" w:type="dxa"/>
            <w:vAlign w:val="center"/>
          </w:tcPr>
          <w:p w14:paraId="22533A4E" w14:textId="77777777" w:rsidR="002850C6" w:rsidRPr="002850C6" w:rsidRDefault="002850C6" w:rsidP="002850C6">
            <w:pPr>
              <w:spacing w:before="60" w:after="60"/>
              <w:jc w:val="left"/>
              <w:rPr>
                <w:noProof/>
                <w:sz w:val="20"/>
              </w:rPr>
            </w:pPr>
            <w:r w:rsidRPr="002850C6">
              <w:rPr>
                <w:noProof/>
                <w:sz w:val="20"/>
              </w:rPr>
              <w:t xml:space="preserve">Crédits cofinancés </w:t>
            </w:r>
          </w:p>
          <w:p w14:paraId="6DF090C9" w14:textId="77777777" w:rsidR="002850C6" w:rsidRPr="002850C6" w:rsidRDefault="002850C6" w:rsidP="002850C6">
            <w:pPr>
              <w:spacing w:before="60" w:after="60"/>
              <w:jc w:val="left"/>
              <w:rPr>
                <w:noProof/>
                <w:sz w:val="20"/>
              </w:rPr>
            </w:pPr>
            <w:r w:rsidRPr="002850C6">
              <w:rPr>
                <w:noProof/>
                <w:sz w:val="20"/>
              </w:rPr>
              <w:t>(le cas échéant)</w:t>
            </w:r>
          </w:p>
        </w:tc>
        <w:tc>
          <w:tcPr>
            <w:tcW w:w="1141" w:type="dxa"/>
            <w:vAlign w:val="center"/>
          </w:tcPr>
          <w:p w14:paraId="40EF4FAD"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37D085FA" w14:textId="77777777" w:rsidR="002850C6" w:rsidRPr="002850C6" w:rsidRDefault="002850C6" w:rsidP="002850C6">
            <w:pPr>
              <w:spacing w:before="60" w:after="60"/>
              <w:jc w:val="right"/>
              <w:rPr>
                <w:noProof/>
                <w:sz w:val="20"/>
              </w:rPr>
            </w:pPr>
            <w:r w:rsidRPr="002850C6">
              <w:rPr>
                <w:noProof/>
                <w:sz w:val="20"/>
              </w:rPr>
              <w:t>0,000</w:t>
            </w:r>
          </w:p>
        </w:tc>
        <w:tc>
          <w:tcPr>
            <w:tcW w:w="1141" w:type="dxa"/>
            <w:vAlign w:val="center"/>
          </w:tcPr>
          <w:p w14:paraId="55B09166" w14:textId="77777777" w:rsidR="002850C6" w:rsidRPr="002850C6" w:rsidRDefault="002850C6" w:rsidP="002850C6">
            <w:pPr>
              <w:spacing w:before="60" w:after="60"/>
              <w:jc w:val="right"/>
              <w:rPr>
                <w:noProof/>
                <w:sz w:val="20"/>
              </w:rPr>
            </w:pPr>
            <w:r w:rsidRPr="002850C6">
              <w:rPr>
                <w:noProof/>
                <w:sz w:val="20"/>
              </w:rPr>
              <w:t>0,000</w:t>
            </w:r>
          </w:p>
        </w:tc>
        <w:tc>
          <w:tcPr>
            <w:tcW w:w="1276" w:type="dxa"/>
            <w:vAlign w:val="center"/>
          </w:tcPr>
          <w:p w14:paraId="71C6DE21" w14:textId="77777777" w:rsidR="002850C6" w:rsidRPr="002850C6" w:rsidRDefault="002850C6" w:rsidP="002850C6">
            <w:pPr>
              <w:spacing w:before="60" w:after="60"/>
              <w:jc w:val="right"/>
              <w:rPr>
                <w:b/>
                <w:bCs/>
                <w:noProof/>
                <w:sz w:val="20"/>
                <w:szCs w:val="20"/>
              </w:rPr>
            </w:pPr>
            <w:r w:rsidRPr="002850C6">
              <w:rPr>
                <w:b/>
                <w:noProof/>
                <w:sz w:val="20"/>
              </w:rPr>
              <w:t>0,000</w:t>
            </w:r>
          </w:p>
        </w:tc>
        <w:tc>
          <w:tcPr>
            <w:tcW w:w="1276" w:type="dxa"/>
            <w:vAlign w:val="center"/>
          </w:tcPr>
          <w:p w14:paraId="75447D4A" w14:textId="77777777" w:rsidR="002850C6" w:rsidRPr="002850C6" w:rsidRDefault="002850C6" w:rsidP="002850C6">
            <w:pPr>
              <w:spacing w:before="60" w:after="60"/>
              <w:jc w:val="center"/>
              <w:rPr>
                <w:b/>
                <w:bCs/>
                <w:noProof/>
                <w:sz w:val="20"/>
                <w:szCs w:val="20"/>
              </w:rPr>
            </w:pPr>
            <w:r w:rsidRPr="002850C6">
              <w:rPr>
                <w:b/>
                <w:noProof/>
                <w:sz w:val="20"/>
              </w:rPr>
              <w:t>0,000</w:t>
            </w:r>
          </w:p>
        </w:tc>
      </w:tr>
      <w:tr w:rsidR="002850C6" w:rsidRPr="002850C6" w14:paraId="376F51FA" w14:textId="77777777" w:rsidTr="0043630B">
        <w:trPr>
          <w:cantSplit/>
          <w:trHeight w:val="700"/>
        </w:trPr>
        <w:tc>
          <w:tcPr>
            <w:tcW w:w="3659" w:type="dxa"/>
            <w:vAlign w:val="center"/>
          </w:tcPr>
          <w:p w14:paraId="69DCB9AC" w14:textId="77777777" w:rsidR="002850C6" w:rsidRPr="002850C6" w:rsidRDefault="002850C6" w:rsidP="002850C6">
            <w:pPr>
              <w:spacing w:before="60" w:after="60"/>
              <w:jc w:val="left"/>
              <w:rPr>
                <w:b/>
                <w:bCs/>
                <w:noProof/>
                <w:sz w:val="20"/>
              </w:rPr>
            </w:pPr>
            <w:r w:rsidRPr="002850C6">
              <w:rPr>
                <w:b/>
                <w:noProof/>
                <w:sz w:val="20"/>
              </w:rPr>
              <w:t>TOTAL des crédits</w:t>
            </w:r>
          </w:p>
        </w:tc>
        <w:tc>
          <w:tcPr>
            <w:tcW w:w="1141" w:type="dxa"/>
            <w:vAlign w:val="center"/>
          </w:tcPr>
          <w:p w14:paraId="53CBE3A2" w14:textId="77777777" w:rsidR="002850C6" w:rsidRPr="002850C6" w:rsidRDefault="002850C6" w:rsidP="002850C6">
            <w:pPr>
              <w:spacing w:before="60" w:after="60"/>
              <w:jc w:val="right"/>
              <w:rPr>
                <w:b/>
                <w:bCs/>
                <w:noProof/>
                <w:sz w:val="20"/>
              </w:rPr>
            </w:pPr>
            <w:r w:rsidRPr="002850C6">
              <w:rPr>
                <w:b/>
                <w:noProof/>
                <w:sz w:val="20"/>
              </w:rPr>
              <w:t>0,000</w:t>
            </w:r>
          </w:p>
        </w:tc>
        <w:tc>
          <w:tcPr>
            <w:tcW w:w="1141" w:type="dxa"/>
            <w:vAlign w:val="center"/>
          </w:tcPr>
          <w:p w14:paraId="4FE8AA1F" w14:textId="77777777" w:rsidR="002850C6" w:rsidRPr="002850C6" w:rsidRDefault="002850C6" w:rsidP="002850C6">
            <w:pPr>
              <w:spacing w:before="60" w:after="60"/>
              <w:jc w:val="right"/>
              <w:rPr>
                <w:b/>
                <w:bCs/>
                <w:noProof/>
                <w:sz w:val="20"/>
              </w:rPr>
            </w:pPr>
            <w:r w:rsidRPr="002850C6">
              <w:rPr>
                <w:b/>
                <w:noProof/>
                <w:sz w:val="20"/>
              </w:rPr>
              <w:t>0,000</w:t>
            </w:r>
          </w:p>
        </w:tc>
        <w:tc>
          <w:tcPr>
            <w:tcW w:w="1141" w:type="dxa"/>
            <w:vAlign w:val="center"/>
          </w:tcPr>
          <w:p w14:paraId="2BD35329" w14:textId="77777777" w:rsidR="002850C6" w:rsidRPr="002850C6" w:rsidRDefault="002850C6" w:rsidP="002850C6">
            <w:pPr>
              <w:spacing w:before="60" w:after="60"/>
              <w:jc w:val="right"/>
              <w:rPr>
                <w:b/>
                <w:bCs/>
                <w:noProof/>
                <w:sz w:val="20"/>
              </w:rPr>
            </w:pPr>
            <w:r w:rsidRPr="002850C6">
              <w:rPr>
                <w:b/>
                <w:noProof/>
                <w:sz w:val="20"/>
              </w:rPr>
              <w:t>0,996</w:t>
            </w:r>
          </w:p>
        </w:tc>
        <w:tc>
          <w:tcPr>
            <w:tcW w:w="1276" w:type="dxa"/>
            <w:vAlign w:val="center"/>
          </w:tcPr>
          <w:p w14:paraId="652A14F3" w14:textId="77777777" w:rsidR="002850C6" w:rsidRPr="002850C6" w:rsidRDefault="002850C6" w:rsidP="002850C6">
            <w:pPr>
              <w:spacing w:before="60" w:after="60"/>
              <w:jc w:val="right"/>
              <w:rPr>
                <w:b/>
                <w:bCs/>
                <w:noProof/>
                <w:sz w:val="20"/>
              </w:rPr>
            </w:pPr>
            <w:r w:rsidRPr="002850C6">
              <w:rPr>
                <w:b/>
                <w:noProof/>
                <w:sz w:val="20"/>
              </w:rPr>
              <w:t>0,996</w:t>
            </w:r>
          </w:p>
        </w:tc>
        <w:tc>
          <w:tcPr>
            <w:tcW w:w="1276" w:type="dxa"/>
            <w:vAlign w:val="center"/>
          </w:tcPr>
          <w:p w14:paraId="1A728BF1" w14:textId="77777777" w:rsidR="002850C6" w:rsidRPr="002850C6" w:rsidRDefault="002850C6" w:rsidP="002850C6">
            <w:pPr>
              <w:spacing w:before="60" w:after="60"/>
              <w:jc w:val="center"/>
              <w:rPr>
                <w:b/>
                <w:bCs/>
                <w:noProof/>
                <w:sz w:val="20"/>
              </w:rPr>
            </w:pPr>
            <w:r w:rsidRPr="002850C6">
              <w:rPr>
                <w:b/>
                <w:noProof/>
                <w:sz w:val="20"/>
              </w:rPr>
              <w:t>7,541</w:t>
            </w:r>
          </w:p>
        </w:tc>
      </w:tr>
    </w:tbl>
    <w:p w14:paraId="44A8AADA" w14:textId="77777777" w:rsidR="002850C6" w:rsidRPr="002850C6" w:rsidRDefault="002850C6" w:rsidP="002850C6">
      <w:pPr>
        <w:keepNext/>
        <w:tabs>
          <w:tab w:val="left" w:pos="850"/>
        </w:tabs>
        <w:outlineLvl w:val="1"/>
        <w:rPr>
          <w:b/>
          <w:bCs/>
          <w:noProof/>
          <w:szCs w:val="24"/>
        </w:rPr>
      </w:pPr>
      <w:bookmarkStart w:id="165" w:name="_Toc514938059"/>
      <w:bookmarkStart w:id="166" w:name="_Toc520485057"/>
      <w:bookmarkStart w:id="167" w:name="_Toc160804602"/>
      <w:bookmarkStart w:id="168" w:name="_Toc213612605"/>
      <w:r w:rsidRPr="002850C6">
        <w:rPr>
          <w:b/>
          <w:noProof/>
        </w:rPr>
        <w:t>3.3.</w:t>
      </w:r>
      <w:r w:rsidRPr="002850C6">
        <w:rPr>
          <w:b/>
          <w:noProof/>
        </w:rPr>
        <w:tab/>
        <w:t>Incidence estimée sur les recettes</w:t>
      </w:r>
      <w:bookmarkEnd w:id="165"/>
      <w:bookmarkEnd w:id="166"/>
      <w:bookmarkEnd w:id="167"/>
      <w:bookmarkEnd w:id="168"/>
      <w:r w:rsidRPr="002850C6">
        <w:rPr>
          <w:b/>
          <w:noProof/>
        </w:rPr>
        <w:t xml:space="preserve"> </w:t>
      </w:r>
    </w:p>
    <w:p w14:paraId="15AF4E88"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La proposition/l’initiative est sans incidence financière sur les recettes.</w:t>
      </w:r>
    </w:p>
    <w:p w14:paraId="01646903"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La proposition/l’initiative a une incidence financière décrite ci‑après:</w:t>
      </w:r>
    </w:p>
    <w:p w14:paraId="041D5503"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 xml:space="preserve">sur les ressources propres </w:t>
      </w:r>
    </w:p>
    <w:p w14:paraId="7452FB0D"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sur les autres recettes</w:t>
      </w:r>
    </w:p>
    <w:p w14:paraId="2E761871" w14:textId="77777777" w:rsidR="002850C6" w:rsidRPr="002850C6" w:rsidRDefault="002850C6" w:rsidP="008F47E2">
      <w:pPr>
        <w:rPr>
          <w:rFonts w:eastAsia="Times New Roman"/>
          <w:noProof/>
          <w:lang w:eastAsia="de-DE"/>
        </w:rPr>
      </w:pPr>
      <w:r w:rsidRPr="002850C6">
        <w:rPr>
          <w:rFonts w:ascii="Wingdings" w:eastAsia="Times New Roman" w:hAnsi="Wingdings"/>
          <w:noProof/>
          <w:lang w:eastAsia="de-DE"/>
        </w:rPr>
        <w:t></w:t>
      </w:r>
      <w:r w:rsidRPr="002850C6">
        <w:rPr>
          <w:rFonts w:eastAsia="Times New Roman"/>
          <w:noProof/>
          <w:lang w:eastAsia="de-DE"/>
        </w:rPr>
        <w:tab/>
        <w:t>veuillez indiquer si les recettes sont affectées à des lignes de dépenses</w:t>
      </w:r>
    </w:p>
    <w:p w14:paraId="0394853D" w14:textId="77777777" w:rsidR="002850C6" w:rsidRPr="002850C6" w:rsidRDefault="002850C6" w:rsidP="002850C6">
      <w:pPr>
        <w:ind w:left="4320"/>
        <w:jc w:val="right"/>
        <w:rPr>
          <w:i/>
          <w:noProof/>
          <w:sz w:val="20"/>
          <w:szCs w:val="20"/>
        </w:rPr>
      </w:pPr>
      <w:r w:rsidRPr="002850C6">
        <w:rPr>
          <w:noProof/>
          <w:sz w:val="20"/>
        </w:rPr>
        <w:t xml:space="preserve">     En Mio EUR (à la 3</w:t>
      </w:r>
      <w:r w:rsidRPr="002850C6">
        <w:rPr>
          <w:noProof/>
          <w:sz w:val="20"/>
          <w:vertAlign w:val="superscript"/>
        </w:rPr>
        <w:t>e</w:t>
      </w:r>
      <w:r w:rsidRPr="002850C6">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61"/>
      </w:tblGrid>
      <w:tr w:rsidR="002850C6" w:rsidRPr="002850C6" w14:paraId="3B60F01D" w14:textId="77777777" w:rsidTr="0043630B">
        <w:trPr>
          <w:trHeight w:val="388"/>
        </w:trPr>
        <w:tc>
          <w:tcPr>
            <w:tcW w:w="1422" w:type="pct"/>
            <w:vMerge w:val="restart"/>
            <w:vAlign w:val="center"/>
          </w:tcPr>
          <w:p w14:paraId="73C834FF" w14:textId="77777777" w:rsidR="002850C6" w:rsidRPr="002850C6" w:rsidRDefault="002850C6" w:rsidP="002850C6">
            <w:pPr>
              <w:spacing w:before="40" w:after="40"/>
              <w:rPr>
                <w:noProof/>
                <w:sz w:val="18"/>
              </w:rPr>
            </w:pPr>
            <w:r w:rsidRPr="002850C6">
              <w:rPr>
                <w:noProof/>
                <w:sz w:val="18"/>
              </w:rPr>
              <w:t>Ligne budgétaire de recettes:</w:t>
            </w:r>
          </w:p>
        </w:tc>
        <w:tc>
          <w:tcPr>
            <w:tcW w:w="868" w:type="pct"/>
            <w:vMerge w:val="restart"/>
            <w:vAlign w:val="center"/>
          </w:tcPr>
          <w:p w14:paraId="62A6118C" w14:textId="77777777" w:rsidR="002850C6" w:rsidRPr="002850C6" w:rsidRDefault="002850C6" w:rsidP="002850C6">
            <w:pPr>
              <w:jc w:val="center"/>
              <w:rPr>
                <w:noProof/>
                <w:sz w:val="18"/>
              </w:rPr>
            </w:pPr>
            <w:r w:rsidRPr="002850C6">
              <w:rPr>
                <w:noProof/>
                <w:sz w:val="18"/>
              </w:rPr>
              <w:t>Montants inscrits pour l'exercice en cours</w:t>
            </w:r>
          </w:p>
        </w:tc>
        <w:tc>
          <w:tcPr>
            <w:tcW w:w="2709" w:type="pct"/>
            <w:gridSpan w:val="4"/>
            <w:vAlign w:val="center"/>
          </w:tcPr>
          <w:p w14:paraId="17FC0BE4" w14:textId="77777777" w:rsidR="002850C6" w:rsidRPr="002850C6" w:rsidRDefault="002850C6" w:rsidP="002850C6">
            <w:pPr>
              <w:jc w:val="center"/>
              <w:rPr>
                <w:noProof/>
                <w:sz w:val="18"/>
              </w:rPr>
            </w:pPr>
            <w:r w:rsidRPr="002850C6">
              <w:rPr>
                <w:noProof/>
                <w:sz w:val="18"/>
              </w:rPr>
              <w:t>Incidence de la proposition/de l’initiative</w:t>
            </w:r>
            <w:r w:rsidRPr="008F47E2">
              <w:rPr>
                <w:rStyle w:val="FootnoteReference"/>
                <w:noProof/>
              </w:rPr>
              <w:footnoteReference w:id="74"/>
            </w:r>
          </w:p>
        </w:tc>
      </w:tr>
      <w:tr w:rsidR="002850C6" w:rsidRPr="002850C6" w14:paraId="3718C649" w14:textId="77777777" w:rsidTr="0043630B">
        <w:trPr>
          <w:trHeight w:val="388"/>
        </w:trPr>
        <w:tc>
          <w:tcPr>
            <w:tcW w:w="1422" w:type="pct"/>
            <w:vMerge/>
          </w:tcPr>
          <w:p w14:paraId="10E84A8D" w14:textId="77777777" w:rsidR="002850C6" w:rsidRPr="002850C6" w:rsidRDefault="002850C6" w:rsidP="002850C6">
            <w:pPr>
              <w:spacing w:before="40" w:after="40"/>
              <w:rPr>
                <w:noProof/>
                <w:sz w:val="18"/>
              </w:rPr>
            </w:pPr>
          </w:p>
        </w:tc>
        <w:tc>
          <w:tcPr>
            <w:tcW w:w="868" w:type="pct"/>
            <w:vMerge/>
          </w:tcPr>
          <w:p w14:paraId="3A80B7AC" w14:textId="77777777" w:rsidR="002850C6" w:rsidRPr="002850C6" w:rsidRDefault="002850C6" w:rsidP="002850C6">
            <w:pPr>
              <w:spacing w:beforeLines="40" w:before="96" w:afterLines="40" w:after="96"/>
              <w:rPr>
                <w:i/>
                <w:noProof/>
                <w:sz w:val="18"/>
              </w:rPr>
            </w:pPr>
          </w:p>
        </w:tc>
        <w:tc>
          <w:tcPr>
            <w:tcW w:w="911" w:type="pct"/>
            <w:vAlign w:val="center"/>
          </w:tcPr>
          <w:p w14:paraId="77132104" w14:textId="77777777" w:rsidR="002850C6" w:rsidRPr="002850C6" w:rsidRDefault="002850C6" w:rsidP="002850C6">
            <w:pPr>
              <w:jc w:val="center"/>
              <w:rPr>
                <w:noProof/>
                <w:sz w:val="18"/>
              </w:rPr>
            </w:pPr>
            <w:r w:rsidRPr="002850C6">
              <w:rPr>
                <w:noProof/>
                <w:sz w:val="18"/>
              </w:rPr>
              <w:t xml:space="preserve">Année </w:t>
            </w:r>
            <w:r w:rsidRPr="002850C6">
              <w:rPr>
                <w:b/>
                <w:noProof/>
                <w:sz w:val="18"/>
              </w:rPr>
              <w:t>2024</w:t>
            </w:r>
          </w:p>
        </w:tc>
        <w:tc>
          <w:tcPr>
            <w:tcW w:w="562" w:type="pct"/>
            <w:vAlign w:val="center"/>
          </w:tcPr>
          <w:p w14:paraId="33E686FF" w14:textId="77777777" w:rsidR="002850C6" w:rsidRPr="002850C6" w:rsidRDefault="002850C6" w:rsidP="002850C6">
            <w:pPr>
              <w:jc w:val="center"/>
              <w:rPr>
                <w:noProof/>
                <w:sz w:val="18"/>
              </w:rPr>
            </w:pPr>
            <w:r w:rsidRPr="002850C6">
              <w:rPr>
                <w:noProof/>
                <w:sz w:val="18"/>
              </w:rPr>
              <w:t xml:space="preserve">Année </w:t>
            </w:r>
            <w:r w:rsidRPr="002850C6">
              <w:rPr>
                <w:b/>
                <w:noProof/>
                <w:sz w:val="18"/>
              </w:rPr>
              <w:t>2025</w:t>
            </w:r>
          </w:p>
        </w:tc>
        <w:tc>
          <w:tcPr>
            <w:tcW w:w="557" w:type="pct"/>
            <w:vAlign w:val="center"/>
          </w:tcPr>
          <w:p w14:paraId="2DD5B7E2" w14:textId="77777777" w:rsidR="002850C6" w:rsidRPr="002850C6" w:rsidRDefault="002850C6" w:rsidP="002850C6">
            <w:pPr>
              <w:jc w:val="center"/>
              <w:rPr>
                <w:noProof/>
                <w:sz w:val="18"/>
              </w:rPr>
            </w:pPr>
            <w:r w:rsidRPr="002850C6">
              <w:rPr>
                <w:noProof/>
                <w:sz w:val="18"/>
              </w:rPr>
              <w:t xml:space="preserve">Année </w:t>
            </w:r>
            <w:r w:rsidRPr="002850C6">
              <w:rPr>
                <w:b/>
                <w:noProof/>
                <w:sz w:val="18"/>
              </w:rPr>
              <w:t>2026</w:t>
            </w:r>
          </w:p>
        </w:tc>
        <w:tc>
          <w:tcPr>
            <w:tcW w:w="677" w:type="pct"/>
            <w:vAlign w:val="center"/>
          </w:tcPr>
          <w:p w14:paraId="7AFC2B5F" w14:textId="77777777" w:rsidR="002850C6" w:rsidRPr="002850C6" w:rsidRDefault="002850C6" w:rsidP="002850C6">
            <w:pPr>
              <w:jc w:val="center"/>
              <w:rPr>
                <w:noProof/>
                <w:sz w:val="18"/>
              </w:rPr>
            </w:pPr>
            <w:r w:rsidRPr="002850C6">
              <w:rPr>
                <w:noProof/>
                <w:sz w:val="18"/>
              </w:rPr>
              <w:t xml:space="preserve">Année </w:t>
            </w:r>
            <w:r w:rsidRPr="002850C6">
              <w:rPr>
                <w:b/>
                <w:noProof/>
                <w:sz w:val="18"/>
              </w:rPr>
              <w:t>2027</w:t>
            </w:r>
          </w:p>
        </w:tc>
      </w:tr>
      <w:tr w:rsidR="002850C6" w:rsidRPr="002850C6" w14:paraId="54D93C90" w14:textId="77777777" w:rsidTr="0043630B">
        <w:trPr>
          <w:trHeight w:val="388"/>
        </w:trPr>
        <w:tc>
          <w:tcPr>
            <w:tcW w:w="1422" w:type="pct"/>
            <w:vAlign w:val="center"/>
          </w:tcPr>
          <w:p w14:paraId="4C7BB237" w14:textId="77777777" w:rsidR="002850C6" w:rsidRPr="002850C6" w:rsidRDefault="002850C6" w:rsidP="002850C6">
            <w:pPr>
              <w:spacing w:before="40" w:after="40"/>
              <w:rPr>
                <w:noProof/>
                <w:sz w:val="18"/>
              </w:rPr>
            </w:pPr>
            <w:r w:rsidRPr="002850C6">
              <w:rPr>
                <w:noProof/>
                <w:sz w:val="18"/>
              </w:rPr>
              <w:t>Article ………….</w:t>
            </w:r>
          </w:p>
        </w:tc>
        <w:tc>
          <w:tcPr>
            <w:tcW w:w="868" w:type="pct"/>
          </w:tcPr>
          <w:p w14:paraId="4070BDB3" w14:textId="77777777" w:rsidR="002850C6" w:rsidRPr="002850C6" w:rsidRDefault="002850C6" w:rsidP="002850C6">
            <w:pPr>
              <w:spacing w:beforeLines="40" w:before="96" w:afterLines="40" w:after="96"/>
              <w:jc w:val="center"/>
              <w:rPr>
                <w:i/>
                <w:noProof/>
                <w:sz w:val="18"/>
              </w:rPr>
            </w:pPr>
          </w:p>
        </w:tc>
        <w:tc>
          <w:tcPr>
            <w:tcW w:w="911" w:type="pct"/>
          </w:tcPr>
          <w:p w14:paraId="402A4E13" w14:textId="77777777" w:rsidR="002850C6" w:rsidRPr="002850C6" w:rsidRDefault="002850C6" w:rsidP="002850C6">
            <w:pPr>
              <w:spacing w:beforeLines="40" w:before="96" w:afterLines="40" w:after="96"/>
              <w:jc w:val="center"/>
              <w:rPr>
                <w:noProof/>
                <w:sz w:val="18"/>
              </w:rPr>
            </w:pPr>
          </w:p>
        </w:tc>
        <w:tc>
          <w:tcPr>
            <w:tcW w:w="562" w:type="pct"/>
          </w:tcPr>
          <w:p w14:paraId="320204C5" w14:textId="77777777" w:rsidR="002850C6" w:rsidRPr="002850C6" w:rsidRDefault="002850C6" w:rsidP="002850C6">
            <w:pPr>
              <w:spacing w:beforeLines="40" w:before="96" w:afterLines="40" w:after="96"/>
              <w:jc w:val="center"/>
              <w:rPr>
                <w:noProof/>
                <w:sz w:val="18"/>
              </w:rPr>
            </w:pPr>
          </w:p>
        </w:tc>
        <w:tc>
          <w:tcPr>
            <w:tcW w:w="557" w:type="pct"/>
          </w:tcPr>
          <w:p w14:paraId="127DD98D" w14:textId="77777777" w:rsidR="002850C6" w:rsidRPr="002850C6" w:rsidRDefault="002850C6" w:rsidP="002850C6">
            <w:pPr>
              <w:spacing w:beforeLines="40" w:before="96" w:afterLines="40" w:after="96"/>
              <w:jc w:val="center"/>
              <w:rPr>
                <w:noProof/>
                <w:sz w:val="18"/>
              </w:rPr>
            </w:pPr>
          </w:p>
        </w:tc>
        <w:tc>
          <w:tcPr>
            <w:tcW w:w="677" w:type="pct"/>
          </w:tcPr>
          <w:p w14:paraId="010FC3DA" w14:textId="77777777" w:rsidR="002850C6" w:rsidRPr="002850C6" w:rsidRDefault="002850C6" w:rsidP="002850C6">
            <w:pPr>
              <w:spacing w:beforeLines="40" w:before="96" w:afterLines="40" w:after="96"/>
              <w:jc w:val="center"/>
              <w:rPr>
                <w:noProof/>
                <w:sz w:val="18"/>
              </w:rPr>
            </w:pPr>
          </w:p>
        </w:tc>
      </w:tr>
    </w:tbl>
    <w:p w14:paraId="2CF54D43" w14:textId="77777777" w:rsidR="002850C6" w:rsidRPr="002850C6" w:rsidRDefault="002850C6" w:rsidP="002850C6">
      <w:pPr>
        <w:ind w:left="850"/>
        <w:rPr>
          <w:noProof/>
          <w:color w:val="000000" w:themeColor="text1"/>
          <w:szCs w:val="24"/>
        </w:rPr>
      </w:pPr>
      <w:r w:rsidRPr="002850C6">
        <w:rPr>
          <w:noProof/>
        </w:rPr>
        <w:t>Pour les recettes affectées, préciser la(les) ligne(s) budgétaire(s) de dépenses concernée(s).</w:t>
      </w:r>
    </w:p>
    <w:p w14:paraId="59A1C653"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w:t>
      </w:r>
    </w:p>
    <w:p w14:paraId="2E4246D4" w14:textId="77777777" w:rsidR="002850C6" w:rsidRPr="002850C6" w:rsidRDefault="002850C6" w:rsidP="002850C6">
      <w:pPr>
        <w:ind w:left="850"/>
        <w:rPr>
          <w:noProof/>
          <w:color w:val="000000" w:themeColor="text1"/>
          <w:szCs w:val="24"/>
        </w:rPr>
      </w:pPr>
      <w:r w:rsidRPr="002850C6">
        <w:rPr>
          <w:noProof/>
          <w:color w:val="000000" w:themeColor="text1"/>
        </w:rPr>
        <w:t>Autres remarques (relatives par exemple à la méthode/formule utilisée pour le calcul de l’incidence sur les recettes ou toute autre information).</w:t>
      </w:r>
    </w:p>
    <w:p w14:paraId="3FA40357" w14:textId="77777777" w:rsidR="002850C6" w:rsidRPr="002850C6" w:rsidRDefault="002850C6" w:rsidP="002850C6">
      <w:pPr>
        <w:pBdr>
          <w:top w:val="single" w:sz="4" w:space="1" w:color="auto"/>
          <w:left w:val="single" w:sz="4" w:space="4" w:color="auto"/>
          <w:bottom w:val="single" w:sz="4" w:space="1" w:color="auto"/>
          <w:right w:val="single" w:sz="4" w:space="4" w:color="auto"/>
        </w:pBdr>
        <w:ind w:left="850"/>
        <w:rPr>
          <w:noProof/>
          <w:color w:val="000000" w:themeColor="text1"/>
        </w:rPr>
      </w:pPr>
      <w:r w:rsidRPr="002850C6">
        <w:rPr>
          <w:noProof/>
          <w:color w:val="000000" w:themeColor="text1"/>
        </w:rPr>
        <w:t>[…]</w:t>
      </w:r>
    </w:p>
    <w:p w14:paraId="1220EFA8" w14:textId="77777777" w:rsidR="002850C6" w:rsidRPr="002850C6" w:rsidRDefault="002850C6" w:rsidP="002850C6">
      <w:pPr>
        <w:keepNext/>
        <w:tabs>
          <w:tab w:val="left" w:pos="850"/>
        </w:tabs>
        <w:spacing w:before="360" w:line="259" w:lineRule="auto"/>
        <w:ind w:left="850" w:hanging="850"/>
        <w:outlineLvl w:val="0"/>
        <w:rPr>
          <w:b/>
          <w:noProof/>
          <w:color w:val="000000" w:themeColor="text1"/>
        </w:rPr>
      </w:pPr>
      <w:bookmarkStart w:id="169" w:name="_Toc213612606"/>
      <w:r w:rsidRPr="002850C6">
        <w:rPr>
          <w:b/>
          <w:smallCaps/>
          <w:noProof/>
          <w:color w:val="000000" w:themeColor="text1"/>
        </w:rPr>
        <w:t>4.</w:t>
      </w:r>
      <w:r w:rsidRPr="002850C6">
        <w:rPr>
          <w:b/>
          <w:smallCaps/>
          <w:noProof/>
        </w:rPr>
        <w:tab/>
      </w:r>
      <w:r w:rsidRPr="002850C6">
        <w:rPr>
          <w:b/>
          <w:smallCaps/>
          <w:noProof/>
          <w:color w:val="000000" w:themeColor="text1"/>
        </w:rPr>
        <w:t>Dimensions numériques</w:t>
      </w:r>
      <w:bookmarkEnd w:id="169"/>
      <w:r w:rsidRPr="002850C6">
        <w:rPr>
          <w:b/>
          <w:smallCaps/>
          <w:noProof/>
          <w:color w:val="000000" w:themeColor="text1"/>
        </w:rPr>
        <w:t xml:space="preserve"> </w:t>
      </w:r>
    </w:p>
    <w:p w14:paraId="1496CBB6" w14:textId="77777777" w:rsidR="002850C6" w:rsidRPr="002850C6" w:rsidRDefault="002850C6" w:rsidP="002850C6">
      <w:pPr>
        <w:pBdr>
          <w:top w:val="single" w:sz="4" w:space="1" w:color="000000"/>
          <w:left w:val="single" w:sz="4" w:space="0" w:color="000000"/>
          <w:bottom w:val="single" w:sz="4" w:space="1" w:color="000000"/>
          <w:right w:val="single" w:sz="4" w:space="4" w:color="000000"/>
        </w:pBdr>
        <w:spacing w:line="259" w:lineRule="auto"/>
        <w:ind w:left="-142"/>
        <w:rPr>
          <w:noProof/>
          <w:color w:val="000000" w:themeColor="text1"/>
        </w:rPr>
      </w:pPr>
      <w:r w:rsidRPr="002850C6">
        <w:rPr>
          <w:noProof/>
          <w:color w:val="000000" w:themeColor="text1"/>
        </w:rPr>
        <w:t>Les travaux à mener par l’AFE conduiront à la modification des outils informatiques et des registres existants de l’AFE et ont donc une dimension numérique dont les détails ne sont pas connus à ce stade.</w:t>
      </w:r>
    </w:p>
    <w:p w14:paraId="7811CA20" w14:textId="77777777" w:rsidR="002850C6" w:rsidRPr="002850C6" w:rsidRDefault="002850C6" w:rsidP="002850C6">
      <w:pPr>
        <w:keepNext/>
        <w:tabs>
          <w:tab w:val="left" w:pos="850"/>
        </w:tabs>
        <w:ind w:left="850" w:hanging="850"/>
        <w:outlineLvl w:val="1"/>
        <w:rPr>
          <w:b/>
          <w:noProof/>
          <w:color w:val="000000" w:themeColor="text1"/>
        </w:rPr>
      </w:pPr>
      <w:bookmarkStart w:id="170" w:name="_Toc167220302"/>
      <w:bookmarkStart w:id="171" w:name="_Toc167265072"/>
      <w:bookmarkStart w:id="172" w:name="_Toc213612607"/>
      <w:r w:rsidRPr="002850C6">
        <w:rPr>
          <w:b/>
          <w:noProof/>
          <w:color w:val="000000" w:themeColor="text1"/>
        </w:rPr>
        <w:t>4.1.</w:t>
      </w:r>
      <w:r w:rsidRPr="002850C6">
        <w:rPr>
          <w:b/>
          <w:noProof/>
        </w:rPr>
        <w:tab/>
      </w:r>
      <w:r w:rsidRPr="002850C6">
        <w:rPr>
          <w:b/>
          <w:noProof/>
          <w:color w:val="000000" w:themeColor="text1"/>
        </w:rPr>
        <w:t>Exigences pertinentes en matière numérique</w:t>
      </w:r>
      <w:bookmarkEnd w:id="170"/>
      <w:bookmarkEnd w:id="171"/>
      <w:bookmarkEnd w:id="172"/>
    </w:p>
    <w:tbl>
      <w:tblPr>
        <w:tblStyle w:val="TableGrid"/>
        <w:tblW w:w="9072" w:type="dxa"/>
        <w:tblInd w:w="-5" w:type="dxa"/>
        <w:tblLayout w:type="fixed"/>
        <w:tblLook w:val="06A0" w:firstRow="1" w:lastRow="0" w:firstColumn="1" w:lastColumn="0" w:noHBand="1" w:noVBand="1"/>
      </w:tblPr>
      <w:tblGrid>
        <w:gridCol w:w="9072"/>
      </w:tblGrid>
      <w:tr w:rsidR="002850C6" w:rsidRPr="002850C6" w14:paraId="713A8E14" w14:textId="77777777" w:rsidTr="0043630B">
        <w:trPr>
          <w:trHeight w:val="300"/>
        </w:trPr>
        <w:tc>
          <w:tcPr>
            <w:tcW w:w="9072" w:type="dxa"/>
          </w:tcPr>
          <w:p w14:paraId="5D8412A0" w14:textId="77777777" w:rsidR="002850C6" w:rsidRPr="002850C6" w:rsidRDefault="002850C6" w:rsidP="002850C6">
            <w:pPr>
              <w:rPr>
                <w:noProof/>
                <w:color w:val="000000" w:themeColor="text1"/>
              </w:rPr>
            </w:pPr>
            <w:r w:rsidRPr="002850C6">
              <w:rPr>
                <w:noProof/>
                <w:color w:val="000000" w:themeColor="text1"/>
              </w:rPr>
              <w:t xml:space="preserve">Aux termes de l’article 14 de la présente proposition de règlement, la Commission peut établir, par l’adoption d’un acte d’exécution de la Commission, un système d’information numérique sécurisé et restreint sur la mobilité militaire à déployer d’ici à 2030. Ce système contribuera à rationaliser considérablement et à automatiser les processus liés au transport militaire, en particulier pour les opérations de transport militaire transfrontière. Par exemple, ce système numérique devrait traiter notamment les aspects douaniers du formulaire UE 302 en application du règlement (UE) 202X/XXXX [réforme douanière]. [Cette nouvelle solution numérique est exploitée et maintenue par la Commission] et, une fois opérationnelle, les États membres l’utilisent pour toutes les procédures relevant du présent chapitre et pour les formalités douanières liées au formulaire UE 302 visé dans le présent règlement. </w:t>
            </w:r>
          </w:p>
          <w:p w14:paraId="2ECB7EA2" w14:textId="77777777" w:rsidR="002850C6" w:rsidRPr="002850C6" w:rsidRDefault="002850C6" w:rsidP="002850C6">
            <w:pPr>
              <w:rPr>
                <w:noProof/>
                <w:color w:val="000000" w:themeColor="text1"/>
              </w:rPr>
            </w:pPr>
            <w:r w:rsidRPr="002850C6">
              <w:rPr>
                <w:noProof/>
                <w:color w:val="000000" w:themeColor="text1"/>
              </w:rPr>
              <w:t>L’article 16 dispose que les autorités douanières des États membres et l’Autorité douanière de l’UE utilisent le système d’information numérique sur la mobilité militaire visé à l’article 14, une fois opérationnel, aux fins de l’échange et du stockage d’informations relatives au formulaire 302 de l’UE, sur la base des exigences communes en matière de données définies conformément à l’article 33 du règlement (UE) 202X/XXXX [réforme douanière]. Les autorités douanières des États membres et l’Autorité douanière de l’UE ont accès à ce système pour s’acquitter de leurs obligations douanières dans le cadre de la mobilité militaire.</w:t>
            </w:r>
          </w:p>
          <w:p w14:paraId="4FC5E604" w14:textId="77777777" w:rsidR="002850C6" w:rsidRPr="002850C6" w:rsidRDefault="002850C6" w:rsidP="002850C6">
            <w:pPr>
              <w:rPr>
                <w:noProof/>
                <w:color w:val="000000" w:themeColor="text1"/>
              </w:rPr>
            </w:pPr>
            <w:r w:rsidRPr="002850C6">
              <w:rPr>
                <w:noProof/>
              </w:rPr>
              <w:t>Afin de faciliter l’interopérabilité et l’échange de données entre les systèmes, l’utilisation de formats normalisés (par exemple les formats JSON, JSON-LD, RDF et XML) est prioritaire pour la numérisation du formulaire. En outre, un cadre de gouvernance des données efficace est mis en place pour assurer la gestion de la qualité des données et la normalisation, garantissant ainsi l’exactitude, la fiabilité et la cohérence entre les différents systèmes et entités.</w:t>
            </w:r>
          </w:p>
          <w:p w14:paraId="76160722" w14:textId="77777777" w:rsidR="002850C6" w:rsidRPr="002850C6" w:rsidRDefault="002850C6" w:rsidP="002850C6">
            <w:pPr>
              <w:rPr>
                <w:noProof/>
                <w:color w:val="000000" w:themeColor="text1"/>
              </w:rPr>
            </w:pPr>
            <w:r w:rsidRPr="002850C6">
              <w:rPr>
                <w:noProof/>
                <w:color w:val="000000" w:themeColor="text1"/>
              </w:rPr>
              <w:t xml:space="preserve">L’article 35 prévoit également la possibilité pour la Commission de créer une réserve de solidarité afin de faciliter l’exécution d’opérations de transport militaire. Cette réserve de solidarité pourrait nécessiter la mise au point d’un outil numérique sécurisé destiné à gérer la réserve de solidarité, en s’appuyant sur l’outil existant utilisé par la DG ECHO dans le cadre du centre européen de coordination de la réaction d’urgence. </w:t>
            </w:r>
          </w:p>
          <w:p w14:paraId="461CA1D5" w14:textId="77777777" w:rsidR="002850C6" w:rsidRPr="002850C6" w:rsidRDefault="002850C6" w:rsidP="002850C6">
            <w:pPr>
              <w:rPr>
                <w:noProof/>
                <w:color w:val="000000" w:themeColor="text1"/>
              </w:rPr>
            </w:pPr>
          </w:p>
          <w:tbl>
            <w:tblPr>
              <w:tblStyle w:val="TableGridLight"/>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1814"/>
              <w:gridCol w:w="1814"/>
              <w:gridCol w:w="1815"/>
              <w:gridCol w:w="1815"/>
            </w:tblGrid>
            <w:tr w:rsidR="002850C6" w:rsidRPr="002850C6" w14:paraId="49B18773" w14:textId="77777777" w:rsidTr="0043630B">
              <w:tc>
                <w:tcPr>
                  <w:tcW w:w="1814" w:type="dxa"/>
                  <w:vAlign w:val="center"/>
                </w:tcPr>
                <w:p w14:paraId="5379333B" w14:textId="77777777" w:rsidR="002850C6" w:rsidRPr="002850C6" w:rsidRDefault="002850C6" w:rsidP="002850C6">
                  <w:pPr>
                    <w:jc w:val="center"/>
                    <w:rPr>
                      <w:b/>
                      <w:i/>
                      <w:noProof/>
                      <w:color w:val="000000" w:themeColor="text1"/>
                    </w:rPr>
                  </w:pPr>
                  <w:r w:rsidRPr="002850C6">
                    <w:rPr>
                      <w:b/>
                      <w:i/>
                      <w:noProof/>
                      <w:color w:val="000000" w:themeColor="text1"/>
                    </w:rPr>
                    <w:t>Référence à l’exigence</w:t>
                  </w:r>
                </w:p>
              </w:tc>
              <w:tc>
                <w:tcPr>
                  <w:tcW w:w="1814" w:type="dxa"/>
                  <w:vAlign w:val="center"/>
                </w:tcPr>
                <w:p w14:paraId="6BAF49E1" w14:textId="77777777" w:rsidR="002850C6" w:rsidRPr="002850C6" w:rsidRDefault="002850C6" w:rsidP="002850C6">
                  <w:pPr>
                    <w:jc w:val="center"/>
                    <w:rPr>
                      <w:b/>
                      <w:i/>
                      <w:noProof/>
                      <w:color w:val="000000" w:themeColor="text1"/>
                    </w:rPr>
                  </w:pPr>
                  <w:r w:rsidRPr="002850C6">
                    <w:rPr>
                      <w:b/>
                      <w:i/>
                      <w:noProof/>
                      <w:color w:val="000000" w:themeColor="text1"/>
                    </w:rPr>
                    <w:t>Description de l’exigence</w:t>
                  </w:r>
                </w:p>
              </w:tc>
              <w:tc>
                <w:tcPr>
                  <w:tcW w:w="1814" w:type="dxa"/>
                  <w:vAlign w:val="center"/>
                </w:tcPr>
                <w:p w14:paraId="3EB228B6" w14:textId="77777777" w:rsidR="002850C6" w:rsidRPr="002850C6" w:rsidRDefault="002850C6" w:rsidP="002850C6">
                  <w:pPr>
                    <w:jc w:val="center"/>
                    <w:rPr>
                      <w:b/>
                      <w:i/>
                      <w:noProof/>
                      <w:color w:val="000000" w:themeColor="text1"/>
                    </w:rPr>
                  </w:pPr>
                  <w:r w:rsidRPr="002850C6">
                    <w:rPr>
                      <w:b/>
                      <w:i/>
                      <w:noProof/>
                      <w:color w:val="000000" w:themeColor="text1"/>
                    </w:rPr>
                    <w:t>Acteurs visés ou concernés par l’exigence</w:t>
                  </w:r>
                </w:p>
              </w:tc>
              <w:tc>
                <w:tcPr>
                  <w:tcW w:w="1815" w:type="dxa"/>
                  <w:vAlign w:val="center"/>
                </w:tcPr>
                <w:p w14:paraId="53D09E37" w14:textId="77777777" w:rsidR="002850C6" w:rsidRPr="002850C6" w:rsidRDefault="002850C6" w:rsidP="002850C6">
                  <w:pPr>
                    <w:jc w:val="center"/>
                    <w:rPr>
                      <w:b/>
                      <w:i/>
                      <w:noProof/>
                      <w:color w:val="000000" w:themeColor="text1"/>
                    </w:rPr>
                  </w:pPr>
                  <w:r w:rsidRPr="002850C6">
                    <w:rPr>
                      <w:b/>
                      <w:i/>
                      <w:noProof/>
                      <w:color w:val="000000" w:themeColor="text1"/>
                    </w:rPr>
                    <w:t>Processus généraux</w:t>
                  </w:r>
                </w:p>
              </w:tc>
              <w:tc>
                <w:tcPr>
                  <w:tcW w:w="1815" w:type="dxa"/>
                  <w:vAlign w:val="center"/>
                </w:tcPr>
                <w:p w14:paraId="0552847E" w14:textId="77777777" w:rsidR="002850C6" w:rsidRPr="002850C6" w:rsidRDefault="002850C6" w:rsidP="002850C6">
                  <w:pPr>
                    <w:jc w:val="center"/>
                    <w:rPr>
                      <w:b/>
                      <w:i/>
                      <w:noProof/>
                      <w:color w:val="000000" w:themeColor="text1"/>
                    </w:rPr>
                  </w:pPr>
                  <w:r w:rsidRPr="002850C6">
                    <w:rPr>
                      <w:b/>
                      <w:i/>
                      <w:noProof/>
                      <w:color w:val="000000" w:themeColor="text1"/>
                    </w:rPr>
                    <w:t>Catégories</w:t>
                  </w:r>
                </w:p>
              </w:tc>
            </w:tr>
            <w:tr w:rsidR="002850C6" w:rsidRPr="002850C6" w14:paraId="410A8A87" w14:textId="77777777" w:rsidTr="0043630B">
              <w:tc>
                <w:tcPr>
                  <w:tcW w:w="1814" w:type="dxa"/>
                  <w:vAlign w:val="center"/>
                </w:tcPr>
                <w:p w14:paraId="3AA63107" w14:textId="77777777" w:rsidR="002850C6" w:rsidRPr="002850C6" w:rsidRDefault="002850C6" w:rsidP="002850C6">
                  <w:pPr>
                    <w:rPr>
                      <w:noProof/>
                      <w:color w:val="000000" w:themeColor="text1"/>
                    </w:rPr>
                  </w:pPr>
                  <w:r w:rsidRPr="002850C6">
                    <w:rPr>
                      <w:noProof/>
                      <w:color w:val="000000" w:themeColor="text1"/>
                    </w:rPr>
                    <w:t>Article 14</w:t>
                  </w:r>
                </w:p>
              </w:tc>
              <w:tc>
                <w:tcPr>
                  <w:tcW w:w="1814" w:type="dxa"/>
                  <w:vAlign w:val="center"/>
                </w:tcPr>
                <w:p w14:paraId="14B3A2C0" w14:textId="77777777" w:rsidR="002850C6" w:rsidRPr="002850C6" w:rsidRDefault="002850C6" w:rsidP="002850C6">
                  <w:pPr>
                    <w:rPr>
                      <w:noProof/>
                      <w:color w:val="000000" w:themeColor="text1"/>
                    </w:rPr>
                  </w:pPr>
                  <w:r w:rsidRPr="002850C6">
                    <w:rPr>
                      <w:noProof/>
                      <w:color w:val="000000" w:themeColor="text1"/>
                    </w:rPr>
                    <w:t xml:space="preserve">Établissement des données du système d’information numérique sur la mobilité militaire – </w:t>
                  </w:r>
                  <w:r w:rsidRPr="002850C6">
                    <w:rPr>
                      <w:i/>
                      <w:iCs/>
                      <w:noProof/>
                      <w:color w:val="000000" w:themeColor="text1"/>
                    </w:rPr>
                    <w:t>sous réserve de l’adoption de l’acte d’exécution</w:t>
                  </w:r>
                </w:p>
              </w:tc>
              <w:tc>
                <w:tcPr>
                  <w:tcW w:w="1814" w:type="dxa"/>
                  <w:vAlign w:val="center"/>
                </w:tcPr>
                <w:p w14:paraId="4A7764FC" w14:textId="77777777" w:rsidR="002850C6" w:rsidRPr="002850C6" w:rsidRDefault="002850C6" w:rsidP="002850C6">
                  <w:pPr>
                    <w:rPr>
                      <w:noProof/>
                      <w:color w:val="000000" w:themeColor="text1"/>
                    </w:rPr>
                  </w:pPr>
                  <w:r w:rsidRPr="002850C6">
                    <w:rPr>
                      <w:noProof/>
                      <w:color w:val="000000" w:themeColor="text1"/>
                    </w:rPr>
                    <w:t>Commission, États membres, autorités douanières des États membres, autorités militaires, Autorité douanière de l’Union européenne</w:t>
                  </w:r>
                </w:p>
              </w:tc>
              <w:tc>
                <w:tcPr>
                  <w:tcW w:w="1815" w:type="dxa"/>
                  <w:vAlign w:val="center"/>
                </w:tcPr>
                <w:p w14:paraId="6169EB17" w14:textId="77777777" w:rsidR="002850C6" w:rsidRPr="002850C6" w:rsidRDefault="002850C6" w:rsidP="002850C6">
                  <w:pPr>
                    <w:rPr>
                      <w:noProof/>
                      <w:color w:val="000000" w:themeColor="text1"/>
                    </w:rPr>
                  </w:pPr>
                  <w:r w:rsidRPr="002850C6">
                    <w:rPr>
                      <w:noProof/>
                      <w:color w:val="000000" w:themeColor="text1"/>
                    </w:rPr>
                    <w:t>Mise en place du service public numérique</w:t>
                  </w:r>
                </w:p>
              </w:tc>
              <w:tc>
                <w:tcPr>
                  <w:tcW w:w="1815" w:type="dxa"/>
                  <w:vAlign w:val="center"/>
                </w:tcPr>
                <w:p w14:paraId="376CBF80" w14:textId="77777777" w:rsidR="002850C6" w:rsidRPr="002850C6" w:rsidRDefault="002850C6" w:rsidP="002850C6">
                  <w:pPr>
                    <w:rPr>
                      <w:noProof/>
                      <w:color w:val="000000" w:themeColor="text1"/>
                    </w:rPr>
                  </w:pPr>
                  <w:r w:rsidRPr="002850C6">
                    <w:rPr>
                      <w:noProof/>
                      <w:color w:val="000000" w:themeColor="text1"/>
                    </w:rPr>
                    <w:t>Données</w:t>
                  </w:r>
                </w:p>
                <w:p w14:paraId="61FB6BC9" w14:textId="77777777" w:rsidR="002850C6" w:rsidRPr="002850C6" w:rsidRDefault="002850C6" w:rsidP="002850C6">
                  <w:pPr>
                    <w:rPr>
                      <w:noProof/>
                      <w:color w:val="000000" w:themeColor="text1"/>
                    </w:rPr>
                  </w:pPr>
                  <w:r w:rsidRPr="002850C6">
                    <w:rPr>
                      <w:noProof/>
                      <w:color w:val="000000" w:themeColor="text1"/>
                    </w:rPr>
                    <w:t>Solution numérique</w:t>
                  </w:r>
                </w:p>
                <w:p w14:paraId="0562F981" w14:textId="77777777" w:rsidR="002850C6" w:rsidRPr="002850C6" w:rsidRDefault="002850C6" w:rsidP="002850C6">
                  <w:pPr>
                    <w:rPr>
                      <w:noProof/>
                      <w:color w:val="000000" w:themeColor="text1"/>
                    </w:rPr>
                  </w:pPr>
                  <w:r w:rsidRPr="002850C6">
                    <w:rPr>
                      <w:noProof/>
                      <w:color w:val="000000" w:themeColor="text1"/>
                    </w:rPr>
                    <w:t>Service public numérique</w:t>
                  </w:r>
                </w:p>
              </w:tc>
            </w:tr>
            <w:tr w:rsidR="002850C6" w:rsidRPr="002850C6" w14:paraId="7D14B6A6" w14:textId="77777777" w:rsidTr="0043630B">
              <w:tc>
                <w:tcPr>
                  <w:tcW w:w="1814" w:type="dxa"/>
                  <w:vAlign w:val="center"/>
                </w:tcPr>
                <w:p w14:paraId="4C712D84" w14:textId="77777777" w:rsidR="002850C6" w:rsidRPr="002850C6" w:rsidRDefault="002850C6" w:rsidP="002850C6">
                  <w:pPr>
                    <w:rPr>
                      <w:noProof/>
                      <w:color w:val="000000" w:themeColor="text1"/>
                    </w:rPr>
                  </w:pPr>
                  <w:r w:rsidRPr="002850C6">
                    <w:rPr>
                      <w:noProof/>
                      <w:color w:val="000000" w:themeColor="text1"/>
                    </w:rPr>
                    <w:t>Article 16</w:t>
                  </w:r>
                </w:p>
              </w:tc>
              <w:tc>
                <w:tcPr>
                  <w:tcW w:w="1814" w:type="dxa"/>
                  <w:vAlign w:val="center"/>
                </w:tcPr>
                <w:p w14:paraId="2CEBFDF1" w14:textId="77777777" w:rsidR="002850C6" w:rsidRPr="002850C6" w:rsidRDefault="002850C6" w:rsidP="002850C6">
                  <w:pPr>
                    <w:rPr>
                      <w:noProof/>
                      <w:color w:val="000000" w:themeColor="text1"/>
                    </w:rPr>
                  </w:pPr>
                  <w:r w:rsidRPr="002850C6">
                    <w:rPr>
                      <w:noProof/>
                      <w:color w:val="000000" w:themeColor="text1"/>
                    </w:rPr>
                    <w:t xml:space="preserve">Numérisation du formulaire 302 de l’UE – </w:t>
                  </w:r>
                  <w:r w:rsidRPr="002850C6">
                    <w:rPr>
                      <w:i/>
                      <w:iCs/>
                      <w:noProof/>
                      <w:color w:val="000000" w:themeColor="text1"/>
                    </w:rPr>
                    <w:t>sous réserve de l’adoption de l’acte d’exécution relatif à l’établissement du système d’information numérique sur la mobilité militaire et sous réserve de l’adoption du règlement (UE) 202X/XXXX établissant le code des douanes de l’Union et l’Autorité douanière de l’Union européenne, et abrogeant le règlement (UE) nº 952/2013 et de l’acte d’exécution/délégué établissant le modèle de données douanières de l’UE.</w:t>
                  </w:r>
                </w:p>
              </w:tc>
              <w:tc>
                <w:tcPr>
                  <w:tcW w:w="1814" w:type="dxa"/>
                  <w:vAlign w:val="center"/>
                </w:tcPr>
                <w:p w14:paraId="7479C9FC" w14:textId="77777777" w:rsidR="002850C6" w:rsidRPr="002850C6" w:rsidRDefault="002850C6" w:rsidP="002850C6">
                  <w:pPr>
                    <w:rPr>
                      <w:noProof/>
                      <w:color w:val="000000" w:themeColor="text1"/>
                    </w:rPr>
                  </w:pPr>
                  <w:r w:rsidRPr="002850C6">
                    <w:rPr>
                      <w:noProof/>
                      <w:color w:val="000000" w:themeColor="text1"/>
                    </w:rPr>
                    <w:t>Autorités douanières des États membres, Autorité douanière de l’Union européenne.</w:t>
                  </w:r>
                </w:p>
              </w:tc>
              <w:tc>
                <w:tcPr>
                  <w:tcW w:w="1815" w:type="dxa"/>
                  <w:vAlign w:val="center"/>
                </w:tcPr>
                <w:p w14:paraId="7F46B4AA" w14:textId="77777777" w:rsidR="002850C6" w:rsidRPr="002850C6" w:rsidRDefault="002850C6" w:rsidP="002850C6">
                  <w:pPr>
                    <w:rPr>
                      <w:noProof/>
                      <w:color w:val="000000" w:themeColor="text1"/>
                    </w:rPr>
                  </w:pPr>
                  <w:r w:rsidRPr="002850C6">
                    <w:rPr>
                      <w:noProof/>
                      <w:color w:val="000000" w:themeColor="text1"/>
                    </w:rPr>
                    <w:t>Échange et stockage des informations</w:t>
                  </w:r>
                </w:p>
              </w:tc>
              <w:tc>
                <w:tcPr>
                  <w:tcW w:w="1815" w:type="dxa"/>
                  <w:vAlign w:val="center"/>
                </w:tcPr>
                <w:p w14:paraId="568DE228" w14:textId="77777777" w:rsidR="002850C6" w:rsidRPr="002850C6" w:rsidRDefault="002850C6" w:rsidP="002850C6">
                  <w:pPr>
                    <w:rPr>
                      <w:noProof/>
                      <w:color w:val="000000" w:themeColor="text1"/>
                    </w:rPr>
                  </w:pPr>
                  <w:r w:rsidRPr="002850C6">
                    <w:rPr>
                      <w:noProof/>
                      <w:color w:val="000000" w:themeColor="text1"/>
                    </w:rPr>
                    <w:t xml:space="preserve">Données </w:t>
                  </w:r>
                </w:p>
                <w:p w14:paraId="1C29F0E0" w14:textId="77777777" w:rsidR="002850C6" w:rsidRPr="002850C6" w:rsidRDefault="002850C6" w:rsidP="002850C6">
                  <w:pPr>
                    <w:rPr>
                      <w:noProof/>
                      <w:color w:val="000000" w:themeColor="text1"/>
                    </w:rPr>
                  </w:pPr>
                  <w:r w:rsidRPr="002850C6">
                    <w:rPr>
                      <w:noProof/>
                      <w:color w:val="000000" w:themeColor="text1"/>
                    </w:rPr>
                    <w:t>Solution numérique</w:t>
                  </w:r>
                </w:p>
                <w:p w14:paraId="100A7AC6" w14:textId="77777777" w:rsidR="002850C6" w:rsidRPr="002850C6" w:rsidRDefault="002850C6" w:rsidP="002850C6">
                  <w:pPr>
                    <w:rPr>
                      <w:noProof/>
                      <w:color w:val="000000" w:themeColor="text1"/>
                    </w:rPr>
                  </w:pPr>
                  <w:r w:rsidRPr="002850C6">
                    <w:rPr>
                      <w:noProof/>
                      <w:color w:val="000000" w:themeColor="text1"/>
                    </w:rPr>
                    <w:t>Service public numérique</w:t>
                  </w:r>
                </w:p>
              </w:tc>
            </w:tr>
            <w:tr w:rsidR="002850C6" w:rsidRPr="002850C6" w14:paraId="030BB52F" w14:textId="77777777" w:rsidTr="0043630B">
              <w:tc>
                <w:tcPr>
                  <w:tcW w:w="1814" w:type="dxa"/>
                </w:tcPr>
                <w:p w14:paraId="1EAFEB67" w14:textId="77777777" w:rsidR="002850C6" w:rsidRPr="002850C6" w:rsidRDefault="002850C6" w:rsidP="002850C6">
                  <w:pPr>
                    <w:rPr>
                      <w:noProof/>
                      <w:color w:val="000000" w:themeColor="text1"/>
                    </w:rPr>
                  </w:pPr>
                  <w:r w:rsidRPr="002850C6">
                    <w:rPr>
                      <w:noProof/>
                      <w:color w:val="000000" w:themeColor="text1"/>
                    </w:rPr>
                    <w:t>Article 35</w:t>
                  </w:r>
                </w:p>
              </w:tc>
              <w:tc>
                <w:tcPr>
                  <w:tcW w:w="1814" w:type="dxa"/>
                </w:tcPr>
                <w:p w14:paraId="5DE693E0" w14:textId="77777777" w:rsidR="002850C6" w:rsidRPr="002850C6" w:rsidRDefault="002850C6" w:rsidP="002850C6">
                  <w:pPr>
                    <w:rPr>
                      <w:noProof/>
                      <w:color w:val="000000" w:themeColor="text1"/>
                    </w:rPr>
                  </w:pPr>
                  <w:r w:rsidRPr="002850C6">
                    <w:rPr>
                      <w:noProof/>
                      <w:color w:val="000000" w:themeColor="text1"/>
                    </w:rPr>
                    <w:t>Établissement d’une réserve de solidarité (enregistrement sur une base volontaire de capacités de transport des États membres et de capacités de transport de l’Union en vue de faciliter l’exécution d’opérations de transport militaire) –</w:t>
                  </w:r>
                  <w:r w:rsidRPr="002850C6">
                    <w:rPr>
                      <w:i/>
                      <w:iCs/>
                      <w:noProof/>
                      <w:color w:val="000000" w:themeColor="text1"/>
                    </w:rPr>
                    <w:t xml:space="preserve"> sous réserve de l’adoption de l’acte d’exécution</w:t>
                  </w:r>
                </w:p>
              </w:tc>
              <w:tc>
                <w:tcPr>
                  <w:tcW w:w="1814" w:type="dxa"/>
                </w:tcPr>
                <w:p w14:paraId="71C3E0D3" w14:textId="77777777" w:rsidR="002850C6" w:rsidRPr="002850C6" w:rsidRDefault="002850C6" w:rsidP="002850C6">
                  <w:pPr>
                    <w:rPr>
                      <w:noProof/>
                      <w:color w:val="000000" w:themeColor="text1"/>
                    </w:rPr>
                  </w:pPr>
                  <w:r w:rsidRPr="002850C6">
                    <w:rPr>
                      <w:noProof/>
                      <w:color w:val="000000" w:themeColor="text1"/>
                    </w:rPr>
                    <w:t xml:space="preserve">Commission, États membres </w:t>
                  </w:r>
                </w:p>
              </w:tc>
              <w:tc>
                <w:tcPr>
                  <w:tcW w:w="1815" w:type="dxa"/>
                </w:tcPr>
                <w:p w14:paraId="0294E070" w14:textId="77777777" w:rsidR="002850C6" w:rsidRPr="002850C6" w:rsidRDefault="002850C6" w:rsidP="002850C6">
                  <w:pPr>
                    <w:rPr>
                      <w:noProof/>
                      <w:color w:val="000000" w:themeColor="text1"/>
                    </w:rPr>
                  </w:pPr>
                  <w:r w:rsidRPr="002850C6">
                    <w:rPr>
                      <w:noProof/>
                      <w:color w:val="000000" w:themeColor="text1"/>
                    </w:rPr>
                    <w:t>Mise en place du service public numérique</w:t>
                  </w:r>
                </w:p>
              </w:tc>
              <w:tc>
                <w:tcPr>
                  <w:tcW w:w="1815" w:type="dxa"/>
                </w:tcPr>
                <w:p w14:paraId="2472DDD0" w14:textId="77777777" w:rsidR="002850C6" w:rsidRPr="002850C6" w:rsidRDefault="002850C6" w:rsidP="002850C6">
                  <w:pPr>
                    <w:rPr>
                      <w:noProof/>
                      <w:color w:val="000000" w:themeColor="text1"/>
                    </w:rPr>
                  </w:pPr>
                  <w:r w:rsidRPr="002850C6">
                    <w:rPr>
                      <w:noProof/>
                      <w:color w:val="000000" w:themeColor="text1"/>
                    </w:rPr>
                    <w:t>Données</w:t>
                  </w:r>
                </w:p>
                <w:p w14:paraId="65B44616" w14:textId="77777777" w:rsidR="002850C6" w:rsidRPr="002850C6" w:rsidRDefault="002850C6" w:rsidP="002850C6">
                  <w:pPr>
                    <w:rPr>
                      <w:noProof/>
                      <w:color w:val="000000" w:themeColor="text1"/>
                    </w:rPr>
                  </w:pPr>
                  <w:r w:rsidRPr="002850C6">
                    <w:rPr>
                      <w:noProof/>
                      <w:color w:val="000000" w:themeColor="text1"/>
                    </w:rPr>
                    <w:t>Solution numérique</w:t>
                  </w:r>
                </w:p>
                <w:p w14:paraId="4FF19C73" w14:textId="77777777" w:rsidR="002850C6" w:rsidRPr="002850C6" w:rsidRDefault="002850C6" w:rsidP="002850C6">
                  <w:pPr>
                    <w:rPr>
                      <w:noProof/>
                      <w:color w:val="000000" w:themeColor="text1"/>
                    </w:rPr>
                  </w:pPr>
                  <w:r w:rsidRPr="002850C6">
                    <w:rPr>
                      <w:noProof/>
                      <w:color w:val="000000" w:themeColor="text1"/>
                    </w:rPr>
                    <w:t>Service public numérique</w:t>
                  </w:r>
                </w:p>
              </w:tc>
            </w:tr>
          </w:tbl>
          <w:p w14:paraId="73327189" w14:textId="77777777" w:rsidR="002850C6" w:rsidRPr="002850C6" w:rsidRDefault="002850C6" w:rsidP="002850C6">
            <w:pPr>
              <w:rPr>
                <w:noProof/>
                <w:color w:val="000000" w:themeColor="text1"/>
              </w:rPr>
            </w:pPr>
          </w:p>
        </w:tc>
      </w:tr>
    </w:tbl>
    <w:p w14:paraId="6E698907" w14:textId="77777777" w:rsidR="002850C6" w:rsidRPr="002850C6" w:rsidRDefault="002850C6" w:rsidP="002850C6">
      <w:pPr>
        <w:rPr>
          <w:noProof/>
          <w:color w:val="000000" w:themeColor="text1"/>
        </w:rPr>
      </w:pPr>
    </w:p>
    <w:p w14:paraId="61BAC3CF" w14:textId="77777777" w:rsidR="002850C6" w:rsidRPr="002850C6" w:rsidRDefault="002850C6" w:rsidP="002850C6">
      <w:pPr>
        <w:keepNext/>
        <w:tabs>
          <w:tab w:val="left" w:pos="850"/>
        </w:tabs>
        <w:ind w:left="850" w:hanging="850"/>
        <w:outlineLvl w:val="1"/>
        <w:rPr>
          <w:b/>
          <w:noProof/>
          <w:color w:val="000000" w:themeColor="text1"/>
        </w:rPr>
      </w:pPr>
      <w:bookmarkStart w:id="173" w:name="_Toc167220303"/>
      <w:bookmarkStart w:id="174" w:name="_Toc167265073"/>
      <w:bookmarkStart w:id="175" w:name="_Toc213612608"/>
      <w:r w:rsidRPr="002850C6">
        <w:rPr>
          <w:b/>
          <w:noProof/>
          <w:color w:val="000000" w:themeColor="text1"/>
        </w:rPr>
        <w:t>4.2.</w:t>
      </w:r>
      <w:r w:rsidRPr="002850C6">
        <w:rPr>
          <w:b/>
          <w:noProof/>
        </w:rPr>
        <w:tab/>
      </w:r>
      <w:r w:rsidRPr="002850C6">
        <w:rPr>
          <w:b/>
          <w:noProof/>
          <w:color w:val="000000" w:themeColor="text1"/>
        </w:rPr>
        <w:t>Données</w:t>
      </w:r>
      <w:bookmarkEnd w:id="173"/>
      <w:bookmarkEnd w:id="174"/>
      <w:bookmarkEnd w:id="175"/>
    </w:p>
    <w:tbl>
      <w:tblPr>
        <w:tblStyle w:val="TableGrid"/>
        <w:tblW w:w="0" w:type="auto"/>
        <w:tblInd w:w="-108" w:type="dxa"/>
        <w:tblLook w:val="04A0" w:firstRow="1" w:lastRow="0" w:firstColumn="1" w:lastColumn="0" w:noHBand="0" w:noVBand="1"/>
      </w:tblPr>
      <w:tblGrid>
        <w:gridCol w:w="9063"/>
      </w:tblGrid>
      <w:tr w:rsidR="002850C6" w:rsidRPr="002850C6" w14:paraId="5BFA0D40" w14:textId="77777777" w:rsidTr="0043630B">
        <w:tc>
          <w:tcPr>
            <w:tcW w:w="9063" w:type="dxa"/>
          </w:tcPr>
          <w:p w14:paraId="54F6B630" w14:textId="77777777" w:rsidR="002850C6" w:rsidRPr="002850C6" w:rsidRDefault="002850C6" w:rsidP="002850C6">
            <w:pPr>
              <w:rPr>
                <w:noProof/>
                <w:color w:val="000000" w:themeColor="text1"/>
              </w:rPr>
            </w:pPr>
            <w:r w:rsidRPr="002850C6">
              <w:rPr>
                <w:noProof/>
                <w:color w:val="000000" w:themeColor="text1"/>
              </w:rPr>
              <w:t>Toute autorité publique et militaire utilisant l’éventuel système d’information numérique sur la mobilité militaire pour la collecte, le traitement, la production, l’échange ou le partage de données relatives à des opérations de transport militaire le fait dans le strict respect des dispositions législatives et réglementaires applicables et des règles spécifiques régissant le traitement des informations sensibles et classifiées. Il en irait de même pour la collecte, le traitement, la production, l’échange ou le partage de données liées à l’outil numérique sécurisé qui pourrait être créé pour gérer l’éventuelle réserve de solidarité.</w:t>
            </w:r>
          </w:p>
          <w:p w14:paraId="17B82F0C" w14:textId="77777777" w:rsidR="002850C6" w:rsidRPr="002850C6" w:rsidRDefault="002850C6" w:rsidP="002850C6">
            <w:pPr>
              <w:rPr>
                <w:noProof/>
                <w:color w:val="000000" w:themeColor="text1"/>
              </w:rPr>
            </w:pPr>
            <w:r w:rsidRPr="002850C6">
              <w:rPr>
                <w:noProof/>
                <w:color w:val="000000" w:themeColor="text1"/>
              </w:rPr>
              <w:t>La numérisation du formulaire 302 de l’UE sera conforme au modèle de données douanières de l’UE établi dans le cadre de la réforme douanière.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3018"/>
              <w:gridCol w:w="3018"/>
            </w:tblGrid>
            <w:tr w:rsidR="002850C6" w:rsidRPr="002850C6" w14:paraId="090A5A14" w14:textId="77777777" w:rsidTr="0043630B">
              <w:tc>
                <w:tcPr>
                  <w:tcW w:w="3017" w:type="dxa"/>
                  <w:vAlign w:val="center"/>
                </w:tcPr>
                <w:p w14:paraId="0FF1B083" w14:textId="77777777" w:rsidR="002850C6" w:rsidRPr="002850C6" w:rsidRDefault="002850C6" w:rsidP="002850C6">
                  <w:pPr>
                    <w:jc w:val="center"/>
                    <w:rPr>
                      <w:i/>
                      <w:iCs/>
                      <w:noProof/>
                      <w:color w:val="000000" w:themeColor="text1"/>
                    </w:rPr>
                  </w:pPr>
                  <w:r w:rsidRPr="002850C6">
                    <w:rPr>
                      <w:b/>
                      <w:i/>
                      <w:noProof/>
                      <w:color w:val="000000" w:themeColor="text1"/>
                    </w:rPr>
                    <w:t>Type de données</w:t>
                  </w:r>
                </w:p>
              </w:tc>
              <w:tc>
                <w:tcPr>
                  <w:tcW w:w="3018" w:type="dxa"/>
                  <w:vAlign w:val="center"/>
                </w:tcPr>
                <w:p w14:paraId="460D3A33" w14:textId="77777777" w:rsidR="002850C6" w:rsidRPr="002850C6" w:rsidRDefault="002850C6" w:rsidP="002850C6">
                  <w:pPr>
                    <w:jc w:val="center"/>
                    <w:rPr>
                      <w:i/>
                      <w:iCs/>
                      <w:noProof/>
                      <w:color w:val="000000" w:themeColor="text1"/>
                    </w:rPr>
                  </w:pPr>
                  <w:r w:rsidRPr="002850C6">
                    <w:rPr>
                      <w:b/>
                      <w:i/>
                      <w:noProof/>
                      <w:color w:val="000000" w:themeColor="text1"/>
                    </w:rPr>
                    <w:t>Référence à l’exigence ou aux exigences</w:t>
                  </w:r>
                </w:p>
              </w:tc>
              <w:tc>
                <w:tcPr>
                  <w:tcW w:w="3018" w:type="dxa"/>
                  <w:vAlign w:val="center"/>
                </w:tcPr>
                <w:p w14:paraId="047EA19B" w14:textId="77777777" w:rsidR="002850C6" w:rsidRPr="002850C6" w:rsidRDefault="002850C6" w:rsidP="002850C6">
                  <w:pPr>
                    <w:jc w:val="center"/>
                    <w:rPr>
                      <w:i/>
                      <w:iCs/>
                      <w:noProof/>
                      <w:color w:val="000000" w:themeColor="text1"/>
                    </w:rPr>
                  </w:pPr>
                  <w:r w:rsidRPr="002850C6">
                    <w:rPr>
                      <w:b/>
                      <w:i/>
                      <w:noProof/>
                      <w:color w:val="000000" w:themeColor="text1"/>
                    </w:rPr>
                    <w:t>Norme et/ou spécification (le cas échéant)</w:t>
                  </w:r>
                </w:p>
              </w:tc>
            </w:tr>
            <w:tr w:rsidR="002850C6" w:rsidRPr="002850C6" w14:paraId="02568041" w14:textId="77777777" w:rsidTr="0043630B">
              <w:tc>
                <w:tcPr>
                  <w:tcW w:w="3017" w:type="dxa"/>
                  <w:vAlign w:val="center"/>
                </w:tcPr>
                <w:p w14:paraId="6D2E6F87" w14:textId="77777777" w:rsidR="002850C6" w:rsidRPr="002850C6" w:rsidRDefault="002850C6" w:rsidP="002850C6">
                  <w:pPr>
                    <w:rPr>
                      <w:noProof/>
                      <w:color w:val="000000" w:themeColor="text1"/>
                    </w:rPr>
                  </w:pPr>
                  <w:r w:rsidRPr="002850C6">
                    <w:rPr>
                      <w:noProof/>
                      <w:color w:val="000000" w:themeColor="text1"/>
                    </w:rPr>
                    <w:t xml:space="preserve">Données du système d’information numérique sur la mobilité militaire – </w:t>
                  </w:r>
                  <w:r w:rsidRPr="002850C6">
                    <w:rPr>
                      <w:i/>
                      <w:iCs/>
                      <w:noProof/>
                      <w:color w:val="000000" w:themeColor="text1"/>
                    </w:rPr>
                    <w:t>sous réserve de l’adoption de l’acte d’exécution établissant le système</w:t>
                  </w:r>
                </w:p>
              </w:tc>
              <w:tc>
                <w:tcPr>
                  <w:tcW w:w="3018" w:type="dxa"/>
                  <w:vAlign w:val="center"/>
                </w:tcPr>
                <w:p w14:paraId="29798C13" w14:textId="77777777" w:rsidR="002850C6" w:rsidRPr="002850C6" w:rsidRDefault="002850C6" w:rsidP="002850C6">
                  <w:pPr>
                    <w:rPr>
                      <w:noProof/>
                      <w:color w:val="000000" w:themeColor="text1"/>
                    </w:rPr>
                  </w:pPr>
                  <w:r w:rsidRPr="002850C6">
                    <w:rPr>
                      <w:noProof/>
                      <w:color w:val="000000" w:themeColor="text1"/>
                    </w:rPr>
                    <w:t>Article 14</w:t>
                  </w:r>
                </w:p>
              </w:tc>
              <w:tc>
                <w:tcPr>
                  <w:tcW w:w="3018" w:type="dxa"/>
                  <w:vAlign w:val="center"/>
                </w:tcPr>
                <w:p w14:paraId="36FF7C76" w14:textId="77777777" w:rsidR="002850C6" w:rsidRPr="002850C6" w:rsidRDefault="002850C6" w:rsidP="002850C6">
                  <w:pPr>
                    <w:rPr>
                      <w:noProof/>
                      <w:color w:val="000000" w:themeColor="text1"/>
                    </w:rPr>
                  </w:pPr>
                </w:p>
              </w:tc>
            </w:tr>
            <w:tr w:rsidR="002850C6" w:rsidRPr="002850C6" w14:paraId="39E5562E" w14:textId="77777777" w:rsidTr="0043630B">
              <w:tc>
                <w:tcPr>
                  <w:tcW w:w="3017" w:type="dxa"/>
                </w:tcPr>
                <w:p w14:paraId="4B82F8BB" w14:textId="77777777" w:rsidR="002850C6" w:rsidRPr="002850C6" w:rsidRDefault="002850C6" w:rsidP="002850C6">
                  <w:pPr>
                    <w:rPr>
                      <w:noProof/>
                      <w:color w:val="000000" w:themeColor="text1"/>
                    </w:rPr>
                  </w:pPr>
                  <w:r w:rsidRPr="002850C6">
                    <w:rPr>
                      <w:noProof/>
                      <w:color w:val="000000" w:themeColor="text1"/>
                    </w:rPr>
                    <w:t xml:space="preserve">Formulaire 302 de l’UE numérisé – </w:t>
                  </w:r>
                  <w:r w:rsidRPr="002850C6">
                    <w:rPr>
                      <w:i/>
                      <w:iCs/>
                      <w:noProof/>
                      <w:color w:val="000000" w:themeColor="text1"/>
                    </w:rPr>
                    <w:t>sous réserve de l’adoption de l’acte d’exécution relatif à l’établissement du système d’information numérique sur la mobilité militaire et sous réserve de l’adoption du règlement (UE) 202X/XXXX établissant le code des douanes de l’Union et l’Autorité douanière de l’Union européenne, et abrogeant le règlement (UE) nº 952/2013 et les actes délégués et d’exécution établissant le modèle de données douanières de l’UE.</w:t>
                  </w:r>
                  <w:r w:rsidRPr="002850C6">
                    <w:rPr>
                      <w:i/>
                      <w:noProof/>
                      <w:color w:val="000000" w:themeColor="text1"/>
                    </w:rPr>
                    <w:t xml:space="preserve">  </w:t>
                  </w:r>
                </w:p>
              </w:tc>
              <w:tc>
                <w:tcPr>
                  <w:tcW w:w="3018" w:type="dxa"/>
                </w:tcPr>
                <w:p w14:paraId="7A8D03D6" w14:textId="77777777" w:rsidR="002850C6" w:rsidRPr="002850C6" w:rsidRDefault="002850C6" w:rsidP="002850C6">
                  <w:pPr>
                    <w:rPr>
                      <w:noProof/>
                      <w:color w:val="000000" w:themeColor="text1"/>
                    </w:rPr>
                  </w:pPr>
                  <w:r w:rsidRPr="002850C6">
                    <w:rPr>
                      <w:noProof/>
                      <w:color w:val="000000" w:themeColor="text1"/>
                    </w:rPr>
                    <w:t>Article 16</w:t>
                  </w:r>
                </w:p>
              </w:tc>
              <w:tc>
                <w:tcPr>
                  <w:tcW w:w="3018" w:type="dxa"/>
                </w:tcPr>
                <w:p w14:paraId="0ED91AC9" w14:textId="77777777" w:rsidR="002850C6" w:rsidRPr="002850C6" w:rsidRDefault="002850C6" w:rsidP="002850C6">
                  <w:pPr>
                    <w:rPr>
                      <w:noProof/>
                      <w:color w:val="000000" w:themeColor="text1"/>
                    </w:rPr>
                  </w:pPr>
                  <w:r w:rsidRPr="002850C6">
                    <w:rPr>
                      <w:noProof/>
                      <w:color w:val="000000" w:themeColor="text1"/>
                    </w:rPr>
                    <w:t>Sur la base des exigences communes en matière de données définies conformément à l’article 36 du règlement (UE) 202X/XXXX [réforme douanière]</w:t>
                  </w:r>
                </w:p>
              </w:tc>
            </w:tr>
            <w:tr w:rsidR="002850C6" w:rsidRPr="002850C6" w14:paraId="76B6DE76" w14:textId="77777777" w:rsidTr="0043630B">
              <w:tc>
                <w:tcPr>
                  <w:tcW w:w="3017" w:type="dxa"/>
                </w:tcPr>
                <w:p w14:paraId="2E27EF4A" w14:textId="77777777" w:rsidR="002850C6" w:rsidRPr="002850C6" w:rsidRDefault="002850C6" w:rsidP="002850C6">
                  <w:pPr>
                    <w:rPr>
                      <w:noProof/>
                      <w:color w:val="000000" w:themeColor="text1"/>
                    </w:rPr>
                  </w:pPr>
                  <w:r w:rsidRPr="002850C6">
                    <w:rPr>
                      <w:noProof/>
                      <w:color w:val="000000" w:themeColor="text1"/>
                    </w:rPr>
                    <w:t xml:space="preserve">Registre de la réserve de solidarité – </w:t>
                  </w:r>
                  <w:r w:rsidRPr="002850C6">
                    <w:rPr>
                      <w:i/>
                      <w:iCs/>
                      <w:noProof/>
                      <w:color w:val="000000" w:themeColor="text1"/>
                    </w:rPr>
                    <w:t>sous réserve de l’adoption de l’acte d’exécution établissant le registre</w:t>
                  </w:r>
                </w:p>
              </w:tc>
              <w:tc>
                <w:tcPr>
                  <w:tcW w:w="3018" w:type="dxa"/>
                </w:tcPr>
                <w:p w14:paraId="4D13B5C9" w14:textId="77777777" w:rsidR="002850C6" w:rsidRPr="002850C6" w:rsidRDefault="002850C6" w:rsidP="002850C6">
                  <w:pPr>
                    <w:rPr>
                      <w:noProof/>
                      <w:color w:val="000000" w:themeColor="text1"/>
                    </w:rPr>
                  </w:pPr>
                  <w:r w:rsidRPr="002850C6">
                    <w:rPr>
                      <w:noProof/>
                      <w:color w:val="000000" w:themeColor="text1"/>
                    </w:rPr>
                    <w:t>Article 35</w:t>
                  </w:r>
                </w:p>
              </w:tc>
              <w:tc>
                <w:tcPr>
                  <w:tcW w:w="3018" w:type="dxa"/>
                </w:tcPr>
                <w:p w14:paraId="0831B9F0" w14:textId="77777777" w:rsidR="002850C6" w:rsidRPr="002850C6" w:rsidRDefault="002850C6" w:rsidP="002850C6">
                  <w:pPr>
                    <w:rPr>
                      <w:noProof/>
                      <w:color w:val="000000" w:themeColor="text1"/>
                    </w:rPr>
                  </w:pPr>
                  <w:r w:rsidRPr="002850C6">
                    <w:rPr>
                      <w:noProof/>
                      <w:color w:val="000000" w:themeColor="text1"/>
                    </w:rPr>
                    <w:t>//</w:t>
                  </w:r>
                </w:p>
              </w:tc>
            </w:tr>
          </w:tbl>
          <w:p w14:paraId="6081507F" w14:textId="77777777" w:rsidR="002850C6" w:rsidRPr="002850C6" w:rsidRDefault="002850C6" w:rsidP="002850C6">
            <w:pPr>
              <w:rPr>
                <w:noProof/>
                <w:color w:val="000000" w:themeColor="text1"/>
              </w:rPr>
            </w:pPr>
          </w:p>
        </w:tc>
      </w:tr>
      <w:tr w:rsidR="002850C6" w:rsidRPr="002850C6" w14:paraId="4C5DAC5D" w14:textId="77777777" w:rsidTr="0043630B">
        <w:tc>
          <w:tcPr>
            <w:tcW w:w="9063" w:type="dxa"/>
          </w:tcPr>
          <w:p w14:paraId="22DB266B" w14:textId="77777777" w:rsidR="002850C6" w:rsidRPr="002850C6" w:rsidRDefault="002850C6" w:rsidP="002850C6">
            <w:pPr>
              <w:rPr>
                <w:noProof/>
                <w:color w:val="000000" w:themeColor="text1"/>
              </w:rPr>
            </w:pPr>
          </w:p>
        </w:tc>
      </w:tr>
    </w:tbl>
    <w:p w14:paraId="40AA4F4A" w14:textId="77777777" w:rsidR="002850C6" w:rsidRPr="002850C6" w:rsidRDefault="002850C6" w:rsidP="002850C6">
      <w:pPr>
        <w:keepNext/>
        <w:tabs>
          <w:tab w:val="left" w:pos="850"/>
        </w:tabs>
        <w:ind w:left="850" w:hanging="850"/>
        <w:outlineLvl w:val="1"/>
        <w:rPr>
          <w:b/>
          <w:noProof/>
          <w:color w:val="000000" w:themeColor="text1"/>
        </w:rPr>
      </w:pPr>
      <w:bookmarkStart w:id="176" w:name="_Toc167220305"/>
      <w:bookmarkStart w:id="177" w:name="_Toc167265074"/>
      <w:bookmarkStart w:id="178" w:name="_Toc213612609"/>
      <w:r w:rsidRPr="002850C6">
        <w:rPr>
          <w:b/>
          <w:noProof/>
          <w:color w:val="000000" w:themeColor="text1"/>
        </w:rPr>
        <w:t>4.3.</w:t>
      </w:r>
      <w:r w:rsidRPr="002850C6">
        <w:rPr>
          <w:b/>
          <w:noProof/>
        </w:rPr>
        <w:tab/>
      </w:r>
      <w:r w:rsidRPr="002850C6">
        <w:rPr>
          <w:b/>
          <w:noProof/>
          <w:color w:val="000000" w:themeColor="text1"/>
        </w:rPr>
        <w:t>Solutions numériques</w:t>
      </w:r>
      <w:bookmarkEnd w:id="176"/>
      <w:bookmarkEnd w:id="177"/>
      <w:bookmarkEnd w:id="178"/>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2850C6" w:rsidRPr="002850C6" w14:paraId="74C7B364" w14:textId="77777777" w:rsidTr="0043630B">
        <w:tc>
          <w:tcPr>
            <w:tcW w:w="9067" w:type="dxa"/>
          </w:tcPr>
          <w:p w14:paraId="60B0AC1D" w14:textId="77777777" w:rsidR="002850C6" w:rsidRPr="002850C6" w:rsidRDefault="002850C6" w:rsidP="002850C6">
            <w:pPr>
              <w:spacing w:line="259" w:lineRule="auto"/>
              <w:rPr>
                <w:noProof/>
                <w:color w:val="000000" w:themeColor="text1"/>
              </w:rPr>
            </w:pPr>
            <w:r w:rsidRPr="002850C6">
              <w:rPr>
                <w:noProof/>
                <w:color w:val="000000" w:themeColor="text1"/>
              </w:rPr>
              <w:t>Les spécifications techniques et les modules de l’éventuel système d’information numérique sur la mobilité militaire devront être définis sur la base de l’avis du groupe sur les transports liés à la mobilité militaire. En ce qui concerne les aspects douaniers liés à la numérisation du formulaire 302 de l’UE, l’outil sera mis au point sur la base de la législation douanière applicable de l’UE et des avis des autorités douanières de l’UE et de l’Autorité douanière de l’Union européenne, en coopération avec la Commission. Compte tenu de la nature sensible des données traitées par l’intermédiaire de l’éventuel système d’information numérique sur la mobilité militaire, cette solution numérique sera conçue et mise en œuvre en mettant tout particulièrement l’accent sur la cybersécurité, dans le respect des normes et bonnes pratiques les plus strictes et les plus récentes.  La même approche serait appliquée pour l’outil numérique sécurisé qui pourrait être créé pour gérer l’éventuelle réserve de solidarité.</w:t>
            </w:r>
          </w:p>
        </w:tc>
      </w:tr>
    </w:tbl>
    <w:p w14:paraId="2C3A01E2" w14:textId="77777777" w:rsidR="002850C6" w:rsidRPr="002850C6" w:rsidRDefault="002850C6" w:rsidP="002850C6">
      <w:pPr>
        <w:keepNext/>
        <w:tabs>
          <w:tab w:val="left" w:pos="850"/>
        </w:tabs>
        <w:ind w:left="850" w:hanging="850"/>
        <w:outlineLvl w:val="1"/>
        <w:rPr>
          <w:b/>
          <w:noProof/>
          <w:color w:val="000000" w:themeColor="text1"/>
        </w:rPr>
      </w:pPr>
      <w:bookmarkStart w:id="179" w:name="_Toc213612610"/>
      <w:r w:rsidRPr="002850C6">
        <w:rPr>
          <w:b/>
          <w:noProof/>
          <w:color w:val="000000" w:themeColor="text1"/>
        </w:rPr>
        <w:t>Alignement sur la stratégie européenne pour les données</w:t>
      </w:r>
      <w:bookmarkEnd w:id="179"/>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3"/>
      </w:tblGrid>
      <w:tr w:rsidR="002850C6" w:rsidRPr="002850C6" w14:paraId="346A80EF" w14:textId="77777777" w:rsidTr="0043630B">
        <w:tc>
          <w:tcPr>
            <w:tcW w:w="9289" w:type="dxa"/>
          </w:tcPr>
          <w:p w14:paraId="48670CFF" w14:textId="77777777" w:rsidR="002850C6" w:rsidRPr="002850C6" w:rsidRDefault="002850C6" w:rsidP="002850C6">
            <w:pPr>
              <w:rPr>
                <w:noProof/>
                <w:color w:val="000000" w:themeColor="text1"/>
              </w:rPr>
            </w:pPr>
            <w:r w:rsidRPr="002850C6">
              <w:rPr>
                <w:noProof/>
                <w:color w:val="000000" w:themeColor="text1"/>
              </w:rPr>
              <w:t>Toute autorité publique utilisant l’éventuel système d’information numérique sur la mobilité militaire pour la collecte, le traitement, la production, l’échange ou le partage de données relatives aux opérations de transport militaire le fait dans le strict respect des dispositions législatives et réglementaires applicables et des règles spécifiques régissant le traitement des informations sensibles et classifiées. Il en irait de même pour la collecte, le traitement, la production, l’échange ou le partage de données liées à l’outil numérique sécurisé qui pourrait être créé pour gérer l’éventuelle réserve de solidarité.</w:t>
            </w:r>
          </w:p>
        </w:tc>
      </w:tr>
    </w:tbl>
    <w:p w14:paraId="74E112AF" w14:textId="77777777" w:rsidR="002850C6" w:rsidRPr="002850C6" w:rsidRDefault="002850C6" w:rsidP="002850C6">
      <w:pPr>
        <w:rPr>
          <w:noProof/>
          <w:color w:val="000000" w:themeColor="text1"/>
        </w:rPr>
      </w:pPr>
    </w:p>
    <w:p w14:paraId="7996B6D0" w14:textId="77777777" w:rsidR="002850C6" w:rsidRPr="002850C6" w:rsidRDefault="002850C6" w:rsidP="002850C6">
      <w:pPr>
        <w:keepNext/>
        <w:tabs>
          <w:tab w:val="left" w:pos="850"/>
        </w:tabs>
        <w:ind w:left="850" w:hanging="850"/>
        <w:outlineLvl w:val="1"/>
        <w:rPr>
          <w:bCs/>
          <w:noProof/>
          <w:color w:val="000000" w:themeColor="text1"/>
        </w:rPr>
      </w:pPr>
      <w:bookmarkStart w:id="180" w:name="_Toc167220304"/>
      <w:bookmarkStart w:id="181" w:name="_Toc167265075"/>
      <w:bookmarkStart w:id="182" w:name="_Toc213612611"/>
      <w:r w:rsidRPr="002850C6">
        <w:rPr>
          <w:b/>
          <w:i/>
          <w:iCs/>
          <w:noProof/>
          <w:color w:val="000000" w:themeColor="text1"/>
        </w:rPr>
        <w:t>4.4.</w:t>
      </w:r>
      <w:r w:rsidRPr="002850C6">
        <w:rPr>
          <w:b/>
          <w:noProof/>
        </w:rPr>
        <w:tab/>
      </w:r>
      <w:r w:rsidRPr="002850C6">
        <w:rPr>
          <w:b/>
          <w:i/>
          <w:iCs/>
          <w:noProof/>
          <w:color w:val="000000" w:themeColor="text1"/>
        </w:rPr>
        <w:t>Évaluation de l’interopérabilité</w:t>
      </w:r>
      <w:bookmarkEnd w:id="180"/>
      <w:bookmarkEnd w:id="181"/>
      <w:bookmarkEnd w:id="182"/>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2850C6" w:rsidRPr="002850C6" w14:paraId="0BBCB4A0" w14:textId="77777777" w:rsidTr="0043630B">
        <w:trPr>
          <w:trHeight w:val="300"/>
        </w:trPr>
        <w:tc>
          <w:tcPr>
            <w:tcW w:w="9067" w:type="dxa"/>
          </w:tcPr>
          <w:p w14:paraId="25F0317D" w14:textId="77777777" w:rsidR="002850C6" w:rsidRPr="002850C6" w:rsidRDefault="002850C6" w:rsidP="002850C6">
            <w:pPr>
              <w:rPr>
                <w:noProof/>
                <w:color w:val="000000" w:themeColor="text1"/>
              </w:rPr>
            </w:pPr>
            <w:r w:rsidRPr="002850C6">
              <w:rPr>
                <w:noProof/>
                <w:color w:val="000000" w:themeColor="text1"/>
              </w:rPr>
              <w:t xml:space="preserve">L’éventuel système d’information numérique sur la mobilité militaire peut nécessiter une interaction par-delà les frontières des États membres, entre les entités de l’UE ou entre les entités de l’UE et des organismes du secteur public, tels que les autorités douanières. L’éventuel système d’information numérique sur la mobilité militaire pourrait avoir un effet sur l’«interopérabilité transfrontière». Les implications y afférentes dépendront des spécifications techniques et des modules que pourrait comporter l’éventuel système d’information numérique sur la mobilité militaire. </w:t>
            </w:r>
          </w:p>
          <w:p w14:paraId="0AA75FDB" w14:textId="77777777" w:rsidR="002850C6" w:rsidRPr="002850C6" w:rsidRDefault="002850C6" w:rsidP="002850C6">
            <w:pPr>
              <w:rPr>
                <w:noProof/>
                <w:color w:val="000000" w:themeColor="text1"/>
              </w:rPr>
            </w:pPr>
            <w:r w:rsidRPr="002850C6">
              <w:rPr>
                <w:noProof/>
                <w:color w:val="000000" w:themeColor="text1"/>
              </w:rPr>
              <w:t xml:space="preserve">L’interopérabilité de l’éventuel système d’information numérique sur la mobilité militaire avec d’autres outils et organes pertinents du cadre de l’OTAN devrait également être envisagée, sans préjudice des dispositions connexes de la législation douanière de l’UE.  </w:t>
            </w:r>
          </w:p>
          <w:p w14:paraId="5215070F" w14:textId="77777777" w:rsidR="002850C6" w:rsidRPr="002850C6" w:rsidRDefault="002850C6" w:rsidP="002850C6">
            <w:pPr>
              <w:rPr>
                <w:noProof/>
                <w:color w:val="000000" w:themeColor="text1"/>
              </w:rPr>
            </w:pPr>
            <w:r w:rsidRPr="002850C6">
              <w:rPr>
                <w:noProof/>
                <w:color w:val="000000" w:themeColor="text1"/>
              </w:rPr>
              <w:t>Une approche similaire serait appliquée pour l’outil numérique sécurisé qui pourrait être créé pour gérer l’éventuelle réserve de solidarité.</w:t>
            </w:r>
          </w:p>
        </w:tc>
      </w:tr>
    </w:tbl>
    <w:p w14:paraId="616A205C" w14:textId="77777777" w:rsidR="002850C6" w:rsidRPr="002850C6" w:rsidRDefault="002850C6" w:rsidP="002850C6">
      <w:pPr>
        <w:keepNext/>
        <w:tabs>
          <w:tab w:val="left" w:pos="850"/>
        </w:tabs>
        <w:ind w:left="850" w:hanging="850"/>
        <w:outlineLvl w:val="1"/>
        <w:rPr>
          <w:b/>
          <w:noProof/>
          <w:color w:val="000000" w:themeColor="text1"/>
        </w:rPr>
      </w:pPr>
      <w:bookmarkStart w:id="183" w:name="_Toc167220306"/>
      <w:bookmarkStart w:id="184" w:name="_Toc167265076"/>
      <w:bookmarkStart w:id="185" w:name="_Toc213612612"/>
      <w:r w:rsidRPr="002850C6">
        <w:rPr>
          <w:b/>
          <w:noProof/>
          <w:color w:val="000000" w:themeColor="text1"/>
        </w:rPr>
        <w:t>4.5.</w:t>
      </w:r>
      <w:r w:rsidRPr="002850C6">
        <w:rPr>
          <w:b/>
          <w:noProof/>
        </w:rPr>
        <w:tab/>
      </w:r>
      <w:r w:rsidRPr="002850C6">
        <w:rPr>
          <w:b/>
          <w:noProof/>
          <w:color w:val="000000" w:themeColor="text1"/>
        </w:rPr>
        <w:t>Mesures de soutien de la mise en œuvre numérique</w:t>
      </w:r>
      <w:bookmarkEnd w:id="183"/>
      <w:bookmarkEnd w:id="184"/>
      <w:bookmarkEnd w:id="185"/>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2850C6" w:rsidRPr="002850C6" w14:paraId="5F075F1D" w14:textId="77777777" w:rsidTr="0043630B">
        <w:tc>
          <w:tcPr>
            <w:tcW w:w="9067" w:type="dxa"/>
          </w:tcPr>
          <w:p w14:paraId="3F685924" w14:textId="77777777" w:rsidR="002850C6" w:rsidRPr="002850C6" w:rsidRDefault="002850C6" w:rsidP="002850C6">
            <w:pPr>
              <w:rPr>
                <w:noProof/>
                <w:color w:val="000000" w:themeColor="text1"/>
              </w:rPr>
            </w:pPr>
            <w:r w:rsidRPr="002850C6">
              <w:rPr>
                <w:noProof/>
                <w:color w:val="000000" w:themeColor="text1"/>
              </w:rPr>
              <w:t xml:space="preserve">La Commission peut adopter un acte d’exécution pour établir le système d’information numérique sur la mobilité militaire. Sur la base de l’avis du groupe sur les transports liés à la mobilité militaire, sans préjudice des dispositions connexes de la législation douanière de l’UE et d’éventuels avis des autorités douanières, l’acte d’exécution de la Commission devrait comporter les spécifications et modules dudit système. Un éventuel financement au titre du futur Fonds européen pour la compétitivité, dans le cadre du prochain CFP 2028-2034, devrait soutenir la mise au point, le déploiement et l’exploitation de cette éventuelle solution numérique. </w:t>
            </w:r>
          </w:p>
          <w:p w14:paraId="21308D40" w14:textId="77777777" w:rsidR="002850C6" w:rsidRPr="002850C6" w:rsidRDefault="002850C6" w:rsidP="002850C6">
            <w:pPr>
              <w:rPr>
                <w:noProof/>
                <w:color w:val="000000" w:themeColor="text1"/>
              </w:rPr>
            </w:pPr>
            <w:r w:rsidRPr="002850C6">
              <w:rPr>
                <w:noProof/>
                <w:color w:val="000000" w:themeColor="text1"/>
              </w:rPr>
              <w:t xml:space="preserve">L’outil numérique sécurisé qui pourrait être créé pour gérer l’éventuelle réserve de solidarité pourrait être soutenu par un financement au titre du programme pour l’industrie européenne de la défense. </w:t>
            </w:r>
          </w:p>
          <w:p w14:paraId="5EA79B8D" w14:textId="77777777" w:rsidR="002850C6" w:rsidRPr="002850C6" w:rsidRDefault="002850C6" w:rsidP="002850C6">
            <w:pPr>
              <w:rPr>
                <w:noProof/>
                <w:color w:val="000000" w:themeColor="text1"/>
              </w:rPr>
            </w:pPr>
          </w:p>
        </w:tc>
      </w:tr>
    </w:tbl>
    <w:p w14:paraId="38D8D525" w14:textId="77777777" w:rsidR="002850C6" w:rsidRPr="002850C6" w:rsidRDefault="002850C6" w:rsidP="002850C6">
      <w:pPr>
        <w:rPr>
          <w:i/>
          <w:noProof/>
          <w:color w:val="000000" w:themeColor="text1"/>
        </w:rPr>
      </w:pPr>
      <w:r w:rsidRPr="002850C6">
        <w:rPr>
          <w:i/>
          <w:noProof/>
          <w:color w:val="000000" w:themeColor="text1"/>
        </w:rPr>
        <w:t>Description générale des solutions numériques</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265"/>
        <w:gridCol w:w="1487"/>
        <w:gridCol w:w="1200"/>
        <w:gridCol w:w="1343"/>
        <w:gridCol w:w="1226"/>
        <w:gridCol w:w="1239"/>
      </w:tblGrid>
      <w:tr w:rsidR="002850C6" w:rsidRPr="002850C6" w14:paraId="5800B2FC" w14:textId="77777777" w:rsidTr="0043630B">
        <w:trPr>
          <w:trHeight w:val="300"/>
        </w:trPr>
        <w:tc>
          <w:tcPr>
            <w:tcW w:w="0" w:type="auto"/>
            <w:vAlign w:val="center"/>
          </w:tcPr>
          <w:p w14:paraId="7175BEB6" w14:textId="77777777" w:rsidR="002850C6" w:rsidRPr="002850C6" w:rsidRDefault="002850C6" w:rsidP="002850C6">
            <w:pPr>
              <w:spacing w:before="0" w:after="0"/>
              <w:jc w:val="center"/>
              <w:rPr>
                <w:b/>
                <w:bCs/>
                <w:noProof/>
                <w:color w:val="000000"/>
                <w:szCs w:val="24"/>
              </w:rPr>
            </w:pPr>
            <w:r w:rsidRPr="002850C6">
              <w:rPr>
                <w:b/>
                <w:noProof/>
                <w:color w:val="000000"/>
              </w:rPr>
              <w:t>Solution numérique</w:t>
            </w:r>
          </w:p>
        </w:tc>
        <w:tc>
          <w:tcPr>
            <w:tcW w:w="0" w:type="auto"/>
            <w:vAlign w:val="center"/>
          </w:tcPr>
          <w:p w14:paraId="4D2236E4" w14:textId="77777777" w:rsidR="002850C6" w:rsidRPr="002850C6" w:rsidRDefault="002850C6" w:rsidP="002850C6">
            <w:pPr>
              <w:jc w:val="center"/>
              <w:rPr>
                <w:b/>
                <w:bCs/>
                <w:noProof/>
                <w:szCs w:val="24"/>
              </w:rPr>
            </w:pPr>
            <w:r w:rsidRPr="002850C6">
              <w:rPr>
                <w:b/>
                <w:noProof/>
              </w:rPr>
              <w:t>Référence(s) à l’exigence ou aux exigences</w:t>
            </w:r>
          </w:p>
        </w:tc>
        <w:tc>
          <w:tcPr>
            <w:tcW w:w="0" w:type="auto"/>
            <w:vAlign w:val="center"/>
          </w:tcPr>
          <w:p w14:paraId="34A09C86" w14:textId="77777777" w:rsidR="002850C6" w:rsidRPr="002850C6" w:rsidRDefault="002850C6" w:rsidP="002850C6">
            <w:pPr>
              <w:spacing w:before="0" w:after="0"/>
              <w:jc w:val="center"/>
              <w:rPr>
                <w:b/>
                <w:bCs/>
                <w:noProof/>
                <w:color w:val="000000"/>
                <w:szCs w:val="24"/>
              </w:rPr>
            </w:pPr>
            <w:r w:rsidRPr="002850C6">
              <w:rPr>
                <w:b/>
                <w:noProof/>
                <w:color w:val="000000"/>
              </w:rPr>
              <w:t>Principales fonctionnalités requises</w:t>
            </w:r>
          </w:p>
        </w:tc>
        <w:tc>
          <w:tcPr>
            <w:tcW w:w="0" w:type="auto"/>
            <w:vAlign w:val="center"/>
          </w:tcPr>
          <w:p w14:paraId="10A19667" w14:textId="77777777" w:rsidR="002850C6" w:rsidRPr="002850C6" w:rsidRDefault="002850C6" w:rsidP="002850C6">
            <w:pPr>
              <w:jc w:val="center"/>
              <w:rPr>
                <w:b/>
                <w:bCs/>
                <w:noProof/>
                <w:color w:val="000000" w:themeColor="text1"/>
                <w:szCs w:val="24"/>
              </w:rPr>
            </w:pPr>
            <w:r w:rsidRPr="002850C6">
              <w:rPr>
                <w:b/>
                <w:noProof/>
                <w:color w:val="000000" w:themeColor="text1"/>
              </w:rPr>
              <w:t>Organisme responsable</w:t>
            </w:r>
          </w:p>
        </w:tc>
        <w:tc>
          <w:tcPr>
            <w:tcW w:w="0" w:type="auto"/>
            <w:vAlign w:val="center"/>
          </w:tcPr>
          <w:p w14:paraId="2213991A" w14:textId="77777777" w:rsidR="002850C6" w:rsidRPr="002850C6" w:rsidRDefault="002850C6" w:rsidP="002850C6">
            <w:pPr>
              <w:spacing w:before="0" w:after="0"/>
              <w:jc w:val="center"/>
              <w:rPr>
                <w:b/>
                <w:bCs/>
                <w:noProof/>
                <w:color w:val="000000"/>
                <w:szCs w:val="24"/>
              </w:rPr>
            </w:pPr>
            <w:r w:rsidRPr="002850C6">
              <w:rPr>
                <w:b/>
                <w:noProof/>
                <w:color w:val="000000"/>
              </w:rPr>
              <w:t>Comment l’accessibilité est-elle prise en compte?</w:t>
            </w:r>
          </w:p>
        </w:tc>
        <w:tc>
          <w:tcPr>
            <w:tcW w:w="0" w:type="auto"/>
            <w:vAlign w:val="center"/>
          </w:tcPr>
          <w:p w14:paraId="64E55050" w14:textId="77777777" w:rsidR="002850C6" w:rsidRPr="002850C6" w:rsidRDefault="002850C6" w:rsidP="002850C6">
            <w:pPr>
              <w:spacing w:before="0" w:after="0"/>
              <w:jc w:val="center"/>
              <w:rPr>
                <w:b/>
                <w:bCs/>
                <w:noProof/>
                <w:color w:val="000000"/>
                <w:szCs w:val="24"/>
              </w:rPr>
            </w:pPr>
            <w:r w:rsidRPr="002850C6">
              <w:rPr>
                <w:b/>
                <w:noProof/>
                <w:color w:val="000000"/>
              </w:rPr>
              <w:t>Comment la possibilité de réutilisation est-elle envisagée?</w:t>
            </w:r>
          </w:p>
        </w:tc>
        <w:tc>
          <w:tcPr>
            <w:tcW w:w="0" w:type="auto"/>
            <w:vAlign w:val="center"/>
          </w:tcPr>
          <w:p w14:paraId="4C46ED0C" w14:textId="77777777" w:rsidR="002850C6" w:rsidRPr="002850C6" w:rsidRDefault="002850C6" w:rsidP="002850C6">
            <w:pPr>
              <w:spacing w:before="0" w:after="0"/>
              <w:jc w:val="center"/>
              <w:rPr>
                <w:b/>
                <w:bCs/>
                <w:noProof/>
                <w:color w:val="000000"/>
                <w:szCs w:val="24"/>
              </w:rPr>
            </w:pPr>
            <w:r w:rsidRPr="002850C6">
              <w:rPr>
                <w:b/>
                <w:noProof/>
                <w:color w:val="000000"/>
              </w:rPr>
              <w:t>Utilisation des technologies de l’IA (le cas échéant)</w:t>
            </w:r>
          </w:p>
        </w:tc>
      </w:tr>
      <w:tr w:rsidR="002850C6" w:rsidRPr="002850C6" w14:paraId="2B1A33E9" w14:textId="77777777" w:rsidTr="0043630B">
        <w:trPr>
          <w:trHeight w:val="300"/>
        </w:trPr>
        <w:tc>
          <w:tcPr>
            <w:tcW w:w="0" w:type="auto"/>
          </w:tcPr>
          <w:p w14:paraId="2DDF4E48" w14:textId="77777777" w:rsidR="002850C6" w:rsidRPr="002850C6" w:rsidRDefault="002850C6" w:rsidP="002850C6">
            <w:pPr>
              <w:jc w:val="left"/>
              <w:rPr>
                <w:noProof/>
              </w:rPr>
            </w:pPr>
            <w:r w:rsidRPr="002850C6">
              <w:rPr>
                <w:noProof/>
              </w:rPr>
              <w:t xml:space="preserve">Système d’information numérique sur la mobilité militaire – </w:t>
            </w:r>
            <w:r w:rsidRPr="002850C6">
              <w:rPr>
                <w:i/>
                <w:iCs/>
                <w:noProof/>
              </w:rPr>
              <w:t>sous réserve de l’adoption de l’acte d’exécution établissant le système</w:t>
            </w:r>
          </w:p>
        </w:tc>
        <w:tc>
          <w:tcPr>
            <w:tcW w:w="0" w:type="auto"/>
          </w:tcPr>
          <w:p w14:paraId="6ACAE6BD" w14:textId="77777777" w:rsidR="002850C6" w:rsidRPr="002850C6" w:rsidRDefault="002850C6" w:rsidP="002850C6">
            <w:pPr>
              <w:jc w:val="left"/>
              <w:rPr>
                <w:noProof/>
              </w:rPr>
            </w:pPr>
            <w:r w:rsidRPr="002850C6">
              <w:rPr>
                <w:noProof/>
              </w:rPr>
              <w:t>Article 14</w:t>
            </w:r>
          </w:p>
        </w:tc>
        <w:tc>
          <w:tcPr>
            <w:tcW w:w="0" w:type="auto"/>
          </w:tcPr>
          <w:p w14:paraId="0502BE8D" w14:textId="77777777" w:rsidR="002850C6" w:rsidRPr="002850C6" w:rsidRDefault="002850C6" w:rsidP="002850C6">
            <w:pPr>
              <w:jc w:val="left"/>
              <w:rPr>
                <w:i/>
                <w:iCs/>
                <w:noProof/>
              </w:rPr>
            </w:pPr>
            <w:r w:rsidRPr="002850C6">
              <w:rPr>
                <w:i/>
                <w:noProof/>
              </w:rPr>
              <w:t>Sous réserve de l’acte d’exécution établissant le système d’information numérique sur la mobilité militaire</w:t>
            </w:r>
          </w:p>
          <w:p w14:paraId="5554CB43" w14:textId="77777777" w:rsidR="002850C6" w:rsidRPr="002850C6" w:rsidRDefault="002850C6" w:rsidP="002850C6">
            <w:pPr>
              <w:jc w:val="left"/>
              <w:rPr>
                <w:noProof/>
              </w:rPr>
            </w:pPr>
            <w:r w:rsidRPr="002850C6">
              <w:rPr>
                <w:noProof/>
              </w:rPr>
              <w:t>Les États membres l’utilisent pour toutes les procédures liées au cadre uniforme pour la mobilité militaire au titre du chapitre I</w:t>
            </w:r>
          </w:p>
          <w:p w14:paraId="3106B157" w14:textId="77777777" w:rsidR="002850C6" w:rsidRPr="002850C6" w:rsidRDefault="002850C6" w:rsidP="002850C6">
            <w:pPr>
              <w:jc w:val="left"/>
              <w:rPr>
                <w:noProof/>
              </w:rPr>
            </w:pPr>
            <w:r w:rsidRPr="002850C6">
              <w:rPr>
                <w:noProof/>
              </w:rPr>
              <w:t>échange et stockage d’informations relatives au formulaire 302 de l’UE</w:t>
            </w:r>
          </w:p>
        </w:tc>
        <w:tc>
          <w:tcPr>
            <w:tcW w:w="0" w:type="auto"/>
          </w:tcPr>
          <w:p w14:paraId="68CE34F0" w14:textId="77777777" w:rsidR="002850C6" w:rsidRPr="002850C6" w:rsidRDefault="002850C6" w:rsidP="002850C6">
            <w:pPr>
              <w:jc w:val="left"/>
              <w:rPr>
                <w:noProof/>
              </w:rPr>
            </w:pPr>
            <w:r w:rsidRPr="002850C6">
              <w:rPr>
                <w:noProof/>
              </w:rPr>
              <w:t>Commission</w:t>
            </w:r>
          </w:p>
        </w:tc>
        <w:tc>
          <w:tcPr>
            <w:tcW w:w="0" w:type="auto"/>
          </w:tcPr>
          <w:p w14:paraId="49D1CF53" w14:textId="77777777" w:rsidR="002850C6" w:rsidRPr="002850C6" w:rsidRDefault="002850C6" w:rsidP="002850C6">
            <w:pPr>
              <w:jc w:val="left"/>
              <w:rPr>
                <w:noProof/>
              </w:rPr>
            </w:pPr>
            <w:r w:rsidRPr="002850C6">
              <w:rPr>
                <w:noProof/>
              </w:rPr>
              <w:t>//</w:t>
            </w:r>
          </w:p>
        </w:tc>
        <w:tc>
          <w:tcPr>
            <w:tcW w:w="0" w:type="auto"/>
          </w:tcPr>
          <w:p w14:paraId="110B91D3" w14:textId="77777777" w:rsidR="002850C6" w:rsidRPr="002850C6" w:rsidRDefault="002850C6" w:rsidP="002850C6">
            <w:pPr>
              <w:jc w:val="left"/>
              <w:rPr>
                <w:noProof/>
              </w:rPr>
            </w:pPr>
            <w:r w:rsidRPr="002850C6">
              <w:rPr>
                <w:noProof/>
              </w:rPr>
              <w:t>//</w:t>
            </w:r>
          </w:p>
        </w:tc>
        <w:tc>
          <w:tcPr>
            <w:tcW w:w="0" w:type="auto"/>
          </w:tcPr>
          <w:p w14:paraId="03E609FF" w14:textId="77777777" w:rsidR="002850C6" w:rsidRPr="002850C6" w:rsidRDefault="002850C6" w:rsidP="002850C6">
            <w:pPr>
              <w:jc w:val="left"/>
              <w:rPr>
                <w:noProof/>
              </w:rPr>
            </w:pPr>
            <w:r w:rsidRPr="002850C6">
              <w:rPr>
                <w:noProof/>
              </w:rPr>
              <w:t>//</w:t>
            </w:r>
          </w:p>
        </w:tc>
      </w:tr>
      <w:tr w:rsidR="002850C6" w:rsidRPr="002850C6" w14:paraId="43B78BB1" w14:textId="77777777" w:rsidTr="0043630B">
        <w:trPr>
          <w:trHeight w:val="300"/>
        </w:trPr>
        <w:tc>
          <w:tcPr>
            <w:tcW w:w="0" w:type="auto"/>
          </w:tcPr>
          <w:p w14:paraId="274634EF" w14:textId="77777777" w:rsidR="002850C6" w:rsidRPr="002850C6" w:rsidRDefault="002850C6" w:rsidP="002850C6">
            <w:pPr>
              <w:jc w:val="left"/>
              <w:rPr>
                <w:noProof/>
              </w:rPr>
            </w:pPr>
            <w:r w:rsidRPr="002850C6">
              <w:rPr>
                <w:noProof/>
              </w:rPr>
              <w:t xml:space="preserve">Registre de la réserve de solidarité et outil de gestion sécurisé – </w:t>
            </w:r>
            <w:r w:rsidRPr="002850C6">
              <w:rPr>
                <w:i/>
                <w:iCs/>
                <w:noProof/>
              </w:rPr>
              <w:t>sous réserve de l’adoption de l’acte d’exécution établissant le registre</w:t>
            </w:r>
          </w:p>
        </w:tc>
        <w:tc>
          <w:tcPr>
            <w:tcW w:w="0" w:type="auto"/>
          </w:tcPr>
          <w:p w14:paraId="4B696CA5" w14:textId="77777777" w:rsidR="002850C6" w:rsidRPr="002850C6" w:rsidRDefault="002850C6" w:rsidP="002850C6">
            <w:pPr>
              <w:jc w:val="left"/>
              <w:rPr>
                <w:noProof/>
              </w:rPr>
            </w:pPr>
            <w:r w:rsidRPr="002850C6">
              <w:rPr>
                <w:noProof/>
              </w:rPr>
              <w:t>Article 35</w:t>
            </w:r>
          </w:p>
        </w:tc>
        <w:tc>
          <w:tcPr>
            <w:tcW w:w="0" w:type="auto"/>
          </w:tcPr>
          <w:p w14:paraId="2679DC25" w14:textId="77777777" w:rsidR="002850C6" w:rsidRPr="002850C6" w:rsidRDefault="002850C6" w:rsidP="002850C6">
            <w:pPr>
              <w:numPr>
                <w:ilvl w:val="3"/>
                <w:numId w:val="0"/>
              </w:numPr>
              <w:jc w:val="left"/>
              <w:rPr>
                <w:noProof/>
              </w:rPr>
            </w:pPr>
            <w:r w:rsidRPr="002850C6">
              <w:rPr>
                <w:i/>
                <w:noProof/>
              </w:rPr>
              <w:t>Sous réserve de l’adoption de l’acte d’exécution établissant le registre</w:t>
            </w:r>
            <w:r w:rsidRPr="002850C6">
              <w:rPr>
                <w:noProof/>
              </w:rPr>
              <w:t xml:space="preserve"> </w:t>
            </w:r>
          </w:p>
          <w:p w14:paraId="2BFF47FE" w14:textId="77777777" w:rsidR="002850C6" w:rsidRPr="002850C6" w:rsidRDefault="002850C6" w:rsidP="002850C6">
            <w:pPr>
              <w:numPr>
                <w:ilvl w:val="3"/>
                <w:numId w:val="0"/>
              </w:numPr>
              <w:jc w:val="left"/>
              <w:rPr>
                <w:noProof/>
              </w:rPr>
            </w:pPr>
            <w:r w:rsidRPr="002850C6">
              <w:rPr>
                <w:noProof/>
              </w:rPr>
              <w:t xml:space="preserve">Registre des capacités de transport des États membres et de l’Union </w:t>
            </w:r>
          </w:p>
          <w:p w14:paraId="7B7998DC" w14:textId="77777777" w:rsidR="002850C6" w:rsidRPr="002850C6" w:rsidRDefault="002850C6" w:rsidP="002850C6">
            <w:pPr>
              <w:numPr>
                <w:ilvl w:val="3"/>
                <w:numId w:val="0"/>
              </w:numPr>
              <w:jc w:val="left"/>
              <w:rPr>
                <w:noProof/>
              </w:rPr>
            </w:pPr>
            <w:r w:rsidRPr="002850C6">
              <w:rPr>
                <w:noProof/>
              </w:rPr>
              <w:t>Capacité opérationnelle 24 heures sur 24 et 7 jours sur 7</w:t>
            </w:r>
          </w:p>
          <w:p w14:paraId="02EA3BF8" w14:textId="77777777" w:rsidR="002850C6" w:rsidRPr="002850C6" w:rsidRDefault="002850C6" w:rsidP="002850C6">
            <w:pPr>
              <w:numPr>
                <w:ilvl w:val="3"/>
                <w:numId w:val="0"/>
              </w:numPr>
              <w:jc w:val="left"/>
              <w:rPr>
                <w:noProof/>
              </w:rPr>
            </w:pPr>
          </w:p>
        </w:tc>
        <w:tc>
          <w:tcPr>
            <w:tcW w:w="0" w:type="auto"/>
          </w:tcPr>
          <w:p w14:paraId="6F0B38F0" w14:textId="77777777" w:rsidR="002850C6" w:rsidRPr="002850C6" w:rsidRDefault="002850C6" w:rsidP="002850C6">
            <w:pPr>
              <w:jc w:val="left"/>
              <w:rPr>
                <w:noProof/>
              </w:rPr>
            </w:pPr>
            <w:r w:rsidRPr="002850C6">
              <w:rPr>
                <w:noProof/>
              </w:rPr>
              <w:t>Commission</w:t>
            </w:r>
          </w:p>
        </w:tc>
        <w:tc>
          <w:tcPr>
            <w:tcW w:w="0" w:type="auto"/>
          </w:tcPr>
          <w:p w14:paraId="1C943099" w14:textId="77777777" w:rsidR="002850C6" w:rsidRPr="002850C6" w:rsidRDefault="002850C6" w:rsidP="002850C6">
            <w:pPr>
              <w:jc w:val="left"/>
              <w:rPr>
                <w:noProof/>
              </w:rPr>
            </w:pPr>
            <w:r w:rsidRPr="002850C6">
              <w:rPr>
                <w:noProof/>
              </w:rPr>
              <w:t>//</w:t>
            </w:r>
          </w:p>
        </w:tc>
        <w:tc>
          <w:tcPr>
            <w:tcW w:w="0" w:type="auto"/>
          </w:tcPr>
          <w:p w14:paraId="7C192D3A" w14:textId="77777777" w:rsidR="002850C6" w:rsidRPr="002850C6" w:rsidRDefault="002850C6" w:rsidP="002850C6">
            <w:pPr>
              <w:jc w:val="left"/>
              <w:rPr>
                <w:noProof/>
              </w:rPr>
            </w:pPr>
            <w:r w:rsidRPr="002850C6">
              <w:rPr>
                <w:noProof/>
              </w:rPr>
              <w:t>//</w:t>
            </w:r>
          </w:p>
        </w:tc>
        <w:tc>
          <w:tcPr>
            <w:tcW w:w="0" w:type="auto"/>
          </w:tcPr>
          <w:p w14:paraId="6CE90D7E" w14:textId="77777777" w:rsidR="002850C6" w:rsidRPr="002850C6" w:rsidRDefault="002850C6" w:rsidP="002850C6">
            <w:pPr>
              <w:jc w:val="left"/>
              <w:rPr>
                <w:noProof/>
              </w:rPr>
            </w:pPr>
            <w:r w:rsidRPr="002850C6">
              <w:rPr>
                <w:noProof/>
              </w:rPr>
              <w:t>//</w:t>
            </w:r>
          </w:p>
        </w:tc>
      </w:tr>
    </w:tbl>
    <w:p w14:paraId="7376D4F2" w14:textId="77777777" w:rsidR="002850C6" w:rsidRPr="002850C6" w:rsidRDefault="002850C6" w:rsidP="002850C6">
      <w:pPr>
        <w:rPr>
          <w:i/>
          <w:noProof/>
        </w:rPr>
      </w:pPr>
      <w:r w:rsidRPr="002850C6">
        <w:rPr>
          <w:i/>
          <w:noProof/>
        </w:rPr>
        <w:t>Pour chaque solution numérique, expliquer de quelle manière celle-ci se conforme aux politiques numériques et dispositions législatives applicables</w:t>
      </w:r>
    </w:p>
    <w:p w14:paraId="30D44B57" w14:textId="77777777" w:rsidR="002850C6" w:rsidRPr="002850C6" w:rsidRDefault="002850C6" w:rsidP="002850C6">
      <w:pPr>
        <w:rPr>
          <w:i/>
          <w:noProof/>
        </w:rPr>
      </w:pPr>
    </w:p>
    <w:p w14:paraId="5B5B1328" w14:textId="77777777" w:rsidR="002850C6" w:rsidRPr="002850C6" w:rsidRDefault="002850C6" w:rsidP="002850C6">
      <w:pPr>
        <w:rPr>
          <w:b/>
          <w:noProof/>
          <w:u w:val="single"/>
        </w:rPr>
      </w:pPr>
      <w:r w:rsidRPr="002850C6">
        <w:rPr>
          <w:b/>
          <w:noProof/>
          <w:u w:val="single"/>
        </w:rPr>
        <w:t>Solution numérique #1</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7010"/>
      </w:tblGrid>
      <w:tr w:rsidR="002850C6" w:rsidRPr="002850C6" w14:paraId="6D040E76" w14:textId="77777777" w:rsidTr="0043630B">
        <w:tc>
          <w:tcPr>
            <w:tcW w:w="0" w:type="auto"/>
          </w:tcPr>
          <w:p w14:paraId="4FFADB78" w14:textId="77777777" w:rsidR="002850C6" w:rsidRPr="002850C6" w:rsidRDefault="002850C6" w:rsidP="002850C6">
            <w:pPr>
              <w:jc w:val="left"/>
              <w:rPr>
                <w:b/>
                <w:noProof/>
              </w:rPr>
            </w:pPr>
            <w:r w:rsidRPr="002850C6">
              <w:rPr>
                <w:b/>
                <w:noProof/>
              </w:rPr>
              <w:t>Politique numérique et/ou sectorielle (le cas échéant)</w:t>
            </w:r>
          </w:p>
        </w:tc>
        <w:tc>
          <w:tcPr>
            <w:tcW w:w="0" w:type="auto"/>
          </w:tcPr>
          <w:p w14:paraId="65C260AF" w14:textId="77777777" w:rsidR="002850C6" w:rsidRPr="002850C6" w:rsidRDefault="002850C6" w:rsidP="002850C6">
            <w:pPr>
              <w:jc w:val="left"/>
              <w:rPr>
                <w:b/>
                <w:noProof/>
              </w:rPr>
            </w:pPr>
            <w:r w:rsidRPr="002850C6">
              <w:rPr>
                <w:b/>
                <w:noProof/>
              </w:rPr>
              <w:t>Expliquer de quelle manière la solution s’aligne sur l'élément en question</w:t>
            </w:r>
          </w:p>
        </w:tc>
      </w:tr>
      <w:tr w:rsidR="002850C6" w:rsidRPr="002850C6" w14:paraId="4C69C5BD" w14:textId="77777777" w:rsidTr="0043630B">
        <w:tc>
          <w:tcPr>
            <w:tcW w:w="0" w:type="auto"/>
          </w:tcPr>
          <w:p w14:paraId="4FABAC7E" w14:textId="77777777" w:rsidR="002850C6" w:rsidRPr="002850C6" w:rsidRDefault="002850C6" w:rsidP="002850C6">
            <w:pPr>
              <w:jc w:val="left"/>
              <w:rPr>
                <w:b/>
                <w:i/>
                <w:noProof/>
              </w:rPr>
            </w:pPr>
            <w:r w:rsidRPr="002850C6">
              <w:rPr>
                <w:b/>
                <w:i/>
                <w:noProof/>
              </w:rPr>
              <w:t>Règlement sur l’IA</w:t>
            </w:r>
          </w:p>
        </w:tc>
        <w:tc>
          <w:tcPr>
            <w:tcW w:w="0" w:type="auto"/>
          </w:tcPr>
          <w:p w14:paraId="08053FB5" w14:textId="77777777" w:rsidR="002850C6" w:rsidRPr="002850C6" w:rsidRDefault="002850C6" w:rsidP="002850C6">
            <w:pPr>
              <w:jc w:val="left"/>
              <w:rPr>
                <w:noProof/>
              </w:rPr>
            </w:pPr>
            <w:r w:rsidRPr="002850C6">
              <w:rPr>
                <w:noProof/>
              </w:rPr>
              <w:t>//</w:t>
            </w:r>
          </w:p>
        </w:tc>
      </w:tr>
      <w:tr w:rsidR="002850C6" w:rsidRPr="002850C6" w14:paraId="0BF1BCBB" w14:textId="77777777" w:rsidTr="0043630B">
        <w:tc>
          <w:tcPr>
            <w:tcW w:w="0" w:type="auto"/>
          </w:tcPr>
          <w:p w14:paraId="10D3CC57" w14:textId="77777777" w:rsidR="002850C6" w:rsidRPr="002850C6" w:rsidRDefault="002850C6" w:rsidP="002850C6">
            <w:pPr>
              <w:jc w:val="left"/>
              <w:rPr>
                <w:b/>
                <w:i/>
                <w:noProof/>
                <w:color w:val="000000" w:themeColor="text1"/>
              </w:rPr>
            </w:pPr>
            <w:r w:rsidRPr="002850C6">
              <w:rPr>
                <w:b/>
                <w:i/>
                <w:noProof/>
                <w:color w:val="000000" w:themeColor="text1"/>
              </w:rPr>
              <w:t>Cadre de l’UE en matière de cybersécurité</w:t>
            </w:r>
          </w:p>
        </w:tc>
        <w:tc>
          <w:tcPr>
            <w:tcW w:w="0" w:type="auto"/>
          </w:tcPr>
          <w:p w14:paraId="2852CF91" w14:textId="77777777" w:rsidR="002850C6" w:rsidRPr="002850C6" w:rsidRDefault="002850C6" w:rsidP="002850C6">
            <w:pPr>
              <w:jc w:val="left"/>
              <w:rPr>
                <w:noProof/>
                <w:color w:val="000000" w:themeColor="text1"/>
              </w:rPr>
            </w:pPr>
            <w:r w:rsidRPr="002850C6">
              <w:rPr>
                <w:noProof/>
                <w:color w:val="000000" w:themeColor="text1"/>
              </w:rPr>
              <w:t xml:space="preserve">Toute autorité publique utilisant l’éventuel système d’information numérique sur la mobilité militaire pour la collecte, le traitement, la production, l’échange ou le partage de données relatives aux opérations de transport militaire le fait dans le strict respect des dispositions législatives et réglementaires applicables et des règles spécifiques régissant le traitement des informations sensibles et classifiées. </w:t>
            </w:r>
          </w:p>
        </w:tc>
      </w:tr>
      <w:tr w:rsidR="002850C6" w:rsidRPr="002850C6" w14:paraId="3CA423FB" w14:textId="77777777" w:rsidTr="0043630B">
        <w:tc>
          <w:tcPr>
            <w:tcW w:w="0" w:type="auto"/>
          </w:tcPr>
          <w:p w14:paraId="53E1F73F" w14:textId="77777777" w:rsidR="002850C6" w:rsidRPr="002850C6" w:rsidRDefault="002850C6" w:rsidP="002850C6">
            <w:pPr>
              <w:jc w:val="left"/>
              <w:rPr>
                <w:b/>
                <w:i/>
                <w:noProof/>
                <w:color w:val="000000" w:themeColor="text1"/>
              </w:rPr>
            </w:pPr>
            <w:r w:rsidRPr="002850C6">
              <w:rPr>
                <w:b/>
                <w:i/>
                <w:noProof/>
                <w:color w:val="000000" w:themeColor="text1"/>
              </w:rPr>
              <w:t>eIDAS</w:t>
            </w:r>
          </w:p>
        </w:tc>
        <w:tc>
          <w:tcPr>
            <w:tcW w:w="0" w:type="auto"/>
          </w:tcPr>
          <w:p w14:paraId="1ED71743" w14:textId="77777777" w:rsidR="002850C6" w:rsidRPr="002850C6" w:rsidRDefault="002850C6" w:rsidP="002850C6">
            <w:pPr>
              <w:jc w:val="left"/>
              <w:rPr>
                <w:noProof/>
                <w:color w:val="000000" w:themeColor="text1"/>
              </w:rPr>
            </w:pPr>
            <w:r w:rsidRPr="002850C6">
              <w:rPr>
                <w:noProof/>
                <w:color w:val="000000" w:themeColor="text1"/>
              </w:rPr>
              <w:t>//</w:t>
            </w:r>
          </w:p>
        </w:tc>
      </w:tr>
      <w:tr w:rsidR="002850C6" w:rsidRPr="002850C6" w14:paraId="6472ADE5" w14:textId="77777777" w:rsidTr="0043630B">
        <w:tc>
          <w:tcPr>
            <w:tcW w:w="0" w:type="auto"/>
          </w:tcPr>
          <w:p w14:paraId="00052855" w14:textId="77777777" w:rsidR="002850C6" w:rsidRPr="002850C6" w:rsidRDefault="002850C6" w:rsidP="002850C6">
            <w:pPr>
              <w:jc w:val="left"/>
              <w:rPr>
                <w:b/>
                <w:i/>
                <w:noProof/>
                <w:color w:val="000000" w:themeColor="text1"/>
              </w:rPr>
            </w:pPr>
            <w:r w:rsidRPr="002850C6">
              <w:rPr>
                <w:b/>
                <w:i/>
                <w:noProof/>
                <w:color w:val="000000" w:themeColor="text1"/>
              </w:rPr>
              <w:t>Portail numérique unique et IMI</w:t>
            </w:r>
          </w:p>
        </w:tc>
        <w:tc>
          <w:tcPr>
            <w:tcW w:w="0" w:type="auto"/>
          </w:tcPr>
          <w:p w14:paraId="60E8F7AE" w14:textId="77777777" w:rsidR="002850C6" w:rsidRPr="002850C6" w:rsidRDefault="002850C6" w:rsidP="002850C6">
            <w:pPr>
              <w:jc w:val="left"/>
              <w:rPr>
                <w:noProof/>
                <w:color w:val="000000" w:themeColor="text1"/>
              </w:rPr>
            </w:pPr>
            <w:r w:rsidRPr="002850C6">
              <w:rPr>
                <w:noProof/>
                <w:color w:val="000000" w:themeColor="text1"/>
              </w:rPr>
              <w:t>//</w:t>
            </w:r>
          </w:p>
        </w:tc>
      </w:tr>
      <w:tr w:rsidR="002850C6" w:rsidRPr="002850C6" w14:paraId="308EA172" w14:textId="77777777" w:rsidTr="0043630B">
        <w:tc>
          <w:tcPr>
            <w:tcW w:w="0" w:type="auto"/>
          </w:tcPr>
          <w:p w14:paraId="1E86102C" w14:textId="77777777" w:rsidR="002850C6" w:rsidRPr="002850C6" w:rsidRDefault="002850C6" w:rsidP="002850C6">
            <w:pPr>
              <w:jc w:val="left"/>
              <w:rPr>
                <w:b/>
                <w:i/>
                <w:noProof/>
                <w:color w:val="000000" w:themeColor="text1"/>
              </w:rPr>
            </w:pPr>
            <w:r w:rsidRPr="002850C6">
              <w:rPr>
                <w:b/>
                <w:i/>
                <w:noProof/>
                <w:color w:val="000000" w:themeColor="text1"/>
              </w:rPr>
              <w:t>Autres</w:t>
            </w:r>
          </w:p>
        </w:tc>
        <w:tc>
          <w:tcPr>
            <w:tcW w:w="0" w:type="auto"/>
          </w:tcPr>
          <w:p w14:paraId="182723A1" w14:textId="77777777" w:rsidR="002850C6" w:rsidRPr="002850C6" w:rsidRDefault="002850C6" w:rsidP="002850C6">
            <w:pPr>
              <w:jc w:val="left"/>
              <w:rPr>
                <w:rFonts w:eastAsia="Calibri"/>
                <w:noProof/>
                <w:color w:val="000000" w:themeColor="text1"/>
              </w:rPr>
            </w:pPr>
            <w:r w:rsidRPr="002850C6">
              <w:rPr>
                <w:noProof/>
                <w:color w:val="000000" w:themeColor="text1"/>
              </w:rPr>
              <w:t>//</w:t>
            </w:r>
          </w:p>
        </w:tc>
      </w:tr>
    </w:tbl>
    <w:p w14:paraId="6AD4509A" w14:textId="77777777" w:rsidR="002850C6" w:rsidRPr="002850C6" w:rsidRDefault="002850C6" w:rsidP="002850C6">
      <w:pPr>
        <w:rPr>
          <w:i/>
          <w:noProof/>
          <w:color w:val="000000" w:themeColor="text1"/>
        </w:rPr>
      </w:pPr>
    </w:p>
    <w:p w14:paraId="6E251B01" w14:textId="77777777" w:rsidR="002850C6" w:rsidRPr="002850C6" w:rsidRDefault="002850C6" w:rsidP="002850C6">
      <w:pPr>
        <w:rPr>
          <w:b/>
          <w:noProof/>
          <w:color w:val="000000" w:themeColor="text1"/>
          <w:u w:val="single"/>
        </w:rPr>
      </w:pPr>
      <w:r w:rsidRPr="002850C6">
        <w:rPr>
          <w:b/>
          <w:noProof/>
          <w:color w:val="000000" w:themeColor="text1"/>
          <w:u w:val="single"/>
        </w:rPr>
        <w:t>Solution numérique #2</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6915"/>
      </w:tblGrid>
      <w:tr w:rsidR="002850C6" w:rsidRPr="002850C6" w14:paraId="7061B15D" w14:textId="77777777" w:rsidTr="0043630B">
        <w:tc>
          <w:tcPr>
            <w:tcW w:w="0" w:type="auto"/>
          </w:tcPr>
          <w:p w14:paraId="2089E755" w14:textId="77777777" w:rsidR="002850C6" w:rsidRPr="002850C6" w:rsidRDefault="002850C6" w:rsidP="002850C6">
            <w:pPr>
              <w:jc w:val="left"/>
              <w:rPr>
                <w:b/>
                <w:noProof/>
                <w:color w:val="000000" w:themeColor="text1"/>
              </w:rPr>
            </w:pPr>
            <w:r w:rsidRPr="002850C6">
              <w:rPr>
                <w:b/>
                <w:noProof/>
                <w:color w:val="000000" w:themeColor="text1"/>
              </w:rPr>
              <w:t>Politique numérique et/ou sectorielle (le cas échéant)</w:t>
            </w:r>
          </w:p>
        </w:tc>
        <w:tc>
          <w:tcPr>
            <w:tcW w:w="0" w:type="auto"/>
          </w:tcPr>
          <w:p w14:paraId="657C65FE" w14:textId="77777777" w:rsidR="002850C6" w:rsidRPr="002850C6" w:rsidRDefault="002850C6" w:rsidP="002850C6">
            <w:pPr>
              <w:jc w:val="left"/>
              <w:rPr>
                <w:b/>
                <w:noProof/>
                <w:color w:val="000000" w:themeColor="text1"/>
              </w:rPr>
            </w:pPr>
            <w:r w:rsidRPr="002850C6">
              <w:rPr>
                <w:b/>
                <w:noProof/>
                <w:color w:val="000000" w:themeColor="text1"/>
              </w:rPr>
              <w:t>Expliquer de quelle manière la solution s’aligne sur l'élément en question</w:t>
            </w:r>
          </w:p>
        </w:tc>
      </w:tr>
      <w:tr w:rsidR="002850C6" w:rsidRPr="002850C6" w14:paraId="51B6D755" w14:textId="77777777" w:rsidTr="0043630B">
        <w:tc>
          <w:tcPr>
            <w:tcW w:w="0" w:type="auto"/>
          </w:tcPr>
          <w:p w14:paraId="6EDE32CB" w14:textId="77777777" w:rsidR="002850C6" w:rsidRPr="002850C6" w:rsidRDefault="002850C6" w:rsidP="002850C6">
            <w:pPr>
              <w:jc w:val="left"/>
              <w:rPr>
                <w:noProof/>
                <w:color w:val="000000" w:themeColor="text1"/>
              </w:rPr>
            </w:pPr>
            <w:r w:rsidRPr="002850C6">
              <w:rPr>
                <w:b/>
                <w:i/>
                <w:noProof/>
                <w:color w:val="000000" w:themeColor="text1"/>
              </w:rPr>
              <w:t>Règlement sur l’IA</w:t>
            </w:r>
          </w:p>
        </w:tc>
        <w:tc>
          <w:tcPr>
            <w:tcW w:w="0" w:type="auto"/>
          </w:tcPr>
          <w:p w14:paraId="5D4F993E" w14:textId="77777777" w:rsidR="002850C6" w:rsidRPr="002850C6" w:rsidRDefault="002850C6" w:rsidP="002850C6">
            <w:pPr>
              <w:jc w:val="left"/>
              <w:rPr>
                <w:noProof/>
                <w:color w:val="000000" w:themeColor="text1"/>
              </w:rPr>
            </w:pPr>
            <w:r w:rsidRPr="002850C6">
              <w:rPr>
                <w:noProof/>
                <w:color w:val="000000" w:themeColor="text1"/>
              </w:rPr>
              <w:t>//</w:t>
            </w:r>
          </w:p>
        </w:tc>
      </w:tr>
      <w:tr w:rsidR="002850C6" w:rsidRPr="002850C6" w14:paraId="7A73D398" w14:textId="77777777" w:rsidTr="0043630B">
        <w:tc>
          <w:tcPr>
            <w:tcW w:w="0" w:type="auto"/>
          </w:tcPr>
          <w:p w14:paraId="6E6FC2B9" w14:textId="77777777" w:rsidR="002850C6" w:rsidRPr="002850C6" w:rsidRDefault="002850C6" w:rsidP="002850C6">
            <w:pPr>
              <w:jc w:val="left"/>
              <w:rPr>
                <w:noProof/>
                <w:color w:val="000000" w:themeColor="text1"/>
              </w:rPr>
            </w:pPr>
            <w:r w:rsidRPr="002850C6">
              <w:rPr>
                <w:b/>
                <w:i/>
                <w:noProof/>
                <w:color w:val="000000" w:themeColor="text1"/>
              </w:rPr>
              <w:t>Cadre de l’UE en matière de cybersécurité</w:t>
            </w:r>
          </w:p>
        </w:tc>
        <w:tc>
          <w:tcPr>
            <w:tcW w:w="0" w:type="auto"/>
          </w:tcPr>
          <w:p w14:paraId="508E3428" w14:textId="77777777" w:rsidR="002850C6" w:rsidRPr="002850C6" w:rsidRDefault="002850C6" w:rsidP="002850C6">
            <w:pPr>
              <w:jc w:val="left"/>
              <w:rPr>
                <w:noProof/>
                <w:color w:val="000000" w:themeColor="text1"/>
              </w:rPr>
            </w:pPr>
            <w:r w:rsidRPr="002850C6">
              <w:rPr>
                <w:noProof/>
                <w:color w:val="000000" w:themeColor="text1"/>
              </w:rPr>
              <w:t>La collecte, le traitement, la production, l’échange ou le partage de données relatives à la réserve de solidarité s’effectuent dans le strict respect des dispositions législatives et réglementaires applicables et des règles spécifiques régissant le traitement des informations sensibles et classifiées.</w:t>
            </w:r>
          </w:p>
        </w:tc>
      </w:tr>
      <w:tr w:rsidR="002850C6" w:rsidRPr="002850C6" w14:paraId="5A504050" w14:textId="77777777" w:rsidTr="0043630B">
        <w:tc>
          <w:tcPr>
            <w:tcW w:w="0" w:type="auto"/>
          </w:tcPr>
          <w:p w14:paraId="48897218" w14:textId="77777777" w:rsidR="002850C6" w:rsidRPr="002850C6" w:rsidRDefault="002850C6" w:rsidP="002850C6">
            <w:pPr>
              <w:jc w:val="left"/>
              <w:rPr>
                <w:noProof/>
                <w:color w:val="000000" w:themeColor="text1"/>
              </w:rPr>
            </w:pPr>
            <w:r w:rsidRPr="002850C6">
              <w:rPr>
                <w:b/>
                <w:i/>
                <w:noProof/>
                <w:color w:val="000000" w:themeColor="text1"/>
              </w:rPr>
              <w:t>eIDAS</w:t>
            </w:r>
          </w:p>
        </w:tc>
        <w:tc>
          <w:tcPr>
            <w:tcW w:w="0" w:type="auto"/>
          </w:tcPr>
          <w:p w14:paraId="5BEAD091" w14:textId="77777777" w:rsidR="002850C6" w:rsidRPr="002850C6" w:rsidRDefault="002850C6" w:rsidP="002850C6">
            <w:pPr>
              <w:jc w:val="left"/>
              <w:rPr>
                <w:noProof/>
                <w:color w:val="000000" w:themeColor="text1"/>
              </w:rPr>
            </w:pPr>
            <w:r w:rsidRPr="002850C6">
              <w:rPr>
                <w:noProof/>
                <w:color w:val="000000" w:themeColor="text1"/>
              </w:rPr>
              <w:t>//</w:t>
            </w:r>
          </w:p>
        </w:tc>
      </w:tr>
      <w:tr w:rsidR="002850C6" w:rsidRPr="002850C6" w14:paraId="46A94D68" w14:textId="77777777" w:rsidTr="0043630B">
        <w:tc>
          <w:tcPr>
            <w:tcW w:w="0" w:type="auto"/>
          </w:tcPr>
          <w:p w14:paraId="53C01DA5" w14:textId="77777777" w:rsidR="002850C6" w:rsidRPr="002850C6" w:rsidRDefault="002850C6" w:rsidP="002850C6">
            <w:pPr>
              <w:jc w:val="left"/>
              <w:rPr>
                <w:noProof/>
                <w:color w:val="000000" w:themeColor="text1"/>
              </w:rPr>
            </w:pPr>
            <w:r w:rsidRPr="002850C6">
              <w:rPr>
                <w:b/>
                <w:i/>
                <w:noProof/>
                <w:color w:val="000000" w:themeColor="text1"/>
              </w:rPr>
              <w:t>Portail numérique unique et IMI</w:t>
            </w:r>
          </w:p>
        </w:tc>
        <w:tc>
          <w:tcPr>
            <w:tcW w:w="0" w:type="auto"/>
          </w:tcPr>
          <w:p w14:paraId="0C3E21F4" w14:textId="77777777" w:rsidR="002850C6" w:rsidRPr="002850C6" w:rsidRDefault="002850C6" w:rsidP="002850C6">
            <w:pPr>
              <w:jc w:val="left"/>
              <w:rPr>
                <w:noProof/>
                <w:color w:val="000000" w:themeColor="text1"/>
              </w:rPr>
            </w:pPr>
            <w:r w:rsidRPr="002850C6">
              <w:rPr>
                <w:noProof/>
                <w:color w:val="000000" w:themeColor="text1"/>
              </w:rPr>
              <w:t>//</w:t>
            </w:r>
          </w:p>
        </w:tc>
      </w:tr>
      <w:tr w:rsidR="002850C6" w:rsidRPr="002850C6" w14:paraId="22F85271" w14:textId="77777777" w:rsidTr="0043630B">
        <w:tc>
          <w:tcPr>
            <w:tcW w:w="0" w:type="auto"/>
          </w:tcPr>
          <w:p w14:paraId="680B585C" w14:textId="77777777" w:rsidR="002850C6" w:rsidRPr="002850C6" w:rsidRDefault="002850C6" w:rsidP="002850C6">
            <w:pPr>
              <w:jc w:val="left"/>
              <w:rPr>
                <w:noProof/>
                <w:color w:val="000000" w:themeColor="text1"/>
              </w:rPr>
            </w:pPr>
            <w:r w:rsidRPr="002850C6">
              <w:rPr>
                <w:b/>
                <w:i/>
                <w:noProof/>
                <w:color w:val="000000" w:themeColor="text1"/>
              </w:rPr>
              <w:t>Autres</w:t>
            </w:r>
          </w:p>
        </w:tc>
        <w:tc>
          <w:tcPr>
            <w:tcW w:w="0" w:type="auto"/>
          </w:tcPr>
          <w:p w14:paraId="1649A980" w14:textId="77777777" w:rsidR="002850C6" w:rsidRPr="002850C6" w:rsidRDefault="002850C6" w:rsidP="002850C6">
            <w:pPr>
              <w:jc w:val="left"/>
              <w:rPr>
                <w:rFonts w:eastAsia="Calibri"/>
                <w:noProof/>
                <w:color w:val="000000" w:themeColor="text1"/>
              </w:rPr>
            </w:pPr>
            <w:r w:rsidRPr="002850C6">
              <w:rPr>
                <w:noProof/>
                <w:color w:val="000000" w:themeColor="text1"/>
              </w:rPr>
              <w:t>//</w:t>
            </w:r>
          </w:p>
        </w:tc>
      </w:tr>
    </w:tbl>
    <w:p w14:paraId="2B7F82B5" w14:textId="77777777" w:rsidR="002850C6" w:rsidRPr="002850C6" w:rsidRDefault="002850C6" w:rsidP="002850C6">
      <w:pPr>
        <w:rPr>
          <w:noProof/>
          <w:color w:val="000000" w:themeColor="text1"/>
        </w:rPr>
      </w:pPr>
    </w:p>
    <w:p w14:paraId="55C6226F" w14:textId="77777777" w:rsidR="002850C6" w:rsidRPr="002850C6" w:rsidRDefault="002850C6" w:rsidP="002850C6">
      <w:pPr>
        <w:rPr>
          <w:b/>
          <w:bCs/>
          <w:noProof/>
          <w:color w:val="000000" w:themeColor="text1"/>
          <w:szCs w:val="24"/>
        </w:rPr>
      </w:pPr>
      <w:r w:rsidRPr="002850C6">
        <w:rPr>
          <w:b/>
          <w:noProof/>
          <w:color w:val="000000" w:themeColor="text1"/>
        </w:rPr>
        <w:t>4.4. Évaluation de l’interopérabilité</w:t>
      </w:r>
    </w:p>
    <w:p w14:paraId="2D23DD82" w14:textId="77777777" w:rsidR="002850C6" w:rsidRPr="002850C6" w:rsidRDefault="002850C6" w:rsidP="002850C6">
      <w:pPr>
        <w:rPr>
          <w:i/>
          <w:noProof/>
          <w:color w:val="000000" w:themeColor="text1"/>
        </w:rPr>
      </w:pPr>
      <w:r w:rsidRPr="002850C6">
        <w:rPr>
          <w:i/>
          <w:noProof/>
          <w:color w:val="000000" w:themeColor="text1"/>
        </w:rPr>
        <w:t>Description générale du (des) service(s) public(s) numérique(s) concerné(s) par les exigences</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1197"/>
        <w:gridCol w:w="1707"/>
        <w:gridCol w:w="2022"/>
        <w:gridCol w:w="2106"/>
      </w:tblGrid>
      <w:tr w:rsidR="002850C6" w:rsidRPr="002850C6" w14:paraId="163E5135" w14:textId="77777777" w:rsidTr="0043630B">
        <w:trPr>
          <w:trHeight w:val="300"/>
        </w:trPr>
        <w:tc>
          <w:tcPr>
            <w:tcW w:w="0" w:type="auto"/>
          </w:tcPr>
          <w:p w14:paraId="53F58E41" w14:textId="77777777" w:rsidR="002850C6" w:rsidRPr="002850C6" w:rsidRDefault="002850C6" w:rsidP="002850C6">
            <w:pPr>
              <w:spacing w:before="0" w:after="0"/>
              <w:jc w:val="left"/>
              <w:rPr>
                <w:b/>
                <w:bCs/>
                <w:noProof/>
                <w:color w:val="000000" w:themeColor="text1"/>
                <w:szCs w:val="24"/>
              </w:rPr>
            </w:pPr>
            <w:r w:rsidRPr="002850C6">
              <w:rPr>
                <w:b/>
                <w:noProof/>
                <w:color w:val="000000" w:themeColor="text1"/>
              </w:rPr>
              <w:t>Service public numérique ou catégorie de services publics numériques</w:t>
            </w:r>
          </w:p>
        </w:tc>
        <w:tc>
          <w:tcPr>
            <w:tcW w:w="0" w:type="auto"/>
          </w:tcPr>
          <w:p w14:paraId="0E5F3F24" w14:textId="77777777" w:rsidR="002850C6" w:rsidRPr="002850C6" w:rsidRDefault="002850C6" w:rsidP="002850C6">
            <w:pPr>
              <w:jc w:val="left"/>
              <w:rPr>
                <w:b/>
                <w:bCs/>
                <w:noProof/>
                <w:color w:val="000000" w:themeColor="text1"/>
                <w:szCs w:val="24"/>
              </w:rPr>
            </w:pPr>
            <w:r w:rsidRPr="002850C6">
              <w:rPr>
                <w:b/>
                <w:noProof/>
                <w:color w:val="000000" w:themeColor="text1"/>
              </w:rPr>
              <w:t>Description</w:t>
            </w:r>
          </w:p>
        </w:tc>
        <w:tc>
          <w:tcPr>
            <w:tcW w:w="0" w:type="auto"/>
          </w:tcPr>
          <w:p w14:paraId="7705EE4A" w14:textId="77777777" w:rsidR="002850C6" w:rsidRPr="002850C6" w:rsidRDefault="002850C6" w:rsidP="002850C6">
            <w:pPr>
              <w:jc w:val="left"/>
              <w:rPr>
                <w:b/>
                <w:bCs/>
                <w:noProof/>
                <w:color w:val="000000" w:themeColor="text1"/>
                <w:szCs w:val="24"/>
              </w:rPr>
            </w:pPr>
            <w:r w:rsidRPr="002850C6">
              <w:rPr>
                <w:b/>
                <w:noProof/>
                <w:color w:val="000000" w:themeColor="text1"/>
              </w:rPr>
              <w:t>Référence(s) à l’exigence ou aux exigences</w:t>
            </w:r>
          </w:p>
        </w:tc>
        <w:tc>
          <w:tcPr>
            <w:tcW w:w="0" w:type="auto"/>
            <w:shd w:val="clear" w:color="auto" w:fill="7F7F7F" w:themeFill="text1" w:themeFillTint="80"/>
          </w:tcPr>
          <w:p w14:paraId="39937F26" w14:textId="77777777" w:rsidR="002850C6" w:rsidRPr="002850C6" w:rsidRDefault="002850C6" w:rsidP="002850C6">
            <w:pPr>
              <w:jc w:val="left"/>
              <w:rPr>
                <w:b/>
                <w:bCs/>
                <w:noProof/>
                <w:color w:val="000000" w:themeColor="text1"/>
                <w:szCs w:val="24"/>
              </w:rPr>
            </w:pPr>
            <w:r w:rsidRPr="002850C6">
              <w:rPr>
                <w:b/>
                <w:noProof/>
                <w:color w:val="000000" w:themeColor="text1"/>
              </w:rPr>
              <w:t xml:space="preserve">Solution(s) interopérable(s) pour l’Europe </w:t>
            </w:r>
          </w:p>
          <w:p w14:paraId="6A81AECB" w14:textId="77777777" w:rsidR="002850C6" w:rsidRPr="002850C6" w:rsidRDefault="002850C6" w:rsidP="002850C6">
            <w:pPr>
              <w:jc w:val="left"/>
              <w:rPr>
                <w:b/>
                <w:bCs/>
                <w:noProof/>
                <w:color w:val="000000" w:themeColor="text1"/>
                <w:szCs w:val="24"/>
              </w:rPr>
            </w:pPr>
            <w:r w:rsidRPr="002850C6">
              <w:rPr>
                <w:b/>
                <w:noProof/>
                <w:color w:val="000000" w:themeColor="text1"/>
              </w:rPr>
              <w:t>(SANS OBJET)</w:t>
            </w:r>
          </w:p>
        </w:tc>
        <w:tc>
          <w:tcPr>
            <w:tcW w:w="0" w:type="auto"/>
          </w:tcPr>
          <w:p w14:paraId="0C1B815C" w14:textId="77777777" w:rsidR="002850C6" w:rsidRPr="002850C6" w:rsidRDefault="002850C6" w:rsidP="002850C6">
            <w:pPr>
              <w:jc w:val="left"/>
              <w:rPr>
                <w:b/>
                <w:bCs/>
                <w:noProof/>
                <w:color w:val="000000" w:themeColor="text1"/>
                <w:szCs w:val="24"/>
              </w:rPr>
            </w:pPr>
            <w:r w:rsidRPr="002850C6">
              <w:rPr>
                <w:b/>
                <w:noProof/>
                <w:color w:val="000000" w:themeColor="text1"/>
              </w:rPr>
              <w:t>Autre(s) solution(s) d’interopérabilité</w:t>
            </w:r>
          </w:p>
        </w:tc>
      </w:tr>
      <w:tr w:rsidR="002850C6" w:rsidRPr="002850C6" w14:paraId="299E57E2" w14:textId="77777777" w:rsidTr="0043630B">
        <w:trPr>
          <w:trHeight w:val="300"/>
        </w:trPr>
        <w:tc>
          <w:tcPr>
            <w:tcW w:w="0" w:type="auto"/>
          </w:tcPr>
          <w:p w14:paraId="6FBE2D3A" w14:textId="77777777" w:rsidR="002850C6" w:rsidRPr="002850C6" w:rsidRDefault="002850C6" w:rsidP="002850C6">
            <w:pPr>
              <w:jc w:val="left"/>
              <w:rPr>
                <w:noProof/>
                <w:color w:val="000000" w:themeColor="text1"/>
                <w:szCs w:val="24"/>
              </w:rPr>
            </w:pPr>
            <w:r w:rsidRPr="002850C6">
              <w:rPr>
                <w:noProof/>
                <w:color w:val="000000" w:themeColor="text1"/>
              </w:rPr>
              <w:t>Service public numérique #1</w:t>
            </w:r>
          </w:p>
        </w:tc>
        <w:tc>
          <w:tcPr>
            <w:tcW w:w="0" w:type="auto"/>
          </w:tcPr>
          <w:p w14:paraId="6DD9F524" w14:textId="77777777" w:rsidR="002850C6" w:rsidRPr="002850C6" w:rsidRDefault="002850C6" w:rsidP="002850C6">
            <w:pPr>
              <w:jc w:val="left"/>
              <w:rPr>
                <w:noProof/>
                <w:color w:val="000000" w:themeColor="text1"/>
                <w:szCs w:val="24"/>
              </w:rPr>
            </w:pPr>
            <w:r w:rsidRPr="002850C6">
              <w:rPr>
                <w:noProof/>
                <w:color w:val="000000" w:themeColor="text1"/>
              </w:rPr>
              <w:t>//</w:t>
            </w:r>
          </w:p>
        </w:tc>
        <w:tc>
          <w:tcPr>
            <w:tcW w:w="0" w:type="auto"/>
          </w:tcPr>
          <w:p w14:paraId="5D9E55A5" w14:textId="77777777" w:rsidR="002850C6" w:rsidRPr="002850C6" w:rsidRDefault="002850C6" w:rsidP="002850C6">
            <w:pPr>
              <w:jc w:val="left"/>
              <w:rPr>
                <w:noProof/>
                <w:color w:val="000000" w:themeColor="text1"/>
                <w:szCs w:val="24"/>
              </w:rPr>
            </w:pPr>
            <w:r w:rsidRPr="002850C6">
              <w:rPr>
                <w:noProof/>
                <w:color w:val="000000" w:themeColor="text1"/>
              </w:rPr>
              <w:t>//</w:t>
            </w:r>
          </w:p>
        </w:tc>
        <w:tc>
          <w:tcPr>
            <w:tcW w:w="0" w:type="auto"/>
            <w:shd w:val="clear" w:color="auto" w:fill="7F7F7F" w:themeFill="text1" w:themeFillTint="80"/>
          </w:tcPr>
          <w:p w14:paraId="1E48869E" w14:textId="77777777" w:rsidR="002850C6" w:rsidRPr="002850C6" w:rsidRDefault="002850C6" w:rsidP="002850C6">
            <w:pPr>
              <w:jc w:val="left"/>
              <w:rPr>
                <w:noProof/>
                <w:color w:val="000000" w:themeColor="text1"/>
                <w:szCs w:val="24"/>
              </w:rPr>
            </w:pPr>
            <w:r w:rsidRPr="002850C6">
              <w:rPr>
                <w:noProof/>
                <w:color w:val="000000" w:themeColor="text1"/>
              </w:rPr>
              <w:t>//</w:t>
            </w:r>
          </w:p>
        </w:tc>
        <w:tc>
          <w:tcPr>
            <w:tcW w:w="0" w:type="auto"/>
          </w:tcPr>
          <w:p w14:paraId="5F610F8C" w14:textId="77777777" w:rsidR="002850C6" w:rsidRPr="002850C6" w:rsidRDefault="002850C6" w:rsidP="002850C6">
            <w:pPr>
              <w:jc w:val="left"/>
              <w:rPr>
                <w:noProof/>
                <w:color w:val="000000" w:themeColor="text1"/>
                <w:szCs w:val="24"/>
              </w:rPr>
            </w:pPr>
            <w:r w:rsidRPr="002850C6">
              <w:rPr>
                <w:noProof/>
                <w:color w:val="000000" w:themeColor="text1"/>
              </w:rPr>
              <w:t>//</w:t>
            </w:r>
          </w:p>
        </w:tc>
      </w:tr>
      <w:tr w:rsidR="002850C6" w:rsidRPr="002850C6" w14:paraId="140A9A3E" w14:textId="77777777" w:rsidTr="0043630B">
        <w:trPr>
          <w:trHeight w:val="300"/>
        </w:trPr>
        <w:tc>
          <w:tcPr>
            <w:tcW w:w="0" w:type="auto"/>
          </w:tcPr>
          <w:p w14:paraId="3A9E53C4" w14:textId="77777777" w:rsidR="002850C6" w:rsidRPr="002850C6" w:rsidRDefault="002850C6" w:rsidP="002850C6">
            <w:pPr>
              <w:jc w:val="left"/>
              <w:rPr>
                <w:rFonts w:eastAsia="Calibri"/>
                <w:noProof/>
                <w:color w:val="000000" w:themeColor="text1"/>
                <w:szCs w:val="24"/>
              </w:rPr>
            </w:pPr>
            <w:r w:rsidRPr="002850C6">
              <w:rPr>
                <w:noProof/>
              </w:rPr>
              <w:t xml:space="preserve">Catégorie de services publics numériques selon la </w:t>
            </w:r>
            <w:hyperlink r:id="rId18" w:history="1">
              <w:r w:rsidRPr="002850C6">
                <w:rPr>
                  <w:noProof/>
                  <w:color w:val="000000" w:themeColor="text1"/>
                  <w:u w:val="single"/>
                </w:rPr>
                <w:t>CFAP</w:t>
              </w:r>
            </w:hyperlink>
            <w:r w:rsidRPr="002850C6">
              <w:rPr>
                <w:noProof/>
              </w:rPr>
              <w:t xml:space="preserve"> #1</w:t>
            </w:r>
          </w:p>
        </w:tc>
        <w:tc>
          <w:tcPr>
            <w:tcW w:w="0" w:type="auto"/>
          </w:tcPr>
          <w:p w14:paraId="670057CC" w14:textId="77777777" w:rsidR="002850C6" w:rsidRPr="002850C6" w:rsidRDefault="002850C6" w:rsidP="002850C6">
            <w:pPr>
              <w:jc w:val="left"/>
              <w:rPr>
                <w:noProof/>
                <w:color w:val="000000" w:themeColor="text1"/>
                <w:szCs w:val="24"/>
              </w:rPr>
            </w:pPr>
            <w:r w:rsidRPr="002850C6">
              <w:rPr>
                <w:noProof/>
                <w:color w:val="000000" w:themeColor="text1"/>
              </w:rPr>
              <w:t>//</w:t>
            </w:r>
          </w:p>
        </w:tc>
        <w:tc>
          <w:tcPr>
            <w:tcW w:w="0" w:type="auto"/>
          </w:tcPr>
          <w:p w14:paraId="133525E6" w14:textId="77777777" w:rsidR="002850C6" w:rsidRPr="002850C6" w:rsidRDefault="002850C6" w:rsidP="002850C6">
            <w:pPr>
              <w:jc w:val="left"/>
              <w:rPr>
                <w:noProof/>
                <w:color w:val="000000" w:themeColor="text1"/>
                <w:szCs w:val="24"/>
              </w:rPr>
            </w:pPr>
            <w:r w:rsidRPr="002850C6">
              <w:rPr>
                <w:noProof/>
                <w:color w:val="000000" w:themeColor="text1"/>
              </w:rPr>
              <w:t>//</w:t>
            </w:r>
          </w:p>
        </w:tc>
        <w:tc>
          <w:tcPr>
            <w:tcW w:w="0" w:type="auto"/>
            <w:shd w:val="clear" w:color="auto" w:fill="7F7F7F" w:themeFill="text1" w:themeFillTint="80"/>
          </w:tcPr>
          <w:p w14:paraId="78FB9489" w14:textId="77777777" w:rsidR="002850C6" w:rsidRPr="002850C6" w:rsidRDefault="002850C6" w:rsidP="002850C6">
            <w:pPr>
              <w:jc w:val="left"/>
              <w:rPr>
                <w:noProof/>
                <w:color w:val="000000" w:themeColor="text1"/>
                <w:szCs w:val="24"/>
              </w:rPr>
            </w:pPr>
            <w:r w:rsidRPr="002850C6">
              <w:rPr>
                <w:noProof/>
                <w:color w:val="000000" w:themeColor="text1"/>
              </w:rPr>
              <w:t>//</w:t>
            </w:r>
          </w:p>
        </w:tc>
        <w:tc>
          <w:tcPr>
            <w:tcW w:w="0" w:type="auto"/>
          </w:tcPr>
          <w:p w14:paraId="667E3D82" w14:textId="77777777" w:rsidR="002850C6" w:rsidRPr="002850C6" w:rsidRDefault="002850C6" w:rsidP="002850C6">
            <w:pPr>
              <w:jc w:val="left"/>
              <w:rPr>
                <w:noProof/>
                <w:color w:val="000000" w:themeColor="text1"/>
                <w:szCs w:val="24"/>
              </w:rPr>
            </w:pPr>
            <w:r w:rsidRPr="002850C6">
              <w:rPr>
                <w:noProof/>
                <w:color w:val="000000" w:themeColor="text1"/>
              </w:rPr>
              <w:t>//</w:t>
            </w:r>
          </w:p>
        </w:tc>
      </w:tr>
    </w:tbl>
    <w:p w14:paraId="75CBF338" w14:textId="77777777" w:rsidR="002850C6" w:rsidRPr="002850C6" w:rsidRDefault="002850C6" w:rsidP="002850C6">
      <w:pPr>
        <w:rPr>
          <w:i/>
          <w:iCs/>
          <w:noProof/>
          <w:color w:val="000000" w:themeColor="text1"/>
        </w:rPr>
      </w:pPr>
    </w:p>
    <w:p w14:paraId="2C3E9C1D" w14:textId="77777777" w:rsidR="002850C6" w:rsidRPr="002850C6" w:rsidRDefault="002850C6" w:rsidP="002850C6">
      <w:pPr>
        <w:rPr>
          <w:b/>
          <w:bCs/>
          <w:noProof/>
          <w:color w:val="000000" w:themeColor="text1"/>
          <w:szCs w:val="24"/>
          <w:u w:val="single"/>
        </w:rPr>
      </w:pPr>
      <w:r w:rsidRPr="002850C6">
        <w:rPr>
          <w:i/>
          <w:noProof/>
          <w:color w:val="000000" w:themeColor="text1"/>
        </w:rPr>
        <w:t>Incidence de l’exigence ou des exigences sur l’interopérabilité transfrontière pour chaque service public numérique</w:t>
      </w:r>
    </w:p>
    <w:p w14:paraId="78F7C63E" w14:textId="77777777" w:rsidR="002850C6" w:rsidRPr="002850C6" w:rsidRDefault="002850C6" w:rsidP="002850C6">
      <w:pPr>
        <w:rPr>
          <w:b/>
          <w:bCs/>
          <w:noProof/>
          <w:color w:val="000000" w:themeColor="text1"/>
          <w:szCs w:val="24"/>
          <w:u w:val="single"/>
        </w:rPr>
      </w:pPr>
      <w:r w:rsidRPr="002850C6">
        <w:rPr>
          <w:b/>
          <w:noProof/>
          <w:color w:val="000000" w:themeColor="text1"/>
          <w:u w:val="single"/>
        </w:rPr>
        <w:t xml:space="preserve">Service public numérique #1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9"/>
        <w:gridCol w:w="1037"/>
        <w:gridCol w:w="2387"/>
      </w:tblGrid>
      <w:tr w:rsidR="002850C6" w:rsidRPr="002850C6" w14:paraId="42DA9642" w14:textId="77777777" w:rsidTr="0043630B">
        <w:tc>
          <w:tcPr>
            <w:tcW w:w="0" w:type="auto"/>
          </w:tcPr>
          <w:p w14:paraId="547D4430" w14:textId="77777777" w:rsidR="002850C6" w:rsidRPr="002850C6" w:rsidRDefault="002850C6" w:rsidP="002850C6">
            <w:pPr>
              <w:jc w:val="left"/>
              <w:rPr>
                <w:b/>
                <w:bCs/>
                <w:noProof/>
                <w:color w:val="000000" w:themeColor="text1"/>
                <w:szCs w:val="24"/>
              </w:rPr>
            </w:pPr>
            <w:r w:rsidRPr="002850C6">
              <w:rPr>
                <w:b/>
                <w:noProof/>
                <w:color w:val="000000" w:themeColor="text1"/>
              </w:rPr>
              <w:t>Évaluation</w:t>
            </w:r>
          </w:p>
        </w:tc>
        <w:tc>
          <w:tcPr>
            <w:tcW w:w="0" w:type="auto"/>
          </w:tcPr>
          <w:p w14:paraId="64ADD574" w14:textId="77777777" w:rsidR="002850C6" w:rsidRPr="002850C6" w:rsidRDefault="002850C6" w:rsidP="002850C6">
            <w:pPr>
              <w:jc w:val="left"/>
              <w:rPr>
                <w:b/>
                <w:bCs/>
                <w:noProof/>
                <w:color w:val="000000" w:themeColor="text1"/>
                <w:szCs w:val="24"/>
              </w:rPr>
            </w:pPr>
            <w:r w:rsidRPr="002850C6">
              <w:rPr>
                <w:b/>
                <w:noProof/>
                <w:color w:val="000000" w:themeColor="text1"/>
              </w:rPr>
              <w:t>Mesure(s)</w:t>
            </w:r>
          </w:p>
        </w:tc>
        <w:tc>
          <w:tcPr>
            <w:tcW w:w="0" w:type="auto"/>
          </w:tcPr>
          <w:p w14:paraId="7BE2B22E" w14:textId="77777777" w:rsidR="002850C6" w:rsidRPr="002850C6" w:rsidRDefault="002850C6" w:rsidP="002850C6">
            <w:pPr>
              <w:jc w:val="left"/>
              <w:rPr>
                <w:b/>
                <w:bCs/>
                <w:noProof/>
                <w:color w:val="000000" w:themeColor="text1"/>
                <w:szCs w:val="24"/>
              </w:rPr>
            </w:pPr>
            <w:r w:rsidRPr="002850C6">
              <w:rPr>
                <w:b/>
                <w:noProof/>
                <w:color w:val="000000" w:themeColor="text1"/>
              </w:rPr>
              <w:t>Obstacles potentiels restants (le cas échéant)</w:t>
            </w:r>
          </w:p>
        </w:tc>
      </w:tr>
      <w:tr w:rsidR="002850C6" w:rsidRPr="002850C6" w14:paraId="0D788FD7" w14:textId="77777777" w:rsidTr="0043630B">
        <w:tc>
          <w:tcPr>
            <w:tcW w:w="0" w:type="auto"/>
          </w:tcPr>
          <w:p w14:paraId="56C32C14" w14:textId="77777777" w:rsidR="002850C6" w:rsidRPr="002850C6" w:rsidRDefault="002850C6" w:rsidP="002850C6">
            <w:pPr>
              <w:spacing w:before="0"/>
              <w:jc w:val="left"/>
              <w:rPr>
                <w:rFonts w:eastAsiaTheme="minorEastAsia"/>
                <w:b/>
                <w:bCs/>
                <w:noProof/>
                <w:color w:val="000000" w:themeColor="text1"/>
                <w:szCs w:val="24"/>
              </w:rPr>
            </w:pPr>
            <w:r w:rsidRPr="002850C6">
              <w:rPr>
                <w:b/>
                <w:noProof/>
                <w:color w:val="000000" w:themeColor="text1"/>
              </w:rPr>
              <w:t xml:space="preserve">Alignement sur les politiques numériques et sectorielles existantes </w:t>
            </w:r>
          </w:p>
          <w:p w14:paraId="187EEDC2" w14:textId="77777777" w:rsidR="002850C6" w:rsidRPr="002850C6" w:rsidRDefault="002850C6" w:rsidP="002850C6">
            <w:pPr>
              <w:spacing w:before="0"/>
              <w:jc w:val="left"/>
              <w:rPr>
                <w:b/>
                <w:bCs/>
                <w:noProof/>
                <w:color w:val="000000" w:themeColor="text1"/>
                <w:szCs w:val="24"/>
              </w:rPr>
            </w:pPr>
            <w:r w:rsidRPr="002850C6">
              <w:rPr>
                <w:b/>
                <w:noProof/>
                <w:color w:val="000000" w:themeColor="text1"/>
              </w:rPr>
              <w:t>Énumérer les politiques numériques et sectorielles applicables recensées</w:t>
            </w:r>
          </w:p>
        </w:tc>
        <w:tc>
          <w:tcPr>
            <w:tcW w:w="0" w:type="auto"/>
          </w:tcPr>
          <w:p w14:paraId="5873F3EE" w14:textId="77777777" w:rsidR="002850C6" w:rsidRPr="002850C6" w:rsidRDefault="002850C6" w:rsidP="002850C6">
            <w:pPr>
              <w:spacing w:before="0"/>
              <w:ind w:left="360"/>
              <w:contextualSpacing/>
              <w:jc w:val="left"/>
              <w:rPr>
                <w:i/>
                <w:iCs/>
                <w:noProof/>
                <w:color w:val="000000" w:themeColor="text1"/>
                <w:szCs w:val="24"/>
                <w:lang w:eastAsia="en-GB"/>
              </w:rPr>
            </w:pPr>
            <w:r w:rsidRPr="002850C6">
              <w:rPr>
                <w:i/>
                <w:noProof/>
                <w:color w:val="000000" w:themeColor="text1"/>
                <w:lang w:eastAsia="en-GB"/>
              </w:rPr>
              <w:t>//</w:t>
            </w:r>
          </w:p>
        </w:tc>
        <w:tc>
          <w:tcPr>
            <w:tcW w:w="0" w:type="auto"/>
          </w:tcPr>
          <w:p w14:paraId="7361E419" w14:textId="77777777" w:rsidR="002850C6" w:rsidRPr="002850C6" w:rsidRDefault="002850C6" w:rsidP="002850C6">
            <w:pPr>
              <w:tabs>
                <w:tab w:val="left" w:pos="5678"/>
              </w:tabs>
              <w:spacing w:before="0"/>
              <w:ind w:left="360"/>
              <w:contextualSpacing/>
              <w:jc w:val="left"/>
              <w:rPr>
                <w:i/>
                <w:iCs/>
                <w:noProof/>
                <w:color w:val="000000" w:themeColor="text1"/>
                <w:szCs w:val="24"/>
                <w:lang w:eastAsia="en-GB"/>
              </w:rPr>
            </w:pPr>
            <w:r w:rsidRPr="002850C6">
              <w:rPr>
                <w:i/>
                <w:noProof/>
                <w:color w:val="000000" w:themeColor="text1"/>
                <w:lang w:eastAsia="en-GB"/>
              </w:rPr>
              <w:t>//</w:t>
            </w:r>
          </w:p>
        </w:tc>
      </w:tr>
      <w:tr w:rsidR="002850C6" w:rsidRPr="002850C6" w14:paraId="0B079D35" w14:textId="77777777" w:rsidTr="0043630B">
        <w:tc>
          <w:tcPr>
            <w:tcW w:w="0" w:type="auto"/>
          </w:tcPr>
          <w:p w14:paraId="6532EF37" w14:textId="77777777" w:rsidR="002850C6" w:rsidRPr="002850C6" w:rsidRDefault="002850C6" w:rsidP="002850C6">
            <w:pPr>
              <w:jc w:val="left"/>
              <w:rPr>
                <w:rFonts w:eastAsiaTheme="minorEastAsia"/>
                <w:b/>
                <w:bCs/>
                <w:noProof/>
                <w:color w:val="000000" w:themeColor="text1"/>
                <w:szCs w:val="24"/>
              </w:rPr>
            </w:pPr>
            <w:r w:rsidRPr="002850C6">
              <w:rPr>
                <w:b/>
                <w:noProof/>
                <w:color w:val="000000" w:themeColor="text1"/>
              </w:rPr>
              <w:t>Mesures organisationnelles en faveur d’une fourniture transfrontière sans heurts de services publics numériques</w:t>
            </w:r>
          </w:p>
          <w:p w14:paraId="6E0FEF17" w14:textId="77777777" w:rsidR="002850C6" w:rsidRPr="002850C6" w:rsidRDefault="002850C6" w:rsidP="002850C6">
            <w:pPr>
              <w:jc w:val="left"/>
              <w:rPr>
                <w:b/>
                <w:bCs/>
                <w:noProof/>
                <w:color w:val="000000" w:themeColor="text1"/>
                <w:szCs w:val="24"/>
              </w:rPr>
            </w:pPr>
            <w:r w:rsidRPr="002850C6">
              <w:rPr>
                <w:b/>
                <w:noProof/>
                <w:color w:val="000000" w:themeColor="text1"/>
              </w:rPr>
              <w:t>Énumérer les mesures de gouvernance prévues</w:t>
            </w:r>
          </w:p>
        </w:tc>
        <w:tc>
          <w:tcPr>
            <w:tcW w:w="0" w:type="auto"/>
          </w:tcPr>
          <w:p w14:paraId="74542496" w14:textId="77777777" w:rsidR="002850C6" w:rsidRPr="002850C6" w:rsidRDefault="002850C6" w:rsidP="002850C6">
            <w:pPr>
              <w:ind w:left="360"/>
              <w:contextualSpacing/>
              <w:jc w:val="left"/>
              <w:rPr>
                <w:i/>
                <w:iCs/>
                <w:noProof/>
                <w:color w:val="000000" w:themeColor="text1"/>
                <w:szCs w:val="24"/>
                <w:lang w:eastAsia="en-GB"/>
              </w:rPr>
            </w:pPr>
            <w:r w:rsidRPr="002850C6">
              <w:rPr>
                <w:i/>
                <w:noProof/>
                <w:color w:val="000000" w:themeColor="text1"/>
                <w:lang w:eastAsia="en-GB"/>
              </w:rPr>
              <w:t>//</w:t>
            </w:r>
          </w:p>
        </w:tc>
        <w:tc>
          <w:tcPr>
            <w:tcW w:w="0" w:type="auto"/>
          </w:tcPr>
          <w:p w14:paraId="5B0C8999" w14:textId="77777777" w:rsidR="002850C6" w:rsidRPr="002850C6" w:rsidRDefault="002850C6" w:rsidP="002850C6">
            <w:pPr>
              <w:tabs>
                <w:tab w:val="left" w:pos="5678"/>
              </w:tabs>
              <w:spacing w:before="0"/>
              <w:ind w:left="360"/>
              <w:contextualSpacing/>
              <w:jc w:val="left"/>
              <w:rPr>
                <w:i/>
                <w:iCs/>
                <w:noProof/>
                <w:color w:val="000000" w:themeColor="text1"/>
                <w:szCs w:val="24"/>
                <w:lang w:eastAsia="en-GB"/>
              </w:rPr>
            </w:pPr>
            <w:r w:rsidRPr="002850C6">
              <w:rPr>
                <w:i/>
                <w:noProof/>
                <w:color w:val="000000" w:themeColor="text1"/>
                <w:lang w:eastAsia="en-GB"/>
              </w:rPr>
              <w:t>//</w:t>
            </w:r>
          </w:p>
        </w:tc>
      </w:tr>
      <w:tr w:rsidR="002850C6" w:rsidRPr="002850C6" w14:paraId="555AD008" w14:textId="77777777" w:rsidTr="0043630B">
        <w:tc>
          <w:tcPr>
            <w:tcW w:w="0" w:type="auto"/>
          </w:tcPr>
          <w:p w14:paraId="3E26BFF0" w14:textId="77777777" w:rsidR="002850C6" w:rsidRPr="002850C6" w:rsidRDefault="002850C6" w:rsidP="002850C6">
            <w:pPr>
              <w:jc w:val="left"/>
              <w:rPr>
                <w:rFonts w:eastAsiaTheme="minorEastAsia"/>
                <w:b/>
                <w:bCs/>
                <w:noProof/>
                <w:color w:val="000000" w:themeColor="text1"/>
                <w:szCs w:val="24"/>
              </w:rPr>
            </w:pPr>
            <w:r w:rsidRPr="002850C6">
              <w:rPr>
                <w:b/>
                <w:noProof/>
                <w:color w:val="000000" w:themeColor="text1"/>
              </w:rPr>
              <w:t>Mesures prises pour garantir une compréhension commune des données</w:t>
            </w:r>
          </w:p>
          <w:p w14:paraId="6F9E312D" w14:textId="77777777" w:rsidR="002850C6" w:rsidRPr="002850C6" w:rsidRDefault="002850C6" w:rsidP="002850C6">
            <w:pPr>
              <w:jc w:val="left"/>
              <w:rPr>
                <w:b/>
                <w:bCs/>
                <w:noProof/>
                <w:color w:val="000000" w:themeColor="text1"/>
                <w:szCs w:val="24"/>
              </w:rPr>
            </w:pPr>
            <w:r w:rsidRPr="002850C6">
              <w:rPr>
                <w:b/>
                <w:noProof/>
                <w:color w:val="000000" w:themeColor="text1"/>
              </w:rPr>
              <w:t>Énumérer ces mesures</w:t>
            </w:r>
          </w:p>
        </w:tc>
        <w:tc>
          <w:tcPr>
            <w:tcW w:w="0" w:type="auto"/>
          </w:tcPr>
          <w:p w14:paraId="22D18722" w14:textId="77777777" w:rsidR="002850C6" w:rsidRPr="002850C6" w:rsidRDefault="002850C6" w:rsidP="002850C6">
            <w:pPr>
              <w:spacing w:before="0"/>
              <w:ind w:left="360"/>
              <w:contextualSpacing/>
              <w:jc w:val="left"/>
              <w:rPr>
                <w:i/>
                <w:iCs/>
                <w:noProof/>
                <w:color w:val="000000" w:themeColor="text1"/>
                <w:szCs w:val="24"/>
                <w:lang w:eastAsia="en-GB"/>
              </w:rPr>
            </w:pPr>
            <w:r w:rsidRPr="002850C6">
              <w:rPr>
                <w:i/>
                <w:noProof/>
                <w:color w:val="000000" w:themeColor="text1"/>
                <w:lang w:eastAsia="en-GB"/>
              </w:rPr>
              <w:t>//</w:t>
            </w:r>
          </w:p>
        </w:tc>
        <w:tc>
          <w:tcPr>
            <w:tcW w:w="0" w:type="auto"/>
          </w:tcPr>
          <w:p w14:paraId="5B39D986" w14:textId="77777777" w:rsidR="002850C6" w:rsidRPr="002850C6" w:rsidRDefault="002850C6" w:rsidP="002850C6">
            <w:pPr>
              <w:tabs>
                <w:tab w:val="left" w:pos="5678"/>
              </w:tabs>
              <w:spacing w:before="0"/>
              <w:ind w:left="360"/>
              <w:contextualSpacing/>
              <w:jc w:val="left"/>
              <w:rPr>
                <w:i/>
                <w:iCs/>
                <w:noProof/>
                <w:color w:val="000000" w:themeColor="text1"/>
                <w:szCs w:val="24"/>
                <w:lang w:eastAsia="en-GB"/>
              </w:rPr>
            </w:pPr>
            <w:r w:rsidRPr="002850C6">
              <w:rPr>
                <w:i/>
                <w:noProof/>
                <w:color w:val="000000" w:themeColor="text1"/>
                <w:lang w:eastAsia="en-GB"/>
              </w:rPr>
              <w:t>//</w:t>
            </w:r>
          </w:p>
        </w:tc>
      </w:tr>
      <w:tr w:rsidR="002850C6" w:rsidRPr="002850C6" w14:paraId="6E1448A8" w14:textId="77777777" w:rsidTr="0043630B">
        <w:tc>
          <w:tcPr>
            <w:tcW w:w="0" w:type="auto"/>
          </w:tcPr>
          <w:p w14:paraId="17EBA165" w14:textId="77777777" w:rsidR="002850C6" w:rsidRPr="002850C6" w:rsidRDefault="002850C6" w:rsidP="002850C6">
            <w:pPr>
              <w:jc w:val="left"/>
              <w:rPr>
                <w:rFonts w:eastAsiaTheme="minorEastAsia"/>
                <w:b/>
                <w:bCs/>
                <w:noProof/>
                <w:color w:val="000000" w:themeColor="text1"/>
                <w:szCs w:val="24"/>
              </w:rPr>
            </w:pPr>
            <w:r w:rsidRPr="002850C6">
              <w:rPr>
                <w:b/>
                <w:noProof/>
                <w:color w:val="000000" w:themeColor="text1"/>
              </w:rPr>
              <w:t>Utilisation de spécifications et de normes techniques ouvertes convenues d’un commun accord</w:t>
            </w:r>
          </w:p>
          <w:p w14:paraId="459B550A" w14:textId="77777777" w:rsidR="002850C6" w:rsidRPr="002850C6" w:rsidRDefault="002850C6" w:rsidP="002850C6">
            <w:pPr>
              <w:jc w:val="left"/>
              <w:rPr>
                <w:b/>
                <w:bCs/>
                <w:noProof/>
                <w:color w:val="000000" w:themeColor="text1"/>
                <w:szCs w:val="24"/>
              </w:rPr>
            </w:pPr>
            <w:r w:rsidRPr="002850C6">
              <w:rPr>
                <w:b/>
                <w:noProof/>
                <w:color w:val="000000" w:themeColor="text1"/>
              </w:rPr>
              <w:t>Énumérer ces mesures</w:t>
            </w:r>
          </w:p>
        </w:tc>
        <w:tc>
          <w:tcPr>
            <w:tcW w:w="0" w:type="auto"/>
          </w:tcPr>
          <w:p w14:paraId="731A470F" w14:textId="77777777" w:rsidR="002850C6" w:rsidRPr="002850C6" w:rsidRDefault="002850C6" w:rsidP="002850C6">
            <w:pPr>
              <w:spacing w:before="0"/>
              <w:ind w:left="360"/>
              <w:contextualSpacing/>
              <w:jc w:val="left"/>
              <w:rPr>
                <w:i/>
                <w:iCs/>
                <w:noProof/>
                <w:color w:val="000000" w:themeColor="text1"/>
                <w:szCs w:val="24"/>
                <w:lang w:eastAsia="en-GB"/>
              </w:rPr>
            </w:pPr>
            <w:r w:rsidRPr="002850C6">
              <w:rPr>
                <w:i/>
                <w:noProof/>
                <w:color w:val="000000" w:themeColor="text1"/>
                <w:lang w:eastAsia="en-GB"/>
              </w:rPr>
              <w:t>//</w:t>
            </w:r>
          </w:p>
        </w:tc>
        <w:tc>
          <w:tcPr>
            <w:tcW w:w="0" w:type="auto"/>
          </w:tcPr>
          <w:p w14:paraId="5224EFE7" w14:textId="77777777" w:rsidR="002850C6" w:rsidRPr="002850C6" w:rsidRDefault="002850C6" w:rsidP="002850C6">
            <w:pPr>
              <w:tabs>
                <w:tab w:val="left" w:pos="5678"/>
              </w:tabs>
              <w:spacing w:before="0"/>
              <w:ind w:left="360"/>
              <w:contextualSpacing/>
              <w:jc w:val="left"/>
              <w:rPr>
                <w:i/>
                <w:iCs/>
                <w:noProof/>
                <w:color w:val="000000" w:themeColor="text1"/>
                <w:szCs w:val="24"/>
                <w:lang w:eastAsia="en-GB"/>
              </w:rPr>
            </w:pPr>
            <w:r w:rsidRPr="002850C6">
              <w:rPr>
                <w:i/>
                <w:noProof/>
                <w:color w:val="000000" w:themeColor="text1"/>
                <w:lang w:eastAsia="en-GB"/>
              </w:rPr>
              <w:t>//</w:t>
            </w:r>
          </w:p>
        </w:tc>
      </w:tr>
    </w:tbl>
    <w:p w14:paraId="1B3449C6" w14:textId="77777777" w:rsidR="002850C6" w:rsidRPr="002850C6" w:rsidRDefault="002850C6" w:rsidP="002850C6">
      <w:pPr>
        <w:rPr>
          <w:noProof/>
          <w:color w:val="000000" w:themeColor="text1"/>
        </w:rPr>
      </w:pPr>
    </w:p>
    <w:p w14:paraId="3FFEE468" w14:textId="77777777" w:rsidR="002850C6" w:rsidRPr="002850C6" w:rsidRDefault="002850C6" w:rsidP="002850C6">
      <w:pPr>
        <w:rPr>
          <w:b/>
          <w:bCs/>
          <w:noProof/>
          <w:color w:val="000000" w:themeColor="text1"/>
          <w:szCs w:val="24"/>
        </w:rPr>
      </w:pPr>
    </w:p>
    <w:p w14:paraId="308D3B74" w14:textId="77777777" w:rsidR="002850C6" w:rsidRPr="002850C6" w:rsidRDefault="002850C6" w:rsidP="002850C6">
      <w:pPr>
        <w:rPr>
          <w:b/>
          <w:bCs/>
          <w:noProof/>
          <w:color w:val="000000" w:themeColor="text1"/>
          <w:szCs w:val="24"/>
        </w:rPr>
      </w:pPr>
      <w:r w:rsidRPr="002850C6">
        <w:rPr>
          <w:b/>
          <w:noProof/>
          <w:color w:val="000000" w:themeColor="text1"/>
        </w:rPr>
        <w:t>4.5. Mesures de soutien de la mise en œuvre numérique</w:t>
      </w:r>
    </w:p>
    <w:p w14:paraId="352EAA88" w14:textId="77777777" w:rsidR="002850C6" w:rsidRPr="002850C6" w:rsidRDefault="002850C6" w:rsidP="002850C6">
      <w:pPr>
        <w:rPr>
          <w:i/>
          <w:iCs/>
          <w:noProof/>
          <w:color w:val="000000" w:themeColor="text1"/>
          <w:szCs w:val="24"/>
        </w:rPr>
      </w:pPr>
      <w:r w:rsidRPr="002850C6">
        <w:rPr>
          <w:i/>
          <w:noProof/>
          <w:color w:val="000000" w:themeColor="text1"/>
        </w:rPr>
        <w:t>Description générale des mesures de soutien de la mise en œuvre numérique</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0"/>
        <w:gridCol w:w="1522"/>
        <w:gridCol w:w="1431"/>
        <w:gridCol w:w="904"/>
        <w:gridCol w:w="1181"/>
      </w:tblGrid>
      <w:tr w:rsidR="002850C6" w:rsidRPr="002850C6" w14:paraId="13BC6B91" w14:textId="77777777" w:rsidTr="0043630B">
        <w:trPr>
          <w:trHeight w:val="300"/>
        </w:trPr>
        <w:tc>
          <w:tcPr>
            <w:tcW w:w="0" w:type="auto"/>
          </w:tcPr>
          <w:p w14:paraId="5A50F1A1" w14:textId="77777777" w:rsidR="002850C6" w:rsidRPr="002850C6" w:rsidRDefault="002850C6" w:rsidP="002850C6">
            <w:pPr>
              <w:jc w:val="left"/>
              <w:rPr>
                <w:b/>
                <w:bCs/>
                <w:noProof/>
                <w:color w:val="000000" w:themeColor="text1"/>
                <w:szCs w:val="24"/>
              </w:rPr>
            </w:pPr>
            <w:r w:rsidRPr="002850C6">
              <w:rPr>
                <w:b/>
                <w:noProof/>
                <w:color w:val="000000" w:themeColor="text1"/>
              </w:rPr>
              <w:t>Description de la mesure</w:t>
            </w:r>
          </w:p>
        </w:tc>
        <w:tc>
          <w:tcPr>
            <w:tcW w:w="0" w:type="auto"/>
          </w:tcPr>
          <w:p w14:paraId="6E529F9A" w14:textId="77777777" w:rsidR="002850C6" w:rsidRPr="002850C6" w:rsidRDefault="002850C6" w:rsidP="002850C6">
            <w:pPr>
              <w:jc w:val="left"/>
              <w:rPr>
                <w:b/>
                <w:bCs/>
                <w:noProof/>
                <w:color w:val="000000" w:themeColor="text1"/>
                <w:szCs w:val="24"/>
              </w:rPr>
            </w:pPr>
            <w:r w:rsidRPr="002850C6">
              <w:rPr>
                <w:b/>
                <w:noProof/>
                <w:color w:val="000000" w:themeColor="text1"/>
              </w:rPr>
              <w:t xml:space="preserve">Référence(s) à l’exigence ou aux exigences </w:t>
            </w:r>
          </w:p>
        </w:tc>
        <w:tc>
          <w:tcPr>
            <w:tcW w:w="0" w:type="auto"/>
          </w:tcPr>
          <w:p w14:paraId="72C1C948" w14:textId="77777777" w:rsidR="002850C6" w:rsidRPr="002850C6" w:rsidRDefault="002850C6" w:rsidP="002850C6">
            <w:pPr>
              <w:jc w:val="left"/>
              <w:rPr>
                <w:b/>
                <w:bCs/>
                <w:noProof/>
                <w:color w:val="000000" w:themeColor="text1"/>
                <w:szCs w:val="24"/>
              </w:rPr>
            </w:pPr>
            <w:r w:rsidRPr="002850C6">
              <w:rPr>
                <w:b/>
                <w:noProof/>
                <w:color w:val="000000" w:themeColor="text1"/>
              </w:rPr>
              <w:t xml:space="preserve">Rôle de la Commission </w:t>
            </w:r>
          </w:p>
          <w:p w14:paraId="0F53D68E" w14:textId="77777777" w:rsidR="002850C6" w:rsidRPr="002850C6" w:rsidRDefault="002850C6" w:rsidP="002850C6">
            <w:pPr>
              <w:jc w:val="left"/>
              <w:rPr>
                <w:b/>
                <w:bCs/>
                <w:noProof/>
                <w:color w:val="000000" w:themeColor="text1"/>
                <w:szCs w:val="24"/>
              </w:rPr>
            </w:pPr>
            <w:r w:rsidRPr="002850C6">
              <w:rPr>
                <w:noProof/>
                <w:color w:val="000000" w:themeColor="text1"/>
              </w:rPr>
              <w:t>(le cas échéant)</w:t>
            </w:r>
          </w:p>
        </w:tc>
        <w:tc>
          <w:tcPr>
            <w:tcW w:w="0" w:type="auto"/>
          </w:tcPr>
          <w:p w14:paraId="1E5AC1C1" w14:textId="77777777" w:rsidR="002850C6" w:rsidRPr="002850C6" w:rsidRDefault="002850C6" w:rsidP="002850C6">
            <w:pPr>
              <w:jc w:val="left"/>
              <w:rPr>
                <w:b/>
                <w:bCs/>
                <w:noProof/>
                <w:color w:val="000000" w:themeColor="text1"/>
                <w:szCs w:val="24"/>
              </w:rPr>
            </w:pPr>
            <w:r w:rsidRPr="002850C6">
              <w:rPr>
                <w:b/>
                <w:noProof/>
                <w:color w:val="000000" w:themeColor="text1"/>
              </w:rPr>
              <w:t>Acteurs à associer</w:t>
            </w:r>
          </w:p>
          <w:p w14:paraId="1AC7DD7C" w14:textId="77777777" w:rsidR="002850C6" w:rsidRPr="002850C6" w:rsidRDefault="002850C6" w:rsidP="002850C6">
            <w:pPr>
              <w:jc w:val="left"/>
              <w:rPr>
                <w:noProof/>
                <w:color w:val="000000" w:themeColor="text1"/>
                <w:szCs w:val="24"/>
              </w:rPr>
            </w:pPr>
            <w:r w:rsidRPr="002850C6">
              <w:rPr>
                <w:noProof/>
                <w:color w:val="000000" w:themeColor="text1"/>
              </w:rPr>
              <w:t>(le cas échéant)</w:t>
            </w:r>
          </w:p>
        </w:tc>
        <w:tc>
          <w:tcPr>
            <w:tcW w:w="0" w:type="auto"/>
          </w:tcPr>
          <w:p w14:paraId="0088A5C2" w14:textId="77777777" w:rsidR="002850C6" w:rsidRPr="002850C6" w:rsidRDefault="002850C6" w:rsidP="002850C6">
            <w:pPr>
              <w:jc w:val="left"/>
              <w:rPr>
                <w:b/>
                <w:bCs/>
                <w:noProof/>
                <w:color w:val="000000" w:themeColor="text1"/>
                <w:szCs w:val="24"/>
              </w:rPr>
            </w:pPr>
            <w:r w:rsidRPr="002850C6">
              <w:rPr>
                <w:b/>
                <w:noProof/>
                <w:color w:val="000000" w:themeColor="text1"/>
              </w:rPr>
              <w:t>Calendrier prévu</w:t>
            </w:r>
          </w:p>
          <w:p w14:paraId="154BB070" w14:textId="77777777" w:rsidR="002850C6" w:rsidRPr="002850C6" w:rsidRDefault="002850C6" w:rsidP="002850C6">
            <w:pPr>
              <w:jc w:val="left"/>
              <w:rPr>
                <w:noProof/>
                <w:color w:val="000000" w:themeColor="text1"/>
                <w:szCs w:val="24"/>
              </w:rPr>
            </w:pPr>
            <w:r w:rsidRPr="002850C6">
              <w:rPr>
                <w:noProof/>
                <w:color w:val="000000" w:themeColor="text1"/>
              </w:rPr>
              <w:t>(le cas échéant)</w:t>
            </w:r>
          </w:p>
        </w:tc>
      </w:tr>
      <w:tr w:rsidR="002850C6" w:rsidRPr="002850C6" w14:paraId="7ABFAF73" w14:textId="77777777" w:rsidTr="0043630B">
        <w:trPr>
          <w:trHeight w:val="300"/>
        </w:trPr>
        <w:tc>
          <w:tcPr>
            <w:tcW w:w="0" w:type="auto"/>
          </w:tcPr>
          <w:p w14:paraId="3E776577" w14:textId="77777777" w:rsidR="002850C6" w:rsidRPr="002850C6" w:rsidRDefault="002850C6" w:rsidP="002850C6">
            <w:pPr>
              <w:jc w:val="left"/>
              <w:rPr>
                <w:noProof/>
                <w:color w:val="000000" w:themeColor="text1"/>
              </w:rPr>
            </w:pPr>
            <w:r w:rsidRPr="002850C6">
              <w:rPr>
                <w:noProof/>
                <w:color w:val="000000" w:themeColor="text1"/>
              </w:rPr>
              <w:t>Acte d’exécution visant à établir un système d’information numérique sur la mobilité militaire sécurisé et restreint</w:t>
            </w:r>
          </w:p>
          <w:p w14:paraId="057C68E1" w14:textId="77777777" w:rsidR="002850C6" w:rsidRPr="002850C6" w:rsidRDefault="002850C6" w:rsidP="002850C6">
            <w:pPr>
              <w:jc w:val="left"/>
              <w:rPr>
                <w:noProof/>
                <w:color w:val="000000" w:themeColor="text1"/>
              </w:rPr>
            </w:pPr>
            <w:r w:rsidRPr="002850C6">
              <w:rPr>
                <w:noProof/>
                <w:color w:val="000000" w:themeColor="text1"/>
              </w:rPr>
              <w:t xml:space="preserve">Les spécifications techniques et modules de l’éventuel système d’information numérique sur la mobilité militaire devront être définis sur la base de l’avis du groupe sur les transports liés à la mobilité militaire. </w:t>
            </w:r>
          </w:p>
          <w:p w14:paraId="10D0250E" w14:textId="77777777" w:rsidR="002850C6" w:rsidRPr="002850C6" w:rsidRDefault="002850C6" w:rsidP="002850C6">
            <w:pPr>
              <w:jc w:val="left"/>
              <w:rPr>
                <w:noProof/>
                <w:color w:val="000000" w:themeColor="text1"/>
              </w:rPr>
            </w:pPr>
            <w:r w:rsidRPr="002850C6">
              <w:rPr>
                <w:noProof/>
                <w:color w:val="000000" w:themeColor="text1"/>
              </w:rPr>
              <w:t>Compte tenu de la nature sensible des données traitées par l’intermédiaire de l’éventuel système d’information numérique sur la mobilité militaire, cette solution numérique sera conçue et mise en œuvre en mettant tout particulièrement l’accent sur la cybersécurité, dans le respect des normes et bonnes pratiques les plus strictes et les plus récentes.</w:t>
            </w:r>
          </w:p>
          <w:p w14:paraId="1C2A4F19" w14:textId="77777777" w:rsidR="002850C6" w:rsidRPr="002850C6" w:rsidRDefault="002850C6" w:rsidP="002850C6">
            <w:pPr>
              <w:jc w:val="left"/>
              <w:rPr>
                <w:noProof/>
                <w:color w:val="000000" w:themeColor="text1"/>
              </w:rPr>
            </w:pPr>
            <w:r w:rsidRPr="002850C6">
              <w:rPr>
                <w:noProof/>
                <w:color w:val="000000" w:themeColor="text1"/>
                <w:u w:val="single"/>
              </w:rPr>
              <w:t>Interopérabilité</w:t>
            </w:r>
            <w:r w:rsidRPr="002850C6">
              <w:rPr>
                <w:noProof/>
                <w:color w:val="000000" w:themeColor="text1"/>
              </w:rPr>
              <w:t xml:space="preserve"> L’éventuel système d’information numérique sur la mobilité militaire peut nécessiter une interaction par-delà les frontières des États membres, entre les entités de l’UE ou entre les entités de l’UE et les organismes du secteur public, tels que les autorités douanières. L’éventuel système d’information numérique sur la mobilité militaire peut avoir un effet sur l’«interopérabilité transfrontière». Les implications y afférentes dépendront des spécifications techniques et des modules que pourrait comporter l’éventuel système d’information numérique sur la mobilité militaire.</w:t>
            </w:r>
          </w:p>
          <w:p w14:paraId="1E2930B9" w14:textId="77777777" w:rsidR="002850C6" w:rsidRPr="002850C6" w:rsidRDefault="002850C6" w:rsidP="002850C6">
            <w:pPr>
              <w:jc w:val="left"/>
              <w:rPr>
                <w:noProof/>
                <w:color w:val="000000" w:themeColor="text1"/>
              </w:rPr>
            </w:pPr>
            <w:r w:rsidRPr="002850C6">
              <w:rPr>
                <w:noProof/>
                <w:color w:val="000000" w:themeColor="text1"/>
              </w:rPr>
              <w:t>Sur la base de l’avis du groupe sur les transports liés à la mobilité militaire», l’acte d’exécution de la Commission devrait comporter les différents modules et spécifications techniques. Un éventuel financement au titre du futur Fonds européen pour la compétitivité, dans le cadre du prochain CFP 2028-2034, devrait soutenir la mise au point, le déploiement et l’exploitation de cette éventuelle solution numérique.</w:t>
            </w:r>
          </w:p>
        </w:tc>
        <w:tc>
          <w:tcPr>
            <w:tcW w:w="0" w:type="auto"/>
          </w:tcPr>
          <w:p w14:paraId="2D3EFD5A" w14:textId="77777777" w:rsidR="002850C6" w:rsidRPr="002850C6" w:rsidRDefault="002850C6" w:rsidP="002850C6">
            <w:pPr>
              <w:jc w:val="left"/>
              <w:rPr>
                <w:noProof/>
                <w:color w:val="000000" w:themeColor="text1"/>
              </w:rPr>
            </w:pPr>
            <w:r w:rsidRPr="002850C6">
              <w:rPr>
                <w:noProof/>
                <w:color w:val="000000" w:themeColor="text1"/>
              </w:rPr>
              <w:t>Article 14</w:t>
            </w:r>
          </w:p>
        </w:tc>
        <w:tc>
          <w:tcPr>
            <w:tcW w:w="0" w:type="auto"/>
          </w:tcPr>
          <w:p w14:paraId="648A3EDC" w14:textId="77777777" w:rsidR="002850C6" w:rsidRPr="002850C6" w:rsidRDefault="002850C6" w:rsidP="002850C6">
            <w:pPr>
              <w:jc w:val="left"/>
              <w:rPr>
                <w:noProof/>
                <w:color w:val="000000" w:themeColor="text1"/>
              </w:rPr>
            </w:pPr>
            <w:r w:rsidRPr="002850C6">
              <w:rPr>
                <w:noProof/>
                <w:color w:val="000000" w:themeColor="text1"/>
              </w:rPr>
              <w:t>Peut adopter l’acte</w:t>
            </w:r>
          </w:p>
        </w:tc>
        <w:tc>
          <w:tcPr>
            <w:tcW w:w="0" w:type="auto"/>
          </w:tcPr>
          <w:p w14:paraId="269A5D9B" w14:textId="77777777" w:rsidR="002850C6" w:rsidRPr="002850C6" w:rsidRDefault="002850C6" w:rsidP="002850C6">
            <w:pPr>
              <w:jc w:val="left"/>
              <w:rPr>
                <w:noProof/>
                <w:color w:val="000000" w:themeColor="text1"/>
              </w:rPr>
            </w:pPr>
            <w:r w:rsidRPr="002850C6">
              <w:rPr>
                <w:noProof/>
                <w:color w:val="000000" w:themeColor="text1"/>
              </w:rPr>
              <w:t>//</w:t>
            </w:r>
          </w:p>
        </w:tc>
        <w:tc>
          <w:tcPr>
            <w:tcW w:w="0" w:type="auto"/>
          </w:tcPr>
          <w:p w14:paraId="0B05DB6E" w14:textId="77777777" w:rsidR="002850C6" w:rsidRPr="002850C6" w:rsidRDefault="002850C6" w:rsidP="002850C6">
            <w:pPr>
              <w:jc w:val="left"/>
              <w:rPr>
                <w:noProof/>
                <w:color w:val="000000" w:themeColor="text1"/>
              </w:rPr>
            </w:pPr>
            <w:r w:rsidRPr="002850C6">
              <w:rPr>
                <w:noProof/>
                <w:color w:val="000000" w:themeColor="text1"/>
              </w:rPr>
              <w:t>//</w:t>
            </w:r>
          </w:p>
        </w:tc>
      </w:tr>
      <w:tr w:rsidR="002850C6" w:rsidRPr="002850C6" w14:paraId="7C086C20" w14:textId="77777777" w:rsidTr="0043630B">
        <w:trPr>
          <w:trHeight w:val="300"/>
        </w:trPr>
        <w:tc>
          <w:tcPr>
            <w:tcW w:w="0" w:type="auto"/>
          </w:tcPr>
          <w:p w14:paraId="26BABA3A" w14:textId="77777777" w:rsidR="002850C6" w:rsidRPr="002850C6" w:rsidRDefault="002850C6" w:rsidP="002850C6">
            <w:pPr>
              <w:jc w:val="left"/>
              <w:rPr>
                <w:noProof/>
                <w:color w:val="000000" w:themeColor="text1"/>
              </w:rPr>
            </w:pPr>
            <w:r w:rsidRPr="002850C6">
              <w:rPr>
                <w:noProof/>
                <w:color w:val="000000" w:themeColor="text1"/>
              </w:rPr>
              <w:t>Acte d’exécution, en conformité avec la procédure d’examen visée à l’article 45, paragraphe 3, établissant une réserve de solidarité afin de faciliter l’exécution d’opérations de transport militaire.</w:t>
            </w:r>
          </w:p>
          <w:p w14:paraId="648708D4" w14:textId="77777777" w:rsidR="002850C6" w:rsidRPr="002850C6" w:rsidRDefault="002850C6" w:rsidP="002850C6">
            <w:pPr>
              <w:jc w:val="left"/>
              <w:rPr>
                <w:noProof/>
                <w:color w:val="000000" w:themeColor="text1"/>
              </w:rPr>
            </w:pPr>
            <w:r w:rsidRPr="002850C6">
              <w:rPr>
                <w:noProof/>
                <w:color w:val="000000" w:themeColor="text1"/>
              </w:rPr>
              <w:t>Compte tenu de la nature sensible des données, cette solution numérique sera conçue et mise en œuvre en mettant tout particulièrement l’accent sur la cybersécurité, dans le respect des normes et bonnes pratiques les plus strictes et les plus récentes.</w:t>
            </w:r>
          </w:p>
          <w:p w14:paraId="2B6A8AFA" w14:textId="77777777" w:rsidR="002850C6" w:rsidRPr="002850C6" w:rsidRDefault="002850C6" w:rsidP="002850C6">
            <w:pPr>
              <w:jc w:val="left"/>
              <w:rPr>
                <w:noProof/>
                <w:color w:val="000000" w:themeColor="text1"/>
              </w:rPr>
            </w:pPr>
            <w:r w:rsidRPr="002850C6">
              <w:rPr>
                <w:noProof/>
                <w:color w:val="000000" w:themeColor="text1"/>
                <w:u w:val="single"/>
              </w:rPr>
              <w:t>L’interopérabilité</w:t>
            </w:r>
            <w:r w:rsidRPr="002850C6">
              <w:rPr>
                <w:noProof/>
                <w:color w:val="000000" w:themeColor="text1"/>
              </w:rPr>
              <w:t xml:space="preserve"> du registre/de l’outil sécurisé avec d’autres outils et organes pertinents du cadre de l’OTAN devrait également être envisagée et assurée.  </w:t>
            </w:r>
          </w:p>
          <w:p w14:paraId="31626A1E" w14:textId="77777777" w:rsidR="002850C6" w:rsidRPr="002850C6" w:rsidRDefault="002850C6" w:rsidP="002850C6">
            <w:pPr>
              <w:jc w:val="left"/>
              <w:rPr>
                <w:rFonts w:eastAsia="Calibri"/>
                <w:noProof/>
                <w:color w:val="000000" w:themeColor="text1"/>
              </w:rPr>
            </w:pPr>
            <w:r w:rsidRPr="002850C6">
              <w:rPr>
                <w:noProof/>
                <w:color w:val="000000" w:themeColor="text1"/>
              </w:rPr>
              <w:t>L’outil numérique sécurisé qui pourrait être créé pour gérer l’éventuelle réserve de solidarité pourrait être soutenu par un financement au titre du programme pour l’industrie européenne de la défense.</w:t>
            </w:r>
          </w:p>
        </w:tc>
        <w:tc>
          <w:tcPr>
            <w:tcW w:w="0" w:type="auto"/>
          </w:tcPr>
          <w:p w14:paraId="278DDDD0" w14:textId="77777777" w:rsidR="002850C6" w:rsidRPr="002850C6" w:rsidRDefault="002850C6" w:rsidP="002850C6">
            <w:pPr>
              <w:jc w:val="left"/>
              <w:rPr>
                <w:noProof/>
                <w:color w:val="000000" w:themeColor="text1"/>
              </w:rPr>
            </w:pPr>
            <w:r w:rsidRPr="002850C6">
              <w:rPr>
                <w:noProof/>
                <w:color w:val="000000" w:themeColor="text1"/>
              </w:rPr>
              <w:t>Article 38, paragraphe 1</w:t>
            </w:r>
          </w:p>
        </w:tc>
        <w:tc>
          <w:tcPr>
            <w:tcW w:w="0" w:type="auto"/>
          </w:tcPr>
          <w:p w14:paraId="08833109" w14:textId="77777777" w:rsidR="002850C6" w:rsidRPr="002850C6" w:rsidRDefault="002850C6" w:rsidP="002850C6">
            <w:pPr>
              <w:jc w:val="left"/>
              <w:rPr>
                <w:noProof/>
                <w:color w:val="000000" w:themeColor="text1"/>
              </w:rPr>
            </w:pPr>
            <w:r w:rsidRPr="002850C6">
              <w:rPr>
                <w:noProof/>
                <w:color w:val="000000" w:themeColor="text1"/>
              </w:rPr>
              <w:t>Peut adopter l’acte</w:t>
            </w:r>
          </w:p>
        </w:tc>
        <w:tc>
          <w:tcPr>
            <w:tcW w:w="0" w:type="auto"/>
          </w:tcPr>
          <w:p w14:paraId="2BFCC9C9" w14:textId="77777777" w:rsidR="002850C6" w:rsidRPr="002850C6" w:rsidRDefault="002850C6" w:rsidP="002850C6">
            <w:pPr>
              <w:jc w:val="left"/>
              <w:rPr>
                <w:noProof/>
                <w:color w:val="000000" w:themeColor="text1"/>
              </w:rPr>
            </w:pPr>
            <w:r w:rsidRPr="002850C6">
              <w:rPr>
                <w:noProof/>
                <w:color w:val="000000" w:themeColor="text1"/>
              </w:rPr>
              <w:t>//</w:t>
            </w:r>
          </w:p>
        </w:tc>
        <w:tc>
          <w:tcPr>
            <w:tcW w:w="0" w:type="auto"/>
          </w:tcPr>
          <w:p w14:paraId="1BD6019C" w14:textId="77777777" w:rsidR="002850C6" w:rsidRPr="002850C6" w:rsidRDefault="002850C6" w:rsidP="002850C6">
            <w:pPr>
              <w:jc w:val="left"/>
              <w:rPr>
                <w:noProof/>
                <w:color w:val="000000" w:themeColor="text1"/>
              </w:rPr>
            </w:pPr>
            <w:r w:rsidRPr="002850C6">
              <w:rPr>
                <w:noProof/>
                <w:color w:val="000000" w:themeColor="text1"/>
              </w:rPr>
              <w:t>//</w:t>
            </w:r>
          </w:p>
        </w:tc>
      </w:tr>
      <w:tr w:rsidR="002850C6" w:rsidRPr="002850C6" w14:paraId="058581FB" w14:textId="77777777" w:rsidTr="0043630B">
        <w:trPr>
          <w:trHeight w:val="300"/>
        </w:trPr>
        <w:tc>
          <w:tcPr>
            <w:tcW w:w="0" w:type="auto"/>
          </w:tcPr>
          <w:p w14:paraId="6A28F924" w14:textId="77777777" w:rsidR="002850C6" w:rsidRPr="002850C6" w:rsidRDefault="002850C6" w:rsidP="002850C6">
            <w:pPr>
              <w:jc w:val="left"/>
              <w:rPr>
                <w:rFonts w:eastAsia="Calibri"/>
                <w:noProof/>
                <w:color w:val="000000" w:themeColor="text1"/>
              </w:rPr>
            </w:pPr>
            <w:r w:rsidRPr="002850C6">
              <w:rPr>
                <w:noProof/>
                <w:color w:val="000000" w:themeColor="text1"/>
              </w:rPr>
              <w:t xml:space="preserve">Lignes directrices définissant les types et précisant le nombre de capacités de transport essentielles requises pour la réserve de solidarité </w:t>
            </w:r>
          </w:p>
        </w:tc>
        <w:tc>
          <w:tcPr>
            <w:tcW w:w="0" w:type="auto"/>
          </w:tcPr>
          <w:p w14:paraId="40EABB1C" w14:textId="77777777" w:rsidR="002850C6" w:rsidRPr="002850C6" w:rsidRDefault="002850C6" w:rsidP="002850C6">
            <w:pPr>
              <w:jc w:val="left"/>
              <w:rPr>
                <w:noProof/>
                <w:color w:val="000000" w:themeColor="text1"/>
              </w:rPr>
            </w:pPr>
            <w:r w:rsidRPr="002850C6">
              <w:rPr>
                <w:noProof/>
                <w:color w:val="000000" w:themeColor="text1"/>
              </w:rPr>
              <w:t>Article 35, paragraphe 2</w:t>
            </w:r>
          </w:p>
        </w:tc>
        <w:tc>
          <w:tcPr>
            <w:tcW w:w="0" w:type="auto"/>
          </w:tcPr>
          <w:p w14:paraId="081903A2" w14:textId="77777777" w:rsidR="002850C6" w:rsidRPr="002850C6" w:rsidRDefault="002850C6" w:rsidP="002850C6">
            <w:pPr>
              <w:jc w:val="left"/>
              <w:rPr>
                <w:noProof/>
                <w:color w:val="000000" w:themeColor="text1"/>
              </w:rPr>
            </w:pPr>
            <w:r w:rsidRPr="002850C6">
              <w:rPr>
                <w:noProof/>
                <w:color w:val="000000" w:themeColor="text1"/>
              </w:rPr>
              <w:t>Peut adopter des lignes directrices</w:t>
            </w:r>
          </w:p>
        </w:tc>
        <w:tc>
          <w:tcPr>
            <w:tcW w:w="0" w:type="auto"/>
          </w:tcPr>
          <w:p w14:paraId="42AD04E4" w14:textId="77777777" w:rsidR="002850C6" w:rsidRPr="002850C6" w:rsidRDefault="002850C6" w:rsidP="002850C6">
            <w:pPr>
              <w:jc w:val="left"/>
              <w:rPr>
                <w:noProof/>
                <w:color w:val="000000" w:themeColor="text1"/>
              </w:rPr>
            </w:pPr>
            <w:r w:rsidRPr="002850C6">
              <w:rPr>
                <w:noProof/>
                <w:color w:val="000000" w:themeColor="text1"/>
              </w:rPr>
              <w:t>//</w:t>
            </w:r>
          </w:p>
        </w:tc>
        <w:tc>
          <w:tcPr>
            <w:tcW w:w="0" w:type="auto"/>
          </w:tcPr>
          <w:p w14:paraId="02A16AA9" w14:textId="77777777" w:rsidR="002850C6" w:rsidRPr="002850C6" w:rsidRDefault="002850C6" w:rsidP="002850C6">
            <w:pPr>
              <w:jc w:val="left"/>
              <w:rPr>
                <w:noProof/>
                <w:color w:val="000000" w:themeColor="text1"/>
              </w:rPr>
            </w:pPr>
            <w:r w:rsidRPr="002850C6">
              <w:rPr>
                <w:noProof/>
                <w:color w:val="000000" w:themeColor="text1"/>
              </w:rPr>
              <w:t>//</w:t>
            </w:r>
          </w:p>
        </w:tc>
      </w:tr>
    </w:tbl>
    <w:p w14:paraId="6DD83095" w14:textId="77777777" w:rsidR="002850C6" w:rsidRPr="002850C6" w:rsidRDefault="002850C6" w:rsidP="002850C6">
      <w:pPr>
        <w:rPr>
          <w:noProof/>
          <w:lang w:eastAsia="en-GB"/>
        </w:rPr>
      </w:pPr>
    </w:p>
    <w:p w14:paraId="19CCB005" w14:textId="77777777" w:rsidR="002850C6" w:rsidRPr="002850C6" w:rsidRDefault="002850C6">
      <w:pPr>
        <w:rPr>
          <w:noProof/>
        </w:rPr>
      </w:pPr>
    </w:p>
    <w:sectPr w:rsidR="002850C6" w:rsidRPr="002850C6" w:rsidSect="003A339D">
      <w:headerReference w:type="default" r:id="rId19"/>
      <w:footerReference w:type="defaul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437B1" w14:textId="77777777" w:rsidR="00B35E07" w:rsidRDefault="00B35E07" w:rsidP="00A30C2E">
      <w:pPr>
        <w:spacing w:before="0" w:after="0"/>
      </w:pPr>
      <w:r>
        <w:separator/>
      </w:r>
    </w:p>
  </w:endnote>
  <w:endnote w:type="continuationSeparator" w:id="0">
    <w:p w14:paraId="606BA614" w14:textId="77777777" w:rsidR="00B35E07" w:rsidRDefault="00B35E07" w:rsidP="00A30C2E">
      <w:pPr>
        <w:spacing w:before="0" w:after="0"/>
      </w:pPr>
      <w:r>
        <w:continuationSeparator/>
      </w:r>
    </w:p>
  </w:endnote>
  <w:endnote w:type="continuationNotice" w:id="1">
    <w:p w14:paraId="56F5D09C" w14:textId="77777777" w:rsidR="00B35E07" w:rsidRDefault="00B35E0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D225D" w14:textId="4D977D61" w:rsidR="003A339D" w:rsidRPr="003A339D" w:rsidRDefault="003A339D" w:rsidP="003A339D">
    <w:pPr>
      <w:pStyle w:val="Footer"/>
      <w:rPr>
        <w:rFonts w:ascii="Arial" w:hAnsi="Arial" w:cs="Arial"/>
        <w:b/>
        <w:sz w:val="48"/>
      </w:rPr>
    </w:pPr>
    <w:r w:rsidRPr="003A339D">
      <w:rPr>
        <w:rFonts w:ascii="Arial" w:hAnsi="Arial" w:cs="Arial"/>
        <w:b/>
        <w:sz w:val="48"/>
      </w:rPr>
      <w:t>FR</w:t>
    </w:r>
    <w:r w:rsidRPr="003A339D">
      <w:rPr>
        <w:rFonts w:ascii="Arial" w:hAnsi="Arial" w:cs="Arial"/>
        <w:b/>
        <w:sz w:val="48"/>
      </w:rPr>
      <w:tab/>
    </w:r>
    <w:r w:rsidRPr="003A339D">
      <w:rPr>
        <w:rFonts w:ascii="Arial" w:hAnsi="Arial" w:cs="Arial"/>
        <w:b/>
        <w:sz w:val="48"/>
      </w:rPr>
      <w:tab/>
    </w:r>
    <w:r w:rsidRPr="003A339D">
      <w:tab/>
    </w:r>
    <w:r w:rsidRPr="003A339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7044A" w14:textId="270FE62D" w:rsidR="003A339D" w:rsidRPr="003A339D" w:rsidRDefault="003A339D" w:rsidP="003A339D">
    <w:pPr>
      <w:pStyle w:val="Footer"/>
      <w:rPr>
        <w:rFonts w:ascii="Arial" w:hAnsi="Arial" w:cs="Arial"/>
        <w:b/>
        <w:sz w:val="48"/>
      </w:rPr>
    </w:pPr>
    <w:r w:rsidRPr="003A339D">
      <w:rPr>
        <w:rFonts w:ascii="Arial" w:hAnsi="Arial" w:cs="Arial"/>
        <w:b/>
        <w:sz w:val="48"/>
      </w:rPr>
      <w:t>FR</w:t>
    </w:r>
    <w:r w:rsidRPr="003A339D">
      <w:rPr>
        <w:rFonts w:ascii="Arial" w:hAnsi="Arial" w:cs="Arial"/>
        <w:b/>
        <w:sz w:val="48"/>
      </w:rPr>
      <w:tab/>
    </w:r>
    <w:r w:rsidRPr="003A339D">
      <w:rPr>
        <w:rFonts w:ascii="Arial" w:hAnsi="Arial" w:cs="Arial"/>
        <w:b/>
        <w:sz w:val="48"/>
      </w:rPr>
      <w:tab/>
    </w:r>
    <w:r w:rsidRPr="003A339D">
      <w:tab/>
    </w:r>
    <w:r w:rsidRPr="003A339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0E017" w14:textId="77777777" w:rsidR="003A339D" w:rsidRDefault="003A33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DDCDF" w14:textId="19F87B20" w:rsidR="003A339D" w:rsidRPr="003A339D" w:rsidRDefault="003A339D" w:rsidP="003A339D">
    <w:pPr>
      <w:pStyle w:val="Footer"/>
      <w:rPr>
        <w:rFonts w:ascii="Arial" w:hAnsi="Arial" w:cs="Arial"/>
        <w:b/>
        <w:sz w:val="48"/>
      </w:rPr>
    </w:pPr>
    <w:r w:rsidRPr="003A339D">
      <w:rPr>
        <w:rFonts w:ascii="Arial" w:hAnsi="Arial" w:cs="Arial"/>
        <w:b/>
        <w:sz w:val="48"/>
      </w:rPr>
      <w:t>FR</w:t>
    </w:r>
    <w:r w:rsidRPr="003A339D">
      <w:rPr>
        <w:rFonts w:ascii="Arial" w:hAnsi="Arial" w:cs="Arial"/>
        <w:b/>
        <w:sz w:val="48"/>
      </w:rPr>
      <w:tab/>
    </w:r>
    <w:r>
      <w:fldChar w:fldCharType="begin"/>
    </w:r>
    <w:r>
      <w:instrText xml:space="preserve"> PAGE  \* MERGEFORMAT </w:instrText>
    </w:r>
    <w:r>
      <w:fldChar w:fldCharType="separate"/>
    </w:r>
    <w:r w:rsidR="004F6A7A">
      <w:rPr>
        <w:noProof/>
      </w:rPr>
      <w:t>67</w:t>
    </w:r>
    <w:r>
      <w:fldChar w:fldCharType="end"/>
    </w:r>
    <w:r>
      <w:tab/>
    </w:r>
    <w:r w:rsidRPr="003A339D">
      <w:tab/>
    </w:r>
    <w:r w:rsidRPr="003A339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E11AD" w14:textId="77777777" w:rsidR="003A339D" w:rsidRDefault="003A339D" w:rsidP="003A33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09B41" w14:textId="18BD1095" w:rsidR="003A339D" w:rsidRPr="003A339D" w:rsidRDefault="003A339D" w:rsidP="003A339D">
    <w:pPr>
      <w:pStyle w:val="FooterLandscape"/>
      <w:rPr>
        <w:rFonts w:ascii="Arial" w:hAnsi="Arial" w:cs="Arial"/>
        <w:b/>
        <w:sz w:val="48"/>
      </w:rPr>
    </w:pPr>
    <w:r w:rsidRPr="003A339D">
      <w:rPr>
        <w:rFonts w:ascii="Arial" w:hAnsi="Arial" w:cs="Arial"/>
        <w:b/>
        <w:sz w:val="48"/>
      </w:rPr>
      <w:t>FR</w:t>
    </w:r>
    <w:r w:rsidRPr="003A339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A339D">
      <w:tab/>
    </w:r>
    <w:r w:rsidRPr="003A339D">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A42C5" w14:textId="0DA66B29" w:rsidR="003A339D" w:rsidRPr="003A339D" w:rsidRDefault="003A339D" w:rsidP="003A339D">
    <w:pPr>
      <w:pStyle w:val="Footer"/>
      <w:rPr>
        <w:rFonts w:ascii="Arial" w:hAnsi="Arial" w:cs="Arial"/>
        <w:b/>
        <w:sz w:val="48"/>
      </w:rPr>
    </w:pPr>
    <w:r w:rsidRPr="003A339D">
      <w:rPr>
        <w:rFonts w:ascii="Arial" w:hAnsi="Arial" w:cs="Arial"/>
        <w:b/>
        <w:sz w:val="48"/>
      </w:rPr>
      <w:t>FR</w:t>
    </w:r>
    <w:r w:rsidRPr="003A339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A339D">
      <w:tab/>
    </w:r>
    <w:r w:rsidRPr="003A339D">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14A41" w14:textId="77777777" w:rsidR="00B35E07" w:rsidRDefault="00B35E07" w:rsidP="00A30C2E">
      <w:pPr>
        <w:spacing w:before="0" w:after="0"/>
      </w:pPr>
      <w:r>
        <w:separator/>
      </w:r>
    </w:p>
  </w:footnote>
  <w:footnote w:type="continuationSeparator" w:id="0">
    <w:p w14:paraId="52ED0ACF" w14:textId="77777777" w:rsidR="00B35E07" w:rsidRDefault="00B35E07" w:rsidP="00A30C2E">
      <w:pPr>
        <w:spacing w:before="0" w:after="0"/>
      </w:pPr>
      <w:r>
        <w:continuationSeparator/>
      </w:r>
    </w:p>
  </w:footnote>
  <w:footnote w:type="continuationNotice" w:id="1">
    <w:p w14:paraId="0FF8E9E9" w14:textId="77777777" w:rsidR="00B35E07" w:rsidRDefault="00B35E07">
      <w:pPr>
        <w:spacing w:before="0" w:after="0"/>
      </w:pPr>
    </w:p>
  </w:footnote>
  <w:footnote w:id="2">
    <w:p w14:paraId="084376B3" w14:textId="10EAFC15" w:rsidR="009B03F8" w:rsidRPr="009B03F8" w:rsidRDefault="009B03F8">
      <w:pPr>
        <w:pStyle w:val="FootnoteText"/>
        <w:rPr>
          <w:lang w:val="fr-BE"/>
        </w:rPr>
      </w:pPr>
      <w:r w:rsidRPr="001C31CF">
        <w:rPr>
          <w:rStyle w:val="FootnoteReference"/>
        </w:rPr>
        <w:footnoteRef/>
      </w:r>
      <w:r w:rsidR="001C31CF">
        <w:rPr>
          <w:lang w:val="fr-BE"/>
        </w:rPr>
        <w:tab/>
      </w:r>
    </w:p>
  </w:footnote>
  <w:footnote w:id="3">
    <w:p w14:paraId="1F2D58E4" w14:textId="6AAD9F30" w:rsidR="009B03F8" w:rsidRPr="009B03F8" w:rsidRDefault="009B03F8">
      <w:pPr>
        <w:pStyle w:val="FootnoteText"/>
        <w:rPr>
          <w:lang w:val="fr-BE"/>
        </w:rPr>
      </w:pPr>
      <w:r w:rsidRPr="001C31CF">
        <w:rPr>
          <w:rStyle w:val="FootnoteReference"/>
        </w:rPr>
        <w:footnoteRef/>
      </w:r>
      <w:r w:rsidR="001C31CF">
        <w:rPr>
          <w:lang w:val="fr-BE"/>
        </w:rPr>
        <w:tab/>
      </w:r>
    </w:p>
  </w:footnote>
  <w:footnote w:id="4">
    <w:p w14:paraId="29B7EE95" w14:textId="7083313B" w:rsidR="009B03F8" w:rsidRPr="009B03F8" w:rsidRDefault="009B03F8">
      <w:pPr>
        <w:pStyle w:val="FootnoteText"/>
        <w:rPr>
          <w:lang w:val="fr-BE"/>
        </w:rPr>
      </w:pPr>
      <w:r w:rsidRPr="001C31CF">
        <w:rPr>
          <w:rStyle w:val="FootnoteReference"/>
        </w:rPr>
        <w:footnoteRef/>
      </w:r>
      <w:r w:rsidR="001C31CF">
        <w:rPr>
          <w:lang w:val="fr-BE"/>
        </w:rPr>
        <w:tab/>
      </w:r>
    </w:p>
  </w:footnote>
  <w:footnote w:id="5">
    <w:p w14:paraId="1048961C" w14:textId="076B4F64" w:rsidR="009B03F8" w:rsidRPr="009B03F8" w:rsidRDefault="009B03F8">
      <w:pPr>
        <w:pStyle w:val="FootnoteText"/>
        <w:rPr>
          <w:lang w:val="fr-BE"/>
        </w:rPr>
      </w:pPr>
      <w:r w:rsidRPr="001C31CF">
        <w:rPr>
          <w:rStyle w:val="FootnoteReference"/>
        </w:rPr>
        <w:footnoteRef/>
      </w:r>
      <w:r w:rsidR="001C31CF">
        <w:rPr>
          <w:lang w:val="fr-BE"/>
        </w:rPr>
        <w:tab/>
      </w:r>
    </w:p>
  </w:footnote>
  <w:footnote w:id="6">
    <w:p w14:paraId="4BB36AB1" w14:textId="51AF47C8" w:rsidR="009B03F8" w:rsidRPr="009B03F8" w:rsidRDefault="009B03F8">
      <w:pPr>
        <w:pStyle w:val="FootnoteText"/>
        <w:rPr>
          <w:lang w:val="fr-BE"/>
        </w:rPr>
      </w:pPr>
      <w:r w:rsidRPr="001C31CF">
        <w:rPr>
          <w:rStyle w:val="FootnoteReference"/>
        </w:rPr>
        <w:footnoteRef/>
      </w:r>
      <w:r w:rsidR="001C31CF">
        <w:rPr>
          <w:lang w:val="fr-BE"/>
        </w:rPr>
        <w:tab/>
      </w:r>
    </w:p>
  </w:footnote>
  <w:footnote w:id="7">
    <w:p w14:paraId="3D10DCD2" w14:textId="531A747E" w:rsidR="009B03F8" w:rsidRPr="009B03F8" w:rsidRDefault="009B03F8">
      <w:pPr>
        <w:pStyle w:val="FootnoteText"/>
        <w:rPr>
          <w:lang w:val="fr-BE"/>
        </w:rPr>
      </w:pPr>
      <w:r w:rsidRPr="001C31CF">
        <w:rPr>
          <w:rStyle w:val="FootnoteReference"/>
        </w:rPr>
        <w:footnoteRef/>
      </w:r>
      <w:r w:rsidR="001C31CF">
        <w:rPr>
          <w:lang w:val="fr-BE"/>
        </w:rPr>
        <w:tab/>
      </w:r>
    </w:p>
  </w:footnote>
  <w:footnote w:id="8">
    <w:p w14:paraId="4AF439EF" w14:textId="46166A70" w:rsidR="009B03F8" w:rsidRPr="009B03F8" w:rsidRDefault="009B03F8">
      <w:pPr>
        <w:pStyle w:val="FootnoteText"/>
        <w:rPr>
          <w:lang w:val="fr-BE"/>
        </w:rPr>
      </w:pPr>
      <w:r w:rsidRPr="001C31CF">
        <w:rPr>
          <w:rStyle w:val="FootnoteReference"/>
        </w:rPr>
        <w:footnoteRef/>
      </w:r>
      <w:r w:rsidR="001C31CF">
        <w:rPr>
          <w:lang w:val="fr-BE"/>
        </w:rPr>
        <w:tab/>
      </w:r>
    </w:p>
  </w:footnote>
  <w:footnote w:id="9">
    <w:p w14:paraId="165F50E8" w14:textId="2296EDA4" w:rsidR="009B03F8" w:rsidRPr="009B03F8" w:rsidRDefault="009B03F8">
      <w:pPr>
        <w:pStyle w:val="FootnoteText"/>
        <w:rPr>
          <w:lang w:val="fr-BE"/>
        </w:rPr>
      </w:pPr>
      <w:r w:rsidRPr="001C31CF">
        <w:rPr>
          <w:rStyle w:val="FootnoteReference"/>
        </w:rPr>
        <w:footnoteRef/>
      </w:r>
      <w:r w:rsidR="001C31CF">
        <w:rPr>
          <w:lang w:val="fr-BE"/>
        </w:rPr>
        <w:tab/>
      </w:r>
    </w:p>
  </w:footnote>
  <w:footnote w:id="10">
    <w:p w14:paraId="61AF87E8" w14:textId="77777777" w:rsidR="002C7AA5" w:rsidRPr="002850C6" w:rsidRDefault="002C7AA5">
      <w:pPr>
        <w:pStyle w:val="FootnoteText"/>
        <w:rPr>
          <w:lang w:val="fr-BE"/>
        </w:rPr>
      </w:pPr>
      <w:r>
        <w:rPr>
          <w:rStyle w:val="FootnoteReference"/>
        </w:rPr>
        <w:footnoteRef/>
      </w:r>
      <w:r w:rsidRPr="002850C6">
        <w:rPr>
          <w:lang w:val="fr-BE"/>
        </w:rPr>
        <w:tab/>
        <w:t xml:space="preserve">Pour cet appel, </w:t>
      </w:r>
      <w:r w:rsidRPr="0086652C">
        <w:rPr>
          <w:lang w:val="fr-BE"/>
        </w:rPr>
        <w:t>22</w:t>
      </w:r>
      <w:r w:rsidRPr="002850C6">
        <w:rPr>
          <w:lang w:val="fr-BE"/>
        </w:rPr>
        <w:t xml:space="preserve"> États membres ont introduit des demandes portant sur </w:t>
      </w:r>
      <w:r w:rsidRPr="0086652C">
        <w:rPr>
          <w:lang w:val="fr-BE"/>
        </w:rPr>
        <w:t>112</w:t>
      </w:r>
      <w:r w:rsidRPr="002850C6">
        <w:rPr>
          <w:lang w:val="fr-BE"/>
        </w:rPr>
        <w:t xml:space="preserve"> projets pour un cofinancement total de l’UE sollicité de </w:t>
      </w:r>
      <w:r w:rsidRPr="0086652C">
        <w:rPr>
          <w:lang w:val="fr-BE"/>
        </w:rPr>
        <w:t>3</w:t>
      </w:r>
      <w:r w:rsidRPr="002850C6">
        <w:rPr>
          <w:lang w:val="fr-BE"/>
        </w:rPr>
        <w:t> </w:t>
      </w:r>
      <w:r w:rsidRPr="0086652C">
        <w:rPr>
          <w:lang w:val="fr-BE"/>
        </w:rPr>
        <w:t>700</w:t>
      </w:r>
      <w:r w:rsidRPr="002850C6">
        <w:rPr>
          <w:lang w:val="fr-BE"/>
        </w:rPr>
        <w:t> </w:t>
      </w:r>
      <w:r w:rsidRPr="0086652C">
        <w:rPr>
          <w:lang w:val="fr-BE"/>
        </w:rPr>
        <w:t>000</w:t>
      </w:r>
      <w:r w:rsidRPr="002850C6">
        <w:rPr>
          <w:lang w:val="fr-BE"/>
        </w:rPr>
        <w:t> </w:t>
      </w:r>
      <w:r w:rsidRPr="0086652C">
        <w:rPr>
          <w:lang w:val="fr-BE"/>
        </w:rPr>
        <w:t>000</w:t>
      </w:r>
      <w:r w:rsidRPr="002850C6">
        <w:rPr>
          <w:lang w:val="fr-BE"/>
        </w:rPr>
        <w:t xml:space="preserve"> EUR. Au terme du processus, </w:t>
      </w:r>
      <w:r w:rsidRPr="0086652C">
        <w:rPr>
          <w:lang w:val="fr-BE"/>
        </w:rPr>
        <w:t>807</w:t>
      </w:r>
      <w:r w:rsidRPr="002850C6">
        <w:rPr>
          <w:lang w:val="fr-BE"/>
        </w:rPr>
        <w:t> </w:t>
      </w:r>
      <w:r w:rsidRPr="0086652C">
        <w:rPr>
          <w:lang w:val="fr-BE"/>
        </w:rPr>
        <w:t>000</w:t>
      </w:r>
      <w:r w:rsidRPr="002850C6">
        <w:rPr>
          <w:lang w:val="fr-BE"/>
        </w:rPr>
        <w:t> </w:t>
      </w:r>
      <w:r w:rsidRPr="0086652C">
        <w:rPr>
          <w:lang w:val="fr-BE"/>
        </w:rPr>
        <w:t>000</w:t>
      </w:r>
      <w:r w:rsidRPr="002850C6">
        <w:rPr>
          <w:lang w:val="fr-BE"/>
        </w:rPr>
        <w:t xml:space="preserve"> EUR ont été affectés pour soutenir </w:t>
      </w:r>
      <w:r w:rsidRPr="0086652C">
        <w:rPr>
          <w:lang w:val="fr-BE"/>
        </w:rPr>
        <w:t>38</w:t>
      </w:r>
      <w:r w:rsidRPr="002850C6">
        <w:rPr>
          <w:lang w:val="fr-BE"/>
        </w:rPr>
        <w:t xml:space="preserve"> projets dans </w:t>
      </w:r>
      <w:r w:rsidRPr="0086652C">
        <w:rPr>
          <w:lang w:val="fr-BE"/>
        </w:rPr>
        <w:t>18</w:t>
      </w:r>
      <w:r w:rsidRPr="002850C6">
        <w:rPr>
          <w:lang w:val="fr-BE"/>
        </w:rPr>
        <w:t xml:space="preserve"> États membres.</w:t>
      </w:r>
    </w:p>
  </w:footnote>
  <w:footnote w:id="11">
    <w:p w14:paraId="25FDAEE4" w14:textId="2E868A9C" w:rsidR="009B03F8" w:rsidRPr="009B03F8" w:rsidRDefault="009B03F8">
      <w:pPr>
        <w:pStyle w:val="FootnoteText"/>
        <w:rPr>
          <w:lang w:val="fr-BE"/>
        </w:rPr>
      </w:pPr>
      <w:r w:rsidRPr="001C31CF">
        <w:rPr>
          <w:rStyle w:val="FootnoteReference"/>
        </w:rPr>
        <w:footnoteRef/>
      </w:r>
      <w:r w:rsidR="001C31CF">
        <w:rPr>
          <w:lang w:val="fr-BE"/>
        </w:rPr>
        <w:tab/>
      </w:r>
    </w:p>
  </w:footnote>
  <w:footnote w:id="12">
    <w:p w14:paraId="102B31FB" w14:textId="48BDDADF" w:rsidR="009B03F8" w:rsidRPr="009B03F8" w:rsidRDefault="009B03F8">
      <w:pPr>
        <w:pStyle w:val="FootnoteText"/>
        <w:rPr>
          <w:lang w:val="fr-BE"/>
        </w:rPr>
      </w:pPr>
      <w:r w:rsidRPr="001C31CF">
        <w:rPr>
          <w:rStyle w:val="FootnoteReference"/>
        </w:rPr>
        <w:footnoteRef/>
      </w:r>
      <w:r w:rsidR="001C31CF">
        <w:rPr>
          <w:lang w:val="fr-BE"/>
        </w:rPr>
        <w:tab/>
      </w:r>
    </w:p>
  </w:footnote>
  <w:footnote w:id="13">
    <w:p w14:paraId="642912CB" w14:textId="7ADAA63A" w:rsidR="009B03F8" w:rsidRPr="009B03F8" w:rsidRDefault="009B03F8">
      <w:pPr>
        <w:pStyle w:val="FootnoteText"/>
        <w:rPr>
          <w:lang w:val="fr-BE"/>
        </w:rPr>
      </w:pPr>
      <w:r w:rsidRPr="001C31CF">
        <w:rPr>
          <w:rStyle w:val="FootnoteReference"/>
        </w:rPr>
        <w:footnoteRef/>
      </w:r>
      <w:r w:rsidR="001C31CF">
        <w:rPr>
          <w:lang w:val="fr-BE"/>
        </w:rPr>
        <w:tab/>
      </w:r>
    </w:p>
  </w:footnote>
  <w:footnote w:id="14">
    <w:p w14:paraId="16C2E0D2" w14:textId="77777777" w:rsidR="000F02E7" w:rsidRPr="002850C6" w:rsidRDefault="000F02E7" w:rsidP="00225316">
      <w:pPr>
        <w:pStyle w:val="FootnoteText"/>
        <w:rPr>
          <w:lang w:val="fr-BE"/>
        </w:rPr>
      </w:pPr>
      <w:r>
        <w:rPr>
          <w:rStyle w:val="FootnoteReference"/>
        </w:rPr>
        <w:footnoteRef/>
      </w:r>
      <w:r w:rsidRPr="002850C6">
        <w:rPr>
          <w:lang w:val="fr-BE"/>
        </w:rPr>
        <w:tab/>
        <w:t>Règlement (UE) </w:t>
      </w:r>
      <w:r w:rsidRPr="0086652C">
        <w:rPr>
          <w:lang w:val="fr-BE"/>
        </w:rPr>
        <w:t>2021</w:t>
      </w:r>
      <w:r w:rsidRPr="002850C6">
        <w:rPr>
          <w:lang w:val="fr-BE"/>
        </w:rPr>
        <w:t>/</w:t>
      </w:r>
      <w:r w:rsidRPr="0086652C">
        <w:rPr>
          <w:lang w:val="fr-BE"/>
        </w:rPr>
        <w:t>695</w:t>
      </w:r>
      <w:r w:rsidRPr="002850C6">
        <w:rPr>
          <w:lang w:val="fr-BE"/>
        </w:rPr>
        <w:t xml:space="preserve"> du Parlement européen et du Conseil du </w:t>
      </w:r>
      <w:r w:rsidRPr="0086652C">
        <w:rPr>
          <w:lang w:val="fr-BE"/>
        </w:rPr>
        <w:t>28</w:t>
      </w:r>
      <w:r w:rsidRPr="002850C6">
        <w:rPr>
          <w:lang w:val="fr-BE"/>
        </w:rPr>
        <w:t> avril </w:t>
      </w:r>
      <w:r w:rsidRPr="0086652C">
        <w:rPr>
          <w:lang w:val="fr-BE"/>
        </w:rPr>
        <w:t>2021</w:t>
      </w:r>
      <w:r w:rsidRPr="002850C6">
        <w:rPr>
          <w:lang w:val="fr-BE"/>
        </w:rPr>
        <w:t xml:space="preserve"> portant établissement du programme-cadre pour la recherche et l’innovation «Horizon Europe» et définissant ses règles de participation et de diffusion, et abrogeant les règlements (UE) nº </w:t>
      </w:r>
      <w:r w:rsidRPr="0086652C">
        <w:rPr>
          <w:lang w:val="fr-BE"/>
        </w:rPr>
        <w:t>1290</w:t>
      </w:r>
      <w:r w:rsidRPr="002850C6">
        <w:rPr>
          <w:lang w:val="fr-BE"/>
        </w:rPr>
        <w:t>/</w:t>
      </w:r>
      <w:r w:rsidRPr="0086652C">
        <w:rPr>
          <w:lang w:val="fr-BE"/>
        </w:rPr>
        <w:t>2013</w:t>
      </w:r>
      <w:r w:rsidRPr="002850C6">
        <w:rPr>
          <w:lang w:val="fr-BE"/>
        </w:rPr>
        <w:t xml:space="preserve"> et (UE) nº </w:t>
      </w:r>
      <w:r w:rsidRPr="0086652C">
        <w:rPr>
          <w:lang w:val="fr-BE"/>
        </w:rPr>
        <w:t>1291</w:t>
      </w:r>
      <w:r w:rsidRPr="002850C6">
        <w:rPr>
          <w:lang w:val="fr-BE"/>
        </w:rPr>
        <w:t>/</w:t>
      </w:r>
      <w:r w:rsidRPr="0086652C">
        <w:rPr>
          <w:lang w:val="fr-BE"/>
        </w:rPr>
        <w:t>2013</w:t>
      </w:r>
    </w:p>
  </w:footnote>
  <w:footnote w:id="15">
    <w:p w14:paraId="4D37A16B" w14:textId="77777777" w:rsidR="00225316" w:rsidRPr="002850C6" w:rsidRDefault="00225316" w:rsidP="00225316">
      <w:pPr>
        <w:pStyle w:val="FootnoteText"/>
        <w:rPr>
          <w:lang w:val="fr-BE"/>
        </w:rPr>
      </w:pPr>
      <w:r>
        <w:rPr>
          <w:rStyle w:val="FootnoteReference"/>
        </w:rPr>
        <w:footnoteRef/>
      </w:r>
      <w:r w:rsidRPr="002850C6">
        <w:rPr>
          <w:lang w:val="fr-BE"/>
        </w:rPr>
        <w:tab/>
        <w:t xml:space="preserve">Proposition de règlement du Parlement européen et du Conseil portant établissement du programme-cadre pour la recherche et l’innovation «Horizon Europe» pour la période </w:t>
      </w:r>
      <w:r w:rsidRPr="0086652C">
        <w:rPr>
          <w:lang w:val="fr-BE"/>
        </w:rPr>
        <w:t>2028</w:t>
      </w:r>
      <w:r w:rsidRPr="002850C6">
        <w:rPr>
          <w:lang w:val="fr-BE"/>
        </w:rPr>
        <w:t>-</w:t>
      </w:r>
      <w:r w:rsidRPr="0086652C">
        <w:rPr>
          <w:lang w:val="fr-BE"/>
        </w:rPr>
        <w:t>2034</w:t>
      </w:r>
      <w:r w:rsidRPr="002850C6">
        <w:rPr>
          <w:lang w:val="fr-BE"/>
        </w:rPr>
        <w:t xml:space="preserve"> et définissant ses règles de participation et de diffusion, et abrogeant le règlement (UE) </w:t>
      </w:r>
      <w:r w:rsidRPr="0086652C">
        <w:rPr>
          <w:lang w:val="fr-BE"/>
        </w:rPr>
        <w:t>2021</w:t>
      </w:r>
      <w:r w:rsidRPr="002850C6">
        <w:rPr>
          <w:lang w:val="fr-BE"/>
        </w:rPr>
        <w:t>/</w:t>
      </w:r>
      <w:r w:rsidRPr="0086652C">
        <w:rPr>
          <w:lang w:val="fr-BE"/>
        </w:rPr>
        <w:t>695</w:t>
      </w:r>
      <w:r w:rsidRPr="002850C6">
        <w:rPr>
          <w:lang w:val="fr-BE"/>
        </w:rPr>
        <w:t>, [COM(</w:t>
      </w:r>
      <w:r w:rsidRPr="0086652C">
        <w:rPr>
          <w:lang w:val="fr-BE"/>
        </w:rPr>
        <w:t>2025</w:t>
      </w:r>
      <w:r w:rsidRPr="002850C6">
        <w:rPr>
          <w:lang w:val="fr-BE"/>
        </w:rPr>
        <w:t>) </w:t>
      </w:r>
      <w:r w:rsidRPr="0086652C">
        <w:rPr>
          <w:lang w:val="fr-BE"/>
        </w:rPr>
        <w:t>543</w:t>
      </w:r>
      <w:r w:rsidRPr="002850C6">
        <w:rPr>
          <w:lang w:val="fr-BE"/>
        </w:rPr>
        <w:t>].</w:t>
      </w:r>
    </w:p>
  </w:footnote>
  <w:footnote w:id="16">
    <w:p w14:paraId="6A386A7F" w14:textId="06FF8611" w:rsidR="009B03F8" w:rsidRPr="009B03F8" w:rsidRDefault="009B03F8">
      <w:pPr>
        <w:pStyle w:val="FootnoteText"/>
        <w:rPr>
          <w:lang w:val="fr-BE"/>
        </w:rPr>
      </w:pPr>
      <w:r w:rsidRPr="001C31CF">
        <w:rPr>
          <w:rStyle w:val="FootnoteReference"/>
        </w:rPr>
        <w:footnoteRef/>
      </w:r>
      <w:r w:rsidR="001C31CF">
        <w:rPr>
          <w:lang w:val="fr-BE"/>
        </w:rPr>
        <w:tab/>
      </w:r>
    </w:p>
  </w:footnote>
  <w:footnote w:id="17">
    <w:p w14:paraId="115A882B" w14:textId="11CEEEC1" w:rsidR="009B03F8" w:rsidRPr="009B03F8" w:rsidRDefault="009B03F8">
      <w:pPr>
        <w:pStyle w:val="FootnoteText"/>
        <w:rPr>
          <w:lang w:val="fr-BE"/>
        </w:rPr>
      </w:pPr>
      <w:r w:rsidRPr="001C31CF">
        <w:rPr>
          <w:rStyle w:val="FootnoteReference"/>
        </w:rPr>
        <w:footnoteRef/>
      </w:r>
      <w:r w:rsidR="001C31CF">
        <w:rPr>
          <w:lang w:val="fr-BE"/>
        </w:rPr>
        <w:tab/>
      </w:r>
    </w:p>
  </w:footnote>
  <w:footnote w:id="18">
    <w:p w14:paraId="5926A107" w14:textId="2F540694" w:rsidR="009B03F8" w:rsidRPr="009B03F8" w:rsidRDefault="009B03F8">
      <w:pPr>
        <w:pStyle w:val="FootnoteText"/>
        <w:rPr>
          <w:lang w:val="fr-BE"/>
        </w:rPr>
      </w:pPr>
      <w:r w:rsidRPr="001C31CF">
        <w:rPr>
          <w:rStyle w:val="FootnoteReference"/>
        </w:rPr>
        <w:footnoteRef/>
      </w:r>
      <w:r w:rsidR="001C31CF">
        <w:rPr>
          <w:lang w:val="fr-BE"/>
        </w:rPr>
        <w:tab/>
      </w:r>
    </w:p>
  </w:footnote>
  <w:footnote w:id="19">
    <w:p w14:paraId="39FC675B" w14:textId="72D43FA6" w:rsidR="009B03F8" w:rsidRPr="009B03F8" w:rsidRDefault="009B03F8">
      <w:pPr>
        <w:pStyle w:val="FootnoteText"/>
        <w:rPr>
          <w:lang w:val="fr-BE"/>
        </w:rPr>
      </w:pPr>
      <w:r w:rsidRPr="001C31CF">
        <w:rPr>
          <w:rStyle w:val="FootnoteReference"/>
        </w:rPr>
        <w:footnoteRef/>
      </w:r>
      <w:r w:rsidR="001C31CF">
        <w:rPr>
          <w:lang w:val="fr-BE"/>
        </w:rPr>
        <w:tab/>
      </w:r>
    </w:p>
  </w:footnote>
  <w:footnote w:id="20">
    <w:p w14:paraId="2315D16C" w14:textId="6117B1D7" w:rsidR="009B03F8" w:rsidRPr="009B03F8" w:rsidRDefault="009B03F8">
      <w:pPr>
        <w:pStyle w:val="FootnoteText"/>
        <w:rPr>
          <w:lang w:val="fr-BE"/>
        </w:rPr>
      </w:pPr>
      <w:r w:rsidRPr="001C31CF">
        <w:rPr>
          <w:rStyle w:val="FootnoteReference"/>
        </w:rPr>
        <w:footnoteRef/>
      </w:r>
      <w:r w:rsidR="001C31CF">
        <w:rPr>
          <w:lang w:val="fr-BE"/>
        </w:rPr>
        <w:tab/>
      </w:r>
    </w:p>
  </w:footnote>
  <w:footnote w:id="21">
    <w:p w14:paraId="170FDB07" w14:textId="1841306F" w:rsidR="009B03F8" w:rsidRPr="009B03F8" w:rsidRDefault="009B03F8">
      <w:pPr>
        <w:pStyle w:val="FootnoteText"/>
        <w:rPr>
          <w:lang w:val="fr-BE"/>
        </w:rPr>
      </w:pPr>
      <w:r w:rsidRPr="001C31CF">
        <w:rPr>
          <w:rStyle w:val="FootnoteReference"/>
        </w:rPr>
        <w:footnoteRef/>
      </w:r>
      <w:r w:rsidR="001C31CF">
        <w:rPr>
          <w:lang w:val="fr-BE"/>
        </w:rPr>
        <w:tab/>
      </w:r>
    </w:p>
  </w:footnote>
  <w:footnote w:id="22">
    <w:p w14:paraId="56525743" w14:textId="44B0CBEE" w:rsidR="009B03F8" w:rsidRPr="009B03F8" w:rsidRDefault="009B03F8">
      <w:pPr>
        <w:pStyle w:val="FootnoteText"/>
        <w:rPr>
          <w:lang w:val="fr-BE"/>
        </w:rPr>
      </w:pPr>
      <w:r w:rsidRPr="001C31CF">
        <w:rPr>
          <w:rStyle w:val="FootnoteReference"/>
        </w:rPr>
        <w:footnoteRef/>
      </w:r>
      <w:r w:rsidR="001C31CF">
        <w:rPr>
          <w:lang w:val="fr-BE"/>
        </w:rPr>
        <w:tab/>
      </w:r>
    </w:p>
  </w:footnote>
  <w:footnote w:id="23">
    <w:p w14:paraId="2FEA7644" w14:textId="3451D78A" w:rsidR="009B03F8" w:rsidRPr="009B03F8" w:rsidRDefault="009B03F8">
      <w:pPr>
        <w:pStyle w:val="FootnoteText"/>
        <w:rPr>
          <w:lang w:val="fr-BE"/>
        </w:rPr>
      </w:pPr>
      <w:r w:rsidRPr="001C31CF">
        <w:rPr>
          <w:rStyle w:val="FootnoteReference"/>
        </w:rPr>
        <w:footnoteRef/>
      </w:r>
      <w:r w:rsidR="001C31CF">
        <w:rPr>
          <w:lang w:val="fr-BE"/>
        </w:rPr>
        <w:tab/>
      </w:r>
    </w:p>
  </w:footnote>
  <w:footnote w:id="24">
    <w:p w14:paraId="50C7C8C6" w14:textId="63275F83" w:rsidR="009B03F8" w:rsidRPr="009B03F8" w:rsidRDefault="009B03F8">
      <w:pPr>
        <w:pStyle w:val="FootnoteText"/>
        <w:rPr>
          <w:lang w:val="fr-BE"/>
        </w:rPr>
      </w:pPr>
      <w:r w:rsidRPr="001C31CF">
        <w:rPr>
          <w:rStyle w:val="FootnoteReference"/>
        </w:rPr>
        <w:footnoteRef/>
      </w:r>
      <w:r w:rsidR="001C31CF">
        <w:rPr>
          <w:lang w:val="fr-BE"/>
        </w:rPr>
        <w:tab/>
      </w:r>
    </w:p>
  </w:footnote>
  <w:footnote w:id="25">
    <w:p w14:paraId="1B6E2501" w14:textId="4FFB24A5" w:rsidR="009B03F8" w:rsidRPr="009B03F8" w:rsidRDefault="009B03F8">
      <w:pPr>
        <w:pStyle w:val="FootnoteText"/>
        <w:rPr>
          <w:lang w:val="fr-BE"/>
        </w:rPr>
      </w:pPr>
      <w:r w:rsidRPr="001C31CF">
        <w:rPr>
          <w:rStyle w:val="FootnoteReference"/>
        </w:rPr>
        <w:footnoteRef/>
      </w:r>
      <w:r w:rsidR="001C31CF">
        <w:rPr>
          <w:lang w:val="fr-BE"/>
        </w:rPr>
        <w:tab/>
      </w:r>
    </w:p>
  </w:footnote>
  <w:footnote w:id="26">
    <w:p w14:paraId="6B8E5F5E" w14:textId="27BB41FD" w:rsidR="009B03F8" w:rsidRPr="009B03F8" w:rsidRDefault="009B03F8">
      <w:pPr>
        <w:pStyle w:val="FootnoteText"/>
        <w:rPr>
          <w:lang w:val="fr-BE"/>
        </w:rPr>
      </w:pPr>
      <w:r w:rsidRPr="001C31CF">
        <w:rPr>
          <w:rStyle w:val="FootnoteReference"/>
        </w:rPr>
        <w:footnoteRef/>
      </w:r>
      <w:r w:rsidR="001C31CF">
        <w:rPr>
          <w:lang w:val="fr-BE"/>
        </w:rPr>
        <w:tab/>
      </w:r>
    </w:p>
  </w:footnote>
  <w:footnote w:id="27">
    <w:p w14:paraId="4FED8857" w14:textId="75870996" w:rsidR="009B03F8" w:rsidRPr="009B03F8" w:rsidRDefault="009B03F8">
      <w:pPr>
        <w:pStyle w:val="FootnoteText"/>
        <w:rPr>
          <w:lang w:val="fr-BE"/>
        </w:rPr>
      </w:pPr>
      <w:r w:rsidRPr="001C31CF">
        <w:rPr>
          <w:rStyle w:val="FootnoteReference"/>
        </w:rPr>
        <w:footnoteRef/>
      </w:r>
      <w:r w:rsidR="001C31CF">
        <w:rPr>
          <w:lang w:val="fr-BE"/>
        </w:rPr>
        <w:tab/>
      </w:r>
    </w:p>
  </w:footnote>
  <w:footnote w:id="28">
    <w:p w14:paraId="669460B9" w14:textId="0568854E" w:rsidR="009B03F8" w:rsidRPr="009B03F8" w:rsidRDefault="009B03F8">
      <w:pPr>
        <w:pStyle w:val="FootnoteText"/>
        <w:rPr>
          <w:lang w:val="fr-BE"/>
        </w:rPr>
      </w:pPr>
      <w:r w:rsidRPr="001C31CF">
        <w:rPr>
          <w:rStyle w:val="FootnoteReference"/>
        </w:rPr>
        <w:footnoteRef/>
      </w:r>
      <w:r w:rsidR="001C31CF">
        <w:rPr>
          <w:lang w:val="fr-BE"/>
        </w:rPr>
        <w:tab/>
      </w:r>
    </w:p>
  </w:footnote>
  <w:footnote w:id="29">
    <w:p w14:paraId="654F815B" w14:textId="1B67CE3B" w:rsidR="009B03F8" w:rsidRPr="009B03F8" w:rsidRDefault="009B03F8">
      <w:pPr>
        <w:pStyle w:val="FootnoteText"/>
        <w:rPr>
          <w:lang w:val="fr-BE"/>
        </w:rPr>
      </w:pPr>
      <w:r w:rsidRPr="001C31CF">
        <w:rPr>
          <w:rStyle w:val="FootnoteReference"/>
        </w:rPr>
        <w:footnoteRef/>
      </w:r>
      <w:r w:rsidR="001C31CF">
        <w:rPr>
          <w:lang w:val="fr-BE"/>
        </w:rPr>
        <w:tab/>
      </w:r>
    </w:p>
  </w:footnote>
  <w:footnote w:id="30">
    <w:p w14:paraId="36226C55" w14:textId="49992B19" w:rsidR="009B03F8" w:rsidRPr="009B03F8" w:rsidRDefault="009B03F8">
      <w:pPr>
        <w:pStyle w:val="FootnoteText"/>
        <w:rPr>
          <w:lang w:val="fr-BE"/>
        </w:rPr>
      </w:pPr>
      <w:r w:rsidRPr="001C31CF">
        <w:rPr>
          <w:rStyle w:val="FootnoteReference"/>
        </w:rPr>
        <w:footnoteRef/>
      </w:r>
      <w:r w:rsidR="001C31CF">
        <w:rPr>
          <w:lang w:val="fr-BE"/>
        </w:rPr>
        <w:tab/>
      </w:r>
    </w:p>
  </w:footnote>
  <w:footnote w:id="31">
    <w:p w14:paraId="61A2BE69" w14:textId="3F711525" w:rsidR="009B03F8" w:rsidRPr="009B03F8" w:rsidRDefault="009B03F8">
      <w:pPr>
        <w:pStyle w:val="FootnoteText"/>
        <w:rPr>
          <w:lang w:val="fr-BE"/>
        </w:rPr>
      </w:pPr>
      <w:r w:rsidRPr="001C31CF">
        <w:rPr>
          <w:rStyle w:val="FootnoteReference"/>
        </w:rPr>
        <w:footnoteRef/>
      </w:r>
      <w:r w:rsidR="001C31CF">
        <w:rPr>
          <w:lang w:val="fr-BE"/>
        </w:rPr>
        <w:tab/>
      </w:r>
    </w:p>
  </w:footnote>
  <w:footnote w:id="32">
    <w:p w14:paraId="3B6FB190" w14:textId="33C6F313" w:rsidR="009B03F8" w:rsidRPr="009B03F8" w:rsidRDefault="009B03F8">
      <w:pPr>
        <w:pStyle w:val="FootnoteText"/>
        <w:rPr>
          <w:lang w:val="fr-BE"/>
        </w:rPr>
      </w:pPr>
      <w:r w:rsidRPr="001C31CF">
        <w:rPr>
          <w:rStyle w:val="FootnoteReference"/>
        </w:rPr>
        <w:footnoteRef/>
      </w:r>
      <w:r w:rsidR="001C31CF">
        <w:rPr>
          <w:lang w:val="fr-BE"/>
        </w:rPr>
        <w:tab/>
      </w:r>
    </w:p>
  </w:footnote>
  <w:footnote w:id="33">
    <w:p w14:paraId="46FBBEF9" w14:textId="7267FA1D" w:rsidR="009B03F8" w:rsidRPr="009B03F8" w:rsidRDefault="009B03F8">
      <w:pPr>
        <w:pStyle w:val="FootnoteText"/>
        <w:rPr>
          <w:lang w:val="fr-BE"/>
        </w:rPr>
      </w:pPr>
      <w:r w:rsidRPr="001C31CF">
        <w:rPr>
          <w:rStyle w:val="FootnoteReference"/>
        </w:rPr>
        <w:footnoteRef/>
      </w:r>
      <w:r w:rsidR="001C31CF">
        <w:rPr>
          <w:lang w:val="fr-BE"/>
        </w:rPr>
        <w:tab/>
      </w:r>
    </w:p>
  </w:footnote>
  <w:footnote w:id="34">
    <w:p w14:paraId="42DA323F" w14:textId="0A644F3D" w:rsidR="009B03F8" w:rsidRPr="009B03F8" w:rsidRDefault="009B03F8">
      <w:pPr>
        <w:pStyle w:val="FootnoteText"/>
        <w:rPr>
          <w:lang w:val="fr-BE"/>
        </w:rPr>
      </w:pPr>
      <w:r w:rsidRPr="001C31CF">
        <w:rPr>
          <w:rStyle w:val="FootnoteReference"/>
        </w:rPr>
        <w:footnoteRef/>
      </w:r>
      <w:r w:rsidR="001C31CF">
        <w:rPr>
          <w:lang w:val="fr-BE"/>
        </w:rPr>
        <w:tab/>
      </w:r>
    </w:p>
  </w:footnote>
  <w:footnote w:id="35">
    <w:p w14:paraId="47C661EB" w14:textId="7236ED9E" w:rsidR="009B03F8" w:rsidRPr="009B03F8" w:rsidRDefault="009B03F8">
      <w:pPr>
        <w:pStyle w:val="FootnoteText"/>
        <w:rPr>
          <w:lang w:val="fr-BE"/>
        </w:rPr>
      </w:pPr>
      <w:r w:rsidRPr="001C31CF">
        <w:rPr>
          <w:rStyle w:val="FootnoteReference"/>
        </w:rPr>
        <w:footnoteRef/>
      </w:r>
      <w:r w:rsidR="001C31CF">
        <w:rPr>
          <w:lang w:val="fr-BE"/>
        </w:rPr>
        <w:tab/>
      </w:r>
    </w:p>
  </w:footnote>
  <w:footnote w:id="36">
    <w:p w14:paraId="20A755B5" w14:textId="416D3764" w:rsidR="009B03F8" w:rsidRPr="009B03F8" w:rsidRDefault="009B03F8">
      <w:pPr>
        <w:pStyle w:val="FootnoteText"/>
        <w:rPr>
          <w:lang w:val="fr-BE"/>
        </w:rPr>
      </w:pPr>
      <w:r w:rsidRPr="001C31CF">
        <w:rPr>
          <w:rStyle w:val="FootnoteReference"/>
        </w:rPr>
        <w:footnoteRef/>
      </w:r>
      <w:r w:rsidR="001C31CF">
        <w:rPr>
          <w:lang w:val="fr-BE"/>
        </w:rPr>
        <w:tab/>
      </w:r>
    </w:p>
  </w:footnote>
  <w:footnote w:id="37">
    <w:p w14:paraId="4E8FB25B" w14:textId="211E2167" w:rsidR="009B03F8" w:rsidRPr="009B03F8" w:rsidRDefault="009B03F8">
      <w:pPr>
        <w:pStyle w:val="FootnoteText"/>
        <w:rPr>
          <w:lang w:val="fr-BE"/>
        </w:rPr>
      </w:pPr>
      <w:r w:rsidRPr="001C31CF">
        <w:rPr>
          <w:rStyle w:val="FootnoteReference"/>
        </w:rPr>
        <w:footnoteRef/>
      </w:r>
      <w:r w:rsidR="001C31CF">
        <w:rPr>
          <w:lang w:val="fr-BE"/>
        </w:rPr>
        <w:tab/>
      </w:r>
    </w:p>
  </w:footnote>
  <w:footnote w:id="38">
    <w:p w14:paraId="79BA3056" w14:textId="3CACE8AB" w:rsidR="009B03F8" w:rsidRPr="009B03F8" w:rsidRDefault="009B03F8">
      <w:pPr>
        <w:pStyle w:val="FootnoteText"/>
        <w:rPr>
          <w:lang w:val="fr-BE"/>
        </w:rPr>
      </w:pPr>
      <w:r w:rsidRPr="001C31CF">
        <w:rPr>
          <w:rStyle w:val="FootnoteReference"/>
        </w:rPr>
        <w:footnoteRef/>
      </w:r>
      <w:r w:rsidR="001C31CF">
        <w:rPr>
          <w:lang w:val="fr-BE"/>
        </w:rPr>
        <w:tab/>
      </w:r>
    </w:p>
  </w:footnote>
  <w:footnote w:id="39">
    <w:p w14:paraId="76DD46EE" w14:textId="77777777" w:rsidR="000D5092" w:rsidRPr="00D40714" w:rsidRDefault="000D5092" w:rsidP="000D5092">
      <w:pPr>
        <w:pStyle w:val="FootnoteText"/>
        <w:rPr>
          <w:lang w:val="fr-BE"/>
        </w:rPr>
      </w:pPr>
      <w:r>
        <w:rPr>
          <w:rStyle w:val="FootnoteReference"/>
        </w:rPr>
        <w:footnoteRef/>
      </w:r>
      <w:r w:rsidRPr="00D40714">
        <w:rPr>
          <w:lang w:val="fr-BE"/>
        </w:rPr>
        <w:tab/>
        <w:t>ST</w:t>
      </w:r>
      <w:r w:rsidRPr="0086652C">
        <w:rPr>
          <w:lang w:val="fr-BE"/>
        </w:rPr>
        <w:t>10440</w:t>
      </w:r>
      <w:r w:rsidRPr="00D40714">
        <w:rPr>
          <w:lang w:val="fr-BE"/>
        </w:rPr>
        <w:t>, ADD</w:t>
      </w:r>
      <w:r w:rsidRPr="0086652C">
        <w:rPr>
          <w:lang w:val="fr-BE"/>
        </w:rPr>
        <w:t>1</w:t>
      </w:r>
      <w:r w:rsidRPr="00D40714">
        <w:rPr>
          <w:lang w:val="fr-BE"/>
        </w:rPr>
        <w:t xml:space="preserve">, document «Military Requirements for Military Mobility within and beyond the EU» (Besoins militaires pour la mobilité militaire à l’intérieur et à l’extérieur de l’UE) du Conseil, approuvé par le Conseil le </w:t>
      </w:r>
      <w:r w:rsidRPr="0086652C">
        <w:rPr>
          <w:lang w:val="fr-BE"/>
        </w:rPr>
        <w:t>26</w:t>
      </w:r>
      <w:r w:rsidRPr="00D40714">
        <w:rPr>
          <w:lang w:val="fr-BE"/>
        </w:rPr>
        <w:t xml:space="preserve"> juin </w:t>
      </w:r>
      <w:r w:rsidRPr="0086652C">
        <w:rPr>
          <w:lang w:val="fr-BE"/>
        </w:rPr>
        <w:t>2023</w:t>
      </w:r>
      <w:r w:rsidRPr="00D40714">
        <w:rPr>
          <w:lang w:val="fr-BE"/>
        </w:rPr>
        <w:t xml:space="preserve"> et le </w:t>
      </w:r>
      <w:r w:rsidRPr="0086652C">
        <w:rPr>
          <w:lang w:val="fr-BE"/>
        </w:rPr>
        <w:t>23</w:t>
      </w:r>
      <w:r w:rsidRPr="00D40714">
        <w:rPr>
          <w:lang w:val="fr-BE"/>
        </w:rPr>
        <w:t xml:space="preserve"> octobre </w:t>
      </w:r>
      <w:r w:rsidRPr="0086652C">
        <w:rPr>
          <w:lang w:val="fr-BE"/>
        </w:rPr>
        <w:t>2023</w:t>
      </w:r>
      <w:r w:rsidRPr="00D40714">
        <w:rPr>
          <w:lang w:val="fr-BE"/>
        </w:rPr>
        <w:t>, et toute modification ultérieure apportée à ce document telle qu’approuvée par le Conseil.</w:t>
      </w:r>
    </w:p>
  </w:footnote>
  <w:footnote w:id="40">
    <w:p w14:paraId="21F703AF" w14:textId="4A2382F2" w:rsidR="009B03F8" w:rsidRPr="009B03F8" w:rsidRDefault="009B03F8">
      <w:pPr>
        <w:pStyle w:val="FootnoteText"/>
        <w:rPr>
          <w:lang w:val="fr-BE"/>
        </w:rPr>
      </w:pPr>
      <w:r w:rsidRPr="001C31CF">
        <w:rPr>
          <w:rStyle w:val="FootnoteReference"/>
        </w:rPr>
        <w:footnoteRef/>
      </w:r>
      <w:r w:rsidR="001C31CF">
        <w:rPr>
          <w:lang w:val="fr-BE"/>
        </w:rPr>
        <w:tab/>
      </w:r>
    </w:p>
  </w:footnote>
  <w:footnote w:id="41">
    <w:p w14:paraId="1C5527B8" w14:textId="77777777" w:rsidR="000D5092" w:rsidRPr="00D40714" w:rsidRDefault="000D5092" w:rsidP="000D5092">
      <w:pPr>
        <w:pStyle w:val="FootnoteText"/>
        <w:rPr>
          <w:lang w:val="fr-BE"/>
        </w:rPr>
      </w:pPr>
      <w:r>
        <w:rPr>
          <w:rStyle w:val="FootnoteReference"/>
        </w:rPr>
        <w:footnoteRef/>
      </w:r>
      <w:r w:rsidRPr="00D40714">
        <w:rPr>
          <w:lang w:val="fr-BE"/>
        </w:rPr>
        <w:tab/>
        <w:t xml:space="preserve">Directive (UE) </w:t>
      </w:r>
      <w:r w:rsidRPr="0086652C">
        <w:rPr>
          <w:lang w:val="fr-BE"/>
        </w:rPr>
        <w:t>2022</w:t>
      </w:r>
      <w:r w:rsidRPr="00D40714">
        <w:rPr>
          <w:lang w:val="fr-BE"/>
        </w:rPr>
        <w:t>/</w:t>
      </w:r>
      <w:r w:rsidRPr="0086652C">
        <w:rPr>
          <w:lang w:val="fr-BE"/>
        </w:rPr>
        <w:t>2555</w:t>
      </w:r>
      <w:r w:rsidRPr="00D40714">
        <w:rPr>
          <w:lang w:val="fr-BE"/>
        </w:rPr>
        <w:t xml:space="preserve"> du Parlement européen et du Conseil du </w:t>
      </w:r>
      <w:r w:rsidRPr="0086652C">
        <w:rPr>
          <w:lang w:val="fr-BE"/>
        </w:rPr>
        <w:t>14</w:t>
      </w:r>
      <w:r w:rsidRPr="00D40714">
        <w:rPr>
          <w:lang w:val="fr-BE"/>
        </w:rPr>
        <w:t xml:space="preserve"> décembre </w:t>
      </w:r>
      <w:r w:rsidRPr="0086652C">
        <w:rPr>
          <w:lang w:val="fr-BE"/>
        </w:rPr>
        <w:t>2022</w:t>
      </w:r>
      <w:r w:rsidRPr="00D40714">
        <w:rPr>
          <w:lang w:val="fr-BE"/>
        </w:rPr>
        <w:t xml:space="preserve"> concernant des mesures destinées à assurer un niveau élevé commun de cybersécurité dans l’ensemble de l’Union, modifiant le règlement (UE) nº </w:t>
      </w:r>
      <w:r w:rsidRPr="0086652C">
        <w:rPr>
          <w:lang w:val="fr-BE"/>
        </w:rPr>
        <w:t>910</w:t>
      </w:r>
      <w:r w:rsidRPr="00D40714">
        <w:rPr>
          <w:lang w:val="fr-BE"/>
        </w:rPr>
        <w:t>/</w:t>
      </w:r>
      <w:r w:rsidRPr="0086652C">
        <w:rPr>
          <w:lang w:val="fr-BE"/>
        </w:rPr>
        <w:t>2014</w:t>
      </w:r>
      <w:r w:rsidRPr="00D40714">
        <w:rPr>
          <w:lang w:val="fr-BE"/>
        </w:rPr>
        <w:t xml:space="preserve"> et la directive (UE) </w:t>
      </w:r>
      <w:r w:rsidRPr="0086652C">
        <w:rPr>
          <w:lang w:val="fr-BE"/>
        </w:rPr>
        <w:t>2018</w:t>
      </w:r>
      <w:r w:rsidRPr="00D40714">
        <w:rPr>
          <w:lang w:val="fr-BE"/>
        </w:rPr>
        <w:t>/</w:t>
      </w:r>
      <w:r w:rsidRPr="0086652C">
        <w:rPr>
          <w:lang w:val="fr-BE"/>
        </w:rPr>
        <w:t>1972</w:t>
      </w:r>
      <w:r w:rsidRPr="00D40714">
        <w:rPr>
          <w:lang w:val="fr-BE"/>
        </w:rPr>
        <w:t xml:space="preserve">, et abrogeant la directive (UE) </w:t>
      </w:r>
      <w:r w:rsidRPr="0086652C">
        <w:rPr>
          <w:lang w:val="fr-BE"/>
        </w:rPr>
        <w:t>2016</w:t>
      </w:r>
      <w:r w:rsidRPr="00D40714">
        <w:rPr>
          <w:lang w:val="fr-BE"/>
        </w:rPr>
        <w:t>/</w:t>
      </w:r>
      <w:r w:rsidRPr="0086652C">
        <w:rPr>
          <w:lang w:val="fr-BE"/>
        </w:rPr>
        <w:t>1148</w:t>
      </w:r>
      <w:r w:rsidRPr="00D40714">
        <w:rPr>
          <w:lang w:val="fr-BE"/>
        </w:rPr>
        <w:t xml:space="preserve"> (directive SRI </w:t>
      </w:r>
      <w:r w:rsidRPr="0086652C">
        <w:rPr>
          <w:lang w:val="fr-BE"/>
        </w:rPr>
        <w:t>2</w:t>
      </w:r>
      <w:r w:rsidRPr="00D40714">
        <w:rPr>
          <w:lang w:val="fr-BE"/>
        </w:rPr>
        <w:t>) (JO L </w:t>
      </w:r>
      <w:r w:rsidRPr="0086652C">
        <w:rPr>
          <w:lang w:val="fr-BE"/>
        </w:rPr>
        <w:t>333</w:t>
      </w:r>
      <w:r w:rsidRPr="00D40714">
        <w:rPr>
          <w:lang w:val="fr-BE"/>
        </w:rPr>
        <w:t xml:space="preserve"> du </w:t>
      </w:r>
      <w:r w:rsidRPr="0086652C">
        <w:rPr>
          <w:lang w:val="fr-BE"/>
        </w:rPr>
        <w:t>27</w:t>
      </w:r>
      <w:r w:rsidRPr="00D40714">
        <w:rPr>
          <w:lang w:val="fr-BE"/>
        </w:rPr>
        <w:t>.</w:t>
      </w:r>
      <w:r w:rsidRPr="0086652C">
        <w:rPr>
          <w:lang w:val="fr-BE"/>
        </w:rPr>
        <w:t>12</w:t>
      </w:r>
      <w:r w:rsidRPr="00D40714">
        <w:rPr>
          <w:lang w:val="fr-BE"/>
        </w:rPr>
        <w:t>.</w:t>
      </w:r>
      <w:r w:rsidRPr="0086652C">
        <w:rPr>
          <w:lang w:val="fr-BE"/>
        </w:rPr>
        <w:t>2022</w:t>
      </w:r>
      <w:r w:rsidRPr="00D40714">
        <w:rPr>
          <w:lang w:val="fr-BE"/>
        </w:rPr>
        <w:t>, p. </w:t>
      </w:r>
      <w:r w:rsidRPr="0086652C">
        <w:rPr>
          <w:lang w:val="fr-BE"/>
        </w:rPr>
        <w:t>80</w:t>
      </w:r>
      <w:r w:rsidRPr="00D40714">
        <w:rPr>
          <w:lang w:val="fr-BE"/>
        </w:rPr>
        <w:t>, ELI: </w:t>
      </w:r>
      <w:hyperlink r:id="rId1" w:tooltip="Donne accès au document par son ELI URI." w:history="1">
        <w:r w:rsidRPr="00D40714">
          <w:rPr>
            <w:lang w:val="fr-BE"/>
          </w:rPr>
          <w:t>http://data.europa.eu/eli/dir/</w:t>
        </w:r>
        <w:r w:rsidRPr="0086652C">
          <w:rPr>
            <w:lang w:val="fr-BE"/>
          </w:rPr>
          <w:t>2022</w:t>
        </w:r>
        <w:r w:rsidRPr="00D40714">
          <w:rPr>
            <w:lang w:val="fr-BE"/>
          </w:rPr>
          <w:t>/</w:t>
        </w:r>
        <w:r w:rsidRPr="0086652C">
          <w:rPr>
            <w:lang w:val="fr-BE"/>
          </w:rPr>
          <w:t>2555</w:t>
        </w:r>
        <w:r w:rsidRPr="00D40714">
          <w:rPr>
            <w:lang w:val="fr-BE"/>
          </w:rPr>
          <w:t>/oj</w:t>
        </w:r>
      </w:hyperlink>
      <w:r w:rsidRPr="00D40714">
        <w:rPr>
          <w:lang w:val="fr-BE"/>
        </w:rPr>
        <w:t>).</w:t>
      </w:r>
    </w:p>
  </w:footnote>
  <w:footnote w:id="42">
    <w:p w14:paraId="09E17AD7" w14:textId="77777777" w:rsidR="000D5092" w:rsidRPr="00D40714" w:rsidRDefault="000D5092" w:rsidP="000D5092">
      <w:pPr>
        <w:pStyle w:val="FootnoteText"/>
        <w:rPr>
          <w:lang w:val="fr-BE"/>
        </w:rPr>
      </w:pPr>
      <w:r>
        <w:rPr>
          <w:rStyle w:val="FootnoteReference"/>
        </w:rPr>
        <w:footnoteRef/>
      </w:r>
      <w:r w:rsidRPr="00D40714">
        <w:rPr>
          <w:lang w:val="fr-BE"/>
        </w:rPr>
        <w:tab/>
        <w:t xml:space="preserve">Règlement (UE) </w:t>
      </w:r>
      <w:r w:rsidRPr="0086652C">
        <w:rPr>
          <w:lang w:val="fr-BE"/>
        </w:rPr>
        <w:t>2019</w:t>
      </w:r>
      <w:r w:rsidRPr="00D40714">
        <w:rPr>
          <w:lang w:val="fr-BE"/>
        </w:rPr>
        <w:t>/</w:t>
      </w:r>
      <w:r w:rsidRPr="0086652C">
        <w:rPr>
          <w:lang w:val="fr-BE"/>
        </w:rPr>
        <w:t>452</w:t>
      </w:r>
      <w:r w:rsidRPr="00D40714">
        <w:rPr>
          <w:lang w:val="fr-BE"/>
        </w:rPr>
        <w:t xml:space="preserve"> du Parlement européen et du Conseil du </w:t>
      </w:r>
      <w:r w:rsidRPr="0086652C">
        <w:rPr>
          <w:lang w:val="fr-BE"/>
        </w:rPr>
        <w:t>19</w:t>
      </w:r>
      <w:r w:rsidRPr="00D40714">
        <w:rPr>
          <w:lang w:val="fr-BE"/>
        </w:rPr>
        <w:t xml:space="preserve"> mars </w:t>
      </w:r>
      <w:r w:rsidRPr="0086652C">
        <w:rPr>
          <w:lang w:val="fr-BE"/>
        </w:rPr>
        <w:t>2019</w:t>
      </w:r>
      <w:r w:rsidRPr="00D40714">
        <w:rPr>
          <w:lang w:val="fr-BE"/>
        </w:rPr>
        <w:t xml:space="preserve"> établissant un cadre pour le filtrage des investissements directs étrangers dans l’Union (JO L </w:t>
      </w:r>
      <w:r w:rsidRPr="0086652C">
        <w:rPr>
          <w:lang w:val="fr-BE"/>
        </w:rPr>
        <w:t>79</w:t>
      </w:r>
      <w:r w:rsidRPr="00D40714">
        <w:rPr>
          <w:lang w:val="fr-BE"/>
        </w:rPr>
        <w:t xml:space="preserve">I du </w:t>
      </w:r>
      <w:r w:rsidRPr="0086652C">
        <w:rPr>
          <w:lang w:val="fr-BE"/>
        </w:rPr>
        <w:t>21</w:t>
      </w:r>
      <w:r w:rsidRPr="00D40714">
        <w:rPr>
          <w:lang w:val="fr-BE"/>
        </w:rPr>
        <w:t>.</w:t>
      </w:r>
      <w:r w:rsidRPr="0086652C">
        <w:rPr>
          <w:lang w:val="fr-BE"/>
        </w:rPr>
        <w:t>3</w:t>
      </w:r>
      <w:r w:rsidRPr="00D40714">
        <w:rPr>
          <w:lang w:val="fr-BE"/>
        </w:rPr>
        <w:t>.</w:t>
      </w:r>
      <w:r w:rsidRPr="0086652C">
        <w:rPr>
          <w:lang w:val="fr-BE"/>
        </w:rPr>
        <w:t>2019</w:t>
      </w:r>
      <w:r w:rsidRPr="00D40714">
        <w:rPr>
          <w:lang w:val="fr-BE"/>
        </w:rPr>
        <w:t>, p. </w:t>
      </w:r>
      <w:r w:rsidRPr="0086652C">
        <w:rPr>
          <w:lang w:val="fr-BE"/>
        </w:rPr>
        <w:t>1</w:t>
      </w:r>
      <w:r w:rsidRPr="00D40714">
        <w:rPr>
          <w:lang w:val="fr-BE"/>
        </w:rPr>
        <w:t>, ELI: </w:t>
      </w:r>
      <w:hyperlink r:id="rId2" w:tooltip="Donne accès au document par son ELI URI." w:history="1">
        <w:r w:rsidRPr="00D40714">
          <w:rPr>
            <w:lang w:val="fr-BE"/>
          </w:rPr>
          <w:t>http://data.europa.eu/eli/reg/</w:t>
        </w:r>
        <w:r w:rsidRPr="0086652C">
          <w:rPr>
            <w:lang w:val="fr-BE"/>
          </w:rPr>
          <w:t>2019</w:t>
        </w:r>
        <w:r w:rsidRPr="00D40714">
          <w:rPr>
            <w:lang w:val="fr-BE"/>
          </w:rPr>
          <w:t>/</w:t>
        </w:r>
        <w:r w:rsidRPr="0086652C">
          <w:rPr>
            <w:lang w:val="fr-BE"/>
          </w:rPr>
          <w:t>452</w:t>
        </w:r>
        <w:r w:rsidRPr="00D40714">
          <w:rPr>
            <w:lang w:val="fr-BE"/>
          </w:rPr>
          <w:t>/oj</w:t>
        </w:r>
      </w:hyperlink>
      <w:r w:rsidRPr="00D40714">
        <w:rPr>
          <w:lang w:val="fr-BE"/>
        </w:rPr>
        <w:t>).</w:t>
      </w:r>
    </w:p>
  </w:footnote>
  <w:footnote w:id="43">
    <w:p w14:paraId="2A32380A" w14:textId="7B54D555" w:rsidR="009B03F8" w:rsidRPr="009B03F8" w:rsidRDefault="009B03F8">
      <w:pPr>
        <w:pStyle w:val="FootnoteText"/>
        <w:rPr>
          <w:lang w:val="fr-BE"/>
        </w:rPr>
      </w:pPr>
      <w:r w:rsidRPr="001C31CF">
        <w:rPr>
          <w:rStyle w:val="FootnoteReference"/>
        </w:rPr>
        <w:footnoteRef/>
      </w:r>
      <w:r w:rsidR="001C31CF">
        <w:rPr>
          <w:lang w:val="fr-BE"/>
        </w:rPr>
        <w:tab/>
      </w:r>
    </w:p>
  </w:footnote>
  <w:footnote w:id="44">
    <w:p w14:paraId="639C985E" w14:textId="27F45BA0" w:rsidR="009B03F8" w:rsidRPr="009B03F8" w:rsidRDefault="009B03F8">
      <w:pPr>
        <w:pStyle w:val="FootnoteText"/>
        <w:rPr>
          <w:lang w:val="fr-BE"/>
        </w:rPr>
      </w:pPr>
      <w:r w:rsidRPr="001C31CF">
        <w:rPr>
          <w:rStyle w:val="FootnoteReference"/>
        </w:rPr>
        <w:footnoteRef/>
      </w:r>
      <w:r w:rsidR="001C31CF">
        <w:rPr>
          <w:lang w:val="fr-BE"/>
        </w:rPr>
        <w:tab/>
      </w:r>
    </w:p>
  </w:footnote>
  <w:footnote w:id="45">
    <w:p w14:paraId="098E4BF5" w14:textId="6DF36181" w:rsidR="009B03F8" w:rsidRPr="009B03F8" w:rsidRDefault="009B03F8">
      <w:pPr>
        <w:pStyle w:val="FootnoteText"/>
        <w:rPr>
          <w:lang w:val="fr-BE"/>
        </w:rPr>
      </w:pPr>
      <w:r w:rsidRPr="001C31CF">
        <w:rPr>
          <w:rStyle w:val="FootnoteReference"/>
        </w:rPr>
        <w:footnoteRef/>
      </w:r>
      <w:r w:rsidR="001C31CF">
        <w:rPr>
          <w:lang w:val="fr-BE"/>
        </w:rPr>
        <w:tab/>
      </w:r>
    </w:p>
  </w:footnote>
  <w:footnote w:id="46">
    <w:p w14:paraId="3304A882" w14:textId="7BF56AFF" w:rsidR="009B03F8" w:rsidRPr="009B03F8" w:rsidRDefault="009B03F8">
      <w:pPr>
        <w:pStyle w:val="FootnoteText"/>
        <w:rPr>
          <w:lang w:val="fr-BE"/>
        </w:rPr>
      </w:pPr>
      <w:r w:rsidRPr="001C31CF">
        <w:rPr>
          <w:rStyle w:val="FootnoteReference"/>
        </w:rPr>
        <w:footnoteRef/>
      </w:r>
      <w:r w:rsidR="001C31CF">
        <w:rPr>
          <w:lang w:val="fr-BE"/>
        </w:rPr>
        <w:tab/>
      </w:r>
    </w:p>
  </w:footnote>
  <w:footnote w:id="47">
    <w:p w14:paraId="54C14709" w14:textId="797CE87D" w:rsidR="009B03F8" w:rsidRPr="009B03F8" w:rsidRDefault="009B03F8">
      <w:pPr>
        <w:pStyle w:val="FootnoteText"/>
        <w:rPr>
          <w:lang w:val="fr-BE"/>
        </w:rPr>
      </w:pPr>
      <w:r w:rsidRPr="001C31CF">
        <w:rPr>
          <w:rStyle w:val="FootnoteReference"/>
        </w:rPr>
        <w:footnoteRef/>
      </w:r>
      <w:r w:rsidR="001C31CF">
        <w:rPr>
          <w:lang w:val="fr-BE"/>
        </w:rPr>
        <w:tab/>
      </w:r>
    </w:p>
  </w:footnote>
  <w:footnote w:id="48">
    <w:p w14:paraId="15CF0CDF" w14:textId="58226A16" w:rsidR="009B03F8" w:rsidRPr="009B03F8" w:rsidRDefault="009B03F8">
      <w:pPr>
        <w:pStyle w:val="FootnoteText"/>
        <w:rPr>
          <w:lang w:val="fr-BE"/>
        </w:rPr>
      </w:pPr>
      <w:r w:rsidRPr="001C31CF">
        <w:rPr>
          <w:rStyle w:val="FootnoteReference"/>
        </w:rPr>
        <w:footnoteRef/>
      </w:r>
      <w:r w:rsidR="001C31CF">
        <w:rPr>
          <w:lang w:val="fr-BE"/>
        </w:rPr>
        <w:tab/>
      </w:r>
    </w:p>
  </w:footnote>
  <w:footnote w:id="49">
    <w:p w14:paraId="432D905E" w14:textId="3B4CB4F2" w:rsidR="009B03F8" w:rsidRPr="009B03F8" w:rsidRDefault="009B03F8">
      <w:pPr>
        <w:pStyle w:val="FootnoteText"/>
        <w:rPr>
          <w:lang w:val="fr-BE"/>
        </w:rPr>
      </w:pPr>
      <w:r w:rsidRPr="001C31CF">
        <w:rPr>
          <w:rStyle w:val="FootnoteReference"/>
        </w:rPr>
        <w:footnoteRef/>
      </w:r>
      <w:r w:rsidR="001C31CF">
        <w:rPr>
          <w:lang w:val="fr-BE"/>
        </w:rPr>
        <w:tab/>
      </w:r>
    </w:p>
  </w:footnote>
  <w:footnote w:id="50">
    <w:p w14:paraId="46083952" w14:textId="38E1C0E2" w:rsidR="009B03F8" w:rsidRPr="009B03F8" w:rsidRDefault="009B03F8">
      <w:pPr>
        <w:pStyle w:val="FootnoteText"/>
        <w:rPr>
          <w:lang w:val="fr-BE"/>
        </w:rPr>
      </w:pPr>
      <w:r w:rsidRPr="001C31CF">
        <w:rPr>
          <w:rStyle w:val="FootnoteReference"/>
        </w:rPr>
        <w:footnoteRef/>
      </w:r>
      <w:r w:rsidR="001C31CF">
        <w:rPr>
          <w:lang w:val="fr-BE"/>
        </w:rPr>
        <w:tab/>
      </w:r>
    </w:p>
  </w:footnote>
  <w:footnote w:id="51">
    <w:p w14:paraId="448BCA18" w14:textId="4AE4D84C" w:rsidR="009B03F8" w:rsidRPr="009B03F8" w:rsidRDefault="009B03F8">
      <w:pPr>
        <w:pStyle w:val="FootnoteText"/>
        <w:rPr>
          <w:lang w:val="fr-BE"/>
        </w:rPr>
      </w:pPr>
      <w:r w:rsidRPr="001C31CF">
        <w:rPr>
          <w:rStyle w:val="FootnoteReference"/>
        </w:rPr>
        <w:footnoteRef/>
      </w:r>
      <w:r w:rsidR="001C31CF">
        <w:rPr>
          <w:lang w:val="fr-BE"/>
        </w:rPr>
        <w:tab/>
      </w:r>
    </w:p>
  </w:footnote>
  <w:footnote w:id="52">
    <w:p w14:paraId="41D4C340" w14:textId="3D12B988" w:rsidR="009B03F8" w:rsidRPr="009B03F8" w:rsidRDefault="009B03F8">
      <w:pPr>
        <w:pStyle w:val="FootnoteText"/>
        <w:rPr>
          <w:lang w:val="fr-BE"/>
        </w:rPr>
      </w:pPr>
      <w:r w:rsidRPr="001C31CF">
        <w:rPr>
          <w:rStyle w:val="FootnoteReference"/>
        </w:rPr>
        <w:footnoteRef/>
      </w:r>
      <w:r w:rsidR="001C31CF">
        <w:rPr>
          <w:lang w:val="fr-BE"/>
        </w:rPr>
        <w:tab/>
      </w:r>
    </w:p>
  </w:footnote>
  <w:footnote w:id="53">
    <w:p w14:paraId="1A53417F" w14:textId="11ACE90B" w:rsidR="009B03F8" w:rsidRPr="009B03F8" w:rsidRDefault="009B03F8">
      <w:pPr>
        <w:pStyle w:val="FootnoteText"/>
        <w:rPr>
          <w:lang w:val="fr-BE"/>
        </w:rPr>
      </w:pPr>
      <w:r w:rsidRPr="001C31CF">
        <w:rPr>
          <w:rStyle w:val="FootnoteReference"/>
        </w:rPr>
        <w:footnoteRef/>
      </w:r>
      <w:r w:rsidR="001C31CF">
        <w:rPr>
          <w:lang w:val="fr-BE"/>
        </w:rPr>
        <w:tab/>
      </w:r>
    </w:p>
  </w:footnote>
  <w:footnote w:id="54">
    <w:p w14:paraId="07047769" w14:textId="1DCE0004" w:rsidR="009B03F8" w:rsidRPr="009B03F8" w:rsidRDefault="009B03F8">
      <w:pPr>
        <w:pStyle w:val="FootnoteText"/>
        <w:rPr>
          <w:lang w:val="fr-BE"/>
        </w:rPr>
      </w:pPr>
      <w:r w:rsidRPr="001C31CF">
        <w:rPr>
          <w:rStyle w:val="FootnoteReference"/>
        </w:rPr>
        <w:footnoteRef/>
      </w:r>
      <w:r w:rsidR="001C31CF">
        <w:rPr>
          <w:lang w:val="fr-BE"/>
        </w:rPr>
        <w:tab/>
      </w:r>
    </w:p>
  </w:footnote>
  <w:footnote w:id="55">
    <w:p w14:paraId="5165BB8E" w14:textId="4BC0855D" w:rsidR="009B03F8" w:rsidRPr="009B03F8" w:rsidRDefault="009B03F8">
      <w:pPr>
        <w:pStyle w:val="FootnoteText"/>
        <w:rPr>
          <w:lang w:val="fr-BE"/>
        </w:rPr>
      </w:pPr>
      <w:r w:rsidRPr="001C31CF">
        <w:rPr>
          <w:rStyle w:val="FootnoteReference"/>
        </w:rPr>
        <w:footnoteRef/>
      </w:r>
      <w:r w:rsidR="001C31CF">
        <w:rPr>
          <w:lang w:val="fr-BE"/>
        </w:rPr>
        <w:tab/>
      </w:r>
    </w:p>
  </w:footnote>
  <w:footnote w:id="56">
    <w:p w14:paraId="46D90A35" w14:textId="6D2F1BFE" w:rsidR="009B03F8" w:rsidRPr="009B03F8" w:rsidRDefault="009B03F8">
      <w:pPr>
        <w:pStyle w:val="FootnoteText"/>
        <w:rPr>
          <w:lang w:val="fr-BE"/>
        </w:rPr>
      </w:pPr>
      <w:r w:rsidRPr="001C31CF">
        <w:rPr>
          <w:rStyle w:val="FootnoteReference"/>
        </w:rPr>
        <w:footnoteRef/>
      </w:r>
      <w:r w:rsidR="001C31CF">
        <w:rPr>
          <w:lang w:val="fr-BE"/>
        </w:rPr>
        <w:tab/>
      </w:r>
    </w:p>
  </w:footnote>
  <w:footnote w:id="57">
    <w:p w14:paraId="0F696202" w14:textId="1FC78C68" w:rsidR="009B03F8" w:rsidRPr="009B03F8" w:rsidRDefault="009B03F8">
      <w:pPr>
        <w:pStyle w:val="FootnoteText"/>
        <w:rPr>
          <w:lang w:val="fr-BE"/>
        </w:rPr>
      </w:pPr>
      <w:r w:rsidRPr="001C31CF">
        <w:rPr>
          <w:rStyle w:val="FootnoteReference"/>
        </w:rPr>
        <w:footnoteRef/>
      </w:r>
      <w:r w:rsidR="001C31CF">
        <w:rPr>
          <w:lang w:val="fr-BE"/>
        </w:rPr>
        <w:tab/>
      </w:r>
    </w:p>
  </w:footnote>
  <w:footnote w:id="58">
    <w:p w14:paraId="58E19688" w14:textId="05E68BA7" w:rsidR="009B03F8" w:rsidRPr="009B03F8" w:rsidRDefault="009B03F8">
      <w:pPr>
        <w:pStyle w:val="FootnoteText"/>
        <w:rPr>
          <w:lang w:val="fr-BE"/>
        </w:rPr>
      </w:pPr>
      <w:r w:rsidRPr="001C31CF">
        <w:rPr>
          <w:rStyle w:val="FootnoteReference"/>
        </w:rPr>
        <w:footnoteRef/>
      </w:r>
      <w:r w:rsidR="001C31CF">
        <w:rPr>
          <w:lang w:val="fr-BE"/>
        </w:rPr>
        <w:tab/>
      </w:r>
    </w:p>
  </w:footnote>
  <w:footnote w:id="59">
    <w:p w14:paraId="6158B4E6" w14:textId="0B277E1C" w:rsidR="009B03F8" w:rsidRPr="009B03F8" w:rsidRDefault="009B03F8">
      <w:pPr>
        <w:pStyle w:val="FootnoteText"/>
        <w:rPr>
          <w:lang w:val="fr-BE"/>
        </w:rPr>
      </w:pPr>
      <w:r w:rsidRPr="001C31CF">
        <w:rPr>
          <w:rStyle w:val="FootnoteReference"/>
        </w:rPr>
        <w:footnoteRef/>
      </w:r>
      <w:r w:rsidR="001C31CF">
        <w:rPr>
          <w:lang w:val="fr-BE"/>
        </w:rPr>
        <w:tab/>
      </w:r>
    </w:p>
  </w:footnote>
  <w:footnote w:id="60">
    <w:p w14:paraId="2320BF10" w14:textId="7D77E226" w:rsidR="009B03F8" w:rsidRPr="009B03F8" w:rsidRDefault="009B03F8">
      <w:pPr>
        <w:pStyle w:val="FootnoteText"/>
        <w:rPr>
          <w:lang w:val="fr-BE"/>
        </w:rPr>
      </w:pPr>
      <w:r w:rsidRPr="001C31CF">
        <w:rPr>
          <w:rStyle w:val="FootnoteReference"/>
        </w:rPr>
        <w:footnoteRef/>
      </w:r>
      <w:r w:rsidR="001C31CF">
        <w:rPr>
          <w:lang w:val="fr-BE"/>
        </w:rPr>
        <w:tab/>
      </w:r>
    </w:p>
  </w:footnote>
  <w:footnote w:id="61">
    <w:p w14:paraId="3A4E84AE" w14:textId="77777777" w:rsidR="002850C6" w:rsidRPr="002850C6" w:rsidRDefault="002850C6" w:rsidP="002850C6">
      <w:pPr>
        <w:pStyle w:val="FootnoteText"/>
        <w:rPr>
          <w:lang w:val="fr-BE"/>
        </w:rPr>
      </w:pPr>
      <w:r>
        <w:rPr>
          <w:rStyle w:val="FootnoteReference"/>
        </w:rPr>
        <w:footnoteRef/>
      </w:r>
      <w:r w:rsidRPr="002850C6">
        <w:rPr>
          <w:lang w:val="fr-BE"/>
        </w:rPr>
        <w:tab/>
        <w:t xml:space="preserve">Règlement (UE) </w:t>
      </w:r>
      <w:r w:rsidRPr="0086652C">
        <w:rPr>
          <w:lang w:val="fr-BE"/>
        </w:rPr>
        <w:t>2024</w:t>
      </w:r>
      <w:r w:rsidRPr="002850C6">
        <w:rPr>
          <w:lang w:val="fr-BE"/>
        </w:rPr>
        <w:t>/</w:t>
      </w:r>
      <w:r w:rsidRPr="0086652C">
        <w:rPr>
          <w:lang w:val="fr-BE"/>
        </w:rPr>
        <w:t>1679</w:t>
      </w:r>
      <w:r w:rsidRPr="002850C6">
        <w:rPr>
          <w:lang w:val="fr-BE"/>
        </w:rPr>
        <w:t xml:space="preserve"> du Parlement européen et du Conseil du </w:t>
      </w:r>
      <w:r w:rsidRPr="0086652C">
        <w:rPr>
          <w:lang w:val="fr-BE"/>
        </w:rPr>
        <w:t>13</w:t>
      </w:r>
      <w:r w:rsidRPr="002850C6">
        <w:rPr>
          <w:lang w:val="fr-BE"/>
        </w:rPr>
        <w:t xml:space="preserve"> juin </w:t>
      </w:r>
      <w:r w:rsidRPr="0086652C">
        <w:rPr>
          <w:lang w:val="fr-BE"/>
        </w:rPr>
        <w:t>2024</w:t>
      </w:r>
      <w:r w:rsidRPr="002850C6">
        <w:rPr>
          <w:lang w:val="fr-BE"/>
        </w:rPr>
        <w:t xml:space="preserve"> sur les orientations de l’Union pour le développement du réseau transeuropéen de transport, modifiant les règlements (UE) </w:t>
      </w:r>
      <w:r w:rsidRPr="0086652C">
        <w:rPr>
          <w:lang w:val="fr-BE"/>
        </w:rPr>
        <w:t>2021</w:t>
      </w:r>
      <w:r w:rsidRPr="002850C6">
        <w:rPr>
          <w:lang w:val="fr-BE"/>
        </w:rPr>
        <w:t>/</w:t>
      </w:r>
      <w:r w:rsidRPr="0086652C">
        <w:rPr>
          <w:lang w:val="fr-BE"/>
        </w:rPr>
        <w:t>1153</w:t>
      </w:r>
      <w:r w:rsidRPr="002850C6">
        <w:rPr>
          <w:lang w:val="fr-BE"/>
        </w:rPr>
        <w:t xml:space="preserve"> et (UE) nº </w:t>
      </w:r>
      <w:r w:rsidRPr="0086652C">
        <w:rPr>
          <w:lang w:val="fr-BE"/>
        </w:rPr>
        <w:t>913</w:t>
      </w:r>
      <w:r w:rsidRPr="002850C6">
        <w:rPr>
          <w:lang w:val="fr-BE"/>
        </w:rPr>
        <w:t>/</w:t>
      </w:r>
      <w:r w:rsidRPr="0086652C">
        <w:rPr>
          <w:lang w:val="fr-BE"/>
        </w:rPr>
        <w:t>2010</w:t>
      </w:r>
      <w:r w:rsidRPr="002850C6">
        <w:rPr>
          <w:lang w:val="fr-BE"/>
        </w:rPr>
        <w:t xml:space="preserve"> et abrogeant le règlement (UE) nº </w:t>
      </w:r>
      <w:r w:rsidRPr="0086652C">
        <w:rPr>
          <w:lang w:val="fr-BE"/>
        </w:rPr>
        <w:t>1315</w:t>
      </w:r>
      <w:r w:rsidRPr="002850C6">
        <w:rPr>
          <w:lang w:val="fr-BE"/>
        </w:rPr>
        <w:t>/</w:t>
      </w:r>
      <w:r w:rsidRPr="0086652C">
        <w:rPr>
          <w:lang w:val="fr-BE"/>
        </w:rPr>
        <w:t>2013</w:t>
      </w:r>
      <w:r w:rsidRPr="002850C6">
        <w:rPr>
          <w:lang w:val="fr-BE"/>
        </w:rPr>
        <w:t xml:space="preserve"> (JO L, </w:t>
      </w:r>
      <w:r w:rsidRPr="0086652C">
        <w:rPr>
          <w:lang w:val="fr-BE"/>
        </w:rPr>
        <w:t>2024</w:t>
      </w:r>
      <w:r w:rsidRPr="002850C6">
        <w:rPr>
          <w:lang w:val="fr-BE"/>
        </w:rPr>
        <w:t>/</w:t>
      </w:r>
      <w:r w:rsidRPr="0086652C">
        <w:rPr>
          <w:lang w:val="fr-BE"/>
        </w:rPr>
        <w:t>1679</w:t>
      </w:r>
      <w:r w:rsidRPr="002850C6">
        <w:rPr>
          <w:lang w:val="fr-BE"/>
        </w:rPr>
        <w:t xml:space="preserve">, </w:t>
      </w:r>
      <w:r w:rsidRPr="0086652C">
        <w:rPr>
          <w:lang w:val="fr-BE"/>
        </w:rPr>
        <w:t>28</w:t>
      </w:r>
      <w:r w:rsidRPr="002850C6">
        <w:rPr>
          <w:lang w:val="fr-BE"/>
        </w:rPr>
        <w:t>.</w:t>
      </w:r>
      <w:r w:rsidRPr="0086652C">
        <w:rPr>
          <w:lang w:val="fr-BE"/>
        </w:rPr>
        <w:t>6</w:t>
      </w:r>
      <w:r w:rsidRPr="002850C6">
        <w:rPr>
          <w:lang w:val="fr-BE"/>
        </w:rPr>
        <w:t>.</w:t>
      </w:r>
      <w:r w:rsidRPr="0086652C">
        <w:rPr>
          <w:lang w:val="fr-BE"/>
        </w:rPr>
        <w:t>2024</w:t>
      </w:r>
      <w:r w:rsidRPr="002850C6">
        <w:rPr>
          <w:lang w:val="fr-BE"/>
        </w:rPr>
        <w:t>, ELI: http://data.europa.eu/eli/reg/</w:t>
      </w:r>
      <w:r w:rsidRPr="0086652C">
        <w:rPr>
          <w:lang w:val="fr-BE"/>
        </w:rPr>
        <w:t>2024</w:t>
      </w:r>
      <w:r w:rsidRPr="002850C6">
        <w:rPr>
          <w:lang w:val="fr-BE"/>
        </w:rPr>
        <w:t>/</w:t>
      </w:r>
      <w:r w:rsidRPr="0086652C">
        <w:rPr>
          <w:lang w:val="fr-BE"/>
        </w:rPr>
        <w:t>1679</w:t>
      </w:r>
      <w:r w:rsidRPr="002850C6">
        <w:rPr>
          <w:lang w:val="fr-BE"/>
        </w:rPr>
        <w:t>/oj).</w:t>
      </w:r>
    </w:p>
  </w:footnote>
  <w:footnote w:id="62">
    <w:p w14:paraId="7144E611" w14:textId="7B2BB4C7" w:rsidR="009B03F8" w:rsidRPr="009B03F8" w:rsidRDefault="009B03F8">
      <w:pPr>
        <w:pStyle w:val="FootnoteText"/>
        <w:rPr>
          <w:lang w:val="fr-BE"/>
        </w:rPr>
      </w:pPr>
      <w:r w:rsidRPr="001C31CF">
        <w:rPr>
          <w:rStyle w:val="FootnoteReference"/>
        </w:rPr>
        <w:footnoteRef/>
      </w:r>
      <w:r w:rsidR="001C31CF">
        <w:rPr>
          <w:lang w:val="fr-BE"/>
        </w:rPr>
        <w:tab/>
      </w:r>
    </w:p>
  </w:footnote>
  <w:footnote w:id="63">
    <w:p w14:paraId="7B3B18BA" w14:textId="77777777" w:rsidR="002850C6" w:rsidRPr="002850C6" w:rsidRDefault="002850C6" w:rsidP="002850C6">
      <w:pPr>
        <w:pStyle w:val="FootnoteText"/>
        <w:rPr>
          <w:lang w:val="fr-BE"/>
        </w:rPr>
      </w:pPr>
      <w:r>
        <w:rPr>
          <w:rStyle w:val="FootnoteReference"/>
        </w:rPr>
        <w:footnoteRef/>
      </w:r>
      <w:r w:rsidRPr="002850C6">
        <w:rPr>
          <w:lang w:val="fr-BE"/>
        </w:rPr>
        <w:tab/>
        <w:t>Tel(le) que visé(e) à l’article </w:t>
      </w:r>
      <w:r w:rsidRPr="0086652C">
        <w:rPr>
          <w:lang w:val="fr-BE"/>
        </w:rPr>
        <w:t>58</w:t>
      </w:r>
      <w:r w:rsidRPr="002850C6">
        <w:rPr>
          <w:lang w:val="fr-BE"/>
        </w:rPr>
        <w:t>, paragraphe </w:t>
      </w:r>
      <w:r w:rsidRPr="0086652C">
        <w:rPr>
          <w:lang w:val="fr-BE"/>
        </w:rPr>
        <w:t>2</w:t>
      </w:r>
      <w:r w:rsidRPr="002850C6">
        <w:rPr>
          <w:lang w:val="fr-BE"/>
        </w:rPr>
        <w:t>, point a) ou b), du règlement financier.</w:t>
      </w:r>
    </w:p>
  </w:footnote>
  <w:footnote w:id="64">
    <w:p w14:paraId="25308FD5" w14:textId="77777777" w:rsidR="002850C6" w:rsidRPr="002850C6" w:rsidRDefault="002850C6" w:rsidP="002850C6">
      <w:pPr>
        <w:pStyle w:val="FootnoteText"/>
        <w:rPr>
          <w:szCs w:val="24"/>
          <w:lang w:val="fr-BE"/>
        </w:rPr>
      </w:pPr>
      <w:r>
        <w:rPr>
          <w:rStyle w:val="FootnoteReference"/>
        </w:rPr>
        <w:footnoteRef/>
      </w:r>
      <w:r w:rsidRPr="002850C6">
        <w:rPr>
          <w:lang w:val="fr-BE"/>
        </w:rPr>
        <w:tab/>
        <w:t>Les réalisations se réfèrent aux produits et services qui seront fournis (par exemple: nombre d’échanges d’étudiants financés, nombre de km de routes construites).</w:t>
      </w:r>
    </w:p>
  </w:footnote>
  <w:footnote w:id="65">
    <w:p w14:paraId="530AA662" w14:textId="77777777" w:rsidR="002850C6" w:rsidRPr="002850C6" w:rsidRDefault="002850C6" w:rsidP="002850C6">
      <w:pPr>
        <w:pStyle w:val="FootnoteText"/>
        <w:rPr>
          <w:szCs w:val="24"/>
          <w:lang w:val="fr-BE"/>
        </w:rPr>
      </w:pPr>
      <w:r>
        <w:rPr>
          <w:rStyle w:val="FootnoteReference"/>
        </w:rPr>
        <w:footnoteRef/>
      </w:r>
      <w:r w:rsidRPr="002850C6">
        <w:rPr>
          <w:lang w:val="fr-BE"/>
        </w:rPr>
        <w:tab/>
        <w:t xml:space="preserve">Tel que décrit dans la section </w:t>
      </w:r>
      <w:r w:rsidRPr="0086652C">
        <w:rPr>
          <w:lang w:val="fr-BE"/>
        </w:rPr>
        <w:t>1</w:t>
      </w:r>
      <w:r w:rsidRPr="002850C6">
        <w:rPr>
          <w:lang w:val="fr-BE"/>
        </w:rPr>
        <w:t>.</w:t>
      </w:r>
      <w:r w:rsidRPr="0086652C">
        <w:rPr>
          <w:lang w:val="fr-BE"/>
        </w:rPr>
        <w:t>3</w:t>
      </w:r>
      <w:r w:rsidRPr="002850C6">
        <w:rPr>
          <w:lang w:val="fr-BE"/>
        </w:rPr>
        <w:t>.</w:t>
      </w:r>
      <w:r w:rsidRPr="0086652C">
        <w:rPr>
          <w:lang w:val="fr-BE"/>
        </w:rPr>
        <w:t>2</w:t>
      </w:r>
      <w:r w:rsidRPr="002850C6">
        <w:rPr>
          <w:lang w:val="fr-BE"/>
        </w:rPr>
        <w:t xml:space="preserve">. «Objectif(s) spécifique(s)». </w:t>
      </w:r>
    </w:p>
  </w:footnote>
  <w:footnote w:id="66">
    <w:p w14:paraId="5A9DECCB" w14:textId="77777777" w:rsidR="002850C6" w:rsidRPr="002850C6" w:rsidRDefault="002850C6" w:rsidP="002850C6">
      <w:pPr>
        <w:pStyle w:val="FootnoteText"/>
        <w:rPr>
          <w:lang w:val="fr-BE"/>
        </w:rPr>
      </w:pPr>
      <w:r>
        <w:rPr>
          <w:rStyle w:val="FootnoteReference"/>
        </w:rPr>
        <w:footnoteRef/>
      </w:r>
      <w:r w:rsidRPr="002850C6">
        <w:rPr>
          <w:lang w:val="fr-BE"/>
        </w:rPr>
        <w:tab/>
      </w:r>
      <w:r w:rsidRPr="0086652C">
        <w:rPr>
          <w:lang w:val="fr-BE"/>
        </w:rPr>
        <w:t>3</w:t>
      </w:r>
      <w:r w:rsidRPr="002850C6">
        <w:rPr>
          <w:lang w:val="fr-BE"/>
        </w:rPr>
        <w:t xml:space="preserve"> agents temporaires (grades AD) à partir de </w:t>
      </w:r>
      <w:r w:rsidRPr="0086652C">
        <w:rPr>
          <w:lang w:val="fr-BE"/>
        </w:rPr>
        <w:t>2027</w:t>
      </w:r>
      <w:r w:rsidRPr="002850C6">
        <w:rPr>
          <w:lang w:val="fr-BE"/>
        </w:rPr>
        <w:t xml:space="preserve"> sont financés par des crédits couverts par des redevances.</w:t>
      </w:r>
    </w:p>
  </w:footnote>
  <w:footnote w:id="67">
    <w:p w14:paraId="779216DD" w14:textId="77777777" w:rsidR="002850C6" w:rsidRPr="002850C6" w:rsidRDefault="002850C6" w:rsidP="002850C6">
      <w:pPr>
        <w:pStyle w:val="FootnoteText"/>
        <w:rPr>
          <w:lang w:val="fr-BE"/>
        </w:rPr>
      </w:pPr>
      <w:r>
        <w:rPr>
          <w:rStyle w:val="FootnoteReference"/>
        </w:rPr>
        <w:footnoteRef/>
      </w:r>
      <w:r w:rsidRPr="002850C6">
        <w:rPr>
          <w:lang w:val="fr-BE"/>
        </w:rPr>
        <w:tab/>
      </w:r>
      <w:r w:rsidRPr="0086652C">
        <w:rPr>
          <w:lang w:val="fr-BE"/>
        </w:rPr>
        <w:t>3</w:t>
      </w:r>
      <w:r w:rsidRPr="002850C6">
        <w:rPr>
          <w:lang w:val="fr-BE"/>
        </w:rPr>
        <w:t xml:space="preserve"> agents contractuels (GF IV) à partir de </w:t>
      </w:r>
      <w:r w:rsidRPr="0086652C">
        <w:rPr>
          <w:lang w:val="fr-BE"/>
        </w:rPr>
        <w:t>2027</w:t>
      </w:r>
      <w:r w:rsidRPr="002850C6">
        <w:rPr>
          <w:lang w:val="fr-BE"/>
        </w:rPr>
        <w:t xml:space="preserve"> sont financés par des crédits couverts par des redevances.</w:t>
      </w:r>
    </w:p>
  </w:footnote>
  <w:footnote w:id="68">
    <w:p w14:paraId="3A840470" w14:textId="77777777" w:rsidR="002850C6" w:rsidRPr="002850C6" w:rsidRDefault="002850C6" w:rsidP="002850C6">
      <w:pPr>
        <w:pStyle w:val="FootnoteText"/>
        <w:rPr>
          <w:lang w:val="fr-BE"/>
        </w:rPr>
      </w:pPr>
      <w:r>
        <w:rPr>
          <w:rStyle w:val="FootnoteReference"/>
        </w:rPr>
        <w:footnoteRef/>
      </w:r>
      <w:r w:rsidRPr="002850C6">
        <w:rPr>
          <w:lang w:val="fr-BE"/>
        </w:rPr>
        <w:tab/>
      </w:r>
      <w:r w:rsidRPr="0086652C">
        <w:rPr>
          <w:lang w:val="fr-BE"/>
        </w:rPr>
        <w:t>2</w:t>
      </w:r>
      <w:r w:rsidRPr="002850C6">
        <w:rPr>
          <w:lang w:val="fr-BE"/>
        </w:rPr>
        <w:t xml:space="preserve"> agents temporaires (grades AD) à partir de </w:t>
      </w:r>
      <w:r w:rsidRPr="0086652C">
        <w:rPr>
          <w:lang w:val="fr-BE"/>
        </w:rPr>
        <w:t>2027</w:t>
      </w:r>
      <w:r w:rsidRPr="002850C6">
        <w:rPr>
          <w:lang w:val="fr-BE"/>
        </w:rPr>
        <w:t xml:space="preserve"> sont financés par des crédits couverts par des redevances.</w:t>
      </w:r>
    </w:p>
  </w:footnote>
  <w:footnote w:id="69">
    <w:p w14:paraId="75AB02BE" w14:textId="77777777" w:rsidR="002850C6" w:rsidRPr="002850C6" w:rsidRDefault="002850C6" w:rsidP="002850C6">
      <w:pPr>
        <w:pStyle w:val="FootnoteText"/>
        <w:rPr>
          <w:lang w:val="fr-BE"/>
        </w:rPr>
      </w:pPr>
      <w:r>
        <w:rPr>
          <w:rStyle w:val="FootnoteReference"/>
        </w:rPr>
        <w:footnoteRef/>
      </w:r>
      <w:r w:rsidRPr="002850C6">
        <w:rPr>
          <w:lang w:val="fr-BE"/>
        </w:rPr>
        <w:tab/>
      </w:r>
      <w:r w:rsidRPr="0086652C">
        <w:rPr>
          <w:lang w:val="fr-BE"/>
        </w:rPr>
        <w:t>1</w:t>
      </w:r>
      <w:r w:rsidRPr="002850C6">
        <w:rPr>
          <w:lang w:val="fr-BE"/>
        </w:rPr>
        <w:t xml:space="preserve"> agent contractuel (GF IV) à partir de </w:t>
      </w:r>
      <w:r w:rsidRPr="0086652C">
        <w:rPr>
          <w:lang w:val="fr-BE"/>
        </w:rPr>
        <w:t>2027</w:t>
      </w:r>
      <w:r w:rsidRPr="002850C6">
        <w:rPr>
          <w:lang w:val="fr-BE"/>
        </w:rPr>
        <w:t xml:space="preserve"> est financé par des crédits couverts par des redevances.</w:t>
      </w:r>
    </w:p>
    <w:p w14:paraId="3C952CDB" w14:textId="77777777" w:rsidR="002850C6" w:rsidRPr="002850C6" w:rsidRDefault="002850C6" w:rsidP="002850C6">
      <w:pPr>
        <w:pStyle w:val="FootnoteText"/>
        <w:rPr>
          <w:lang w:val="fr-BE"/>
        </w:rPr>
      </w:pPr>
    </w:p>
  </w:footnote>
  <w:footnote w:id="70">
    <w:p w14:paraId="41E6B4E3" w14:textId="77777777" w:rsidR="002850C6" w:rsidRPr="002850C6" w:rsidRDefault="002850C6" w:rsidP="002850C6">
      <w:pPr>
        <w:pStyle w:val="FootnoteText"/>
        <w:ind w:left="284" w:hanging="284"/>
        <w:rPr>
          <w:lang w:val="fr-BE"/>
        </w:rPr>
      </w:pPr>
      <w:r>
        <w:rPr>
          <w:rStyle w:val="FootnoteReference"/>
        </w:rPr>
        <w:footnoteRef/>
      </w:r>
      <w:r w:rsidRPr="002850C6">
        <w:rPr>
          <w:lang w:val="fr-BE"/>
        </w:rPr>
        <w:tab/>
        <w:t xml:space="preserve">Les chiffres figurant dans cette colonne tiennent compte des dépenses salariales totales couvertes par la contribution du budget de l’UE au CFP </w:t>
      </w:r>
      <w:r w:rsidRPr="0086652C">
        <w:rPr>
          <w:lang w:val="fr-BE"/>
        </w:rPr>
        <w:t>2028</w:t>
      </w:r>
      <w:r w:rsidRPr="002850C6">
        <w:rPr>
          <w:lang w:val="fr-BE"/>
        </w:rPr>
        <w:t>-</w:t>
      </w:r>
      <w:r w:rsidRPr="0086652C">
        <w:rPr>
          <w:lang w:val="fr-BE"/>
        </w:rPr>
        <w:t>2034</w:t>
      </w:r>
      <w:r w:rsidRPr="002850C6">
        <w:rPr>
          <w:lang w:val="fr-BE"/>
        </w:rPr>
        <w:t xml:space="preserve"> et d’une somme de </w:t>
      </w:r>
      <w:r w:rsidRPr="0086652C">
        <w:rPr>
          <w:lang w:val="fr-BE"/>
        </w:rPr>
        <w:t>150</w:t>
      </w:r>
      <w:r w:rsidRPr="002850C6">
        <w:rPr>
          <w:lang w:val="fr-BE"/>
        </w:rPr>
        <w:t> </w:t>
      </w:r>
      <w:r w:rsidRPr="0086652C">
        <w:rPr>
          <w:lang w:val="fr-BE"/>
        </w:rPr>
        <w:t>000</w:t>
      </w:r>
      <w:r w:rsidRPr="002850C6">
        <w:rPr>
          <w:lang w:val="fr-BE"/>
        </w:rPr>
        <w:t xml:space="preserve"> EUR par an pour la maintenance informatique, sans préjudice des négociations du CFP </w:t>
      </w:r>
      <w:r w:rsidRPr="0086652C">
        <w:rPr>
          <w:lang w:val="fr-BE"/>
        </w:rPr>
        <w:t>2028</w:t>
      </w:r>
      <w:r w:rsidRPr="002850C6">
        <w:rPr>
          <w:lang w:val="fr-BE"/>
        </w:rPr>
        <w:t>-</w:t>
      </w:r>
      <w:r w:rsidRPr="0086652C">
        <w:rPr>
          <w:lang w:val="fr-BE"/>
        </w:rPr>
        <w:t>2034</w:t>
      </w:r>
      <w:r w:rsidRPr="002850C6">
        <w:rPr>
          <w:lang w:val="fr-BE"/>
        </w:rPr>
        <w:t>.</w:t>
      </w:r>
    </w:p>
  </w:footnote>
  <w:footnote w:id="71">
    <w:p w14:paraId="4AB62E73" w14:textId="77777777" w:rsidR="002850C6" w:rsidRPr="002850C6" w:rsidRDefault="002850C6" w:rsidP="002850C6">
      <w:pPr>
        <w:pStyle w:val="FootnoteText"/>
        <w:ind w:left="284" w:hanging="284"/>
        <w:rPr>
          <w:lang w:val="fr-BE"/>
        </w:rPr>
      </w:pPr>
      <w:r>
        <w:rPr>
          <w:rStyle w:val="FootnoteReference"/>
        </w:rPr>
        <w:footnoteRef/>
      </w:r>
      <w:r w:rsidRPr="002850C6">
        <w:rPr>
          <w:lang w:val="fr-BE"/>
        </w:rPr>
        <w:tab/>
        <w:t xml:space="preserve">Les chiffres figurant dans cette colonne tiennent compte des dépenses salariales totales couvertes par la contribution du budget de l’UE au CFP </w:t>
      </w:r>
      <w:r w:rsidRPr="0086652C">
        <w:rPr>
          <w:lang w:val="fr-BE"/>
        </w:rPr>
        <w:t>2028</w:t>
      </w:r>
      <w:r w:rsidRPr="002850C6">
        <w:rPr>
          <w:lang w:val="fr-BE"/>
        </w:rPr>
        <w:t>-</w:t>
      </w:r>
      <w:r w:rsidRPr="0086652C">
        <w:rPr>
          <w:lang w:val="fr-BE"/>
        </w:rPr>
        <w:t>2034</w:t>
      </w:r>
      <w:r w:rsidRPr="002850C6">
        <w:rPr>
          <w:lang w:val="fr-BE"/>
        </w:rPr>
        <w:t xml:space="preserve">, sans préjudice des négociations du CFP </w:t>
      </w:r>
      <w:r w:rsidRPr="0086652C">
        <w:rPr>
          <w:lang w:val="fr-BE"/>
        </w:rPr>
        <w:t>2028</w:t>
      </w:r>
      <w:r w:rsidRPr="002850C6">
        <w:rPr>
          <w:lang w:val="fr-BE"/>
        </w:rPr>
        <w:t>-</w:t>
      </w:r>
      <w:r w:rsidRPr="0086652C">
        <w:rPr>
          <w:lang w:val="fr-BE"/>
        </w:rPr>
        <w:t>2034</w:t>
      </w:r>
      <w:r w:rsidRPr="002850C6">
        <w:rPr>
          <w:lang w:val="fr-BE"/>
        </w:rPr>
        <w:t>.</w:t>
      </w:r>
    </w:p>
  </w:footnote>
  <w:footnote w:id="72">
    <w:p w14:paraId="4A20BE47" w14:textId="77777777" w:rsidR="002850C6" w:rsidRPr="002850C6" w:rsidRDefault="002850C6" w:rsidP="002850C6">
      <w:pPr>
        <w:pStyle w:val="FootnoteText"/>
        <w:ind w:left="284" w:hanging="284"/>
        <w:rPr>
          <w:lang w:val="fr-BE"/>
        </w:rPr>
      </w:pPr>
      <w:r>
        <w:rPr>
          <w:rStyle w:val="FootnoteReference"/>
        </w:rPr>
        <w:footnoteRef/>
      </w:r>
      <w:r w:rsidRPr="002850C6">
        <w:rPr>
          <w:lang w:val="fr-BE"/>
        </w:rPr>
        <w:tab/>
        <w:t xml:space="preserve">Les chiffres figurant dans cette colonne tiennent compte des dépenses salariales totales couvertes par des redevances pour le CFP </w:t>
      </w:r>
      <w:r w:rsidRPr="0086652C">
        <w:rPr>
          <w:lang w:val="fr-BE"/>
        </w:rPr>
        <w:t>2028</w:t>
      </w:r>
      <w:r w:rsidRPr="002850C6">
        <w:rPr>
          <w:lang w:val="fr-BE"/>
        </w:rPr>
        <w:t>-</w:t>
      </w:r>
      <w:r w:rsidRPr="0086652C">
        <w:rPr>
          <w:lang w:val="fr-BE"/>
        </w:rPr>
        <w:t>2034</w:t>
      </w:r>
      <w:r w:rsidRPr="002850C6">
        <w:rPr>
          <w:lang w:val="fr-BE"/>
        </w:rPr>
        <w:t xml:space="preserve">, sans préjudice des négociations du CFP </w:t>
      </w:r>
      <w:r w:rsidRPr="0086652C">
        <w:rPr>
          <w:lang w:val="fr-BE"/>
        </w:rPr>
        <w:t>2028</w:t>
      </w:r>
      <w:r w:rsidRPr="002850C6">
        <w:rPr>
          <w:lang w:val="fr-BE"/>
        </w:rPr>
        <w:t>-</w:t>
      </w:r>
      <w:r w:rsidRPr="0086652C">
        <w:rPr>
          <w:lang w:val="fr-BE"/>
        </w:rPr>
        <w:t>2034</w:t>
      </w:r>
      <w:r w:rsidRPr="002850C6">
        <w:rPr>
          <w:lang w:val="fr-BE"/>
        </w:rPr>
        <w:t>.</w:t>
      </w:r>
    </w:p>
  </w:footnote>
  <w:footnote w:id="73">
    <w:p w14:paraId="65309517" w14:textId="77777777" w:rsidR="002850C6" w:rsidRPr="002850C6" w:rsidRDefault="002850C6" w:rsidP="002850C6">
      <w:pPr>
        <w:pStyle w:val="FootnoteText"/>
        <w:ind w:left="284" w:hanging="284"/>
        <w:rPr>
          <w:lang w:val="fr-BE"/>
        </w:rPr>
      </w:pPr>
      <w:r>
        <w:rPr>
          <w:rStyle w:val="FootnoteReference"/>
        </w:rPr>
        <w:footnoteRef/>
      </w:r>
      <w:r w:rsidRPr="002850C6">
        <w:rPr>
          <w:lang w:val="fr-BE"/>
        </w:rPr>
        <w:tab/>
        <w:t xml:space="preserve">Les chiffres figurant dans cette colonne tiennent compte des dépenses salariales totales couvertes par des redevances pour le CFP </w:t>
      </w:r>
      <w:r w:rsidRPr="0086652C">
        <w:rPr>
          <w:lang w:val="fr-BE"/>
        </w:rPr>
        <w:t>2028</w:t>
      </w:r>
      <w:r w:rsidRPr="002850C6">
        <w:rPr>
          <w:lang w:val="fr-BE"/>
        </w:rPr>
        <w:t>-</w:t>
      </w:r>
      <w:r w:rsidRPr="0086652C">
        <w:rPr>
          <w:lang w:val="fr-BE"/>
        </w:rPr>
        <w:t>2034</w:t>
      </w:r>
      <w:r w:rsidRPr="002850C6">
        <w:rPr>
          <w:lang w:val="fr-BE"/>
        </w:rPr>
        <w:t xml:space="preserve">, sans préjudice des négociations du CFP </w:t>
      </w:r>
      <w:r w:rsidRPr="0086652C">
        <w:rPr>
          <w:lang w:val="fr-BE"/>
        </w:rPr>
        <w:t>2028</w:t>
      </w:r>
      <w:r w:rsidRPr="002850C6">
        <w:rPr>
          <w:lang w:val="fr-BE"/>
        </w:rPr>
        <w:t>-</w:t>
      </w:r>
      <w:r w:rsidRPr="0086652C">
        <w:rPr>
          <w:lang w:val="fr-BE"/>
        </w:rPr>
        <w:t>2034</w:t>
      </w:r>
      <w:r w:rsidRPr="002850C6">
        <w:rPr>
          <w:lang w:val="fr-BE"/>
        </w:rPr>
        <w:t>.</w:t>
      </w:r>
    </w:p>
  </w:footnote>
  <w:footnote w:id="74">
    <w:p w14:paraId="13D47165" w14:textId="77777777" w:rsidR="002850C6" w:rsidRPr="002850C6" w:rsidRDefault="002850C6" w:rsidP="002850C6">
      <w:pPr>
        <w:pStyle w:val="FootnoteText"/>
        <w:ind w:left="284" w:hanging="284"/>
        <w:rPr>
          <w:szCs w:val="24"/>
          <w:lang w:val="fr-BE"/>
        </w:rPr>
      </w:pPr>
      <w:r>
        <w:rPr>
          <w:rStyle w:val="FootnoteReference"/>
        </w:rPr>
        <w:footnoteRef/>
      </w:r>
      <w:r w:rsidRPr="002850C6">
        <w:rPr>
          <w:lang w:val="fr-BE"/>
        </w:rPr>
        <w:tab/>
        <w:t xml:space="preserve">En ce qui concerne les ressources propres traditionnelles (droits de douane, cotisations sur le sucre), les montants indiqués doivent être des montants nets, c'est-à-dire des montants bruts après déduction de </w:t>
      </w:r>
      <w:r w:rsidRPr="0086652C">
        <w:rPr>
          <w:lang w:val="fr-BE"/>
        </w:rPr>
        <w:t>20</w:t>
      </w:r>
      <w:r w:rsidRPr="002850C6">
        <w:rPr>
          <w:lang w:val="fr-BE"/>
        </w:rPr>
        <w:t>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0990E" w14:textId="77777777" w:rsidR="003A339D" w:rsidRDefault="003A3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5E42D" w14:textId="77777777" w:rsidR="003A339D" w:rsidRDefault="003A339D" w:rsidP="003A3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9AA2" w14:textId="77777777" w:rsidR="003A339D" w:rsidRPr="003A339D" w:rsidRDefault="003A339D" w:rsidP="003A339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D0482" w14:textId="77777777" w:rsidR="003A339D" w:rsidRPr="003A339D" w:rsidRDefault="003A339D" w:rsidP="003A3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86013A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6904C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8E2BC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CD043C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2"/>
  </w:num>
  <w:num w:numId="7">
    <w:abstractNumId w:val="21"/>
  </w:num>
  <w:num w:numId="8">
    <w:abstractNumId w:val="20"/>
  </w:num>
  <w:num w:numId="9">
    <w:abstractNumId w:val="29"/>
  </w:num>
  <w:num w:numId="10">
    <w:abstractNumId w:val="5"/>
  </w:num>
  <w:num w:numId="11">
    <w:abstractNumId w:val="14"/>
  </w:num>
  <w:num w:numId="12">
    <w:abstractNumId w:val="6"/>
  </w:num>
  <w:num w:numId="13">
    <w:abstractNumId w:val="15"/>
  </w:num>
  <w:num w:numId="14">
    <w:abstractNumId w:val="13"/>
  </w:num>
  <w:num w:numId="15">
    <w:abstractNumId w:val="22"/>
  </w:num>
  <w:num w:numId="16">
    <w:abstractNumId w:val="11"/>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16"/>
  </w:num>
  <w:num w:numId="20">
    <w:abstractNumId w:val="28"/>
  </w:num>
  <w:num w:numId="21">
    <w:abstractNumId w:val="10"/>
  </w:num>
  <w:num w:numId="22">
    <w:abstractNumId w:val="17"/>
  </w:num>
  <w:num w:numId="23">
    <w:abstractNumId w:val="18"/>
  </w:num>
  <w:num w:numId="24">
    <w:abstractNumId w:val="8"/>
  </w:num>
  <w:num w:numId="25">
    <w:abstractNumId w:val="27"/>
  </w:num>
  <w:num w:numId="26">
    <w:abstractNumId w:val="7"/>
  </w:num>
  <w:num w:numId="27">
    <w:abstractNumId w:val="19"/>
  </w:num>
  <w:num w:numId="28">
    <w:abstractNumId w:val="24"/>
  </w:num>
  <w:num w:numId="29">
    <w:abstractNumId w:val="25"/>
  </w:num>
  <w:num w:numId="30">
    <w:abstractNumId w:val="9"/>
  </w:num>
  <w:num w:numId="31">
    <w:abstractNumId w:val="23"/>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1-19 11:25: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FD85B198-26E5-46CC-8CB0-008AEECB4494"/>
    <w:docVar w:name="LW_COVERPAGE_TYPE" w:val="1"/>
    <w:docVar w:name="LW_CROSSREFERENCE" w:val="{SWD(2025) 847 final}"/>
    <w:docVar w:name="LW_DocType" w:val="COM"/>
    <w:docVar w:name="LW_EMISSION" w:val="19.11.2025"/>
    <w:docVar w:name="LW_EMISSION_ISODATE" w:val="2025-11-19"/>
    <w:docVar w:name="LW_EMISSION_LOCATION" w:val="BRX"/>
    <w:docVar w:name="LW_EMISSION_PREFIX" w:val="Bruxelles, le "/>
    <w:docVar w:name="LW_EMISSION_SUFFIX" w:val=" "/>
    <w:docVar w:name="LW_ID_DOCSIGNATURE" w:val="SJ-023"/>
    <w:docVar w:name="LW_ID_DOCSTRUCTURE" w:val="COM/PL/ORG"/>
    <w:docVar w:name="LW_ID_DOCTYPE" w:val="SJ-023"/>
    <w:docVar w:name="LW_ID_STATUT" w:val="SJ-023"/>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847"/>
    <w:docVar w:name="LW_REF.II.NEW.CP_YEAR" w:val="2025"/>
    <w:docVar w:name="LW_REF.INST.NEW" w:val="COM"/>
    <w:docVar w:name="LW_REF.INST.NEW_ADOPTED" w:val="final"/>
    <w:docVar w:name="LW_REF.INST.NEW_TEXT" w:val="(2025) 8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un cadre de mesures visant à faciliter le transport d\u8217?équipements, de marchandises et de personnel militaires dans l\u8217?ensemble de l\u8217?Union"/>
    <w:docVar w:name="LW_TYPE.DOC.CP" w:val="RÈGLEMENT DU PARLEMENT EUROPÉEN ET DU CONSEIL"/>
    <w:docVar w:name="LwApiVersions" w:val="LW4CoDe 1.24.5.0; LW 9.2, Build 20251112"/>
  </w:docVars>
  <w:rsids>
    <w:rsidRoot w:val="0029533F"/>
    <w:rsid w:val="00000170"/>
    <w:rsid w:val="00000233"/>
    <w:rsid w:val="000004C1"/>
    <w:rsid w:val="00000534"/>
    <w:rsid w:val="00000651"/>
    <w:rsid w:val="000006BA"/>
    <w:rsid w:val="000007D4"/>
    <w:rsid w:val="0000089A"/>
    <w:rsid w:val="000008AF"/>
    <w:rsid w:val="0000095B"/>
    <w:rsid w:val="00000AB1"/>
    <w:rsid w:val="00000B1C"/>
    <w:rsid w:val="00000C54"/>
    <w:rsid w:val="00000CD5"/>
    <w:rsid w:val="00000D91"/>
    <w:rsid w:val="00000DBB"/>
    <w:rsid w:val="00000FCA"/>
    <w:rsid w:val="0000106F"/>
    <w:rsid w:val="000012E7"/>
    <w:rsid w:val="000012F7"/>
    <w:rsid w:val="0000134E"/>
    <w:rsid w:val="0000149B"/>
    <w:rsid w:val="000016D9"/>
    <w:rsid w:val="000017EB"/>
    <w:rsid w:val="00001844"/>
    <w:rsid w:val="0000189A"/>
    <w:rsid w:val="00001917"/>
    <w:rsid w:val="0000194F"/>
    <w:rsid w:val="000019AE"/>
    <w:rsid w:val="000019EA"/>
    <w:rsid w:val="00001B44"/>
    <w:rsid w:val="000020F2"/>
    <w:rsid w:val="00002289"/>
    <w:rsid w:val="000023B1"/>
    <w:rsid w:val="0000269E"/>
    <w:rsid w:val="000027B7"/>
    <w:rsid w:val="000027FC"/>
    <w:rsid w:val="00002814"/>
    <w:rsid w:val="00002AD9"/>
    <w:rsid w:val="00002B5A"/>
    <w:rsid w:val="00002C00"/>
    <w:rsid w:val="00002C38"/>
    <w:rsid w:val="00002DFC"/>
    <w:rsid w:val="00003056"/>
    <w:rsid w:val="000030D7"/>
    <w:rsid w:val="0000316F"/>
    <w:rsid w:val="0000320B"/>
    <w:rsid w:val="00003335"/>
    <w:rsid w:val="00003381"/>
    <w:rsid w:val="00003799"/>
    <w:rsid w:val="000037E1"/>
    <w:rsid w:val="000039CA"/>
    <w:rsid w:val="00003A0E"/>
    <w:rsid w:val="00003A6A"/>
    <w:rsid w:val="00003CB9"/>
    <w:rsid w:val="00003CD9"/>
    <w:rsid w:val="00003D95"/>
    <w:rsid w:val="00003E20"/>
    <w:rsid w:val="00003F5E"/>
    <w:rsid w:val="00004008"/>
    <w:rsid w:val="00004205"/>
    <w:rsid w:val="000043FA"/>
    <w:rsid w:val="00004473"/>
    <w:rsid w:val="00004530"/>
    <w:rsid w:val="000045C7"/>
    <w:rsid w:val="0000469A"/>
    <w:rsid w:val="0000473B"/>
    <w:rsid w:val="00004768"/>
    <w:rsid w:val="00004878"/>
    <w:rsid w:val="000048FA"/>
    <w:rsid w:val="000048FF"/>
    <w:rsid w:val="00004C13"/>
    <w:rsid w:val="000050B4"/>
    <w:rsid w:val="0000512D"/>
    <w:rsid w:val="000052C2"/>
    <w:rsid w:val="0000533F"/>
    <w:rsid w:val="0000534E"/>
    <w:rsid w:val="0000539D"/>
    <w:rsid w:val="000056E4"/>
    <w:rsid w:val="000056FE"/>
    <w:rsid w:val="00005702"/>
    <w:rsid w:val="000057DA"/>
    <w:rsid w:val="000058B3"/>
    <w:rsid w:val="000058F2"/>
    <w:rsid w:val="000059E3"/>
    <w:rsid w:val="00005A67"/>
    <w:rsid w:val="00005B27"/>
    <w:rsid w:val="00005DF4"/>
    <w:rsid w:val="00005E0E"/>
    <w:rsid w:val="00005E99"/>
    <w:rsid w:val="00005FBD"/>
    <w:rsid w:val="000060D0"/>
    <w:rsid w:val="0000613F"/>
    <w:rsid w:val="0000622E"/>
    <w:rsid w:val="0000634E"/>
    <w:rsid w:val="00006354"/>
    <w:rsid w:val="0000635B"/>
    <w:rsid w:val="0000637A"/>
    <w:rsid w:val="000063C1"/>
    <w:rsid w:val="00006668"/>
    <w:rsid w:val="000066E4"/>
    <w:rsid w:val="00006719"/>
    <w:rsid w:val="00006777"/>
    <w:rsid w:val="0000684E"/>
    <w:rsid w:val="0000693D"/>
    <w:rsid w:val="00006B58"/>
    <w:rsid w:val="00006D27"/>
    <w:rsid w:val="00006EAB"/>
    <w:rsid w:val="00006F49"/>
    <w:rsid w:val="00006F76"/>
    <w:rsid w:val="00006F91"/>
    <w:rsid w:val="00007127"/>
    <w:rsid w:val="000071B8"/>
    <w:rsid w:val="000071C0"/>
    <w:rsid w:val="0000733A"/>
    <w:rsid w:val="0000743C"/>
    <w:rsid w:val="0000745C"/>
    <w:rsid w:val="000074B7"/>
    <w:rsid w:val="00007600"/>
    <w:rsid w:val="00007790"/>
    <w:rsid w:val="00007814"/>
    <w:rsid w:val="00007916"/>
    <w:rsid w:val="000079B6"/>
    <w:rsid w:val="000079DB"/>
    <w:rsid w:val="00007A72"/>
    <w:rsid w:val="00007B4F"/>
    <w:rsid w:val="00007C4B"/>
    <w:rsid w:val="00007D91"/>
    <w:rsid w:val="00007FBA"/>
    <w:rsid w:val="00010394"/>
    <w:rsid w:val="000103DA"/>
    <w:rsid w:val="0001048B"/>
    <w:rsid w:val="00010558"/>
    <w:rsid w:val="0001057F"/>
    <w:rsid w:val="00010750"/>
    <w:rsid w:val="0001077E"/>
    <w:rsid w:val="0001081C"/>
    <w:rsid w:val="00010948"/>
    <w:rsid w:val="00010AD1"/>
    <w:rsid w:val="00010B60"/>
    <w:rsid w:val="00010BD5"/>
    <w:rsid w:val="00010D29"/>
    <w:rsid w:val="00010E53"/>
    <w:rsid w:val="0001111A"/>
    <w:rsid w:val="000111A3"/>
    <w:rsid w:val="0001127D"/>
    <w:rsid w:val="000112A6"/>
    <w:rsid w:val="00011652"/>
    <w:rsid w:val="00011675"/>
    <w:rsid w:val="0001172C"/>
    <w:rsid w:val="00011867"/>
    <w:rsid w:val="00011A0F"/>
    <w:rsid w:val="00011A38"/>
    <w:rsid w:val="00011BC8"/>
    <w:rsid w:val="00011C8D"/>
    <w:rsid w:val="00011CE0"/>
    <w:rsid w:val="00011DA6"/>
    <w:rsid w:val="00011E00"/>
    <w:rsid w:val="00011E57"/>
    <w:rsid w:val="00011F48"/>
    <w:rsid w:val="00011F62"/>
    <w:rsid w:val="00012062"/>
    <w:rsid w:val="00012112"/>
    <w:rsid w:val="0001215C"/>
    <w:rsid w:val="00012469"/>
    <w:rsid w:val="00012555"/>
    <w:rsid w:val="00012593"/>
    <w:rsid w:val="00012976"/>
    <w:rsid w:val="000129E1"/>
    <w:rsid w:val="000129F0"/>
    <w:rsid w:val="00012AB8"/>
    <w:rsid w:val="00012C56"/>
    <w:rsid w:val="00012C6B"/>
    <w:rsid w:val="00012CF0"/>
    <w:rsid w:val="00012E2D"/>
    <w:rsid w:val="00012E2E"/>
    <w:rsid w:val="00012F49"/>
    <w:rsid w:val="000130E7"/>
    <w:rsid w:val="000134C8"/>
    <w:rsid w:val="00013541"/>
    <w:rsid w:val="000137F1"/>
    <w:rsid w:val="000137FB"/>
    <w:rsid w:val="00013996"/>
    <w:rsid w:val="000139C9"/>
    <w:rsid w:val="00013A42"/>
    <w:rsid w:val="00013AE4"/>
    <w:rsid w:val="00013DAC"/>
    <w:rsid w:val="00013E31"/>
    <w:rsid w:val="00013EA3"/>
    <w:rsid w:val="00013F1E"/>
    <w:rsid w:val="00013FA9"/>
    <w:rsid w:val="00014159"/>
    <w:rsid w:val="00014177"/>
    <w:rsid w:val="0001418D"/>
    <w:rsid w:val="000141DD"/>
    <w:rsid w:val="000145B6"/>
    <w:rsid w:val="00014772"/>
    <w:rsid w:val="0001488E"/>
    <w:rsid w:val="000149AF"/>
    <w:rsid w:val="00014AFA"/>
    <w:rsid w:val="00014B8E"/>
    <w:rsid w:val="00014E6E"/>
    <w:rsid w:val="00014FCA"/>
    <w:rsid w:val="0001508C"/>
    <w:rsid w:val="000150B7"/>
    <w:rsid w:val="00015102"/>
    <w:rsid w:val="00015133"/>
    <w:rsid w:val="000151EB"/>
    <w:rsid w:val="00015261"/>
    <w:rsid w:val="0001531D"/>
    <w:rsid w:val="0001540B"/>
    <w:rsid w:val="0001541C"/>
    <w:rsid w:val="00015527"/>
    <w:rsid w:val="00015590"/>
    <w:rsid w:val="0001583F"/>
    <w:rsid w:val="000158DD"/>
    <w:rsid w:val="000159A7"/>
    <w:rsid w:val="00015DBB"/>
    <w:rsid w:val="00015F5F"/>
    <w:rsid w:val="000160A5"/>
    <w:rsid w:val="0001622E"/>
    <w:rsid w:val="0001627D"/>
    <w:rsid w:val="0001646A"/>
    <w:rsid w:val="000164B4"/>
    <w:rsid w:val="00016621"/>
    <w:rsid w:val="0001683D"/>
    <w:rsid w:val="000169A0"/>
    <w:rsid w:val="000169B5"/>
    <w:rsid w:val="00016B1F"/>
    <w:rsid w:val="00016BD3"/>
    <w:rsid w:val="00016C1C"/>
    <w:rsid w:val="00016C2C"/>
    <w:rsid w:val="00016C3F"/>
    <w:rsid w:val="00016C51"/>
    <w:rsid w:val="00016D38"/>
    <w:rsid w:val="00016DA7"/>
    <w:rsid w:val="00016EFB"/>
    <w:rsid w:val="00016F62"/>
    <w:rsid w:val="00017223"/>
    <w:rsid w:val="00017301"/>
    <w:rsid w:val="000173B6"/>
    <w:rsid w:val="000173F4"/>
    <w:rsid w:val="000174B1"/>
    <w:rsid w:val="000174BB"/>
    <w:rsid w:val="00017566"/>
    <w:rsid w:val="0001785D"/>
    <w:rsid w:val="00017CE5"/>
    <w:rsid w:val="00017CF8"/>
    <w:rsid w:val="00017FCA"/>
    <w:rsid w:val="0002000B"/>
    <w:rsid w:val="0002011F"/>
    <w:rsid w:val="000201C3"/>
    <w:rsid w:val="000202D2"/>
    <w:rsid w:val="000203B3"/>
    <w:rsid w:val="0002040E"/>
    <w:rsid w:val="0002053D"/>
    <w:rsid w:val="000207AE"/>
    <w:rsid w:val="0002092B"/>
    <w:rsid w:val="00020C0E"/>
    <w:rsid w:val="00020C1D"/>
    <w:rsid w:val="00020D72"/>
    <w:rsid w:val="00020EA2"/>
    <w:rsid w:val="0002118F"/>
    <w:rsid w:val="00021257"/>
    <w:rsid w:val="000212E9"/>
    <w:rsid w:val="0002171A"/>
    <w:rsid w:val="0002192B"/>
    <w:rsid w:val="0002195F"/>
    <w:rsid w:val="000219E1"/>
    <w:rsid w:val="00021A15"/>
    <w:rsid w:val="00021D78"/>
    <w:rsid w:val="0002201F"/>
    <w:rsid w:val="00022046"/>
    <w:rsid w:val="0002205A"/>
    <w:rsid w:val="000220A9"/>
    <w:rsid w:val="00022148"/>
    <w:rsid w:val="00022443"/>
    <w:rsid w:val="00022465"/>
    <w:rsid w:val="00022562"/>
    <w:rsid w:val="000225A7"/>
    <w:rsid w:val="0002260E"/>
    <w:rsid w:val="0002277E"/>
    <w:rsid w:val="00022813"/>
    <w:rsid w:val="0002281B"/>
    <w:rsid w:val="000228C9"/>
    <w:rsid w:val="00022A51"/>
    <w:rsid w:val="00022A80"/>
    <w:rsid w:val="00022BA2"/>
    <w:rsid w:val="00022C1C"/>
    <w:rsid w:val="00022EEA"/>
    <w:rsid w:val="000230CD"/>
    <w:rsid w:val="00023189"/>
    <w:rsid w:val="0002321D"/>
    <w:rsid w:val="0002326C"/>
    <w:rsid w:val="00023605"/>
    <w:rsid w:val="00023651"/>
    <w:rsid w:val="00023748"/>
    <w:rsid w:val="0002375B"/>
    <w:rsid w:val="0002377A"/>
    <w:rsid w:val="00023890"/>
    <w:rsid w:val="000239AD"/>
    <w:rsid w:val="00023A33"/>
    <w:rsid w:val="00023AC1"/>
    <w:rsid w:val="00023BF1"/>
    <w:rsid w:val="00023CDB"/>
    <w:rsid w:val="00023D16"/>
    <w:rsid w:val="00023D27"/>
    <w:rsid w:val="00023DB2"/>
    <w:rsid w:val="00023EB6"/>
    <w:rsid w:val="00023F8E"/>
    <w:rsid w:val="000242AB"/>
    <w:rsid w:val="00024330"/>
    <w:rsid w:val="00024377"/>
    <w:rsid w:val="00024479"/>
    <w:rsid w:val="000244DD"/>
    <w:rsid w:val="0002451B"/>
    <w:rsid w:val="0002456F"/>
    <w:rsid w:val="000245F1"/>
    <w:rsid w:val="0002464F"/>
    <w:rsid w:val="000247C7"/>
    <w:rsid w:val="00024C5B"/>
    <w:rsid w:val="00024CFB"/>
    <w:rsid w:val="00024DFE"/>
    <w:rsid w:val="00024ED8"/>
    <w:rsid w:val="00025033"/>
    <w:rsid w:val="00025071"/>
    <w:rsid w:val="00025181"/>
    <w:rsid w:val="00025281"/>
    <w:rsid w:val="0002528D"/>
    <w:rsid w:val="0002557B"/>
    <w:rsid w:val="000255C7"/>
    <w:rsid w:val="00025644"/>
    <w:rsid w:val="0002564E"/>
    <w:rsid w:val="000256FD"/>
    <w:rsid w:val="0002575A"/>
    <w:rsid w:val="00025A4A"/>
    <w:rsid w:val="00025B4E"/>
    <w:rsid w:val="00025C70"/>
    <w:rsid w:val="00025DD1"/>
    <w:rsid w:val="00025E05"/>
    <w:rsid w:val="00025E20"/>
    <w:rsid w:val="00025EA5"/>
    <w:rsid w:val="00025EEA"/>
    <w:rsid w:val="000260A5"/>
    <w:rsid w:val="0002612A"/>
    <w:rsid w:val="0002632B"/>
    <w:rsid w:val="000263C4"/>
    <w:rsid w:val="0002643B"/>
    <w:rsid w:val="00026783"/>
    <w:rsid w:val="000267CF"/>
    <w:rsid w:val="00026851"/>
    <w:rsid w:val="00026890"/>
    <w:rsid w:val="00026980"/>
    <w:rsid w:val="00026C6F"/>
    <w:rsid w:val="00026CCB"/>
    <w:rsid w:val="00026E74"/>
    <w:rsid w:val="00026EB9"/>
    <w:rsid w:val="00027100"/>
    <w:rsid w:val="0002715D"/>
    <w:rsid w:val="000271C8"/>
    <w:rsid w:val="000271DC"/>
    <w:rsid w:val="000271FE"/>
    <w:rsid w:val="000274EC"/>
    <w:rsid w:val="0002783E"/>
    <w:rsid w:val="000278DB"/>
    <w:rsid w:val="00027ACA"/>
    <w:rsid w:val="00027AF7"/>
    <w:rsid w:val="00027D57"/>
    <w:rsid w:val="00027DB6"/>
    <w:rsid w:val="00027E41"/>
    <w:rsid w:val="00027F87"/>
    <w:rsid w:val="00030094"/>
    <w:rsid w:val="000300F7"/>
    <w:rsid w:val="00030165"/>
    <w:rsid w:val="0003020A"/>
    <w:rsid w:val="00030293"/>
    <w:rsid w:val="00030304"/>
    <w:rsid w:val="00030344"/>
    <w:rsid w:val="00030448"/>
    <w:rsid w:val="00030531"/>
    <w:rsid w:val="0003067C"/>
    <w:rsid w:val="00030690"/>
    <w:rsid w:val="00030758"/>
    <w:rsid w:val="0003093A"/>
    <w:rsid w:val="00030973"/>
    <w:rsid w:val="00030B5F"/>
    <w:rsid w:val="00030B97"/>
    <w:rsid w:val="00030C56"/>
    <w:rsid w:val="00030D1C"/>
    <w:rsid w:val="00030D98"/>
    <w:rsid w:val="0003113B"/>
    <w:rsid w:val="000312C4"/>
    <w:rsid w:val="000312FD"/>
    <w:rsid w:val="0003137E"/>
    <w:rsid w:val="00031496"/>
    <w:rsid w:val="000314C2"/>
    <w:rsid w:val="0003164F"/>
    <w:rsid w:val="00031736"/>
    <w:rsid w:val="000317AE"/>
    <w:rsid w:val="000317EB"/>
    <w:rsid w:val="000318DF"/>
    <w:rsid w:val="000318FB"/>
    <w:rsid w:val="00031974"/>
    <w:rsid w:val="00031984"/>
    <w:rsid w:val="000319B6"/>
    <w:rsid w:val="000319FF"/>
    <w:rsid w:val="00031B7C"/>
    <w:rsid w:val="00031C29"/>
    <w:rsid w:val="00031C9A"/>
    <w:rsid w:val="00031CC9"/>
    <w:rsid w:val="00031EEA"/>
    <w:rsid w:val="00031F05"/>
    <w:rsid w:val="00031FA2"/>
    <w:rsid w:val="00031FC6"/>
    <w:rsid w:val="00032090"/>
    <w:rsid w:val="00032131"/>
    <w:rsid w:val="000321A5"/>
    <w:rsid w:val="0003229A"/>
    <w:rsid w:val="000323B6"/>
    <w:rsid w:val="000324E9"/>
    <w:rsid w:val="00032891"/>
    <w:rsid w:val="000328D1"/>
    <w:rsid w:val="00032A74"/>
    <w:rsid w:val="00032C07"/>
    <w:rsid w:val="00032C95"/>
    <w:rsid w:val="00032D2B"/>
    <w:rsid w:val="00032DAB"/>
    <w:rsid w:val="00032EAF"/>
    <w:rsid w:val="00032F21"/>
    <w:rsid w:val="00032F9E"/>
    <w:rsid w:val="000330EB"/>
    <w:rsid w:val="00033102"/>
    <w:rsid w:val="00033122"/>
    <w:rsid w:val="000331A8"/>
    <w:rsid w:val="000331BF"/>
    <w:rsid w:val="000331C2"/>
    <w:rsid w:val="0003328F"/>
    <w:rsid w:val="00033450"/>
    <w:rsid w:val="0003369F"/>
    <w:rsid w:val="000337A9"/>
    <w:rsid w:val="00033B37"/>
    <w:rsid w:val="00033C4C"/>
    <w:rsid w:val="00033D74"/>
    <w:rsid w:val="00033E06"/>
    <w:rsid w:val="00033E9B"/>
    <w:rsid w:val="00033F65"/>
    <w:rsid w:val="0003405A"/>
    <w:rsid w:val="0003422A"/>
    <w:rsid w:val="0003433B"/>
    <w:rsid w:val="000343A0"/>
    <w:rsid w:val="000344E6"/>
    <w:rsid w:val="0003451C"/>
    <w:rsid w:val="0003457A"/>
    <w:rsid w:val="000345F2"/>
    <w:rsid w:val="00034736"/>
    <w:rsid w:val="0003473F"/>
    <w:rsid w:val="00034B4E"/>
    <w:rsid w:val="00034B9D"/>
    <w:rsid w:val="00034D7D"/>
    <w:rsid w:val="0003508A"/>
    <w:rsid w:val="00035103"/>
    <w:rsid w:val="0003532D"/>
    <w:rsid w:val="000354CA"/>
    <w:rsid w:val="000355F0"/>
    <w:rsid w:val="000355F7"/>
    <w:rsid w:val="00035729"/>
    <w:rsid w:val="00035876"/>
    <w:rsid w:val="00035A09"/>
    <w:rsid w:val="00035A2E"/>
    <w:rsid w:val="00035A5A"/>
    <w:rsid w:val="00035A7B"/>
    <w:rsid w:val="00035B8C"/>
    <w:rsid w:val="00035B8E"/>
    <w:rsid w:val="00035D19"/>
    <w:rsid w:val="00035E76"/>
    <w:rsid w:val="00035EC1"/>
    <w:rsid w:val="00035FD4"/>
    <w:rsid w:val="00035FEC"/>
    <w:rsid w:val="0003615F"/>
    <w:rsid w:val="000362F6"/>
    <w:rsid w:val="00036457"/>
    <w:rsid w:val="000365A1"/>
    <w:rsid w:val="00036652"/>
    <w:rsid w:val="00036740"/>
    <w:rsid w:val="00036779"/>
    <w:rsid w:val="000367CD"/>
    <w:rsid w:val="0003681B"/>
    <w:rsid w:val="00036893"/>
    <w:rsid w:val="000369C2"/>
    <w:rsid w:val="00036A4B"/>
    <w:rsid w:val="00036C47"/>
    <w:rsid w:val="00036DB0"/>
    <w:rsid w:val="00036DB5"/>
    <w:rsid w:val="0003718C"/>
    <w:rsid w:val="00037198"/>
    <w:rsid w:val="000371A2"/>
    <w:rsid w:val="000372F0"/>
    <w:rsid w:val="0003745E"/>
    <w:rsid w:val="0003746A"/>
    <w:rsid w:val="000375A2"/>
    <w:rsid w:val="000375EA"/>
    <w:rsid w:val="000376A7"/>
    <w:rsid w:val="000377B9"/>
    <w:rsid w:val="00037882"/>
    <w:rsid w:val="00037B4A"/>
    <w:rsid w:val="00037BA0"/>
    <w:rsid w:val="00037D78"/>
    <w:rsid w:val="00037E39"/>
    <w:rsid w:val="00037F79"/>
    <w:rsid w:val="00037FF0"/>
    <w:rsid w:val="0004013D"/>
    <w:rsid w:val="0004020C"/>
    <w:rsid w:val="0004066A"/>
    <w:rsid w:val="000407B2"/>
    <w:rsid w:val="00040843"/>
    <w:rsid w:val="00040AB5"/>
    <w:rsid w:val="00040AB8"/>
    <w:rsid w:val="00040B50"/>
    <w:rsid w:val="00040BA9"/>
    <w:rsid w:val="00040F1C"/>
    <w:rsid w:val="0004108F"/>
    <w:rsid w:val="0004114C"/>
    <w:rsid w:val="000413ED"/>
    <w:rsid w:val="000414A5"/>
    <w:rsid w:val="000415C1"/>
    <w:rsid w:val="000416B9"/>
    <w:rsid w:val="0004181E"/>
    <w:rsid w:val="000418CB"/>
    <w:rsid w:val="000418FE"/>
    <w:rsid w:val="0004197B"/>
    <w:rsid w:val="000419C9"/>
    <w:rsid w:val="00041A8E"/>
    <w:rsid w:val="00041C26"/>
    <w:rsid w:val="00041D69"/>
    <w:rsid w:val="00041DDF"/>
    <w:rsid w:val="00041DF9"/>
    <w:rsid w:val="00042078"/>
    <w:rsid w:val="0004218C"/>
    <w:rsid w:val="00042207"/>
    <w:rsid w:val="00042208"/>
    <w:rsid w:val="0004224D"/>
    <w:rsid w:val="00042601"/>
    <w:rsid w:val="00042861"/>
    <w:rsid w:val="000428E4"/>
    <w:rsid w:val="0004290A"/>
    <w:rsid w:val="000429EF"/>
    <w:rsid w:val="00042A09"/>
    <w:rsid w:val="00042A7E"/>
    <w:rsid w:val="00042B98"/>
    <w:rsid w:val="00042B9A"/>
    <w:rsid w:val="00042B9D"/>
    <w:rsid w:val="00042CC0"/>
    <w:rsid w:val="00042D81"/>
    <w:rsid w:val="00042DC3"/>
    <w:rsid w:val="00042E1B"/>
    <w:rsid w:val="00042E67"/>
    <w:rsid w:val="00042FFC"/>
    <w:rsid w:val="000431B6"/>
    <w:rsid w:val="000433C6"/>
    <w:rsid w:val="00043482"/>
    <w:rsid w:val="000435C2"/>
    <w:rsid w:val="00043605"/>
    <w:rsid w:val="0004369B"/>
    <w:rsid w:val="000436FC"/>
    <w:rsid w:val="00043AA1"/>
    <w:rsid w:val="00043BD1"/>
    <w:rsid w:val="00043C5D"/>
    <w:rsid w:val="00044113"/>
    <w:rsid w:val="00044137"/>
    <w:rsid w:val="0004416D"/>
    <w:rsid w:val="00044186"/>
    <w:rsid w:val="00044313"/>
    <w:rsid w:val="000443F1"/>
    <w:rsid w:val="0004493F"/>
    <w:rsid w:val="00044A1C"/>
    <w:rsid w:val="00044A4F"/>
    <w:rsid w:val="00044A93"/>
    <w:rsid w:val="00044AEF"/>
    <w:rsid w:val="00044B09"/>
    <w:rsid w:val="00044B31"/>
    <w:rsid w:val="00044C1A"/>
    <w:rsid w:val="00044DD5"/>
    <w:rsid w:val="00044E21"/>
    <w:rsid w:val="00044E5D"/>
    <w:rsid w:val="00044F12"/>
    <w:rsid w:val="00044F60"/>
    <w:rsid w:val="00045092"/>
    <w:rsid w:val="000450D3"/>
    <w:rsid w:val="000451BD"/>
    <w:rsid w:val="000451EC"/>
    <w:rsid w:val="00045277"/>
    <w:rsid w:val="0004528B"/>
    <w:rsid w:val="000452E3"/>
    <w:rsid w:val="000453B7"/>
    <w:rsid w:val="000455F5"/>
    <w:rsid w:val="0004561D"/>
    <w:rsid w:val="00045732"/>
    <w:rsid w:val="00045736"/>
    <w:rsid w:val="000458A4"/>
    <w:rsid w:val="000458ED"/>
    <w:rsid w:val="000459CD"/>
    <w:rsid w:val="00045A5A"/>
    <w:rsid w:val="00045A61"/>
    <w:rsid w:val="00045BCE"/>
    <w:rsid w:val="00045C25"/>
    <w:rsid w:val="00045DA4"/>
    <w:rsid w:val="00045E6E"/>
    <w:rsid w:val="00045E73"/>
    <w:rsid w:val="00045F9F"/>
    <w:rsid w:val="00045FC2"/>
    <w:rsid w:val="0004607E"/>
    <w:rsid w:val="000460DF"/>
    <w:rsid w:val="0004627D"/>
    <w:rsid w:val="00046327"/>
    <w:rsid w:val="00046447"/>
    <w:rsid w:val="00046449"/>
    <w:rsid w:val="000464CC"/>
    <w:rsid w:val="00046660"/>
    <w:rsid w:val="00046685"/>
    <w:rsid w:val="00046797"/>
    <w:rsid w:val="0004679D"/>
    <w:rsid w:val="000467DD"/>
    <w:rsid w:val="000467EB"/>
    <w:rsid w:val="0004683C"/>
    <w:rsid w:val="00046A83"/>
    <w:rsid w:val="00046C2A"/>
    <w:rsid w:val="00046CFB"/>
    <w:rsid w:val="00046DC6"/>
    <w:rsid w:val="00046F3D"/>
    <w:rsid w:val="000471B9"/>
    <w:rsid w:val="0004731B"/>
    <w:rsid w:val="000473C8"/>
    <w:rsid w:val="00047425"/>
    <w:rsid w:val="0004746D"/>
    <w:rsid w:val="00047517"/>
    <w:rsid w:val="000475B3"/>
    <w:rsid w:val="00047689"/>
    <w:rsid w:val="00047745"/>
    <w:rsid w:val="00047812"/>
    <w:rsid w:val="00047B0C"/>
    <w:rsid w:val="00047BA1"/>
    <w:rsid w:val="00047C0F"/>
    <w:rsid w:val="00047DE6"/>
    <w:rsid w:val="00047DFF"/>
    <w:rsid w:val="00047E77"/>
    <w:rsid w:val="00047EF1"/>
    <w:rsid w:val="00050072"/>
    <w:rsid w:val="000500F2"/>
    <w:rsid w:val="0005011C"/>
    <w:rsid w:val="00050238"/>
    <w:rsid w:val="0005028D"/>
    <w:rsid w:val="0005036C"/>
    <w:rsid w:val="000504E1"/>
    <w:rsid w:val="0005053A"/>
    <w:rsid w:val="00050637"/>
    <w:rsid w:val="000506D8"/>
    <w:rsid w:val="000507B1"/>
    <w:rsid w:val="000507F5"/>
    <w:rsid w:val="0005082C"/>
    <w:rsid w:val="00050A33"/>
    <w:rsid w:val="00050ACA"/>
    <w:rsid w:val="00050B02"/>
    <w:rsid w:val="00050C4D"/>
    <w:rsid w:val="00050D0B"/>
    <w:rsid w:val="00050D22"/>
    <w:rsid w:val="00050F0D"/>
    <w:rsid w:val="00050FF3"/>
    <w:rsid w:val="0005103E"/>
    <w:rsid w:val="00051059"/>
    <w:rsid w:val="00051071"/>
    <w:rsid w:val="00051119"/>
    <w:rsid w:val="00051337"/>
    <w:rsid w:val="000514A3"/>
    <w:rsid w:val="00051531"/>
    <w:rsid w:val="0005154A"/>
    <w:rsid w:val="00051580"/>
    <w:rsid w:val="00051587"/>
    <w:rsid w:val="0005163A"/>
    <w:rsid w:val="00051647"/>
    <w:rsid w:val="0005195A"/>
    <w:rsid w:val="00051A6D"/>
    <w:rsid w:val="00051B47"/>
    <w:rsid w:val="00051B56"/>
    <w:rsid w:val="00051C9A"/>
    <w:rsid w:val="00051D9F"/>
    <w:rsid w:val="00051EEE"/>
    <w:rsid w:val="00051F1E"/>
    <w:rsid w:val="00052246"/>
    <w:rsid w:val="00052302"/>
    <w:rsid w:val="000523E9"/>
    <w:rsid w:val="00052478"/>
    <w:rsid w:val="000524B9"/>
    <w:rsid w:val="00052539"/>
    <w:rsid w:val="0005257C"/>
    <w:rsid w:val="00052659"/>
    <w:rsid w:val="000527BC"/>
    <w:rsid w:val="00052890"/>
    <w:rsid w:val="0005294D"/>
    <w:rsid w:val="00052ACB"/>
    <w:rsid w:val="00052B3D"/>
    <w:rsid w:val="00052B5A"/>
    <w:rsid w:val="00052B61"/>
    <w:rsid w:val="00052BE8"/>
    <w:rsid w:val="00052C15"/>
    <w:rsid w:val="00052DAE"/>
    <w:rsid w:val="00052E48"/>
    <w:rsid w:val="00052E63"/>
    <w:rsid w:val="00052F81"/>
    <w:rsid w:val="00052F91"/>
    <w:rsid w:val="00053011"/>
    <w:rsid w:val="00053093"/>
    <w:rsid w:val="000530B5"/>
    <w:rsid w:val="0005310B"/>
    <w:rsid w:val="00053130"/>
    <w:rsid w:val="00053378"/>
    <w:rsid w:val="000533FF"/>
    <w:rsid w:val="0005383E"/>
    <w:rsid w:val="00053863"/>
    <w:rsid w:val="00053AD4"/>
    <w:rsid w:val="00053AF2"/>
    <w:rsid w:val="00053BB7"/>
    <w:rsid w:val="00053BD5"/>
    <w:rsid w:val="00053C84"/>
    <w:rsid w:val="00053C98"/>
    <w:rsid w:val="00053F91"/>
    <w:rsid w:val="000541CE"/>
    <w:rsid w:val="00054339"/>
    <w:rsid w:val="00054565"/>
    <w:rsid w:val="000546B8"/>
    <w:rsid w:val="00054735"/>
    <w:rsid w:val="0005476D"/>
    <w:rsid w:val="0005477D"/>
    <w:rsid w:val="00054824"/>
    <w:rsid w:val="00054833"/>
    <w:rsid w:val="00054D56"/>
    <w:rsid w:val="00054D8E"/>
    <w:rsid w:val="00054DC9"/>
    <w:rsid w:val="00054DFC"/>
    <w:rsid w:val="00054E39"/>
    <w:rsid w:val="00054EE9"/>
    <w:rsid w:val="00054F23"/>
    <w:rsid w:val="00054F65"/>
    <w:rsid w:val="00054FE6"/>
    <w:rsid w:val="00055006"/>
    <w:rsid w:val="00055010"/>
    <w:rsid w:val="000550DE"/>
    <w:rsid w:val="000552CC"/>
    <w:rsid w:val="000553CD"/>
    <w:rsid w:val="00055482"/>
    <w:rsid w:val="000554EA"/>
    <w:rsid w:val="00055605"/>
    <w:rsid w:val="00055654"/>
    <w:rsid w:val="000556E7"/>
    <w:rsid w:val="00055730"/>
    <w:rsid w:val="000557DC"/>
    <w:rsid w:val="000557F2"/>
    <w:rsid w:val="0005583E"/>
    <w:rsid w:val="00055899"/>
    <w:rsid w:val="00055924"/>
    <w:rsid w:val="00055950"/>
    <w:rsid w:val="00055AD7"/>
    <w:rsid w:val="00055C6F"/>
    <w:rsid w:val="00055C95"/>
    <w:rsid w:val="00055EFA"/>
    <w:rsid w:val="00055F13"/>
    <w:rsid w:val="00055F22"/>
    <w:rsid w:val="00055F8B"/>
    <w:rsid w:val="00056028"/>
    <w:rsid w:val="000562AD"/>
    <w:rsid w:val="0005658A"/>
    <w:rsid w:val="00056709"/>
    <w:rsid w:val="0005673F"/>
    <w:rsid w:val="0005677B"/>
    <w:rsid w:val="00056803"/>
    <w:rsid w:val="0005683C"/>
    <w:rsid w:val="00056C35"/>
    <w:rsid w:val="00056C7A"/>
    <w:rsid w:val="00056E9E"/>
    <w:rsid w:val="00056EB6"/>
    <w:rsid w:val="00056F77"/>
    <w:rsid w:val="000570A1"/>
    <w:rsid w:val="000570D3"/>
    <w:rsid w:val="00057226"/>
    <w:rsid w:val="000573DF"/>
    <w:rsid w:val="00057421"/>
    <w:rsid w:val="00057485"/>
    <w:rsid w:val="000574D4"/>
    <w:rsid w:val="000574E9"/>
    <w:rsid w:val="00057579"/>
    <w:rsid w:val="000575EA"/>
    <w:rsid w:val="00057616"/>
    <w:rsid w:val="00057627"/>
    <w:rsid w:val="0005781B"/>
    <w:rsid w:val="000578F6"/>
    <w:rsid w:val="00057A66"/>
    <w:rsid w:val="00057C68"/>
    <w:rsid w:val="00057DE7"/>
    <w:rsid w:val="00057E4C"/>
    <w:rsid w:val="00057FEC"/>
    <w:rsid w:val="00057FF9"/>
    <w:rsid w:val="00060087"/>
    <w:rsid w:val="000601CE"/>
    <w:rsid w:val="0006020F"/>
    <w:rsid w:val="000602A3"/>
    <w:rsid w:val="00060319"/>
    <w:rsid w:val="00060360"/>
    <w:rsid w:val="000603D1"/>
    <w:rsid w:val="0006040F"/>
    <w:rsid w:val="00060458"/>
    <w:rsid w:val="0006062F"/>
    <w:rsid w:val="00060642"/>
    <w:rsid w:val="00060696"/>
    <w:rsid w:val="00060854"/>
    <w:rsid w:val="000608D6"/>
    <w:rsid w:val="00060A82"/>
    <w:rsid w:val="00060C17"/>
    <w:rsid w:val="00060C7A"/>
    <w:rsid w:val="00060CB6"/>
    <w:rsid w:val="00060D01"/>
    <w:rsid w:val="00060D61"/>
    <w:rsid w:val="00060DE2"/>
    <w:rsid w:val="00060E1D"/>
    <w:rsid w:val="00060EE6"/>
    <w:rsid w:val="0006108C"/>
    <w:rsid w:val="000610B3"/>
    <w:rsid w:val="000610EC"/>
    <w:rsid w:val="000611B4"/>
    <w:rsid w:val="000611EE"/>
    <w:rsid w:val="00061429"/>
    <w:rsid w:val="000616D2"/>
    <w:rsid w:val="0006178B"/>
    <w:rsid w:val="00061883"/>
    <w:rsid w:val="000618D5"/>
    <w:rsid w:val="00061C9F"/>
    <w:rsid w:val="00061D7E"/>
    <w:rsid w:val="00061F9A"/>
    <w:rsid w:val="00061FEB"/>
    <w:rsid w:val="0006201E"/>
    <w:rsid w:val="0006258D"/>
    <w:rsid w:val="000625AC"/>
    <w:rsid w:val="00062790"/>
    <w:rsid w:val="00062837"/>
    <w:rsid w:val="00062910"/>
    <w:rsid w:val="0006291E"/>
    <w:rsid w:val="00062B0B"/>
    <w:rsid w:val="00062CB9"/>
    <w:rsid w:val="00062FB5"/>
    <w:rsid w:val="00063064"/>
    <w:rsid w:val="000634A2"/>
    <w:rsid w:val="00063553"/>
    <w:rsid w:val="00063629"/>
    <w:rsid w:val="00063778"/>
    <w:rsid w:val="0006378E"/>
    <w:rsid w:val="00063798"/>
    <w:rsid w:val="00063802"/>
    <w:rsid w:val="00063836"/>
    <w:rsid w:val="00063855"/>
    <w:rsid w:val="00063930"/>
    <w:rsid w:val="00063A51"/>
    <w:rsid w:val="00063B09"/>
    <w:rsid w:val="00063BBE"/>
    <w:rsid w:val="00063D6C"/>
    <w:rsid w:val="00063E31"/>
    <w:rsid w:val="00063E89"/>
    <w:rsid w:val="00063EC3"/>
    <w:rsid w:val="0006405C"/>
    <w:rsid w:val="000641F9"/>
    <w:rsid w:val="00064389"/>
    <w:rsid w:val="00064456"/>
    <w:rsid w:val="000644A3"/>
    <w:rsid w:val="0006450C"/>
    <w:rsid w:val="000647D7"/>
    <w:rsid w:val="00064842"/>
    <w:rsid w:val="0006498D"/>
    <w:rsid w:val="00064C7A"/>
    <w:rsid w:val="00064CED"/>
    <w:rsid w:val="00064D37"/>
    <w:rsid w:val="00064D9C"/>
    <w:rsid w:val="00064E48"/>
    <w:rsid w:val="000650BB"/>
    <w:rsid w:val="0006513B"/>
    <w:rsid w:val="000651B1"/>
    <w:rsid w:val="000652FF"/>
    <w:rsid w:val="0006532B"/>
    <w:rsid w:val="0006534F"/>
    <w:rsid w:val="0006537D"/>
    <w:rsid w:val="000653E5"/>
    <w:rsid w:val="00065460"/>
    <w:rsid w:val="00065480"/>
    <w:rsid w:val="0006559B"/>
    <w:rsid w:val="0006559F"/>
    <w:rsid w:val="0006560A"/>
    <w:rsid w:val="00065634"/>
    <w:rsid w:val="0006565D"/>
    <w:rsid w:val="000656E0"/>
    <w:rsid w:val="0006571E"/>
    <w:rsid w:val="000657BC"/>
    <w:rsid w:val="0006597D"/>
    <w:rsid w:val="000659DF"/>
    <w:rsid w:val="00065AB6"/>
    <w:rsid w:val="00065B91"/>
    <w:rsid w:val="00065B9B"/>
    <w:rsid w:val="00065C08"/>
    <w:rsid w:val="00065CCA"/>
    <w:rsid w:val="00065D5D"/>
    <w:rsid w:val="00065DEC"/>
    <w:rsid w:val="00065E91"/>
    <w:rsid w:val="00065F28"/>
    <w:rsid w:val="0006607E"/>
    <w:rsid w:val="00066211"/>
    <w:rsid w:val="0006621F"/>
    <w:rsid w:val="000663C2"/>
    <w:rsid w:val="000664DE"/>
    <w:rsid w:val="0006666F"/>
    <w:rsid w:val="00066684"/>
    <w:rsid w:val="0006676C"/>
    <w:rsid w:val="0006688B"/>
    <w:rsid w:val="000668EE"/>
    <w:rsid w:val="00066938"/>
    <w:rsid w:val="00066975"/>
    <w:rsid w:val="00066A22"/>
    <w:rsid w:val="00066A2E"/>
    <w:rsid w:val="00066A45"/>
    <w:rsid w:val="00066A6D"/>
    <w:rsid w:val="00066BE0"/>
    <w:rsid w:val="00066BF4"/>
    <w:rsid w:val="00066C14"/>
    <w:rsid w:val="00066D0E"/>
    <w:rsid w:val="00066D64"/>
    <w:rsid w:val="00066E3B"/>
    <w:rsid w:val="00066EFB"/>
    <w:rsid w:val="00066FCE"/>
    <w:rsid w:val="00067192"/>
    <w:rsid w:val="0006719F"/>
    <w:rsid w:val="000672B4"/>
    <w:rsid w:val="000672E7"/>
    <w:rsid w:val="0006730F"/>
    <w:rsid w:val="00067313"/>
    <w:rsid w:val="00067334"/>
    <w:rsid w:val="000673FD"/>
    <w:rsid w:val="000674AF"/>
    <w:rsid w:val="0006755F"/>
    <w:rsid w:val="00067652"/>
    <w:rsid w:val="000676A3"/>
    <w:rsid w:val="00067777"/>
    <w:rsid w:val="000677C3"/>
    <w:rsid w:val="00067AD0"/>
    <w:rsid w:val="00067C11"/>
    <w:rsid w:val="00067D85"/>
    <w:rsid w:val="00067D8D"/>
    <w:rsid w:val="00067DF5"/>
    <w:rsid w:val="00067E49"/>
    <w:rsid w:val="00067F5B"/>
    <w:rsid w:val="00067FFA"/>
    <w:rsid w:val="00070052"/>
    <w:rsid w:val="00070166"/>
    <w:rsid w:val="00070405"/>
    <w:rsid w:val="0007041C"/>
    <w:rsid w:val="0007045C"/>
    <w:rsid w:val="00070541"/>
    <w:rsid w:val="000706C1"/>
    <w:rsid w:val="000706E8"/>
    <w:rsid w:val="000706F3"/>
    <w:rsid w:val="00070918"/>
    <w:rsid w:val="00070951"/>
    <w:rsid w:val="00070988"/>
    <w:rsid w:val="00070A8B"/>
    <w:rsid w:val="00070C07"/>
    <w:rsid w:val="00070DF6"/>
    <w:rsid w:val="00070F88"/>
    <w:rsid w:val="00071010"/>
    <w:rsid w:val="000711B9"/>
    <w:rsid w:val="0007136B"/>
    <w:rsid w:val="0007144D"/>
    <w:rsid w:val="00071673"/>
    <w:rsid w:val="000717BC"/>
    <w:rsid w:val="00071802"/>
    <w:rsid w:val="00071949"/>
    <w:rsid w:val="00071A6B"/>
    <w:rsid w:val="00071BD5"/>
    <w:rsid w:val="00071E40"/>
    <w:rsid w:val="00071E92"/>
    <w:rsid w:val="00071F86"/>
    <w:rsid w:val="00072050"/>
    <w:rsid w:val="000721CD"/>
    <w:rsid w:val="000721FD"/>
    <w:rsid w:val="00072337"/>
    <w:rsid w:val="00072493"/>
    <w:rsid w:val="000724F4"/>
    <w:rsid w:val="00072804"/>
    <w:rsid w:val="000729C4"/>
    <w:rsid w:val="00072A2F"/>
    <w:rsid w:val="00072BA9"/>
    <w:rsid w:val="00072D44"/>
    <w:rsid w:val="00072D9D"/>
    <w:rsid w:val="00072DC5"/>
    <w:rsid w:val="00072E06"/>
    <w:rsid w:val="00072EC5"/>
    <w:rsid w:val="00072ED5"/>
    <w:rsid w:val="0007308A"/>
    <w:rsid w:val="000731FC"/>
    <w:rsid w:val="000736E0"/>
    <w:rsid w:val="000736F8"/>
    <w:rsid w:val="00073868"/>
    <w:rsid w:val="00073964"/>
    <w:rsid w:val="00073B62"/>
    <w:rsid w:val="00073B8A"/>
    <w:rsid w:val="00073BD1"/>
    <w:rsid w:val="00073BDA"/>
    <w:rsid w:val="00073C73"/>
    <w:rsid w:val="00073CBF"/>
    <w:rsid w:val="00073CE8"/>
    <w:rsid w:val="00073D3A"/>
    <w:rsid w:val="00073FDE"/>
    <w:rsid w:val="00074152"/>
    <w:rsid w:val="00074459"/>
    <w:rsid w:val="00074596"/>
    <w:rsid w:val="000746D7"/>
    <w:rsid w:val="0007484E"/>
    <w:rsid w:val="00074C14"/>
    <w:rsid w:val="00074DE9"/>
    <w:rsid w:val="00074E5E"/>
    <w:rsid w:val="00074FA4"/>
    <w:rsid w:val="00075154"/>
    <w:rsid w:val="0007515C"/>
    <w:rsid w:val="00075212"/>
    <w:rsid w:val="0007527C"/>
    <w:rsid w:val="000754C6"/>
    <w:rsid w:val="000754E6"/>
    <w:rsid w:val="0007558C"/>
    <w:rsid w:val="000755AA"/>
    <w:rsid w:val="0007561D"/>
    <w:rsid w:val="00075652"/>
    <w:rsid w:val="0007594C"/>
    <w:rsid w:val="0007595C"/>
    <w:rsid w:val="00075B3D"/>
    <w:rsid w:val="00075B8F"/>
    <w:rsid w:val="00075BFB"/>
    <w:rsid w:val="00075CAF"/>
    <w:rsid w:val="00075CEF"/>
    <w:rsid w:val="00075D4C"/>
    <w:rsid w:val="00075E37"/>
    <w:rsid w:val="000762C9"/>
    <w:rsid w:val="00076398"/>
    <w:rsid w:val="000763FC"/>
    <w:rsid w:val="0007647C"/>
    <w:rsid w:val="00076540"/>
    <w:rsid w:val="000767F8"/>
    <w:rsid w:val="00076821"/>
    <w:rsid w:val="000768E0"/>
    <w:rsid w:val="00076D77"/>
    <w:rsid w:val="00076F58"/>
    <w:rsid w:val="00077056"/>
    <w:rsid w:val="0007708D"/>
    <w:rsid w:val="00077129"/>
    <w:rsid w:val="00077454"/>
    <w:rsid w:val="000774B9"/>
    <w:rsid w:val="00077543"/>
    <w:rsid w:val="00077577"/>
    <w:rsid w:val="000775C7"/>
    <w:rsid w:val="00077670"/>
    <w:rsid w:val="00077745"/>
    <w:rsid w:val="00077771"/>
    <w:rsid w:val="00077790"/>
    <w:rsid w:val="000777F4"/>
    <w:rsid w:val="00077A8A"/>
    <w:rsid w:val="00077AEA"/>
    <w:rsid w:val="00077AFC"/>
    <w:rsid w:val="00077B41"/>
    <w:rsid w:val="00077BEB"/>
    <w:rsid w:val="00077C54"/>
    <w:rsid w:val="00077CD7"/>
    <w:rsid w:val="00077E22"/>
    <w:rsid w:val="00077E53"/>
    <w:rsid w:val="00077EAC"/>
    <w:rsid w:val="00077ECC"/>
    <w:rsid w:val="0008013C"/>
    <w:rsid w:val="0008021D"/>
    <w:rsid w:val="00080266"/>
    <w:rsid w:val="0008037B"/>
    <w:rsid w:val="000803CB"/>
    <w:rsid w:val="000804FF"/>
    <w:rsid w:val="00080514"/>
    <w:rsid w:val="000805C4"/>
    <w:rsid w:val="0008061C"/>
    <w:rsid w:val="00080682"/>
    <w:rsid w:val="00080719"/>
    <w:rsid w:val="00080864"/>
    <w:rsid w:val="000808E9"/>
    <w:rsid w:val="00080947"/>
    <w:rsid w:val="000809C6"/>
    <w:rsid w:val="00080A25"/>
    <w:rsid w:val="00080A9A"/>
    <w:rsid w:val="00080B6D"/>
    <w:rsid w:val="00080C64"/>
    <w:rsid w:val="00080D33"/>
    <w:rsid w:val="00080E3A"/>
    <w:rsid w:val="00080F19"/>
    <w:rsid w:val="00080F1D"/>
    <w:rsid w:val="00081578"/>
    <w:rsid w:val="00081606"/>
    <w:rsid w:val="000817C9"/>
    <w:rsid w:val="00081801"/>
    <w:rsid w:val="000819DC"/>
    <w:rsid w:val="00081A0D"/>
    <w:rsid w:val="00081A38"/>
    <w:rsid w:val="00081BFC"/>
    <w:rsid w:val="00081CF3"/>
    <w:rsid w:val="00081D79"/>
    <w:rsid w:val="00081D89"/>
    <w:rsid w:val="00081E04"/>
    <w:rsid w:val="00081F6A"/>
    <w:rsid w:val="00081FB8"/>
    <w:rsid w:val="0008204B"/>
    <w:rsid w:val="000821CC"/>
    <w:rsid w:val="000821E5"/>
    <w:rsid w:val="0008229E"/>
    <w:rsid w:val="000822C0"/>
    <w:rsid w:val="00082406"/>
    <w:rsid w:val="0008253E"/>
    <w:rsid w:val="00082681"/>
    <w:rsid w:val="000826C6"/>
    <w:rsid w:val="00082730"/>
    <w:rsid w:val="0008274D"/>
    <w:rsid w:val="00082880"/>
    <w:rsid w:val="00082994"/>
    <w:rsid w:val="00082A97"/>
    <w:rsid w:val="00082E53"/>
    <w:rsid w:val="00082ED8"/>
    <w:rsid w:val="00082FCB"/>
    <w:rsid w:val="0008315C"/>
    <w:rsid w:val="000831E5"/>
    <w:rsid w:val="000832E7"/>
    <w:rsid w:val="000833CC"/>
    <w:rsid w:val="000833F3"/>
    <w:rsid w:val="0008379F"/>
    <w:rsid w:val="000837A2"/>
    <w:rsid w:val="00083811"/>
    <w:rsid w:val="00083923"/>
    <w:rsid w:val="00083BCD"/>
    <w:rsid w:val="00083BDB"/>
    <w:rsid w:val="00083CAE"/>
    <w:rsid w:val="00083F8B"/>
    <w:rsid w:val="00083FA6"/>
    <w:rsid w:val="000841C9"/>
    <w:rsid w:val="0008429E"/>
    <w:rsid w:val="0008434A"/>
    <w:rsid w:val="0008436F"/>
    <w:rsid w:val="00084475"/>
    <w:rsid w:val="000844CF"/>
    <w:rsid w:val="00084593"/>
    <w:rsid w:val="000845BE"/>
    <w:rsid w:val="0008462A"/>
    <w:rsid w:val="00084652"/>
    <w:rsid w:val="00084695"/>
    <w:rsid w:val="0008469D"/>
    <w:rsid w:val="00084958"/>
    <w:rsid w:val="0008498B"/>
    <w:rsid w:val="000849AB"/>
    <w:rsid w:val="000849F3"/>
    <w:rsid w:val="00084AB9"/>
    <w:rsid w:val="00084B4E"/>
    <w:rsid w:val="00084C69"/>
    <w:rsid w:val="00084CAB"/>
    <w:rsid w:val="00084CFF"/>
    <w:rsid w:val="00085061"/>
    <w:rsid w:val="00085081"/>
    <w:rsid w:val="000850EB"/>
    <w:rsid w:val="00085173"/>
    <w:rsid w:val="0008522D"/>
    <w:rsid w:val="00085288"/>
    <w:rsid w:val="000852E1"/>
    <w:rsid w:val="0008555E"/>
    <w:rsid w:val="000858E4"/>
    <w:rsid w:val="00085A1E"/>
    <w:rsid w:val="00085A82"/>
    <w:rsid w:val="00085CA2"/>
    <w:rsid w:val="00085D84"/>
    <w:rsid w:val="00086157"/>
    <w:rsid w:val="00086161"/>
    <w:rsid w:val="000861BB"/>
    <w:rsid w:val="000862AC"/>
    <w:rsid w:val="000862B9"/>
    <w:rsid w:val="000867F0"/>
    <w:rsid w:val="00086870"/>
    <w:rsid w:val="000868FE"/>
    <w:rsid w:val="000869FD"/>
    <w:rsid w:val="00086C2D"/>
    <w:rsid w:val="00086E73"/>
    <w:rsid w:val="00086FB2"/>
    <w:rsid w:val="00087000"/>
    <w:rsid w:val="000874DF"/>
    <w:rsid w:val="0008759E"/>
    <w:rsid w:val="00087638"/>
    <w:rsid w:val="0008766E"/>
    <w:rsid w:val="0008776F"/>
    <w:rsid w:val="00087773"/>
    <w:rsid w:val="0008796D"/>
    <w:rsid w:val="00087990"/>
    <w:rsid w:val="00087AE3"/>
    <w:rsid w:val="00087C11"/>
    <w:rsid w:val="00087E34"/>
    <w:rsid w:val="00087E51"/>
    <w:rsid w:val="00087EEA"/>
    <w:rsid w:val="00087F25"/>
    <w:rsid w:val="00087F27"/>
    <w:rsid w:val="00087FD4"/>
    <w:rsid w:val="00087FDC"/>
    <w:rsid w:val="000900CA"/>
    <w:rsid w:val="0009013B"/>
    <w:rsid w:val="00090212"/>
    <w:rsid w:val="00090224"/>
    <w:rsid w:val="0009028A"/>
    <w:rsid w:val="0009051B"/>
    <w:rsid w:val="00090538"/>
    <w:rsid w:val="0009054D"/>
    <w:rsid w:val="0009060E"/>
    <w:rsid w:val="000907A9"/>
    <w:rsid w:val="0009094D"/>
    <w:rsid w:val="0009099B"/>
    <w:rsid w:val="00090C32"/>
    <w:rsid w:val="00090D0A"/>
    <w:rsid w:val="00090D23"/>
    <w:rsid w:val="00090EF6"/>
    <w:rsid w:val="00091033"/>
    <w:rsid w:val="00091096"/>
    <w:rsid w:val="000911CF"/>
    <w:rsid w:val="00091223"/>
    <w:rsid w:val="000912A0"/>
    <w:rsid w:val="000912EA"/>
    <w:rsid w:val="00091581"/>
    <w:rsid w:val="00091656"/>
    <w:rsid w:val="00091A42"/>
    <w:rsid w:val="00091B3A"/>
    <w:rsid w:val="00091B7C"/>
    <w:rsid w:val="00091BC5"/>
    <w:rsid w:val="00091CA8"/>
    <w:rsid w:val="00091E3D"/>
    <w:rsid w:val="00091EBC"/>
    <w:rsid w:val="00091F19"/>
    <w:rsid w:val="0009203E"/>
    <w:rsid w:val="00092102"/>
    <w:rsid w:val="00092126"/>
    <w:rsid w:val="00092199"/>
    <w:rsid w:val="000921A0"/>
    <w:rsid w:val="000921A5"/>
    <w:rsid w:val="000922DB"/>
    <w:rsid w:val="0009231E"/>
    <w:rsid w:val="000924EC"/>
    <w:rsid w:val="00092717"/>
    <w:rsid w:val="0009293C"/>
    <w:rsid w:val="00092973"/>
    <w:rsid w:val="0009299C"/>
    <w:rsid w:val="00092D67"/>
    <w:rsid w:val="00092DC5"/>
    <w:rsid w:val="00092E82"/>
    <w:rsid w:val="00092F4F"/>
    <w:rsid w:val="00092FD4"/>
    <w:rsid w:val="00093001"/>
    <w:rsid w:val="000930C2"/>
    <w:rsid w:val="000930CD"/>
    <w:rsid w:val="000932EF"/>
    <w:rsid w:val="00093325"/>
    <w:rsid w:val="000933F2"/>
    <w:rsid w:val="00093459"/>
    <w:rsid w:val="0009364C"/>
    <w:rsid w:val="00093687"/>
    <w:rsid w:val="000936EC"/>
    <w:rsid w:val="00093701"/>
    <w:rsid w:val="0009383B"/>
    <w:rsid w:val="000938B3"/>
    <w:rsid w:val="00093968"/>
    <w:rsid w:val="000939D7"/>
    <w:rsid w:val="00093A56"/>
    <w:rsid w:val="00093B8D"/>
    <w:rsid w:val="00093CF8"/>
    <w:rsid w:val="00093CFB"/>
    <w:rsid w:val="00093F06"/>
    <w:rsid w:val="00093FA3"/>
    <w:rsid w:val="000940B0"/>
    <w:rsid w:val="000940E1"/>
    <w:rsid w:val="000941A8"/>
    <w:rsid w:val="0009425F"/>
    <w:rsid w:val="00094287"/>
    <w:rsid w:val="000942F3"/>
    <w:rsid w:val="000947BF"/>
    <w:rsid w:val="000948BE"/>
    <w:rsid w:val="00094951"/>
    <w:rsid w:val="000949C0"/>
    <w:rsid w:val="00094B51"/>
    <w:rsid w:val="00094BDA"/>
    <w:rsid w:val="00094C41"/>
    <w:rsid w:val="00094CC6"/>
    <w:rsid w:val="00094DA7"/>
    <w:rsid w:val="00094E29"/>
    <w:rsid w:val="00094FB0"/>
    <w:rsid w:val="0009505D"/>
    <w:rsid w:val="00095139"/>
    <w:rsid w:val="0009516B"/>
    <w:rsid w:val="000951AD"/>
    <w:rsid w:val="000952C7"/>
    <w:rsid w:val="00095556"/>
    <w:rsid w:val="00095617"/>
    <w:rsid w:val="00095693"/>
    <w:rsid w:val="00095792"/>
    <w:rsid w:val="00095889"/>
    <w:rsid w:val="00095AEA"/>
    <w:rsid w:val="00095CF4"/>
    <w:rsid w:val="00095D1B"/>
    <w:rsid w:val="00095E55"/>
    <w:rsid w:val="00095E79"/>
    <w:rsid w:val="00095F29"/>
    <w:rsid w:val="00096117"/>
    <w:rsid w:val="00096241"/>
    <w:rsid w:val="000962EF"/>
    <w:rsid w:val="00096375"/>
    <w:rsid w:val="000963AC"/>
    <w:rsid w:val="000964CF"/>
    <w:rsid w:val="0009660F"/>
    <w:rsid w:val="0009686B"/>
    <w:rsid w:val="00096913"/>
    <w:rsid w:val="0009696B"/>
    <w:rsid w:val="00096AD4"/>
    <w:rsid w:val="00096C16"/>
    <w:rsid w:val="00096CAA"/>
    <w:rsid w:val="00096E62"/>
    <w:rsid w:val="00096F50"/>
    <w:rsid w:val="00097154"/>
    <w:rsid w:val="0009738C"/>
    <w:rsid w:val="000973E0"/>
    <w:rsid w:val="0009744C"/>
    <w:rsid w:val="0009748B"/>
    <w:rsid w:val="00097534"/>
    <w:rsid w:val="00097646"/>
    <w:rsid w:val="000976BA"/>
    <w:rsid w:val="000978D1"/>
    <w:rsid w:val="000979E6"/>
    <w:rsid w:val="00097CD4"/>
    <w:rsid w:val="00097D16"/>
    <w:rsid w:val="00097F13"/>
    <w:rsid w:val="00097FF1"/>
    <w:rsid w:val="000A0056"/>
    <w:rsid w:val="000A0289"/>
    <w:rsid w:val="000A028C"/>
    <w:rsid w:val="000A0492"/>
    <w:rsid w:val="000A0687"/>
    <w:rsid w:val="000A0735"/>
    <w:rsid w:val="000A07A4"/>
    <w:rsid w:val="000A0818"/>
    <w:rsid w:val="000A086C"/>
    <w:rsid w:val="000A09C4"/>
    <w:rsid w:val="000A0A26"/>
    <w:rsid w:val="000A0BD1"/>
    <w:rsid w:val="000A0CC3"/>
    <w:rsid w:val="000A0D55"/>
    <w:rsid w:val="000A0D60"/>
    <w:rsid w:val="000A0E0E"/>
    <w:rsid w:val="000A0F21"/>
    <w:rsid w:val="000A0F8E"/>
    <w:rsid w:val="000A0FA2"/>
    <w:rsid w:val="000A1034"/>
    <w:rsid w:val="000A1136"/>
    <w:rsid w:val="000A1186"/>
    <w:rsid w:val="000A128D"/>
    <w:rsid w:val="000A1422"/>
    <w:rsid w:val="000A14F6"/>
    <w:rsid w:val="000A162A"/>
    <w:rsid w:val="000A1727"/>
    <w:rsid w:val="000A1993"/>
    <w:rsid w:val="000A1A56"/>
    <w:rsid w:val="000A1B25"/>
    <w:rsid w:val="000A1BCB"/>
    <w:rsid w:val="000A1BED"/>
    <w:rsid w:val="000A1D59"/>
    <w:rsid w:val="000A1E4B"/>
    <w:rsid w:val="000A2030"/>
    <w:rsid w:val="000A2166"/>
    <w:rsid w:val="000A21EE"/>
    <w:rsid w:val="000A220F"/>
    <w:rsid w:val="000A253A"/>
    <w:rsid w:val="000A25F2"/>
    <w:rsid w:val="000A26CE"/>
    <w:rsid w:val="000A26DA"/>
    <w:rsid w:val="000A26FD"/>
    <w:rsid w:val="000A2804"/>
    <w:rsid w:val="000A2810"/>
    <w:rsid w:val="000A2924"/>
    <w:rsid w:val="000A2A29"/>
    <w:rsid w:val="000A2B1F"/>
    <w:rsid w:val="000A2B53"/>
    <w:rsid w:val="000A2B79"/>
    <w:rsid w:val="000A2B8C"/>
    <w:rsid w:val="000A2C56"/>
    <w:rsid w:val="000A2C5E"/>
    <w:rsid w:val="000A2E4F"/>
    <w:rsid w:val="000A2F94"/>
    <w:rsid w:val="000A30CF"/>
    <w:rsid w:val="000A3131"/>
    <w:rsid w:val="000A31DE"/>
    <w:rsid w:val="000A3241"/>
    <w:rsid w:val="000A32AC"/>
    <w:rsid w:val="000A32B6"/>
    <w:rsid w:val="000A33EA"/>
    <w:rsid w:val="000A3487"/>
    <w:rsid w:val="000A3507"/>
    <w:rsid w:val="000A358B"/>
    <w:rsid w:val="000A3630"/>
    <w:rsid w:val="000A370B"/>
    <w:rsid w:val="000A371C"/>
    <w:rsid w:val="000A3886"/>
    <w:rsid w:val="000A38D1"/>
    <w:rsid w:val="000A3A9B"/>
    <w:rsid w:val="000A3AEA"/>
    <w:rsid w:val="000A3C37"/>
    <w:rsid w:val="000A3CA0"/>
    <w:rsid w:val="000A3CB9"/>
    <w:rsid w:val="000A3FE6"/>
    <w:rsid w:val="000A403E"/>
    <w:rsid w:val="000A4048"/>
    <w:rsid w:val="000A4175"/>
    <w:rsid w:val="000A4227"/>
    <w:rsid w:val="000A4304"/>
    <w:rsid w:val="000A43C8"/>
    <w:rsid w:val="000A445F"/>
    <w:rsid w:val="000A4512"/>
    <w:rsid w:val="000A4542"/>
    <w:rsid w:val="000A45EA"/>
    <w:rsid w:val="000A46A4"/>
    <w:rsid w:val="000A46BF"/>
    <w:rsid w:val="000A476A"/>
    <w:rsid w:val="000A47AF"/>
    <w:rsid w:val="000A4958"/>
    <w:rsid w:val="000A4A64"/>
    <w:rsid w:val="000A4AA2"/>
    <w:rsid w:val="000A4B95"/>
    <w:rsid w:val="000A4BDD"/>
    <w:rsid w:val="000A4D23"/>
    <w:rsid w:val="000A4F4B"/>
    <w:rsid w:val="000A517D"/>
    <w:rsid w:val="000A530A"/>
    <w:rsid w:val="000A5439"/>
    <w:rsid w:val="000A55C7"/>
    <w:rsid w:val="000A56A3"/>
    <w:rsid w:val="000A57B2"/>
    <w:rsid w:val="000A593A"/>
    <w:rsid w:val="000A59FC"/>
    <w:rsid w:val="000A5A2B"/>
    <w:rsid w:val="000A5A86"/>
    <w:rsid w:val="000A5B02"/>
    <w:rsid w:val="000A5CEA"/>
    <w:rsid w:val="000A5D81"/>
    <w:rsid w:val="000A5E07"/>
    <w:rsid w:val="000A5EC1"/>
    <w:rsid w:val="000A5F26"/>
    <w:rsid w:val="000A61A3"/>
    <w:rsid w:val="000A61B6"/>
    <w:rsid w:val="000A63A5"/>
    <w:rsid w:val="000A64C7"/>
    <w:rsid w:val="000A6579"/>
    <w:rsid w:val="000A66D4"/>
    <w:rsid w:val="000A67BF"/>
    <w:rsid w:val="000A69F9"/>
    <w:rsid w:val="000A6AB0"/>
    <w:rsid w:val="000A6BCB"/>
    <w:rsid w:val="000A6BD2"/>
    <w:rsid w:val="000A6E7A"/>
    <w:rsid w:val="000A6F87"/>
    <w:rsid w:val="000A7090"/>
    <w:rsid w:val="000A719C"/>
    <w:rsid w:val="000A72F1"/>
    <w:rsid w:val="000A7355"/>
    <w:rsid w:val="000A74E7"/>
    <w:rsid w:val="000A75DE"/>
    <w:rsid w:val="000A775A"/>
    <w:rsid w:val="000A77C0"/>
    <w:rsid w:val="000A77F0"/>
    <w:rsid w:val="000A7893"/>
    <w:rsid w:val="000A79A9"/>
    <w:rsid w:val="000A7A22"/>
    <w:rsid w:val="000A7AA6"/>
    <w:rsid w:val="000A7B3D"/>
    <w:rsid w:val="000A7BB2"/>
    <w:rsid w:val="000A7BE6"/>
    <w:rsid w:val="000A7BFF"/>
    <w:rsid w:val="000A7C85"/>
    <w:rsid w:val="000A7CB5"/>
    <w:rsid w:val="000A7D74"/>
    <w:rsid w:val="000A7E9C"/>
    <w:rsid w:val="000A7EE8"/>
    <w:rsid w:val="000B02C7"/>
    <w:rsid w:val="000B06EA"/>
    <w:rsid w:val="000B07AE"/>
    <w:rsid w:val="000B0844"/>
    <w:rsid w:val="000B0889"/>
    <w:rsid w:val="000B0934"/>
    <w:rsid w:val="000B0AA5"/>
    <w:rsid w:val="000B0AB3"/>
    <w:rsid w:val="000B0B58"/>
    <w:rsid w:val="000B0B5D"/>
    <w:rsid w:val="000B0B78"/>
    <w:rsid w:val="000B0BA9"/>
    <w:rsid w:val="000B0C37"/>
    <w:rsid w:val="000B0E3C"/>
    <w:rsid w:val="000B0E5D"/>
    <w:rsid w:val="000B0EB6"/>
    <w:rsid w:val="000B0EEC"/>
    <w:rsid w:val="000B103D"/>
    <w:rsid w:val="000B107F"/>
    <w:rsid w:val="000B10A9"/>
    <w:rsid w:val="000B1143"/>
    <w:rsid w:val="000B1146"/>
    <w:rsid w:val="000B11C4"/>
    <w:rsid w:val="000B1232"/>
    <w:rsid w:val="000B1255"/>
    <w:rsid w:val="000B1268"/>
    <w:rsid w:val="000B126F"/>
    <w:rsid w:val="000B12BA"/>
    <w:rsid w:val="000B1555"/>
    <w:rsid w:val="000B171F"/>
    <w:rsid w:val="000B17FD"/>
    <w:rsid w:val="000B181A"/>
    <w:rsid w:val="000B183E"/>
    <w:rsid w:val="000B18CC"/>
    <w:rsid w:val="000B1AA9"/>
    <w:rsid w:val="000B1C9D"/>
    <w:rsid w:val="000B1D0D"/>
    <w:rsid w:val="000B1EAA"/>
    <w:rsid w:val="000B1F89"/>
    <w:rsid w:val="000B1FEF"/>
    <w:rsid w:val="000B203E"/>
    <w:rsid w:val="000B216F"/>
    <w:rsid w:val="000B227A"/>
    <w:rsid w:val="000B240F"/>
    <w:rsid w:val="000B2520"/>
    <w:rsid w:val="000B255C"/>
    <w:rsid w:val="000B256E"/>
    <w:rsid w:val="000B2722"/>
    <w:rsid w:val="000B2768"/>
    <w:rsid w:val="000B27AE"/>
    <w:rsid w:val="000B280B"/>
    <w:rsid w:val="000B2848"/>
    <w:rsid w:val="000B28AA"/>
    <w:rsid w:val="000B28E5"/>
    <w:rsid w:val="000B2AB3"/>
    <w:rsid w:val="000B2B17"/>
    <w:rsid w:val="000B2B76"/>
    <w:rsid w:val="000B2CBB"/>
    <w:rsid w:val="000B2FC1"/>
    <w:rsid w:val="000B304E"/>
    <w:rsid w:val="000B319E"/>
    <w:rsid w:val="000B32AA"/>
    <w:rsid w:val="000B3312"/>
    <w:rsid w:val="000B34E1"/>
    <w:rsid w:val="000B35EF"/>
    <w:rsid w:val="000B364E"/>
    <w:rsid w:val="000B37F0"/>
    <w:rsid w:val="000B3829"/>
    <w:rsid w:val="000B3935"/>
    <w:rsid w:val="000B3985"/>
    <w:rsid w:val="000B3A00"/>
    <w:rsid w:val="000B3A4C"/>
    <w:rsid w:val="000B3BE2"/>
    <w:rsid w:val="000B3D52"/>
    <w:rsid w:val="000B3D89"/>
    <w:rsid w:val="000B3E39"/>
    <w:rsid w:val="000B3EDD"/>
    <w:rsid w:val="000B3EFA"/>
    <w:rsid w:val="000B3F05"/>
    <w:rsid w:val="000B4074"/>
    <w:rsid w:val="000B425D"/>
    <w:rsid w:val="000B42BB"/>
    <w:rsid w:val="000B4418"/>
    <w:rsid w:val="000B4584"/>
    <w:rsid w:val="000B45A9"/>
    <w:rsid w:val="000B45AC"/>
    <w:rsid w:val="000B4613"/>
    <w:rsid w:val="000B4687"/>
    <w:rsid w:val="000B472A"/>
    <w:rsid w:val="000B474F"/>
    <w:rsid w:val="000B48AB"/>
    <w:rsid w:val="000B4932"/>
    <w:rsid w:val="000B49D5"/>
    <w:rsid w:val="000B4A78"/>
    <w:rsid w:val="000B4AD2"/>
    <w:rsid w:val="000B4CB3"/>
    <w:rsid w:val="000B4D89"/>
    <w:rsid w:val="000B4E50"/>
    <w:rsid w:val="000B4F31"/>
    <w:rsid w:val="000B500C"/>
    <w:rsid w:val="000B502B"/>
    <w:rsid w:val="000B510C"/>
    <w:rsid w:val="000B5169"/>
    <w:rsid w:val="000B51B0"/>
    <w:rsid w:val="000B52C9"/>
    <w:rsid w:val="000B5374"/>
    <w:rsid w:val="000B538A"/>
    <w:rsid w:val="000B5449"/>
    <w:rsid w:val="000B54DE"/>
    <w:rsid w:val="000B5581"/>
    <w:rsid w:val="000B55CA"/>
    <w:rsid w:val="000B58B4"/>
    <w:rsid w:val="000B58FD"/>
    <w:rsid w:val="000B59BF"/>
    <w:rsid w:val="000B5ABB"/>
    <w:rsid w:val="000B5C3E"/>
    <w:rsid w:val="000B5CEF"/>
    <w:rsid w:val="000B5EED"/>
    <w:rsid w:val="000B6060"/>
    <w:rsid w:val="000B6091"/>
    <w:rsid w:val="000B616A"/>
    <w:rsid w:val="000B6184"/>
    <w:rsid w:val="000B6187"/>
    <w:rsid w:val="000B61CF"/>
    <w:rsid w:val="000B63E3"/>
    <w:rsid w:val="000B6478"/>
    <w:rsid w:val="000B648C"/>
    <w:rsid w:val="000B6580"/>
    <w:rsid w:val="000B65B4"/>
    <w:rsid w:val="000B65F8"/>
    <w:rsid w:val="000B662E"/>
    <w:rsid w:val="000B685C"/>
    <w:rsid w:val="000B68F2"/>
    <w:rsid w:val="000B6960"/>
    <w:rsid w:val="000B69C8"/>
    <w:rsid w:val="000B6B06"/>
    <w:rsid w:val="000B6B88"/>
    <w:rsid w:val="000B6DE4"/>
    <w:rsid w:val="000B6E07"/>
    <w:rsid w:val="000B6F95"/>
    <w:rsid w:val="000B702F"/>
    <w:rsid w:val="000B70E3"/>
    <w:rsid w:val="000B712D"/>
    <w:rsid w:val="000B71E6"/>
    <w:rsid w:val="000B7238"/>
    <w:rsid w:val="000B7294"/>
    <w:rsid w:val="000B73E5"/>
    <w:rsid w:val="000B74DC"/>
    <w:rsid w:val="000B7587"/>
    <w:rsid w:val="000B7718"/>
    <w:rsid w:val="000B79A6"/>
    <w:rsid w:val="000B7A97"/>
    <w:rsid w:val="000B7BAC"/>
    <w:rsid w:val="000B7C58"/>
    <w:rsid w:val="000B7E8C"/>
    <w:rsid w:val="000C021C"/>
    <w:rsid w:val="000C03A4"/>
    <w:rsid w:val="000C06A8"/>
    <w:rsid w:val="000C06D5"/>
    <w:rsid w:val="000C075B"/>
    <w:rsid w:val="000C0787"/>
    <w:rsid w:val="000C082E"/>
    <w:rsid w:val="000C086C"/>
    <w:rsid w:val="000C08CA"/>
    <w:rsid w:val="000C0905"/>
    <w:rsid w:val="000C09C6"/>
    <w:rsid w:val="000C0AB7"/>
    <w:rsid w:val="000C0B04"/>
    <w:rsid w:val="000C0D6B"/>
    <w:rsid w:val="000C1028"/>
    <w:rsid w:val="000C10BB"/>
    <w:rsid w:val="000C10D7"/>
    <w:rsid w:val="000C10F2"/>
    <w:rsid w:val="000C1214"/>
    <w:rsid w:val="000C1354"/>
    <w:rsid w:val="000C13D1"/>
    <w:rsid w:val="000C13E6"/>
    <w:rsid w:val="000C1765"/>
    <w:rsid w:val="000C193C"/>
    <w:rsid w:val="000C19C1"/>
    <w:rsid w:val="000C1A12"/>
    <w:rsid w:val="000C1A49"/>
    <w:rsid w:val="000C1C6A"/>
    <w:rsid w:val="000C1E34"/>
    <w:rsid w:val="000C1EA2"/>
    <w:rsid w:val="000C1FCF"/>
    <w:rsid w:val="000C20A6"/>
    <w:rsid w:val="000C20E8"/>
    <w:rsid w:val="000C2113"/>
    <w:rsid w:val="000C21E3"/>
    <w:rsid w:val="000C22B0"/>
    <w:rsid w:val="000C22F7"/>
    <w:rsid w:val="000C2490"/>
    <w:rsid w:val="000C252D"/>
    <w:rsid w:val="000C2545"/>
    <w:rsid w:val="000C26D0"/>
    <w:rsid w:val="000C26F2"/>
    <w:rsid w:val="000C283E"/>
    <w:rsid w:val="000C2AAC"/>
    <w:rsid w:val="000C2AE6"/>
    <w:rsid w:val="000C2C01"/>
    <w:rsid w:val="000C2C44"/>
    <w:rsid w:val="000C2CA7"/>
    <w:rsid w:val="000C3073"/>
    <w:rsid w:val="000C3126"/>
    <w:rsid w:val="000C3177"/>
    <w:rsid w:val="000C3242"/>
    <w:rsid w:val="000C342E"/>
    <w:rsid w:val="000C34FC"/>
    <w:rsid w:val="000C3652"/>
    <w:rsid w:val="000C3725"/>
    <w:rsid w:val="000C38CB"/>
    <w:rsid w:val="000C39D6"/>
    <w:rsid w:val="000C3ADD"/>
    <w:rsid w:val="000C3B4E"/>
    <w:rsid w:val="000C3DF8"/>
    <w:rsid w:val="000C3FF7"/>
    <w:rsid w:val="000C413E"/>
    <w:rsid w:val="000C41AF"/>
    <w:rsid w:val="000C41ED"/>
    <w:rsid w:val="000C439B"/>
    <w:rsid w:val="000C440D"/>
    <w:rsid w:val="000C4553"/>
    <w:rsid w:val="000C4609"/>
    <w:rsid w:val="000C4640"/>
    <w:rsid w:val="000C4854"/>
    <w:rsid w:val="000C48C8"/>
    <w:rsid w:val="000C4908"/>
    <w:rsid w:val="000C49CA"/>
    <w:rsid w:val="000C4B2B"/>
    <w:rsid w:val="000C4D29"/>
    <w:rsid w:val="000C4D40"/>
    <w:rsid w:val="000C5061"/>
    <w:rsid w:val="000C509C"/>
    <w:rsid w:val="000C5115"/>
    <w:rsid w:val="000C522A"/>
    <w:rsid w:val="000C5496"/>
    <w:rsid w:val="000C55A8"/>
    <w:rsid w:val="000C55A9"/>
    <w:rsid w:val="000C5626"/>
    <w:rsid w:val="000C571D"/>
    <w:rsid w:val="000C5890"/>
    <w:rsid w:val="000C58C9"/>
    <w:rsid w:val="000C58EF"/>
    <w:rsid w:val="000C59BA"/>
    <w:rsid w:val="000C5BAB"/>
    <w:rsid w:val="000C5BEC"/>
    <w:rsid w:val="000C5D63"/>
    <w:rsid w:val="000C5E7A"/>
    <w:rsid w:val="000C5EF0"/>
    <w:rsid w:val="000C5F29"/>
    <w:rsid w:val="000C61F3"/>
    <w:rsid w:val="000C6704"/>
    <w:rsid w:val="000C6780"/>
    <w:rsid w:val="000C67D8"/>
    <w:rsid w:val="000C6943"/>
    <w:rsid w:val="000C698B"/>
    <w:rsid w:val="000C6ABE"/>
    <w:rsid w:val="000C6B6B"/>
    <w:rsid w:val="000C6BCA"/>
    <w:rsid w:val="000C6C9F"/>
    <w:rsid w:val="000C6D89"/>
    <w:rsid w:val="000C6DD6"/>
    <w:rsid w:val="000C6DDB"/>
    <w:rsid w:val="000C6E1C"/>
    <w:rsid w:val="000C6FE7"/>
    <w:rsid w:val="000C76BE"/>
    <w:rsid w:val="000C76CF"/>
    <w:rsid w:val="000C771B"/>
    <w:rsid w:val="000C772F"/>
    <w:rsid w:val="000C78C9"/>
    <w:rsid w:val="000C797E"/>
    <w:rsid w:val="000C79A6"/>
    <w:rsid w:val="000C79D6"/>
    <w:rsid w:val="000C7A83"/>
    <w:rsid w:val="000C7C0D"/>
    <w:rsid w:val="000C7CFA"/>
    <w:rsid w:val="000C7E48"/>
    <w:rsid w:val="000C7E7B"/>
    <w:rsid w:val="000C7EBF"/>
    <w:rsid w:val="000C7FA7"/>
    <w:rsid w:val="000C7FF0"/>
    <w:rsid w:val="000D0015"/>
    <w:rsid w:val="000D0044"/>
    <w:rsid w:val="000D0157"/>
    <w:rsid w:val="000D019E"/>
    <w:rsid w:val="000D02E2"/>
    <w:rsid w:val="000D0316"/>
    <w:rsid w:val="000D03EC"/>
    <w:rsid w:val="000D0678"/>
    <w:rsid w:val="000D06FA"/>
    <w:rsid w:val="000D0730"/>
    <w:rsid w:val="000D07D4"/>
    <w:rsid w:val="000D0880"/>
    <w:rsid w:val="000D0A88"/>
    <w:rsid w:val="000D0D09"/>
    <w:rsid w:val="000D0E8F"/>
    <w:rsid w:val="000D0F7F"/>
    <w:rsid w:val="000D104B"/>
    <w:rsid w:val="000D13DE"/>
    <w:rsid w:val="000D152B"/>
    <w:rsid w:val="000D1701"/>
    <w:rsid w:val="000D1754"/>
    <w:rsid w:val="000D1782"/>
    <w:rsid w:val="000D1857"/>
    <w:rsid w:val="000D1865"/>
    <w:rsid w:val="000D1970"/>
    <w:rsid w:val="000D1A92"/>
    <w:rsid w:val="000D1AAB"/>
    <w:rsid w:val="000D1B6B"/>
    <w:rsid w:val="000D1B7A"/>
    <w:rsid w:val="000D1BFA"/>
    <w:rsid w:val="000D1CD0"/>
    <w:rsid w:val="000D1ECE"/>
    <w:rsid w:val="000D1F8C"/>
    <w:rsid w:val="000D1F9C"/>
    <w:rsid w:val="000D2071"/>
    <w:rsid w:val="000D20AA"/>
    <w:rsid w:val="000D2123"/>
    <w:rsid w:val="000D216F"/>
    <w:rsid w:val="000D217B"/>
    <w:rsid w:val="000D224B"/>
    <w:rsid w:val="000D2335"/>
    <w:rsid w:val="000D2345"/>
    <w:rsid w:val="000D2380"/>
    <w:rsid w:val="000D23C4"/>
    <w:rsid w:val="000D2495"/>
    <w:rsid w:val="000D2578"/>
    <w:rsid w:val="000D2630"/>
    <w:rsid w:val="000D2696"/>
    <w:rsid w:val="000D26B9"/>
    <w:rsid w:val="000D26EA"/>
    <w:rsid w:val="000D275C"/>
    <w:rsid w:val="000D2785"/>
    <w:rsid w:val="000D2795"/>
    <w:rsid w:val="000D285F"/>
    <w:rsid w:val="000D2898"/>
    <w:rsid w:val="000D296A"/>
    <w:rsid w:val="000D2AAA"/>
    <w:rsid w:val="000D2BB5"/>
    <w:rsid w:val="000D2BB8"/>
    <w:rsid w:val="000D2BB9"/>
    <w:rsid w:val="000D2D26"/>
    <w:rsid w:val="000D2DE2"/>
    <w:rsid w:val="000D2FFB"/>
    <w:rsid w:val="000D3055"/>
    <w:rsid w:val="000D3273"/>
    <w:rsid w:val="000D3341"/>
    <w:rsid w:val="000D334E"/>
    <w:rsid w:val="000D36F1"/>
    <w:rsid w:val="000D371C"/>
    <w:rsid w:val="000D392A"/>
    <w:rsid w:val="000D3962"/>
    <w:rsid w:val="000D397F"/>
    <w:rsid w:val="000D3B22"/>
    <w:rsid w:val="000D3C2F"/>
    <w:rsid w:val="000D3D0E"/>
    <w:rsid w:val="000D3D26"/>
    <w:rsid w:val="000D3E09"/>
    <w:rsid w:val="000D3F25"/>
    <w:rsid w:val="000D4048"/>
    <w:rsid w:val="000D4076"/>
    <w:rsid w:val="000D40AD"/>
    <w:rsid w:val="000D41DB"/>
    <w:rsid w:val="000D42FA"/>
    <w:rsid w:val="000D4306"/>
    <w:rsid w:val="000D4629"/>
    <w:rsid w:val="000D4864"/>
    <w:rsid w:val="000D4911"/>
    <w:rsid w:val="000D491A"/>
    <w:rsid w:val="000D4A71"/>
    <w:rsid w:val="000D4A9C"/>
    <w:rsid w:val="000D4D41"/>
    <w:rsid w:val="000D4D83"/>
    <w:rsid w:val="000D4D95"/>
    <w:rsid w:val="000D4E13"/>
    <w:rsid w:val="000D4F78"/>
    <w:rsid w:val="000D5064"/>
    <w:rsid w:val="000D5092"/>
    <w:rsid w:val="000D50AF"/>
    <w:rsid w:val="000D5265"/>
    <w:rsid w:val="000D52AF"/>
    <w:rsid w:val="000D53CA"/>
    <w:rsid w:val="000D5401"/>
    <w:rsid w:val="000D556F"/>
    <w:rsid w:val="000D5596"/>
    <w:rsid w:val="000D565E"/>
    <w:rsid w:val="000D5673"/>
    <w:rsid w:val="000D56A4"/>
    <w:rsid w:val="000D5704"/>
    <w:rsid w:val="000D5786"/>
    <w:rsid w:val="000D5815"/>
    <w:rsid w:val="000D594E"/>
    <w:rsid w:val="000D5AE4"/>
    <w:rsid w:val="000D5AF0"/>
    <w:rsid w:val="000D5B24"/>
    <w:rsid w:val="000D5BEE"/>
    <w:rsid w:val="000D5C90"/>
    <w:rsid w:val="000D5EA6"/>
    <w:rsid w:val="000D5FF3"/>
    <w:rsid w:val="000D60A7"/>
    <w:rsid w:val="000D6101"/>
    <w:rsid w:val="000D614D"/>
    <w:rsid w:val="000D64FB"/>
    <w:rsid w:val="000D65D0"/>
    <w:rsid w:val="000D679C"/>
    <w:rsid w:val="000D694C"/>
    <w:rsid w:val="000D6950"/>
    <w:rsid w:val="000D6AAF"/>
    <w:rsid w:val="000D6B77"/>
    <w:rsid w:val="000D6B7E"/>
    <w:rsid w:val="000D6BAB"/>
    <w:rsid w:val="000D6C3F"/>
    <w:rsid w:val="000D6CCF"/>
    <w:rsid w:val="000D6D21"/>
    <w:rsid w:val="000D6DD7"/>
    <w:rsid w:val="000D7216"/>
    <w:rsid w:val="000D73BC"/>
    <w:rsid w:val="000D7468"/>
    <w:rsid w:val="000D74D7"/>
    <w:rsid w:val="000D75AE"/>
    <w:rsid w:val="000D763D"/>
    <w:rsid w:val="000D7711"/>
    <w:rsid w:val="000D7768"/>
    <w:rsid w:val="000D787A"/>
    <w:rsid w:val="000D7965"/>
    <w:rsid w:val="000D79D4"/>
    <w:rsid w:val="000D7D2A"/>
    <w:rsid w:val="000D7DD5"/>
    <w:rsid w:val="000D7DE0"/>
    <w:rsid w:val="000D7E96"/>
    <w:rsid w:val="000D7EBD"/>
    <w:rsid w:val="000E045E"/>
    <w:rsid w:val="000E04F4"/>
    <w:rsid w:val="000E05C3"/>
    <w:rsid w:val="000E05C4"/>
    <w:rsid w:val="000E0633"/>
    <w:rsid w:val="000E06FC"/>
    <w:rsid w:val="000E079F"/>
    <w:rsid w:val="000E0856"/>
    <w:rsid w:val="000E0886"/>
    <w:rsid w:val="000E0929"/>
    <w:rsid w:val="000E099A"/>
    <w:rsid w:val="000E0A27"/>
    <w:rsid w:val="000E0A42"/>
    <w:rsid w:val="000E0B7C"/>
    <w:rsid w:val="000E0E8D"/>
    <w:rsid w:val="000E0F02"/>
    <w:rsid w:val="000E0FAB"/>
    <w:rsid w:val="000E1095"/>
    <w:rsid w:val="000E109C"/>
    <w:rsid w:val="000E111E"/>
    <w:rsid w:val="000E1389"/>
    <w:rsid w:val="000E13DB"/>
    <w:rsid w:val="000E1474"/>
    <w:rsid w:val="000E158D"/>
    <w:rsid w:val="000E1641"/>
    <w:rsid w:val="000E17AD"/>
    <w:rsid w:val="000E17E5"/>
    <w:rsid w:val="000E1962"/>
    <w:rsid w:val="000E19BE"/>
    <w:rsid w:val="000E1A9C"/>
    <w:rsid w:val="000E1B2B"/>
    <w:rsid w:val="000E1C6D"/>
    <w:rsid w:val="000E1CBD"/>
    <w:rsid w:val="000E1D29"/>
    <w:rsid w:val="000E1EC0"/>
    <w:rsid w:val="000E1EF0"/>
    <w:rsid w:val="000E1F96"/>
    <w:rsid w:val="000E206A"/>
    <w:rsid w:val="000E2077"/>
    <w:rsid w:val="000E21CE"/>
    <w:rsid w:val="000E225B"/>
    <w:rsid w:val="000E23FB"/>
    <w:rsid w:val="000E2517"/>
    <w:rsid w:val="000E25AB"/>
    <w:rsid w:val="000E2737"/>
    <w:rsid w:val="000E2759"/>
    <w:rsid w:val="000E2A49"/>
    <w:rsid w:val="000E2B5F"/>
    <w:rsid w:val="000E2C92"/>
    <w:rsid w:val="000E2E37"/>
    <w:rsid w:val="000E2E68"/>
    <w:rsid w:val="000E2F41"/>
    <w:rsid w:val="000E3137"/>
    <w:rsid w:val="000E322A"/>
    <w:rsid w:val="000E324E"/>
    <w:rsid w:val="000E32D0"/>
    <w:rsid w:val="000E33C8"/>
    <w:rsid w:val="000E33E9"/>
    <w:rsid w:val="000E3656"/>
    <w:rsid w:val="000E3830"/>
    <w:rsid w:val="000E396F"/>
    <w:rsid w:val="000E397E"/>
    <w:rsid w:val="000E3A6C"/>
    <w:rsid w:val="000E3B96"/>
    <w:rsid w:val="000E3BD9"/>
    <w:rsid w:val="000E3D80"/>
    <w:rsid w:val="000E3DC1"/>
    <w:rsid w:val="000E3DF5"/>
    <w:rsid w:val="000E3F09"/>
    <w:rsid w:val="000E40D6"/>
    <w:rsid w:val="000E40EF"/>
    <w:rsid w:val="000E4222"/>
    <w:rsid w:val="000E43DA"/>
    <w:rsid w:val="000E43DB"/>
    <w:rsid w:val="000E45CF"/>
    <w:rsid w:val="000E46B8"/>
    <w:rsid w:val="000E488C"/>
    <w:rsid w:val="000E48EA"/>
    <w:rsid w:val="000E493F"/>
    <w:rsid w:val="000E4980"/>
    <w:rsid w:val="000E49B1"/>
    <w:rsid w:val="000E4A0C"/>
    <w:rsid w:val="000E4CA8"/>
    <w:rsid w:val="000E4F7A"/>
    <w:rsid w:val="000E4F7F"/>
    <w:rsid w:val="000E50CC"/>
    <w:rsid w:val="000E537B"/>
    <w:rsid w:val="000E5380"/>
    <w:rsid w:val="000E53C6"/>
    <w:rsid w:val="000E54BE"/>
    <w:rsid w:val="000E5642"/>
    <w:rsid w:val="000E5650"/>
    <w:rsid w:val="000E5936"/>
    <w:rsid w:val="000E5966"/>
    <w:rsid w:val="000E5B91"/>
    <w:rsid w:val="000E5C14"/>
    <w:rsid w:val="000E5CBD"/>
    <w:rsid w:val="000E5DC4"/>
    <w:rsid w:val="000E5E34"/>
    <w:rsid w:val="000E5E74"/>
    <w:rsid w:val="000E5F17"/>
    <w:rsid w:val="000E5F19"/>
    <w:rsid w:val="000E5F5D"/>
    <w:rsid w:val="000E5F91"/>
    <w:rsid w:val="000E6070"/>
    <w:rsid w:val="000E616F"/>
    <w:rsid w:val="000E6194"/>
    <w:rsid w:val="000E61E0"/>
    <w:rsid w:val="000E6312"/>
    <w:rsid w:val="000E63DC"/>
    <w:rsid w:val="000E6486"/>
    <w:rsid w:val="000E65FA"/>
    <w:rsid w:val="000E662A"/>
    <w:rsid w:val="000E6761"/>
    <w:rsid w:val="000E67DA"/>
    <w:rsid w:val="000E69B7"/>
    <w:rsid w:val="000E6BCA"/>
    <w:rsid w:val="000E6C27"/>
    <w:rsid w:val="000E6C91"/>
    <w:rsid w:val="000E6F12"/>
    <w:rsid w:val="000E7254"/>
    <w:rsid w:val="000E72DB"/>
    <w:rsid w:val="000E7422"/>
    <w:rsid w:val="000E7693"/>
    <w:rsid w:val="000E7963"/>
    <w:rsid w:val="000E7B13"/>
    <w:rsid w:val="000E7D26"/>
    <w:rsid w:val="000E7D78"/>
    <w:rsid w:val="000F00E4"/>
    <w:rsid w:val="000F00F6"/>
    <w:rsid w:val="000F01C3"/>
    <w:rsid w:val="000F01CC"/>
    <w:rsid w:val="000F0263"/>
    <w:rsid w:val="000F02E3"/>
    <w:rsid w:val="000F02E7"/>
    <w:rsid w:val="000F042C"/>
    <w:rsid w:val="000F0476"/>
    <w:rsid w:val="000F0489"/>
    <w:rsid w:val="000F05C1"/>
    <w:rsid w:val="000F07F9"/>
    <w:rsid w:val="000F07FF"/>
    <w:rsid w:val="000F08D2"/>
    <w:rsid w:val="000F090A"/>
    <w:rsid w:val="000F0932"/>
    <w:rsid w:val="000F0A3A"/>
    <w:rsid w:val="000F0A52"/>
    <w:rsid w:val="000F0ADB"/>
    <w:rsid w:val="000F0B68"/>
    <w:rsid w:val="000F0C07"/>
    <w:rsid w:val="000F0EA7"/>
    <w:rsid w:val="000F0F0F"/>
    <w:rsid w:val="000F0FDD"/>
    <w:rsid w:val="000F0FEF"/>
    <w:rsid w:val="000F1010"/>
    <w:rsid w:val="000F1291"/>
    <w:rsid w:val="000F1761"/>
    <w:rsid w:val="000F17DA"/>
    <w:rsid w:val="000F17F9"/>
    <w:rsid w:val="000F19C8"/>
    <w:rsid w:val="000F1B4A"/>
    <w:rsid w:val="000F1BFA"/>
    <w:rsid w:val="000F1FE3"/>
    <w:rsid w:val="000F21C4"/>
    <w:rsid w:val="000F2233"/>
    <w:rsid w:val="000F223F"/>
    <w:rsid w:val="000F227C"/>
    <w:rsid w:val="000F23B7"/>
    <w:rsid w:val="000F252E"/>
    <w:rsid w:val="000F2738"/>
    <w:rsid w:val="000F277A"/>
    <w:rsid w:val="000F279E"/>
    <w:rsid w:val="000F2870"/>
    <w:rsid w:val="000F2C3E"/>
    <w:rsid w:val="000F2CCD"/>
    <w:rsid w:val="000F30EE"/>
    <w:rsid w:val="000F30F9"/>
    <w:rsid w:val="000F3124"/>
    <w:rsid w:val="000F31B4"/>
    <w:rsid w:val="000F338C"/>
    <w:rsid w:val="000F33DB"/>
    <w:rsid w:val="000F33E4"/>
    <w:rsid w:val="000F34C0"/>
    <w:rsid w:val="000F3501"/>
    <w:rsid w:val="000F360A"/>
    <w:rsid w:val="000F363E"/>
    <w:rsid w:val="000F36B1"/>
    <w:rsid w:val="000F36B7"/>
    <w:rsid w:val="000F36F1"/>
    <w:rsid w:val="000F37BC"/>
    <w:rsid w:val="000F37F5"/>
    <w:rsid w:val="000F38F2"/>
    <w:rsid w:val="000F3B78"/>
    <w:rsid w:val="000F3C9C"/>
    <w:rsid w:val="000F3D7A"/>
    <w:rsid w:val="000F3E49"/>
    <w:rsid w:val="000F3F90"/>
    <w:rsid w:val="000F403F"/>
    <w:rsid w:val="000F411F"/>
    <w:rsid w:val="000F413E"/>
    <w:rsid w:val="000F41EC"/>
    <w:rsid w:val="000F429E"/>
    <w:rsid w:val="000F42C0"/>
    <w:rsid w:val="000F44EA"/>
    <w:rsid w:val="000F453C"/>
    <w:rsid w:val="000F472C"/>
    <w:rsid w:val="000F4764"/>
    <w:rsid w:val="000F4824"/>
    <w:rsid w:val="000F4A6C"/>
    <w:rsid w:val="000F4D95"/>
    <w:rsid w:val="000F4ED9"/>
    <w:rsid w:val="000F4EE5"/>
    <w:rsid w:val="000F4F2B"/>
    <w:rsid w:val="000F51E1"/>
    <w:rsid w:val="000F5273"/>
    <w:rsid w:val="000F52DF"/>
    <w:rsid w:val="000F5344"/>
    <w:rsid w:val="000F534E"/>
    <w:rsid w:val="000F5367"/>
    <w:rsid w:val="000F53D1"/>
    <w:rsid w:val="000F5534"/>
    <w:rsid w:val="000F5618"/>
    <w:rsid w:val="000F566D"/>
    <w:rsid w:val="000F5690"/>
    <w:rsid w:val="000F570C"/>
    <w:rsid w:val="000F571C"/>
    <w:rsid w:val="000F580F"/>
    <w:rsid w:val="000F5851"/>
    <w:rsid w:val="000F5871"/>
    <w:rsid w:val="000F58BF"/>
    <w:rsid w:val="000F5952"/>
    <w:rsid w:val="000F5A44"/>
    <w:rsid w:val="000F5B10"/>
    <w:rsid w:val="000F5C30"/>
    <w:rsid w:val="000F5D96"/>
    <w:rsid w:val="000F5E4C"/>
    <w:rsid w:val="000F5ED0"/>
    <w:rsid w:val="000F6049"/>
    <w:rsid w:val="000F6249"/>
    <w:rsid w:val="000F63E5"/>
    <w:rsid w:val="000F6760"/>
    <w:rsid w:val="000F68DB"/>
    <w:rsid w:val="000F68EF"/>
    <w:rsid w:val="000F6C3D"/>
    <w:rsid w:val="000F6D72"/>
    <w:rsid w:val="000F6ECB"/>
    <w:rsid w:val="000F6EEF"/>
    <w:rsid w:val="000F71F5"/>
    <w:rsid w:val="000F7213"/>
    <w:rsid w:val="000F7254"/>
    <w:rsid w:val="000F7256"/>
    <w:rsid w:val="000F734A"/>
    <w:rsid w:val="000F746A"/>
    <w:rsid w:val="000F74C2"/>
    <w:rsid w:val="000F74CA"/>
    <w:rsid w:val="000F7859"/>
    <w:rsid w:val="000F7C2F"/>
    <w:rsid w:val="000F7C56"/>
    <w:rsid w:val="000F7D57"/>
    <w:rsid w:val="000F7F4F"/>
    <w:rsid w:val="000F7FBB"/>
    <w:rsid w:val="001000F2"/>
    <w:rsid w:val="00100323"/>
    <w:rsid w:val="0010036D"/>
    <w:rsid w:val="0010045A"/>
    <w:rsid w:val="0010051E"/>
    <w:rsid w:val="00100619"/>
    <w:rsid w:val="00100672"/>
    <w:rsid w:val="001006E2"/>
    <w:rsid w:val="001007EE"/>
    <w:rsid w:val="001008EF"/>
    <w:rsid w:val="00100957"/>
    <w:rsid w:val="0010095D"/>
    <w:rsid w:val="001009B0"/>
    <w:rsid w:val="00100A08"/>
    <w:rsid w:val="00100AAD"/>
    <w:rsid w:val="00100D87"/>
    <w:rsid w:val="00100DCA"/>
    <w:rsid w:val="00100DD6"/>
    <w:rsid w:val="00100DE5"/>
    <w:rsid w:val="00100E8C"/>
    <w:rsid w:val="00100EC0"/>
    <w:rsid w:val="00100FF1"/>
    <w:rsid w:val="001011F3"/>
    <w:rsid w:val="00101363"/>
    <w:rsid w:val="001013AA"/>
    <w:rsid w:val="00101605"/>
    <w:rsid w:val="0010167D"/>
    <w:rsid w:val="00101892"/>
    <w:rsid w:val="0010194F"/>
    <w:rsid w:val="00101998"/>
    <w:rsid w:val="00101BCE"/>
    <w:rsid w:val="00101BF7"/>
    <w:rsid w:val="00101C69"/>
    <w:rsid w:val="00101DE9"/>
    <w:rsid w:val="00101E50"/>
    <w:rsid w:val="00101F92"/>
    <w:rsid w:val="00102118"/>
    <w:rsid w:val="001021BA"/>
    <w:rsid w:val="001021E5"/>
    <w:rsid w:val="00102280"/>
    <w:rsid w:val="00102384"/>
    <w:rsid w:val="001023FA"/>
    <w:rsid w:val="001024F9"/>
    <w:rsid w:val="0010257B"/>
    <w:rsid w:val="00102631"/>
    <w:rsid w:val="0010275F"/>
    <w:rsid w:val="00102778"/>
    <w:rsid w:val="001028F9"/>
    <w:rsid w:val="00102BD7"/>
    <w:rsid w:val="00102C48"/>
    <w:rsid w:val="00102EE5"/>
    <w:rsid w:val="00102F7A"/>
    <w:rsid w:val="001030A4"/>
    <w:rsid w:val="0010323F"/>
    <w:rsid w:val="001032D0"/>
    <w:rsid w:val="00103335"/>
    <w:rsid w:val="00103494"/>
    <w:rsid w:val="00103530"/>
    <w:rsid w:val="0010353A"/>
    <w:rsid w:val="00103556"/>
    <w:rsid w:val="0010355D"/>
    <w:rsid w:val="001035DD"/>
    <w:rsid w:val="00103620"/>
    <w:rsid w:val="001036B5"/>
    <w:rsid w:val="00103853"/>
    <w:rsid w:val="0010386F"/>
    <w:rsid w:val="00103904"/>
    <w:rsid w:val="00103940"/>
    <w:rsid w:val="00103981"/>
    <w:rsid w:val="001039A8"/>
    <w:rsid w:val="001039FE"/>
    <w:rsid w:val="00103C02"/>
    <w:rsid w:val="00103C44"/>
    <w:rsid w:val="00103F17"/>
    <w:rsid w:val="00103F57"/>
    <w:rsid w:val="00103FC9"/>
    <w:rsid w:val="001040FA"/>
    <w:rsid w:val="00104106"/>
    <w:rsid w:val="0010423A"/>
    <w:rsid w:val="001042C8"/>
    <w:rsid w:val="00104361"/>
    <w:rsid w:val="0010437A"/>
    <w:rsid w:val="00104622"/>
    <w:rsid w:val="00104677"/>
    <w:rsid w:val="0010478C"/>
    <w:rsid w:val="00104A01"/>
    <w:rsid w:val="00104A11"/>
    <w:rsid w:val="00104AC5"/>
    <w:rsid w:val="00104C15"/>
    <w:rsid w:val="00104E43"/>
    <w:rsid w:val="00104EA3"/>
    <w:rsid w:val="00104F54"/>
    <w:rsid w:val="00104FD7"/>
    <w:rsid w:val="00105071"/>
    <w:rsid w:val="001050BA"/>
    <w:rsid w:val="00105147"/>
    <w:rsid w:val="00105168"/>
    <w:rsid w:val="001051D8"/>
    <w:rsid w:val="0010521B"/>
    <w:rsid w:val="00105232"/>
    <w:rsid w:val="001054F5"/>
    <w:rsid w:val="00105512"/>
    <w:rsid w:val="00105817"/>
    <w:rsid w:val="001058A8"/>
    <w:rsid w:val="001058B9"/>
    <w:rsid w:val="001059E8"/>
    <w:rsid w:val="00105A1F"/>
    <w:rsid w:val="00105A69"/>
    <w:rsid w:val="00105AEE"/>
    <w:rsid w:val="00105C14"/>
    <w:rsid w:val="00105DD9"/>
    <w:rsid w:val="00105DEB"/>
    <w:rsid w:val="00105E2F"/>
    <w:rsid w:val="00105F3D"/>
    <w:rsid w:val="001060AD"/>
    <w:rsid w:val="001060CD"/>
    <w:rsid w:val="00106109"/>
    <w:rsid w:val="00106236"/>
    <w:rsid w:val="001062BB"/>
    <w:rsid w:val="001062FE"/>
    <w:rsid w:val="001065F5"/>
    <w:rsid w:val="00106834"/>
    <w:rsid w:val="001068BD"/>
    <w:rsid w:val="00106954"/>
    <w:rsid w:val="001069EA"/>
    <w:rsid w:val="00106AA2"/>
    <w:rsid w:val="00106B45"/>
    <w:rsid w:val="00106B8C"/>
    <w:rsid w:val="00106C2E"/>
    <w:rsid w:val="00106C7D"/>
    <w:rsid w:val="00106FCD"/>
    <w:rsid w:val="0010715B"/>
    <w:rsid w:val="00107170"/>
    <w:rsid w:val="00107708"/>
    <w:rsid w:val="0010783F"/>
    <w:rsid w:val="00107947"/>
    <w:rsid w:val="001079BB"/>
    <w:rsid w:val="00107B20"/>
    <w:rsid w:val="00107C0A"/>
    <w:rsid w:val="00107C52"/>
    <w:rsid w:val="00107CE6"/>
    <w:rsid w:val="00107D43"/>
    <w:rsid w:val="00107E46"/>
    <w:rsid w:val="00107E8F"/>
    <w:rsid w:val="00107F11"/>
    <w:rsid w:val="00107F75"/>
    <w:rsid w:val="001101A3"/>
    <w:rsid w:val="0011029A"/>
    <w:rsid w:val="001102F4"/>
    <w:rsid w:val="00110316"/>
    <w:rsid w:val="00110328"/>
    <w:rsid w:val="00110494"/>
    <w:rsid w:val="001104E2"/>
    <w:rsid w:val="001104EA"/>
    <w:rsid w:val="001107B2"/>
    <w:rsid w:val="001107F0"/>
    <w:rsid w:val="00110A52"/>
    <w:rsid w:val="00110C89"/>
    <w:rsid w:val="001110CE"/>
    <w:rsid w:val="001111BF"/>
    <w:rsid w:val="00111230"/>
    <w:rsid w:val="001112C8"/>
    <w:rsid w:val="0011138E"/>
    <w:rsid w:val="00111393"/>
    <w:rsid w:val="00111580"/>
    <w:rsid w:val="0011159B"/>
    <w:rsid w:val="001115B8"/>
    <w:rsid w:val="00111625"/>
    <w:rsid w:val="00111642"/>
    <w:rsid w:val="001116C2"/>
    <w:rsid w:val="001118AA"/>
    <w:rsid w:val="00111C0F"/>
    <w:rsid w:val="00111C8E"/>
    <w:rsid w:val="00111CFE"/>
    <w:rsid w:val="00111D3A"/>
    <w:rsid w:val="00111DF0"/>
    <w:rsid w:val="00111EDA"/>
    <w:rsid w:val="001120F3"/>
    <w:rsid w:val="001120FD"/>
    <w:rsid w:val="0011213E"/>
    <w:rsid w:val="00112213"/>
    <w:rsid w:val="00112371"/>
    <w:rsid w:val="001123D2"/>
    <w:rsid w:val="0011267F"/>
    <w:rsid w:val="00112697"/>
    <w:rsid w:val="00112753"/>
    <w:rsid w:val="00112803"/>
    <w:rsid w:val="00112AA1"/>
    <w:rsid w:val="00112AC2"/>
    <w:rsid w:val="00112BFF"/>
    <w:rsid w:val="00112D1D"/>
    <w:rsid w:val="00112D3A"/>
    <w:rsid w:val="00112E25"/>
    <w:rsid w:val="00112EA1"/>
    <w:rsid w:val="0011339C"/>
    <w:rsid w:val="00113474"/>
    <w:rsid w:val="00113602"/>
    <w:rsid w:val="0011377A"/>
    <w:rsid w:val="00113D0B"/>
    <w:rsid w:val="00113D58"/>
    <w:rsid w:val="00113DBC"/>
    <w:rsid w:val="00113E3B"/>
    <w:rsid w:val="00113E6A"/>
    <w:rsid w:val="00113EA9"/>
    <w:rsid w:val="001140BC"/>
    <w:rsid w:val="00114210"/>
    <w:rsid w:val="001142AA"/>
    <w:rsid w:val="001143D4"/>
    <w:rsid w:val="001143E1"/>
    <w:rsid w:val="001145AB"/>
    <w:rsid w:val="00114643"/>
    <w:rsid w:val="00114787"/>
    <w:rsid w:val="00114840"/>
    <w:rsid w:val="00114888"/>
    <w:rsid w:val="001149FF"/>
    <w:rsid w:val="00114A0E"/>
    <w:rsid w:val="00114A1C"/>
    <w:rsid w:val="00114AC6"/>
    <w:rsid w:val="00114B0B"/>
    <w:rsid w:val="00114B98"/>
    <w:rsid w:val="00114EC0"/>
    <w:rsid w:val="00114EC9"/>
    <w:rsid w:val="00114F58"/>
    <w:rsid w:val="0011503C"/>
    <w:rsid w:val="001150CE"/>
    <w:rsid w:val="00115270"/>
    <w:rsid w:val="001152B3"/>
    <w:rsid w:val="00115316"/>
    <w:rsid w:val="0011549D"/>
    <w:rsid w:val="0011563F"/>
    <w:rsid w:val="0011578C"/>
    <w:rsid w:val="00115928"/>
    <w:rsid w:val="00115AA8"/>
    <w:rsid w:val="00115ACB"/>
    <w:rsid w:val="00115B8E"/>
    <w:rsid w:val="00115BE6"/>
    <w:rsid w:val="00115C72"/>
    <w:rsid w:val="00115D68"/>
    <w:rsid w:val="00115E21"/>
    <w:rsid w:val="00115E7A"/>
    <w:rsid w:val="00115F05"/>
    <w:rsid w:val="00115FCA"/>
    <w:rsid w:val="00116059"/>
    <w:rsid w:val="001160FF"/>
    <w:rsid w:val="0011628E"/>
    <w:rsid w:val="001162D0"/>
    <w:rsid w:val="001163DE"/>
    <w:rsid w:val="001165B2"/>
    <w:rsid w:val="001165F7"/>
    <w:rsid w:val="0011671C"/>
    <w:rsid w:val="00116738"/>
    <w:rsid w:val="001167B2"/>
    <w:rsid w:val="00116830"/>
    <w:rsid w:val="001169AA"/>
    <w:rsid w:val="001169B2"/>
    <w:rsid w:val="001169EE"/>
    <w:rsid w:val="00116AE2"/>
    <w:rsid w:val="00116D3F"/>
    <w:rsid w:val="00116D95"/>
    <w:rsid w:val="00116E41"/>
    <w:rsid w:val="00117035"/>
    <w:rsid w:val="0011708A"/>
    <w:rsid w:val="0011712B"/>
    <w:rsid w:val="0011712D"/>
    <w:rsid w:val="00117294"/>
    <w:rsid w:val="00117433"/>
    <w:rsid w:val="0011762E"/>
    <w:rsid w:val="00117694"/>
    <w:rsid w:val="00117806"/>
    <w:rsid w:val="00117A01"/>
    <w:rsid w:val="00117A35"/>
    <w:rsid w:val="00117A9A"/>
    <w:rsid w:val="00117AE8"/>
    <w:rsid w:val="00117BC2"/>
    <w:rsid w:val="00117BD6"/>
    <w:rsid w:val="00117D00"/>
    <w:rsid w:val="00117D64"/>
    <w:rsid w:val="00117D6B"/>
    <w:rsid w:val="00117DD7"/>
    <w:rsid w:val="00117E3E"/>
    <w:rsid w:val="00117EF4"/>
    <w:rsid w:val="00117F8C"/>
    <w:rsid w:val="001201E6"/>
    <w:rsid w:val="00120252"/>
    <w:rsid w:val="001202B9"/>
    <w:rsid w:val="0012045B"/>
    <w:rsid w:val="00120539"/>
    <w:rsid w:val="0012074C"/>
    <w:rsid w:val="00120768"/>
    <w:rsid w:val="001207CD"/>
    <w:rsid w:val="00120823"/>
    <w:rsid w:val="001208A4"/>
    <w:rsid w:val="00120969"/>
    <w:rsid w:val="00120CCC"/>
    <w:rsid w:val="00120D23"/>
    <w:rsid w:val="00120EFE"/>
    <w:rsid w:val="00120FBD"/>
    <w:rsid w:val="00120FBF"/>
    <w:rsid w:val="0012111C"/>
    <w:rsid w:val="0012134B"/>
    <w:rsid w:val="001213C1"/>
    <w:rsid w:val="00121413"/>
    <w:rsid w:val="001214A3"/>
    <w:rsid w:val="0012176E"/>
    <w:rsid w:val="00121846"/>
    <w:rsid w:val="00121B61"/>
    <w:rsid w:val="00121CDC"/>
    <w:rsid w:val="00121EB7"/>
    <w:rsid w:val="0012211B"/>
    <w:rsid w:val="0012212A"/>
    <w:rsid w:val="0012224F"/>
    <w:rsid w:val="00122472"/>
    <w:rsid w:val="001224DE"/>
    <w:rsid w:val="00122758"/>
    <w:rsid w:val="00122888"/>
    <w:rsid w:val="00122932"/>
    <w:rsid w:val="00122958"/>
    <w:rsid w:val="0012298D"/>
    <w:rsid w:val="00122A0D"/>
    <w:rsid w:val="00122AA7"/>
    <w:rsid w:val="00122B83"/>
    <w:rsid w:val="00122BA4"/>
    <w:rsid w:val="00122C11"/>
    <w:rsid w:val="00122D30"/>
    <w:rsid w:val="00122E11"/>
    <w:rsid w:val="00122FAC"/>
    <w:rsid w:val="00123092"/>
    <w:rsid w:val="001232FB"/>
    <w:rsid w:val="001233C9"/>
    <w:rsid w:val="001237FD"/>
    <w:rsid w:val="00123810"/>
    <w:rsid w:val="001238EF"/>
    <w:rsid w:val="00123900"/>
    <w:rsid w:val="00123B80"/>
    <w:rsid w:val="00123BF5"/>
    <w:rsid w:val="00123D99"/>
    <w:rsid w:val="00123D9F"/>
    <w:rsid w:val="00123DDC"/>
    <w:rsid w:val="00123DFF"/>
    <w:rsid w:val="00123E1F"/>
    <w:rsid w:val="00123E49"/>
    <w:rsid w:val="00123F78"/>
    <w:rsid w:val="00123FFD"/>
    <w:rsid w:val="00124043"/>
    <w:rsid w:val="00124174"/>
    <w:rsid w:val="001241CF"/>
    <w:rsid w:val="001241D4"/>
    <w:rsid w:val="0012433E"/>
    <w:rsid w:val="001244A9"/>
    <w:rsid w:val="001244CF"/>
    <w:rsid w:val="001244E6"/>
    <w:rsid w:val="00124535"/>
    <w:rsid w:val="001245C8"/>
    <w:rsid w:val="00124683"/>
    <w:rsid w:val="00124733"/>
    <w:rsid w:val="0012478E"/>
    <w:rsid w:val="0012483F"/>
    <w:rsid w:val="001248B6"/>
    <w:rsid w:val="00124B3D"/>
    <w:rsid w:val="00124B99"/>
    <w:rsid w:val="00124CA6"/>
    <w:rsid w:val="00124DE7"/>
    <w:rsid w:val="00124E4E"/>
    <w:rsid w:val="00125002"/>
    <w:rsid w:val="00125070"/>
    <w:rsid w:val="001250E5"/>
    <w:rsid w:val="00125230"/>
    <w:rsid w:val="00125283"/>
    <w:rsid w:val="001252F7"/>
    <w:rsid w:val="0012539C"/>
    <w:rsid w:val="001253A7"/>
    <w:rsid w:val="001254C2"/>
    <w:rsid w:val="0012566E"/>
    <w:rsid w:val="0012573A"/>
    <w:rsid w:val="001257EB"/>
    <w:rsid w:val="00125962"/>
    <w:rsid w:val="00125BEC"/>
    <w:rsid w:val="00125D34"/>
    <w:rsid w:val="00125DC8"/>
    <w:rsid w:val="00125FF7"/>
    <w:rsid w:val="00126018"/>
    <w:rsid w:val="0012603F"/>
    <w:rsid w:val="00126066"/>
    <w:rsid w:val="001260E0"/>
    <w:rsid w:val="001260F2"/>
    <w:rsid w:val="00126116"/>
    <w:rsid w:val="001261E6"/>
    <w:rsid w:val="001261EB"/>
    <w:rsid w:val="001262B3"/>
    <w:rsid w:val="00126486"/>
    <w:rsid w:val="001265C1"/>
    <w:rsid w:val="001266C0"/>
    <w:rsid w:val="00126798"/>
    <w:rsid w:val="00126832"/>
    <w:rsid w:val="0012687B"/>
    <w:rsid w:val="0012687D"/>
    <w:rsid w:val="00126949"/>
    <w:rsid w:val="00126A66"/>
    <w:rsid w:val="00126A87"/>
    <w:rsid w:val="00126A90"/>
    <w:rsid w:val="00126C21"/>
    <w:rsid w:val="00126DB3"/>
    <w:rsid w:val="00126DFF"/>
    <w:rsid w:val="00126E2D"/>
    <w:rsid w:val="00126E87"/>
    <w:rsid w:val="00126FD8"/>
    <w:rsid w:val="00126FF9"/>
    <w:rsid w:val="001270F3"/>
    <w:rsid w:val="00127167"/>
    <w:rsid w:val="0012737D"/>
    <w:rsid w:val="001273F2"/>
    <w:rsid w:val="00127566"/>
    <w:rsid w:val="0012758F"/>
    <w:rsid w:val="001275ED"/>
    <w:rsid w:val="001276A4"/>
    <w:rsid w:val="00127747"/>
    <w:rsid w:val="00127803"/>
    <w:rsid w:val="00127B3A"/>
    <w:rsid w:val="00127C9A"/>
    <w:rsid w:val="00127CF9"/>
    <w:rsid w:val="00127DB9"/>
    <w:rsid w:val="00127E36"/>
    <w:rsid w:val="00127F81"/>
    <w:rsid w:val="0013017B"/>
    <w:rsid w:val="0013019A"/>
    <w:rsid w:val="001301E5"/>
    <w:rsid w:val="001301E9"/>
    <w:rsid w:val="00130234"/>
    <w:rsid w:val="00130259"/>
    <w:rsid w:val="0013025A"/>
    <w:rsid w:val="00130389"/>
    <w:rsid w:val="00130503"/>
    <w:rsid w:val="001306E6"/>
    <w:rsid w:val="00130751"/>
    <w:rsid w:val="00130779"/>
    <w:rsid w:val="001307F6"/>
    <w:rsid w:val="0013089B"/>
    <w:rsid w:val="001309A8"/>
    <w:rsid w:val="00130A06"/>
    <w:rsid w:val="00130A10"/>
    <w:rsid w:val="00130A8C"/>
    <w:rsid w:val="00130A96"/>
    <w:rsid w:val="00130B55"/>
    <w:rsid w:val="00130B90"/>
    <w:rsid w:val="00130C3A"/>
    <w:rsid w:val="00130CB5"/>
    <w:rsid w:val="00130D98"/>
    <w:rsid w:val="00130F8B"/>
    <w:rsid w:val="00131004"/>
    <w:rsid w:val="00131095"/>
    <w:rsid w:val="001310AF"/>
    <w:rsid w:val="001311AA"/>
    <w:rsid w:val="001312AB"/>
    <w:rsid w:val="001313EF"/>
    <w:rsid w:val="001313F5"/>
    <w:rsid w:val="00131566"/>
    <w:rsid w:val="00131730"/>
    <w:rsid w:val="00131835"/>
    <w:rsid w:val="0013189E"/>
    <w:rsid w:val="001318B3"/>
    <w:rsid w:val="001318C4"/>
    <w:rsid w:val="00131B1C"/>
    <w:rsid w:val="00131B95"/>
    <w:rsid w:val="00131E04"/>
    <w:rsid w:val="00131E97"/>
    <w:rsid w:val="00131F0F"/>
    <w:rsid w:val="00132046"/>
    <w:rsid w:val="001321F0"/>
    <w:rsid w:val="001322E7"/>
    <w:rsid w:val="0013245C"/>
    <w:rsid w:val="00132543"/>
    <w:rsid w:val="001325AA"/>
    <w:rsid w:val="001325B3"/>
    <w:rsid w:val="00132946"/>
    <w:rsid w:val="00132A9F"/>
    <w:rsid w:val="00132BD6"/>
    <w:rsid w:val="00132C3D"/>
    <w:rsid w:val="00133192"/>
    <w:rsid w:val="001331D7"/>
    <w:rsid w:val="0013335B"/>
    <w:rsid w:val="0013347D"/>
    <w:rsid w:val="001335EA"/>
    <w:rsid w:val="00133736"/>
    <w:rsid w:val="001337D5"/>
    <w:rsid w:val="00133864"/>
    <w:rsid w:val="00133994"/>
    <w:rsid w:val="001339A5"/>
    <w:rsid w:val="00133C96"/>
    <w:rsid w:val="00133D2D"/>
    <w:rsid w:val="00133D5A"/>
    <w:rsid w:val="00133F68"/>
    <w:rsid w:val="00133F85"/>
    <w:rsid w:val="00134064"/>
    <w:rsid w:val="001340EC"/>
    <w:rsid w:val="001340F3"/>
    <w:rsid w:val="00134107"/>
    <w:rsid w:val="001342C3"/>
    <w:rsid w:val="0013450B"/>
    <w:rsid w:val="0013454D"/>
    <w:rsid w:val="001346E5"/>
    <w:rsid w:val="001346FC"/>
    <w:rsid w:val="0013471E"/>
    <w:rsid w:val="0013473B"/>
    <w:rsid w:val="0013474A"/>
    <w:rsid w:val="0013483F"/>
    <w:rsid w:val="0013493F"/>
    <w:rsid w:val="001349E7"/>
    <w:rsid w:val="00134AAE"/>
    <w:rsid w:val="00134AF7"/>
    <w:rsid w:val="00134C95"/>
    <w:rsid w:val="00134EBD"/>
    <w:rsid w:val="00134F3D"/>
    <w:rsid w:val="00134F9B"/>
    <w:rsid w:val="00134FD9"/>
    <w:rsid w:val="001351C7"/>
    <w:rsid w:val="00135206"/>
    <w:rsid w:val="00135248"/>
    <w:rsid w:val="00135276"/>
    <w:rsid w:val="001352B9"/>
    <w:rsid w:val="001353C5"/>
    <w:rsid w:val="001353FC"/>
    <w:rsid w:val="00135451"/>
    <w:rsid w:val="00135544"/>
    <w:rsid w:val="00135568"/>
    <w:rsid w:val="001355A8"/>
    <w:rsid w:val="00135939"/>
    <w:rsid w:val="00135965"/>
    <w:rsid w:val="0013597D"/>
    <w:rsid w:val="00135A14"/>
    <w:rsid w:val="00135C05"/>
    <w:rsid w:val="00135C5E"/>
    <w:rsid w:val="00135DA1"/>
    <w:rsid w:val="00135DB2"/>
    <w:rsid w:val="00135E40"/>
    <w:rsid w:val="00135E5E"/>
    <w:rsid w:val="00135EE9"/>
    <w:rsid w:val="00135EF2"/>
    <w:rsid w:val="00135F5C"/>
    <w:rsid w:val="00136024"/>
    <w:rsid w:val="0013617C"/>
    <w:rsid w:val="00136201"/>
    <w:rsid w:val="00136340"/>
    <w:rsid w:val="00136414"/>
    <w:rsid w:val="00136420"/>
    <w:rsid w:val="001364DB"/>
    <w:rsid w:val="0013673A"/>
    <w:rsid w:val="0013677A"/>
    <w:rsid w:val="001369CA"/>
    <w:rsid w:val="001369D0"/>
    <w:rsid w:val="00136C26"/>
    <w:rsid w:val="00136CF4"/>
    <w:rsid w:val="00136DA1"/>
    <w:rsid w:val="00136EA9"/>
    <w:rsid w:val="00137322"/>
    <w:rsid w:val="001373A4"/>
    <w:rsid w:val="001374C4"/>
    <w:rsid w:val="001375F2"/>
    <w:rsid w:val="001376CD"/>
    <w:rsid w:val="00137715"/>
    <w:rsid w:val="001378DA"/>
    <w:rsid w:val="001379C1"/>
    <w:rsid w:val="00137A6C"/>
    <w:rsid w:val="00137A97"/>
    <w:rsid w:val="00137D00"/>
    <w:rsid w:val="00137E41"/>
    <w:rsid w:val="00137F4A"/>
    <w:rsid w:val="0014004A"/>
    <w:rsid w:val="00140084"/>
    <w:rsid w:val="001400E0"/>
    <w:rsid w:val="001401FA"/>
    <w:rsid w:val="00140295"/>
    <w:rsid w:val="001402A5"/>
    <w:rsid w:val="00140366"/>
    <w:rsid w:val="001403C9"/>
    <w:rsid w:val="00140474"/>
    <w:rsid w:val="001404B6"/>
    <w:rsid w:val="00140553"/>
    <w:rsid w:val="00140560"/>
    <w:rsid w:val="001406AE"/>
    <w:rsid w:val="001407C3"/>
    <w:rsid w:val="00140889"/>
    <w:rsid w:val="00140971"/>
    <w:rsid w:val="0014097D"/>
    <w:rsid w:val="00140A2E"/>
    <w:rsid w:val="00140AC1"/>
    <w:rsid w:val="00140B03"/>
    <w:rsid w:val="00140BE4"/>
    <w:rsid w:val="00140C19"/>
    <w:rsid w:val="00140CF8"/>
    <w:rsid w:val="00140DDE"/>
    <w:rsid w:val="00140F31"/>
    <w:rsid w:val="00141025"/>
    <w:rsid w:val="001410C4"/>
    <w:rsid w:val="0014115A"/>
    <w:rsid w:val="00141171"/>
    <w:rsid w:val="0014120C"/>
    <w:rsid w:val="00141235"/>
    <w:rsid w:val="00141457"/>
    <w:rsid w:val="0014148F"/>
    <w:rsid w:val="00141629"/>
    <w:rsid w:val="0014178A"/>
    <w:rsid w:val="001418CF"/>
    <w:rsid w:val="00141A1C"/>
    <w:rsid w:val="00141B8A"/>
    <w:rsid w:val="00141C21"/>
    <w:rsid w:val="00141D13"/>
    <w:rsid w:val="00141D1D"/>
    <w:rsid w:val="00141EBF"/>
    <w:rsid w:val="00141F17"/>
    <w:rsid w:val="00141F99"/>
    <w:rsid w:val="00141FB6"/>
    <w:rsid w:val="00141FC8"/>
    <w:rsid w:val="00142166"/>
    <w:rsid w:val="0014229C"/>
    <w:rsid w:val="0014231A"/>
    <w:rsid w:val="00142479"/>
    <w:rsid w:val="001426F5"/>
    <w:rsid w:val="00142789"/>
    <w:rsid w:val="0014280F"/>
    <w:rsid w:val="0014281D"/>
    <w:rsid w:val="00142822"/>
    <w:rsid w:val="00142AE1"/>
    <w:rsid w:val="00142B48"/>
    <w:rsid w:val="00142BCE"/>
    <w:rsid w:val="00142BFB"/>
    <w:rsid w:val="00142C15"/>
    <w:rsid w:val="00142C1A"/>
    <w:rsid w:val="00142C4E"/>
    <w:rsid w:val="00142CCD"/>
    <w:rsid w:val="00142E84"/>
    <w:rsid w:val="00142EDA"/>
    <w:rsid w:val="00142F78"/>
    <w:rsid w:val="00142F84"/>
    <w:rsid w:val="00142FBD"/>
    <w:rsid w:val="00143089"/>
    <w:rsid w:val="001430AC"/>
    <w:rsid w:val="00143101"/>
    <w:rsid w:val="001432AE"/>
    <w:rsid w:val="001432BF"/>
    <w:rsid w:val="001433CF"/>
    <w:rsid w:val="001433F3"/>
    <w:rsid w:val="0014357B"/>
    <w:rsid w:val="0014374F"/>
    <w:rsid w:val="001437ED"/>
    <w:rsid w:val="0014393E"/>
    <w:rsid w:val="00143B0A"/>
    <w:rsid w:val="00143C70"/>
    <w:rsid w:val="00143CFA"/>
    <w:rsid w:val="00143D44"/>
    <w:rsid w:val="00143EE3"/>
    <w:rsid w:val="00143F47"/>
    <w:rsid w:val="00144144"/>
    <w:rsid w:val="00144245"/>
    <w:rsid w:val="0014430A"/>
    <w:rsid w:val="0014438F"/>
    <w:rsid w:val="00144493"/>
    <w:rsid w:val="001445E3"/>
    <w:rsid w:val="00144749"/>
    <w:rsid w:val="00144810"/>
    <w:rsid w:val="00144916"/>
    <w:rsid w:val="001449CC"/>
    <w:rsid w:val="00144A51"/>
    <w:rsid w:val="00144A99"/>
    <w:rsid w:val="00144BCB"/>
    <w:rsid w:val="00144C55"/>
    <w:rsid w:val="00144D95"/>
    <w:rsid w:val="00144F92"/>
    <w:rsid w:val="00145191"/>
    <w:rsid w:val="0014537C"/>
    <w:rsid w:val="001453D8"/>
    <w:rsid w:val="0014564B"/>
    <w:rsid w:val="001456B4"/>
    <w:rsid w:val="0014572C"/>
    <w:rsid w:val="00145842"/>
    <w:rsid w:val="00145919"/>
    <w:rsid w:val="00145AD3"/>
    <w:rsid w:val="00145C6D"/>
    <w:rsid w:val="00145D1A"/>
    <w:rsid w:val="00145D5D"/>
    <w:rsid w:val="00145DEA"/>
    <w:rsid w:val="00145E7D"/>
    <w:rsid w:val="00145F1D"/>
    <w:rsid w:val="00145FF6"/>
    <w:rsid w:val="0014602B"/>
    <w:rsid w:val="00146041"/>
    <w:rsid w:val="001460B9"/>
    <w:rsid w:val="00146161"/>
    <w:rsid w:val="001462B4"/>
    <w:rsid w:val="00146303"/>
    <w:rsid w:val="001463BA"/>
    <w:rsid w:val="0014640C"/>
    <w:rsid w:val="0014646B"/>
    <w:rsid w:val="0014651B"/>
    <w:rsid w:val="00146654"/>
    <w:rsid w:val="00146689"/>
    <w:rsid w:val="00146696"/>
    <w:rsid w:val="001467B0"/>
    <w:rsid w:val="0014680A"/>
    <w:rsid w:val="0014691B"/>
    <w:rsid w:val="00146936"/>
    <w:rsid w:val="0014693C"/>
    <w:rsid w:val="00146982"/>
    <w:rsid w:val="00146AA5"/>
    <w:rsid w:val="00146ADB"/>
    <w:rsid w:val="00146B75"/>
    <w:rsid w:val="00146CD4"/>
    <w:rsid w:val="00146DAC"/>
    <w:rsid w:val="00146EBB"/>
    <w:rsid w:val="00147022"/>
    <w:rsid w:val="001470FE"/>
    <w:rsid w:val="001471C4"/>
    <w:rsid w:val="001471F2"/>
    <w:rsid w:val="00147318"/>
    <w:rsid w:val="00147367"/>
    <w:rsid w:val="001474FC"/>
    <w:rsid w:val="0014755B"/>
    <w:rsid w:val="00147719"/>
    <w:rsid w:val="0014774B"/>
    <w:rsid w:val="00147788"/>
    <w:rsid w:val="001477EF"/>
    <w:rsid w:val="0014783F"/>
    <w:rsid w:val="00147896"/>
    <w:rsid w:val="00147944"/>
    <w:rsid w:val="00147982"/>
    <w:rsid w:val="001479DC"/>
    <w:rsid w:val="00147AA1"/>
    <w:rsid w:val="00147AC4"/>
    <w:rsid w:val="00147BCF"/>
    <w:rsid w:val="00147D9B"/>
    <w:rsid w:val="00147E41"/>
    <w:rsid w:val="00147E55"/>
    <w:rsid w:val="00147EEA"/>
    <w:rsid w:val="00147FF8"/>
    <w:rsid w:val="00150103"/>
    <w:rsid w:val="00150165"/>
    <w:rsid w:val="001501FA"/>
    <w:rsid w:val="00150204"/>
    <w:rsid w:val="00150317"/>
    <w:rsid w:val="0015048C"/>
    <w:rsid w:val="0015049F"/>
    <w:rsid w:val="00150575"/>
    <w:rsid w:val="001505E8"/>
    <w:rsid w:val="001505FD"/>
    <w:rsid w:val="00150664"/>
    <w:rsid w:val="00150B8C"/>
    <w:rsid w:val="00150D0C"/>
    <w:rsid w:val="00150E98"/>
    <w:rsid w:val="00150F41"/>
    <w:rsid w:val="001512C4"/>
    <w:rsid w:val="0015146A"/>
    <w:rsid w:val="00151592"/>
    <w:rsid w:val="001515A9"/>
    <w:rsid w:val="001515ED"/>
    <w:rsid w:val="00151664"/>
    <w:rsid w:val="001516E5"/>
    <w:rsid w:val="00151B2C"/>
    <w:rsid w:val="00151E59"/>
    <w:rsid w:val="00151ECC"/>
    <w:rsid w:val="00151EFB"/>
    <w:rsid w:val="00152176"/>
    <w:rsid w:val="0015220A"/>
    <w:rsid w:val="00152421"/>
    <w:rsid w:val="001524D3"/>
    <w:rsid w:val="0015254F"/>
    <w:rsid w:val="0015279A"/>
    <w:rsid w:val="001527EE"/>
    <w:rsid w:val="00152850"/>
    <w:rsid w:val="0015296B"/>
    <w:rsid w:val="00152994"/>
    <w:rsid w:val="00152B5B"/>
    <w:rsid w:val="00152C02"/>
    <w:rsid w:val="00152C25"/>
    <w:rsid w:val="00152E7E"/>
    <w:rsid w:val="00152FF7"/>
    <w:rsid w:val="001530D4"/>
    <w:rsid w:val="001530FA"/>
    <w:rsid w:val="00153236"/>
    <w:rsid w:val="00153254"/>
    <w:rsid w:val="00153326"/>
    <w:rsid w:val="00153358"/>
    <w:rsid w:val="001533EF"/>
    <w:rsid w:val="0015360A"/>
    <w:rsid w:val="00153669"/>
    <w:rsid w:val="001536F0"/>
    <w:rsid w:val="00153A5C"/>
    <w:rsid w:val="00153B12"/>
    <w:rsid w:val="00153D5A"/>
    <w:rsid w:val="00153E43"/>
    <w:rsid w:val="00153E47"/>
    <w:rsid w:val="00153EA4"/>
    <w:rsid w:val="00153F68"/>
    <w:rsid w:val="00153F76"/>
    <w:rsid w:val="00153FEB"/>
    <w:rsid w:val="00154211"/>
    <w:rsid w:val="0015423D"/>
    <w:rsid w:val="001542C7"/>
    <w:rsid w:val="00154503"/>
    <w:rsid w:val="001545E2"/>
    <w:rsid w:val="00154691"/>
    <w:rsid w:val="00154736"/>
    <w:rsid w:val="0015492C"/>
    <w:rsid w:val="00154983"/>
    <w:rsid w:val="001549F5"/>
    <w:rsid w:val="00154A1C"/>
    <w:rsid w:val="00154BC9"/>
    <w:rsid w:val="00154DAC"/>
    <w:rsid w:val="00154E45"/>
    <w:rsid w:val="001550A2"/>
    <w:rsid w:val="001550B3"/>
    <w:rsid w:val="00155122"/>
    <w:rsid w:val="001551D5"/>
    <w:rsid w:val="0015533F"/>
    <w:rsid w:val="001553DB"/>
    <w:rsid w:val="0015547D"/>
    <w:rsid w:val="001556B4"/>
    <w:rsid w:val="00155726"/>
    <w:rsid w:val="0015572B"/>
    <w:rsid w:val="0015572D"/>
    <w:rsid w:val="001557A6"/>
    <w:rsid w:val="001557BD"/>
    <w:rsid w:val="0015584C"/>
    <w:rsid w:val="00155CE1"/>
    <w:rsid w:val="00155E07"/>
    <w:rsid w:val="00155EEE"/>
    <w:rsid w:val="00156287"/>
    <w:rsid w:val="00156693"/>
    <w:rsid w:val="00156831"/>
    <w:rsid w:val="00156928"/>
    <w:rsid w:val="00156C81"/>
    <w:rsid w:val="00156CAF"/>
    <w:rsid w:val="00156E2B"/>
    <w:rsid w:val="00156E75"/>
    <w:rsid w:val="0015707D"/>
    <w:rsid w:val="001572B7"/>
    <w:rsid w:val="001573DF"/>
    <w:rsid w:val="001574C2"/>
    <w:rsid w:val="001576C4"/>
    <w:rsid w:val="00157795"/>
    <w:rsid w:val="00157BDC"/>
    <w:rsid w:val="00157BF8"/>
    <w:rsid w:val="00157BFD"/>
    <w:rsid w:val="00157C63"/>
    <w:rsid w:val="00157C6D"/>
    <w:rsid w:val="00157C72"/>
    <w:rsid w:val="00157CC6"/>
    <w:rsid w:val="00157D33"/>
    <w:rsid w:val="00157F17"/>
    <w:rsid w:val="0016002C"/>
    <w:rsid w:val="001601E2"/>
    <w:rsid w:val="00160295"/>
    <w:rsid w:val="001602A4"/>
    <w:rsid w:val="001602E5"/>
    <w:rsid w:val="001604B5"/>
    <w:rsid w:val="00160739"/>
    <w:rsid w:val="001608F0"/>
    <w:rsid w:val="00160990"/>
    <w:rsid w:val="00160ADD"/>
    <w:rsid w:val="00160C18"/>
    <w:rsid w:val="00160C6A"/>
    <w:rsid w:val="00160E3F"/>
    <w:rsid w:val="00160E91"/>
    <w:rsid w:val="00160F1C"/>
    <w:rsid w:val="00160F7B"/>
    <w:rsid w:val="0016101A"/>
    <w:rsid w:val="00161124"/>
    <w:rsid w:val="0016113B"/>
    <w:rsid w:val="0016118D"/>
    <w:rsid w:val="0016120E"/>
    <w:rsid w:val="001612AC"/>
    <w:rsid w:val="001615BB"/>
    <w:rsid w:val="00161670"/>
    <w:rsid w:val="00161974"/>
    <w:rsid w:val="00161A13"/>
    <w:rsid w:val="00161AF1"/>
    <w:rsid w:val="00161C5C"/>
    <w:rsid w:val="00161CBC"/>
    <w:rsid w:val="00161CC1"/>
    <w:rsid w:val="00161D2C"/>
    <w:rsid w:val="00161F14"/>
    <w:rsid w:val="00161F38"/>
    <w:rsid w:val="00162157"/>
    <w:rsid w:val="0016231C"/>
    <w:rsid w:val="0016263D"/>
    <w:rsid w:val="0016270B"/>
    <w:rsid w:val="00162827"/>
    <w:rsid w:val="0016285E"/>
    <w:rsid w:val="00162A58"/>
    <w:rsid w:val="00162AAC"/>
    <w:rsid w:val="00162C1B"/>
    <w:rsid w:val="00162DDF"/>
    <w:rsid w:val="00162FF5"/>
    <w:rsid w:val="00163026"/>
    <w:rsid w:val="0016303B"/>
    <w:rsid w:val="0016304B"/>
    <w:rsid w:val="00163082"/>
    <w:rsid w:val="0016309F"/>
    <w:rsid w:val="001630C2"/>
    <w:rsid w:val="0016313B"/>
    <w:rsid w:val="0016315D"/>
    <w:rsid w:val="00163198"/>
    <w:rsid w:val="001631CC"/>
    <w:rsid w:val="00163312"/>
    <w:rsid w:val="001634A6"/>
    <w:rsid w:val="00163950"/>
    <w:rsid w:val="00163A60"/>
    <w:rsid w:val="00163A70"/>
    <w:rsid w:val="00163AC0"/>
    <w:rsid w:val="00163B14"/>
    <w:rsid w:val="00163B89"/>
    <w:rsid w:val="00163C01"/>
    <w:rsid w:val="00163C7A"/>
    <w:rsid w:val="00163D86"/>
    <w:rsid w:val="0016404E"/>
    <w:rsid w:val="001640D2"/>
    <w:rsid w:val="0016410A"/>
    <w:rsid w:val="00164135"/>
    <w:rsid w:val="001641AA"/>
    <w:rsid w:val="001641CB"/>
    <w:rsid w:val="00164277"/>
    <w:rsid w:val="0016452D"/>
    <w:rsid w:val="001645FC"/>
    <w:rsid w:val="0016472B"/>
    <w:rsid w:val="0016474A"/>
    <w:rsid w:val="0016476D"/>
    <w:rsid w:val="001647CF"/>
    <w:rsid w:val="00164824"/>
    <w:rsid w:val="00164B63"/>
    <w:rsid w:val="00164BE8"/>
    <w:rsid w:val="00164C2F"/>
    <w:rsid w:val="00164C53"/>
    <w:rsid w:val="00164E30"/>
    <w:rsid w:val="00164FE5"/>
    <w:rsid w:val="001650A6"/>
    <w:rsid w:val="001651C0"/>
    <w:rsid w:val="00165262"/>
    <w:rsid w:val="001652D1"/>
    <w:rsid w:val="00165354"/>
    <w:rsid w:val="001653C6"/>
    <w:rsid w:val="001653DB"/>
    <w:rsid w:val="00165464"/>
    <w:rsid w:val="00165519"/>
    <w:rsid w:val="00165535"/>
    <w:rsid w:val="00165700"/>
    <w:rsid w:val="00165940"/>
    <w:rsid w:val="00165CE7"/>
    <w:rsid w:val="00165DD4"/>
    <w:rsid w:val="00165E47"/>
    <w:rsid w:val="00165F2D"/>
    <w:rsid w:val="00165F52"/>
    <w:rsid w:val="00165FC6"/>
    <w:rsid w:val="00165FDF"/>
    <w:rsid w:val="0016615B"/>
    <w:rsid w:val="0016621C"/>
    <w:rsid w:val="0016621E"/>
    <w:rsid w:val="001662D7"/>
    <w:rsid w:val="001662E2"/>
    <w:rsid w:val="0016638E"/>
    <w:rsid w:val="0016643D"/>
    <w:rsid w:val="001665ED"/>
    <w:rsid w:val="00166829"/>
    <w:rsid w:val="00166AC3"/>
    <w:rsid w:val="00166AF1"/>
    <w:rsid w:val="00166B2F"/>
    <w:rsid w:val="00166C0D"/>
    <w:rsid w:val="00166C6B"/>
    <w:rsid w:val="00166D4A"/>
    <w:rsid w:val="00166DD6"/>
    <w:rsid w:val="00166ECE"/>
    <w:rsid w:val="00166FEE"/>
    <w:rsid w:val="001670A9"/>
    <w:rsid w:val="00167193"/>
    <w:rsid w:val="00167396"/>
    <w:rsid w:val="00167454"/>
    <w:rsid w:val="001676A7"/>
    <w:rsid w:val="00167A03"/>
    <w:rsid w:val="00167AA5"/>
    <w:rsid w:val="00167B0D"/>
    <w:rsid w:val="00167B67"/>
    <w:rsid w:val="00167B9A"/>
    <w:rsid w:val="00167BC8"/>
    <w:rsid w:val="00167C6B"/>
    <w:rsid w:val="00167C80"/>
    <w:rsid w:val="00167C8B"/>
    <w:rsid w:val="00167E1C"/>
    <w:rsid w:val="00167E9F"/>
    <w:rsid w:val="00167ED2"/>
    <w:rsid w:val="00167F38"/>
    <w:rsid w:val="0017029C"/>
    <w:rsid w:val="00170499"/>
    <w:rsid w:val="00170519"/>
    <w:rsid w:val="001707B5"/>
    <w:rsid w:val="00170977"/>
    <w:rsid w:val="00170A1C"/>
    <w:rsid w:val="00170A97"/>
    <w:rsid w:val="00170C00"/>
    <w:rsid w:val="00170CED"/>
    <w:rsid w:val="00170DDA"/>
    <w:rsid w:val="00170E03"/>
    <w:rsid w:val="001712EF"/>
    <w:rsid w:val="0017131A"/>
    <w:rsid w:val="00171394"/>
    <w:rsid w:val="0017157B"/>
    <w:rsid w:val="0017159E"/>
    <w:rsid w:val="0017162C"/>
    <w:rsid w:val="00171696"/>
    <w:rsid w:val="0017171F"/>
    <w:rsid w:val="001717F2"/>
    <w:rsid w:val="00171B75"/>
    <w:rsid w:val="00171BC5"/>
    <w:rsid w:val="00171C27"/>
    <w:rsid w:val="00171C66"/>
    <w:rsid w:val="00171C90"/>
    <w:rsid w:val="00171D96"/>
    <w:rsid w:val="00171ECF"/>
    <w:rsid w:val="00172027"/>
    <w:rsid w:val="00172125"/>
    <w:rsid w:val="0017222A"/>
    <w:rsid w:val="00172435"/>
    <w:rsid w:val="00172796"/>
    <w:rsid w:val="001727A5"/>
    <w:rsid w:val="00172AE7"/>
    <w:rsid w:val="00172B3A"/>
    <w:rsid w:val="00172D58"/>
    <w:rsid w:val="00172F45"/>
    <w:rsid w:val="0017306E"/>
    <w:rsid w:val="001730B0"/>
    <w:rsid w:val="0017317E"/>
    <w:rsid w:val="001731CF"/>
    <w:rsid w:val="0017321D"/>
    <w:rsid w:val="00173288"/>
    <w:rsid w:val="001733AC"/>
    <w:rsid w:val="00173454"/>
    <w:rsid w:val="0017345C"/>
    <w:rsid w:val="00173575"/>
    <w:rsid w:val="0017360D"/>
    <w:rsid w:val="0017363C"/>
    <w:rsid w:val="00173688"/>
    <w:rsid w:val="001738CB"/>
    <w:rsid w:val="001738EF"/>
    <w:rsid w:val="00173928"/>
    <w:rsid w:val="00173A56"/>
    <w:rsid w:val="00173AE0"/>
    <w:rsid w:val="00173B10"/>
    <w:rsid w:val="00173C29"/>
    <w:rsid w:val="00173C36"/>
    <w:rsid w:val="00173D4A"/>
    <w:rsid w:val="00173F80"/>
    <w:rsid w:val="001740A9"/>
    <w:rsid w:val="001740D5"/>
    <w:rsid w:val="00174147"/>
    <w:rsid w:val="001741C2"/>
    <w:rsid w:val="00174321"/>
    <w:rsid w:val="0017435B"/>
    <w:rsid w:val="00174408"/>
    <w:rsid w:val="00174694"/>
    <w:rsid w:val="001746EC"/>
    <w:rsid w:val="001749D1"/>
    <w:rsid w:val="00174BAD"/>
    <w:rsid w:val="00174C66"/>
    <w:rsid w:val="00174D57"/>
    <w:rsid w:val="00174E8E"/>
    <w:rsid w:val="00174EF9"/>
    <w:rsid w:val="00175367"/>
    <w:rsid w:val="00175395"/>
    <w:rsid w:val="001753FC"/>
    <w:rsid w:val="00175626"/>
    <w:rsid w:val="0017578A"/>
    <w:rsid w:val="00175802"/>
    <w:rsid w:val="00175833"/>
    <w:rsid w:val="00175AA9"/>
    <w:rsid w:val="00175CAC"/>
    <w:rsid w:val="00175D14"/>
    <w:rsid w:val="00175F26"/>
    <w:rsid w:val="00176084"/>
    <w:rsid w:val="001760A1"/>
    <w:rsid w:val="00176138"/>
    <w:rsid w:val="00176376"/>
    <w:rsid w:val="001763EE"/>
    <w:rsid w:val="00176461"/>
    <w:rsid w:val="00176486"/>
    <w:rsid w:val="001766FD"/>
    <w:rsid w:val="00176945"/>
    <w:rsid w:val="001769CA"/>
    <w:rsid w:val="00176B39"/>
    <w:rsid w:val="00176B75"/>
    <w:rsid w:val="00176BE6"/>
    <w:rsid w:val="00176C0C"/>
    <w:rsid w:val="00176E3D"/>
    <w:rsid w:val="00176EB3"/>
    <w:rsid w:val="00176EC9"/>
    <w:rsid w:val="00176FFB"/>
    <w:rsid w:val="00177087"/>
    <w:rsid w:val="001770C4"/>
    <w:rsid w:val="0017714B"/>
    <w:rsid w:val="001771F6"/>
    <w:rsid w:val="00177516"/>
    <w:rsid w:val="00177704"/>
    <w:rsid w:val="001778F1"/>
    <w:rsid w:val="00177BBF"/>
    <w:rsid w:val="00177D06"/>
    <w:rsid w:val="00177D66"/>
    <w:rsid w:val="00177D96"/>
    <w:rsid w:val="00177D9B"/>
    <w:rsid w:val="00177E8F"/>
    <w:rsid w:val="00177ED1"/>
    <w:rsid w:val="00177F0F"/>
    <w:rsid w:val="00180047"/>
    <w:rsid w:val="001800B0"/>
    <w:rsid w:val="001800DA"/>
    <w:rsid w:val="00180175"/>
    <w:rsid w:val="0018027C"/>
    <w:rsid w:val="00180354"/>
    <w:rsid w:val="00180693"/>
    <w:rsid w:val="001807E7"/>
    <w:rsid w:val="00180810"/>
    <w:rsid w:val="00180842"/>
    <w:rsid w:val="0018084C"/>
    <w:rsid w:val="001808D2"/>
    <w:rsid w:val="001808FF"/>
    <w:rsid w:val="00180910"/>
    <w:rsid w:val="00180962"/>
    <w:rsid w:val="001809AE"/>
    <w:rsid w:val="001809C9"/>
    <w:rsid w:val="00180B8B"/>
    <w:rsid w:val="00180C42"/>
    <w:rsid w:val="00181002"/>
    <w:rsid w:val="0018111D"/>
    <w:rsid w:val="00181267"/>
    <w:rsid w:val="0018150A"/>
    <w:rsid w:val="00181560"/>
    <w:rsid w:val="00181607"/>
    <w:rsid w:val="00181690"/>
    <w:rsid w:val="00181716"/>
    <w:rsid w:val="00181771"/>
    <w:rsid w:val="00181AE4"/>
    <w:rsid w:val="00181CF1"/>
    <w:rsid w:val="00181D87"/>
    <w:rsid w:val="00181DCC"/>
    <w:rsid w:val="00181E17"/>
    <w:rsid w:val="00181E33"/>
    <w:rsid w:val="001820CD"/>
    <w:rsid w:val="00182225"/>
    <w:rsid w:val="00182305"/>
    <w:rsid w:val="0018230F"/>
    <w:rsid w:val="0018231E"/>
    <w:rsid w:val="00182338"/>
    <w:rsid w:val="00182351"/>
    <w:rsid w:val="00182356"/>
    <w:rsid w:val="00182494"/>
    <w:rsid w:val="0018258B"/>
    <w:rsid w:val="001825C1"/>
    <w:rsid w:val="00182946"/>
    <w:rsid w:val="001829C3"/>
    <w:rsid w:val="00182A14"/>
    <w:rsid w:val="00182B50"/>
    <w:rsid w:val="00182C30"/>
    <w:rsid w:val="00182D9C"/>
    <w:rsid w:val="00182E61"/>
    <w:rsid w:val="00182F85"/>
    <w:rsid w:val="0018310F"/>
    <w:rsid w:val="00183209"/>
    <w:rsid w:val="0018320F"/>
    <w:rsid w:val="00183237"/>
    <w:rsid w:val="0018327A"/>
    <w:rsid w:val="00183284"/>
    <w:rsid w:val="00183317"/>
    <w:rsid w:val="001833DB"/>
    <w:rsid w:val="00183413"/>
    <w:rsid w:val="0018350F"/>
    <w:rsid w:val="0018359D"/>
    <w:rsid w:val="001836B5"/>
    <w:rsid w:val="00183740"/>
    <w:rsid w:val="0018379B"/>
    <w:rsid w:val="00183AD9"/>
    <w:rsid w:val="00183C84"/>
    <w:rsid w:val="00183CCF"/>
    <w:rsid w:val="00183ED6"/>
    <w:rsid w:val="00183F00"/>
    <w:rsid w:val="00183F43"/>
    <w:rsid w:val="00183F4C"/>
    <w:rsid w:val="0018402F"/>
    <w:rsid w:val="0018411B"/>
    <w:rsid w:val="001841F7"/>
    <w:rsid w:val="001842E0"/>
    <w:rsid w:val="0018437A"/>
    <w:rsid w:val="0018437B"/>
    <w:rsid w:val="00184464"/>
    <w:rsid w:val="0018469F"/>
    <w:rsid w:val="00184801"/>
    <w:rsid w:val="001849F7"/>
    <w:rsid w:val="00184A1D"/>
    <w:rsid w:val="00184AFB"/>
    <w:rsid w:val="00184C5C"/>
    <w:rsid w:val="00184C83"/>
    <w:rsid w:val="00184D11"/>
    <w:rsid w:val="00184DC7"/>
    <w:rsid w:val="00184EDB"/>
    <w:rsid w:val="00184EF6"/>
    <w:rsid w:val="00184F3E"/>
    <w:rsid w:val="00184F8A"/>
    <w:rsid w:val="00184F92"/>
    <w:rsid w:val="00184FEB"/>
    <w:rsid w:val="001851B2"/>
    <w:rsid w:val="00185228"/>
    <w:rsid w:val="001852A5"/>
    <w:rsid w:val="0018531D"/>
    <w:rsid w:val="00185326"/>
    <w:rsid w:val="00185357"/>
    <w:rsid w:val="0018550C"/>
    <w:rsid w:val="00185669"/>
    <w:rsid w:val="001858B9"/>
    <w:rsid w:val="001859EF"/>
    <w:rsid w:val="00185A32"/>
    <w:rsid w:val="00185AA5"/>
    <w:rsid w:val="00185AE9"/>
    <w:rsid w:val="00185BAD"/>
    <w:rsid w:val="00185CBE"/>
    <w:rsid w:val="00185E06"/>
    <w:rsid w:val="00185E1D"/>
    <w:rsid w:val="00185E23"/>
    <w:rsid w:val="0018602B"/>
    <w:rsid w:val="001860DA"/>
    <w:rsid w:val="0018610E"/>
    <w:rsid w:val="00186167"/>
    <w:rsid w:val="001862F3"/>
    <w:rsid w:val="00186363"/>
    <w:rsid w:val="00186371"/>
    <w:rsid w:val="0018659A"/>
    <w:rsid w:val="001865C1"/>
    <w:rsid w:val="00186764"/>
    <w:rsid w:val="001868B2"/>
    <w:rsid w:val="001869C1"/>
    <w:rsid w:val="00186B58"/>
    <w:rsid w:val="00186BCD"/>
    <w:rsid w:val="00186BE7"/>
    <w:rsid w:val="00186D0C"/>
    <w:rsid w:val="00186DB6"/>
    <w:rsid w:val="00186DF2"/>
    <w:rsid w:val="00186EE8"/>
    <w:rsid w:val="00186FFB"/>
    <w:rsid w:val="001870FE"/>
    <w:rsid w:val="001871B2"/>
    <w:rsid w:val="00187923"/>
    <w:rsid w:val="00187B14"/>
    <w:rsid w:val="00187B1E"/>
    <w:rsid w:val="00187BCA"/>
    <w:rsid w:val="00187DBA"/>
    <w:rsid w:val="00187E25"/>
    <w:rsid w:val="00187E3C"/>
    <w:rsid w:val="00187E9E"/>
    <w:rsid w:val="00187F8E"/>
    <w:rsid w:val="00190351"/>
    <w:rsid w:val="001903D5"/>
    <w:rsid w:val="001905E0"/>
    <w:rsid w:val="00190655"/>
    <w:rsid w:val="0019069A"/>
    <w:rsid w:val="00190818"/>
    <w:rsid w:val="001909A3"/>
    <w:rsid w:val="00190A4B"/>
    <w:rsid w:val="00190AFF"/>
    <w:rsid w:val="00190C81"/>
    <w:rsid w:val="00190C88"/>
    <w:rsid w:val="00190E14"/>
    <w:rsid w:val="00190E3D"/>
    <w:rsid w:val="00190EFD"/>
    <w:rsid w:val="00190F6B"/>
    <w:rsid w:val="00190FD4"/>
    <w:rsid w:val="0019103A"/>
    <w:rsid w:val="001911B3"/>
    <w:rsid w:val="001913EF"/>
    <w:rsid w:val="00191503"/>
    <w:rsid w:val="001915C3"/>
    <w:rsid w:val="0019169C"/>
    <w:rsid w:val="001916BA"/>
    <w:rsid w:val="0019170C"/>
    <w:rsid w:val="001918BE"/>
    <w:rsid w:val="00191A5B"/>
    <w:rsid w:val="00191B6E"/>
    <w:rsid w:val="00191D40"/>
    <w:rsid w:val="00191EF3"/>
    <w:rsid w:val="0019213F"/>
    <w:rsid w:val="00192238"/>
    <w:rsid w:val="00192344"/>
    <w:rsid w:val="00192358"/>
    <w:rsid w:val="001923AE"/>
    <w:rsid w:val="001923FB"/>
    <w:rsid w:val="0019241D"/>
    <w:rsid w:val="001927EB"/>
    <w:rsid w:val="00192AC5"/>
    <w:rsid w:val="00192BA8"/>
    <w:rsid w:val="00192C12"/>
    <w:rsid w:val="00192E0E"/>
    <w:rsid w:val="00192ECE"/>
    <w:rsid w:val="00192F0A"/>
    <w:rsid w:val="00192F0C"/>
    <w:rsid w:val="00192FD7"/>
    <w:rsid w:val="00193017"/>
    <w:rsid w:val="0019303A"/>
    <w:rsid w:val="00193117"/>
    <w:rsid w:val="00193148"/>
    <w:rsid w:val="001933A1"/>
    <w:rsid w:val="00193416"/>
    <w:rsid w:val="001934B8"/>
    <w:rsid w:val="001934D0"/>
    <w:rsid w:val="001935B4"/>
    <w:rsid w:val="00193691"/>
    <w:rsid w:val="00193765"/>
    <w:rsid w:val="001938CB"/>
    <w:rsid w:val="00193A7C"/>
    <w:rsid w:val="00193AE5"/>
    <w:rsid w:val="00193D9C"/>
    <w:rsid w:val="00193E05"/>
    <w:rsid w:val="00193E24"/>
    <w:rsid w:val="00193EA6"/>
    <w:rsid w:val="00194060"/>
    <w:rsid w:val="00194064"/>
    <w:rsid w:val="0019417B"/>
    <w:rsid w:val="00194257"/>
    <w:rsid w:val="00194361"/>
    <w:rsid w:val="00194489"/>
    <w:rsid w:val="001945B6"/>
    <w:rsid w:val="00194760"/>
    <w:rsid w:val="00194922"/>
    <w:rsid w:val="00194A17"/>
    <w:rsid w:val="00194A3D"/>
    <w:rsid w:val="00194AEA"/>
    <w:rsid w:val="00194B1A"/>
    <w:rsid w:val="00194B3E"/>
    <w:rsid w:val="00194C25"/>
    <w:rsid w:val="00194C5C"/>
    <w:rsid w:val="00194D4D"/>
    <w:rsid w:val="00194F04"/>
    <w:rsid w:val="00195009"/>
    <w:rsid w:val="00195028"/>
    <w:rsid w:val="0019517B"/>
    <w:rsid w:val="00195206"/>
    <w:rsid w:val="00195256"/>
    <w:rsid w:val="001953F0"/>
    <w:rsid w:val="00195476"/>
    <w:rsid w:val="00195481"/>
    <w:rsid w:val="00195577"/>
    <w:rsid w:val="0019558D"/>
    <w:rsid w:val="00195637"/>
    <w:rsid w:val="001956B1"/>
    <w:rsid w:val="0019593B"/>
    <w:rsid w:val="00195968"/>
    <w:rsid w:val="0019597A"/>
    <w:rsid w:val="00195984"/>
    <w:rsid w:val="00195989"/>
    <w:rsid w:val="00195BAA"/>
    <w:rsid w:val="00195CAC"/>
    <w:rsid w:val="00195DE0"/>
    <w:rsid w:val="00195DFC"/>
    <w:rsid w:val="00195EF0"/>
    <w:rsid w:val="001960FE"/>
    <w:rsid w:val="00196146"/>
    <w:rsid w:val="0019615F"/>
    <w:rsid w:val="00196269"/>
    <w:rsid w:val="001962BC"/>
    <w:rsid w:val="0019632A"/>
    <w:rsid w:val="00196565"/>
    <w:rsid w:val="00196982"/>
    <w:rsid w:val="001969C7"/>
    <w:rsid w:val="001969DE"/>
    <w:rsid w:val="00196AC1"/>
    <w:rsid w:val="00196ADD"/>
    <w:rsid w:val="00196B59"/>
    <w:rsid w:val="00196C22"/>
    <w:rsid w:val="00196CDC"/>
    <w:rsid w:val="00196F5C"/>
    <w:rsid w:val="00196FEF"/>
    <w:rsid w:val="00197608"/>
    <w:rsid w:val="00197613"/>
    <w:rsid w:val="00197652"/>
    <w:rsid w:val="001976A0"/>
    <w:rsid w:val="00197844"/>
    <w:rsid w:val="00197A9C"/>
    <w:rsid w:val="00197C25"/>
    <w:rsid w:val="00197CE8"/>
    <w:rsid w:val="00197D24"/>
    <w:rsid w:val="00197DA8"/>
    <w:rsid w:val="00197E1A"/>
    <w:rsid w:val="00197E32"/>
    <w:rsid w:val="00197EDB"/>
    <w:rsid w:val="001A0205"/>
    <w:rsid w:val="001A0308"/>
    <w:rsid w:val="001A0567"/>
    <w:rsid w:val="001A06D0"/>
    <w:rsid w:val="001A0701"/>
    <w:rsid w:val="001A0709"/>
    <w:rsid w:val="001A081C"/>
    <w:rsid w:val="001A08CE"/>
    <w:rsid w:val="001A0917"/>
    <w:rsid w:val="001A09CE"/>
    <w:rsid w:val="001A0A29"/>
    <w:rsid w:val="001A0A2F"/>
    <w:rsid w:val="001A0AB1"/>
    <w:rsid w:val="001A0C5F"/>
    <w:rsid w:val="001A0DF5"/>
    <w:rsid w:val="001A0F15"/>
    <w:rsid w:val="001A0F23"/>
    <w:rsid w:val="001A1086"/>
    <w:rsid w:val="001A1148"/>
    <w:rsid w:val="001A1181"/>
    <w:rsid w:val="001A12CF"/>
    <w:rsid w:val="001A1417"/>
    <w:rsid w:val="001A1421"/>
    <w:rsid w:val="001A1559"/>
    <w:rsid w:val="001A162B"/>
    <w:rsid w:val="001A1666"/>
    <w:rsid w:val="001A16EF"/>
    <w:rsid w:val="001A170C"/>
    <w:rsid w:val="001A189B"/>
    <w:rsid w:val="001A18EC"/>
    <w:rsid w:val="001A1961"/>
    <w:rsid w:val="001A1A96"/>
    <w:rsid w:val="001A1AB8"/>
    <w:rsid w:val="001A1ADF"/>
    <w:rsid w:val="001A1B8A"/>
    <w:rsid w:val="001A1CEA"/>
    <w:rsid w:val="001A1CFB"/>
    <w:rsid w:val="001A1E24"/>
    <w:rsid w:val="001A1EAE"/>
    <w:rsid w:val="001A1F8C"/>
    <w:rsid w:val="001A1FF6"/>
    <w:rsid w:val="001A22E8"/>
    <w:rsid w:val="001A247C"/>
    <w:rsid w:val="001A24B8"/>
    <w:rsid w:val="001A24D7"/>
    <w:rsid w:val="001A24F5"/>
    <w:rsid w:val="001A2526"/>
    <w:rsid w:val="001A253F"/>
    <w:rsid w:val="001A259E"/>
    <w:rsid w:val="001A2658"/>
    <w:rsid w:val="001A26A8"/>
    <w:rsid w:val="001A26C1"/>
    <w:rsid w:val="001A2785"/>
    <w:rsid w:val="001A278B"/>
    <w:rsid w:val="001A27BF"/>
    <w:rsid w:val="001A285E"/>
    <w:rsid w:val="001A2987"/>
    <w:rsid w:val="001A2CE7"/>
    <w:rsid w:val="001A2D21"/>
    <w:rsid w:val="001A2E76"/>
    <w:rsid w:val="001A301B"/>
    <w:rsid w:val="001A3269"/>
    <w:rsid w:val="001A340A"/>
    <w:rsid w:val="001A3551"/>
    <w:rsid w:val="001A3587"/>
    <w:rsid w:val="001A37D7"/>
    <w:rsid w:val="001A37E7"/>
    <w:rsid w:val="001A37FE"/>
    <w:rsid w:val="001A382F"/>
    <w:rsid w:val="001A38D0"/>
    <w:rsid w:val="001A3B72"/>
    <w:rsid w:val="001A3C80"/>
    <w:rsid w:val="001A3C94"/>
    <w:rsid w:val="001A3CEB"/>
    <w:rsid w:val="001A3D31"/>
    <w:rsid w:val="001A3DD0"/>
    <w:rsid w:val="001A409A"/>
    <w:rsid w:val="001A4185"/>
    <w:rsid w:val="001A432C"/>
    <w:rsid w:val="001A44B6"/>
    <w:rsid w:val="001A4700"/>
    <w:rsid w:val="001A4767"/>
    <w:rsid w:val="001A478D"/>
    <w:rsid w:val="001A489D"/>
    <w:rsid w:val="001A48EE"/>
    <w:rsid w:val="001A492C"/>
    <w:rsid w:val="001A4A0A"/>
    <w:rsid w:val="001A4A1A"/>
    <w:rsid w:val="001A4B4C"/>
    <w:rsid w:val="001A4C54"/>
    <w:rsid w:val="001A4CE0"/>
    <w:rsid w:val="001A4D11"/>
    <w:rsid w:val="001A4D63"/>
    <w:rsid w:val="001A4DE3"/>
    <w:rsid w:val="001A4E93"/>
    <w:rsid w:val="001A4EDE"/>
    <w:rsid w:val="001A5136"/>
    <w:rsid w:val="001A51A8"/>
    <w:rsid w:val="001A5205"/>
    <w:rsid w:val="001A526D"/>
    <w:rsid w:val="001A52B2"/>
    <w:rsid w:val="001A548C"/>
    <w:rsid w:val="001A54C0"/>
    <w:rsid w:val="001A553F"/>
    <w:rsid w:val="001A556E"/>
    <w:rsid w:val="001A55A8"/>
    <w:rsid w:val="001A55B0"/>
    <w:rsid w:val="001A55BA"/>
    <w:rsid w:val="001A5631"/>
    <w:rsid w:val="001A5656"/>
    <w:rsid w:val="001A5697"/>
    <w:rsid w:val="001A56AC"/>
    <w:rsid w:val="001A57EB"/>
    <w:rsid w:val="001A5B7D"/>
    <w:rsid w:val="001A5C81"/>
    <w:rsid w:val="001A5D20"/>
    <w:rsid w:val="001A5E5D"/>
    <w:rsid w:val="001A5F94"/>
    <w:rsid w:val="001A5FC4"/>
    <w:rsid w:val="001A610F"/>
    <w:rsid w:val="001A614A"/>
    <w:rsid w:val="001A622A"/>
    <w:rsid w:val="001A629F"/>
    <w:rsid w:val="001A641D"/>
    <w:rsid w:val="001A642F"/>
    <w:rsid w:val="001A647B"/>
    <w:rsid w:val="001A65AE"/>
    <w:rsid w:val="001A65DC"/>
    <w:rsid w:val="001A66B6"/>
    <w:rsid w:val="001A673D"/>
    <w:rsid w:val="001A6771"/>
    <w:rsid w:val="001A67F5"/>
    <w:rsid w:val="001A680F"/>
    <w:rsid w:val="001A6913"/>
    <w:rsid w:val="001A692B"/>
    <w:rsid w:val="001A69C1"/>
    <w:rsid w:val="001A6C1C"/>
    <w:rsid w:val="001A6C35"/>
    <w:rsid w:val="001A6DE0"/>
    <w:rsid w:val="001A6EBE"/>
    <w:rsid w:val="001A6EC6"/>
    <w:rsid w:val="001A6F4C"/>
    <w:rsid w:val="001A6FCC"/>
    <w:rsid w:val="001A711C"/>
    <w:rsid w:val="001A731F"/>
    <w:rsid w:val="001A74B0"/>
    <w:rsid w:val="001A753A"/>
    <w:rsid w:val="001A7569"/>
    <w:rsid w:val="001A7596"/>
    <w:rsid w:val="001A779E"/>
    <w:rsid w:val="001A7802"/>
    <w:rsid w:val="001A78EF"/>
    <w:rsid w:val="001A7B19"/>
    <w:rsid w:val="001A7C29"/>
    <w:rsid w:val="001A7C5C"/>
    <w:rsid w:val="001A7D15"/>
    <w:rsid w:val="001A7F5C"/>
    <w:rsid w:val="001A7F7E"/>
    <w:rsid w:val="001A7FC9"/>
    <w:rsid w:val="001B0069"/>
    <w:rsid w:val="001B006E"/>
    <w:rsid w:val="001B0181"/>
    <w:rsid w:val="001B0199"/>
    <w:rsid w:val="001B0263"/>
    <w:rsid w:val="001B0287"/>
    <w:rsid w:val="001B02A7"/>
    <w:rsid w:val="001B03EC"/>
    <w:rsid w:val="001B0451"/>
    <w:rsid w:val="001B0465"/>
    <w:rsid w:val="001B046E"/>
    <w:rsid w:val="001B0692"/>
    <w:rsid w:val="001B06E3"/>
    <w:rsid w:val="001B071B"/>
    <w:rsid w:val="001B080C"/>
    <w:rsid w:val="001B08EA"/>
    <w:rsid w:val="001B09C0"/>
    <w:rsid w:val="001B0A83"/>
    <w:rsid w:val="001B0B56"/>
    <w:rsid w:val="001B0B59"/>
    <w:rsid w:val="001B0C8A"/>
    <w:rsid w:val="001B0CA5"/>
    <w:rsid w:val="001B0D67"/>
    <w:rsid w:val="001B0DA7"/>
    <w:rsid w:val="001B0EE3"/>
    <w:rsid w:val="001B1060"/>
    <w:rsid w:val="001B119B"/>
    <w:rsid w:val="001B11EB"/>
    <w:rsid w:val="001B1201"/>
    <w:rsid w:val="001B130B"/>
    <w:rsid w:val="001B139F"/>
    <w:rsid w:val="001B15E2"/>
    <w:rsid w:val="001B16C8"/>
    <w:rsid w:val="001B1708"/>
    <w:rsid w:val="001B1710"/>
    <w:rsid w:val="001B17EE"/>
    <w:rsid w:val="001B17F2"/>
    <w:rsid w:val="001B195A"/>
    <w:rsid w:val="001B19B2"/>
    <w:rsid w:val="001B1A48"/>
    <w:rsid w:val="001B1BEF"/>
    <w:rsid w:val="001B1C11"/>
    <w:rsid w:val="001B1C88"/>
    <w:rsid w:val="001B1E44"/>
    <w:rsid w:val="001B219C"/>
    <w:rsid w:val="001B2202"/>
    <w:rsid w:val="001B2203"/>
    <w:rsid w:val="001B2295"/>
    <w:rsid w:val="001B256B"/>
    <w:rsid w:val="001B25CA"/>
    <w:rsid w:val="001B2690"/>
    <w:rsid w:val="001B2746"/>
    <w:rsid w:val="001B2789"/>
    <w:rsid w:val="001B2BC0"/>
    <w:rsid w:val="001B2BE5"/>
    <w:rsid w:val="001B2DB3"/>
    <w:rsid w:val="001B2F7C"/>
    <w:rsid w:val="001B31B6"/>
    <w:rsid w:val="001B3203"/>
    <w:rsid w:val="001B3341"/>
    <w:rsid w:val="001B3366"/>
    <w:rsid w:val="001B3377"/>
    <w:rsid w:val="001B34A0"/>
    <w:rsid w:val="001B353A"/>
    <w:rsid w:val="001B3644"/>
    <w:rsid w:val="001B374B"/>
    <w:rsid w:val="001B3908"/>
    <w:rsid w:val="001B3956"/>
    <w:rsid w:val="001B3A27"/>
    <w:rsid w:val="001B3A47"/>
    <w:rsid w:val="001B3B3B"/>
    <w:rsid w:val="001B3B3D"/>
    <w:rsid w:val="001B3B4F"/>
    <w:rsid w:val="001B3BF3"/>
    <w:rsid w:val="001B3CAB"/>
    <w:rsid w:val="001B3D23"/>
    <w:rsid w:val="001B3D28"/>
    <w:rsid w:val="001B3D3F"/>
    <w:rsid w:val="001B3DA2"/>
    <w:rsid w:val="001B40C2"/>
    <w:rsid w:val="001B4223"/>
    <w:rsid w:val="001B4296"/>
    <w:rsid w:val="001B44A5"/>
    <w:rsid w:val="001B44B3"/>
    <w:rsid w:val="001B45E8"/>
    <w:rsid w:val="001B470B"/>
    <w:rsid w:val="001B478D"/>
    <w:rsid w:val="001B498F"/>
    <w:rsid w:val="001B499E"/>
    <w:rsid w:val="001B4AD8"/>
    <w:rsid w:val="001B4B0B"/>
    <w:rsid w:val="001B4CB8"/>
    <w:rsid w:val="001B4D1B"/>
    <w:rsid w:val="001B4EF0"/>
    <w:rsid w:val="001B50D0"/>
    <w:rsid w:val="001B5171"/>
    <w:rsid w:val="001B5800"/>
    <w:rsid w:val="001B594C"/>
    <w:rsid w:val="001B59BE"/>
    <w:rsid w:val="001B5A41"/>
    <w:rsid w:val="001B5AB3"/>
    <w:rsid w:val="001B5CF4"/>
    <w:rsid w:val="001B5E84"/>
    <w:rsid w:val="001B5F5E"/>
    <w:rsid w:val="001B611A"/>
    <w:rsid w:val="001B657A"/>
    <w:rsid w:val="001B66BA"/>
    <w:rsid w:val="001B67D7"/>
    <w:rsid w:val="001B6913"/>
    <w:rsid w:val="001B69E8"/>
    <w:rsid w:val="001B6A1D"/>
    <w:rsid w:val="001B6A47"/>
    <w:rsid w:val="001B6A89"/>
    <w:rsid w:val="001B6A9F"/>
    <w:rsid w:val="001B6B4C"/>
    <w:rsid w:val="001B6BB7"/>
    <w:rsid w:val="001B6BBE"/>
    <w:rsid w:val="001B6D55"/>
    <w:rsid w:val="001B6F0F"/>
    <w:rsid w:val="001B701E"/>
    <w:rsid w:val="001B70F6"/>
    <w:rsid w:val="001B725F"/>
    <w:rsid w:val="001B741D"/>
    <w:rsid w:val="001B7565"/>
    <w:rsid w:val="001B75BC"/>
    <w:rsid w:val="001B76DD"/>
    <w:rsid w:val="001B7740"/>
    <w:rsid w:val="001B77A8"/>
    <w:rsid w:val="001B77C0"/>
    <w:rsid w:val="001B77EB"/>
    <w:rsid w:val="001B7936"/>
    <w:rsid w:val="001B7973"/>
    <w:rsid w:val="001B79D5"/>
    <w:rsid w:val="001B7A80"/>
    <w:rsid w:val="001B7B76"/>
    <w:rsid w:val="001B7C11"/>
    <w:rsid w:val="001B7DC9"/>
    <w:rsid w:val="001B7EBB"/>
    <w:rsid w:val="001B7F7A"/>
    <w:rsid w:val="001C00F6"/>
    <w:rsid w:val="001C013C"/>
    <w:rsid w:val="001C02B3"/>
    <w:rsid w:val="001C0391"/>
    <w:rsid w:val="001C04A3"/>
    <w:rsid w:val="001C051D"/>
    <w:rsid w:val="001C052E"/>
    <w:rsid w:val="001C0808"/>
    <w:rsid w:val="001C08E5"/>
    <w:rsid w:val="001C0AF6"/>
    <w:rsid w:val="001C0B6C"/>
    <w:rsid w:val="001C0C53"/>
    <w:rsid w:val="001C0CF4"/>
    <w:rsid w:val="001C0D2D"/>
    <w:rsid w:val="001C0D36"/>
    <w:rsid w:val="001C0DF6"/>
    <w:rsid w:val="001C0E13"/>
    <w:rsid w:val="001C0ED5"/>
    <w:rsid w:val="001C0F4E"/>
    <w:rsid w:val="001C106C"/>
    <w:rsid w:val="001C1249"/>
    <w:rsid w:val="001C137D"/>
    <w:rsid w:val="001C13B6"/>
    <w:rsid w:val="001C1418"/>
    <w:rsid w:val="001C1430"/>
    <w:rsid w:val="001C17CF"/>
    <w:rsid w:val="001C1804"/>
    <w:rsid w:val="001C1AC8"/>
    <w:rsid w:val="001C1C3A"/>
    <w:rsid w:val="001C1C6B"/>
    <w:rsid w:val="001C1C81"/>
    <w:rsid w:val="001C1D1E"/>
    <w:rsid w:val="001C1E4E"/>
    <w:rsid w:val="001C1FAC"/>
    <w:rsid w:val="001C2276"/>
    <w:rsid w:val="001C22BB"/>
    <w:rsid w:val="001C2356"/>
    <w:rsid w:val="001C2421"/>
    <w:rsid w:val="001C244F"/>
    <w:rsid w:val="001C25BE"/>
    <w:rsid w:val="001C2762"/>
    <w:rsid w:val="001C2797"/>
    <w:rsid w:val="001C27D7"/>
    <w:rsid w:val="001C29C5"/>
    <w:rsid w:val="001C29F4"/>
    <w:rsid w:val="001C2A5B"/>
    <w:rsid w:val="001C2BB9"/>
    <w:rsid w:val="001C2BEE"/>
    <w:rsid w:val="001C2D07"/>
    <w:rsid w:val="001C2D18"/>
    <w:rsid w:val="001C2D37"/>
    <w:rsid w:val="001C2D82"/>
    <w:rsid w:val="001C2E12"/>
    <w:rsid w:val="001C2ED5"/>
    <w:rsid w:val="001C2EE9"/>
    <w:rsid w:val="001C2F32"/>
    <w:rsid w:val="001C2F57"/>
    <w:rsid w:val="001C301C"/>
    <w:rsid w:val="001C3162"/>
    <w:rsid w:val="001C31CF"/>
    <w:rsid w:val="001C31D6"/>
    <w:rsid w:val="001C3224"/>
    <w:rsid w:val="001C32ED"/>
    <w:rsid w:val="001C361D"/>
    <w:rsid w:val="001C3797"/>
    <w:rsid w:val="001C380E"/>
    <w:rsid w:val="001C38E8"/>
    <w:rsid w:val="001C38FF"/>
    <w:rsid w:val="001C3A78"/>
    <w:rsid w:val="001C3B86"/>
    <w:rsid w:val="001C3BED"/>
    <w:rsid w:val="001C3DE4"/>
    <w:rsid w:val="001C3F13"/>
    <w:rsid w:val="001C3F41"/>
    <w:rsid w:val="001C3F4A"/>
    <w:rsid w:val="001C3FFB"/>
    <w:rsid w:val="001C406F"/>
    <w:rsid w:val="001C4117"/>
    <w:rsid w:val="001C42C4"/>
    <w:rsid w:val="001C43A9"/>
    <w:rsid w:val="001C4585"/>
    <w:rsid w:val="001C4824"/>
    <w:rsid w:val="001C4A3A"/>
    <w:rsid w:val="001C4A96"/>
    <w:rsid w:val="001C4B48"/>
    <w:rsid w:val="001C4C16"/>
    <w:rsid w:val="001C4D19"/>
    <w:rsid w:val="001C4D37"/>
    <w:rsid w:val="001C4D39"/>
    <w:rsid w:val="001C4DBE"/>
    <w:rsid w:val="001C4EE2"/>
    <w:rsid w:val="001C51BB"/>
    <w:rsid w:val="001C5255"/>
    <w:rsid w:val="001C5385"/>
    <w:rsid w:val="001C5434"/>
    <w:rsid w:val="001C5553"/>
    <w:rsid w:val="001C570A"/>
    <w:rsid w:val="001C570F"/>
    <w:rsid w:val="001C57EC"/>
    <w:rsid w:val="001C58C2"/>
    <w:rsid w:val="001C5980"/>
    <w:rsid w:val="001C59E6"/>
    <w:rsid w:val="001C5A9B"/>
    <w:rsid w:val="001C5C53"/>
    <w:rsid w:val="001C6093"/>
    <w:rsid w:val="001C60CD"/>
    <w:rsid w:val="001C60EF"/>
    <w:rsid w:val="001C6631"/>
    <w:rsid w:val="001C668C"/>
    <w:rsid w:val="001C67B8"/>
    <w:rsid w:val="001C6B28"/>
    <w:rsid w:val="001C6C13"/>
    <w:rsid w:val="001C6C5E"/>
    <w:rsid w:val="001C6CE2"/>
    <w:rsid w:val="001C6DA3"/>
    <w:rsid w:val="001C6E61"/>
    <w:rsid w:val="001C709E"/>
    <w:rsid w:val="001C70FC"/>
    <w:rsid w:val="001C71E2"/>
    <w:rsid w:val="001C71E9"/>
    <w:rsid w:val="001C71F8"/>
    <w:rsid w:val="001C7311"/>
    <w:rsid w:val="001C7418"/>
    <w:rsid w:val="001C74ED"/>
    <w:rsid w:val="001C7626"/>
    <w:rsid w:val="001C7820"/>
    <w:rsid w:val="001C7836"/>
    <w:rsid w:val="001C7C99"/>
    <w:rsid w:val="001C7D24"/>
    <w:rsid w:val="001C7D3E"/>
    <w:rsid w:val="001C7D46"/>
    <w:rsid w:val="001D009D"/>
    <w:rsid w:val="001D0123"/>
    <w:rsid w:val="001D013E"/>
    <w:rsid w:val="001D0201"/>
    <w:rsid w:val="001D0249"/>
    <w:rsid w:val="001D0267"/>
    <w:rsid w:val="001D0299"/>
    <w:rsid w:val="001D02F4"/>
    <w:rsid w:val="001D03BB"/>
    <w:rsid w:val="001D03C2"/>
    <w:rsid w:val="001D0427"/>
    <w:rsid w:val="001D0642"/>
    <w:rsid w:val="001D0737"/>
    <w:rsid w:val="001D08C9"/>
    <w:rsid w:val="001D0917"/>
    <w:rsid w:val="001D0951"/>
    <w:rsid w:val="001D0AA7"/>
    <w:rsid w:val="001D0AF8"/>
    <w:rsid w:val="001D0BD3"/>
    <w:rsid w:val="001D0CAA"/>
    <w:rsid w:val="001D0CDE"/>
    <w:rsid w:val="001D0D80"/>
    <w:rsid w:val="001D0D90"/>
    <w:rsid w:val="001D0E68"/>
    <w:rsid w:val="001D0F42"/>
    <w:rsid w:val="001D10C0"/>
    <w:rsid w:val="001D11F0"/>
    <w:rsid w:val="001D1241"/>
    <w:rsid w:val="001D1320"/>
    <w:rsid w:val="001D133D"/>
    <w:rsid w:val="001D153D"/>
    <w:rsid w:val="001D15AF"/>
    <w:rsid w:val="001D1638"/>
    <w:rsid w:val="001D167E"/>
    <w:rsid w:val="001D17C2"/>
    <w:rsid w:val="001D17D9"/>
    <w:rsid w:val="001D1A08"/>
    <w:rsid w:val="001D1C09"/>
    <w:rsid w:val="001D1CDC"/>
    <w:rsid w:val="001D1CF8"/>
    <w:rsid w:val="001D1F47"/>
    <w:rsid w:val="001D1F6D"/>
    <w:rsid w:val="001D1FD7"/>
    <w:rsid w:val="001D2072"/>
    <w:rsid w:val="001D2122"/>
    <w:rsid w:val="001D222F"/>
    <w:rsid w:val="001D22AA"/>
    <w:rsid w:val="001D23C7"/>
    <w:rsid w:val="001D2508"/>
    <w:rsid w:val="001D25F4"/>
    <w:rsid w:val="001D2662"/>
    <w:rsid w:val="001D2722"/>
    <w:rsid w:val="001D2B87"/>
    <w:rsid w:val="001D2D22"/>
    <w:rsid w:val="001D2EFC"/>
    <w:rsid w:val="001D2F44"/>
    <w:rsid w:val="001D2F93"/>
    <w:rsid w:val="001D30DE"/>
    <w:rsid w:val="001D31E7"/>
    <w:rsid w:val="001D32BB"/>
    <w:rsid w:val="001D33D3"/>
    <w:rsid w:val="001D3434"/>
    <w:rsid w:val="001D34E5"/>
    <w:rsid w:val="001D35A3"/>
    <w:rsid w:val="001D36AF"/>
    <w:rsid w:val="001D3756"/>
    <w:rsid w:val="001D396E"/>
    <w:rsid w:val="001D3B2A"/>
    <w:rsid w:val="001D3B31"/>
    <w:rsid w:val="001D3CBE"/>
    <w:rsid w:val="001D3DB0"/>
    <w:rsid w:val="001D3DE0"/>
    <w:rsid w:val="001D3FE8"/>
    <w:rsid w:val="001D4004"/>
    <w:rsid w:val="001D413D"/>
    <w:rsid w:val="001D4302"/>
    <w:rsid w:val="001D4366"/>
    <w:rsid w:val="001D4374"/>
    <w:rsid w:val="001D43FE"/>
    <w:rsid w:val="001D4460"/>
    <w:rsid w:val="001D44F2"/>
    <w:rsid w:val="001D4622"/>
    <w:rsid w:val="001D4662"/>
    <w:rsid w:val="001D46F2"/>
    <w:rsid w:val="001D49BA"/>
    <w:rsid w:val="001D4BD9"/>
    <w:rsid w:val="001D4D9A"/>
    <w:rsid w:val="001D4E40"/>
    <w:rsid w:val="001D4E6B"/>
    <w:rsid w:val="001D5139"/>
    <w:rsid w:val="001D5170"/>
    <w:rsid w:val="001D5184"/>
    <w:rsid w:val="001D51D1"/>
    <w:rsid w:val="001D524C"/>
    <w:rsid w:val="001D53C6"/>
    <w:rsid w:val="001D5609"/>
    <w:rsid w:val="001D579A"/>
    <w:rsid w:val="001D58E9"/>
    <w:rsid w:val="001D59E1"/>
    <w:rsid w:val="001D5A8A"/>
    <w:rsid w:val="001D5C16"/>
    <w:rsid w:val="001D5C9E"/>
    <w:rsid w:val="001D5D4C"/>
    <w:rsid w:val="001D5D99"/>
    <w:rsid w:val="001D6043"/>
    <w:rsid w:val="001D60C1"/>
    <w:rsid w:val="001D622F"/>
    <w:rsid w:val="001D63DB"/>
    <w:rsid w:val="001D640C"/>
    <w:rsid w:val="001D64AE"/>
    <w:rsid w:val="001D6528"/>
    <w:rsid w:val="001D6600"/>
    <w:rsid w:val="001D6985"/>
    <w:rsid w:val="001D69C4"/>
    <w:rsid w:val="001D6AF7"/>
    <w:rsid w:val="001D6D3B"/>
    <w:rsid w:val="001D6DB3"/>
    <w:rsid w:val="001D6E3F"/>
    <w:rsid w:val="001D6F92"/>
    <w:rsid w:val="001D6FC4"/>
    <w:rsid w:val="001D729B"/>
    <w:rsid w:val="001D72D9"/>
    <w:rsid w:val="001D72FD"/>
    <w:rsid w:val="001D7851"/>
    <w:rsid w:val="001D788D"/>
    <w:rsid w:val="001D7B1B"/>
    <w:rsid w:val="001D7BC5"/>
    <w:rsid w:val="001D7C5E"/>
    <w:rsid w:val="001D7EE7"/>
    <w:rsid w:val="001D7F19"/>
    <w:rsid w:val="001D7F39"/>
    <w:rsid w:val="001D7F43"/>
    <w:rsid w:val="001D7FDC"/>
    <w:rsid w:val="001E0194"/>
    <w:rsid w:val="001E0197"/>
    <w:rsid w:val="001E0203"/>
    <w:rsid w:val="001E0349"/>
    <w:rsid w:val="001E03B7"/>
    <w:rsid w:val="001E0492"/>
    <w:rsid w:val="001E058F"/>
    <w:rsid w:val="001E05A5"/>
    <w:rsid w:val="001E06A4"/>
    <w:rsid w:val="001E06B2"/>
    <w:rsid w:val="001E07A0"/>
    <w:rsid w:val="001E07D1"/>
    <w:rsid w:val="001E09B5"/>
    <w:rsid w:val="001E0A20"/>
    <w:rsid w:val="001E0CC7"/>
    <w:rsid w:val="001E0CE4"/>
    <w:rsid w:val="001E0E5D"/>
    <w:rsid w:val="001E0FAC"/>
    <w:rsid w:val="001E0FC6"/>
    <w:rsid w:val="001E10BC"/>
    <w:rsid w:val="001E10FF"/>
    <w:rsid w:val="001E1142"/>
    <w:rsid w:val="001E1198"/>
    <w:rsid w:val="001E11A3"/>
    <w:rsid w:val="001E1374"/>
    <w:rsid w:val="001E14E6"/>
    <w:rsid w:val="001E1501"/>
    <w:rsid w:val="001E163D"/>
    <w:rsid w:val="001E17E5"/>
    <w:rsid w:val="001E1A70"/>
    <w:rsid w:val="001E1B1F"/>
    <w:rsid w:val="001E1C87"/>
    <w:rsid w:val="001E1CDC"/>
    <w:rsid w:val="001E1CF5"/>
    <w:rsid w:val="001E1E32"/>
    <w:rsid w:val="001E201C"/>
    <w:rsid w:val="001E2062"/>
    <w:rsid w:val="001E21BF"/>
    <w:rsid w:val="001E2266"/>
    <w:rsid w:val="001E22E5"/>
    <w:rsid w:val="001E2431"/>
    <w:rsid w:val="001E248C"/>
    <w:rsid w:val="001E24F3"/>
    <w:rsid w:val="001E27D9"/>
    <w:rsid w:val="001E28D3"/>
    <w:rsid w:val="001E2912"/>
    <w:rsid w:val="001E29AE"/>
    <w:rsid w:val="001E29BD"/>
    <w:rsid w:val="001E29D7"/>
    <w:rsid w:val="001E2AA7"/>
    <w:rsid w:val="001E2BD2"/>
    <w:rsid w:val="001E2BE2"/>
    <w:rsid w:val="001E2C30"/>
    <w:rsid w:val="001E2DB5"/>
    <w:rsid w:val="001E2DF5"/>
    <w:rsid w:val="001E316F"/>
    <w:rsid w:val="001E3221"/>
    <w:rsid w:val="001E3830"/>
    <w:rsid w:val="001E38B6"/>
    <w:rsid w:val="001E3954"/>
    <w:rsid w:val="001E3957"/>
    <w:rsid w:val="001E3ABE"/>
    <w:rsid w:val="001E3CD6"/>
    <w:rsid w:val="001E3D69"/>
    <w:rsid w:val="001E3DBB"/>
    <w:rsid w:val="001E3E54"/>
    <w:rsid w:val="001E3ED2"/>
    <w:rsid w:val="001E41A8"/>
    <w:rsid w:val="001E42C0"/>
    <w:rsid w:val="001E4321"/>
    <w:rsid w:val="001E44E2"/>
    <w:rsid w:val="001E4595"/>
    <w:rsid w:val="001E4699"/>
    <w:rsid w:val="001E46CD"/>
    <w:rsid w:val="001E4748"/>
    <w:rsid w:val="001E47DE"/>
    <w:rsid w:val="001E49F1"/>
    <w:rsid w:val="001E4A89"/>
    <w:rsid w:val="001E4C62"/>
    <w:rsid w:val="001E4D1E"/>
    <w:rsid w:val="001E4D5F"/>
    <w:rsid w:val="001E4FF8"/>
    <w:rsid w:val="001E5012"/>
    <w:rsid w:val="001E5226"/>
    <w:rsid w:val="001E54AB"/>
    <w:rsid w:val="001E556B"/>
    <w:rsid w:val="001E5596"/>
    <w:rsid w:val="001E5694"/>
    <w:rsid w:val="001E570F"/>
    <w:rsid w:val="001E59FA"/>
    <w:rsid w:val="001E5B8E"/>
    <w:rsid w:val="001E5BA6"/>
    <w:rsid w:val="001E5D5C"/>
    <w:rsid w:val="001E5E22"/>
    <w:rsid w:val="001E5F26"/>
    <w:rsid w:val="001E5F8C"/>
    <w:rsid w:val="001E5FE5"/>
    <w:rsid w:val="001E6072"/>
    <w:rsid w:val="001E6079"/>
    <w:rsid w:val="001E6196"/>
    <w:rsid w:val="001E6330"/>
    <w:rsid w:val="001E64BE"/>
    <w:rsid w:val="001E662C"/>
    <w:rsid w:val="001E6832"/>
    <w:rsid w:val="001E69A9"/>
    <w:rsid w:val="001E69FE"/>
    <w:rsid w:val="001E6A33"/>
    <w:rsid w:val="001E6A5A"/>
    <w:rsid w:val="001E6A9F"/>
    <w:rsid w:val="001E6AB1"/>
    <w:rsid w:val="001E6AFE"/>
    <w:rsid w:val="001E6B9C"/>
    <w:rsid w:val="001E6E0A"/>
    <w:rsid w:val="001E6E98"/>
    <w:rsid w:val="001E712B"/>
    <w:rsid w:val="001E71B2"/>
    <w:rsid w:val="001E744F"/>
    <w:rsid w:val="001E74CC"/>
    <w:rsid w:val="001E7564"/>
    <w:rsid w:val="001E7813"/>
    <w:rsid w:val="001E7865"/>
    <w:rsid w:val="001E7993"/>
    <w:rsid w:val="001E7A90"/>
    <w:rsid w:val="001E7B2F"/>
    <w:rsid w:val="001E7BA8"/>
    <w:rsid w:val="001E7BFF"/>
    <w:rsid w:val="001E7D07"/>
    <w:rsid w:val="001E7D97"/>
    <w:rsid w:val="001E7DD4"/>
    <w:rsid w:val="001E7E4A"/>
    <w:rsid w:val="001E7E68"/>
    <w:rsid w:val="001E7EF9"/>
    <w:rsid w:val="001F00BA"/>
    <w:rsid w:val="001F0153"/>
    <w:rsid w:val="001F0239"/>
    <w:rsid w:val="001F0415"/>
    <w:rsid w:val="001F057B"/>
    <w:rsid w:val="001F0672"/>
    <w:rsid w:val="001F0707"/>
    <w:rsid w:val="001F0793"/>
    <w:rsid w:val="001F0805"/>
    <w:rsid w:val="001F0815"/>
    <w:rsid w:val="001F0904"/>
    <w:rsid w:val="001F0A03"/>
    <w:rsid w:val="001F0A2A"/>
    <w:rsid w:val="001F0A48"/>
    <w:rsid w:val="001F0A4C"/>
    <w:rsid w:val="001F0AB0"/>
    <w:rsid w:val="001F0B40"/>
    <w:rsid w:val="001F0B4F"/>
    <w:rsid w:val="001F0C0A"/>
    <w:rsid w:val="001F0CA2"/>
    <w:rsid w:val="001F0E1E"/>
    <w:rsid w:val="001F0E89"/>
    <w:rsid w:val="001F0EF8"/>
    <w:rsid w:val="001F1167"/>
    <w:rsid w:val="001F1175"/>
    <w:rsid w:val="001F117C"/>
    <w:rsid w:val="001F1194"/>
    <w:rsid w:val="001F119C"/>
    <w:rsid w:val="001F126A"/>
    <w:rsid w:val="001F1349"/>
    <w:rsid w:val="001F1550"/>
    <w:rsid w:val="001F1894"/>
    <w:rsid w:val="001F1CB8"/>
    <w:rsid w:val="001F1D51"/>
    <w:rsid w:val="001F1E66"/>
    <w:rsid w:val="001F1E89"/>
    <w:rsid w:val="001F224C"/>
    <w:rsid w:val="001F2271"/>
    <w:rsid w:val="001F274C"/>
    <w:rsid w:val="001F27F8"/>
    <w:rsid w:val="001F281E"/>
    <w:rsid w:val="001F2977"/>
    <w:rsid w:val="001F29B3"/>
    <w:rsid w:val="001F29B7"/>
    <w:rsid w:val="001F29C4"/>
    <w:rsid w:val="001F2A21"/>
    <w:rsid w:val="001F2A67"/>
    <w:rsid w:val="001F2B57"/>
    <w:rsid w:val="001F2CCB"/>
    <w:rsid w:val="001F2D53"/>
    <w:rsid w:val="001F2E8A"/>
    <w:rsid w:val="001F2F3D"/>
    <w:rsid w:val="001F2F4F"/>
    <w:rsid w:val="001F2FA1"/>
    <w:rsid w:val="001F2FEC"/>
    <w:rsid w:val="001F3062"/>
    <w:rsid w:val="001F326C"/>
    <w:rsid w:val="001F344C"/>
    <w:rsid w:val="001F34B1"/>
    <w:rsid w:val="001F3524"/>
    <w:rsid w:val="001F3765"/>
    <w:rsid w:val="001F38C4"/>
    <w:rsid w:val="001F390A"/>
    <w:rsid w:val="001F3A06"/>
    <w:rsid w:val="001F3B7C"/>
    <w:rsid w:val="001F3C92"/>
    <w:rsid w:val="001F4098"/>
    <w:rsid w:val="001F41AC"/>
    <w:rsid w:val="001F427E"/>
    <w:rsid w:val="001F431A"/>
    <w:rsid w:val="001F4344"/>
    <w:rsid w:val="001F4365"/>
    <w:rsid w:val="001F43C6"/>
    <w:rsid w:val="001F43F0"/>
    <w:rsid w:val="001F4447"/>
    <w:rsid w:val="001F4644"/>
    <w:rsid w:val="001F477D"/>
    <w:rsid w:val="001F4A0D"/>
    <w:rsid w:val="001F4ABF"/>
    <w:rsid w:val="001F4AE0"/>
    <w:rsid w:val="001F4C15"/>
    <w:rsid w:val="001F4C57"/>
    <w:rsid w:val="001F4D2F"/>
    <w:rsid w:val="001F4D70"/>
    <w:rsid w:val="001F4DFA"/>
    <w:rsid w:val="001F4E1F"/>
    <w:rsid w:val="001F4F8A"/>
    <w:rsid w:val="001F500A"/>
    <w:rsid w:val="001F514E"/>
    <w:rsid w:val="001F51D0"/>
    <w:rsid w:val="001F520E"/>
    <w:rsid w:val="001F52CD"/>
    <w:rsid w:val="001F52EF"/>
    <w:rsid w:val="001F553C"/>
    <w:rsid w:val="001F561F"/>
    <w:rsid w:val="001F5707"/>
    <w:rsid w:val="001F58A4"/>
    <w:rsid w:val="001F59F4"/>
    <w:rsid w:val="001F5A2C"/>
    <w:rsid w:val="001F5A69"/>
    <w:rsid w:val="001F5A70"/>
    <w:rsid w:val="001F5BB1"/>
    <w:rsid w:val="001F5D6F"/>
    <w:rsid w:val="001F5DE6"/>
    <w:rsid w:val="001F5E35"/>
    <w:rsid w:val="001F5FA3"/>
    <w:rsid w:val="001F6215"/>
    <w:rsid w:val="001F6240"/>
    <w:rsid w:val="001F6344"/>
    <w:rsid w:val="001F636B"/>
    <w:rsid w:val="001F6381"/>
    <w:rsid w:val="001F63A5"/>
    <w:rsid w:val="001F63B3"/>
    <w:rsid w:val="001F6562"/>
    <w:rsid w:val="001F65C9"/>
    <w:rsid w:val="001F680A"/>
    <w:rsid w:val="001F687F"/>
    <w:rsid w:val="001F6A87"/>
    <w:rsid w:val="001F6ACC"/>
    <w:rsid w:val="001F6BE9"/>
    <w:rsid w:val="001F6C8C"/>
    <w:rsid w:val="001F6CD0"/>
    <w:rsid w:val="001F6D6E"/>
    <w:rsid w:val="001F6F45"/>
    <w:rsid w:val="001F6FCA"/>
    <w:rsid w:val="001F70C4"/>
    <w:rsid w:val="001F718B"/>
    <w:rsid w:val="001F71BB"/>
    <w:rsid w:val="001F7230"/>
    <w:rsid w:val="001F725E"/>
    <w:rsid w:val="001F731A"/>
    <w:rsid w:val="001F740E"/>
    <w:rsid w:val="001F763D"/>
    <w:rsid w:val="001F76A0"/>
    <w:rsid w:val="001F773D"/>
    <w:rsid w:val="001F7979"/>
    <w:rsid w:val="001F7A01"/>
    <w:rsid w:val="001F7A55"/>
    <w:rsid w:val="001F7C56"/>
    <w:rsid w:val="001F7C5B"/>
    <w:rsid w:val="001F7D26"/>
    <w:rsid w:val="00200094"/>
    <w:rsid w:val="0020009C"/>
    <w:rsid w:val="00200380"/>
    <w:rsid w:val="002005F3"/>
    <w:rsid w:val="0020061F"/>
    <w:rsid w:val="0020073D"/>
    <w:rsid w:val="0020074A"/>
    <w:rsid w:val="002008BE"/>
    <w:rsid w:val="00200A94"/>
    <w:rsid w:val="00200AD8"/>
    <w:rsid w:val="00200B6D"/>
    <w:rsid w:val="00200BAA"/>
    <w:rsid w:val="00200C1A"/>
    <w:rsid w:val="00200CDD"/>
    <w:rsid w:val="00200D06"/>
    <w:rsid w:val="00200D51"/>
    <w:rsid w:val="00200DE5"/>
    <w:rsid w:val="00200E6F"/>
    <w:rsid w:val="00200FB6"/>
    <w:rsid w:val="00200FF3"/>
    <w:rsid w:val="002010BC"/>
    <w:rsid w:val="00201155"/>
    <w:rsid w:val="00201198"/>
    <w:rsid w:val="00201220"/>
    <w:rsid w:val="002012DE"/>
    <w:rsid w:val="00201519"/>
    <w:rsid w:val="0020155B"/>
    <w:rsid w:val="002015AA"/>
    <w:rsid w:val="0020163C"/>
    <w:rsid w:val="00201699"/>
    <w:rsid w:val="002018CB"/>
    <w:rsid w:val="00201B4E"/>
    <w:rsid w:val="00201BB9"/>
    <w:rsid w:val="00201CDB"/>
    <w:rsid w:val="00201DF2"/>
    <w:rsid w:val="00201E35"/>
    <w:rsid w:val="00201F3C"/>
    <w:rsid w:val="0020211A"/>
    <w:rsid w:val="00202148"/>
    <w:rsid w:val="0020270F"/>
    <w:rsid w:val="00202A8D"/>
    <w:rsid w:val="00202AC7"/>
    <w:rsid w:val="00202D84"/>
    <w:rsid w:val="00202E45"/>
    <w:rsid w:val="00202F7F"/>
    <w:rsid w:val="0020303E"/>
    <w:rsid w:val="00203054"/>
    <w:rsid w:val="002032EF"/>
    <w:rsid w:val="00203333"/>
    <w:rsid w:val="002034A9"/>
    <w:rsid w:val="002034C7"/>
    <w:rsid w:val="002035D4"/>
    <w:rsid w:val="0020366D"/>
    <w:rsid w:val="00203799"/>
    <w:rsid w:val="00203875"/>
    <w:rsid w:val="002038C6"/>
    <w:rsid w:val="00203936"/>
    <w:rsid w:val="00203B9D"/>
    <w:rsid w:val="00203C65"/>
    <w:rsid w:val="00203D1B"/>
    <w:rsid w:val="00203D44"/>
    <w:rsid w:val="00203EA5"/>
    <w:rsid w:val="00203EC7"/>
    <w:rsid w:val="00203FA7"/>
    <w:rsid w:val="00203FC3"/>
    <w:rsid w:val="002040F2"/>
    <w:rsid w:val="002041C4"/>
    <w:rsid w:val="00204301"/>
    <w:rsid w:val="0020441D"/>
    <w:rsid w:val="002044C4"/>
    <w:rsid w:val="002045EC"/>
    <w:rsid w:val="00204751"/>
    <w:rsid w:val="00204757"/>
    <w:rsid w:val="002047DB"/>
    <w:rsid w:val="0020487F"/>
    <w:rsid w:val="002048C2"/>
    <w:rsid w:val="00204A9A"/>
    <w:rsid w:val="00204C2A"/>
    <w:rsid w:val="00204CEB"/>
    <w:rsid w:val="00204D1B"/>
    <w:rsid w:val="00204D96"/>
    <w:rsid w:val="00204DCF"/>
    <w:rsid w:val="00204DFE"/>
    <w:rsid w:val="00204E10"/>
    <w:rsid w:val="00204E65"/>
    <w:rsid w:val="00204EFE"/>
    <w:rsid w:val="00204FBB"/>
    <w:rsid w:val="00204FFD"/>
    <w:rsid w:val="00205158"/>
    <w:rsid w:val="002052CF"/>
    <w:rsid w:val="00205362"/>
    <w:rsid w:val="002053C4"/>
    <w:rsid w:val="00205450"/>
    <w:rsid w:val="002054CB"/>
    <w:rsid w:val="002055B6"/>
    <w:rsid w:val="00205725"/>
    <w:rsid w:val="0020574A"/>
    <w:rsid w:val="002057AA"/>
    <w:rsid w:val="00205800"/>
    <w:rsid w:val="002058E2"/>
    <w:rsid w:val="0020591F"/>
    <w:rsid w:val="002059B2"/>
    <w:rsid w:val="00205A79"/>
    <w:rsid w:val="00205A97"/>
    <w:rsid w:val="00205AC5"/>
    <w:rsid w:val="00205B97"/>
    <w:rsid w:val="00205BCB"/>
    <w:rsid w:val="00205BE2"/>
    <w:rsid w:val="00205C14"/>
    <w:rsid w:val="00205C1D"/>
    <w:rsid w:val="00205DC6"/>
    <w:rsid w:val="00206073"/>
    <w:rsid w:val="002060A4"/>
    <w:rsid w:val="00206359"/>
    <w:rsid w:val="00206364"/>
    <w:rsid w:val="002063C0"/>
    <w:rsid w:val="002064A4"/>
    <w:rsid w:val="002064BC"/>
    <w:rsid w:val="002066C6"/>
    <w:rsid w:val="00206964"/>
    <w:rsid w:val="00206A54"/>
    <w:rsid w:val="00206A96"/>
    <w:rsid w:val="00206AAE"/>
    <w:rsid w:val="00206B56"/>
    <w:rsid w:val="00206C53"/>
    <w:rsid w:val="00206C67"/>
    <w:rsid w:val="00206DEE"/>
    <w:rsid w:val="00206F54"/>
    <w:rsid w:val="00206FB3"/>
    <w:rsid w:val="00206FF4"/>
    <w:rsid w:val="0020701F"/>
    <w:rsid w:val="00207136"/>
    <w:rsid w:val="00207229"/>
    <w:rsid w:val="002075B1"/>
    <w:rsid w:val="002075C1"/>
    <w:rsid w:val="0020766B"/>
    <w:rsid w:val="0020785C"/>
    <w:rsid w:val="0020798F"/>
    <w:rsid w:val="00207B11"/>
    <w:rsid w:val="00207B1C"/>
    <w:rsid w:val="00207C44"/>
    <w:rsid w:val="00207C98"/>
    <w:rsid w:val="00207CA4"/>
    <w:rsid w:val="00207D2E"/>
    <w:rsid w:val="00207ECC"/>
    <w:rsid w:val="00207FF4"/>
    <w:rsid w:val="0021001B"/>
    <w:rsid w:val="002101C1"/>
    <w:rsid w:val="002101F6"/>
    <w:rsid w:val="00210275"/>
    <w:rsid w:val="002102BF"/>
    <w:rsid w:val="002102EF"/>
    <w:rsid w:val="00210301"/>
    <w:rsid w:val="00210388"/>
    <w:rsid w:val="00210458"/>
    <w:rsid w:val="002104F5"/>
    <w:rsid w:val="00210557"/>
    <w:rsid w:val="0021056C"/>
    <w:rsid w:val="0021071E"/>
    <w:rsid w:val="00210767"/>
    <w:rsid w:val="00210841"/>
    <w:rsid w:val="00210936"/>
    <w:rsid w:val="00210974"/>
    <w:rsid w:val="00210B86"/>
    <w:rsid w:val="00210BFA"/>
    <w:rsid w:val="00210C36"/>
    <w:rsid w:val="00210CD9"/>
    <w:rsid w:val="00210D24"/>
    <w:rsid w:val="00210E99"/>
    <w:rsid w:val="00210E9C"/>
    <w:rsid w:val="00210F17"/>
    <w:rsid w:val="002110B0"/>
    <w:rsid w:val="002111DB"/>
    <w:rsid w:val="002114C6"/>
    <w:rsid w:val="00211504"/>
    <w:rsid w:val="002115F8"/>
    <w:rsid w:val="00211671"/>
    <w:rsid w:val="00211B9B"/>
    <w:rsid w:val="00211C9A"/>
    <w:rsid w:val="00212001"/>
    <w:rsid w:val="00212048"/>
    <w:rsid w:val="002120D6"/>
    <w:rsid w:val="002121B6"/>
    <w:rsid w:val="002121DD"/>
    <w:rsid w:val="0021220A"/>
    <w:rsid w:val="00212214"/>
    <w:rsid w:val="00212490"/>
    <w:rsid w:val="00212569"/>
    <w:rsid w:val="0021265C"/>
    <w:rsid w:val="00212667"/>
    <w:rsid w:val="002126EC"/>
    <w:rsid w:val="00212766"/>
    <w:rsid w:val="00212819"/>
    <w:rsid w:val="00212837"/>
    <w:rsid w:val="002129C0"/>
    <w:rsid w:val="00212A0C"/>
    <w:rsid w:val="00212ACB"/>
    <w:rsid w:val="00212E3B"/>
    <w:rsid w:val="00212E4E"/>
    <w:rsid w:val="00212F8F"/>
    <w:rsid w:val="00212F94"/>
    <w:rsid w:val="0021305A"/>
    <w:rsid w:val="0021314C"/>
    <w:rsid w:val="00213238"/>
    <w:rsid w:val="002133A3"/>
    <w:rsid w:val="00213422"/>
    <w:rsid w:val="0021374B"/>
    <w:rsid w:val="00213768"/>
    <w:rsid w:val="00213769"/>
    <w:rsid w:val="00213930"/>
    <w:rsid w:val="00213940"/>
    <w:rsid w:val="00213985"/>
    <w:rsid w:val="002139FC"/>
    <w:rsid w:val="00213A00"/>
    <w:rsid w:val="00213A75"/>
    <w:rsid w:val="00213A82"/>
    <w:rsid w:val="00213C5C"/>
    <w:rsid w:val="00213C7E"/>
    <w:rsid w:val="00213CEC"/>
    <w:rsid w:val="00213D2D"/>
    <w:rsid w:val="00213E96"/>
    <w:rsid w:val="002140E0"/>
    <w:rsid w:val="00214203"/>
    <w:rsid w:val="00214301"/>
    <w:rsid w:val="0021430D"/>
    <w:rsid w:val="00214692"/>
    <w:rsid w:val="002146EB"/>
    <w:rsid w:val="00214757"/>
    <w:rsid w:val="0021493E"/>
    <w:rsid w:val="00214946"/>
    <w:rsid w:val="002149B1"/>
    <w:rsid w:val="00214EDA"/>
    <w:rsid w:val="00214F71"/>
    <w:rsid w:val="0021505A"/>
    <w:rsid w:val="00215179"/>
    <w:rsid w:val="002152D6"/>
    <w:rsid w:val="002152E8"/>
    <w:rsid w:val="00215342"/>
    <w:rsid w:val="00215467"/>
    <w:rsid w:val="00215577"/>
    <w:rsid w:val="00215888"/>
    <w:rsid w:val="00215ADA"/>
    <w:rsid w:val="00215BB8"/>
    <w:rsid w:val="00215C59"/>
    <w:rsid w:val="00216009"/>
    <w:rsid w:val="002160A1"/>
    <w:rsid w:val="002160A9"/>
    <w:rsid w:val="002161B3"/>
    <w:rsid w:val="00216571"/>
    <w:rsid w:val="002165E5"/>
    <w:rsid w:val="00216987"/>
    <w:rsid w:val="00216AAF"/>
    <w:rsid w:val="00216ACF"/>
    <w:rsid w:val="00216B9B"/>
    <w:rsid w:val="00216BAA"/>
    <w:rsid w:val="00216D13"/>
    <w:rsid w:val="00216D91"/>
    <w:rsid w:val="00216F4A"/>
    <w:rsid w:val="0021711B"/>
    <w:rsid w:val="002174D6"/>
    <w:rsid w:val="0021751D"/>
    <w:rsid w:val="00217680"/>
    <w:rsid w:val="00217780"/>
    <w:rsid w:val="0021779F"/>
    <w:rsid w:val="002178A2"/>
    <w:rsid w:val="0021797A"/>
    <w:rsid w:val="00217A83"/>
    <w:rsid w:val="00217A95"/>
    <w:rsid w:val="00217BAA"/>
    <w:rsid w:val="00217C84"/>
    <w:rsid w:val="00217C86"/>
    <w:rsid w:val="00217CE4"/>
    <w:rsid w:val="00217DBF"/>
    <w:rsid w:val="00217DF1"/>
    <w:rsid w:val="00217E1E"/>
    <w:rsid w:val="00217F6B"/>
    <w:rsid w:val="00217FC2"/>
    <w:rsid w:val="00217FE9"/>
    <w:rsid w:val="002200EB"/>
    <w:rsid w:val="00220216"/>
    <w:rsid w:val="002202E9"/>
    <w:rsid w:val="002203B6"/>
    <w:rsid w:val="00220499"/>
    <w:rsid w:val="00220508"/>
    <w:rsid w:val="00220660"/>
    <w:rsid w:val="00220672"/>
    <w:rsid w:val="002206A3"/>
    <w:rsid w:val="00220A0B"/>
    <w:rsid w:val="00220BF4"/>
    <w:rsid w:val="00220CD8"/>
    <w:rsid w:val="00220D04"/>
    <w:rsid w:val="00220E11"/>
    <w:rsid w:val="00220F82"/>
    <w:rsid w:val="0022110A"/>
    <w:rsid w:val="0022121D"/>
    <w:rsid w:val="0022123A"/>
    <w:rsid w:val="0022127D"/>
    <w:rsid w:val="00221286"/>
    <w:rsid w:val="002212D9"/>
    <w:rsid w:val="00221352"/>
    <w:rsid w:val="002213C3"/>
    <w:rsid w:val="00221550"/>
    <w:rsid w:val="002215C3"/>
    <w:rsid w:val="002215D7"/>
    <w:rsid w:val="00221632"/>
    <w:rsid w:val="002216ED"/>
    <w:rsid w:val="002216F8"/>
    <w:rsid w:val="00221770"/>
    <w:rsid w:val="00221797"/>
    <w:rsid w:val="00221958"/>
    <w:rsid w:val="002219FB"/>
    <w:rsid w:val="00221A17"/>
    <w:rsid w:val="00221AD3"/>
    <w:rsid w:val="00221AE7"/>
    <w:rsid w:val="00221B4F"/>
    <w:rsid w:val="00221C24"/>
    <w:rsid w:val="00221C76"/>
    <w:rsid w:val="00221CE5"/>
    <w:rsid w:val="00221CEE"/>
    <w:rsid w:val="00221D40"/>
    <w:rsid w:val="00221EA8"/>
    <w:rsid w:val="00221EF6"/>
    <w:rsid w:val="00221F61"/>
    <w:rsid w:val="00221FEE"/>
    <w:rsid w:val="00222005"/>
    <w:rsid w:val="00222237"/>
    <w:rsid w:val="0022225A"/>
    <w:rsid w:val="00222472"/>
    <w:rsid w:val="00222476"/>
    <w:rsid w:val="00222528"/>
    <w:rsid w:val="002226EE"/>
    <w:rsid w:val="00222705"/>
    <w:rsid w:val="00222871"/>
    <w:rsid w:val="002228DA"/>
    <w:rsid w:val="002228EF"/>
    <w:rsid w:val="002229BF"/>
    <w:rsid w:val="002229C3"/>
    <w:rsid w:val="002229E0"/>
    <w:rsid w:val="002229E8"/>
    <w:rsid w:val="00222B7F"/>
    <w:rsid w:val="00222C41"/>
    <w:rsid w:val="00222DF4"/>
    <w:rsid w:val="00222E6D"/>
    <w:rsid w:val="00222EEA"/>
    <w:rsid w:val="00222FFF"/>
    <w:rsid w:val="00223087"/>
    <w:rsid w:val="002231DD"/>
    <w:rsid w:val="0022328A"/>
    <w:rsid w:val="002232EA"/>
    <w:rsid w:val="0022332E"/>
    <w:rsid w:val="0022336B"/>
    <w:rsid w:val="002233B5"/>
    <w:rsid w:val="00223458"/>
    <w:rsid w:val="002234AA"/>
    <w:rsid w:val="00223512"/>
    <w:rsid w:val="00223818"/>
    <w:rsid w:val="0022397F"/>
    <w:rsid w:val="002239BC"/>
    <w:rsid w:val="00223B2F"/>
    <w:rsid w:val="00223D49"/>
    <w:rsid w:val="00223E21"/>
    <w:rsid w:val="0022426F"/>
    <w:rsid w:val="00224288"/>
    <w:rsid w:val="0022438E"/>
    <w:rsid w:val="002243AA"/>
    <w:rsid w:val="00224631"/>
    <w:rsid w:val="00224845"/>
    <w:rsid w:val="00224947"/>
    <w:rsid w:val="00224970"/>
    <w:rsid w:val="00224BB5"/>
    <w:rsid w:val="00224D61"/>
    <w:rsid w:val="00224F92"/>
    <w:rsid w:val="002250A2"/>
    <w:rsid w:val="00225316"/>
    <w:rsid w:val="002253DF"/>
    <w:rsid w:val="00225587"/>
    <w:rsid w:val="002255A0"/>
    <w:rsid w:val="00225664"/>
    <w:rsid w:val="002256B9"/>
    <w:rsid w:val="0022571F"/>
    <w:rsid w:val="002257C8"/>
    <w:rsid w:val="002259E3"/>
    <w:rsid w:val="00225A33"/>
    <w:rsid w:val="00225B48"/>
    <w:rsid w:val="00225BAD"/>
    <w:rsid w:val="00225CD2"/>
    <w:rsid w:val="00225D16"/>
    <w:rsid w:val="00225D97"/>
    <w:rsid w:val="00225F0D"/>
    <w:rsid w:val="00226007"/>
    <w:rsid w:val="00226224"/>
    <w:rsid w:val="00226263"/>
    <w:rsid w:val="002262EA"/>
    <w:rsid w:val="00226361"/>
    <w:rsid w:val="0022659A"/>
    <w:rsid w:val="00226776"/>
    <w:rsid w:val="00226821"/>
    <w:rsid w:val="002268BE"/>
    <w:rsid w:val="00226994"/>
    <w:rsid w:val="002269AD"/>
    <w:rsid w:val="002269EB"/>
    <w:rsid w:val="00226E26"/>
    <w:rsid w:val="00226EC3"/>
    <w:rsid w:val="00226F10"/>
    <w:rsid w:val="00226FD7"/>
    <w:rsid w:val="00227080"/>
    <w:rsid w:val="002270A2"/>
    <w:rsid w:val="00227122"/>
    <w:rsid w:val="0022716D"/>
    <w:rsid w:val="0022723A"/>
    <w:rsid w:val="0022724E"/>
    <w:rsid w:val="00227266"/>
    <w:rsid w:val="00227322"/>
    <w:rsid w:val="002274FD"/>
    <w:rsid w:val="0022753B"/>
    <w:rsid w:val="00227777"/>
    <w:rsid w:val="00227803"/>
    <w:rsid w:val="002279E6"/>
    <w:rsid w:val="00227AE6"/>
    <w:rsid w:val="00227C02"/>
    <w:rsid w:val="00227CAB"/>
    <w:rsid w:val="00227DC5"/>
    <w:rsid w:val="00230067"/>
    <w:rsid w:val="002300CA"/>
    <w:rsid w:val="0023010F"/>
    <w:rsid w:val="0023015A"/>
    <w:rsid w:val="002302BF"/>
    <w:rsid w:val="0023037C"/>
    <w:rsid w:val="0023050B"/>
    <w:rsid w:val="00230699"/>
    <w:rsid w:val="002306C6"/>
    <w:rsid w:val="0023079C"/>
    <w:rsid w:val="0023090A"/>
    <w:rsid w:val="002309B2"/>
    <w:rsid w:val="00230A68"/>
    <w:rsid w:val="00230A8A"/>
    <w:rsid w:val="00230AEB"/>
    <w:rsid w:val="00230B83"/>
    <w:rsid w:val="00230D37"/>
    <w:rsid w:val="00230DF1"/>
    <w:rsid w:val="00230E96"/>
    <w:rsid w:val="00230F59"/>
    <w:rsid w:val="002311FE"/>
    <w:rsid w:val="002312F3"/>
    <w:rsid w:val="00231430"/>
    <w:rsid w:val="002314D1"/>
    <w:rsid w:val="002316E0"/>
    <w:rsid w:val="002318B3"/>
    <w:rsid w:val="00231934"/>
    <w:rsid w:val="00231AAC"/>
    <w:rsid w:val="00231ADA"/>
    <w:rsid w:val="00231BEF"/>
    <w:rsid w:val="00231C07"/>
    <w:rsid w:val="00231C7D"/>
    <w:rsid w:val="00231EF3"/>
    <w:rsid w:val="0023210A"/>
    <w:rsid w:val="00232190"/>
    <w:rsid w:val="0023222E"/>
    <w:rsid w:val="0023226C"/>
    <w:rsid w:val="00232276"/>
    <w:rsid w:val="0023234A"/>
    <w:rsid w:val="002323E7"/>
    <w:rsid w:val="0023291F"/>
    <w:rsid w:val="00232AD3"/>
    <w:rsid w:val="00232AE5"/>
    <w:rsid w:val="00232B09"/>
    <w:rsid w:val="00232B51"/>
    <w:rsid w:val="00232C07"/>
    <w:rsid w:val="00232D30"/>
    <w:rsid w:val="00232DC1"/>
    <w:rsid w:val="00232EF1"/>
    <w:rsid w:val="00232EF8"/>
    <w:rsid w:val="00232F63"/>
    <w:rsid w:val="00232FD5"/>
    <w:rsid w:val="00233058"/>
    <w:rsid w:val="002330F7"/>
    <w:rsid w:val="00233296"/>
    <w:rsid w:val="002333D4"/>
    <w:rsid w:val="00233712"/>
    <w:rsid w:val="0023383B"/>
    <w:rsid w:val="002338D2"/>
    <w:rsid w:val="002338EA"/>
    <w:rsid w:val="0023391B"/>
    <w:rsid w:val="00233931"/>
    <w:rsid w:val="00233AB5"/>
    <w:rsid w:val="00233AC6"/>
    <w:rsid w:val="00233BD1"/>
    <w:rsid w:val="00233D1A"/>
    <w:rsid w:val="00233DC7"/>
    <w:rsid w:val="00233E01"/>
    <w:rsid w:val="00233E97"/>
    <w:rsid w:val="00234107"/>
    <w:rsid w:val="0023422B"/>
    <w:rsid w:val="00234339"/>
    <w:rsid w:val="002343D3"/>
    <w:rsid w:val="002343D6"/>
    <w:rsid w:val="0023442A"/>
    <w:rsid w:val="0023455A"/>
    <w:rsid w:val="0023461F"/>
    <w:rsid w:val="00234638"/>
    <w:rsid w:val="002348AE"/>
    <w:rsid w:val="00234902"/>
    <w:rsid w:val="00234AA4"/>
    <w:rsid w:val="00234B10"/>
    <w:rsid w:val="00234B52"/>
    <w:rsid w:val="00234BD5"/>
    <w:rsid w:val="00234D3D"/>
    <w:rsid w:val="00234DF7"/>
    <w:rsid w:val="00234FD6"/>
    <w:rsid w:val="00235082"/>
    <w:rsid w:val="002350D9"/>
    <w:rsid w:val="00235163"/>
    <w:rsid w:val="002351D7"/>
    <w:rsid w:val="0023523A"/>
    <w:rsid w:val="002353D6"/>
    <w:rsid w:val="002353F8"/>
    <w:rsid w:val="00235463"/>
    <w:rsid w:val="002354DE"/>
    <w:rsid w:val="0023554E"/>
    <w:rsid w:val="00235582"/>
    <w:rsid w:val="002355BE"/>
    <w:rsid w:val="00235659"/>
    <w:rsid w:val="00235667"/>
    <w:rsid w:val="002356D9"/>
    <w:rsid w:val="00235A6D"/>
    <w:rsid w:val="00235B30"/>
    <w:rsid w:val="00235BBE"/>
    <w:rsid w:val="00235E68"/>
    <w:rsid w:val="00235F82"/>
    <w:rsid w:val="002360D5"/>
    <w:rsid w:val="002361A7"/>
    <w:rsid w:val="002361E3"/>
    <w:rsid w:val="00236215"/>
    <w:rsid w:val="002362B4"/>
    <w:rsid w:val="002362BB"/>
    <w:rsid w:val="002362ED"/>
    <w:rsid w:val="002363A7"/>
    <w:rsid w:val="0023661F"/>
    <w:rsid w:val="00236661"/>
    <w:rsid w:val="002366DB"/>
    <w:rsid w:val="00236767"/>
    <w:rsid w:val="00236774"/>
    <w:rsid w:val="00236803"/>
    <w:rsid w:val="002368CE"/>
    <w:rsid w:val="002369AE"/>
    <w:rsid w:val="00236BA5"/>
    <w:rsid w:val="00236E48"/>
    <w:rsid w:val="00236EB3"/>
    <w:rsid w:val="00236EE6"/>
    <w:rsid w:val="00236F0F"/>
    <w:rsid w:val="00236F2F"/>
    <w:rsid w:val="00236F65"/>
    <w:rsid w:val="002370FB"/>
    <w:rsid w:val="002372CB"/>
    <w:rsid w:val="002372EC"/>
    <w:rsid w:val="002373EF"/>
    <w:rsid w:val="00237480"/>
    <w:rsid w:val="0023751B"/>
    <w:rsid w:val="00237523"/>
    <w:rsid w:val="00237663"/>
    <w:rsid w:val="0023779D"/>
    <w:rsid w:val="00237A6B"/>
    <w:rsid w:val="00237B90"/>
    <w:rsid w:val="00237C7F"/>
    <w:rsid w:val="00237E02"/>
    <w:rsid w:val="00237E95"/>
    <w:rsid w:val="00237F86"/>
    <w:rsid w:val="002400D4"/>
    <w:rsid w:val="00240151"/>
    <w:rsid w:val="00240247"/>
    <w:rsid w:val="00240377"/>
    <w:rsid w:val="002403A9"/>
    <w:rsid w:val="00240466"/>
    <w:rsid w:val="0024046B"/>
    <w:rsid w:val="002406DC"/>
    <w:rsid w:val="00240824"/>
    <w:rsid w:val="002408EF"/>
    <w:rsid w:val="00240949"/>
    <w:rsid w:val="002409E4"/>
    <w:rsid w:val="00240A3F"/>
    <w:rsid w:val="00240B87"/>
    <w:rsid w:val="00240C31"/>
    <w:rsid w:val="00240F52"/>
    <w:rsid w:val="002410F5"/>
    <w:rsid w:val="0024115A"/>
    <w:rsid w:val="00241282"/>
    <w:rsid w:val="002412B3"/>
    <w:rsid w:val="0024134F"/>
    <w:rsid w:val="002416E7"/>
    <w:rsid w:val="002419E1"/>
    <w:rsid w:val="00241B11"/>
    <w:rsid w:val="00241CEA"/>
    <w:rsid w:val="00241CFC"/>
    <w:rsid w:val="00241E54"/>
    <w:rsid w:val="00241E6C"/>
    <w:rsid w:val="00241EC5"/>
    <w:rsid w:val="00241F85"/>
    <w:rsid w:val="00241FD5"/>
    <w:rsid w:val="00242022"/>
    <w:rsid w:val="0024202B"/>
    <w:rsid w:val="00242178"/>
    <w:rsid w:val="0024229E"/>
    <w:rsid w:val="002423E9"/>
    <w:rsid w:val="002423F2"/>
    <w:rsid w:val="00242547"/>
    <w:rsid w:val="0024270A"/>
    <w:rsid w:val="0024286E"/>
    <w:rsid w:val="0024289A"/>
    <w:rsid w:val="002428B7"/>
    <w:rsid w:val="002428DA"/>
    <w:rsid w:val="00242901"/>
    <w:rsid w:val="00242A68"/>
    <w:rsid w:val="00242CD3"/>
    <w:rsid w:val="00242D17"/>
    <w:rsid w:val="00242ED9"/>
    <w:rsid w:val="00242F4D"/>
    <w:rsid w:val="002430C7"/>
    <w:rsid w:val="0024328D"/>
    <w:rsid w:val="00243592"/>
    <w:rsid w:val="00243733"/>
    <w:rsid w:val="002437CA"/>
    <w:rsid w:val="00243810"/>
    <w:rsid w:val="00243886"/>
    <w:rsid w:val="00243B26"/>
    <w:rsid w:val="00243B56"/>
    <w:rsid w:val="00243E7E"/>
    <w:rsid w:val="00243F8E"/>
    <w:rsid w:val="0024408A"/>
    <w:rsid w:val="0024425B"/>
    <w:rsid w:val="0024429D"/>
    <w:rsid w:val="00244508"/>
    <w:rsid w:val="002446EC"/>
    <w:rsid w:val="0024472D"/>
    <w:rsid w:val="00244759"/>
    <w:rsid w:val="002447B5"/>
    <w:rsid w:val="0024487F"/>
    <w:rsid w:val="00244995"/>
    <w:rsid w:val="00244B8D"/>
    <w:rsid w:val="00244C0A"/>
    <w:rsid w:val="00244D6E"/>
    <w:rsid w:val="00244DA0"/>
    <w:rsid w:val="00244F19"/>
    <w:rsid w:val="00245012"/>
    <w:rsid w:val="002450D7"/>
    <w:rsid w:val="0024515C"/>
    <w:rsid w:val="002451F9"/>
    <w:rsid w:val="00245229"/>
    <w:rsid w:val="00245379"/>
    <w:rsid w:val="002455A9"/>
    <w:rsid w:val="002456A2"/>
    <w:rsid w:val="002457E8"/>
    <w:rsid w:val="002459C3"/>
    <w:rsid w:val="00245AA6"/>
    <w:rsid w:val="00245B84"/>
    <w:rsid w:val="00245B9E"/>
    <w:rsid w:val="00245C3E"/>
    <w:rsid w:val="00245C96"/>
    <w:rsid w:val="00245E3B"/>
    <w:rsid w:val="00245EB6"/>
    <w:rsid w:val="00246013"/>
    <w:rsid w:val="00246173"/>
    <w:rsid w:val="0024634F"/>
    <w:rsid w:val="002463C8"/>
    <w:rsid w:val="002464FB"/>
    <w:rsid w:val="002466CE"/>
    <w:rsid w:val="0024672B"/>
    <w:rsid w:val="00246801"/>
    <w:rsid w:val="00246904"/>
    <w:rsid w:val="00246A75"/>
    <w:rsid w:val="00246D6D"/>
    <w:rsid w:val="00246DC4"/>
    <w:rsid w:val="00246E4F"/>
    <w:rsid w:val="00246E6E"/>
    <w:rsid w:val="00246E8B"/>
    <w:rsid w:val="00246EED"/>
    <w:rsid w:val="00246F58"/>
    <w:rsid w:val="0024710E"/>
    <w:rsid w:val="00247119"/>
    <w:rsid w:val="0024712C"/>
    <w:rsid w:val="002472ED"/>
    <w:rsid w:val="0024735E"/>
    <w:rsid w:val="00247400"/>
    <w:rsid w:val="00247406"/>
    <w:rsid w:val="00247407"/>
    <w:rsid w:val="00247576"/>
    <w:rsid w:val="002475AF"/>
    <w:rsid w:val="00247662"/>
    <w:rsid w:val="00247692"/>
    <w:rsid w:val="00247779"/>
    <w:rsid w:val="002477E0"/>
    <w:rsid w:val="002477FF"/>
    <w:rsid w:val="002478E7"/>
    <w:rsid w:val="00247AB9"/>
    <w:rsid w:val="00247CF9"/>
    <w:rsid w:val="00247DB9"/>
    <w:rsid w:val="00247EBE"/>
    <w:rsid w:val="00247F24"/>
    <w:rsid w:val="00247FBD"/>
    <w:rsid w:val="00250102"/>
    <w:rsid w:val="00250152"/>
    <w:rsid w:val="00250221"/>
    <w:rsid w:val="00250250"/>
    <w:rsid w:val="002502A7"/>
    <w:rsid w:val="002502B3"/>
    <w:rsid w:val="002502B8"/>
    <w:rsid w:val="00250343"/>
    <w:rsid w:val="002503E6"/>
    <w:rsid w:val="0025047A"/>
    <w:rsid w:val="002505E1"/>
    <w:rsid w:val="0025061E"/>
    <w:rsid w:val="002508B5"/>
    <w:rsid w:val="002508F4"/>
    <w:rsid w:val="002509A8"/>
    <w:rsid w:val="00250C22"/>
    <w:rsid w:val="00250D8F"/>
    <w:rsid w:val="00250F3C"/>
    <w:rsid w:val="002511B3"/>
    <w:rsid w:val="0025125B"/>
    <w:rsid w:val="002512A5"/>
    <w:rsid w:val="002512ED"/>
    <w:rsid w:val="002513A9"/>
    <w:rsid w:val="002513D4"/>
    <w:rsid w:val="002516A8"/>
    <w:rsid w:val="002516AD"/>
    <w:rsid w:val="002516F4"/>
    <w:rsid w:val="00251822"/>
    <w:rsid w:val="0025182C"/>
    <w:rsid w:val="00251AB8"/>
    <w:rsid w:val="00251AEF"/>
    <w:rsid w:val="00251BE5"/>
    <w:rsid w:val="00251BE7"/>
    <w:rsid w:val="00251CBA"/>
    <w:rsid w:val="00251E22"/>
    <w:rsid w:val="00251EF5"/>
    <w:rsid w:val="00251F73"/>
    <w:rsid w:val="002523A7"/>
    <w:rsid w:val="0025252F"/>
    <w:rsid w:val="00252783"/>
    <w:rsid w:val="0025281F"/>
    <w:rsid w:val="00252945"/>
    <w:rsid w:val="002529CE"/>
    <w:rsid w:val="00252B40"/>
    <w:rsid w:val="00252BCE"/>
    <w:rsid w:val="00252BD7"/>
    <w:rsid w:val="00252C14"/>
    <w:rsid w:val="00252DDD"/>
    <w:rsid w:val="00252F72"/>
    <w:rsid w:val="00253066"/>
    <w:rsid w:val="00253156"/>
    <w:rsid w:val="0025334A"/>
    <w:rsid w:val="002533CD"/>
    <w:rsid w:val="00253505"/>
    <w:rsid w:val="00253708"/>
    <w:rsid w:val="002537EF"/>
    <w:rsid w:val="002538CD"/>
    <w:rsid w:val="00253A69"/>
    <w:rsid w:val="00253AA6"/>
    <w:rsid w:val="00253AB7"/>
    <w:rsid w:val="00253B37"/>
    <w:rsid w:val="00253BED"/>
    <w:rsid w:val="00253E9F"/>
    <w:rsid w:val="00253F7D"/>
    <w:rsid w:val="00253FF2"/>
    <w:rsid w:val="002540B7"/>
    <w:rsid w:val="00254266"/>
    <w:rsid w:val="0025439D"/>
    <w:rsid w:val="0025496D"/>
    <w:rsid w:val="00254AA6"/>
    <w:rsid w:val="00254AFC"/>
    <w:rsid w:val="00254D10"/>
    <w:rsid w:val="00254E30"/>
    <w:rsid w:val="00254E4B"/>
    <w:rsid w:val="00254F2D"/>
    <w:rsid w:val="00254FDA"/>
    <w:rsid w:val="00255384"/>
    <w:rsid w:val="0025538F"/>
    <w:rsid w:val="002553BD"/>
    <w:rsid w:val="0025544E"/>
    <w:rsid w:val="002554A1"/>
    <w:rsid w:val="0025558A"/>
    <w:rsid w:val="002558E0"/>
    <w:rsid w:val="0025592A"/>
    <w:rsid w:val="00255B70"/>
    <w:rsid w:val="00255B9E"/>
    <w:rsid w:val="00255C27"/>
    <w:rsid w:val="00255E6E"/>
    <w:rsid w:val="00255E92"/>
    <w:rsid w:val="00255F9C"/>
    <w:rsid w:val="00256084"/>
    <w:rsid w:val="00256238"/>
    <w:rsid w:val="00256342"/>
    <w:rsid w:val="00256383"/>
    <w:rsid w:val="00256788"/>
    <w:rsid w:val="00256878"/>
    <w:rsid w:val="0025688C"/>
    <w:rsid w:val="00256A24"/>
    <w:rsid w:val="00256BB0"/>
    <w:rsid w:val="00256F7D"/>
    <w:rsid w:val="00256FC1"/>
    <w:rsid w:val="002570C4"/>
    <w:rsid w:val="0025711D"/>
    <w:rsid w:val="002571E3"/>
    <w:rsid w:val="002571E9"/>
    <w:rsid w:val="0025731E"/>
    <w:rsid w:val="002574C3"/>
    <w:rsid w:val="002575D2"/>
    <w:rsid w:val="002575FE"/>
    <w:rsid w:val="00257608"/>
    <w:rsid w:val="002576CD"/>
    <w:rsid w:val="00257737"/>
    <w:rsid w:val="00257787"/>
    <w:rsid w:val="002577C3"/>
    <w:rsid w:val="002578FB"/>
    <w:rsid w:val="0025790C"/>
    <w:rsid w:val="0025793A"/>
    <w:rsid w:val="00257A4A"/>
    <w:rsid w:val="00257BD4"/>
    <w:rsid w:val="00257BF2"/>
    <w:rsid w:val="00257EC8"/>
    <w:rsid w:val="00257FF4"/>
    <w:rsid w:val="002600B6"/>
    <w:rsid w:val="002600F0"/>
    <w:rsid w:val="00260122"/>
    <w:rsid w:val="00260134"/>
    <w:rsid w:val="00260226"/>
    <w:rsid w:val="00260265"/>
    <w:rsid w:val="00260327"/>
    <w:rsid w:val="002605BD"/>
    <w:rsid w:val="002606AB"/>
    <w:rsid w:val="002606D5"/>
    <w:rsid w:val="002607E2"/>
    <w:rsid w:val="002608AF"/>
    <w:rsid w:val="00260961"/>
    <w:rsid w:val="00260B45"/>
    <w:rsid w:val="00260BC5"/>
    <w:rsid w:val="00260D2F"/>
    <w:rsid w:val="00260D49"/>
    <w:rsid w:val="00260D88"/>
    <w:rsid w:val="0026103A"/>
    <w:rsid w:val="002611DC"/>
    <w:rsid w:val="00261224"/>
    <w:rsid w:val="002613C1"/>
    <w:rsid w:val="00261474"/>
    <w:rsid w:val="002614DF"/>
    <w:rsid w:val="002614F2"/>
    <w:rsid w:val="00261504"/>
    <w:rsid w:val="00261515"/>
    <w:rsid w:val="0026158F"/>
    <w:rsid w:val="0026165C"/>
    <w:rsid w:val="00261668"/>
    <w:rsid w:val="00261804"/>
    <w:rsid w:val="00261948"/>
    <w:rsid w:val="00261A6B"/>
    <w:rsid w:val="00261B86"/>
    <w:rsid w:val="00261BAA"/>
    <w:rsid w:val="00261CF1"/>
    <w:rsid w:val="00261D06"/>
    <w:rsid w:val="00261E06"/>
    <w:rsid w:val="00261FE8"/>
    <w:rsid w:val="00262111"/>
    <w:rsid w:val="00262253"/>
    <w:rsid w:val="00262274"/>
    <w:rsid w:val="002623D4"/>
    <w:rsid w:val="00262504"/>
    <w:rsid w:val="0026250C"/>
    <w:rsid w:val="0026257A"/>
    <w:rsid w:val="0026275B"/>
    <w:rsid w:val="0026278B"/>
    <w:rsid w:val="002627F6"/>
    <w:rsid w:val="00262AF3"/>
    <w:rsid w:val="00262BB8"/>
    <w:rsid w:val="00262C55"/>
    <w:rsid w:val="00262C74"/>
    <w:rsid w:val="00262F71"/>
    <w:rsid w:val="00263079"/>
    <w:rsid w:val="00263120"/>
    <w:rsid w:val="002634EE"/>
    <w:rsid w:val="002634F0"/>
    <w:rsid w:val="00263514"/>
    <w:rsid w:val="00263646"/>
    <w:rsid w:val="00263661"/>
    <w:rsid w:val="00263797"/>
    <w:rsid w:val="002637E5"/>
    <w:rsid w:val="002638A6"/>
    <w:rsid w:val="00263904"/>
    <w:rsid w:val="00263910"/>
    <w:rsid w:val="0026392A"/>
    <w:rsid w:val="002639B7"/>
    <w:rsid w:val="00263A76"/>
    <w:rsid w:val="00263AA1"/>
    <w:rsid w:val="00263D8A"/>
    <w:rsid w:val="00263FC4"/>
    <w:rsid w:val="0026409B"/>
    <w:rsid w:val="00264169"/>
    <w:rsid w:val="0026421E"/>
    <w:rsid w:val="0026429C"/>
    <w:rsid w:val="002643B0"/>
    <w:rsid w:val="0026446D"/>
    <w:rsid w:val="00264581"/>
    <w:rsid w:val="00264609"/>
    <w:rsid w:val="002646D9"/>
    <w:rsid w:val="00264802"/>
    <w:rsid w:val="00264910"/>
    <w:rsid w:val="002649F5"/>
    <w:rsid w:val="00264A00"/>
    <w:rsid w:val="00264C32"/>
    <w:rsid w:val="00264C62"/>
    <w:rsid w:val="00264C78"/>
    <w:rsid w:val="00264D7C"/>
    <w:rsid w:val="00265018"/>
    <w:rsid w:val="002651E7"/>
    <w:rsid w:val="002652B6"/>
    <w:rsid w:val="002652DD"/>
    <w:rsid w:val="00265A84"/>
    <w:rsid w:val="00265A9A"/>
    <w:rsid w:val="00265AC1"/>
    <w:rsid w:val="00265B00"/>
    <w:rsid w:val="00265B43"/>
    <w:rsid w:val="00265BD8"/>
    <w:rsid w:val="00265C45"/>
    <w:rsid w:val="00265D4D"/>
    <w:rsid w:val="00266168"/>
    <w:rsid w:val="00266237"/>
    <w:rsid w:val="002662C6"/>
    <w:rsid w:val="002662DE"/>
    <w:rsid w:val="002663CC"/>
    <w:rsid w:val="00266440"/>
    <w:rsid w:val="002664BE"/>
    <w:rsid w:val="00266512"/>
    <w:rsid w:val="002665C0"/>
    <w:rsid w:val="002669D0"/>
    <w:rsid w:val="002669D2"/>
    <w:rsid w:val="00266AD2"/>
    <w:rsid w:val="00266C66"/>
    <w:rsid w:val="00266EB5"/>
    <w:rsid w:val="00267053"/>
    <w:rsid w:val="00267346"/>
    <w:rsid w:val="00267351"/>
    <w:rsid w:val="0026738E"/>
    <w:rsid w:val="002673C6"/>
    <w:rsid w:val="0026744B"/>
    <w:rsid w:val="002675C3"/>
    <w:rsid w:val="002677E1"/>
    <w:rsid w:val="00267835"/>
    <w:rsid w:val="00267853"/>
    <w:rsid w:val="002679BC"/>
    <w:rsid w:val="00267A06"/>
    <w:rsid w:val="00267A27"/>
    <w:rsid w:val="00267B63"/>
    <w:rsid w:val="00267BFB"/>
    <w:rsid w:val="00267D1B"/>
    <w:rsid w:val="00267D1C"/>
    <w:rsid w:val="00267D94"/>
    <w:rsid w:val="00267F0D"/>
    <w:rsid w:val="0027001B"/>
    <w:rsid w:val="00270113"/>
    <w:rsid w:val="00270233"/>
    <w:rsid w:val="002702E5"/>
    <w:rsid w:val="002703CA"/>
    <w:rsid w:val="00270486"/>
    <w:rsid w:val="0027053F"/>
    <w:rsid w:val="002705C4"/>
    <w:rsid w:val="002705D7"/>
    <w:rsid w:val="00270899"/>
    <w:rsid w:val="002708B4"/>
    <w:rsid w:val="00270905"/>
    <w:rsid w:val="00270944"/>
    <w:rsid w:val="00270BC4"/>
    <w:rsid w:val="00270BDF"/>
    <w:rsid w:val="00270C80"/>
    <w:rsid w:val="00270CFC"/>
    <w:rsid w:val="00270D3D"/>
    <w:rsid w:val="00270E17"/>
    <w:rsid w:val="00270E58"/>
    <w:rsid w:val="00270FCC"/>
    <w:rsid w:val="00270FF1"/>
    <w:rsid w:val="00271022"/>
    <w:rsid w:val="00271174"/>
    <w:rsid w:val="0027133D"/>
    <w:rsid w:val="002713C8"/>
    <w:rsid w:val="00271538"/>
    <w:rsid w:val="00271657"/>
    <w:rsid w:val="002719CC"/>
    <w:rsid w:val="00271A2E"/>
    <w:rsid w:val="00271A61"/>
    <w:rsid w:val="00271AC4"/>
    <w:rsid w:val="00271BDC"/>
    <w:rsid w:val="00271C30"/>
    <w:rsid w:val="00271CDD"/>
    <w:rsid w:val="00271D19"/>
    <w:rsid w:val="00271D39"/>
    <w:rsid w:val="00271D7D"/>
    <w:rsid w:val="00271DB0"/>
    <w:rsid w:val="00271DEB"/>
    <w:rsid w:val="00271ECF"/>
    <w:rsid w:val="002721D9"/>
    <w:rsid w:val="002721F7"/>
    <w:rsid w:val="00272320"/>
    <w:rsid w:val="00272379"/>
    <w:rsid w:val="002725E2"/>
    <w:rsid w:val="00272636"/>
    <w:rsid w:val="00272681"/>
    <w:rsid w:val="002726BE"/>
    <w:rsid w:val="002727A6"/>
    <w:rsid w:val="00272994"/>
    <w:rsid w:val="00272B43"/>
    <w:rsid w:val="00272D1F"/>
    <w:rsid w:val="002730DD"/>
    <w:rsid w:val="0027313E"/>
    <w:rsid w:val="002731D7"/>
    <w:rsid w:val="002733F2"/>
    <w:rsid w:val="00273719"/>
    <w:rsid w:val="002737C4"/>
    <w:rsid w:val="00273843"/>
    <w:rsid w:val="00273854"/>
    <w:rsid w:val="002739AB"/>
    <w:rsid w:val="00273A13"/>
    <w:rsid w:val="00273A7F"/>
    <w:rsid w:val="00273B86"/>
    <w:rsid w:val="00273C5E"/>
    <w:rsid w:val="00273CB6"/>
    <w:rsid w:val="00273CE0"/>
    <w:rsid w:val="00273D64"/>
    <w:rsid w:val="00273E04"/>
    <w:rsid w:val="00273E58"/>
    <w:rsid w:val="00274010"/>
    <w:rsid w:val="00274195"/>
    <w:rsid w:val="002743E8"/>
    <w:rsid w:val="0027445E"/>
    <w:rsid w:val="002744F6"/>
    <w:rsid w:val="002745DC"/>
    <w:rsid w:val="002745E6"/>
    <w:rsid w:val="00274614"/>
    <w:rsid w:val="00274720"/>
    <w:rsid w:val="00274844"/>
    <w:rsid w:val="00274916"/>
    <w:rsid w:val="00274969"/>
    <w:rsid w:val="00274A10"/>
    <w:rsid w:val="00274A2A"/>
    <w:rsid w:val="00274AF1"/>
    <w:rsid w:val="00274B61"/>
    <w:rsid w:val="00274BAA"/>
    <w:rsid w:val="00274C7C"/>
    <w:rsid w:val="00274E26"/>
    <w:rsid w:val="00274EC7"/>
    <w:rsid w:val="00274FE7"/>
    <w:rsid w:val="00275070"/>
    <w:rsid w:val="002751B7"/>
    <w:rsid w:val="002751B8"/>
    <w:rsid w:val="00275250"/>
    <w:rsid w:val="0027526E"/>
    <w:rsid w:val="002752E5"/>
    <w:rsid w:val="00275343"/>
    <w:rsid w:val="002754EA"/>
    <w:rsid w:val="002755F1"/>
    <w:rsid w:val="00275753"/>
    <w:rsid w:val="002759FC"/>
    <w:rsid w:val="00275A15"/>
    <w:rsid w:val="00275A49"/>
    <w:rsid w:val="00275A7E"/>
    <w:rsid w:val="00275AA7"/>
    <w:rsid w:val="00275AEE"/>
    <w:rsid w:val="00275B19"/>
    <w:rsid w:val="00275B48"/>
    <w:rsid w:val="00275C79"/>
    <w:rsid w:val="00275CC6"/>
    <w:rsid w:val="00275D66"/>
    <w:rsid w:val="00275FC9"/>
    <w:rsid w:val="00275FDC"/>
    <w:rsid w:val="0027600A"/>
    <w:rsid w:val="0027614B"/>
    <w:rsid w:val="00276190"/>
    <w:rsid w:val="0027628A"/>
    <w:rsid w:val="002762F8"/>
    <w:rsid w:val="0027642F"/>
    <w:rsid w:val="002764D7"/>
    <w:rsid w:val="00276655"/>
    <w:rsid w:val="00276704"/>
    <w:rsid w:val="002767D1"/>
    <w:rsid w:val="002768BA"/>
    <w:rsid w:val="002768E9"/>
    <w:rsid w:val="00276B3E"/>
    <w:rsid w:val="00276B4C"/>
    <w:rsid w:val="00276B6C"/>
    <w:rsid w:val="00276CE0"/>
    <w:rsid w:val="00276D0E"/>
    <w:rsid w:val="00276E67"/>
    <w:rsid w:val="00276EBD"/>
    <w:rsid w:val="00276EF6"/>
    <w:rsid w:val="00276F8B"/>
    <w:rsid w:val="0027702F"/>
    <w:rsid w:val="0027703B"/>
    <w:rsid w:val="00277067"/>
    <w:rsid w:val="002770F8"/>
    <w:rsid w:val="002771E4"/>
    <w:rsid w:val="002772BF"/>
    <w:rsid w:val="00277314"/>
    <w:rsid w:val="00277363"/>
    <w:rsid w:val="002773EF"/>
    <w:rsid w:val="00277453"/>
    <w:rsid w:val="002775A0"/>
    <w:rsid w:val="002775BA"/>
    <w:rsid w:val="00277650"/>
    <w:rsid w:val="0027767F"/>
    <w:rsid w:val="00277717"/>
    <w:rsid w:val="00277743"/>
    <w:rsid w:val="0027779A"/>
    <w:rsid w:val="002777F4"/>
    <w:rsid w:val="0027789F"/>
    <w:rsid w:val="00277918"/>
    <w:rsid w:val="002779BE"/>
    <w:rsid w:val="00277B34"/>
    <w:rsid w:val="00277C01"/>
    <w:rsid w:val="00277D49"/>
    <w:rsid w:val="00277E94"/>
    <w:rsid w:val="00277F7A"/>
    <w:rsid w:val="0028004E"/>
    <w:rsid w:val="00280098"/>
    <w:rsid w:val="002800DC"/>
    <w:rsid w:val="0028019B"/>
    <w:rsid w:val="002801B9"/>
    <w:rsid w:val="0028020E"/>
    <w:rsid w:val="00280372"/>
    <w:rsid w:val="0028054D"/>
    <w:rsid w:val="0028060D"/>
    <w:rsid w:val="002806A1"/>
    <w:rsid w:val="00280769"/>
    <w:rsid w:val="002809A4"/>
    <w:rsid w:val="00280B34"/>
    <w:rsid w:val="00280BA0"/>
    <w:rsid w:val="00280C43"/>
    <w:rsid w:val="00280C4F"/>
    <w:rsid w:val="00280C9C"/>
    <w:rsid w:val="00280E0F"/>
    <w:rsid w:val="00280EE3"/>
    <w:rsid w:val="00280FCB"/>
    <w:rsid w:val="00281323"/>
    <w:rsid w:val="00281387"/>
    <w:rsid w:val="0028141B"/>
    <w:rsid w:val="002815DB"/>
    <w:rsid w:val="00281732"/>
    <w:rsid w:val="00281847"/>
    <w:rsid w:val="0028184E"/>
    <w:rsid w:val="00281937"/>
    <w:rsid w:val="0028194A"/>
    <w:rsid w:val="002819EC"/>
    <w:rsid w:val="00281A70"/>
    <w:rsid w:val="00281AF4"/>
    <w:rsid w:val="00281B06"/>
    <w:rsid w:val="00281B79"/>
    <w:rsid w:val="00281C7E"/>
    <w:rsid w:val="00281CC7"/>
    <w:rsid w:val="00281D40"/>
    <w:rsid w:val="00281D8D"/>
    <w:rsid w:val="00281D90"/>
    <w:rsid w:val="00281E77"/>
    <w:rsid w:val="00281F32"/>
    <w:rsid w:val="00281F47"/>
    <w:rsid w:val="00281F97"/>
    <w:rsid w:val="0028213C"/>
    <w:rsid w:val="00282252"/>
    <w:rsid w:val="00282286"/>
    <w:rsid w:val="002822EB"/>
    <w:rsid w:val="0028233A"/>
    <w:rsid w:val="00282431"/>
    <w:rsid w:val="00282439"/>
    <w:rsid w:val="0028247C"/>
    <w:rsid w:val="0028280C"/>
    <w:rsid w:val="002828E3"/>
    <w:rsid w:val="0028291F"/>
    <w:rsid w:val="0028292C"/>
    <w:rsid w:val="00282A42"/>
    <w:rsid w:val="00282B21"/>
    <w:rsid w:val="00282C5B"/>
    <w:rsid w:val="00282C5D"/>
    <w:rsid w:val="00282CC1"/>
    <w:rsid w:val="00282D6D"/>
    <w:rsid w:val="00282DF8"/>
    <w:rsid w:val="00282F8C"/>
    <w:rsid w:val="00283001"/>
    <w:rsid w:val="0028304A"/>
    <w:rsid w:val="00283094"/>
    <w:rsid w:val="00283502"/>
    <w:rsid w:val="0028351C"/>
    <w:rsid w:val="00283596"/>
    <w:rsid w:val="00283611"/>
    <w:rsid w:val="0028389A"/>
    <w:rsid w:val="0028392A"/>
    <w:rsid w:val="002839D3"/>
    <w:rsid w:val="002839E0"/>
    <w:rsid w:val="00283B76"/>
    <w:rsid w:val="00283C18"/>
    <w:rsid w:val="00283C75"/>
    <w:rsid w:val="00283D12"/>
    <w:rsid w:val="00283D8E"/>
    <w:rsid w:val="00283DB9"/>
    <w:rsid w:val="00283E9F"/>
    <w:rsid w:val="00283EAE"/>
    <w:rsid w:val="00283ED3"/>
    <w:rsid w:val="00283FE2"/>
    <w:rsid w:val="0028423B"/>
    <w:rsid w:val="00284260"/>
    <w:rsid w:val="00284276"/>
    <w:rsid w:val="002842DF"/>
    <w:rsid w:val="002842E0"/>
    <w:rsid w:val="0028454D"/>
    <w:rsid w:val="0028459F"/>
    <w:rsid w:val="002845C5"/>
    <w:rsid w:val="0028467D"/>
    <w:rsid w:val="002846D0"/>
    <w:rsid w:val="00284717"/>
    <w:rsid w:val="002847D9"/>
    <w:rsid w:val="002848DF"/>
    <w:rsid w:val="00284A95"/>
    <w:rsid w:val="00284BC0"/>
    <w:rsid w:val="00284F98"/>
    <w:rsid w:val="00284FD1"/>
    <w:rsid w:val="002850C6"/>
    <w:rsid w:val="0028513A"/>
    <w:rsid w:val="0028528B"/>
    <w:rsid w:val="002853E0"/>
    <w:rsid w:val="002855C2"/>
    <w:rsid w:val="0028576D"/>
    <w:rsid w:val="00285773"/>
    <w:rsid w:val="00285782"/>
    <w:rsid w:val="0028583E"/>
    <w:rsid w:val="0028598D"/>
    <w:rsid w:val="00285B04"/>
    <w:rsid w:val="00285B6B"/>
    <w:rsid w:val="00285BEE"/>
    <w:rsid w:val="00285C0E"/>
    <w:rsid w:val="00285DFE"/>
    <w:rsid w:val="00285E53"/>
    <w:rsid w:val="00285ED1"/>
    <w:rsid w:val="00285F87"/>
    <w:rsid w:val="002860F4"/>
    <w:rsid w:val="002861F8"/>
    <w:rsid w:val="00286388"/>
    <w:rsid w:val="00286415"/>
    <w:rsid w:val="00286566"/>
    <w:rsid w:val="002868A7"/>
    <w:rsid w:val="0028699A"/>
    <w:rsid w:val="00286B01"/>
    <w:rsid w:val="00286B19"/>
    <w:rsid w:val="00286B9E"/>
    <w:rsid w:val="00286BC8"/>
    <w:rsid w:val="00286CF6"/>
    <w:rsid w:val="00286D51"/>
    <w:rsid w:val="00286DD5"/>
    <w:rsid w:val="00286DF7"/>
    <w:rsid w:val="00286E00"/>
    <w:rsid w:val="00286ECB"/>
    <w:rsid w:val="00286F5A"/>
    <w:rsid w:val="002870BF"/>
    <w:rsid w:val="002871AA"/>
    <w:rsid w:val="0028733A"/>
    <w:rsid w:val="00287422"/>
    <w:rsid w:val="00287483"/>
    <w:rsid w:val="00287487"/>
    <w:rsid w:val="00287555"/>
    <w:rsid w:val="002875A6"/>
    <w:rsid w:val="002875B6"/>
    <w:rsid w:val="0028762D"/>
    <w:rsid w:val="00287784"/>
    <w:rsid w:val="0028794D"/>
    <w:rsid w:val="00287A88"/>
    <w:rsid w:val="00287AA8"/>
    <w:rsid w:val="00287ADC"/>
    <w:rsid w:val="00287B34"/>
    <w:rsid w:val="00287BB2"/>
    <w:rsid w:val="00287BE5"/>
    <w:rsid w:val="00287D1D"/>
    <w:rsid w:val="00287D41"/>
    <w:rsid w:val="00287D4C"/>
    <w:rsid w:val="00287E5A"/>
    <w:rsid w:val="00287E6A"/>
    <w:rsid w:val="00287F3B"/>
    <w:rsid w:val="00287F42"/>
    <w:rsid w:val="00287FB6"/>
    <w:rsid w:val="00290026"/>
    <w:rsid w:val="00290062"/>
    <w:rsid w:val="0029010A"/>
    <w:rsid w:val="00290156"/>
    <w:rsid w:val="0029025F"/>
    <w:rsid w:val="00290377"/>
    <w:rsid w:val="00290439"/>
    <w:rsid w:val="00290467"/>
    <w:rsid w:val="002904D8"/>
    <w:rsid w:val="002906DD"/>
    <w:rsid w:val="00290758"/>
    <w:rsid w:val="002908B0"/>
    <w:rsid w:val="002908FD"/>
    <w:rsid w:val="002909A4"/>
    <w:rsid w:val="00290DD9"/>
    <w:rsid w:val="00290E0F"/>
    <w:rsid w:val="00290E22"/>
    <w:rsid w:val="00290ED0"/>
    <w:rsid w:val="00290F0E"/>
    <w:rsid w:val="00291003"/>
    <w:rsid w:val="00291122"/>
    <w:rsid w:val="002911ED"/>
    <w:rsid w:val="0029120C"/>
    <w:rsid w:val="0029130C"/>
    <w:rsid w:val="00291322"/>
    <w:rsid w:val="0029149F"/>
    <w:rsid w:val="002917C5"/>
    <w:rsid w:val="002917E7"/>
    <w:rsid w:val="0029197F"/>
    <w:rsid w:val="002919BB"/>
    <w:rsid w:val="00291A1A"/>
    <w:rsid w:val="00291D94"/>
    <w:rsid w:val="00291DB3"/>
    <w:rsid w:val="00291F2A"/>
    <w:rsid w:val="00292044"/>
    <w:rsid w:val="00292098"/>
    <w:rsid w:val="0029227D"/>
    <w:rsid w:val="002923BB"/>
    <w:rsid w:val="00292468"/>
    <w:rsid w:val="00292565"/>
    <w:rsid w:val="00292758"/>
    <w:rsid w:val="0029275A"/>
    <w:rsid w:val="00292865"/>
    <w:rsid w:val="002928CF"/>
    <w:rsid w:val="00292934"/>
    <w:rsid w:val="00292A38"/>
    <w:rsid w:val="00292A40"/>
    <w:rsid w:val="00292B62"/>
    <w:rsid w:val="00292B7D"/>
    <w:rsid w:val="00292D86"/>
    <w:rsid w:val="00292DC6"/>
    <w:rsid w:val="00292FD7"/>
    <w:rsid w:val="0029320F"/>
    <w:rsid w:val="002932CA"/>
    <w:rsid w:val="002936ED"/>
    <w:rsid w:val="00293827"/>
    <w:rsid w:val="00293832"/>
    <w:rsid w:val="00293A0F"/>
    <w:rsid w:val="00293AA4"/>
    <w:rsid w:val="00293BBD"/>
    <w:rsid w:val="00293F92"/>
    <w:rsid w:val="0029405F"/>
    <w:rsid w:val="00294082"/>
    <w:rsid w:val="002940F9"/>
    <w:rsid w:val="0029427F"/>
    <w:rsid w:val="00294416"/>
    <w:rsid w:val="002945C0"/>
    <w:rsid w:val="00294658"/>
    <w:rsid w:val="002946B5"/>
    <w:rsid w:val="002947D5"/>
    <w:rsid w:val="00294812"/>
    <w:rsid w:val="00294870"/>
    <w:rsid w:val="002948F2"/>
    <w:rsid w:val="00294915"/>
    <w:rsid w:val="00294AA7"/>
    <w:rsid w:val="00294C32"/>
    <w:rsid w:val="00294C8F"/>
    <w:rsid w:val="00294CB6"/>
    <w:rsid w:val="00294CD1"/>
    <w:rsid w:val="00294D6E"/>
    <w:rsid w:val="00294DB5"/>
    <w:rsid w:val="00294F3B"/>
    <w:rsid w:val="002951C8"/>
    <w:rsid w:val="00295247"/>
    <w:rsid w:val="0029533F"/>
    <w:rsid w:val="0029553A"/>
    <w:rsid w:val="00295540"/>
    <w:rsid w:val="00295656"/>
    <w:rsid w:val="002956AE"/>
    <w:rsid w:val="002956BD"/>
    <w:rsid w:val="002957C7"/>
    <w:rsid w:val="002958FA"/>
    <w:rsid w:val="00295950"/>
    <w:rsid w:val="00295978"/>
    <w:rsid w:val="00295B02"/>
    <w:rsid w:val="00295CCB"/>
    <w:rsid w:val="00295D85"/>
    <w:rsid w:val="00295E72"/>
    <w:rsid w:val="00295EB4"/>
    <w:rsid w:val="00295F48"/>
    <w:rsid w:val="00296198"/>
    <w:rsid w:val="00296206"/>
    <w:rsid w:val="0029635D"/>
    <w:rsid w:val="00296382"/>
    <w:rsid w:val="002963C1"/>
    <w:rsid w:val="0029644C"/>
    <w:rsid w:val="002964AE"/>
    <w:rsid w:val="002964E5"/>
    <w:rsid w:val="0029652A"/>
    <w:rsid w:val="00296908"/>
    <w:rsid w:val="0029690B"/>
    <w:rsid w:val="00296919"/>
    <w:rsid w:val="0029699F"/>
    <w:rsid w:val="002969B1"/>
    <w:rsid w:val="00296B17"/>
    <w:rsid w:val="00296E63"/>
    <w:rsid w:val="00296F00"/>
    <w:rsid w:val="00296F06"/>
    <w:rsid w:val="00296F40"/>
    <w:rsid w:val="002970CB"/>
    <w:rsid w:val="0029710A"/>
    <w:rsid w:val="002973B0"/>
    <w:rsid w:val="002973BF"/>
    <w:rsid w:val="00297638"/>
    <w:rsid w:val="00297643"/>
    <w:rsid w:val="002976D2"/>
    <w:rsid w:val="0029778B"/>
    <w:rsid w:val="0029779F"/>
    <w:rsid w:val="0029788C"/>
    <w:rsid w:val="002979D6"/>
    <w:rsid w:val="00297AFF"/>
    <w:rsid w:val="00297B8B"/>
    <w:rsid w:val="00297B94"/>
    <w:rsid w:val="00297C62"/>
    <w:rsid w:val="00297D5F"/>
    <w:rsid w:val="00297E29"/>
    <w:rsid w:val="00297E4B"/>
    <w:rsid w:val="00297F92"/>
    <w:rsid w:val="002A01C4"/>
    <w:rsid w:val="002A0288"/>
    <w:rsid w:val="002A02EF"/>
    <w:rsid w:val="002A05FD"/>
    <w:rsid w:val="002A0643"/>
    <w:rsid w:val="002A06F5"/>
    <w:rsid w:val="002A07DD"/>
    <w:rsid w:val="002A0AC1"/>
    <w:rsid w:val="002A0BB6"/>
    <w:rsid w:val="002A0EC7"/>
    <w:rsid w:val="002A0F75"/>
    <w:rsid w:val="002A1014"/>
    <w:rsid w:val="002A104F"/>
    <w:rsid w:val="002A107D"/>
    <w:rsid w:val="002A10C5"/>
    <w:rsid w:val="002A120B"/>
    <w:rsid w:val="002A138B"/>
    <w:rsid w:val="002A13BA"/>
    <w:rsid w:val="002A1422"/>
    <w:rsid w:val="002A1485"/>
    <w:rsid w:val="002A14AD"/>
    <w:rsid w:val="002A15CD"/>
    <w:rsid w:val="002A1648"/>
    <w:rsid w:val="002A165E"/>
    <w:rsid w:val="002A165F"/>
    <w:rsid w:val="002A1671"/>
    <w:rsid w:val="002A167D"/>
    <w:rsid w:val="002A1688"/>
    <w:rsid w:val="002A17E9"/>
    <w:rsid w:val="002A1879"/>
    <w:rsid w:val="002A1881"/>
    <w:rsid w:val="002A190F"/>
    <w:rsid w:val="002A1939"/>
    <w:rsid w:val="002A197F"/>
    <w:rsid w:val="002A199D"/>
    <w:rsid w:val="002A19A4"/>
    <w:rsid w:val="002A1AA0"/>
    <w:rsid w:val="002A1C96"/>
    <w:rsid w:val="002A1CC0"/>
    <w:rsid w:val="002A1E22"/>
    <w:rsid w:val="002A2014"/>
    <w:rsid w:val="002A21FF"/>
    <w:rsid w:val="002A2351"/>
    <w:rsid w:val="002A23C1"/>
    <w:rsid w:val="002A2460"/>
    <w:rsid w:val="002A2528"/>
    <w:rsid w:val="002A2581"/>
    <w:rsid w:val="002A2674"/>
    <w:rsid w:val="002A27AD"/>
    <w:rsid w:val="002A29B8"/>
    <w:rsid w:val="002A2A44"/>
    <w:rsid w:val="002A2B43"/>
    <w:rsid w:val="002A2B7D"/>
    <w:rsid w:val="002A2C7C"/>
    <w:rsid w:val="002A302F"/>
    <w:rsid w:val="002A30B7"/>
    <w:rsid w:val="002A30FD"/>
    <w:rsid w:val="002A3238"/>
    <w:rsid w:val="002A32C3"/>
    <w:rsid w:val="002A32E5"/>
    <w:rsid w:val="002A3344"/>
    <w:rsid w:val="002A33B4"/>
    <w:rsid w:val="002A33EA"/>
    <w:rsid w:val="002A33FF"/>
    <w:rsid w:val="002A3400"/>
    <w:rsid w:val="002A3700"/>
    <w:rsid w:val="002A3739"/>
    <w:rsid w:val="002A3758"/>
    <w:rsid w:val="002A37E4"/>
    <w:rsid w:val="002A37EA"/>
    <w:rsid w:val="002A39F3"/>
    <w:rsid w:val="002A3B8A"/>
    <w:rsid w:val="002A3B93"/>
    <w:rsid w:val="002A3D3D"/>
    <w:rsid w:val="002A3DA5"/>
    <w:rsid w:val="002A409B"/>
    <w:rsid w:val="002A40B5"/>
    <w:rsid w:val="002A42E5"/>
    <w:rsid w:val="002A42FF"/>
    <w:rsid w:val="002A4372"/>
    <w:rsid w:val="002A4557"/>
    <w:rsid w:val="002A456B"/>
    <w:rsid w:val="002A45F7"/>
    <w:rsid w:val="002A4696"/>
    <w:rsid w:val="002A4872"/>
    <w:rsid w:val="002A4A5A"/>
    <w:rsid w:val="002A4AE7"/>
    <w:rsid w:val="002A4CFF"/>
    <w:rsid w:val="002A4DBB"/>
    <w:rsid w:val="002A4EEC"/>
    <w:rsid w:val="002A4EF5"/>
    <w:rsid w:val="002A4FEE"/>
    <w:rsid w:val="002A5066"/>
    <w:rsid w:val="002A51A6"/>
    <w:rsid w:val="002A51A9"/>
    <w:rsid w:val="002A51C3"/>
    <w:rsid w:val="002A5322"/>
    <w:rsid w:val="002A5480"/>
    <w:rsid w:val="002A54AF"/>
    <w:rsid w:val="002A559D"/>
    <w:rsid w:val="002A562B"/>
    <w:rsid w:val="002A57B0"/>
    <w:rsid w:val="002A57CD"/>
    <w:rsid w:val="002A5A6D"/>
    <w:rsid w:val="002A5B86"/>
    <w:rsid w:val="002A5C0E"/>
    <w:rsid w:val="002A5CD5"/>
    <w:rsid w:val="002A5D5D"/>
    <w:rsid w:val="002A5E08"/>
    <w:rsid w:val="002A5E64"/>
    <w:rsid w:val="002A5FDC"/>
    <w:rsid w:val="002A610A"/>
    <w:rsid w:val="002A61C4"/>
    <w:rsid w:val="002A630A"/>
    <w:rsid w:val="002A6484"/>
    <w:rsid w:val="002A6659"/>
    <w:rsid w:val="002A6672"/>
    <w:rsid w:val="002A66E3"/>
    <w:rsid w:val="002A6744"/>
    <w:rsid w:val="002A697F"/>
    <w:rsid w:val="002A6A45"/>
    <w:rsid w:val="002A6A85"/>
    <w:rsid w:val="002A6C32"/>
    <w:rsid w:val="002A6C44"/>
    <w:rsid w:val="002A6D5D"/>
    <w:rsid w:val="002A6DEB"/>
    <w:rsid w:val="002A6F34"/>
    <w:rsid w:val="002A7077"/>
    <w:rsid w:val="002A7130"/>
    <w:rsid w:val="002A7340"/>
    <w:rsid w:val="002A73C7"/>
    <w:rsid w:val="002A7523"/>
    <w:rsid w:val="002A75CC"/>
    <w:rsid w:val="002A75D9"/>
    <w:rsid w:val="002A760A"/>
    <w:rsid w:val="002A779D"/>
    <w:rsid w:val="002A77BC"/>
    <w:rsid w:val="002A77FC"/>
    <w:rsid w:val="002A7856"/>
    <w:rsid w:val="002A79BC"/>
    <w:rsid w:val="002A7A88"/>
    <w:rsid w:val="002A7C96"/>
    <w:rsid w:val="002A7CA6"/>
    <w:rsid w:val="002A7D37"/>
    <w:rsid w:val="002A7E26"/>
    <w:rsid w:val="002A7F11"/>
    <w:rsid w:val="002A7F41"/>
    <w:rsid w:val="002A7F4F"/>
    <w:rsid w:val="002A7FE4"/>
    <w:rsid w:val="002A7FE5"/>
    <w:rsid w:val="002B00C7"/>
    <w:rsid w:val="002B0386"/>
    <w:rsid w:val="002B04B9"/>
    <w:rsid w:val="002B084E"/>
    <w:rsid w:val="002B0891"/>
    <w:rsid w:val="002B095B"/>
    <w:rsid w:val="002B09B8"/>
    <w:rsid w:val="002B0A3B"/>
    <w:rsid w:val="002B0B46"/>
    <w:rsid w:val="002B0BAE"/>
    <w:rsid w:val="002B0DC7"/>
    <w:rsid w:val="002B0F44"/>
    <w:rsid w:val="002B0F95"/>
    <w:rsid w:val="002B105F"/>
    <w:rsid w:val="002B106C"/>
    <w:rsid w:val="002B1179"/>
    <w:rsid w:val="002B13FA"/>
    <w:rsid w:val="002B1551"/>
    <w:rsid w:val="002B15E9"/>
    <w:rsid w:val="002B16D9"/>
    <w:rsid w:val="002B1800"/>
    <w:rsid w:val="002B19D2"/>
    <w:rsid w:val="002B1AA6"/>
    <w:rsid w:val="002B1B15"/>
    <w:rsid w:val="002B1C27"/>
    <w:rsid w:val="002B1D88"/>
    <w:rsid w:val="002B1FD5"/>
    <w:rsid w:val="002B2112"/>
    <w:rsid w:val="002B219B"/>
    <w:rsid w:val="002B21BE"/>
    <w:rsid w:val="002B21D1"/>
    <w:rsid w:val="002B21D6"/>
    <w:rsid w:val="002B2458"/>
    <w:rsid w:val="002B24ED"/>
    <w:rsid w:val="002B27A9"/>
    <w:rsid w:val="002B285C"/>
    <w:rsid w:val="002B299D"/>
    <w:rsid w:val="002B2A3C"/>
    <w:rsid w:val="002B2C2E"/>
    <w:rsid w:val="002B2C5D"/>
    <w:rsid w:val="002B2CBB"/>
    <w:rsid w:val="002B30AF"/>
    <w:rsid w:val="002B30EB"/>
    <w:rsid w:val="002B310E"/>
    <w:rsid w:val="002B3323"/>
    <w:rsid w:val="002B33B1"/>
    <w:rsid w:val="002B3419"/>
    <w:rsid w:val="002B3450"/>
    <w:rsid w:val="002B35C6"/>
    <w:rsid w:val="002B3673"/>
    <w:rsid w:val="002B373A"/>
    <w:rsid w:val="002B37A7"/>
    <w:rsid w:val="002B397C"/>
    <w:rsid w:val="002B3A4D"/>
    <w:rsid w:val="002B3ADC"/>
    <w:rsid w:val="002B3B4C"/>
    <w:rsid w:val="002B3B6A"/>
    <w:rsid w:val="002B3D0B"/>
    <w:rsid w:val="002B3E17"/>
    <w:rsid w:val="002B3E46"/>
    <w:rsid w:val="002B3F53"/>
    <w:rsid w:val="002B3FFB"/>
    <w:rsid w:val="002B404B"/>
    <w:rsid w:val="002B40AB"/>
    <w:rsid w:val="002B414C"/>
    <w:rsid w:val="002B4220"/>
    <w:rsid w:val="002B42A3"/>
    <w:rsid w:val="002B439C"/>
    <w:rsid w:val="002B44E5"/>
    <w:rsid w:val="002B45FC"/>
    <w:rsid w:val="002B46EA"/>
    <w:rsid w:val="002B474B"/>
    <w:rsid w:val="002B4B10"/>
    <w:rsid w:val="002B4BAD"/>
    <w:rsid w:val="002B4BF2"/>
    <w:rsid w:val="002B4C00"/>
    <w:rsid w:val="002B4C69"/>
    <w:rsid w:val="002B4E77"/>
    <w:rsid w:val="002B4EDD"/>
    <w:rsid w:val="002B507B"/>
    <w:rsid w:val="002B5082"/>
    <w:rsid w:val="002B5121"/>
    <w:rsid w:val="002B54F5"/>
    <w:rsid w:val="002B552A"/>
    <w:rsid w:val="002B5635"/>
    <w:rsid w:val="002B5919"/>
    <w:rsid w:val="002B5A23"/>
    <w:rsid w:val="002B5A2E"/>
    <w:rsid w:val="002B5A4C"/>
    <w:rsid w:val="002B5B31"/>
    <w:rsid w:val="002B5B43"/>
    <w:rsid w:val="002B5CDB"/>
    <w:rsid w:val="002B5D82"/>
    <w:rsid w:val="002B5DB8"/>
    <w:rsid w:val="002B5DDC"/>
    <w:rsid w:val="002B5E32"/>
    <w:rsid w:val="002B5E87"/>
    <w:rsid w:val="002B5EE3"/>
    <w:rsid w:val="002B5F4D"/>
    <w:rsid w:val="002B61A9"/>
    <w:rsid w:val="002B6255"/>
    <w:rsid w:val="002B6429"/>
    <w:rsid w:val="002B646D"/>
    <w:rsid w:val="002B64EC"/>
    <w:rsid w:val="002B6919"/>
    <w:rsid w:val="002B699F"/>
    <w:rsid w:val="002B69CF"/>
    <w:rsid w:val="002B6BAF"/>
    <w:rsid w:val="002B6E3C"/>
    <w:rsid w:val="002B6E75"/>
    <w:rsid w:val="002B6EDC"/>
    <w:rsid w:val="002B6EF7"/>
    <w:rsid w:val="002B6F6E"/>
    <w:rsid w:val="002B723A"/>
    <w:rsid w:val="002B7298"/>
    <w:rsid w:val="002B739E"/>
    <w:rsid w:val="002B73AD"/>
    <w:rsid w:val="002B73E0"/>
    <w:rsid w:val="002B74B2"/>
    <w:rsid w:val="002B7558"/>
    <w:rsid w:val="002B766F"/>
    <w:rsid w:val="002B7706"/>
    <w:rsid w:val="002B7987"/>
    <w:rsid w:val="002B7B3A"/>
    <w:rsid w:val="002B7B78"/>
    <w:rsid w:val="002B7BB7"/>
    <w:rsid w:val="002B7BBF"/>
    <w:rsid w:val="002B7BE6"/>
    <w:rsid w:val="002B7CCC"/>
    <w:rsid w:val="002B7E3A"/>
    <w:rsid w:val="002B7FB2"/>
    <w:rsid w:val="002B7FD4"/>
    <w:rsid w:val="002C00E7"/>
    <w:rsid w:val="002C012B"/>
    <w:rsid w:val="002C01C6"/>
    <w:rsid w:val="002C02A7"/>
    <w:rsid w:val="002C03C0"/>
    <w:rsid w:val="002C040F"/>
    <w:rsid w:val="002C0535"/>
    <w:rsid w:val="002C0568"/>
    <w:rsid w:val="002C0749"/>
    <w:rsid w:val="002C0808"/>
    <w:rsid w:val="002C0884"/>
    <w:rsid w:val="002C0910"/>
    <w:rsid w:val="002C0922"/>
    <w:rsid w:val="002C0942"/>
    <w:rsid w:val="002C0994"/>
    <w:rsid w:val="002C0B3A"/>
    <w:rsid w:val="002C0BAB"/>
    <w:rsid w:val="002C0CFE"/>
    <w:rsid w:val="002C0D00"/>
    <w:rsid w:val="002C0D15"/>
    <w:rsid w:val="002C0FA8"/>
    <w:rsid w:val="002C10B7"/>
    <w:rsid w:val="002C11C2"/>
    <w:rsid w:val="002C11CA"/>
    <w:rsid w:val="002C1290"/>
    <w:rsid w:val="002C13FC"/>
    <w:rsid w:val="002C1429"/>
    <w:rsid w:val="002C1727"/>
    <w:rsid w:val="002C1C0D"/>
    <w:rsid w:val="002C1C48"/>
    <w:rsid w:val="002C1C9D"/>
    <w:rsid w:val="002C2156"/>
    <w:rsid w:val="002C2163"/>
    <w:rsid w:val="002C2379"/>
    <w:rsid w:val="002C23A1"/>
    <w:rsid w:val="002C2502"/>
    <w:rsid w:val="002C2559"/>
    <w:rsid w:val="002C25BA"/>
    <w:rsid w:val="002C28C2"/>
    <w:rsid w:val="002C2A14"/>
    <w:rsid w:val="002C2A8B"/>
    <w:rsid w:val="002C2C00"/>
    <w:rsid w:val="002C2E0B"/>
    <w:rsid w:val="002C2EC0"/>
    <w:rsid w:val="002C2F1B"/>
    <w:rsid w:val="002C2F71"/>
    <w:rsid w:val="002C30D4"/>
    <w:rsid w:val="002C3319"/>
    <w:rsid w:val="002C3326"/>
    <w:rsid w:val="002C350C"/>
    <w:rsid w:val="002C3592"/>
    <w:rsid w:val="002C363D"/>
    <w:rsid w:val="002C374E"/>
    <w:rsid w:val="002C37DA"/>
    <w:rsid w:val="002C383F"/>
    <w:rsid w:val="002C3852"/>
    <w:rsid w:val="002C38CA"/>
    <w:rsid w:val="002C392B"/>
    <w:rsid w:val="002C3A7A"/>
    <w:rsid w:val="002C3C62"/>
    <w:rsid w:val="002C3C73"/>
    <w:rsid w:val="002C3E61"/>
    <w:rsid w:val="002C3EAF"/>
    <w:rsid w:val="002C3F8C"/>
    <w:rsid w:val="002C3FE9"/>
    <w:rsid w:val="002C4079"/>
    <w:rsid w:val="002C4360"/>
    <w:rsid w:val="002C4605"/>
    <w:rsid w:val="002C4671"/>
    <w:rsid w:val="002C468D"/>
    <w:rsid w:val="002C477D"/>
    <w:rsid w:val="002C47EC"/>
    <w:rsid w:val="002C4924"/>
    <w:rsid w:val="002C4A7A"/>
    <w:rsid w:val="002C4A9D"/>
    <w:rsid w:val="002C4BE8"/>
    <w:rsid w:val="002C4E17"/>
    <w:rsid w:val="002C4F0B"/>
    <w:rsid w:val="002C5141"/>
    <w:rsid w:val="002C5291"/>
    <w:rsid w:val="002C52E9"/>
    <w:rsid w:val="002C5377"/>
    <w:rsid w:val="002C545C"/>
    <w:rsid w:val="002C574E"/>
    <w:rsid w:val="002C5830"/>
    <w:rsid w:val="002C59C4"/>
    <w:rsid w:val="002C59DF"/>
    <w:rsid w:val="002C5A0B"/>
    <w:rsid w:val="002C5B48"/>
    <w:rsid w:val="002C5BDA"/>
    <w:rsid w:val="002C5C15"/>
    <w:rsid w:val="002C5DCC"/>
    <w:rsid w:val="002C5EB3"/>
    <w:rsid w:val="002C5FB1"/>
    <w:rsid w:val="002C6025"/>
    <w:rsid w:val="002C607F"/>
    <w:rsid w:val="002C620F"/>
    <w:rsid w:val="002C6232"/>
    <w:rsid w:val="002C63DF"/>
    <w:rsid w:val="002C65A1"/>
    <w:rsid w:val="002C65CB"/>
    <w:rsid w:val="002C65D7"/>
    <w:rsid w:val="002C65DF"/>
    <w:rsid w:val="002C6619"/>
    <w:rsid w:val="002C6719"/>
    <w:rsid w:val="002C6736"/>
    <w:rsid w:val="002C6767"/>
    <w:rsid w:val="002C6833"/>
    <w:rsid w:val="002C6887"/>
    <w:rsid w:val="002C695C"/>
    <w:rsid w:val="002C6A33"/>
    <w:rsid w:val="002C6B2A"/>
    <w:rsid w:val="002C6B4C"/>
    <w:rsid w:val="002C6BE8"/>
    <w:rsid w:val="002C6D05"/>
    <w:rsid w:val="002C705E"/>
    <w:rsid w:val="002C70A5"/>
    <w:rsid w:val="002C7130"/>
    <w:rsid w:val="002C7203"/>
    <w:rsid w:val="002C78C2"/>
    <w:rsid w:val="002C7997"/>
    <w:rsid w:val="002C79AE"/>
    <w:rsid w:val="002C7A17"/>
    <w:rsid w:val="002C7A3E"/>
    <w:rsid w:val="002C7AA5"/>
    <w:rsid w:val="002C7D96"/>
    <w:rsid w:val="002C7E82"/>
    <w:rsid w:val="002C7F6B"/>
    <w:rsid w:val="002D00E3"/>
    <w:rsid w:val="002D0138"/>
    <w:rsid w:val="002D01D2"/>
    <w:rsid w:val="002D0210"/>
    <w:rsid w:val="002D02AD"/>
    <w:rsid w:val="002D0348"/>
    <w:rsid w:val="002D037F"/>
    <w:rsid w:val="002D0457"/>
    <w:rsid w:val="002D0506"/>
    <w:rsid w:val="002D05AA"/>
    <w:rsid w:val="002D081D"/>
    <w:rsid w:val="002D0840"/>
    <w:rsid w:val="002D0998"/>
    <w:rsid w:val="002D0A26"/>
    <w:rsid w:val="002D0A3E"/>
    <w:rsid w:val="002D0AAE"/>
    <w:rsid w:val="002D0AF3"/>
    <w:rsid w:val="002D0B68"/>
    <w:rsid w:val="002D0C13"/>
    <w:rsid w:val="002D0D8B"/>
    <w:rsid w:val="002D0F12"/>
    <w:rsid w:val="002D0FA0"/>
    <w:rsid w:val="002D10C2"/>
    <w:rsid w:val="002D1164"/>
    <w:rsid w:val="002D121B"/>
    <w:rsid w:val="002D126E"/>
    <w:rsid w:val="002D127E"/>
    <w:rsid w:val="002D14FB"/>
    <w:rsid w:val="002D152A"/>
    <w:rsid w:val="002D15C3"/>
    <w:rsid w:val="002D1815"/>
    <w:rsid w:val="002D1857"/>
    <w:rsid w:val="002D1A9B"/>
    <w:rsid w:val="002D1BAA"/>
    <w:rsid w:val="002D1BF0"/>
    <w:rsid w:val="002D1C04"/>
    <w:rsid w:val="002D1C8B"/>
    <w:rsid w:val="002D1D96"/>
    <w:rsid w:val="002D1F48"/>
    <w:rsid w:val="002D1FCE"/>
    <w:rsid w:val="002D203F"/>
    <w:rsid w:val="002D220E"/>
    <w:rsid w:val="002D221F"/>
    <w:rsid w:val="002D22FB"/>
    <w:rsid w:val="002D236E"/>
    <w:rsid w:val="002D2399"/>
    <w:rsid w:val="002D2530"/>
    <w:rsid w:val="002D2615"/>
    <w:rsid w:val="002D26E6"/>
    <w:rsid w:val="002D2826"/>
    <w:rsid w:val="002D28F6"/>
    <w:rsid w:val="002D2A25"/>
    <w:rsid w:val="002D2A2A"/>
    <w:rsid w:val="002D2AC1"/>
    <w:rsid w:val="002D2CEF"/>
    <w:rsid w:val="002D2CF3"/>
    <w:rsid w:val="002D2E00"/>
    <w:rsid w:val="002D2E4F"/>
    <w:rsid w:val="002D2E6A"/>
    <w:rsid w:val="002D2E8E"/>
    <w:rsid w:val="002D2FB7"/>
    <w:rsid w:val="002D31AB"/>
    <w:rsid w:val="002D3251"/>
    <w:rsid w:val="002D3266"/>
    <w:rsid w:val="002D3471"/>
    <w:rsid w:val="002D358A"/>
    <w:rsid w:val="002D35BD"/>
    <w:rsid w:val="002D3631"/>
    <w:rsid w:val="002D3698"/>
    <w:rsid w:val="002D3768"/>
    <w:rsid w:val="002D3C66"/>
    <w:rsid w:val="002D3E97"/>
    <w:rsid w:val="002D3EDD"/>
    <w:rsid w:val="002D40C6"/>
    <w:rsid w:val="002D412E"/>
    <w:rsid w:val="002D41AE"/>
    <w:rsid w:val="002D4200"/>
    <w:rsid w:val="002D422D"/>
    <w:rsid w:val="002D42E2"/>
    <w:rsid w:val="002D4326"/>
    <w:rsid w:val="002D4380"/>
    <w:rsid w:val="002D4447"/>
    <w:rsid w:val="002D44C5"/>
    <w:rsid w:val="002D4699"/>
    <w:rsid w:val="002D48C2"/>
    <w:rsid w:val="002D4948"/>
    <w:rsid w:val="002D4949"/>
    <w:rsid w:val="002D4B2D"/>
    <w:rsid w:val="002D4B72"/>
    <w:rsid w:val="002D4D06"/>
    <w:rsid w:val="002D4D98"/>
    <w:rsid w:val="002D4EE5"/>
    <w:rsid w:val="002D5041"/>
    <w:rsid w:val="002D5223"/>
    <w:rsid w:val="002D5399"/>
    <w:rsid w:val="002D54CB"/>
    <w:rsid w:val="002D55D2"/>
    <w:rsid w:val="002D56B1"/>
    <w:rsid w:val="002D5D15"/>
    <w:rsid w:val="002D5DD8"/>
    <w:rsid w:val="002D5ED9"/>
    <w:rsid w:val="002D5F2F"/>
    <w:rsid w:val="002D5FA8"/>
    <w:rsid w:val="002D6031"/>
    <w:rsid w:val="002D6216"/>
    <w:rsid w:val="002D6314"/>
    <w:rsid w:val="002D6410"/>
    <w:rsid w:val="002D64D5"/>
    <w:rsid w:val="002D652C"/>
    <w:rsid w:val="002D66F0"/>
    <w:rsid w:val="002D68D9"/>
    <w:rsid w:val="002D6910"/>
    <w:rsid w:val="002D69BF"/>
    <w:rsid w:val="002D69E3"/>
    <w:rsid w:val="002D6BFB"/>
    <w:rsid w:val="002D6C42"/>
    <w:rsid w:val="002D6C5B"/>
    <w:rsid w:val="002D6E7E"/>
    <w:rsid w:val="002D6ED7"/>
    <w:rsid w:val="002D708D"/>
    <w:rsid w:val="002D709F"/>
    <w:rsid w:val="002D70BE"/>
    <w:rsid w:val="002D7501"/>
    <w:rsid w:val="002D7690"/>
    <w:rsid w:val="002D77E7"/>
    <w:rsid w:val="002D786E"/>
    <w:rsid w:val="002D7874"/>
    <w:rsid w:val="002D78C7"/>
    <w:rsid w:val="002D7ADA"/>
    <w:rsid w:val="002D7AF4"/>
    <w:rsid w:val="002D7B81"/>
    <w:rsid w:val="002D7BB2"/>
    <w:rsid w:val="002D7D53"/>
    <w:rsid w:val="002D7D6F"/>
    <w:rsid w:val="002D7DFF"/>
    <w:rsid w:val="002D7EFD"/>
    <w:rsid w:val="002E01C9"/>
    <w:rsid w:val="002E0282"/>
    <w:rsid w:val="002E0357"/>
    <w:rsid w:val="002E03DA"/>
    <w:rsid w:val="002E055E"/>
    <w:rsid w:val="002E059C"/>
    <w:rsid w:val="002E0AB6"/>
    <w:rsid w:val="002E0C28"/>
    <w:rsid w:val="002E0C42"/>
    <w:rsid w:val="002E0C64"/>
    <w:rsid w:val="002E0F51"/>
    <w:rsid w:val="002E0FE3"/>
    <w:rsid w:val="002E0FED"/>
    <w:rsid w:val="002E105E"/>
    <w:rsid w:val="002E1252"/>
    <w:rsid w:val="002E1347"/>
    <w:rsid w:val="002E1372"/>
    <w:rsid w:val="002E14F5"/>
    <w:rsid w:val="002E159C"/>
    <w:rsid w:val="002E1644"/>
    <w:rsid w:val="002E17FA"/>
    <w:rsid w:val="002E1855"/>
    <w:rsid w:val="002E189F"/>
    <w:rsid w:val="002E18A1"/>
    <w:rsid w:val="002E18A5"/>
    <w:rsid w:val="002E1907"/>
    <w:rsid w:val="002E19CE"/>
    <w:rsid w:val="002E1BBB"/>
    <w:rsid w:val="002E1BCD"/>
    <w:rsid w:val="002E1C43"/>
    <w:rsid w:val="002E1D22"/>
    <w:rsid w:val="002E1DAC"/>
    <w:rsid w:val="002E2071"/>
    <w:rsid w:val="002E20AF"/>
    <w:rsid w:val="002E20B3"/>
    <w:rsid w:val="002E2113"/>
    <w:rsid w:val="002E22A5"/>
    <w:rsid w:val="002E24FD"/>
    <w:rsid w:val="002E2517"/>
    <w:rsid w:val="002E2634"/>
    <w:rsid w:val="002E264B"/>
    <w:rsid w:val="002E27C4"/>
    <w:rsid w:val="002E28C0"/>
    <w:rsid w:val="002E2DB8"/>
    <w:rsid w:val="002E2F88"/>
    <w:rsid w:val="002E301F"/>
    <w:rsid w:val="002E30BB"/>
    <w:rsid w:val="002E32E4"/>
    <w:rsid w:val="002E3309"/>
    <w:rsid w:val="002E330F"/>
    <w:rsid w:val="002E3329"/>
    <w:rsid w:val="002E33B0"/>
    <w:rsid w:val="002E3476"/>
    <w:rsid w:val="002E34A9"/>
    <w:rsid w:val="002E3504"/>
    <w:rsid w:val="002E37DB"/>
    <w:rsid w:val="002E3802"/>
    <w:rsid w:val="002E385E"/>
    <w:rsid w:val="002E39D9"/>
    <w:rsid w:val="002E39E1"/>
    <w:rsid w:val="002E3A38"/>
    <w:rsid w:val="002E3C76"/>
    <w:rsid w:val="002E3DDC"/>
    <w:rsid w:val="002E3E62"/>
    <w:rsid w:val="002E40A7"/>
    <w:rsid w:val="002E40B8"/>
    <w:rsid w:val="002E410D"/>
    <w:rsid w:val="002E4150"/>
    <w:rsid w:val="002E43A0"/>
    <w:rsid w:val="002E451E"/>
    <w:rsid w:val="002E4615"/>
    <w:rsid w:val="002E4791"/>
    <w:rsid w:val="002E47BE"/>
    <w:rsid w:val="002E489D"/>
    <w:rsid w:val="002E4900"/>
    <w:rsid w:val="002E4985"/>
    <w:rsid w:val="002E4BC3"/>
    <w:rsid w:val="002E4CC8"/>
    <w:rsid w:val="002E4D00"/>
    <w:rsid w:val="002E4D64"/>
    <w:rsid w:val="002E4E85"/>
    <w:rsid w:val="002E4EDF"/>
    <w:rsid w:val="002E4F2B"/>
    <w:rsid w:val="002E5010"/>
    <w:rsid w:val="002E50B9"/>
    <w:rsid w:val="002E50E0"/>
    <w:rsid w:val="002E5227"/>
    <w:rsid w:val="002E5438"/>
    <w:rsid w:val="002E5471"/>
    <w:rsid w:val="002E551A"/>
    <w:rsid w:val="002E5628"/>
    <w:rsid w:val="002E56F0"/>
    <w:rsid w:val="002E5765"/>
    <w:rsid w:val="002E5788"/>
    <w:rsid w:val="002E579E"/>
    <w:rsid w:val="002E5806"/>
    <w:rsid w:val="002E5867"/>
    <w:rsid w:val="002E586F"/>
    <w:rsid w:val="002E5A98"/>
    <w:rsid w:val="002E5B51"/>
    <w:rsid w:val="002E5C16"/>
    <w:rsid w:val="002E5D72"/>
    <w:rsid w:val="002E5D92"/>
    <w:rsid w:val="002E5F9B"/>
    <w:rsid w:val="002E6198"/>
    <w:rsid w:val="002E61AB"/>
    <w:rsid w:val="002E623F"/>
    <w:rsid w:val="002E626C"/>
    <w:rsid w:val="002E6310"/>
    <w:rsid w:val="002E6497"/>
    <w:rsid w:val="002E6513"/>
    <w:rsid w:val="002E6572"/>
    <w:rsid w:val="002E65DB"/>
    <w:rsid w:val="002E6602"/>
    <w:rsid w:val="002E6766"/>
    <w:rsid w:val="002E68D6"/>
    <w:rsid w:val="002E692F"/>
    <w:rsid w:val="002E6B1C"/>
    <w:rsid w:val="002E6CFA"/>
    <w:rsid w:val="002E6D18"/>
    <w:rsid w:val="002E6F50"/>
    <w:rsid w:val="002E7132"/>
    <w:rsid w:val="002E734F"/>
    <w:rsid w:val="002E739A"/>
    <w:rsid w:val="002E7489"/>
    <w:rsid w:val="002E7567"/>
    <w:rsid w:val="002E758B"/>
    <w:rsid w:val="002E75BB"/>
    <w:rsid w:val="002E77C2"/>
    <w:rsid w:val="002E77E1"/>
    <w:rsid w:val="002E7976"/>
    <w:rsid w:val="002E79A7"/>
    <w:rsid w:val="002E7A5C"/>
    <w:rsid w:val="002E7B75"/>
    <w:rsid w:val="002E7C75"/>
    <w:rsid w:val="002E7CAF"/>
    <w:rsid w:val="002E7D17"/>
    <w:rsid w:val="002E7DB2"/>
    <w:rsid w:val="002E7E86"/>
    <w:rsid w:val="002E7F31"/>
    <w:rsid w:val="002F0081"/>
    <w:rsid w:val="002F025E"/>
    <w:rsid w:val="002F0263"/>
    <w:rsid w:val="002F042A"/>
    <w:rsid w:val="002F04CC"/>
    <w:rsid w:val="002F062B"/>
    <w:rsid w:val="002F067A"/>
    <w:rsid w:val="002F073B"/>
    <w:rsid w:val="002F087B"/>
    <w:rsid w:val="002F0894"/>
    <w:rsid w:val="002F0B9E"/>
    <w:rsid w:val="002F0BAA"/>
    <w:rsid w:val="002F0C48"/>
    <w:rsid w:val="002F0C89"/>
    <w:rsid w:val="002F0D61"/>
    <w:rsid w:val="002F0F14"/>
    <w:rsid w:val="002F0F40"/>
    <w:rsid w:val="002F0FB2"/>
    <w:rsid w:val="002F0FB5"/>
    <w:rsid w:val="002F117E"/>
    <w:rsid w:val="002F1369"/>
    <w:rsid w:val="002F142F"/>
    <w:rsid w:val="002F199B"/>
    <w:rsid w:val="002F19A5"/>
    <w:rsid w:val="002F1ADA"/>
    <w:rsid w:val="002F1BE9"/>
    <w:rsid w:val="002F1C02"/>
    <w:rsid w:val="002F1C9F"/>
    <w:rsid w:val="002F1CD4"/>
    <w:rsid w:val="002F1D1D"/>
    <w:rsid w:val="002F1D3E"/>
    <w:rsid w:val="002F1E9F"/>
    <w:rsid w:val="002F1EE7"/>
    <w:rsid w:val="002F1F00"/>
    <w:rsid w:val="002F232C"/>
    <w:rsid w:val="002F2480"/>
    <w:rsid w:val="002F2512"/>
    <w:rsid w:val="002F2585"/>
    <w:rsid w:val="002F25A4"/>
    <w:rsid w:val="002F2698"/>
    <w:rsid w:val="002F26D9"/>
    <w:rsid w:val="002F2710"/>
    <w:rsid w:val="002F2999"/>
    <w:rsid w:val="002F2A39"/>
    <w:rsid w:val="002F2A98"/>
    <w:rsid w:val="002F2B58"/>
    <w:rsid w:val="002F2BCE"/>
    <w:rsid w:val="002F2C7B"/>
    <w:rsid w:val="002F2D30"/>
    <w:rsid w:val="002F2F26"/>
    <w:rsid w:val="002F31B6"/>
    <w:rsid w:val="002F33AB"/>
    <w:rsid w:val="002F33DF"/>
    <w:rsid w:val="002F3619"/>
    <w:rsid w:val="002F3685"/>
    <w:rsid w:val="002F36F4"/>
    <w:rsid w:val="002F371B"/>
    <w:rsid w:val="002F3816"/>
    <w:rsid w:val="002F39FF"/>
    <w:rsid w:val="002F3A11"/>
    <w:rsid w:val="002F3A80"/>
    <w:rsid w:val="002F3AA8"/>
    <w:rsid w:val="002F3C04"/>
    <w:rsid w:val="002F3D0D"/>
    <w:rsid w:val="002F3E66"/>
    <w:rsid w:val="002F3F31"/>
    <w:rsid w:val="002F3F43"/>
    <w:rsid w:val="002F3F65"/>
    <w:rsid w:val="002F3F83"/>
    <w:rsid w:val="002F40AC"/>
    <w:rsid w:val="002F4159"/>
    <w:rsid w:val="002F41F4"/>
    <w:rsid w:val="002F4200"/>
    <w:rsid w:val="002F4490"/>
    <w:rsid w:val="002F46A3"/>
    <w:rsid w:val="002F47B2"/>
    <w:rsid w:val="002F47EA"/>
    <w:rsid w:val="002F483F"/>
    <w:rsid w:val="002F48E1"/>
    <w:rsid w:val="002F4959"/>
    <w:rsid w:val="002F4964"/>
    <w:rsid w:val="002F4A4E"/>
    <w:rsid w:val="002F4D36"/>
    <w:rsid w:val="002F4E45"/>
    <w:rsid w:val="002F4E73"/>
    <w:rsid w:val="002F4FCC"/>
    <w:rsid w:val="002F502D"/>
    <w:rsid w:val="002F5114"/>
    <w:rsid w:val="002F5551"/>
    <w:rsid w:val="002F5553"/>
    <w:rsid w:val="002F5628"/>
    <w:rsid w:val="002F563A"/>
    <w:rsid w:val="002F587A"/>
    <w:rsid w:val="002F58E3"/>
    <w:rsid w:val="002F595F"/>
    <w:rsid w:val="002F5ACC"/>
    <w:rsid w:val="002F5AF6"/>
    <w:rsid w:val="002F5D58"/>
    <w:rsid w:val="002F5EB0"/>
    <w:rsid w:val="002F5F0C"/>
    <w:rsid w:val="002F60E2"/>
    <w:rsid w:val="002F60F0"/>
    <w:rsid w:val="002F6117"/>
    <w:rsid w:val="002F611D"/>
    <w:rsid w:val="002F6608"/>
    <w:rsid w:val="002F6690"/>
    <w:rsid w:val="002F66DF"/>
    <w:rsid w:val="002F6772"/>
    <w:rsid w:val="002F67F7"/>
    <w:rsid w:val="002F6824"/>
    <w:rsid w:val="002F68DF"/>
    <w:rsid w:val="002F69EB"/>
    <w:rsid w:val="002F6A6D"/>
    <w:rsid w:val="002F6ABB"/>
    <w:rsid w:val="002F6B7B"/>
    <w:rsid w:val="002F6C89"/>
    <w:rsid w:val="002F6E39"/>
    <w:rsid w:val="002F6E3A"/>
    <w:rsid w:val="002F6EA2"/>
    <w:rsid w:val="002F7039"/>
    <w:rsid w:val="002F7359"/>
    <w:rsid w:val="002F74E5"/>
    <w:rsid w:val="002F786F"/>
    <w:rsid w:val="002F78DD"/>
    <w:rsid w:val="002F7985"/>
    <w:rsid w:val="002F79B9"/>
    <w:rsid w:val="002F7A60"/>
    <w:rsid w:val="002F7AC8"/>
    <w:rsid w:val="002F7B60"/>
    <w:rsid w:val="002F7C1E"/>
    <w:rsid w:val="002F7C23"/>
    <w:rsid w:val="002F7D9C"/>
    <w:rsid w:val="002F7DC7"/>
    <w:rsid w:val="0030007A"/>
    <w:rsid w:val="003000D3"/>
    <w:rsid w:val="00300102"/>
    <w:rsid w:val="003003DC"/>
    <w:rsid w:val="00300581"/>
    <w:rsid w:val="00300657"/>
    <w:rsid w:val="003006AB"/>
    <w:rsid w:val="003007BA"/>
    <w:rsid w:val="003007D9"/>
    <w:rsid w:val="00300810"/>
    <w:rsid w:val="00300967"/>
    <w:rsid w:val="00300A39"/>
    <w:rsid w:val="00300A55"/>
    <w:rsid w:val="00300B7C"/>
    <w:rsid w:val="00300CEE"/>
    <w:rsid w:val="00300CF6"/>
    <w:rsid w:val="00300D95"/>
    <w:rsid w:val="0030119B"/>
    <w:rsid w:val="0030120C"/>
    <w:rsid w:val="00301317"/>
    <w:rsid w:val="00301346"/>
    <w:rsid w:val="003013A6"/>
    <w:rsid w:val="00301575"/>
    <w:rsid w:val="003016AF"/>
    <w:rsid w:val="003016D3"/>
    <w:rsid w:val="0030178C"/>
    <w:rsid w:val="003017C2"/>
    <w:rsid w:val="00301845"/>
    <w:rsid w:val="0030192A"/>
    <w:rsid w:val="00301BA2"/>
    <w:rsid w:val="00301BDD"/>
    <w:rsid w:val="00301BE1"/>
    <w:rsid w:val="00301C9C"/>
    <w:rsid w:val="00301E9D"/>
    <w:rsid w:val="00301EAA"/>
    <w:rsid w:val="00301ED1"/>
    <w:rsid w:val="0030202A"/>
    <w:rsid w:val="0030203F"/>
    <w:rsid w:val="003020DE"/>
    <w:rsid w:val="003021CB"/>
    <w:rsid w:val="00302301"/>
    <w:rsid w:val="003024AC"/>
    <w:rsid w:val="003024DC"/>
    <w:rsid w:val="003024F9"/>
    <w:rsid w:val="00302648"/>
    <w:rsid w:val="003026E4"/>
    <w:rsid w:val="0030285E"/>
    <w:rsid w:val="00302A93"/>
    <w:rsid w:val="00302B6F"/>
    <w:rsid w:val="00302BC8"/>
    <w:rsid w:val="00302C80"/>
    <w:rsid w:val="00302C93"/>
    <w:rsid w:val="00302D12"/>
    <w:rsid w:val="00302D93"/>
    <w:rsid w:val="00302E2B"/>
    <w:rsid w:val="00302EFD"/>
    <w:rsid w:val="0030319E"/>
    <w:rsid w:val="003032AF"/>
    <w:rsid w:val="00303308"/>
    <w:rsid w:val="003033DF"/>
    <w:rsid w:val="0030360A"/>
    <w:rsid w:val="00303627"/>
    <w:rsid w:val="00303830"/>
    <w:rsid w:val="00303882"/>
    <w:rsid w:val="003038CC"/>
    <w:rsid w:val="00303A20"/>
    <w:rsid w:val="00303BC1"/>
    <w:rsid w:val="00303BD8"/>
    <w:rsid w:val="00303DC3"/>
    <w:rsid w:val="00303DF3"/>
    <w:rsid w:val="00303FA5"/>
    <w:rsid w:val="00303FC9"/>
    <w:rsid w:val="003040A6"/>
    <w:rsid w:val="003040B0"/>
    <w:rsid w:val="0030410A"/>
    <w:rsid w:val="003041B7"/>
    <w:rsid w:val="003041ED"/>
    <w:rsid w:val="0030424F"/>
    <w:rsid w:val="0030433B"/>
    <w:rsid w:val="003044B6"/>
    <w:rsid w:val="0030456D"/>
    <w:rsid w:val="003045CA"/>
    <w:rsid w:val="003046C3"/>
    <w:rsid w:val="00304791"/>
    <w:rsid w:val="0030479F"/>
    <w:rsid w:val="0030486E"/>
    <w:rsid w:val="0030490A"/>
    <w:rsid w:val="0030492C"/>
    <w:rsid w:val="00304A19"/>
    <w:rsid w:val="00304D28"/>
    <w:rsid w:val="00304E19"/>
    <w:rsid w:val="00304E35"/>
    <w:rsid w:val="00304E94"/>
    <w:rsid w:val="00304EAA"/>
    <w:rsid w:val="0030504D"/>
    <w:rsid w:val="003050D0"/>
    <w:rsid w:val="003050DC"/>
    <w:rsid w:val="0030522C"/>
    <w:rsid w:val="00305248"/>
    <w:rsid w:val="003053BC"/>
    <w:rsid w:val="00305501"/>
    <w:rsid w:val="00305578"/>
    <w:rsid w:val="003056FA"/>
    <w:rsid w:val="0030572D"/>
    <w:rsid w:val="0030587E"/>
    <w:rsid w:val="00305AC4"/>
    <w:rsid w:val="00305DB7"/>
    <w:rsid w:val="00305E8B"/>
    <w:rsid w:val="00305F8C"/>
    <w:rsid w:val="00306080"/>
    <w:rsid w:val="003060F6"/>
    <w:rsid w:val="00306129"/>
    <w:rsid w:val="00306237"/>
    <w:rsid w:val="00306337"/>
    <w:rsid w:val="0030649C"/>
    <w:rsid w:val="00306509"/>
    <w:rsid w:val="0030659A"/>
    <w:rsid w:val="00306785"/>
    <w:rsid w:val="00306853"/>
    <w:rsid w:val="00306AAB"/>
    <w:rsid w:val="00306B94"/>
    <w:rsid w:val="00306C00"/>
    <w:rsid w:val="00306C13"/>
    <w:rsid w:val="00306CCA"/>
    <w:rsid w:val="00306D5A"/>
    <w:rsid w:val="00306D80"/>
    <w:rsid w:val="00306EBA"/>
    <w:rsid w:val="00306F55"/>
    <w:rsid w:val="003070B8"/>
    <w:rsid w:val="0030710C"/>
    <w:rsid w:val="0030714B"/>
    <w:rsid w:val="0030716F"/>
    <w:rsid w:val="00307174"/>
    <w:rsid w:val="00307188"/>
    <w:rsid w:val="003073A2"/>
    <w:rsid w:val="0030742B"/>
    <w:rsid w:val="003075EC"/>
    <w:rsid w:val="0030762C"/>
    <w:rsid w:val="00307760"/>
    <w:rsid w:val="003078D0"/>
    <w:rsid w:val="003078D8"/>
    <w:rsid w:val="003079AC"/>
    <w:rsid w:val="00307A1B"/>
    <w:rsid w:val="00307B16"/>
    <w:rsid w:val="00307E3F"/>
    <w:rsid w:val="00307E42"/>
    <w:rsid w:val="00310029"/>
    <w:rsid w:val="003101E3"/>
    <w:rsid w:val="0031026F"/>
    <w:rsid w:val="00310514"/>
    <w:rsid w:val="0031051D"/>
    <w:rsid w:val="00310641"/>
    <w:rsid w:val="003106BB"/>
    <w:rsid w:val="003106BD"/>
    <w:rsid w:val="003106C8"/>
    <w:rsid w:val="0031070E"/>
    <w:rsid w:val="00310770"/>
    <w:rsid w:val="003107AF"/>
    <w:rsid w:val="00310803"/>
    <w:rsid w:val="00310826"/>
    <w:rsid w:val="00310978"/>
    <w:rsid w:val="00310A9F"/>
    <w:rsid w:val="00310AA7"/>
    <w:rsid w:val="00310D2A"/>
    <w:rsid w:val="00310DC9"/>
    <w:rsid w:val="00310F24"/>
    <w:rsid w:val="00310F3F"/>
    <w:rsid w:val="00310FCE"/>
    <w:rsid w:val="003110EA"/>
    <w:rsid w:val="003111AB"/>
    <w:rsid w:val="0031128E"/>
    <w:rsid w:val="00311361"/>
    <w:rsid w:val="0031144D"/>
    <w:rsid w:val="00311483"/>
    <w:rsid w:val="003115DB"/>
    <w:rsid w:val="003116AB"/>
    <w:rsid w:val="00311735"/>
    <w:rsid w:val="0031180A"/>
    <w:rsid w:val="0031185B"/>
    <w:rsid w:val="00311906"/>
    <w:rsid w:val="00311943"/>
    <w:rsid w:val="00311B8C"/>
    <w:rsid w:val="00311C3D"/>
    <w:rsid w:val="00311C82"/>
    <w:rsid w:val="00311D2A"/>
    <w:rsid w:val="00311DA9"/>
    <w:rsid w:val="00311E04"/>
    <w:rsid w:val="00311EB2"/>
    <w:rsid w:val="00311EDD"/>
    <w:rsid w:val="00311F70"/>
    <w:rsid w:val="00311F86"/>
    <w:rsid w:val="00312167"/>
    <w:rsid w:val="0031219B"/>
    <w:rsid w:val="00312256"/>
    <w:rsid w:val="0031230B"/>
    <w:rsid w:val="003123CD"/>
    <w:rsid w:val="003123D9"/>
    <w:rsid w:val="0031263E"/>
    <w:rsid w:val="0031272E"/>
    <w:rsid w:val="00312ADC"/>
    <w:rsid w:val="00312BFA"/>
    <w:rsid w:val="00312C9D"/>
    <w:rsid w:val="0031337F"/>
    <w:rsid w:val="00313456"/>
    <w:rsid w:val="00313488"/>
    <w:rsid w:val="003134B4"/>
    <w:rsid w:val="003136C2"/>
    <w:rsid w:val="003136E3"/>
    <w:rsid w:val="00313761"/>
    <w:rsid w:val="003138A5"/>
    <w:rsid w:val="0031396D"/>
    <w:rsid w:val="00313A32"/>
    <w:rsid w:val="00313AF6"/>
    <w:rsid w:val="00313B35"/>
    <w:rsid w:val="00313CFB"/>
    <w:rsid w:val="00313D5B"/>
    <w:rsid w:val="00313D75"/>
    <w:rsid w:val="00313D81"/>
    <w:rsid w:val="00313EA2"/>
    <w:rsid w:val="00314042"/>
    <w:rsid w:val="003140EB"/>
    <w:rsid w:val="00314136"/>
    <w:rsid w:val="00314238"/>
    <w:rsid w:val="00314258"/>
    <w:rsid w:val="00314313"/>
    <w:rsid w:val="0031432D"/>
    <w:rsid w:val="00314372"/>
    <w:rsid w:val="0031449E"/>
    <w:rsid w:val="0031457A"/>
    <w:rsid w:val="003145E2"/>
    <w:rsid w:val="00314805"/>
    <w:rsid w:val="00314853"/>
    <w:rsid w:val="00314892"/>
    <w:rsid w:val="00314922"/>
    <w:rsid w:val="00314952"/>
    <w:rsid w:val="00314AC1"/>
    <w:rsid w:val="00314B53"/>
    <w:rsid w:val="00314B7B"/>
    <w:rsid w:val="00314C6D"/>
    <w:rsid w:val="00314CC5"/>
    <w:rsid w:val="00314CD6"/>
    <w:rsid w:val="00314CFF"/>
    <w:rsid w:val="00314E7C"/>
    <w:rsid w:val="00314EEB"/>
    <w:rsid w:val="003152F8"/>
    <w:rsid w:val="003153FA"/>
    <w:rsid w:val="0031540A"/>
    <w:rsid w:val="003154EC"/>
    <w:rsid w:val="0031551D"/>
    <w:rsid w:val="003157FA"/>
    <w:rsid w:val="00315844"/>
    <w:rsid w:val="0031588B"/>
    <w:rsid w:val="003159FF"/>
    <w:rsid w:val="00315BEB"/>
    <w:rsid w:val="00315C2C"/>
    <w:rsid w:val="00315DBC"/>
    <w:rsid w:val="00315DD8"/>
    <w:rsid w:val="00315EA9"/>
    <w:rsid w:val="00315F14"/>
    <w:rsid w:val="0031609D"/>
    <w:rsid w:val="003160A3"/>
    <w:rsid w:val="0031614C"/>
    <w:rsid w:val="0031635B"/>
    <w:rsid w:val="00316497"/>
    <w:rsid w:val="0031664E"/>
    <w:rsid w:val="003168B6"/>
    <w:rsid w:val="00316965"/>
    <w:rsid w:val="00316A2E"/>
    <w:rsid w:val="00316A7B"/>
    <w:rsid w:val="00316B9B"/>
    <w:rsid w:val="00316D2D"/>
    <w:rsid w:val="00316D3F"/>
    <w:rsid w:val="00316DBB"/>
    <w:rsid w:val="00316E09"/>
    <w:rsid w:val="00316E5D"/>
    <w:rsid w:val="00316EB9"/>
    <w:rsid w:val="00316ED5"/>
    <w:rsid w:val="00317140"/>
    <w:rsid w:val="003171AC"/>
    <w:rsid w:val="003171AD"/>
    <w:rsid w:val="00317258"/>
    <w:rsid w:val="00317347"/>
    <w:rsid w:val="0031746A"/>
    <w:rsid w:val="003174A0"/>
    <w:rsid w:val="00317530"/>
    <w:rsid w:val="00317543"/>
    <w:rsid w:val="00317696"/>
    <w:rsid w:val="003179AE"/>
    <w:rsid w:val="003179F1"/>
    <w:rsid w:val="00317C5E"/>
    <w:rsid w:val="00317CF2"/>
    <w:rsid w:val="00317D71"/>
    <w:rsid w:val="0032001F"/>
    <w:rsid w:val="003200C1"/>
    <w:rsid w:val="003202BB"/>
    <w:rsid w:val="0032031B"/>
    <w:rsid w:val="00320347"/>
    <w:rsid w:val="00320574"/>
    <w:rsid w:val="003205A7"/>
    <w:rsid w:val="003206F6"/>
    <w:rsid w:val="00320846"/>
    <w:rsid w:val="0032089E"/>
    <w:rsid w:val="00320ABB"/>
    <w:rsid w:val="00320B0E"/>
    <w:rsid w:val="00320B6A"/>
    <w:rsid w:val="00320CC7"/>
    <w:rsid w:val="00320F1B"/>
    <w:rsid w:val="003210D7"/>
    <w:rsid w:val="00321143"/>
    <w:rsid w:val="003216FA"/>
    <w:rsid w:val="00321709"/>
    <w:rsid w:val="003219B7"/>
    <w:rsid w:val="003219FB"/>
    <w:rsid w:val="00321B0B"/>
    <w:rsid w:val="00321B55"/>
    <w:rsid w:val="00321C2B"/>
    <w:rsid w:val="00321C9E"/>
    <w:rsid w:val="00321DFE"/>
    <w:rsid w:val="00321E18"/>
    <w:rsid w:val="00321E5D"/>
    <w:rsid w:val="00321EB7"/>
    <w:rsid w:val="00321F0C"/>
    <w:rsid w:val="00321FC8"/>
    <w:rsid w:val="0032200E"/>
    <w:rsid w:val="00322065"/>
    <w:rsid w:val="0032208C"/>
    <w:rsid w:val="003220D6"/>
    <w:rsid w:val="00322110"/>
    <w:rsid w:val="00322456"/>
    <w:rsid w:val="00322574"/>
    <w:rsid w:val="003226AF"/>
    <w:rsid w:val="00322902"/>
    <w:rsid w:val="00322977"/>
    <w:rsid w:val="0032299F"/>
    <w:rsid w:val="00322B55"/>
    <w:rsid w:val="00322BA3"/>
    <w:rsid w:val="00322C83"/>
    <w:rsid w:val="00322CF4"/>
    <w:rsid w:val="00322D1F"/>
    <w:rsid w:val="00322DCB"/>
    <w:rsid w:val="00322EAD"/>
    <w:rsid w:val="00322F1C"/>
    <w:rsid w:val="00323034"/>
    <w:rsid w:val="0032311B"/>
    <w:rsid w:val="00323200"/>
    <w:rsid w:val="00323225"/>
    <w:rsid w:val="00323384"/>
    <w:rsid w:val="0032353F"/>
    <w:rsid w:val="003237CE"/>
    <w:rsid w:val="0032390F"/>
    <w:rsid w:val="00323921"/>
    <w:rsid w:val="00323AF5"/>
    <w:rsid w:val="00323B3A"/>
    <w:rsid w:val="00323BF2"/>
    <w:rsid w:val="00323C68"/>
    <w:rsid w:val="00323CC5"/>
    <w:rsid w:val="00323DC3"/>
    <w:rsid w:val="00323E73"/>
    <w:rsid w:val="00323F23"/>
    <w:rsid w:val="00323F25"/>
    <w:rsid w:val="00323F4E"/>
    <w:rsid w:val="00323FE5"/>
    <w:rsid w:val="0032403D"/>
    <w:rsid w:val="00324054"/>
    <w:rsid w:val="003240D4"/>
    <w:rsid w:val="003241AE"/>
    <w:rsid w:val="003243F5"/>
    <w:rsid w:val="0032459C"/>
    <w:rsid w:val="0032467D"/>
    <w:rsid w:val="00324713"/>
    <w:rsid w:val="0032476E"/>
    <w:rsid w:val="00324884"/>
    <w:rsid w:val="003249E8"/>
    <w:rsid w:val="00324ABD"/>
    <w:rsid w:val="00324AE7"/>
    <w:rsid w:val="00324B33"/>
    <w:rsid w:val="00324CE6"/>
    <w:rsid w:val="00324D27"/>
    <w:rsid w:val="00324DEE"/>
    <w:rsid w:val="00324EE2"/>
    <w:rsid w:val="00324FF7"/>
    <w:rsid w:val="003250EB"/>
    <w:rsid w:val="00325101"/>
    <w:rsid w:val="0032514C"/>
    <w:rsid w:val="00325247"/>
    <w:rsid w:val="0032530F"/>
    <w:rsid w:val="00325384"/>
    <w:rsid w:val="003258B4"/>
    <w:rsid w:val="00325A57"/>
    <w:rsid w:val="00325AF7"/>
    <w:rsid w:val="00325CF4"/>
    <w:rsid w:val="00325E0B"/>
    <w:rsid w:val="00325E9E"/>
    <w:rsid w:val="00325EAC"/>
    <w:rsid w:val="003260F8"/>
    <w:rsid w:val="003260FD"/>
    <w:rsid w:val="003262EA"/>
    <w:rsid w:val="003263D4"/>
    <w:rsid w:val="00326435"/>
    <w:rsid w:val="00326538"/>
    <w:rsid w:val="0032667C"/>
    <w:rsid w:val="003266BC"/>
    <w:rsid w:val="003267F7"/>
    <w:rsid w:val="0032699C"/>
    <w:rsid w:val="00326B40"/>
    <w:rsid w:val="00326B9C"/>
    <w:rsid w:val="00326C9A"/>
    <w:rsid w:val="00326E1A"/>
    <w:rsid w:val="00326E90"/>
    <w:rsid w:val="00326E93"/>
    <w:rsid w:val="0032716F"/>
    <w:rsid w:val="00327299"/>
    <w:rsid w:val="003272D8"/>
    <w:rsid w:val="00327369"/>
    <w:rsid w:val="00327382"/>
    <w:rsid w:val="003275BB"/>
    <w:rsid w:val="0032767F"/>
    <w:rsid w:val="003279C0"/>
    <w:rsid w:val="00327AA9"/>
    <w:rsid w:val="00327AD2"/>
    <w:rsid w:val="00327DF1"/>
    <w:rsid w:val="00327E6D"/>
    <w:rsid w:val="00327E78"/>
    <w:rsid w:val="00330157"/>
    <w:rsid w:val="003301B5"/>
    <w:rsid w:val="003302FD"/>
    <w:rsid w:val="00330347"/>
    <w:rsid w:val="003304B8"/>
    <w:rsid w:val="003304DA"/>
    <w:rsid w:val="00330515"/>
    <w:rsid w:val="0033054A"/>
    <w:rsid w:val="0033056E"/>
    <w:rsid w:val="0033063B"/>
    <w:rsid w:val="0033064B"/>
    <w:rsid w:val="00330732"/>
    <w:rsid w:val="003307B7"/>
    <w:rsid w:val="00330858"/>
    <w:rsid w:val="00330985"/>
    <w:rsid w:val="003309F8"/>
    <w:rsid w:val="00330B7C"/>
    <w:rsid w:val="00330BB6"/>
    <w:rsid w:val="00330C54"/>
    <w:rsid w:val="00330CBC"/>
    <w:rsid w:val="00330DF2"/>
    <w:rsid w:val="00330F1E"/>
    <w:rsid w:val="00330F3D"/>
    <w:rsid w:val="00331158"/>
    <w:rsid w:val="00331176"/>
    <w:rsid w:val="003312CE"/>
    <w:rsid w:val="0033140A"/>
    <w:rsid w:val="0033150B"/>
    <w:rsid w:val="00331713"/>
    <w:rsid w:val="003317D8"/>
    <w:rsid w:val="00331844"/>
    <w:rsid w:val="00331845"/>
    <w:rsid w:val="00331AB5"/>
    <w:rsid w:val="00331B17"/>
    <w:rsid w:val="00331B98"/>
    <w:rsid w:val="00331C6A"/>
    <w:rsid w:val="00331D41"/>
    <w:rsid w:val="00331D9D"/>
    <w:rsid w:val="00331EAE"/>
    <w:rsid w:val="003320EB"/>
    <w:rsid w:val="00332166"/>
    <w:rsid w:val="003321A4"/>
    <w:rsid w:val="0033225A"/>
    <w:rsid w:val="003323CA"/>
    <w:rsid w:val="003325C8"/>
    <w:rsid w:val="0033268C"/>
    <w:rsid w:val="0033275B"/>
    <w:rsid w:val="0033298C"/>
    <w:rsid w:val="00332B0F"/>
    <w:rsid w:val="00332B3F"/>
    <w:rsid w:val="00332B5E"/>
    <w:rsid w:val="00332C86"/>
    <w:rsid w:val="00332CC5"/>
    <w:rsid w:val="00332CD6"/>
    <w:rsid w:val="00332CD9"/>
    <w:rsid w:val="00332D29"/>
    <w:rsid w:val="00332D33"/>
    <w:rsid w:val="00332F75"/>
    <w:rsid w:val="00332FC2"/>
    <w:rsid w:val="003333AC"/>
    <w:rsid w:val="003333ED"/>
    <w:rsid w:val="0033344A"/>
    <w:rsid w:val="00333458"/>
    <w:rsid w:val="003334C6"/>
    <w:rsid w:val="003334D4"/>
    <w:rsid w:val="003334F4"/>
    <w:rsid w:val="00333594"/>
    <w:rsid w:val="0033361C"/>
    <w:rsid w:val="003336D2"/>
    <w:rsid w:val="003337E0"/>
    <w:rsid w:val="00333A4F"/>
    <w:rsid w:val="00333A73"/>
    <w:rsid w:val="00333CF5"/>
    <w:rsid w:val="00333E91"/>
    <w:rsid w:val="00333F7E"/>
    <w:rsid w:val="00333FA7"/>
    <w:rsid w:val="00333FE7"/>
    <w:rsid w:val="00334189"/>
    <w:rsid w:val="0033449E"/>
    <w:rsid w:val="00334574"/>
    <w:rsid w:val="003345E2"/>
    <w:rsid w:val="00334623"/>
    <w:rsid w:val="00334724"/>
    <w:rsid w:val="00334936"/>
    <w:rsid w:val="00334A97"/>
    <w:rsid w:val="00334AC4"/>
    <w:rsid w:val="00334B3D"/>
    <w:rsid w:val="00334BBC"/>
    <w:rsid w:val="00334CC9"/>
    <w:rsid w:val="00334DC6"/>
    <w:rsid w:val="00334F63"/>
    <w:rsid w:val="003350D8"/>
    <w:rsid w:val="0033511B"/>
    <w:rsid w:val="003351AC"/>
    <w:rsid w:val="00335485"/>
    <w:rsid w:val="003354DD"/>
    <w:rsid w:val="003357AA"/>
    <w:rsid w:val="00335827"/>
    <w:rsid w:val="003358D4"/>
    <w:rsid w:val="00335A0D"/>
    <w:rsid w:val="00335A68"/>
    <w:rsid w:val="00335A9A"/>
    <w:rsid w:val="00335B00"/>
    <w:rsid w:val="00335B43"/>
    <w:rsid w:val="00336072"/>
    <w:rsid w:val="003361C8"/>
    <w:rsid w:val="00336261"/>
    <w:rsid w:val="00336341"/>
    <w:rsid w:val="003364AC"/>
    <w:rsid w:val="00336585"/>
    <w:rsid w:val="00336587"/>
    <w:rsid w:val="0033660D"/>
    <w:rsid w:val="00336674"/>
    <w:rsid w:val="003367EF"/>
    <w:rsid w:val="00336853"/>
    <w:rsid w:val="00336927"/>
    <w:rsid w:val="003369DA"/>
    <w:rsid w:val="00336AA1"/>
    <w:rsid w:val="00336C9C"/>
    <w:rsid w:val="00336CBA"/>
    <w:rsid w:val="00336E3F"/>
    <w:rsid w:val="00336F44"/>
    <w:rsid w:val="00336F7F"/>
    <w:rsid w:val="00337076"/>
    <w:rsid w:val="003373EB"/>
    <w:rsid w:val="0033740B"/>
    <w:rsid w:val="00337426"/>
    <w:rsid w:val="00337432"/>
    <w:rsid w:val="003375F7"/>
    <w:rsid w:val="003375FE"/>
    <w:rsid w:val="00337606"/>
    <w:rsid w:val="00337846"/>
    <w:rsid w:val="003378BE"/>
    <w:rsid w:val="00337B57"/>
    <w:rsid w:val="00337C81"/>
    <w:rsid w:val="00337D51"/>
    <w:rsid w:val="00337E4E"/>
    <w:rsid w:val="00337F49"/>
    <w:rsid w:val="00337F61"/>
    <w:rsid w:val="003400C6"/>
    <w:rsid w:val="003400FC"/>
    <w:rsid w:val="0034010E"/>
    <w:rsid w:val="00340326"/>
    <w:rsid w:val="003403F4"/>
    <w:rsid w:val="003404A5"/>
    <w:rsid w:val="00340556"/>
    <w:rsid w:val="00340721"/>
    <w:rsid w:val="0034072F"/>
    <w:rsid w:val="00340773"/>
    <w:rsid w:val="003407A9"/>
    <w:rsid w:val="003408D2"/>
    <w:rsid w:val="00340B69"/>
    <w:rsid w:val="00340BB2"/>
    <w:rsid w:val="00340C6E"/>
    <w:rsid w:val="00340E1D"/>
    <w:rsid w:val="00340F1E"/>
    <w:rsid w:val="00340F60"/>
    <w:rsid w:val="0034107E"/>
    <w:rsid w:val="003411D5"/>
    <w:rsid w:val="00341231"/>
    <w:rsid w:val="00341462"/>
    <w:rsid w:val="00341535"/>
    <w:rsid w:val="003416B0"/>
    <w:rsid w:val="00341766"/>
    <w:rsid w:val="00341817"/>
    <w:rsid w:val="003418F7"/>
    <w:rsid w:val="0034195C"/>
    <w:rsid w:val="00341A53"/>
    <w:rsid w:val="00341BA7"/>
    <w:rsid w:val="00341BDD"/>
    <w:rsid w:val="0034207A"/>
    <w:rsid w:val="003421C8"/>
    <w:rsid w:val="003424BD"/>
    <w:rsid w:val="0034252E"/>
    <w:rsid w:val="003426AE"/>
    <w:rsid w:val="00342719"/>
    <w:rsid w:val="003427B9"/>
    <w:rsid w:val="003427E3"/>
    <w:rsid w:val="003429BA"/>
    <w:rsid w:val="00342A7A"/>
    <w:rsid w:val="00342B4D"/>
    <w:rsid w:val="00342B84"/>
    <w:rsid w:val="00342B95"/>
    <w:rsid w:val="00342CB0"/>
    <w:rsid w:val="00342CD9"/>
    <w:rsid w:val="00342CEB"/>
    <w:rsid w:val="00342D48"/>
    <w:rsid w:val="00342E6D"/>
    <w:rsid w:val="00342E94"/>
    <w:rsid w:val="00342FE2"/>
    <w:rsid w:val="0034317D"/>
    <w:rsid w:val="00343295"/>
    <w:rsid w:val="003433DD"/>
    <w:rsid w:val="003433F6"/>
    <w:rsid w:val="003434F4"/>
    <w:rsid w:val="00343510"/>
    <w:rsid w:val="003435A0"/>
    <w:rsid w:val="003435A5"/>
    <w:rsid w:val="003435EA"/>
    <w:rsid w:val="003436DE"/>
    <w:rsid w:val="0034385E"/>
    <w:rsid w:val="0034390B"/>
    <w:rsid w:val="003439B0"/>
    <w:rsid w:val="00343B79"/>
    <w:rsid w:val="00343C53"/>
    <w:rsid w:val="00343D78"/>
    <w:rsid w:val="003441ED"/>
    <w:rsid w:val="0034427B"/>
    <w:rsid w:val="0034442E"/>
    <w:rsid w:val="0034444E"/>
    <w:rsid w:val="003444B9"/>
    <w:rsid w:val="003446CC"/>
    <w:rsid w:val="003447AB"/>
    <w:rsid w:val="003447C2"/>
    <w:rsid w:val="00344814"/>
    <w:rsid w:val="00344B6D"/>
    <w:rsid w:val="00344B9D"/>
    <w:rsid w:val="00344DEC"/>
    <w:rsid w:val="003451B9"/>
    <w:rsid w:val="0034525F"/>
    <w:rsid w:val="00345289"/>
    <w:rsid w:val="00345294"/>
    <w:rsid w:val="0034570A"/>
    <w:rsid w:val="00345787"/>
    <w:rsid w:val="003457E2"/>
    <w:rsid w:val="00345853"/>
    <w:rsid w:val="003458F7"/>
    <w:rsid w:val="00345A69"/>
    <w:rsid w:val="00345AD5"/>
    <w:rsid w:val="00345BF1"/>
    <w:rsid w:val="00345C69"/>
    <w:rsid w:val="00345C94"/>
    <w:rsid w:val="00345CD7"/>
    <w:rsid w:val="00345DCF"/>
    <w:rsid w:val="00345DD7"/>
    <w:rsid w:val="00345DEE"/>
    <w:rsid w:val="00345DF3"/>
    <w:rsid w:val="00345FE5"/>
    <w:rsid w:val="00346036"/>
    <w:rsid w:val="00346097"/>
    <w:rsid w:val="003460A5"/>
    <w:rsid w:val="00346254"/>
    <w:rsid w:val="00346264"/>
    <w:rsid w:val="0034636E"/>
    <w:rsid w:val="003463D2"/>
    <w:rsid w:val="00346489"/>
    <w:rsid w:val="003464E6"/>
    <w:rsid w:val="0034662E"/>
    <w:rsid w:val="00346651"/>
    <w:rsid w:val="003467CF"/>
    <w:rsid w:val="003467F9"/>
    <w:rsid w:val="003468F8"/>
    <w:rsid w:val="00346971"/>
    <w:rsid w:val="003469BA"/>
    <w:rsid w:val="00346AE1"/>
    <w:rsid w:val="00346B55"/>
    <w:rsid w:val="00346C53"/>
    <w:rsid w:val="00346C7D"/>
    <w:rsid w:val="00346DE8"/>
    <w:rsid w:val="00346EDB"/>
    <w:rsid w:val="00346EF2"/>
    <w:rsid w:val="003470B7"/>
    <w:rsid w:val="003471FE"/>
    <w:rsid w:val="003472DA"/>
    <w:rsid w:val="00347337"/>
    <w:rsid w:val="00347344"/>
    <w:rsid w:val="00347389"/>
    <w:rsid w:val="003473D8"/>
    <w:rsid w:val="00347497"/>
    <w:rsid w:val="003474AA"/>
    <w:rsid w:val="003474BF"/>
    <w:rsid w:val="00347546"/>
    <w:rsid w:val="00347585"/>
    <w:rsid w:val="003477C9"/>
    <w:rsid w:val="00347825"/>
    <w:rsid w:val="00347844"/>
    <w:rsid w:val="003478AF"/>
    <w:rsid w:val="003479C3"/>
    <w:rsid w:val="00347AC3"/>
    <w:rsid w:val="00347B13"/>
    <w:rsid w:val="00347B22"/>
    <w:rsid w:val="00347C1B"/>
    <w:rsid w:val="00347C8E"/>
    <w:rsid w:val="00347CDF"/>
    <w:rsid w:val="00347F6C"/>
    <w:rsid w:val="00350070"/>
    <w:rsid w:val="0035010D"/>
    <w:rsid w:val="00350147"/>
    <w:rsid w:val="0035023B"/>
    <w:rsid w:val="003503BC"/>
    <w:rsid w:val="0035051A"/>
    <w:rsid w:val="003506B5"/>
    <w:rsid w:val="003506CF"/>
    <w:rsid w:val="0035095E"/>
    <w:rsid w:val="00350978"/>
    <w:rsid w:val="00350996"/>
    <w:rsid w:val="003509D0"/>
    <w:rsid w:val="00350C50"/>
    <w:rsid w:val="00350CBF"/>
    <w:rsid w:val="00350CCA"/>
    <w:rsid w:val="00350D0F"/>
    <w:rsid w:val="00350D42"/>
    <w:rsid w:val="00350DD4"/>
    <w:rsid w:val="00350EE4"/>
    <w:rsid w:val="0035108C"/>
    <w:rsid w:val="003511C4"/>
    <w:rsid w:val="003511D6"/>
    <w:rsid w:val="00351293"/>
    <w:rsid w:val="003512F0"/>
    <w:rsid w:val="00351308"/>
    <w:rsid w:val="0035163C"/>
    <w:rsid w:val="003518C9"/>
    <w:rsid w:val="003518E8"/>
    <w:rsid w:val="00351926"/>
    <w:rsid w:val="0035193D"/>
    <w:rsid w:val="003519DC"/>
    <w:rsid w:val="00351A44"/>
    <w:rsid w:val="00351C3C"/>
    <w:rsid w:val="00351F29"/>
    <w:rsid w:val="003520CC"/>
    <w:rsid w:val="00352154"/>
    <w:rsid w:val="003521AE"/>
    <w:rsid w:val="00352335"/>
    <w:rsid w:val="00352357"/>
    <w:rsid w:val="00352427"/>
    <w:rsid w:val="0035251C"/>
    <w:rsid w:val="0035277C"/>
    <w:rsid w:val="0035299B"/>
    <w:rsid w:val="003529DA"/>
    <w:rsid w:val="00352C78"/>
    <w:rsid w:val="00352D1B"/>
    <w:rsid w:val="00352DB6"/>
    <w:rsid w:val="00352DC8"/>
    <w:rsid w:val="00352EC4"/>
    <w:rsid w:val="00352F3C"/>
    <w:rsid w:val="0035302C"/>
    <w:rsid w:val="00353160"/>
    <w:rsid w:val="003531A1"/>
    <w:rsid w:val="00353223"/>
    <w:rsid w:val="00353288"/>
    <w:rsid w:val="00353363"/>
    <w:rsid w:val="003534E5"/>
    <w:rsid w:val="0035387F"/>
    <w:rsid w:val="003538F8"/>
    <w:rsid w:val="00353B71"/>
    <w:rsid w:val="00353BAC"/>
    <w:rsid w:val="00353C97"/>
    <w:rsid w:val="00353D11"/>
    <w:rsid w:val="00353E6F"/>
    <w:rsid w:val="00353EC7"/>
    <w:rsid w:val="0035400A"/>
    <w:rsid w:val="00354114"/>
    <w:rsid w:val="003541BA"/>
    <w:rsid w:val="00354235"/>
    <w:rsid w:val="00354531"/>
    <w:rsid w:val="0035461D"/>
    <w:rsid w:val="00354678"/>
    <w:rsid w:val="00354690"/>
    <w:rsid w:val="003548A9"/>
    <w:rsid w:val="00354981"/>
    <w:rsid w:val="00354A03"/>
    <w:rsid w:val="00354B77"/>
    <w:rsid w:val="00354B8C"/>
    <w:rsid w:val="00354E96"/>
    <w:rsid w:val="00354F2D"/>
    <w:rsid w:val="003550B1"/>
    <w:rsid w:val="003551F6"/>
    <w:rsid w:val="00355279"/>
    <w:rsid w:val="0035527C"/>
    <w:rsid w:val="003552B5"/>
    <w:rsid w:val="00355506"/>
    <w:rsid w:val="00355A1B"/>
    <w:rsid w:val="00355D7C"/>
    <w:rsid w:val="00355D91"/>
    <w:rsid w:val="00355DB6"/>
    <w:rsid w:val="00355E67"/>
    <w:rsid w:val="00355E7A"/>
    <w:rsid w:val="00355F5D"/>
    <w:rsid w:val="0035612F"/>
    <w:rsid w:val="00356211"/>
    <w:rsid w:val="003562FF"/>
    <w:rsid w:val="00356310"/>
    <w:rsid w:val="00356361"/>
    <w:rsid w:val="003563BB"/>
    <w:rsid w:val="00356524"/>
    <w:rsid w:val="003565E6"/>
    <w:rsid w:val="00356916"/>
    <w:rsid w:val="00356989"/>
    <w:rsid w:val="00356CD9"/>
    <w:rsid w:val="00356F5D"/>
    <w:rsid w:val="00356FBC"/>
    <w:rsid w:val="00356FC7"/>
    <w:rsid w:val="0035712E"/>
    <w:rsid w:val="00357145"/>
    <w:rsid w:val="00357236"/>
    <w:rsid w:val="003572BE"/>
    <w:rsid w:val="00357442"/>
    <w:rsid w:val="003574B3"/>
    <w:rsid w:val="00357618"/>
    <w:rsid w:val="003576DB"/>
    <w:rsid w:val="00357795"/>
    <w:rsid w:val="0035779F"/>
    <w:rsid w:val="003577DB"/>
    <w:rsid w:val="003577ED"/>
    <w:rsid w:val="00357902"/>
    <w:rsid w:val="00357912"/>
    <w:rsid w:val="0035795B"/>
    <w:rsid w:val="00357ADB"/>
    <w:rsid w:val="00357D31"/>
    <w:rsid w:val="00357D49"/>
    <w:rsid w:val="00357E16"/>
    <w:rsid w:val="00357F05"/>
    <w:rsid w:val="00357FAC"/>
    <w:rsid w:val="00357FE5"/>
    <w:rsid w:val="0036008D"/>
    <w:rsid w:val="0036020A"/>
    <w:rsid w:val="0036035E"/>
    <w:rsid w:val="003603B2"/>
    <w:rsid w:val="00360607"/>
    <w:rsid w:val="003606B6"/>
    <w:rsid w:val="00360741"/>
    <w:rsid w:val="0036088E"/>
    <w:rsid w:val="00360A6D"/>
    <w:rsid w:val="00360AEC"/>
    <w:rsid w:val="00360B2D"/>
    <w:rsid w:val="00360BB5"/>
    <w:rsid w:val="00360CA6"/>
    <w:rsid w:val="00360D0B"/>
    <w:rsid w:val="00360DAA"/>
    <w:rsid w:val="00360DD8"/>
    <w:rsid w:val="00360E50"/>
    <w:rsid w:val="00360E6C"/>
    <w:rsid w:val="00360E78"/>
    <w:rsid w:val="00360E88"/>
    <w:rsid w:val="00360ECE"/>
    <w:rsid w:val="0036102B"/>
    <w:rsid w:val="0036110C"/>
    <w:rsid w:val="003611C6"/>
    <w:rsid w:val="003614BB"/>
    <w:rsid w:val="00361654"/>
    <w:rsid w:val="003617FE"/>
    <w:rsid w:val="003619D0"/>
    <w:rsid w:val="00361D48"/>
    <w:rsid w:val="00361DA3"/>
    <w:rsid w:val="00361E72"/>
    <w:rsid w:val="00361EE3"/>
    <w:rsid w:val="00361F2F"/>
    <w:rsid w:val="00361F77"/>
    <w:rsid w:val="0036225B"/>
    <w:rsid w:val="00362378"/>
    <w:rsid w:val="0036245C"/>
    <w:rsid w:val="003624BE"/>
    <w:rsid w:val="00362605"/>
    <w:rsid w:val="00362689"/>
    <w:rsid w:val="0036268C"/>
    <w:rsid w:val="00362699"/>
    <w:rsid w:val="00362840"/>
    <w:rsid w:val="0036295F"/>
    <w:rsid w:val="003629B5"/>
    <w:rsid w:val="003629DB"/>
    <w:rsid w:val="00362AB5"/>
    <w:rsid w:val="00362ACD"/>
    <w:rsid w:val="00362DBC"/>
    <w:rsid w:val="00362DCB"/>
    <w:rsid w:val="00362EF9"/>
    <w:rsid w:val="00362F3D"/>
    <w:rsid w:val="0036309C"/>
    <w:rsid w:val="0036310A"/>
    <w:rsid w:val="0036321F"/>
    <w:rsid w:val="00363343"/>
    <w:rsid w:val="00363355"/>
    <w:rsid w:val="00363358"/>
    <w:rsid w:val="00363368"/>
    <w:rsid w:val="003633B5"/>
    <w:rsid w:val="00363431"/>
    <w:rsid w:val="00363439"/>
    <w:rsid w:val="0036344D"/>
    <w:rsid w:val="00363546"/>
    <w:rsid w:val="003635E4"/>
    <w:rsid w:val="003637F6"/>
    <w:rsid w:val="00363827"/>
    <w:rsid w:val="003638ED"/>
    <w:rsid w:val="0036392E"/>
    <w:rsid w:val="00363CB9"/>
    <w:rsid w:val="00363D25"/>
    <w:rsid w:val="00363D83"/>
    <w:rsid w:val="00363D9D"/>
    <w:rsid w:val="00363EC5"/>
    <w:rsid w:val="00363FBC"/>
    <w:rsid w:val="0036411B"/>
    <w:rsid w:val="0036412A"/>
    <w:rsid w:val="003642DF"/>
    <w:rsid w:val="00364305"/>
    <w:rsid w:val="003643B9"/>
    <w:rsid w:val="0036441B"/>
    <w:rsid w:val="0036447C"/>
    <w:rsid w:val="003646F3"/>
    <w:rsid w:val="00364859"/>
    <w:rsid w:val="00364866"/>
    <w:rsid w:val="003649CF"/>
    <w:rsid w:val="003649DB"/>
    <w:rsid w:val="00364B19"/>
    <w:rsid w:val="00364BF4"/>
    <w:rsid w:val="00364D01"/>
    <w:rsid w:val="00364E43"/>
    <w:rsid w:val="00364E47"/>
    <w:rsid w:val="00364F7F"/>
    <w:rsid w:val="00364FC3"/>
    <w:rsid w:val="00365007"/>
    <w:rsid w:val="003651B0"/>
    <w:rsid w:val="0036540F"/>
    <w:rsid w:val="003654DB"/>
    <w:rsid w:val="00365684"/>
    <w:rsid w:val="003656AB"/>
    <w:rsid w:val="003656CD"/>
    <w:rsid w:val="00365897"/>
    <w:rsid w:val="00365B58"/>
    <w:rsid w:val="00365C5A"/>
    <w:rsid w:val="00365FCB"/>
    <w:rsid w:val="00365FDE"/>
    <w:rsid w:val="0036611A"/>
    <w:rsid w:val="00366168"/>
    <w:rsid w:val="00366176"/>
    <w:rsid w:val="0036619A"/>
    <w:rsid w:val="0036627C"/>
    <w:rsid w:val="003663A7"/>
    <w:rsid w:val="003663F3"/>
    <w:rsid w:val="0036645A"/>
    <w:rsid w:val="0036648E"/>
    <w:rsid w:val="00366730"/>
    <w:rsid w:val="003667F8"/>
    <w:rsid w:val="00366928"/>
    <w:rsid w:val="003669FA"/>
    <w:rsid w:val="00366E97"/>
    <w:rsid w:val="0036703D"/>
    <w:rsid w:val="003670F0"/>
    <w:rsid w:val="003671A0"/>
    <w:rsid w:val="00367234"/>
    <w:rsid w:val="00367538"/>
    <w:rsid w:val="0036753E"/>
    <w:rsid w:val="00367699"/>
    <w:rsid w:val="0036771E"/>
    <w:rsid w:val="003679B2"/>
    <w:rsid w:val="00367BFB"/>
    <w:rsid w:val="00367C2A"/>
    <w:rsid w:val="00367CC6"/>
    <w:rsid w:val="00367CF7"/>
    <w:rsid w:val="00367D16"/>
    <w:rsid w:val="00367EA8"/>
    <w:rsid w:val="00367F60"/>
    <w:rsid w:val="0037004F"/>
    <w:rsid w:val="00370228"/>
    <w:rsid w:val="003705E2"/>
    <w:rsid w:val="003705FA"/>
    <w:rsid w:val="00370649"/>
    <w:rsid w:val="0037082B"/>
    <w:rsid w:val="003708FD"/>
    <w:rsid w:val="00370963"/>
    <w:rsid w:val="0037096F"/>
    <w:rsid w:val="00370991"/>
    <w:rsid w:val="003709C3"/>
    <w:rsid w:val="00370A2D"/>
    <w:rsid w:val="00370ABE"/>
    <w:rsid w:val="00370CB0"/>
    <w:rsid w:val="00371265"/>
    <w:rsid w:val="003712B0"/>
    <w:rsid w:val="00371339"/>
    <w:rsid w:val="003713DE"/>
    <w:rsid w:val="00371414"/>
    <w:rsid w:val="003714AD"/>
    <w:rsid w:val="003715A5"/>
    <w:rsid w:val="003715AA"/>
    <w:rsid w:val="00371656"/>
    <w:rsid w:val="00371761"/>
    <w:rsid w:val="003719EC"/>
    <w:rsid w:val="00371A1F"/>
    <w:rsid w:val="00371B27"/>
    <w:rsid w:val="0037218C"/>
    <w:rsid w:val="00372198"/>
    <w:rsid w:val="003724B1"/>
    <w:rsid w:val="003724B9"/>
    <w:rsid w:val="0037252E"/>
    <w:rsid w:val="00372597"/>
    <w:rsid w:val="003725D6"/>
    <w:rsid w:val="003726D0"/>
    <w:rsid w:val="00372818"/>
    <w:rsid w:val="00372872"/>
    <w:rsid w:val="00372876"/>
    <w:rsid w:val="003728CF"/>
    <w:rsid w:val="0037290E"/>
    <w:rsid w:val="003729FE"/>
    <w:rsid w:val="00372A56"/>
    <w:rsid w:val="00372C27"/>
    <w:rsid w:val="00372C87"/>
    <w:rsid w:val="00372CA4"/>
    <w:rsid w:val="00372DAB"/>
    <w:rsid w:val="00372DC9"/>
    <w:rsid w:val="00372F64"/>
    <w:rsid w:val="00372FFE"/>
    <w:rsid w:val="00373104"/>
    <w:rsid w:val="003732B1"/>
    <w:rsid w:val="003732BD"/>
    <w:rsid w:val="003732C6"/>
    <w:rsid w:val="00373560"/>
    <w:rsid w:val="00373683"/>
    <w:rsid w:val="0037372A"/>
    <w:rsid w:val="00373889"/>
    <w:rsid w:val="0037392B"/>
    <w:rsid w:val="0037392E"/>
    <w:rsid w:val="00373988"/>
    <w:rsid w:val="00373A9C"/>
    <w:rsid w:val="00374037"/>
    <w:rsid w:val="0037406C"/>
    <w:rsid w:val="00374192"/>
    <w:rsid w:val="00374245"/>
    <w:rsid w:val="0037427B"/>
    <w:rsid w:val="0037429E"/>
    <w:rsid w:val="00374341"/>
    <w:rsid w:val="0037441F"/>
    <w:rsid w:val="00374492"/>
    <w:rsid w:val="003745AA"/>
    <w:rsid w:val="00374645"/>
    <w:rsid w:val="00374685"/>
    <w:rsid w:val="003746B6"/>
    <w:rsid w:val="003746CA"/>
    <w:rsid w:val="00374792"/>
    <w:rsid w:val="00374796"/>
    <w:rsid w:val="003747AB"/>
    <w:rsid w:val="003747E7"/>
    <w:rsid w:val="0037480A"/>
    <w:rsid w:val="00374A84"/>
    <w:rsid w:val="00374A9B"/>
    <w:rsid w:val="00374C45"/>
    <w:rsid w:val="00374CDE"/>
    <w:rsid w:val="00374D22"/>
    <w:rsid w:val="00374D47"/>
    <w:rsid w:val="00374D86"/>
    <w:rsid w:val="00374E32"/>
    <w:rsid w:val="00374E94"/>
    <w:rsid w:val="00374EC3"/>
    <w:rsid w:val="00374F7E"/>
    <w:rsid w:val="00374F85"/>
    <w:rsid w:val="00374FFC"/>
    <w:rsid w:val="003750C1"/>
    <w:rsid w:val="00375139"/>
    <w:rsid w:val="0037513A"/>
    <w:rsid w:val="00375231"/>
    <w:rsid w:val="00375309"/>
    <w:rsid w:val="003753BE"/>
    <w:rsid w:val="00375555"/>
    <w:rsid w:val="003756B1"/>
    <w:rsid w:val="003756F7"/>
    <w:rsid w:val="00375934"/>
    <w:rsid w:val="00375966"/>
    <w:rsid w:val="003759B7"/>
    <w:rsid w:val="00375A13"/>
    <w:rsid w:val="00375B0A"/>
    <w:rsid w:val="00375B2D"/>
    <w:rsid w:val="00375B62"/>
    <w:rsid w:val="00375C46"/>
    <w:rsid w:val="00375D5A"/>
    <w:rsid w:val="00375D7B"/>
    <w:rsid w:val="00375DF8"/>
    <w:rsid w:val="00375DFF"/>
    <w:rsid w:val="00375EBC"/>
    <w:rsid w:val="003761AD"/>
    <w:rsid w:val="00376215"/>
    <w:rsid w:val="00376481"/>
    <w:rsid w:val="003766CA"/>
    <w:rsid w:val="00376888"/>
    <w:rsid w:val="00376976"/>
    <w:rsid w:val="00376A0E"/>
    <w:rsid w:val="00376A97"/>
    <w:rsid w:val="00376C74"/>
    <w:rsid w:val="00376C88"/>
    <w:rsid w:val="00376D80"/>
    <w:rsid w:val="00376E73"/>
    <w:rsid w:val="003771A4"/>
    <w:rsid w:val="00377237"/>
    <w:rsid w:val="003772CF"/>
    <w:rsid w:val="00377434"/>
    <w:rsid w:val="003775BB"/>
    <w:rsid w:val="00377630"/>
    <w:rsid w:val="00377802"/>
    <w:rsid w:val="003778F6"/>
    <w:rsid w:val="00377BE8"/>
    <w:rsid w:val="00377C33"/>
    <w:rsid w:val="00377C6A"/>
    <w:rsid w:val="00377CAB"/>
    <w:rsid w:val="00377F0E"/>
    <w:rsid w:val="00377F43"/>
    <w:rsid w:val="003801DB"/>
    <w:rsid w:val="003803F2"/>
    <w:rsid w:val="003804D8"/>
    <w:rsid w:val="0038056F"/>
    <w:rsid w:val="003805E2"/>
    <w:rsid w:val="00380963"/>
    <w:rsid w:val="00380A05"/>
    <w:rsid w:val="00380A51"/>
    <w:rsid w:val="00380AF9"/>
    <w:rsid w:val="00380B63"/>
    <w:rsid w:val="00380B8E"/>
    <w:rsid w:val="00380DAD"/>
    <w:rsid w:val="00380DDC"/>
    <w:rsid w:val="00380E0C"/>
    <w:rsid w:val="00380E12"/>
    <w:rsid w:val="0038109F"/>
    <w:rsid w:val="003810F2"/>
    <w:rsid w:val="0038112A"/>
    <w:rsid w:val="003812C3"/>
    <w:rsid w:val="00381384"/>
    <w:rsid w:val="003813FE"/>
    <w:rsid w:val="0038153B"/>
    <w:rsid w:val="0038161C"/>
    <w:rsid w:val="00381667"/>
    <w:rsid w:val="003817E3"/>
    <w:rsid w:val="003819F8"/>
    <w:rsid w:val="00381A77"/>
    <w:rsid w:val="00381C10"/>
    <w:rsid w:val="00381DC1"/>
    <w:rsid w:val="00381DD8"/>
    <w:rsid w:val="00381DF2"/>
    <w:rsid w:val="00381F19"/>
    <w:rsid w:val="00381FF9"/>
    <w:rsid w:val="0038200A"/>
    <w:rsid w:val="00382231"/>
    <w:rsid w:val="00382391"/>
    <w:rsid w:val="0038241C"/>
    <w:rsid w:val="00382454"/>
    <w:rsid w:val="003825B5"/>
    <w:rsid w:val="003827B2"/>
    <w:rsid w:val="0038287A"/>
    <w:rsid w:val="003828A7"/>
    <w:rsid w:val="0038290E"/>
    <w:rsid w:val="003829AD"/>
    <w:rsid w:val="00382A46"/>
    <w:rsid w:val="00382B87"/>
    <w:rsid w:val="00382B8A"/>
    <w:rsid w:val="00382C48"/>
    <w:rsid w:val="00382E73"/>
    <w:rsid w:val="00382EDC"/>
    <w:rsid w:val="00382FCF"/>
    <w:rsid w:val="00383004"/>
    <w:rsid w:val="003831BF"/>
    <w:rsid w:val="003831D2"/>
    <w:rsid w:val="0038328E"/>
    <w:rsid w:val="00383297"/>
    <w:rsid w:val="00383345"/>
    <w:rsid w:val="003835C0"/>
    <w:rsid w:val="003835D4"/>
    <w:rsid w:val="00383927"/>
    <w:rsid w:val="00383977"/>
    <w:rsid w:val="00383C2F"/>
    <w:rsid w:val="00383D25"/>
    <w:rsid w:val="00383DFD"/>
    <w:rsid w:val="00383EB4"/>
    <w:rsid w:val="00383F2A"/>
    <w:rsid w:val="003840C5"/>
    <w:rsid w:val="00384140"/>
    <w:rsid w:val="00384241"/>
    <w:rsid w:val="00384331"/>
    <w:rsid w:val="00384548"/>
    <w:rsid w:val="003845B8"/>
    <w:rsid w:val="0038461A"/>
    <w:rsid w:val="0038472F"/>
    <w:rsid w:val="00384877"/>
    <w:rsid w:val="00384ABD"/>
    <w:rsid w:val="00384B88"/>
    <w:rsid w:val="00384C8A"/>
    <w:rsid w:val="00384D51"/>
    <w:rsid w:val="00384DD3"/>
    <w:rsid w:val="00384DF9"/>
    <w:rsid w:val="00384ED0"/>
    <w:rsid w:val="00384EE8"/>
    <w:rsid w:val="0038503D"/>
    <w:rsid w:val="003850C6"/>
    <w:rsid w:val="00385145"/>
    <w:rsid w:val="00385168"/>
    <w:rsid w:val="00385258"/>
    <w:rsid w:val="003852B8"/>
    <w:rsid w:val="003852CE"/>
    <w:rsid w:val="003855F6"/>
    <w:rsid w:val="003856C6"/>
    <w:rsid w:val="003856DC"/>
    <w:rsid w:val="00385947"/>
    <w:rsid w:val="00385A77"/>
    <w:rsid w:val="00385AF7"/>
    <w:rsid w:val="00385C12"/>
    <w:rsid w:val="00385CFB"/>
    <w:rsid w:val="00385D3A"/>
    <w:rsid w:val="00385E8C"/>
    <w:rsid w:val="00385EC2"/>
    <w:rsid w:val="00385EFF"/>
    <w:rsid w:val="003860B2"/>
    <w:rsid w:val="003860C1"/>
    <w:rsid w:val="003860FA"/>
    <w:rsid w:val="00386107"/>
    <w:rsid w:val="0038616A"/>
    <w:rsid w:val="003861ED"/>
    <w:rsid w:val="0038626C"/>
    <w:rsid w:val="00386280"/>
    <w:rsid w:val="003862CB"/>
    <w:rsid w:val="00386354"/>
    <w:rsid w:val="00386364"/>
    <w:rsid w:val="00386371"/>
    <w:rsid w:val="00386495"/>
    <w:rsid w:val="00386498"/>
    <w:rsid w:val="00386522"/>
    <w:rsid w:val="00386A54"/>
    <w:rsid w:val="00386B73"/>
    <w:rsid w:val="00386B77"/>
    <w:rsid w:val="00386BF8"/>
    <w:rsid w:val="00386CA3"/>
    <w:rsid w:val="00386F2B"/>
    <w:rsid w:val="00386F93"/>
    <w:rsid w:val="0038708B"/>
    <w:rsid w:val="0038726D"/>
    <w:rsid w:val="00387345"/>
    <w:rsid w:val="0038738A"/>
    <w:rsid w:val="003874B9"/>
    <w:rsid w:val="003875F1"/>
    <w:rsid w:val="00387732"/>
    <w:rsid w:val="003877D3"/>
    <w:rsid w:val="003878DE"/>
    <w:rsid w:val="003879F0"/>
    <w:rsid w:val="00387A38"/>
    <w:rsid w:val="00387B5C"/>
    <w:rsid w:val="00387BCE"/>
    <w:rsid w:val="00387DF7"/>
    <w:rsid w:val="00390154"/>
    <w:rsid w:val="0039015B"/>
    <w:rsid w:val="003902ED"/>
    <w:rsid w:val="00390372"/>
    <w:rsid w:val="003903B8"/>
    <w:rsid w:val="003903CB"/>
    <w:rsid w:val="00390545"/>
    <w:rsid w:val="0039058A"/>
    <w:rsid w:val="003905EE"/>
    <w:rsid w:val="003905F9"/>
    <w:rsid w:val="003906B7"/>
    <w:rsid w:val="003906D8"/>
    <w:rsid w:val="00390866"/>
    <w:rsid w:val="0039091C"/>
    <w:rsid w:val="00390B6D"/>
    <w:rsid w:val="00390DB0"/>
    <w:rsid w:val="00390DEF"/>
    <w:rsid w:val="00390DF0"/>
    <w:rsid w:val="00390F1D"/>
    <w:rsid w:val="00391022"/>
    <w:rsid w:val="00391108"/>
    <w:rsid w:val="003912AC"/>
    <w:rsid w:val="003912B7"/>
    <w:rsid w:val="00391313"/>
    <w:rsid w:val="00391390"/>
    <w:rsid w:val="003913DF"/>
    <w:rsid w:val="00391437"/>
    <w:rsid w:val="00391438"/>
    <w:rsid w:val="003914BD"/>
    <w:rsid w:val="0039152F"/>
    <w:rsid w:val="00391583"/>
    <w:rsid w:val="0039163F"/>
    <w:rsid w:val="0039176B"/>
    <w:rsid w:val="003917DB"/>
    <w:rsid w:val="0039188B"/>
    <w:rsid w:val="00391A48"/>
    <w:rsid w:val="00391A84"/>
    <w:rsid w:val="00391CB5"/>
    <w:rsid w:val="00391DE9"/>
    <w:rsid w:val="00391E26"/>
    <w:rsid w:val="00391E32"/>
    <w:rsid w:val="00391E8A"/>
    <w:rsid w:val="00391E96"/>
    <w:rsid w:val="0039202D"/>
    <w:rsid w:val="0039219D"/>
    <w:rsid w:val="003921A5"/>
    <w:rsid w:val="0039235D"/>
    <w:rsid w:val="003923A2"/>
    <w:rsid w:val="00392476"/>
    <w:rsid w:val="003924D8"/>
    <w:rsid w:val="00392635"/>
    <w:rsid w:val="003926B2"/>
    <w:rsid w:val="00392751"/>
    <w:rsid w:val="0039289B"/>
    <w:rsid w:val="00392949"/>
    <w:rsid w:val="003929EF"/>
    <w:rsid w:val="00392A68"/>
    <w:rsid w:val="00392B14"/>
    <w:rsid w:val="00392B51"/>
    <w:rsid w:val="00392C8E"/>
    <w:rsid w:val="00392D08"/>
    <w:rsid w:val="00392F00"/>
    <w:rsid w:val="00392FCA"/>
    <w:rsid w:val="00393032"/>
    <w:rsid w:val="00393051"/>
    <w:rsid w:val="0039309E"/>
    <w:rsid w:val="0039310A"/>
    <w:rsid w:val="0039332E"/>
    <w:rsid w:val="0039338A"/>
    <w:rsid w:val="003934B4"/>
    <w:rsid w:val="003934DA"/>
    <w:rsid w:val="00393550"/>
    <w:rsid w:val="00393698"/>
    <w:rsid w:val="003936E4"/>
    <w:rsid w:val="003937CE"/>
    <w:rsid w:val="00393851"/>
    <w:rsid w:val="003938DC"/>
    <w:rsid w:val="00393974"/>
    <w:rsid w:val="00393984"/>
    <w:rsid w:val="00393A68"/>
    <w:rsid w:val="00393B37"/>
    <w:rsid w:val="00393CE5"/>
    <w:rsid w:val="00393D3F"/>
    <w:rsid w:val="00393F82"/>
    <w:rsid w:val="0039401A"/>
    <w:rsid w:val="0039409A"/>
    <w:rsid w:val="00394144"/>
    <w:rsid w:val="003941EF"/>
    <w:rsid w:val="003942C4"/>
    <w:rsid w:val="0039432C"/>
    <w:rsid w:val="00394449"/>
    <w:rsid w:val="0039446E"/>
    <w:rsid w:val="003946A0"/>
    <w:rsid w:val="00394761"/>
    <w:rsid w:val="00394A02"/>
    <w:rsid w:val="00394A2F"/>
    <w:rsid w:val="00394A7C"/>
    <w:rsid w:val="00394AB4"/>
    <w:rsid w:val="00394AC9"/>
    <w:rsid w:val="00394B5A"/>
    <w:rsid w:val="00394E61"/>
    <w:rsid w:val="00394E7A"/>
    <w:rsid w:val="00394E91"/>
    <w:rsid w:val="0039519B"/>
    <w:rsid w:val="003951AD"/>
    <w:rsid w:val="003952B9"/>
    <w:rsid w:val="003952E0"/>
    <w:rsid w:val="003953DD"/>
    <w:rsid w:val="003953EA"/>
    <w:rsid w:val="003956C7"/>
    <w:rsid w:val="003958AE"/>
    <w:rsid w:val="003958FB"/>
    <w:rsid w:val="00395C4D"/>
    <w:rsid w:val="00395E82"/>
    <w:rsid w:val="00395F32"/>
    <w:rsid w:val="00396003"/>
    <w:rsid w:val="00396034"/>
    <w:rsid w:val="003960DC"/>
    <w:rsid w:val="0039655F"/>
    <w:rsid w:val="00396A3D"/>
    <w:rsid w:val="00396A8E"/>
    <w:rsid w:val="00396AB5"/>
    <w:rsid w:val="00396CCC"/>
    <w:rsid w:val="00396E9C"/>
    <w:rsid w:val="00397310"/>
    <w:rsid w:val="0039736E"/>
    <w:rsid w:val="003974EB"/>
    <w:rsid w:val="00397624"/>
    <w:rsid w:val="003976DE"/>
    <w:rsid w:val="00397910"/>
    <w:rsid w:val="003979A4"/>
    <w:rsid w:val="00397A5E"/>
    <w:rsid w:val="00397B7C"/>
    <w:rsid w:val="00397DE4"/>
    <w:rsid w:val="00397EBB"/>
    <w:rsid w:val="00397F44"/>
    <w:rsid w:val="003A0097"/>
    <w:rsid w:val="003A010F"/>
    <w:rsid w:val="003A019D"/>
    <w:rsid w:val="003A01EE"/>
    <w:rsid w:val="003A0321"/>
    <w:rsid w:val="003A0437"/>
    <w:rsid w:val="003A04BE"/>
    <w:rsid w:val="003A057E"/>
    <w:rsid w:val="003A05D4"/>
    <w:rsid w:val="003A08CB"/>
    <w:rsid w:val="003A0A62"/>
    <w:rsid w:val="003A0AE4"/>
    <w:rsid w:val="003A0C25"/>
    <w:rsid w:val="003A0C6F"/>
    <w:rsid w:val="003A0C97"/>
    <w:rsid w:val="003A0CC2"/>
    <w:rsid w:val="003A0CCD"/>
    <w:rsid w:val="003A0D9C"/>
    <w:rsid w:val="003A106D"/>
    <w:rsid w:val="003A11B9"/>
    <w:rsid w:val="003A13C4"/>
    <w:rsid w:val="003A1632"/>
    <w:rsid w:val="003A16F3"/>
    <w:rsid w:val="003A18EE"/>
    <w:rsid w:val="003A1900"/>
    <w:rsid w:val="003A19AD"/>
    <w:rsid w:val="003A1AA2"/>
    <w:rsid w:val="003A1AFC"/>
    <w:rsid w:val="003A1BC2"/>
    <w:rsid w:val="003A1BC5"/>
    <w:rsid w:val="003A1BD2"/>
    <w:rsid w:val="003A1C6F"/>
    <w:rsid w:val="003A1D5A"/>
    <w:rsid w:val="003A1F38"/>
    <w:rsid w:val="003A1F90"/>
    <w:rsid w:val="003A2061"/>
    <w:rsid w:val="003A209E"/>
    <w:rsid w:val="003A20D3"/>
    <w:rsid w:val="003A2121"/>
    <w:rsid w:val="003A2139"/>
    <w:rsid w:val="003A21AD"/>
    <w:rsid w:val="003A22BE"/>
    <w:rsid w:val="003A2328"/>
    <w:rsid w:val="003A2547"/>
    <w:rsid w:val="003A25D0"/>
    <w:rsid w:val="003A25EE"/>
    <w:rsid w:val="003A2735"/>
    <w:rsid w:val="003A273E"/>
    <w:rsid w:val="003A274E"/>
    <w:rsid w:val="003A2A25"/>
    <w:rsid w:val="003A2A44"/>
    <w:rsid w:val="003A2A7F"/>
    <w:rsid w:val="003A2A98"/>
    <w:rsid w:val="003A2AE8"/>
    <w:rsid w:val="003A2B1A"/>
    <w:rsid w:val="003A2E08"/>
    <w:rsid w:val="003A2FB8"/>
    <w:rsid w:val="003A310A"/>
    <w:rsid w:val="003A3121"/>
    <w:rsid w:val="003A3234"/>
    <w:rsid w:val="003A339D"/>
    <w:rsid w:val="003A3482"/>
    <w:rsid w:val="003A360F"/>
    <w:rsid w:val="003A36DA"/>
    <w:rsid w:val="003A371A"/>
    <w:rsid w:val="003A37A2"/>
    <w:rsid w:val="003A3816"/>
    <w:rsid w:val="003A3857"/>
    <w:rsid w:val="003A3940"/>
    <w:rsid w:val="003A394F"/>
    <w:rsid w:val="003A395C"/>
    <w:rsid w:val="003A3A41"/>
    <w:rsid w:val="003A3AF3"/>
    <w:rsid w:val="003A3CF4"/>
    <w:rsid w:val="003A3D1B"/>
    <w:rsid w:val="003A3D7D"/>
    <w:rsid w:val="003A3EF4"/>
    <w:rsid w:val="003A3FA3"/>
    <w:rsid w:val="003A3FB6"/>
    <w:rsid w:val="003A40B1"/>
    <w:rsid w:val="003A40C2"/>
    <w:rsid w:val="003A40F1"/>
    <w:rsid w:val="003A416A"/>
    <w:rsid w:val="003A418D"/>
    <w:rsid w:val="003A426A"/>
    <w:rsid w:val="003A4280"/>
    <w:rsid w:val="003A4417"/>
    <w:rsid w:val="003A455A"/>
    <w:rsid w:val="003A4900"/>
    <w:rsid w:val="003A493C"/>
    <w:rsid w:val="003A4A76"/>
    <w:rsid w:val="003A4A77"/>
    <w:rsid w:val="003A4D47"/>
    <w:rsid w:val="003A4D85"/>
    <w:rsid w:val="003A4DBE"/>
    <w:rsid w:val="003A4DEE"/>
    <w:rsid w:val="003A4F8E"/>
    <w:rsid w:val="003A4FA0"/>
    <w:rsid w:val="003A5117"/>
    <w:rsid w:val="003A52AF"/>
    <w:rsid w:val="003A531B"/>
    <w:rsid w:val="003A535D"/>
    <w:rsid w:val="003A535E"/>
    <w:rsid w:val="003A54D3"/>
    <w:rsid w:val="003A54E1"/>
    <w:rsid w:val="003A5599"/>
    <w:rsid w:val="003A56C0"/>
    <w:rsid w:val="003A5772"/>
    <w:rsid w:val="003A57FB"/>
    <w:rsid w:val="003A5911"/>
    <w:rsid w:val="003A5B49"/>
    <w:rsid w:val="003A5D2A"/>
    <w:rsid w:val="003A5DBE"/>
    <w:rsid w:val="003A5EAF"/>
    <w:rsid w:val="003A5FD2"/>
    <w:rsid w:val="003A5FED"/>
    <w:rsid w:val="003A6063"/>
    <w:rsid w:val="003A6144"/>
    <w:rsid w:val="003A6246"/>
    <w:rsid w:val="003A62BA"/>
    <w:rsid w:val="003A63D7"/>
    <w:rsid w:val="003A6453"/>
    <w:rsid w:val="003A6455"/>
    <w:rsid w:val="003A6528"/>
    <w:rsid w:val="003A6542"/>
    <w:rsid w:val="003A657E"/>
    <w:rsid w:val="003A6593"/>
    <w:rsid w:val="003A6751"/>
    <w:rsid w:val="003A679D"/>
    <w:rsid w:val="003A67A2"/>
    <w:rsid w:val="003A684F"/>
    <w:rsid w:val="003A6978"/>
    <w:rsid w:val="003A6A1F"/>
    <w:rsid w:val="003A6A60"/>
    <w:rsid w:val="003A6B39"/>
    <w:rsid w:val="003A6B82"/>
    <w:rsid w:val="003A6BB4"/>
    <w:rsid w:val="003A6C12"/>
    <w:rsid w:val="003A6D08"/>
    <w:rsid w:val="003A6EE6"/>
    <w:rsid w:val="003A7298"/>
    <w:rsid w:val="003A72BC"/>
    <w:rsid w:val="003A7731"/>
    <w:rsid w:val="003A7772"/>
    <w:rsid w:val="003A77A6"/>
    <w:rsid w:val="003A7889"/>
    <w:rsid w:val="003A7A28"/>
    <w:rsid w:val="003A7B69"/>
    <w:rsid w:val="003A7E53"/>
    <w:rsid w:val="003A7EB7"/>
    <w:rsid w:val="003A7EC4"/>
    <w:rsid w:val="003A7F96"/>
    <w:rsid w:val="003B003E"/>
    <w:rsid w:val="003B01D6"/>
    <w:rsid w:val="003B027D"/>
    <w:rsid w:val="003B0489"/>
    <w:rsid w:val="003B05EF"/>
    <w:rsid w:val="003B0707"/>
    <w:rsid w:val="003B075B"/>
    <w:rsid w:val="003B07E1"/>
    <w:rsid w:val="003B08ED"/>
    <w:rsid w:val="003B09E9"/>
    <w:rsid w:val="003B0A63"/>
    <w:rsid w:val="003B0CEA"/>
    <w:rsid w:val="003B0DBA"/>
    <w:rsid w:val="003B0E3E"/>
    <w:rsid w:val="003B1050"/>
    <w:rsid w:val="003B117E"/>
    <w:rsid w:val="003B1227"/>
    <w:rsid w:val="003B13A5"/>
    <w:rsid w:val="003B1535"/>
    <w:rsid w:val="003B174E"/>
    <w:rsid w:val="003B17F4"/>
    <w:rsid w:val="003B1815"/>
    <w:rsid w:val="003B18BD"/>
    <w:rsid w:val="003B1A51"/>
    <w:rsid w:val="003B1C19"/>
    <w:rsid w:val="003B1EBC"/>
    <w:rsid w:val="003B207E"/>
    <w:rsid w:val="003B220B"/>
    <w:rsid w:val="003B2246"/>
    <w:rsid w:val="003B22F4"/>
    <w:rsid w:val="003B244C"/>
    <w:rsid w:val="003B2607"/>
    <w:rsid w:val="003B2656"/>
    <w:rsid w:val="003B2683"/>
    <w:rsid w:val="003B27B7"/>
    <w:rsid w:val="003B2953"/>
    <w:rsid w:val="003B2ADF"/>
    <w:rsid w:val="003B2B56"/>
    <w:rsid w:val="003B2C2A"/>
    <w:rsid w:val="003B2CF1"/>
    <w:rsid w:val="003B2DF4"/>
    <w:rsid w:val="003B3376"/>
    <w:rsid w:val="003B3394"/>
    <w:rsid w:val="003B33AA"/>
    <w:rsid w:val="003B33D8"/>
    <w:rsid w:val="003B3427"/>
    <w:rsid w:val="003B35F5"/>
    <w:rsid w:val="003B360A"/>
    <w:rsid w:val="003B3697"/>
    <w:rsid w:val="003B36D7"/>
    <w:rsid w:val="003B38B9"/>
    <w:rsid w:val="003B38EE"/>
    <w:rsid w:val="003B3930"/>
    <w:rsid w:val="003B3957"/>
    <w:rsid w:val="003B3A87"/>
    <w:rsid w:val="003B3AC4"/>
    <w:rsid w:val="003B3B92"/>
    <w:rsid w:val="003B3C04"/>
    <w:rsid w:val="003B3DB1"/>
    <w:rsid w:val="003B3E19"/>
    <w:rsid w:val="003B3E20"/>
    <w:rsid w:val="003B3F67"/>
    <w:rsid w:val="003B40C6"/>
    <w:rsid w:val="003B414E"/>
    <w:rsid w:val="003B4227"/>
    <w:rsid w:val="003B4443"/>
    <w:rsid w:val="003B455D"/>
    <w:rsid w:val="003B47E8"/>
    <w:rsid w:val="003B4838"/>
    <w:rsid w:val="003B484B"/>
    <w:rsid w:val="003B495C"/>
    <w:rsid w:val="003B4A59"/>
    <w:rsid w:val="003B4A61"/>
    <w:rsid w:val="003B4AAF"/>
    <w:rsid w:val="003B4AE7"/>
    <w:rsid w:val="003B4BEE"/>
    <w:rsid w:val="003B4CAF"/>
    <w:rsid w:val="003B4DDD"/>
    <w:rsid w:val="003B4EA1"/>
    <w:rsid w:val="003B4F4C"/>
    <w:rsid w:val="003B4F7B"/>
    <w:rsid w:val="003B4F7C"/>
    <w:rsid w:val="003B5095"/>
    <w:rsid w:val="003B5187"/>
    <w:rsid w:val="003B525B"/>
    <w:rsid w:val="003B5263"/>
    <w:rsid w:val="003B5608"/>
    <w:rsid w:val="003B58E0"/>
    <w:rsid w:val="003B5CE4"/>
    <w:rsid w:val="003B5CF0"/>
    <w:rsid w:val="003B5D80"/>
    <w:rsid w:val="003B5D86"/>
    <w:rsid w:val="003B5EFC"/>
    <w:rsid w:val="003B60DE"/>
    <w:rsid w:val="003B638E"/>
    <w:rsid w:val="003B63BC"/>
    <w:rsid w:val="003B64EB"/>
    <w:rsid w:val="003B661F"/>
    <w:rsid w:val="003B669A"/>
    <w:rsid w:val="003B684F"/>
    <w:rsid w:val="003B6D1C"/>
    <w:rsid w:val="003B6D3D"/>
    <w:rsid w:val="003B6E0F"/>
    <w:rsid w:val="003B6E57"/>
    <w:rsid w:val="003B704D"/>
    <w:rsid w:val="003B70D8"/>
    <w:rsid w:val="003B71E2"/>
    <w:rsid w:val="003B72CF"/>
    <w:rsid w:val="003B7417"/>
    <w:rsid w:val="003B7422"/>
    <w:rsid w:val="003B74A0"/>
    <w:rsid w:val="003B7617"/>
    <w:rsid w:val="003B768E"/>
    <w:rsid w:val="003B7777"/>
    <w:rsid w:val="003B77C3"/>
    <w:rsid w:val="003B781B"/>
    <w:rsid w:val="003B7ACB"/>
    <w:rsid w:val="003B7ADA"/>
    <w:rsid w:val="003B7BDD"/>
    <w:rsid w:val="003B7BF3"/>
    <w:rsid w:val="003B7C19"/>
    <w:rsid w:val="003B7CB0"/>
    <w:rsid w:val="003B7CBA"/>
    <w:rsid w:val="003B7CCE"/>
    <w:rsid w:val="003B7D99"/>
    <w:rsid w:val="003B7E0B"/>
    <w:rsid w:val="003B7F02"/>
    <w:rsid w:val="003B7FD5"/>
    <w:rsid w:val="003C0037"/>
    <w:rsid w:val="003C00EA"/>
    <w:rsid w:val="003C027F"/>
    <w:rsid w:val="003C031F"/>
    <w:rsid w:val="003C05EE"/>
    <w:rsid w:val="003C0733"/>
    <w:rsid w:val="003C0768"/>
    <w:rsid w:val="003C07C5"/>
    <w:rsid w:val="003C08EA"/>
    <w:rsid w:val="003C0BF1"/>
    <w:rsid w:val="003C0C54"/>
    <w:rsid w:val="003C0DD7"/>
    <w:rsid w:val="003C0E4C"/>
    <w:rsid w:val="003C0EF1"/>
    <w:rsid w:val="003C0F86"/>
    <w:rsid w:val="003C1046"/>
    <w:rsid w:val="003C109A"/>
    <w:rsid w:val="003C121C"/>
    <w:rsid w:val="003C14B0"/>
    <w:rsid w:val="003C1628"/>
    <w:rsid w:val="003C1679"/>
    <w:rsid w:val="003C171F"/>
    <w:rsid w:val="003C1956"/>
    <w:rsid w:val="003C1B63"/>
    <w:rsid w:val="003C1B9B"/>
    <w:rsid w:val="003C1BB4"/>
    <w:rsid w:val="003C1BC2"/>
    <w:rsid w:val="003C1C7F"/>
    <w:rsid w:val="003C1CC0"/>
    <w:rsid w:val="003C1D49"/>
    <w:rsid w:val="003C1EFA"/>
    <w:rsid w:val="003C203F"/>
    <w:rsid w:val="003C2044"/>
    <w:rsid w:val="003C21DC"/>
    <w:rsid w:val="003C2303"/>
    <w:rsid w:val="003C2360"/>
    <w:rsid w:val="003C25E4"/>
    <w:rsid w:val="003C263C"/>
    <w:rsid w:val="003C26F6"/>
    <w:rsid w:val="003C26FC"/>
    <w:rsid w:val="003C2762"/>
    <w:rsid w:val="003C27D0"/>
    <w:rsid w:val="003C280A"/>
    <w:rsid w:val="003C280B"/>
    <w:rsid w:val="003C2898"/>
    <w:rsid w:val="003C28D8"/>
    <w:rsid w:val="003C2CA0"/>
    <w:rsid w:val="003C2F21"/>
    <w:rsid w:val="003C30F4"/>
    <w:rsid w:val="003C323D"/>
    <w:rsid w:val="003C328B"/>
    <w:rsid w:val="003C329C"/>
    <w:rsid w:val="003C329F"/>
    <w:rsid w:val="003C32E6"/>
    <w:rsid w:val="003C3303"/>
    <w:rsid w:val="003C330A"/>
    <w:rsid w:val="003C33D1"/>
    <w:rsid w:val="003C375E"/>
    <w:rsid w:val="003C388B"/>
    <w:rsid w:val="003C3932"/>
    <w:rsid w:val="003C39D5"/>
    <w:rsid w:val="003C3AB2"/>
    <w:rsid w:val="003C3AF3"/>
    <w:rsid w:val="003C3B0C"/>
    <w:rsid w:val="003C3DB1"/>
    <w:rsid w:val="003C3F13"/>
    <w:rsid w:val="003C3FA1"/>
    <w:rsid w:val="003C414B"/>
    <w:rsid w:val="003C4161"/>
    <w:rsid w:val="003C421B"/>
    <w:rsid w:val="003C42E8"/>
    <w:rsid w:val="003C43E0"/>
    <w:rsid w:val="003C44CB"/>
    <w:rsid w:val="003C4514"/>
    <w:rsid w:val="003C47CD"/>
    <w:rsid w:val="003C481F"/>
    <w:rsid w:val="003C487B"/>
    <w:rsid w:val="003C48B5"/>
    <w:rsid w:val="003C4974"/>
    <w:rsid w:val="003C4AA5"/>
    <w:rsid w:val="003C4DA7"/>
    <w:rsid w:val="003C4E60"/>
    <w:rsid w:val="003C4EC6"/>
    <w:rsid w:val="003C4ED7"/>
    <w:rsid w:val="003C4FF2"/>
    <w:rsid w:val="003C5004"/>
    <w:rsid w:val="003C50AD"/>
    <w:rsid w:val="003C50CA"/>
    <w:rsid w:val="003C50E6"/>
    <w:rsid w:val="003C510A"/>
    <w:rsid w:val="003C5119"/>
    <w:rsid w:val="003C5196"/>
    <w:rsid w:val="003C5389"/>
    <w:rsid w:val="003C546D"/>
    <w:rsid w:val="003C54EF"/>
    <w:rsid w:val="003C54FD"/>
    <w:rsid w:val="003C562F"/>
    <w:rsid w:val="003C5676"/>
    <w:rsid w:val="003C569A"/>
    <w:rsid w:val="003C585E"/>
    <w:rsid w:val="003C58A7"/>
    <w:rsid w:val="003C5C3B"/>
    <w:rsid w:val="003C5D66"/>
    <w:rsid w:val="003C5E6D"/>
    <w:rsid w:val="003C5E91"/>
    <w:rsid w:val="003C5F74"/>
    <w:rsid w:val="003C6020"/>
    <w:rsid w:val="003C621F"/>
    <w:rsid w:val="003C641E"/>
    <w:rsid w:val="003C6568"/>
    <w:rsid w:val="003C6619"/>
    <w:rsid w:val="003C66FC"/>
    <w:rsid w:val="003C6989"/>
    <w:rsid w:val="003C69F2"/>
    <w:rsid w:val="003C6ABD"/>
    <w:rsid w:val="003C6AD1"/>
    <w:rsid w:val="003C6B4C"/>
    <w:rsid w:val="003C6CDC"/>
    <w:rsid w:val="003C6D91"/>
    <w:rsid w:val="003C6EF0"/>
    <w:rsid w:val="003C6F7F"/>
    <w:rsid w:val="003C6FD3"/>
    <w:rsid w:val="003C71E0"/>
    <w:rsid w:val="003C7226"/>
    <w:rsid w:val="003C730D"/>
    <w:rsid w:val="003C73ED"/>
    <w:rsid w:val="003C773D"/>
    <w:rsid w:val="003C7765"/>
    <w:rsid w:val="003C7864"/>
    <w:rsid w:val="003C78DF"/>
    <w:rsid w:val="003C790B"/>
    <w:rsid w:val="003C7A62"/>
    <w:rsid w:val="003C7C11"/>
    <w:rsid w:val="003C7C56"/>
    <w:rsid w:val="003D0087"/>
    <w:rsid w:val="003D033D"/>
    <w:rsid w:val="003D0480"/>
    <w:rsid w:val="003D04B6"/>
    <w:rsid w:val="003D092B"/>
    <w:rsid w:val="003D0943"/>
    <w:rsid w:val="003D0A25"/>
    <w:rsid w:val="003D0A2B"/>
    <w:rsid w:val="003D0B66"/>
    <w:rsid w:val="003D0CFB"/>
    <w:rsid w:val="003D1045"/>
    <w:rsid w:val="003D10BC"/>
    <w:rsid w:val="003D1111"/>
    <w:rsid w:val="003D12CB"/>
    <w:rsid w:val="003D1422"/>
    <w:rsid w:val="003D148B"/>
    <w:rsid w:val="003D16D0"/>
    <w:rsid w:val="003D16E5"/>
    <w:rsid w:val="003D1701"/>
    <w:rsid w:val="003D1718"/>
    <w:rsid w:val="003D184B"/>
    <w:rsid w:val="003D188A"/>
    <w:rsid w:val="003D1919"/>
    <w:rsid w:val="003D1B71"/>
    <w:rsid w:val="003D1B8B"/>
    <w:rsid w:val="003D1CB6"/>
    <w:rsid w:val="003D1E5C"/>
    <w:rsid w:val="003D1E6C"/>
    <w:rsid w:val="003D1EFF"/>
    <w:rsid w:val="003D2078"/>
    <w:rsid w:val="003D2126"/>
    <w:rsid w:val="003D224D"/>
    <w:rsid w:val="003D247E"/>
    <w:rsid w:val="003D256D"/>
    <w:rsid w:val="003D2721"/>
    <w:rsid w:val="003D27BF"/>
    <w:rsid w:val="003D281D"/>
    <w:rsid w:val="003D287D"/>
    <w:rsid w:val="003D2882"/>
    <w:rsid w:val="003D2899"/>
    <w:rsid w:val="003D2926"/>
    <w:rsid w:val="003D2B9C"/>
    <w:rsid w:val="003D2BE0"/>
    <w:rsid w:val="003D2CCE"/>
    <w:rsid w:val="003D2D21"/>
    <w:rsid w:val="003D2D3A"/>
    <w:rsid w:val="003D2D78"/>
    <w:rsid w:val="003D2DDB"/>
    <w:rsid w:val="003D2E73"/>
    <w:rsid w:val="003D2EB3"/>
    <w:rsid w:val="003D2F6C"/>
    <w:rsid w:val="003D2FB6"/>
    <w:rsid w:val="003D3147"/>
    <w:rsid w:val="003D320B"/>
    <w:rsid w:val="003D3233"/>
    <w:rsid w:val="003D375D"/>
    <w:rsid w:val="003D37CB"/>
    <w:rsid w:val="003D37CF"/>
    <w:rsid w:val="003D38D9"/>
    <w:rsid w:val="003D3C61"/>
    <w:rsid w:val="003D3C65"/>
    <w:rsid w:val="003D3C9E"/>
    <w:rsid w:val="003D3CB4"/>
    <w:rsid w:val="003D3CF9"/>
    <w:rsid w:val="003D3DEE"/>
    <w:rsid w:val="003D3E22"/>
    <w:rsid w:val="003D3E9F"/>
    <w:rsid w:val="003D3F2E"/>
    <w:rsid w:val="003D4014"/>
    <w:rsid w:val="003D416C"/>
    <w:rsid w:val="003D41A9"/>
    <w:rsid w:val="003D41F8"/>
    <w:rsid w:val="003D4210"/>
    <w:rsid w:val="003D425D"/>
    <w:rsid w:val="003D4513"/>
    <w:rsid w:val="003D45B7"/>
    <w:rsid w:val="003D4691"/>
    <w:rsid w:val="003D472A"/>
    <w:rsid w:val="003D4759"/>
    <w:rsid w:val="003D4809"/>
    <w:rsid w:val="003D481F"/>
    <w:rsid w:val="003D4925"/>
    <w:rsid w:val="003D4930"/>
    <w:rsid w:val="003D4983"/>
    <w:rsid w:val="003D4D14"/>
    <w:rsid w:val="003D4EAB"/>
    <w:rsid w:val="003D4ECA"/>
    <w:rsid w:val="003D4F1C"/>
    <w:rsid w:val="003D4F88"/>
    <w:rsid w:val="003D5089"/>
    <w:rsid w:val="003D5321"/>
    <w:rsid w:val="003D5368"/>
    <w:rsid w:val="003D53B1"/>
    <w:rsid w:val="003D5472"/>
    <w:rsid w:val="003D54C6"/>
    <w:rsid w:val="003D5572"/>
    <w:rsid w:val="003D56AE"/>
    <w:rsid w:val="003D56C4"/>
    <w:rsid w:val="003D57A9"/>
    <w:rsid w:val="003D5853"/>
    <w:rsid w:val="003D5860"/>
    <w:rsid w:val="003D58DF"/>
    <w:rsid w:val="003D5A98"/>
    <w:rsid w:val="003D5AB3"/>
    <w:rsid w:val="003D5B52"/>
    <w:rsid w:val="003D5E3E"/>
    <w:rsid w:val="003D5F27"/>
    <w:rsid w:val="003D5F75"/>
    <w:rsid w:val="003D5FD7"/>
    <w:rsid w:val="003D5FD8"/>
    <w:rsid w:val="003D614A"/>
    <w:rsid w:val="003D61C4"/>
    <w:rsid w:val="003D6429"/>
    <w:rsid w:val="003D6485"/>
    <w:rsid w:val="003D6497"/>
    <w:rsid w:val="003D6617"/>
    <w:rsid w:val="003D6783"/>
    <w:rsid w:val="003D6892"/>
    <w:rsid w:val="003D6A13"/>
    <w:rsid w:val="003D6AB8"/>
    <w:rsid w:val="003D6B96"/>
    <w:rsid w:val="003D6CAA"/>
    <w:rsid w:val="003D6DFF"/>
    <w:rsid w:val="003D6EB0"/>
    <w:rsid w:val="003D6F3A"/>
    <w:rsid w:val="003D6F89"/>
    <w:rsid w:val="003D720B"/>
    <w:rsid w:val="003D7342"/>
    <w:rsid w:val="003D741B"/>
    <w:rsid w:val="003D74B4"/>
    <w:rsid w:val="003D7500"/>
    <w:rsid w:val="003D75A9"/>
    <w:rsid w:val="003D761F"/>
    <w:rsid w:val="003D7C2D"/>
    <w:rsid w:val="003D7C56"/>
    <w:rsid w:val="003D7D91"/>
    <w:rsid w:val="003D7ECE"/>
    <w:rsid w:val="003D7F18"/>
    <w:rsid w:val="003D7F2D"/>
    <w:rsid w:val="003E01BA"/>
    <w:rsid w:val="003E0281"/>
    <w:rsid w:val="003E0366"/>
    <w:rsid w:val="003E036A"/>
    <w:rsid w:val="003E03C5"/>
    <w:rsid w:val="003E076F"/>
    <w:rsid w:val="003E0879"/>
    <w:rsid w:val="003E0883"/>
    <w:rsid w:val="003E08B5"/>
    <w:rsid w:val="003E0B22"/>
    <w:rsid w:val="003E0E04"/>
    <w:rsid w:val="003E0E25"/>
    <w:rsid w:val="003E0F03"/>
    <w:rsid w:val="003E10C4"/>
    <w:rsid w:val="003E11E5"/>
    <w:rsid w:val="003E12EF"/>
    <w:rsid w:val="003E1449"/>
    <w:rsid w:val="003E15EB"/>
    <w:rsid w:val="003E1771"/>
    <w:rsid w:val="003E17AA"/>
    <w:rsid w:val="003E1817"/>
    <w:rsid w:val="003E18E1"/>
    <w:rsid w:val="003E1906"/>
    <w:rsid w:val="003E1959"/>
    <w:rsid w:val="003E1964"/>
    <w:rsid w:val="003E1983"/>
    <w:rsid w:val="003E19AF"/>
    <w:rsid w:val="003E1B84"/>
    <w:rsid w:val="003E1DC5"/>
    <w:rsid w:val="003E1DE5"/>
    <w:rsid w:val="003E1ECE"/>
    <w:rsid w:val="003E2156"/>
    <w:rsid w:val="003E2361"/>
    <w:rsid w:val="003E2409"/>
    <w:rsid w:val="003E252C"/>
    <w:rsid w:val="003E27F8"/>
    <w:rsid w:val="003E2856"/>
    <w:rsid w:val="003E2A01"/>
    <w:rsid w:val="003E2A1E"/>
    <w:rsid w:val="003E2A90"/>
    <w:rsid w:val="003E2AAF"/>
    <w:rsid w:val="003E2B75"/>
    <w:rsid w:val="003E2BAE"/>
    <w:rsid w:val="003E2D9D"/>
    <w:rsid w:val="003E3047"/>
    <w:rsid w:val="003E314B"/>
    <w:rsid w:val="003E338C"/>
    <w:rsid w:val="003E3510"/>
    <w:rsid w:val="003E3665"/>
    <w:rsid w:val="003E372E"/>
    <w:rsid w:val="003E3743"/>
    <w:rsid w:val="003E3805"/>
    <w:rsid w:val="003E3874"/>
    <w:rsid w:val="003E3883"/>
    <w:rsid w:val="003E3909"/>
    <w:rsid w:val="003E39F0"/>
    <w:rsid w:val="003E3B11"/>
    <w:rsid w:val="003E3BA2"/>
    <w:rsid w:val="003E3D1B"/>
    <w:rsid w:val="003E4287"/>
    <w:rsid w:val="003E437D"/>
    <w:rsid w:val="003E4489"/>
    <w:rsid w:val="003E44B2"/>
    <w:rsid w:val="003E45D3"/>
    <w:rsid w:val="003E4801"/>
    <w:rsid w:val="003E488B"/>
    <w:rsid w:val="003E48B3"/>
    <w:rsid w:val="003E4909"/>
    <w:rsid w:val="003E49F1"/>
    <w:rsid w:val="003E4A2E"/>
    <w:rsid w:val="003E4AF5"/>
    <w:rsid w:val="003E4BE4"/>
    <w:rsid w:val="003E4E02"/>
    <w:rsid w:val="003E4F1C"/>
    <w:rsid w:val="003E507C"/>
    <w:rsid w:val="003E508C"/>
    <w:rsid w:val="003E5140"/>
    <w:rsid w:val="003E521C"/>
    <w:rsid w:val="003E531B"/>
    <w:rsid w:val="003E53BD"/>
    <w:rsid w:val="003E579E"/>
    <w:rsid w:val="003E5B05"/>
    <w:rsid w:val="003E5BA7"/>
    <w:rsid w:val="003E5BBA"/>
    <w:rsid w:val="003E5BDF"/>
    <w:rsid w:val="003E5C24"/>
    <w:rsid w:val="003E6008"/>
    <w:rsid w:val="003E6024"/>
    <w:rsid w:val="003E60CC"/>
    <w:rsid w:val="003E60F4"/>
    <w:rsid w:val="003E6102"/>
    <w:rsid w:val="003E615D"/>
    <w:rsid w:val="003E61A9"/>
    <w:rsid w:val="003E624E"/>
    <w:rsid w:val="003E6418"/>
    <w:rsid w:val="003E64CF"/>
    <w:rsid w:val="003E65E8"/>
    <w:rsid w:val="003E6642"/>
    <w:rsid w:val="003E6683"/>
    <w:rsid w:val="003E6685"/>
    <w:rsid w:val="003E682D"/>
    <w:rsid w:val="003E697A"/>
    <w:rsid w:val="003E69A3"/>
    <w:rsid w:val="003E69A8"/>
    <w:rsid w:val="003E69F4"/>
    <w:rsid w:val="003E6A0D"/>
    <w:rsid w:val="003E6A95"/>
    <w:rsid w:val="003E6C31"/>
    <w:rsid w:val="003E6DB8"/>
    <w:rsid w:val="003E6DFE"/>
    <w:rsid w:val="003E6E8F"/>
    <w:rsid w:val="003E6F4E"/>
    <w:rsid w:val="003E6F72"/>
    <w:rsid w:val="003E7109"/>
    <w:rsid w:val="003E71F1"/>
    <w:rsid w:val="003E7243"/>
    <w:rsid w:val="003E7367"/>
    <w:rsid w:val="003E73C1"/>
    <w:rsid w:val="003E761A"/>
    <w:rsid w:val="003E77BB"/>
    <w:rsid w:val="003E78E1"/>
    <w:rsid w:val="003E79E4"/>
    <w:rsid w:val="003E7B32"/>
    <w:rsid w:val="003E7D14"/>
    <w:rsid w:val="003E7D4F"/>
    <w:rsid w:val="003E7DBB"/>
    <w:rsid w:val="003E7DDA"/>
    <w:rsid w:val="003E7EE8"/>
    <w:rsid w:val="003F01F0"/>
    <w:rsid w:val="003F0316"/>
    <w:rsid w:val="003F063F"/>
    <w:rsid w:val="003F07ED"/>
    <w:rsid w:val="003F0960"/>
    <w:rsid w:val="003F09AA"/>
    <w:rsid w:val="003F0C19"/>
    <w:rsid w:val="003F0CC1"/>
    <w:rsid w:val="003F0E89"/>
    <w:rsid w:val="003F0EF0"/>
    <w:rsid w:val="003F0F32"/>
    <w:rsid w:val="003F1068"/>
    <w:rsid w:val="003F10FB"/>
    <w:rsid w:val="003F1629"/>
    <w:rsid w:val="003F1752"/>
    <w:rsid w:val="003F17D9"/>
    <w:rsid w:val="003F17F3"/>
    <w:rsid w:val="003F18A2"/>
    <w:rsid w:val="003F194C"/>
    <w:rsid w:val="003F1991"/>
    <w:rsid w:val="003F19F0"/>
    <w:rsid w:val="003F1A75"/>
    <w:rsid w:val="003F1A87"/>
    <w:rsid w:val="003F1BC4"/>
    <w:rsid w:val="003F1BE0"/>
    <w:rsid w:val="003F1CF3"/>
    <w:rsid w:val="003F1D8E"/>
    <w:rsid w:val="003F2084"/>
    <w:rsid w:val="003F20EC"/>
    <w:rsid w:val="003F2139"/>
    <w:rsid w:val="003F21BA"/>
    <w:rsid w:val="003F2229"/>
    <w:rsid w:val="003F223F"/>
    <w:rsid w:val="003F2274"/>
    <w:rsid w:val="003F2548"/>
    <w:rsid w:val="003F2575"/>
    <w:rsid w:val="003F258C"/>
    <w:rsid w:val="003F268F"/>
    <w:rsid w:val="003F26EC"/>
    <w:rsid w:val="003F26F6"/>
    <w:rsid w:val="003F287E"/>
    <w:rsid w:val="003F287F"/>
    <w:rsid w:val="003F28AD"/>
    <w:rsid w:val="003F28CD"/>
    <w:rsid w:val="003F296A"/>
    <w:rsid w:val="003F2975"/>
    <w:rsid w:val="003F2BCB"/>
    <w:rsid w:val="003F2D18"/>
    <w:rsid w:val="003F2DC4"/>
    <w:rsid w:val="003F2DEB"/>
    <w:rsid w:val="003F2E02"/>
    <w:rsid w:val="003F2E84"/>
    <w:rsid w:val="003F302D"/>
    <w:rsid w:val="003F30D8"/>
    <w:rsid w:val="003F31C3"/>
    <w:rsid w:val="003F3229"/>
    <w:rsid w:val="003F32AC"/>
    <w:rsid w:val="003F32ED"/>
    <w:rsid w:val="003F3492"/>
    <w:rsid w:val="003F36D1"/>
    <w:rsid w:val="003F373B"/>
    <w:rsid w:val="003F375A"/>
    <w:rsid w:val="003F384E"/>
    <w:rsid w:val="003F385F"/>
    <w:rsid w:val="003F392B"/>
    <w:rsid w:val="003F3935"/>
    <w:rsid w:val="003F3956"/>
    <w:rsid w:val="003F3A4A"/>
    <w:rsid w:val="003F3B4D"/>
    <w:rsid w:val="003F3CEA"/>
    <w:rsid w:val="003F3D6C"/>
    <w:rsid w:val="003F3EF1"/>
    <w:rsid w:val="003F3F4D"/>
    <w:rsid w:val="003F3FA6"/>
    <w:rsid w:val="003F40A8"/>
    <w:rsid w:val="003F4140"/>
    <w:rsid w:val="003F438E"/>
    <w:rsid w:val="003F4468"/>
    <w:rsid w:val="003F45D6"/>
    <w:rsid w:val="003F45EA"/>
    <w:rsid w:val="003F460E"/>
    <w:rsid w:val="003F461E"/>
    <w:rsid w:val="003F4695"/>
    <w:rsid w:val="003F4798"/>
    <w:rsid w:val="003F47D5"/>
    <w:rsid w:val="003F47F0"/>
    <w:rsid w:val="003F491B"/>
    <w:rsid w:val="003F4B26"/>
    <w:rsid w:val="003F4BA6"/>
    <w:rsid w:val="003F4BB5"/>
    <w:rsid w:val="003F4BCC"/>
    <w:rsid w:val="003F4BF6"/>
    <w:rsid w:val="003F4C28"/>
    <w:rsid w:val="003F4E3B"/>
    <w:rsid w:val="003F508F"/>
    <w:rsid w:val="003F50DA"/>
    <w:rsid w:val="003F5135"/>
    <w:rsid w:val="003F52AB"/>
    <w:rsid w:val="003F535A"/>
    <w:rsid w:val="003F55C3"/>
    <w:rsid w:val="003F574E"/>
    <w:rsid w:val="003F575B"/>
    <w:rsid w:val="003F5A4A"/>
    <w:rsid w:val="003F5AAD"/>
    <w:rsid w:val="003F5B4A"/>
    <w:rsid w:val="003F5C30"/>
    <w:rsid w:val="003F5F85"/>
    <w:rsid w:val="003F6127"/>
    <w:rsid w:val="003F6169"/>
    <w:rsid w:val="003F61DA"/>
    <w:rsid w:val="003F6347"/>
    <w:rsid w:val="003F6359"/>
    <w:rsid w:val="003F6645"/>
    <w:rsid w:val="003F6817"/>
    <w:rsid w:val="003F6821"/>
    <w:rsid w:val="003F68CD"/>
    <w:rsid w:val="003F6925"/>
    <w:rsid w:val="003F693F"/>
    <w:rsid w:val="003F6964"/>
    <w:rsid w:val="003F6A3E"/>
    <w:rsid w:val="003F6A76"/>
    <w:rsid w:val="003F6BE8"/>
    <w:rsid w:val="003F6C75"/>
    <w:rsid w:val="003F6DD2"/>
    <w:rsid w:val="003F6E1B"/>
    <w:rsid w:val="003F6F26"/>
    <w:rsid w:val="003F70C7"/>
    <w:rsid w:val="003F719F"/>
    <w:rsid w:val="003F7236"/>
    <w:rsid w:val="003F7244"/>
    <w:rsid w:val="003F72FD"/>
    <w:rsid w:val="003F73E5"/>
    <w:rsid w:val="003F77F6"/>
    <w:rsid w:val="003F78DD"/>
    <w:rsid w:val="003F799D"/>
    <w:rsid w:val="003F7B45"/>
    <w:rsid w:val="003F7C44"/>
    <w:rsid w:val="003F7CCA"/>
    <w:rsid w:val="003F7D57"/>
    <w:rsid w:val="00400031"/>
    <w:rsid w:val="00400070"/>
    <w:rsid w:val="0040028A"/>
    <w:rsid w:val="004005D7"/>
    <w:rsid w:val="00400646"/>
    <w:rsid w:val="004007FA"/>
    <w:rsid w:val="0040083F"/>
    <w:rsid w:val="0040085F"/>
    <w:rsid w:val="004008AC"/>
    <w:rsid w:val="004008EA"/>
    <w:rsid w:val="004009DF"/>
    <w:rsid w:val="004009F6"/>
    <w:rsid w:val="00400A60"/>
    <w:rsid w:val="00400A70"/>
    <w:rsid w:val="00400A73"/>
    <w:rsid w:val="00400AFC"/>
    <w:rsid w:val="00400B20"/>
    <w:rsid w:val="00400B49"/>
    <w:rsid w:val="00400B56"/>
    <w:rsid w:val="00400C01"/>
    <w:rsid w:val="00400D60"/>
    <w:rsid w:val="00400ED3"/>
    <w:rsid w:val="00401068"/>
    <w:rsid w:val="0040109E"/>
    <w:rsid w:val="0040113E"/>
    <w:rsid w:val="004011A9"/>
    <w:rsid w:val="004013CD"/>
    <w:rsid w:val="004015CB"/>
    <w:rsid w:val="00401633"/>
    <w:rsid w:val="004016C9"/>
    <w:rsid w:val="004016D0"/>
    <w:rsid w:val="004016DA"/>
    <w:rsid w:val="004017E6"/>
    <w:rsid w:val="00401A24"/>
    <w:rsid w:val="00401AEA"/>
    <w:rsid w:val="00401C7D"/>
    <w:rsid w:val="00401C87"/>
    <w:rsid w:val="00401CDF"/>
    <w:rsid w:val="00401F17"/>
    <w:rsid w:val="00401F79"/>
    <w:rsid w:val="00402051"/>
    <w:rsid w:val="004020B7"/>
    <w:rsid w:val="004020DD"/>
    <w:rsid w:val="00402214"/>
    <w:rsid w:val="004022B0"/>
    <w:rsid w:val="00402614"/>
    <w:rsid w:val="00402716"/>
    <w:rsid w:val="00402780"/>
    <w:rsid w:val="004028D3"/>
    <w:rsid w:val="00402964"/>
    <w:rsid w:val="004029E9"/>
    <w:rsid w:val="00402AB0"/>
    <w:rsid w:val="00402D44"/>
    <w:rsid w:val="00402D80"/>
    <w:rsid w:val="00402F17"/>
    <w:rsid w:val="00403097"/>
    <w:rsid w:val="004031D9"/>
    <w:rsid w:val="00403216"/>
    <w:rsid w:val="00403218"/>
    <w:rsid w:val="0040354E"/>
    <w:rsid w:val="00403554"/>
    <w:rsid w:val="0040358B"/>
    <w:rsid w:val="004035C5"/>
    <w:rsid w:val="004036FA"/>
    <w:rsid w:val="004038A9"/>
    <w:rsid w:val="004038D4"/>
    <w:rsid w:val="00403913"/>
    <w:rsid w:val="00403B70"/>
    <w:rsid w:val="00403CDB"/>
    <w:rsid w:val="00403E18"/>
    <w:rsid w:val="00403E3A"/>
    <w:rsid w:val="00403FA8"/>
    <w:rsid w:val="00403FBB"/>
    <w:rsid w:val="0040414B"/>
    <w:rsid w:val="0040421A"/>
    <w:rsid w:val="00404319"/>
    <w:rsid w:val="00404518"/>
    <w:rsid w:val="004045DA"/>
    <w:rsid w:val="00404687"/>
    <w:rsid w:val="0040472D"/>
    <w:rsid w:val="00404879"/>
    <w:rsid w:val="00404993"/>
    <w:rsid w:val="00404A5B"/>
    <w:rsid w:val="00404A68"/>
    <w:rsid w:val="00404BE6"/>
    <w:rsid w:val="00404C61"/>
    <w:rsid w:val="00404DA7"/>
    <w:rsid w:val="00405074"/>
    <w:rsid w:val="00405167"/>
    <w:rsid w:val="00405398"/>
    <w:rsid w:val="00405585"/>
    <w:rsid w:val="00405608"/>
    <w:rsid w:val="0040585F"/>
    <w:rsid w:val="004058D2"/>
    <w:rsid w:val="00405906"/>
    <w:rsid w:val="00405907"/>
    <w:rsid w:val="00405934"/>
    <w:rsid w:val="0040594C"/>
    <w:rsid w:val="00405A1F"/>
    <w:rsid w:val="00405B4B"/>
    <w:rsid w:val="00405BA8"/>
    <w:rsid w:val="00405C8F"/>
    <w:rsid w:val="00405CA4"/>
    <w:rsid w:val="00405E81"/>
    <w:rsid w:val="00405ECB"/>
    <w:rsid w:val="00405FD5"/>
    <w:rsid w:val="004060D7"/>
    <w:rsid w:val="004062DE"/>
    <w:rsid w:val="0040642A"/>
    <w:rsid w:val="004064F8"/>
    <w:rsid w:val="0040654B"/>
    <w:rsid w:val="0040668A"/>
    <w:rsid w:val="004066C4"/>
    <w:rsid w:val="00406747"/>
    <w:rsid w:val="00406805"/>
    <w:rsid w:val="0040683E"/>
    <w:rsid w:val="0040694F"/>
    <w:rsid w:val="00406AA2"/>
    <w:rsid w:val="00406CDF"/>
    <w:rsid w:val="00406E90"/>
    <w:rsid w:val="00406F3E"/>
    <w:rsid w:val="00407090"/>
    <w:rsid w:val="004071B3"/>
    <w:rsid w:val="004071B6"/>
    <w:rsid w:val="004071FE"/>
    <w:rsid w:val="00407211"/>
    <w:rsid w:val="004073F0"/>
    <w:rsid w:val="00407523"/>
    <w:rsid w:val="004075D1"/>
    <w:rsid w:val="00407602"/>
    <w:rsid w:val="00407C8A"/>
    <w:rsid w:val="00407D25"/>
    <w:rsid w:val="00407D2A"/>
    <w:rsid w:val="00407D51"/>
    <w:rsid w:val="00407E31"/>
    <w:rsid w:val="00407F18"/>
    <w:rsid w:val="00407F62"/>
    <w:rsid w:val="00410074"/>
    <w:rsid w:val="004104DA"/>
    <w:rsid w:val="0041050B"/>
    <w:rsid w:val="0041074D"/>
    <w:rsid w:val="00410D78"/>
    <w:rsid w:val="00410EA3"/>
    <w:rsid w:val="00410F8E"/>
    <w:rsid w:val="00411078"/>
    <w:rsid w:val="00411110"/>
    <w:rsid w:val="00411118"/>
    <w:rsid w:val="004111CC"/>
    <w:rsid w:val="004111FA"/>
    <w:rsid w:val="0041166E"/>
    <w:rsid w:val="0041168D"/>
    <w:rsid w:val="0041177B"/>
    <w:rsid w:val="00411841"/>
    <w:rsid w:val="0041186B"/>
    <w:rsid w:val="00411B8D"/>
    <w:rsid w:val="00411BA4"/>
    <w:rsid w:val="00411C6D"/>
    <w:rsid w:val="00411D12"/>
    <w:rsid w:val="00411D1D"/>
    <w:rsid w:val="00411E17"/>
    <w:rsid w:val="00411E91"/>
    <w:rsid w:val="00411ED5"/>
    <w:rsid w:val="00411FDA"/>
    <w:rsid w:val="00412099"/>
    <w:rsid w:val="0041210C"/>
    <w:rsid w:val="00412288"/>
    <w:rsid w:val="00412301"/>
    <w:rsid w:val="00412359"/>
    <w:rsid w:val="004123BB"/>
    <w:rsid w:val="00412442"/>
    <w:rsid w:val="00412454"/>
    <w:rsid w:val="00412520"/>
    <w:rsid w:val="00412538"/>
    <w:rsid w:val="004125DB"/>
    <w:rsid w:val="004127E8"/>
    <w:rsid w:val="004127F8"/>
    <w:rsid w:val="00412840"/>
    <w:rsid w:val="00412A6E"/>
    <w:rsid w:val="00412AA7"/>
    <w:rsid w:val="00412BA9"/>
    <w:rsid w:val="00412BB3"/>
    <w:rsid w:val="00412C60"/>
    <w:rsid w:val="00412C95"/>
    <w:rsid w:val="00412CEC"/>
    <w:rsid w:val="00412D5B"/>
    <w:rsid w:val="00412DAB"/>
    <w:rsid w:val="00412DF3"/>
    <w:rsid w:val="00413108"/>
    <w:rsid w:val="00413139"/>
    <w:rsid w:val="004131E3"/>
    <w:rsid w:val="004133AD"/>
    <w:rsid w:val="004136FF"/>
    <w:rsid w:val="0041372E"/>
    <w:rsid w:val="004137FD"/>
    <w:rsid w:val="004139E1"/>
    <w:rsid w:val="00413BEF"/>
    <w:rsid w:val="00413BF4"/>
    <w:rsid w:val="00413C15"/>
    <w:rsid w:val="00413D65"/>
    <w:rsid w:val="00413DFA"/>
    <w:rsid w:val="00413F85"/>
    <w:rsid w:val="00413F86"/>
    <w:rsid w:val="004140D8"/>
    <w:rsid w:val="00414218"/>
    <w:rsid w:val="0041421C"/>
    <w:rsid w:val="0041423E"/>
    <w:rsid w:val="00414247"/>
    <w:rsid w:val="0041428C"/>
    <w:rsid w:val="00414294"/>
    <w:rsid w:val="00414473"/>
    <w:rsid w:val="004144CE"/>
    <w:rsid w:val="00414569"/>
    <w:rsid w:val="0041462A"/>
    <w:rsid w:val="0041473C"/>
    <w:rsid w:val="00414876"/>
    <w:rsid w:val="00414973"/>
    <w:rsid w:val="00414AED"/>
    <w:rsid w:val="00414DDA"/>
    <w:rsid w:val="00414E8B"/>
    <w:rsid w:val="0041502F"/>
    <w:rsid w:val="00415050"/>
    <w:rsid w:val="004150BB"/>
    <w:rsid w:val="00415126"/>
    <w:rsid w:val="0041527B"/>
    <w:rsid w:val="004153B2"/>
    <w:rsid w:val="00415409"/>
    <w:rsid w:val="0041541F"/>
    <w:rsid w:val="00415481"/>
    <w:rsid w:val="0041549E"/>
    <w:rsid w:val="004157A8"/>
    <w:rsid w:val="00415871"/>
    <w:rsid w:val="00415934"/>
    <w:rsid w:val="00415BCC"/>
    <w:rsid w:val="00415E8A"/>
    <w:rsid w:val="00415FA4"/>
    <w:rsid w:val="0041616E"/>
    <w:rsid w:val="00416337"/>
    <w:rsid w:val="004163BB"/>
    <w:rsid w:val="0041647F"/>
    <w:rsid w:val="004165FC"/>
    <w:rsid w:val="00416713"/>
    <w:rsid w:val="00416880"/>
    <w:rsid w:val="00416930"/>
    <w:rsid w:val="004169D0"/>
    <w:rsid w:val="00416A3C"/>
    <w:rsid w:val="00416B65"/>
    <w:rsid w:val="00416C7F"/>
    <w:rsid w:val="00416DDD"/>
    <w:rsid w:val="00416DE9"/>
    <w:rsid w:val="00416FDD"/>
    <w:rsid w:val="004171EA"/>
    <w:rsid w:val="004173A5"/>
    <w:rsid w:val="0041742E"/>
    <w:rsid w:val="00417562"/>
    <w:rsid w:val="004175B3"/>
    <w:rsid w:val="004175F8"/>
    <w:rsid w:val="00417677"/>
    <w:rsid w:val="004176F9"/>
    <w:rsid w:val="004178E3"/>
    <w:rsid w:val="00417A22"/>
    <w:rsid w:val="00417A52"/>
    <w:rsid w:val="00417A85"/>
    <w:rsid w:val="00417B26"/>
    <w:rsid w:val="00417BA3"/>
    <w:rsid w:val="00417CE7"/>
    <w:rsid w:val="00417D84"/>
    <w:rsid w:val="00417DF8"/>
    <w:rsid w:val="00417F80"/>
    <w:rsid w:val="00417F93"/>
    <w:rsid w:val="00417FE0"/>
    <w:rsid w:val="004200DD"/>
    <w:rsid w:val="00420139"/>
    <w:rsid w:val="004201D7"/>
    <w:rsid w:val="004202BE"/>
    <w:rsid w:val="0042032E"/>
    <w:rsid w:val="0042037D"/>
    <w:rsid w:val="00420565"/>
    <w:rsid w:val="00420814"/>
    <w:rsid w:val="00420988"/>
    <w:rsid w:val="00420A4D"/>
    <w:rsid w:val="00420BD7"/>
    <w:rsid w:val="00420F49"/>
    <w:rsid w:val="00420F7E"/>
    <w:rsid w:val="0042104E"/>
    <w:rsid w:val="0042117D"/>
    <w:rsid w:val="004211C8"/>
    <w:rsid w:val="004213EB"/>
    <w:rsid w:val="00421454"/>
    <w:rsid w:val="00421638"/>
    <w:rsid w:val="0042181B"/>
    <w:rsid w:val="0042187B"/>
    <w:rsid w:val="004218B2"/>
    <w:rsid w:val="00421991"/>
    <w:rsid w:val="00421AFF"/>
    <w:rsid w:val="00421BFA"/>
    <w:rsid w:val="00421D3A"/>
    <w:rsid w:val="00421DF5"/>
    <w:rsid w:val="00421E6F"/>
    <w:rsid w:val="00421ED1"/>
    <w:rsid w:val="00421FD8"/>
    <w:rsid w:val="004220AB"/>
    <w:rsid w:val="0042212E"/>
    <w:rsid w:val="00422141"/>
    <w:rsid w:val="0042222E"/>
    <w:rsid w:val="004222AE"/>
    <w:rsid w:val="00422379"/>
    <w:rsid w:val="00422547"/>
    <w:rsid w:val="0042274B"/>
    <w:rsid w:val="0042290C"/>
    <w:rsid w:val="0042299B"/>
    <w:rsid w:val="004229A7"/>
    <w:rsid w:val="004229D7"/>
    <w:rsid w:val="00422B4C"/>
    <w:rsid w:val="00422C01"/>
    <w:rsid w:val="00422C90"/>
    <w:rsid w:val="00422DED"/>
    <w:rsid w:val="00422E3E"/>
    <w:rsid w:val="00422ECA"/>
    <w:rsid w:val="00422F50"/>
    <w:rsid w:val="00423050"/>
    <w:rsid w:val="0042321A"/>
    <w:rsid w:val="004232EF"/>
    <w:rsid w:val="00423311"/>
    <w:rsid w:val="00423334"/>
    <w:rsid w:val="004233C7"/>
    <w:rsid w:val="00423472"/>
    <w:rsid w:val="004234E0"/>
    <w:rsid w:val="00423505"/>
    <w:rsid w:val="0042353D"/>
    <w:rsid w:val="00423623"/>
    <w:rsid w:val="004236DA"/>
    <w:rsid w:val="004236E5"/>
    <w:rsid w:val="00423819"/>
    <w:rsid w:val="0042381C"/>
    <w:rsid w:val="0042394A"/>
    <w:rsid w:val="0042397E"/>
    <w:rsid w:val="004239F8"/>
    <w:rsid w:val="00423C4E"/>
    <w:rsid w:val="00423CCB"/>
    <w:rsid w:val="00423CF0"/>
    <w:rsid w:val="00423E6C"/>
    <w:rsid w:val="00423E81"/>
    <w:rsid w:val="00423EBE"/>
    <w:rsid w:val="00423F17"/>
    <w:rsid w:val="00424120"/>
    <w:rsid w:val="0042412B"/>
    <w:rsid w:val="00424259"/>
    <w:rsid w:val="00424283"/>
    <w:rsid w:val="004243C5"/>
    <w:rsid w:val="0042461C"/>
    <w:rsid w:val="004246B0"/>
    <w:rsid w:val="00424718"/>
    <w:rsid w:val="00424ABA"/>
    <w:rsid w:val="00424C84"/>
    <w:rsid w:val="00424D3C"/>
    <w:rsid w:val="00424D81"/>
    <w:rsid w:val="00424EAB"/>
    <w:rsid w:val="00424ED2"/>
    <w:rsid w:val="00424EF1"/>
    <w:rsid w:val="004251CC"/>
    <w:rsid w:val="0042525B"/>
    <w:rsid w:val="00425384"/>
    <w:rsid w:val="004253AA"/>
    <w:rsid w:val="004253B7"/>
    <w:rsid w:val="004254DB"/>
    <w:rsid w:val="0042556F"/>
    <w:rsid w:val="00425618"/>
    <w:rsid w:val="004256F6"/>
    <w:rsid w:val="0042574B"/>
    <w:rsid w:val="004257EA"/>
    <w:rsid w:val="0042592F"/>
    <w:rsid w:val="00425947"/>
    <w:rsid w:val="00425965"/>
    <w:rsid w:val="00425A72"/>
    <w:rsid w:val="00425A8B"/>
    <w:rsid w:val="00425B00"/>
    <w:rsid w:val="00425C3F"/>
    <w:rsid w:val="00425C43"/>
    <w:rsid w:val="00425D4A"/>
    <w:rsid w:val="0042632C"/>
    <w:rsid w:val="0042648E"/>
    <w:rsid w:val="00426607"/>
    <w:rsid w:val="0042679F"/>
    <w:rsid w:val="00426958"/>
    <w:rsid w:val="004269DE"/>
    <w:rsid w:val="00426B56"/>
    <w:rsid w:val="00426D55"/>
    <w:rsid w:val="00426DDC"/>
    <w:rsid w:val="00426F18"/>
    <w:rsid w:val="00427027"/>
    <w:rsid w:val="0042719A"/>
    <w:rsid w:val="00427539"/>
    <w:rsid w:val="00427659"/>
    <w:rsid w:val="00427805"/>
    <w:rsid w:val="0042783A"/>
    <w:rsid w:val="004279FD"/>
    <w:rsid w:val="00427A99"/>
    <w:rsid w:val="00427AAF"/>
    <w:rsid w:val="00427ABD"/>
    <w:rsid w:val="00427B34"/>
    <w:rsid w:val="00427BCE"/>
    <w:rsid w:val="00427C94"/>
    <w:rsid w:val="00427CCD"/>
    <w:rsid w:val="00427DEB"/>
    <w:rsid w:val="00427E0F"/>
    <w:rsid w:val="00427EA7"/>
    <w:rsid w:val="00430098"/>
    <w:rsid w:val="0043012D"/>
    <w:rsid w:val="004301B7"/>
    <w:rsid w:val="004301B8"/>
    <w:rsid w:val="004302CD"/>
    <w:rsid w:val="004303CB"/>
    <w:rsid w:val="00430436"/>
    <w:rsid w:val="00430453"/>
    <w:rsid w:val="004304F1"/>
    <w:rsid w:val="004305AE"/>
    <w:rsid w:val="00430673"/>
    <w:rsid w:val="00430732"/>
    <w:rsid w:val="00430751"/>
    <w:rsid w:val="004307ED"/>
    <w:rsid w:val="004307F9"/>
    <w:rsid w:val="00430848"/>
    <w:rsid w:val="00430A41"/>
    <w:rsid w:val="00430B1A"/>
    <w:rsid w:val="00430C71"/>
    <w:rsid w:val="00430DF6"/>
    <w:rsid w:val="00430F3B"/>
    <w:rsid w:val="00430FF9"/>
    <w:rsid w:val="00431039"/>
    <w:rsid w:val="00431630"/>
    <w:rsid w:val="00431746"/>
    <w:rsid w:val="00431774"/>
    <w:rsid w:val="00431847"/>
    <w:rsid w:val="00431901"/>
    <w:rsid w:val="00431987"/>
    <w:rsid w:val="00431988"/>
    <w:rsid w:val="00431A0C"/>
    <w:rsid w:val="00431AC9"/>
    <w:rsid w:val="00431ADC"/>
    <w:rsid w:val="00431B97"/>
    <w:rsid w:val="00431BB1"/>
    <w:rsid w:val="00431C88"/>
    <w:rsid w:val="00431CCA"/>
    <w:rsid w:val="00431DB4"/>
    <w:rsid w:val="00431EED"/>
    <w:rsid w:val="00431FCC"/>
    <w:rsid w:val="0043202E"/>
    <w:rsid w:val="004321A5"/>
    <w:rsid w:val="0043228F"/>
    <w:rsid w:val="0043242F"/>
    <w:rsid w:val="004324FF"/>
    <w:rsid w:val="00432582"/>
    <w:rsid w:val="0043263A"/>
    <w:rsid w:val="00432648"/>
    <w:rsid w:val="0043268B"/>
    <w:rsid w:val="004326F4"/>
    <w:rsid w:val="00432818"/>
    <w:rsid w:val="0043293C"/>
    <w:rsid w:val="004329D1"/>
    <w:rsid w:val="00432B86"/>
    <w:rsid w:val="00432B9C"/>
    <w:rsid w:val="00432BFC"/>
    <w:rsid w:val="00432D83"/>
    <w:rsid w:val="00432F2F"/>
    <w:rsid w:val="00432F50"/>
    <w:rsid w:val="00432F5F"/>
    <w:rsid w:val="00432FD5"/>
    <w:rsid w:val="0043305B"/>
    <w:rsid w:val="00433125"/>
    <w:rsid w:val="0043313D"/>
    <w:rsid w:val="00433188"/>
    <w:rsid w:val="00433263"/>
    <w:rsid w:val="004332CF"/>
    <w:rsid w:val="0043330E"/>
    <w:rsid w:val="00433517"/>
    <w:rsid w:val="0043378D"/>
    <w:rsid w:val="004339C8"/>
    <w:rsid w:val="004339DF"/>
    <w:rsid w:val="00433C44"/>
    <w:rsid w:val="00433DFF"/>
    <w:rsid w:val="00433E14"/>
    <w:rsid w:val="00433E20"/>
    <w:rsid w:val="00433E26"/>
    <w:rsid w:val="00433FFD"/>
    <w:rsid w:val="0043411D"/>
    <w:rsid w:val="004342F3"/>
    <w:rsid w:val="0043430C"/>
    <w:rsid w:val="00434395"/>
    <w:rsid w:val="004343A5"/>
    <w:rsid w:val="00434414"/>
    <w:rsid w:val="00434547"/>
    <w:rsid w:val="004348D6"/>
    <w:rsid w:val="004348FB"/>
    <w:rsid w:val="00434934"/>
    <w:rsid w:val="0043493E"/>
    <w:rsid w:val="0043498F"/>
    <w:rsid w:val="004349BD"/>
    <w:rsid w:val="004349F8"/>
    <w:rsid w:val="00434A45"/>
    <w:rsid w:val="00434C4E"/>
    <w:rsid w:val="00434C70"/>
    <w:rsid w:val="00434DF6"/>
    <w:rsid w:val="00434E77"/>
    <w:rsid w:val="00434F60"/>
    <w:rsid w:val="00435118"/>
    <w:rsid w:val="00435140"/>
    <w:rsid w:val="0043519D"/>
    <w:rsid w:val="004352FA"/>
    <w:rsid w:val="004353E6"/>
    <w:rsid w:val="00435714"/>
    <w:rsid w:val="0043589E"/>
    <w:rsid w:val="00435902"/>
    <w:rsid w:val="00435A81"/>
    <w:rsid w:val="00435A8D"/>
    <w:rsid w:val="00435A95"/>
    <w:rsid w:val="00435AAA"/>
    <w:rsid w:val="00435B51"/>
    <w:rsid w:val="00435CB6"/>
    <w:rsid w:val="00435D0A"/>
    <w:rsid w:val="00435D32"/>
    <w:rsid w:val="00435D8C"/>
    <w:rsid w:val="00435E22"/>
    <w:rsid w:val="00435E9D"/>
    <w:rsid w:val="00435F68"/>
    <w:rsid w:val="004360F0"/>
    <w:rsid w:val="0043610D"/>
    <w:rsid w:val="0043633D"/>
    <w:rsid w:val="00436365"/>
    <w:rsid w:val="00436369"/>
    <w:rsid w:val="004363B8"/>
    <w:rsid w:val="00436565"/>
    <w:rsid w:val="0043669A"/>
    <w:rsid w:val="00436718"/>
    <w:rsid w:val="004367A7"/>
    <w:rsid w:val="004367C8"/>
    <w:rsid w:val="00436899"/>
    <w:rsid w:val="00436937"/>
    <w:rsid w:val="00436A7B"/>
    <w:rsid w:val="00436A91"/>
    <w:rsid w:val="00436AF9"/>
    <w:rsid w:val="00436BD7"/>
    <w:rsid w:val="00436C09"/>
    <w:rsid w:val="00436C17"/>
    <w:rsid w:val="00436C91"/>
    <w:rsid w:val="00436EE0"/>
    <w:rsid w:val="00437383"/>
    <w:rsid w:val="004373B9"/>
    <w:rsid w:val="0043741E"/>
    <w:rsid w:val="004374B8"/>
    <w:rsid w:val="004374BC"/>
    <w:rsid w:val="00437672"/>
    <w:rsid w:val="0043773C"/>
    <w:rsid w:val="004377D9"/>
    <w:rsid w:val="0043796B"/>
    <w:rsid w:val="00437B08"/>
    <w:rsid w:val="00437DCB"/>
    <w:rsid w:val="00437E7E"/>
    <w:rsid w:val="00437FAC"/>
    <w:rsid w:val="00440040"/>
    <w:rsid w:val="00440095"/>
    <w:rsid w:val="004400AF"/>
    <w:rsid w:val="004400F6"/>
    <w:rsid w:val="004401F6"/>
    <w:rsid w:val="004402C5"/>
    <w:rsid w:val="004406E1"/>
    <w:rsid w:val="00440910"/>
    <w:rsid w:val="004409C7"/>
    <w:rsid w:val="00440C1D"/>
    <w:rsid w:val="00440C6D"/>
    <w:rsid w:val="00440D5C"/>
    <w:rsid w:val="00440E9C"/>
    <w:rsid w:val="00440F99"/>
    <w:rsid w:val="004410F5"/>
    <w:rsid w:val="00441197"/>
    <w:rsid w:val="00441288"/>
    <w:rsid w:val="004412C0"/>
    <w:rsid w:val="004413E3"/>
    <w:rsid w:val="004415BD"/>
    <w:rsid w:val="004416F8"/>
    <w:rsid w:val="0044176C"/>
    <w:rsid w:val="004418D4"/>
    <w:rsid w:val="00441A75"/>
    <w:rsid w:val="00441AD0"/>
    <w:rsid w:val="00441C50"/>
    <w:rsid w:val="00441C9A"/>
    <w:rsid w:val="00441CEB"/>
    <w:rsid w:val="00441D0D"/>
    <w:rsid w:val="00441E95"/>
    <w:rsid w:val="00441F9C"/>
    <w:rsid w:val="00442132"/>
    <w:rsid w:val="00442240"/>
    <w:rsid w:val="00442253"/>
    <w:rsid w:val="00442298"/>
    <w:rsid w:val="004422E1"/>
    <w:rsid w:val="0044243F"/>
    <w:rsid w:val="004425E9"/>
    <w:rsid w:val="004429B9"/>
    <w:rsid w:val="004429E1"/>
    <w:rsid w:val="00442A17"/>
    <w:rsid w:val="00442C37"/>
    <w:rsid w:val="00442CFE"/>
    <w:rsid w:val="00442FAD"/>
    <w:rsid w:val="00442FD6"/>
    <w:rsid w:val="00443058"/>
    <w:rsid w:val="00443079"/>
    <w:rsid w:val="0044308F"/>
    <w:rsid w:val="004430F4"/>
    <w:rsid w:val="00443109"/>
    <w:rsid w:val="00443147"/>
    <w:rsid w:val="00443185"/>
    <w:rsid w:val="004431A3"/>
    <w:rsid w:val="004432BA"/>
    <w:rsid w:val="00443453"/>
    <w:rsid w:val="0044354E"/>
    <w:rsid w:val="0044365D"/>
    <w:rsid w:val="004436B1"/>
    <w:rsid w:val="004436C2"/>
    <w:rsid w:val="004437D9"/>
    <w:rsid w:val="00443843"/>
    <w:rsid w:val="004438D0"/>
    <w:rsid w:val="004439E5"/>
    <w:rsid w:val="00443A75"/>
    <w:rsid w:val="00443B14"/>
    <w:rsid w:val="00443BC0"/>
    <w:rsid w:val="00443C16"/>
    <w:rsid w:val="00443CBA"/>
    <w:rsid w:val="00443CFE"/>
    <w:rsid w:val="00443D4F"/>
    <w:rsid w:val="00443D53"/>
    <w:rsid w:val="00443E7C"/>
    <w:rsid w:val="00443F11"/>
    <w:rsid w:val="00443FDD"/>
    <w:rsid w:val="00443FFC"/>
    <w:rsid w:val="00444218"/>
    <w:rsid w:val="0044431D"/>
    <w:rsid w:val="00444328"/>
    <w:rsid w:val="00444405"/>
    <w:rsid w:val="00444449"/>
    <w:rsid w:val="004444C4"/>
    <w:rsid w:val="004444CC"/>
    <w:rsid w:val="0044452F"/>
    <w:rsid w:val="00444722"/>
    <w:rsid w:val="00444936"/>
    <w:rsid w:val="00444A64"/>
    <w:rsid w:val="00444A76"/>
    <w:rsid w:val="00444AC3"/>
    <w:rsid w:val="00444AE7"/>
    <w:rsid w:val="00444C72"/>
    <w:rsid w:val="00444E24"/>
    <w:rsid w:val="00444E92"/>
    <w:rsid w:val="00444F5A"/>
    <w:rsid w:val="00445040"/>
    <w:rsid w:val="0044517A"/>
    <w:rsid w:val="004451F5"/>
    <w:rsid w:val="0044527C"/>
    <w:rsid w:val="004452B5"/>
    <w:rsid w:val="004452C6"/>
    <w:rsid w:val="00445333"/>
    <w:rsid w:val="004455EB"/>
    <w:rsid w:val="00445720"/>
    <w:rsid w:val="00445774"/>
    <w:rsid w:val="0044579D"/>
    <w:rsid w:val="00445832"/>
    <w:rsid w:val="0044585E"/>
    <w:rsid w:val="004458FB"/>
    <w:rsid w:val="00445A6E"/>
    <w:rsid w:val="00445D0E"/>
    <w:rsid w:val="00445D1E"/>
    <w:rsid w:val="00445F25"/>
    <w:rsid w:val="00446020"/>
    <w:rsid w:val="004462BB"/>
    <w:rsid w:val="004462D4"/>
    <w:rsid w:val="004464A1"/>
    <w:rsid w:val="0044675A"/>
    <w:rsid w:val="00446831"/>
    <w:rsid w:val="00446860"/>
    <w:rsid w:val="0044699A"/>
    <w:rsid w:val="004469AD"/>
    <w:rsid w:val="00446ABE"/>
    <w:rsid w:val="00446B40"/>
    <w:rsid w:val="00446BF7"/>
    <w:rsid w:val="0044720B"/>
    <w:rsid w:val="004472AF"/>
    <w:rsid w:val="004473C0"/>
    <w:rsid w:val="004474ED"/>
    <w:rsid w:val="00447515"/>
    <w:rsid w:val="00447520"/>
    <w:rsid w:val="00447528"/>
    <w:rsid w:val="00447649"/>
    <w:rsid w:val="004476B5"/>
    <w:rsid w:val="004476DA"/>
    <w:rsid w:val="00447869"/>
    <w:rsid w:val="0044791E"/>
    <w:rsid w:val="004479C5"/>
    <w:rsid w:val="00447A0D"/>
    <w:rsid w:val="00447A2C"/>
    <w:rsid w:val="00447B39"/>
    <w:rsid w:val="00447C3A"/>
    <w:rsid w:val="00447D14"/>
    <w:rsid w:val="00447E2D"/>
    <w:rsid w:val="00447E47"/>
    <w:rsid w:val="00447E9B"/>
    <w:rsid w:val="00447EBD"/>
    <w:rsid w:val="0045005A"/>
    <w:rsid w:val="0045009A"/>
    <w:rsid w:val="00450111"/>
    <w:rsid w:val="004502D1"/>
    <w:rsid w:val="00450382"/>
    <w:rsid w:val="00450493"/>
    <w:rsid w:val="004505AB"/>
    <w:rsid w:val="00450824"/>
    <w:rsid w:val="00450964"/>
    <w:rsid w:val="00450B73"/>
    <w:rsid w:val="00450BA1"/>
    <w:rsid w:val="00450C56"/>
    <w:rsid w:val="00450D47"/>
    <w:rsid w:val="00450DE9"/>
    <w:rsid w:val="00450FF7"/>
    <w:rsid w:val="004510ED"/>
    <w:rsid w:val="004510F9"/>
    <w:rsid w:val="00451250"/>
    <w:rsid w:val="00451289"/>
    <w:rsid w:val="0045133D"/>
    <w:rsid w:val="004513B4"/>
    <w:rsid w:val="0045184A"/>
    <w:rsid w:val="00451A1F"/>
    <w:rsid w:val="00451A9A"/>
    <w:rsid w:val="00451B7D"/>
    <w:rsid w:val="00451B8E"/>
    <w:rsid w:val="00451BDC"/>
    <w:rsid w:val="00451D1D"/>
    <w:rsid w:val="00451F26"/>
    <w:rsid w:val="004520D9"/>
    <w:rsid w:val="00452156"/>
    <w:rsid w:val="004521A2"/>
    <w:rsid w:val="004521E9"/>
    <w:rsid w:val="00452260"/>
    <w:rsid w:val="004522FA"/>
    <w:rsid w:val="00452302"/>
    <w:rsid w:val="0045230A"/>
    <w:rsid w:val="004523C6"/>
    <w:rsid w:val="00452655"/>
    <w:rsid w:val="0045267B"/>
    <w:rsid w:val="004527BD"/>
    <w:rsid w:val="00452842"/>
    <w:rsid w:val="00452AC1"/>
    <w:rsid w:val="00452AC5"/>
    <w:rsid w:val="00452B60"/>
    <w:rsid w:val="00452C79"/>
    <w:rsid w:val="00452D32"/>
    <w:rsid w:val="00452D6E"/>
    <w:rsid w:val="00452E1B"/>
    <w:rsid w:val="00452E83"/>
    <w:rsid w:val="00452EDE"/>
    <w:rsid w:val="00452F85"/>
    <w:rsid w:val="00452F8A"/>
    <w:rsid w:val="00453048"/>
    <w:rsid w:val="0045314B"/>
    <w:rsid w:val="00453164"/>
    <w:rsid w:val="004531EB"/>
    <w:rsid w:val="0045347E"/>
    <w:rsid w:val="0045366D"/>
    <w:rsid w:val="004537E1"/>
    <w:rsid w:val="00453862"/>
    <w:rsid w:val="004539A3"/>
    <w:rsid w:val="00453AFA"/>
    <w:rsid w:val="00453B8F"/>
    <w:rsid w:val="00453BB6"/>
    <w:rsid w:val="00453C76"/>
    <w:rsid w:val="00453CFB"/>
    <w:rsid w:val="00453D91"/>
    <w:rsid w:val="00453DEB"/>
    <w:rsid w:val="00454012"/>
    <w:rsid w:val="00454328"/>
    <w:rsid w:val="004543C7"/>
    <w:rsid w:val="0045440A"/>
    <w:rsid w:val="00454643"/>
    <w:rsid w:val="00454695"/>
    <w:rsid w:val="004546B9"/>
    <w:rsid w:val="0045479C"/>
    <w:rsid w:val="0045487F"/>
    <w:rsid w:val="0045492C"/>
    <w:rsid w:val="00454A81"/>
    <w:rsid w:val="00454BB4"/>
    <w:rsid w:val="00454C99"/>
    <w:rsid w:val="00454CCF"/>
    <w:rsid w:val="00454E2E"/>
    <w:rsid w:val="00454E80"/>
    <w:rsid w:val="0045509A"/>
    <w:rsid w:val="00455181"/>
    <w:rsid w:val="0045524D"/>
    <w:rsid w:val="004552C0"/>
    <w:rsid w:val="004553B1"/>
    <w:rsid w:val="004553BA"/>
    <w:rsid w:val="00455412"/>
    <w:rsid w:val="00455457"/>
    <w:rsid w:val="00455573"/>
    <w:rsid w:val="00455593"/>
    <w:rsid w:val="004555D2"/>
    <w:rsid w:val="0045569C"/>
    <w:rsid w:val="00455A07"/>
    <w:rsid w:val="00455A8F"/>
    <w:rsid w:val="00455A91"/>
    <w:rsid w:val="00455AF8"/>
    <w:rsid w:val="00455C0D"/>
    <w:rsid w:val="00455C39"/>
    <w:rsid w:val="00455DAB"/>
    <w:rsid w:val="00455EF6"/>
    <w:rsid w:val="00455F66"/>
    <w:rsid w:val="00455F74"/>
    <w:rsid w:val="00455F89"/>
    <w:rsid w:val="00455FCC"/>
    <w:rsid w:val="00456042"/>
    <w:rsid w:val="00456164"/>
    <w:rsid w:val="00456295"/>
    <w:rsid w:val="004563FD"/>
    <w:rsid w:val="00456462"/>
    <w:rsid w:val="004564BF"/>
    <w:rsid w:val="00456594"/>
    <w:rsid w:val="0045685E"/>
    <w:rsid w:val="004569C2"/>
    <w:rsid w:val="00456C1D"/>
    <w:rsid w:val="00456C46"/>
    <w:rsid w:val="00456C87"/>
    <w:rsid w:val="00456CF6"/>
    <w:rsid w:val="00456D17"/>
    <w:rsid w:val="00456E9A"/>
    <w:rsid w:val="00456FD6"/>
    <w:rsid w:val="00457018"/>
    <w:rsid w:val="0045713E"/>
    <w:rsid w:val="00457156"/>
    <w:rsid w:val="00457170"/>
    <w:rsid w:val="00457177"/>
    <w:rsid w:val="0045723B"/>
    <w:rsid w:val="00457300"/>
    <w:rsid w:val="00457336"/>
    <w:rsid w:val="004573C8"/>
    <w:rsid w:val="00457614"/>
    <w:rsid w:val="00457814"/>
    <w:rsid w:val="00457870"/>
    <w:rsid w:val="00457949"/>
    <w:rsid w:val="00457D25"/>
    <w:rsid w:val="00457DA6"/>
    <w:rsid w:val="00457DF4"/>
    <w:rsid w:val="00457E7A"/>
    <w:rsid w:val="00460164"/>
    <w:rsid w:val="00460179"/>
    <w:rsid w:val="0046022A"/>
    <w:rsid w:val="00460325"/>
    <w:rsid w:val="004603E5"/>
    <w:rsid w:val="00460423"/>
    <w:rsid w:val="0046058A"/>
    <w:rsid w:val="00460636"/>
    <w:rsid w:val="0046078A"/>
    <w:rsid w:val="004608E0"/>
    <w:rsid w:val="00460955"/>
    <w:rsid w:val="0046097E"/>
    <w:rsid w:val="00460A7E"/>
    <w:rsid w:val="00460C8A"/>
    <w:rsid w:val="00460D3F"/>
    <w:rsid w:val="00460E72"/>
    <w:rsid w:val="00460EEC"/>
    <w:rsid w:val="00460F81"/>
    <w:rsid w:val="004610C4"/>
    <w:rsid w:val="004610E8"/>
    <w:rsid w:val="004612D0"/>
    <w:rsid w:val="00461358"/>
    <w:rsid w:val="00461578"/>
    <w:rsid w:val="0046157B"/>
    <w:rsid w:val="004615BB"/>
    <w:rsid w:val="0046161C"/>
    <w:rsid w:val="00461767"/>
    <w:rsid w:val="0046182C"/>
    <w:rsid w:val="00461907"/>
    <w:rsid w:val="00461A2F"/>
    <w:rsid w:val="00461A62"/>
    <w:rsid w:val="00461C74"/>
    <w:rsid w:val="00461CCA"/>
    <w:rsid w:val="00461D7F"/>
    <w:rsid w:val="00461EE8"/>
    <w:rsid w:val="00462024"/>
    <w:rsid w:val="0046209F"/>
    <w:rsid w:val="004620E2"/>
    <w:rsid w:val="004620E4"/>
    <w:rsid w:val="004620E6"/>
    <w:rsid w:val="0046214C"/>
    <w:rsid w:val="00462295"/>
    <w:rsid w:val="00462382"/>
    <w:rsid w:val="00462430"/>
    <w:rsid w:val="00462543"/>
    <w:rsid w:val="00462576"/>
    <w:rsid w:val="004626BF"/>
    <w:rsid w:val="004627E4"/>
    <w:rsid w:val="004628CF"/>
    <w:rsid w:val="00462BDB"/>
    <w:rsid w:val="00462C18"/>
    <w:rsid w:val="00462CE6"/>
    <w:rsid w:val="00462EFF"/>
    <w:rsid w:val="00462F3F"/>
    <w:rsid w:val="004631D1"/>
    <w:rsid w:val="00463286"/>
    <w:rsid w:val="00463513"/>
    <w:rsid w:val="00463550"/>
    <w:rsid w:val="0046358B"/>
    <w:rsid w:val="004635A2"/>
    <w:rsid w:val="004635DB"/>
    <w:rsid w:val="00463605"/>
    <w:rsid w:val="004636F7"/>
    <w:rsid w:val="0046371B"/>
    <w:rsid w:val="00463781"/>
    <w:rsid w:val="00463791"/>
    <w:rsid w:val="004638EF"/>
    <w:rsid w:val="00463AC8"/>
    <w:rsid w:val="00463C89"/>
    <w:rsid w:val="00463DAD"/>
    <w:rsid w:val="00463E02"/>
    <w:rsid w:val="00463EF0"/>
    <w:rsid w:val="004640A6"/>
    <w:rsid w:val="00464105"/>
    <w:rsid w:val="0046417B"/>
    <w:rsid w:val="00464215"/>
    <w:rsid w:val="00464615"/>
    <w:rsid w:val="00464805"/>
    <w:rsid w:val="0046493A"/>
    <w:rsid w:val="0046494A"/>
    <w:rsid w:val="00464B14"/>
    <w:rsid w:val="00464BC4"/>
    <w:rsid w:val="00464BF9"/>
    <w:rsid w:val="00464C63"/>
    <w:rsid w:val="00464C9C"/>
    <w:rsid w:val="00464D01"/>
    <w:rsid w:val="00464D55"/>
    <w:rsid w:val="00464F6F"/>
    <w:rsid w:val="00465016"/>
    <w:rsid w:val="00465031"/>
    <w:rsid w:val="00465100"/>
    <w:rsid w:val="004652D9"/>
    <w:rsid w:val="004653A5"/>
    <w:rsid w:val="0046562D"/>
    <w:rsid w:val="00465806"/>
    <w:rsid w:val="004658B8"/>
    <w:rsid w:val="00465955"/>
    <w:rsid w:val="0046607C"/>
    <w:rsid w:val="0046615F"/>
    <w:rsid w:val="0046617F"/>
    <w:rsid w:val="0046624A"/>
    <w:rsid w:val="00466371"/>
    <w:rsid w:val="004663A2"/>
    <w:rsid w:val="0046647E"/>
    <w:rsid w:val="004664FC"/>
    <w:rsid w:val="00466508"/>
    <w:rsid w:val="00466670"/>
    <w:rsid w:val="0046668A"/>
    <w:rsid w:val="0046670E"/>
    <w:rsid w:val="004668EB"/>
    <w:rsid w:val="004669FB"/>
    <w:rsid w:val="00466A6A"/>
    <w:rsid w:val="00466ADE"/>
    <w:rsid w:val="00466BA1"/>
    <w:rsid w:val="00466C5D"/>
    <w:rsid w:val="00466EBB"/>
    <w:rsid w:val="00466EED"/>
    <w:rsid w:val="00466FA6"/>
    <w:rsid w:val="00467050"/>
    <w:rsid w:val="0046705B"/>
    <w:rsid w:val="004670BF"/>
    <w:rsid w:val="00467256"/>
    <w:rsid w:val="0046745E"/>
    <w:rsid w:val="004675B3"/>
    <w:rsid w:val="004675E1"/>
    <w:rsid w:val="004678D8"/>
    <w:rsid w:val="004678F0"/>
    <w:rsid w:val="004679FF"/>
    <w:rsid w:val="00467A20"/>
    <w:rsid w:val="00467A83"/>
    <w:rsid w:val="00467C0C"/>
    <w:rsid w:val="00467D09"/>
    <w:rsid w:val="00467E41"/>
    <w:rsid w:val="00467FBC"/>
    <w:rsid w:val="00467FF5"/>
    <w:rsid w:val="00470126"/>
    <w:rsid w:val="004704D8"/>
    <w:rsid w:val="004704F6"/>
    <w:rsid w:val="004705D5"/>
    <w:rsid w:val="004705EA"/>
    <w:rsid w:val="00470627"/>
    <w:rsid w:val="00470668"/>
    <w:rsid w:val="004706BB"/>
    <w:rsid w:val="004706C2"/>
    <w:rsid w:val="00470743"/>
    <w:rsid w:val="004707E7"/>
    <w:rsid w:val="00470826"/>
    <w:rsid w:val="0047082F"/>
    <w:rsid w:val="004708B7"/>
    <w:rsid w:val="004708CC"/>
    <w:rsid w:val="00470942"/>
    <w:rsid w:val="00470A0F"/>
    <w:rsid w:val="00470B34"/>
    <w:rsid w:val="00470DBD"/>
    <w:rsid w:val="00470E10"/>
    <w:rsid w:val="00470E51"/>
    <w:rsid w:val="0047107E"/>
    <w:rsid w:val="004710D9"/>
    <w:rsid w:val="004711DE"/>
    <w:rsid w:val="00471272"/>
    <w:rsid w:val="004712B6"/>
    <w:rsid w:val="0047132B"/>
    <w:rsid w:val="004713EB"/>
    <w:rsid w:val="00471603"/>
    <w:rsid w:val="004716F5"/>
    <w:rsid w:val="00471747"/>
    <w:rsid w:val="004719E9"/>
    <w:rsid w:val="004719FC"/>
    <w:rsid w:val="00471A44"/>
    <w:rsid w:val="00471B20"/>
    <w:rsid w:val="00471B2D"/>
    <w:rsid w:val="00471BBB"/>
    <w:rsid w:val="00471BE5"/>
    <w:rsid w:val="00471CAC"/>
    <w:rsid w:val="00471CB7"/>
    <w:rsid w:val="00471CCC"/>
    <w:rsid w:val="00471CEE"/>
    <w:rsid w:val="00471CF0"/>
    <w:rsid w:val="00471D0E"/>
    <w:rsid w:val="00471DAD"/>
    <w:rsid w:val="00471E30"/>
    <w:rsid w:val="00471EA1"/>
    <w:rsid w:val="00471EBE"/>
    <w:rsid w:val="0047224C"/>
    <w:rsid w:val="00472259"/>
    <w:rsid w:val="0047238D"/>
    <w:rsid w:val="004723F8"/>
    <w:rsid w:val="00472418"/>
    <w:rsid w:val="0047244C"/>
    <w:rsid w:val="0047251D"/>
    <w:rsid w:val="004725FD"/>
    <w:rsid w:val="00472691"/>
    <w:rsid w:val="004726E3"/>
    <w:rsid w:val="00472726"/>
    <w:rsid w:val="00472807"/>
    <w:rsid w:val="00472848"/>
    <w:rsid w:val="004728E6"/>
    <w:rsid w:val="00472A5D"/>
    <w:rsid w:val="00472ADC"/>
    <w:rsid w:val="00472B86"/>
    <w:rsid w:val="00472C8C"/>
    <w:rsid w:val="00472D17"/>
    <w:rsid w:val="00472D2B"/>
    <w:rsid w:val="00472E89"/>
    <w:rsid w:val="00472EF8"/>
    <w:rsid w:val="00472F25"/>
    <w:rsid w:val="004731C2"/>
    <w:rsid w:val="00473225"/>
    <w:rsid w:val="004732E2"/>
    <w:rsid w:val="0047348E"/>
    <w:rsid w:val="0047350B"/>
    <w:rsid w:val="00473511"/>
    <w:rsid w:val="00473581"/>
    <w:rsid w:val="004735DA"/>
    <w:rsid w:val="00473B91"/>
    <w:rsid w:val="00473BE9"/>
    <w:rsid w:val="00473C13"/>
    <w:rsid w:val="00473C93"/>
    <w:rsid w:val="00473D01"/>
    <w:rsid w:val="00473E40"/>
    <w:rsid w:val="00473F83"/>
    <w:rsid w:val="0047404D"/>
    <w:rsid w:val="0047414F"/>
    <w:rsid w:val="00474161"/>
    <w:rsid w:val="004741D4"/>
    <w:rsid w:val="004742F1"/>
    <w:rsid w:val="0047464A"/>
    <w:rsid w:val="00474659"/>
    <w:rsid w:val="0047472B"/>
    <w:rsid w:val="004747B9"/>
    <w:rsid w:val="00474854"/>
    <w:rsid w:val="004748D4"/>
    <w:rsid w:val="004749A6"/>
    <w:rsid w:val="00474A26"/>
    <w:rsid w:val="00474D4C"/>
    <w:rsid w:val="00474E9A"/>
    <w:rsid w:val="00474ED7"/>
    <w:rsid w:val="00474EF9"/>
    <w:rsid w:val="004750C1"/>
    <w:rsid w:val="004750CF"/>
    <w:rsid w:val="0047528A"/>
    <w:rsid w:val="00475351"/>
    <w:rsid w:val="004754DE"/>
    <w:rsid w:val="00475612"/>
    <w:rsid w:val="0047564A"/>
    <w:rsid w:val="00475727"/>
    <w:rsid w:val="0047574A"/>
    <w:rsid w:val="00475836"/>
    <w:rsid w:val="004758F6"/>
    <w:rsid w:val="00475935"/>
    <w:rsid w:val="00475A1C"/>
    <w:rsid w:val="00475AD2"/>
    <w:rsid w:val="00475B5E"/>
    <w:rsid w:val="00475E0A"/>
    <w:rsid w:val="00475E82"/>
    <w:rsid w:val="00475E8C"/>
    <w:rsid w:val="00475F4B"/>
    <w:rsid w:val="00476013"/>
    <w:rsid w:val="0047605F"/>
    <w:rsid w:val="00476146"/>
    <w:rsid w:val="00476147"/>
    <w:rsid w:val="004761A8"/>
    <w:rsid w:val="004762A2"/>
    <w:rsid w:val="004762A7"/>
    <w:rsid w:val="00476461"/>
    <w:rsid w:val="0047653B"/>
    <w:rsid w:val="004765F7"/>
    <w:rsid w:val="00476696"/>
    <w:rsid w:val="00476867"/>
    <w:rsid w:val="004768EA"/>
    <w:rsid w:val="00476BBE"/>
    <w:rsid w:val="00476CB6"/>
    <w:rsid w:val="00477101"/>
    <w:rsid w:val="0047712A"/>
    <w:rsid w:val="00477268"/>
    <w:rsid w:val="00477297"/>
    <w:rsid w:val="004772EA"/>
    <w:rsid w:val="004773DF"/>
    <w:rsid w:val="00477431"/>
    <w:rsid w:val="004774D0"/>
    <w:rsid w:val="004775BA"/>
    <w:rsid w:val="004775CA"/>
    <w:rsid w:val="004776DA"/>
    <w:rsid w:val="00477807"/>
    <w:rsid w:val="00477813"/>
    <w:rsid w:val="004778DB"/>
    <w:rsid w:val="00477936"/>
    <w:rsid w:val="00477AE6"/>
    <w:rsid w:val="00477C97"/>
    <w:rsid w:val="00477D02"/>
    <w:rsid w:val="00477D2C"/>
    <w:rsid w:val="00477DF1"/>
    <w:rsid w:val="00477E52"/>
    <w:rsid w:val="00477E56"/>
    <w:rsid w:val="00480030"/>
    <w:rsid w:val="004800E3"/>
    <w:rsid w:val="0048016B"/>
    <w:rsid w:val="0048024A"/>
    <w:rsid w:val="004803C2"/>
    <w:rsid w:val="004804AB"/>
    <w:rsid w:val="004804E1"/>
    <w:rsid w:val="004804E7"/>
    <w:rsid w:val="004804FB"/>
    <w:rsid w:val="004805D4"/>
    <w:rsid w:val="00480628"/>
    <w:rsid w:val="0048065A"/>
    <w:rsid w:val="0048067F"/>
    <w:rsid w:val="0048069E"/>
    <w:rsid w:val="004806D5"/>
    <w:rsid w:val="00480955"/>
    <w:rsid w:val="004809D5"/>
    <w:rsid w:val="00480AD6"/>
    <w:rsid w:val="00480B5E"/>
    <w:rsid w:val="00480DCC"/>
    <w:rsid w:val="00481143"/>
    <w:rsid w:val="00481159"/>
    <w:rsid w:val="00481192"/>
    <w:rsid w:val="0048137F"/>
    <w:rsid w:val="0048146C"/>
    <w:rsid w:val="004815BF"/>
    <w:rsid w:val="004815C0"/>
    <w:rsid w:val="004816E6"/>
    <w:rsid w:val="004816FA"/>
    <w:rsid w:val="00481731"/>
    <w:rsid w:val="00481896"/>
    <w:rsid w:val="004818CC"/>
    <w:rsid w:val="004818DA"/>
    <w:rsid w:val="004819D1"/>
    <w:rsid w:val="00481AD5"/>
    <w:rsid w:val="00481C74"/>
    <w:rsid w:val="00481DBD"/>
    <w:rsid w:val="00481DC3"/>
    <w:rsid w:val="00481F21"/>
    <w:rsid w:val="00481F9F"/>
    <w:rsid w:val="00482015"/>
    <w:rsid w:val="004820EB"/>
    <w:rsid w:val="0048213F"/>
    <w:rsid w:val="004821E0"/>
    <w:rsid w:val="0048224F"/>
    <w:rsid w:val="004822AC"/>
    <w:rsid w:val="00482505"/>
    <w:rsid w:val="00482582"/>
    <w:rsid w:val="00482840"/>
    <w:rsid w:val="00482868"/>
    <w:rsid w:val="0048296D"/>
    <w:rsid w:val="00482A68"/>
    <w:rsid w:val="00482D9F"/>
    <w:rsid w:val="00482DB0"/>
    <w:rsid w:val="00482DEE"/>
    <w:rsid w:val="00482E48"/>
    <w:rsid w:val="00482EDA"/>
    <w:rsid w:val="00483169"/>
    <w:rsid w:val="00483289"/>
    <w:rsid w:val="00483394"/>
    <w:rsid w:val="004834C4"/>
    <w:rsid w:val="0048350D"/>
    <w:rsid w:val="00483550"/>
    <w:rsid w:val="004835F3"/>
    <w:rsid w:val="004836DB"/>
    <w:rsid w:val="0048377C"/>
    <w:rsid w:val="00483A8F"/>
    <w:rsid w:val="00483CFA"/>
    <w:rsid w:val="00483D35"/>
    <w:rsid w:val="00483FFD"/>
    <w:rsid w:val="00484091"/>
    <w:rsid w:val="004840F4"/>
    <w:rsid w:val="00484187"/>
    <w:rsid w:val="004841B0"/>
    <w:rsid w:val="004841B5"/>
    <w:rsid w:val="004841BD"/>
    <w:rsid w:val="00484519"/>
    <w:rsid w:val="00484570"/>
    <w:rsid w:val="0048457B"/>
    <w:rsid w:val="004845DC"/>
    <w:rsid w:val="004846E8"/>
    <w:rsid w:val="0048470D"/>
    <w:rsid w:val="004847A7"/>
    <w:rsid w:val="004848AB"/>
    <w:rsid w:val="004849A3"/>
    <w:rsid w:val="00484A08"/>
    <w:rsid w:val="00484A74"/>
    <w:rsid w:val="00484A7E"/>
    <w:rsid w:val="00484B77"/>
    <w:rsid w:val="00484C1E"/>
    <w:rsid w:val="00484C36"/>
    <w:rsid w:val="00484CA2"/>
    <w:rsid w:val="00484D3B"/>
    <w:rsid w:val="00484E8E"/>
    <w:rsid w:val="00484EF7"/>
    <w:rsid w:val="00484F9A"/>
    <w:rsid w:val="0048500F"/>
    <w:rsid w:val="0048525A"/>
    <w:rsid w:val="0048530C"/>
    <w:rsid w:val="004853D7"/>
    <w:rsid w:val="004857A4"/>
    <w:rsid w:val="004857ED"/>
    <w:rsid w:val="0048585D"/>
    <w:rsid w:val="004858E6"/>
    <w:rsid w:val="004859F2"/>
    <w:rsid w:val="00485A92"/>
    <w:rsid w:val="00485AFD"/>
    <w:rsid w:val="00485BC8"/>
    <w:rsid w:val="00485C11"/>
    <w:rsid w:val="00485C6F"/>
    <w:rsid w:val="00485F82"/>
    <w:rsid w:val="00486022"/>
    <w:rsid w:val="0048604D"/>
    <w:rsid w:val="00486288"/>
    <w:rsid w:val="004863F2"/>
    <w:rsid w:val="00486415"/>
    <w:rsid w:val="00486468"/>
    <w:rsid w:val="004864A0"/>
    <w:rsid w:val="0048668B"/>
    <w:rsid w:val="004867F0"/>
    <w:rsid w:val="004868AD"/>
    <w:rsid w:val="00486952"/>
    <w:rsid w:val="00486A3B"/>
    <w:rsid w:val="00486A47"/>
    <w:rsid w:val="00486BF9"/>
    <w:rsid w:val="00486CB3"/>
    <w:rsid w:val="00486CD7"/>
    <w:rsid w:val="00486E58"/>
    <w:rsid w:val="00486ECB"/>
    <w:rsid w:val="00486F3B"/>
    <w:rsid w:val="00486FD1"/>
    <w:rsid w:val="004871C0"/>
    <w:rsid w:val="00487287"/>
    <w:rsid w:val="004872F4"/>
    <w:rsid w:val="004874E1"/>
    <w:rsid w:val="0048751B"/>
    <w:rsid w:val="0048767B"/>
    <w:rsid w:val="00487720"/>
    <w:rsid w:val="00487979"/>
    <w:rsid w:val="00487A39"/>
    <w:rsid w:val="00487B10"/>
    <w:rsid w:val="00487BCE"/>
    <w:rsid w:val="00487F80"/>
    <w:rsid w:val="004900BC"/>
    <w:rsid w:val="004900F5"/>
    <w:rsid w:val="00490199"/>
    <w:rsid w:val="004901A6"/>
    <w:rsid w:val="004901C7"/>
    <w:rsid w:val="00490231"/>
    <w:rsid w:val="004903EB"/>
    <w:rsid w:val="00490644"/>
    <w:rsid w:val="0049067E"/>
    <w:rsid w:val="004906A9"/>
    <w:rsid w:val="0049082A"/>
    <w:rsid w:val="0049094B"/>
    <w:rsid w:val="00490CE9"/>
    <w:rsid w:val="00490E13"/>
    <w:rsid w:val="00490FE3"/>
    <w:rsid w:val="00491257"/>
    <w:rsid w:val="004912A7"/>
    <w:rsid w:val="004915B2"/>
    <w:rsid w:val="004915CF"/>
    <w:rsid w:val="0049169F"/>
    <w:rsid w:val="00491816"/>
    <w:rsid w:val="00491833"/>
    <w:rsid w:val="004919F2"/>
    <w:rsid w:val="00491AA0"/>
    <w:rsid w:val="00491BAD"/>
    <w:rsid w:val="00491C9D"/>
    <w:rsid w:val="00491CF8"/>
    <w:rsid w:val="00491DB6"/>
    <w:rsid w:val="00492188"/>
    <w:rsid w:val="0049222B"/>
    <w:rsid w:val="004925EC"/>
    <w:rsid w:val="004926DB"/>
    <w:rsid w:val="00492702"/>
    <w:rsid w:val="00492BBD"/>
    <w:rsid w:val="00492CC8"/>
    <w:rsid w:val="00492D93"/>
    <w:rsid w:val="00492E19"/>
    <w:rsid w:val="00492E6B"/>
    <w:rsid w:val="00492EA7"/>
    <w:rsid w:val="00492F57"/>
    <w:rsid w:val="00492F8A"/>
    <w:rsid w:val="00492F8C"/>
    <w:rsid w:val="0049303C"/>
    <w:rsid w:val="0049308A"/>
    <w:rsid w:val="00493103"/>
    <w:rsid w:val="0049319A"/>
    <w:rsid w:val="004936C2"/>
    <w:rsid w:val="004936D2"/>
    <w:rsid w:val="00493780"/>
    <w:rsid w:val="004937CA"/>
    <w:rsid w:val="00493BEF"/>
    <w:rsid w:val="00493DB0"/>
    <w:rsid w:val="00493F98"/>
    <w:rsid w:val="00494003"/>
    <w:rsid w:val="0049443D"/>
    <w:rsid w:val="0049449E"/>
    <w:rsid w:val="004944FF"/>
    <w:rsid w:val="00494793"/>
    <w:rsid w:val="00494AAD"/>
    <w:rsid w:val="00494C91"/>
    <w:rsid w:val="00494DE6"/>
    <w:rsid w:val="00494E21"/>
    <w:rsid w:val="0049551B"/>
    <w:rsid w:val="004957D1"/>
    <w:rsid w:val="00495928"/>
    <w:rsid w:val="00495A08"/>
    <w:rsid w:val="00495A79"/>
    <w:rsid w:val="00495AEF"/>
    <w:rsid w:val="00495B22"/>
    <w:rsid w:val="00495B9D"/>
    <w:rsid w:val="00495BB8"/>
    <w:rsid w:val="00495C0B"/>
    <w:rsid w:val="00495E22"/>
    <w:rsid w:val="00495E28"/>
    <w:rsid w:val="00496028"/>
    <w:rsid w:val="00496031"/>
    <w:rsid w:val="0049608C"/>
    <w:rsid w:val="0049609D"/>
    <w:rsid w:val="0049611A"/>
    <w:rsid w:val="004961C0"/>
    <w:rsid w:val="004961CC"/>
    <w:rsid w:val="004962E5"/>
    <w:rsid w:val="004963CD"/>
    <w:rsid w:val="00496456"/>
    <w:rsid w:val="00496470"/>
    <w:rsid w:val="004964BB"/>
    <w:rsid w:val="00496908"/>
    <w:rsid w:val="0049693A"/>
    <w:rsid w:val="00496ACF"/>
    <w:rsid w:val="00496BB7"/>
    <w:rsid w:val="00496C64"/>
    <w:rsid w:val="00496CBC"/>
    <w:rsid w:val="00497028"/>
    <w:rsid w:val="0049707D"/>
    <w:rsid w:val="0049738F"/>
    <w:rsid w:val="00497515"/>
    <w:rsid w:val="00497555"/>
    <w:rsid w:val="00497729"/>
    <w:rsid w:val="0049779B"/>
    <w:rsid w:val="004978CF"/>
    <w:rsid w:val="00497997"/>
    <w:rsid w:val="00497B79"/>
    <w:rsid w:val="00497CA3"/>
    <w:rsid w:val="00497DF6"/>
    <w:rsid w:val="00497EBD"/>
    <w:rsid w:val="00497EDD"/>
    <w:rsid w:val="004A00E5"/>
    <w:rsid w:val="004A0140"/>
    <w:rsid w:val="004A01B9"/>
    <w:rsid w:val="004A042D"/>
    <w:rsid w:val="004A0438"/>
    <w:rsid w:val="004A04D4"/>
    <w:rsid w:val="004A0548"/>
    <w:rsid w:val="004A0554"/>
    <w:rsid w:val="004A0717"/>
    <w:rsid w:val="004A08DF"/>
    <w:rsid w:val="004A0923"/>
    <w:rsid w:val="004A09B6"/>
    <w:rsid w:val="004A0A6E"/>
    <w:rsid w:val="004A0AB6"/>
    <w:rsid w:val="004A0B15"/>
    <w:rsid w:val="004A0B5E"/>
    <w:rsid w:val="004A0BFF"/>
    <w:rsid w:val="004A0D3F"/>
    <w:rsid w:val="004A0D42"/>
    <w:rsid w:val="004A0EA7"/>
    <w:rsid w:val="004A1022"/>
    <w:rsid w:val="004A106B"/>
    <w:rsid w:val="004A1112"/>
    <w:rsid w:val="004A12AF"/>
    <w:rsid w:val="004A138A"/>
    <w:rsid w:val="004A13CE"/>
    <w:rsid w:val="004A141D"/>
    <w:rsid w:val="004A1593"/>
    <w:rsid w:val="004A164A"/>
    <w:rsid w:val="004A16C1"/>
    <w:rsid w:val="004A184E"/>
    <w:rsid w:val="004A190B"/>
    <w:rsid w:val="004A1999"/>
    <w:rsid w:val="004A1AF8"/>
    <w:rsid w:val="004A1BE5"/>
    <w:rsid w:val="004A1BF9"/>
    <w:rsid w:val="004A1C36"/>
    <w:rsid w:val="004A1E72"/>
    <w:rsid w:val="004A1ED2"/>
    <w:rsid w:val="004A2128"/>
    <w:rsid w:val="004A22BC"/>
    <w:rsid w:val="004A2379"/>
    <w:rsid w:val="004A2380"/>
    <w:rsid w:val="004A23C2"/>
    <w:rsid w:val="004A2506"/>
    <w:rsid w:val="004A2630"/>
    <w:rsid w:val="004A266C"/>
    <w:rsid w:val="004A2730"/>
    <w:rsid w:val="004A2AA7"/>
    <w:rsid w:val="004A2D71"/>
    <w:rsid w:val="004A2FD6"/>
    <w:rsid w:val="004A30B4"/>
    <w:rsid w:val="004A3198"/>
    <w:rsid w:val="004A31B1"/>
    <w:rsid w:val="004A33FE"/>
    <w:rsid w:val="004A344A"/>
    <w:rsid w:val="004A3473"/>
    <w:rsid w:val="004A3504"/>
    <w:rsid w:val="004A3520"/>
    <w:rsid w:val="004A3543"/>
    <w:rsid w:val="004A37C0"/>
    <w:rsid w:val="004A37D4"/>
    <w:rsid w:val="004A384A"/>
    <w:rsid w:val="004A389E"/>
    <w:rsid w:val="004A397A"/>
    <w:rsid w:val="004A3AB8"/>
    <w:rsid w:val="004A3B8A"/>
    <w:rsid w:val="004A3C4F"/>
    <w:rsid w:val="004A3E1F"/>
    <w:rsid w:val="004A3ECD"/>
    <w:rsid w:val="004A3F6B"/>
    <w:rsid w:val="004A3F8D"/>
    <w:rsid w:val="004A4027"/>
    <w:rsid w:val="004A4314"/>
    <w:rsid w:val="004A4480"/>
    <w:rsid w:val="004A449D"/>
    <w:rsid w:val="004A44E8"/>
    <w:rsid w:val="004A4603"/>
    <w:rsid w:val="004A47C5"/>
    <w:rsid w:val="004A4B72"/>
    <w:rsid w:val="004A4C56"/>
    <w:rsid w:val="004A4EAB"/>
    <w:rsid w:val="004A4F2D"/>
    <w:rsid w:val="004A4FD6"/>
    <w:rsid w:val="004A503D"/>
    <w:rsid w:val="004A50AA"/>
    <w:rsid w:val="004A50EC"/>
    <w:rsid w:val="004A5145"/>
    <w:rsid w:val="004A5219"/>
    <w:rsid w:val="004A522F"/>
    <w:rsid w:val="004A538D"/>
    <w:rsid w:val="004A573B"/>
    <w:rsid w:val="004A57D9"/>
    <w:rsid w:val="004A58F5"/>
    <w:rsid w:val="004A5953"/>
    <w:rsid w:val="004A59BF"/>
    <w:rsid w:val="004A59EB"/>
    <w:rsid w:val="004A5B35"/>
    <w:rsid w:val="004A5B8F"/>
    <w:rsid w:val="004A5C97"/>
    <w:rsid w:val="004A5D39"/>
    <w:rsid w:val="004A5D85"/>
    <w:rsid w:val="004A5EA0"/>
    <w:rsid w:val="004A5EC6"/>
    <w:rsid w:val="004A5F2F"/>
    <w:rsid w:val="004A5F42"/>
    <w:rsid w:val="004A5F78"/>
    <w:rsid w:val="004A5FBF"/>
    <w:rsid w:val="004A60CC"/>
    <w:rsid w:val="004A612F"/>
    <w:rsid w:val="004A63CA"/>
    <w:rsid w:val="004A64B1"/>
    <w:rsid w:val="004A64E9"/>
    <w:rsid w:val="004A658F"/>
    <w:rsid w:val="004A659E"/>
    <w:rsid w:val="004A65D1"/>
    <w:rsid w:val="004A6832"/>
    <w:rsid w:val="004A6859"/>
    <w:rsid w:val="004A69C6"/>
    <w:rsid w:val="004A69F4"/>
    <w:rsid w:val="004A6A9E"/>
    <w:rsid w:val="004A6C02"/>
    <w:rsid w:val="004A6C4B"/>
    <w:rsid w:val="004A6D01"/>
    <w:rsid w:val="004A6DC9"/>
    <w:rsid w:val="004A6E20"/>
    <w:rsid w:val="004A6E2E"/>
    <w:rsid w:val="004A6EE7"/>
    <w:rsid w:val="004A6EF0"/>
    <w:rsid w:val="004A6FBE"/>
    <w:rsid w:val="004A6FC1"/>
    <w:rsid w:val="004A71A5"/>
    <w:rsid w:val="004A71AD"/>
    <w:rsid w:val="004A7240"/>
    <w:rsid w:val="004A7278"/>
    <w:rsid w:val="004A72FE"/>
    <w:rsid w:val="004A7312"/>
    <w:rsid w:val="004A731D"/>
    <w:rsid w:val="004A733D"/>
    <w:rsid w:val="004A7340"/>
    <w:rsid w:val="004A756E"/>
    <w:rsid w:val="004A773F"/>
    <w:rsid w:val="004A78A7"/>
    <w:rsid w:val="004A7956"/>
    <w:rsid w:val="004A79F7"/>
    <w:rsid w:val="004A7CD1"/>
    <w:rsid w:val="004A7DE7"/>
    <w:rsid w:val="004A7E30"/>
    <w:rsid w:val="004A7F31"/>
    <w:rsid w:val="004B004D"/>
    <w:rsid w:val="004B010C"/>
    <w:rsid w:val="004B0242"/>
    <w:rsid w:val="004B0265"/>
    <w:rsid w:val="004B0285"/>
    <w:rsid w:val="004B0355"/>
    <w:rsid w:val="004B039A"/>
    <w:rsid w:val="004B03FF"/>
    <w:rsid w:val="004B048C"/>
    <w:rsid w:val="004B063F"/>
    <w:rsid w:val="004B06DC"/>
    <w:rsid w:val="004B08A2"/>
    <w:rsid w:val="004B098F"/>
    <w:rsid w:val="004B0A92"/>
    <w:rsid w:val="004B0B6E"/>
    <w:rsid w:val="004B0BA7"/>
    <w:rsid w:val="004B0BB1"/>
    <w:rsid w:val="004B0BD1"/>
    <w:rsid w:val="004B0C60"/>
    <w:rsid w:val="004B0CB1"/>
    <w:rsid w:val="004B0ED3"/>
    <w:rsid w:val="004B10DF"/>
    <w:rsid w:val="004B1231"/>
    <w:rsid w:val="004B133C"/>
    <w:rsid w:val="004B13F6"/>
    <w:rsid w:val="004B1740"/>
    <w:rsid w:val="004B17B7"/>
    <w:rsid w:val="004B18C6"/>
    <w:rsid w:val="004B1A2F"/>
    <w:rsid w:val="004B1A9F"/>
    <w:rsid w:val="004B1BD8"/>
    <w:rsid w:val="004B1E36"/>
    <w:rsid w:val="004B1E40"/>
    <w:rsid w:val="004B1EF1"/>
    <w:rsid w:val="004B20D2"/>
    <w:rsid w:val="004B218D"/>
    <w:rsid w:val="004B21A7"/>
    <w:rsid w:val="004B21EB"/>
    <w:rsid w:val="004B2424"/>
    <w:rsid w:val="004B261B"/>
    <w:rsid w:val="004B2828"/>
    <w:rsid w:val="004B28FA"/>
    <w:rsid w:val="004B2CA6"/>
    <w:rsid w:val="004B2CF0"/>
    <w:rsid w:val="004B2E34"/>
    <w:rsid w:val="004B2E61"/>
    <w:rsid w:val="004B3025"/>
    <w:rsid w:val="004B303F"/>
    <w:rsid w:val="004B3185"/>
    <w:rsid w:val="004B31E1"/>
    <w:rsid w:val="004B3221"/>
    <w:rsid w:val="004B324E"/>
    <w:rsid w:val="004B32B6"/>
    <w:rsid w:val="004B333B"/>
    <w:rsid w:val="004B3445"/>
    <w:rsid w:val="004B349F"/>
    <w:rsid w:val="004B34C5"/>
    <w:rsid w:val="004B35BB"/>
    <w:rsid w:val="004B3701"/>
    <w:rsid w:val="004B3713"/>
    <w:rsid w:val="004B3A42"/>
    <w:rsid w:val="004B3A5B"/>
    <w:rsid w:val="004B3B1A"/>
    <w:rsid w:val="004B3B94"/>
    <w:rsid w:val="004B3BEB"/>
    <w:rsid w:val="004B3CC7"/>
    <w:rsid w:val="004B3DC1"/>
    <w:rsid w:val="004B3EAB"/>
    <w:rsid w:val="004B4149"/>
    <w:rsid w:val="004B427D"/>
    <w:rsid w:val="004B440E"/>
    <w:rsid w:val="004B4512"/>
    <w:rsid w:val="004B4581"/>
    <w:rsid w:val="004B45A1"/>
    <w:rsid w:val="004B46B9"/>
    <w:rsid w:val="004B495E"/>
    <w:rsid w:val="004B4A5F"/>
    <w:rsid w:val="004B4A9A"/>
    <w:rsid w:val="004B4B0A"/>
    <w:rsid w:val="004B4C67"/>
    <w:rsid w:val="004B4E60"/>
    <w:rsid w:val="004B4F67"/>
    <w:rsid w:val="004B4F6E"/>
    <w:rsid w:val="004B4FE0"/>
    <w:rsid w:val="004B500B"/>
    <w:rsid w:val="004B5047"/>
    <w:rsid w:val="004B5141"/>
    <w:rsid w:val="004B5490"/>
    <w:rsid w:val="004B55B1"/>
    <w:rsid w:val="004B573A"/>
    <w:rsid w:val="004B586F"/>
    <w:rsid w:val="004B5880"/>
    <w:rsid w:val="004B58F0"/>
    <w:rsid w:val="004B5914"/>
    <w:rsid w:val="004B5B5A"/>
    <w:rsid w:val="004B5C88"/>
    <w:rsid w:val="004B5D1E"/>
    <w:rsid w:val="004B5E48"/>
    <w:rsid w:val="004B60D5"/>
    <w:rsid w:val="004B624C"/>
    <w:rsid w:val="004B630D"/>
    <w:rsid w:val="004B64AD"/>
    <w:rsid w:val="004B6511"/>
    <w:rsid w:val="004B65C2"/>
    <w:rsid w:val="004B6654"/>
    <w:rsid w:val="004B6766"/>
    <w:rsid w:val="004B6777"/>
    <w:rsid w:val="004B68D1"/>
    <w:rsid w:val="004B691C"/>
    <w:rsid w:val="004B6B8F"/>
    <w:rsid w:val="004B6C34"/>
    <w:rsid w:val="004B6DD4"/>
    <w:rsid w:val="004B6E72"/>
    <w:rsid w:val="004B6E7B"/>
    <w:rsid w:val="004B6F5F"/>
    <w:rsid w:val="004B70FF"/>
    <w:rsid w:val="004B7196"/>
    <w:rsid w:val="004B720F"/>
    <w:rsid w:val="004B73A7"/>
    <w:rsid w:val="004B7465"/>
    <w:rsid w:val="004B75E9"/>
    <w:rsid w:val="004B76BF"/>
    <w:rsid w:val="004B77CA"/>
    <w:rsid w:val="004B7B13"/>
    <w:rsid w:val="004B7C0D"/>
    <w:rsid w:val="004B7C45"/>
    <w:rsid w:val="004B7EB4"/>
    <w:rsid w:val="004B7FF6"/>
    <w:rsid w:val="004C0340"/>
    <w:rsid w:val="004C0383"/>
    <w:rsid w:val="004C0446"/>
    <w:rsid w:val="004C0790"/>
    <w:rsid w:val="004C079D"/>
    <w:rsid w:val="004C07B8"/>
    <w:rsid w:val="004C07F8"/>
    <w:rsid w:val="004C09B5"/>
    <w:rsid w:val="004C0A18"/>
    <w:rsid w:val="004C0A2F"/>
    <w:rsid w:val="004C0A78"/>
    <w:rsid w:val="004C0A90"/>
    <w:rsid w:val="004C0DBC"/>
    <w:rsid w:val="004C0E38"/>
    <w:rsid w:val="004C0EBD"/>
    <w:rsid w:val="004C0EF4"/>
    <w:rsid w:val="004C0F80"/>
    <w:rsid w:val="004C0FA5"/>
    <w:rsid w:val="004C104A"/>
    <w:rsid w:val="004C1117"/>
    <w:rsid w:val="004C1128"/>
    <w:rsid w:val="004C1306"/>
    <w:rsid w:val="004C1318"/>
    <w:rsid w:val="004C132E"/>
    <w:rsid w:val="004C135A"/>
    <w:rsid w:val="004C135B"/>
    <w:rsid w:val="004C1394"/>
    <w:rsid w:val="004C13CF"/>
    <w:rsid w:val="004C1402"/>
    <w:rsid w:val="004C15C6"/>
    <w:rsid w:val="004C15F9"/>
    <w:rsid w:val="004C1681"/>
    <w:rsid w:val="004C1886"/>
    <w:rsid w:val="004C19EF"/>
    <w:rsid w:val="004C1B1E"/>
    <w:rsid w:val="004C1B72"/>
    <w:rsid w:val="004C1B95"/>
    <w:rsid w:val="004C1BD9"/>
    <w:rsid w:val="004C1E42"/>
    <w:rsid w:val="004C2113"/>
    <w:rsid w:val="004C2122"/>
    <w:rsid w:val="004C2217"/>
    <w:rsid w:val="004C225D"/>
    <w:rsid w:val="004C279A"/>
    <w:rsid w:val="004C29DF"/>
    <w:rsid w:val="004C2A04"/>
    <w:rsid w:val="004C2C6B"/>
    <w:rsid w:val="004C2CEC"/>
    <w:rsid w:val="004C2D54"/>
    <w:rsid w:val="004C2FE4"/>
    <w:rsid w:val="004C303F"/>
    <w:rsid w:val="004C307B"/>
    <w:rsid w:val="004C309C"/>
    <w:rsid w:val="004C30F7"/>
    <w:rsid w:val="004C31B4"/>
    <w:rsid w:val="004C34BD"/>
    <w:rsid w:val="004C34D3"/>
    <w:rsid w:val="004C362E"/>
    <w:rsid w:val="004C372C"/>
    <w:rsid w:val="004C3891"/>
    <w:rsid w:val="004C395D"/>
    <w:rsid w:val="004C39EF"/>
    <w:rsid w:val="004C3D00"/>
    <w:rsid w:val="004C3D9B"/>
    <w:rsid w:val="004C3DFA"/>
    <w:rsid w:val="004C3E9D"/>
    <w:rsid w:val="004C3EE5"/>
    <w:rsid w:val="004C3FF5"/>
    <w:rsid w:val="004C4064"/>
    <w:rsid w:val="004C4270"/>
    <w:rsid w:val="004C42C1"/>
    <w:rsid w:val="004C4346"/>
    <w:rsid w:val="004C444E"/>
    <w:rsid w:val="004C45BD"/>
    <w:rsid w:val="004C45F3"/>
    <w:rsid w:val="004C47DE"/>
    <w:rsid w:val="004C4844"/>
    <w:rsid w:val="004C48B2"/>
    <w:rsid w:val="004C4AE0"/>
    <w:rsid w:val="004C4DCE"/>
    <w:rsid w:val="004C4E9D"/>
    <w:rsid w:val="004C4F3A"/>
    <w:rsid w:val="004C4FF6"/>
    <w:rsid w:val="004C5092"/>
    <w:rsid w:val="004C51FD"/>
    <w:rsid w:val="004C5304"/>
    <w:rsid w:val="004C53F6"/>
    <w:rsid w:val="004C54AA"/>
    <w:rsid w:val="004C54DF"/>
    <w:rsid w:val="004C58D1"/>
    <w:rsid w:val="004C5913"/>
    <w:rsid w:val="004C5A0B"/>
    <w:rsid w:val="004C5AD6"/>
    <w:rsid w:val="004C5F0E"/>
    <w:rsid w:val="004C5FEB"/>
    <w:rsid w:val="004C6071"/>
    <w:rsid w:val="004C6109"/>
    <w:rsid w:val="004C6113"/>
    <w:rsid w:val="004C61D9"/>
    <w:rsid w:val="004C6238"/>
    <w:rsid w:val="004C628C"/>
    <w:rsid w:val="004C6432"/>
    <w:rsid w:val="004C68FA"/>
    <w:rsid w:val="004C69E1"/>
    <w:rsid w:val="004C6A57"/>
    <w:rsid w:val="004C6BE8"/>
    <w:rsid w:val="004C6C05"/>
    <w:rsid w:val="004C6C81"/>
    <w:rsid w:val="004C6E3C"/>
    <w:rsid w:val="004C7008"/>
    <w:rsid w:val="004C7035"/>
    <w:rsid w:val="004C7056"/>
    <w:rsid w:val="004C71E4"/>
    <w:rsid w:val="004C71EA"/>
    <w:rsid w:val="004C7213"/>
    <w:rsid w:val="004C7259"/>
    <w:rsid w:val="004C7330"/>
    <w:rsid w:val="004C760F"/>
    <w:rsid w:val="004C7723"/>
    <w:rsid w:val="004C7734"/>
    <w:rsid w:val="004C7740"/>
    <w:rsid w:val="004C7871"/>
    <w:rsid w:val="004C7910"/>
    <w:rsid w:val="004C79F3"/>
    <w:rsid w:val="004C7AFD"/>
    <w:rsid w:val="004C7BDA"/>
    <w:rsid w:val="004C7C20"/>
    <w:rsid w:val="004C7D91"/>
    <w:rsid w:val="004C7FB6"/>
    <w:rsid w:val="004D0024"/>
    <w:rsid w:val="004D0117"/>
    <w:rsid w:val="004D0266"/>
    <w:rsid w:val="004D02F8"/>
    <w:rsid w:val="004D03B9"/>
    <w:rsid w:val="004D044E"/>
    <w:rsid w:val="004D0660"/>
    <w:rsid w:val="004D070A"/>
    <w:rsid w:val="004D0728"/>
    <w:rsid w:val="004D09FF"/>
    <w:rsid w:val="004D0A0E"/>
    <w:rsid w:val="004D0A23"/>
    <w:rsid w:val="004D0BA5"/>
    <w:rsid w:val="004D0C27"/>
    <w:rsid w:val="004D0CD5"/>
    <w:rsid w:val="004D0FCF"/>
    <w:rsid w:val="004D11A0"/>
    <w:rsid w:val="004D11BF"/>
    <w:rsid w:val="004D1498"/>
    <w:rsid w:val="004D1504"/>
    <w:rsid w:val="004D1629"/>
    <w:rsid w:val="004D1761"/>
    <w:rsid w:val="004D1933"/>
    <w:rsid w:val="004D1ABE"/>
    <w:rsid w:val="004D1B03"/>
    <w:rsid w:val="004D1B7C"/>
    <w:rsid w:val="004D1C46"/>
    <w:rsid w:val="004D1C64"/>
    <w:rsid w:val="004D1CA4"/>
    <w:rsid w:val="004D1FCA"/>
    <w:rsid w:val="004D20D6"/>
    <w:rsid w:val="004D216D"/>
    <w:rsid w:val="004D21B2"/>
    <w:rsid w:val="004D2316"/>
    <w:rsid w:val="004D2467"/>
    <w:rsid w:val="004D249E"/>
    <w:rsid w:val="004D2679"/>
    <w:rsid w:val="004D2796"/>
    <w:rsid w:val="004D27FF"/>
    <w:rsid w:val="004D2880"/>
    <w:rsid w:val="004D2983"/>
    <w:rsid w:val="004D29B3"/>
    <w:rsid w:val="004D2A4B"/>
    <w:rsid w:val="004D2AD6"/>
    <w:rsid w:val="004D2C20"/>
    <w:rsid w:val="004D2CFC"/>
    <w:rsid w:val="004D2D65"/>
    <w:rsid w:val="004D2EEF"/>
    <w:rsid w:val="004D2F4B"/>
    <w:rsid w:val="004D3000"/>
    <w:rsid w:val="004D301C"/>
    <w:rsid w:val="004D30FA"/>
    <w:rsid w:val="004D3161"/>
    <w:rsid w:val="004D31E5"/>
    <w:rsid w:val="004D3200"/>
    <w:rsid w:val="004D33C3"/>
    <w:rsid w:val="004D343B"/>
    <w:rsid w:val="004D345A"/>
    <w:rsid w:val="004D3549"/>
    <w:rsid w:val="004D3572"/>
    <w:rsid w:val="004D3606"/>
    <w:rsid w:val="004D367C"/>
    <w:rsid w:val="004D3690"/>
    <w:rsid w:val="004D386D"/>
    <w:rsid w:val="004D3A0C"/>
    <w:rsid w:val="004D3B30"/>
    <w:rsid w:val="004D3BB2"/>
    <w:rsid w:val="004D3C2C"/>
    <w:rsid w:val="004D3D37"/>
    <w:rsid w:val="004D3D8B"/>
    <w:rsid w:val="004D3DC8"/>
    <w:rsid w:val="004D3F03"/>
    <w:rsid w:val="004D3F5B"/>
    <w:rsid w:val="004D404A"/>
    <w:rsid w:val="004D407D"/>
    <w:rsid w:val="004D4218"/>
    <w:rsid w:val="004D4251"/>
    <w:rsid w:val="004D426A"/>
    <w:rsid w:val="004D4318"/>
    <w:rsid w:val="004D438F"/>
    <w:rsid w:val="004D44EF"/>
    <w:rsid w:val="004D4565"/>
    <w:rsid w:val="004D4659"/>
    <w:rsid w:val="004D4667"/>
    <w:rsid w:val="004D46AB"/>
    <w:rsid w:val="004D49AF"/>
    <w:rsid w:val="004D4BB8"/>
    <w:rsid w:val="004D4C9B"/>
    <w:rsid w:val="004D4D9E"/>
    <w:rsid w:val="004D4F2A"/>
    <w:rsid w:val="004D520F"/>
    <w:rsid w:val="004D52FA"/>
    <w:rsid w:val="004D53C5"/>
    <w:rsid w:val="004D5517"/>
    <w:rsid w:val="004D5523"/>
    <w:rsid w:val="004D56E3"/>
    <w:rsid w:val="004D5726"/>
    <w:rsid w:val="004D5758"/>
    <w:rsid w:val="004D5840"/>
    <w:rsid w:val="004D58E1"/>
    <w:rsid w:val="004D58FE"/>
    <w:rsid w:val="004D59E7"/>
    <w:rsid w:val="004D5CFD"/>
    <w:rsid w:val="004D5D12"/>
    <w:rsid w:val="004D5E4C"/>
    <w:rsid w:val="004D5F05"/>
    <w:rsid w:val="004D63CC"/>
    <w:rsid w:val="004D63F7"/>
    <w:rsid w:val="004D642E"/>
    <w:rsid w:val="004D64C5"/>
    <w:rsid w:val="004D6605"/>
    <w:rsid w:val="004D669F"/>
    <w:rsid w:val="004D66CE"/>
    <w:rsid w:val="004D6887"/>
    <w:rsid w:val="004D68E3"/>
    <w:rsid w:val="004D691A"/>
    <w:rsid w:val="004D6A19"/>
    <w:rsid w:val="004D6B70"/>
    <w:rsid w:val="004D6B94"/>
    <w:rsid w:val="004D6BA2"/>
    <w:rsid w:val="004D6D13"/>
    <w:rsid w:val="004D6D7B"/>
    <w:rsid w:val="004D6F72"/>
    <w:rsid w:val="004D6F7F"/>
    <w:rsid w:val="004D6FB3"/>
    <w:rsid w:val="004D7064"/>
    <w:rsid w:val="004D7066"/>
    <w:rsid w:val="004D7168"/>
    <w:rsid w:val="004D7397"/>
    <w:rsid w:val="004D73B9"/>
    <w:rsid w:val="004D73D2"/>
    <w:rsid w:val="004D7842"/>
    <w:rsid w:val="004D79B0"/>
    <w:rsid w:val="004D79B4"/>
    <w:rsid w:val="004D7BDA"/>
    <w:rsid w:val="004D7E94"/>
    <w:rsid w:val="004D7F05"/>
    <w:rsid w:val="004D7F44"/>
    <w:rsid w:val="004D7FD8"/>
    <w:rsid w:val="004E01FB"/>
    <w:rsid w:val="004E021F"/>
    <w:rsid w:val="004E02EA"/>
    <w:rsid w:val="004E02F6"/>
    <w:rsid w:val="004E05DB"/>
    <w:rsid w:val="004E0632"/>
    <w:rsid w:val="004E064A"/>
    <w:rsid w:val="004E07DB"/>
    <w:rsid w:val="004E082F"/>
    <w:rsid w:val="004E090E"/>
    <w:rsid w:val="004E0958"/>
    <w:rsid w:val="004E09C8"/>
    <w:rsid w:val="004E0A97"/>
    <w:rsid w:val="004E0AA5"/>
    <w:rsid w:val="004E0B9F"/>
    <w:rsid w:val="004E0D90"/>
    <w:rsid w:val="004E0DCD"/>
    <w:rsid w:val="004E0E80"/>
    <w:rsid w:val="004E0F43"/>
    <w:rsid w:val="004E0F94"/>
    <w:rsid w:val="004E0FE9"/>
    <w:rsid w:val="004E101A"/>
    <w:rsid w:val="004E1174"/>
    <w:rsid w:val="004E12EA"/>
    <w:rsid w:val="004E14F1"/>
    <w:rsid w:val="004E1523"/>
    <w:rsid w:val="004E1604"/>
    <w:rsid w:val="004E1736"/>
    <w:rsid w:val="004E17C4"/>
    <w:rsid w:val="004E18EC"/>
    <w:rsid w:val="004E195B"/>
    <w:rsid w:val="004E1979"/>
    <w:rsid w:val="004E19A0"/>
    <w:rsid w:val="004E1A52"/>
    <w:rsid w:val="004E1B36"/>
    <w:rsid w:val="004E1D7D"/>
    <w:rsid w:val="004E1DF1"/>
    <w:rsid w:val="004E1E0F"/>
    <w:rsid w:val="004E1F08"/>
    <w:rsid w:val="004E2029"/>
    <w:rsid w:val="004E2032"/>
    <w:rsid w:val="004E2286"/>
    <w:rsid w:val="004E241E"/>
    <w:rsid w:val="004E24C3"/>
    <w:rsid w:val="004E2576"/>
    <w:rsid w:val="004E27A6"/>
    <w:rsid w:val="004E297F"/>
    <w:rsid w:val="004E2BA7"/>
    <w:rsid w:val="004E2EA2"/>
    <w:rsid w:val="004E2F12"/>
    <w:rsid w:val="004E3246"/>
    <w:rsid w:val="004E3265"/>
    <w:rsid w:val="004E3327"/>
    <w:rsid w:val="004E33E4"/>
    <w:rsid w:val="004E33EE"/>
    <w:rsid w:val="004E3547"/>
    <w:rsid w:val="004E3559"/>
    <w:rsid w:val="004E3613"/>
    <w:rsid w:val="004E362B"/>
    <w:rsid w:val="004E3893"/>
    <w:rsid w:val="004E38E7"/>
    <w:rsid w:val="004E3934"/>
    <w:rsid w:val="004E39F5"/>
    <w:rsid w:val="004E3A82"/>
    <w:rsid w:val="004E3A84"/>
    <w:rsid w:val="004E3AA9"/>
    <w:rsid w:val="004E3C1F"/>
    <w:rsid w:val="004E3D3C"/>
    <w:rsid w:val="004E3D59"/>
    <w:rsid w:val="004E3D75"/>
    <w:rsid w:val="004E3E79"/>
    <w:rsid w:val="004E3FBB"/>
    <w:rsid w:val="004E406A"/>
    <w:rsid w:val="004E423D"/>
    <w:rsid w:val="004E42A0"/>
    <w:rsid w:val="004E42D5"/>
    <w:rsid w:val="004E4407"/>
    <w:rsid w:val="004E47ED"/>
    <w:rsid w:val="004E48BD"/>
    <w:rsid w:val="004E4981"/>
    <w:rsid w:val="004E4BEB"/>
    <w:rsid w:val="004E4C97"/>
    <w:rsid w:val="004E4D3D"/>
    <w:rsid w:val="004E4D6E"/>
    <w:rsid w:val="004E4E23"/>
    <w:rsid w:val="004E4F28"/>
    <w:rsid w:val="004E507B"/>
    <w:rsid w:val="004E50D1"/>
    <w:rsid w:val="004E5105"/>
    <w:rsid w:val="004E528A"/>
    <w:rsid w:val="004E5294"/>
    <w:rsid w:val="004E5670"/>
    <w:rsid w:val="004E572F"/>
    <w:rsid w:val="004E5867"/>
    <w:rsid w:val="004E5AA7"/>
    <w:rsid w:val="004E5B32"/>
    <w:rsid w:val="004E5C16"/>
    <w:rsid w:val="004E5C69"/>
    <w:rsid w:val="004E5EC2"/>
    <w:rsid w:val="004E5FA5"/>
    <w:rsid w:val="004E604E"/>
    <w:rsid w:val="004E60CD"/>
    <w:rsid w:val="004E6198"/>
    <w:rsid w:val="004E628A"/>
    <w:rsid w:val="004E6363"/>
    <w:rsid w:val="004E637B"/>
    <w:rsid w:val="004E6385"/>
    <w:rsid w:val="004E6401"/>
    <w:rsid w:val="004E6544"/>
    <w:rsid w:val="004E6611"/>
    <w:rsid w:val="004E67A3"/>
    <w:rsid w:val="004E67F3"/>
    <w:rsid w:val="004E68B4"/>
    <w:rsid w:val="004E696A"/>
    <w:rsid w:val="004E69DC"/>
    <w:rsid w:val="004E69E4"/>
    <w:rsid w:val="004E6A00"/>
    <w:rsid w:val="004E6A28"/>
    <w:rsid w:val="004E6A7A"/>
    <w:rsid w:val="004E6B0B"/>
    <w:rsid w:val="004E6BC2"/>
    <w:rsid w:val="004E6E31"/>
    <w:rsid w:val="004E70AA"/>
    <w:rsid w:val="004E74F5"/>
    <w:rsid w:val="004E761B"/>
    <w:rsid w:val="004E769F"/>
    <w:rsid w:val="004E7711"/>
    <w:rsid w:val="004E7737"/>
    <w:rsid w:val="004E7754"/>
    <w:rsid w:val="004E7798"/>
    <w:rsid w:val="004E7819"/>
    <w:rsid w:val="004E7A5F"/>
    <w:rsid w:val="004E7B8C"/>
    <w:rsid w:val="004E7C72"/>
    <w:rsid w:val="004E7E15"/>
    <w:rsid w:val="004E7E25"/>
    <w:rsid w:val="004E7E42"/>
    <w:rsid w:val="004E7E4F"/>
    <w:rsid w:val="004E7E82"/>
    <w:rsid w:val="004E7FE0"/>
    <w:rsid w:val="004F008B"/>
    <w:rsid w:val="004F010E"/>
    <w:rsid w:val="004F0162"/>
    <w:rsid w:val="004F0281"/>
    <w:rsid w:val="004F03BE"/>
    <w:rsid w:val="004F04AB"/>
    <w:rsid w:val="004F06B0"/>
    <w:rsid w:val="004F072E"/>
    <w:rsid w:val="004F0A29"/>
    <w:rsid w:val="004F0E25"/>
    <w:rsid w:val="004F0FA6"/>
    <w:rsid w:val="004F1011"/>
    <w:rsid w:val="004F1116"/>
    <w:rsid w:val="004F12A2"/>
    <w:rsid w:val="004F12E0"/>
    <w:rsid w:val="004F12F1"/>
    <w:rsid w:val="004F1302"/>
    <w:rsid w:val="004F139F"/>
    <w:rsid w:val="004F146A"/>
    <w:rsid w:val="004F150F"/>
    <w:rsid w:val="004F1642"/>
    <w:rsid w:val="004F166F"/>
    <w:rsid w:val="004F16AE"/>
    <w:rsid w:val="004F17C0"/>
    <w:rsid w:val="004F1877"/>
    <w:rsid w:val="004F193D"/>
    <w:rsid w:val="004F1941"/>
    <w:rsid w:val="004F198E"/>
    <w:rsid w:val="004F1AD9"/>
    <w:rsid w:val="004F1AFD"/>
    <w:rsid w:val="004F1B88"/>
    <w:rsid w:val="004F1C27"/>
    <w:rsid w:val="004F1C9A"/>
    <w:rsid w:val="004F1D2D"/>
    <w:rsid w:val="004F1DAB"/>
    <w:rsid w:val="004F1DFB"/>
    <w:rsid w:val="004F1F1A"/>
    <w:rsid w:val="004F1F3C"/>
    <w:rsid w:val="004F1F9D"/>
    <w:rsid w:val="004F20AB"/>
    <w:rsid w:val="004F20B5"/>
    <w:rsid w:val="004F21B7"/>
    <w:rsid w:val="004F24F3"/>
    <w:rsid w:val="004F2722"/>
    <w:rsid w:val="004F2872"/>
    <w:rsid w:val="004F2882"/>
    <w:rsid w:val="004F28FD"/>
    <w:rsid w:val="004F291D"/>
    <w:rsid w:val="004F2A0A"/>
    <w:rsid w:val="004F2AB3"/>
    <w:rsid w:val="004F2AFB"/>
    <w:rsid w:val="004F2B14"/>
    <w:rsid w:val="004F2BB9"/>
    <w:rsid w:val="004F2BC9"/>
    <w:rsid w:val="004F2C79"/>
    <w:rsid w:val="004F2CDF"/>
    <w:rsid w:val="004F2D4C"/>
    <w:rsid w:val="004F2E7E"/>
    <w:rsid w:val="004F2F86"/>
    <w:rsid w:val="004F2FD4"/>
    <w:rsid w:val="004F3083"/>
    <w:rsid w:val="004F3353"/>
    <w:rsid w:val="004F34A9"/>
    <w:rsid w:val="004F3743"/>
    <w:rsid w:val="004F3996"/>
    <w:rsid w:val="004F3A5E"/>
    <w:rsid w:val="004F3ADB"/>
    <w:rsid w:val="004F3AE3"/>
    <w:rsid w:val="004F3B37"/>
    <w:rsid w:val="004F3C9E"/>
    <w:rsid w:val="004F3CCD"/>
    <w:rsid w:val="004F3E29"/>
    <w:rsid w:val="004F3EB9"/>
    <w:rsid w:val="004F4062"/>
    <w:rsid w:val="004F41BE"/>
    <w:rsid w:val="004F41D6"/>
    <w:rsid w:val="004F424C"/>
    <w:rsid w:val="004F4326"/>
    <w:rsid w:val="004F44CC"/>
    <w:rsid w:val="004F450E"/>
    <w:rsid w:val="004F4577"/>
    <w:rsid w:val="004F4615"/>
    <w:rsid w:val="004F46CA"/>
    <w:rsid w:val="004F46EB"/>
    <w:rsid w:val="004F4712"/>
    <w:rsid w:val="004F4791"/>
    <w:rsid w:val="004F482D"/>
    <w:rsid w:val="004F4881"/>
    <w:rsid w:val="004F4A10"/>
    <w:rsid w:val="004F4A12"/>
    <w:rsid w:val="004F4ABA"/>
    <w:rsid w:val="004F4BD0"/>
    <w:rsid w:val="004F4C86"/>
    <w:rsid w:val="004F4C97"/>
    <w:rsid w:val="004F4CCF"/>
    <w:rsid w:val="004F4D25"/>
    <w:rsid w:val="004F4E0C"/>
    <w:rsid w:val="004F4E58"/>
    <w:rsid w:val="004F501D"/>
    <w:rsid w:val="004F511B"/>
    <w:rsid w:val="004F52CA"/>
    <w:rsid w:val="004F52F9"/>
    <w:rsid w:val="004F5355"/>
    <w:rsid w:val="004F54D8"/>
    <w:rsid w:val="004F56C0"/>
    <w:rsid w:val="004F5705"/>
    <w:rsid w:val="004F57E3"/>
    <w:rsid w:val="004F5A1E"/>
    <w:rsid w:val="004F5A90"/>
    <w:rsid w:val="004F5AFA"/>
    <w:rsid w:val="004F5CB1"/>
    <w:rsid w:val="004F5D1A"/>
    <w:rsid w:val="004F5D80"/>
    <w:rsid w:val="004F5D94"/>
    <w:rsid w:val="004F5EA4"/>
    <w:rsid w:val="004F5FA6"/>
    <w:rsid w:val="004F6088"/>
    <w:rsid w:val="004F60A1"/>
    <w:rsid w:val="004F61E3"/>
    <w:rsid w:val="004F62B8"/>
    <w:rsid w:val="004F63AA"/>
    <w:rsid w:val="004F66D5"/>
    <w:rsid w:val="004F68A6"/>
    <w:rsid w:val="004F68B4"/>
    <w:rsid w:val="004F692A"/>
    <w:rsid w:val="004F6A7A"/>
    <w:rsid w:val="004F6ADC"/>
    <w:rsid w:val="004F6B37"/>
    <w:rsid w:val="004F6B7C"/>
    <w:rsid w:val="004F6C29"/>
    <w:rsid w:val="004F6CD3"/>
    <w:rsid w:val="004F6CDA"/>
    <w:rsid w:val="004F6DE0"/>
    <w:rsid w:val="004F754B"/>
    <w:rsid w:val="004F7638"/>
    <w:rsid w:val="004F764D"/>
    <w:rsid w:val="004F76E1"/>
    <w:rsid w:val="004F7834"/>
    <w:rsid w:val="004F78BC"/>
    <w:rsid w:val="004F7A39"/>
    <w:rsid w:val="004F7C93"/>
    <w:rsid w:val="004F7DB0"/>
    <w:rsid w:val="004F7E5D"/>
    <w:rsid w:val="004F7F8D"/>
    <w:rsid w:val="0050021A"/>
    <w:rsid w:val="00500259"/>
    <w:rsid w:val="0050028E"/>
    <w:rsid w:val="00500472"/>
    <w:rsid w:val="00500616"/>
    <w:rsid w:val="0050071A"/>
    <w:rsid w:val="00500875"/>
    <w:rsid w:val="00500A27"/>
    <w:rsid w:val="00500BC2"/>
    <w:rsid w:val="00500BFA"/>
    <w:rsid w:val="00500E71"/>
    <w:rsid w:val="00500F3E"/>
    <w:rsid w:val="00500F8E"/>
    <w:rsid w:val="00501027"/>
    <w:rsid w:val="00501098"/>
    <w:rsid w:val="005011A2"/>
    <w:rsid w:val="005011BF"/>
    <w:rsid w:val="0050133C"/>
    <w:rsid w:val="005013EA"/>
    <w:rsid w:val="0050142B"/>
    <w:rsid w:val="00501550"/>
    <w:rsid w:val="0050168C"/>
    <w:rsid w:val="00501704"/>
    <w:rsid w:val="0050173E"/>
    <w:rsid w:val="00501827"/>
    <w:rsid w:val="0050184F"/>
    <w:rsid w:val="005018D7"/>
    <w:rsid w:val="00501964"/>
    <w:rsid w:val="005019E9"/>
    <w:rsid w:val="00501AE3"/>
    <w:rsid w:val="00501B1E"/>
    <w:rsid w:val="00501C92"/>
    <w:rsid w:val="00501CDC"/>
    <w:rsid w:val="00501ED2"/>
    <w:rsid w:val="00501FBF"/>
    <w:rsid w:val="00502084"/>
    <w:rsid w:val="005020B9"/>
    <w:rsid w:val="0050222C"/>
    <w:rsid w:val="00502335"/>
    <w:rsid w:val="00502391"/>
    <w:rsid w:val="0050264B"/>
    <w:rsid w:val="005026AC"/>
    <w:rsid w:val="005026AF"/>
    <w:rsid w:val="0050274F"/>
    <w:rsid w:val="00502756"/>
    <w:rsid w:val="005027CF"/>
    <w:rsid w:val="005027E1"/>
    <w:rsid w:val="00502994"/>
    <w:rsid w:val="00502AB6"/>
    <w:rsid w:val="00502BF6"/>
    <w:rsid w:val="00502C52"/>
    <w:rsid w:val="00502C88"/>
    <w:rsid w:val="00502EB9"/>
    <w:rsid w:val="00502F22"/>
    <w:rsid w:val="00502F46"/>
    <w:rsid w:val="00502FD5"/>
    <w:rsid w:val="0050314B"/>
    <w:rsid w:val="00503158"/>
    <w:rsid w:val="00503191"/>
    <w:rsid w:val="00503285"/>
    <w:rsid w:val="00503355"/>
    <w:rsid w:val="005033E0"/>
    <w:rsid w:val="005034FC"/>
    <w:rsid w:val="00503738"/>
    <w:rsid w:val="00503936"/>
    <w:rsid w:val="0050397B"/>
    <w:rsid w:val="00503A97"/>
    <w:rsid w:val="00503C79"/>
    <w:rsid w:val="00503E3B"/>
    <w:rsid w:val="00503EB9"/>
    <w:rsid w:val="00503EEF"/>
    <w:rsid w:val="00504019"/>
    <w:rsid w:val="00504028"/>
    <w:rsid w:val="00504049"/>
    <w:rsid w:val="005040BC"/>
    <w:rsid w:val="005043DF"/>
    <w:rsid w:val="00504765"/>
    <w:rsid w:val="00504778"/>
    <w:rsid w:val="005048A6"/>
    <w:rsid w:val="005049AD"/>
    <w:rsid w:val="005049C4"/>
    <w:rsid w:val="00504A89"/>
    <w:rsid w:val="00504BB0"/>
    <w:rsid w:val="00504BE3"/>
    <w:rsid w:val="00504C12"/>
    <w:rsid w:val="005050E5"/>
    <w:rsid w:val="00505150"/>
    <w:rsid w:val="00505272"/>
    <w:rsid w:val="0050555C"/>
    <w:rsid w:val="005057D1"/>
    <w:rsid w:val="00505814"/>
    <w:rsid w:val="00505849"/>
    <w:rsid w:val="0050599C"/>
    <w:rsid w:val="00505A9E"/>
    <w:rsid w:val="00505AA0"/>
    <w:rsid w:val="00505AC0"/>
    <w:rsid w:val="00505ED8"/>
    <w:rsid w:val="00505F48"/>
    <w:rsid w:val="00505FD6"/>
    <w:rsid w:val="0050600B"/>
    <w:rsid w:val="005061F7"/>
    <w:rsid w:val="0050642F"/>
    <w:rsid w:val="0050645B"/>
    <w:rsid w:val="00506590"/>
    <w:rsid w:val="005066DD"/>
    <w:rsid w:val="0050671A"/>
    <w:rsid w:val="0050679F"/>
    <w:rsid w:val="00506801"/>
    <w:rsid w:val="005069A6"/>
    <w:rsid w:val="00506A69"/>
    <w:rsid w:val="00506A6B"/>
    <w:rsid w:val="00506AD8"/>
    <w:rsid w:val="00506B47"/>
    <w:rsid w:val="00506B49"/>
    <w:rsid w:val="00506C8F"/>
    <w:rsid w:val="00506DA3"/>
    <w:rsid w:val="00506DF7"/>
    <w:rsid w:val="00506E14"/>
    <w:rsid w:val="00506E2A"/>
    <w:rsid w:val="00506EF4"/>
    <w:rsid w:val="00506F13"/>
    <w:rsid w:val="005070BB"/>
    <w:rsid w:val="005071D0"/>
    <w:rsid w:val="00507237"/>
    <w:rsid w:val="005075AE"/>
    <w:rsid w:val="005075AF"/>
    <w:rsid w:val="005076F8"/>
    <w:rsid w:val="00507798"/>
    <w:rsid w:val="0050783A"/>
    <w:rsid w:val="0050783C"/>
    <w:rsid w:val="00507A2B"/>
    <w:rsid w:val="00507CC2"/>
    <w:rsid w:val="00507D90"/>
    <w:rsid w:val="00507DD3"/>
    <w:rsid w:val="00507F45"/>
    <w:rsid w:val="0051013C"/>
    <w:rsid w:val="0051025D"/>
    <w:rsid w:val="0051033F"/>
    <w:rsid w:val="00510355"/>
    <w:rsid w:val="00510404"/>
    <w:rsid w:val="0051047A"/>
    <w:rsid w:val="00510663"/>
    <w:rsid w:val="0051068A"/>
    <w:rsid w:val="005106AB"/>
    <w:rsid w:val="005106E2"/>
    <w:rsid w:val="0051077C"/>
    <w:rsid w:val="005107B2"/>
    <w:rsid w:val="0051082B"/>
    <w:rsid w:val="005109F1"/>
    <w:rsid w:val="00510ACE"/>
    <w:rsid w:val="00510C96"/>
    <w:rsid w:val="0051101F"/>
    <w:rsid w:val="00511093"/>
    <w:rsid w:val="005111E2"/>
    <w:rsid w:val="005112AC"/>
    <w:rsid w:val="005112E4"/>
    <w:rsid w:val="00511468"/>
    <w:rsid w:val="005115BA"/>
    <w:rsid w:val="005115BE"/>
    <w:rsid w:val="0051169B"/>
    <w:rsid w:val="005116B2"/>
    <w:rsid w:val="005116E0"/>
    <w:rsid w:val="005116E3"/>
    <w:rsid w:val="0051170D"/>
    <w:rsid w:val="005117A8"/>
    <w:rsid w:val="005117F6"/>
    <w:rsid w:val="00511881"/>
    <w:rsid w:val="0051189F"/>
    <w:rsid w:val="0051197C"/>
    <w:rsid w:val="005119C8"/>
    <w:rsid w:val="00511B9B"/>
    <w:rsid w:val="00511C4C"/>
    <w:rsid w:val="00511C5E"/>
    <w:rsid w:val="00511E3C"/>
    <w:rsid w:val="00511E3E"/>
    <w:rsid w:val="00512300"/>
    <w:rsid w:val="0051251F"/>
    <w:rsid w:val="005127AC"/>
    <w:rsid w:val="005127B8"/>
    <w:rsid w:val="005127CF"/>
    <w:rsid w:val="005128C6"/>
    <w:rsid w:val="00512D9B"/>
    <w:rsid w:val="005130BB"/>
    <w:rsid w:val="00513164"/>
    <w:rsid w:val="00513385"/>
    <w:rsid w:val="00513470"/>
    <w:rsid w:val="0051348C"/>
    <w:rsid w:val="00513537"/>
    <w:rsid w:val="005135F1"/>
    <w:rsid w:val="00513683"/>
    <w:rsid w:val="00513832"/>
    <w:rsid w:val="005138CD"/>
    <w:rsid w:val="00513C1E"/>
    <w:rsid w:val="00513E13"/>
    <w:rsid w:val="00513F06"/>
    <w:rsid w:val="00513FB0"/>
    <w:rsid w:val="0051436F"/>
    <w:rsid w:val="0051440E"/>
    <w:rsid w:val="00514514"/>
    <w:rsid w:val="00514532"/>
    <w:rsid w:val="0051485C"/>
    <w:rsid w:val="005148A8"/>
    <w:rsid w:val="005149C4"/>
    <w:rsid w:val="005149F7"/>
    <w:rsid w:val="00514A1D"/>
    <w:rsid w:val="00514A28"/>
    <w:rsid w:val="00514A37"/>
    <w:rsid w:val="00514BD4"/>
    <w:rsid w:val="00514C0A"/>
    <w:rsid w:val="00514C16"/>
    <w:rsid w:val="00514C1E"/>
    <w:rsid w:val="00514CC8"/>
    <w:rsid w:val="00514D52"/>
    <w:rsid w:val="00514DDC"/>
    <w:rsid w:val="00514E44"/>
    <w:rsid w:val="00514E66"/>
    <w:rsid w:val="00515002"/>
    <w:rsid w:val="005150AF"/>
    <w:rsid w:val="00515136"/>
    <w:rsid w:val="0051520D"/>
    <w:rsid w:val="005152CC"/>
    <w:rsid w:val="00515315"/>
    <w:rsid w:val="00515463"/>
    <w:rsid w:val="00515507"/>
    <w:rsid w:val="00515528"/>
    <w:rsid w:val="0051552F"/>
    <w:rsid w:val="00515542"/>
    <w:rsid w:val="0051560F"/>
    <w:rsid w:val="005158EF"/>
    <w:rsid w:val="005159E7"/>
    <w:rsid w:val="00515B60"/>
    <w:rsid w:val="00515C9F"/>
    <w:rsid w:val="00515CF9"/>
    <w:rsid w:val="00515EBB"/>
    <w:rsid w:val="0051608D"/>
    <w:rsid w:val="005160AA"/>
    <w:rsid w:val="005162E8"/>
    <w:rsid w:val="00516383"/>
    <w:rsid w:val="00516500"/>
    <w:rsid w:val="0051666E"/>
    <w:rsid w:val="005166AC"/>
    <w:rsid w:val="00516760"/>
    <w:rsid w:val="005167A4"/>
    <w:rsid w:val="005167EF"/>
    <w:rsid w:val="00516847"/>
    <w:rsid w:val="00516970"/>
    <w:rsid w:val="005169AC"/>
    <w:rsid w:val="00516A23"/>
    <w:rsid w:val="00516B38"/>
    <w:rsid w:val="00516C82"/>
    <w:rsid w:val="00516E3C"/>
    <w:rsid w:val="005171D9"/>
    <w:rsid w:val="005172FF"/>
    <w:rsid w:val="00517327"/>
    <w:rsid w:val="005174A7"/>
    <w:rsid w:val="005175CD"/>
    <w:rsid w:val="00517626"/>
    <w:rsid w:val="00517669"/>
    <w:rsid w:val="00517813"/>
    <w:rsid w:val="00517908"/>
    <w:rsid w:val="005179B3"/>
    <w:rsid w:val="00517A64"/>
    <w:rsid w:val="00517A92"/>
    <w:rsid w:val="00517A93"/>
    <w:rsid w:val="00517AE3"/>
    <w:rsid w:val="00517B99"/>
    <w:rsid w:val="00517C84"/>
    <w:rsid w:val="00517D0D"/>
    <w:rsid w:val="00517E5E"/>
    <w:rsid w:val="00517ED3"/>
    <w:rsid w:val="00517F43"/>
    <w:rsid w:val="00517FFD"/>
    <w:rsid w:val="00520021"/>
    <w:rsid w:val="00520184"/>
    <w:rsid w:val="00520254"/>
    <w:rsid w:val="00520268"/>
    <w:rsid w:val="005202C1"/>
    <w:rsid w:val="00520500"/>
    <w:rsid w:val="0052063D"/>
    <w:rsid w:val="00520705"/>
    <w:rsid w:val="00520A34"/>
    <w:rsid w:val="00520AAC"/>
    <w:rsid w:val="00520AB4"/>
    <w:rsid w:val="00520B75"/>
    <w:rsid w:val="00520BB7"/>
    <w:rsid w:val="00520BDC"/>
    <w:rsid w:val="00520C85"/>
    <w:rsid w:val="00520CE2"/>
    <w:rsid w:val="00520D26"/>
    <w:rsid w:val="00520D7F"/>
    <w:rsid w:val="00521144"/>
    <w:rsid w:val="005211D8"/>
    <w:rsid w:val="00521329"/>
    <w:rsid w:val="005214B1"/>
    <w:rsid w:val="005215AC"/>
    <w:rsid w:val="005215C9"/>
    <w:rsid w:val="00521658"/>
    <w:rsid w:val="00521741"/>
    <w:rsid w:val="0052174B"/>
    <w:rsid w:val="0052176C"/>
    <w:rsid w:val="00521788"/>
    <w:rsid w:val="0052190A"/>
    <w:rsid w:val="0052198A"/>
    <w:rsid w:val="005219EA"/>
    <w:rsid w:val="00521A15"/>
    <w:rsid w:val="00521AB9"/>
    <w:rsid w:val="00521DA6"/>
    <w:rsid w:val="00521DD3"/>
    <w:rsid w:val="00521DDA"/>
    <w:rsid w:val="00521EB1"/>
    <w:rsid w:val="0052203B"/>
    <w:rsid w:val="005220C8"/>
    <w:rsid w:val="005221C1"/>
    <w:rsid w:val="00522210"/>
    <w:rsid w:val="00522236"/>
    <w:rsid w:val="00522289"/>
    <w:rsid w:val="00522313"/>
    <w:rsid w:val="0052237D"/>
    <w:rsid w:val="0052249A"/>
    <w:rsid w:val="005224F6"/>
    <w:rsid w:val="0052253E"/>
    <w:rsid w:val="005225CA"/>
    <w:rsid w:val="0052275F"/>
    <w:rsid w:val="00522772"/>
    <w:rsid w:val="00522797"/>
    <w:rsid w:val="005228BB"/>
    <w:rsid w:val="00522AC7"/>
    <w:rsid w:val="00522B87"/>
    <w:rsid w:val="00522C8C"/>
    <w:rsid w:val="00522D47"/>
    <w:rsid w:val="00522DB5"/>
    <w:rsid w:val="00523065"/>
    <w:rsid w:val="00523207"/>
    <w:rsid w:val="00523229"/>
    <w:rsid w:val="0052330F"/>
    <w:rsid w:val="00523473"/>
    <w:rsid w:val="00523A0A"/>
    <w:rsid w:val="00523A16"/>
    <w:rsid w:val="00523A72"/>
    <w:rsid w:val="00523AA3"/>
    <w:rsid w:val="00523CA5"/>
    <w:rsid w:val="00523DF5"/>
    <w:rsid w:val="00523E40"/>
    <w:rsid w:val="00523E78"/>
    <w:rsid w:val="00523E99"/>
    <w:rsid w:val="00523EA9"/>
    <w:rsid w:val="0052409F"/>
    <w:rsid w:val="00524134"/>
    <w:rsid w:val="005241F2"/>
    <w:rsid w:val="0052421E"/>
    <w:rsid w:val="00524247"/>
    <w:rsid w:val="005242B3"/>
    <w:rsid w:val="005242ED"/>
    <w:rsid w:val="0052437D"/>
    <w:rsid w:val="005243AF"/>
    <w:rsid w:val="005243BD"/>
    <w:rsid w:val="0052448E"/>
    <w:rsid w:val="0052449B"/>
    <w:rsid w:val="005245A2"/>
    <w:rsid w:val="005245F5"/>
    <w:rsid w:val="0052483A"/>
    <w:rsid w:val="0052483C"/>
    <w:rsid w:val="00524910"/>
    <w:rsid w:val="0052496C"/>
    <w:rsid w:val="005249C7"/>
    <w:rsid w:val="00524A67"/>
    <w:rsid w:val="00524A6D"/>
    <w:rsid w:val="00524AB7"/>
    <w:rsid w:val="00524ADA"/>
    <w:rsid w:val="00524B63"/>
    <w:rsid w:val="00524C72"/>
    <w:rsid w:val="00524CB8"/>
    <w:rsid w:val="00524CBF"/>
    <w:rsid w:val="0052505F"/>
    <w:rsid w:val="0052506B"/>
    <w:rsid w:val="00525102"/>
    <w:rsid w:val="0052518B"/>
    <w:rsid w:val="005254CB"/>
    <w:rsid w:val="0052553A"/>
    <w:rsid w:val="00525589"/>
    <w:rsid w:val="00525A83"/>
    <w:rsid w:val="00525B1E"/>
    <w:rsid w:val="00525C59"/>
    <w:rsid w:val="00525C8F"/>
    <w:rsid w:val="00525D81"/>
    <w:rsid w:val="00525D95"/>
    <w:rsid w:val="00525DA7"/>
    <w:rsid w:val="00525DAF"/>
    <w:rsid w:val="00525DF2"/>
    <w:rsid w:val="00525EFC"/>
    <w:rsid w:val="00525FDF"/>
    <w:rsid w:val="00526119"/>
    <w:rsid w:val="0052614F"/>
    <w:rsid w:val="005263EE"/>
    <w:rsid w:val="00526B4D"/>
    <w:rsid w:val="00526B94"/>
    <w:rsid w:val="00526B96"/>
    <w:rsid w:val="00526BDD"/>
    <w:rsid w:val="00526C5F"/>
    <w:rsid w:val="00526D75"/>
    <w:rsid w:val="00526E26"/>
    <w:rsid w:val="00526E2C"/>
    <w:rsid w:val="00526E48"/>
    <w:rsid w:val="00526EC9"/>
    <w:rsid w:val="00527276"/>
    <w:rsid w:val="0052727F"/>
    <w:rsid w:val="005273D7"/>
    <w:rsid w:val="00527484"/>
    <w:rsid w:val="00527510"/>
    <w:rsid w:val="0052753F"/>
    <w:rsid w:val="0052760D"/>
    <w:rsid w:val="0052765D"/>
    <w:rsid w:val="00527710"/>
    <w:rsid w:val="00527727"/>
    <w:rsid w:val="0052773D"/>
    <w:rsid w:val="005278EF"/>
    <w:rsid w:val="00527988"/>
    <w:rsid w:val="00527A71"/>
    <w:rsid w:val="00527C86"/>
    <w:rsid w:val="00527D78"/>
    <w:rsid w:val="00527E1F"/>
    <w:rsid w:val="005300A6"/>
    <w:rsid w:val="00530128"/>
    <w:rsid w:val="005303CD"/>
    <w:rsid w:val="005303E7"/>
    <w:rsid w:val="005305E0"/>
    <w:rsid w:val="0053064A"/>
    <w:rsid w:val="00530681"/>
    <w:rsid w:val="0053072A"/>
    <w:rsid w:val="00530A00"/>
    <w:rsid w:val="00530BA4"/>
    <w:rsid w:val="00530BC1"/>
    <w:rsid w:val="00530E72"/>
    <w:rsid w:val="00530F92"/>
    <w:rsid w:val="00531176"/>
    <w:rsid w:val="00531296"/>
    <w:rsid w:val="005312A6"/>
    <w:rsid w:val="005313D6"/>
    <w:rsid w:val="00531466"/>
    <w:rsid w:val="00531588"/>
    <w:rsid w:val="005315CD"/>
    <w:rsid w:val="00531608"/>
    <w:rsid w:val="0053165E"/>
    <w:rsid w:val="005316E2"/>
    <w:rsid w:val="005317AC"/>
    <w:rsid w:val="00531828"/>
    <w:rsid w:val="00531925"/>
    <w:rsid w:val="00531A81"/>
    <w:rsid w:val="00531A85"/>
    <w:rsid w:val="00531B9B"/>
    <w:rsid w:val="00531DAB"/>
    <w:rsid w:val="00531F95"/>
    <w:rsid w:val="00531FED"/>
    <w:rsid w:val="00531FF0"/>
    <w:rsid w:val="00532094"/>
    <w:rsid w:val="0053209E"/>
    <w:rsid w:val="00532128"/>
    <w:rsid w:val="005321C7"/>
    <w:rsid w:val="00532291"/>
    <w:rsid w:val="005322D5"/>
    <w:rsid w:val="005323FC"/>
    <w:rsid w:val="0053244C"/>
    <w:rsid w:val="00532476"/>
    <w:rsid w:val="005326D8"/>
    <w:rsid w:val="00532726"/>
    <w:rsid w:val="00532B6F"/>
    <w:rsid w:val="00532B80"/>
    <w:rsid w:val="00532E1E"/>
    <w:rsid w:val="005331B9"/>
    <w:rsid w:val="00533662"/>
    <w:rsid w:val="005337C5"/>
    <w:rsid w:val="0053382C"/>
    <w:rsid w:val="00533854"/>
    <w:rsid w:val="005338BB"/>
    <w:rsid w:val="00533AF3"/>
    <w:rsid w:val="00533AF9"/>
    <w:rsid w:val="00533B03"/>
    <w:rsid w:val="00533BBB"/>
    <w:rsid w:val="00533CFD"/>
    <w:rsid w:val="00533D5F"/>
    <w:rsid w:val="00533D69"/>
    <w:rsid w:val="00533D8F"/>
    <w:rsid w:val="00533DB1"/>
    <w:rsid w:val="00533DF7"/>
    <w:rsid w:val="00533F1E"/>
    <w:rsid w:val="005341BB"/>
    <w:rsid w:val="005342C9"/>
    <w:rsid w:val="0053443E"/>
    <w:rsid w:val="005344D6"/>
    <w:rsid w:val="00534561"/>
    <w:rsid w:val="0053461F"/>
    <w:rsid w:val="00534871"/>
    <w:rsid w:val="00534932"/>
    <w:rsid w:val="00534958"/>
    <w:rsid w:val="00534986"/>
    <w:rsid w:val="00534C18"/>
    <w:rsid w:val="00534CA6"/>
    <w:rsid w:val="00534E17"/>
    <w:rsid w:val="00534E63"/>
    <w:rsid w:val="00534E86"/>
    <w:rsid w:val="00534EB1"/>
    <w:rsid w:val="00534F67"/>
    <w:rsid w:val="00534F9B"/>
    <w:rsid w:val="0053516D"/>
    <w:rsid w:val="0053530A"/>
    <w:rsid w:val="005353DA"/>
    <w:rsid w:val="0053549A"/>
    <w:rsid w:val="00535516"/>
    <w:rsid w:val="00535567"/>
    <w:rsid w:val="0053560A"/>
    <w:rsid w:val="0053562D"/>
    <w:rsid w:val="00535834"/>
    <w:rsid w:val="005358E9"/>
    <w:rsid w:val="00535C60"/>
    <w:rsid w:val="00535CE9"/>
    <w:rsid w:val="00535D0A"/>
    <w:rsid w:val="00535EB6"/>
    <w:rsid w:val="0053600B"/>
    <w:rsid w:val="00536101"/>
    <w:rsid w:val="00536186"/>
    <w:rsid w:val="005362C6"/>
    <w:rsid w:val="00536346"/>
    <w:rsid w:val="00536373"/>
    <w:rsid w:val="005364F9"/>
    <w:rsid w:val="00536533"/>
    <w:rsid w:val="005365E0"/>
    <w:rsid w:val="00536650"/>
    <w:rsid w:val="005367AE"/>
    <w:rsid w:val="00536919"/>
    <w:rsid w:val="00536AD8"/>
    <w:rsid w:val="00536D12"/>
    <w:rsid w:val="00536D80"/>
    <w:rsid w:val="00536E86"/>
    <w:rsid w:val="00536F44"/>
    <w:rsid w:val="00537052"/>
    <w:rsid w:val="00537096"/>
    <w:rsid w:val="0053718C"/>
    <w:rsid w:val="00537345"/>
    <w:rsid w:val="00537394"/>
    <w:rsid w:val="005373DF"/>
    <w:rsid w:val="00537674"/>
    <w:rsid w:val="00537745"/>
    <w:rsid w:val="005377C3"/>
    <w:rsid w:val="005378EF"/>
    <w:rsid w:val="00537998"/>
    <w:rsid w:val="00537AD9"/>
    <w:rsid w:val="00537AEE"/>
    <w:rsid w:val="00537B8F"/>
    <w:rsid w:val="00537CE3"/>
    <w:rsid w:val="00537CEF"/>
    <w:rsid w:val="00537CF7"/>
    <w:rsid w:val="00537DA7"/>
    <w:rsid w:val="00537E17"/>
    <w:rsid w:val="00537F1D"/>
    <w:rsid w:val="00540063"/>
    <w:rsid w:val="00540262"/>
    <w:rsid w:val="005402D4"/>
    <w:rsid w:val="005403E0"/>
    <w:rsid w:val="005403E2"/>
    <w:rsid w:val="005403FD"/>
    <w:rsid w:val="00540524"/>
    <w:rsid w:val="00540531"/>
    <w:rsid w:val="005405F2"/>
    <w:rsid w:val="0054064F"/>
    <w:rsid w:val="005407CE"/>
    <w:rsid w:val="00540891"/>
    <w:rsid w:val="00540908"/>
    <w:rsid w:val="005409D9"/>
    <w:rsid w:val="00540A3E"/>
    <w:rsid w:val="00540A42"/>
    <w:rsid w:val="00540A50"/>
    <w:rsid w:val="00540A6F"/>
    <w:rsid w:val="00540B11"/>
    <w:rsid w:val="00540B2E"/>
    <w:rsid w:val="00540CD0"/>
    <w:rsid w:val="00540DB1"/>
    <w:rsid w:val="00540EF5"/>
    <w:rsid w:val="00540FF3"/>
    <w:rsid w:val="0054108D"/>
    <w:rsid w:val="00541287"/>
    <w:rsid w:val="005413B2"/>
    <w:rsid w:val="00541681"/>
    <w:rsid w:val="00541896"/>
    <w:rsid w:val="00541997"/>
    <w:rsid w:val="005419A3"/>
    <w:rsid w:val="00541A21"/>
    <w:rsid w:val="00541B99"/>
    <w:rsid w:val="00541F47"/>
    <w:rsid w:val="00541F59"/>
    <w:rsid w:val="005421BE"/>
    <w:rsid w:val="005421FF"/>
    <w:rsid w:val="00542212"/>
    <w:rsid w:val="0054223B"/>
    <w:rsid w:val="0054246F"/>
    <w:rsid w:val="00542474"/>
    <w:rsid w:val="00542482"/>
    <w:rsid w:val="00542502"/>
    <w:rsid w:val="0054256A"/>
    <w:rsid w:val="00542601"/>
    <w:rsid w:val="0054269D"/>
    <w:rsid w:val="0054273B"/>
    <w:rsid w:val="00542764"/>
    <w:rsid w:val="00542853"/>
    <w:rsid w:val="00542923"/>
    <w:rsid w:val="00542BCB"/>
    <w:rsid w:val="00542C3A"/>
    <w:rsid w:val="00542CB2"/>
    <w:rsid w:val="00542F04"/>
    <w:rsid w:val="00542F99"/>
    <w:rsid w:val="0054306B"/>
    <w:rsid w:val="0054307F"/>
    <w:rsid w:val="005430C8"/>
    <w:rsid w:val="005430D8"/>
    <w:rsid w:val="005430ED"/>
    <w:rsid w:val="005430F0"/>
    <w:rsid w:val="005430F9"/>
    <w:rsid w:val="0054312A"/>
    <w:rsid w:val="0054320A"/>
    <w:rsid w:val="005432F3"/>
    <w:rsid w:val="00543500"/>
    <w:rsid w:val="00543738"/>
    <w:rsid w:val="005437B1"/>
    <w:rsid w:val="00543806"/>
    <w:rsid w:val="0054389F"/>
    <w:rsid w:val="0054392C"/>
    <w:rsid w:val="00543A22"/>
    <w:rsid w:val="00543A35"/>
    <w:rsid w:val="00543B17"/>
    <w:rsid w:val="00543C7F"/>
    <w:rsid w:val="00543DBE"/>
    <w:rsid w:val="00543F82"/>
    <w:rsid w:val="00544034"/>
    <w:rsid w:val="005440AE"/>
    <w:rsid w:val="00544138"/>
    <w:rsid w:val="005442B8"/>
    <w:rsid w:val="0054453D"/>
    <w:rsid w:val="00544661"/>
    <w:rsid w:val="00544835"/>
    <w:rsid w:val="0054484B"/>
    <w:rsid w:val="005448FE"/>
    <w:rsid w:val="0054491F"/>
    <w:rsid w:val="00544978"/>
    <w:rsid w:val="00544ADD"/>
    <w:rsid w:val="00544CC2"/>
    <w:rsid w:val="00544E0C"/>
    <w:rsid w:val="00544E39"/>
    <w:rsid w:val="00544F00"/>
    <w:rsid w:val="00545302"/>
    <w:rsid w:val="0054536C"/>
    <w:rsid w:val="005453B8"/>
    <w:rsid w:val="005457A1"/>
    <w:rsid w:val="005459A1"/>
    <w:rsid w:val="005459FC"/>
    <w:rsid w:val="00545B84"/>
    <w:rsid w:val="00545DBB"/>
    <w:rsid w:val="00545DF5"/>
    <w:rsid w:val="00545E18"/>
    <w:rsid w:val="00545EE2"/>
    <w:rsid w:val="00545EF0"/>
    <w:rsid w:val="00545EFC"/>
    <w:rsid w:val="00545F7F"/>
    <w:rsid w:val="005460A4"/>
    <w:rsid w:val="005460AA"/>
    <w:rsid w:val="005460DC"/>
    <w:rsid w:val="0054610A"/>
    <w:rsid w:val="0054625D"/>
    <w:rsid w:val="005462F7"/>
    <w:rsid w:val="00546370"/>
    <w:rsid w:val="005464B3"/>
    <w:rsid w:val="005464D9"/>
    <w:rsid w:val="00546635"/>
    <w:rsid w:val="005466AE"/>
    <w:rsid w:val="005467DC"/>
    <w:rsid w:val="0054682B"/>
    <w:rsid w:val="00546A78"/>
    <w:rsid w:val="00546A7E"/>
    <w:rsid w:val="00546A9C"/>
    <w:rsid w:val="00546B99"/>
    <w:rsid w:val="00546F71"/>
    <w:rsid w:val="00546FAD"/>
    <w:rsid w:val="00546FEA"/>
    <w:rsid w:val="00546FF7"/>
    <w:rsid w:val="005470B2"/>
    <w:rsid w:val="005470D0"/>
    <w:rsid w:val="005471DC"/>
    <w:rsid w:val="00547201"/>
    <w:rsid w:val="0054722B"/>
    <w:rsid w:val="005474A9"/>
    <w:rsid w:val="005474F8"/>
    <w:rsid w:val="005476E1"/>
    <w:rsid w:val="00547703"/>
    <w:rsid w:val="00547772"/>
    <w:rsid w:val="005477CA"/>
    <w:rsid w:val="005477FD"/>
    <w:rsid w:val="0054798C"/>
    <w:rsid w:val="00547A27"/>
    <w:rsid w:val="00547A9E"/>
    <w:rsid w:val="00547A9F"/>
    <w:rsid w:val="00547AFA"/>
    <w:rsid w:val="00547BDB"/>
    <w:rsid w:val="00547C3E"/>
    <w:rsid w:val="00547D4B"/>
    <w:rsid w:val="00547D87"/>
    <w:rsid w:val="00547D95"/>
    <w:rsid w:val="00547E2D"/>
    <w:rsid w:val="00547E76"/>
    <w:rsid w:val="00547E9C"/>
    <w:rsid w:val="00547EAC"/>
    <w:rsid w:val="005501E5"/>
    <w:rsid w:val="00550210"/>
    <w:rsid w:val="005502F0"/>
    <w:rsid w:val="005503C5"/>
    <w:rsid w:val="005504C6"/>
    <w:rsid w:val="005507F5"/>
    <w:rsid w:val="00550819"/>
    <w:rsid w:val="00550A4A"/>
    <w:rsid w:val="00550E19"/>
    <w:rsid w:val="00550E68"/>
    <w:rsid w:val="00550EF3"/>
    <w:rsid w:val="00550F1F"/>
    <w:rsid w:val="00551153"/>
    <w:rsid w:val="005511E5"/>
    <w:rsid w:val="005511F7"/>
    <w:rsid w:val="00551234"/>
    <w:rsid w:val="005512DD"/>
    <w:rsid w:val="00551685"/>
    <w:rsid w:val="0055192E"/>
    <w:rsid w:val="005519C7"/>
    <w:rsid w:val="00551B88"/>
    <w:rsid w:val="00551B89"/>
    <w:rsid w:val="00551BDE"/>
    <w:rsid w:val="00552081"/>
    <w:rsid w:val="005520B1"/>
    <w:rsid w:val="0055216F"/>
    <w:rsid w:val="005521D7"/>
    <w:rsid w:val="0055231C"/>
    <w:rsid w:val="00552358"/>
    <w:rsid w:val="005523F8"/>
    <w:rsid w:val="0055248C"/>
    <w:rsid w:val="00552528"/>
    <w:rsid w:val="00552614"/>
    <w:rsid w:val="0055274B"/>
    <w:rsid w:val="00552786"/>
    <w:rsid w:val="0055279E"/>
    <w:rsid w:val="00552A3E"/>
    <w:rsid w:val="00552A45"/>
    <w:rsid w:val="00552AA2"/>
    <w:rsid w:val="00552B2B"/>
    <w:rsid w:val="00552BBE"/>
    <w:rsid w:val="00552C67"/>
    <w:rsid w:val="00552D06"/>
    <w:rsid w:val="00552F82"/>
    <w:rsid w:val="00552FDA"/>
    <w:rsid w:val="00553027"/>
    <w:rsid w:val="0055304D"/>
    <w:rsid w:val="005530A4"/>
    <w:rsid w:val="00553129"/>
    <w:rsid w:val="0055319E"/>
    <w:rsid w:val="00553280"/>
    <w:rsid w:val="00553346"/>
    <w:rsid w:val="0055336A"/>
    <w:rsid w:val="0055345E"/>
    <w:rsid w:val="005534A2"/>
    <w:rsid w:val="0055378D"/>
    <w:rsid w:val="00553A30"/>
    <w:rsid w:val="00553BC2"/>
    <w:rsid w:val="00553C2A"/>
    <w:rsid w:val="00553E26"/>
    <w:rsid w:val="00554111"/>
    <w:rsid w:val="00554119"/>
    <w:rsid w:val="00554172"/>
    <w:rsid w:val="00554364"/>
    <w:rsid w:val="00554376"/>
    <w:rsid w:val="0055439E"/>
    <w:rsid w:val="0055440B"/>
    <w:rsid w:val="00554432"/>
    <w:rsid w:val="00554580"/>
    <w:rsid w:val="0055469F"/>
    <w:rsid w:val="00554999"/>
    <w:rsid w:val="005549EE"/>
    <w:rsid w:val="00554B1A"/>
    <w:rsid w:val="00554BA9"/>
    <w:rsid w:val="00554C0B"/>
    <w:rsid w:val="00554D0B"/>
    <w:rsid w:val="00554DFE"/>
    <w:rsid w:val="00554E17"/>
    <w:rsid w:val="00555307"/>
    <w:rsid w:val="005553C0"/>
    <w:rsid w:val="0055542C"/>
    <w:rsid w:val="00555583"/>
    <w:rsid w:val="0055584D"/>
    <w:rsid w:val="005558D8"/>
    <w:rsid w:val="00555A30"/>
    <w:rsid w:val="00555A6F"/>
    <w:rsid w:val="00555AAA"/>
    <w:rsid w:val="00555AF0"/>
    <w:rsid w:val="00555C6F"/>
    <w:rsid w:val="00555CC4"/>
    <w:rsid w:val="00555CC7"/>
    <w:rsid w:val="00555DAB"/>
    <w:rsid w:val="00555DB7"/>
    <w:rsid w:val="00555F64"/>
    <w:rsid w:val="00555FCE"/>
    <w:rsid w:val="00556088"/>
    <w:rsid w:val="0055611E"/>
    <w:rsid w:val="0055613B"/>
    <w:rsid w:val="00556174"/>
    <w:rsid w:val="0055627C"/>
    <w:rsid w:val="005562D5"/>
    <w:rsid w:val="0055645C"/>
    <w:rsid w:val="00556475"/>
    <w:rsid w:val="0055659F"/>
    <w:rsid w:val="00556607"/>
    <w:rsid w:val="0055671F"/>
    <w:rsid w:val="0055674B"/>
    <w:rsid w:val="00556925"/>
    <w:rsid w:val="00556BE0"/>
    <w:rsid w:val="00556D82"/>
    <w:rsid w:val="00556E8B"/>
    <w:rsid w:val="00556F38"/>
    <w:rsid w:val="00557263"/>
    <w:rsid w:val="00557365"/>
    <w:rsid w:val="005574B7"/>
    <w:rsid w:val="00557503"/>
    <w:rsid w:val="00557577"/>
    <w:rsid w:val="00557630"/>
    <w:rsid w:val="00557666"/>
    <w:rsid w:val="00557747"/>
    <w:rsid w:val="0055775B"/>
    <w:rsid w:val="00557836"/>
    <w:rsid w:val="005579F5"/>
    <w:rsid w:val="00557D01"/>
    <w:rsid w:val="00557DE5"/>
    <w:rsid w:val="00557E99"/>
    <w:rsid w:val="00557F1F"/>
    <w:rsid w:val="005600A1"/>
    <w:rsid w:val="0056010C"/>
    <w:rsid w:val="005602CA"/>
    <w:rsid w:val="0056032B"/>
    <w:rsid w:val="005604F1"/>
    <w:rsid w:val="005604F7"/>
    <w:rsid w:val="00560548"/>
    <w:rsid w:val="00560565"/>
    <w:rsid w:val="0056070D"/>
    <w:rsid w:val="00560921"/>
    <w:rsid w:val="00560972"/>
    <w:rsid w:val="0056097A"/>
    <w:rsid w:val="0056097E"/>
    <w:rsid w:val="00560980"/>
    <w:rsid w:val="00560A43"/>
    <w:rsid w:val="00560BAB"/>
    <w:rsid w:val="00560BD4"/>
    <w:rsid w:val="00560D0F"/>
    <w:rsid w:val="00560D3E"/>
    <w:rsid w:val="00560DA6"/>
    <w:rsid w:val="005613C0"/>
    <w:rsid w:val="0056144A"/>
    <w:rsid w:val="00561A1E"/>
    <w:rsid w:val="00561B67"/>
    <w:rsid w:val="00561B6A"/>
    <w:rsid w:val="00561BA7"/>
    <w:rsid w:val="00561CA5"/>
    <w:rsid w:val="00561CB2"/>
    <w:rsid w:val="00561D2B"/>
    <w:rsid w:val="00561D62"/>
    <w:rsid w:val="00561D74"/>
    <w:rsid w:val="00561E53"/>
    <w:rsid w:val="00561F1C"/>
    <w:rsid w:val="00562019"/>
    <w:rsid w:val="005620CE"/>
    <w:rsid w:val="005623E7"/>
    <w:rsid w:val="00562474"/>
    <w:rsid w:val="00562481"/>
    <w:rsid w:val="005625AA"/>
    <w:rsid w:val="00562605"/>
    <w:rsid w:val="00562745"/>
    <w:rsid w:val="0056277E"/>
    <w:rsid w:val="005628A0"/>
    <w:rsid w:val="0056293A"/>
    <w:rsid w:val="005629C2"/>
    <w:rsid w:val="005629EE"/>
    <w:rsid w:val="005629FB"/>
    <w:rsid w:val="00562A60"/>
    <w:rsid w:val="00562A9C"/>
    <w:rsid w:val="00562AA4"/>
    <w:rsid w:val="00562ACC"/>
    <w:rsid w:val="00562EBD"/>
    <w:rsid w:val="00562F04"/>
    <w:rsid w:val="00562F18"/>
    <w:rsid w:val="00562F2A"/>
    <w:rsid w:val="00562F5E"/>
    <w:rsid w:val="00563072"/>
    <w:rsid w:val="005630BE"/>
    <w:rsid w:val="005630DB"/>
    <w:rsid w:val="00563115"/>
    <w:rsid w:val="005634C5"/>
    <w:rsid w:val="005635DA"/>
    <w:rsid w:val="00563723"/>
    <w:rsid w:val="00563846"/>
    <w:rsid w:val="00563985"/>
    <w:rsid w:val="00563A90"/>
    <w:rsid w:val="00563C92"/>
    <w:rsid w:val="00563F7C"/>
    <w:rsid w:val="00564268"/>
    <w:rsid w:val="00564298"/>
    <w:rsid w:val="005642C7"/>
    <w:rsid w:val="005642DA"/>
    <w:rsid w:val="005643A1"/>
    <w:rsid w:val="0056442C"/>
    <w:rsid w:val="00564484"/>
    <w:rsid w:val="00564736"/>
    <w:rsid w:val="005648DC"/>
    <w:rsid w:val="00564B4F"/>
    <w:rsid w:val="00564C61"/>
    <w:rsid w:val="00564D24"/>
    <w:rsid w:val="00564F16"/>
    <w:rsid w:val="0056530B"/>
    <w:rsid w:val="005653F9"/>
    <w:rsid w:val="0056544A"/>
    <w:rsid w:val="005654D6"/>
    <w:rsid w:val="005654FB"/>
    <w:rsid w:val="005656BB"/>
    <w:rsid w:val="005656F4"/>
    <w:rsid w:val="005657E7"/>
    <w:rsid w:val="00565846"/>
    <w:rsid w:val="00565918"/>
    <w:rsid w:val="00565A3A"/>
    <w:rsid w:val="00565B7C"/>
    <w:rsid w:val="00565BA1"/>
    <w:rsid w:val="00565BA9"/>
    <w:rsid w:val="00565BEA"/>
    <w:rsid w:val="00565CB3"/>
    <w:rsid w:val="00566099"/>
    <w:rsid w:val="00566186"/>
    <w:rsid w:val="005662C5"/>
    <w:rsid w:val="0056662A"/>
    <w:rsid w:val="0056663F"/>
    <w:rsid w:val="00566815"/>
    <w:rsid w:val="005668E3"/>
    <w:rsid w:val="00566983"/>
    <w:rsid w:val="00566C57"/>
    <w:rsid w:val="00566CA5"/>
    <w:rsid w:val="00566D0F"/>
    <w:rsid w:val="00566DA0"/>
    <w:rsid w:val="00566F36"/>
    <w:rsid w:val="0056704C"/>
    <w:rsid w:val="005670D0"/>
    <w:rsid w:val="005670F2"/>
    <w:rsid w:val="00567233"/>
    <w:rsid w:val="005672D5"/>
    <w:rsid w:val="0056740C"/>
    <w:rsid w:val="005674BE"/>
    <w:rsid w:val="005674DD"/>
    <w:rsid w:val="005675F8"/>
    <w:rsid w:val="005676FA"/>
    <w:rsid w:val="005678B0"/>
    <w:rsid w:val="00567973"/>
    <w:rsid w:val="005679D0"/>
    <w:rsid w:val="00567AA2"/>
    <w:rsid w:val="00567B56"/>
    <w:rsid w:val="00567BA5"/>
    <w:rsid w:val="00567BAF"/>
    <w:rsid w:val="00567C4F"/>
    <w:rsid w:val="00567CAB"/>
    <w:rsid w:val="00567D52"/>
    <w:rsid w:val="00567E41"/>
    <w:rsid w:val="00567FCD"/>
    <w:rsid w:val="00567FDF"/>
    <w:rsid w:val="00570028"/>
    <w:rsid w:val="005700E9"/>
    <w:rsid w:val="0057026F"/>
    <w:rsid w:val="00570531"/>
    <w:rsid w:val="00570566"/>
    <w:rsid w:val="005705CE"/>
    <w:rsid w:val="0057064F"/>
    <w:rsid w:val="00570710"/>
    <w:rsid w:val="00570756"/>
    <w:rsid w:val="00570858"/>
    <w:rsid w:val="0057085A"/>
    <w:rsid w:val="0057091B"/>
    <w:rsid w:val="005709CC"/>
    <w:rsid w:val="00570A73"/>
    <w:rsid w:val="00570C6A"/>
    <w:rsid w:val="00570EE0"/>
    <w:rsid w:val="005710AC"/>
    <w:rsid w:val="005713A5"/>
    <w:rsid w:val="00571462"/>
    <w:rsid w:val="00571496"/>
    <w:rsid w:val="005714B9"/>
    <w:rsid w:val="005714DF"/>
    <w:rsid w:val="005714E6"/>
    <w:rsid w:val="0057159C"/>
    <w:rsid w:val="0057160E"/>
    <w:rsid w:val="0057164E"/>
    <w:rsid w:val="00571810"/>
    <w:rsid w:val="005718D6"/>
    <w:rsid w:val="005718DE"/>
    <w:rsid w:val="0057196A"/>
    <w:rsid w:val="00571BD2"/>
    <w:rsid w:val="00571D3F"/>
    <w:rsid w:val="00571F7F"/>
    <w:rsid w:val="005721EA"/>
    <w:rsid w:val="00572250"/>
    <w:rsid w:val="005724A3"/>
    <w:rsid w:val="005724B8"/>
    <w:rsid w:val="0057253B"/>
    <w:rsid w:val="00572615"/>
    <w:rsid w:val="00572621"/>
    <w:rsid w:val="0057272F"/>
    <w:rsid w:val="00572853"/>
    <w:rsid w:val="0057288D"/>
    <w:rsid w:val="005728BE"/>
    <w:rsid w:val="00572915"/>
    <w:rsid w:val="00572A36"/>
    <w:rsid w:val="00572B30"/>
    <w:rsid w:val="00572BAE"/>
    <w:rsid w:val="00572CA2"/>
    <w:rsid w:val="00572DB1"/>
    <w:rsid w:val="00573056"/>
    <w:rsid w:val="0057324B"/>
    <w:rsid w:val="005732AA"/>
    <w:rsid w:val="005733B6"/>
    <w:rsid w:val="005735FC"/>
    <w:rsid w:val="0057379D"/>
    <w:rsid w:val="005737F0"/>
    <w:rsid w:val="00573819"/>
    <w:rsid w:val="005739CF"/>
    <w:rsid w:val="00573B5C"/>
    <w:rsid w:val="00573D7C"/>
    <w:rsid w:val="00574079"/>
    <w:rsid w:val="005740A2"/>
    <w:rsid w:val="005741E8"/>
    <w:rsid w:val="0057420B"/>
    <w:rsid w:val="00574304"/>
    <w:rsid w:val="005743BE"/>
    <w:rsid w:val="005743E4"/>
    <w:rsid w:val="0057444A"/>
    <w:rsid w:val="005744B2"/>
    <w:rsid w:val="0057460A"/>
    <w:rsid w:val="00574619"/>
    <w:rsid w:val="005746DF"/>
    <w:rsid w:val="005747D0"/>
    <w:rsid w:val="00574920"/>
    <w:rsid w:val="00574D06"/>
    <w:rsid w:val="00574DB6"/>
    <w:rsid w:val="00574DCF"/>
    <w:rsid w:val="00574E44"/>
    <w:rsid w:val="005750A3"/>
    <w:rsid w:val="00575143"/>
    <w:rsid w:val="0057537E"/>
    <w:rsid w:val="005753A0"/>
    <w:rsid w:val="00575658"/>
    <w:rsid w:val="0057572F"/>
    <w:rsid w:val="00575810"/>
    <w:rsid w:val="005759F3"/>
    <w:rsid w:val="00575B68"/>
    <w:rsid w:val="00575CB8"/>
    <w:rsid w:val="00575DA4"/>
    <w:rsid w:val="00575E89"/>
    <w:rsid w:val="00575EB7"/>
    <w:rsid w:val="0057602A"/>
    <w:rsid w:val="005760B3"/>
    <w:rsid w:val="005762B3"/>
    <w:rsid w:val="00576635"/>
    <w:rsid w:val="0057678E"/>
    <w:rsid w:val="0057683D"/>
    <w:rsid w:val="00576863"/>
    <w:rsid w:val="005768D8"/>
    <w:rsid w:val="00576B09"/>
    <w:rsid w:val="00576B21"/>
    <w:rsid w:val="00576C03"/>
    <w:rsid w:val="00576D03"/>
    <w:rsid w:val="00576DB9"/>
    <w:rsid w:val="00576DE1"/>
    <w:rsid w:val="00576E3A"/>
    <w:rsid w:val="00576F07"/>
    <w:rsid w:val="00576F75"/>
    <w:rsid w:val="0057708A"/>
    <w:rsid w:val="0057710E"/>
    <w:rsid w:val="00577130"/>
    <w:rsid w:val="005771B2"/>
    <w:rsid w:val="00577733"/>
    <w:rsid w:val="005777C8"/>
    <w:rsid w:val="0057798E"/>
    <w:rsid w:val="005779BB"/>
    <w:rsid w:val="00577C0E"/>
    <w:rsid w:val="00577D6D"/>
    <w:rsid w:val="00577D9E"/>
    <w:rsid w:val="00577E3C"/>
    <w:rsid w:val="00577F32"/>
    <w:rsid w:val="00577FAA"/>
    <w:rsid w:val="005800DA"/>
    <w:rsid w:val="00580302"/>
    <w:rsid w:val="00580526"/>
    <w:rsid w:val="005806D5"/>
    <w:rsid w:val="00580749"/>
    <w:rsid w:val="00580779"/>
    <w:rsid w:val="0058092B"/>
    <w:rsid w:val="00580985"/>
    <w:rsid w:val="00580B04"/>
    <w:rsid w:val="00580C5C"/>
    <w:rsid w:val="00580C93"/>
    <w:rsid w:val="00580D8C"/>
    <w:rsid w:val="00580F98"/>
    <w:rsid w:val="0058107D"/>
    <w:rsid w:val="00581114"/>
    <w:rsid w:val="00581170"/>
    <w:rsid w:val="00581300"/>
    <w:rsid w:val="00581508"/>
    <w:rsid w:val="005817C0"/>
    <w:rsid w:val="005818D4"/>
    <w:rsid w:val="005819F3"/>
    <w:rsid w:val="00581A83"/>
    <w:rsid w:val="00581AF1"/>
    <w:rsid w:val="00581B07"/>
    <w:rsid w:val="00581C95"/>
    <w:rsid w:val="00582022"/>
    <w:rsid w:val="0058222F"/>
    <w:rsid w:val="00582265"/>
    <w:rsid w:val="0058237E"/>
    <w:rsid w:val="005823AC"/>
    <w:rsid w:val="005823D0"/>
    <w:rsid w:val="0058242F"/>
    <w:rsid w:val="00582448"/>
    <w:rsid w:val="00582835"/>
    <w:rsid w:val="005828D9"/>
    <w:rsid w:val="00582BBC"/>
    <w:rsid w:val="00582BCF"/>
    <w:rsid w:val="00582CA5"/>
    <w:rsid w:val="00582D3C"/>
    <w:rsid w:val="00582D68"/>
    <w:rsid w:val="00582DB5"/>
    <w:rsid w:val="00582F73"/>
    <w:rsid w:val="00582F7E"/>
    <w:rsid w:val="0058310A"/>
    <w:rsid w:val="00583126"/>
    <w:rsid w:val="00583198"/>
    <w:rsid w:val="005832D3"/>
    <w:rsid w:val="005833C8"/>
    <w:rsid w:val="00583512"/>
    <w:rsid w:val="005835A7"/>
    <w:rsid w:val="005835D5"/>
    <w:rsid w:val="00583604"/>
    <w:rsid w:val="0058379B"/>
    <w:rsid w:val="00583B15"/>
    <w:rsid w:val="00583BAB"/>
    <w:rsid w:val="00583CAA"/>
    <w:rsid w:val="00583D8C"/>
    <w:rsid w:val="00583FBF"/>
    <w:rsid w:val="00584265"/>
    <w:rsid w:val="00584283"/>
    <w:rsid w:val="00584366"/>
    <w:rsid w:val="0058439C"/>
    <w:rsid w:val="0058446C"/>
    <w:rsid w:val="00584667"/>
    <w:rsid w:val="005846A1"/>
    <w:rsid w:val="0058476B"/>
    <w:rsid w:val="005848E9"/>
    <w:rsid w:val="00584C93"/>
    <w:rsid w:val="00584EF0"/>
    <w:rsid w:val="005850D4"/>
    <w:rsid w:val="0058519C"/>
    <w:rsid w:val="00585277"/>
    <w:rsid w:val="005852B7"/>
    <w:rsid w:val="0058532F"/>
    <w:rsid w:val="0058535C"/>
    <w:rsid w:val="0058547C"/>
    <w:rsid w:val="00585534"/>
    <w:rsid w:val="00585960"/>
    <w:rsid w:val="00585968"/>
    <w:rsid w:val="00585993"/>
    <w:rsid w:val="00585A9C"/>
    <w:rsid w:val="00585AD7"/>
    <w:rsid w:val="00585AE0"/>
    <w:rsid w:val="00585BCB"/>
    <w:rsid w:val="00585BDF"/>
    <w:rsid w:val="00585C9B"/>
    <w:rsid w:val="00585D1A"/>
    <w:rsid w:val="00585DDE"/>
    <w:rsid w:val="00586167"/>
    <w:rsid w:val="005862C0"/>
    <w:rsid w:val="00586524"/>
    <w:rsid w:val="005865C4"/>
    <w:rsid w:val="005866A0"/>
    <w:rsid w:val="0058672E"/>
    <w:rsid w:val="00586921"/>
    <w:rsid w:val="00586A74"/>
    <w:rsid w:val="00586B5C"/>
    <w:rsid w:val="00586E23"/>
    <w:rsid w:val="0058704B"/>
    <w:rsid w:val="0058712C"/>
    <w:rsid w:val="0058746B"/>
    <w:rsid w:val="005876B0"/>
    <w:rsid w:val="0058775B"/>
    <w:rsid w:val="005877C7"/>
    <w:rsid w:val="00587816"/>
    <w:rsid w:val="005878EF"/>
    <w:rsid w:val="00587A02"/>
    <w:rsid w:val="00587A1B"/>
    <w:rsid w:val="00587CEB"/>
    <w:rsid w:val="00587D16"/>
    <w:rsid w:val="00587EEA"/>
    <w:rsid w:val="00587F8C"/>
    <w:rsid w:val="00590001"/>
    <w:rsid w:val="00590003"/>
    <w:rsid w:val="0059008C"/>
    <w:rsid w:val="005902BF"/>
    <w:rsid w:val="005903FB"/>
    <w:rsid w:val="005905CB"/>
    <w:rsid w:val="005905D9"/>
    <w:rsid w:val="005906BD"/>
    <w:rsid w:val="00590769"/>
    <w:rsid w:val="005909AB"/>
    <w:rsid w:val="00590ABA"/>
    <w:rsid w:val="00590B18"/>
    <w:rsid w:val="00590B84"/>
    <w:rsid w:val="00590BD5"/>
    <w:rsid w:val="00590C2A"/>
    <w:rsid w:val="00590C58"/>
    <w:rsid w:val="00590D86"/>
    <w:rsid w:val="00590DCE"/>
    <w:rsid w:val="00590E23"/>
    <w:rsid w:val="00590EFE"/>
    <w:rsid w:val="0059106B"/>
    <w:rsid w:val="005910F6"/>
    <w:rsid w:val="005911DF"/>
    <w:rsid w:val="00591215"/>
    <w:rsid w:val="00591292"/>
    <w:rsid w:val="0059174C"/>
    <w:rsid w:val="00591935"/>
    <w:rsid w:val="00591B77"/>
    <w:rsid w:val="00591C5A"/>
    <w:rsid w:val="00591C9B"/>
    <w:rsid w:val="00591E5D"/>
    <w:rsid w:val="00592230"/>
    <w:rsid w:val="005922EB"/>
    <w:rsid w:val="005922F3"/>
    <w:rsid w:val="00592509"/>
    <w:rsid w:val="0059250D"/>
    <w:rsid w:val="00592666"/>
    <w:rsid w:val="00592882"/>
    <w:rsid w:val="0059299B"/>
    <w:rsid w:val="00592A6D"/>
    <w:rsid w:val="00592AFB"/>
    <w:rsid w:val="00592B47"/>
    <w:rsid w:val="00592BD1"/>
    <w:rsid w:val="00592C13"/>
    <w:rsid w:val="00592C3A"/>
    <w:rsid w:val="00592CD4"/>
    <w:rsid w:val="00592D76"/>
    <w:rsid w:val="00592DD2"/>
    <w:rsid w:val="00592E4D"/>
    <w:rsid w:val="00592EB4"/>
    <w:rsid w:val="00593304"/>
    <w:rsid w:val="0059330A"/>
    <w:rsid w:val="00593376"/>
    <w:rsid w:val="005933FF"/>
    <w:rsid w:val="0059357A"/>
    <w:rsid w:val="005935A4"/>
    <w:rsid w:val="005937A1"/>
    <w:rsid w:val="005937D5"/>
    <w:rsid w:val="0059383C"/>
    <w:rsid w:val="005938CE"/>
    <w:rsid w:val="00593AC9"/>
    <w:rsid w:val="00593AE0"/>
    <w:rsid w:val="00593AFA"/>
    <w:rsid w:val="00593C83"/>
    <w:rsid w:val="00593D3D"/>
    <w:rsid w:val="00593DBC"/>
    <w:rsid w:val="00593E83"/>
    <w:rsid w:val="00594007"/>
    <w:rsid w:val="00594323"/>
    <w:rsid w:val="00594341"/>
    <w:rsid w:val="005946E4"/>
    <w:rsid w:val="00594812"/>
    <w:rsid w:val="00594826"/>
    <w:rsid w:val="005949AD"/>
    <w:rsid w:val="00594B3A"/>
    <w:rsid w:val="00594CD3"/>
    <w:rsid w:val="00594FCE"/>
    <w:rsid w:val="00594FE4"/>
    <w:rsid w:val="00595142"/>
    <w:rsid w:val="00595531"/>
    <w:rsid w:val="0059558C"/>
    <w:rsid w:val="00595809"/>
    <w:rsid w:val="00595813"/>
    <w:rsid w:val="0059593C"/>
    <w:rsid w:val="00595989"/>
    <w:rsid w:val="00595B35"/>
    <w:rsid w:val="00595E65"/>
    <w:rsid w:val="00595E72"/>
    <w:rsid w:val="00595ECD"/>
    <w:rsid w:val="00595F47"/>
    <w:rsid w:val="00595F50"/>
    <w:rsid w:val="00595F5A"/>
    <w:rsid w:val="00595FC3"/>
    <w:rsid w:val="00595FE2"/>
    <w:rsid w:val="00596227"/>
    <w:rsid w:val="00596437"/>
    <w:rsid w:val="0059663B"/>
    <w:rsid w:val="00596642"/>
    <w:rsid w:val="0059666E"/>
    <w:rsid w:val="00596821"/>
    <w:rsid w:val="005968D8"/>
    <w:rsid w:val="00596B8A"/>
    <w:rsid w:val="00596C57"/>
    <w:rsid w:val="00596D74"/>
    <w:rsid w:val="005970E2"/>
    <w:rsid w:val="0059713D"/>
    <w:rsid w:val="00597149"/>
    <w:rsid w:val="005971C9"/>
    <w:rsid w:val="005971E7"/>
    <w:rsid w:val="0059750F"/>
    <w:rsid w:val="005975BC"/>
    <w:rsid w:val="0059777C"/>
    <w:rsid w:val="005977DE"/>
    <w:rsid w:val="00597825"/>
    <w:rsid w:val="005978F5"/>
    <w:rsid w:val="005979D2"/>
    <w:rsid w:val="00597AF7"/>
    <w:rsid w:val="00597B06"/>
    <w:rsid w:val="00597B61"/>
    <w:rsid w:val="00597B73"/>
    <w:rsid w:val="00597BB6"/>
    <w:rsid w:val="00597E2E"/>
    <w:rsid w:val="00597FC4"/>
    <w:rsid w:val="00597FD9"/>
    <w:rsid w:val="005A00EB"/>
    <w:rsid w:val="005A02BF"/>
    <w:rsid w:val="005A03C3"/>
    <w:rsid w:val="005A04E5"/>
    <w:rsid w:val="005A06A3"/>
    <w:rsid w:val="005A082A"/>
    <w:rsid w:val="005A08F1"/>
    <w:rsid w:val="005A0AB1"/>
    <w:rsid w:val="005A0AEA"/>
    <w:rsid w:val="005A0B35"/>
    <w:rsid w:val="005A0D55"/>
    <w:rsid w:val="005A0E64"/>
    <w:rsid w:val="005A103B"/>
    <w:rsid w:val="005A1055"/>
    <w:rsid w:val="005A1137"/>
    <w:rsid w:val="005A1178"/>
    <w:rsid w:val="005A1296"/>
    <w:rsid w:val="005A12E4"/>
    <w:rsid w:val="005A135B"/>
    <w:rsid w:val="005A1381"/>
    <w:rsid w:val="005A13A1"/>
    <w:rsid w:val="005A1756"/>
    <w:rsid w:val="005A182B"/>
    <w:rsid w:val="005A1858"/>
    <w:rsid w:val="005A1AC5"/>
    <w:rsid w:val="005A1C52"/>
    <w:rsid w:val="005A1D49"/>
    <w:rsid w:val="005A1DBC"/>
    <w:rsid w:val="005A1DD4"/>
    <w:rsid w:val="005A1E04"/>
    <w:rsid w:val="005A1F80"/>
    <w:rsid w:val="005A20D4"/>
    <w:rsid w:val="005A216A"/>
    <w:rsid w:val="005A21A8"/>
    <w:rsid w:val="005A22B9"/>
    <w:rsid w:val="005A23DD"/>
    <w:rsid w:val="005A241C"/>
    <w:rsid w:val="005A2543"/>
    <w:rsid w:val="005A2656"/>
    <w:rsid w:val="005A27BD"/>
    <w:rsid w:val="005A27DD"/>
    <w:rsid w:val="005A27F4"/>
    <w:rsid w:val="005A28AF"/>
    <w:rsid w:val="005A2A83"/>
    <w:rsid w:val="005A2ADB"/>
    <w:rsid w:val="005A2AFD"/>
    <w:rsid w:val="005A2BBF"/>
    <w:rsid w:val="005A2BD0"/>
    <w:rsid w:val="005A2E68"/>
    <w:rsid w:val="005A3035"/>
    <w:rsid w:val="005A3169"/>
    <w:rsid w:val="005A354E"/>
    <w:rsid w:val="005A361A"/>
    <w:rsid w:val="005A368F"/>
    <w:rsid w:val="005A370A"/>
    <w:rsid w:val="005A3750"/>
    <w:rsid w:val="005A3778"/>
    <w:rsid w:val="005A3818"/>
    <w:rsid w:val="005A3972"/>
    <w:rsid w:val="005A3A7E"/>
    <w:rsid w:val="005A3D6B"/>
    <w:rsid w:val="005A3E33"/>
    <w:rsid w:val="005A3ED0"/>
    <w:rsid w:val="005A4122"/>
    <w:rsid w:val="005A4126"/>
    <w:rsid w:val="005A419A"/>
    <w:rsid w:val="005A41C4"/>
    <w:rsid w:val="005A4274"/>
    <w:rsid w:val="005A449B"/>
    <w:rsid w:val="005A4667"/>
    <w:rsid w:val="005A4722"/>
    <w:rsid w:val="005A4A96"/>
    <w:rsid w:val="005A4AF1"/>
    <w:rsid w:val="005A4B9A"/>
    <w:rsid w:val="005A4BC9"/>
    <w:rsid w:val="005A4C5B"/>
    <w:rsid w:val="005A4D7B"/>
    <w:rsid w:val="005A4E29"/>
    <w:rsid w:val="005A4F86"/>
    <w:rsid w:val="005A50D6"/>
    <w:rsid w:val="005A5162"/>
    <w:rsid w:val="005A523F"/>
    <w:rsid w:val="005A52AF"/>
    <w:rsid w:val="005A52BE"/>
    <w:rsid w:val="005A5318"/>
    <w:rsid w:val="005A53F6"/>
    <w:rsid w:val="005A554C"/>
    <w:rsid w:val="005A5568"/>
    <w:rsid w:val="005A56A8"/>
    <w:rsid w:val="005A5822"/>
    <w:rsid w:val="005A588C"/>
    <w:rsid w:val="005A5892"/>
    <w:rsid w:val="005A5A35"/>
    <w:rsid w:val="005A5B27"/>
    <w:rsid w:val="005A5B28"/>
    <w:rsid w:val="005A5B61"/>
    <w:rsid w:val="005A5D0F"/>
    <w:rsid w:val="005A5D11"/>
    <w:rsid w:val="005A5D84"/>
    <w:rsid w:val="005A6336"/>
    <w:rsid w:val="005A635E"/>
    <w:rsid w:val="005A63E5"/>
    <w:rsid w:val="005A643C"/>
    <w:rsid w:val="005A6494"/>
    <w:rsid w:val="005A64C4"/>
    <w:rsid w:val="005A6580"/>
    <w:rsid w:val="005A65E1"/>
    <w:rsid w:val="005A66A1"/>
    <w:rsid w:val="005A670E"/>
    <w:rsid w:val="005A6AFB"/>
    <w:rsid w:val="005A6B98"/>
    <w:rsid w:val="005A6BD1"/>
    <w:rsid w:val="005A6DEF"/>
    <w:rsid w:val="005A6F69"/>
    <w:rsid w:val="005A6FC7"/>
    <w:rsid w:val="005A704F"/>
    <w:rsid w:val="005A70C8"/>
    <w:rsid w:val="005A710B"/>
    <w:rsid w:val="005A710F"/>
    <w:rsid w:val="005A71BA"/>
    <w:rsid w:val="005A72BF"/>
    <w:rsid w:val="005A7442"/>
    <w:rsid w:val="005A7632"/>
    <w:rsid w:val="005A769C"/>
    <w:rsid w:val="005A7704"/>
    <w:rsid w:val="005A78C5"/>
    <w:rsid w:val="005A78D5"/>
    <w:rsid w:val="005A79EF"/>
    <w:rsid w:val="005A7B78"/>
    <w:rsid w:val="005A7B82"/>
    <w:rsid w:val="005A7C9D"/>
    <w:rsid w:val="005A7CA9"/>
    <w:rsid w:val="005A7CE3"/>
    <w:rsid w:val="005A7DCF"/>
    <w:rsid w:val="005A7EE3"/>
    <w:rsid w:val="005A7F1C"/>
    <w:rsid w:val="005B0041"/>
    <w:rsid w:val="005B01B1"/>
    <w:rsid w:val="005B01DD"/>
    <w:rsid w:val="005B0228"/>
    <w:rsid w:val="005B04F2"/>
    <w:rsid w:val="005B06BD"/>
    <w:rsid w:val="005B06CF"/>
    <w:rsid w:val="005B0843"/>
    <w:rsid w:val="005B08DC"/>
    <w:rsid w:val="005B0947"/>
    <w:rsid w:val="005B0990"/>
    <w:rsid w:val="005B09D8"/>
    <w:rsid w:val="005B09E6"/>
    <w:rsid w:val="005B0AA4"/>
    <w:rsid w:val="005B0BDD"/>
    <w:rsid w:val="005B0BE4"/>
    <w:rsid w:val="005B0C38"/>
    <w:rsid w:val="005B0C7E"/>
    <w:rsid w:val="005B0C88"/>
    <w:rsid w:val="005B0CC4"/>
    <w:rsid w:val="005B0D6C"/>
    <w:rsid w:val="005B0DC4"/>
    <w:rsid w:val="005B0E1C"/>
    <w:rsid w:val="005B0F18"/>
    <w:rsid w:val="005B0F3B"/>
    <w:rsid w:val="005B0F56"/>
    <w:rsid w:val="005B0FB1"/>
    <w:rsid w:val="005B118C"/>
    <w:rsid w:val="005B14ED"/>
    <w:rsid w:val="005B17CA"/>
    <w:rsid w:val="005B1858"/>
    <w:rsid w:val="005B1A7B"/>
    <w:rsid w:val="005B1A80"/>
    <w:rsid w:val="005B1B86"/>
    <w:rsid w:val="005B1C16"/>
    <w:rsid w:val="005B1C36"/>
    <w:rsid w:val="005B1D77"/>
    <w:rsid w:val="005B1E3B"/>
    <w:rsid w:val="005B1EB6"/>
    <w:rsid w:val="005B1ECD"/>
    <w:rsid w:val="005B219D"/>
    <w:rsid w:val="005B21E5"/>
    <w:rsid w:val="005B222B"/>
    <w:rsid w:val="005B22F9"/>
    <w:rsid w:val="005B2352"/>
    <w:rsid w:val="005B23A1"/>
    <w:rsid w:val="005B243F"/>
    <w:rsid w:val="005B2535"/>
    <w:rsid w:val="005B25EA"/>
    <w:rsid w:val="005B26C2"/>
    <w:rsid w:val="005B2756"/>
    <w:rsid w:val="005B27EF"/>
    <w:rsid w:val="005B289C"/>
    <w:rsid w:val="005B28AE"/>
    <w:rsid w:val="005B28BA"/>
    <w:rsid w:val="005B2905"/>
    <w:rsid w:val="005B293D"/>
    <w:rsid w:val="005B2A41"/>
    <w:rsid w:val="005B2CB5"/>
    <w:rsid w:val="005B2CE4"/>
    <w:rsid w:val="005B2D4E"/>
    <w:rsid w:val="005B2D61"/>
    <w:rsid w:val="005B2F15"/>
    <w:rsid w:val="005B2F20"/>
    <w:rsid w:val="005B30DA"/>
    <w:rsid w:val="005B30EB"/>
    <w:rsid w:val="005B3237"/>
    <w:rsid w:val="005B349B"/>
    <w:rsid w:val="005B34F7"/>
    <w:rsid w:val="005B34FA"/>
    <w:rsid w:val="005B37F9"/>
    <w:rsid w:val="005B3811"/>
    <w:rsid w:val="005B389A"/>
    <w:rsid w:val="005B3991"/>
    <w:rsid w:val="005B3A57"/>
    <w:rsid w:val="005B3AB5"/>
    <w:rsid w:val="005B3B25"/>
    <w:rsid w:val="005B3C71"/>
    <w:rsid w:val="005B3E09"/>
    <w:rsid w:val="005B3F19"/>
    <w:rsid w:val="005B411F"/>
    <w:rsid w:val="005B425D"/>
    <w:rsid w:val="005B4305"/>
    <w:rsid w:val="005B4363"/>
    <w:rsid w:val="005B44D2"/>
    <w:rsid w:val="005B44D4"/>
    <w:rsid w:val="005B4611"/>
    <w:rsid w:val="005B4652"/>
    <w:rsid w:val="005B4722"/>
    <w:rsid w:val="005B4803"/>
    <w:rsid w:val="005B483D"/>
    <w:rsid w:val="005B4988"/>
    <w:rsid w:val="005B4A38"/>
    <w:rsid w:val="005B4A5D"/>
    <w:rsid w:val="005B4AB6"/>
    <w:rsid w:val="005B4ACA"/>
    <w:rsid w:val="005B4B24"/>
    <w:rsid w:val="005B4C49"/>
    <w:rsid w:val="005B4DDA"/>
    <w:rsid w:val="005B4E01"/>
    <w:rsid w:val="005B4E78"/>
    <w:rsid w:val="005B4EED"/>
    <w:rsid w:val="005B5000"/>
    <w:rsid w:val="005B51D9"/>
    <w:rsid w:val="005B521F"/>
    <w:rsid w:val="005B522E"/>
    <w:rsid w:val="005B5276"/>
    <w:rsid w:val="005B52CE"/>
    <w:rsid w:val="005B53DA"/>
    <w:rsid w:val="005B5439"/>
    <w:rsid w:val="005B54A0"/>
    <w:rsid w:val="005B558F"/>
    <w:rsid w:val="005B55E4"/>
    <w:rsid w:val="005B55FC"/>
    <w:rsid w:val="005B5997"/>
    <w:rsid w:val="005B59FE"/>
    <w:rsid w:val="005B5DD8"/>
    <w:rsid w:val="005B5E45"/>
    <w:rsid w:val="005B611A"/>
    <w:rsid w:val="005B6176"/>
    <w:rsid w:val="005B6269"/>
    <w:rsid w:val="005B62D6"/>
    <w:rsid w:val="005B657A"/>
    <w:rsid w:val="005B66BC"/>
    <w:rsid w:val="005B66E4"/>
    <w:rsid w:val="005B6750"/>
    <w:rsid w:val="005B67A0"/>
    <w:rsid w:val="005B67C5"/>
    <w:rsid w:val="005B67DC"/>
    <w:rsid w:val="005B6A8C"/>
    <w:rsid w:val="005B6B70"/>
    <w:rsid w:val="005B6CDE"/>
    <w:rsid w:val="005B6D8E"/>
    <w:rsid w:val="005B6DD9"/>
    <w:rsid w:val="005B6E3F"/>
    <w:rsid w:val="005B6E89"/>
    <w:rsid w:val="005B6F80"/>
    <w:rsid w:val="005B707B"/>
    <w:rsid w:val="005B70E3"/>
    <w:rsid w:val="005B718D"/>
    <w:rsid w:val="005B7220"/>
    <w:rsid w:val="005B74B4"/>
    <w:rsid w:val="005B7520"/>
    <w:rsid w:val="005B7636"/>
    <w:rsid w:val="005B76BB"/>
    <w:rsid w:val="005B7861"/>
    <w:rsid w:val="005B79D0"/>
    <w:rsid w:val="005B79E4"/>
    <w:rsid w:val="005B7A28"/>
    <w:rsid w:val="005B7BB3"/>
    <w:rsid w:val="005B7C3E"/>
    <w:rsid w:val="005B7C78"/>
    <w:rsid w:val="005B7DB5"/>
    <w:rsid w:val="005B7DE9"/>
    <w:rsid w:val="005B7DFC"/>
    <w:rsid w:val="005B7E5B"/>
    <w:rsid w:val="005B7FD7"/>
    <w:rsid w:val="005B7FE4"/>
    <w:rsid w:val="005C001A"/>
    <w:rsid w:val="005C00BC"/>
    <w:rsid w:val="005C023A"/>
    <w:rsid w:val="005C02AE"/>
    <w:rsid w:val="005C03E2"/>
    <w:rsid w:val="005C046E"/>
    <w:rsid w:val="005C048C"/>
    <w:rsid w:val="005C05B4"/>
    <w:rsid w:val="005C0717"/>
    <w:rsid w:val="005C0A8C"/>
    <w:rsid w:val="005C0B55"/>
    <w:rsid w:val="005C0BA2"/>
    <w:rsid w:val="005C0CBA"/>
    <w:rsid w:val="005C0CFB"/>
    <w:rsid w:val="005C0E6B"/>
    <w:rsid w:val="005C0E9D"/>
    <w:rsid w:val="005C0EAB"/>
    <w:rsid w:val="005C0ECC"/>
    <w:rsid w:val="005C0EF2"/>
    <w:rsid w:val="005C0F8A"/>
    <w:rsid w:val="005C1106"/>
    <w:rsid w:val="005C134C"/>
    <w:rsid w:val="005C14A7"/>
    <w:rsid w:val="005C16FC"/>
    <w:rsid w:val="005C179D"/>
    <w:rsid w:val="005C17A4"/>
    <w:rsid w:val="005C17A6"/>
    <w:rsid w:val="005C184F"/>
    <w:rsid w:val="005C185A"/>
    <w:rsid w:val="005C19FC"/>
    <w:rsid w:val="005C1A44"/>
    <w:rsid w:val="005C1AE5"/>
    <w:rsid w:val="005C1B3C"/>
    <w:rsid w:val="005C1C56"/>
    <w:rsid w:val="005C1C95"/>
    <w:rsid w:val="005C1C99"/>
    <w:rsid w:val="005C1CE3"/>
    <w:rsid w:val="005C1DA4"/>
    <w:rsid w:val="005C1F51"/>
    <w:rsid w:val="005C1FDA"/>
    <w:rsid w:val="005C2278"/>
    <w:rsid w:val="005C22B2"/>
    <w:rsid w:val="005C22E7"/>
    <w:rsid w:val="005C22E9"/>
    <w:rsid w:val="005C23B3"/>
    <w:rsid w:val="005C23FE"/>
    <w:rsid w:val="005C24AB"/>
    <w:rsid w:val="005C251D"/>
    <w:rsid w:val="005C274F"/>
    <w:rsid w:val="005C2764"/>
    <w:rsid w:val="005C27D5"/>
    <w:rsid w:val="005C28F6"/>
    <w:rsid w:val="005C2900"/>
    <w:rsid w:val="005C2BB4"/>
    <w:rsid w:val="005C2BD6"/>
    <w:rsid w:val="005C2C09"/>
    <w:rsid w:val="005C2D3F"/>
    <w:rsid w:val="005C32E4"/>
    <w:rsid w:val="005C32F5"/>
    <w:rsid w:val="005C3326"/>
    <w:rsid w:val="005C36CE"/>
    <w:rsid w:val="005C385B"/>
    <w:rsid w:val="005C3942"/>
    <w:rsid w:val="005C39D2"/>
    <w:rsid w:val="005C3A2A"/>
    <w:rsid w:val="005C3A62"/>
    <w:rsid w:val="005C3A6A"/>
    <w:rsid w:val="005C3B63"/>
    <w:rsid w:val="005C3C6E"/>
    <w:rsid w:val="005C3FA0"/>
    <w:rsid w:val="005C3FD8"/>
    <w:rsid w:val="005C40C7"/>
    <w:rsid w:val="005C430F"/>
    <w:rsid w:val="005C4324"/>
    <w:rsid w:val="005C4507"/>
    <w:rsid w:val="005C469C"/>
    <w:rsid w:val="005C476F"/>
    <w:rsid w:val="005C4808"/>
    <w:rsid w:val="005C489E"/>
    <w:rsid w:val="005C4ADE"/>
    <w:rsid w:val="005C4B23"/>
    <w:rsid w:val="005C4B32"/>
    <w:rsid w:val="005C4C7F"/>
    <w:rsid w:val="005C4CCD"/>
    <w:rsid w:val="005C4F6D"/>
    <w:rsid w:val="005C4F99"/>
    <w:rsid w:val="005C50B7"/>
    <w:rsid w:val="005C50D5"/>
    <w:rsid w:val="005C514D"/>
    <w:rsid w:val="005C5207"/>
    <w:rsid w:val="005C52E9"/>
    <w:rsid w:val="005C5324"/>
    <w:rsid w:val="005C5454"/>
    <w:rsid w:val="005C558C"/>
    <w:rsid w:val="005C55AB"/>
    <w:rsid w:val="005C55F3"/>
    <w:rsid w:val="005C59F6"/>
    <w:rsid w:val="005C5A2C"/>
    <w:rsid w:val="005C5AF3"/>
    <w:rsid w:val="005C5B48"/>
    <w:rsid w:val="005C5CAC"/>
    <w:rsid w:val="005C5FAC"/>
    <w:rsid w:val="005C6016"/>
    <w:rsid w:val="005C624A"/>
    <w:rsid w:val="005C62D1"/>
    <w:rsid w:val="005C645A"/>
    <w:rsid w:val="005C65A3"/>
    <w:rsid w:val="005C65E8"/>
    <w:rsid w:val="005C67EA"/>
    <w:rsid w:val="005C692B"/>
    <w:rsid w:val="005C695B"/>
    <w:rsid w:val="005C6AA4"/>
    <w:rsid w:val="005C6B08"/>
    <w:rsid w:val="005C6CD6"/>
    <w:rsid w:val="005C6CE0"/>
    <w:rsid w:val="005C709E"/>
    <w:rsid w:val="005C70DB"/>
    <w:rsid w:val="005C70DE"/>
    <w:rsid w:val="005C71EF"/>
    <w:rsid w:val="005C73F3"/>
    <w:rsid w:val="005C743E"/>
    <w:rsid w:val="005C7485"/>
    <w:rsid w:val="005C74F3"/>
    <w:rsid w:val="005C7549"/>
    <w:rsid w:val="005C7919"/>
    <w:rsid w:val="005C7948"/>
    <w:rsid w:val="005C7BAD"/>
    <w:rsid w:val="005C7BE0"/>
    <w:rsid w:val="005C7C83"/>
    <w:rsid w:val="005C7CEE"/>
    <w:rsid w:val="005C7DE7"/>
    <w:rsid w:val="005D0140"/>
    <w:rsid w:val="005D03C0"/>
    <w:rsid w:val="005D0522"/>
    <w:rsid w:val="005D054E"/>
    <w:rsid w:val="005D059D"/>
    <w:rsid w:val="005D07B4"/>
    <w:rsid w:val="005D0841"/>
    <w:rsid w:val="005D0926"/>
    <w:rsid w:val="005D0A5B"/>
    <w:rsid w:val="005D0C19"/>
    <w:rsid w:val="005D0DD2"/>
    <w:rsid w:val="005D0EF0"/>
    <w:rsid w:val="005D10A4"/>
    <w:rsid w:val="005D1116"/>
    <w:rsid w:val="005D11C9"/>
    <w:rsid w:val="005D13BD"/>
    <w:rsid w:val="005D15CC"/>
    <w:rsid w:val="005D1632"/>
    <w:rsid w:val="005D174C"/>
    <w:rsid w:val="005D1768"/>
    <w:rsid w:val="005D189F"/>
    <w:rsid w:val="005D18E5"/>
    <w:rsid w:val="005D1906"/>
    <w:rsid w:val="005D1976"/>
    <w:rsid w:val="005D19B7"/>
    <w:rsid w:val="005D1AA2"/>
    <w:rsid w:val="005D1CB1"/>
    <w:rsid w:val="005D1D7A"/>
    <w:rsid w:val="005D1EC1"/>
    <w:rsid w:val="005D1F56"/>
    <w:rsid w:val="005D1F90"/>
    <w:rsid w:val="005D1F9B"/>
    <w:rsid w:val="005D1FA2"/>
    <w:rsid w:val="005D22D0"/>
    <w:rsid w:val="005D23A6"/>
    <w:rsid w:val="005D2407"/>
    <w:rsid w:val="005D25FD"/>
    <w:rsid w:val="005D2635"/>
    <w:rsid w:val="005D265F"/>
    <w:rsid w:val="005D276F"/>
    <w:rsid w:val="005D2A10"/>
    <w:rsid w:val="005D2AB3"/>
    <w:rsid w:val="005D2C02"/>
    <w:rsid w:val="005D2C9C"/>
    <w:rsid w:val="005D2E85"/>
    <w:rsid w:val="005D2FF6"/>
    <w:rsid w:val="005D3038"/>
    <w:rsid w:val="005D30B6"/>
    <w:rsid w:val="005D30CC"/>
    <w:rsid w:val="005D315B"/>
    <w:rsid w:val="005D31AD"/>
    <w:rsid w:val="005D3299"/>
    <w:rsid w:val="005D33DB"/>
    <w:rsid w:val="005D33F3"/>
    <w:rsid w:val="005D3523"/>
    <w:rsid w:val="005D3689"/>
    <w:rsid w:val="005D38AC"/>
    <w:rsid w:val="005D38BA"/>
    <w:rsid w:val="005D39B1"/>
    <w:rsid w:val="005D39BC"/>
    <w:rsid w:val="005D3A24"/>
    <w:rsid w:val="005D3AA0"/>
    <w:rsid w:val="005D3B85"/>
    <w:rsid w:val="005D3CED"/>
    <w:rsid w:val="005D3CFA"/>
    <w:rsid w:val="005D4292"/>
    <w:rsid w:val="005D42D9"/>
    <w:rsid w:val="005D4511"/>
    <w:rsid w:val="005D476D"/>
    <w:rsid w:val="005D47E0"/>
    <w:rsid w:val="005D4873"/>
    <w:rsid w:val="005D488C"/>
    <w:rsid w:val="005D48D2"/>
    <w:rsid w:val="005D492D"/>
    <w:rsid w:val="005D4954"/>
    <w:rsid w:val="005D4ABC"/>
    <w:rsid w:val="005D4D34"/>
    <w:rsid w:val="005D4F50"/>
    <w:rsid w:val="005D4F5A"/>
    <w:rsid w:val="005D5207"/>
    <w:rsid w:val="005D52F1"/>
    <w:rsid w:val="005D54C5"/>
    <w:rsid w:val="005D55F1"/>
    <w:rsid w:val="005D5799"/>
    <w:rsid w:val="005D5845"/>
    <w:rsid w:val="005D5860"/>
    <w:rsid w:val="005D58BC"/>
    <w:rsid w:val="005D593D"/>
    <w:rsid w:val="005D5A31"/>
    <w:rsid w:val="005D5BC0"/>
    <w:rsid w:val="005D5C6C"/>
    <w:rsid w:val="005D5E39"/>
    <w:rsid w:val="005D5E4E"/>
    <w:rsid w:val="005D5E60"/>
    <w:rsid w:val="005D5EF4"/>
    <w:rsid w:val="005D5F6B"/>
    <w:rsid w:val="005D5FA9"/>
    <w:rsid w:val="005D61D6"/>
    <w:rsid w:val="005D62CC"/>
    <w:rsid w:val="005D6307"/>
    <w:rsid w:val="005D63AB"/>
    <w:rsid w:val="005D63F5"/>
    <w:rsid w:val="005D64C9"/>
    <w:rsid w:val="005D67BF"/>
    <w:rsid w:val="005D6BEF"/>
    <w:rsid w:val="005D6C91"/>
    <w:rsid w:val="005D6E14"/>
    <w:rsid w:val="005D7137"/>
    <w:rsid w:val="005D7161"/>
    <w:rsid w:val="005D71DA"/>
    <w:rsid w:val="005D7280"/>
    <w:rsid w:val="005D743D"/>
    <w:rsid w:val="005D76D5"/>
    <w:rsid w:val="005D77B0"/>
    <w:rsid w:val="005D78BA"/>
    <w:rsid w:val="005D7B1A"/>
    <w:rsid w:val="005D7C81"/>
    <w:rsid w:val="005D7D14"/>
    <w:rsid w:val="005D7E38"/>
    <w:rsid w:val="005D7E60"/>
    <w:rsid w:val="005D7EB1"/>
    <w:rsid w:val="005D7F5E"/>
    <w:rsid w:val="005E00C2"/>
    <w:rsid w:val="005E00F5"/>
    <w:rsid w:val="005E00F9"/>
    <w:rsid w:val="005E0160"/>
    <w:rsid w:val="005E02C1"/>
    <w:rsid w:val="005E0318"/>
    <w:rsid w:val="005E0319"/>
    <w:rsid w:val="005E03B4"/>
    <w:rsid w:val="005E048E"/>
    <w:rsid w:val="005E05AF"/>
    <w:rsid w:val="005E062F"/>
    <w:rsid w:val="005E08CF"/>
    <w:rsid w:val="005E08DC"/>
    <w:rsid w:val="005E091D"/>
    <w:rsid w:val="005E09AA"/>
    <w:rsid w:val="005E09B0"/>
    <w:rsid w:val="005E09E7"/>
    <w:rsid w:val="005E0CB5"/>
    <w:rsid w:val="005E0DD2"/>
    <w:rsid w:val="005E0EDA"/>
    <w:rsid w:val="005E1069"/>
    <w:rsid w:val="005E1081"/>
    <w:rsid w:val="005E1165"/>
    <w:rsid w:val="005E120B"/>
    <w:rsid w:val="005E123C"/>
    <w:rsid w:val="005E1281"/>
    <w:rsid w:val="005E1376"/>
    <w:rsid w:val="005E1428"/>
    <w:rsid w:val="005E1534"/>
    <w:rsid w:val="005E15B6"/>
    <w:rsid w:val="005E17BA"/>
    <w:rsid w:val="005E17D6"/>
    <w:rsid w:val="005E187E"/>
    <w:rsid w:val="005E18FD"/>
    <w:rsid w:val="005E18FF"/>
    <w:rsid w:val="005E1943"/>
    <w:rsid w:val="005E19B6"/>
    <w:rsid w:val="005E19C4"/>
    <w:rsid w:val="005E1A63"/>
    <w:rsid w:val="005E1CFB"/>
    <w:rsid w:val="005E1D1C"/>
    <w:rsid w:val="005E1E5C"/>
    <w:rsid w:val="005E1EF9"/>
    <w:rsid w:val="005E1F3C"/>
    <w:rsid w:val="005E20BC"/>
    <w:rsid w:val="005E21E1"/>
    <w:rsid w:val="005E2293"/>
    <w:rsid w:val="005E2497"/>
    <w:rsid w:val="005E24E7"/>
    <w:rsid w:val="005E26D4"/>
    <w:rsid w:val="005E27E6"/>
    <w:rsid w:val="005E2B78"/>
    <w:rsid w:val="005E2BAB"/>
    <w:rsid w:val="005E2D12"/>
    <w:rsid w:val="005E2F70"/>
    <w:rsid w:val="005E2F9B"/>
    <w:rsid w:val="005E3011"/>
    <w:rsid w:val="005E3150"/>
    <w:rsid w:val="005E31EC"/>
    <w:rsid w:val="005E3269"/>
    <w:rsid w:val="005E3285"/>
    <w:rsid w:val="005E32BC"/>
    <w:rsid w:val="005E32E8"/>
    <w:rsid w:val="005E32EF"/>
    <w:rsid w:val="005E3317"/>
    <w:rsid w:val="005E3489"/>
    <w:rsid w:val="005E3520"/>
    <w:rsid w:val="005E3579"/>
    <w:rsid w:val="005E35C7"/>
    <w:rsid w:val="005E35CA"/>
    <w:rsid w:val="005E3713"/>
    <w:rsid w:val="005E389E"/>
    <w:rsid w:val="005E392B"/>
    <w:rsid w:val="005E3BDC"/>
    <w:rsid w:val="005E3D78"/>
    <w:rsid w:val="005E3D9D"/>
    <w:rsid w:val="005E3DE6"/>
    <w:rsid w:val="005E415C"/>
    <w:rsid w:val="005E418C"/>
    <w:rsid w:val="005E42EF"/>
    <w:rsid w:val="005E43ED"/>
    <w:rsid w:val="005E4423"/>
    <w:rsid w:val="005E443E"/>
    <w:rsid w:val="005E45DC"/>
    <w:rsid w:val="005E46CC"/>
    <w:rsid w:val="005E46F5"/>
    <w:rsid w:val="005E47DD"/>
    <w:rsid w:val="005E4891"/>
    <w:rsid w:val="005E4958"/>
    <w:rsid w:val="005E49A2"/>
    <w:rsid w:val="005E49D4"/>
    <w:rsid w:val="005E4A8A"/>
    <w:rsid w:val="005E4C3E"/>
    <w:rsid w:val="005E4CA9"/>
    <w:rsid w:val="005E4D07"/>
    <w:rsid w:val="005E4DA7"/>
    <w:rsid w:val="005E4ED2"/>
    <w:rsid w:val="005E4EF5"/>
    <w:rsid w:val="005E4F13"/>
    <w:rsid w:val="005E4F49"/>
    <w:rsid w:val="005E4F9F"/>
    <w:rsid w:val="005E50FF"/>
    <w:rsid w:val="005E5317"/>
    <w:rsid w:val="005E5587"/>
    <w:rsid w:val="005E565E"/>
    <w:rsid w:val="005E5668"/>
    <w:rsid w:val="005E572B"/>
    <w:rsid w:val="005E579E"/>
    <w:rsid w:val="005E57DF"/>
    <w:rsid w:val="005E5D29"/>
    <w:rsid w:val="005E5D74"/>
    <w:rsid w:val="005E5F68"/>
    <w:rsid w:val="005E5F73"/>
    <w:rsid w:val="005E605E"/>
    <w:rsid w:val="005E62E7"/>
    <w:rsid w:val="005E6318"/>
    <w:rsid w:val="005E6324"/>
    <w:rsid w:val="005E63AE"/>
    <w:rsid w:val="005E649A"/>
    <w:rsid w:val="005E651D"/>
    <w:rsid w:val="005E67C4"/>
    <w:rsid w:val="005E68DB"/>
    <w:rsid w:val="005E6CEF"/>
    <w:rsid w:val="005E6D15"/>
    <w:rsid w:val="005E6DDD"/>
    <w:rsid w:val="005E6E5A"/>
    <w:rsid w:val="005E6E88"/>
    <w:rsid w:val="005E6E95"/>
    <w:rsid w:val="005E6F97"/>
    <w:rsid w:val="005E6FFC"/>
    <w:rsid w:val="005E7057"/>
    <w:rsid w:val="005E7068"/>
    <w:rsid w:val="005E7104"/>
    <w:rsid w:val="005E72B7"/>
    <w:rsid w:val="005E7316"/>
    <w:rsid w:val="005E73C7"/>
    <w:rsid w:val="005E73CB"/>
    <w:rsid w:val="005E75DB"/>
    <w:rsid w:val="005E77D4"/>
    <w:rsid w:val="005E791B"/>
    <w:rsid w:val="005E7C71"/>
    <w:rsid w:val="005E7D47"/>
    <w:rsid w:val="005E7E88"/>
    <w:rsid w:val="005E7EBD"/>
    <w:rsid w:val="005E7EDB"/>
    <w:rsid w:val="005F00E3"/>
    <w:rsid w:val="005F0122"/>
    <w:rsid w:val="005F016F"/>
    <w:rsid w:val="005F01DB"/>
    <w:rsid w:val="005F0203"/>
    <w:rsid w:val="005F02B5"/>
    <w:rsid w:val="005F02CB"/>
    <w:rsid w:val="005F0427"/>
    <w:rsid w:val="005F0638"/>
    <w:rsid w:val="005F069C"/>
    <w:rsid w:val="005F07A3"/>
    <w:rsid w:val="005F093F"/>
    <w:rsid w:val="005F094F"/>
    <w:rsid w:val="005F0A3F"/>
    <w:rsid w:val="005F0A96"/>
    <w:rsid w:val="005F0AEF"/>
    <w:rsid w:val="005F0D54"/>
    <w:rsid w:val="005F0D75"/>
    <w:rsid w:val="005F0ECD"/>
    <w:rsid w:val="005F1004"/>
    <w:rsid w:val="005F1130"/>
    <w:rsid w:val="005F12CD"/>
    <w:rsid w:val="005F1424"/>
    <w:rsid w:val="005F146A"/>
    <w:rsid w:val="005F14B8"/>
    <w:rsid w:val="005F153B"/>
    <w:rsid w:val="005F15C6"/>
    <w:rsid w:val="005F15D8"/>
    <w:rsid w:val="005F176C"/>
    <w:rsid w:val="005F1789"/>
    <w:rsid w:val="005F189F"/>
    <w:rsid w:val="005F18D3"/>
    <w:rsid w:val="005F191E"/>
    <w:rsid w:val="005F19CC"/>
    <w:rsid w:val="005F1B17"/>
    <w:rsid w:val="005F1BA2"/>
    <w:rsid w:val="005F1C5D"/>
    <w:rsid w:val="005F1D2A"/>
    <w:rsid w:val="005F1FBC"/>
    <w:rsid w:val="005F2119"/>
    <w:rsid w:val="005F26E6"/>
    <w:rsid w:val="005F271F"/>
    <w:rsid w:val="005F2A62"/>
    <w:rsid w:val="005F2A6E"/>
    <w:rsid w:val="005F2AC3"/>
    <w:rsid w:val="005F2C7C"/>
    <w:rsid w:val="005F2E45"/>
    <w:rsid w:val="005F2EF0"/>
    <w:rsid w:val="005F2F13"/>
    <w:rsid w:val="005F2F2A"/>
    <w:rsid w:val="005F2F72"/>
    <w:rsid w:val="005F2FA7"/>
    <w:rsid w:val="005F30F8"/>
    <w:rsid w:val="005F3195"/>
    <w:rsid w:val="005F3294"/>
    <w:rsid w:val="005F336C"/>
    <w:rsid w:val="005F3504"/>
    <w:rsid w:val="005F35BE"/>
    <w:rsid w:val="005F3712"/>
    <w:rsid w:val="005F372A"/>
    <w:rsid w:val="005F37C9"/>
    <w:rsid w:val="005F3985"/>
    <w:rsid w:val="005F3A59"/>
    <w:rsid w:val="005F3B7C"/>
    <w:rsid w:val="005F3BE5"/>
    <w:rsid w:val="005F3C84"/>
    <w:rsid w:val="005F3CCC"/>
    <w:rsid w:val="005F3EEB"/>
    <w:rsid w:val="005F4024"/>
    <w:rsid w:val="005F4046"/>
    <w:rsid w:val="005F41F9"/>
    <w:rsid w:val="005F42A1"/>
    <w:rsid w:val="005F42DD"/>
    <w:rsid w:val="005F432A"/>
    <w:rsid w:val="005F4476"/>
    <w:rsid w:val="005F44C0"/>
    <w:rsid w:val="005F44EE"/>
    <w:rsid w:val="005F4521"/>
    <w:rsid w:val="005F45B6"/>
    <w:rsid w:val="005F45C0"/>
    <w:rsid w:val="005F4691"/>
    <w:rsid w:val="005F482D"/>
    <w:rsid w:val="005F4947"/>
    <w:rsid w:val="005F4A09"/>
    <w:rsid w:val="005F4B28"/>
    <w:rsid w:val="005F4BFC"/>
    <w:rsid w:val="005F4C0C"/>
    <w:rsid w:val="005F4E6A"/>
    <w:rsid w:val="005F4EC8"/>
    <w:rsid w:val="005F51FA"/>
    <w:rsid w:val="005F5400"/>
    <w:rsid w:val="005F5475"/>
    <w:rsid w:val="005F556E"/>
    <w:rsid w:val="005F563F"/>
    <w:rsid w:val="005F56B7"/>
    <w:rsid w:val="005F5756"/>
    <w:rsid w:val="005F57D5"/>
    <w:rsid w:val="005F5806"/>
    <w:rsid w:val="005F5B45"/>
    <w:rsid w:val="005F5C66"/>
    <w:rsid w:val="005F5ED9"/>
    <w:rsid w:val="005F60C5"/>
    <w:rsid w:val="005F62BB"/>
    <w:rsid w:val="005F645B"/>
    <w:rsid w:val="005F6655"/>
    <w:rsid w:val="005F6675"/>
    <w:rsid w:val="005F668B"/>
    <w:rsid w:val="005F66DC"/>
    <w:rsid w:val="005F67A0"/>
    <w:rsid w:val="005F67F0"/>
    <w:rsid w:val="005F681C"/>
    <w:rsid w:val="005F686A"/>
    <w:rsid w:val="005F6890"/>
    <w:rsid w:val="005F68D1"/>
    <w:rsid w:val="005F6A26"/>
    <w:rsid w:val="005F6A54"/>
    <w:rsid w:val="005F6C97"/>
    <w:rsid w:val="005F6CD2"/>
    <w:rsid w:val="005F6D18"/>
    <w:rsid w:val="005F6D43"/>
    <w:rsid w:val="005F6ED5"/>
    <w:rsid w:val="005F7029"/>
    <w:rsid w:val="005F70E5"/>
    <w:rsid w:val="005F7146"/>
    <w:rsid w:val="005F723E"/>
    <w:rsid w:val="005F72FC"/>
    <w:rsid w:val="005F7315"/>
    <w:rsid w:val="005F740B"/>
    <w:rsid w:val="005F74D8"/>
    <w:rsid w:val="005F751F"/>
    <w:rsid w:val="005F75DB"/>
    <w:rsid w:val="005F7751"/>
    <w:rsid w:val="005F7765"/>
    <w:rsid w:val="005F77DB"/>
    <w:rsid w:val="005F795B"/>
    <w:rsid w:val="005F7969"/>
    <w:rsid w:val="005F7985"/>
    <w:rsid w:val="005F79B6"/>
    <w:rsid w:val="005F79B8"/>
    <w:rsid w:val="005F79F6"/>
    <w:rsid w:val="005F79FC"/>
    <w:rsid w:val="005F7A20"/>
    <w:rsid w:val="005F7A64"/>
    <w:rsid w:val="005F7AC9"/>
    <w:rsid w:val="005F7B7D"/>
    <w:rsid w:val="005F7BFA"/>
    <w:rsid w:val="005F7C72"/>
    <w:rsid w:val="005F7CB6"/>
    <w:rsid w:val="005F7D1A"/>
    <w:rsid w:val="005F7DE6"/>
    <w:rsid w:val="005F7DEB"/>
    <w:rsid w:val="00600007"/>
    <w:rsid w:val="00600025"/>
    <w:rsid w:val="00600045"/>
    <w:rsid w:val="0060011E"/>
    <w:rsid w:val="00600240"/>
    <w:rsid w:val="00600325"/>
    <w:rsid w:val="0060038D"/>
    <w:rsid w:val="006003AE"/>
    <w:rsid w:val="0060044F"/>
    <w:rsid w:val="00600483"/>
    <w:rsid w:val="00600507"/>
    <w:rsid w:val="00600656"/>
    <w:rsid w:val="0060079C"/>
    <w:rsid w:val="00600928"/>
    <w:rsid w:val="00600980"/>
    <w:rsid w:val="00600A09"/>
    <w:rsid w:val="00600B5F"/>
    <w:rsid w:val="00600C50"/>
    <w:rsid w:val="00600C8E"/>
    <w:rsid w:val="00600DC9"/>
    <w:rsid w:val="00600E86"/>
    <w:rsid w:val="006010E7"/>
    <w:rsid w:val="0060113F"/>
    <w:rsid w:val="006011A2"/>
    <w:rsid w:val="00601248"/>
    <w:rsid w:val="006014E8"/>
    <w:rsid w:val="006016CB"/>
    <w:rsid w:val="0060171B"/>
    <w:rsid w:val="00601865"/>
    <w:rsid w:val="00601869"/>
    <w:rsid w:val="006018D5"/>
    <w:rsid w:val="00601A20"/>
    <w:rsid w:val="00601A41"/>
    <w:rsid w:val="00601B4F"/>
    <w:rsid w:val="00601BAF"/>
    <w:rsid w:val="00601C0A"/>
    <w:rsid w:val="00601C74"/>
    <w:rsid w:val="00601E33"/>
    <w:rsid w:val="00601EC0"/>
    <w:rsid w:val="00601FD4"/>
    <w:rsid w:val="00602055"/>
    <w:rsid w:val="00602226"/>
    <w:rsid w:val="00602296"/>
    <w:rsid w:val="006023B6"/>
    <w:rsid w:val="006024F8"/>
    <w:rsid w:val="006027A7"/>
    <w:rsid w:val="00602955"/>
    <w:rsid w:val="00602A92"/>
    <w:rsid w:val="00602AD1"/>
    <w:rsid w:val="00602B20"/>
    <w:rsid w:val="00602B72"/>
    <w:rsid w:val="00602BED"/>
    <w:rsid w:val="00602CA7"/>
    <w:rsid w:val="00602D39"/>
    <w:rsid w:val="00602D76"/>
    <w:rsid w:val="00602DF6"/>
    <w:rsid w:val="00602E7A"/>
    <w:rsid w:val="00602EDC"/>
    <w:rsid w:val="00602EE9"/>
    <w:rsid w:val="00602F6D"/>
    <w:rsid w:val="00602F89"/>
    <w:rsid w:val="00602FA2"/>
    <w:rsid w:val="00602FC0"/>
    <w:rsid w:val="00603090"/>
    <w:rsid w:val="006030EC"/>
    <w:rsid w:val="00603110"/>
    <w:rsid w:val="00603126"/>
    <w:rsid w:val="00603366"/>
    <w:rsid w:val="006033D9"/>
    <w:rsid w:val="00603434"/>
    <w:rsid w:val="0060350A"/>
    <w:rsid w:val="0060393B"/>
    <w:rsid w:val="006039D0"/>
    <w:rsid w:val="00603B0E"/>
    <w:rsid w:val="00603B35"/>
    <w:rsid w:val="00603BC5"/>
    <w:rsid w:val="00603C97"/>
    <w:rsid w:val="00603D9F"/>
    <w:rsid w:val="00603DD7"/>
    <w:rsid w:val="00603E0E"/>
    <w:rsid w:val="00603E2E"/>
    <w:rsid w:val="00603EDB"/>
    <w:rsid w:val="0060417B"/>
    <w:rsid w:val="006041D2"/>
    <w:rsid w:val="00604246"/>
    <w:rsid w:val="006042B2"/>
    <w:rsid w:val="0060435B"/>
    <w:rsid w:val="0060449A"/>
    <w:rsid w:val="0060460C"/>
    <w:rsid w:val="0060462D"/>
    <w:rsid w:val="0060477F"/>
    <w:rsid w:val="0060490E"/>
    <w:rsid w:val="00604BF5"/>
    <w:rsid w:val="00604F56"/>
    <w:rsid w:val="00604FA9"/>
    <w:rsid w:val="00605093"/>
    <w:rsid w:val="0060517C"/>
    <w:rsid w:val="00605193"/>
    <w:rsid w:val="006051F1"/>
    <w:rsid w:val="00605259"/>
    <w:rsid w:val="00605429"/>
    <w:rsid w:val="006055B2"/>
    <w:rsid w:val="006055D1"/>
    <w:rsid w:val="00605A0D"/>
    <w:rsid w:val="00605A86"/>
    <w:rsid w:val="00605C47"/>
    <w:rsid w:val="00605CC6"/>
    <w:rsid w:val="00605DBB"/>
    <w:rsid w:val="00606047"/>
    <w:rsid w:val="006060CB"/>
    <w:rsid w:val="0060613E"/>
    <w:rsid w:val="006061A3"/>
    <w:rsid w:val="0060629C"/>
    <w:rsid w:val="006062F9"/>
    <w:rsid w:val="00606353"/>
    <w:rsid w:val="006063EA"/>
    <w:rsid w:val="0060640A"/>
    <w:rsid w:val="006064CB"/>
    <w:rsid w:val="00606540"/>
    <w:rsid w:val="00606662"/>
    <w:rsid w:val="00606A4C"/>
    <w:rsid w:val="00606AD8"/>
    <w:rsid w:val="00606B33"/>
    <w:rsid w:val="00606B5F"/>
    <w:rsid w:val="00606BCC"/>
    <w:rsid w:val="00606BE2"/>
    <w:rsid w:val="00606D1C"/>
    <w:rsid w:val="00606D67"/>
    <w:rsid w:val="00606DFF"/>
    <w:rsid w:val="00607018"/>
    <w:rsid w:val="00607031"/>
    <w:rsid w:val="006070D9"/>
    <w:rsid w:val="006070E1"/>
    <w:rsid w:val="0060713E"/>
    <w:rsid w:val="006071A6"/>
    <w:rsid w:val="0060728C"/>
    <w:rsid w:val="006072A6"/>
    <w:rsid w:val="00607314"/>
    <w:rsid w:val="0060756E"/>
    <w:rsid w:val="006075E8"/>
    <w:rsid w:val="00607776"/>
    <w:rsid w:val="0060782C"/>
    <w:rsid w:val="00607934"/>
    <w:rsid w:val="00607BEA"/>
    <w:rsid w:val="00607C17"/>
    <w:rsid w:val="00607DC2"/>
    <w:rsid w:val="00607EEA"/>
    <w:rsid w:val="00607F2E"/>
    <w:rsid w:val="00607F8A"/>
    <w:rsid w:val="006100C4"/>
    <w:rsid w:val="00610134"/>
    <w:rsid w:val="0061019B"/>
    <w:rsid w:val="00610203"/>
    <w:rsid w:val="00610356"/>
    <w:rsid w:val="006103AA"/>
    <w:rsid w:val="006103F8"/>
    <w:rsid w:val="0061047E"/>
    <w:rsid w:val="0061088B"/>
    <w:rsid w:val="00610960"/>
    <w:rsid w:val="00610B2C"/>
    <w:rsid w:val="00610D46"/>
    <w:rsid w:val="00610DA1"/>
    <w:rsid w:val="00610E6B"/>
    <w:rsid w:val="00610E7A"/>
    <w:rsid w:val="00610F48"/>
    <w:rsid w:val="00611055"/>
    <w:rsid w:val="006110D3"/>
    <w:rsid w:val="0061117F"/>
    <w:rsid w:val="00611274"/>
    <w:rsid w:val="006112DC"/>
    <w:rsid w:val="0061132A"/>
    <w:rsid w:val="00611546"/>
    <w:rsid w:val="0061171B"/>
    <w:rsid w:val="00611860"/>
    <w:rsid w:val="006118A2"/>
    <w:rsid w:val="006118B8"/>
    <w:rsid w:val="006118EE"/>
    <w:rsid w:val="006119B8"/>
    <w:rsid w:val="00611ADB"/>
    <w:rsid w:val="00611B31"/>
    <w:rsid w:val="00611BB7"/>
    <w:rsid w:val="00611D87"/>
    <w:rsid w:val="00611DA5"/>
    <w:rsid w:val="00611EC2"/>
    <w:rsid w:val="00612456"/>
    <w:rsid w:val="0061245A"/>
    <w:rsid w:val="00612488"/>
    <w:rsid w:val="00612491"/>
    <w:rsid w:val="006124E7"/>
    <w:rsid w:val="00612624"/>
    <w:rsid w:val="00612747"/>
    <w:rsid w:val="00612769"/>
    <w:rsid w:val="00612814"/>
    <w:rsid w:val="00612827"/>
    <w:rsid w:val="00612886"/>
    <w:rsid w:val="00612B0F"/>
    <w:rsid w:val="00612BE0"/>
    <w:rsid w:val="00612D6B"/>
    <w:rsid w:val="00612E79"/>
    <w:rsid w:val="00612F92"/>
    <w:rsid w:val="00613021"/>
    <w:rsid w:val="006130DE"/>
    <w:rsid w:val="00613249"/>
    <w:rsid w:val="0061326F"/>
    <w:rsid w:val="006134D5"/>
    <w:rsid w:val="006135CF"/>
    <w:rsid w:val="00613633"/>
    <w:rsid w:val="00613646"/>
    <w:rsid w:val="006136C4"/>
    <w:rsid w:val="00613725"/>
    <w:rsid w:val="006137D3"/>
    <w:rsid w:val="00613955"/>
    <w:rsid w:val="00613B26"/>
    <w:rsid w:val="00613B55"/>
    <w:rsid w:val="00613B61"/>
    <w:rsid w:val="00613C7F"/>
    <w:rsid w:val="00613F7C"/>
    <w:rsid w:val="00614258"/>
    <w:rsid w:val="006143F1"/>
    <w:rsid w:val="006143FE"/>
    <w:rsid w:val="0061447C"/>
    <w:rsid w:val="006144CE"/>
    <w:rsid w:val="0061450F"/>
    <w:rsid w:val="006145E0"/>
    <w:rsid w:val="006147E2"/>
    <w:rsid w:val="006148E8"/>
    <w:rsid w:val="0061493F"/>
    <w:rsid w:val="00614AB8"/>
    <w:rsid w:val="00614AFB"/>
    <w:rsid w:val="00614C11"/>
    <w:rsid w:val="00614E29"/>
    <w:rsid w:val="00614F3A"/>
    <w:rsid w:val="00614F89"/>
    <w:rsid w:val="0061502A"/>
    <w:rsid w:val="0061508C"/>
    <w:rsid w:val="006153AC"/>
    <w:rsid w:val="006153B6"/>
    <w:rsid w:val="00615463"/>
    <w:rsid w:val="00615556"/>
    <w:rsid w:val="00615591"/>
    <w:rsid w:val="006156C3"/>
    <w:rsid w:val="0061591A"/>
    <w:rsid w:val="00615950"/>
    <w:rsid w:val="00615AD7"/>
    <w:rsid w:val="00615D7F"/>
    <w:rsid w:val="00615E72"/>
    <w:rsid w:val="00615FE6"/>
    <w:rsid w:val="006162E2"/>
    <w:rsid w:val="0061637F"/>
    <w:rsid w:val="0061646B"/>
    <w:rsid w:val="006165A0"/>
    <w:rsid w:val="006165D1"/>
    <w:rsid w:val="00616672"/>
    <w:rsid w:val="00616871"/>
    <w:rsid w:val="006168B2"/>
    <w:rsid w:val="006168BC"/>
    <w:rsid w:val="0061692C"/>
    <w:rsid w:val="00616B4B"/>
    <w:rsid w:val="00616B76"/>
    <w:rsid w:val="00616CDD"/>
    <w:rsid w:val="00616EDF"/>
    <w:rsid w:val="00617111"/>
    <w:rsid w:val="00617161"/>
    <w:rsid w:val="006171A4"/>
    <w:rsid w:val="006171D5"/>
    <w:rsid w:val="00617298"/>
    <w:rsid w:val="006173E2"/>
    <w:rsid w:val="0061749A"/>
    <w:rsid w:val="0061773B"/>
    <w:rsid w:val="00617894"/>
    <w:rsid w:val="00617948"/>
    <w:rsid w:val="00617CCF"/>
    <w:rsid w:val="00617D20"/>
    <w:rsid w:val="00617FBA"/>
    <w:rsid w:val="006202C1"/>
    <w:rsid w:val="0062030F"/>
    <w:rsid w:val="006203D3"/>
    <w:rsid w:val="006204B3"/>
    <w:rsid w:val="006204DD"/>
    <w:rsid w:val="00620654"/>
    <w:rsid w:val="0062079E"/>
    <w:rsid w:val="00620936"/>
    <w:rsid w:val="006209BB"/>
    <w:rsid w:val="006209E3"/>
    <w:rsid w:val="00620A04"/>
    <w:rsid w:val="00620D14"/>
    <w:rsid w:val="006210B4"/>
    <w:rsid w:val="00621223"/>
    <w:rsid w:val="006212FB"/>
    <w:rsid w:val="00621359"/>
    <w:rsid w:val="00621361"/>
    <w:rsid w:val="00621403"/>
    <w:rsid w:val="00621411"/>
    <w:rsid w:val="00621723"/>
    <w:rsid w:val="00621837"/>
    <w:rsid w:val="006218B8"/>
    <w:rsid w:val="00621926"/>
    <w:rsid w:val="00621A20"/>
    <w:rsid w:val="00621AD8"/>
    <w:rsid w:val="00621C74"/>
    <w:rsid w:val="00621CFC"/>
    <w:rsid w:val="00621D96"/>
    <w:rsid w:val="00621E32"/>
    <w:rsid w:val="00621F84"/>
    <w:rsid w:val="00621FDA"/>
    <w:rsid w:val="00621FF8"/>
    <w:rsid w:val="0062207D"/>
    <w:rsid w:val="0062216C"/>
    <w:rsid w:val="0062224F"/>
    <w:rsid w:val="00622271"/>
    <w:rsid w:val="006222EE"/>
    <w:rsid w:val="006225DE"/>
    <w:rsid w:val="006226A8"/>
    <w:rsid w:val="00622811"/>
    <w:rsid w:val="006228D3"/>
    <w:rsid w:val="00622AC5"/>
    <w:rsid w:val="00622B95"/>
    <w:rsid w:val="00622D44"/>
    <w:rsid w:val="00622D53"/>
    <w:rsid w:val="00622F3C"/>
    <w:rsid w:val="006230AC"/>
    <w:rsid w:val="006230FB"/>
    <w:rsid w:val="00623227"/>
    <w:rsid w:val="0062332B"/>
    <w:rsid w:val="006233A8"/>
    <w:rsid w:val="006233BF"/>
    <w:rsid w:val="006236A1"/>
    <w:rsid w:val="006236D5"/>
    <w:rsid w:val="006237BF"/>
    <w:rsid w:val="006238D4"/>
    <w:rsid w:val="0062398E"/>
    <w:rsid w:val="006239F9"/>
    <w:rsid w:val="00623A94"/>
    <w:rsid w:val="00623ACC"/>
    <w:rsid w:val="00623DE9"/>
    <w:rsid w:val="00623F2B"/>
    <w:rsid w:val="00623F64"/>
    <w:rsid w:val="00623FBF"/>
    <w:rsid w:val="006240FD"/>
    <w:rsid w:val="0062410E"/>
    <w:rsid w:val="006242A5"/>
    <w:rsid w:val="006244AB"/>
    <w:rsid w:val="00624683"/>
    <w:rsid w:val="00624779"/>
    <w:rsid w:val="006247DF"/>
    <w:rsid w:val="006247F5"/>
    <w:rsid w:val="00624902"/>
    <w:rsid w:val="006249AB"/>
    <w:rsid w:val="00624A6D"/>
    <w:rsid w:val="00624A79"/>
    <w:rsid w:val="00624AAC"/>
    <w:rsid w:val="00624DD1"/>
    <w:rsid w:val="00624E72"/>
    <w:rsid w:val="00624EC2"/>
    <w:rsid w:val="00624F21"/>
    <w:rsid w:val="006250C2"/>
    <w:rsid w:val="0062515F"/>
    <w:rsid w:val="006252A6"/>
    <w:rsid w:val="006252C9"/>
    <w:rsid w:val="006253AE"/>
    <w:rsid w:val="00625420"/>
    <w:rsid w:val="0062550E"/>
    <w:rsid w:val="006256E2"/>
    <w:rsid w:val="00625713"/>
    <w:rsid w:val="00625777"/>
    <w:rsid w:val="00625941"/>
    <w:rsid w:val="006259E7"/>
    <w:rsid w:val="00625C95"/>
    <w:rsid w:val="0062622F"/>
    <w:rsid w:val="0062646E"/>
    <w:rsid w:val="00626522"/>
    <w:rsid w:val="00626569"/>
    <w:rsid w:val="006265B7"/>
    <w:rsid w:val="006265D0"/>
    <w:rsid w:val="00626751"/>
    <w:rsid w:val="0062676A"/>
    <w:rsid w:val="006268FA"/>
    <w:rsid w:val="00626913"/>
    <w:rsid w:val="00626A12"/>
    <w:rsid w:val="00626AA6"/>
    <w:rsid w:val="00626D01"/>
    <w:rsid w:val="00626E66"/>
    <w:rsid w:val="00626F79"/>
    <w:rsid w:val="00627007"/>
    <w:rsid w:val="00627430"/>
    <w:rsid w:val="00627489"/>
    <w:rsid w:val="00627580"/>
    <w:rsid w:val="006275C0"/>
    <w:rsid w:val="00627744"/>
    <w:rsid w:val="0062780B"/>
    <w:rsid w:val="00627B00"/>
    <w:rsid w:val="00627B8F"/>
    <w:rsid w:val="00627BB9"/>
    <w:rsid w:val="00627CAE"/>
    <w:rsid w:val="00627CF2"/>
    <w:rsid w:val="00627ED9"/>
    <w:rsid w:val="006301C3"/>
    <w:rsid w:val="006302C4"/>
    <w:rsid w:val="00630307"/>
    <w:rsid w:val="0063038D"/>
    <w:rsid w:val="006304CF"/>
    <w:rsid w:val="00630634"/>
    <w:rsid w:val="00630679"/>
    <w:rsid w:val="006307A0"/>
    <w:rsid w:val="006307BF"/>
    <w:rsid w:val="006308D8"/>
    <w:rsid w:val="00630987"/>
    <w:rsid w:val="00630DA8"/>
    <w:rsid w:val="00630F15"/>
    <w:rsid w:val="00630FBF"/>
    <w:rsid w:val="00631037"/>
    <w:rsid w:val="006310A9"/>
    <w:rsid w:val="0063152C"/>
    <w:rsid w:val="0063157D"/>
    <w:rsid w:val="0063188B"/>
    <w:rsid w:val="00631985"/>
    <w:rsid w:val="006319B2"/>
    <w:rsid w:val="006319DB"/>
    <w:rsid w:val="006319F3"/>
    <w:rsid w:val="00631A23"/>
    <w:rsid w:val="00631B5E"/>
    <w:rsid w:val="00631C08"/>
    <w:rsid w:val="00631C62"/>
    <w:rsid w:val="00631E60"/>
    <w:rsid w:val="00631EA6"/>
    <w:rsid w:val="00631ECA"/>
    <w:rsid w:val="00632032"/>
    <w:rsid w:val="006320FB"/>
    <w:rsid w:val="00632115"/>
    <w:rsid w:val="0063216D"/>
    <w:rsid w:val="00632194"/>
    <w:rsid w:val="00632334"/>
    <w:rsid w:val="00632551"/>
    <w:rsid w:val="006325E7"/>
    <w:rsid w:val="0063261B"/>
    <w:rsid w:val="0063274D"/>
    <w:rsid w:val="00632768"/>
    <w:rsid w:val="00632950"/>
    <w:rsid w:val="006329E4"/>
    <w:rsid w:val="00632C02"/>
    <w:rsid w:val="00632DDE"/>
    <w:rsid w:val="00632E5A"/>
    <w:rsid w:val="00632F55"/>
    <w:rsid w:val="006330CF"/>
    <w:rsid w:val="00633320"/>
    <w:rsid w:val="0063339A"/>
    <w:rsid w:val="00633462"/>
    <w:rsid w:val="00633470"/>
    <w:rsid w:val="006335A1"/>
    <w:rsid w:val="0063375C"/>
    <w:rsid w:val="00633875"/>
    <w:rsid w:val="006338C6"/>
    <w:rsid w:val="00633AC7"/>
    <w:rsid w:val="00633B70"/>
    <w:rsid w:val="00633C7B"/>
    <w:rsid w:val="00633CA3"/>
    <w:rsid w:val="00633D57"/>
    <w:rsid w:val="00633EA8"/>
    <w:rsid w:val="00633ECD"/>
    <w:rsid w:val="00633F3C"/>
    <w:rsid w:val="00634019"/>
    <w:rsid w:val="00634140"/>
    <w:rsid w:val="00634259"/>
    <w:rsid w:val="00634369"/>
    <w:rsid w:val="0063438C"/>
    <w:rsid w:val="006346F9"/>
    <w:rsid w:val="00634805"/>
    <w:rsid w:val="00634817"/>
    <w:rsid w:val="00634B0C"/>
    <w:rsid w:val="00634DDF"/>
    <w:rsid w:val="00634E33"/>
    <w:rsid w:val="00634F08"/>
    <w:rsid w:val="00635021"/>
    <w:rsid w:val="006353B9"/>
    <w:rsid w:val="0063540B"/>
    <w:rsid w:val="00635474"/>
    <w:rsid w:val="00635649"/>
    <w:rsid w:val="0063566C"/>
    <w:rsid w:val="006357FD"/>
    <w:rsid w:val="00635862"/>
    <w:rsid w:val="0063595E"/>
    <w:rsid w:val="006359DC"/>
    <w:rsid w:val="00635ACC"/>
    <w:rsid w:val="00635C8D"/>
    <w:rsid w:val="00635E00"/>
    <w:rsid w:val="00635E3E"/>
    <w:rsid w:val="00635F6C"/>
    <w:rsid w:val="00635FCF"/>
    <w:rsid w:val="00635FD5"/>
    <w:rsid w:val="006360F7"/>
    <w:rsid w:val="00636170"/>
    <w:rsid w:val="006362FA"/>
    <w:rsid w:val="00636301"/>
    <w:rsid w:val="00636396"/>
    <w:rsid w:val="0063665E"/>
    <w:rsid w:val="006367A4"/>
    <w:rsid w:val="0063680B"/>
    <w:rsid w:val="0063680F"/>
    <w:rsid w:val="0063685B"/>
    <w:rsid w:val="00636CDE"/>
    <w:rsid w:val="00636DFB"/>
    <w:rsid w:val="00636F8A"/>
    <w:rsid w:val="0063720D"/>
    <w:rsid w:val="00637255"/>
    <w:rsid w:val="006373AB"/>
    <w:rsid w:val="0063740E"/>
    <w:rsid w:val="0063743E"/>
    <w:rsid w:val="00637502"/>
    <w:rsid w:val="006375DC"/>
    <w:rsid w:val="00637611"/>
    <w:rsid w:val="00637625"/>
    <w:rsid w:val="00637796"/>
    <w:rsid w:val="00637803"/>
    <w:rsid w:val="00637914"/>
    <w:rsid w:val="00637A98"/>
    <w:rsid w:val="00637B16"/>
    <w:rsid w:val="00637CAC"/>
    <w:rsid w:val="00637D72"/>
    <w:rsid w:val="00637ECC"/>
    <w:rsid w:val="00640062"/>
    <w:rsid w:val="006400DD"/>
    <w:rsid w:val="0064017B"/>
    <w:rsid w:val="0064019B"/>
    <w:rsid w:val="006401A3"/>
    <w:rsid w:val="006402B6"/>
    <w:rsid w:val="006403A7"/>
    <w:rsid w:val="0064066C"/>
    <w:rsid w:val="00640716"/>
    <w:rsid w:val="00640744"/>
    <w:rsid w:val="006407EE"/>
    <w:rsid w:val="00640866"/>
    <w:rsid w:val="006408DA"/>
    <w:rsid w:val="0064096A"/>
    <w:rsid w:val="00640C3A"/>
    <w:rsid w:val="00640C57"/>
    <w:rsid w:val="00640D15"/>
    <w:rsid w:val="00640D8B"/>
    <w:rsid w:val="00640DF0"/>
    <w:rsid w:val="00640E51"/>
    <w:rsid w:val="00640F33"/>
    <w:rsid w:val="00640F61"/>
    <w:rsid w:val="006410D7"/>
    <w:rsid w:val="00641447"/>
    <w:rsid w:val="006414EA"/>
    <w:rsid w:val="006416D5"/>
    <w:rsid w:val="00641760"/>
    <w:rsid w:val="006417AE"/>
    <w:rsid w:val="006418F1"/>
    <w:rsid w:val="00641925"/>
    <w:rsid w:val="006419E8"/>
    <w:rsid w:val="00641A04"/>
    <w:rsid w:val="00641AF8"/>
    <w:rsid w:val="00641BB0"/>
    <w:rsid w:val="00641BE9"/>
    <w:rsid w:val="00641C3C"/>
    <w:rsid w:val="00641D07"/>
    <w:rsid w:val="00641E74"/>
    <w:rsid w:val="00641EB0"/>
    <w:rsid w:val="00641F85"/>
    <w:rsid w:val="006422A8"/>
    <w:rsid w:val="00642319"/>
    <w:rsid w:val="0064267A"/>
    <w:rsid w:val="006426A5"/>
    <w:rsid w:val="006428CD"/>
    <w:rsid w:val="00642BC2"/>
    <w:rsid w:val="00642BE0"/>
    <w:rsid w:val="00642D3E"/>
    <w:rsid w:val="00642E29"/>
    <w:rsid w:val="00642E3A"/>
    <w:rsid w:val="00642E8D"/>
    <w:rsid w:val="00642EC1"/>
    <w:rsid w:val="00642EE0"/>
    <w:rsid w:val="00642F5F"/>
    <w:rsid w:val="00642F6B"/>
    <w:rsid w:val="00642FCB"/>
    <w:rsid w:val="00643086"/>
    <w:rsid w:val="006430EB"/>
    <w:rsid w:val="0064353F"/>
    <w:rsid w:val="006436DD"/>
    <w:rsid w:val="0064378F"/>
    <w:rsid w:val="006437EC"/>
    <w:rsid w:val="006438A2"/>
    <w:rsid w:val="006438EA"/>
    <w:rsid w:val="00643942"/>
    <w:rsid w:val="00643A25"/>
    <w:rsid w:val="00643B1F"/>
    <w:rsid w:val="00643DB5"/>
    <w:rsid w:val="00643E60"/>
    <w:rsid w:val="00643E69"/>
    <w:rsid w:val="00643FE4"/>
    <w:rsid w:val="006443A4"/>
    <w:rsid w:val="0064443B"/>
    <w:rsid w:val="00644527"/>
    <w:rsid w:val="00644664"/>
    <w:rsid w:val="006447CC"/>
    <w:rsid w:val="006447FB"/>
    <w:rsid w:val="00644834"/>
    <w:rsid w:val="0064487D"/>
    <w:rsid w:val="006448C8"/>
    <w:rsid w:val="00644916"/>
    <w:rsid w:val="006449C7"/>
    <w:rsid w:val="00644B50"/>
    <w:rsid w:val="00644BBD"/>
    <w:rsid w:val="00644E69"/>
    <w:rsid w:val="00644EFB"/>
    <w:rsid w:val="00644FB4"/>
    <w:rsid w:val="00644FE3"/>
    <w:rsid w:val="0064503B"/>
    <w:rsid w:val="006451B5"/>
    <w:rsid w:val="0064540B"/>
    <w:rsid w:val="006454B9"/>
    <w:rsid w:val="00645548"/>
    <w:rsid w:val="00645575"/>
    <w:rsid w:val="00645609"/>
    <w:rsid w:val="0064567A"/>
    <w:rsid w:val="006456F3"/>
    <w:rsid w:val="0064593F"/>
    <w:rsid w:val="00645942"/>
    <w:rsid w:val="00645A9B"/>
    <w:rsid w:val="00645AE5"/>
    <w:rsid w:val="00645B12"/>
    <w:rsid w:val="00645CDF"/>
    <w:rsid w:val="00645D07"/>
    <w:rsid w:val="00645D5C"/>
    <w:rsid w:val="00645DC2"/>
    <w:rsid w:val="00645E05"/>
    <w:rsid w:val="00645E34"/>
    <w:rsid w:val="00645EC3"/>
    <w:rsid w:val="00646059"/>
    <w:rsid w:val="00646165"/>
    <w:rsid w:val="006463DA"/>
    <w:rsid w:val="0064640C"/>
    <w:rsid w:val="00646480"/>
    <w:rsid w:val="0064667F"/>
    <w:rsid w:val="00646761"/>
    <w:rsid w:val="006467F9"/>
    <w:rsid w:val="0064687C"/>
    <w:rsid w:val="006468E8"/>
    <w:rsid w:val="006469DF"/>
    <w:rsid w:val="00646A32"/>
    <w:rsid w:val="00646B0A"/>
    <w:rsid w:val="00646CFD"/>
    <w:rsid w:val="00646E5B"/>
    <w:rsid w:val="00647016"/>
    <w:rsid w:val="00647077"/>
    <w:rsid w:val="006471C8"/>
    <w:rsid w:val="006473E1"/>
    <w:rsid w:val="006477A8"/>
    <w:rsid w:val="006477EC"/>
    <w:rsid w:val="00647924"/>
    <w:rsid w:val="0064796B"/>
    <w:rsid w:val="006479B8"/>
    <w:rsid w:val="00647BA1"/>
    <w:rsid w:val="00647BDC"/>
    <w:rsid w:val="00647CC5"/>
    <w:rsid w:val="00647F0B"/>
    <w:rsid w:val="00647F85"/>
    <w:rsid w:val="00650037"/>
    <w:rsid w:val="00650181"/>
    <w:rsid w:val="006502EF"/>
    <w:rsid w:val="00650348"/>
    <w:rsid w:val="00650482"/>
    <w:rsid w:val="0065049C"/>
    <w:rsid w:val="006505DF"/>
    <w:rsid w:val="006505E2"/>
    <w:rsid w:val="006506BA"/>
    <w:rsid w:val="006507A4"/>
    <w:rsid w:val="00650924"/>
    <w:rsid w:val="00650A2B"/>
    <w:rsid w:val="00650A4E"/>
    <w:rsid w:val="00650AA4"/>
    <w:rsid w:val="00650AC5"/>
    <w:rsid w:val="00650AF3"/>
    <w:rsid w:val="00650BC8"/>
    <w:rsid w:val="00650BCE"/>
    <w:rsid w:val="00650C39"/>
    <w:rsid w:val="00650C91"/>
    <w:rsid w:val="00650D35"/>
    <w:rsid w:val="00650D75"/>
    <w:rsid w:val="00650FDF"/>
    <w:rsid w:val="00651075"/>
    <w:rsid w:val="0065115F"/>
    <w:rsid w:val="006511CA"/>
    <w:rsid w:val="00651277"/>
    <w:rsid w:val="00651308"/>
    <w:rsid w:val="00651327"/>
    <w:rsid w:val="006513B0"/>
    <w:rsid w:val="00651471"/>
    <w:rsid w:val="0065150B"/>
    <w:rsid w:val="006515D3"/>
    <w:rsid w:val="006515F7"/>
    <w:rsid w:val="00651862"/>
    <w:rsid w:val="00651A60"/>
    <w:rsid w:val="00651A97"/>
    <w:rsid w:val="00651C2B"/>
    <w:rsid w:val="00651DA7"/>
    <w:rsid w:val="00651E22"/>
    <w:rsid w:val="00651F39"/>
    <w:rsid w:val="00651F66"/>
    <w:rsid w:val="0065200D"/>
    <w:rsid w:val="006520B1"/>
    <w:rsid w:val="00652250"/>
    <w:rsid w:val="00652288"/>
    <w:rsid w:val="00652422"/>
    <w:rsid w:val="00652481"/>
    <w:rsid w:val="00652552"/>
    <w:rsid w:val="006525D2"/>
    <w:rsid w:val="00652752"/>
    <w:rsid w:val="00652880"/>
    <w:rsid w:val="0065289F"/>
    <w:rsid w:val="00652AC8"/>
    <w:rsid w:val="00652B54"/>
    <w:rsid w:val="00652B67"/>
    <w:rsid w:val="00652CC3"/>
    <w:rsid w:val="00652D52"/>
    <w:rsid w:val="00652D82"/>
    <w:rsid w:val="00652DA0"/>
    <w:rsid w:val="00652DFB"/>
    <w:rsid w:val="00652FBA"/>
    <w:rsid w:val="00653094"/>
    <w:rsid w:val="00653265"/>
    <w:rsid w:val="00653362"/>
    <w:rsid w:val="00653612"/>
    <w:rsid w:val="00653626"/>
    <w:rsid w:val="006536AB"/>
    <w:rsid w:val="00653AE3"/>
    <w:rsid w:val="00653C4B"/>
    <w:rsid w:val="00653E1C"/>
    <w:rsid w:val="00653F02"/>
    <w:rsid w:val="00653F9D"/>
    <w:rsid w:val="00654057"/>
    <w:rsid w:val="006540FC"/>
    <w:rsid w:val="0065415F"/>
    <w:rsid w:val="006541ED"/>
    <w:rsid w:val="00654235"/>
    <w:rsid w:val="0065427F"/>
    <w:rsid w:val="00654298"/>
    <w:rsid w:val="006542DC"/>
    <w:rsid w:val="006542F9"/>
    <w:rsid w:val="00654302"/>
    <w:rsid w:val="00654457"/>
    <w:rsid w:val="006544E4"/>
    <w:rsid w:val="006545F6"/>
    <w:rsid w:val="00654687"/>
    <w:rsid w:val="006546D8"/>
    <w:rsid w:val="006546FD"/>
    <w:rsid w:val="00654727"/>
    <w:rsid w:val="006547E5"/>
    <w:rsid w:val="00654819"/>
    <w:rsid w:val="00654AB7"/>
    <w:rsid w:val="00654B5F"/>
    <w:rsid w:val="00654B93"/>
    <w:rsid w:val="00654D0E"/>
    <w:rsid w:val="00655104"/>
    <w:rsid w:val="00655146"/>
    <w:rsid w:val="0065537D"/>
    <w:rsid w:val="00655443"/>
    <w:rsid w:val="0065548C"/>
    <w:rsid w:val="00655521"/>
    <w:rsid w:val="00655560"/>
    <w:rsid w:val="00655633"/>
    <w:rsid w:val="0065564D"/>
    <w:rsid w:val="006556BB"/>
    <w:rsid w:val="00655713"/>
    <w:rsid w:val="006557A9"/>
    <w:rsid w:val="006557DB"/>
    <w:rsid w:val="00655844"/>
    <w:rsid w:val="00655940"/>
    <w:rsid w:val="00655A08"/>
    <w:rsid w:val="00655AE0"/>
    <w:rsid w:val="00655C65"/>
    <w:rsid w:val="00655D25"/>
    <w:rsid w:val="00655D77"/>
    <w:rsid w:val="00655D97"/>
    <w:rsid w:val="00655DBC"/>
    <w:rsid w:val="00655DC1"/>
    <w:rsid w:val="00655E2E"/>
    <w:rsid w:val="00655EB8"/>
    <w:rsid w:val="00655F3D"/>
    <w:rsid w:val="00655F9C"/>
    <w:rsid w:val="00656078"/>
    <w:rsid w:val="00656328"/>
    <w:rsid w:val="0065634B"/>
    <w:rsid w:val="006563DA"/>
    <w:rsid w:val="006565B9"/>
    <w:rsid w:val="00656651"/>
    <w:rsid w:val="006567A2"/>
    <w:rsid w:val="00656A10"/>
    <w:rsid w:val="00656A20"/>
    <w:rsid w:val="00656AB2"/>
    <w:rsid w:val="00656C35"/>
    <w:rsid w:val="00656CE9"/>
    <w:rsid w:val="00656D19"/>
    <w:rsid w:val="00656D35"/>
    <w:rsid w:val="00656D37"/>
    <w:rsid w:val="00656E03"/>
    <w:rsid w:val="00656E47"/>
    <w:rsid w:val="00656FB9"/>
    <w:rsid w:val="006572C9"/>
    <w:rsid w:val="006573D5"/>
    <w:rsid w:val="00657555"/>
    <w:rsid w:val="0065758E"/>
    <w:rsid w:val="006575A7"/>
    <w:rsid w:val="006575AD"/>
    <w:rsid w:val="006575DB"/>
    <w:rsid w:val="006575DF"/>
    <w:rsid w:val="006576B4"/>
    <w:rsid w:val="00657730"/>
    <w:rsid w:val="006579B6"/>
    <w:rsid w:val="00657AB3"/>
    <w:rsid w:val="00657AD9"/>
    <w:rsid w:val="00657BE2"/>
    <w:rsid w:val="00657C01"/>
    <w:rsid w:val="00657C73"/>
    <w:rsid w:val="00657F89"/>
    <w:rsid w:val="0066011F"/>
    <w:rsid w:val="0066014A"/>
    <w:rsid w:val="006602F2"/>
    <w:rsid w:val="006605A6"/>
    <w:rsid w:val="00660600"/>
    <w:rsid w:val="006606AD"/>
    <w:rsid w:val="006609A6"/>
    <w:rsid w:val="006609EF"/>
    <w:rsid w:val="00660A13"/>
    <w:rsid w:val="00660A2D"/>
    <w:rsid w:val="00660ADF"/>
    <w:rsid w:val="00660B60"/>
    <w:rsid w:val="00660BC7"/>
    <w:rsid w:val="00660BD0"/>
    <w:rsid w:val="00660C33"/>
    <w:rsid w:val="00660C66"/>
    <w:rsid w:val="00660FC8"/>
    <w:rsid w:val="0066110C"/>
    <w:rsid w:val="00661140"/>
    <w:rsid w:val="0066118E"/>
    <w:rsid w:val="00661251"/>
    <w:rsid w:val="00661409"/>
    <w:rsid w:val="00661418"/>
    <w:rsid w:val="006614BC"/>
    <w:rsid w:val="0066154D"/>
    <w:rsid w:val="0066165A"/>
    <w:rsid w:val="006616C6"/>
    <w:rsid w:val="0066172E"/>
    <w:rsid w:val="00661A29"/>
    <w:rsid w:val="00661D17"/>
    <w:rsid w:val="00661D96"/>
    <w:rsid w:val="00661F87"/>
    <w:rsid w:val="00661FCD"/>
    <w:rsid w:val="00662006"/>
    <w:rsid w:val="0066206C"/>
    <w:rsid w:val="006620C6"/>
    <w:rsid w:val="00662154"/>
    <w:rsid w:val="00662375"/>
    <w:rsid w:val="006623F1"/>
    <w:rsid w:val="006624E5"/>
    <w:rsid w:val="0066254E"/>
    <w:rsid w:val="00662597"/>
    <w:rsid w:val="006625D8"/>
    <w:rsid w:val="0066285C"/>
    <w:rsid w:val="00662A24"/>
    <w:rsid w:val="00662A71"/>
    <w:rsid w:val="00662E5A"/>
    <w:rsid w:val="00663053"/>
    <w:rsid w:val="0066311F"/>
    <w:rsid w:val="006631E0"/>
    <w:rsid w:val="0066324F"/>
    <w:rsid w:val="006632F6"/>
    <w:rsid w:val="0066363C"/>
    <w:rsid w:val="006636E5"/>
    <w:rsid w:val="006639A5"/>
    <w:rsid w:val="006639AD"/>
    <w:rsid w:val="006639F8"/>
    <w:rsid w:val="00663A74"/>
    <w:rsid w:val="00663CB9"/>
    <w:rsid w:val="00663CF0"/>
    <w:rsid w:val="00663D79"/>
    <w:rsid w:val="00664189"/>
    <w:rsid w:val="006641A7"/>
    <w:rsid w:val="006641AE"/>
    <w:rsid w:val="006641FE"/>
    <w:rsid w:val="00664248"/>
    <w:rsid w:val="0066447B"/>
    <w:rsid w:val="00664547"/>
    <w:rsid w:val="006645C5"/>
    <w:rsid w:val="006645DB"/>
    <w:rsid w:val="006647A9"/>
    <w:rsid w:val="006647E4"/>
    <w:rsid w:val="0066480C"/>
    <w:rsid w:val="006648BC"/>
    <w:rsid w:val="0066493A"/>
    <w:rsid w:val="006649CD"/>
    <w:rsid w:val="00664A33"/>
    <w:rsid w:val="00664A94"/>
    <w:rsid w:val="00664B26"/>
    <w:rsid w:val="00664CD5"/>
    <w:rsid w:val="00664D0B"/>
    <w:rsid w:val="00664E59"/>
    <w:rsid w:val="00664EA4"/>
    <w:rsid w:val="00664F2D"/>
    <w:rsid w:val="00665129"/>
    <w:rsid w:val="00665456"/>
    <w:rsid w:val="006654EC"/>
    <w:rsid w:val="00665742"/>
    <w:rsid w:val="006657ED"/>
    <w:rsid w:val="006659B3"/>
    <w:rsid w:val="006659BD"/>
    <w:rsid w:val="00665B29"/>
    <w:rsid w:val="00665DE1"/>
    <w:rsid w:val="00665E17"/>
    <w:rsid w:val="00665E74"/>
    <w:rsid w:val="00665FB5"/>
    <w:rsid w:val="0066619F"/>
    <w:rsid w:val="006661B4"/>
    <w:rsid w:val="006661CC"/>
    <w:rsid w:val="00666254"/>
    <w:rsid w:val="00666284"/>
    <w:rsid w:val="006662EC"/>
    <w:rsid w:val="00666311"/>
    <w:rsid w:val="00666373"/>
    <w:rsid w:val="00666424"/>
    <w:rsid w:val="006664A7"/>
    <w:rsid w:val="006664DF"/>
    <w:rsid w:val="0066650E"/>
    <w:rsid w:val="006668DB"/>
    <w:rsid w:val="006669CF"/>
    <w:rsid w:val="00666AA1"/>
    <w:rsid w:val="00666ADE"/>
    <w:rsid w:val="00666AF6"/>
    <w:rsid w:val="00666B80"/>
    <w:rsid w:val="00666CD2"/>
    <w:rsid w:val="00666F5E"/>
    <w:rsid w:val="00666F88"/>
    <w:rsid w:val="006671BE"/>
    <w:rsid w:val="00667221"/>
    <w:rsid w:val="00667260"/>
    <w:rsid w:val="0066746D"/>
    <w:rsid w:val="006674B4"/>
    <w:rsid w:val="006674E0"/>
    <w:rsid w:val="00667542"/>
    <w:rsid w:val="0066756C"/>
    <w:rsid w:val="00667AB6"/>
    <w:rsid w:val="00667B89"/>
    <w:rsid w:val="00667EAA"/>
    <w:rsid w:val="00667F19"/>
    <w:rsid w:val="00670039"/>
    <w:rsid w:val="00670051"/>
    <w:rsid w:val="00670108"/>
    <w:rsid w:val="00670267"/>
    <w:rsid w:val="006703A1"/>
    <w:rsid w:val="0067043F"/>
    <w:rsid w:val="0067056F"/>
    <w:rsid w:val="00670601"/>
    <w:rsid w:val="0067060E"/>
    <w:rsid w:val="00670A39"/>
    <w:rsid w:val="00670A4C"/>
    <w:rsid w:val="00670BCF"/>
    <w:rsid w:val="00670DFD"/>
    <w:rsid w:val="00671052"/>
    <w:rsid w:val="0067115F"/>
    <w:rsid w:val="00671274"/>
    <w:rsid w:val="00671290"/>
    <w:rsid w:val="00671295"/>
    <w:rsid w:val="0067147C"/>
    <w:rsid w:val="006714F7"/>
    <w:rsid w:val="0067154A"/>
    <w:rsid w:val="0067156A"/>
    <w:rsid w:val="00671692"/>
    <w:rsid w:val="006716AA"/>
    <w:rsid w:val="0067172A"/>
    <w:rsid w:val="00671758"/>
    <w:rsid w:val="00671AE8"/>
    <w:rsid w:val="00671BB8"/>
    <w:rsid w:val="00671BC5"/>
    <w:rsid w:val="00671CEB"/>
    <w:rsid w:val="00671D47"/>
    <w:rsid w:val="00671E63"/>
    <w:rsid w:val="006720D4"/>
    <w:rsid w:val="0067217F"/>
    <w:rsid w:val="006721DD"/>
    <w:rsid w:val="006722B2"/>
    <w:rsid w:val="006723B6"/>
    <w:rsid w:val="006723FD"/>
    <w:rsid w:val="00672600"/>
    <w:rsid w:val="0067262C"/>
    <w:rsid w:val="0067276D"/>
    <w:rsid w:val="006727FF"/>
    <w:rsid w:val="00672A92"/>
    <w:rsid w:val="00672A93"/>
    <w:rsid w:val="00672B37"/>
    <w:rsid w:val="00672B64"/>
    <w:rsid w:val="00672BB9"/>
    <w:rsid w:val="00672BD3"/>
    <w:rsid w:val="00672DFE"/>
    <w:rsid w:val="00672FD2"/>
    <w:rsid w:val="00673085"/>
    <w:rsid w:val="00673109"/>
    <w:rsid w:val="00673150"/>
    <w:rsid w:val="006731F6"/>
    <w:rsid w:val="00673359"/>
    <w:rsid w:val="006733A1"/>
    <w:rsid w:val="00673455"/>
    <w:rsid w:val="006734C2"/>
    <w:rsid w:val="006734F8"/>
    <w:rsid w:val="00673509"/>
    <w:rsid w:val="00673540"/>
    <w:rsid w:val="00673581"/>
    <w:rsid w:val="0067373D"/>
    <w:rsid w:val="00673A46"/>
    <w:rsid w:val="00673AF9"/>
    <w:rsid w:val="00673CD4"/>
    <w:rsid w:val="00673D86"/>
    <w:rsid w:val="00673E4C"/>
    <w:rsid w:val="006741B6"/>
    <w:rsid w:val="00674238"/>
    <w:rsid w:val="006749DC"/>
    <w:rsid w:val="00674B73"/>
    <w:rsid w:val="00674F1A"/>
    <w:rsid w:val="00674FDB"/>
    <w:rsid w:val="0067500D"/>
    <w:rsid w:val="006750E2"/>
    <w:rsid w:val="00675161"/>
    <w:rsid w:val="006751AD"/>
    <w:rsid w:val="00675243"/>
    <w:rsid w:val="00675376"/>
    <w:rsid w:val="0067539F"/>
    <w:rsid w:val="00675456"/>
    <w:rsid w:val="00675471"/>
    <w:rsid w:val="006754D7"/>
    <w:rsid w:val="00675504"/>
    <w:rsid w:val="006755C9"/>
    <w:rsid w:val="006757E2"/>
    <w:rsid w:val="00675850"/>
    <w:rsid w:val="006759F8"/>
    <w:rsid w:val="00675AA0"/>
    <w:rsid w:val="00675AE3"/>
    <w:rsid w:val="00675B54"/>
    <w:rsid w:val="00675B61"/>
    <w:rsid w:val="00675D2D"/>
    <w:rsid w:val="00675F3B"/>
    <w:rsid w:val="006760E0"/>
    <w:rsid w:val="0067621E"/>
    <w:rsid w:val="006762EB"/>
    <w:rsid w:val="006765B1"/>
    <w:rsid w:val="006765BA"/>
    <w:rsid w:val="006766D0"/>
    <w:rsid w:val="006767C7"/>
    <w:rsid w:val="00676853"/>
    <w:rsid w:val="006768FA"/>
    <w:rsid w:val="00676934"/>
    <w:rsid w:val="0067698A"/>
    <w:rsid w:val="00676A13"/>
    <w:rsid w:val="00676A42"/>
    <w:rsid w:val="00676A94"/>
    <w:rsid w:val="00676B31"/>
    <w:rsid w:val="00676B7B"/>
    <w:rsid w:val="00676C6D"/>
    <w:rsid w:val="00676CAA"/>
    <w:rsid w:val="00676D2C"/>
    <w:rsid w:val="00676D74"/>
    <w:rsid w:val="00676E1F"/>
    <w:rsid w:val="00676F04"/>
    <w:rsid w:val="0067721D"/>
    <w:rsid w:val="00677251"/>
    <w:rsid w:val="0067745E"/>
    <w:rsid w:val="0067756C"/>
    <w:rsid w:val="006775D4"/>
    <w:rsid w:val="0067779A"/>
    <w:rsid w:val="00677809"/>
    <w:rsid w:val="006778A1"/>
    <w:rsid w:val="006778B4"/>
    <w:rsid w:val="0067791D"/>
    <w:rsid w:val="00677A1F"/>
    <w:rsid w:val="00677B7D"/>
    <w:rsid w:val="00677C4F"/>
    <w:rsid w:val="00677FD0"/>
    <w:rsid w:val="00680022"/>
    <w:rsid w:val="006800C2"/>
    <w:rsid w:val="0068015E"/>
    <w:rsid w:val="0068023F"/>
    <w:rsid w:val="006802E8"/>
    <w:rsid w:val="00680315"/>
    <w:rsid w:val="0068034E"/>
    <w:rsid w:val="006803DC"/>
    <w:rsid w:val="006803EF"/>
    <w:rsid w:val="00680405"/>
    <w:rsid w:val="0068059D"/>
    <w:rsid w:val="00680668"/>
    <w:rsid w:val="006806A4"/>
    <w:rsid w:val="00680BCA"/>
    <w:rsid w:val="00680BDE"/>
    <w:rsid w:val="00680BEC"/>
    <w:rsid w:val="00680CF4"/>
    <w:rsid w:val="00680D25"/>
    <w:rsid w:val="00680D66"/>
    <w:rsid w:val="00680D6A"/>
    <w:rsid w:val="00680DEB"/>
    <w:rsid w:val="00680F83"/>
    <w:rsid w:val="006810C3"/>
    <w:rsid w:val="006812CD"/>
    <w:rsid w:val="0068130A"/>
    <w:rsid w:val="0068132A"/>
    <w:rsid w:val="006813B5"/>
    <w:rsid w:val="006813C1"/>
    <w:rsid w:val="00681568"/>
    <w:rsid w:val="00681592"/>
    <w:rsid w:val="006815E9"/>
    <w:rsid w:val="006816F7"/>
    <w:rsid w:val="00681972"/>
    <w:rsid w:val="00681A8D"/>
    <w:rsid w:val="00681A90"/>
    <w:rsid w:val="00681CCE"/>
    <w:rsid w:val="00681EA3"/>
    <w:rsid w:val="00681EA5"/>
    <w:rsid w:val="00681F10"/>
    <w:rsid w:val="00682049"/>
    <w:rsid w:val="00682053"/>
    <w:rsid w:val="00682092"/>
    <w:rsid w:val="0068219C"/>
    <w:rsid w:val="00682379"/>
    <w:rsid w:val="006823AC"/>
    <w:rsid w:val="0068250E"/>
    <w:rsid w:val="00682557"/>
    <w:rsid w:val="00682558"/>
    <w:rsid w:val="006825B7"/>
    <w:rsid w:val="006825BB"/>
    <w:rsid w:val="00682657"/>
    <w:rsid w:val="006828C3"/>
    <w:rsid w:val="006828CE"/>
    <w:rsid w:val="0068298A"/>
    <w:rsid w:val="00682A0F"/>
    <w:rsid w:val="00682AE1"/>
    <w:rsid w:val="00682C5F"/>
    <w:rsid w:val="00682C7B"/>
    <w:rsid w:val="00682DD2"/>
    <w:rsid w:val="00682E17"/>
    <w:rsid w:val="00682EAF"/>
    <w:rsid w:val="00682F46"/>
    <w:rsid w:val="006831AE"/>
    <w:rsid w:val="006831F1"/>
    <w:rsid w:val="00683204"/>
    <w:rsid w:val="0068340F"/>
    <w:rsid w:val="0068346A"/>
    <w:rsid w:val="00683516"/>
    <w:rsid w:val="00683586"/>
    <w:rsid w:val="006835A8"/>
    <w:rsid w:val="006835ED"/>
    <w:rsid w:val="00683666"/>
    <w:rsid w:val="0068381A"/>
    <w:rsid w:val="00683999"/>
    <w:rsid w:val="006839F3"/>
    <w:rsid w:val="00683AB1"/>
    <w:rsid w:val="00683BA0"/>
    <w:rsid w:val="00683BC9"/>
    <w:rsid w:val="00683C7B"/>
    <w:rsid w:val="00683E0C"/>
    <w:rsid w:val="00683F59"/>
    <w:rsid w:val="0068400A"/>
    <w:rsid w:val="0068416F"/>
    <w:rsid w:val="0068436C"/>
    <w:rsid w:val="006843B2"/>
    <w:rsid w:val="006843E2"/>
    <w:rsid w:val="00684556"/>
    <w:rsid w:val="00684834"/>
    <w:rsid w:val="006848AA"/>
    <w:rsid w:val="00684956"/>
    <w:rsid w:val="006849DE"/>
    <w:rsid w:val="00684A63"/>
    <w:rsid w:val="00684B55"/>
    <w:rsid w:val="00684B7E"/>
    <w:rsid w:val="00684BAD"/>
    <w:rsid w:val="00684BB9"/>
    <w:rsid w:val="00684D9D"/>
    <w:rsid w:val="00684DF8"/>
    <w:rsid w:val="00684E09"/>
    <w:rsid w:val="00684E3D"/>
    <w:rsid w:val="00684EF9"/>
    <w:rsid w:val="00684F65"/>
    <w:rsid w:val="00684FC0"/>
    <w:rsid w:val="006850D5"/>
    <w:rsid w:val="00685175"/>
    <w:rsid w:val="0068527E"/>
    <w:rsid w:val="00685480"/>
    <w:rsid w:val="006854AF"/>
    <w:rsid w:val="0068558A"/>
    <w:rsid w:val="00685811"/>
    <w:rsid w:val="00685819"/>
    <w:rsid w:val="006858F9"/>
    <w:rsid w:val="00685A38"/>
    <w:rsid w:val="00685BC9"/>
    <w:rsid w:val="00685CC7"/>
    <w:rsid w:val="00685D07"/>
    <w:rsid w:val="00685E98"/>
    <w:rsid w:val="00685EEF"/>
    <w:rsid w:val="00685F25"/>
    <w:rsid w:val="0068607F"/>
    <w:rsid w:val="006860E3"/>
    <w:rsid w:val="006861F4"/>
    <w:rsid w:val="0068627C"/>
    <w:rsid w:val="006862DD"/>
    <w:rsid w:val="00686317"/>
    <w:rsid w:val="00686337"/>
    <w:rsid w:val="00686376"/>
    <w:rsid w:val="0068660C"/>
    <w:rsid w:val="00686611"/>
    <w:rsid w:val="0068666D"/>
    <w:rsid w:val="00686713"/>
    <w:rsid w:val="0068683B"/>
    <w:rsid w:val="0068693B"/>
    <w:rsid w:val="00686968"/>
    <w:rsid w:val="00686A98"/>
    <w:rsid w:val="00686E03"/>
    <w:rsid w:val="00686F9C"/>
    <w:rsid w:val="00687012"/>
    <w:rsid w:val="00687043"/>
    <w:rsid w:val="006871E6"/>
    <w:rsid w:val="006876F0"/>
    <w:rsid w:val="006877E8"/>
    <w:rsid w:val="00687946"/>
    <w:rsid w:val="00687954"/>
    <w:rsid w:val="006879A5"/>
    <w:rsid w:val="006879DE"/>
    <w:rsid w:val="00687A31"/>
    <w:rsid w:val="00687BCA"/>
    <w:rsid w:val="00687BFC"/>
    <w:rsid w:val="00687C4D"/>
    <w:rsid w:val="00687D09"/>
    <w:rsid w:val="00687DCB"/>
    <w:rsid w:val="00687E3E"/>
    <w:rsid w:val="00690078"/>
    <w:rsid w:val="006901FB"/>
    <w:rsid w:val="00690247"/>
    <w:rsid w:val="00690448"/>
    <w:rsid w:val="006904C8"/>
    <w:rsid w:val="006904F0"/>
    <w:rsid w:val="006905CE"/>
    <w:rsid w:val="006905E7"/>
    <w:rsid w:val="0069077E"/>
    <w:rsid w:val="00690A35"/>
    <w:rsid w:val="00690A9F"/>
    <w:rsid w:val="00690BCB"/>
    <w:rsid w:val="00690E16"/>
    <w:rsid w:val="00690E1C"/>
    <w:rsid w:val="00690E87"/>
    <w:rsid w:val="00690F97"/>
    <w:rsid w:val="00691098"/>
    <w:rsid w:val="00691126"/>
    <w:rsid w:val="006913D4"/>
    <w:rsid w:val="00691471"/>
    <w:rsid w:val="006914CB"/>
    <w:rsid w:val="00691528"/>
    <w:rsid w:val="00691590"/>
    <w:rsid w:val="00691638"/>
    <w:rsid w:val="00691678"/>
    <w:rsid w:val="00691690"/>
    <w:rsid w:val="0069172A"/>
    <w:rsid w:val="006917EA"/>
    <w:rsid w:val="00691888"/>
    <w:rsid w:val="006919A1"/>
    <w:rsid w:val="006919C0"/>
    <w:rsid w:val="00691A54"/>
    <w:rsid w:val="00691BEB"/>
    <w:rsid w:val="00691E1A"/>
    <w:rsid w:val="00692179"/>
    <w:rsid w:val="00692278"/>
    <w:rsid w:val="00692387"/>
    <w:rsid w:val="0069280D"/>
    <w:rsid w:val="0069298D"/>
    <w:rsid w:val="006929E4"/>
    <w:rsid w:val="00692C4B"/>
    <w:rsid w:val="00692CD3"/>
    <w:rsid w:val="00692D7C"/>
    <w:rsid w:val="00692D99"/>
    <w:rsid w:val="00692E05"/>
    <w:rsid w:val="00692F0F"/>
    <w:rsid w:val="0069305A"/>
    <w:rsid w:val="006930C5"/>
    <w:rsid w:val="006930EC"/>
    <w:rsid w:val="0069317F"/>
    <w:rsid w:val="006932A0"/>
    <w:rsid w:val="00693492"/>
    <w:rsid w:val="006934B7"/>
    <w:rsid w:val="006934E1"/>
    <w:rsid w:val="00693701"/>
    <w:rsid w:val="00693741"/>
    <w:rsid w:val="00693801"/>
    <w:rsid w:val="0069389F"/>
    <w:rsid w:val="006939FC"/>
    <w:rsid w:val="00693ADB"/>
    <w:rsid w:val="00693B3E"/>
    <w:rsid w:val="00693BD8"/>
    <w:rsid w:val="00693D1F"/>
    <w:rsid w:val="00693D92"/>
    <w:rsid w:val="00693DB9"/>
    <w:rsid w:val="00693EE6"/>
    <w:rsid w:val="00693F64"/>
    <w:rsid w:val="00693F69"/>
    <w:rsid w:val="00693F89"/>
    <w:rsid w:val="00694038"/>
    <w:rsid w:val="0069405B"/>
    <w:rsid w:val="0069405E"/>
    <w:rsid w:val="00694114"/>
    <w:rsid w:val="006941F8"/>
    <w:rsid w:val="006942C6"/>
    <w:rsid w:val="00694322"/>
    <w:rsid w:val="00694324"/>
    <w:rsid w:val="006945D0"/>
    <w:rsid w:val="0069466A"/>
    <w:rsid w:val="00694761"/>
    <w:rsid w:val="00694848"/>
    <w:rsid w:val="00694899"/>
    <w:rsid w:val="00694AD5"/>
    <w:rsid w:val="00694B00"/>
    <w:rsid w:val="00694C6F"/>
    <w:rsid w:val="00694DB3"/>
    <w:rsid w:val="00694E4F"/>
    <w:rsid w:val="00694EB0"/>
    <w:rsid w:val="0069508C"/>
    <w:rsid w:val="0069515A"/>
    <w:rsid w:val="00695276"/>
    <w:rsid w:val="006952CF"/>
    <w:rsid w:val="0069531B"/>
    <w:rsid w:val="00695419"/>
    <w:rsid w:val="00695758"/>
    <w:rsid w:val="00695763"/>
    <w:rsid w:val="0069576E"/>
    <w:rsid w:val="00695848"/>
    <w:rsid w:val="0069585A"/>
    <w:rsid w:val="0069586D"/>
    <w:rsid w:val="00695951"/>
    <w:rsid w:val="00695994"/>
    <w:rsid w:val="00695A72"/>
    <w:rsid w:val="00695D56"/>
    <w:rsid w:val="00695F6A"/>
    <w:rsid w:val="00696010"/>
    <w:rsid w:val="00696264"/>
    <w:rsid w:val="0069629B"/>
    <w:rsid w:val="0069638B"/>
    <w:rsid w:val="00696415"/>
    <w:rsid w:val="006965A6"/>
    <w:rsid w:val="006965C7"/>
    <w:rsid w:val="00696675"/>
    <w:rsid w:val="006967DF"/>
    <w:rsid w:val="0069692E"/>
    <w:rsid w:val="006969B5"/>
    <w:rsid w:val="00696AE8"/>
    <w:rsid w:val="00696AEE"/>
    <w:rsid w:val="00696BA6"/>
    <w:rsid w:val="00696BB1"/>
    <w:rsid w:val="00696CAE"/>
    <w:rsid w:val="00696D3C"/>
    <w:rsid w:val="00696DAE"/>
    <w:rsid w:val="00696E40"/>
    <w:rsid w:val="0069701B"/>
    <w:rsid w:val="006970C5"/>
    <w:rsid w:val="00697148"/>
    <w:rsid w:val="0069719A"/>
    <w:rsid w:val="00697215"/>
    <w:rsid w:val="0069728A"/>
    <w:rsid w:val="0069764B"/>
    <w:rsid w:val="00697823"/>
    <w:rsid w:val="0069782F"/>
    <w:rsid w:val="006978D8"/>
    <w:rsid w:val="00697935"/>
    <w:rsid w:val="00697A6B"/>
    <w:rsid w:val="00697AFB"/>
    <w:rsid w:val="00697C49"/>
    <w:rsid w:val="00697C79"/>
    <w:rsid w:val="00697CAC"/>
    <w:rsid w:val="00697CF6"/>
    <w:rsid w:val="00697D3E"/>
    <w:rsid w:val="00697D54"/>
    <w:rsid w:val="00697D97"/>
    <w:rsid w:val="00697E13"/>
    <w:rsid w:val="00697EF4"/>
    <w:rsid w:val="00697FAF"/>
    <w:rsid w:val="00697FE7"/>
    <w:rsid w:val="006A010B"/>
    <w:rsid w:val="006A032B"/>
    <w:rsid w:val="006A04F9"/>
    <w:rsid w:val="006A050A"/>
    <w:rsid w:val="006A0584"/>
    <w:rsid w:val="006A06CB"/>
    <w:rsid w:val="006A075F"/>
    <w:rsid w:val="006A0778"/>
    <w:rsid w:val="006A099A"/>
    <w:rsid w:val="006A09FE"/>
    <w:rsid w:val="006A0A17"/>
    <w:rsid w:val="006A0A23"/>
    <w:rsid w:val="006A0A55"/>
    <w:rsid w:val="006A0A9F"/>
    <w:rsid w:val="006A0B9B"/>
    <w:rsid w:val="006A0C8D"/>
    <w:rsid w:val="006A0CF9"/>
    <w:rsid w:val="006A0D1E"/>
    <w:rsid w:val="006A0D98"/>
    <w:rsid w:val="006A0DA8"/>
    <w:rsid w:val="006A0E72"/>
    <w:rsid w:val="006A0F14"/>
    <w:rsid w:val="006A0FE5"/>
    <w:rsid w:val="006A11F8"/>
    <w:rsid w:val="006A14AF"/>
    <w:rsid w:val="006A156B"/>
    <w:rsid w:val="006A16B4"/>
    <w:rsid w:val="006A1781"/>
    <w:rsid w:val="006A191D"/>
    <w:rsid w:val="006A1A88"/>
    <w:rsid w:val="006A1AB5"/>
    <w:rsid w:val="006A1BBE"/>
    <w:rsid w:val="006A1CA8"/>
    <w:rsid w:val="006A1D07"/>
    <w:rsid w:val="006A1D0E"/>
    <w:rsid w:val="006A1D48"/>
    <w:rsid w:val="006A1DE9"/>
    <w:rsid w:val="006A1ED3"/>
    <w:rsid w:val="006A1F5B"/>
    <w:rsid w:val="006A236A"/>
    <w:rsid w:val="006A23B6"/>
    <w:rsid w:val="006A23E3"/>
    <w:rsid w:val="006A2488"/>
    <w:rsid w:val="006A2500"/>
    <w:rsid w:val="006A25E8"/>
    <w:rsid w:val="006A2735"/>
    <w:rsid w:val="006A27E6"/>
    <w:rsid w:val="006A283B"/>
    <w:rsid w:val="006A28C2"/>
    <w:rsid w:val="006A29D6"/>
    <w:rsid w:val="006A2A48"/>
    <w:rsid w:val="006A2B35"/>
    <w:rsid w:val="006A2B99"/>
    <w:rsid w:val="006A2C4B"/>
    <w:rsid w:val="006A2DD4"/>
    <w:rsid w:val="006A2EDE"/>
    <w:rsid w:val="006A32C2"/>
    <w:rsid w:val="006A32E2"/>
    <w:rsid w:val="006A3345"/>
    <w:rsid w:val="006A35E2"/>
    <w:rsid w:val="006A3656"/>
    <w:rsid w:val="006A37DA"/>
    <w:rsid w:val="006A3964"/>
    <w:rsid w:val="006A398F"/>
    <w:rsid w:val="006A39C7"/>
    <w:rsid w:val="006A3AB2"/>
    <w:rsid w:val="006A3ACC"/>
    <w:rsid w:val="006A3B6C"/>
    <w:rsid w:val="006A3B73"/>
    <w:rsid w:val="006A3D1B"/>
    <w:rsid w:val="006A3E48"/>
    <w:rsid w:val="006A4052"/>
    <w:rsid w:val="006A4147"/>
    <w:rsid w:val="006A447E"/>
    <w:rsid w:val="006A44F2"/>
    <w:rsid w:val="006A454C"/>
    <w:rsid w:val="006A45BB"/>
    <w:rsid w:val="006A45C9"/>
    <w:rsid w:val="006A46B2"/>
    <w:rsid w:val="006A47AA"/>
    <w:rsid w:val="006A47AC"/>
    <w:rsid w:val="006A47CC"/>
    <w:rsid w:val="006A4883"/>
    <w:rsid w:val="006A4903"/>
    <w:rsid w:val="006A4A09"/>
    <w:rsid w:val="006A4A0F"/>
    <w:rsid w:val="006A4ADB"/>
    <w:rsid w:val="006A4B56"/>
    <w:rsid w:val="006A4B60"/>
    <w:rsid w:val="006A4BA6"/>
    <w:rsid w:val="006A4CFB"/>
    <w:rsid w:val="006A4D2C"/>
    <w:rsid w:val="006A4E35"/>
    <w:rsid w:val="006A4ECB"/>
    <w:rsid w:val="006A52E6"/>
    <w:rsid w:val="006A5377"/>
    <w:rsid w:val="006A56B4"/>
    <w:rsid w:val="006A5776"/>
    <w:rsid w:val="006A57EB"/>
    <w:rsid w:val="006A5842"/>
    <w:rsid w:val="006A5861"/>
    <w:rsid w:val="006A5889"/>
    <w:rsid w:val="006A5A52"/>
    <w:rsid w:val="006A5B18"/>
    <w:rsid w:val="006A5BBC"/>
    <w:rsid w:val="006A5CEE"/>
    <w:rsid w:val="006A5D72"/>
    <w:rsid w:val="006A5E83"/>
    <w:rsid w:val="006A5F0F"/>
    <w:rsid w:val="006A61E3"/>
    <w:rsid w:val="006A621C"/>
    <w:rsid w:val="006A6367"/>
    <w:rsid w:val="006A64EF"/>
    <w:rsid w:val="006A6576"/>
    <w:rsid w:val="006A65FB"/>
    <w:rsid w:val="006A68AF"/>
    <w:rsid w:val="006A6911"/>
    <w:rsid w:val="006A6A7B"/>
    <w:rsid w:val="006A6AAA"/>
    <w:rsid w:val="006A6D39"/>
    <w:rsid w:val="006A6E30"/>
    <w:rsid w:val="006A6EB4"/>
    <w:rsid w:val="006A6F2B"/>
    <w:rsid w:val="006A6F5B"/>
    <w:rsid w:val="006A7103"/>
    <w:rsid w:val="006A7108"/>
    <w:rsid w:val="006A7135"/>
    <w:rsid w:val="006A71C8"/>
    <w:rsid w:val="006A71D4"/>
    <w:rsid w:val="006A7366"/>
    <w:rsid w:val="006A73D7"/>
    <w:rsid w:val="006A73F8"/>
    <w:rsid w:val="006A7511"/>
    <w:rsid w:val="006A759C"/>
    <w:rsid w:val="006A7643"/>
    <w:rsid w:val="006A7691"/>
    <w:rsid w:val="006A76F3"/>
    <w:rsid w:val="006A771D"/>
    <w:rsid w:val="006A793D"/>
    <w:rsid w:val="006A7984"/>
    <w:rsid w:val="006A79F7"/>
    <w:rsid w:val="006A7A40"/>
    <w:rsid w:val="006A7C4E"/>
    <w:rsid w:val="006A7C77"/>
    <w:rsid w:val="006A7E6B"/>
    <w:rsid w:val="006A7EC3"/>
    <w:rsid w:val="006A7EE4"/>
    <w:rsid w:val="006B0102"/>
    <w:rsid w:val="006B011B"/>
    <w:rsid w:val="006B0254"/>
    <w:rsid w:val="006B054D"/>
    <w:rsid w:val="006B058F"/>
    <w:rsid w:val="006B07F1"/>
    <w:rsid w:val="006B0856"/>
    <w:rsid w:val="006B09C1"/>
    <w:rsid w:val="006B0C7E"/>
    <w:rsid w:val="006B0C86"/>
    <w:rsid w:val="006B0E9B"/>
    <w:rsid w:val="006B0FA6"/>
    <w:rsid w:val="006B0FC6"/>
    <w:rsid w:val="006B12A2"/>
    <w:rsid w:val="006B134B"/>
    <w:rsid w:val="006B13EC"/>
    <w:rsid w:val="006B1442"/>
    <w:rsid w:val="006B148A"/>
    <w:rsid w:val="006B1507"/>
    <w:rsid w:val="006B15AA"/>
    <w:rsid w:val="006B16F4"/>
    <w:rsid w:val="006B1755"/>
    <w:rsid w:val="006B177F"/>
    <w:rsid w:val="006B193F"/>
    <w:rsid w:val="006B195D"/>
    <w:rsid w:val="006B19D5"/>
    <w:rsid w:val="006B1A20"/>
    <w:rsid w:val="006B1A2D"/>
    <w:rsid w:val="006B1BAC"/>
    <w:rsid w:val="006B1BDB"/>
    <w:rsid w:val="006B1C61"/>
    <w:rsid w:val="006B1F19"/>
    <w:rsid w:val="006B1F9C"/>
    <w:rsid w:val="006B1FA5"/>
    <w:rsid w:val="006B1FDE"/>
    <w:rsid w:val="006B2107"/>
    <w:rsid w:val="006B2135"/>
    <w:rsid w:val="006B2216"/>
    <w:rsid w:val="006B2307"/>
    <w:rsid w:val="006B2317"/>
    <w:rsid w:val="006B242C"/>
    <w:rsid w:val="006B257F"/>
    <w:rsid w:val="006B2598"/>
    <w:rsid w:val="006B25D7"/>
    <w:rsid w:val="006B2625"/>
    <w:rsid w:val="006B267E"/>
    <w:rsid w:val="006B26A5"/>
    <w:rsid w:val="006B2735"/>
    <w:rsid w:val="006B2779"/>
    <w:rsid w:val="006B278A"/>
    <w:rsid w:val="006B2834"/>
    <w:rsid w:val="006B2983"/>
    <w:rsid w:val="006B2A17"/>
    <w:rsid w:val="006B2A45"/>
    <w:rsid w:val="006B2B41"/>
    <w:rsid w:val="006B2B55"/>
    <w:rsid w:val="006B2BEF"/>
    <w:rsid w:val="006B2C10"/>
    <w:rsid w:val="006B2CB0"/>
    <w:rsid w:val="006B2EAA"/>
    <w:rsid w:val="006B2F0E"/>
    <w:rsid w:val="006B2F84"/>
    <w:rsid w:val="006B2FD3"/>
    <w:rsid w:val="006B31D5"/>
    <w:rsid w:val="006B31F9"/>
    <w:rsid w:val="006B3239"/>
    <w:rsid w:val="006B3287"/>
    <w:rsid w:val="006B32DB"/>
    <w:rsid w:val="006B33BB"/>
    <w:rsid w:val="006B342B"/>
    <w:rsid w:val="006B3546"/>
    <w:rsid w:val="006B3580"/>
    <w:rsid w:val="006B36A7"/>
    <w:rsid w:val="006B385E"/>
    <w:rsid w:val="006B3A40"/>
    <w:rsid w:val="006B3C92"/>
    <w:rsid w:val="006B3C93"/>
    <w:rsid w:val="006B3FA2"/>
    <w:rsid w:val="006B3FBA"/>
    <w:rsid w:val="006B4042"/>
    <w:rsid w:val="006B4091"/>
    <w:rsid w:val="006B417A"/>
    <w:rsid w:val="006B4266"/>
    <w:rsid w:val="006B42AC"/>
    <w:rsid w:val="006B42C4"/>
    <w:rsid w:val="006B4302"/>
    <w:rsid w:val="006B4333"/>
    <w:rsid w:val="006B43BE"/>
    <w:rsid w:val="006B44B2"/>
    <w:rsid w:val="006B4593"/>
    <w:rsid w:val="006B46AD"/>
    <w:rsid w:val="006B4945"/>
    <w:rsid w:val="006B4A67"/>
    <w:rsid w:val="006B4AA0"/>
    <w:rsid w:val="006B4C59"/>
    <w:rsid w:val="006B4CA0"/>
    <w:rsid w:val="006B4EB2"/>
    <w:rsid w:val="006B4F22"/>
    <w:rsid w:val="006B5473"/>
    <w:rsid w:val="006B551E"/>
    <w:rsid w:val="006B5588"/>
    <w:rsid w:val="006B569C"/>
    <w:rsid w:val="006B574A"/>
    <w:rsid w:val="006B5973"/>
    <w:rsid w:val="006B59D0"/>
    <w:rsid w:val="006B5AFD"/>
    <w:rsid w:val="006B5C52"/>
    <w:rsid w:val="006B5C81"/>
    <w:rsid w:val="006B5D7E"/>
    <w:rsid w:val="006B5E45"/>
    <w:rsid w:val="006B5F5A"/>
    <w:rsid w:val="006B5F6B"/>
    <w:rsid w:val="006B5FDE"/>
    <w:rsid w:val="006B60D3"/>
    <w:rsid w:val="006B6191"/>
    <w:rsid w:val="006B61B4"/>
    <w:rsid w:val="006B62C0"/>
    <w:rsid w:val="006B62C3"/>
    <w:rsid w:val="006B6301"/>
    <w:rsid w:val="006B6361"/>
    <w:rsid w:val="006B640B"/>
    <w:rsid w:val="006B6495"/>
    <w:rsid w:val="006B66D1"/>
    <w:rsid w:val="006B680A"/>
    <w:rsid w:val="006B680E"/>
    <w:rsid w:val="006B68D7"/>
    <w:rsid w:val="006B6A61"/>
    <w:rsid w:val="006B6AFA"/>
    <w:rsid w:val="006B6C77"/>
    <w:rsid w:val="006B6D5F"/>
    <w:rsid w:val="006B6D76"/>
    <w:rsid w:val="006B6DA3"/>
    <w:rsid w:val="006B6DDC"/>
    <w:rsid w:val="006B6DFF"/>
    <w:rsid w:val="006B6E17"/>
    <w:rsid w:val="006B6E42"/>
    <w:rsid w:val="006B6FE8"/>
    <w:rsid w:val="006B7046"/>
    <w:rsid w:val="006B70AE"/>
    <w:rsid w:val="006B70DD"/>
    <w:rsid w:val="006B71D0"/>
    <w:rsid w:val="006B7262"/>
    <w:rsid w:val="006B736F"/>
    <w:rsid w:val="006B74B4"/>
    <w:rsid w:val="006B7541"/>
    <w:rsid w:val="006B75E3"/>
    <w:rsid w:val="006B75E8"/>
    <w:rsid w:val="006B784D"/>
    <w:rsid w:val="006B7861"/>
    <w:rsid w:val="006B7962"/>
    <w:rsid w:val="006B797E"/>
    <w:rsid w:val="006B7B17"/>
    <w:rsid w:val="006B7BB4"/>
    <w:rsid w:val="006B7BFC"/>
    <w:rsid w:val="006B7C5D"/>
    <w:rsid w:val="006B7DA0"/>
    <w:rsid w:val="006B7DAD"/>
    <w:rsid w:val="006B7E7C"/>
    <w:rsid w:val="006B7F73"/>
    <w:rsid w:val="006C0192"/>
    <w:rsid w:val="006C01FC"/>
    <w:rsid w:val="006C01FE"/>
    <w:rsid w:val="006C024C"/>
    <w:rsid w:val="006C028A"/>
    <w:rsid w:val="006C028F"/>
    <w:rsid w:val="006C02AE"/>
    <w:rsid w:val="006C04D9"/>
    <w:rsid w:val="006C061F"/>
    <w:rsid w:val="006C06A6"/>
    <w:rsid w:val="006C06C8"/>
    <w:rsid w:val="006C0734"/>
    <w:rsid w:val="006C0739"/>
    <w:rsid w:val="006C0988"/>
    <w:rsid w:val="006C0BD8"/>
    <w:rsid w:val="006C0D44"/>
    <w:rsid w:val="006C1141"/>
    <w:rsid w:val="006C11F4"/>
    <w:rsid w:val="006C1327"/>
    <w:rsid w:val="006C1607"/>
    <w:rsid w:val="006C16BA"/>
    <w:rsid w:val="006C196F"/>
    <w:rsid w:val="006C1BAE"/>
    <w:rsid w:val="006C1BBC"/>
    <w:rsid w:val="006C1DA4"/>
    <w:rsid w:val="006C1E3B"/>
    <w:rsid w:val="006C1F0B"/>
    <w:rsid w:val="006C200D"/>
    <w:rsid w:val="006C2071"/>
    <w:rsid w:val="006C208A"/>
    <w:rsid w:val="006C21AF"/>
    <w:rsid w:val="006C21F3"/>
    <w:rsid w:val="006C228D"/>
    <w:rsid w:val="006C251F"/>
    <w:rsid w:val="006C29ED"/>
    <w:rsid w:val="006C2A01"/>
    <w:rsid w:val="006C2A87"/>
    <w:rsid w:val="006C2B07"/>
    <w:rsid w:val="006C2BE8"/>
    <w:rsid w:val="006C2C21"/>
    <w:rsid w:val="006C2E56"/>
    <w:rsid w:val="006C2FC6"/>
    <w:rsid w:val="006C3078"/>
    <w:rsid w:val="006C31F1"/>
    <w:rsid w:val="006C32F2"/>
    <w:rsid w:val="006C3360"/>
    <w:rsid w:val="006C33EF"/>
    <w:rsid w:val="006C35EF"/>
    <w:rsid w:val="006C3630"/>
    <w:rsid w:val="006C36C2"/>
    <w:rsid w:val="006C374A"/>
    <w:rsid w:val="006C38D8"/>
    <w:rsid w:val="006C3944"/>
    <w:rsid w:val="006C3AAB"/>
    <w:rsid w:val="006C3AB8"/>
    <w:rsid w:val="006C3B65"/>
    <w:rsid w:val="006C3B9F"/>
    <w:rsid w:val="006C3BA2"/>
    <w:rsid w:val="006C3C4F"/>
    <w:rsid w:val="006C3C5D"/>
    <w:rsid w:val="006C3CF2"/>
    <w:rsid w:val="006C3D8A"/>
    <w:rsid w:val="006C3EBB"/>
    <w:rsid w:val="006C40C2"/>
    <w:rsid w:val="006C4276"/>
    <w:rsid w:val="006C4388"/>
    <w:rsid w:val="006C4450"/>
    <w:rsid w:val="006C45C0"/>
    <w:rsid w:val="006C4671"/>
    <w:rsid w:val="006C468E"/>
    <w:rsid w:val="006C478C"/>
    <w:rsid w:val="006C486A"/>
    <w:rsid w:val="006C4B43"/>
    <w:rsid w:val="006C4C28"/>
    <w:rsid w:val="006C4CA1"/>
    <w:rsid w:val="006C4CB3"/>
    <w:rsid w:val="006C4DB2"/>
    <w:rsid w:val="006C4F8C"/>
    <w:rsid w:val="006C5000"/>
    <w:rsid w:val="006C5023"/>
    <w:rsid w:val="006C5069"/>
    <w:rsid w:val="006C511B"/>
    <w:rsid w:val="006C511F"/>
    <w:rsid w:val="006C525F"/>
    <w:rsid w:val="006C5283"/>
    <w:rsid w:val="006C5357"/>
    <w:rsid w:val="006C5376"/>
    <w:rsid w:val="006C5534"/>
    <w:rsid w:val="006C5633"/>
    <w:rsid w:val="006C56A4"/>
    <w:rsid w:val="006C56F5"/>
    <w:rsid w:val="006C570F"/>
    <w:rsid w:val="006C5733"/>
    <w:rsid w:val="006C58FB"/>
    <w:rsid w:val="006C599A"/>
    <w:rsid w:val="006C5BA6"/>
    <w:rsid w:val="006C5C4E"/>
    <w:rsid w:val="006C5C56"/>
    <w:rsid w:val="006C5CAB"/>
    <w:rsid w:val="006C5CF0"/>
    <w:rsid w:val="006C5DD5"/>
    <w:rsid w:val="006C5E44"/>
    <w:rsid w:val="006C617C"/>
    <w:rsid w:val="006C620D"/>
    <w:rsid w:val="006C6228"/>
    <w:rsid w:val="006C62DB"/>
    <w:rsid w:val="006C62ED"/>
    <w:rsid w:val="006C62F6"/>
    <w:rsid w:val="006C63B6"/>
    <w:rsid w:val="006C6658"/>
    <w:rsid w:val="006C667B"/>
    <w:rsid w:val="006C66B3"/>
    <w:rsid w:val="006C66D7"/>
    <w:rsid w:val="006C6788"/>
    <w:rsid w:val="006C67A7"/>
    <w:rsid w:val="006C6833"/>
    <w:rsid w:val="006C685B"/>
    <w:rsid w:val="006C68FB"/>
    <w:rsid w:val="006C69F8"/>
    <w:rsid w:val="006C6F15"/>
    <w:rsid w:val="006C700F"/>
    <w:rsid w:val="006C7194"/>
    <w:rsid w:val="006C71F1"/>
    <w:rsid w:val="006C73AC"/>
    <w:rsid w:val="006C7562"/>
    <w:rsid w:val="006C7670"/>
    <w:rsid w:val="006C787B"/>
    <w:rsid w:val="006C7ACC"/>
    <w:rsid w:val="006C7ACF"/>
    <w:rsid w:val="006C7B6C"/>
    <w:rsid w:val="006C7CD5"/>
    <w:rsid w:val="006C7DD7"/>
    <w:rsid w:val="006D0039"/>
    <w:rsid w:val="006D0058"/>
    <w:rsid w:val="006D00AD"/>
    <w:rsid w:val="006D0303"/>
    <w:rsid w:val="006D0350"/>
    <w:rsid w:val="006D03D6"/>
    <w:rsid w:val="006D046E"/>
    <w:rsid w:val="006D05D7"/>
    <w:rsid w:val="006D062D"/>
    <w:rsid w:val="006D07AD"/>
    <w:rsid w:val="006D0890"/>
    <w:rsid w:val="006D08B6"/>
    <w:rsid w:val="006D0969"/>
    <w:rsid w:val="006D0A7D"/>
    <w:rsid w:val="006D0AF9"/>
    <w:rsid w:val="006D0CE2"/>
    <w:rsid w:val="006D0E44"/>
    <w:rsid w:val="006D0FBD"/>
    <w:rsid w:val="006D1037"/>
    <w:rsid w:val="006D1155"/>
    <w:rsid w:val="006D1222"/>
    <w:rsid w:val="006D12AF"/>
    <w:rsid w:val="006D139B"/>
    <w:rsid w:val="006D1420"/>
    <w:rsid w:val="006D149B"/>
    <w:rsid w:val="006D14FF"/>
    <w:rsid w:val="006D18D7"/>
    <w:rsid w:val="006D195E"/>
    <w:rsid w:val="006D1A56"/>
    <w:rsid w:val="006D1AFD"/>
    <w:rsid w:val="006D1BC1"/>
    <w:rsid w:val="006D1C5B"/>
    <w:rsid w:val="006D1D6E"/>
    <w:rsid w:val="006D1E05"/>
    <w:rsid w:val="006D1EA0"/>
    <w:rsid w:val="006D1ED5"/>
    <w:rsid w:val="006D1F39"/>
    <w:rsid w:val="006D1FCD"/>
    <w:rsid w:val="006D20CC"/>
    <w:rsid w:val="006D210A"/>
    <w:rsid w:val="006D2124"/>
    <w:rsid w:val="006D2150"/>
    <w:rsid w:val="006D22EA"/>
    <w:rsid w:val="006D2383"/>
    <w:rsid w:val="006D2387"/>
    <w:rsid w:val="006D23D6"/>
    <w:rsid w:val="006D254B"/>
    <w:rsid w:val="006D25D1"/>
    <w:rsid w:val="006D26A2"/>
    <w:rsid w:val="006D2758"/>
    <w:rsid w:val="006D289F"/>
    <w:rsid w:val="006D2AEB"/>
    <w:rsid w:val="006D2B31"/>
    <w:rsid w:val="006D2C72"/>
    <w:rsid w:val="006D2E83"/>
    <w:rsid w:val="006D30D2"/>
    <w:rsid w:val="006D335C"/>
    <w:rsid w:val="006D33CA"/>
    <w:rsid w:val="006D34A6"/>
    <w:rsid w:val="006D360E"/>
    <w:rsid w:val="006D3640"/>
    <w:rsid w:val="006D36B7"/>
    <w:rsid w:val="006D36C4"/>
    <w:rsid w:val="006D38BF"/>
    <w:rsid w:val="006D38C3"/>
    <w:rsid w:val="006D397E"/>
    <w:rsid w:val="006D3985"/>
    <w:rsid w:val="006D3A95"/>
    <w:rsid w:val="006D3D21"/>
    <w:rsid w:val="006D3F12"/>
    <w:rsid w:val="006D41B6"/>
    <w:rsid w:val="006D41CF"/>
    <w:rsid w:val="006D422D"/>
    <w:rsid w:val="006D427B"/>
    <w:rsid w:val="006D44B8"/>
    <w:rsid w:val="006D45F8"/>
    <w:rsid w:val="006D45FC"/>
    <w:rsid w:val="006D46A6"/>
    <w:rsid w:val="006D46C7"/>
    <w:rsid w:val="006D4723"/>
    <w:rsid w:val="006D475B"/>
    <w:rsid w:val="006D47E2"/>
    <w:rsid w:val="006D4802"/>
    <w:rsid w:val="006D4838"/>
    <w:rsid w:val="006D4A51"/>
    <w:rsid w:val="006D4A58"/>
    <w:rsid w:val="006D4A92"/>
    <w:rsid w:val="006D4C16"/>
    <w:rsid w:val="006D4DE2"/>
    <w:rsid w:val="006D4E75"/>
    <w:rsid w:val="006D4E9A"/>
    <w:rsid w:val="006D4EB1"/>
    <w:rsid w:val="006D4EE5"/>
    <w:rsid w:val="006D4FED"/>
    <w:rsid w:val="006D4FF4"/>
    <w:rsid w:val="006D5017"/>
    <w:rsid w:val="006D505B"/>
    <w:rsid w:val="006D510E"/>
    <w:rsid w:val="006D5157"/>
    <w:rsid w:val="006D549A"/>
    <w:rsid w:val="006D54BB"/>
    <w:rsid w:val="006D550D"/>
    <w:rsid w:val="006D55D7"/>
    <w:rsid w:val="006D5927"/>
    <w:rsid w:val="006D59BC"/>
    <w:rsid w:val="006D5B2D"/>
    <w:rsid w:val="006D5B8D"/>
    <w:rsid w:val="006D5BAC"/>
    <w:rsid w:val="006D5BF9"/>
    <w:rsid w:val="006D5CD0"/>
    <w:rsid w:val="006D5E4E"/>
    <w:rsid w:val="006D5F3C"/>
    <w:rsid w:val="006D5FAE"/>
    <w:rsid w:val="006D6056"/>
    <w:rsid w:val="006D6086"/>
    <w:rsid w:val="006D61AB"/>
    <w:rsid w:val="006D61D5"/>
    <w:rsid w:val="006D6342"/>
    <w:rsid w:val="006D6387"/>
    <w:rsid w:val="006D64B9"/>
    <w:rsid w:val="006D66CA"/>
    <w:rsid w:val="006D6B6F"/>
    <w:rsid w:val="006D6C62"/>
    <w:rsid w:val="006D6CB2"/>
    <w:rsid w:val="006D6D85"/>
    <w:rsid w:val="006D6DA3"/>
    <w:rsid w:val="006D6EFD"/>
    <w:rsid w:val="006D6FE5"/>
    <w:rsid w:val="006D7049"/>
    <w:rsid w:val="006D7224"/>
    <w:rsid w:val="006D723B"/>
    <w:rsid w:val="006D735F"/>
    <w:rsid w:val="006D7466"/>
    <w:rsid w:val="006D74B5"/>
    <w:rsid w:val="006D75F0"/>
    <w:rsid w:val="006D7681"/>
    <w:rsid w:val="006D7760"/>
    <w:rsid w:val="006D776A"/>
    <w:rsid w:val="006D7787"/>
    <w:rsid w:val="006D77B7"/>
    <w:rsid w:val="006D781B"/>
    <w:rsid w:val="006D7895"/>
    <w:rsid w:val="006D78E1"/>
    <w:rsid w:val="006D798E"/>
    <w:rsid w:val="006D7ACD"/>
    <w:rsid w:val="006D7B12"/>
    <w:rsid w:val="006D7BDA"/>
    <w:rsid w:val="006D7E6F"/>
    <w:rsid w:val="006D7E8C"/>
    <w:rsid w:val="006D7EF0"/>
    <w:rsid w:val="006E0086"/>
    <w:rsid w:val="006E0106"/>
    <w:rsid w:val="006E0188"/>
    <w:rsid w:val="006E019D"/>
    <w:rsid w:val="006E0200"/>
    <w:rsid w:val="006E0227"/>
    <w:rsid w:val="006E028F"/>
    <w:rsid w:val="006E0677"/>
    <w:rsid w:val="006E07A1"/>
    <w:rsid w:val="006E0875"/>
    <w:rsid w:val="006E08C9"/>
    <w:rsid w:val="006E092B"/>
    <w:rsid w:val="006E0B8B"/>
    <w:rsid w:val="006E0C5B"/>
    <w:rsid w:val="006E0CD5"/>
    <w:rsid w:val="006E0DA7"/>
    <w:rsid w:val="006E0E6C"/>
    <w:rsid w:val="006E0F2B"/>
    <w:rsid w:val="006E133E"/>
    <w:rsid w:val="006E1660"/>
    <w:rsid w:val="006E17D3"/>
    <w:rsid w:val="006E19E4"/>
    <w:rsid w:val="006E1BB7"/>
    <w:rsid w:val="006E1C33"/>
    <w:rsid w:val="006E1CA9"/>
    <w:rsid w:val="006E1D00"/>
    <w:rsid w:val="006E1DC2"/>
    <w:rsid w:val="006E1EA6"/>
    <w:rsid w:val="006E1F87"/>
    <w:rsid w:val="006E2219"/>
    <w:rsid w:val="006E235C"/>
    <w:rsid w:val="006E242B"/>
    <w:rsid w:val="006E2452"/>
    <w:rsid w:val="006E259C"/>
    <w:rsid w:val="006E26B9"/>
    <w:rsid w:val="006E287E"/>
    <w:rsid w:val="006E28F2"/>
    <w:rsid w:val="006E28FF"/>
    <w:rsid w:val="006E2945"/>
    <w:rsid w:val="006E2A36"/>
    <w:rsid w:val="006E2A96"/>
    <w:rsid w:val="006E2AE0"/>
    <w:rsid w:val="006E2B62"/>
    <w:rsid w:val="006E2BF0"/>
    <w:rsid w:val="006E2C0E"/>
    <w:rsid w:val="006E2C47"/>
    <w:rsid w:val="006E2EA6"/>
    <w:rsid w:val="006E2F22"/>
    <w:rsid w:val="006E3042"/>
    <w:rsid w:val="006E30B3"/>
    <w:rsid w:val="006E311F"/>
    <w:rsid w:val="006E315A"/>
    <w:rsid w:val="006E3226"/>
    <w:rsid w:val="006E325E"/>
    <w:rsid w:val="006E3305"/>
    <w:rsid w:val="006E33C1"/>
    <w:rsid w:val="006E33D9"/>
    <w:rsid w:val="006E3414"/>
    <w:rsid w:val="006E3850"/>
    <w:rsid w:val="006E387B"/>
    <w:rsid w:val="006E3965"/>
    <w:rsid w:val="006E3A16"/>
    <w:rsid w:val="006E3B03"/>
    <w:rsid w:val="006E3C32"/>
    <w:rsid w:val="006E3C75"/>
    <w:rsid w:val="006E3EB9"/>
    <w:rsid w:val="006E3EBB"/>
    <w:rsid w:val="006E3F03"/>
    <w:rsid w:val="006E40E2"/>
    <w:rsid w:val="006E4205"/>
    <w:rsid w:val="006E42AB"/>
    <w:rsid w:val="006E449F"/>
    <w:rsid w:val="006E44EB"/>
    <w:rsid w:val="006E46C0"/>
    <w:rsid w:val="006E47CD"/>
    <w:rsid w:val="006E480F"/>
    <w:rsid w:val="006E48A4"/>
    <w:rsid w:val="006E4A8E"/>
    <w:rsid w:val="006E4ADB"/>
    <w:rsid w:val="006E4D22"/>
    <w:rsid w:val="006E4DE5"/>
    <w:rsid w:val="006E5085"/>
    <w:rsid w:val="006E5179"/>
    <w:rsid w:val="006E52B1"/>
    <w:rsid w:val="006E52EC"/>
    <w:rsid w:val="006E543A"/>
    <w:rsid w:val="006E5485"/>
    <w:rsid w:val="006E5522"/>
    <w:rsid w:val="006E552D"/>
    <w:rsid w:val="006E55E4"/>
    <w:rsid w:val="006E582E"/>
    <w:rsid w:val="006E58A4"/>
    <w:rsid w:val="006E591E"/>
    <w:rsid w:val="006E5928"/>
    <w:rsid w:val="006E59F4"/>
    <w:rsid w:val="006E5AA8"/>
    <w:rsid w:val="006E5AAB"/>
    <w:rsid w:val="006E5AC1"/>
    <w:rsid w:val="006E5AC3"/>
    <w:rsid w:val="006E5C9C"/>
    <w:rsid w:val="006E5DC7"/>
    <w:rsid w:val="006E5E0B"/>
    <w:rsid w:val="006E6031"/>
    <w:rsid w:val="006E607B"/>
    <w:rsid w:val="006E6523"/>
    <w:rsid w:val="006E68F0"/>
    <w:rsid w:val="006E691A"/>
    <w:rsid w:val="006E6D6A"/>
    <w:rsid w:val="006E71A0"/>
    <w:rsid w:val="006E738E"/>
    <w:rsid w:val="006E743B"/>
    <w:rsid w:val="006E756E"/>
    <w:rsid w:val="006E788A"/>
    <w:rsid w:val="006E7922"/>
    <w:rsid w:val="006E7A87"/>
    <w:rsid w:val="006E7B88"/>
    <w:rsid w:val="006E7CB5"/>
    <w:rsid w:val="006E7D0B"/>
    <w:rsid w:val="006E7D2B"/>
    <w:rsid w:val="006E7FA9"/>
    <w:rsid w:val="006F0163"/>
    <w:rsid w:val="006F01DF"/>
    <w:rsid w:val="006F043A"/>
    <w:rsid w:val="006F0878"/>
    <w:rsid w:val="006F0890"/>
    <w:rsid w:val="006F08C2"/>
    <w:rsid w:val="006F098F"/>
    <w:rsid w:val="006F0BB9"/>
    <w:rsid w:val="006F0C24"/>
    <w:rsid w:val="006F0CE0"/>
    <w:rsid w:val="006F0CE1"/>
    <w:rsid w:val="006F0D5A"/>
    <w:rsid w:val="006F0D8E"/>
    <w:rsid w:val="006F0DA4"/>
    <w:rsid w:val="006F0DA6"/>
    <w:rsid w:val="006F0E41"/>
    <w:rsid w:val="006F0E6E"/>
    <w:rsid w:val="006F0EBD"/>
    <w:rsid w:val="006F0F31"/>
    <w:rsid w:val="006F10AD"/>
    <w:rsid w:val="006F1133"/>
    <w:rsid w:val="006F119A"/>
    <w:rsid w:val="006F11B1"/>
    <w:rsid w:val="006F1275"/>
    <w:rsid w:val="006F130B"/>
    <w:rsid w:val="006F1350"/>
    <w:rsid w:val="006F1662"/>
    <w:rsid w:val="006F17AB"/>
    <w:rsid w:val="006F1965"/>
    <w:rsid w:val="006F19EA"/>
    <w:rsid w:val="006F1BBE"/>
    <w:rsid w:val="006F1C7F"/>
    <w:rsid w:val="006F1C86"/>
    <w:rsid w:val="006F1C97"/>
    <w:rsid w:val="006F1D69"/>
    <w:rsid w:val="006F1D90"/>
    <w:rsid w:val="006F1DA8"/>
    <w:rsid w:val="006F1E9E"/>
    <w:rsid w:val="006F1F09"/>
    <w:rsid w:val="006F204B"/>
    <w:rsid w:val="006F20F3"/>
    <w:rsid w:val="006F21F4"/>
    <w:rsid w:val="006F2218"/>
    <w:rsid w:val="006F2264"/>
    <w:rsid w:val="006F229D"/>
    <w:rsid w:val="006F23DC"/>
    <w:rsid w:val="006F249F"/>
    <w:rsid w:val="006F2546"/>
    <w:rsid w:val="006F255B"/>
    <w:rsid w:val="006F2574"/>
    <w:rsid w:val="006F26B5"/>
    <w:rsid w:val="006F2910"/>
    <w:rsid w:val="006F296E"/>
    <w:rsid w:val="006F297C"/>
    <w:rsid w:val="006F2A3E"/>
    <w:rsid w:val="006F2AB5"/>
    <w:rsid w:val="006F2BEE"/>
    <w:rsid w:val="006F2C3C"/>
    <w:rsid w:val="006F2D0B"/>
    <w:rsid w:val="006F2D7D"/>
    <w:rsid w:val="006F2DEE"/>
    <w:rsid w:val="006F2E55"/>
    <w:rsid w:val="006F2E78"/>
    <w:rsid w:val="006F30F5"/>
    <w:rsid w:val="006F31C7"/>
    <w:rsid w:val="006F31DB"/>
    <w:rsid w:val="006F33D7"/>
    <w:rsid w:val="006F3469"/>
    <w:rsid w:val="006F346A"/>
    <w:rsid w:val="006F3581"/>
    <w:rsid w:val="006F362E"/>
    <w:rsid w:val="006F3836"/>
    <w:rsid w:val="006F3926"/>
    <w:rsid w:val="006F39A9"/>
    <w:rsid w:val="006F3A8E"/>
    <w:rsid w:val="006F3B6E"/>
    <w:rsid w:val="006F3BDA"/>
    <w:rsid w:val="006F3C39"/>
    <w:rsid w:val="006F3C8A"/>
    <w:rsid w:val="006F3CAC"/>
    <w:rsid w:val="006F3DF1"/>
    <w:rsid w:val="006F3E0D"/>
    <w:rsid w:val="006F3E10"/>
    <w:rsid w:val="006F3F52"/>
    <w:rsid w:val="006F3F59"/>
    <w:rsid w:val="006F40A7"/>
    <w:rsid w:val="006F40DC"/>
    <w:rsid w:val="006F415D"/>
    <w:rsid w:val="006F41F5"/>
    <w:rsid w:val="006F42E6"/>
    <w:rsid w:val="006F430A"/>
    <w:rsid w:val="006F43C6"/>
    <w:rsid w:val="006F461C"/>
    <w:rsid w:val="006F490C"/>
    <w:rsid w:val="006F4AB0"/>
    <w:rsid w:val="006F4AF4"/>
    <w:rsid w:val="006F4C00"/>
    <w:rsid w:val="006F4CB5"/>
    <w:rsid w:val="006F4D77"/>
    <w:rsid w:val="006F4D7B"/>
    <w:rsid w:val="006F4D8D"/>
    <w:rsid w:val="006F4D9B"/>
    <w:rsid w:val="006F4E16"/>
    <w:rsid w:val="006F4E22"/>
    <w:rsid w:val="006F4E47"/>
    <w:rsid w:val="006F5198"/>
    <w:rsid w:val="006F51E5"/>
    <w:rsid w:val="006F538E"/>
    <w:rsid w:val="006F5542"/>
    <w:rsid w:val="006F5608"/>
    <w:rsid w:val="006F5710"/>
    <w:rsid w:val="006F583C"/>
    <w:rsid w:val="006F58C5"/>
    <w:rsid w:val="006F58DC"/>
    <w:rsid w:val="006F59C7"/>
    <w:rsid w:val="006F59DF"/>
    <w:rsid w:val="006F5A78"/>
    <w:rsid w:val="006F5B26"/>
    <w:rsid w:val="006F5B88"/>
    <w:rsid w:val="006F5C49"/>
    <w:rsid w:val="006F5E10"/>
    <w:rsid w:val="006F5F9E"/>
    <w:rsid w:val="006F6152"/>
    <w:rsid w:val="006F61A9"/>
    <w:rsid w:val="006F63A5"/>
    <w:rsid w:val="006F63E4"/>
    <w:rsid w:val="006F6441"/>
    <w:rsid w:val="006F64FB"/>
    <w:rsid w:val="006F6511"/>
    <w:rsid w:val="006F65A9"/>
    <w:rsid w:val="006F65AE"/>
    <w:rsid w:val="006F6785"/>
    <w:rsid w:val="006F68B3"/>
    <w:rsid w:val="006F6949"/>
    <w:rsid w:val="006F6B34"/>
    <w:rsid w:val="006F6B45"/>
    <w:rsid w:val="006F6BF7"/>
    <w:rsid w:val="006F6F44"/>
    <w:rsid w:val="006F6F8E"/>
    <w:rsid w:val="006F710B"/>
    <w:rsid w:val="006F72B1"/>
    <w:rsid w:val="006F73C5"/>
    <w:rsid w:val="006F74DE"/>
    <w:rsid w:val="006F75AE"/>
    <w:rsid w:val="006F75EF"/>
    <w:rsid w:val="006F7720"/>
    <w:rsid w:val="006F788C"/>
    <w:rsid w:val="006F7966"/>
    <w:rsid w:val="006F7A3F"/>
    <w:rsid w:val="006F7A46"/>
    <w:rsid w:val="006F7B06"/>
    <w:rsid w:val="006F7D43"/>
    <w:rsid w:val="006F7F6A"/>
    <w:rsid w:val="006F7FC0"/>
    <w:rsid w:val="007002D1"/>
    <w:rsid w:val="00700381"/>
    <w:rsid w:val="007003F2"/>
    <w:rsid w:val="0070041D"/>
    <w:rsid w:val="00700476"/>
    <w:rsid w:val="0070059A"/>
    <w:rsid w:val="007005A1"/>
    <w:rsid w:val="0070069A"/>
    <w:rsid w:val="00700724"/>
    <w:rsid w:val="00700794"/>
    <w:rsid w:val="00700B4C"/>
    <w:rsid w:val="00700CAB"/>
    <w:rsid w:val="00700D1D"/>
    <w:rsid w:val="00700D4D"/>
    <w:rsid w:val="00700D70"/>
    <w:rsid w:val="00700D80"/>
    <w:rsid w:val="00700DF9"/>
    <w:rsid w:val="00700EB6"/>
    <w:rsid w:val="00700F43"/>
    <w:rsid w:val="00700F45"/>
    <w:rsid w:val="00701175"/>
    <w:rsid w:val="007014DC"/>
    <w:rsid w:val="0070158C"/>
    <w:rsid w:val="007015C7"/>
    <w:rsid w:val="00701814"/>
    <w:rsid w:val="00701899"/>
    <w:rsid w:val="00701A6A"/>
    <w:rsid w:val="00701B4B"/>
    <w:rsid w:val="00701C33"/>
    <w:rsid w:val="00701D32"/>
    <w:rsid w:val="00701DC9"/>
    <w:rsid w:val="00701FCF"/>
    <w:rsid w:val="00702238"/>
    <w:rsid w:val="00702242"/>
    <w:rsid w:val="007023EC"/>
    <w:rsid w:val="007024FF"/>
    <w:rsid w:val="00702530"/>
    <w:rsid w:val="007026BB"/>
    <w:rsid w:val="00702948"/>
    <w:rsid w:val="00702A07"/>
    <w:rsid w:val="00702A1A"/>
    <w:rsid w:val="00702B8B"/>
    <w:rsid w:val="00702C8F"/>
    <w:rsid w:val="00702D2F"/>
    <w:rsid w:val="0070329F"/>
    <w:rsid w:val="0070338D"/>
    <w:rsid w:val="00703559"/>
    <w:rsid w:val="007035F0"/>
    <w:rsid w:val="007035F6"/>
    <w:rsid w:val="0070373C"/>
    <w:rsid w:val="0070376C"/>
    <w:rsid w:val="007038EA"/>
    <w:rsid w:val="00703914"/>
    <w:rsid w:val="00703B8D"/>
    <w:rsid w:val="00703BAB"/>
    <w:rsid w:val="00703C24"/>
    <w:rsid w:val="00703DE8"/>
    <w:rsid w:val="0070405C"/>
    <w:rsid w:val="00704076"/>
    <w:rsid w:val="00704093"/>
    <w:rsid w:val="0070411E"/>
    <w:rsid w:val="00704283"/>
    <w:rsid w:val="0070436E"/>
    <w:rsid w:val="007044E5"/>
    <w:rsid w:val="007045A4"/>
    <w:rsid w:val="007046F1"/>
    <w:rsid w:val="0070473E"/>
    <w:rsid w:val="00704814"/>
    <w:rsid w:val="007049FD"/>
    <w:rsid w:val="00704CA4"/>
    <w:rsid w:val="00704D13"/>
    <w:rsid w:val="00704DB7"/>
    <w:rsid w:val="00704E7F"/>
    <w:rsid w:val="007051A7"/>
    <w:rsid w:val="007054CC"/>
    <w:rsid w:val="00705509"/>
    <w:rsid w:val="00705572"/>
    <w:rsid w:val="00705728"/>
    <w:rsid w:val="007057BD"/>
    <w:rsid w:val="00705867"/>
    <w:rsid w:val="00705886"/>
    <w:rsid w:val="007058DB"/>
    <w:rsid w:val="0070597D"/>
    <w:rsid w:val="00705D41"/>
    <w:rsid w:val="00705DCA"/>
    <w:rsid w:val="00705EEE"/>
    <w:rsid w:val="00705EEF"/>
    <w:rsid w:val="00706148"/>
    <w:rsid w:val="0070616C"/>
    <w:rsid w:val="0070619C"/>
    <w:rsid w:val="0070623E"/>
    <w:rsid w:val="00706905"/>
    <w:rsid w:val="007069C0"/>
    <w:rsid w:val="007069CD"/>
    <w:rsid w:val="00706A6C"/>
    <w:rsid w:val="00706A73"/>
    <w:rsid w:val="00706C23"/>
    <w:rsid w:val="00706C4B"/>
    <w:rsid w:val="00706CEF"/>
    <w:rsid w:val="00706F61"/>
    <w:rsid w:val="00706F73"/>
    <w:rsid w:val="00706F8A"/>
    <w:rsid w:val="00706FD4"/>
    <w:rsid w:val="00707123"/>
    <w:rsid w:val="00707204"/>
    <w:rsid w:val="00707247"/>
    <w:rsid w:val="0070724F"/>
    <w:rsid w:val="00707304"/>
    <w:rsid w:val="00707414"/>
    <w:rsid w:val="00707612"/>
    <w:rsid w:val="00707653"/>
    <w:rsid w:val="0070767A"/>
    <w:rsid w:val="00707802"/>
    <w:rsid w:val="00707824"/>
    <w:rsid w:val="00707C10"/>
    <w:rsid w:val="00707C86"/>
    <w:rsid w:val="00707CCF"/>
    <w:rsid w:val="00707CDA"/>
    <w:rsid w:val="00707D2A"/>
    <w:rsid w:val="007101D1"/>
    <w:rsid w:val="007101F6"/>
    <w:rsid w:val="00710210"/>
    <w:rsid w:val="0071030F"/>
    <w:rsid w:val="00710484"/>
    <w:rsid w:val="00710491"/>
    <w:rsid w:val="007104B3"/>
    <w:rsid w:val="007104B9"/>
    <w:rsid w:val="007104E4"/>
    <w:rsid w:val="00710754"/>
    <w:rsid w:val="00710814"/>
    <w:rsid w:val="0071088A"/>
    <w:rsid w:val="007108A3"/>
    <w:rsid w:val="007108BD"/>
    <w:rsid w:val="007109C1"/>
    <w:rsid w:val="00710A49"/>
    <w:rsid w:val="00710BF6"/>
    <w:rsid w:val="00710E3C"/>
    <w:rsid w:val="00710EB2"/>
    <w:rsid w:val="0071102B"/>
    <w:rsid w:val="007110DC"/>
    <w:rsid w:val="0071125B"/>
    <w:rsid w:val="00711262"/>
    <w:rsid w:val="0071136F"/>
    <w:rsid w:val="0071139F"/>
    <w:rsid w:val="0071145F"/>
    <w:rsid w:val="00711594"/>
    <w:rsid w:val="007118AD"/>
    <w:rsid w:val="00711B39"/>
    <w:rsid w:val="00711C34"/>
    <w:rsid w:val="00711D4C"/>
    <w:rsid w:val="00711DA3"/>
    <w:rsid w:val="00711DBA"/>
    <w:rsid w:val="00711DFE"/>
    <w:rsid w:val="00711FC7"/>
    <w:rsid w:val="007120F5"/>
    <w:rsid w:val="007121EE"/>
    <w:rsid w:val="00712240"/>
    <w:rsid w:val="00712259"/>
    <w:rsid w:val="00712465"/>
    <w:rsid w:val="00712482"/>
    <w:rsid w:val="007124DF"/>
    <w:rsid w:val="00712546"/>
    <w:rsid w:val="0071255A"/>
    <w:rsid w:val="0071271E"/>
    <w:rsid w:val="00712868"/>
    <w:rsid w:val="00712992"/>
    <w:rsid w:val="00712B70"/>
    <w:rsid w:val="00712D5A"/>
    <w:rsid w:val="00712DF5"/>
    <w:rsid w:val="00712FE9"/>
    <w:rsid w:val="00713006"/>
    <w:rsid w:val="00713031"/>
    <w:rsid w:val="00713103"/>
    <w:rsid w:val="00713188"/>
    <w:rsid w:val="007131CA"/>
    <w:rsid w:val="00713387"/>
    <w:rsid w:val="007135D2"/>
    <w:rsid w:val="007135D7"/>
    <w:rsid w:val="007137C4"/>
    <w:rsid w:val="00713806"/>
    <w:rsid w:val="00713A25"/>
    <w:rsid w:val="00713B71"/>
    <w:rsid w:val="00713CFC"/>
    <w:rsid w:val="00713D68"/>
    <w:rsid w:val="00713D8F"/>
    <w:rsid w:val="00713FB4"/>
    <w:rsid w:val="0071406F"/>
    <w:rsid w:val="00714124"/>
    <w:rsid w:val="0071417A"/>
    <w:rsid w:val="007142F3"/>
    <w:rsid w:val="00714352"/>
    <w:rsid w:val="00714368"/>
    <w:rsid w:val="00714458"/>
    <w:rsid w:val="00714519"/>
    <w:rsid w:val="007146CE"/>
    <w:rsid w:val="0071472D"/>
    <w:rsid w:val="00714B44"/>
    <w:rsid w:val="00714BA3"/>
    <w:rsid w:val="00714BF9"/>
    <w:rsid w:val="00714C44"/>
    <w:rsid w:val="00714CBE"/>
    <w:rsid w:val="00714F5E"/>
    <w:rsid w:val="007151E2"/>
    <w:rsid w:val="007152EE"/>
    <w:rsid w:val="00715422"/>
    <w:rsid w:val="0071567C"/>
    <w:rsid w:val="0071580D"/>
    <w:rsid w:val="007158B2"/>
    <w:rsid w:val="00715B5D"/>
    <w:rsid w:val="00715BB2"/>
    <w:rsid w:val="00715C09"/>
    <w:rsid w:val="00715DB9"/>
    <w:rsid w:val="00715DE7"/>
    <w:rsid w:val="00715EE9"/>
    <w:rsid w:val="00716100"/>
    <w:rsid w:val="00716138"/>
    <w:rsid w:val="0071649E"/>
    <w:rsid w:val="0071652F"/>
    <w:rsid w:val="0071667E"/>
    <w:rsid w:val="007166C5"/>
    <w:rsid w:val="00716992"/>
    <w:rsid w:val="00716999"/>
    <w:rsid w:val="00716AE2"/>
    <w:rsid w:val="00716B23"/>
    <w:rsid w:val="00716D12"/>
    <w:rsid w:val="00716D90"/>
    <w:rsid w:val="00716DC8"/>
    <w:rsid w:val="00717078"/>
    <w:rsid w:val="00717128"/>
    <w:rsid w:val="00717193"/>
    <w:rsid w:val="007171B1"/>
    <w:rsid w:val="007171BE"/>
    <w:rsid w:val="007171E4"/>
    <w:rsid w:val="00717257"/>
    <w:rsid w:val="007172A0"/>
    <w:rsid w:val="0071739B"/>
    <w:rsid w:val="0071747E"/>
    <w:rsid w:val="007174AF"/>
    <w:rsid w:val="007174F6"/>
    <w:rsid w:val="007176A5"/>
    <w:rsid w:val="007178A2"/>
    <w:rsid w:val="0071794E"/>
    <w:rsid w:val="007179F2"/>
    <w:rsid w:val="00717B41"/>
    <w:rsid w:val="00717D7A"/>
    <w:rsid w:val="00717EFE"/>
    <w:rsid w:val="0072001F"/>
    <w:rsid w:val="00720092"/>
    <w:rsid w:val="00720102"/>
    <w:rsid w:val="00720168"/>
    <w:rsid w:val="007201A0"/>
    <w:rsid w:val="0072022D"/>
    <w:rsid w:val="007202E9"/>
    <w:rsid w:val="00720329"/>
    <w:rsid w:val="00720419"/>
    <w:rsid w:val="007205B9"/>
    <w:rsid w:val="00720625"/>
    <w:rsid w:val="00720797"/>
    <w:rsid w:val="00720A5C"/>
    <w:rsid w:val="00720B1C"/>
    <w:rsid w:val="00720C4F"/>
    <w:rsid w:val="00720E1E"/>
    <w:rsid w:val="00721013"/>
    <w:rsid w:val="00721016"/>
    <w:rsid w:val="0072107B"/>
    <w:rsid w:val="00721238"/>
    <w:rsid w:val="0072123F"/>
    <w:rsid w:val="00721249"/>
    <w:rsid w:val="007213FE"/>
    <w:rsid w:val="00721405"/>
    <w:rsid w:val="0072145E"/>
    <w:rsid w:val="00721564"/>
    <w:rsid w:val="00721690"/>
    <w:rsid w:val="007216BD"/>
    <w:rsid w:val="007216DD"/>
    <w:rsid w:val="0072182B"/>
    <w:rsid w:val="007218D5"/>
    <w:rsid w:val="00721A26"/>
    <w:rsid w:val="00721A96"/>
    <w:rsid w:val="00721AF0"/>
    <w:rsid w:val="00721B36"/>
    <w:rsid w:val="00721B3A"/>
    <w:rsid w:val="00721B44"/>
    <w:rsid w:val="00721B66"/>
    <w:rsid w:val="00721B80"/>
    <w:rsid w:val="00721E24"/>
    <w:rsid w:val="00721F02"/>
    <w:rsid w:val="00721FBC"/>
    <w:rsid w:val="0072200D"/>
    <w:rsid w:val="0072211F"/>
    <w:rsid w:val="0072223E"/>
    <w:rsid w:val="007222B4"/>
    <w:rsid w:val="00722366"/>
    <w:rsid w:val="0072238D"/>
    <w:rsid w:val="0072245A"/>
    <w:rsid w:val="007224AE"/>
    <w:rsid w:val="00722525"/>
    <w:rsid w:val="007226EE"/>
    <w:rsid w:val="00722770"/>
    <w:rsid w:val="007227B3"/>
    <w:rsid w:val="007228B0"/>
    <w:rsid w:val="007228FE"/>
    <w:rsid w:val="00722B30"/>
    <w:rsid w:val="00722DEB"/>
    <w:rsid w:val="00722E66"/>
    <w:rsid w:val="00722E94"/>
    <w:rsid w:val="00722FAE"/>
    <w:rsid w:val="007230E8"/>
    <w:rsid w:val="00723228"/>
    <w:rsid w:val="00723469"/>
    <w:rsid w:val="00723543"/>
    <w:rsid w:val="0072359B"/>
    <w:rsid w:val="0072365F"/>
    <w:rsid w:val="0072387C"/>
    <w:rsid w:val="00723992"/>
    <w:rsid w:val="00723AEF"/>
    <w:rsid w:val="00723BE6"/>
    <w:rsid w:val="00723C80"/>
    <w:rsid w:val="00723C9D"/>
    <w:rsid w:val="00723CD1"/>
    <w:rsid w:val="00723FEE"/>
    <w:rsid w:val="00724066"/>
    <w:rsid w:val="0072438A"/>
    <w:rsid w:val="00724530"/>
    <w:rsid w:val="007246C5"/>
    <w:rsid w:val="007246E2"/>
    <w:rsid w:val="0072478F"/>
    <w:rsid w:val="007249A3"/>
    <w:rsid w:val="00724A15"/>
    <w:rsid w:val="00724A5A"/>
    <w:rsid w:val="00724BA7"/>
    <w:rsid w:val="00724D6D"/>
    <w:rsid w:val="00724E73"/>
    <w:rsid w:val="007250F5"/>
    <w:rsid w:val="0072529F"/>
    <w:rsid w:val="00725478"/>
    <w:rsid w:val="00725564"/>
    <w:rsid w:val="00725570"/>
    <w:rsid w:val="0072557C"/>
    <w:rsid w:val="00725676"/>
    <w:rsid w:val="0072571A"/>
    <w:rsid w:val="007258D0"/>
    <w:rsid w:val="007258D7"/>
    <w:rsid w:val="007259AF"/>
    <w:rsid w:val="007259EF"/>
    <w:rsid w:val="00725A55"/>
    <w:rsid w:val="00725A72"/>
    <w:rsid w:val="00725A93"/>
    <w:rsid w:val="00725B8F"/>
    <w:rsid w:val="00725E08"/>
    <w:rsid w:val="00725E69"/>
    <w:rsid w:val="00725ED4"/>
    <w:rsid w:val="00725F1A"/>
    <w:rsid w:val="00725FF9"/>
    <w:rsid w:val="00726072"/>
    <w:rsid w:val="007263D4"/>
    <w:rsid w:val="007263EC"/>
    <w:rsid w:val="0072647A"/>
    <w:rsid w:val="007264A3"/>
    <w:rsid w:val="007264B8"/>
    <w:rsid w:val="00726699"/>
    <w:rsid w:val="00726768"/>
    <w:rsid w:val="007267BF"/>
    <w:rsid w:val="00726815"/>
    <w:rsid w:val="00726825"/>
    <w:rsid w:val="007268DB"/>
    <w:rsid w:val="00726AC4"/>
    <w:rsid w:val="00726DDF"/>
    <w:rsid w:val="00726EE2"/>
    <w:rsid w:val="00726EED"/>
    <w:rsid w:val="0072703D"/>
    <w:rsid w:val="00727060"/>
    <w:rsid w:val="007270C1"/>
    <w:rsid w:val="0072733B"/>
    <w:rsid w:val="0072745D"/>
    <w:rsid w:val="0072762C"/>
    <w:rsid w:val="00727677"/>
    <w:rsid w:val="00727682"/>
    <w:rsid w:val="00727AB7"/>
    <w:rsid w:val="00727CF5"/>
    <w:rsid w:val="00727E50"/>
    <w:rsid w:val="00727EF9"/>
    <w:rsid w:val="00727F04"/>
    <w:rsid w:val="00727F78"/>
    <w:rsid w:val="00730090"/>
    <w:rsid w:val="007300A0"/>
    <w:rsid w:val="007301A6"/>
    <w:rsid w:val="007302C0"/>
    <w:rsid w:val="007306A3"/>
    <w:rsid w:val="0073088A"/>
    <w:rsid w:val="00730890"/>
    <w:rsid w:val="007308A2"/>
    <w:rsid w:val="00730961"/>
    <w:rsid w:val="007309E3"/>
    <w:rsid w:val="00730A51"/>
    <w:rsid w:val="00730A64"/>
    <w:rsid w:val="00730A75"/>
    <w:rsid w:val="00730ACA"/>
    <w:rsid w:val="00730B87"/>
    <w:rsid w:val="00730CBF"/>
    <w:rsid w:val="00730FB9"/>
    <w:rsid w:val="0073104C"/>
    <w:rsid w:val="00731123"/>
    <w:rsid w:val="0073118C"/>
    <w:rsid w:val="0073134A"/>
    <w:rsid w:val="00731446"/>
    <w:rsid w:val="00731464"/>
    <w:rsid w:val="00731485"/>
    <w:rsid w:val="0073148E"/>
    <w:rsid w:val="00731659"/>
    <w:rsid w:val="007316EE"/>
    <w:rsid w:val="00731C83"/>
    <w:rsid w:val="00731CDE"/>
    <w:rsid w:val="00731DBD"/>
    <w:rsid w:val="0073200F"/>
    <w:rsid w:val="00732284"/>
    <w:rsid w:val="00732289"/>
    <w:rsid w:val="00732327"/>
    <w:rsid w:val="00732333"/>
    <w:rsid w:val="007323BE"/>
    <w:rsid w:val="0073244C"/>
    <w:rsid w:val="00732460"/>
    <w:rsid w:val="007324CD"/>
    <w:rsid w:val="007326CD"/>
    <w:rsid w:val="00732887"/>
    <w:rsid w:val="007329D0"/>
    <w:rsid w:val="00732A9C"/>
    <w:rsid w:val="00732DC4"/>
    <w:rsid w:val="00732E70"/>
    <w:rsid w:val="00732EDE"/>
    <w:rsid w:val="00732FBD"/>
    <w:rsid w:val="00733060"/>
    <w:rsid w:val="007330A1"/>
    <w:rsid w:val="007330F0"/>
    <w:rsid w:val="007330F4"/>
    <w:rsid w:val="0073318D"/>
    <w:rsid w:val="007332EF"/>
    <w:rsid w:val="007332F0"/>
    <w:rsid w:val="0073336F"/>
    <w:rsid w:val="00733534"/>
    <w:rsid w:val="00733620"/>
    <w:rsid w:val="007336A0"/>
    <w:rsid w:val="0073382C"/>
    <w:rsid w:val="00733965"/>
    <w:rsid w:val="007339CE"/>
    <w:rsid w:val="007339E8"/>
    <w:rsid w:val="007339EF"/>
    <w:rsid w:val="00733A48"/>
    <w:rsid w:val="00733AE6"/>
    <w:rsid w:val="00733D89"/>
    <w:rsid w:val="00733E0D"/>
    <w:rsid w:val="00733E5D"/>
    <w:rsid w:val="00733FFE"/>
    <w:rsid w:val="00734036"/>
    <w:rsid w:val="00734084"/>
    <w:rsid w:val="00734100"/>
    <w:rsid w:val="00734154"/>
    <w:rsid w:val="0073422E"/>
    <w:rsid w:val="007342B3"/>
    <w:rsid w:val="007342E7"/>
    <w:rsid w:val="0073438F"/>
    <w:rsid w:val="00734539"/>
    <w:rsid w:val="00734549"/>
    <w:rsid w:val="007345E8"/>
    <w:rsid w:val="0073480D"/>
    <w:rsid w:val="00734A56"/>
    <w:rsid w:val="00734AF4"/>
    <w:rsid w:val="00734CD0"/>
    <w:rsid w:val="00734CF8"/>
    <w:rsid w:val="00734D5B"/>
    <w:rsid w:val="00734DCC"/>
    <w:rsid w:val="00734F9D"/>
    <w:rsid w:val="007351AD"/>
    <w:rsid w:val="007351CD"/>
    <w:rsid w:val="007351FA"/>
    <w:rsid w:val="0073529F"/>
    <w:rsid w:val="0073532D"/>
    <w:rsid w:val="00735358"/>
    <w:rsid w:val="00735384"/>
    <w:rsid w:val="007356A6"/>
    <w:rsid w:val="0073580C"/>
    <w:rsid w:val="00735967"/>
    <w:rsid w:val="00735979"/>
    <w:rsid w:val="0073598C"/>
    <w:rsid w:val="00735A47"/>
    <w:rsid w:val="00735A4E"/>
    <w:rsid w:val="00735A5D"/>
    <w:rsid w:val="00735B4C"/>
    <w:rsid w:val="00735C7E"/>
    <w:rsid w:val="00735D09"/>
    <w:rsid w:val="00735DF4"/>
    <w:rsid w:val="00735E7B"/>
    <w:rsid w:val="0073603D"/>
    <w:rsid w:val="0073604B"/>
    <w:rsid w:val="007360DF"/>
    <w:rsid w:val="00736164"/>
    <w:rsid w:val="00736405"/>
    <w:rsid w:val="007364B6"/>
    <w:rsid w:val="00736518"/>
    <w:rsid w:val="007365C2"/>
    <w:rsid w:val="00736670"/>
    <w:rsid w:val="007367EC"/>
    <w:rsid w:val="0073680F"/>
    <w:rsid w:val="007368A9"/>
    <w:rsid w:val="00736901"/>
    <w:rsid w:val="00736BBD"/>
    <w:rsid w:val="00736BFF"/>
    <w:rsid w:val="00736C25"/>
    <w:rsid w:val="00736CE3"/>
    <w:rsid w:val="00736F01"/>
    <w:rsid w:val="00736F4D"/>
    <w:rsid w:val="00737000"/>
    <w:rsid w:val="0073711C"/>
    <w:rsid w:val="007372C8"/>
    <w:rsid w:val="007372D8"/>
    <w:rsid w:val="00737443"/>
    <w:rsid w:val="007375AC"/>
    <w:rsid w:val="0073771C"/>
    <w:rsid w:val="0073778B"/>
    <w:rsid w:val="0073788E"/>
    <w:rsid w:val="0073797C"/>
    <w:rsid w:val="00737A58"/>
    <w:rsid w:val="00737A8F"/>
    <w:rsid w:val="00737B3C"/>
    <w:rsid w:val="00737B6B"/>
    <w:rsid w:val="00737CD5"/>
    <w:rsid w:val="00737D44"/>
    <w:rsid w:val="00737F8B"/>
    <w:rsid w:val="00737F95"/>
    <w:rsid w:val="00740225"/>
    <w:rsid w:val="007403D6"/>
    <w:rsid w:val="007403DF"/>
    <w:rsid w:val="00740627"/>
    <w:rsid w:val="00740698"/>
    <w:rsid w:val="0074093B"/>
    <w:rsid w:val="00740AFF"/>
    <w:rsid w:val="00740DC7"/>
    <w:rsid w:val="00740FEA"/>
    <w:rsid w:val="00741066"/>
    <w:rsid w:val="0074116F"/>
    <w:rsid w:val="00741293"/>
    <w:rsid w:val="00741565"/>
    <w:rsid w:val="00741659"/>
    <w:rsid w:val="0074166A"/>
    <w:rsid w:val="0074166F"/>
    <w:rsid w:val="00741694"/>
    <w:rsid w:val="00741772"/>
    <w:rsid w:val="00741A60"/>
    <w:rsid w:val="00741AC0"/>
    <w:rsid w:val="00741B0F"/>
    <w:rsid w:val="00741B17"/>
    <w:rsid w:val="00741B9F"/>
    <w:rsid w:val="00741D6C"/>
    <w:rsid w:val="00742038"/>
    <w:rsid w:val="0074214E"/>
    <w:rsid w:val="00742519"/>
    <w:rsid w:val="00742681"/>
    <w:rsid w:val="007426B0"/>
    <w:rsid w:val="00742744"/>
    <w:rsid w:val="0074277C"/>
    <w:rsid w:val="00742A6F"/>
    <w:rsid w:val="00742AC3"/>
    <w:rsid w:val="00742C01"/>
    <w:rsid w:val="00742DE1"/>
    <w:rsid w:val="00742DF3"/>
    <w:rsid w:val="00742FA8"/>
    <w:rsid w:val="00742FC6"/>
    <w:rsid w:val="0074309D"/>
    <w:rsid w:val="0074319B"/>
    <w:rsid w:val="007434BB"/>
    <w:rsid w:val="00743586"/>
    <w:rsid w:val="007435C2"/>
    <w:rsid w:val="007435CB"/>
    <w:rsid w:val="00743828"/>
    <w:rsid w:val="00743844"/>
    <w:rsid w:val="00743999"/>
    <w:rsid w:val="00743AA8"/>
    <w:rsid w:val="00743AC8"/>
    <w:rsid w:val="00743B4D"/>
    <w:rsid w:val="00743C28"/>
    <w:rsid w:val="00743C96"/>
    <w:rsid w:val="00743D70"/>
    <w:rsid w:val="00744000"/>
    <w:rsid w:val="007441B9"/>
    <w:rsid w:val="00744244"/>
    <w:rsid w:val="00744375"/>
    <w:rsid w:val="0074459E"/>
    <w:rsid w:val="0074469F"/>
    <w:rsid w:val="00744756"/>
    <w:rsid w:val="00744B15"/>
    <w:rsid w:val="00744B36"/>
    <w:rsid w:val="00744BD7"/>
    <w:rsid w:val="00744C61"/>
    <w:rsid w:val="00744DF5"/>
    <w:rsid w:val="00744E16"/>
    <w:rsid w:val="00744FC1"/>
    <w:rsid w:val="00744FDB"/>
    <w:rsid w:val="00745176"/>
    <w:rsid w:val="007452F7"/>
    <w:rsid w:val="007453A5"/>
    <w:rsid w:val="0074545B"/>
    <w:rsid w:val="00745675"/>
    <w:rsid w:val="00745686"/>
    <w:rsid w:val="007456BF"/>
    <w:rsid w:val="00745868"/>
    <w:rsid w:val="00745887"/>
    <w:rsid w:val="00745A2D"/>
    <w:rsid w:val="00745AF2"/>
    <w:rsid w:val="00745B0C"/>
    <w:rsid w:val="00745B88"/>
    <w:rsid w:val="00745E7E"/>
    <w:rsid w:val="00745F00"/>
    <w:rsid w:val="0074622D"/>
    <w:rsid w:val="007463AC"/>
    <w:rsid w:val="00746484"/>
    <w:rsid w:val="0074654E"/>
    <w:rsid w:val="0074674E"/>
    <w:rsid w:val="00746A55"/>
    <w:rsid w:val="00746B7B"/>
    <w:rsid w:val="00746BAC"/>
    <w:rsid w:val="00746C86"/>
    <w:rsid w:val="00746CCA"/>
    <w:rsid w:val="0074703D"/>
    <w:rsid w:val="007470CA"/>
    <w:rsid w:val="00747127"/>
    <w:rsid w:val="00747427"/>
    <w:rsid w:val="007474B5"/>
    <w:rsid w:val="007475DF"/>
    <w:rsid w:val="007475ED"/>
    <w:rsid w:val="00747603"/>
    <w:rsid w:val="00747614"/>
    <w:rsid w:val="007476CD"/>
    <w:rsid w:val="007476F9"/>
    <w:rsid w:val="0074789E"/>
    <w:rsid w:val="00747B53"/>
    <w:rsid w:val="00747D98"/>
    <w:rsid w:val="00747E93"/>
    <w:rsid w:val="00750042"/>
    <w:rsid w:val="007500D5"/>
    <w:rsid w:val="00750234"/>
    <w:rsid w:val="00750318"/>
    <w:rsid w:val="00750385"/>
    <w:rsid w:val="00750480"/>
    <w:rsid w:val="00750595"/>
    <w:rsid w:val="0075072E"/>
    <w:rsid w:val="00750751"/>
    <w:rsid w:val="00750765"/>
    <w:rsid w:val="007507D7"/>
    <w:rsid w:val="00750974"/>
    <w:rsid w:val="00750C8E"/>
    <w:rsid w:val="00750D54"/>
    <w:rsid w:val="00750EAC"/>
    <w:rsid w:val="00750F35"/>
    <w:rsid w:val="00751132"/>
    <w:rsid w:val="007511C5"/>
    <w:rsid w:val="00751385"/>
    <w:rsid w:val="0075138B"/>
    <w:rsid w:val="007515CC"/>
    <w:rsid w:val="00751710"/>
    <w:rsid w:val="0075180D"/>
    <w:rsid w:val="00751852"/>
    <w:rsid w:val="007519FA"/>
    <w:rsid w:val="00751BCA"/>
    <w:rsid w:val="00751BE4"/>
    <w:rsid w:val="00751C89"/>
    <w:rsid w:val="00751C96"/>
    <w:rsid w:val="00751D56"/>
    <w:rsid w:val="00751F95"/>
    <w:rsid w:val="0075207D"/>
    <w:rsid w:val="007521A1"/>
    <w:rsid w:val="0075223A"/>
    <w:rsid w:val="0075235E"/>
    <w:rsid w:val="00752525"/>
    <w:rsid w:val="007525EB"/>
    <w:rsid w:val="007525F4"/>
    <w:rsid w:val="007526CA"/>
    <w:rsid w:val="0075279F"/>
    <w:rsid w:val="007527DF"/>
    <w:rsid w:val="007528AF"/>
    <w:rsid w:val="00752A61"/>
    <w:rsid w:val="00752A86"/>
    <w:rsid w:val="00752B71"/>
    <w:rsid w:val="00752BBA"/>
    <w:rsid w:val="00752C18"/>
    <w:rsid w:val="00752CD5"/>
    <w:rsid w:val="00752E3F"/>
    <w:rsid w:val="00752F41"/>
    <w:rsid w:val="00752FC4"/>
    <w:rsid w:val="00753101"/>
    <w:rsid w:val="0075312A"/>
    <w:rsid w:val="00753257"/>
    <w:rsid w:val="007533B0"/>
    <w:rsid w:val="0075357F"/>
    <w:rsid w:val="007535BE"/>
    <w:rsid w:val="0075360B"/>
    <w:rsid w:val="0075361F"/>
    <w:rsid w:val="00753791"/>
    <w:rsid w:val="007537D5"/>
    <w:rsid w:val="00753A7C"/>
    <w:rsid w:val="00753B4B"/>
    <w:rsid w:val="00753BF4"/>
    <w:rsid w:val="00753E09"/>
    <w:rsid w:val="00753E37"/>
    <w:rsid w:val="00753E5C"/>
    <w:rsid w:val="00753EC7"/>
    <w:rsid w:val="00753F01"/>
    <w:rsid w:val="00753F08"/>
    <w:rsid w:val="00753F09"/>
    <w:rsid w:val="0075407D"/>
    <w:rsid w:val="00754153"/>
    <w:rsid w:val="007542D0"/>
    <w:rsid w:val="007544F1"/>
    <w:rsid w:val="00754514"/>
    <w:rsid w:val="0075459C"/>
    <w:rsid w:val="00754618"/>
    <w:rsid w:val="007547C1"/>
    <w:rsid w:val="00754987"/>
    <w:rsid w:val="007549B7"/>
    <w:rsid w:val="00754D2F"/>
    <w:rsid w:val="00754E2E"/>
    <w:rsid w:val="00754EAF"/>
    <w:rsid w:val="00754F14"/>
    <w:rsid w:val="00754F3C"/>
    <w:rsid w:val="00754F4B"/>
    <w:rsid w:val="00754F97"/>
    <w:rsid w:val="00755010"/>
    <w:rsid w:val="007552D1"/>
    <w:rsid w:val="007553A3"/>
    <w:rsid w:val="007554A4"/>
    <w:rsid w:val="00755578"/>
    <w:rsid w:val="007555B6"/>
    <w:rsid w:val="007555BE"/>
    <w:rsid w:val="00755810"/>
    <w:rsid w:val="00755839"/>
    <w:rsid w:val="00755AC3"/>
    <w:rsid w:val="00755CB7"/>
    <w:rsid w:val="00755E70"/>
    <w:rsid w:val="00756027"/>
    <w:rsid w:val="007560D2"/>
    <w:rsid w:val="007560EC"/>
    <w:rsid w:val="007561A6"/>
    <w:rsid w:val="00756366"/>
    <w:rsid w:val="007563DA"/>
    <w:rsid w:val="0075647B"/>
    <w:rsid w:val="00756692"/>
    <w:rsid w:val="007566BC"/>
    <w:rsid w:val="00756748"/>
    <w:rsid w:val="007567DB"/>
    <w:rsid w:val="007569A6"/>
    <w:rsid w:val="00756A11"/>
    <w:rsid w:val="00756A89"/>
    <w:rsid w:val="00756AFF"/>
    <w:rsid w:val="00756B11"/>
    <w:rsid w:val="00756B64"/>
    <w:rsid w:val="00756DB9"/>
    <w:rsid w:val="00756ECC"/>
    <w:rsid w:val="00756EDC"/>
    <w:rsid w:val="00756F48"/>
    <w:rsid w:val="00757070"/>
    <w:rsid w:val="00757674"/>
    <w:rsid w:val="007576E8"/>
    <w:rsid w:val="0075779F"/>
    <w:rsid w:val="007577B7"/>
    <w:rsid w:val="0075786D"/>
    <w:rsid w:val="00757949"/>
    <w:rsid w:val="007579A7"/>
    <w:rsid w:val="00757AB4"/>
    <w:rsid w:val="00757AD3"/>
    <w:rsid w:val="00757BC4"/>
    <w:rsid w:val="00757E4B"/>
    <w:rsid w:val="00757EA1"/>
    <w:rsid w:val="00757EC7"/>
    <w:rsid w:val="00757F2B"/>
    <w:rsid w:val="00757FA4"/>
    <w:rsid w:val="0076017B"/>
    <w:rsid w:val="00760288"/>
    <w:rsid w:val="007603B3"/>
    <w:rsid w:val="007606C7"/>
    <w:rsid w:val="007607B8"/>
    <w:rsid w:val="00760959"/>
    <w:rsid w:val="007609AF"/>
    <w:rsid w:val="00760AC8"/>
    <w:rsid w:val="00760B41"/>
    <w:rsid w:val="00760C8A"/>
    <w:rsid w:val="00760D08"/>
    <w:rsid w:val="00760D1C"/>
    <w:rsid w:val="00760D92"/>
    <w:rsid w:val="00760DE3"/>
    <w:rsid w:val="00760F17"/>
    <w:rsid w:val="00760F3E"/>
    <w:rsid w:val="00760FAC"/>
    <w:rsid w:val="00761010"/>
    <w:rsid w:val="0076119D"/>
    <w:rsid w:val="00761219"/>
    <w:rsid w:val="007612AE"/>
    <w:rsid w:val="00761343"/>
    <w:rsid w:val="0076145A"/>
    <w:rsid w:val="00761771"/>
    <w:rsid w:val="00761884"/>
    <w:rsid w:val="007618BC"/>
    <w:rsid w:val="007619A3"/>
    <w:rsid w:val="007619AE"/>
    <w:rsid w:val="00761A8D"/>
    <w:rsid w:val="00761C7C"/>
    <w:rsid w:val="00761CCB"/>
    <w:rsid w:val="00761D48"/>
    <w:rsid w:val="00761DF3"/>
    <w:rsid w:val="00761EAC"/>
    <w:rsid w:val="00761EC3"/>
    <w:rsid w:val="00761EC8"/>
    <w:rsid w:val="007620E3"/>
    <w:rsid w:val="00762135"/>
    <w:rsid w:val="00762394"/>
    <w:rsid w:val="00762408"/>
    <w:rsid w:val="0076243F"/>
    <w:rsid w:val="0076245A"/>
    <w:rsid w:val="00762477"/>
    <w:rsid w:val="007624A2"/>
    <w:rsid w:val="007625F3"/>
    <w:rsid w:val="0076263B"/>
    <w:rsid w:val="00762664"/>
    <w:rsid w:val="00762715"/>
    <w:rsid w:val="00762AE5"/>
    <w:rsid w:val="00762B8E"/>
    <w:rsid w:val="00762B8F"/>
    <w:rsid w:val="00762C91"/>
    <w:rsid w:val="00762CA9"/>
    <w:rsid w:val="00762D20"/>
    <w:rsid w:val="00762F7E"/>
    <w:rsid w:val="00762FDE"/>
    <w:rsid w:val="007631B2"/>
    <w:rsid w:val="007632C3"/>
    <w:rsid w:val="0076332F"/>
    <w:rsid w:val="007635A5"/>
    <w:rsid w:val="007635E5"/>
    <w:rsid w:val="0076374E"/>
    <w:rsid w:val="0076381E"/>
    <w:rsid w:val="0076383D"/>
    <w:rsid w:val="00763869"/>
    <w:rsid w:val="0076390D"/>
    <w:rsid w:val="00763931"/>
    <w:rsid w:val="00763B58"/>
    <w:rsid w:val="00763D59"/>
    <w:rsid w:val="00763D92"/>
    <w:rsid w:val="00763EC0"/>
    <w:rsid w:val="00763EE5"/>
    <w:rsid w:val="00763FAB"/>
    <w:rsid w:val="00763FF0"/>
    <w:rsid w:val="00764166"/>
    <w:rsid w:val="00764170"/>
    <w:rsid w:val="007641A8"/>
    <w:rsid w:val="0076436E"/>
    <w:rsid w:val="007643E9"/>
    <w:rsid w:val="0076442B"/>
    <w:rsid w:val="0076442E"/>
    <w:rsid w:val="00764445"/>
    <w:rsid w:val="00764579"/>
    <w:rsid w:val="00764612"/>
    <w:rsid w:val="0076462B"/>
    <w:rsid w:val="00764632"/>
    <w:rsid w:val="0076470C"/>
    <w:rsid w:val="007647CF"/>
    <w:rsid w:val="007648FC"/>
    <w:rsid w:val="00764920"/>
    <w:rsid w:val="00764926"/>
    <w:rsid w:val="00764AE2"/>
    <w:rsid w:val="00764B13"/>
    <w:rsid w:val="00764BCF"/>
    <w:rsid w:val="00764BF2"/>
    <w:rsid w:val="00764C05"/>
    <w:rsid w:val="00764C35"/>
    <w:rsid w:val="00764C5E"/>
    <w:rsid w:val="00764C88"/>
    <w:rsid w:val="00764CA2"/>
    <w:rsid w:val="00764CBC"/>
    <w:rsid w:val="00764D58"/>
    <w:rsid w:val="00764D71"/>
    <w:rsid w:val="00764DB7"/>
    <w:rsid w:val="00764E16"/>
    <w:rsid w:val="0076508A"/>
    <w:rsid w:val="0076511A"/>
    <w:rsid w:val="00765161"/>
    <w:rsid w:val="0076517F"/>
    <w:rsid w:val="007652B0"/>
    <w:rsid w:val="007655FF"/>
    <w:rsid w:val="007658BA"/>
    <w:rsid w:val="0076593C"/>
    <w:rsid w:val="00765A0A"/>
    <w:rsid w:val="00765AAA"/>
    <w:rsid w:val="00765B54"/>
    <w:rsid w:val="00765B60"/>
    <w:rsid w:val="00765BA8"/>
    <w:rsid w:val="00765C12"/>
    <w:rsid w:val="00765C66"/>
    <w:rsid w:val="00765D0C"/>
    <w:rsid w:val="00765D83"/>
    <w:rsid w:val="00765F8D"/>
    <w:rsid w:val="00766027"/>
    <w:rsid w:val="007660FD"/>
    <w:rsid w:val="00766132"/>
    <w:rsid w:val="0076617F"/>
    <w:rsid w:val="0076618A"/>
    <w:rsid w:val="0076627B"/>
    <w:rsid w:val="007663DB"/>
    <w:rsid w:val="00766408"/>
    <w:rsid w:val="00766425"/>
    <w:rsid w:val="0076649E"/>
    <w:rsid w:val="0076649F"/>
    <w:rsid w:val="007664D3"/>
    <w:rsid w:val="007664E8"/>
    <w:rsid w:val="007664FF"/>
    <w:rsid w:val="007665DC"/>
    <w:rsid w:val="00766758"/>
    <w:rsid w:val="007667B2"/>
    <w:rsid w:val="0076691A"/>
    <w:rsid w:val="00766940"/>
    <w:rsid w:val="00766A3F"/>
    <w:rsid w:val="00766A5A"/>
    <w:rsid w:val="00766D42"/>
    <w:rsid w:val="00766E27"/>
    <w:rsid w:val="00766F56"/>
    <w:rsid w:val="00766F58"/>
    <w:rsid w:val="007670F7"/>
    <w:rsid w:val="007671D1"/>
    <w:rsid w:val="007672B3"/>
    <w:rsid w:val="007672DA"/>
    <w:rsid w:val="00767303"/>
    <w:rsid w:val="00767396"/>
    <w:rsid w:val="0076743A"/>
    <w:rsid w:val="00767497"/>
    <w:rsid w:val="007674C5"/>
    <w:rsid w:val="0076755F"/>
    <w:rsid w:val="0076782E"/>
    <w:rsid w:val="00767992"/>
    <w:rsid w:val="007679C7"/>
    <w:rsid w:val="007679C9"/>
    <w:rsid w:val="00767A0D"/>
    <w:rsid w:val="00767D68"/>
    <w:rsid w:val="00767D97"/>
    <w:rsid w:val="00767E8B"/>
    <w:rsid w:val="00767F06"/>
    <w:rsid w:val="00770068"/>
    <w:rsid w:val="00770128"/>
    <w:rsid w:val="00770215"/>
    <w:rsid w:val="007703A0"/>
    <w:rsid w:val="007705A1"/>
    <w:rsid w:val="0077068E"/>
    <w:rsid w:val="00770777"/>
    <w:rsid w:val="0077079E"/>
    <w:rsid w:val="00770A5B"/>
    <w:rsid w:val="00770C17"/>
    <w:rsid w:val="00770CB3"/>
    <w:rsid w:val="00770E21"/>
    <w:rsid w:val="0077112D"/>
    <w:rsid w:val="007711CB"/>
    <w:rsid w:val="00771402"/>
    <w:rsid w:val="0077143E"/>
    <w:rsid w:val="0077151A"/>
    <w:rsid w:val="00771531"/>
    <w:rsid w:val="007715D6"/>
    <w:rsid w:val="0077167E"/>
    <w:rsid w:val="00771847"/>
    <w:rsid w:val="00771A33"/>
    <w:rsid w:val="00771B96"/>
    <w:rsid w:val="00771BE8"/>
    <w:rsid w:val="00771C14"/>
    <w:rsid w:val="00771D59"/>
    <w:rsid w:val="00771D80"/>
    <w:rsid w:val="00771DF5"/>
    <w:rsid w:val="00771E9E"/>
    <w:rsid w:val="00771EC9"/>
    <w:rsid w:val="00771F49"/>
    <w:rsid w:val="007720D8"/>
    <w:rsid w:val="007721DB"/>
    <w:rsid w:val="00772227"/>
    <w:rsid w:val="0077226F"/>
    <w:rsid w:val="0077236B"/>
    <w:rsid w:val="00772423"/>
    <w:rsid w:val="007724AE"/>
    <w:rsid w:val="0077258A"/>
    <w:rsid w:val="0077297C"/>
    <w:rsid w:val="00772A98"/>
    <w:rsid w:val="00772BF0"/>
    <w:rsid w:val="007731B1"/>
    <w:rsid w:val="00773331"/>
    <w:rsid w:val="007733AF"/>
    <w:rsid w:val="0077341D"/>
    <w:rsid w:val="00773422"/>
    <w:rsid w:val="007734F0"/>
    <w:rsid w:val="00773740"/>
    <w:rsid w:val="0077391C"/>
    <w:rsid w:val="00773925"/>
    <w:rsid w:val="007739F9"/>
    <w:rsid w:val="00773B99"/>
    <w:rsid w:val="00773BA9"/>
    <w:rsid w:val="00773BD0"/>
    <w:rsid w:val="00773BDC"/>
    <w:rsid w:val="00773D1E"/>
    <w:rsid w:val="00773D4D"/>
    <w:rsid w:val="00773EED"/>
    <w:rsid w:val="00773F10"/>
    <w:rsid w:val="00773F16"/>
    <w:rsid w:val="0077411C"/>
    <w:rsid w:val="00774170"/>
    <w:rsid w:val="00774241"/>
    <w:rsid w:val="00774250"/>
    <w:rsid w:val="0077425F"/>
    <w:rsid w:val="00774319"/>
    <w:rsid w:val="0077438B"/>
    <w:rsid w:val="0077439F"/>
    <w:rsid w:val="00774447"/>
    <w:rsid w:val="00774467"/>
    <w:rsid w:val="00774572"/>
    <w:rsid w:val="00774654"/>
    <w:rsid w:val="0077481F"/>
    <w:rsid w:val="0077487A"/>
    <w:rsid w:val="007748FC"/>
    <w:rsid w:val="00774977"/>
    <w:rsid w:val="007749C5"/>
    <w:rsid w:val="00774AA2"/>
    <w:rsid w:val="00774B59"/>
    <w:rsid w:val="00774C31"/>
    <w:rsid w:val="00774C3C"/>
    <w:rsid w:val="00774C77"/>
    <w:rsid w:val="00774D79"/>
    <w:rsid w:val="00774F54"/>
    <w:rsid w:val="0077500F"/>
    <w:rsid w:val="00775157"/>
    <w:rsid w:val="00775182"/>
    <w:rsid w:val="0077519A"/>
    <w:rsid w:val="007752D4"/>
    <w:rsid w:val="00775342"/>
    <w:rsid w:val="00775344"/>
    <w:rsid w:val="007753EF"/>
    <w:rsid w:val="00775484"/>
    <w:rsid w:val="007754E0"/>
    <w:rsid w:val="00775569"/>
    <w:rsid w:val="007755B1"/>
    <w:rsid w:val="007755D9"/>
    <w:rsid w:val="00775672"/>
    <w:rsid w:val="00775684"/>
    <w:rsid w:val="007756D0"/>
    <w:rsid w:val="00775868"/>
    <w:rsid w:val="007759E6"/>
    <w:rsid w:val="00775BD9"/>
    <w:rsid w:val="00775CB5"/>
    <w:rsid w:val="00775D8D"/>
    <w:rsid w:val="00775DDF"/>
    <w:rsid w:val="00775E4D"/>
    <w:rsid w:val="00775ECA"/>
    <w:rsid w:val="00775EDE"/>
    <w:rsid w:val="0077659F"/>
    <w:rsid w:val="007765F8"/>
    <w:rsid w:val="00776740"/>
    <w:rsid w:val="007767B7"/>
    <w:rsid w:val="007767E5"/>
    <w:rsid w:val="00776886"/>
    <w:rsid w:val="00776999"/>
    <w:rsid w:val="007769BA"/>
    <w:rsid w:val="00776A2D"/>
    <w:rsid w:val="00776B2F"/>
    <w:rsid w:val="00776BC8"/>
    <w:rsid w:val="00776D40"/>
    <w:rsid w:val="00776E3A"/>
    <w:rsid w:val="0077722E"/>
    <w:rsid w:val="007772BA"/>
    <w:rsid w:val="0077740F"/>
    <w:rsid w:val="007774B8"/>
    <w:rsid w:val="00777573"/>
    <w:rsid w:val="0077760E"/>
    <w:rsid w:val="00777660"/>
    <w:rsid w:val="00777720"/>
    <w:rsid w:val="007778EA"/>
    <w:rsid w:val="0077794B"/>
    <w:rsid w:val="00777973"/>
    <w:rsid w:val="007779A6"/>
    <w:rsid w:val="007779B6"/>
    <w:rsid w:val="00777A3A"/>
    <w:rsid w:val="00777A3B"/>
    <w:rsid w:val="00777AD9"/>
    <w:rsid w:val="00777AED"/>
    <w:rsid w:val="00777CB6"/>
    <w:rsid w:val="00777D6C"/>
    <w:rsid w:val="00777E73"/>
    <w:rsid w:val="00777F3E"/>
    <w:rsid w:val="00777F5A"/>
    <w:rsid w:val="007800DA"/>
    <w:rsid w:val="007800E2"/>
    <w:rsid w:val="007801BA"/>
    <w:rsid w:val="007802B0"/>
    <w:rsid w:val="007802BA"/>
    <w:rsid w:val="007802ED"/>
    <w:rsid w:val="00780352"/>
    <w:rsid w:val="007803E6"/>
    <w:rsid w:val="00780450"/>
    <w:rsid w:val="007808B2"/>
    <w:rsid w:val="0078096D"/>
    <w:rsid w:val="007809CD"/>
    <w:rsid w:val="00780A2E"/>
    <w:rsid w:val="00780B43"/>
    <w:rsid w:val="00780B4C"/>
    <w:rsid w:val="00780C12"/>
    <w:rsid w:val="00780D5E"/>
    <w:rsid w:val="00780D7C"/>
    <w:rsid w:val="00780DAC"/>
    <w:rsid w:val="00780E51"/>
    <w:rsid w:val="00780FBB"/>
    <w:rsid w:val="0078102B"/>
    <w:rsid w:val="00781209"/>
    <w:rsid w:val="00781384"/>
    <w:rsid w:val="00781507"/>
    <w:rsid w:val="00781794"/>
    <w:rsid w:val="0078186C"/>
    <w:rsid w:val="00781883"/>
    <w:rsid w:val="007818D7"/>
    <w:rsid w:val="007818DC"/>
    <w:rsid w:val="00781B19"/>
    <w:rsid w:val="00781B8E"/>
    <w:rsid w:val="00781BDB"/>
    <w:rsid w:val="00781CDC"/>
    <w:rsid w:val="00781E5A"/>
    <w:rsid w:val="007820CA"/>
    <w:rsid w:val="007820CC"/>
    <w:rsid w:val="00782125"/>
    <w:rsid w:val="00782231"/>
    <w:rsid w:val="0078251E"/>
    <w:rsid w:val="00782562"/>
    <w:rsid w:val="007826D0"/>
    <w:rsid w:val="007826EA"/>
    <w:rsid w:val="0078277A"/>
    <w:rsid w:val="0078281C"/>
    <w:rsid w:val="007828E4"/>
    <w:rsid w:val="00782961"/>
    <w:rsid w:val="007829BF"/>
    <w:rsid w:val="00782B86"/>
    <w:rsid w:val="00782C2D"/>
    <w:rsid w:val="00782D7C"/>
    <w:rsid w:val="00782DAA"/>
    <w:rsid w:val="00782E70"/>
    <w:rsid w:val="00782FD0"/>
    <w:rsid w:val="00783094"/>
    <w:rsid w:val="007830FA"/>
    <w:rsid w:val="00783138"/>
    <w:rsid w:val="00783225"/>
    <w:rsid w:val="007833C8"/>
    <w:rsid w:val="00783429"/>
    <w:rsid w:val="0078347A"/>
    <w:rsid w:val="00783629"/>
    <w:rsid w:val="007836FE"/>
    <w:rsid w:val="007837CC"/>
    <w:rsid w:val="007837ED"/>
    <w:rsid w:val="0078383D"/>
    <w:rsid w:val="00783885"/>
    <w:rsid w:val="007838F6"/>
    <w:rsid w:val="00783A5D"/>
    <w:rsid w:val="00783B05"/>
    <w:rsid w:val="00783BB0"/>
    <w:rsid w:val="00783C7B"/>
    <w:rsid w:val="00783C80"/>
    <w:rsid w:val="00783D89"/>
    <w:rsid w:val="00783DA3"/>
    <w:rsid w:val="00784054"/>
    <w:rsid w:val="007840F5"/>
    <w:rsid w:val="007841E6"/>
    <w:rsid w:val="00784214"/>
    <w:rsid w:val="00784264"/>
    <w:rsid w:val="0078477F"/>
    <w:rsid w:val="00784A02"/>
    <w:rsid w:val="00784A74"/>
    <w:rsid w:val="00784B38"/>
    <w:rsid w:val="00784BA2"/>
    <w:rsid w:val="00784C74"/>
    <w:rsid w:val="00784D27"/>
    <w:rsid w:val="00784E38"/>
    <w:rsid w:val="00784F4A"/>
    <w:rsid w:val="00785011"/>
    <w:rsid w:val="00785133"/>
    <w:rsid w:val="00785136"/>
    <w:rsid w:val="00785442"/>
    <w:rsid w:val="007854B2"/>
    <w:rsid w:val="00785646"/>
    <w:rsid w:val="00785672"/>
    <w:rsid w:val="007856D0"/>
    <w:rsid w:val="007856D8"/>
    <w:rsid w:val="007857A8"/>
    <w:rsid w:val="00785AFA"/>
    <w:rsid w:val="00785E93"/>
    <w:rsid w:val="00785FE0"/>
    <w:rsid w:val="007860A7"/>
    <w:rsid w:val="007861DA"/>
    <w:rsid w:val="00786473"/>
    <w:rsid w:val="007864EC"/>
    <w:rsid w:val="00786536"/>
    <w:rsid w:val="00786668"/>
    <w:rsid w:val="00786743"/>
    <w:rsid w:val="0078690B"/>
    <w:rsid w:val="00786914"/>
    <w:rsid w:val="00786B18"/>
    <w:rsid w:val="00786B3B"/>
    <w:rsid w:val="00786D2A"/>
    <w:rsid w:val="00786DB4"/>
    <w:rsid w:val="0078754A"/>
    <w:rsid w:val="00787653"/>
    <w:rsid w:val="00787706"/>
    <w:rsid w:val="0078776E"/>
    <w:rsid w:val="007877B4"/>
    <w:rsid w:val="007878C5"/>
    <w:rsid w:val="00787B89"/>
    <w:rsid w:val="00787D43"/>
    <w:rsid w:val="00787D7F"/>
    <w:rsid w:val="00787EE5"/>
    <w:rsid w:val="00790020"/>
    <w:rsid w:val="00790040"/>
    <w:rsid w:val="00790071"/>
    <w:rsid w:val="00790103"/>
    <w:rsid w:val="007902A5"/>
    <w:rsid w:val="00790387"/>
    <w:rsid w:val="00790449"/>
    <w:rsid w:val="0079047B"/>
    <w:rsid w:val="00790488"/>
    <w:rsid w:val="007904D0"/>
    <w:rsid w:val="007908B3"/>
    <w:rsid w:val="007909FE"/>
    <w:rsid w:val="00790A01"/>
    <w:rsid w:val="00790A45"/>
    <w:rsid w:val="00790ACE"/>
    <w:rsid w:val="00790B10"/>
    <w:rsid w:val="00790B41"/>
    <w:rsid w:val="00790BD5"/>
    <w:rsid w:val="00790C64"/>
    <w:rsid w:val="00790CCD"/>
    <w:rsid w:val="00790D0E"/>
    <w:rsid w:val="00790D3E"/>
    <w:rsid w:val="00790D5A"/>
    <w:rsid w:val="00790D63"/>
    <w:rsid w:val="00790F30"/>
    <w:rsid w:val="00790FB3"/>
    <w:rsid w:val="00791146"/>
    <w:rsid w:val="00791197"/>
    <w:rsid w:val="0079123E"/>
    <w:rsid w:val="007912C7"/>
    <w:rsid w:val="00791461"/>
    <w:rsid w:val="00791532"/>
    <w:rsid w:val="0079155B"/>
    <w:rsid w:val="007915FE"/>
    <w:rsid w:val="00791684"/>
    <w:rsid w:val="00791705"/>
    <w:rsid w:val="00791877"/>
    <w:rsid w:val="00791AA2"/>
    <w:rsid w:val="00791AD0"/>
    <w:rsid w:val="00791B46"/>
    <w:rsid w:val="00791BA1"/>
    <w:rsid w:val="00791BC2"/>
    <w:rsid w:val="00791C60"/>
    <w:rsid w:val="00791CB7"/>
    <w:rsid w:val="00791D20"/>
    <w:rsid w:val="00791ECD"/>
    <w:rsid w:val="00792181"/>
    <w:rsid w:val="00792220"/>
    <w:rsid w:val="007922B3"/>
    <w:rsid w:val="007923BE"/>
    <w:rsid w:val="0079243D"/>
    <w:rsid w:val="00792560"/>
    <w:rsid w:val="007925B3"/>
    <w:rsid w:val="007925F1"/>
    <w:rsid w:val="007927E1"/>
    <w:rsid w:val="00792A05"/>
    <w:rsid w:val="00792A48"/>
    <w:rsid w:val="00792A60"/>
    <w:rsid w:val="00792ACE"/>
    <w:rsid w:val="00792AFB"/>
    <w:rsid w:val="00792B7A"/>
    <w:rsid w:val="00792D84"/>
    <w:rsid w:val="00792E83"/>
    <w:rsid w:val="00792FD7"/>
    <w:rsid w:val="00793031"/>
    <w:rsid w:val="0079303F"/>
    <w:rsid w:val="00793128"/>
    <w:rsid w:val="00793166"/>
    <w:rsid w:val="00793203"/>
    <w:rsid w:val="0079320C"/>
    <w:rsid w:val="007932E7"/>
    <w:rsid w:val="007932EF"/>
    <w:rsid w:val="00793303"/>
    <w:rsid w:val="0079337A"/>
    <w:rsid w:val="007933AA"/>
    <w:rsid w:val="00793431"/>
    <w:rsid w:val="00793516"/>
    <w:rsid w:val="0079352F"/>
    <w:rsid w:val="007935A5"/>
    <w:rsid w:val="007935DB"/>
    <w:rsid w:val="007936C4"/>
    <w:rsid w:val="007937B9"/>
    <w:rsid w:val="0079394F"/>
    <w:rsid w:val="007939F6"/>
    <w:rsid w:val="00793A25"/>
    <w:rsid w:val="00793A52"/>
    <w:rsid w:val="00793B00"/>
    <w:rsid w:val="00793B02"/>
    <w:rsid w:val="00793BAA"/>
    <w:rsid w:val="00793CB0"/>
    <w:rsid w:val="00793E5C"/>
    <w:rsid w:val="00793EBE"/>
    <w:rsid w:val="00794040"/>
    <w:rsid w:val="00794076"/>
    <w:rsid w:val="007943DA"/>
    <w:rsid w:val="007945A7"/>
    <w:rsid w:val="00794612"/>
    <w:rsid w:val="00794679"/>
    <w:rsid w:val="00794909"/>
    <w:rsid w:val="0079499A"/>
    <w:rsid w:val="00794A7E"/>
    <w:rsid w:val="00794C2D"/>
    <w:rsid w:val="00794CD0"/>
    <w:rsid w:val="00794D3F"/>
    <w:rsid w:val="00794D94"/>
    <w:rsid w:val="00794DC2"/>
    <w:rsid w:val="00794F33"/>
    <w:rsid w:val="007950AA"/>
    <w:rsid w:val="00795122"/>
    <w:rsid w:val="00795357"/>
    <w:rsid w:val="007953FF"/>
    <w:rsid w:val="00795584"/>
    <w:rsid w:val="007955C2"/>
    <w:rsid w:val="007957F9"/>
    <w:rsid w:val="00795897"/>
    <w:rsid w:val="00795910"/>
    <w:rsid w:val="00795919"/>
    <w:rsid w:val="00795A39"/>
    <w:rsid w:val="00795A6A"/>
    <w:rsid w:val="00795AA9"/>
    <w:rsid w:val="00795B7D"/>
    <w:rsid w:val="00795F3D"/>
    <w:rsid w:val="00795FD3"/>
    <w:rsid w:val="007961D6"/>
    <w:rsid w:val="00796581"/>
    <w:rsid w:val="00796636"/>
    <w:rsid w:val="007966EE"/>
    <w:rsid w:val="0079682D"/>
    <w:rsid w:val="0079689C"/>
    <w:rsid w:val="007968A2"/>
    <w:rsid w:val="00796BCF"/>
    <w:rsid w:val="00796C04"/>
    <w:rsid w:val="00796C95"/>
    <w:rsid w:val="00796D21"/>
    <w:rsid w:val="00796D76"/>
    <w:rsid w:val="00796E91"/>
    <w:rsid w:val="00796EA8"/>
    <w:rsid w:val="00797132"/>
    <w:rsid w:val="00797229"/>
    <w:rsid w:val="007972FD"/>
    <w:rsid w:val="00797334"/>
    <w:rsid w:val="0079739E"/>
    <w:rsid w:val="00797465"/>
    <w:rsid w:val="007974E3"/>
    <w:rsid w:val="00797529"/>
    <w:rsid w:val="007976AB"/>
    <w:rsid w:val="00797736"/>
    <w:rsid w:val="0079792C"/>
    <w:rsid w:val="00797A70"/>
    <w:rsid w:val="00797AA4"/>
    <w:rsid w:val="00797BD9"/>
    <w:rsid w:val="00797C3E"/>
    <w:rsid w:val="00797C4F"/>
    <w:rsid w:val="00797E03"/>
    <w:rsid w:val="00797F8C"/>
    <w:rsid w:val="007A01AB"/>
    <w:rsid w:val="007A02B9"/>
    <w:rsid w:val="007A0492"/>
    <w:rsid w:val="007A049E"/>
    <w:rsid w:val="007A0505"/>
    <w:rsid w:val="007A056E"/>
    <w:rsid w:val="007A0692"/>
    <w:rsid w:val="007A08CB"/>
    <w:rsid w:val="007A091F"/>
    <w:rsid w:val="007A0995"/>
    <w:rsid w:val="007A09B1"/>
    <w:rsid w:val="007A09CF"/>
    <w:rsid w:val="007A0AF6"/>
    <w:rsid w:val="007A0B0A"/>
    <w:rsid w:val="007A0B13"/>
    <w:rsid w:val="007A0C64"/>
    <w:rsid w:val="007A0C85"/>
    <w:rsid w:val="007A0D46"/>
    <w:rsid w:val="007A0D8A"/>
    <w:rsid w:val="007A0DF6"/>
    <w:rsid w:val="007A0EC9"/>
    <w:rsid w:val="007A109F"/>
    <w:rsid w:val="007A11E3"/>
    <w:rsid w:val="007A1293"/>
    <w:rsid w:val="007A1932"/>
    <w:rsid w:val="007A1A80"/>
    <w:rsid w:val="007A1BC2"/>
    <w:rsid w:val="007A1C2E"/>
    <w:rsid w:val="007A1DF4"/>
    <w:rsid w:val="007A20AD"/>
    <w:rsid w:val="007A2223"/>
    <w:rsid w:val="007A2236"/>
    <w:rsid w:val="007A2275"/>
    <w:rsid w:val="007A22D5"/>
    <w:rsid w:val="007A23CD"/>
    <w:rsid w:val="007A2462"/>
    <w:rsid w:val="007A2557"/>
    <w:rsid w:val="007A2703"/>
    <w:rsid w:val="007A2712"/>
    <w:rsid w:val="007A274B"/>
    <w:rsid w:val="007A299F"/>
    <w:rsid w:val="007A2EB4"/>
    <w:rsid w:val="007A2F1A"/>
    <w:rsid w:val="007A2F2C"/>
    <w:rsid w:val="007A303D"/>
    <w:rsid w:val="007A305C"/>
    <w:rsid w:val="007A312A"/>
    <w:rsid w:val="007A335E"/>
    <w:rsid w:val="007A3564"/>
    <w:rsid w:val="007A384C"/>
    <w:rsid w:val="007A38EA"/>
    <w:rsid w:val="007A3935"/>
    <w:rsid w:val="007A3A25"/>
    <w:rsid w:val="007A3B1C"/>
    <w:rsid w:val="007A3BD9"/>
    <w:rsid w:val="007A3BDD"/>
    <w:rsid w:val="007A3C49"/>
    <w:rsid w:val="007A3CF7"/>
    <w:rsid w:val="007A3E14"/>
    <w:rsid w:val="007A3E31"/>
    <w:rsid w:val="007A3E95"/>
    <w:rsid w:val="007A3FD1"/>
    <w:rsid w:val="007A4012"/>
    <w:rsid w:val="007A401D"/>
    <w:rsid w:val="007A40FA"/>
    <w:rsid w:val="007A426B"/>
    <w:rsid w:val="007A42A2"/>
    <w:rsid w:val="007A42C8"/>
    <w:rsid w:val="007A440B"/>
    <w:rsid w:val="007A450F"/>
    <w:rsid w:val="007A4791"/>
    <w:rsid w:val="007A486B"/>
    <w:rsid w:val="007A4C02"/>
    <w:rsid w:val="007A4DF7"/>
    <w:rsid w:val="007A4F1C"/>
    <w:rsid w:val="007A4FF1"/>
    <w:rsid w:val="007A51DC"/>
    <w:rsid w:val="007A549F"/>
    <w:rsid w:val="007A5553"/>
    <w:rsid w:val="007A5889"/>
    <w:rsid w:val="007A5B14"/>
    <w:rsid w:val="007A5DC8"/>
    <w:rsid w:val="007A5E6D"/>
    <w:rsid w:val="007A5FAF"/>
    <w:rsid w:val="007A5FFA"/>
    <w:rsid w:val="007A61C7"/>
    <w:rsid w:val="007A61E2"/>
    <w:rsid w:val="007A6207"/>
    <w:rsid w:val="007A6386"/>
    <w:rsid w:val="007A63AE"/>
    <w:rsid w:val="007A656B"/>
    <w:rsid w:val="007A657E"/>
    <w:rsid w:val="007A67CF"/>
    <w:rsid w:val="007A6800"/>
    <w:rsid w:val="007A68C6"/>
    <w:rsid w:val="007A6A6B"/>
    <w:rsid w:val="007A6B20"/>
    <w:rsid w:val="007A6BB8"/>
    <w:rsid w:val="007A6D18"/>
    <w:rsid w:val="007A6D2A"/>
    <w:rsid w:val="007A6D33"/>
    <w:rsid w:val="007A6E91"/>
    <w:rsid w:val="007A6EBC"/>
    <w:rsid w:val="007A701A"/>
    <w:rsid w:val="007A716A"/>
    <w:rsid w:val="007A71B5"/>
    <w:rsid w:val="007A72A7"/>
    <w:rsid w:val="007A7403"/>
    <w:rsid w:val="007A74A7"/>
    <w:rsid w:val="007A75AF"/>
    <w:rsid w:val="007A760E"/>
    <w:rsid w:val="007A76BB"/>
    <w:rsid w:val="007A777D"/>
    <w:rsid w:val="007A77D5"/>
    <w:rsid w:val="007A7808"/>
    <w:rsid w:val="007A7888"/>
    <w:rsid w:val="007A7894"/>
    <w:rsid w:val="007A7A33"/>
    <w:rsid w:val="007A7C8C"/>
    <w:rsid w:val="007A7DFE"/>
    <w:rsid w:val="007A7E5A"/>
    <w:rsid w:val="007B0052"/>
    <w:rsid w:val="007B0116"/>
    <w:rsid w:val="007B0218"/>
    <w:rsid w:val="007B0269"/>
    <w:rsid w:val="007B03CA"/>
    <w:rsid w:val="007B060D"/>
    <w:rsid w:val="007B0656"/>
    <w:rsid w:val="007B0662"/>
    <w:rsid w:val="007B0664"/>
    <w:rsid w:val="007B07DB"/>
    <w:rsid w:val="007B0840"/>
    <w:rsid w:val="007B0F14"/>
    <w:rsid w:val="007B10E8"/>
    <w:rsid w:val="007B1230"/>
    <w:rsid w:val="007B14DE"/>
    <w:rsid w:val="007B1523"/>
    <w:rsid w:val="007B155F"/>
    <w:rsid w:val="007B1594"/>
    <w:rsid w:val="007B163E"/>
    <w:rsid w:val="007B1644"/>
    <w:rsid w:val="007B1654"/>
    <w:rsid w:val="007B16FD"/>
    <w:rsid w:val="007B17B8"/>
    <w:rsid w:val="007B17DB"/>
    <w:rsid w:val="007B17E0"/>
    <w:rsid w:val="007B185B"/>
    <w:rsid w:val="007B1863"/>
    <w:rsid w:val="007B18A1"/>
    <w:rsid w:val="007B1909"/>
    <w:rsid w:val="007B1975"/>
    <w:rsid w:val="007B1A13"/>
    <w:rsid w:val="007B1CE6"/>
    <w:rsid w:val="007B1D53"/>
    <w:rsid w:val="007B1F25"/>
    <w:rsid w:val="007B2023"/>
    <w:rsid w:val="007B2093"/>
    <w:rsid w:val="007B247D"/>
    <w:rsid w:val="007B24D3"/>
    <w:rsid w:val="007B24DC"/>
    <w:rsid w:val="007B25AA"/>
    <w:rsid w:val="007B2641"/>
    <w:rsid w:val="007B272F"/>
    <w:rsid w:val="007B297A"/>
    <w:rsid w:val="007B29EB"/>
    <w:rsid w:val="007B2D30"/>
    <w:rsid w:val="007B2D33"/>
    <w:rsid w:val="007B2EEC"/>
    <w:rsid w:val="007B3001"/>
    <w:rsid w:val="007B3012"/>
    <w:rsid w:val="007B30C3"/>
    <w:rsid w:val="007B30E9"/>
    <w:rsid w:val="007B3326"/>
    <w:rsid w:val="007B3364"/>
    <w:rsid w:val="007B33AD"/>
    <w:rsid w:val="007B3518"/>
    <w:rsid w:val="007B3629"/>
    <w:rsid w:val="007B39AA"/>
    <w:rsid w:val="007B3A45"/>
    <w:rsid w:val="007B3A5B"/>
    <w:rsid w:val="007B3BBD"/>
    <w:rsid w:val="007B3C58"/>
    <w:rsid w:val="007B3C91"/>
    <w:rsid w:val="007B3EFD"/>
    <w:rsid w:val="007B3FD5"/>
    <w:rsid w:val="007B4004"/>
    <w:rsid w:val="007B40AA"/>
    <w:rsid w:val="007B416C"/>
    <w:rsid w:val="007B4209"/>
    <w:rsid w:val="007B424C"/>
    <w:rsid w:val="007B4306"/>
    <w:rsid w:val="007B45F0"/>
    <w:rsid w:val="007B46B7"/>
    <w:rsid w:val="007B4727"/>
    <w:rsid w:val="007B4886"/>
    <w:rsid w:val="007B4C8C"/>
    <w:rsid w:val="007B4EFC"/>
    <w:rsid w:val="007B5130"/>
    <w:rsid w:val="007B5225"/>
    <w:rsid w:val="007B526B"/>
    <w:rsid w:val="007B531C"/>
    <w:rsid w:val="007B589B"/>
    <w:rsid w:val="007B5952"/>
    <w:rsid w:val="007B5AA4"/>
    <w:rsid w:val="007B5AE4"/>
    <w:rsid w:val="007B5B84"/>
    <w:rsid w:val="007B5C81"/>
    <w:rsid w:val="007B5DB3"/>
    <w:rsid w:val="007B5DED"/>
    <w:rsid w:val="007B5E31"/>
    <w:rsid w:val="007B5FB4"/>
    <w:rsid w:val="007B5FB7"/>
    <w:rsid w:val="007B6087"/>
    <w:rsid w:val="007B620E"/>
    <w:rsid w:val="007B621A"/>
    <w:rsid w:val="007B626E"/>
    <w:rsid w:val="007B62AF"/>
    <w:rsid w:val="007B6335"/>
    <w:rsid w:val="007B63FF"/>
    <w:rsid w:val="007B6482"/>
    <w:rsid w:val="007B6498"/>
    <w:rsid w:val="007B653D"/>
    <w:rsid w:val="007B6630"/>
    <w:rsid w:val="007B667B"/>
    <w:rsid w:val="007B6739"/>
    <w:rsid w:val="007B691A"/>
    <w:rsid w:val="007B6989"/>
    <w:rsid w:val="007B69A7"/>
    <w:rsid w:val="007B69F9"/>
    <w:rsid w:val="007B6A52"/>
    <w:rsid w:val="007B6C80"/>
    <w:rsid w:val="007B6D47"/>
    <w:rsid w:val="007B6E2C"/>
    <w:rsid w:val="007B6E5A"/>
    <w:rsid w:val="007B6EF6"/>
    <w:rsid w:val="007B6FA9"/>
    <w:rsid w:val="007B7090"/>
    <w:rsid w:val="007B70CA"/>
    <w:rsid w:val="007B7177"/>
    <w:rsid w:val="007B71E4"/>
    <w:rsid w:val="007B730F"/>
    <w:rsid w:val="007B7326"/>
    <w:rsid w:val="007B73F0"/>
    <w:rsid w:val="007B73F4"/>
    <w:rsid w:val="007B74F6"/>
    <w:rsid w:val="007B7606"/>
    <w:rsid w:val="007B7676"/>
    <w:rsid w:val="007B7753"/>
    <w:rsid w:val="007B79C4"/>
    <w:rsid w:val="007B7AF1"/>
    <w:rsid w:val="007B7BB0"/>
    <w:rsid w:val="007B7BF1"/>
    <w:rsid w:val="007B7C45"/>
    <w:rsid w:val="007B7E9C"/>
    <w:rsid w:val="007B7F07"/>
    <w:rsid w:val="007B7F49"/>
    <w:rsid w:val="007B7F80"/>
    <w:rsid w:val="007C0019"/>
    <w:rsid w:val="007C002F"/>
    <w:rsid w:val="007C01D6"/>
    <w:rsid w:val="007C020D"/>
    <w:rsid w:val="007C0333"/>
    <w:rsid w:val="007C0378"/>
    <w:rsid w:val="007C0595"/>
    <w:rsid w:val="007C059E"/>
    <w:rsid w:val="007C0640"/>
    <w:rsid w:val="007C06C1"/>
    <w:rsid w:val="007C084F"/>
    <w:rsid w:val="007C08B2"/>
    <w:rsid w:val="007C0A3C"/>
    <w:rsid w:val="007C0A42"/>
    <w:rsid w:val="007C0AE5"/>
    <w:rsid w:val="007C0B9A"/>
    <w:rsid w:val="007C0D2E"/>
    <w:rsid w:val="007C0DA6"/>
    <w:rsid w:val="007C0DB7"/>
    <w:rsid w:val="007C0DC9"/>
    <w:rsid w:val="007C0DD0"/>
    <w:rsid w:val="007C0DFF"/>
    <w:rsid w:val="007C108B"/>
    <w:rsid w:val="007C1102"/>
    <w:rsid w:val="007C1619"/>
    <w:rsid w:val="007C163D"/>
    <w:rsid w:val="007C1774"/>
    <w:rsid w:val="007C195F"/>
    <w:rsid w:val="007C19F4"/>
    <w:rsid w:val="007C1B6B"/>
    <w:rsid w:val="007C1C12"/>
    <w:rsid w:val="007C1D0D"/>
    <w:rsid w:val="007C1DC3"/>
    <w:rsid w:val="007C1DCA"/>
    <w:rsid w:val="007C1F72"/>
    <w:rsid w:val="007C1F79"/>
    <w:rsid w:val="007C1F90"/>
    <w:rsid w:val="007C2014"/>
    <w:rsid w:val="007C2039"/>
    <w:rsid w:val="007C23CC"/>
    <w:rsid w:val="007C246F"/>
    <w:rsid w:val="007C2477"/>
    <w:rsid w:val="007C24DD"/>
    <w:rsid w:val="007C253E"/>
    <w:rsid w:val="007C266C"/>
    <w:rsid w:val="007C26F4"/>
    <w:rsid w:val="007C295B"/>
    <w:rsid w:val="007C29A6"/>
    <w:rsid w:val="007C29F0"/>
    <w:rsid w:val="007C2CB3"/>
    <w:rsid w:val="007C2E54"/>
    <w:rsid w:val="007C2EA0"/>
    <w:rsid w:val="007C2F14"/>
    <w:rsid w:val="007C305F"/>
    <w:rsid w:val="007C3141"/>
    <w:rsid w:val="007C3233"/>
    <w:rsid w:val="007C3346"/>
    <w:rsid w:val="007C337D"/>
    <w:rsid w:val="007C3408"/>
    <w:rsid w:val="007C3727"/>
    <w:rsid w:val="007C378E"/>
    <w:rsid w:val="007C3810"/>
    <w:rsid w:val="007C3885"/>
    <w:rsid w:val="007C38F5"/>
    <w:rsid w:val="007C3914"/>
    <w:rsid w:val="007C393D"/>
    <w:rsid w:val="007C39A1"/>
    <w:rsid w:val="007C39D5"/>
    <w:rsid w:val="007C3B5C"/>
    <w:rsid w:val="007C3D44"/>
    <w:rsid w:val="007C3DF4"/>
    <w:rsid w:val="007C3E19"/>
    <w:rsid w:val="007C3F4A"/>
    <w:rsid w:val="007C3F7B"/>
    <w:rsid w:val="007C3F83"/>
    <w:rsid w:val="007C404F"/>
    <w:rsid w:val="007C40BC"/>
    <w:rsid w:val="007C417D"/>
    <w:rsid w:val="007C41C8"/>
    <w:rsid w:val="007C4250"/>
    <w:rsid w:val="007C42B3"/>
    <w:rsid w:val="007C4394"/>
    <w:rsid w:val="007C452C"/>
    <w:rsid w:val="007C454A"/>
    <w:rsid w:val="007C474E"/>
    <w:rsid w:val="007C4993"/>
    <w:rsid w:val="007C49AC"/>
    <w:rsid w:val="007C4AF7"/>
    <w:rsid w:val="007C4D82"/>
    <w:rsid w:val="007C4DCA"/>
    <w:rsid w:val="007C4F1D"/>
    <w:rsid w:val="007C4F56"/>
    <w:rsid w:val="007C5081"/>
    <w:rsid w:val="007C515F"/>
    <w:rsid w:val="007C5168"/>
    <w:rsid w:val="007C5540"/>
    <w:rsid w:val="007C5553"/>
    <w:rsid w:val="007C57D3"/>
    <w:rsid w:val="007C583C"/>
    <w:rsid w:val="007C58C5"/>
    <w:rsid w:val="007C5C77"/>
    <w:rsid w:val="007C5C7D"/>
    <w:rsid w:val="007C5CCE"/>
    <w:rsid w:val="007C5CD8"/>
    <w:rsid w:val="007C5DBE"/>
    <w:rsid w:val="007C618B"/>
    <w:rsid w:val="007C639A"/>
    <w:rsid w:val="007C6702"/>
    <w:rsid w:val="007C67FD"/>
    <w:rsid w:val="007C6A6F"/>
    <w:rsid w:val="007C6AE2"/>
    <w:rsid w:val="007C6AE5"/>
    <w:rsid w:val="007C6B0B"/>
    <w:rsid w:val="007C6B8D"/>
    <w:rsid w:val="007C6CFD"/>
    <w:rsid w:val="007C6D6C"/>
    <w:rsid w:val="007C6D7E"/>
    <w:rsid w:val="007C6E14"/>
    <w:rsid w:val="007C6E6E"/>
    <w:rsid w:val="007C712B"/>
    <w:rsid w:val="007C71B5"/>
    <w:rsid w:val="007C7204"/>
    <w:rsid w:val="007C7317"/>
    <w:rsid w:val="007C744F"/>
    <w:rsid w:val="007C7463"/>
    <w:rsid w:val="007C7635"/>
    <w:rsid w:val="007C76B6"/>
    <w:rsid w:val="007C7798"/>
    <w:rsid w:val="007C77A8"/>
    <w:rsid w:val="007C7C28"/>
    <w:rsid w:val="007C7C9C"/>
    <w:rsid w:val="007C7F8D"/>
    <w:rsid w:val="007D0149"/>
    <w:rsid w:val="007D0152"/>
    <w:rsid w:val="007D0176"/>
    <w:rsid w:val="007D037F"/>
    <w:rsid w:val="007D0593"/>
    <w:rsid w:val="007D05B2"/>
    <w:rsid w:val="007D062E"/>
    <w:rsid w:val="007D07F4"/>
    <w:rsid w:val="007D0820"/>
    <w:rsid w:val="007D0866"/>
    <w:rsid w:val="007D08D3"/>
    <w:rsid w:val="007D0974"/>
    <w:rsid w:val="007D09CF"/>
    <w:rsid w:val="007D0B30"/>
    <w:rsid w:val="007D0B7E"/>
    <w:rsid w:val="007D0BB3"/>
    <w:rsid w:val="007D0CC3"/>
    <w:rsid w:val="007D0E1F"/>
    <w:rsid w:val="007D0E2C"/>
    <w:rsid w:val="007D0EB5"/>
    <w:rsid w:val="007D0F33"/>
    <w:rsid w:val="007D0F73"/>
    <w:rsid w:val="007D0FA9"/>
    <w:rsid w:val="007D0FB3"/>
    <w:rsid w:val="007D1255"/>
    <w:rsid w:val="007D1301"/>
    <w:rsid w:val="007D1532"/>
    <w:rsid w:val="007D1636"/>
    <w:rsid w:val="007D1A91"/>
    <w:rsid w:val="007D1AAF"/>
    <w:rsid w:val="007D1B2C"/>
    <w:rsid w:val="007D1C7A"/>
    <w:rsid w:val="007D208B"/>
    <w:rsid w:val="007D215A"/>
    <w:rsid w:val="007D2197"/>
    <w:rsid w:val="007D21BA"/>
    <w:rsid w:val="007D21DB"/>
    <w:rsid w:val="007D2212"/>
    <w:rsid w:val="007D2227"/>
    <w:rsid w:val="007D241C"/>
    <w:rsid w:val="007D2450"/>
    <w:rsid w:val="007D2602"/>
    <w:rsid w:val="007D28DA"/>
    <w:rsid w:val="007D2B80"/>
    <w:rsid w:val="007D2D01"/>
    <w:rsid w:val="007D2ED5"/>
    <w:rsid w:val="007D2EFC"/>
    <w:rsid w:val="007D30A4"/>
    <w:rsid w:val="007D322A"/>
    <w:rsid w:val="007D32DB"/>
    <w:rsid w:val="007D32F1"/>
    <w:rsid w:val="007D33A0"/>
    <w:rsid w:val="007D345D"/>
    <w:rsid w:val="007D3472"/>
    <w:rsid w:val="007D35F3"/>
    <w:rsid w:val="007D3679"/>
    <w:rsid w:val="007D36F7"/>
    <w:rsid w:val="007D375D"/>
    <w:rsid w:val="007D39CB"/>
    <w:rsid w:val="007D39EA"/>
    <w:rsid w:val="007D3A92"/>
    <w:rsid w:val="007D3AF6"/>
    <w:rsid w:val="007D3BFC"/>
    <w:rsid w:val="007D3C1E"/>
    <w:rsid w:val="007D3CBC"/>
    <w:rsid w:val="007D3CEC"/>
    <w:rsid w:val="007D3DD6"/>
    <w:rsid w:val="007D44E0"/>
    <w:rsid w:val="007D44FF"/>
    <w:rsid w:val="007D4691"/>
    <w:rsid w:val="007D46B4"/>
    <w:rsid w:val="007D46F6"/>
    <w:rsid w:val="007D4776"/>
    <w:rsid w:val="007D48FF"/>
    <w:rsid w:val="007D4959"/>
    <w:rsid w:val="007D4C41"/>
    <w:rsid w:val="007D4C4B"/>
    <w:rsid w:val="007D4C7E"/>
    <w:rsid w:val="007D4EF0"/>
    <w:rsid w:val="007D4FC0"/>
    <w:rsid w:val="007D5020"/>
    <w:rsid w:val="007D50F7"/>
    <w:rsid w:val="007D52CB"/>
    <w:rsid w:val="007D532E"/>
    <w:rsid w:val="007D5369"/>
    <w:rsid w:val="007D5399"/>
    <w:rsid w:val="007D5481"/>
    <w:rsid w:val="007D54D3"/>
    <w:rsid w:val="007D5595"/>
    <w:rsid w:val="007D5687"/>
    <w:rsid w:val="007D587F"/>
    <w:rsid w:val="007D592B"/>
    <w:rsid w:val="007D5BD7"/>
    <w:rsid w:val="007D608B"/>
    <w:rsid w:val="007D6403"/>
    <w:rsid w:val="007D641F"/>
    <w:rsid w:val="007D64D3"/>
    <w:rsid w:val="007D64D6"/>
    <w:rsid w:val="007D6526"/>
    <w:rsid w:val="007D6535"/>
    <w:rsid w:val="007D683E"/>
    <w:rsid w:val="007D6878"/>
    <w:rsid w:val="007D68BC"/>
    <w:rsid w:val="007D69C2"/>
    <w:rsid w:val="007D6A0E"/>
    <w:rsid w:val="007D6D26"/>
    <w:rsid w:val="007D6D5E"/>
    <w:rsid w:val="007D6F43"/>
    <w:rsid w:val="007D7038"/>
    <w:rsid w:val="007D7143"/>
    <w:rsid w:val="007D714D"/>
    <w:rsid w:val="007D71D4"/>
    <w:rsid w:val="007D728A"/>
    <w:rsid w:val="007D73EB"/>
    <w:rsid w:val="007D7417"/>
    <w:rsid w:val="007D7424"/>
    <w:rsid w:val="007D7440"/>
    <w:rsid w:val="007D74BE"/>
    <w:rsid w:val="007D74CC"/>
    <w:rsid w:val="007D75CA"/>
    <w:rsid w:val="007D77BB"/>
    <w:rsid w:val="007D7A33"/>
    <w:rsid w:val="007D7BA6"/>
    <w:rsid w:val="007D7DF1"/>
    <w:rsid w:val="007D7F4F"/>
    <w:rsid w:val="007E008A"/>
    <w:rsid w:val="007E014B"/>
    <w:rsid w:val="007E040A"/>
    <w:rsid w:val="007E05B0"/>
    <w:rsid w:val="007E05E1"/>
    <w:rsid w:val="007E06C0"/>
    <w:rsid w:val="007E0760"/>
    <w:rsid w:val="007E08D0"/>
    <w:rsid w:val="007E08EA"/>
    <w:rsid w:val="007E08F6"/>
    <w:rsid w:val="007E0969"/>
    <w:rsid w:val="007E09FC"/>
    <w:rsid w:val="007E0AEA"/>
    <w:rsid w:val="007E0C21"/>
    <w:rsid w:val="007E0CA9"/>
    <w:rsid w:val="007E0DF4"/>
    <w:rsid w:val="007E0F03"/>
    <w:rsid w:val="007E1072"/>
    <w:rsid w:val="007E1177"/>
    <w:rsid w:val="007E1323"/>
    <w:rsid w:val="007E13AE"/>
    <w:rsid w:val="007E149F"/>
    <w:rsid w:val="007E14E1"/>
    <w:rsid w:val="007E1634"/>
    <w:rsid w:val="007E16E7"/>
    <w:rsid w:val="007E1719"/>
    <w:rsid w:val="007E1808"/>
    <w:rsid w:val="007E18A8"/>
    <w:rsid w:val="007E18B2"/>
    <w:rsid w:val="007E1A61"/>
    <w:rsid w:val="007E1BCC"/>
    <w:rsid w:val="007E1CD9"/>
    <w:rsid w:val="007E1FE5"/>
    <w:rsid w:val="007E2119"/>
    <w:rsid w:val="007E22DF"/>
    <w:rsid w:val="007E2343"/>
    <w:rsid w:val="007E2424"/>
    <w:rsid w:val="007E2753"/>
    <w:rsid w:val="007E27DE"/>
    <w:rsid w:val="007E293D"/>
    <w:rsid w:val="007E29A0"/>
    <w:rsid w:val="007E2A2B"/>
    <w:rsid w:val="007E2A45"/>
    <w:rsid w:val="007E2A9A"/>
    <w:rsid w:val="007E2B3C"/>
    <w:rsid w:val="007E2C09"/>
    <w:rsid w:val="007E2C6C"/>
    <w:rsid w:val="007E2CB1"/>
    <w:rsid w:val="007E2CE9"/>
    <w:rsid w:val="007E2D6C"/>
    <w:rsid w:val="007E2D7B"/>
    <w:rsid w:val="007E2D7E"/>
    <w:rsid w:val="007E2E09"/>
    <w:rsid w:val="007E2EF6"/>
    <w:rsid w:val="007E2FF9"/>
    <w:rsid w:val="007E31A7"/>
    <w:rsid w:val="007E330F"/>
    <w:rsid w:val="007E332F"/>
    <w:rsid w:val="007E3372"/>
    <w:rsid w:val="007E3415"/>
    <w:rsid w:val="007E3525"/>
    <w:rsid w:val="007E3540"/>
    <w:rsid w:val="007E3544"/>
    <w:rsid w:val="007E3612"/>
    <w:rsid w:val="007E3631"/>
    <w:rsid w:val="007E365C"/>
    <w:rsid w:val="007E36D9"/>
    <w:rsid w:val="007E36F1"/>
    <w:rsid w:val="007E3773"/>
    <w:rsid w:val="007E39A7"/>
    <w:rsid w:val="007E3A5E"/>
    <w:rsid w:val="007E3AC4"/>
    <w:rsid w:val="007E3CD7"/>
    <w:rsid w:val="007E3EAA"/>
    <w:rsid w:val="007E3F62"/>
    <w:rsid w:val="007E4104"/>
    <w:rsid w:val="007E410D"/>
    <w:rsid w:val="007E41F0"/>
    <w:rsid w:val="007E4206"/>
    <w:rsid w:val="007E424E"/>
    <w:rsid w:val="007E4387"/>
    <w:rsid w:val="007E45FD"/>
    <w:rsid w:val="007E4619"/>
    <w:rsid w:val="007E466B"/>
    <w:rsid w:val="007E4A43"/>
    <w:rsid w:val="007E4B40"/>
    <w:rsid w:val="007E4C8C"/>
    <w:rsid w:val="007E4CB6"/>
    <w:rsid w:val="007E5053"/>
    <w:rsid w:val="007E505A"/>
    <w:rsid w:val="007E5102"/>
    <w:rsid w:val="007E5128"/>
    <w:rsid w:val="007E5190"/>
    <w:rsid w:val="007E5269"/>
    <w:rsid w:val="007E5271"/>
    <w:rsid w:val="007E530A"/>
    <w:rsid w:val="007E5426"/>
    <w:rsid w:val="007E547A"/>
    <w:rsid w:val="007E54CE"/>
    <w:rsid w:val="007E5698"/>
    <w:rsid w:val="007E5721"/>
    <w:rsid w:val="007E5A54"/>
    <w:rsid w:val="007E5AA9"/>
    <w:rsid w:val="007E5B8F"/>
    <w:rsid w:val="007E5C53"/>
    <w:rsid w:val="007E5F8C"/>
    <w:rsid w:val="007E608D"/>
    <w:rsid w:val="007E6156"/>
    <w:rsid w:val="007E620D"/>
    <w:rsid w:val="007E6265"/>
    <w:rsid w:val="007E645B"/>
    <w:rsid w:val="007E64CF"/>
    <w:rsid w:val="007E663F"/>
    <w:rsid w:val="007E6685"/>
    <w:rsid w:val="007E669B"/>
    <w:rsid w:val="007E67DC"/>
    <w:rsid w:val="007E68EC"/>
    <w:rsid w:val="007E6905"/>
    <w:rsid w:val="007E69E2"/>
    <w:rsid w:val="007E6A49"/>
    <w:rsid w:val="007E6B16"/>
    <w:rsid w:val="007E6B73"/>
    <w:rsid w:val="007E6C10"/>
    <w:rsid w:val="007E6CF6"/>
    <w:rsid w:val="007E6F7F"/>
    <w:rsid w:val="007E73BE"/>
    <w:rsid w:val="007E7515"/>
    <w:rsid w:val="007E757C"/>
    <w:rsid w:val="007E7621"/>
    <w:rsid w:val="007E76E3"/>
    <w:rsid w:val="007E77FE"/>
    <w:rsid w:val="007E7831"/>
    <w:rsid w:val="007E789B"/>
    <w:rsid w:val="007E7925"/>
    <w:rsid w:val="007E79B0"/>
    <w:rsid w:val="007E7AED"/>
    <w:rsid w:val="007E7DCC"/>
    <w:rsid w:val="007E7E1F"/>
    <w:rsid w:val="007E7E22"/>
    <w:rsid w:val="007E7EA8"/>
    <w:rsid w:val="007E7FF1"/>
    <w:rsid w:val="007F0085"/>
    <w:rsid w:val="007F0242"/>
    <w:rsid w:val="007F02F2"/>
    <w:rsid w:val="007F0368"/>
    <w:rsid w:val="007F03C0"/>
    <w:rsid w:val="007F0605"/>
    <w:rsid w:val="007F0713"/>
    <w:rsid w:val="007F08A3"/>
    <w:rsid w:val="007F0A44"/>
    <w:rsid w:val="007F0D61"/>
    <w:rsid w:val="007F0D8E"/>
    <w:rsid w:val="007F0DA1"/>
    <w:rsid w:val="007F0E36"/>
    <w:rsid w:val="007F0E44"/>
    <w:rsid w:val="007F0EF9"/>
    <w:rsid w:val="007F0F33"/>
    <w:rsid w:val="007F0F8F"/>
    <w:rsid w:val="007F0FC5"/>
    <w:rsid w:val="007F11B7"/>
    <w:rsid w:val="007F12E3"/>
    <w:rsid w:val="007F1360"/>
    <w:rsid w:val="007F147E"/>
    <w:rsid w:val="007F14CF"/>
    <w:rsid w:val="007F1565"/>
    <w:rsid w:val="007F15FE"/>
    <w:rsid w:val="007F1625"/>
    <w:rsid w:val="007F174E"/>
    <w:rsid w:val="007F1755"/>
    <w:rsid w:val="007F1A58"/>
    <w:rsid w:val="007F1AE5"/>
    <w:rsid w:val="007F1AEA"/>
    <w:rsid w:val="007F1B19"/>
    <w:rsid w:val="007F1B87"/>
    <w:rsid w:val="007F1C09"/>
    <w:rsid w:val="007F1E13"/>
    <w:rsid w:val="007F1E7A"/>
    <w:rsid w:val="007F1E84"/>
    <w:rsid w:val="007F1E90"/>
    <w:rsid w:val="007F1EA3"/>
    <w:rsid w:val="007F1F35"/>
    <w:rsid w:val="007F1F77"/>
    <w:rsid w:val="007F1FD3"/>
    <w:rsid w:val="007F1FEB"/>
    <w:rsid w:val="007F2124"/>
    <w:rsid w:val="007F2220"/>
    <w:rsid w:val="007F254B"/>
    <w:rsid w:val="007F2564"/>
    <w:rsid w:val="007F2618"/>
    <w:rsid w:val="007F263B"/>
    <w:rsid w:val="007F26BA"/>
    <w:rsid w:val="007F2732"/>
    <w:rsid w:val="007F276F"/>
    <w:rsid w:val="007F2832"/>
    <w:rsid w:val="007F28E6"/>
    <w:rsid w:val="007F28F7"/>
    <w:rsid w:val="007F2933"/>
    <w:rsid w:val="007F2A98"/>
    <w:rsid w:val="007F2CB1"/>
    <w:rsid w:val="007F2D7B"/>
    <w:rsid w:val="007F2EA4"/>
    <w:rsid w:val="007F2F0C"/>
    <w:rsid w:val="007F3104"/>
    <w:rsid w:val="007F322C"/>
    <w:rsid w:val="007F3304"/>
    <w:rsid w:val="007F353C"/>
    <w:rsid w:val="007F355D"/>
    <w:rsid w:val="007F3880"/>
    <w:rsid w:val="007F3A2D"/>
    <w:rsid w:val="007F3A72"/>
    <w:rsid w:val="007F3B73"/>
    <w:rsid w:val="007F3C90"/>
    <w:rsid w:val="007F3D6F"/>
    <w:rsid w:val="007F3E7A"/>
    <w:rsid w:val="007F3E7D"/>
    <w:rsid w:val="007F3EBE"/>
    <w:rsid w:val="007F3F89"/>
    <w:rsid w:val="007F3F92"/>
    <w:rsid w:val="007F4131"/>
    <w:rsid w:val="007F4201"/>
    <w:rsid w:val="007F4408"/>
    <w:rsid w:val="007F46AE"/>
    <w:rsid w:val="007F4765"/>
    <w:rsid w:val="007F48D8"/>
    <w:rsid w:val="007F4B0F"/>
    <w:rsid w:val="007F4BBD"/>
    <w:rsid w:val="007F4C62"/>
    <w:rsid w:val="007F4E36"/>
    <w:rsid w:val="007F4ED0"/>
    <w:rsid w:val="007F4FB5"/>
    <w:rsid w:val="007F4FD9"/>
    <w:rsid w:val="007F50FD"/>
    <w:rsid w:val="007F51BE"/>
    <w:rsid w:val="007F5253"/>
    <w:rsid w:val="007F5292"/>
    <w:rsid w:val="007F54C9"/>
    <w:rsid w:val="007F575C"/>
    <w:rsid w:val="007F57C5"/>
    <w:rsid w:val="007F57DE"/>
    <w:rsid w:val="007F582F"/>
    <w:rsid w:val="007F5941"/>
    <w:rsid w:val="007F5A96"/>
    <w:rsid w:val="007F5ADF"/>
    <w:rsid w:val="007F5AF1"/>
    <w:rsid w:val="007F5B16"/>
    <w:rsid w:val="007F5BD0"/>
    <w:rsid w:val="007F5C44"/>
    <w:rsid w:val="007F5E3F"/>
    <w:rsid w:val="007F5E60"/>
    <w:rsid w:val="007F5EBC"/>
    <w:rsid w:val="007F607C"/>
    <w:rsid w:val="007F61F6"/>
    <w:rsid w:val="007F64AB"/>
    <w:rsid w:val="007F658F"/>
    <w:rsid w:val="007F6722"/>
    <w:rsid w:val="007F67AA"/>
    <w:rsid w:val="007F6B54"/>
    <w:rsid w:val="007F6B98"/>
    <w:rsid w:val="007F6CBD"/>
    <w:rsid w:val="007F6D4C"/>
    <w:rsid w:val="007F6DD1"/>
    <w:rsid w:val="007F6E58"/>
    <w:rsid w:val="007F6EB0"/>
    <w:rsid w:val="007F6EC2"/>
    <w:rsid w:val="007F6F1E"/>
    <w:rsid w:val="007F7025"/>
    <w:rsid w:val="007F7059"/>
    <w:rsid w:val="007F706D"/>
    <w:rsid w:val="007F7195"/>
    <w:rsid w:val="007F71B2"/>
    <w:rsid w:val="007F7278"/>
    <w:rsid w:val="007F7324"/>
    <w:rsid w:val="007F7340"/>
    <w:rsid w:val="007F7451"/>
    <w:rsid w:val="007F7722"/>
    <w:rsid w:val="007F77C8"/>
    <w:rsid w:val="007F77E4"/>
    <w:rsid w:val="007F7833"/>
    <w:rsid w:val="007F79E6"/>
    <w:rsid w:val="007F7C3E"/>
    <w:rsid w:val="007F7DD0"/>
    <w:rsid w:val="008000A3"/>
    <w:rsid w:val="0080029E"/>
    <w:rsid w:val="008003EF"/>
    <w:rsid w:val="0080055A"/>
    <w:rsid w:val="0080096B"/>
    <w:rsid w:val="008009CF"/>
    <w:rsid w:val="00800B2F"/>
    <w:rsid w:val="00800B9B"/>
    <w:rsid w:val="00800FB4"/>
    <w:rsid w:val="0080108D"/>
    <w:rsid w:val="008010BD"/>
    <w:rsid w:val="00801104"/>
    <w:rsid w:val="0080112E"/>
    <w:rsid w:val="008012BE"/>
    <w:rsid w:val="008012CA"/>
    <w:rsid w:val="008013C1"/>
    <w:rsid w:val="008013D8"/>
    <w:rsid w:val="008014F2"/>
    <w:rsid w:val="0080166A"/>
    <w:rsid w:val="008016E4"/>
    <w:rsid w:val="00801805"/>
    <w:rsid w:val="00801860"/>
    <w:rsid w:val="008018AA"/>
    <w:rsid w:val="008018DD"/>
    <w:rsid w:val="008018FB"/>
    <w:rsid w:val="00801B87"/>
    <w:rsid w:val="00801C62"/>
    <w:rsid w:val="00801D6C"/>
    <w:rsid w:val="00801DEF"/>
    <w:rsid w:val="00801E6A"/>
    <w:rsid w:val="00801E81"/>
    <w:rsid w:val="00801F3D"/>
    <w:rsid w:val="00802311"/>
    <w:rsid w:val="00802400"/>
    <w:rsid w:val="00802517"/>
    <w:rsid w:val="00802715"/>
    <w:rsid w:val="0080274A"/>
    <w:rsid w:val="008027F2"/>
    <w:rsid w:val="00802849"/>
    <w:rsid w:val="00802855"/>
    <w:rsid w:val="008028F9"/>
    <w:rsid w:val="008029A1"/>
    <w:rsid w:val="00802C82"/>
    <w:rsid w:val="00802D5A"/>
    <w:rsid w:val="00802D6F"/>
    <w:rsid w:val="00802DA9"/>
    <w:rsid w:val="008031FB"/>
    <w:rsid w:val="00803211"/>
    <w:rsid w:val="0080325A"/>
    <w:rsid w:val="00803310"/>
    <w:rsid w:val="00803327"/>
    <w:rsid w:val="00803333"/>
    <w:rsid w:val="0080337A"/>
    <w:rsid w:val="0080346A"/>
    <w:rsid w:val="0080356A"/>
    <w:rsid w:val="00803626"/>
    <w:rsid w:val="0080369F"/>
    <w:rsid w:val="008036CC"/>
    <w:rsid w:val="008037DD"/>
    <w:rsid w:val="008039D1"/>
    <w:rsid w:val="00803B8C"/>
    <w:rsid w:val="00803C07"/>
    <w:rsid w:val="00803C0E"/>
    <w:rsid w:val="00803CC8"/>
    <w:rsid w:val="00803D41"/>
    <w:rsid w:val="00803D62"/>
    <w:rsid w:val="00803DD8"/>
    <w:rsid w:val="00803F76"/>
    <w:rsid w:val="00803FB9"/>
    <w:rsid w:val="008041A2"/>
    <w:rsid w:val="00804272"/>
    <w:rsid w:val="0080431D"/>
    <w:rsid w:val="0080437C"/>
    <w:rsid w:val="008043D2"/>
    <w:rsid w:val="00804400"/>
    <w:rsid w:val="0080446D"/>
    <w:rsid w:val="008045A8"/>
    <w:rsid w:val="00804B99"/>
    <w:rsid w:val="00804E59"/>
    <w:rsid w:val="00804E9F"/>
    <w:rsid w:val="00804F31"/>
    <w:rsid w:val="00804FB5"/>
    <w:rsid w:val="00804FBB"/>
    <w:rsid w:val="00805131"/>
    <w:rsid w:val="008051BD"/>
    <w:rsid w:val="008051D7"/>
    <w:rsid w:val="008051EE"/>
    <w:rsid w:val="008056CD"/>
    <w:rsid w:val="008057E4"/>
    <w:rsid w:val="0080588E"/>
    <w:rsid w:val="00805988"/>
    <w:rsid w:val="008059FD"/>
    <w:rsid w:val="00805A62"/>
    <w:rsid w:val="00805B07"/>
    <w:rsid w:val="00805EEB"/>
    <w:rsid w:val="008060B2"/>
    <w:rsid w:val="0080619D"/>
    <w:rsid w:val="00806253"/>
    <w:rsid w:val="008063BD"/>
    <w:rsid w:val="0080642F"/>
    <w:rsid w:val="00806830"/>
    <w:rsid w:val="008069C5"/>
    <w:rsid w:val="00806A02"/>
    <w:rsid w:val="00806A12"/>
    <w:rsid w:val="00806ACD"/>
    <w:rsid w:val="00806CC6"/>
    <w:rsid w:val="00806D5B"/>
    <w:rsid w:val="00806DD8"/>
    <w:rsid w:val="00806F1B"/>
    <w:rsid w:val="00806F50"/>
    <w:rsid w:val="00806FE0"/>
    <w:rsid w:val="00807021"/>
    <w:rsid w:val="00807094"/>
    <w:rsid w:val="008071D7"/>
    <w:rsid w:val="008073E0"/>
    <w:rsid w:val="008075D0"/>
    <w:rsid w:val="00807601"/>
    <w:rsid w:val="0080765F"/>
    <w:rsid w:val="0080767F"/>
    <w:rsid w:val="0080771E"/>
    <w:rsid w:val="008077B6"/>
    <w:rsid w:val="0080786A"/>
    <w:rsid w:val="00807B7B"/>
    <w:rsid w:val="00807DF2"/>
    <w:rsid w:val="00807E4B"/>
    <w:rsid w:val="00810577"/>
    <w:rsid w:val="00810874"/>
    <w:rsid w:val="00810A0B"/>
    <w:rsid w:val="00810D6E"/>
    <w:rsid w:val="00810DE7"/>
    <w:rsid w:val="00810E7F"/>
    <w:rsid w:val="00811249"/>
    <w:rsid w:val="00811292"/>
    <w:rsid w:val="00811306"/>
    <w:rsid w:val="008113A2"/>
    <w:rsid w:val="00811448"/>
    <w:rsid w:val="008114A8"/>
    <w:rsid w:val="008115A2"/>
    <w:rsid w:val="008115E8"/>
    <w:rsid w:val="0081180A"/>
    <w:rsid w:val="00811956"/>
    <w:rsid w:val="00811AF1"/>
    <w:rsid w:val="00811C19"/>
    <w:rsid w:val="00811C23"/>
    <w:rsid w:val="00811CA6"/>
    <w:rsid w:val="00811DD2"/>
    <w:rsid w:val="00811E4B"/>
    <w:rsid w:val="00811EC8"/>
    <w:rsid w:val="00812046"/>
    <w:rsid w:val="00812090"/>
    <w:rsid w:val="008120AA"/>
    <w:rsid w:val="00812197"/>
    <w:rsid w:val="008122F4"/>
    <w:rsid w:val="008125AC"/>
    <w:rsid w:val="008125F9"/>
    <w:rsid w:val="008127A3"/>
    <w:rsid w:val="00812900"/>
    <w:rsid w:val="0081299D"/>
    <w:rsid w:val="00812A5D"/>
    <w:rsid w:val="00812CF7"/>
    <w:rsid w:val="00812CFD"/>
    <w:rsid w:val="00812D02"/>
    <w:rsid w:val="00812D8E"/>
    <w:rsid w:val="00812F5B"/>
    <w:rsid w:val="00812F8A"/>
    <w:rsid w:val="0081305C"/>
    <w:rsid w:val="008130F3"/>
    <w:rsid w:val="0081332D"/>
    <w:rsid w:val="00813453"/>
    <w:rsid w:val="0081348E"/>
    <w:rsid w:val="0081349E"/>
    <w:rsid w:val="00813587"/>
    <w:rsid w:val="00813597"/>
    <w:rsid w:val="008135A4"/>
    <w:rsid w:val="00813601"/>
    <w:rsid w:val="008138DD"/>
    <w:rsid w:val="008139F2"/>
    <w:rsid w:val="00813A4D"/>
    <w:rsid w:val="00813B39"/>
    <w:rsid w:val="00813B62"/>
    <w:rsid w:val="00813CAD"/>
    <w:rsid w:val="00813CDD"/>
    <w:rsid w:val="00813CEB"/>
    <w:rsid w:val="00813DA4"/>
    <w:rsid w:val="00813DAC"/>
    <w:rsid w:val="00813EF7"/>
    <w:rsid w:val="00813F7B"/>
    <w:rsid w:val="00814043"/>
    <w:rsid w:val="008140B5"/>
    <w:rsid w:val="0081411B"/>
    <w:rsid w:val="008142BE"/>
    <w:rsid w:val="008143D7"/>
    <w:rsid w:val="0081444D"/>
    <w:rsid w:val="008145E7"/>
    <w:rsid w:val="00814601"/>
    <w:rsid w:val="008148A0"/>
    <w:rsid w:val="008148B7"/>
    <w:rsid w:val="00814932"/>
    <w:rsid w:val="00814999"/>
    <w:rsid w:val="00814AFD"/>
    <w:rsid w:val="00814B71"/>
    <w:rsid w:val="00814BD0"/>
    <w:rsid w:val="00814D2E"/>
    <w:rsid w:val="008150CC"/>
    <w:rsid w:val="008151AB"/>
    <w:rsid w:val="00815236"/>
    <w:rsid w:val="0081531F"/>
    <w:rsid w:val="008153AE"/>
    <w:rsid w:val="00815544"/>
    <w:rsid w:val="00815870"/>
    <w:rsid w:val="00815977"/>
    <w:rsid w:val="00815A94"/>
    <w:rsid w:val="00815EA0"/>
    <w:rsid w:val="008161A3"/>
    <w:rsid w:val="008164B9"/>
    <w:rsid w:val="00816551"/>
    <w:rsid w:val="00816789"/>
    <w:rsid w:val="00816790"/>
    <w:rsid w:val="00816863"/>
    <w:rsid w:val="00816A25"/>
    <w:rsid w:val="00816B40"/>
    <w:rsid w:val="00816C93"/>
    <w:rsid w:val="00816CFA"/>
    <w:rsid w:val="00816DE5"/>
    <w:rsid w:val="00817084"/>
    <w:rsid w:val="00817201"/>
    <w:rsid w:val="00817214"/>
    <w:rsid w:val="00817329"/>
    <w:rsid w:val="00817456"/>
    <w:rsid w:val="00817460"/>
    <w:rsid w:val="00817487"/>
    <w:rsid w:val="0081768D"/>
    <w:rsid w:val="008177C0"/>
    <w:rsid w:val="008178AA"/>
    <w:rsid w:val="0081794E"/>
    <w:rsid w:val="00817967"/>
    <w:rsid w:val="00817AE6"/>
    <w:rsid w:val="00817C2B"/>
    <w:rsid w:val="00817D9C"/>
    <w:rsid w:val="00817FAB"/>
    <w:rsid w:val="00817FE0"/>
    <w:rsid w:val="008200D4"/>
    <w:rsid w:val="00820162"/>
    <w:rsid w:val="00820271"/>
    <w:rsid w:val="008202A9"/>
    <w:rsid w:val="00820446"/>
    <w:rsid w:val="00820525"/>
    <w:rsid w:val="0082064A"/>
    <w:rsid w:val="008206D6"/>
    <w:rsid w:val="00820720"/>
    <w:rsid w:val="00820840"/>
    <w:rsid w:val="00820B34"/>
    <w:rsid w:val="00820E06"/>
    <w:rsid w:val="00820E09"/>
    <w:rsid w:val="00820E22"/>
    <w:rsid w:val="00820F83"/>
    <w:rsid w:val="00820FCA"/>
    <w:rsid w:val="00821006"/>
    <w:rsid w:val="00821126"/>
    <w:rsid w:val="0082133F"/>
    <w:rsid w:val="008213C6"/>
    <w:rsid w:val="008214BC"/>
    <w:rsid w:val="008215A9"/>
    <w:rsid w:val="008215EC"/>
    <w:rsid w:val="00821700"/>
    <w:rsid w:val="008217F2"/>
    <w:rsid w:val="00821C96"/>
    <w:rsid w:val="00821CEE"/>
    <w:rsid w:val="00821DB9"/>
    <w:rsid w:val="00821F53"/>
    <w:rsid w:val="00821F8E"/>
    <w:rsid w:val="0082203D"/>
    <w:rsid w:val="008220A6"/>
    <w:rsid w:val="00822187"/>
    <w:rsid w:val="008221FF"/>
    <w:rsid w:val="0082228A"/>
    <w:rsid w:val="00822298"/>
    <w:rsid w:val="00822392"/>
    <w:rsid w:val="00822426"/>
    <w:rsid w:val="008224AE"/>
    <w:rsid w:val="008224E4"/>
    <w:rsid w:val="00822654"/>
    <w:rsid w:val="008228B4"/>
    <w:rsid w:val="00822923"/>
    <w:rsid w:val="0082297D"/>
    <w:rsid w:val="00822B8F"/>
    <w:rsid w:val="00822C65"/>
    <w:rsid w:val="00822CB9"/>
    <w:rsid w:val="00822CF2"/>
    <w:rsid w:val="00822DF8"/>
    <w:rsid w:val="00822E85"/>
    <w:rsid w:val="00823109"/>
    <w:rsid w:val="0082314C"/>
    <w:rsid w:val="008234E4"/>
    <w:rsid w:val="00823768"/>
    <w:rsid w:val="00823C48"/>
    <w:rsid w:val="00823CDE"/>
    <w:rsid w:val="00823DB1"/>
    <w:rsid w:val="00823DEB"/>
    <w:rsid w:val="008241D2"/>
    <w:rsid w:val="0082422C"/>
    <w:rsid w:val="00824341"/>
    <w:rsid w:val="00824396"/>
    <w:rsid w:val="008243F3"/>
    <w:rsid w:val="00824458"/>
    <w:rsid w:val="008244C7"/>
    <w:rsid w:val="0082450A"/>
    <w:rsid w:val="008245FF"/>
    <w:rsid w:val="0082471A"/>
    <w:rsid w:val="00824841"/>
    <w:rsid w:val="00824AAA"/>
    <w:rsid w:val="00824ADC"/>
    <w:rsid w:val="00824B0A"/>
    <w:rsid w:val="00824B9F"/>
    <w:rsid w:val="00824CDE"/>
    <w:rsid w:val="00824D08"/>
    <w:rsid w:val="00824D2A"/>
    <w:rsid w:val="008250C0"/>
    <w:rsid w:val="00825188"/>
    <w:rsid w:val="0082542C"/>
    <w:rsid w:val="00825450"/>
    <w:rsid w:val="008254D6"/>
    <w:rsid w:val="00825537"/>
    <w:rsid w:val="00825781"/>
    <w:rsid w:val="008258A3"/>
    <w:rsid w:val="008258F6"/>
    <w:rsid w:val="00825A30"/>
    <w:rsid w:val="00825AFB"/>
    <w:rsid w:val="00825B5A"/>
    <w:rsid w:val="00825C50"/>
    <w:rsid w:val="00825E54"/>
    <w:rsid w:val="00825EF3"/>
    <w:rsid w:val="0082621E"/>
    <w:rsid w:val="0082621F"/>
    <w:rsid w:val="0082623F"/>
    <w:rsid w:val="00826351"/>
    <w:rsid w:val="00826424"/>
    <w:rsid w:val="008264C2"/>
    <w:rsid w:val="008265AE"/>
    <w:rsid w:val="00826A20"/>
    <w:rsid w:val="00826B8A"/>
    <w:rsid w:val="00826C24"/>
    <w:rsid w:val="00826D23"/>
    <w:rsid w:val="00826DA7"/>
    <w:rsid w:val="00826DE1"/>
    <w:rsid w:val="00826E7E"/>
    <w:rsid w:val="00826EF0"/>
    <w:rsid w:val="00826EFC"/>
    <w:rsid w:val="00826EFF"/>
    <w:rsid w:val="00827064"/>
    <w:rsid w:val="00827076"/>
    <w:rsid w:val="0082707D"/>
    <w:rsid w:val="008270BD"/>
    <w:rsid w:val="00827110"/>
    <w:rsid w:val="00827150"/>
    <w:rsid w:val="0082719B"/>
    <w:rsid w:val="0082720A"/>
    <w:rsid w:val="0082739C"/>
    <w:rsid w:val="0082758B"/>
    <w:rsid w:val="008275CF"/>
    <w:rsid w:val="00827639"/>
    <w:rsid w:val="00827657"/>
    <w:rsid w:val="0082765D"/>
    <w:rsid w:val="00827677"/>
    <w:rsid w:val="008276DC"/>
    <w:rsid w:val="00827891"/>
    <w:rsid w:val="00827952"/>
    <w:rsid w:val="00827968"/>
    <w:rsid w:val="00827DF5"/>
    <w:rsid w:val="00827E19"/>
    <w:rsid w:val="00827E90"/>
    <w:rsid w:val="00827FFC"/>
    <w:rsid w:val="00830067"/>
    <w:rsid w:val="0083016B"/>
    <w:rsid w:val="00830183"/>
    <w:rsid w:val="00830255"/>
    <w:rsid w:val="00830591"/>
    <w:rsid w:val="00830646"/>
    <w:rsid w:val="00830655"/>
    <w:rsid w:val="008306ED"/>
    <w:rsid w:val="008307BA"/>
    <w:rsid w:val="00830924"/>
    <w:rsid w:val="008309C5"/>
    <w:rsid w:val="00830A44"/>
    <w:rsid w:val="00830A56"/>
    <w:rsid w:val="00830C16"/>
    <w:rsid w:val="00830C2F"/>
    <w:rsid w:val="00830C72"/>
    <w:rsid w:val="00830D2B"/>
    <w:rsid w:val="00830EB9"/>
    <w:rsid w:val="00830EBD"/>
    <w:rsid w:val="00830F4B"/>
    <w:rsid w:val="0083111C"/>
    <w:rsid w:val="0083114D"/>
    <w:rsid w:val="0083120F"/>
    <w:rsid w:val="008317A9"/>
    <w:rsid w:val="008318DF"/>
    <w:rsid w:val="00831A2D"/>
    <w:rsid w:val="00831AF8"/>
    <w:rsid w:val="00831B17"/>
    <w:rsid w:val="00831B26"/>
    <w:rsid w:val="00831BEA"/>
    <w:rsid w:val="00831F60"/>
    <w:rsid w:val="00831FA8"/>
    <w:rsid w:val="008320E6"/>
    <w:rsid w:val="00832135"/>
    <w:rsid w:val="008321FF"/>
    <w:rsid w:val="00832265"/>
    <w:rsid w:val="00832280"/>
    <w:rsid w:val="00832336"/>
    <w:rsid w:val="00832399"/>
    <w:rsid w:val="00832421"/>
    <w:rsid w:val="0083245C"/>
    <w:rsid w:val="0083259E"/>
    <w:rsid w:val="00832688"/>
    <w:rsid w:val="008329B6"/>
    <w:rsid w:val="00832AFD"/>
    <w:rsid w:val="00832BA3"/>
    <w:rsid w:val="00832CFB"/>
    <w:rsid w:val="00832E83"/>
    <w:rsid w:val="008330DA"/>
    <w:rsid w:val="008331C8"/>
    <w:rsid w:val="00833209"/>
    <w:rsid w:val="00833244"/>
    <w:rsid w:val="00833259"/>
    <w:rsid w:val="0083326D"/>
    <w:rsid w:val="008332EA"/>
    <w:rsid w:val="00833388"/>
    <w:rsid w:val="0083338B"/>
    <w:rsid w:val="00833461"/>
    <w:rsid w:val="00833465"/>
    <w:rsid w:val="008335EE"/>
    <w:rsid w:val="0083363F"/>
    <w:rsid w:val="00833792"/>
    <w:rsid w:val="00833835"/>
    <w:rsid w:val="008338DD"/>
    <w:rsid w:val="008339A1"/>
    <w:rsid w:val="00833A3F"/>
    <w:rsid w:val="00833A76"/>
    <w:rsid w:val="00833BF0"/>
    <w:rsid w:val="00833D13"/>
    <w:rsid w:val="00833F4D"/>
    <w:rsid w:val="00833F69"/>
    <w:rsid w:val="00833FC4"/>
    <w:rsid w:val="00834136"/>
    <w:rsid w:val="008341C7"/>
    <w:rsid w:val="0083445F"/>
    <w:rsid w:val="008344CE"/>
    <w:rsid w:val="00834792"/>
    <w:rsid w:val="008347C9"/>
    <w:rsid w:val="008347E8"/>
    <w:rsid w:val="00834834"/>
    <w:rsid w:val="00834889"/>
    <w:rsid w:val="008348C8"/>
    <w:rsid w:val="008349D1"/>
    <w:rsid w:val="008349F1"/>
    <w:rsid w:val="00834BF0"/>
    <w:rsid w:val="00834C38"/>
    <w:rsid w:val="00834C49"/>
    <w:rsid w:val="00834C6E"/>
    <w:rsid w:val="00834CF1"/>
    <w:rsid w:val="00834D1A"/>
    <w:rsid w:val="00834DAB"/>
    <w:rsid w:val="00834E2B"/>
    <w:rsid w:val="00834E6E"/>
    <w:rsid w:val="00834E89"/>
    <w:rsid w:val="0083507A"/>
    <w:rsid w:val="00835097"/>
    <w:rsid w:val="008351C6"/>
    <w:rsid w:val="0083535B"/>
    <w:rsid w:val="00835748"/>
    <w:rsid w:val="008357A9"/>
    <w:rsid w:val="0083594E"/>
    <w:rsid w:val="00835990"/>
    <w:rsid w:val="008359DE"/>
    <w:rsid w:val="00835B7A"/>
    <w:rsid w:val="00835BC2"/>
    <w:rsid w:val="00835C72"/>
    <w:rsid w:val="00835DE9"/>
    <w:rsid w:val="00835E87"/>
    <w:rsid w:val="00835F10"/>
    <w:rsid w:val="008360CC"/>
    <w:rsid w:val="00836368"/>
    <w:rsid w:val="008363B1"/>
    <w:rsid w:val="008363EA"/>
    <w:rsid w:val="00836527"/>
    <w:rsid w:val="00836663"/>
    <w:rsid w:val="00836714"/>
    <w:rsid w:val="00836761"/>
    <w:rsid w:val="0083677F"/>
    <w:rsid w:val="008367B9"/>
    <w:rsid w:val="0083686A"/>
    <w:rsid w:val="00836BC3"/>
    <w:rsid w:val="00836C6E"/>
    <w:rsid w:val="00836D74"/>
    <w:rsid w:val="00837115"/>
    <w:rsid w:val="008371F3"/>
    <w:rsid w:val="0083722E"/>
    <w:rsid w:val="00837384"/>
    <w:rsid w:val="0083746C"/>
    <w:rsid w:val="008374BD"/>
    <w:rsid w:val="008376ED"/>
    <w:rsid w:val="00837799"/>
    <w:rsid w:val="00837820"/>
    <w:rsid w:val="008378B5"/>
    <w:rsid w:val="0083793C"/>
    <w:rsid w:val="0083799A"/>
    <w:rsid w:val="00837AE2"/>
    <w:rsid w:val="00837CAA"/>
    <w:rsid w:val="00837D31"/>
    <w:rsid w:val="00837D83"/>
    <w:rsid w:val="00840031"/>
    <w:rsid w:val="0084028E"/>
    <w:rsid w:val="00840321"/>
    <w:rsid w:val="00840370"/>
    <w:rsid w:val="008404CA"/>
    <w:rsid w:val="00840557"/>
    <w:rsid w:val="0084059A"/>
    <w:rsid w:val="008405DD"/>
    <w:rsid w:val="00840747"/>
    <w:rsid w:val="00840771"/>
    <w:rsid w:val="00840802"/>
    <w:rsid w:val="00840902"/>
    <w:rsid w:val="00840B4E"/>
    <w:rsid w:val="00840C21"/>
    <w:rsid w:val="00840CD2"/>
    <w:rsid w:val="00840DC2"/>
    <w:rsid w:val="00840DC4"/>
    <w:rsid w:val="00840EE2"/>
    <w:rsid w:val="00840EF9"/>
    <w:rsid w:val="00840F21"/>
    <w:rsid w:val="00840FC7"/>
    <w:rsid w:val="00840FD4"/>
    <w:rsid w:val="008410C8"/>
    <w:rsid w:val="008411A7"/>
    <w:rsid w:val="00841234"/>
    <w:rsid w:val="00841386"/>
    <w:rsid w:val="008413C3"/>
    <w:rsid w:val="0084147D"/>
    <w:rsid w:val="00841491"/>
    <w:rsid w:val="008414B5"/>
    <w:rsid w:val="008416C0"/>
    <w:rsid w:val="0084174E"/>
    <w:rsid w:val="00841851"/>
    <w:rsid w:val="00841942"/>
    <w:rsid w:val="00841A8A"/>
    <w:rsid w:val="00841AF5"/>
    <w:rsid w:val="00841AF8"/>
    <w:rsid w:val="00841C0B"/>
    <w:rsid w:val="00841C46"/>
    <w:rsid w:val="00841C69"/>
    <w:rsid w:val="00841CCF"/>
    <w:rsid w:val="00841E64"/>
    <w:rsid w:val="00841E95"/>
    <w:rsid w:val="00841F53"/>
    <w:rsid w:val="00841FE8"/>
    <w:rsid w:val="0084203C"/>
    <w:rsid w:val="00842058"/>
    <w:rsid w:val="0084206D"/>
    <w:rsid w:val="008420C8"/>
    <w:rsid w:val="008421C6"/>
    <w:rsid w:val="008422E8"/>
    <w:rsid w:val="00842367"/>
    <w:rsid w:val="00842485"/>
    <w:rsid w:val="008424B9"/>
    <w:rsid w:val="008426B2"/>
    <w:rsid w:val="008427FB"/>
    <w:rsid w:val="0084282D"/>
    <w:rsid w:val="0084288E"/>
    <w:rsid w:val="008428F3"/>
    <w:rsid w:val="0084291E"/>
    <w:rsid w:val="008429D8"/>
    <w:rsid w:val="00842A17"/>
    <w:rsid w:val="00842B3F"/>
    <w:rsid w:val="00842EF6"/>
    <w:rsid w:val="00842FD8"/>
    <w:rsid w:val="00843025"/>
    <w:rsid w:val="008430DD"/>
    <w:rsid w:val="00843158"/>
    <w:rsid w:val="00843271"/>
    <w:rsid w:val="008432EE"/>
    <w:rsid w:val="00843382"/>
    <w:rsid w:val="008436C1"/>
    <w:rsid w:val="00843749"/>
    <w:rsid w:val="008438CA"/>
    <w:rsid w:val="00843AC5"/>
    <w:rsid w:val="00843B63"/>
    <w:rsid w:val="00843DA0"/>
    <w:rsid w:val="00843E95"/>
    <w:rsid w:val="00843F0D"/>
    <w:rsid w:val="00843FDD"/>
    <w:rsid w:val="0084417E"/>
    <w:rsid w:val="00844192"/>
    <w:rsid w:val="0084424D"/>
    <w:rsid w:val="008442CA"/>
    <w:rsid w:val="008442E4"/>
    <w:rsid w:val="008442ED"/>
    <w:rsid w:val="00844458"/>
    <w:rsid w:val="0084467C"/>
    <w:rsid w:val="0084488E"/>
    <w:rsid w:val="00844919"/>
    <w:rsid w:val="008449C6"/>
    <w:rsid w:val="00844D68"/>
    <w:rsid w:val="00844ED9"/>
    <w:rsid w:val="00844F78"/>
    <w:rsid w:val="0084514E"/>
    <w:rsid w:val="00845174"/>
    <w:rsid w:val="008451BC"/>
    <w:rsid w:val="00845278"/>
    <w:rsid w:val="0084534F"/>
    <w:rsid w:val="008453A8"/>
    <w:rsid w:val="008453E1"/>
    <w:rsid w:val="0084570A"/>
    <w:rsid w:val="00845797"/>
    <w:rsid w:val="0084585C"/>
    <w:rsid w:val="008459EA"/>
    <w:rsid w:val="00845B86"/>
    <w:rsid w:val="00845BDA"/>
    <w:rsid w:val="00845D53"/>
    <w:rsid w:val="00845D68"/>
    <w:rsid w:val="00845E05"/>
    <w:rsid w:val="00845F11"/>
    <w:rsid w:val="008463C8"/>
    <w:rsid w:val="008463E9"/>
    <w:rsid w:val="00846459"/>
    <w:rsid w:val="008465A0"/>
    <w:rsid w:val="0084670E"/>
    <w:rsid w:val="008469D6"/>
    <w:rsid w:val="00846B6C"/>
    <w:rsid w:val="00846B76"/>
    <w:rsid w:val="00846CE8"/>
    <w:rsid w:val="00846D32"/>
    <w:rsid w:val="00846D5F"/>
    <w:rsid w:val="00846F0F"/>
    <w:rsid w:val="00847067"/>
    <w:rsid w:val="008470AC"/>
    <w:rsid w:val="008472A0"/>
    <w:rsid w:val="008473B0"/>
    <w:rsid w:val="008473EE"/>
    <w:rsid w:val="00847651"/>
    <w:rsid w:val="008476BC"/>
    <w:rsid w:val="008476CD"/>
    <w:rsid w:val="008478FF"/>
    <w:rsid w:val="0084794C"/>
    <w:rsid w:val="00847999"/>
    <w:rsid w:val="00847AF8"/>
    <w:rsid w:val="00847C60"/>
    <w:rsid w:val="00847D21"/>
    <w:rsid w:val="00847DAF"/>
    <w:rsid w:val="00847E16"/>
    <w:rsid w:val="00847E37"/>
    <w:rsid w:val="00850533"/>
    <w:rsid w:val="008505B9"/>
    <w:rsid w:val="00850677"/>
    <w:rsid w:val="008507ED"/>
    <w:rsid w:val="0085081F"/>
    <w:rsid w:val="00850823"/>
    <w:rsid w:val="00850B88"/>
    <w:rsid w:val="00850BC1"/>
    <w:rsid w:val="00850E52"/>
    <w:rsid w:val="00851050"/>
    <w:rsid w:val="0085109C"/>
    <w:rsid w:val="00851155"/>
    <w:rsid w:val="008514BF"/>
    <w:rsid w:val="00851569"/>
    <w:rsid w:val="008515E6"/>
    <w:rsid w:val="0085166D"/>
    <w:rsid w:val="00851893"/>
    <w:rsid w:val="008518CD"/>
    <w:rsid w:val="008518F2"/>
    <w:rsid w:val="008519BC"/>
    <w:rsid w:val="00851AD3"/>
    <w:rsid w:val="00851B50"/>
    <w:rsid w:val="00851BC4"/>
    <w:rsid w:val="00851C10"/>
    <w:rsid w:val="00851C3F"/>
    <w:rsid w:val="00851C99"/>
    <w:rsid w:val="00851CD7"/>
    <w:rsid w:val="00851FD7"/>
    <w:rsid w:val="008520DE"/>
    <w:rsid w:val="00852237"/>
    <w:rsid w:val="008522B7"/>
    <w:rsid w:val="008522FD"/>
    <w:rsid w:val="00852469"/>
    <w:rsid w:val="00852554"/>
    <w:rsid w:val="00852695"/>
    <w:rsid w:val="00852703"/>
    <w:rsid w:val="0085271F"/>
    <w:rsid w:val="0085275F"/>
    <w:rsid w:val="008527C3"/>
    <w:rsid w:val="008528C5"/>
    <w:rsid w:val="00852B31"/>
    <w:rsid w:val="00852C21"/>
    <w:rsid w:val="00852D05"/>
    <w:rsid w:val="00852E24"/>
    <w:rsid w:val="00852EF4"/>
    <w:rsid w:val="00852F5F"/>
    <w:rsid w:val="008530A6"/>
    <w:rsid w:val="008531AC"/>
    <w:rsid w:val="008533B6"/>
    <w:rsid w:val="0085383A"/>
    <w:rsid w:val="00853A1E"/>
    <w:rsid w:val="00853B45"/>
    <w:rsid w:val="00853C29"/>
    <w:rsid w:val="00853C68"/>
    <w:rsid w:val="00853E91"/>
    <w:rsid w:val="00853FD0"/>
    <w:rsid w:val="008542E6"/>
    <w:rsid w:val="008543C0"/>
    <w:rsid w:val="00854586"/>
    <w:rsid w:val="0085466C"/>
    <w:rsid w:val="00854796"/>
    <w:rsid w:val="008547D2"/>
    <w:rsid w:val="00854A67"/>
    <w:rsid w:val="00854D0F"/>
    <w:rsid w:val="00854DA0"/>
    <w:rsid w:val="00854E50"/>
    <w:rsid w:val="00854F58"/>
    <w:rsid w:val="008550C5"/>
    <w:rsid w:val="008550EF"/>
    <w:rsid w:val="0085527B"/>
    <w:rsid w:val="008552EC"/>
    <w:rsid w:val="00855395"/>
    <w:rsid w:val="00855437"/>
    <w:rsid w:val="00855456"/>
    <w:rsid w:val="0085552D"/>
    <w:rsid w:val="0085557C"/>
    <w:rsid w:val="0085562B"/>
    <w:rsid w:val="00855662"/>
    <w:rsid w:val="008557C7"/>
    <w:rsid w:val="00855815"/>
    <w:rsid w:val="00855855"/>
    <w:rsid w:val="00855922"/>
    <w:rsid w:val="00855B14"/>
    <w:rsid w:val="00855B80"/>
    <w:rsid w:val="00855C30"/>
    <w:rsid w:val="00855C55"/>
    <w:rsid w:val="00855CF1"/>
    <w:rsid w:val="00855D82"/>
    <w:rsid w:val="00855D8C"/>
    <w:rsid w:val="00855E11"/>
    <w:rsid w:val="00855E49"/>
    <w:rsid w:val="00855F79"/>
    <w:rsid w:val="008560EE"/>
    <w:rsid w:val="00856212"/>
    <w:rsid w:val="00856217"/>
    <w:rsid w:val="00856258"/>
    <w:rsid w:val="00856308"/>
    <w:rsid w:val="0085632A"/>
    <w:rsid w:val="008563AA"/>
    <w:rsid w:val="008563C8"/>
    <w:rsid w:val="0085655C"/>
    <w:rsid w:val="00856750"/>
    <w:rsid w:val="00856931"/>
    <w:rsid w:val="00856A15"/>
    <w:rsid w:val="00856BA8"/>
    <w:rsid w:val="00856CF6"/>
    <w:rsid w:val="00856D54"/>
    <w:rsid w:val="00856DD7"/>
    <w:rsid w:val="00856DE3"/>
    <w:rsid w:val="00856F8C"/>
    <w:rsid w:val="008570A3"/>
    <w:rsid w:val="0085732F"/>
    <w:rsid w:val="00857357"/>
    <w:rsid w:val="0085751F"/>
    <w:rsid w:val="0085754C"/>
    <w:rsid w:val="008575EE"/>
    <w:rsid w:val="0085766D"/>
    <w:rsid w:val="00857672"/>
    <w:rsid w:val="008576E8"/>
    <w:rsid w:val="008577F6"/>
    <w:rsid w:val="0085797D"/>
    <w:rsid w:val="00857A1C"/>
    <w:rsid w:val="00857A33"/>
    <w:rsid w:val="00857A45"/>
    <w:rsid w:val="00857C5C"/>
    <w:rsid w:val="00857D3C"/>
    <w:rsid w:val="00857D51"/>
    <w:rsid w:val="00857E53"/>
    <w:rsid w:val="00857EB1"/>
    <w:rsid w:val="00857F32"/>
    <w:rsid w:val="00857F68"/>
    <w:rsid w:val="0086015F"/>
    <w:rsid w:val="00860314"/>
    <w:rsid w:val="008603B8"/>
    <w:rsid w:val="008604A6"/>
    <w:rsid w:val="00860643"/>
    <w:rsid w:val="00860A02"/>
    <w:rsid w:val="00860A07"/>
    <w:rsid w:val="00860A3A"/>
    <w:rsid w:val="00860A8E"/>
    <w:rsid w:val="00860DA5"/>
    <w:rsid w:val="00860EA8"/>
    <w:rsid w:val="00860EF4"/>
    <w:rsid w:val="00861051"/>
    <w:rsid w:val="008610C6"/>
    <w:rsid w:val="0086123D"/>
    <w:rsid w:val="00861278"/>
    <w:rsid w:val="00861391"/>
    <w:rsid w:val="00861404"/>
    <w:rsid w:val="00861479"/>
    <w:rsid w:val="008615E1"/>
    <w:rsid w:val="0086175C"/>
    <w:rsid w:val="008617BD"/>
    <w:rsid w:val="008618F4"/>
    <w:rsid w:val="008619AC"/>
    <w:rsid w:val="008619B7"/>
    <w:rsid w:val="00861A30"/>
    <w:rsid w:val="00861A6A"/>
    <w:rsid w:val="00861B1F"/>
    <w:rsid w:val="00861C05"/>
    <w:rsid w:val="00861CDC"/>
    <w:rsid w:val="00861D74"/>
    <w:rsid w:val="00861DCE"/>
    <w:rsid w:val="00861E81"/>
    <w:rsid w:val="00861F39"/>
    <w:rsid w:val="00861F5A"/>
    <w:rsid w:val="00861F5F"/>
    <w:rsid w:val="00862222"/>
    <w:rsid w:val="008622FF"/>
    <w:rsid w:val="0086235D"/>
    <w:rsid w:val="00862372"/>
    <w:rsid w:val="008623B6"/>
    <w:rsid w:val="008623C7"/>
    <w:rsid w:val="008626FC"/>
    <w:rsid w:val="00862700"/>
    <w:rsid w:val="0086271E"/>
    <w:rsid w:val="0086276F"/>
    <w:rsid w:val="00862797"/>
    <w:rsid w:val="008627B6"/>
    <w:rsid w:val="0086295F"/>
    <w:rsid w:val="00862A76"/>
    <w:rsid w:val="00862BF0"/>
    <w:rsid w:val="00862BFE"/>
    <w:rsid w:val="00862C1E"/>
    <w:rsid w:val="00862FFE"/>
    <w:rsid w:val="00863042"/>
    <w:rsid w:val="00863129"/>
    <w:rsid w:val="00863145"/>
    <w:rsid w:val="008631AC"/>
    <w:rsid w:val="00863263"/>
    <w:rsid w:val="008632DE"/>
    <w:rsid w:val="00863400"/>
    <w:rsid w:val="00863465"/>
    <w:rsid w:val="00863572"/>
    <w:rsid w:val="008635E4"/>
    <w:rsid w:val="0086371C"/>
    <w:rsid w:val="00863788"/>
    <w:rsid w:val="00863832"/>
    <w:rsid w:val="00863885"/>
    <w:rsid w:val="00863B21"/>
    <w:rsid w:val="00863DD8"/>
    <w:rsid w:val="00863F1F"/>
    <w:rsid w:val="008641A2"/>
    <w:rsid w:val="008642D5"/>
    <w:rsid w:val="0086433A"/>
    <w:rsid w:val="00864480"/>
    <w:rsid w:val="0086448E"/>
    <w:rsid w:val="00864641"/>
    <w:rsid w:val="008647AD"/>
    <w:rsid w:val="00864836"/>
    <w:rsid w:val="008648A6"/>
    <w:rsid w:val="00864A45"/>
    <w:rsid w:val="00864A71"/>
    <w:rsid w:val="00864AC6"/>
    <w:rsid w:val="00864B83"/>
    <w:rsid w:val="00864BD9"/>
    <w:rsid w:val="00864C04"/>
    <w:rsid w:val="00864C18"/>
    <w:rsid w:val="00864C6D"/>
    <w:rsid w:val="00865026"/>
    <w:rsid w:val="008650D6"/>
    <w:rsid w:val="008650FE"/>
    <w:rsid w:val="0086521B"/>
    <w:rsid w:val="008653CE"/>
    <w:rsid w:val="0086543E"/>
    <w:rsid w:val="00865454"/>
    <w:rsid w:val="008654D6"/>
    <w:rsid w:val="0086553C"/>
    <w:rsid w:val="008657A5"/>
    <w:rsid w:val="00865856"/>
    <w:rsid w:val="00865884"/>
    <w:rsid w:val="0086588A"/>
    <w:rsid w:val="00865965"/>
    <w:rsid w:val="008659D7"/>
    <w:rsid w:val="00865AC4"/>
    <w:rsid w:val="00865BB7"/>
    <w:rsid w:val="00865C09"/>
    <w:rsid w:val="00865DCC"/>
    <w:rsid w:val="00865F1B"/>
    <w:rsid w:val="00866210"/>
    <w:rsid w:val="00866241"/>
    <w:rsid w:val="0086652C"/>
    <w:rsid w:val="0086662B"/>
    <w:rsid w:val="00866640"/>
    <w:rsid w:val="008666A9"/>
    <w:rsid w:val="008666CD"/>
    <w:rsid w:val="00866713"/>
    <w:rsid w:val="00866801"/>
    <w:rsid w:val="008669EC"/>
    <w:rsid w:val="00866A1E"/>
    <w:rsid w:val="00866B67"/>
    <w:rsid w:val="00866B99"/>
    <w:rsid w:val="00866C13"/>
    <w:rsid w:val="00866D7B"/>
    <w:rsid w:val="00866D97"/>
    <w:rsid w:val="00866EA8"/>
    <w:rsid w:val="00866EFF"/>
    <w:rsid w:val="00866F49"/>
    <w:rsid w:val="00866F67"/>
    <w:rsid w:val="008670A8"/>
    <w:rsid w:val="0086710A"/>
    <w:rsid w:val="00867189"/>
    <w:rsid w:val="00867279"/>
    <w:rsid w:val="008672E9"/>
    <w:rsid w:val="008672F6"/>
    <w:rsid w:val="008674E3"/>
    <w:rsid w:val="008677F1"/>
    <w:rsid w:val="00867857"/>
    <w:rsid w:val="00867883"/>
    <w:rsid w:val="00867994"/>
    <w:rsid w:val="008679B6"/>
    <w:rsid w:val="008679DA"/>
    <w:rsid w:val="00867A52"/>
    <w:rsid w:val="00867AB2"/>
    <w:rsid w:val="00867C25"/>
    <w:rsid w:val="00867D2E"/>
    <w:rsid w:val="00867E11"/>
    <w:rsid w:val="00867F6D"/>
    <w:rsid w:val="00867FB8"/>
    <w:rsid w:val="008700AB"/>
    <w:rsid w:val="00870121"/>
    <w:rsid w:val="00870330"/>
    <w:rsid w:val="00870377"/>
    <w:rsid w:val="0087047A"/>
    <w:rsid w:val="008704A1"/>
    <w:rsid w:val="008704ED"/>
    <w:rsid w:val="0087066E"/>
    <w:rsid w:val="00870693"/>
    <w:rsid w:val="008706CB"/>
    <w:rsid w:val="00870778"/>
    <w:rsid w:val="008707B9"/>
    <w:rsid w:val="008707E3"/>
    <w:rsid w:val="0087088E"/>
    <w:rsid w:val="00870AEB"/>
    <w:rsid w:val="00870B67"/>
    <w:rsid w:val="00870C1C"/>
    <w:rsid w:val="00870D88"/>
    <w:rsid w:val="00870E94"/>
    <w:rsid w:val="00870EB0"/>
    <w:rsid w:val="00871058"/>
    <w:rsid w:val="008710D6"/>
    <w:rsid w:val="0087113F"/>
    <w:rsid w:val="008712D2"/>
    <w:rsid w:val="008713D5"/>
    <w:rsid w:val="00871464"/>
    <w:rsid w:val="00871465"/>
    <w:rsid w:val="00871517"/>
    <w:rsid w:val="0087153F"/>
    <w:rsid w:val="00871557"/>
    <w:rsid w:val="0087191B"/>
    <w:rsid w:val="00871993"/>
    <w:rsid w:val="00871A01"/>
    <w:rsid w:val="00871AE9"/>
    <w:rsid w:val="00871B2B"/>
    <w:rsid w:val="00871CDF"/>
    <w:rsid w:val="00871D6C"/>
    <w:rsid w:val="00871D9D"/>
    <w:rsid w:val="0087202D"/>
    <w:rsid w:val="00872114"/>
    <w:rsid w:val="008721F0"/>
    <w:rsid w:val="0087232B"/>
    <w:rsid w:val="0087258B"/>
    <w:rsid w:val="00872631"/>
    <w:rsid w:val="00872645"/>
    <w:rsid w:val="008728F6"/>
    <w:rsid w:val="00872B1C"/>
    <w:rsid w:val="00872B7D"/>
    <w:rsid w:val="00872B87"/>
    <w:rsid w:val="00872BB5"/>
    <w:rsid w:val="00872BF8"/>
    <w:rsid w:val="00872C14"/>
    <w:rsid w:val="00872CC3"/>
    <w:rsid w:val="00872CEB"/>
    <w:rsid w:val="00872FC7"/>
    <w:rsid w:val="00872FE7"/>
    <w:rsid w:val="00873072"/>
    <w:rsid w:val="008731A6"/>
    <w:rsid w:val="008731CC"/>
    <w:rsid w:val="00873245"/>
    <w:rsid w:val="008732EE"/>
    <w:rsid w:val="008733A6"/>
    <w:rsid w:val="008733D9"/>
    <w:rsid w:val="008733E2"/>
    <w:rsid w:val="0087341D"/>
    <w:rsid w:val="00873453"/>
    <w:rsid w:val="0087354A"/>
    <w:rsid w:val="00873826"/>
    <w:rsid w:val="00873869"/>
    <w:rsid w:val="0087392C"/>
    <w:rsid w:val="00873B36"/>
    <w:rsid w:val="00873E50"/>
    <w:rsid w:val="00873EC3"/>
    <w:rsid w:val="00873F33"/>
    <w:rsid w:val="00873FCE"/>
    <w:rsid w:val="0087402E"/>
    <w:rsid w:val="00874063"/>
    <w:rsid w:val="008740E5"/>
    <w:rsid w:val="008741A0"/>
    <w:rsid w:val="00874607"/>
    <w:rsid w:val="008748B1"/>
    <w:rsid w:val="00874AEB"/>
    <w:rsid w:val="00874D22"/>
    <w:rsid w:val="00874E43"/>
    <w:rsid w:val="0087503D"/>
    <w:rsid w:val="00875126"/>
    <w:rsid w:val="0087516D"/>
    <w:rsid w:val="0087527F"/>
    <w:rsid w:val="008752DA"/>
    <w:rsid w:val="00875418"/>
    <w:rsid w:val="00875566"/>
    <w:rsid w:val="0087574F"/>
    <w:rsid w:val="00875909"/>
    <w:rsid w:val="008759ED"/>
    <w:rsid w:val="00875AA3"/>
    <w:rsid w:val="00875AC1"/>
    <w:rsid w:val="00875AFD"/>
    <w:rsid w:val="00875C43"/>
    <w:rsid w:val="00875E4B"/>
    <w:rsid w:val="00875E62"/>
    <w:rsid w:val="00875E9F"/>
    <w:rsid w:val="00875F13"/>
    <w:rsid w:val="00876206"/>
    <w:rsid w:val="0087627D"/>
    <w:rsid w:val="008762C3"/>
    <w:rsid w:val="008762DF"/>
    <w:rsid w:val="00876314"/>
    <w:rsid w:val="008763FF"/>
    <w:rsid w:val="00876444"/>
    <w:rsid w:val="008764B6"/>
    <w:rsid w:val="0087664B"/>
    <w:rsid w:val="00876669"/>
    <w:rsid w:val="008766E7"/>
    <w:rsid w:val="00876849"/>
    <w:rsid w:val="00876888"/>
    <w:rsid w:val="00876951"/>
    <w:rsid w:val="00876A8B"/>
    <w:rsid w:val="00876AF0"/>
    <w:rsid w:val="00876B8D"/>
    <w:rsid w:val="00876BB6"/>
    <w:rsid w:val="00876CBE"/>
    <w:rsid w:val="00877083"/>
    <w:rsid w:val="00877155"/>
    <w:rsid w:val="00877238"/>
    <w:rsid w:val="0087731E"/>
    <w:rsid w:val="00877358"/>
    <w:rsid w:val="00877A09"/>
    <w:rsid w:val="00877A3E"/>
    <w:rsid w:val="00877AEC"/>
    <w:rsid w:val="00877C45"/>
    <w:rsid w:val="00877C81"/>
    <w:rsid w:val="00877D6D"/>
    <w:rsid w:val="00877E38"/>
    <w:rsid w:val="00880050"/>
    <w:rsid w:val="0088028F"/>
    <w:rsid w:val="0088030E"/>
    <w:rsid w:val="00880432"/>
    <w:rsid w:val="00880486"/>
    <w:rsid w:val="00880498"/>
    <w:rsid w:val="008804FC"/>
    <w:rsid w:val="00880627"/>
    <w:rsid w:val="00880691"/>
    <w:rsid w:val="008806DD"/>
    <w:rsid w:val="00880744"/>
    <w:rsid w:val="008807A1"/>
    <w:rsid w:val="008807BC"/>
    <w:rsid w:val="00880805"/>
    <w:rsid w:val="00880955"/>
    <w:rsid w:val="00880A95"/>
    <w:rsid w:val="00880B93"/>
    <w:rsid w:val="00880BD3"/>
    <w:rsid w:val="00880C07"/>
    <w:rsid w:val="00880E0C"/>
    <w:rsid w:val="00880FD7"/>
    <w:rsid w:val="00881023"/>
    <w:rsid w:val="0088105F"/>
    <w:rsid w:val="00881393"/>
    <w:rsid w:val="008813A3"/>
    <w:rsid w:val="008813DF"/>
    <w:rsid w:val="0088147B"/>
    <w:rsid w:val="008814A8"/>
    <w:rsid w:val="00881629"/>
    <w:rsid w:val="0088165F"/>
    <w:rsid w:val="008816B0"/>
    <w:rsid w:val="0088195B"/>
    <w:rsid w:val="00881961"/>
    <w:rsid w:val="00881A0B"/>
    <w:rsid w:val="00881A12"/>
    <w:rsid w:val="00881B7D"/>
    <w:rsid w:val="00881BEC"/>
    <w:rsid w:val="00881E5C"/>
    <w:rsid w:val="00881FFA"/>
    <w:rsid w:val="00882028"/>
    <w:rsid w:val="00882086"/>
    <w:rsid w:val="008820E6"/>
    <w:rsid w:val="008821CC"/>
    <w:rsid w:val="008821F3"/>
    <w:rsid w:val="008823BB"/>
    <w:rsid w:val="0088243E"/>
    <w:rsid w:val="00882532"/>
    <w:rsid w:val="00882592"/>
    <w:rsid w:val="0088259F"/>
    <w:rsid w:val="0088264B"/>
    <w:rsid w:val="00882692"/>
    <w:rsid w:val="00882882"/>
    <w:rsid w:val="00882905"/>
    <w:rsid w:val="008829DF"/>
    <w:rsid w:val="00882A7C"/>
    <w:rsid w:val="00882BA3"/>
    <w:rsid w:val="00882C05"/>
    <w:rsid w:val="00882C18"/>
    <w:rsid w:val="00882C9D"/>
    <w:rsid w:val="00882D02"/>
    <w:rsid w:val="00882D1C"/>
    <w:rsid w:val="00882D38"/>
    <w:rsid w:val="00882DC7"/>
    <w:rsid w:val="00882DF3"/>
    <w:rsid w:val="00882DFF"/>
    <w:rsid w:val="00883347"/>
    <w:rsid w:val="008834E0"/>
    <w:rsid w:val="0088357C"/>
    <w:rsid w:val="0088368F"/>
    <w:rsid w:val="008837B6"/>
    <w:rsid w:val="00883804"/>
    <w:rsid w:val="008839B7"/>
    <w:rsid w:val="008839DB"/>
    <w:rsid w:val="00883EC5"/>
    <w:rsid w:val="00883F22"/>
    <w:rsid w:val="0088408A"/>
    <w:rsid w:val="008840F5"/>
    <w:rsid w:val="0088422D"/>
    <w:rsid w:val="00884273"/>
    <w:rsid w:val="008842CB"/>
    <w:rsid w:val="00884379"/>
    <w:rsid w:val="00884409"/>
    <w:rsid w:val="00884641"/>
    <w:rsid w:val="00884766"/>
    <w:rsid w:val="008847D3"/>
    <w:rsid w:val="008847FE"/>
    <w:rsid w:val="00884A57"/>
    <w:rsid w:val="00884AB5"/>
    <w:rsid w:val="00884B71"/>
    <w:rsid w:val="00884CF7"/>
    <w:rsid w:val="00884D86"/>
    <w:rsid w:val="00884D90"/>
    <w:rsid w:val="00884DE0"/>
    <w:rsid w:val="00884E15"/>
    <w:rsid w:val="00884F91"/>
    <w:rsid w:val="0088505C"/>
    <w:rsid w:val="00885071"/>
    <w:rsid w:val="008854D7"/>
    <w:rsid w:val="00885592"/>
    <w:rsid w:val="008855BF"/>
    <w:rsid w:val="00885643"/>
    <w:rsid w:val="00885671"/>
    <w:rsid w:val="008856B4"/>
    <w:rsid w:val="00885702"/>
    <w:rsid w:val="0088570B"/>
    <w:rsid w:val="00885755"/>
    <w:rsid w:val="008857CC"/>
    <w:rsid w:val="008857EA"/>
    <w:rsid w:val="008858B5"/>
    <w:rsid w:val="008858E9"/>
    <w:rsid w:val="00885AEB"/>
    <w:rsid w:val="00885BED"/>
    <w:rsid w:val="00885C03"/>
    <w:rsid w:val="00885CDD"/>
    <w:rsid w:val="00885EE6"/>
    <w:rsid w:val="00885EE7"/>
    <w:rsid w:val="00885F54"/>
    <w:rsid w:val="0088601D"/>
    <w:rsid w:val="0088619F"/>
    <w:rsid w:val="008862BF"/>
    <w:rsid w:val="008862C8"/>
    <w:rsid w:val="0088636C"/>
    <w:rsid w:val="008863D0"/>
    <w:rsid w:val="008863E7"/>
    <w:rsid w:val="00886457"/>
    <w:rsid w:val="0088659B"/>
    <w:rsid w:val="008866C2"/>
    <w:rsid w:val="0088674B"/>
    <w:rsid w:val="00886B0E"/>
    <w:rsid w:val="00886B78"/>
    <w:rsid w:val="00886BD5"/>
    <w:rsid w:val="00886CB9"/>
    <w:rsid w:val="00886EFB"/>
    <w:rsid w:val="00886F0C"/>
    <w:rsid w:val="00886FA4"/>
    <w:rsid w:val="0088710B"/>
    <w:rsid w:val="008871D9"/>
    <w:rsid w:val="00887203"/>
    <w:rsid w:val="008872B0"/>
    <w:rsid w:val="008872F2"/>
    <w:rsid w:val="00887335"/>
    <w:rsid w:val="008874AF"/>
    <w:rsid w:val="00887574"/>
    <w:rsid w:val="008875AC"/>
    <w:rsid w:val="008876B9"/>
    <w:rsid w:val="00887723"/>
    <w:rsid w:val="008877EF"/>
    <w:rsid w:val="0088790D"/>
    <w:rsid w:val="008879BB"/>
    <w:rsid w:val="008879D3"/>
    <w:rsid w:val="00887B5E"/>
    <w:rsid w:val="00887D05"/>
    <w:rsid w:val="00887DFC"/>
    <w:rsid w:val="00887F3D"/>
    <w:rsid w:val="00887F8D"/>
    <w:rsid w:val="00887F9B"/>
    <w:rsid w:val="00890075"/>
    <w:rsid w:val="00890158"/>
    <w:rsid w:val="008901F1"/>
    <w:rsid w:val="008908BD"/>
    <w:rsid w:val="008908E8"/>
    <w:rsid w:val="0089095D"/>
    <w:rsid w:val="0089097F"/>
    <w:rsid w:val="0089099F"/>
    <w:rsid w:val="00890AB2"/>
    <w:rsid w:val="00890B14"/>
    <w:rsid w:val="00890CBD"/>
    <w:rsid w:val="00890CD3"/>
    <w:rsid w:val="00890CFE"/>
    <w:rsid w:val="00890EF6"/>
    <w:rsid w:val="00890F7D"/>
    <w:rsid w:val="00890FA3"/>
    <w:rsid w:val="0089109B"/>
    <w:rsid w:val="008911D2"/>
    <w:rsid w:val="008912B5"/>
    <w:rsid w:val="008912BE"/>
    <w:rsid w:val="00891403"/>
    <w:rsid w:val="0089141A"/>
    <w:rsid w:val="00891440"/>
    <w:rsid w:val="0089156F"/>
    <w:rsid w:val="00891633"/>
    <w:rsid w:val="008917A6"/>
    <w:rsid w:val="0089183C"/>
    <w:rsid w:val="0089196D"/>
    <w:rsid w:val="008919D7"/>
    <w:rsid w:val="00891A00"/>
    <w:rsid w:val="00891B3F"/>
    <w:rsid w:val="00891C22"/>
    <w:rsid w:val="00891CBF"/>
    <w:rsid w:val="00891CD1"/>
    <w:rsid w:val="00891D83"/>
    <w:rsid w:val="00891DE4"/>
    <w:rsid w:val="00892064"/>
    <w:rsid w:val="00892128"/>
    <w:rsid w:val="008922D9"/>
    <w:rsid w:val="00892303"/>
    <w:rsid w:val="00892368"/>
    <w:rsid w:val="008924C1"/>
    <w:rsid w:val="008924D4"/>
    <w:rsid w:val="008925AF"/>
    <w:rsid w:val="008925EB"/>
    <w:rsid w:val="00892744"/>
    <w:rsid w:val="00892796"/>
    <w:rsid w:val="008927A0"/>
    <w:rsid w:val="008928DD"/>
    <w:rsid w:val="00892946"/>
    <w:rsid w:val="008929CB"/>
    <w:rsid w:val="00892C47"/>
    <w:rsid w:val="00892CDA"/>
    <w:rsid w:val="00892D23"/>
    <w:rsid w:val="00892EEE"/>
    <w:rsid w:val="008931D9"/>
    <w:rsid w:val="008934B9"/>
    <w:rsid w:val="0089358F"/>
    <w:rsid w:val="008938DE"/>
    <w:rsid w:val="00893974"/>
    <w:rsid w:val="00893A30"/>
    <w:rsid w:val="00893AAF"/>
    <w:rsid w:val="00893AE6"/>
    <w:rsid w:val="00893AF1"/>
    <w:rsid w:val="00893C65"/>
    <w:rsid w:val="00893C8C"/>
    <w:rsid w:val="00893CB7"/>
    <w:rsid w:val="00893DEA"/>
    <w:rsid w:val="00893E31"/>
    <w:rsid w:val="00893E65"/>
    <w:rsid w:val="00893E9F"/>
    <w:rsid w:val="00893FA3"/>
    <w:rsid w:val="00893FAF"/>
    <w:rsid w:val="0089409F"/>
    <w:rsid w:val="008940A2"/>
    <w:rsid w:val="00894164"/>
    <w:rsid w:val="008941D8"/>
    <w:rsid w:val="008941EB"/>
    <w:rsid w:val="008942AF"/>
    <w:rsid w:val="008942E6"/>
    <w:rsid w:val="00894344"/>
    <w:rsid w:val="00894417"/>
    <w:rsid w:val="00894458"/>
    <w:rsid w:val="0089458B"/>
    <w:rsid w:val="008945D1"/>
    <w:rsid w:val="008945D6"/>
    <w:rsid w:val="00894703"/>
    <w:rsid w:val="008948C0"/>
    <w:rsid w:val="008948F1"/>
    <w:rsid w:val="0089492E"/>
    <w:rsid w:val="00894983"/>
    <w:rsid w:val="00894B6D"/>
    <w:rsid w:val="00894B9F"/>
    <w:rsid w:val="00894C78"/>
    <w:rsid w:val="00894CCF"/>
    <w:rsid w:val="00894D7E"/>
    <w:rsid w:val="00894E30"/>
    <w:rsid w:val="00894F7A"/>
    <w:rsid w:val="008950E9"/>
    <w:rsid w:val="0089512D"/>
    <w:rsid w:val="00895157"/>
    <w:rsid w:val="00895182"/>
    <w:rsid w:val="00895192"/>
    <w:rsid w:val="00895324"/>
    <w:rsid w:val="00895464"/>
    <w:rsid w:val="008954BD"/>
    <w:rsid w:val="0089578B"/>
    <w:rsid w:val="00895840"/>
    <w:rsid w:val="00895B1F"/>
    <w:rsid w:val="00895C29"/>
    <w:rsid w:val="00895E49"/>
    <w:rsid w:val="00895E5E"/>
    <w:rsid w:val="008960C6"/>
    <w:rsid w:val="00896198"/>
    <w:rsid w:val="008961DC"/>
    <w:rsid w:val="008961EB"/>
    <w:rsid w:val="00896297"/>
    <w:rsid w:val="00896316"/>
    <w:rsid w:val="00896366"/>
    <w:rsid w:val="008963F9"/>
    <w:rsid w:val="00896430"/>
    <w:rsid w:val="00896460"/>
    <w:rsid w:val="008964DD"/>
    <w:rsid w:val="0089684C"/>
    <w:rsid w:val="008968E4"/>
    <w:rsid w:val="00896964"/>
    <w:rsid w:val="00896A17"/>
    <w:rsid w:val="00896C4B"/>
    <w:rsid w:val="00896DA9"/>
    <w:rsid w:val="00896DC5"/>
    <w:rsid w:val="00896E33"/>
    <w:rsid w:val="00896E42"/>
    <w:rsid w:val="00896E51"/>
    <w:rsid w:val="00896EAB"/>
    <w:rsid w:val="00896F12"/>
    <w:rsid w:val="00896F58"/>
    <w:rsid w:val="00896FB8"/>
    <w:rsid w:val="00896FB9"/>
    <w:rsid w:val="0089701D"/>
    <w:rsid w:val="008971F0"/>
    <w:rsid w:val="008972BC"/>
    <w:rsid w:val="00897487"/>
    <w:rsid w:val="008974E8"/>
    <w:rsid w:val="0089754F"/>
    <w:rsid w:val="00897632"/>
    <w:rsid w:val="008976D8"/>
    <w:rsid w:val="00897A02"/>
    <w:rsid w:val="00897D8F"/>
    <w:rsid w:val="00897DB9"/>
    <w:rsid w:val="00897E3E"/>
    <w:rsid w:val="00897EE7"/>
    <w:rsid w:val="00897FA4"/>
    <w:rsid w:val="008A008E"/>
    <w:rsid w:val="008A0223"/>
    <w:rsid w:val="008A02CF"/>
    <w:rsid w:val="008A041C"/>
    <w:rsid w:val="008A04CF"/>
    <w:rsid w:val="008A0573"/>
    <w:rsid w:val="008A0642"/>
    <w:rsid w:val="008A06E1"/>
    <w:rsid w:val="008A073F"/>
    <w:rsid w:val="008A076C"/>
    <w:rsid w:val="008A0D82"/>
    <w:rsid w:val="008A0E25"/>
    <w:rsid w:val="008A0E4E"/>
    <w:rsid w:val="008A0E79"/>
    <w:rsid w:val="008A0E7B"/>
    <w:rsid w:val="008A0EDB"/>
    <w:rsid w:val="008A10C3"/>
    <w:rsid w:val="008A1191"/>
    <w:rsid w:val="008A12A7"/>
    <w:rsid w:val="008A12CA"/>
    <w:rsid w:val="008A14F3"/>
    <w:rsid w:val="008A152E"/>
    <w:rsid w:val="008A155D"/>
    <w:rsid w:val="008A1899"/>
    <w:rsid w:val="008A18DE"/>
    <w:rsid w:val="008A19BA"/>
    <w:rsid w:val="008A1B98"/>
    <w:rsid w:val="008A1BEF"/>
    <w:rsid w:val="008A1C3B"/>
    <w:rsid w:val="008A1DAC"/>
    <w:rsid w:val="008A1E1E"/>
    <w:rsid w:val="008A2021"/>
    <w:rsid w:val="008A21D0"/>
    <w:rsid w:val="008A224F"/>
    <w:rsid w:val="008A22E2"/>
    <w:rsid w:val="008A239B"/>
    <w:rsid w:val="008A23A3"/>
    <w:rsid w:val="008A2458"/>
    <w:rsid w:val="008A24BC"/>
    <w:rsid w:val="008A24F6"/>
    <w:rsid w:val="008A269C"/>
    <w:rsid w:val="008A26D5"/>
    <w:rsid w:val="008A26EE"/>
    <w:rsid w:val="008A2715"/>
    <w:rsid w:val="008A280B"/>
    <w:rsid w:val="008A28E9"/>
    <w:rsid w:val="008A28FB"/>
    <w:rsid w:val="008A2914"/>
    <w:rsid w:val="008A2976"/>
    <w:rsid w:val="008A2A76"/>
    <w:rsid w:val="008A2B0B"/>
    <w:rsid w:val="008A2B3A"/>
    <w:rsid w:val="008A2BBE"/>
    <w:rsid w:val="008A2C8B"/>
    <w:rsid w:val="008A2D93"/>
    <w:rsid w:val="008A2F34"/>
    <w:rsid w:val="008A2F6C"/>
    <w:rsid w:val="008A2F81"/>
    <w:rsid w:val="008A3067"/>
    <w:rsid w:val="008A312A"/>
    <w:rsid w:val="008A317F"/>
    <w:rsid w:val="008A3279"/>
    <w:rsid w:val="008A33D6"/>
    <w:rsid w:val="008A3439"/>
    <w:rsid w:val="008A3459"/>
    <w:rsid w:val="008A3463"/>
    <w:rsid w:val="008A35F4"/>
    <w:rsid w:val="008A3735"/>
    <w:rsid w:val="008A3741"/>
    <w:rsid w:val="008A378D"/>
    <w:rsid w:val="008A3A00"/>
    <w:rsid w:val="008A3B94"/>
    <w:rsid w:val="008A3BA3"/>
    <w:rsid w:val="008A3C16"/>
    <w:rsid w:val="008A3CDA"/>
    <w:rsid w:val="008A3DAB"/>
    <w:rsid w:val="008A3DF9"/>
    <w:rsid w:val="008A3EC7"/>
    <w:rsid w:val="008A3EF4"/>
    <w:rsid w:val="008A3F49"/>
    <w:rsid w:val="008A410C"/>
    <w:rsid w:val="008A428C"/>
    <w:rsid w:val="008A42D7"/>
    <w:rsid w:val="008A4356"/>
    <w:rsid w:val="008A4444"/>
    <w:rsid w:val="008A447C"/>
    <w:rsid w:val="008A44F2"/>
    <w:rsid w:val="008A45D4"/>
    <w:rsid w:val="008A479A"/>
    <w:rsid w:val="008A49EA"/>
    <w:rsid w:val="008A4AF8"/>
    <w:rsid w:val="008A4B94"/>
    <w:rsid w:val="008A4BD5"/>
    <w:rsid w:val="008A4C3A"/>
    <w:rsid w:val="008A4D50"/>
    <w:rsid w:val="008A4E12"/>
    <w:rsid w:val="008A4EB2"/>
    <w:rsid w:val="008A50C1"/>
    <w:rsid w:val="008A5149"/>
    <w:rsid w:val="008A5199"/>
    <w:rsid w:val="008A51BC"/>
    <w:rsid w:val="008A51E7"/>
    <w:rsid w:val="008A5453"/>
    <w:rsid w:val="008A5570"/>
    <w:rsid w:val="008A5717"/>
    <w:rsid w:val="008A592B"/>
    <w:rsid w:val="008A596E"/>
    <w:rsid w:val="008A5A91"/>
    <w:rsid w:val="008A5BD5"/>
    <w:rsid w:val="008A5BE0"/>
    <w:rsid w:val="008A5C6D"/>
    <w:rsid w:val="008A5E1A"/>
    <w:rsid w:val="008A5F6E"/>
    <w:rsid w:val="008A603A"/>
    <w:rsid w:val="008A622F"/>
    <w:rsid w:val="008A6251"/>
    <w:rsid w:val="008A62D8"/>
    <w:rsid w:val="008A62F7"/>
    <w:rsid w:val="008A633A"/>
    <w:rsid w:val="008A63A8"/>
    <w:rsid w:val="008A647C"/>
    <w:rsid w:val="008A64CD"/>
    <w:rsid w:val="008A64DB"/>
    <w:rsid w:val="008A65A6"/>
    <w:rsid w:val="008A67CA"/>
    <w:rsid w:val="008A6946"/>
    <w:rsid w:val="008A6A70"/>
    <w:rsid w:val="008A6AFB"/>
    <w:rsid w:val="008A6B8B"/>
    <w:rsid w:val="008A712A"/>
    <w:rsid w:val="008A7369"/>
    <w:rsid w:val="008A73F3"/>
    <w:rsid w:val="008A7606"/>
    <w:rsid w:val="008A7781"/>
    <w:rsid w:val="008A77A9"/>
    <w:rsid w:val="008A7A49"/>
    <w:rsid w:val="008A7C5A"/>
    <w:rsid w:val="008A7CCD"/>
    <w:rsid w:val="008A7DB3"/>
    <w:rsid w:val="008A7DFD"/>
    <w:rsid w:val="008A7E65"/>
    <w:rsid w:val="008B0010"/>
    <w:rsid w:val="008B0029"/>
    <w:rsid w:val="008B00BD"/>
    <w:rsid w:val="008B017E"/>
    <w:rsid w:val="008B0208"/>
    <w:rsid w:val="008B022F"/>
    <w:rsid w:val="008B02FB"/>
    <w:rsid w:val="008B0324"/>
    <w:rsid w:val="008B03A1"/>
    <w:rsid w:val="008B03EE"/>
    <w:rsid w:val="008B0426"/>
    <w:rsid w:val="008B0464"/>
    <w:rsid w:val="008B0527"/>
    <w:rsid w:val="008B0693"/>
    <w:rsid w:val="008B07FB"/>
    <w:rsid w:val="008B0812"/>
    <w:rsid w:val="008B0874"/>
    <w:rsid w:val="008B0E6E"/>
    <w:rsid w:val="008B0F00"/>
    <w:rsid w:val="008B0FA1"/>
    <w:rsid w:val="008B108A"/>
    <w:rsid w:val="008B112D"/>
    <w:rsid w:val="008B1414"/>
    <w:rsid w:val="008B1582"/>
    <w:rsid w:val="008B19D7"/>
    <w:rsid w:val="008B19E6"/>
    <w:rsid w:val="008B1A97"/>
    <w:rsid w:val="008B1BBB"/>
    <w:rsid w:val="008B1E84"/>
    <w:rsid w:val="008B1F39"/>
    <w:rsid w:val="008B1F60"/>
    <w:rsid w:val="008B200C"/>
    <w:rsid w:val="008B23E7"/>
    <w:rsid w:val="008B2531"/>
    <w:rsid w:val="008B256A"/>
    <w:rsid w:val="008B2683"/>
    <w:rsid w:val="008B2796"/>
    <w:rsid w:val="008B2A50"/>
    <w:rsid w:val="008B2B98"/>
    <w:rsid w:val="008B2C73"/>
    <w:rsid w:val="008B2DFB"/>
    <w:rsid w:val="008B2E2B"/>
    <w:rsid w:val="008B2F3B"/>
    <w:rsid w:val="008B2F4A"/>
    <w:rsid w:val="008B30C6"/>
    <w:rsid w:val="008B31BA"/>
    <w:rsid w:val="008B32CA"/>
    <w:rsid w:val="008B3302"/>
    <w:rsid w:val="008B3347"/>
    <w:rsid w:val="008B34D7"/>
    <w:rsid w:val="008B36E6"/>
    <w:rsid w:val="008B377B"/>
    <w:rsid w:val="008B37EE"/>
    <w:rsid w:val="008B38A5"/>
    <w:rsid w:val="008B3BBF"/>
    <w:rsid w:val="008B3BCA"/>
    <w:rsid w:val="008B3D4D"/>
    <w:rsid w:val="008B3E30"/>
    <w:rsid w:val="008B3E52"/>
    <w:rsid w:val="008B3F4B"/>
    <w:rsid w:val="008B413E"/>
    <w:rsid w:val="008B425C"/>
    <w:rsid w:val="008B426C"/>
    <w:rsid w:val="008B4444"/>
    <w:rsid w:val="008B4462"/>
    <w:rsid w:val="008B44F2"/>
    <w:rsid w:val="008B46E9"/>
    <w:rsid w:val="008B47A4"/>
    <w:rsid w:val="008B4835"/>
    <w:rsid w:val="008B48FD"/>
    <w:rsid w:val="008B4F0A"/>
    <w:rsid w:val="008B4FD9"/>
    <w:rsid w:val="008B5184"/>
    <w:rsid w:val="008B51C3"/>
    <w:rsid w:val="008B5271"/>
    <w:rsid w:val="008B529A"/>
    <w:rsid w:val="008B53A7"/>
    <w:rsid w:val="008B565B"/>
    <w:rsid w:val="008B5725"/>
    <w:rsid w:val="008B57D5"/>
    <w:rsid w:val="008B592E"/>
    <w:rsid w:val="008B5BC9"/>
    <w:rsid w:val="008B5D53"/>
    <w:rsid w:val="008B600E"/>
    <w:rsid w:val="008B6117"/>
    <w:rsid w:val="008B6125"/>
    <w:rsid w:val="008B61AA"/>
    <w:rsid w:val="008B62D5"/>
    <w:rsid w:val="008B6326"/>
    <w:rsid w:val="008B636D"/>
    <w:rsid w:val="008B6712"/>
    <w:rsid w:val="008B6767"/>
    <w:rsid w:val="008B6778"/>
    <w:rsid w:val="008B67FF"/>
    <w:rsid w:val="008B68C8"/>
    <w:rsid w:val="008B693B"/>
    <w:rsid w:val="008B698D"/>
    <w:rsid w:val="008B6B47"/>
    <w:rsid w:val="008B6DFA"/>
    <w:rsid w:val="008B6E8F"/>
    <w:rsid w:val="008B7046"/>
    <w:rsid w:val="008B70CB"/>
    <w:rsid w:val="008B72B0"/>
    <w:rsid w:val="008B72DF"/>
    <w:rsid w:val="008B731C"/>
    <w:rsid w:val="008B731D"/>
    <w:rsid w:val="008B74EF"/>
    <w:rsid w:val="008B759E"/>
    <w:rsid w:val="008B76F0"/>
    <w:rsid w:val="008B7727"/>
    <w:rsid w:val="008B7798"/>
    <w:rsid w:val="008B7807"/>
    <w:rsid w:val="008B78A8"/>
    <w:rsid w:val="008B79E4"/>
    <w:rsid w:val="008B79E6"/>
    <w:rsid w:val="008B7A45"/>
    <w:rsid w:val="008B7A80"/>
    <w:rsid w:val="008B7BA1"/>
    <w:rsid w:val="008B7C4B"/>
    <w:rsid w:val="008B7DD6"/>
    <w:rsid w:val="008B7E71"/>
    <w:rsid w:val="008B7E99"/>
    <w:rsid w:val="008B7EC3"/>
    <w:rsid w:val="008B7FCC"/>
    <w:rsid w:val="008C00C1"/>
    <w:rsid w:val="008C01D2"/>
    <w:rsid w:val="008C063D"/>
    <w:rsid w:val="008C0647"/>
    <w:rsid w:val="008C0825"/>
    <w:rsid w:val="008C08B7"/>
    <w:rsid w:val="008C0981"/>
    <w:rsid w:val="008C09CB"/>
    <w:rsid w:val="008C0A41"/>
    <w:rsid w:val="008C0A8F"/>
    <w:rsid w:val="008C0AA0"/>
    <w:rsid w:val="008C0BEA"/>
    <w:rsid w:val="008C0CAA"/>
    <w:rsid w:val="008C0CDE"/>
    <w:rsid w:val="008C0D11"/>
    <w:rsid w:val="008C0FBE"/>
    <w:rsid w:val="008C0FF3"/>
    <w:rsid w:val="008C111B"/>
    <w:rsid w:val="008C1165"/>
    <w:rsid w:val="008C12BD"/>
    <w:rsid w:val="008C133A"/>
    <w:rsid w:val="008C143D"/>
    <w:rsid w:val="008C15F3"/>
    <w:rsid w:val="008C160A"/>
    <w:rsid w:val="008C1612"/>
    <w:rsid w:val="008C1635"/>
    <w:rsid w:val="008C1867"/>
    <w:rsid w:val="008C1BD6"/>
    <w:rsid w:val="008C1BE0"/>
    <w:rsid w:val="008C1C75"/>
    <w:rsid w:val="008C1CBF"/>
    <w:rsid w:val="008C1D49"/>
    <w:rsid w:val="008C1DB7"/>
    <w:rsid w:val="008C2110"/>
    <w:rsid w:val="008C2190"/>
    <w:rsid w:val="008C2272"/>
    <w:rsid w:val="008C2276"/>
    <w:rsid w:val="008C22B1"/>
    <w:rsid w:val="008C2330"/>
    <w:rsid w:val="008C24DF"/>
    <w:rsid w:val="008C26D6"/>
    <w:rsid w:val="008C270E"/>
    <w:rsid w:val="008C2726"/>
    <w:rsid w:val="008C27D1"/>
    <w:rsid w:val="008C28DE"/>
    <w:rsid w:val="008C2944"/>
    <w:rsid w:val="008C294F"/>
    <w:rsid w:val="008C2965"/>
    <w:rsid w:val="008C2982"/>
    <w:rsid w:val="008C2BE1"/>
    <w:rsid w:val="008C2CD8"/>
    <w:rsid w:val="008C2CFA"/>
    <w:rsid w:val="008C2E7F"/>
    <w:rsid w:val="008C306A"/>
    <w:rsid w:val="008C30A6"/>
    <w:rsid w:val="008C30B6"/>
    <w:rsid w:val="008C31B4"/>
    <w:rsid w:val="008C335A"/>
    <w:rsid w:val="008C3540"/>
    <w:rsid w:val="008C3769"/>
    <w:rsid w:val="008C37B2"/>
    <w:rsid w:val="008C391E"/>
    <w:rsid w:val="008C3944"/>
    <w:rsid w:val="008C3945"/>
    <w:rsid w:val="008C39C7"/>
    <w:rsid w:val="008C3BD0"/>
    <w:rsid w:val="008C3C02"/>
    <w:rsid w:val="008C3CD1"/>
    <w:rsid w:val="008C3E06"/>
    <w:rsid w:val="008C3EBF"/>
    <w:rsid w:val="008C4234"/>
    <w:rsid w:val="008C4307"/>
    <w:rsid w:val="008C4448"/>
    <w:rsid w:val="008C4454"/>
    <w:rsid w:val="008C4531"/>
    <w:rsid w:val="008C453E"/>
    <w:rsid w:val="008C46AA"/>
    <w:rsid w:val="008C4839"/>
    <w:rsid w:val="008C4A08"/>
    <w:rsid w:val="008C4A25"/>
    <w:rsid w:val="008C4A8B"/>
    <w:rsid w:val="008C4B14"/>
    <w:rsid w:val="008C4B53"/>
    <w:rsid w:val="008C4C9F"/>
    <w:rsid w:val="008C4D8F"/>
    <w:rsid w:val="008C4E4C"/>
    <w:rsid w:val="008C51C9"/>
    <w:rsid w:val="008C51D9"/>
    <w:rsid w:val="008C531D"/>
    <w:rsid w:val="008C54ED"/>
    <w:rsid w:val="008C566D"/>
    <w:rsid w:val="008C5705"/>
    <w:rsid w:val="008C5722"/>
    <w:rsid w:val="008C59B1"/>
    <w:rsid w:val="008C5BF0"/>
    <w:rsid w:val="008C5C97"/>
    <w:rsid w:val="008C5E66"/>
    <w:rsid w:val="008C5EC2"/>
    <w:rsid w:val="008C5EED"/>
    <w:rsid w:val="008C5EFD"/>
    <w:rsid w:val="008C5FDB"/>
    <w:rsid w:val="008C6142"/>
    <w:rsid w:val="008C62B1"/>
    <w:rsid w:val="008C62D7"/>
    <w:rsid w:val="008C630E"/>
    <w:rsid w:val="008C6451"/>
    <w:rsid w:val="008C64EA"/>
    <w:rsid w:val="008C64FD"/>
    <w:rsid w:val="008C6566"/>
    <w:rsid w:val="008C6633"/>
    <w:rsid w:val="008C66D8"/>
    <w:rsid w:val="008C66EF"/>
    <w:rsid w:val="008C672F"/>
    <w:rsid w:val="008C6919"/>
    <w:rsid w:val="008C6A01"/>
    <w:rsid w:val="008C6CE5"/>
    <w:rsid w:val="008C6CE6"/>
    <w:rsid w:val="008C6ECE"/>
    <w:rsid w:val="008C6F24"/>
    <w:rsid w:val="008C70B0"/>
    <w:rsid w:val="008C70E0"/>
    <w:rsid w:val="008C71F8"/>
    <w:rsid w:val="008C72F4"/>
    <w:rsid w:val="008C745D"/>
    <w:rsid w:val="008C7561"/>
    <w:rsid w:val="008C7576"/>
    <w:rsid w:val="008C75DF"/>
    <w:rsid w:val="008C761A"/>
    <w:rsid w:val="008C788D"/>
    <w:rsid w:val="008C78B8"/>
    <w:rsid w:val="008C797B"/>
    <w:rsid w:val="008C79BC"/>
    <w:rsid w:val="008C7A92"/>
    <w:rsid w:val="008C7D0B"/>
    <w:rsid w:val="008C7E01"/>
    <w:rsid w:val="008C7E1E"/>
    <w:rsid w:val="008C7EAC"/>
    <w:rsid w:val="008C7EE3"/>
    <w:rsid w:val="008C7EEB"/>
    <w:rsid w:val="008C7FEC"/>
    <w:rsid w:val="008D0082"/>
    <w:rsid w:val="008D0152"/>
    <w:rsid w:val="008D01FA"/>
    <w:rsid w:val="008D0286"/>
    <w:rsid w:val="008D0334"/>
    <w:rsid w:val="008D03B5"/>
    <w:rsid w:val="008D0655"/>
    <w:rsid w:val="008D0740"/>
    <w:rsid w:val="008D0765"/>
    <w:rsid w:val="008D07C3"/>
    <w:rsid w:val="008D07C5"/>
    <w:rsid w:val="008D08FD"/>
    <w:rsid w:val="008D0B52"/>
    <w:rsid w:val="008D0D88"/>
    <w:rsid w:val="008D0E95"/>
    <w:rsid w:val="008D108F"/>
    <w:rsid w:val="008D1099"/>
    <w:rsid w:val="008D10E0"/>
    <w:rsid w:val="008D122F"/>
    <w:rsid w:val="008D1321"/>
    <w:rsid w:val="008D1353"/>
    <w:rsid w:val="008D13CC"/>
    <w:rsid w:val="008D1509"/>
    <w:rsid w:val="008D1542"/>
    <w:rsid w:val="008D1605"/>
    <w:rsid w:val="008D165E"/>
    <w:rsid w:val="008D1706"/>
    <w:rsid w:val="008D17B1"/>
    <w:rsid w:val="008D1888"/>
    <w:rsid w:val="008D1A2C"/>
    <w:rsid w:val="008D1A56"/>
    <w:rsid w:val="008D1AC0"/>
    <w:rsid w:val="008D1BC3"/>
    <w:rsid w:val="008D1BC9"/>
    <w:rsid w:val="008D1C45"/>
    <w:rsid w:val="008D1C87"/>
    <w:rsid w:val="008D1E63"/>
    <w:rsid w:val="008D1EE9"/>
    <w:rsid w:val="008D1F70"/>
    <w:rsid w:val="008D20C7"/>
    <w:rsid w:val="008D2326"/>
    <w:rsid w:val="008D2355"/>
    <w:rsid w:val="008D27CC"/>
    <w:rsid w:val="008D299D"/>
    <w:rsid w:val="008D2A12"/>
    <w:rsid w:val="008D2AE2"/>
    <w:rsid w:val="008D2B37"/>
    <w:rsid w:val="008D2B49"/>
    <w:rsid w:val="008D2BEB"/>
    <w:rsid w:val="008D2CB0"/>
    <w:rsid w:val="008D2DFA"/>
    <w:rsid w:val="008D2F00"/>
    <w:rsid w:val="008D3118"/>
    <w:rsid w:val="008D32B7"/>
    <w:rsid w:val="008D34BF"/>
    <w:rsid w:val="008D3914"/>
    <w:rsid w:val="008D3A42"/>
    <w:rsid w:val="008D3A95"/>
    <w:rsid w:val="008D3AA4"/>
    <w:rsid w:val="008D3B86"/>
    <w:rsid w:val="008D3C69"/>
    <w:rsid w:val="008D3D79"/>
    <w:rsid w:val="008D3F3F"/>
    <w:rsid w:val="008D3F73"/>
    <w:rsid w:val="008D400B"/>
    <w:rsid w:val="008D4066"/>
    <w:rsid w:val="008D40A7"/>
    <w:rsid w:val="008D41A7"/>
    <w:rsid w:val="008D422F"/>
    <w:rsid w:val="008D4255"/>
    <w:rsid w:val="008D4360"/>
    <w:rsid w:val="008D437A"/>
    <w:rsid w:val="008D445F"/>
    <w:rsid w:val="008D4472"/>
    <w:rsid w:val="008D4554"/>
    <w:rsid w:val="008D45CF"/>
    <w:rsid w:val="008D46F5"/>
    <w:rsid w:val="008D495A"/>
    <w:rsid w:val="008D4998"/>
    <w:rsid w:val="008D4A8C"/>
    <w:rsid w:val="008D4BB5"/>
    <w:rsid w:val="008D4CD4"/>
    <w:rsid w:val="008D4ED1"/>
    <w:rsid w:val="008D5140"/>
    <w:rsid w:val="008D5207"/>
    <w:rsid w:val="008D5223"/>
    <w:rsid w:val="008D52DC"/>
    <w:rsid w:val="008D53C1"/>
    <w:rsid w:val="008D541D"/>
    <w:rsid w:val="008D54E3"/>
    <w:rsid w:val="008D55FC"/>
    <w:rsid w:val="008D5751"/>
    <w:rsid w:val="008D57A4"/>
    <w:rsid w:val="008D57AA"/>
    <w:rsid w:val="008D57C6"/>
    <w:rsid w:val="008D581E"/>
    <w:rsid w:val="008D585F"/>
    <w:rsid w:val="008D5A44"/>
    <w:rsid w:val="008D5D93"/>
    <w:rsid w:val="008D5EEC"/>
    <w:rsid w:val="008D5F1D"/>
    <w:rsid w:val="008D61EB"/>
    <w:rsid w:val="008D62C1"/>
    <w:rsid w:val="008D62E0"/>
    <w:rsid w:val="008D6312"/>
    <w:rsid w:val="008D6554"/>
    <w:rsid w:val="008D686B"/>
    <w:rsid w:val="008D6AFE"/>
    <w:rsid w:val="008D6BD4"/>
    <w:rsid w:val="008D6D67"/>
    <w:rsid w:val="008D6E5C"/>
    <w:rsid w:val="008D6F2E"/>
    <w:rsid w:val="008D6F66"/>
    <w:rsid w:val="008D6FC2"/>
    <w:rsid w:val="008D708C"/>
    <w:rsid w:val="008D73E4"/>
    <w:rsid w:val="008D742E"/>
    <w:rsid w:val="008D7517"/>
    <w:rsid w:val="008D76F4"/>
    <w:rsid w:val="008D77AC"/>
    <w:rsid w:val="008D796B"/>
    <w:rsid w:val="008D79CD"/>
    <w:rsid w:val="008D7B92"/>
    <w:rsid w:val="008D7C33"/>
    <w:rsid w:val="008D7CDA"/>
    <w:rsid w:val="008D7DDE"/>
    <w:rsid w:val="008D7DFA"/>
    <w:rsid w:val="008E00DD"/>
    <w:rsid w:val="008E04AB"/>
    <w:rsid w:val="008E0520"/>
    <w:rsid w:val="008E05AE"/>
    <w:rsid w:val="008E078A"/>
    <w:rsid w:val="008E07BF"/>
    <w:rsid w:val="008E08F2"/>
    <w:rsid w:val="008E0960"/>
    <w:rsid w:val="008E0A31"/>
    <w:rsid w:val="008E0CE6"/>
    <w:rsid w:val="008E0D0D"/>
    <w:rsid w:val="008E0DA1"/>
    <w:rsid w:val="008E0F59"/>
    <w:rsid w:val="008E1393"/>
    <w:rsid w:val="008E140D"/>
    <w:rsid w:val="008E147D"/>
    <w:rsid w:val="008E159E"/>
    <w:rsid w:val="008E15A5"/>
    <w:rsid w:val="008E15A9"/>
    <w:rsid w:val="008E15FB"/>
    <w:rsid w:val="008E1785"/>
    <w:rsid w:val="008E1791"/>
    <w:rsid w:val="008E1801"/>
    <w:rsid w:val="008E1804"/>
    <w:rsid w:val="008E18C6"/>
    <w:rsid w:val="008E18F8"/>
    <w:rsid w:val="008E1C36"/>
    <w:rsid w:val="008E1EAF"/>
    <w:rsid w:val="008E206E"/>
    <w:rsid w:val="008E2153"/>
    <w:rsid w:val="008E21A2"/>
    <w:rsid w:val="008E21DB"/>
    <w:rsid w:val="008E22ED"/>
    <w:rsid w:val="008E2342"/>
    <w:rsid w:val="008E23CB"/>
    <w:rsid w:val="008E23DC"/>
    <w:rsid w:val="008E274F"/>
    <w:rsid w:val="008E280C"/>
    <w:rsid w:val="008E28F5"/>
    <w:rsid w:val="008E2934"/>
    <w:rsid w:val="008E29D2"/>
    <w:rsid w:val="008E2AF5"/>
    <w:rsid w:val="008E2BB1"/>
    <w:rsid w:val="008E2C76"/>
    <w:rsid w:val="008E2CEA"/>
    <w:rsid w:val="008E30CE"/>
    <w:rsid w:val="008E30F8"/>
    <w:rsid w:val="008E311F"/>
    <w:rsid w:val="008E3215"/>
    <w:rsid w:val="008E323B"/>
    <w:rsid w:val="008E3256"/>
    <w:rsid w:val="008E3399"/>
    <w:rsid w:val="008E33E2"/>
    <w:rsid w:val="008E3564"/>
    <w:rsid w:val="008E3619"/>
    <w:rsid w:val="008E3769"/>
    <w:rsid w:val="008E392A"/>
    <w:rsid w:val="008E39B1"/>
    <w:rsid w:val="008E3A17"/>
    <w:rsid w:val="008E3A86"/>
    <w:rsid w:val="008E3CF0"/>
    <w:rsid w:val="008E3D05"/>
    <w:rsid w:val="008E3D64"/>
    <w:rsid w:val="008E3D8D"/>
    <w:rsid w:val="008E3E11"/>
    <w:rsid w:val="008E3FD3"/>
    <w:rsid w:val="008E4001"/>
    <w:rsid w:val="008E4089"/>
    <w:rsid w:val="008E4187"/>
    <w:rsid w:val="008E41BB"/>
    <w:rsid w:val="008E4283"/>
    <w:rsid w:val="008E42AF"/>
    <w:rsid w:val="008E4346"/>
    <w:rsid w:val="008E450F"/>
    <w:rsid w:val="008E474D"/>
    <w:rsid w:val="008E48DA"/>
    <w:rsid w:val="008E4A1B"/>
    <w:rsid w:val="008E4A3F"/>
    <w:rsid w:val="008E4ABA"/>
    <w:rsid w:val="008E4BAC"/>
    <w:rsid w:val="008E4BC1"/>
    <w:rsid w:val="008E4CD8"/>
    <w:rsid w:val="008E4D8E"/>
    <w:rsid w:val="008E506D"/>
    <w:rsid w:val="008E5073"/>
    <w:rsid w:val="008E50C1"/>
    <w:rsid w:val="008E512C"/>
    <w:rsid w:val="008E5220"/>
    <w:rsid w:val="008E534C"/>
    <w:rsid w:val="008E540F"/>
    <w:rsid w:val="008E55DC"/>
    <w:rsid w:val="008E56CF"/>
    <w:rsid w:val="008E5703"/>
    <w:rsid w:val="008E57C5"/>
    <w:rsid w:val="008E59D3"/>
    <w:rsid w:val="008E5ADD"/>
    <w:rsid w:val="008E5EF1"/>
    <w:rsid w:val="008E5F57"/>
    <w:rsid w:val="008E6283"/>
    <w:rsid w:val="008E641D"/>
    <w:rsid w:val="008E648C"/>
    <w:rsid w:val="008E64E1"/>
    <w:rsid w:val="008E64ED"/>
    <w:rsid w:val="008E67D2"/>
    <w:rsid w:val="008E68C0"/>
    <w:rsid w:val="008E6A93"/>
    <w:rsid w:val="008E6AD4"/>
    <w:rsid w:val="008E6CAB"/>
    <w:rsid w:val="008E6EFD"/>
    <w:rsid w:val="008E7154"/>
    <w:rsid w:val="008E71A6"/>
    <w:rsid w:val="008E7347"/>
    <w:rsid w:val="008E7709"/>
    <w:rsid w:val="008E7748"/>
    <w:rsid w:val="008E78B0"/>
    <w:rsid w:val="008E7986"/>
    <w:rsid w:val="008E7AB3"/>
    <w:rsid w:val="008E7AB7"/>
    <w:rsid w:val="008E7C5D"/>
    <w:rsid w:val="008E7CC5"/>
    <w:rsid w:val="008E7E53"/>
    <w:rsid w:val="008E7EFE"/>
    <w:rsid w:val="008E7FF5"/>
    <w:rsid w:val="008F0236"/>
    <w:rsid w:val="008F026E"/>
    <w:rsid w:val="008F02B2"/>
    <w:rsid w:val="008F055F"/>
    <w:rsid w:val="008F0594"/>
    <w:rsid w:val="008F091B"/>
    <w:rsid w:val="008F092D"/>
    <w:rsid w:val="008F096B"/>
    <w:rsid w:val="008F0A6E"/>
    <w:rsid w:val="008F0CA4"/>
    <w:rsid w:val="008F0FC6"/>
    <w:rsid w:val="008F1031"/>
    <w:rsid w:val="008F1088"/>
    <w:rsid w:val="008F129F"/>
    <w:rsid w:val="008F132A"/>
    <w:rsid w:val="008F1426"/>
    <w:rsid w:val="008F14AE"/>
    <w:rsid w:val="008F1569"/>
    <w:rsid w:val="008F16C4"/>
    <w:rsid w:val="008F1879"/>
    <w:rsid w:val="008F18B1"/>
    <w:rsid w:val="008F18C4"/>
    <w:rsid w:val="008F1A0D"/>
    <w:rsid w:val="008F1A1E"/>
    <w:rsid w:val="008F1B47"/>
    <w:rsid w:val="008F1C2B"/>
    <w:rsid w:val="008F1D12"/>
    <w:rsid w:val="008F1F22"/>
    <w:rsid w:val="008F1F63"/>
    <w:rsid w:val="008F1FA7"/>
    <w:rsid w:val="008F2040"/>
    <w:rsid w:val="008F218E"/>
    <w:rsid w:val="008F22EA"/>
    <w:rsid w:val="008F231A"/>
    <w:rsid w:val="008F234B"/>
    <w:rsid w:val="008F23A6"/>
    <w:rsid w:val="008F2458"/>
    <w:rsid w:val="008F245A"/>
    <w:rsid w:val="008F24E7"/>
    <w:rsid w:val="008F2551"/>
    <w:rsid w:val="008F26C4"/>
    <w:rsid w:val="008F2721"/>
    <w:rsid w:val="008F272D"/>
    <w:rsid w:val="008F2828"/>
    <w:rsid w:val="008F2842"/>
    <w:rsid w:val="008F290E"/>
    <w:rsid w:val="008F2A55"/>
    <w:rsid w:val="008F2E29"/>
    <w:rsid w:val="008F2F15"/>
    <w:rsid w:val="008F2FC2"/>
    <w:rsid w:val="008F3132"/>
    <w:rsid w:val="008F3167"/>
    <w:rsid w:val="008F317D"/>
    <w:rsid w:val="008F31B1"/>
    <w:rsid w:val="008F3230"/>
    <w:rsid w:val="008F32A2"/>
    <w:rsid w:val="008F333D"/>
    <w:rsid w:val="008F3501"/>
    <w:rsid w:val="008F356F"/>
    <w:rsid w:val="008F3605"/>
    <w:rsid w:val="008F37B0"/>
    <w:rsid w:val="008F37F1"/>
    <w:rsid w:val="008F3801"/>
    <w:rsid w:val="008F380D"/>
    <w:rsid w:val="008F3819"/>
    <w:rsid w:val="008F3890"/>
    <w:rsid w:val="008F3A9F"/>
    <w:rsid w:val="008F3B60"/>
    <w:rsid w:val="008F3EA8"/>
    <w:rsid w:val="008F3F14"/>
    <w:rsid w:val="008F3F83"/>
    <w:rsid w:val="008F4050"/>
    <w:rsid w:val="008F4059"/>
    <w:rsid w:val="008F40D8"/>
    <w:rsid w:val="008F426C"/>
    <w:rsid w:val="008F4289"/>
    <w:rsid w:val="008F42D3"/>
    <w:rsid w:val="008F44FA"/>
    <w:rsid w:val="008F456B"/>
    <w:rsid w:val="008F463E"/>
    <w:rsid w:val="008F47E2"/>
    <w:rsid w:val="008F48FD"/>
    <w:rsid w:val="008F4900"/>
    <w:rsid w:val="008F4953"/>
    <w:rsid w:val="008F4956"/>
    <w:rsid w:val="008F4B7F"/>
    <w:rsid w:val="008F4C79"/>
    <w:rsid w:val="008F4C89"/>
    <w:rsid w:val="008F4CBD"/>
    <w:rsid w:val="008F4D12"/>
    <w:rsid w:val="008F4EA7"/>
    <w:rsid w:val="008F4F79"/>
    <w:rsid w:val="008F5041"/>
    <w:rsid w:val="008F50B6"/>
    <w:rsid w:val="008F5204"/>
    <w:rsid w:val="008F5225"/>
    <w:rsid w:val="008F5267"/>
    <w:rsid w:val="008F53ED"/>
    <w:rsid w:val="008F551B"/>
    <w:rsid w:val="008F55F2"/>
    <w:rsid w:val="008F5646"/>
    <w:rsid w:val="008F579A"/>
    <w:rsid w:val="008F5839"/>
    <w:rsid w:val="008F592D"/>
    <w:rsid w:val="008F5B1D"/>
    <w:rsid w:val="008F5B8D"/>
    <w:rsid w:val="008F5CF6"/>
    <w:rsid w:val="008F5D58"/>
    <w:rsid w:val="008F5F3C"/>
    <w:rsid w:val="008F61DB"/>
    <w:rsid w:val="008F61F3"/>
    <w:rsid w:val="008F620C"/>
    <w:rsid w:val="008F621C"/>
    <w:rsid w:val="008F6361"/>
    <w:rsid w:val="008F640D"/>
    <w:rsid w:val="008F65F6"/>
    <w:rsid w:val="008F6609"/>
    <w:rsid w:val="008F6635"/>
    <w:rsid w:val="008F67CA"/>
    <w:rsid w:val="008F6916"/>
    <w:rsid w:val="008F6A42"/>
    <w:rsid w:val="008F6AE3"/>
    <w:rsid w:val="008F6B7A"/>
    <w:rsid w:val="008F6C45"/>
    <w:rsid w:val="008F6D31"/>
    <w:rsid w:val="008F6E4B"/>
    <w:rsid w:val="008F6EB2"/>
    <w:rsid w:val="008F6FEF"/>
    <w:rsid w:val="008F701B"/>
    <w:rsid w:val="008F7041"/>
    <w:rsid w:val="008F7119"/>
    <w:rsid w:val="008F72E5"/>
    <w:rsid w:val="008F737F"/>
    <w:rsid w:val="008F73E9"/>
    <w:rsid w:val="008F74BF"/>
    <w:rsid w:val="008F7587"/>
    <w:rsid w:val="008F75A4"/>
    <w:rsid w:val="008F75B7"/>
    <w:rsid w:val="008F75CD"/>
    <w:rsid w:val="008F7630"/>
    <w:rsid w:val="008F7662"/>
    <w:rsid w:val="008F76D6"/>
    <w:rsid w:val="008F77B9"/>
    <w:rsid w:val="008F7D7D"/>
    <w:rsid w:val="008F7DE7"/>
    <w:rsid w:val="008F7ED9"/>
    <w:rsid w:val="009000E9"/>
    <w:rsid w:val="0090028B"/>
    <w:rsid w:val="009003E8"/>
    <w:rsid w:val="00900532"/>
    <w:rsid w:val="00900783"/>
    <w:rsid w:val="0090084B"/>
    <w:rsid w:val="009009D3"/>
    <w:rsid w:val="00900AF0"/>
    <w:rsid w:val="00900E74"/>
    <w:rsid w:val="00900E7C"/>
    <w:rsid w:val="00900F40"/>
    <w:rsid w:val="0090116F"/>
    <w:rsid w:val="00901238"/>
    <w:rsid w:val="009012A6"/>
    <w:rsid w:val="0090140A"/>
    <w:rsid w:val="00901448"/>
    <w:rsid w:val="00901622"/>
    <w:rsid w:val="009016A2"/>
    <w:rsid w:val="0090178D"/>
    <w:rsid w:val="00901827"/>
    <w:rsid w:val="00901B4A"/>
    <w:rsid w:val="00901B89"/>
    <w:rsid w:val="00901BDA"/>
    <w:rsid w:val="00901BFB"/>
    <w:rsid w:val="00901C8B"/>
    <w:rsid w:val="00901D4E"/>
    <w:rsid w:val="00901DC9"/>
    <w:rsid w:val="00901E76"/>
    <w:rsid w:val="00901E8B"/>
    <w:rsid w:val="00901EE8"/>
    <w:rsid w:val="00901F07"/>
    <w:rsid w:val="00902111"/>
    <w:rsid w:val="00902170"/>
    <w:rsid w:val="009022D3"/>
    <w:rsid w:val="009025BE"/>
    <w:rsid w:val="00902630"/>
    <w:rsid w:val="00902994"/>
    <w:rsid w:val="00902997"/>
    <w:rsid w:val="00902AE0"/>
    <w:rsid w:val="00902B86"/>
    <w:rsid w:val="00902BE7"/>
    <w:rsid w:val="00902EE8"/>
    <w:rsid w:val="0090303E"/>
    <w:rsid w:val="00903065"/>
    <w:rsid w:val="0090306D"/>
    <w:rsid w:val="009031DC"/>
    <w:rsid w:val="00903237"/>
    <w:rsid w:val="009033A0"/>
    <w:rsid w:val="0090356D"/>
    <w:rsid w:val="00903649"/>
    <w:rsid w:val="00903679"/>
    <w:rsid w:val="00903707"/>
    <w:rsid w:val="009037C4"/>
    <w:rsid w:val="00903869"/>
    <w:rsid w:val="009038A2"/>
    <w:rsid w:val="009038FD"/>
    <w:rsid w:val="00903BB0"/>
    <w:rsid w:val="00903C39"/>
    <w:rsid w:val="00903C8B"/>
    <w:rsid w:val="00903CCD"/>
    <w:rsid w:val="00903D44"/>
    <w:rsid w:val="00903E05"/>
    <w:rsid w:val="00903EED"/>
    <w:rsid w:val="00903FB7"/>
    <w:rsid w:val="00903FD5"/>
    <w:rsid w:val="009040EE"/>
    <w:rsid w:val="009043E0"/>
    <w:rsid w:val="009043EF"/>
    <w:rsid w:val="00904409"/>
    <w:rsid w:val="00904415"/>
    <w:rsid w:val="009046B6"/>
    <w:rsid w:val="009046ED"/>
    <w:rsid w:val="0090474C"/>
    <w:rsid w:val="00904945"/>
    <w:rsid w:val="0090496A"/>
    <w:rsid w:val="009049C2"/>
    <w:rsid w:val="00904A96"/>
    <w:rsid w:val="00904BA5"/>
    <w:rsid w:val="00904C98"/>
    <w:rsid w:val="00904EF7"/>
    <w:rsid w:val="00904F60"/>
    <w:rsid w:val="00904F8F"/>
    <w:rsid w:val="009050BC"/>
    <w:rsid w:val="009051CA"/>
    <w:rsid w:val="009053FB"/>
    <w:rsid w:val="0090555E"/>
    <w:rsid w:val="0090559D"/>
    <w:rsid w:val="00905693"/>
    <w:rsid w:val="009056E5"/>
    <w:rsid w:val="009057BB"/>
    <w:rsid w:val="009057FD"/>
    <w:rsid w:val="0090582C"/>
    <w:rsid w:val="0090584F"/>
    <w:rsid w:val="00905915"/>
    <w:rsid w:val="0090592A"/>
    <w:rsid w:val="00905964"/>
    <w:rsid w:val="009059DC"/>
    <w:rsid w:val="00905B90"/>
    <w:rsid w:val="00905C64"/>
    <w:rsid w:val="00905E87"/>
    <w:rsid w:val="00905EEF"/>
    <w:rsid w:val="00905F6C"/>
    <w:rsid w:val="0090617F"/>
    <w:rsid w:val="009061EA"/>
    <w:rsid w:val="00906325"/>
    <w:rsid w:val="00906328"/>
    <w:rsid w:val="0090638B"/>
    <w:rsid w:val="00906494"/>
    <w:rsid w:val="009064B9"/>
    <w:rsid w:val="00906A1F"/>
    <w:rsid w:val="00906B68"/>
    <w:rsid w:val="00906BBD"/>
    <w:rsid w:val="00906E1C"/>
    <w:rsid w:val="00906E64"/>
    <w:rsid w:val="00906E6C"/>
    <w:rsid w:val="00906FE6"/>
    <w:rsid w:val="009070A7"/>
    <w:rsid w:val="0090719E"/>
    <w:rsid w:val="009072B6"/>
    <w:rsid w:val="00907339"/>
    <w:rsid w:val="0090734E"/>
    <w:rsid w:val="009073A7"/>
    <w:rsid w:val="00907460"/>
    <w:rsid w:val="009075B6"/>
    <w:rsid w:val="00907646"/>
    <w:rsid w:val="009077D0"/>
    <w:rsid w:val="00907AAA"/>
    <w:rsid w:val="00907C9C"/>
    <w:rsid w:val="00907DE3"/>
    <w:rsid w:val="00907E0D"/>
    <w:rsid w:val="00907F42"/>
    <w:rsid w:val="009100A8"/>
    <w:rsid w:val="00910188"/>
    <w:rsid w:val="009101DF"/>
    <w:rsid w:val="00910373"/>
    <w:rsid w:val="00910497"/>
    <w:rsid w:val="009104E9"/>
    <w:rsid w:val="009105D5"/>
    <w:rsid w:val="0091070F"/>
    <w:rsid w:val="00910751"/>
    <w:rsid w:val="0091079E"/>
    <w:rsid w:val="009107E2"/>
    <w:rsid w:val="00910883"/>
    <w:rsid w:val="009109E7"/>
    <w:rsid w:val="009109F7"/>
    <w:rsid w:val="00910ADE"/>
    <w:rsid w:val="00910AFB"/>
    <w:rsid w:val="00910BA3"/>
    <w:rsid w:val="00910C81"/>
    <w:rsid w:val="00910CBB"/>
    <w:rsid w:val="00910CF6"/>
    <w:rsid w:val="00910D78"/>
    <w:rsid w:val="00910DFE"/>
    <w:rsid w:val="00910EBF"/>
    <w:rsid w:val="0091112C"/>
    <w:rsid w:val="009112D9"/>
    <w:rsid w:val="00911427"/>
    <w:rsid w:val="00911705"/>
    <w:rsid w:val="009117CB"/>
    <w:rsid w:val="009117EE"/>
    <w:rsid w:val="00911961"/>
    <w:rsid w:val="00911AF2"/>
    <w:rsid w:val="00911E68"/>
    <w:rsid w:val="00911EFB"/>
    <w:rsid w:val="00911F45"/>
    <w:rsid w:val="00911F75"/>
    <w:rsid w:val="0091230F"/>
    <w:rsid w:val="00912932"/>
    <w:rsid w:val="00912B39"/>
    <w:rsid w:val="00912C0A"/>
    <w:rsid w:val="00912F29"/>
    <w:rsid w:val="00912FFB"/>
    <w:rsid w:val="0091310D"/>
    <w:rsid w:val="00913190"/>
    <w:rsid w:val="009131D5"/>
    <w:rsid w:val="0091321F"/>
    <w:rsid w:val="00913244"/>
    <w:rsid w:val="00913321"/>
    <w:rsid w:val="00913381"/>
    <w:rsid w:val="0091340E"/>
    <w:rsid w:val="0091348A"/>
    <w:rsid w:val="0091348E"/>
    <w:rsid w:val="009135BB"/>
    <w:rsid w:val="009136A9"/>
    <w:rsid w:val="00913866"/>
    <w:rsid w:val="0091387C"/>
    <w:rsid w:val="009138A4"/>
    <w:rsid w:val="009138B5"/>
    <w:rsid w:val="00913926"/>
    <w:rsid w:val="009139D2"/>
    <w:rsid w:val="00913B2C"/>
    <w:rsid w:val="00913B92"/>
    <w:rsid w:val="00913C0D"/>
    <w:rsid w:val="00913C3E"/>
    <w:rsid w:val="00914156"/>
    <w:rsid w:val="009141C5"/>
    <w:rsid w:val="009143C7"/>
    <w:rsid w:val="0091445E"/>
    <w:rsid w:val="00914550"/>
    <w:rsid w:val="009145C3"/>
    <w:rsid w:val="009145FD"/>
    <w:rsid w:val="009146C4"/>
    <w:rsid w:val="0091471E"/>
    <w:rsid w:val="00914732"/>
    <w:rsid w:val="00914754"/>
    <w:rsid w:val="009148C0"/>
    <w:rsid w:val="009148E4"/>
    <w:rsid w:val="009148F9"/>
    <w:rsid w:val="00914A4E"/>
    <w:rsid w:val="00914AC7"/>
    <w:rsid w:val="00914B9C"/>
    <w:rsid w:val="00914BB1"/>
    <w:rsid w:val="00914D8B"/>
    <w:rsid w:val="00914E4E"/>
    <w:rsid w:val="00914E58"/>
    <w:rsid w:val="00914FB9"/>
    <w:rsid w:val="00915029"/>
    <w:rsid w:val="009150C9"/>
    <w:rsid w:val="0091526B"/>
    <w:rsid w:val="009152AA"/>
    <w:rsid w:val="00915452"/>
    <w:rsid w:val="009154C1"/>
    <w:rsid w:val="009154CC"/>
    <w:rsid w:val="00915502"/>
    <w:rsid w:val="00915528"/>
    <w:rsid w:val="00915771"/>
    <w:rsid w:val="0091595A"/>
    <w:rsid w:val="00915A35"/>
    <w:rsid w:val="00915A55"/>
    <w:rsid w:val="00915A5A"/>
    <w:rsid w:val="00915B16"/>
    <w:rsid w:val="00915C92"/>
    <w:rsid w:val="00915F47"/>
    <w:rsid w:val="00915FC3"/>
    <w:rsid w:val="00916055"/>
    <w:rsid w:val="00916097"/>
    <w:rsid w:val="009161C5"/>
    <w:rsid w:val="00916416"/>
    <w:rsid w:val="00916463"/>
    <w:rsid w:val="009164E0"/>
    <w:rsid w:val="009164F6"/>
    <w:rsid w:val="00916789"/>
    <w:rsid w:val="009167B0"/>
    <w:rsid w:val="009167B6"/>
    <w:rsid w:val="009167B7"/>
    <w:rsid w:val="009169F1"/>
    <w:rsid w:val="00916B44"/>
    <w:rsid w:val="00916C4E"/>
    <w:rsid w:val="00916CE8"/>
    <w:rsid w:val="00917236"/>
    <w:rsid w:val="00917237"/>
    <w:rsid w:val="009172BB"/>
    <w:rsid w:val="00917464"/>
    <w:rsid w:val="009174C6"/>
    <w:rsid w:val="009175B2"/>
    <w:rsid w:val="009175EC"/>
    <w:rsid w:val="00917694"/>
    <w:rsid w:val="009177AA"/>
    <w:rsid w:val="0091785A"/>
    <w:rsid w:val="0091794B"/>
    <w:rsid w:val="0091799E"/>
    <w:rsid w:val="00917A02"/>
    <w:rsid w:val="00917A1D"/>
    <w:rsid w:val="00917A25"/>
    <w:rsid w:val="00917A2D"/>
    <w:rsid w:val="00917B05"/>
    <w:rsid w:val="00917D1E"/>
    <w:rsid w:val="00917D7F"/>
    <w:rsid w:val="00917DC5"/>
    <w:rsid w:val="00917EE2"/>
    <w:rsid w:val="00917F54"/>
    <w:rsid w:val="00917F69"/>
    <w:rsid w:val="00920056"/>
    <w:rsid w:val="0092027A"/>
    <w:rsid w:val="0092035B"/>
    <w:rsid w:val="009206A7"/>
    <w:rsid w:val="0092086C"/>
    <w:rsid w:val="00920871"/>
    <w:rsid w:val="009208F7"/>
    <w:rsid w:val="0092098C"/>
    <w:rsid w:val="00920A75"/>
    <w:rsid w:val="00920F4B"/>
    <w:rsid w:val="00920F90"/>
    <w:rsid w:val="00921073"/>
    <w:rsid w:val="0092118E"/>
    <w:rsid w:val="0092119C"/>
    <w:rsid w:val="009211F9"/>
    <w:rsid w:val="0092126D"/>
    <w:rsid w:val="009212CA"/>
    <w:rsid w:val="00921312"/>
    <w:rsid w:val="00921478"/>
    <w:rsid w:val="009214D6"/>
    <w:rsid w:val="00921726"/>
    <w:rsid w:val="00921759"/>
    <w:rsid w:val="009217A0"/>
    <w:rsid w:val="009217D9"/>
    <w:rsid w:val="00921947"/>
    <w:rsid w:val="00921AE0"/>
    <w:rsid w:val="009220FF"/>
    <w:rsid w:val="009222A7"/>
    <w:rsid w:val="00922385"/>
    <w:rsid w:val="0092242F"/>
    <w:rsid w:val="0092256C"/>
    <w:rsid w:val="0092288C"/>
    <w:rsid w:val="00922994"/>
    <w:rsid w:val="00922A29"/>
    <w:rsid w:val="00922A83"/>
    <w:rsid w:val="00922C2C"/>
    <w:rsid w:val="00922C60"/>
    <w:rsid w:val="00922D2E"/>
    <w:rsid w:val="00922DE1"/>
    <w:rsid w:val="00922EC4"/>
    <w:rsid w:val="00922FAF"/>
    <w:rsid w:val="00923020"/>
    <w:rsid w:val="0092318E"/>
    <w:rsid w:val="009231AB"/>
    <w:rsid w:val="0092349A"/>
    <w:rsid w:val="009234E8"/>
    <w:rsid w:val="00923614"/>
    <w:rsid w:val="00923707"/>
    <w:rsid w:val="0092371D"/>
    <w:rsid w:val="00923736"/>
    <w:rsid w:val="009239A6"/>
    <w:rsid w:val="009239D9"/>
    <w:rsid w:val="00923A5D"/>
    <w:rsid w:val="00923B13"/>
    <w:rsid w:val="00923B1D"/>
    <w:rsid w:val="00923D70"/>
    <w:rsid w:val="00923D85"/>
    <w:rsid w:val="00923DFE"/>
    <w:rsid w:val="00923F3F"/>
    <w:rsid w:val="00924027"/>
    <w:rsid w:val="009241E7"/>
    <w:rsid w:val="009243C6"/>
    <w:rsid w:val="009243EA"/>
    <w:rsid w:val="00924473"/>
    <w:rsid w:val="00924507"/>
    <w:rsid w:val="0092452F"/>
    <w:rsid w:val="0092456E"/>
    <w:rsid w:val="00924743"/>
    <w:rsid w:val="00924817"/>
    <w:rsid w:val="00924884"/>
    <w:rsid w:val="009248A7"/>
    <w:rsid w:val="00924910"/>
    <w:rsid w:val="00924914"/>
    <w:rsid w:val="00924A69"/>
    <w:rsid w:val="00924ACC"/>
    <w:rsid w:val="00924BD3"/>
    <w:rsid w:val="00924D97"/>
    <w:rsid w:val="00924ED6"/>
    <w:rsid w:val="00924F18"/>
    <w:rsid w:val="00924F49"/>
    <w:rsid w:val="00925068"/>
    <w:rsid w:val="00925810"/>
    <w:rsid w:val="009258CF"/>
    <w:rsid w:val="00925A67"/>
    <w:rsid w:val="00925C7C"/>
    <w:rsid w:val="00925E8E"/>
    <w:rsid w:val="00925FE6"/>
    <w:rsid w:val="00926114"/>
    <w:rsid w:val="009261DA"/>
    <w:rsid w:val="009264D9"/>
    <w:rsid w:val="009266A7"/>
    <w:rsid w:val="0092684E"/>
    <w:rsid w:val="00926851"/>
    <w:rsid w:val="00926964"/>
    <w:rsid w:val="009269F1"/>
    <w:rsid w:val="009269FF"/>
    <w:rsid w:val="00926A0D"/>
    <w:rsid w:val="00926AA2"/>
    <w:rsid w:val="00926CA9"/>
    <w:rsid w:val="00926F31"/>
    <w:rsid w:val="00926FF6"/>
    <w:rsid w:val="00927008"/>
    <w:rsid w:val="0092703F"/>
    <w:rsid w:val="0092709F"/>
    <w:rsid w:val="009270B2"/>
    <w:rsid w:val="00927162"/>
    <w:rsid w:val="0092717C"/>
    <w:rsid w:val="0092745E"/>
    <w:rsid w:val="00927515"/>
    <w:rsid w:val="00927915"/>
    <w:rsid w:val="00927986"/>
    <w:rsid w:val="00927B09"/>
    <w:rsid w:val="00927BF4"/>
    <w:rsid w:val="00927C67"/>
    <w:rsid w:val="00927CB3"/>
    <w:rsid w:val="00927CE6"/>
    <w:rsid w:val="00927CED"/>
    <w:rsid w:val="00927D54"/>
    <w:rsid w:val="00927DCE"/>
    <w:rsid w:val="00927DFE"/>
    <w:rsid w:val="00927EE2"/>
    <w:rsid w:val="009300C2"/>
    <w:rsid w:val="009300FA"/>
    <w:rsid w:val="00930169"/>
    <w:rsid w:val="009301D4"/>
    <w:rsid w:val="00930579"/>
    <w:rsid w:val="009305DE"/>
    <w:rsid w:val="00930685"/>
    <w:rsid w:val="009306A9"/>
    <w:rsid w:val="009307C7"/>
    <w:rsid w:val="00930894"/>
    <w:rsid w:val="009308DD"/>
    <w:rsid w:val="00930991"/>
    <w:rsid w:val="00930BBB"/>
    <w:rsid w:val="00930F42"/>
    <w:rsid w:val="00930FE9"/>
    <w:rsid w:val="0093107F"/>
    <w:rsid w:val="009311EE"/>
    <w:rsid w:val="009311FF"/>
    <w:rsid w:val="00931302"/>
    <w:rsid w:val="0093152A"/>
    <w:rsid w:val="0093155E"/>
    <w:rsid w:val="00931585"/>
    <w:rsid w:val="009315B4"/>
    <w:rsid w:val="00931663"/>
    <w:rsid w:val="009317C9"/>
    <w:rsid w:val="009319AB"/>
    <w:rsid w:val="00931A07"/>
    <w:rsid w:val="00931B75"/>
    <w:rsid w:val="00931C7B"/>
    <w:rsid w:val="009320A3"/>
    <w:rsid w:val="00932311"/>
    <w:rsid w:val="00932466"/>
    <w:rsid w:val="00932581"/>
    <w:rsid w:val="00932880"/>
    <w:rsid w:val="00932A49"/>
    <w:rsid w:val="00932C9E"/>
    <w:rsid w:val="00932D09"/>
    <w:rsid w:val="00932F57"/>
    <w:rsid w:val="0093301C"/>
    <w:rsid w:val="00933095"/>
    <w:rsid w:val="009330DB"/>
    <w:rsid w:val="00933213"/>
    <w:rsid w:val="00933243"/>
    <w:rsid w:val="00933344"/>
    <w:rsid w:val="009333A3"/>
    <w:rsid w:val="009334AE"/>
    <w:rsid w:val="00933575"/>
    <w:rsid w:val="009335E5"/>
    <w:rsid w:val="009336CE"/>
    <w:rsid w:val="00933835"/>
    <w:rsid w:val="00933946"/>
    <w:rsid w:val="00933A39"/>
    <w:rsid w:val="00933AF3"/>
    <w:rsid w:val="00933C6F"/>
    <w:rsid w:val="00933CA2"/>
    <w:rsid w:val="00933CC2"/>
    <w:rsid w:val="00933D0E"/>
    <w:rsid w:val="00933D98"/>
    <w:rsid w:val="00933DD2"/>
    <w:rsid w:val="00933E41"/>
    <w:rsid w:val="00933EB9"/>
    <w:rsid w:val="00934013"/>
    <w:rsid w:val="00934035"/>
    <w:rsid w:val="0093424E"/>
    <w:rsid w:val="0093430A"/>
    <w:rsid w:val="0093446D"/>
    <w:rsid w:val="009345D7"/>
    <w:rsid w:val="0093462D"/>
    <w:rsid w:val="00934676"/>
    <w:rsid w:val="009346F3"/>
    <w:rsid w:val="0093475C"/>
    <w:rsid w:val="009347E8"/>
    <w:rsid w:val="00934B16"/>
    <w:rsid w:val="00934B7E"/>
    <w:rsid w:val="00934BEF"/>
    <w:rsid w:val="00934C91"/>
    <w:rsid w:val="00934F28"/>
    <w:rsid w:val="00934F61"/>
    <w:rsid w:val="00934F78"/>
    <w:rsid w:val="00935002"/>
    <w:rsid w:val="0093512A"/>
    <w:rsid w:val="00935179"/>
    <w:rsid w:val="009352A9"/>
    <w:rsid w:val="00935487"/>
    <w:rsid w:val="0093552B"/>
    <w:rsid w:val="009355F7"/>
    <w:rsid w:val="00935702"/>
    <w:rsid w:val="00935779"/>
    <w:rsid w:val="009357FB"/>
    <w:rsid w:val="00935839"/>
    <w:rsid w:val="00935CAD"/>
    <w:rsid w:val="00935CDD"/>
    <w:rsid w:val="00935CF5"/>
    <w:rsid w:val="00935CF9"/>
    <w:rsid w:val="00935E1C"/>
    <w:rsid w:val="00935F2A"/>
    <w:rsid w:val="00935FC4"/>
    <w:rsid w:val="0093617E"/>
    <w:rsid w:val="009361F3"/>
    <w:rsid w:val="0093621E"/>
    <w:rsid w:val="00936563"/>
    <w:rsid w:val="00936739"/>
    <w:rsid w:val="00936746"/>
    <w:rsid w:val="0093677C"/>
    <w:rsid w:val="009367AD"/>
    <w:rsid w:val="0093697E"/>
    <w:rsid w:val="00936A2D"/>
    <w:rsid w:val="00936A90"/>
    <w:rsid w:val="00936BBB"/>
    <w:rsid w:val="00936DD9"/>
    <w:rsid w:val="00936E90"/>
    <w:rsid w:val="00936FBC"/>
    <w:rsid w:val="00936FE4"/>
    <w:rsid w:val="0093710E"/>
    <w:rsid w:val="00937141"/>
    <w:rsid w:val="009372BB"/>
    <w:rsid w:val="00937428"/>
    <w:rsid w:val="0093744B"/>
    <w:rsid w:val="00937477"/>
    <w:rsid w:val="009374F1"/>
    <w:rsid w:val="00937506"/>
    <w:rsid w:val="009377AE"/>
    <w:rsid w:val="009377B7"/>
    <w:rsid w:val="00937809"/>
    <w:rsid w:val="00937875"/>
    <w:rsid w:val="0093787D"/>
    <w:rsid w:val="00937931"/>
    <w:rsid w:val="00937A26"/>
    <w:rsid w:val="00937B5C"/>
    <w:rsid w:val="00937BE4"/>
    <w:rsid w:val="00937C2F"/>
    <w:rsid w:val="00937C53"/>
    <w:rsid w:val="00937D46"/>
    <w:rsid w:val="00937DE7"/>
    <w:rsid w:val="00937F74"/>
    <w:rsid w:val="009404BF"/>
    <w:rsid w:val="00940543"/>
    <w:rsid w:val="009407E1"/>
    <w:rsid w:val="00940A3B"/>
    <w:rsid w:val="00940BB4"/>
    <w:rsid w:val="00940DCC"/>
    <w:rsid w:val="00941095"/>
    <w:rsid w:val="009411D5"/>
    <w:rsid w:val="0094120F"/>
    <w:rsid w:val="00941294"/>
    <w:rsid w:val="00941387"/>
    <w:rsid w:val="00941444"/>
    <w:rsid w:val="009414A3"/>
    <w:rsid w:val="009415EA"/>
    <w:rsid w:val="00941799"/>
    <w:rsid w:val="009418FB"/>
    <w:rsid w:val="009419E8"/>
    <w:rsid w:val="00941BC0"/>
    <w:rsid w:val="00941BD1"/>
    <w:rsid w:val="00941D36"/>
    <w:rsid w:val="00941D92"/>
    <w:rsid w:val="00941E3C"/>
    <w:rsid w:val="00942127"/>
    <w:rsid w:val="00942190"/>
    <w:rsid w:val="009421AB"/>
    <w:rsid w:val="009421CB"/>
    <w:rsid w:val="0094228A"/>
    <w:rsid w:val="00942297"/>
    <w:rsid w:val="00942568"/>
    <w:rsid w:val="00942603"/>
    <w:rsid w:val="0094265C"/>
    <w:rsid w:val="00942760"/>
    <w:rsid w:val="009427CC"/>
    <w:rsid w:val="009427F8"/>
    <w:rsid w:val="0094281D"/>
    <w:rsid w:val="00942B0B"/>
    <w:rsid w:val="00942D9C"/>
    <w:rsid w:val="00942DB1"/>
    <w:rsid w:val="00942DCA"/>
    <w:rsid w:val="00943034"/>
    <w:rsid w:val="009433E9"/>
    <w:rsid w:val="00943465"/>
    <w:rsid w:val="00943466"/>
    <w:rsid w:val="00943470"/>
    <w:rsid w:val="00943496"/>
    <w:rsid w:val="00943586"/>
    <w:rsid w:val="00943709"/>
    <w:rsid w:val="009437CE"/>
    <w:rsid w:val="009437F9"/>
    <w:rsid w:val="0094381F"/>
    <w:rsid w:val="0094388F"/>
    <w:rsid w:val="009438C7"/>
    <w:rsid w:val="00943960"/>
    <w:rsid w:val="00943970"/>
    <w:rsid w:val="00943AE5"/>
    <w:rsid w:val="00943B1B"/>
    <w:rsid w:val="00943BC5"/>
    <w:rsid w:val="00943DE4"/>
    <w:rsid w:val="00944203"/>
    <w:rsid w:val="009442DD"/>
    <w:rsid w:val="009443A5"/>
    <w:rsid w:val="009444AD"/>
    <w:rsid w:val="009444CE"/>
    <w:rsid w:val="00944549"/>
    <w:rsid w:val="00944705"/>
    <w:rsid w:val="00944740"/>
    <w:rsid w:val="00944887"/>
    <w:rsid w:val="0094491E"/>
    <w:rsid w:val="009449C8"/>
    <w:rsid w:val="00944B19"/>
    <w:rsid w:val="00944C12"/>
    <w:rsid w:val="00944C6A"/>
    <w:rsid w:val="00944E45"/>
    <w:rsid w:val="00944EF9"/>
    <w:rsid w:val="00944FC7"/>
    <w:rsid w:val="00945232"/>
    <w:rsid w:val="0094525A"/>
    <w:rsid w:val="009456DC"/>
    <w:rsid w:val="009457C6"/>
    <w:rsid w:val="00945801"/>
    <w:rsid w:val="00945BBC"/>
    <w:rsid w:val="00945C10"/>
    <w:rsid w:val="00945C39"/>
    <w:rsid w:val="00945CB5"/>
    <w:rsid w:val="00945CF9"/>
    <w:rsid w:val="00945EAE"/>
    <w:rsid w:val="00945F3A"/>
    <w:rsid w:val="00945FC0"/>
    <w:rsid w:val="00946118"/>
    <w:rsid w:val="0094615E"/>
    <w:rsid w:val="00946272"/>
    <w:rsid w:val="009463DE"/>
    <w:rsid w:val="009464D8"/>
    <w:rsid w:val="00946698"/>
    <w:rsid w:val="0094672C"/>
    <w:rsid w:val="009467DB"/>
    <w:rsid w:val="009468B2"/>
    <w:rsid w:val="009468E3"/>
    <w:rsid w:val="00946966"/>
    <w:rsid w:val="00946998"/>
    <w:rsid w:val="009469DB"/>
    <w:rsid w:val="00946C3F"/>
    <w:rsid w:val="00946CBC"/>
    <w:rsid w:val="00946E48"/>
    <w:rsid w:val="00946ED5"/>
    <w:rsid w:val="00946FDD"/>
    <w:rsid w:val="009471A1"/>
    <w:rsid w:val="009471EA"/>
    <w:rsid w:val="00947305"/>
    <w:rsid w:val="00947388"/>
    <w:rsid w:val="009473EF"/>
    <w:rsid w:val="0094742D"/>
    <w:rsid w:val="00947710"/>
    <w:rsid w:val="0094787E"/>
    <w:rsid w:val="00947A99"/>
    <w:rsid w:val="00947C54"/>
    <w:rsid w:val="00947D6B"/>
    <w:rsid w:val="00947EB7"/>
    <w:rsid w:val="00950050"/>
    <w:rsid w:val="00950054"/>
    <w:rsid w:val="009500E2"/>
    <w:rsid w:val="00950145"/>
    <w:rsid w:val="0095021D"/>
    <w:rsid w:val="0095040D"/>
    <w:rsid w:val="00950662"/>
    <w:rsid w:val="00950787"/>
    <w:rsid w:val="0095079F"/>
    <w:rsid w:val="009507F1"/>
    <w:rsid w:val="009508BB"/>
    <w:rsid w:val="00950C02"/>
    <w:rsid w:val="00950C5F"/>
    <w:rsid w:val="00950DF3"/>
    <w:rsid w:val="00950F3F"/>
    <w:rsid w:val="00951030"/>
    <w:rsid w:val="00951189"/>
    <w:rsid w:val="00951298"/>
    <w:rsid w:val="00951332"/>
    <w:rsid w:val="0095162F"/>
    <w:rsid w:val="009516FA"/>
    <w:rsid w:val="00951758"/>
    <w:rsid w:val="009517F3"/>
    <w:rsid w:val="00951941"/>
    <w:rsid w:val="009519B3"/>
    <w:rsid w:val="009519E1"/>
    <w:rsid w:val="00951B9B"/>
    <w:rsid w:val="00951C99"/>
    <w:rsid w:val="00951CB7"/>
    <w:rsid w:val="00951D5E"/>
    <w:rsid w:val="00951E39"/>
    <w:rsid w:val="00951E51"/>
    <w:rsid w:val="00952067"/>
    <w:rsid w:val="00952256"/>
    <w:rsid w:val="00952270"/>
    <w:rsid w:val="009522DB"/>
    <w:rsid w:val="0095231B"/>
    <w:rsid w:val="009523C6"/>
    <w:rsid w:val="00952422"/>
    <w:rsid w:val="00952601"/>
    <w:rsid w:val="009526CD"/>
    <w:rsid w:val="009528E3"/>
    <w:rsid w:val="00952941"/>
    <w:rsid w:val="00952A6B"/>
    <w:rsid w:val="00952AEC"/>
    <w:rsid w:val="00952C52"/>
    <w:rsid w:val="00952EA9"/>
    <w:rsid w:val="00952EE2"/>
    <w:rsid w:val="00952FCE"/>
    <w:rsid w:val="00953298"/>
    <w:rsid w:val="009532B8"/>
    <w:rsid w:val="009533A8"/>
    <w:rsid w:val="0095346A"/>
    <w:rsid w:val="0095346C"/>
    <w:rsid w:val="0095348F"/>
    <w:rsid w:val="00953797"/>
    <w:rsid w:val="0095391E"/>
    <w:rsid w:val="00953A7A"/>
    <w:rsid w:val="00953B33"/>
    <w:rsid w:val="00953BD4"/>
    <w:rsid w:val="00953D35"/>
    <w:rsid w:val="00953D85"/>
    <w:rsid w:val="00953DA4"/>
    <w:rsid w:val="00953EC4"/>
    <w:rsid w:val="00953F3B"/>
    <w:rsid w:val="00953FA4"/>
    <w:rsid w:val="00953FB2"/>
    <w:rsid w:val="0095406A"/>
    <w:rsid w:val="009541B4"/>
    <w:rsid w:val="009541BC"/>
    <w:rsid w:val="0095430B"/>
    <w:rsid w:val="00954320"/>
    <w:rsid w:val="00954362"/>
    <w:rsid w:val="009543BE"/>
    <w:rsid w:val="0095441F"/>
    <w:rsid w:val="00954621"/>
    <w:rsid w:val="0095462B"/>
    <w:rsid w:val="0095485E"/>
    <w:rsid w:val="00954B5B"/>
    <w:rsid w:val="00954BC7"/>
    <w:rsid w:val="00954CDD"/>
    <w:rsid w:val="00954D80"/>
    <w:rsid w:val="00954DB9"/>
    <w:rsid w:val="00954E33"/>
    <w:rsid w:val="00954E64"/>
    <w:rsid w:val="00954EE3"/>
    <w:rsid w:val="00954F1D"/>
    <w:rsid w:val="00955108"/>
    <w:rsid w:val="00955151"/>
    <w:rsid w:val="00955259"/>
    <w:rsid w:val="00955307"/>
    <w:rsid w:val="0095536A"/>
    <w:rsid w:val="00955423"/>
    <w:rsid w:val="0095545B"/>
    <w:rsid w:val="009554E1"/>
    <w:rsid w:val="009556B7"/>
    <w:rsid w:val="00955709"/>
    <w:rsid w:val="0095581D"/>
    <w:rsid w:val="009559B1"/>
    <w:rsid w:val="00955ABF"/>
    <w:rsid w:val="00955AC1"/>
    <w:rsid w:val="00955BF5"/>
    <w:rsid w:val="00955CC5"/>
    <w:rsid w:val="00955D60"/>
    <w:rsid w:val="00955E79"/>
    <w:rsid w:val="00955E82"/>
    <w:rsid w:val="00955F97"/>
    <w:rsid w:val="009561EE"/>
    <w:rsid w:val="009562AD"/>
    <w:rsid w:val="0095649C"/>
    <w:rsid w:val="009566DE"/>
    <w:rsid w:val="009567AE"/>
    <w:rsid w:val="00956874"/>
    <w:rsid w:val="00956AAB"/>
    <w:rsid w:val="00956AFC"/>
    <w:rsid w:val="00956C10"/>
    <w:rsid w:val="00956C5E"/>
    <w:rsid w:val="00956D84"/>
    <w:rsid w:val="00956E48"/>
    <w:rsid w:val="00956E5D"/>
    <w:rsid w:val="00956EC9"/>
    <w:rsid w:val="00956F5B"/>
    <w:rsid w:val="00956FF2"/>
    <w:rsid w:val="009574EB"/>
    <w:rsid w:val="0095760F"/>
    <w:rsid w:val="009576FB"/>
    <w:rsid w:val="00957878"/>
    <w:rsid w:val="009578C5"/>
    <w:rsid w:val="0095792E"/>
    <w:rsid w:val="009579BF"/>
    <w:rsid w:val="00957B78"/>
    <w:rsid w:val="00957C3B"/>
    <w:rsid w:val="00957CEF"/>
    <w:rsid w:val="00957F0F"/>
    <w:rsid w:val="009602CC"/>
    <w:rsid w:val="009603DE"/>
    <w:rsid w:val="0096049A"/>
    <w:rsid w:val="009604BB"/>
    <w:rsid w:val="00960520"/>
    <w:rsid w:val="009605A4"/>
    <w:rsid w:val="00960684"/>
    <w:rsid w:val="009607D8"/>
    <w:rsid w:val="009608D4"/>
    <w:rsid w:val="00960AE7"/>
    <w:rsid w:val="00960B12"/>
    <w:rsid w:val="00960CBE"/>
    <w:rsid w:val="00960D3E"/>
    <w:rsid w:val="00960EA8"/>
    <w:rsid w:val="0096118B"/>
    <w:rsid w:val="0096118C"/>
    <w:rsid w:val="00961242"/>
    <w:rsid w:val="0096142C"/>
    <w:rsid w:val="00961527"/>
    <w:rsid w:val="00961568"/>
    <w:rsid w:val="009617AE"/>
    <w:rsid w:val="00961867"/>
    <w:rsid w:val="00961868"/>
    <w:rsid w:val="00961979"/>
    <w:rsid w:val="00961A3C"/>
    <w:rsid w:val="00961BA6"/>
    <w:rsid w:val="00961EC1"/>
    <w:rsid w:val="00961F0C"/>
    <w:rsid w:val="009624B0"/>
    <w:rsid w:val="00962521"/>
    <w:rsid w:val="009626D5"/>
    <w:rsid w:val="009627BA"/>
    <w:rsid w:val="00962875"/>
    <w:rsid w:val="0096288D"/>
    <w:rsid w:val="00962A45"/>
    <w:rsid w:val="00962CBA"/>
    <w:rsid w:val="00962E15"/>
    <w:rsid w:val="00962E64"/>
    <w:rsid w:val="00962FF7"/>
    <w:rsid w:val="00963167"/>
    <w:rsid w:val="0096322B"/>
    <w:rsid w:val="009633C1"/>
    <w:rsid w:val="009633C2"/>
    <w:rsid w:val="0096362F"/>
    <w:rsid w:val="009636B7"/>
    <w:rsid w:val="009637D3"/>
    <w:rsid w:val="0096390A"/>
    <w:rsid w:val="00963921"/>
    <w:rsid w:val="00963A9C"/>
    <w:rsid w:val="00963E14"/>
    <w:rsid w:val="00964021"/>
    <w:rsid w:val="00964166"/>
    <w:rsid w:val="009641F2"/>
    <w:rsid w:val="0096429F"/>
    <w:rsid w:val="00964481"/>
    <w:rsid w:val="0096455C"/>
    <w:rsid w:val="009645A0"/>
    <w:rsid w:val="009645A4"/>
    <w:rsid w:val="009646DB"/>
    <w:rsid w:val="00964721"/>
    <w:rsid w:val="00964B37"/>
    <w:rsid w:val="00964C95"/>
    <w:rsid w:val="00964D44"/>
    <w:rsid w:val="00964D66"/>
    <w:rsid w:val="00965076"/>
    <w:rsid w:val="0096509E"/>
    <w:rsid w:val="009651DA"/>
    <w:rsid w:val="009651E3"/>
    <w:rsid w:val="00965310"/>
    <w:rsid w:val="009653A8"/>
    <w:rsid w:val="0096561B"/>
    <w:rsid w:val="009656F0"/>
    <w:rsid w:val="0096570A"/>
    <w:rsid w:val="00965792"/>
    <w:rsid w:val="00965887"/>
    <w:rsid w:val="00965AEF"/>
    <w:rsid w:val="00965B85"/>
    <w:rsid w:val="00965D67"/>
    <w:rsid w:val="00965D9A"/>
    <w:rsid w:val="00965DB1"/>
    <w:rsid w:val="00965DFB"/>
    <w:rsid w:val="00965E63"/>
    <w:rsid w:val="00965F31"/>
    <w:rsid w:val="00965F3A"/>
    <w:rsid w:val="00965F66"/>
    <w:rsid w:val="00966296"/>
    <w:rsid w:val="009665DE"/>
    <w:rsid w:val="009666E8"/>
    <w:rsid w:val="00966739"/>
    <w:rsid w:val="00966787"/>
    <w:rsid w:val="00966823"/>
    <w:rsid w:val="00966889"/>
    <w:rsid w:val="009668FA"/>
    <w:rsid w:val="00966905"/>
    <w:rsid w:val="009669FB"/>
    <w:rsid w:val="00966A0B"/>
    <w:rsid w:val="00966A4D"/>
    <w:rsid w:val="00966B28"/>
    <w:rsid w:val="00966D25"/>
    <w:rsid w:val="00966D7F"/>
    <w:rsid w:val="00966D9C"/>
    <w:rsid w:val="0096704A"/>
    <w:rsid w:val="00967249"/>
    <w:rsid w:val="0096725C"/>
    <w:rsid w:val="00967521"/>
    <w:rsid w:val="009675D2"/>
    <w:rsid w:val="00967786"/>
    <w:rsid w:val="009677BF"/>
    <w:rsid w:val="009679B7"/>
    <w:rsid w:val="00967B1C"/>
    <w:rsid w:val="00967C11"/>
    <w:rsid w:val="00967F8F"/>
    <w:rsid w:val="00967FD1"/>
    <w:rsid w:val="0097002A"/>
    <w:rsid w:val="009700F8"/>
    <w:rsid w:val="00970305"/>
    <w:rsid w:val="0097049E"/>
    <w:rsid w:val="009704C6"/>
    <w:rsid w:val="0097059A"/>
    <w:rsid w:val="00970829"/>
    <w:rsid w:val="00970851"/>
    <w:rsid w:val="00970935"/>
    <w:rsid w:val="00970B61"/>
    <w:rsid w:val="00970CAE"/>
    <w:rsid w:val="00970DC3"/>
    <w:rsid w:val="00971014"/>
    <w:rsid w:val="00971106"/>
    <w:rsid w:val="0097111A"/>
    <w:rsid w:val="00971182"/>
    <w:rsid w:val="00971231"/>
    <w:rsid w:val="00971342"/>
    <w:rsid w:val="00971406"/>
    <w:rsid w:val="009715FA"/>
    <w:rsid w:val="00971679"/>
    <w:rsid w:val="0097177B"/>
    <w:rsid w:val="009718D0"/>
    <w:rsid w:val="00971A3F"/>
    <w:rsid w:val="00971A69"/>
    <w:rsid w:val="00971BC0"/>
    <w:rsid w:val="00971D62"/>
    <w:rsid w:val="00971D64"/>
    <w:rsid w:val="00971E77"/>
    <w:rsid w:val="00971FFF"/>
    <w:rsid w:val="00972008"/>
    <w:rsid w:val="00972062"/>
    <w:rsid w:val="00972150"/>
    <w:rsid w:val="00972274"/>
    <w:rsid w:val="0097230F"/>
    <w:rsid w:val="009724F1"/>
    <w:rsid w:val="0097257C"/>
    <w:rsid w:val="00972792"/>
    <w:rsid w:val="009727D9"/>
    <w:rsid w:val="009727FC"/>
    <w:rsid w:val="0097297B"/>
    <w:rsid w:val="009729C4"/>
    <w:rsid w:val="00972A26"/>
    <w:rsid w:val="00972A62"/>
    <w:rsid w:val="00972A8A"/>
    <w:rsid w:val="00972AB0"/>
    <w:rsid w:val="00972D49"/>
    <w:rsid w:val="00972D6D"/>
    <w:rsid w:val="00972DDE"/>
    <w:rsid w:val="00972E28"/>
    <w:rsid w:val="00972E64"/>
    <w:rsid w:val="00972FAE"/>
    <w:rsid w:val="009734F8"/>
    <w:rsid w:val="00973512"/>
    <w:rsid w:val="009735FA"/>
    <w:rsid w:val="0097360C"/>
    <w:rsid w:val="0097374C"/>
    <w:rsid w:val="00973A45"/>
    <w:rsid w:val="00973B4E"/>
    <w:rsid w:val="00973B64"/>
    <w:rsid w:val="00973CCF"/>
    <w:rsid w:val="00973CD0"/>
    <w:rsid w:val="00973DA8"/>
    <w:rsid w:val="00973F9C"/>
    <w:rsid w:val="00973F9D"/>
    <w:rsid w:val="00974037"/>
    <w:rsid w:val="0097414E"/>
    <w:rsid w:val="009741D5"/>
    <w:rsid w:val="00974510"/>
    <w:rsid w:val="0097456F"/>
    <w:rsid w:val="009745D5"/>
    <w:rsid w:val="009746B7"/>
    <w:rsid w:val="009746EF"/>
    <w:rsid w:val="00974799"/>
    <w:rsid w:val="009748F3"/>
    <w:rsid w:val="00974A88"/>
    <w:rsid w:val="00974C24"/>
    <w:rsid w:val="00974C4D"/>
    <w:rsid w:val="00974CC8"/>
    <w:rsid w:val="00974D89"/>
    <w:rsid w:val="00974E4E"/>
    <w:rsid w:val="00975207"/>
    <w:rsid w:val="0097525E"/>
    <w:rsid w:val="009752A0"/>
    <w:rsid w:val="009752C1"/>
    <w:rsid w:val="00975310"/>
    <w:rsid w:val="00975385"/>
    <w:rsid w:val="009753B7"/>
    <w:rsid w:val="009754D0"/>
    <w:rsid w:val="009755B7"/>
    <w:rsid w:val="00975615"/>
    <w:rsid w:val="00975687"/>
    <w:rsid w:val="009756A9"/>
    <w:rsid w:val="009756F3"/>
    <w:rsid w:val="009757EF"/>
    <w:rsid w:val="00975878"/>
    <w:rsid w:val="00975987"/>
    <w:rsid w:val="00975992"/>
    <w:rsid w:val="00975AA4"/>
    <w:rsid w:val="00975CB1"/>
    <w:rsid w:val="00975E8F"/>
    <w:rsid w:val="00975E9B"/>
    <w:rsid w:val="0097607A"/>
    <w:rsid w:val="009760E9"/>
    <w:rsid w:val="00976440"/>
    <w:rsid w:val="00976588"/>
    <w:rsid w:val="009767B0"/>
    <w:rsid w:val="009767E8"/>
    <w:rsid w:val="0097680C"/>
    <w:rsid w:val="00976862"/>
    <w:rsid w:val="00976AB3"/>
    <w:rsid w:val="00976B7F"/>
    <w:rsid w:val="00976BD7"/>
    <w:rsid w:val="00976CB5"/>
    <w:rsid w:val="00976CDA"/>
    <w:rsid w:val="00976CDC"/>
    <w:rsid w:val="00976E93"/>
    <w:rsid w:val="00976EB6"/>
    <w:rsid w:val="00976FF0"/>
    <w:rsid w:val="0097717E"/>
    <w:rsid w:val="009771E3"/>
    <w:rsid w:val="00977347"/>
    <w:rsid w:val="00977575"/>
    <w:rsid w:val="00977614"/>
    <w:rsid w:val="009776B1"/>
    <w:rsid w:val="009776BC"/>
    <w:rsid w:val="00977902"/>
    <w:rsid w:val="009779B7"/>
    <w:rsid w:val="009779F3"/>
    <w:rsid w:val="00977AEE"/>
    <w:rsid w:val="00977BB3"/>
    <w:rsid w:val="00977C35"/>
    <w:rsid w:val="00977C5B"/>
    <w:rsid w:val="00977CC3"/>
    <w:rsid w:val="00977F0F"/>
    <w:rsid w:val="00977FF6"/>
    <w:rsid w:val="009800CF"/>
    <w:rsid w:val="00980273"/>
    <w:rsid w:val="00980383"/>
    <w:rsid w:val="009803D0"/>
    <w:rsid w:val="009803F6"/>
    <w:rsid w:val="00980570"/>
    <w:rsid w:val="00980685"/>
    <w:rsid w:val="00980741"/>
    <w:rsid w:val="009809C4"/>
    <w:rsid w:val="00980B1F"/>
    <w:rsid w:val="00980BD9"/>
    <w:rsid w:val="00980C11"/>
    <w:rsid w:val="00980D16"/>
    <w:rsid w:val="00981005"/>
    <w:rsid w:val="009810FF"/>
    <w:rsid w:val="009813C8"/>
    <w:rsid w:val="009814D9"/>
    <w:rsid w:val="0098151F"/>
    <w:rsid w:val="009817B4"/>
    <w:rsid w:val="009818F5"/>
    <w:rsid w:val="00981BFF"/>
    <w:rsid w:val="00981C17"/>
    <w:rsid w:val="00981CA6"/>
    <w:rsid w:val="00981D24"/>
    <w:rsid w:val="00981E26"/>
    <w:rsid w:val="00981F24"/>
    <w:rsid w:val="00981F6B"/>
    <w:rsid w:val="00981F93"/>
    <w:rsid w:val="009820D1"/>
    <w:rsid w:val="00982178"/>
    <w:rsid w:val="009823AB"/>
    <w:rsid w:val="009823DD"/>
    <w:rsid w:val="009824DA"/>
    <w:rsid w:val="00982512"/>
    <w:rsid w:val="009829E2"/>
    <w:rsid w:val="00982BA8"/>
    <w:rsid w:val="00982BB3"/>
    <w:rsid w:val="00982C0D"/>
    <w:rsid w:val="00982C98"/>
    <w:rsid w:val="00982CA6"/>
    <w:rsid w:val="00982CF3"/>
    <w:rsid w:val="00982D19"/>
    <w:rsid w:val="00982E78"/>
    <w:rsid w:val="00982F6A"/>
    <w:rsid w:val="00982FBC"/>
    <w:rsid w:val="00983034"/>
    <w:rsid w:val="009832DD"/>
    <w:rsid w:val="00983329"/>
    <w:rsid w:val="009833B3"/>
    <w:rsid w:val="00983500"/>
    <w:rsid w:val="00983532"/>
    <w:rsid w:val="009835D7"/>
    <w:rsid w:val="00983603"/>
    <w:rsid w:val="0098361B"/>
    <w:rsid w:val="0098370C"/>
    <w:rsid w:val="00983805"/>
    <w:rsid w:val="0098394B"/>
    <w:rsid w:val="00983B77"/>
    <w:rsid w:val="00983C87"/>
    <w:rsid w:val="00983CB3"/>
    <w:rsid w:val="00983D1C"/>
    <w:rsid w:val="00983D6B"/>
    <w:rsid w:val="00983E1C"/>
    <w:rsid w:val="00983FBA"/>
    <w:rsid w:val="00983FE4"/>
    <w:rsid w:val="0098410B"/>
    <w:rsid w:val="00984185"/>
    <w:rsid w:val="00984265"/>
    <w:rsid w:val="009842A3"/>
    <w:rsid w:val="009844FB"/>
    <w:rsid w:val="00984508"/>
    <w:rsid w:val="009845A0"/>
    <w:rsid w:val="00984920"/>
    <w:rsid w:val="00984922"/>
    <w:rsid w:val="00984977"/>
    <w:rsid w:val="00984B01"/>
    <w:rsid w:val="00984B5B"/>
    <w:rsid w:val="00984C40"/>
    <w:rsid w:val="00984EC3"/>
    <w:rsid w:val="00984F0C"/>
    <w:rsid w:val="009850EB"/>
    <w:rsid w:val="009851F7"/>
    <w:rsid w:val="00985236"/>
    <w:rsid w:val="00985267"/>
    <w:rsid w:val="00985440"/>
    <w:rsid w:val="00985557"/>
    <w:rsid w:val="009856E9"/>
    <w:rsid w:val="009857C5"/>
    <w:rsid w:val="0098580E"/>
    <w:rsid w:val="0098587B"/>
    <w:rsid w:val="00985956"/>
    <w:rsid w:val="0098599B"/>
    <w:rsid w:val="009859CB"/>
    <w:rsid w:val="00985A47"/>
    <w:rsid w:val="00985AB6"/>
    <w:rsid w:val="00985BAF"/>
    <w:rsid w:val="00985BB8"/>
    <w:rsid w:val="00985CB6"/>
    <w:rsid w:val="00985E33"/>
    <w:rsid w:val="00985EBE"/>
    <w:rsid w:val="00985F07"/>
    <w:rsid w:val="009864B2"/>
    <w:rsid w:val="0098657B"/>
    <w:rsid w:val="009866E0"/>
    <w:rsid w:val="009866FD"/>
    <w:rsid w:val="0098678B"/>
    <w:rsid w:val="009868E1"/>
    <w:rsid w:val="00986ABB"/>
    <w:rsid w:val="00986AD3"/>
    <w:rsid w:val="00986B02"/>
    <w:rsid w:val="00986B9F"/>
    <w:rsid w:val="00986C6C"/>
    <w:rsid w:val="00986DFF"/>
    <w:rsid w:val="00986E0E"/>
    <w:rsid w:val="00986FF4"/>
    <w:rsid w:val="00987268"/>
    <w:rsid w:val="009872EE"/>
    <w:rsid w:val="00987447"/>
    <w:rsid w:val="0098746F"/>
    <w:rsid w:val="00987495"/>
    <w:rsid w:val="00987538"/>
    <w:rsid w:val="00987548"/>
    <w:rsid w:val="00987602"/>
    <w:rsid w:val="0098762F"/>
    <w:rsid w:val="00987827"/>
    <w:rsid w:val="00987C52"/>
    <w:rsid w:val="00987C86"/>
    <w:rsid w:val="00987D57"/>
    <w:rsid w:val="00987DC2"/>
    <w:rsid w:val="00987E21"/>
    <w:rsid w:val="00987EAC"/>
    <w:rsid w:val="00987ECE"/>
    <w:rsid w:val="00987FD9"/>
    <w:rsid w:val="00987FF8"/>
    <w:rsid w:val="0099021B"/>
    <w:rsid w:val="00990229"/>
    <w:rsid w:val="00990238"/>
    <w:rsid w:val="00990306"/>
    <w:rsid w:val="00990329"/>
    <w:rsid w:val="009903D1"/>
    <w:rsid w:val="0099045B"/>
    <w:rsid w:val="00990472"/>
    <w:rsid w:val="0099057C"/>
    <w:rsid w:val="009906B8"/>
    <w:rsid w:val="009907BD"/>
    <w:rsid w:val="00990830"/>
    <w:rsid w:val="00990917"/>
    <w:rsid w:val="00990AC7"/>
    <w:rsid w:val="00990B3B"/>
    <w:rsid w:val="00990B79"/>
    <w:rsid w:val="00990BA2"/>
    <w:rsid w:val="00990C63"/>
    <w:rsid w:val="00990C85"/>
    <w:rsid w:val="00990CC4"/>
    <w:rsid w:val="00990D1D"/>
    <w:rsid w:val="00990DAD"/>
    <w:rsid w:val="00990E53"/>
    <w:rsid w:val="00991062"/>
    <w:rsid w:val="009911C6"/>
    <w:rsid w:val="009911D7"/>
    <w:rsid w:val="00991314"/>
    <w:rsid w:val="0099138F"/>
    <w:rsid w:val="0099143E"/>
    <w:rsid w:val="0099153C"/>
    <w:rsid w:val="00991558"/>
    <w:rsid w:val="009915EF"/>
    <w:rsid w:val="009916EA"/>
    <w:rsid w:val="009917F2"/>
    <w:rsid w:val="00991826"/>
    <w:rsid w:val="0099183F"/>
    <w:rsid w:val="00991963"/>
    <w:rsid w:val="00991A56"/>
    <w:rsid w:val="00991A93"/>
    <w:rsid w:val="00991BDC"/>
    <w:rsid w:val="00991C89"/>
    <w:rsid w:val="00991D1E"/>
    <w:rsid w:val="00991D86"/>
    <w:rsid w:val="00991E62"/>
    <w:rsid w:val="00991E9A"/>
    <w:rsid w:val="00991E9B"/>
    <w:rsid w:val="00991EDA"/>
    <w:rsid w:val="00991F06"/>
    <w:rsid w:val="00991F4A"/>
    <w:rsid w:val="00991F60"/>
    <w:rsid w:val="00991FCD"/>
    <w:rsid w:val="009920B4"/>
    <w:rsid w:val="00992155"/>
    <w:rsid w:val="009921D3"/>
    <w:rsid w:val="00992580"/>
    <w:rsid w:val="009925E8"/>
    <w:rsid w:val="00992772"/>
    <w:rsid w:val="0099288B"/>
    <w:rsid w:val="00992956"/>
    <w:rsid w:val="00992970"/>
    <w:rsid w:val="00992A2E"/>
    <w:rsid w:val="00992B15"/>
    <w:rsid w:val="00992B6F"/>
    <w:rsid w:val="00992BA0"/>
    <w:rsid w:val="00992DB4"/>
    <w:rsid w:val="00992ECB"/>
    <w:rsid w:val="0099308D"/>
    <w:rsid w:val="00993187"/>
    <w:rsid w:val="009931BB"/>
    <w:rsid w:val="009931EE"/>
    <w:rsid w:val="0099342A"/>
    <w:rsid w:val="009934EC"/>
    <w:rsid w:val="0099367C"/>
    <w:rsid w:val="009936C4"/>
    <w:rsid w:val="009937D4"/>
    <w:rsid w:val="00993975"/>
    <w:rsid w:val="009939A1"/>
    <w:rsid w:val="00993A78"/>
    <w:rsid w:val="00993AC8"/>
    <w:rsid w:val="00993AEE"/>
    <w:rsid w:val="00993C3A"/>
    <w:rsid w:val="00993C5B"/>
    <w:rsid w:val="00993DB0"/>
    <w:rsid w:val="0099407D"/>
    <w:rsid w:val="009940C2"/>
    <w:rsid w:val="00994250"/>
    <w:rsid w:val="0099425E"/>
    <w:rsid w:val="00994335"/>
    <w:rsid w:val="00994357"/>
    <w:rsid w:val="0099437B"/>
    <w:rsid w:val="00994404"/>
    <w:rsid w:val="009944AC"/>
    <w:rsid w:val="009944F9"/>
    <w:rsid w:val="009946CC"/>
    <w:rsid w:val="0099487F"/>
    <w:rsid w:val="00994971"/>
    <w:rsid w:val="0099498A"/>
    <w:rsid w:val="0099499D"/>
    <w:rsid w:val="00994A86"/>
    <w:rsid w:val="00994BEC"/>
    <w:rsid w:val="00994C9F"/>
    <w:rsid w:val="00994CAB"/>
    <w:rsid w:val="00994D74"/>
    <w:rsid w:val="00994FB1"/>
    <w:rsid w:val="00994FDD"/>
    <w:rsid w:val="00994FFC"/>
    <w:rsid w:val="0099511F"/>
    <w:rsid w:val="009951DF"/>
    <w:rsid w:val="009952B1"/>
    <w:rsid w:val="00995352"/>
    <w:rsid w:val="009955B7"/>
    <w:rsid w:val="009957AA"/>
    <w:rsid w:val="009958A6"/>
    <w:rsid w:val="009958E7"/>
    <w:rsid w:val="00995944"/>
    <w:rsid w:val="0099598B"/>
    <w:rsid w:val="00995B12"/>
    <w:rsid w:val="00995C4F"/>
    <w:rsid w:val="00995D71"/>
    <w:rsid w:val="00995FC1"/>
    <w:rsid w:val="00995FCE"/>
    <w:rsid w:val="00996028"/>
    <w:rsid w:val="00996285"/>
    <w:rsid w:val="009962AF"/>
    <w:rsid w:val="009963B3"/>
    <w:rsid w:val="00996465"/>
    <w:rsid w:val="009966F7"/>
    <w:rsid w:val="009967A1"/>
    <w:rsid w:val="00996851"/>
    <w:rsid w:val="0099685D"/>
    <w:rsid w:val="009969F5"/>
    <w:rsid w:val="00996C80"/>
    <w:rsid w:val="00996CD8"/>
    <w:rsid w:val="00996D1B"/>
    <w:rsid w:val="00996D1E"/>
    <w:rsid w:val="00996E90"/>
    <w:rsid w:val="00996EE4"/>
    <w:rsid w:val="00996F80"/>
    <w:rsid w:val="00996FEE"/>
    <w:rsid w:val="00997043"/>
    <w:rsid w:val="00997308"/>
    <w:rsid w:val="0099733A"/>
    <w:rsid w:val="009973D9"/>
    <w:rsid w:val="009974AB"/>
    <w:rsid w:val="009975AC"/>
    <w:rsid w:val="009975F5"/>
    <w:rsid w:val="0099762D"/>
    <w:rsid w:val="009978FF"/>
    <w:rsid w:val="00997946"/>
    <w:rsid w:val="00997A28"/>
    <w:rsid w:val="00997C32"/>
    <w:rsid w:val="00997CBB"/>
    <w:rsid w:val="00997E3A"/>
    <w:rsid w:val="00997F9C"/>
    <w:rsid w:val="009A000D"/>
    <w:rsid w:val="009A0012"/>
    <w:rsid w:val="009A00C9"/>
    <w:rsid w:val="009A020F"/>
    <w:rsid w:val="009A0242"/>
    <w:rsid w:val="009A0292"/>
    <w:rsid w:val="009A02A9"/>
    <w:rsid w:val="009A040A"/>
    <w:rsid w:val="009A05AC"/>
    <w:rsid w:val="009A0611"/>
    <w:rsid w:val="009A0615"/>
    <w:rsid w:val="009A0657"/>
    <w:rsid w:val="009A079B"/>
    <w:rsid w:val="009A07D2"/>
    <w:rsid w:val="009A0876"/>
    <w:rsid w:val="009A08C5"/>
    <w:rsid w:val="009A08CB"/>
    <w:rsid w:val="009A0B48"/>
    <w:rsid w:val="009A0B56"/>
    <w:rsid w:val="009A0B92"/>
    <w:rsid w:val="009A0C6F"/>
    <w:rsid w:val="009A0F4D"/>
    <w:rsid w:val="009A101F"/>
    <w:rsid w:val="009A10F1"/>
    <w:rsid w:val="009A11C5"/>
    <w:rsid w:val="009A11F4"/>
    <w:rsid w:val="009A11F7"/>
    <w:rsid w:val="009A1378"/>
    <w:rsid w:val="009A138B"/>
    <w:rsid w:val="009A13A3"/>
    <w:rsid w:val="009A1465"/>
    <w:rsid w:val="009A165C"/>
    <w:rsid w:val="009A182B"/>
    <w:rsid w:val="009A18AD"/>
    <w:rsid w:val="009A196B"/>
    <w:rsid w:val="009A19C7"/>
    <w:rsid w:val="009A1AB7"/>
    <w:rsid w:val="009A1B4D"/>
    <w:rsid w:val="009A1D80"/>
    <w:rsid w:val="009A1DCB"/>
    <w:rsid w:val="009A1F04"/>
    <w:rsid w:val="009A1FBC"/>
    <w:rsid w:val="009A200B"/>
    <w:rsid w:val="009A201E"/>
    <w:rsid w:val="009A2251"/>
    <w:rsid w:val="009A2315"/>
    <w:rsid w:val="009A25F9"/>
    <w:rsid w:val="009A27AC"/>
    <w:rsid w:val="009A27DC"/>
    <w:rsid w:val="009A2872"/>
    <w:rsid w:val="009A28FF"/>
    <w:rsid w:val="009A298A"/>
    <w:rsid w:val="009A298C"/>
    <w:rsid w:val="009A29B9"/>
    <w:rsid w:val="009A29CC"/>
    <w:rsid w:val="009A2BDC"/>
    <w:rsid w:val="009A2BFE"/>
    <w:rsid w:val="009A2C7F"/>
    <w:rsid w:val="009A2CBB"/>
    <w:rsid w:val="009A2D38"/>
    <w:rsid w:val="009A2D83"/>
    <w:rsid w:val="009A2F8E"/>
    <w:rsid w:val="009A318B"/>
    <w:rsid w:val="009A333A"/>
    <w:rsid w:val="009A346E"/>
    <w:rsid w:val="009A394C"/>
    <w:rsid w:val="009A3A07"/>
    <w:rsid w:val="009A3A23"/>
    <w:rsid w:val="009A3D36"/>
    <w:rsid w:val="009A3D64"/>
    <w:rsid w:val="009A3DAC"/>
    <w:rsid w:val="009A3E0B"/>
    <w:rsid w:val="009A3E54"/>
    <w:rsid w:val="009A3E91"/>
    <w:rsid w:val="009A3EB9"/>
    <w:rsid w:val="009A3F0E"/>
    <w:rsid w:val="009A3FF1"/>
    <w:rsid w:val="009A4000"/>
    <w:rsid w:val="009A4053"/>
    <w:rsid w:val="009A437C"/>
    <w:rsid w:val="009A443E"/>
    <w:rsid w:val="009A45D7"/>
    <w:rsid w:val="009A462F"/>
    <w:rsid w:val="009A4726"/>
    <w:rsid w:val="009A4747"/>
    <w:rsid w:val="009A47B2"/>
    <w:rsid w:val="009A4A56"/>
    <w:rsid w:val="009A4B64"/>
    <w:rsid w:val="009A4BA0"/>
    <w:rsid w:val="009A4BB5"/>
    <w:rsid w:val="009A4C49"/>
    <w:rsid w:val="009A4C66"/>
    <w:rsid w:val="009A4D4B"/>
    <w:rsid w:val="009A4E52"/>
    <w:rsid w:val="009A501A"/>
    <w:rsid w:val="009A52A9"/>
    <w:rsid w:val="009A52BF"/>
    <w:rsid w:val="009A551F"/>
    <w:rsid w:val="009A55D3"/>
    <w:rsid w:val="009A55E2"/>
    <w:rsid w:val="009A563C"/>
    <w:rsid w:val="009A57C3"/>
    <w:rsid w:val="009A599A"/>
    <w:rsid w:val="009A59B3"/>
    <w:rsid w:val="009A5C50"/>
    <w:rsid w:val="009A5C94"/>
    <w:rsid w:val="009A5CF2"/>
    <w:rsid w:val="009A5D45"/>
    <w:rsid w:val="009A5DF5"/>
    <w:rsid w:val="009A5E94"/>
    <w:rsid w:val="009A5EC7"/>
    <w:rsid w:val="009A6072"/>
    <w:rsid w:val="009A61D7"/>
    <w:rsid w:val="009A649D"/>
    <w:rsid w:val="009A6532"/>
    <w:rsid w:val="009A6622"/>
    <w:rsid w:val="009A6624"/>
    <w:rsid w:val="009A670F"/>
    <w:rsid w:val="009A673C"/>
    <w:rsid w:val="009A6A1F"/>
    <w:rsid w:val="009A6B43"/>
    <w:rsid w:val="009A6D2E"/>
    <w:rsid w:val="009A70D6"/>
    <w:rsid w:val="009A7204"/>
    <w:rsid w:val="009A72DE"/>
    <w:rsid w:val="009A768D"/>
    <w:rsid w:val="009A76CB"/>
    <w:rsid w:val="009A77E0"/>
    <w:rsid w:val="009A77EB"/>
    <w:rsid w:val="009A77F8"/>
    <w:rsid w:val="009A7A31"/>
    <w:rsid w:val="009A7C6B"/>
    <w:rsid w:val="009A7CC1"/>
    <w:rsid w:val="009A7D70"/>
    <w:rsid w:val="009A7DAC"/>
    <w:rsid w:val="009A7E0C"/>
    <w:rsid w:val="009A7E50"/>
    <w:rsid w:val="009A7F4A"/>
    <w:rsid w:val="009A7F50"/>
    <w:rsid w:val="009B012B"/>
    <w:rsid w:val="009B0224"/>
    <w:rsid w:val="009B03F8"/>
    <w:rsid w:val="009B0406"/>
    <w:rsid w:val="009B0516"/>
    <w:rsid w:val="009B0567"/>
    <w:rsid w:val="009B05C2"/>
    <w:rsid w:val="009B0672"/>
    <w:rsid w:val="009B069F"/>
    <w:rsid w:val="009B072F"/>
    <w:rsid w:val="009B0788"/>
    <w:rsid w:val="009B0848"/>
    <w:rsid w:val="009B0911"/>
    <w:rsid w:val="009B09DC"/>
    <w:rsid w:val="009B0C70"/>
    <w:rsid w:val="009B1077"/>
    <w:rsid w:val="009B113A"/>
    <w:rsid w:val="009B114C"/>
    <w:rsid w:val="009B1221"/>
    <w:rsid w:val="009B1259"/>
    <w:rsid w:val="009B1305"/>
    <w:rsid w:val="009B13A5"/>
    <w:rsid w:val="009B19D9"/>
    <w:rsid w:val="009B1AA9"/>
    <w:rsid w:val="009B1AB7"/>
    <w:rsid w:val="009B1AC4"/>
    <w:rsid w:val="009B1B9E"/>
    <w:rsid w:val="009B1C07"/>
    <w:rsid w:val="009B1FA1"/>
    <w:rsid w:val="009B2006"/>
    <w:rsid w:val="009B202D"/>
    <w:rsid w:val="009B209C"/>
    <w:rsid w:val="009B20AF"/>
    <w:rsid w:val="009B20F2"/>
    <w:rsid w:val="009B2141"/>
    <w:rsid w:val="009B2168"/>
    <w:rsid w:val="009B2327"/>
    <w:rsid w:val="009B237C"/>
    <w:rsid w:val="009B23F0"/>
    <w:rsid w:val="009B23F4"/>
    <w:rsid w:val="009B27C1"/>
    <w:rsid w:val="009B2822"/>
    <w:rsid w:val="009B2862"/>
    <w:rsid w:val="009B2924"/>
    <w:rsid w:val="009B2998"/>
    <w:rsid w:val="009B2A30"/>
    <w:rsid w:val="009B2B93"/>
    <w:rsid w:val="009B2CF1"/>
    <w:rsid w:val="009B2DEA"/>
    <w:rsid w:val="009B30B2"/>
    <w:rsid w:val="009B30FD"/>
    <w:rsid w:val="009B3160"/>
    <w:rsid w:val="009B31AC"/>
    <w:rsid w:val="009B31F7"/>
    <w:rsid w:val="009B3290"/>
    <w:rsid w:val="009B32E2"/>
    <w:rsid w:val="009B3370"/>
    <w:rsid w:val="009B33C3"/>
    <w:rsid w:val="009B33FB"/>
    <w:rsid w:val="009B352A"/>
    <w:rsid w:val="009B35C7"/>
    <w:rsid w:val="009B3A2A"/>
    <w:rsid w:val="009B3BAE"/>
    <w:rsid w:val="009B3EA6"/>
    <w:rsid w:val="009B4117"/>
    <w:rsid w:val="009B4194"/>
    <w:rsid w:val="009B4294"/>
    <w:rsid w:val="009B42AC"/>
    <w:rsid w:val="009B43CD"/>
    <w:rsid w:val="009B43F2"/>
    <w:rsid w:val="009B448E"/>
    <w:rsid w:val="009B452A"/>
    <w:rsid w:val="009B4573"/>
    <w:rsid w:val="009B45A9"/>
    <w:rsid w:val="009B4649"/>
    <w:rsid w:val="009B474E"/>
    <w:rsid w:val="009B49CD"/>
    <w:rsid w:val="009B49E5"/>
    <w:rsid w:val="009B4BFD"/>
    <w:rsid w:val="009B4E08"/>
    <w:rsid w:val="009B4E45"/>
    <w:rsid w:val="009B5072"/>
    <w:rsid w:val="009B50FB"/>
    <w:rsid w:val="009B51C1"/>
    <w:rsid w:val="009B5401"/>
    <w:rsid w:val="009B54D5"/>
    <w:rsid w:val="009B55B8"/>
    <w:rsid w:val="009B5809"/>
    <w:rsid w:val="009B580E"/>
    <w:rsid w:val="009B589C"/>
    <w:rsid w:val="009B58A1"/>
    <w:rsid w:val="009B58B3"/>
    <w:rsid w:val="009B5954"/>
    <w:rsid w:val="009B595C"/>
    <w:rsid w:val="009B595F"/>
    <w:rsid w:val="009B5A2C"/>
    <w:rsid w:val="009B5B82"/>
    <w:rsid w:val="009B5BB6"/>
    <w:rsid w:val="009B5C10"/>
    <w:rsid w:val="009B5C21"/>
    <w:rsid w:val="009B5C4D"/>
    <w:rsid w:val="009B5DC8"/>
    <w:rsid w:val="009B5FDC"/>
    <w:rsid w:val="009B6010"/>
    <w:rsid w:val="009B6058"/>
    <w:rsid w:val="009B60B2"/>
    <w:rsid w:val="009B6123"/>
    <w:rsid w:val="009B62A0"/>
    <w:rsid w:val="009B63E6"/>
    <w:rsid w:val="009B65A0"/>
    <w:rsid w:val="009B663D"/>
    <w:rsid w:val="009B6698"/>
    <w:rsid w:val="009B6736"/>
    <w:rsid w:val="009B6813"/>
    <w:rsid w:val="009B6861"/>
    <w:rsid w:val="009B6DF9"/>
    <w:rsid w:val="009B6E28"/>
    <w:rsid w:val="009B6ED4"/>
    <w:rsid w:val="009B7008"/>
    <w:rsid w:val="009B7172"/>
    <w:rsid w:val="009B71AC"/>
    <w:rsid w:val="009B7467"/>
    <w:rsid w:val="009B751B"/>
    <w:rsid w:val="009B756A"/>
    <w:rsid w:val="009B76EC"/>
    <w:rsid w:val="009B784A"/>
    <w:rsid w:val="009B7A67"/>
    <w:rsid w:val="009B7AD5"/>
    <w:rsid w:val="009B7C5F"/>
    <w:rsid w:val="009B7C98"/>
    <w:rsid w:val="009B7E8A"/>
    <w:rsid w:val="009C001C"/>
    <w:rsid w:val="009C0090"/>
    <w:rsid w:val="009C00B5"/>
    <w:rsid w:val="009C01B3"/>
    <w:rsid w:val="009C01D8"/>
    <w:rsid w:val="009C03BB"/>
    <w:rsid w:val="009C0483"/>
    <w:rsid w:val="009C0547"/>
    <w:rsid w:val="009C07C0"/>
    <w:rsid w:val="009C0A68"/>
    <w:rsid w:val="009C0A70"/>
    <w:rsid w:val="009C0AEE"/>
    <w:rsid w:val="009C0C3C"/>
    <w:rsid w:val="009C0C98"/>
    <w:rsid w:val="009C0CBA"/>
    <w:rsid w:val="009C0CF6"/>
    <w:rsid w:val="009C0D69"/>
    <w:rsid w:val="009C0DCA"/>
    <w:rsid w:val="009C0DFA"/>
    <w:rsid w:val="009C0DFF"/>
    <w:rsid w:val="009C0E47"/>
    <w:rsid w:val="009C0E85"/>
    <w:rsid w:val="009C0FC1"/>
    <w:rsid w:val="009C12F4"/>
    <w:rsid w:val="009C15C3"/>
    <w:rsid w:val="009C1620"/>
    <w:rsid w:val="009C1626"/>
    <w:rsid w:val="009C167C"/>
    <w:rsid w:val="009C16E3"/>
    <w:rsid w:val="009C171A"/>
    <w:rsid w:val="009C1765"/>
    <w:rsid w:val="009C1817"/>
    <w:rsid w:val="009C18F8"/>
    <w:rsid w:val="009C1962"/>
    <w:rsid w:val="009C1CAA"/>
    <w:rsid w:val="009C1F06"/>
    <w:rsid w:val="009C1F34"/>
    <w:rsid w:val="009C1F54"/>
    <w:rsid w:val="009C1F9F"/>
    <w:rsid w:val="009C2014"/>
    <w:rsid w:val="009C2018"/>
    <w:rsid w:val="009C2232"/>
    <w:rsid w:val="009C23FB"/>
    <w:rsid w:val="009C242B"/>
    <w:rsid w:val="009C246D"/>
    <w:rsid w:val="009C24AF"/>
    <w:rsid w:val="009C2630"/>
    <w:rsid w:val="009C2758"/>
    <w:rsid w:val="009C28EC"/>
    <w:rsid w:val="009C2B2B"/>
    <w:rsid w:val="009C2B95"/>
    <w:rsid w:val="009C2DBB"/>
    <w:rsid w:val="009C2E4C"/>
    <w:rsid w:val="009C2E4F"/>
    <w:rsid w:val="009C2EF5"/>
    <w:rsid w:val="009C2FA1"/>
    <w:rsid w:val="009C30D2"/>
    <w:rsid w:val="009C3433"/>
    <w:rsid w:val="009C346F"/>
    <w:rsid w:val="009C34F1"/>
    <w:rsid w:val="009C3714"/>
    <w:rsid w:val="009C373D"/>
    <w:rsid w:val="009C389B"/>
    <w:rsid w:val="009C3A19"/>
    <w:rsid w:val="009C3A3C"/>
    <w:rsid w:val="009C3A6A"/>
    <w:rsid w:val="009C3AA6"/>
    <w:rsid w:val="009C3B3D"/>
    <w:rsid w:val="009C3B9C"/>
    <w:rsid w:val="009C3C43"/>
    <w:rsid w:val="009C3DD4"/>
    <w:rsid w:val="009C3F1B"/>
    <w:rsid w:val="009C4037"/>
    <w:rsid w:val="009C40DB"/>
    <w:rsid w:val="009C4155"/>
    <w:rsid w:val="009C4185"/>
    <w:rsid w:val="009C4196"/>
    <w:rsid w:val="009C41B2"/>
    <w:rsid w:val="009C424B"/>
    <w:rsid w:val="009C4318"/>
    <w:rsid w:val="009C4411"/>
    <w:rsid w:val="009C4438"/>
    <w:rsid w:val="009C45BB"/>
    <w:rsid w:val="009C486E"/>
    <w:rsid w:val="009C4889"/>
    <w:rsid w:val="009C48DB"/>
    <w:rsid w:val="009C48DC"/>
    <w:rsid w:val="009C4A4A"/>
    <w:rsid w:val="009C4A5D"/>
    <w:rsid w:val="009C4B64"/>
    <w:rsid w:val="009C4C9E"/>
    <w:rsid w:val="009C4CC5"/>
    <w:rsid w:val="009C4E71"/>
    <w:rsid w:val="009C4F31"/>
    <w:rsid w:val="009C4F56"/>
    <w:rsid w:val="009C505C"/>
    <w:rsid w:val="009C5078"/>
    <w:rsid w:val="009C52FC"/>
    <w:rsid w:val="009C53A6"/>
    <w:rsid w:val="009C53E7"/>
    <w:rsid w:val="009C542C"/>
    <w:rsid w:val="009C5535"/>
    <w:rsid w:val="009C5630"/>
    <w:rsid w:val="009C56FA"/>
    <w:rsid w:val="009C575D"/>
    <w:rsid w:val="009C57C1"/>
    <w:rsid w:val="009C5947"/>
    <w:rsid w:val="009C5A59"/>
    <w:rsid w:val="009C5AE1"/>
    <w:rsid w:val="009C5B72"/>
    <w:rsid w:val="009C5DF6"/>
    <w:rsid w:val="009C5E0A"/>
    <w:rsid w:val="009C5E0B"/>
    <w:rsid w:val="009C5EE2"/>
    <w:rsid w:val="009C60A1"/>
    <w:rsid w:val="009C61D2"/>
    <w:rsid w:val="009C659B"/>
    <w:rsid w:val="009C65AF"/>
    <w:rsid w:val="009C6788"/>
    <w:rsid w:val="009C6821"/>
    <w:rsid w:val="009C68B3"/>
    <w:rsid w:val="009C68DF"/>
    <w:rsid w:val="009C699E"/>
    <w:rsid w:val="009C6A4D"/>
    <w:rsid w:val="009C6A5B"/>
    <w:rsid w:val="009C6B0E"/>
    <w:rsid w:val="009C6B6E"/>
    <w:rsid w:val="009C6BC9"/>
    <w:rsid w:val="009C6BE0"/>
    <w:rsid w:val="009C6C84"/>
    <w:rsid w:val="009C6D2C"/>
    <w:rsid w:val="009C6E41"/>
    <w:rsid w:val="009C6EDA"/>
    <w:rsid w:val="009C6EDD"/>
    <w:rsid w:val="009C6F7A"/>
    <w:rsid w:val="009C6F8B"/>
    <w:rsid w:val="009C6FFE"/>
    <w:rsid w:val="009C7122"/>
    <w:rsid w:val="009C73C4"/>
    <w:rsid w:val="009C73D6"/>
    <w:rsid w:val="009C74F5"/>
    <w:rsid w:val="009C757E"/>
    <w:rsid w:val="009C77A2"/>
    <w:rsid w:val="009C7805"/>
    <w:rsid w:val="009C7868"/>
    <w:rsid w:val="009C7942"/>
    <w:rsid w:val="009C798A"/>
    <w:rsid w:val="009C7A41"/>
    <w:rsid w:val="009C7AEE"/>
    <w:rsid w:val="009C7B03"/>
    <w:rsid w:val="009C7B32"/>
    <w:rsid w:val="009C7B6A"/>
    <w:rsid w:val="009C7C36"/>
    <w:rsid w:val="009C7D60"/>
    <w:rsid w:val="009C7E20"/>
    <w:rsid w:val="009C7EB1"/>
    <w:rsid w:val="009C7F06"/>
    <w:rsid w:val="009C7FDC"/>
    <w:rsid w:val="009D0029"/>
    <w:rsid w:val="009D004A"/>
    <w:rsid w:val="009D00B2"/>
    <w:rsid w:val="009D00EF"/>
    <w:rsid w:val="009D0115"/>
    <w:rsid w:val="009D03A4"/>
    <w:rsid w:val="009D046C"/>
    <w:rsid w:val="009D04F4"/>
    <w:rsid w:val="009D0512"/>
    <w:rsid w:val="009D05FE"/>
    <w:rsid w:val="009D0920"/>
    <w:rsid w:val="009D098A"/>
    <w:rsid w:val="009D099E"/>
    <w:rsid w:val="009D0B29"/>
    <w:rsid w:val="009D0BCC"/>
    <w:rsid w:val="009D0DEC"/>
    <w:rsid w:val="009D0EE7"/>
    <w:rsid w:val="009D0EF4"/>
    <w:rsid w:val="009D0F2C"/>
    <w:rsid w:val="009D1112"/>
    <w:rsid w:val="009D115A"/>
    <w:rsid w:val="009D12A7"/>
    <w:rsid w:val="009D14CA"/>
    <w:rsid w:val="009D1790"/>
    <w:rsid w:val="009D18CC"/>
    <w:rsid w:val="009D193C"/>
    <w:rsid w:val="009D1995"/>
    <w:rsid w:val="009D1AC8"/>
    <w:rsid w:val="009D1B00"/>
    <w:rsid w:val="009D22D2"/>
    <w:rsid w:val="009D2367"/>
    <w:rsid w:val="009D23A2"/>
    <w:rsid w:val="009D24AB"/>
    <w:rsid w:val="009D2504"/>
    <w:rsid w:val="009D2568"/>
    <w:rsid w:val="009D28A6"/>
    <w:rsid w:val="009D291F"/>
    <w:rsid w:val="009D2A05"/>
    <w:rsid w:val="009D2A09"/>
    <w:rsid w:val="009D2C40"/>
    <w:rsid w:val="009D2C44"/>
    <w:rsid w:val="009D2DB9"/>
    <w:rsid w:val="009D2E54"/>
    <w:rsid w:val="009D2EF8"/>
    <w:rsid w:val="009D2FE7"/>
    <w:rsid w:val="009D34D7"/>
    <w:rsid w:val="009D3564"/>
    <w:rsid w:val="009D3619"/>
    <w:rsid w:val="009D3664"/>
    <w:rsid w:val="009D39EF"/>
    <w:rsid w:val="009D3ACC"/>
    <w:rsid w:val="009D3D9F"/>
    <w:rsid w:val="009D3DC5"/>
    <w:rsid w:val="009D3EA6"/>
    <w:rsid w:val="009D3FD9"/>
    <w:rsid w:val="009D4138"/>
    <w:rsid w:val="009D42B1"/>
    <w:rsid w:val="009D430D"/>
    <w:rsid w:val="009D4406"/>
    <w:rsid w:val="009D45B2"/>
    <w:rsid w:val="009D4727"/>
    <w:rsid w:val="009D4777"/>
    <w:rsid w:val="009D49C9"/>
    <w:rsid w:val="009D4B41"/>
    <w:rsid w:val="009D4BED"/>
    <w:rsid w:val="009D4BF4"/>
    <w:rsid w:val="009D4F56"/>
    <w:rsid w:val="009D5132"/>
    <w:rsid w:val="009D59F4"/>
    <w:rsid w:val="009D5B73"/>
    <w:rsid w:val="009D5B8C"/>
    <w:rsid w:val="009D5D7B"/>
    <w:rsid w:val="009D5EEF"/>
    <w:rsid w:val="009D5EFF"/>
    <w:rsid w:val="009D5F74"/>
    <w:rsid w:val="009D6069"/>
    <w:rsid w:val="009D6097"/>
    <w:rsid w:val="009D6127"/>
    <w:rsid w:val="009D65B3"/>
    <w:rsid w:val="009D6651"/>
    <w:rsid w:val="009D6694"/>
    <w:rsid w:val="009D66B0"/>
    <w:rsid w:val="009D678B"/>
    <w:rsid w:val="009D68A9"/>
    <w:rsid w:val="009D6A2B"/>
    <w:rsid w:val="009D6B14"/>
    <w:rsid w:val="009D6B7D"/>
    <w:rsid w:val="009D6C00"/>
    <w:rsid w:val="009D6C4A"/>
    <w:rsid w:val="009D6DF6"/>
    <w:rsid w:val="009D7074"/>
    <w:rsid w:val="009D70BA"/>
    <w:rsid w:val="009D72DF"/>
    <w:rsid w:val="009D7319"/>
    <w:rsid w:val="009D7506"/>
    <w:rsid w:val="009D7549"/>
    <w:rsid w:val="009D75B9"/>
    <w:rsid w:val="009D77FD"/>
    <w:rsid w:val="009D781F"/>
    <w:rsid w:val="009D78F5"/>
    <w:rsid w:val="009D7A32"/>
    <w:rsid w:val="009D7ABF"/>
    <w:rsid w:val="009D7B1F"/>
    <w:rsid w:val="009D7BEB"/>
    <w:rsid w:val="009D7C6B"/>
    <w:rsid w:val="009D7C94"/>
    <w:rsid w:val="009D7E50"/>
    <w:rsid w:val="009D7E53"/>
    <w:rsid w:val="009D7FB9"/>
    <w:rsid w:val="009E0113"/>
    <w:rsid w:val="009E013D"/>
    <w:rsid w:val="009E02A8"/>
    <w:rsid w:val="009E02E5"/>
    <w:rsid w:val="009E0398"/>
    <w:rsid w:val="009E03F7"/>
    <w:rsid w:val="009E04B5"/>
    <w:rsid w:val="009E0501"/>
    <w:rsid w:val="009E05BA"/>
    <w:rsid w:val="009E06BE"/>
    <w:rsid w:val="009E06D4"/>
    <w:rsid w:val="009E06E5"/>
    <w:rsid w:val="009E06FA"/>
    <w:rsid w:val="009E07A5"/>
    <w:rsid w:val="009E0912"/>
    <w:rsid w:val="009E09E6"/>
    <w:rsid w:val="009E0A22"/>
    <w:rsid w:val="009E0B41"/>
    <w:rsid w:val="009E0B89"/>
    <w:rsid w:val="009E0BC9"/>
    <w:rsid w:val="009E0C72"/>
    <w:rsid w:val="009E0D59"/>
    <w:rsid w:val="009E0D6B"/>
    <w:rsid w:val="009E0E1B"/>
    <w:rsid w:val="009E0E1C"/>
    <w:rsid w:val="009E0E1E"/>
    <w:rsid w:val="009E0E78"/>
    <w:rsid w:val="009E0EE7"/>
    <w:rsid w:val="009E10FD"/>
    <w:rsid w:val="009E1158"/>
    <w:rsid w:val="009E1168"/>
    <w:rsid w:val="009E141D"/>
    <w:rsid w:val="009E154A"/>
    <w:rsid w:val="009E15C7"/>
    <w:rsid w:val="009E15EC"/>
    <w:rsid w:val="009E160A"/>
    <w:rsid w:val="009E1624"/>
    <w:rsid w:val="009E1730"/>
    <w:rsid w:val="009E1796"/>
    <w:rsid w:val="009E17D7"/>
    <w:rsid w:val="009E1861"/>
    <w:rsid w:val="009E18B6"/>
    <w:rsid w:val="009E198C"/>
    <w:rsid w:val="009E1C42"/>
    <w:rsid w:val="009E1DFA"/>
    <w:rsid w:val="009E1E27"/>
    <w:rsid w:val="009E1F1C"/>
    <w:rsid w:val="009E1F59"/>
    <w:rsid w:val="009E1FEA"/>
    <w:rsid w:val="009E214C"/>
    <w:rsid w:val="009E21AE"/>
    <w:rsid w:val="009E221C"/>
    <w:rsid w:val="009E2407"/>
    <w:rsid w:val="009E2466"/>
    <w:rsid w:val="009E24B5"/>
    <w:rsid w:val="009E25C6"/>
    <w:rsid w:val="009E2602"/>
    <w:rsid w:val="009E2628"/>
    <w:rsid w:val="009E2859"/>
    <w:rsid w:val="009E29D2"/>
    <w:rsid w:val="009E2A5F"/>
    <w:rsid w:val="009E2B90"/>
    <w:rsid w:val="009E2BE0"/>
    <w:rsid w:val="009E2CC1"/>
    <w:rsid w:val="009E2D59"/>
    <w:rsid w:val="009E2D7F"/>
    <w:rsid w:val="009E2EE4"/>
    <w:rsid w:val="009E30E5"/>
    <w:rsid w:val="009E322A"/>
    <w:rsid w:val="009E33F3"/>
    <w:rsid w:val="009E3475"/>
    <w:rsid w:val="009E3497"/>
    <w:rsid w:val="009E34AC"/>
    <w:rsid w:val="009E35A9"/>
    <w:rsid w:val="009E35F0"/>
    <w:rsid w:val="009E368D"/>
    <w:rsid w:val="009E36C9"/>
    <w:rsid w:val="009E36DC"/>
    <w:rsid w:val="009E3736"/>
    <w:rsid w:val="009E392B"/>
    <w:rsid w:val="009E3AB6"/>
    <w:rsid w:val="009E3B0D"/>
    <w:rsid w:val="009E40CD"/>
    <w:rsid w:val="009E4179"/>
    <w:rsid w:val="009E41BF"/>
    <w:rsid w:val="009E4210"/>
    <w:rsid w:val="009E4251"/>
    <w:rsid w:val="009E42B5"/>
    <w:rsid w:val="009E4362"/>
    <w:rsid w:val="009E4392"/>
    <w:rsid w:val="009E43BF"/>
    <w:rsid w:val="009E4583"/>
    <w:rsid w:val="009E45A3"/>
    <w:rsid w:val="009E4617"/>
    <w:rsid w:val="009E473F"/>
    <w:rsid w:val="009E47EC"/>
    <w:rsid w:val="009E48BB"/>
    <w:rsid w:val="009E48F7"/>
    <w:rsid w:val="009E4929"/>
    <w:rsid w:val="009E49F1"/>
    <w:rsid w:val="009E4A4B"/>
    <w:rsid w:val="009E4AB9"/>
    <w:rsid w:val="009E4BCB"/>
    <w:rsid w:val="009E4F04"/>
    <w:rsid w:val="009E4F14"/>
    <w:rsid w:val="009E4F22"/>
    <w:rsid w:val="009E4F93"/>
    <w:rsid w:val="009E511C"/>
    <w:rsid w:val="009E5297"/>
    <w:rsid w:val="009E53DE"/>
    <w:rsid w:val="009E55A9"/>
    <w:rsid w:val="009E56A4"/>
    <w:rsid w:val="009E571F"/>
    <w:rsid w:val="009E58C2"/>
    <w:rsid w:val="009E5916"/>
    <w:rsid w:val="009E5AAA"/>
    <w:rsid w:val="009E5ABF"/>
    <w:rsid w:val="009E5B6A"/>
    <w:rsid w:val="009E5B90"/>
    <w:rsid w:val="009E5CCC"/>
    <w:rsid w:val="009E5E4E"/>
    <w:rsid w:val="009E5FC3"/>
    <w:rsid w:val="009E6003"/>
    <w:rsid w:val="009E6135"/>
    <w:rsid w:val="009E63B1"/>
    <w:rsid w:val="009E6435"/>
    <w:rsid w:val="009E64E1"/>
    <w:rsid w:val="009E656B"/>
    <w:rsid w:val="009E6598"/>
    <w:rsid w:val="009E6643"/>
    <w:rsid w:val="009E67FB"/>
    <w:rsid w:val="009E6879"/>
    <w:rsid w:val="009E68F8"/>
    <w:rsid w:val="009E691C"/>
    <w:rsid w:val="009E6A30"/>
    <w:rsid w:val="009E6AC8"/>
    <w:rsid w:val="009E6BDC"/>
    <w:rsid w:val="009E6C6D"/>
    <w:rsid w:val="009E6E5C"/>
    <w:rsid w:val="009E6FC4"/>
    <w:rsid w:val="009E70E9"/>
    <w:rsid w:val="009E7277"/>
    <w:rsid w:val="009E7327"/>
    <w:rsid w:val="009E73E1"/>
    <w:rsid w:val="009E74F9"/>
    <w:rsid w:val="009E7675"/>
    <w:rsid w:val="009E7678"/>
    <w:rsid w:val="009E779F"/>
    <w:rsid w:val="009E77D4"/>
    <w:rsid w:val="009E77E0"/>
    <w:rsid w:val="009E7A01"/>
    <w:rsid w:val="009E7A26"/>
    <w:rsid w:val="009E7A81"/>
    <w:rsid w:val="009E7ADD"/>
    <w:rsid w:val="009E7C31"/>
    <w:rsid w:val="009E7C7B"/>
    <w:rsid w:val="009E7CBD"/>
    <w:rsid w:val="009E7D0E"/>
    <w:rsid w:val="009E7D12"/>
    <w:rsid w:val="009E7D31"/>
    <w:rsid w:val="009F00F1"/>
    <w:rsid w:val="009F019E"/>
    <w:rsid w:val="009F0258"/>
    <w:rsid w:val="009F0330"/>
    <w:rsid w:val="009F0346"/>
    <w:rsid w:val="009F0623"/>
    <w:rsid w:val="009F0682"/>
    <w:rsid w:val="009F0765"/>
    <w:rsid w:val="009F08E1"/>
    <w:rsid w:val="009F0916"/>
    <w:rsid w:val="009F09F6"/>
    <w:rsid w:val="009F0DAF"/>
    <w:rsid w:val="009F0E1E"/>
    <w:rsid w:val="009F0F62"/>
    <w:rsid w:val="009F10FD"/>
    <w:rsid w:val="009F116F"/>
    <w:rsid w:val="009F1221"/>
    <w:rsid w:val="009F127E"/>
    <w:rsid w:val="009F12C6"/>
    <w:rsid w:val="009F12CB"/>
    <w:rsid w:val="009F1430"/>
    <w:rsid w:val="009F1584"/>
    <w:rsid w:val="009F172D"/>
    <w:rsid w:val="009F1993"/>
    <w:rsid w:val="009F19AA"/>
    <w:rsid w:val="009F19B5"/>
    <w:rsid w:val="009F1A69"/>
    <w:rsid w:val="009F1C0A"/>
    <w:rsid w:val="009F1FFD"/>
    <w:rsid w:val="009F20B3"/>
    <w:rsid w:val="009F20D9"/>
    <w:rsid w:val="009F226B"/>
    <w:rsid w:val="009F230E"/>
    <w:rsid w:val="009F23A2"/>
    <w:rsid w:val="009F24F4"/>
    <w:rsid w:val="009F25A4"/>
    <w:rsid w:val="009F26B3"/>
    <w:rsid w:val="009F26BE"/>
    <w:rsid w:val="009F26FC"/>
    <w:rsid w:val="009F2768"/>
    <w:rsid w:val="009F287C"/>
    <w:rsid w:val="009F28FD"/>
    <w:rsid w:val="009F2A69"/>
    <w:rsid w:val="009F2B37"/>
    <w:rsid w:val="009F2BE6"/>
    <w:rsid w:val="009F2F91"/>
    <w:rsid w:val="009F3042"/>
    <w:rsid w:val="009F325D"/>
    <w:rsid w:val="009F3627"/>
    <w:rsid w:val="009F3692"/>
    <w:rsid w:val="009F36AF"/>
    <w:rsid w:val="009F3887"/>
    <w:rsid w:val="009F3898"/>
    <w:rsid w:val="009F392A"/>
    <w:rsid w:val="009F3A71"/>
    <w:rsid w:val="009F3C71"/>
    <w:rsid w:val="009F3CD9"/>
    <w:rsid w:val="009F3D69"/>
    <w:rsid w:val="009F3DB5"/>
    <w:rsid w:val="009F3DBA"/>
    <w:rsid w:val="009F3EB5"/>
    <w:rsid w:val="009F3EF3"/>
    <w:rsid w:val="009F4058"/>
    <w:rsid w:val="009F40A1"/>
    <w:rsid w:val="009F40E8"/>
    <w:rsid w:val="009F40FB"/>
    <w:rsid w:val="009F4310"/>
    <w:rsid w:val="009F43AE"/>
    <w:rsid w:val="009F43B9"/>
    <w:rsid w:val="009F4523"/>
    <w:rsid w:val="009F4635"/>
    <w:rsid w:val="009F46D0"/>
    <w:rsid w:val="009F4748"/>
    <w:rsid w:val="009F47FD"/>
    <w:rsid w:val="009F4847"/>
    <w:rsid w:val="009F4AA3"/>
    <w:rsid w:val="009F4BB3"/>
    <w:rsid w:val="009F4D3E"/>
    <w:rsid w:val="009F4EC4"/>
    <w:rsid w:val="009F4ED1"/>
    <w:rsid w:val="009F4FE8"/>
    <w:rsid w:val="009F500F"/>
    <w:rsid w:val="009F522D"/>
    <w:rsid w:val="009F525C"/>
    <w:rsid w:val="009F5400"/>
    <w:rsid w:val="009F5408"/>
    <w:rsid w:val="009F5463"/>
    <w:rsid w:val="009F5BBD"/>
    <w:rsid w:val="009F5C2E"/>
    <w:rsid w:val="009F5C9B"/>
    <w:rsid w:val="009F5D8B"/>
    <w:rsid w:val="009F5DD0"/>
    <w:rsid w:val="009F5E13"/>
    <w:rsid w:val="009F5E98"/>
    <w:rsid w:val="009F5EAD"/>
    <w:rsid w:val="009F5F0F"/>
    <w:rsid w:val="009F5FC0"/>
    <w:rsid w:val="009F60A3"/>
    <w:rsid w:val="009F62D7"/>
    <w:rsid w:val="009F65B9"/>
    <w:rsid w:val="009F666D"/>
    <w:rsid w:val="009F66B3"/>
    <w:rsid w:val="009F67FA"/>
    <w:rsid w:val="009F6879"/>
    <w:rsid w:val="009F696C"/>
    <w:rsid w:val="009F69C5"/>
    <w:rsid w:val="009F6A8D"/>
    <w:rsid w:val="009F6B2F"/>
    <w:rsid w:val="009F6BC3"/>
    <w:rsid w:val="009F6C6D"/>
    <w:rsid w:val="009F6FE6"/>
    <w:rsid w:val="009F6FFF"/>
    <w:rsid w:val="009F70BF"/>
    <w:rsid w:val="009F7179"/>
    <w:rsid w:val="009F72F4"/>
    <w:rsid w:val="009F7337"/>
    <w:rsid w:val="009F755F"/>
    <w:rsid w:val="009F762C"/>
    <w:rsid w:val="009F7691"/>
    <w:rsid w:val="009F76B1"/>
    <w:rsid w:val="009F7A8B"/>
    <w:rsid w:val="009F7B51"/>
    <w:rsid w:val="009F7E33"/>
    <w:rsid w:val="009F7F8C"/>
    <w:rsid w:val="00A000CC"/>
    <w:rsid w:val="00A00226"/>
    <w:rsid w:val="00A00493"/>
    <w:rsid w:val="00A004C5"/>
    <w:rsid w:val="00A00661"/>
    <w:rsid w:val="00A008FF"/>
    <w:rsid w:val="00A009C1"/>
    <w:rsid w:val="00A009C3"/>
    <w:rsid w:val="00A00A52"/>
    <w:rsid w:val="00A00C0C"/>
    <w:rsid w:val="00A00C74"/>
    <w:rsid w:val="00A00DAC"/>
    <w:rsid w:val="00A00DF8"/>
    <w:rsid w:val="00A00E81"/>
    <w:rsid w:val="00A014C5"/>
    <w:rsid w:val="00A01515"/>
    <w:rsid w:val="00A015AC"/>
    <w:rsid w:val="00A015D6"/>
    <w:rsid w:val="00A0163C"/>
    <w:rsid w:val="00A01642"/>
    <w:rsid w:val="00A01665"/>
    <w:rsid w:val="00A01720"/>
    <w:rsid w:val="00A01B72"/>
    <w:rsid w:val="00A01B8B"/>
    <w:rsid w:val="00A01C3F"/>
    <w:rsid w:val="00A01C4F"/>
    <w:rsid w:val="00A01CCE"/>
    <w:rsid w:val="00A01D84"/>
    <w:rsid w:val="00A01E97"/>
    <w:rsid w:val="00A0203F"/>
    <w:rsid w:val="00A0212A"/>
    <w:rsid w:val="00A02384"/>
    <w:rsid w:val="00A02461"/>
    <w:rsid w:val="00A02518"/>
    <w:rsid w:val="00A02936"/>
    <w:rsid w:val="00A0298B"/>
    <w:rsid w:val="00A02C80"/>
    <w:rsid w:val="00A02DF6"/>
    <w:rsid w:val="00A02E33"/>
    <w:rsid w:val="00A02EA2"/>
    <w:rsid w:val="00A02EAC"/>
    <w:rsid w:val="00A02ED8"/>
    <w:rsid w:val="00A0314F"/>
    <w:rsid w:val="00A03356"/>
    <w:rsid w:val="00A033C0"/>
    <w:rsid w:val="00A034E7"/>
    <w:rsid w:val="00A03501"/>
    <w:rsid w:val="00A035CE"/>
    <w:rsid w:val="00A0374E"/>
    <w:rsid w:val="00A03766"/>
    <w:rsid w:val="00A038F6"/>
    <w:rsid w:val="00A03B4F"/>
    <w:rsid w:val="00A03B5A"/>
    <w:rsid w:val="00A03D24"/>
    <w:rsid w:val="00A03F97"/>
    <w:rsid w:val="00A04010"/>
    <w:rsid w:val="00A04051"/>
    <w:rsid w:val="00A0413A"/>
    <w:rsid w:val="00A04143"/>
    <w:rsid w:val="00A04240"/>
    <w:rsid w:val="00A04286"/>
    <w:rsid w:val="00A04369"/>
    <w:rsid w:val="00A04452"/>
    <w:rsid w:val="00A04606"/>
    <w:rsid w:val="00A0466B"/>
    <w:rsid w:val="00A04725"/>
    <w:rsid w:val="00A047C7"/>
    <w:rsid w:val="00A048CB"/>
    <w:rsid w:val="00A049BC"/>
    <w:rsid w:val="00A04B00"/>
    <w:rsid w:val="00A04BE1"/>
    <w:rsid w:val="00A04E8F"/>
    <w:rsid w:val="00A04EAF"/>
    <w:rsid w:val="00A04F09"/>
    <w:rsid w:val="00A04FCB"/>
    <w:rsid w:val="00A04FD3"/>
    <w:rsid w:val="00A04FFB"/>
    <w:rsid w:val="00A05037"/>
    <w:rsid w:val="00A05040"/>
    <w:rsid w:val="00A05059"/>
    <w:rsid w:val="00A050E6"/>
    <w:rsid w:val="00A05165"/>
    <w:rsid w:val="00A05273"/>
    <w:rsid w:val="00A05595"/>
    <w:rsid w:val="00A056FC"/>
    <w:rsid w:val="00A0573D"/>
    <w:rsid w:val="00A05759"/>
    <w:rsid w:val="00A05850"/>
    <w:rsid w:val="00A059D0"/>
    <w:rsid w:val="00A05A94"/>
    <w:rsid w:val="00A05ACB"/>
    <w:rsid w:val="00A05B16"/>
    <w:rsid w:val="00A05B83"/>
    <w:rsid w:val="00A05CC1"/>
    <w:rsid w:val="00A05EA9"/>
    <w:rsid w:val="00A05EBC"/>
    <w:rsid w:val="00A05F6F"/>
    <w:rsid w:val="00A05F79"/>
    <w:rsid w:val="00A060A5"/>
    <w:rsid w:val="00A06129"/>
    <w:rsid w:val="00A0616D"/>
    <w:rsid w:val="00A06174"/>
    <w:rsid w:val="00A061CE"/>
    <w:rsid w:val="00A062D8"/>
    <w:rsid w:val="00A0632F"/>
    <w:rsid w:val="00A063E5"/>
    <w:rsid w:val="00A063ED"/>
    <w:rsid w:val="00A064BD"/>
    <w:rsid w:val="00A06533"/>
    <w:rsid w:val="00A0693A"/>
    <w:rsid w:val="00A06B04"/>
    <w:rsid w:val="00A06DE7"/>
    <w:rsid w:val="00A06DEB"/>
    <w:rsid w:val="00A06F23"/>
    <w:rsid w:val="00A06F39"/>
    <w:rsid w:val="00A07043"/>
    <w:rsid w:val="00A0704A"/>
    <w:rsid w:val="00A07058"/>
    <w:rsid w:val="00A0739E"/>
    <w:rsid w:val="00A0747A"/>
    <w:rsid w:val="00A075D0"/>
    <w:rsid w:val="00A075F2"/>
    <w:rsid w:val="00A0773E"/>
    <w:rsid w:val="00A07968"/>
    <w:rsid w:val="00A07DD5"/>
    <w:rsid w:val="00A07F8D"/>
    <w:rsid w:val="00A07F8E"/>
    <w:rsid w:val="00A100A3"/>
    <w:rsid w:val="00A10120"/>
    <w:rsid w:val="00A101B0"/>
    <w:rsid w:val="00A101CF"/>
    <w:rsid w:val="00A10349"/>
    <w:rsid w:val="00A104D7"/>
    <w:rsid w:val="00A104EE"/>
    <w:rsid w:val="00A107D2"/>
    <w:rsid w:val="00A10A19"/>
    <w:rsid w:val="00A10B5A"/>
    <w:rsid w:val="00A10BC8"/>
    <w:rsid w:val="00A10CE3"/>
    <w:rsid w:val="00A10D44"/>
    <w:rsid w:val="00A10D91"/>
    <w:rsid w:val="00A10EE1"/>
    <w:rsid w:val="00A10EEC"/>
    <w:rsid w:val="00A11055"/>
    <w:rsid w:val="00A111B8"/>
    <w:rsid w:val="00A1151F"/>
    <w:rsid w:val="00A11815"/>
    <w:rsid w:val="00A11938"/>
    <w:rsid w:val="00A11A24"/>
    <w:rsid w:val="00A11A35"/>
    <w:rsid w:val="00A11B45"/>
    <w:rsid w:val="00A11B69"/>
    <w:rsid w:val="00A11CAD"/>
    <w:rsid w:val="00A11E59"/>
    <w:rsid w:val="00A11E6D"/>
    <w:rsid w:val="00A11F76"/>
    <w:rsid w:val="00A1204B"/>
    <w:rsid w:val="00A120C3"/>
    <w:rsid w:val="00A12644"/>
    <w:rsid w:val="00A126F8"/>
    <w:rsid w:val="00A12725"/>
    <w:rsid w:val="00A128C8"/>
    <w:rsid w:val="00A12984"/>
    <w:rsid w:val="00A129BF"/>
    <w:rsid w:val="00A12A22"/>
    <w:rsid w:val="00A12A3E"/>
    <w:rsid w:val="00A12ABC"/>
    <w:rsid w:val="00A12AF1"/>
    <w:rsid w:val="00A12C5E"/>
    <w:rsid w:val="00A12C70"/>
    <w:rsid w:val="00A12E04"/>
    <w:rsid w:val="00A12F96"/>
    <w:rsid w:val="00A12FA0"/>
    <w:rsid w:val="00A130B0"/>
    <w:rsid w:val="00A1311F"/>
    <w:rsid w:val="00A131C4"/>
    <w:rsid w:val="00A13279"/>
    <w:rsid w:val="00A132EF"/>
    <w:rsid w:val="00A132F9"/>
    <w:rsid w:val="00A133B6"/>
    <w:rsid w:val="00A13530"/>
    <w:rsid w:val="00A13584"/>
    <w:rsid w:val="00A136EF"/>
    <w:rsid w:val="00A137F6"/>
    <w:rsid w:val="00A137F9"/>
    <w:rsid w:val="00A13918"/>
    <w:rsid w:val="00A1399F"/>
    <w:rsid w:val="00A139F9"/>
    <w:rsid w:val="00A13A28"/>
    <w:rsid w:val="00A13AC1"/>
    <w:rsid w:val="00A13AFF"/>
    <w:rsid w:val="00A13B68"/>
    <w:rsid w:val="00A13E68"/>
    <w:rsid w:val="00A13EB5"/>
    <w:rsid w:val="00A13F9A"/>
    <w:rsid w:val="00A1405D"/>
    <w:rsid w:val="00A1417D"/>
    <w:rsid w:val="00A1422E"/>
    <w:rsid w:val="00A144E7"/>
    <w:rsid w:val="00A1452C"/>
    <w:rsid w:val="00A14665"/>
    <w:rsid w:val="00A1478C"/>
    <w:rsid w:val="00A1478D"/>
    <w:rsid w:val="00A1492D"/>
    <w:rsid w:val="00A14A0B"/>
    <w:rsid w:val="00A14A2D"/>
    <w:rsid w:val="00A14BA7"/>
    <w:rsid w:val="00A14C7E"/>
    <w:rsid w:val="00A14D58"/>
    <w:rsid w:val="00A14D95"/>
    <w:rsid w:val="00A14E69"/>
    <w:rsid w:val="00A14F4D"/>
    <w:rsid w:val="00A14F93"/>
    <w:rsid w:val="00A14FA0"/>
    <w:rsid w:val="00A14FDC"/>
    <w:rsid w:val="00A14FED"/>
    <w:rsid w:val="00A15028"/>
    <w:rsid w:val="00A150F6"/>
    <w:rsid w:val="00A15202"/>
    <w:rsid w:val="00A15249"/>
    <w:rsid w:val="00A153CC"/>
    <w:rsid w:val="00A153E4"/>
    <w:rsid w:val="00A154B9"/>
    <w:rsid w:val="00A155A8"/>
    <w:rsid w:val="00A158D9"/>
    <w:rsid w:val="00A1598C"/>
    <w:rsid w:val="00A15C89"/>
    <w:rsid w:val="00A15DC7"/>
    <w:rsid w:val="00A15E4A"/>
    <w:rsid w:val="00A15F17"/>
    <w:rsid w:val="00A16005"/>
    <w:rsid w:val="00A16076"/>
    <w:rsid w:val="00A16119"/>
    <w:rsid w:val="00A161FA"/>
    <w:rsid w:val="00A162EF"/>
    <w:rsid w:val="00A162F2"/>
    <w:rsid w:val="00A1649A"/>
    <w:rsid w:val="00A164B2"/>
    <w:rsid w:val="00A164EB"/>
    <w:rsid w:val="00A165FE"/>
    <w:rsid w:val="00A166DB"/>
    <w:rsid w:val="00A1674F"/>
    <w:rsid w:val="00A16796"/>
    <w:rsid w:val="00A16B03"/>
    <w:rsid w:val="00A16B0A"/>
    <w:rsid w:val="00A16BC8"/>
    <w:rsid w:val="00A16C9E"/>
    <w:rsid w:val="00A16CE0"/>
    <w:rsid w:val="00A16D42"/>
    <w:rsid w:val="00A16E9B"/>
    <w:rsid w:val="00A16EEA"/>
    <w:rsid w:val="00A16F37"/>
    <w:rsid w:val="00A16FF7"/>
    <w:rsid w:val="00A1706C"/>
    <w:rsid w:val="00A170D6"/>
    <w:rsid w:val="00A17112"/>
    <w:rsid w:val="00A17152"/>
    <w:rsid w:val="00A17436"/>
    <w:rsid w:val="00A17555"/>
    <w:rsid w:val="00A1760C"/>
    <w:rsid w:val="00A17770"/>
    <w:rsid w:val="00A178B3"/>
    <w:rsid w:val="00A17984"/>
    <w:rsid w:val="00A17AAC"/>
    <w:rsid w:val="00A17AFD"/>
    <w:rsid w:val="00A17B0D"/>
    <w:rsid w:val="00A17B73"/>
    <w:rsid w:val="00A17BAE"/>
    <w:rsid w:val="00A17DCC"/>
    <w:rsid w:val="00A17E0E"/>
    <w:rsid w:val="00A17E2D"/>
    <w:rsid w:val="00A17E68"/>
    <w:rsid w:val="00A17E8F"/>
    <w:rsid w:val="00A17EB2"/>
    <w:rsid w:val="00A17FF6"/>
    <w:rsid w:val="00A20098"/>
    <w:rsid w:val="00A2013A"/>
    <w:rsid w:val="00A20332"/>
    <w:rsid w:val="00A203F1"/>
    <w:rsid w:val="00A204B2"/>
    <w:rsid w:val="00A20554"/>
    <w:rsid w:val="00A20771"/>
    <w:rsid w:val="00A2080F"/>
    <w:rsid w:val="00A20893"/>
    <w:rsid w:val="00A208A6"/>
    <w:rsid w:val="00A208EC"/>
    <w:rsid w:val="00A2099B"/>
    <w:rsid w:val="00A20C26"/>
    <w:rsid w:val="00A20CC2"/>
    <w:rsid w:val="00A20CF2"/>
    <w:rsid w:val="00A20DD3"/>
    <w:rsid w:val="00A20F7C"/>
    <w:rsid w:val="00A2103E"/>
    <w:rsid w:val="00A211DE"/>
    <w:rsid w:val="00A21278"/>
    <w:rsid w:val="00A21286"/>
    <w:rsid w:val="00A212F3"/>
    <w:rsid w:val="00A2133B"/>
    <w:rsid w:val="00A213A2"/>
    <w:rsid w:val="00A213B4"/>
    <w:rsid w:val="00A213CA"/>
    <w:rsid w:val="00A21488"/>
    <w:rsid w:val="00A214A1"/>
    <w:rsid w:val="00A2167E"/>
    <w:rsid w:val="00A216E7"/>
    <w:rsid w:val="00A21B1C"/>
    <w:rsid w:val="00A21B4A"/>
    <w:rsid w:val="00A21BFF"/>
    <w:rsid w:val="00A21ED1"/>
    <w:rsid w:val="00A21EE5"/>
    <w:rsid w:val="00A21F1E"/>
    <w:rsid w:val="00A2202B"/>
    <w:rsid w:val="00A2214A"/>
    <w:rsid w:val="00A2217C"/>
    <w:rsid w:val="00A22181"/>
    <w:rsid w:val="00A22259"/>
    <w:rsid w:val="00A22447"/>
    <w:rsid w:val="00A22481"/>
    <w:rsid w:val="00A224E1"/>
    <w:rsid w:val="00A22537"/>
    <w:rsid w:val="00A22552"/>
    <w:rsid w:val="00A22768"/>
    <w:rsid w:val="00A22842"/>
    <w:rsid w:val="00A2285B"/>
    <w:rsid w:val="00A2287E"/>
    <w:rsid w:val="00A22A21"/>
    <w:rsid w:val="00A22DAB"/>
    <w:rsid w:val="00A22F56"/>
    <w:rsid w:val="00A23022"/>
    <w:rsid w:val="00A231BB"/>
    <w:rsid w:val="00A23558"/>
    <w:rsid w:val="00A235B0"/>
    <w:rsid w:val="00A235B8"/>
    <w:rsid w:val="00A236BA"/>
    <w:rsid w:val="00A23A33"/>
    <w:rsid w:val="00A23B30"/>
    <w:rsid w:val="00A23B98"/>
    <w:rsid w:val="00A23E64"/>
    <w:rsid w:val="00A23FC3"/>
    <w:rsid w:val="00A2407C"/>
    <w:rsid w:val="00A240A6"/>
    <w:rsid w:val="00A240A9"/>
    <w:rsid w:val="00A24217"/>
    <w:rsid w:val="00A24220"/>
    <w:rsid w:val="00A243B2"/>
    <w:rsid w:val="00A24482"/>
    <w:rsid w:val="00A2449D"/>
    <w:rsid w:val="00A244B7"/>
    <w:rsid w:val="00A2459B"/>
    <w:rsid w:val="00A24A55"/>
    <w:rsid w:val="00A24C2F"/>
    <w:rsid w:val="00A24EBB"/>
    <w:rsid w:val="00A24F54"/>
    <w:rsid w:val="00A24FD2"/>
    <w:rsid w:val="00A24FED"/>
    <w:rsid w:val="00A25055"/>
    <w:rsid w:val="00A251EC"/>
    <w:rsid w:val="00A25315"/>
    <w:rsid w:val="00A25420"/>
    <w:rsid w:val="00A2554E"/>
    <w:rsid w:val="00A25577"/>
    <w:rsid w:val="00A256E1"/>
    <w:rsid w:val="00A25842"/>
    <w:rsid w:val="00A258FE"/>
    <w:rsid w:val="00A25D09"/>
    <w:rsid w:val="00A25EDD"/>
    <w:rsid w:val="00A2607A"/>
    <w:rsid w:val="00A26142"/>
    <w:rsid w:val="00A26202"/>
    <w:rsid w:val="00A26206"/>
    <w:rsid w:val="00A2624D"/>
    <w:rsid w:val="00A2626A"/>
    <w:rsid w:val="00A26381"/>
    <w:rsid w:val="00A263E4"/>
    <w:rsid w:val="00A264C9"/>
    <w:rsid w:val="00A2650E"/>
    <w:rsid w:val="00A26560"/>
    <w:rsid w:val="00A26712"/>
    <w:rsid w:val="00A26ABC"/>
    <w:rsid w:val="00A26B15"/>
    <w:rsid w:val="00A26B1E"/>
    <w:rsid w:val="00A26BF4"/>
    <w:rsid w:val="00A26D23"/>
    <w:rsid w:val="00A26E32"/>
    <w:rsid w:val="00A26E4C"/>
    <w:rsid w:val="00A27080"/>
    <w:rsid w:val="00A270D5"/>
    <w:rsid w:val="00A273E8"/>
    <w:rsid w:val="00A27459"/>
    <w:rsid w:val="00A27520"/>
    <w:rsid w:val="00A276F2"/>
    <w:rsid w:val="00A2777B"/>
    <w:rsid w:val="00A2779B"/>
    <w:rsid w:val="00A279CF"/>
    <w:rsid w:val="00A279D9"/>
    <w:rsid w:val="00A27AFC"/>
    <w:rsid w:val="00A27BE2"/>
    <w:rsid w:val="00A27C66"/>
    <w:rsid w:val="00A27CC4"/>
    <w:rsid w:val="00A27CE1"/>
    <w:rsid w:val="00A27D64"/>
    <w:rsid w:val="00A27DB9"/>
    <w:rsid w:val="00A3013F"/>
    <w:rsid w:val="00A301E0"/>
    <w:rsid w:val="00A3059B"/>
    <w:rsid w:val="00A3097B"/>
    <w:rsid w:val="00A30A06"/>
    <w:rsid w:val="00A30A58"/>
    <w:rsid w:val="00A30B01"/>
    <w:rsid w:val="00A30B31"/>
    <w:rsid w:val="00A30B90"/>
    <w:rsid w:val="00A30C2E"/>
    <w:rsid w:val="00A30D12"/>
    <w:rsid w:val="00A30DAC"/>
    <w:rsid w:val="00A30F77"/>
    <w:rsid w:val="00A30FA9"/>
    <w:rsid w:val="00A31137"/>
    <w:rsid w:val="00A3134D"/>
    <w:rsid w:val="00A3135B"/>
    <w:rsid w:val="00A314C8"/>
    <w:rsid w:val="00A3156D"/>
    <w:rsid w:val="00A315F7"/>
    <w:rsid w:val="00A3171B"/>
    <w:rsid w:val="00A317D8"/>
    <w:rsid w:val="00A318B0"/>
    <w:rsid w:val="00A31995"/>
    <w:rsid w:val="00A319BC"/>
    <w:rsid w:val="00A31B98"/>
    <w:rsid w:val="00A31C3B"/>
    <w:rsid w:val="00A31F3B"/>
    <w:rsid w:val="00A31F7B"/>
    <w:rsid w:val="00A32044"/>
    <w:rsid w:val="00A32047"/>
    <w:rsid w:val="00A32145"/>
    <w:rsid w:val="00A321C8"/>
    <w:rsid w:val="00A321F4"/>
    <w:rsid w:val="00A32285"/>
    <w:rsid w:val="00A3229B"/>
    <w:rsid w:val="00A322A3"/>
    <w:rsid w:val="00A324C5"/>
    <w:rsid w:val="00A32549"/>
    <w:rsid w:val="00A32627"/>
    <w:rsid w:val="00A327D7"/>
    <w:rsid w:val="00A32A79"/>
    <w:rsid w:val="00A32AC3"/>
    <w:rsid w:val="00A32AD1"/>
    <w:rsid w:val="00A32B67"/>
    <w:rsid w:val="00A32B82"/>
    <w:rsid w:val="00A32C83"/>
    <w:rsid w:val="00A32CC0"/>
    <w:rsid w:val="00A32CC5"/>
    <w:rsid w:val="00A32DC9"/>
    <w:rsid w:val="00A32E0B"/>
    <w:rsid w:val="00A32E21"/>
    <w:rsid w:val="00A32EFE"/>
    <w:rsid w:val="00A33033"/>
    <w:rsid w:val="00A3318D"/>
    <w:rsid w:val="00A33326"/>
    <w:rsid w:val="00A3335C"/>
    <w:rsid w:val="00A333B4"/>
    <w:rsid w:val="00A333E9"/>
    <w:rsid w:val="00A3344C"/>
    <w:rsid w:val="00A334F2"/>
    <w:rsid w:val="00A33502"/>
    <w:rsid w:val="00A3375B"/>
    <w:rsid w:val="00A337F7"/>
    <w:rsid w:val="00A33843"/>
    <w:rsid w:val="00A3392A"/>
    <w:rsid w:val="00A33A28"/>
    <w:rsid w:val="00A33B39"/>
    <w:rsid w:val="00A33B82"/>
    <w:rsid w:val="00A33C73"/>
    <w:rsid w:val="00A33D18"/>
    <w:rsid w:val="00A33D4C"/>
    <w:rsid w:val="00A33E23"/>
    <w:rsid w:val="00A33FBF"/>
    <w:rsid w:val="00A34080"/>
    <w:rsid w:val="00A340F6"/>
    <w:rsid w:val="00A3419D"/>
    <w:rsid w:val="00A341CE"/>
    <w:rsid w:val="00A34225"/>
    <w:rsid w:val="00A34292"/>
    <w:rsid w:val="00A34386"/>
    <w:rsid w:val="00A343C7"/>
    <w:rsid w:val="00A343E5"/>
    <w:rsid w:val="00A34472"/>
    <w:rsid w:val="00A344D2"/>
    <w:rsid w:val="00A344F3"/>
    <w:rsid w:val="00A344FC"/>
    <w:rsid w:val="00A345B4"/>
    <w:rsid w:val="00A345C4"/>
    <w:rsid w:val="00A345E3"/>
    <w:rsid w:val="00A3467F"/>
    <w:rsid w:val="00A34688"/>
    <w:rsid w:val="00A346D7"/>
    <w:rsid w:val="00A346DF"/>
    <w:rsid w:val="00A34921"/>
    <w:rsid w:val="00A3495E"/>
    <w:rsid w:val="00A34C5B"/>
    <w:rsid w:val="00A34C96"/>
    <w:rsid w:val="00A34E10"/>
    <w:rsid w:val="00A34E1B"/>
    <w:rsid w:val="00A34EBC"/>
    <w:rsid w:val="00A34EC3"/>
    <w:rsid w:val="00A35292"/>
    <w:rsid w:val="00A353B6"/>
    <w:rsid w:val="00A353BE"/>
    <w:rsid w:val="00A3547E"/>
    <w:rsid w:val="00A35508"/>
    <w:rsid w:val="00A355AC"/>
    <w:rsid w:val="00A355C8"/>
    <w:rsid w:val="00A3573C"/>
    <w:rsid w:val="00A357D3"/>
    <w:rsid w:val="00A358E3"/>
    <w:rsid w:val="00A35AB7"/>
    <w:rsid w:val="00A35C26"/>
    <w:rsid w:val="00A35C55"/>
    <w:rsid w:val="00A36153"/>
    <w:rsid w:val="00A3622F"/>
    <w:rsid w:val="00A36256"/>
    <w:rsid w:val="00A3627B"/>
    <w:rsid w:val="00A36281"/>
    <w:rsid w:val="00A363EA"/>
    <w:rsid w:val="00A3646E"/>
    <w:rsid w:val="00A364C1"/>
    <w:rsid w:val="00A3653E"/>
    <w:rsid w:val="00A365AC"/>
    <w:rsid w:val="00A36691"/>
    <w:rsid w:val="00A36732"/>
    <w:rsid w:val="00A3675A"/>
    <w:rsid w:val="00A36762"/>
    <w:rsid w:val="00A367FD"/>
    <w:rsid w:val="00A368DF"/>
    <w:rsid w:val="00A36902"/>
    <w:rsid w:val="00A369E0"/>
    <w:rsid w:val="00A36A78"/>
    <w:rsid w:val="00A36E34"/>
    <w:rsid w:val="00A36EEB"/>
    <w:rsid w:val="00A36F0C"/>
    <w:rsid w:val="00A36F10"/>
    <w:rsid w:val="00A36F66"/>
    <w:rsid w:val="00A37054"/>
    <w:rsid w:val="00A370A4"/>
    <w:rsid w:val="00A370DA"/>
    <w:rsid w:val="00A37203"/>
    <w:rsid w:val="00A37663"/>
    <w:rsid w:val="00A37743"/>
    <w:rsid w:val="00A377AB"/>
    <w:rsid w:val="00A379AE"/>
    <w:rsid w:val="00A37A1D"/>
    <w:rsid w:val="00A37A92"/>
    <w:rsid w:val="00A37AAF"/>
    <w:rsid w:val="00A37B09"/>
    <w:rsid w:val="00A37B0D"/>
    <w:rsid w:val="00A37CD1"/>
    <w:rsid w:val="00A37DC2"/>
    <w:rsid w:val="00A37E41"/>
    <w:rsid w:val="00A37EE3"/>
    <w:rsid w:val="00A37F08"/>
    <w:rsid w:val="00A37FB3"/>
    <w:rsid w:val="00A40095"/>
    <w:rsid w:val="00A40203"/>
    <w:rsid w:val="00A4021D"/>
    <w:rsid w:val="00A4029A"/>
    <w:rsid w:val="00A40386"/>
    <w:rsid w:val="00A40515"/>
    <w:rsid w:val="00A4055F"/>
    <w:rsid w:val="00A405BF"/>
    <w:rsid w:val="00A405FA"/>
    <w:rsid w:val="00A40785"/>
    <w:rsid w:val="00A407D8"/>
    <w:rsid w:val="00A407DA"/>
    <w:rsid w:val="00A40940"/>
    <w:rsid w:val="00A40BB5"/>
    <w:rsid w:val="00A40EBF"/>
    <w:rsid w:val="00A4104C"/>
    <w:rsid w:val="00A41074"/>
    <w:rsid w:val="00A41075"/>
    <w:rsid w:val="00A41156"/>
    <w:rsid w:val="00A41174"/>
    <w:rsid w:val="00A411D0"/>
    <w:rsid w:val="00A411F2"/>
    <w:rsid w:val="00A414D1"/>
    <w:rsid w:val="00A415DA"/>
    <w:rsid w:val="00A41602"/>
    <w:rsid w:val="00A416E3"/>
    <w:rsid w:val="00A4173E"/>
    <w:rsid w:val="00A419E4"/>
    <w:rsid w:val="00A41A41"/>
    <w:rsid w:val="00A41B72"/>
    <w:rsid w:val="00A41DD7"/>
    <w:rsid w:val="00A41E2A"/>
    <w:rsid w:val="00A41F11"/>
    <w:rsid w:val="00A41FDE"/>
    <w:rsid w:val="00A420EB"/>
    <w:rsid w:val="00A4220F"/>
    <w:rsid w:val="00A42323"/>
    <w:rsid w:val="00A426D6"/>
    <w:rsid w:val="00A4281C"/>
    <w:rsid w:val="00A42915"/>
    <w:rsid w:val="00A42AC4"/>
    <w:rsid w:val="00A42AC8"/>
    <w:rsid w:val="00A42B1F"/>
    <w:rsid w:val="00A42D5F"/>
    <w:rsid w:val="00A42E54"/>
    <w:rsid w:val="00A42EA2"/>
    <w:rsid w:val="00A430C5"/>
    <w:rsid w:val="00A430CA"/>
    <w:rsid w:val="00A431CC"/>
    <w:rsid w:val="00A43285"/>
    <w:rsid w:val="00A43476"/>
    <w:rsid w:val="00A43646"/>
    <w:rsid w:val="00A4371D"/>
    <w:rsid w:val="00A438B8"/>
    <w:rsid w:val="00A438D8"/>
    <w:rsid w:val="00A43902"/>
    <w:rsid w:val="00A439F0"/>
    <w:rsid w:val="00A43BD6"/>
    <w:rsid w:val="00A43C88"/>
    <w:rsid w:val="00A43CED"/>
    <w:rsid w:val="00A43FC6"/>
    <w:rsid w:val="00A43FD0"/>
    <w:rsid w:val="00A44008"/>
    <w:rsid w:val="00A4403C"/>
    <w:rsid w:val="00A44096"/>
    <w:rsid w:val="00A442D2"/>
    <w:rsid w:val="00A442D7"/>
    <w:rsid w:val="00A4431D"/>
    <w:rsid w:val="00A443B0"/>
    <w:rsid w:val="00A444CA"/>
    <w:rsid w:val="00A44785"/>
    <w:rsid w:val="00A447C0"/>
    <w:rsid w:val="00A448C2"/>
    <w:rsid w:val="00A448EF"/>
    <w:rsid w:val="00A44936"/>
    <w:rsid w:val="00A44AF0"/>
    <w:rsid w:val="00A44E2E"/>
    <w:rsid w:val="00A44ED9"/>
    <w:rsid w:val="00A44EFA"/>
    <w:rsid w:val="00A450F4"/>
    <w:rsid w:val="00A451CF"/>
    <w:rsid w:val="00A45305"/>
    <w:rsid w:val="00A45385"/>
    <w:rsid w:val="00A45411"/>
    <w:rsid w:val="00A45481"/>
    <w:rsid w:val="00A4581A"/>
    <w:rsid w:val="00A45909"/>
    <w:rsid w:val="00A45951"/>
    <w:rsid w:val="00A459A4"/>
    <w:rsid w:val="00A459DC"/>
    <w:rsid w:val="00A459E3"/>
    <w:rsid w:val="00A45BCF"/>
    <w:rsid w:val="00A45C08"/>
    <w:rsid w:val="00A45CF4"/>
    <w:rsid w:val="00A45D31"/>
    <w:rsid w:val="00A45D50"/>
    <w:rsid w:val="00A45DF5"/>
    <w:rsid w:val="00A45F59"/>
    <w:rsid w:val="00A46071"/>
    <w:rsid w:val="00A46278"/>
    <w:rsid w:val="00A462A7"/>
    <w:rsid w:val="00A46320"/>
    <w:rsid w:val="00A4635E"/>
    <w:rsid w:val="00A46384"/>
    <w:rsid w:val="00A463FB"/>
    <w:rsid w:val="00A4644F"/>
    <w:rsid w:val="00A466D7"/>
    <w:rsid w:val="00A46980"/>
    <w:rsid w:val="00A469BA"/>
    <w:rsid w:val="00A46A27"/>
    <w:rsid w:val="00A46A30"/>
    <w:rsid w:val="00A46A65"/>
    <w:rsid w:val="00A46C9D"/>
    <w:rsid w:val="00A46E47"/>
    <w:rsid w:val="00A46E51"/>
    <w:rsid w:val="00A46F5D"/>
    <w:rsid w:val="00A4709D"/>
    <w:rsid w:val="00A471A1"/>
    <w:rsid w:val="00A472B2"/>
    <w:rsid w:val="00A475AE"/>
    <w:rsid w:val="00A475D2"/>
    <w:rsid w:val="00A47631"/>
    <w:rsid w:val="00A4775C"/>
    <w:rsid w:val="00A47872"/>
    <w:rsid w:val="00A47AAD"/>
    <w:rsid w:val="00A47B6C"/>
    <w:rsid w:val="00A47C2F"/>
    <w:rsid w:val="00A47C99"/>
    <w:rsid w:val="00A47CF4"/>
    <w:rsid w:val="00A47D2C"/>
    <w:rsid w:val="00A47D34"/>
    <w:rsid w:val="00A47E2C"/>
    <w:rsid w:val="00A47ED0"/>
    <w:rsid w:val="00A47F2D"/>
    <w:rsid w:val="00A47F7D"/>
    <w:rsid w:val="00A50018"/>
    <w:rsid w:val="00A501A3"/>
    <w:rsid w:val="00A50257"/>
    <w:rsid w:val="00A5031D"/>
    <w:rsid w:val="00A50417"/>
    <w:rsid w:val="00A5042C"/>
    <w:rsid w:val="00A505BE"/>
    <w:rsid w:val="00A508E8"/>
    <w:rsid w:val="00A5097A"/>
    <w:rsid w:val="00A50B76"/>
    <w:rsid w:val="00A50CF9"/>
    <w:rsid w:val="00A50E13"/>
    <w:rsid w:val="00A50F03"/>
    <w:rsid w:val="00A50F60"/>
    <w:rsid w:val="00A50FA3"/>
    <w:rsid w:val="00A50FF4"/>
    <w:rsid w:val="00A51081"/>
    <w:rsid w:val="00A51109"/>
    <w:rsid w:val="00A5119D"/>
    <w:rsid w:val="00A51440"/>
    <w:rsid w:val="00A5144E"/>
    <w:rsid w:val="00A51473"/>
    <w:rsid w:val="00A5156C"/>
    <w:rsid w:val="00A51666"/>
    <w:rsid w:val="00A5167F"/>
    <w:rsid w:val="00A51945"/>
    <w:rsid w:val="00A51AAA"/>
    <w:rsid w:val="00A51BAB"/>
    <w:rsid w:val="00A51C83"/>
    <w:rsid w:val="00A51D93"/>
    <w:rsid w:val="00A51FF7"/>
    <w:rsid w:val="00A52001"/>
    <w:rsid w:val="00A52018"/>
    <w:rsid w:val="00A52114"/>
    <w:rsid w:val="00A521CA"/>
    <w:rsid w:val="00A52289"/>
    <w:rsid w:val="00A52308"/>
    <w:rsid w:val="00A52365"/>
    <w:rsid w:val="00A52695"/>
    <w:rsid w:val="00A526C6"/>
    <w:rsid w:val="00A5270A"/>
    <w:rsid w:val="00A5279C"/>
    <w:rsid w:val="00A52A26"/>
    <w:rsid w:val="00A52A61"/>
    <w:rsid w:val="00A52E16"/>
    <w:rsid w:val="00A52E60"/>
    <w:rsid w:val="00A52FAB"/>
    <w:rsid w:val="00A52FBE"/>
    <w:rsid w:val="00A5302B"/>
    <w:rsid w:val="00A53066"/>
    <w:rsid w:val="00A530AD"/>
    <w:rsid w:val="00A533B4"/>
    <w:rsid w:val="00A5348B"/>
    <w:rsid w:val="00A535B7"/>
    <w:rsid w:val="00A53617"/>
    <w:rsid w:val="00A53674"/>
    <w:rsid w:val="00A53702"/>
    <w:rsid w:val="00A5373C"/>
    <w:rsid w:val="00A538F6"/>
    <w:rsid w:val="00A539CA"/>
    <w:rsid w:val="00A53A94"/>
    <w:rsid w:val="00A53B33"/>
    <w:rsid w:val="00A53B89"/>
    <w:rsid w:val="00A53BAA"/>
    <w:rsid w:val="00A53BFD"/>
    <w:rsid w:val="00A53D58"/>
    <w:rsid w:val="00A53E06"/>
    <w:rsid w:val="00A53EFC"/>
    <w:rsid w:val="00A54189"/>
    <w:rsid w:val="00A545E8"/>
    <w:rsid w:val="00A54669"/>
    <w:rsid w:val="00A54791"/>
    <w:rsid w:val="00A547AD"/>
    <w:rsid w:val="00A54859"/>
    <w:rsid w:val="00A548AA"/>
    <w:rsid w:val="00A54A78"/>
    <w:rsid w:val="00A54AA6"/>
    <w:rsid w:val="00A54AE6"/>
    <w:rsid w:val="00A54B98"/>
    <w:rsid w:val="00A54C6D"/>
    <w:rsid w:val="00A54D76"/>
    <w:rsid w:val="00A54DD3"/>
    <w:rsid w:val="00A54DFC"/>
    <w:rsid w:val="00A54EFE"/>
    <w:rsid w:val="00A55048"/>
    <w:rsid w:val="00A551AC"/>
    <w:rsid w:val="00A551FC"/>
    <w:rsid w:val="00A552EC"/>
    <w:rsid w:val="00A552F3"/>
    <w:rsid w:val="00A55309"/>
    <w:rsid w:val="00A553FB"/>
    <w:rsid w:val="00A55555"/>
    <w:rsid w:val="00A55621"/>
    <w:rsid w:val="00A55630"/>
    <w:rsid w:val="00A5572D"/>
    <w:rsid w:val="00A55750"/>
    <w:rsid w:val="00A557A7"/>
    <w:rsid w:val="00A557B8"/>
    <w:rsid w:val="00A55876"/>
    <w:rsid w:val="00A558A1"/>
    <w:rsid w:val="00A558AA"/>
    <w:rsid w:val="00A55B02"/>
    <w:rsid w:val="00A55B8E"/>
    <w:rsid w:val="00A55BD2"/>
    <w:rsid w:val="00A55F38"/>
    <w:rsid w:val="00A5616E"/>
    <w:rsid w:val="00A56199"/>
    <w:rsid w:val="00A5625A"/>
    <w:rsid w:val="00A56407"/>
    <w:rsid w:val="00A56512"/>
    <w:rsid w:val="00A56600"/>
    <w:rsid w:val="00A56793"/>
    <w:rsid w:val="00A56CCD"/>
    <w:rsid w:val="00A56D32"/>
    <w:rsid w:val="00A56D41"/>
    <w:rsid w:val="00A56DCA"/>
    <w:rsid w:val="00A56E12"/>
    <w:rsid w:val="00A56EE5"/>
    <w:rsid w:val="00A56EFF"/>
    <w:rsid w:val="00A56F89"/>
    <w:rsid w:val="00A570ED"/>
    <w:rsid w:val="00A570F4"/>
    <w:rsid w:val="00A5725C"/>
    <w:rsid w:val="00A5726A"/>
    <w:rsid w:val="00A572F7"/>
    <w:rsid w:val="00A57323"/>
    <w:rsid w:val="00A57364"/>
    <w:rsid w:val="00A5745F"/>
    <w:rsid w:val="00A57488"/>
    <w:rsid w:val="00A574A3"/>
    <w:rsid w:val="00A57504"/>
    <w:rsid w:val="00A5752F"/>
    <w:rsid w:val="00A5761E"/>
    <w:rsid w:val="00A577F6"/>
    <w:rsid w:val="00A57894"/>
    <w:rsid w:val="00A57959"/>
    <w:rsid w:val="00A57A1F"/>
    <w:rsid w:val="00A57CCA"/>
    <w:rsid w:val="00A57D1C"/>
    <w:rsid w:val="00A57F85"/>
    <w:rsid w:val="00A6007F"/>
    <w:rsid w:val="00A600DF"/>
    <w:rsid w:val="00A601B3"/>
    <w:rsid w:val="00A603BE"/>
    <w:rsid w:val="00A604EB"/>
    <w:rsid w:val="00A60627"/>
    <w:rsid w:val="00A6062D"/>
    <w:rsid w:val="00A6063B"/>
    <w:rsid w:val="00A606A6"/>
    <w:rsid w:val="00A606A7"/>
    <w:rsid w:val="00A60917"/>
    <w:rsid w:val="00A609F4"/>
    <w:rsid w:val="00A60A21"/>
    <w:rsid w:val="00A60AB4"/>
    <w:rsid w:val="00A60B2C"/>
    <w:rsid w:val="00A60D97"/>
    <w:rsid w:val="00A61056"/>
    <w:rsid w:val="00A61106"/>
    <w:rsid w:val="00A6127D"/>
    <w:rsid w:val="00A614C4"/>
    <w:rsid w:val="00A61667"/>
    <w:rsid w:val="00A616B5"/>
    <w:rsid w:val="00A6176F"/>
    <w:rsid w:val="00A619DB"/>
    <w:rsid w:val="00A61A5D"/>
    <w:rsid w:val="00A61B20"/>
    <w:rsid w:val="00A61C1F"/>
    <w:rsid w:val="00A61D28"/>
    <w:rsid w:val="00A61E0C"/>
    <w:rsid w:val="00A61E33"/>
    <w:rsid w:val="00A62019"/>
    <w:rsid w:val="00A62131"/>
    <w:rsid w:val="00A62250"/>
    <w:rsid w:val="00A622CF"/>
    <w:rsid w:val="00A62301"/>
    <w:rsid w:val="00A623C9"/>
    <w:rsid w:val="00A6242F"/>
    <w:rsid w:val="00A62485"/>
    <w:rsid w:val="00A62645"/>
    <w:rsid w:val="00A626E6"/>
    <w:rsid w:val="00A6286A"/>
    <w:rsid w:val="00A628F5"/>
    <w:rsid w:val="00A62A3F"/>
    <w:rsid w:val="00A62A72"/>
    <w:rsid w:val="00A62AA5"/>
    <w:rsid w:val="00A62B73"/>
    <w:rsid w:val="00A62C5C"/>
    <w:rsid w:val="00A62D35"/>
    <w:rsid w:val="00A62D3D"/>
    <w:rsid w:val="00A62EE5"/>
    <w:rsid w:val="00A62F26"/>
    <w:rsid w:val="00A6308B"/>
    <w:rsid w:val="00A630E0"/>
    <w:rsid w:val="00A6345C"/>
    <w:rsid w:val="00A6348C"/>
    <w:rsid w:val="00A63510"/>
    <w:rsid w:val="00A6354D"/>
    <w:rsid w:val="00A6358F"/>
    <w:rsid w:val="00A6379F"/>
    <w:rsid w:val="00A63801"/>
    <w:rsid w:val="00A63978"/>
    <w:rsid w:val="00A63989"/>
    <w:rsid w:val="00A63A5D"/>
    <w:rsid w:val="00A63A70"/>
    <w:rsid w:val="00A63B3B"/>
    <w:rsid w:val="00A63BCF"/>
    <w:rsid w:val="00A63BFB"/>
    <w:rsid w:val="00A63CA1"/>
    <w:rsid w:val="00A63DBB"/>
    <w:rsid w:val="00A63F50"/>
    <w:rsid w:val="00A63FAD"/>
    <w:rsid w:val="00A642DC"/>
    <w:rsid w:val="00A6431D"/>
    <w:rsid w:val="00A64452"/>
    <w:rsid w:val="00A644E0"/>
    <w:rsid w:val="00A6458A"/>
    <w:rsid w:val="00A64658"/>
    <w:rsid w:val="00A646EE"/>
    <w:rsid w:val="00A64779"/>
    <w:rsid w:val="00A647F8"/>
    <w:rsid w:val="00A6480F"/>
    <w:rsid w:val="00A64850"/>
    <w:rsid w:val="00A648F1"/>
    <w:rsid w:val="00A64A10"/>
    <w:rsid w:val="00A64AE9"/>
    <w:rsid w:val="00A64AFA"/>
    <w:rsid w:val="00A64CEF"/>
    <w:rsid w:val="00A64D8D"/>
    <w:rsid w:val="00A64DBA"/>
    <w:rsid w:val="00A650CD"/>
    <w:rsid w:val="00A652C2"/>
    <w:rsid w:val="00A6531F"/>
    <w:rsid w:val="00A653E1"/>
    <w:rsid w:val="00A65476"/>
    <w:rsid w:val="00A65638"/>
    <w:rsid w:val="00A65773"/>
    <w:rsid w:val="00A6585A"/>
    <w:rsid w:val="00A65B28"/>
    <w:rsid w:val="00A65B83"/>
    <w:rsid w:val="00A65C5C"/>
    <w:rsid w:val="00A65DF3"/>
    <w:rsid w:val="00A65DF5"/>
    <w:rsid w:val="00A65E7A"/>
    <w:rsid w:val="00A65EF0"/>
    <w:rsid w:val="00A6602D"/>
    <w:rsid w:val="00A661AD"/>
    <w:rsid w:val="00A66261"/>
    <w:rsid w:val="00A66282"/>
    <w:rsid w:val="00A664B3"/>
    <w:rsid w:val="00A664B4"/>
    <w:rsid w:val="00A664C8"/>
    <w:rsid w:val="00A66691"/>
    <w:rsid w:val="00A66954"/>
    <w:rsid w:val="00A66964"/>
    <w:rsid w:val="00A66A3E"/>
    <w:rsid w:val="00A66BA7"/>
    <w:rsid w:val="00A66C3E"/>
    <w:rsid w:val="00A66CAD"/>
    <w:rsid w:val="00A66CC4"/>
    <w:rsid w:val="00A66E18"/>
    <w:rsid w:val="00A66E6A"/>
    <w:rsid w:val="00A66ED2"/>
    <w:rsid w:val="00A67201"/>
    <w:rsid w:val="00A67339"/>
    <w:rsid w:val="00A673AD"/>
    <w:rsid w:val="00A67457"/>
    <w:rsid w:val="00A6758D"/>
    <w:rsid w:val="00A675A4"/>
    <w:rsid w:val="00A6772A"/>
    <w:rsid w:val="00A6772B"/>
    <w:rsid w:val="00A6778E"/>
    <w:rsid w:val="00A677E5"/>
    <w:rsid w:val="00A67975"/>
    <w:rsid w:val="00A67A6F"/>
    <w:rsid w:val="00A67A9F"/>
    <w:rsid w:val="00A67B80"/>
    <w:rsid w:val="00A67BAA"/>
    <w:rsid w:val="00A67BBC"/>
    <w:rsid w:val="00A67C63"/>
    <w:rsid w:val="00A67C79"/>
    <w:rsid w:val="00A67D07"/>
    <w:rsid w:val="00A67DDE"/>
    <w:rsid w:val="00A67E29"/>
    <w:rsid w:val="00A67ED8"/>
    <w:rsid w:val="00A67F04"/>
    <w:rsid w:val="00A67FE1"/>
    <w:rsid w:val="00A67FE4"/>
    <w:rsid w:val="00A702D1"/>
    <w:rsid w:val="00A7060D"/>
    <w:rsid w:val="00A709FA"/>
    <w:rsid w:val="00A70C0A"/>
    <w:rsid w:val="00A70DA9"/>
    <w:rsid w:val="00A70E99"/>
    <w:rsid w:val="00A70EFB"/>
    <w:rsid w:val="00A7110F"/>
    <w:rsid w:val="00A711CF"/>
    <w:rsid w:val="00A711D4"/>
    <w:rsid w:val="00A7122C"/>
    <w:rsid w:val="00A715B9"/>
    <w:rsid w:val="00A715D7"/>
    <w:rsid w:val="00A717DA"/>
    <w:rsid w:val="00A7196D"/>
    <w:rsid w:val="00A71AD8"/>
    <w:rsid w:val="00A71B64"/>
    <w:rsid w:val="00A71BE2"/>
    <w:rsid w:val="00A71C16"/>
    <w:rsid w:val="00A71CAA"/>
    <w:rsid w:val="00A71D35"/>
    <w:rsid w:val="00A71DB7"/>
    <w:rsid w:val="00A720B8"/>
    <w:rsid w:val="00A721A1"/>
    <w:rsid w:val="00A72296"/>
    <w:rsid w:val="00A72338"/>
    <w:rsid w:val="00A7235B"/>
    <w:rsid w:val="00A724BB"/>
    <w:rsid w:val="00A724C3"/>
    <w:rsid w:val="00A724D1"/>
    <w:rsid w:val="00A725AC"/>
    <w:rsid w:val="00A72641"/>
    <w:rsid w:val="00A72725"/>
    <w:rsid w:val="00A729D8"/>
    <w:rsid w:val="00A72A81"/>
    <w:rsid w:val="00A72B6E"/>
    <w:rsid w:val="00A72CD1"/>
    <w:rsid w:val="00A72E79"/>
    <w:rsid w:val="00A72EAA"/>
    <w:rsid w:val="00A7309C"/>
    <w:rsid w:val="00A7310A"/>
    <w:rsid w:val="00A731B7"/>
    <w:rsid w:val="00A731C6"/>
    <w:rsid w:val="00A73257"/>
    <w:rsid w:val="00A734C0"/>
    <w:rsid w:val="00A7370C"/>
    <w:rsid w:val="00A7373C"/>
    <w:rsid w:val="00A73A2D"/>
    <w:rsid w:val="00A73C4B"/>
    <w:rsid w:val="00A73C82"/>
    <w:rsid w:val="00A73CE5"/>
    <w:rsid w:val="00A73D4F"/>
    <w:rsid w:val="00A74334"/>
    <w:rsid w:val="00A743A8"/>
    <w:rsid w:val="00A744B8"/>
    <w:rsid w:val="00A7452A"/>
    <w:rsid w:val="00A74700"/>
    <w:rsid w:val="00A7470D"/>
    <w:rsid w:val="00A747EE"/>
    <w:rsid w:val="00A7498A"/>
    <w:rsid w:val="00A749B3"/>
    <w:rsid w:val="00A74BDD"/>
    <w:rsid w:val="00A74C24"/>
    <w:rsid w:val="00A74C32"/>
    <w:rsid w:val="00A74D39"/>
    <w:rsid w:val="00A74DBE"/>
    <w:rsid w:val="00A74F2C"/>
    <w:rsid w:val="00A7517F"/>
    <w:rsid w:val="00A75194"/>
    <w:rsid w:val="00A751D6"/>
    <w:rsid w:val="00A752E5"/>
    <w:rsid w:val="00A75304"/>
    <w:rsid w:val="00A75412"/>
    <w:rsid w:val="00A7545C"/>
    <w:rsid w:val="00A755D1"/>
    <w:rsid w:val="00A75688"/>
    <w:rsid w:val="00A756C8"/>
    <w:rsid w:val="00A75B88"/>
    <w:rsid w:val="00A75DB2"/>
    <w:rsid w:val="00A75F8B"/>
    <w:rsid w:val="00A76178"/>
    <w:rsid w:val="00A761CB"/>
    <w:rsid w:val="00A761ED"/>
    <w:rsid w:val="00A76269"/>
    <w:rsid w:val="00A76433"/>
    <w:rsid w:val="00A7651A"/>
    <w:rsid w:val="00A765B0"/>
    <w:rsid w:val="00A7672A"/>
    <w:rsid w:val="00A76778"/>
    <w:rsid w:val="00A767C9"/>
    <w:rsid w:val="00A7697C"/>
    <w:rsid w:val="00A76B70"/>
    <w:rsid w:val="00A76B85"/>
    <w:rsid w:val="00A76BE0"/>
    <w:rsid w:val="00A76C06"/>
    <w:rsid w:val="00A76C8A"/>
    <w:rsid w:val="00A76DE2"/>
    <w:rsid w:val="00A76E63"/>
    <w:rsid w:val="00A76F9F"/>
    <w:rsid w:val="00A7723F"/>
    <w:rsid w:val="00A772A0"/>
    <w:rsid w:val="00A7737D"/>
    <w:rsid w:val="00A774E8"/>
    <w:rsid w:val="00A7776D"/>
    <w:rsid w:val="00A777C4"/>
    <w:rsid w:val="00A77855"/>
    <w:rsid w:val="00A7798E"/>
    <w:rsid w:val="00A77A74"/>
    <w:rsid w:val="00A77B08"/>
    <w:rsid w:val="00A77C4C"/>
    <w:rsid w:val="00A77DDD"/>
    <w:rsid w:val="00A77E64"/>
    <w:rsid w:val="00A803D0"/>
    <w:rsid w:val="00A803FB"/>
    <w:rsid w:val="00A8047F"/>
    <w:rsid w:val="00A80896"/>
    <w:rsid w:val="00A80AEE"/>
    <w:rsid w:val="00A80CB2"/>
    <w:rsid w:val="00A80D8E"/>
    <w:rsid w:val="00A80DA5"/>
    <w:rsid w:val="00A80EB5"/>
    <w:rsid w:val="00A80F61"/>
    <w:rsid w:val="00A8114B"/>
    <w:rsid w:val="00A81447"/>
    <w:rsid w:val="00A814B3"/>
    <w:rsid w:val="00A81526"/>
    <w:rsid w:val="00A81877"/>
    <w:rsid w:val="00A818A7"/>
    <w:rsid w:val="00A819F0"/>
    <w:rsid w:val="00A81A1F"/>
    <w:rsid w:val="00A81A2C"/>
    <w:rsid w:val="00A81B6D"/>
    <w:rsid w:val="00A81B92"/>
    <w:rsid w:val="00A81C5A"/>
    <w:rsid w:val="00A81CEE"/>
    <w:rsid w:val="00A81F21"/>
    <w:rsid w:val="00A81F72"/>
    <w:rsid w:val="00A8221B"/>
    <w:rsid w:val="00A823E8"/>
    <w:rsid w:val="00A82485"/>
    <w:rsid w:val="00A82629"/>
    <w:rsid w:val="00A82661"/>
    <w:rsid w:val="00A826E6"/>
    <w:rsid w:val="00A8289B"/>
    <w:rsid w:val="00A82909"/>
    <w:rsid w:val="00A8299D"/>
    <w:rsid w:val="00A82A91"/>
    <w:rsid w:val="00A82C15"/>
    <w:rsid w:val="00A82C29"/>
    <w:rsid w:val="00A82C7A"/>
    <w:rsid w:val="00A82F3A"/>
    <w:rsid w:val="00A830DF"/>
    <w:rsid w:val="00A83124"/>
    <w:rsid w:val="00A83153"/>
    <w:rsid w:val="00A83238"/>
    <w:rsid w:val="00A833CE"/>
    <w:rsid w:val="00A834A8"/>
    <w:rsid w:val="00A83538"/>
    <w:rsid w:val="00A8363F"/>
    <w:rsid w:val="00A836BB"/>
    <w:rsid w:val="00A83742"/>
    <w:rsid w:val="00A83782"/>
    <w:rsid w:val="00A837D0"/>
    <w:rsid w:val="00A83AB6"/>
    <w:rsid w:val="00A83BE9"/>
    <w:rsid w:val="00A83C0D"/>
    <w:rsid w:val="00A83C74"/>
    <w:rsid w:val="00A83C7C"/>
    <w:rsid w:val="00A83CFB"/>
    <w:rsid w:val="00A83DD3"/>
    <w:rsid w:val="00A83DEC"/>
    <w:rsid w:val="00A83EFC"/>
    <w:rsid w:val="00A84402"/>
    <w:rsid w:val="00A84500"/>
    <w:rsid w:val="00A84505"/>
    <w:rsid w:val="00A846AA"/>
    <w:rsid w:val="00A84708"/>
    <w:rsid w:val="00A8475A"/>
    <w:rsid w:val="00A84776"/>
    <w:rsid w:val="00A848A8"/>
    <w:rsid w:val="00A849BB"/>
    <w:rsid w:val="00A84B10"/>
    <w:rsid w:val="00A84CEE"/>
    <w:rsid w:val="00A84D2C"/>
    <w:rsid w:val="00A84F07"/>
    <w:rsid w:val="00A84F98"/>
    <w:rsid w:val="00A84FDC"/>
    <w:rsid w:val="00A84FFC"/>
    <w:rsid w:val="00A8504E"/>
    <w:rsid w:val="00A8505F"/>
    <w:rsid w:val="00A85083"/>
    <w:rsid w:val="00A85094"/>
    <w:rsid w:val="00A8517C"/>
    <w:rsid w:val="00A85203"/>
    <w:rsid w:val="00A8557E"/>
    <w:rsid w:val="00A85686"/>
    <w:rsid w:val="00A856CF"/>
    <w:rsid w:val="00A85792"/>
    <w:rsid w:val="00A857B2"/>
    <w:rsid w:val="00A858CC"/>
    <w:rsid w:val="00A85917"/>
    <w:rsid w:val="00A85B4D"/>
    <w:rsid w:val="00A85F90"/>
    <w:rsid w:val="00A86096"/>
    <w:rsid w:val="00A86262"/>
    <w:rsid w:val="00A862C6"/>
    <w:rsid w:val="00A86346"/>
    <w:rsid w:val="00A864F2"/>
    <w:rsid w:val="00A868D8"/>
    <w:rsid w:val="00A86933"/>
    <w:rsid w:val="00A86947"/>
    <w:rsid w:val="00A86954"/>
    <w:rsid w:val="00A869D1"/>
    <w:rsid w:val="00A869F3"/>
    <w:rsid w:val="00A86C55"/>
    <w:rsid w:val="00A86D73"/>
    <w:rsid w:val="00A8713F"/>
    <w:rsid w:val="00A872E8"/>
    <w:rsid w:val="00A8739D"/>
    <w:rsid w:val="00A8766C"/>
    <w:rsid w:val="00A8790C"/>
    <w:rsid w:val="00A8791D"/>
    <w:rsid w:val="00A87BCA"/>
    <w:rsid w:val="00A87CD3"/>
    <w:rsid w:val="00A87E37"/>
    <w:rsid w:val="00A87EDF"/>
    <w:rsid w:val="00A90258"/>
    <w:rsid w:val="00A902B5"/>
    <w:rsid w:val="00A903B4"/>
    <w:rsid w:val="00A90409"/>
    <w:rsid w:val="00A9052F"/>
    <w:rsid w:val="00A90677"/>
    <w:rsid w:val="00A9090D"/>
    <w:rsid w:val="00A909A6"/>
    <w:rsid w:val="00A90A2A"/>
    <w:rsid w:val="00A90A4B"/>
    <w:rsid w:val="00A90ACB"/>
    <w:rsid w:val="00A90B34"/>
    <w:rsid w:val="00A90B81"/>
    <w:rsid w:val="00A90EE7"/>
    <w:rsid w:val="00A90F5B"/>
    <w:rsid w:val="00A90F68"/>
    <w:rsid w:val="00A90FC6"/>
    <w:rsid w:val="00A90FCC"/>
    <w:rsid w:val="00A90FDE"/>
    <w:rsid w:val="00A91060"/>
    <w:rsid w:val="00A910D1"/>
    <w:rsid w:val="00A91193"/>
    <w:rsid w:val="00A911A1"/>
    <w:rsid w:val="00A912B6"/>
    <w:rsid w:val="00A91318"/>
    <w:rsid w:val="00A913C4"/>
    <w:rsid w:val="00A9140E"/>
    <w:rsid w:val="00A9143D"/>
    <w:rsid w:val="00A915BF"/>
    <w:rsid w:val="00A91790"/>
    <w:rsid w:val="00A91859"/>
    <w:rsid w:val="00A91A78"/>
    <w:rsid w:val="00A91B43"/>
    <w:rsid w:val="00A91B7C"/>
    <w:rsid w:val="00A91BA3"/>
    <w:rsid w:val="00A91BDD"/>
    <w:rsid w:val="00A91BEA"/>
    <w:rsid w:val="00A91D0F"/>
    <w:rsid w:val="00A920BE"/>
    <w:rsid w:val="00A92499"/>
    <w:rsid w:val="00A9253F"/>
    <w:rsid w:val="00A925AC"/>
    <w:rsid w:val="00A925CE"/>
    <w:rsid w:val="00A9264A"/>
    <w:rsid w:val="00A927F1"/>
    <w:rsid w:val="00A92872"/>
    <w:rsid w:val="00A92A25"/>
    <w:rsid w:val="00A92A96"/>
    <w:rsid w:val="00A92AA2"/>
    <w:rsid w:val="00A92B59"/>
    <w:rsid w:val="00A92C05"/>
    <w:rsid w:val="00A92C1E"/>
    <w:rsid w:val="00A92D85"/>
    <w:rsid w:val="00A92E6E"/>
    <w:rsid w:val="00A92EE6"/>
    <w:rsid w:val="00A92EF5"/>
    <w:rsid w:val="00A92EF6"/>
    <w:rsid w:val="00A9313B"/>
    <w:rsid w:val="00A9326B"/>
    <w:rsid w:val="00A933E7"/>
    <w:rsid w:val="00A93412"/>
    <w:rsid w:val="00A9345E"/>
    <w:rsid w:val="00A93490"/>
    <w:rsid w:val="00A9366B"/>
    <w:rsid w:val="00A936BD"/>
    <w:rsid w:val="00A936F7"/>
    <w:rsid w:val="00A93738"/>
    <w:rsid w:val="00A9380C"/>
    <w:rsid w:val="00A9382A"/>
    <w:rsid w:val="00A939F8"/>
    <w:rsid w:val="00A93AB1"/>
    <w:rsid w:val="00A93B2E"/>
    <w:rsid w:val="00A93D98"/>
    <w:rsid w:val="00A93FBF"/>
    <w:rsid w:val="00A93FE3"/>
    <w:rsid w:val="00A94137"/>
    <w:rsid w:val="00A94382"/>
    <w:rsid w:val="00A9447F"/>
    <w:rsid w:val="00A944C0"/>
    <w:rsid w:val="00A944CF"/>
    <w:rsid w:val="00A944D7"/>
    <w:rsid w:val="00A945B9"/>
    <w:rsid w:val="00A9463E"/>
    <w:rsid w:val="00A94673"/>
    <w:rsid w:val="00A94674"/>
    <w:rsid w:val="00A94818"/>
    <w:rsid w:val="00A949C1"/>
    <w:rsid w:val="00A94BE6"/>
    <w:rsid w:val="00A94C5B"/>
    <w:rsid w:val="00A94CF4"/>
    <w:rsid w:val="00A94E22"/>
    <w:rsid w:val="00A94F22"/>
    <w:rsid w:val="00A94F60"/>
    <w:rsid w:val="00A94F87"/>
    <w:rsid w:val="00A94FF1"/>
    <w:rsid w:val="00A95046"/>
    <w:rsid w:val="00A951DB"/>
    <w:rsid w:val="00A952BE"/>
    <w:rsid w:val="00A952CB"/>
    <w:rsid w:val="00A952DC"/>
    <w:rsid w:val="00A953C8"/>
    <w:rsid w:val="00A954D5"/>
    <w:rsid w:val="00A955F8"/>
    <w:rsid w:val="00A95627"/>
    <w:rsid w:val="00A9577F"/>
    <w:rsid w:val="00A957BA"/>
    <w:rsid w:val="00A957C2"/>
    <w:rsid w:val="00A95861"/>
    <w:rsid w:val="00A95948"/>
    <w:rsid w:val="00A95A3F"/>
    <w:rsid w:val="00A95AA1"/>
    <w:rsid w:val="00A95DB4"/>
    <w:rsid w:val="00A95EF3"/>
    <w:rsid w:val="00A9627B"/>
    <w:rsid w:val="00A964BA"/>
    <w:rsid w:val="00A96989"/>
    <w:rsid w:val="00A96B5E"/>
    <w:rsid w:val="00A96C04"/>
    <w:rsid w:val="00A96C59"/>
    <w:rsid w:val="00A96C7D"/>
    <w:rsid w:val="00A96CFD"/>
    <w:rsid w:val="00A96D36"/>
    <w:rsid w:val="00A96DB6"/>
    <w:rsid w:val="00A96DDB"/>
    <w:rsid w:val="00A96DF4"/>
    <w:rsid w:val="00A96F7C"/>
    <w:rsid w:val="00A96F96"/>
    <w:rsid w:val="00A97094"/>
    <w:rsid w:val="00A971CE"/>
    <w:rsid w:val="00A971FD"/>
    <w:rsid w:val="00A97356"/>
    <w:rsid w:val="00A973F9"/>
    <w:rsid w:val="00A97422"/>
    <w:rsid w:val="00A9748F"/>
    <w:rsid w:val="00A97490"/>
    <w:rsid w:val="00A976B0"/>
    <w:rsid w:val="00A9770A"/>
    <w:rsid w:val="00A97818"/>
    <w:rsid w:val="00A97948"/>
    <w:rsid w:val="00A97A36"/>
    <w:rsid w:val="00A97A44"/>
    <w:rsid w:val="00A97A61"/>
    <w:rsid w:val="00A97CAD"/>
    <w:rsid w:val="00A97CB7"/>
    <w:rsid w:val="00A97E4D"/>
    <w:rsid w:val="00A97E5C"/>
    <w:rsid w:val="00AA0037"/>
    <w:rsid w:val="00AA00E9"/>
    <w:rsid w:val="00AA011B"/>
    <w:rsid w:val="00AA0173"/>
    <w:rsid w:val="00AA02C2"/>
    <w:rsid w:val="00AA0306"/>
    <w:rsid w:val="00AA0480"/>
    <w:rsid w:val="00AA08E3"/>
    <w:rsid w:val="00AA0983"/>
    <w:rsid w:val="00AA0A5D"/>
    <w:rsid w:val="00AA0A81"/>
    <w:rsid w:val="00AA0AD9"/>
    <w:rsid w:val="00AA0C29"/>
    <w:rsid w:val="00AA0D33"/>
    <w:rsid w:val="00AA0D7B"/>
    <w:rsid w:val="00AA0DB3"/>
    <w:rsid w:val="00AA0DFF"/>
    <w:rsid w:val="00AA0E1A"/>
    <w:rsid w:val="00AA0FC9"/>
    <w:rsid w:val="00AA1066"/>
    <w:rsid w:val="00AA10DE"/>
    <w:rsid w:val="00AA112E"/>
    <w:rsid w:val="00AA1136"/>
    <w:rsid w:val="00AA11BC"/>
    <w:rsid w:val="00AA1310"/>
    <w:rsid w:val="00AA13BC"/>
    <w:rsid w:val="00AA1422"/>
    <w:rsid w:val="00AA1466"/>
    <w:rsid w:val="00AA1482"/>
    <w:rsid w:val="00AA14C0"/>
    <w:rsid w:val="00AA1563"/>
    <w:rsid w:val="00AA15E1"/>
    <w:rsid w:val="00AA1678"/>
    <w:rsid w:val="00AA16D3"/>
    <w:rsid w:val="00AA1762"/>
    <w:rsid w:val="00AA184E"/>
    <w:rsid w:val="00AA1930"/>
    <w:rsid w:val="00AA1940"/>
    <w:rsid w:val="00AA19A1"/>
    <w:rsid w:val="00AA1A9E"/>
    <w:rsid w:val="00AA1B0A"/>
    <w:rsid w:val="00AA1B45"/>
    <w:rsid w:val="00AA1C06"/>
    <w:rsid w:val="00AA1D44"/>
    <w:rsid w:val="00AA1ED0"/>
    <w:rsid w:val="00AA1F4A"/>
    <w:rsid w:val="00AA207B"/>
    <w:rsid w:val="00AA213F"/>
    <w:rsid w:val="00AA21C6"/>
    <w:rsid w:val="00AA21C7"/>
    <w:rsid w:val="00AA22CA"/>
    <w:rsid w:val="00AA2428"/>
    <w:rsid w:val="00AA24B4"/>
    <w:rsid w:val="00AA2532"/>
    <w:rsid w:val="00AA25EC"/>
    <w:rsid w:val="00AA271F"/>
    <w:rsid w:val="00AA2788"/>
    <w:rsid w:val="00AA2878"/>
    <w:rsid w:val="00AA2964"/>
    <w:rsid w:val="00AA2AFC"/>
    <w:rsid w:val="00AA2B83"/>
    <w:rsid w:val="00AA2D96"/>
    <w:rsid w:val="00AA2E36"/>
    <w:rsid w:val="00AA2E6F"/>
    <w:rsid w:val="00AA2E78"/>
    <w:rsid w:val="00AA2F43"/>
    <w:rsid w:val="00AA2F90"/>
    <w:rsid w:val="00AA2FB0"/>
    <w:rsid w:val="00AA3055"/>
    <w:rsid w:val="00AA31C8"/>
    <w:rsid w:val="00AA3350"/>
    <w:rsid w:val="00AA3429"/>
    <w:rsid w:val="00AA3507"/>
    <w:rsid w:val="00AA3615"/>
    <w:rsid w:val="00AA366F"/>
    <w:rsid w:val="00AA3694"/>
    <w:rsid w:val="00AA374F"/>
    <w:rsid w:val="00AA385F"/>
    <w:rsid w:val="00AA38A6"/>
    <w:rsid w:val="00AA3A43"/>
    <w:rsid w:val="00AA3B23"/>
    <w:rsid w:val="00AA3BA6"/>
    <w:rsid w:val="00AA3BE5"/>
    <w:rsid w:val="00AA3CDD"/>
    <w:rsid w:val="00AA3FA7"/>
    <w:rsid w:val="00AA41D4"/>
    <w:rsid w:val="00AA42A5"/>
    <w:rsid w:val="00AA45C5"/>
    <w:rsid w:val="00AA478B"/>
    <w:rsid w:val="00AA47CA"/>
    <w:rsid w:val="00AA49A6"/>
    <w:rsid w:val="00AA4CC7"/>
    <w:rsid w:val="00AA4CF6"/>
    <w:rsid w:val="00AA4DD8"/>
    <w:rsid w:val="00AA4E84"/>
    <w:rsid w:val="00AA4F5E"/>
    <w:rsid w:val="00AA4F9A"/>
    <w:rsid w:val="00AA4FDB"/>
    <w:rsid w:val="00AA50CD"/>
    <w:rsid w:val="00AA50FC"/>
    <w:rsid w:val="00AA513F"/>
    <w:rsid w:val="00AA5218"/>
    <w:rsid w:val="00AA52CA"/>
    <w:rsid w:val="00AA562A"/>
    <w:rsid w:val="00AA56FB"/>
    <w:rsid w:val="00AA571F"/>
    <w:rsid w:val="00AA57B0"/>
    <w:rsid w:val="00AA57E7"/>
    <w:rsid w:val="00AA5823"/>
    <w:rsid w:val="00AA5882"/>
    <w:rsid w:val="00AA5A1B"/>
    <w:rsid w:val="00AA5B0E"/>
    <w:rsid w:val="00AA5D23"/>
    <w:rsid w:val="00AA5EE7"/>
    <w:rsid w:val="00AA5FD0"/>
    <w:rsid w:val="00AA60E7"/>
    <w:rsid w:val="00AA622A"/>
    <w:rsid w:val="00AA6281"/>
    <w:rsid w:val="00AA62A5"/>
    <w:rsid w:val="00AA62B8"/>
    <w:rsid w:val="00AA62EC"/>
    <w:rsid w:val="00AA636F"/>
    <w:rsid w:val="00AA637A"/>
    <w:rsid w:val="00AA63B9"/>
    <w:rsid w:val="00AA6412"/>
    <w:rsid w:val="00AA64A3"/>
    <w:rsid w:val="00AA658D"/>
    <w:rsid w:val="00AA664D"/>
    <w:rsid w:val="00AA6654"/>
    <w:rsid w:val="00AA66E7"/>
    <w:rsid w:val="00AA686B"/>
    <w:rsid w:val="00AA6896"/>
    <w:rsid w:val="00AA68BE"/>
    <w:rsid w:val="00AA694D"/>
    <w:rsid w:val="00AA6989"/>
    <w:rsid w:val="00AA6A5A"/>
    <w:rsid w:val="00AA6B15"/>
    <w:rsid w:val="00AA6DE3"/>
    <w:rsid w:val="00AA6FB6"/>
    <w:rsid w:val="00AA6FBB"/>
    <w:rsid w:val="00AA6FC5"/>
    <w:rsid w:val="00AA703E"/>
    <w:rsid w:val="00AA70C4"/>
    <w:rsid w:val="00AA71AC"/>
    <w:rsid w:val="00AA725F"/>
    <w:rsid w:val="00AA752F"/>
    <w:rsid w:val="00AA75C8"/>
    <w:rsid w:val="00AA7713"/>
    <w:rsid w:val="00AA7B64"/>
    <w:rsid w:val="00AA7B8A"/>
    <w:rsid w:val="00AA7C12"/>
    <w:rsid w:val="00AA7CA4"/>
    <w:rsid w:val="00AA7DB3"/>
    <w:rsid w:val="00AA7DC3"/>
    <w:rsid w:val="00AA7E94"/>
    <w:rsid w:val="00AA7EA8"/>
    <w:rsid w:val="00AB017B"/>
    <w:rsid w:val="00AB0224"/>
    <w:rsid w:val="00AB04BA"/>
    <w:rsid w:val="00AB057D"/>
    <w:rsid w:val="00AB0606"/>
    <w:rsid w:val="00AB0682"/>
    <w:rsid w:val="00AB0703"/>
    <w:rsid w:val="00AB086C"/>
    <w:rsid w:val="00AB08AC"/>
    <w:rsid w:val="00AB0954"/>
    <w:rsid w:val="00AB0B8C"/>
    <w:rsid w:val="00AB0C70"/>
    <w:rsid w:val="00AB0D7F"/>
    <w:rsid w:val="00AB0DA4"/>
    <w:rsid w:val="00AB0E85"/>
    <w:rsid w:val="00AB0EDC"/>
    <w:rsid w:val="00AB11D4"/>
    <w:rsid w:val="00AB129A"/>
    <w:rsid w:val="00AB1784"/>
    <w:rsid w:val="00AB17BC"/>
    <w:rsid w:val="00AB19B4"/>
    <w:rsid w:val="00AB19D4"/>
    <w:rsid w:val="00AB1A59"/>
    <w:rsid w:val="00AB1AC4"/>
    <w:rsid w:val="00AB1B83"/>
    <w:rsid w:val="00AB1D38"/>
    <w:rsid w:val="00AB1D5E"/>
    <w:rsid w:val="00AB1F29"/>
    <w:rsid w:val="00AB1F63"/>
    <w:rsid w:val="00AB223D"/>
    <w:rsid w:val="00AB228C"/>
    <w:rsid w:val="00AB236F"/>
    <w:rsid w:val="00AB23E1"/>
    <w:rsid w:val="00AB2719"/>
    <w:rsid w:val="00AB2B4E"/>
    <w:rsid w:val="00AB2BCA"/>
    <w:rsid w:val="00AB2E84"/>
    <w:rsid w:val="00AB2F27"/>
    <w:rsid w:val="00AB2F73"/>
    <w:rsid w:val="00AB3058"/>
    <w:rsid w:val="00AB307A"/>
    <w:rsid w:val="00AB30FF"/>
    <w:rsid w:val="00AB33C6"/>
    <w:rsid w:val="00AB33FA"/>
    <w:rsid w:val="00AB3523"/>
    <w:rsid w:val="00AB35DA"/>
    <w:rsid w:val="00AB3708"/>
    <w:rsid w:val="00AB3730"/>
    <w:rsid w:val="00AB376D"/>
    <w:rsid w:val="00AB3789"/>
    <w:rsid w:val="00AB37C7"/>
    <w:rsid w:val="00AB3A11"/>
    <w:rsid w:val="00AB3A2A"/>
    <w:rsid w:val="00AB3A2D"/>
    <w:rsid w:val="00AB3EF7"/>
    <w:rsid w:val="00AB3F7B"/>
    <w:rsid w:val="00AB3F80"/>
    <w:rsid w:val="00AB4393"/>
    <w:rsid w:val="00AB4410"/>
    <w:rsid w:val="00AB4415"/>
    <w:rsid w:val="00AB44EB"/>
    <w:rsid w:val="00AB4663"/>
    <w:rsid w:val="00AB47C1"/>
    <w:rsid w:val="00AB47CF"/>
    <w:rsid w:val="00AB4885"/>
    <w:rsid w:val="00AB49A0"/>
    <w:rsid w:val="00AB4A3B"/>
    <w:rsid w:val="00AB4AA9"/>
    <w:rsid w:val="00AB4C01"/>
    <w:rsid w:val="00AB4F6D"/>
    <w:rsid w:val="00AB50F4"/>
    <w:rsid w:val="00AB52D9"/>
    <w:rsid w:val="00AB53EF"/>
    <w:rsid w:val="00AB5558"/>
    <w:rsid w:val="00AB55C5"/>
    <w:rsid w:val="00AB566C"/>
    <w:rsid w:val="00AB577D"/>
    <w:rsid w:val="00AB5B9E"/>
    <w:rsid w:val="00AB5C31"/>
    <w:rsid w:val="00AB5E37"/>
    <w:rsid w:val="00AB5E45"/>
    <w:rsid w:val="00AB5E71"/>
    <w:rsid w:val="00AB5E8B"/>
    <w:rsid w:val="00AB5F0D"/>
    <w:rsid w:val="00AB607D"/>
    <w:rsid w:val="00AB6154"/>
    <w:rsid w:val="00AB6211"/>
    <w:rsid w:val="00AB6410"/>
    <w:rsid w:val="00AB6432"/>
    <w:rsid w:val="00AB6518"/>
    <w:rsid w:val="00AB65DD"/>
    <w:rsid w:val="00AB6718"/>
    <w:rsid w:val="00AB6786"/>
    <w:rsid w:val="00AB682E"/>
    <w:rsid w:val="00AB697B"/>
    <w:rsid w:val="00AB6B55"/>
    <w:rsid w:val="00AB6D29"/>
    <w:rsid w:val="00AB6EB8"/>
    <w:rsid w:val="00AB6EDA"/>
    <w:rsid w:val="00AB717D"/>
    <w:rsid w:val="00AB722B"/>
    <w:rsid w:val="00AB7255"/>
    <w:rsid w:val="00AB7297"/>
    <w:rsid w:val="00AB73AF"/>
    <w:rsid w:val="00AB7503"/>
    <w:rsid w:val="00AB75D2"/>
    <w:rsid w:val="00AB789B"/>
    <w:rsid w:val="00AB78DA"/>
    <w:rsid w:val="00AB790F"/>
    <w:rsid w:val="00AB7960"/>
    <w:rsid w:val="00AB7A41"/>
    <w:rsid w:val="00AB7A5D"/>
    <w:rsid w:val="00AB7A93"/>
    <w:rsid w:val="00AB7C82"/>
    <w:rsid w:val="00AB7C87"/>
    <w:rsid w:val="00AB7CAC"/>
    <w:rsid w:val="00AB7CEA"/>
    <w:rsid w:val="00AB7DA4"/>
    <w:rsid w:val="00AB7DF1"/>
    <w:rsid w:val="00AB7E0E"/>
    <w:rsid w:val="00AB7FA4"/>
    <w:rsid w:val="00AC015F"/>
    <w:rsid w:val="00AC01D9"/>
    <w:rsid w:val="00AC02A4"/>
    <w:rsid w:val="00AC050B"/>
    <w:rsid w:val="00AC0512"/>
    <w:rsid w:val="00AC0616"/>
    <w:rsid w:val="00AC06AF"/>
    <w:rsid w:val="00AC06C3"/>
    <w:rsid w:val="00AC07A5"/>
    <w:rsid w:val="00AC0977"/>
    <w:rsid w:val="00AC0A61"/>
    <w:rsid w:val="00AC0BA2"/>
    <w:rsid w:val="00AC0BF0"/>
    <w:rsid w:val="00AC0CE9"/>
    <w:rsid w:val="00AC11DF"/>
    <w:rsid w:val="00AC1398"/>
    <w:rsid w:val="00AC1432"/>
    <w:rsid w:val="00AC146C"/>
    <w:rsid w:val="00AC1633"/>
    <w:rsid w:val="00AC163A"/>
    <w:rsid w:val="00AC1874"/>
    <w:rsid w:val="00AC18D6"/>
    <w:rsid w:val="00AC1B39"/>
    <w:rsid w:val="00AC1B3B"/>
    <w:rsid w:val="00AC1B5F"/>
    <w:rsid w:val="00AC1CAD"/>
    <w:rsid w:val="00AC1CBC"/>
    <w:rsid w:val="00AC1D27"/>
    <w:rsid w:val="00AC1D78"/>
    <w:rsid w:val="00AC1DA7"/>
    <w:rsid w:val="00AC1EBA"/>
    <w:rsid w:val="00AC1F96"/>
    <w:rsid w:val="00AC2081"/>
    <w:rsid w:val="00AC225B"/>
    <w:rsid w:val="00AC22C7"/>
    <w:rsid w:val="00AC22EF"/>
    <w:rsid w:val="00AC2508"/>
    <w:rsid w:val="00AC2765"/>
    <w:rsid w:val="00AC2777"/>
    <w:rsid w:val="00AC28E0"/>
    <w:rsid w:val="00AC28E6"/>
    <w:rsid w:val="00AC291E"/>
    <w:rsid w:val="00AC29A9"/>
    <w:rsid w:val="00AC29CB"/>
    <w:rsid w:val="00AC2A3A"/>
    <w:rsid w:val="00AC2BF0"/>
    <w:rsid w:val="00AC2EB6"/>
    <w:rsid w:val="00AC2F28"/>
    <w:rsid w:val="00AC2FE8"/>
    <w:rsid w:val="00AC2FEC"/>
    <w:rsid w:val="00AC3200"/>
    <w:rsid w:val="00AC3298"/>
    <w:rsid w:val="00AC34C3"/>
    <w:rsid w:val="00AC3517"/>
    <w:rsid w:val="00AC3694"/>
    <w:rsid w:val="00AC36D7"/>
    <w:rsid w:val="00AC385C"/>
    <w:rsid w:val="00AC38AC"/>
    <w:rsid w:val="00AC39FB"/>
    <w:rsid w:val="00AC3A53"/>
    <w:rsid w:val="00AC3AB5"/>
    <w:rsid w:val="00AC3AD7"/>
    <w:rsid w:val="00AC3B20"/>
    <w:rsid w:val="00AC3B2C"/>
    <w:rsid w:val="00AC3B6C"/>
    <w:rsid w:val="00AC3CE7"/>
    <w:rsid w:val="00AC3CEA"/>
    <w:rsid w:val="00AC3D06"/>
    <w:rsid w:val="00AC3D3E"/>
    <w:rsid w:val="00AC3D54"/>
    <w:rsid w:val="00AC3E07"/>
    <w:rsid w:val="00AC3F5E"/>
    <w:rsid w:val="00AC4002"/>
    <w:rsid w:val="00AC409A"/>
    <w:rsid w:val="00AC40FF"/>
    <w:rsid w:val="00AC43A4"/>
    <w:rsid w:val="00AC43E9"/>
    <w:rsid w:val="00AC455A"/>
    <w:rsid w:val="00AC4670"/>
    <w:rsid w:val="00AC46AE"/>
    <w:rsid w:val="00AC478A"/>
    <w:rsid w:val="00AC4B2E"/>
    <w:rsid w:val="00AC4D1E"/>
    <w:rsid w:val="00AC4D37"/>
    <w:rsid w:val="00AC4D61"/>
    <w:rsid w:val="00AC4E6F"/>
    <w:rsid w:val="00AC4F46"/>
    <w:rsid w:val="00AC50B1"/>
    <w:rsid w:val="00AC5122"/>
    <w:rsid w:val="00AC518D"/>
    <w:rsid w:val="00AC5336"/>
    <w:rsid w:val="00AC5544"/>
    <w:rsid w:val="00AC561B"/>
    <w:rsid w:val="00AC579C"/>
    <w:rsid w:val="00AC57E7"/>
    <w:rsid w:val="00AC585C"/>
    <w:rsid w:val="00AC5952"/>
    <w:rsid w:val="00AC59F9"/>
    <w:rsid w:val="00AC5E93"/>
    <w:rsid w:val="00AC5FE3"/>
    <w:rsid w:val="00AC6237"/>
    <w:rsid w:val="00AC630D"/>
    <w:rsid w:val="00AC6377"/>
    <w:rsid w:val="00AC6464"/>
    <w:rsid w:val="00AC648C"/>
    <w:rsid w:val="00AC6689"/>
    <w:rsid w:val="00AC67EF"/>
    <w:rsid w:val="00AC6800"/>
    <w:rsid w:val="00AC68D6"/>
    <w:rsid w:val="00AC6A03"/>
    <w:rsid w:val="00AC6B9E"/>
    <w:rsid w:val="00AC6BD9"/>
    <w:rsid w:val="00AC6CB3"/>
    <w:rsid w:val="00AC6CF8"/>
    <w:rsid w:val="00AC6FDE"/>
    <w:rsid w:val="00AC7002"/>
    <w:rsid w:val="00AC7118"/>
    <w:rsid w:val="00AC71A6"/>
    <w:rsid w:val="00AC726F"/>
    <w:rsid w:val="00AC72BB"/>
    <w:rsid w:val="00AC735E"/>
    <w:rsid w:val="00AC73B6"/>
    <w:rsid w:val="00AC756E"/>
    <w:rsid w:val="00AC75CD"/>
    <w:rsid w:val="00AC76F4"/>
    <w:rsid w:val="00AC76FE"/>
    <w:rsid w:val="00AC775D"/>
    <w:rsid w:val="00AC79A4"/>
    <w:rsid w:val="00AC7B16"/>
    <w:rsid w:val="00AC7BF3"/>
    <w:rsid w:val="00AC7CDC"/>
    <w:rsid w:val="00AC7D7D"/>
    <w:rsid w:val="00AC7E5F"/>
    <w:rsid w:val="00AC7EA5"/>
    <w:rsid w:val="00AC7F97"/>
    <w:rsid w:val="00AC7FBF"/>
    <w:rsid w:val="00AD0049"/>
    <w:rsid w:val="00AD0111"/>
    <w:rsid w:val="00AD0301"/>
    <w:rsid w:val="00AD0305"/>
    <w:rsid w:val="00AD039E"/>
    <w:rsid w:val="00AD043E"/>
    <w:rsid w:val="00AD050B"/>
    <w:rsid w:val="00AD053E"/>
    <w:rsid w:val="00AD0770"/>
    <w:rsid w:val="00AD0814"/>
    <w:rsid w:val="00AD0A72"/>
    <w:rsid w:val="00AD0C0E"/>
    <w:rsid w:val="00AD0C16"/>
    <w:rsid w:val="00AD0CA9"/>
    <w:rsid w:val="00AD0DD8"/>
    <w:rsid w:val="00AD0EC8"/>
    <w:rsid w:val="00AD0F83"/>
    <w:rsid w:val="00AD0FA3"/>
    <w:rsid w:val="00AD10BA"/>
    <w:rsid w:val="00AD1180"/>
    <w:rsid w:val="00AD1287"/>
    <w:rsid w:val="00AD1326"/>
    <w:rsid w:val="00AD1359"/>
    <w:rsid w:val="00AD140C"/>
    <w:rsid w:val="00AD1485"/>
    <w:rsid w:val="00AD149E"/>
    <w:rsid w:val="00AD14A5"/>
    <w:rsid w:val="00AD1517"/>
    <w:rsid w:val="00AD15AB"/>
    <w:rsid w:val="00AD16A0"/>
    <w:rsid w:val="00AD183A"/>
    <w:rsid w:val="00AD1915"/>
    <w:rsid w:val="00AD1A0A"/>
    <w:rsid w:val="00AD1C62"/>
    <w:rsid w:val="00AD1CB9"/>
    <w:rsid w:val="00AD1E0D"/>
    <w:rsid w:val="00AD1E64"/>
    <w:rsid w:val="00AD2132"/>
    <w:rsid w:val="00AD230E"/>
    <w:rsid w:val="00AD245A"/>
    <w:rsid w:val="00AD246A"/>
    <w:rsid w:val="00AD24F9"/>
    <w:rsid w:val="00AD265F"/>
    <w:rsid w:val="00AD2661"/>
    <w:rsid w:val="00AD27C3"/>
    <w:rsid w:val="00AD28EC"/>
    <w:rsid w:val="00AD29EC"/>
    <w:rsid w:val="00AD2E7C"/>
    <w:rsid w:val="00AD3046"/>
    <w:rsid w:val="00AD32ED"/>
    <w:rsid w:val="00AD3331"/>
    <w:rsid w:val="00AD3377"/>
    <w:rsid w:val="00AD3456"/>
    <w:rsid w:val="00AD363A"/>
    <w:rsid w:val="00AD3653"/>
    <w:rsid w:val="00AD377F"/>
    <w:rsid w:val="00AD3784"/>
    <w:rsid w:val="00AD382F"/>
    <w:rsid w:val="00AD3897"/>
    <w:rsid w:val="00AD3A58"/>
    <w:rsid w:val="00AD3A77"/>
    <w:rsid w:val="00AD3CD7"/>
    <w:rsid w:val="00AD3DDB"/>
    <w:rsid w:val="00AD3F54"/>
    <w:rsid w:val="00AD3F72"/>
    <w:rsid w:val="00AD3F84"/>
    <w:rsid w:val="00AD400E"/>
    <w:rsid w:val="00AD4219"/>
    <w:rsid w:val="00AD42AF"/>
    <w:rsid w:val="00AD4607"/>
    <w:rsid w:val="00AD49C8"/>
    <w:rsid w:val="00AD4AB4"/>
    <w:rsid w:val="00AD4BA7"/>
    <w:rsid w:val="00AD4F59"/>
    <w:rsid w:val="00AD503A"/>
    <w:rsid w:val="00AD50C2"/>
    <w:rsid w:val="00AD5237"/>
    <w:rsid w:val="00AD5260"/>
    <w:rsid w:val="00AD5415"/>
    <w:rsid w:val="00AD5534"/>
    <w:rsid w:val="00AD55C8"/>
    <w:rsid w:val="00AD55ED"/>
    <w:rsid w:val="00AD573A"/>
    <w:rsid w:val="00AD5839"/>
    <w:rsid w:val="00AD59D5"/>
    <w:rsid w:val="00AD59E8"/>
    <w:rsid w:val="00AD5A17"/>
    <w:rsid w:val="00AD5A73"/>
    <w:rsid w:val="00AD5A97"/>
    <w:rsid w:val="00AD5BA2"/>
    <w:rsid w:val="00AD5C07"/>
    <w:rsid w:val="00AD5C0A"/>
    <w:rsid w:val="00AD5C88"/>
    <w:rsid w:val="00AD5EFF"/>
    <w:rsid w:val="00AD5F27"/>
    <w:rsid w:val="00AD5FB6"/>
    <w:rsid w:val="00AD5FCC"/>
    <w:rsid w:val="00AD5FF5"/>
    <w:rsid w:val="00AD600F"/>
    <w:rsid w:val="00AD60DC"/>
    <w:rsid w:val="00AD6191"/>
    <w:rsid w:val="00AD61A4"/>
    <w:rsid w:val="00AD6390"/>
    <w:rsid w:val="00AD64B6"/>
    <w:rsid w:val="00AD6511"/>
    <w:rsid w:val="00AD6547"/>
    <w:rsid w:val="00AD661C"/>
    <w:rsid w:val="00AD6912"/>
    <w:rsid w:val="00AD695D"/>
    <w:rsid w:val="00AD69F4"/>
    <w:rsid w:val="00AD6B19"/>
    <w:rsid w:val="00AD6E9C"/>
    <w:rsid w:val="00AD6EFD"/>
    <w:rsid w:val="00AD6F9F"/>
    <w:rsid w:val="00AD710E"/>
    <w:rsid w:val="00AD7114"/>
    <w:rsid w:val="00AD7155"/>
    <w:rsid w:val="00AD7192"/>
    <w:rsid w:val="00AD720F"/>
    <w:rsid w:val="00AD726D"/>
    <w:rsid w:val="00AD729E"/>
    <w:rsid w:val="00AD72D8"/>
    <w:rsid w:val="00AD7555"/>
    <w:rsid w:val="00AD75DB"/>
    <w:rsid w:val="00AD76C9"/>
    <w:rsid w:val="00AD774D"/>
    <w:rsid w:val="00AD7BBD"/>
    <w:rsid w:val="00AD7BEE"/>
    <w:rsid w:val="00AD7CC3"/>
    <w:rsid w:val="00AD7E53"/>
    <w:rsid w:val="00AD7F82"/>
    <w:rsid w:val="00AE001F"/>
    <w:rsid w:val="00AE0068"/>
    <w:rsid w:val="00AE01C5"/>
    <w:rsid w:val="00AE0289"/>
    <w:rsid w:val="00AE049B"/>
    <w:rsid w:val="00AE06A8"/>
    <w:rsid w:val="00AE070D"/>
    <w:rsid w:val="00AE07A9"/>
    <w:rsid w:val="00AE08AC"/>
    <w:rsid w:val="00AE097B"/>
    <w:rsid w:val="00AE0A64"/>
    <w:rsid w:val="00AE0ADC"/>
    <w:rsid w:val="00AE0AF0"/>
    <w:rsid w:val="00AE0B9F"/>
    <w:rsid w:val="00AE0D3B"/>
    <w:rsid w:val="00AE0D85"/>
    <w:rsid w:val="00AE0E41"/>
    <w:rsid w:val="00AE117A"/>
    <w:rsid w:val="00AE121F"/>
    <w:rsid w:val="00AE12D8"/>
    <w:rsid w:val="00AE13BC"/>
    <w:rsid w:val="00AE14D4"/>
    <w:rsid w:val="00AE1708"/>
    <w:rsid w:val="00AE178F"/>
    <w:rsid w:val="00AE1930"/>
    <w:rsid w:val="00AE1A07"/>
    <w:rsid w:val="00AE1C12"/>
    <w:rsid w:val="00AE1CF5"/>
    <w:rsid w:val="00AE1F42"/>
    <w:rsid w:val="00AE20DE"/>
    <w:rsid w:val="00AE21B0"/>
    <w:rsid w:val="00AE2323"/>
    <w:rsid w:val="00AE242B"/>
    <w:rsid w:val="00AE24B9"/>
    <w:rsid w:val="00AE24D3"/>
    <w:rsid w:val="00AE24DC"/>
    <w:rsid w:val="00AE24DE"/>
    <w:rsid w:val="00AE2625"/>
    <w:rsid w:val="00AE264A"/>
    <w:rsid w:val="00AE2711"/>
    <w:rsid w:val="00AE2774"/>
    <w:rsid w:val="00AE2888"/>
    <w:rsid w:val="00AE28E1"/>
    <w:rsid w:val="00AE2B0C"/>
    <w:rsid w:val="00AE2BCD"/>
    <w:rsid w:val="00AE2C80"/>
    <w:rsid w:val="00AE2F6E"/>
    <w:rsid w:val="00AE30F8"/>
    <w:rsid w:val="00AE31BA"/>
    <w:rsid w:val="00AE31D1"/>
    <w:rsid w:val="00AE31D5"/>
    <w:rsid w:val="00AE33E8"/>
    <w:rsid w:val="00AE3444"/>
    <w:rsid w:val="00AE34C6"/>
    <w:rsid w:val="00AE34E2"/>
    <w:rsid w:val="00AE3552"/>
    <w:rsid w:val="00AE3607"/>
    <w:rsid w:val="00AE36E0"/>
    <w:rsid w:val="00AE3780"/>
    <w:rsid w:val="00AE3994"/>
    <w:rsid w:val="00AE3A41"/>
    <w:rsid w:val="00AE3AFC"/>
    <w:rsid w:val="00AE3B64"/>
    <w:rsid w:val="00AE3C43"/>
    <w:rsid w:val="00AE3C4E"/>
    <w:rsid w:val="00AE3CFA"/>
    <w:rsid w:val="00AE3D39"/>
    <w:rsid w:val="00AE3DE0"/>
    <w:rsid w:val="00AE3E04"/>
    <w:rsid w:val="00AE3E34"/>
    <w:rsid w:val="00AE3E9A"/>
    <w:rsid w:val="00AE40CF"/>
    <w:rsid w:val="00AE4152"/>
    <w:rsid w:val="00AE4192"/>
    <w:rsid w:val="00AE4193"/>
    <w:rsid w:val="00AE41A1"/>
    <w:rsid w:val="00AE41D8"/>
    <w:rsid w:val="00AE4257"/>
    <w:rsid w:val="00AE426B"/>
    <w:rsid w:val="00AE4331"/>
    <w:rsid w:val="00AE43B2"/>
    <w:rsid w:val="00AE449E"/>
    <w:rsid w:val="00AE44E7"/>
    <w:rsid w:val="00AE4535"/>
    <w:rsid w:val="00AE4573"/>
    <w:rsid w:val="00AE4650"/>
    <w:rsid w:val="00AE479C"/>
    <w:rsid w:val="00AE47B8"/>
    <w:rsid w:val="00AE47FD"/>
    <w:rsid w:val="00AE4963"/>
    <w:rsid w:val="00AE49C2"/>
    <w:rsid w:val="00AE4A1D"/>
    <w:rsid w:val="00AE4A65"/>
    <w:rsid w:val="00AE4AF1"/>
    <w:rsid w:val="00AE4B41"/>
    <w:rsid w:val="00AE4B47"/>
    <w:rsid w:val="00AE4F2A"/>
    <w:rsid w:val="00AE50C8"/>
    <w:rsid w:val="00AE50F3"/>
    <w:rsid w:val="00AE545C"/>
    <w:rsid w:val="00AE54EE"/>
    <w:rsid w:val="00AE58F2"/>
    <w:rsid w:val="00AE58FB"/>
    <w:rsid w:val="00AE5A99"/>
    <w:rsid w:val="00AE5C6A"/>
    <w:rsid w:val="00AE5CDD"/>
    <w:rsid w:val="00AE5D2A"/>
    <w:rsid w:val="00AE5D35"/>
    <w:rsid w:val="00AE5D69"/>
    <w:rsid w:val="00AE605C"/>
    <w:rsid w:val="00AE62E0"/>
    <w:rsid w:val="00AE638A"/>
    <w:rsid w:val="00AE6414"/>
    <w:rsid w:val="00AE64C7"/>
    <w:rsid w:val="00AE65CB"/>
    <w:rsid w:val="00AE67E4"/>
    <w:rsid w:val="00AE688E"/>
    <w:rsid w:val="00AE6907"/>
    <w:rsid w:val="00AE6965"/>
    <w:rsid w:val="00AE6E8A"/>
    <w:rsid w:val="00AE6EE3"/>
    <w:rsid w:val="00AE6EEB"/>
    <w:rsid w:val="00AE706A"/>
    <w:rsid w:val="00AE70C3"/>
    <w:rsid w:val="00AE7117"/>
    <w:rsid w:val="00AE7157"/>
    <w:rsid w:val="00AE74B1"/>
    <w:rsid w:val="00AE7649"/>
    <w:rsid w:val="00AE7665"/>
    <w:rsid w:val="00AE7694"/>
    <w:rsid w:val="00AE78A9"/>
    <w:rsid w:val="00AE7A9A"/>
    <w:rsid w:val="00AE7ACE"/>
    <w:rsid w:val="00AE7C48"/>
    <w:rsid w:val="00AE7F51"/>
    <w:rsid w:val="00AF010F"/>
    <w:rsid w:val="00AF011A"/>
    <w:rsid w:val="00AF0129"/>
    <w:rsid w:val="00AF02C3"/>
    <w:rsid w:val="00AF03D4"/>
    <w:rsid w:val="00AF04F7"/>
    <w:rsid w:val="00AF0526"/>
    <w:rsid w:val="00AF060A"/>
    <w:rsid w:val="00AF0748"/>
    <w:rsid w:val="00AF07AC"/>
    <w:rsid w:val="00AF082C"/>
    <w:rsid w:val="00AF08EA"/>
    <w:rsid w:val="00AF096E"/>
    <w:rsid w:val="00AF0AB7"/>
    <w:rsid w:val="00AF0C25"/>
    <w:rsid w:val="00AF1059"/>
    <w:rsid w:val="00AF10CC"/>
    <w:rsid w:val="00AF10D1"/>
    <w:rsid w:val="00AF1112"/>
    <w:rsid w:val="00AF11D7"/>
    <w:rsid w:val="00AF12B4"/>
    <w:rsid w:val="00AF1397"/>
    <w:rsid w:val="00AF13FC"/>
    <w:rsid w:val="00AF156F"/>
    <w:rsid w:val="00AF15E9"/>
    <w:rsid w:val="00AF16B9"/>
    <w:rsid w:val="00AF1A9C"/>
    <w:rsid w:val="00AF1B8E"/>
    <w:rsid w:val="00AF1CF2"/>
    <w:rsid w:val="00AF1D24"/>
    <w:rsid w:val="00AF1D79"/>
    <w:rsid w:val="00AF1D8F"/>
    <w:rsid w:val="00AF1F4B"/>
    <w:rsid w:val="00AF206E"/>
    <w:rsid w:val="00AF2325"/>
    <w:rsid w:val="00AF23CE"/>
    <w:rsid w:val="00AF250C"/>
    <w:rsid w:val="00AF2677"/>
    <w:rsid w:val="00AF26C2"/>
    <w:rsid w:val="00AF274A"/>
    <w:rsid w:val="00AF282B"/>
    <w:rsid w:val="00AF29B3"/>
    <w:rsid w:val="00AF29C3"/>
    <w:rsid w:val="00AF2A0E"/>
    <w:rsid w:val="00AF2A1B"/>
    <w:rsid w:val="00AF2A57"/>
    <w:rsid w:val="00AF2ABE"/>
    <w:rsid w:val="00AF2AFC"/>
    <w:rsid w:val="00AF2B25"/>
    <w:rsid w:val="00AF2C0F"/>
    <w:rsid w:val="00AF2C9C"/>
    <w:rsid w:val="00AF2DB3"/>
    <w:rsid w:val="00AF2EAB"/>
    <w:rsid w:val="00AF2F06"/>
    <w:rsid w:val="00AF3058"/>
    <w:rsid w:val="00AF30B4"/>
    <w:rsid w:val="00AF3197"/>
    <w:rsid w:val="00AF3268"/>
    <w:rsid w:val="00AF3312"/>
    <w:rsid w:val="00AF361C"/>
    <w:rsid w:val="00AF36C5"/>
    <w:rsid w:val="00AF36C7"/>
    <w:rsid w:val="00AF3711"/>
    <w:rsid w:val="00AF37BD"/>
    <w:rsid w:val="00AF38C8"/>
    <w:rsid w:val="00AF392B"/>
    <w:rsid w:val="00AF3A14"/>
    <w:rsid w:val="00AF3AC7"/>
    <w:rsid w:val="00AF3CE6"/>
    <w:rsid w:val="00AF3D42"/>
    <w:rsid w:val="00AF3D87"/>
    <w:rsid w:val="00AF40AD"/>
    <w:rsid w:val="00AF4134"/>
    <w:rsid w:val="00AF419D"/>
    <w:rsid w:val="00AF43B4"/>
    <w:rsid w:val="00AF4401"/>
    <w:rsid w:val="00AF44E9"/>
    <w:rsid w:val="00AF4570"/>
    <w:rsid w:val="00AF47BC"/>
    <w:rsid w:val="00AF4917"/>
    <w:rsid w:val="00AF4919"/>
    <w:rsid w:val="00AF49B7"/>
    <w:rsid w:val="00AF4AD2"/>
    <w:rsid w:val="00AF4AFA"/>
    <w:rsid w:val="00AF4B1B"/>
    <w:rsid w:val="00AF4C89"/>
    <w:rsid w:val="00AF4D66"/>
    <w:rsid w:val="00AF4E03"/>
    <w:rsid w:val="00AF4EF7"/>
    <w:rsid w:val="00AF5014"/>
    <w:rsid w:val="00AF5153"/>
    <w:rsid w:val="00AF52A5"/>
    <w:rsid w:val="00AF539D"/>
    <w:rsid w:val="00AF540E"/>
    <w:rsid w:val="00AF5467"/>
    <w:rsid w:val="00AF5504"/>
    <w:rsid w:val="00AF55E9"/>
    <w:rsid w:val="00AF5600"/>
    <w:rsid w:val="00AF56F1"/>
    <w:rsid w:val="00AF56F8"/>
    <w:rsid w:val="00AF574E"/>
    <w:rsid w:val="00AF588A"/>
    <w:rsid w:val="00AF5927"/>
    <w:rsid w:val="00AF5EAD"/>
    <w:rsid w:val="00AF5EB6"/>
    <w:rsid w:val="00AF5F20"/>
    <w:rsid w:val="00AF5F28"/>
    <w:rsid w:val="00AF6044"/>
    <w:rsid w:val="00AF604D"/>
    <w:rsid w:val="00AF604E"/>
    <w:rsid w:val="00AF619F"/>
    <w:rsid w:val="00AF6227"/>
    <w:rsid w:val="00AF632F"/>
    <w:rsid w:val="00AF633F"/>
    <w:rsid w:val="00AF6446"/>
    <w:rsid w:val="00AF6571"/>
    <w:rsid w:val="00AF6585"/>
    <w:rsid w:val="00AF673E"/>
    <w:rsid w:val="00AF67F9"/>
    <w:rsid w:val="00AF6848"/>
    <w:rsid w:val="00AF6889"/>
    <w:rsid w:val="00AF6C36"/>
    <w:rsid w:val="00AF6CFD"/>
    <w:rsid w:val="00AF6D89"/>
    <w:rsid w:val="00AF6E5D"/>
    <w:rsid w:val="00AF6E6A"/>
    <w:rsid w:val="00AF6EC2"/>
    <w:rsid w:val="00AF701B"/>
    <w:rsid w:val="00AF703A"/>
    <w:rsid w:val="00AF7081"/>
    <w:rsid w:val="00AF71EE"/>
    <w:rsid w:val="00AF7218"/>
    <w:rsid w:val="00AF7284"/>
    <w:rsid w:val="00AF72B9"/>
    <w:rsid w:val="00AF7463"/>
    <w:rsid w:val="00AF7482"/>
    <w:rsid w:val="00AF765B"/>
    <w:rsid w:val="00AF7708"/>
    <w:rsid w:val="00AF7804"/>
    <w:rsid w:val="00AF78A9"/>
    <w:rsid w:val="00AF78D2"/>
    <w:rsid w:val="00AF790C"/>
    <w:rsid w:val="00AF7A71"/>
    <w:rsid w:val="00AF7B65"/>
    <w:rsid w:val="00AF7B71"/>
    <w:rsid w:val="00AF7CAA"/>
    <w:rsid w:val="00AF7CBA"/>
    <w:rsid w:val="00AF7F21"/>
    <w:rsid w:val="00B00177"/>
    <w:rsid w:val="00B001A2"/>
    <w:rsid w:val="00B001D0"/>
    <w:rsid w:val="00B00388"/>
    <w:rsid w:val="00B003B3"/>
    <w:rsid w:val="00B0046F"/>
    <w:rsid w:val="00B004C1"/>
    <w:rsid w:val="00B008B6"/>
    <w:rsid w:val="00B0092F"/>
    <w:rsid w:val="00B009F9"/>
    <w:rsid w:val="00B00A28"/>
    <w:rsid w:val="00B00A74"/>
    <w:rsid w:val="00B00B03"/>
    <w:rsid w:val="00B00B2A"/>
    <w:rsid w:val="00B00E7F"/>
    <w:rsid w:val="00B01046"/>
    <w:rsid w:val="00B010D9"/>
    <w:rsid w:val="00B010DA"/>
    <w:rsid w:val="00B01119"/>
    <w:rsid w:val="00B01126"/>
    <w:rsid w:val="00B01297"/>
    <w:rsid w:val="00B01340"/>
    <w:rsid w:val="00B01344"/>
    <w:rsid w:val="00B01435"/>
    <w:rsid w:val="00B01696"/>
    <w:rsid w:val="00B017C2"/>
    <w:rsid w:val="00B018E5"/>
    <w:rsid w:val="00B0199A"/>
    <w:rsid w:val="00B01A97"/>
    <w:rsid w:val="00B01B76"/>
    <w:rsid w:val="00B01BB0"/>
    <w:rsid w:val="00B01C0D"/>
    <w:rsid w:val="00B01DE7"/>
    <w:rsid w:val="00B01E02"/>
    <w:rsid w:val="00B01E17"/>
    <w:rsid w:val="00B02009"/>
    <w:rsid w:val="00B02085"/>
    <w:rsid w:val="00B0213A"/>
    <w:rsid w:val="00B023F0"/>
    <w:rsid w:val="00B024DE"/>
    <w:rsid w:val="00B02500"/>
    <w:rsid w:val="00B0256A"/>
    <w:rsid w:val="00B0259D"/>
    <w:rsid w:val="00B028E6"/>
    <w:rsid w:val="00B02A32"/>
    <w:rsid w:val="00B02B19"/>
    <w:rsid w:val="00B02BE9"/>
    <w:rsid w:val="00B02CC7"/>
    <w:rsid w:val="00B02E95"/>
    <w:rsid w:val="00B02EDD"/>
    <w:rsid w:val="00B02EFA"/>
    <w:rsid w:val="00B02F4D"/>
    <w:rsid w:val="00B02FF3"/>
    <w:rsid w:val="00B0302E"/>
    <w:rsid w:val="00B030F9"/>
    <w:rsid w:val="00B03128"/>
    <w:rsid w:val="00B0314F"/>
    <w:rsid w:val="00B0315A"/>
    <w:rsid w:val="00B03229"/>
    <w:rsid w:val="00B033BB"/>
    <w:rsid w:val="00B0340D"/>
    <w:rsid w:val="00B03493"/>
    <w:rsid w:val="00B03631"/>
    <w:rsid w:val="00B03685"/>
    <w:rsid w:val="00B037A3"/>
    <w:rsid w:val="00B03803"/>
    <w:rsid w:val="00B03868"/>
    <w:rsid w:val="00B038F2"/>
    <w:rsid w:val="00B0397B"/>
    <w:rsid w:val="00B03A03"/>
    <w:rsid w:val="00B03C4A"/>
    <w:rsid w:val="00B03D3F"/>
    <w:rsid w:val="00B03F9B"/>
    <w:rsid w:val="00B04069"/>
    <w:rsid w:val="00B040D7"/>
    <w:rsid w:val="00B041B3"/>
    <w:rsid w:val="00B041F9"/>
    <w:rsid w:val="00B0446D"/>
    <w:rsid w:val="00B0456E"/>
    <w:rsid w:val="00B045A7"/>
    <w:rsid w:val="00B04856"/>
    <w:rsid w:val="00B04A2F"/>
    <w:rsid w:val="00B04A4F"/>
    <w:rsid w:val="00B04BC6"/>
    <w:rsid w:val="00B04E01"/>
    <w:rsid w:val="00B04EF4"/>
    <w:rsid w:val="00B04FF9"/>
    <w:rsid w:val="00B050E7"/>
    <w:rsid w:val="00B05144"/>
    <w:rsid w:val="00B052AC"/>
    <w:rsid w:val="00B0563F"/>
    <w:rsid w:val="00B056AB"/>
    <w:rsid w:val="00B05715"/>
    <w:rsid w:val="00B058C0"/>
    <w:rsid w:val="00B058C6"/>
    <w:rsid w:val="00B059EA"/>
    <w:rsid w:val="00B05BB1"/>
    <w:rsid w:val="00B05BC3"/>
    <w:rsid w:val="00B05E9F"/>
    <w:rsid w:val="00B061AB"/>
    <w:rsid w:val="00B06213"/>
    <w:rsid w:val="00B06237"/>
    <w:rsid w:val="00B0627F"/>
    <w:rsid w:val="00B062A5"/>
    <w:rsid w:val="00B062EE"/>
    <w:rsid w:val="00B0638C"/>
    <w:rsid w:val="00B0647E"/>
    <w:rsid w:val="00B0658A"/>
    <w:rsid w:val="00B065C5"/>
    <w:rsid w:val="00B065D4"/>
    <w:rsid w:val="00B06846"/>
    <w:rsid w:val="00B06885"/>
    <w:rsid w:val="00B068AF"/>
    <w:rsid w:val="00B06A30"/>
    <w:rsid w:val="00B06CEE"/>
    <w:rsid w:val="00B06D03"/>
    <w:rsid w:val="00B06D16"/>
    <w:rsid w:val="00B06E11"/>
    <w:rsid w:val="00B06FE5"/>
    <w:rsid w:val="00B06FFF"/>
    <w:rsid w:val="00B07337"/>
    <w:rsid w:val="00B07388"/>
    <w:rsid w:val="00B074D1"/>
    <w:rsid w:val="00B0750F"/>
    <w:rsid w:val="00B0768A"/>
    <w:rsid w:val="00B07796"/>
    <w:rsid w:val="00B077BA"/>
    <w:rsid w:val="00B077FB"/>
    <w:rsid w:val="00B07A65"/>
    <w:rsid w:val="00B07C6D"/>
    <w:rsid w:val="00B07CF8"/>
    <w:rsid w:val="00B07DFC"/>
    <w:rsid w:val="00B07E82"/>
    <w:rsid w:val="00B07F94"/>
    <w:rsid w:val="00B10035"/>
    <w:rsid w:val="00B101FF"/>
    <w:rsid w:val="00B10244"/>
    <w:rsid w:val="00B10270"/>
    <w:rsid w:val="00B102A6"/>
    <w:rsid w:val="00B103C1"/>
    <w:rsid w:val="00B103C5"/>
    <w:rsid w:val="00B104B4"/>
    <w:rsid w:val="00B10603"/>
    <w:rsid w:val="00B106DE"/>
    <w:rsid w:val="00B1078C"/>
    <w:rsid w:val="00B1081D"/>
    <w:rsid w:val="00B108F3"/>
    <w:rsid w:val="00B10BDD"/>
    <w:rsid w:val="00B10E7A"/>
    <w:rsid w:val="00B10F0D"/>
    <w:rsid w:val="00B10F7A"/>
    <w:rsid w:val="00B10FE7"/>
    <w:rsid w:val="00B1103B"/>
    <w:rsid w:val="00B11270"/>
    <w:rsid w:val="00B11363"/>
    <w:rsid w:val="00B1153D"/>
    <w:rsid w:val="00B116C4"/>
    <w:rsid w:val="00B116F9"/>
    <w:rsid w:val="00B1177A"/>
    <w:rsid w:val="00B11796"/>
    <w:rsid w:val="00B117B1"/>
    <w:rsid w:val="00B117E1"/>
    <w:rsid w:val="00B11808"/>
    <w:rsid w:val="00B118D4"/>
    <w:rsid w:val="00B11940"/>
    <w:rsid w:val="00B11A5E"/>
    <w:rsid w:val="00B11C32"/>
    <w:rsid w:val="00B11C74"/>
    <w:rsid w:val="00B11D44"/>
    <w:rsid w:val="00B11D46"/>
    <w:rsid w:val="00B11D47"/>
    <w:rsid w:val="00B11DEC"/>
    <w:rsid w:val="00B11E53"/>
    <w:rsid w:val="00B11F7C"/>
    <w:rsid w:val="00B11FA5"/>
    <w:rsid w:val="00B11FB7"/>
    <w:rsid w:val="00B12008"/>
    <w:rsid w:val="00B1206E"/>
    <w:rsid w:val="00B122AD"/>
    <w:rsid w:val="00B12583"/>
    <w:rsid w:val="00B128C4"/>
    <w:rsid w:val="00B12934"/>
    <w:rsid w:val="00B12BE5"/>
    <w:rsid w:val="00B12D8A"/>
    <w:rsid w:val="00B12E09"/>
    <w:rsid w:val="00B12E17"/>
    <w:rsid w:val="00B13070"/>
    <w:rsid w:val="00B13240"/>
    <w:rsid w:val="00B13266"/>
    <w:rsid w:val="00B133FD"/>
    <w:rsid w:val="00B134C9"/>
    <w:rsid w:val="00B13506"/>
    <w:rsid w:val="00B13551"/>
    <w:rsid w:val="00B1372D"/>
    <w:rsid w:val="00B139BD"/>
    <w:rsid w:val="00B13A6A"/>
    <w:rsid w:val="00B13B25"/>
    <w:rsid w:val="00B13B9D"/>
    <w:rsid w:val="00B13CF4"/>
    <w:rsid w:val="00B13CF8"/>
    <w:rsid w:val="00B13E6E"/>
    <w:rsid w:val="00B13EC3"/>
    <w:rsid w:val="00B13F12"/>
    <w:rsid w:val="00B13F6F"/>
    <w:rsid w:val="00B14137"/>
    <w:rsid w:val="00B14302"/>
    <w:rsid w:val="00B1430F"/>
    <w:rsid w:val="00B14402"/>
    <w:rsid w:val="00B14683"/>
    <w:rsid w:val="00B1475F"/>
    <w:rsid w:val="00B14784"/>
    <w:rsid w:val="00B147DE"/>
    <w:rsid w:val="00B14974"/>
    <w:rsid w:val="00B14A3F"/>
    <w:rsid w:val="00B14A54"/>
    <w:rsid w:val="00B14AB0"/>
    <w:rsid w:val="00B14BD0"/>
    <w:rsid w:val="00B14CBA"/>
    <w:rsid w:val="00B14D1C"/>
    <w:rsid w:val="00B14F6A"/>
    <w:rsid w:val="00B14F99"/>
    <w:rsid w:val="00B14F9B"/>
    <w:rsid w:val="00B14FA9"/>
    <w:rsid w:val="00B150D3"/>
    <w:rsid w:val="00B1519C"/>
    <w:rsid w:val="00B1539E"/>
    <w:rsid w:val="00B1541E"/>
    <w:rsid w:val="00B15812"/>
    <w:rsid w:val="00B1581A"/>
    <w:rsid w:val="00B15878"/>
    <w:rsid w:val="00B15927"/>
    <w:rsid w:val="00B15A19"/>
    <w:rsid w:val="00B15B32"/>
    <w:rsid w:val="00B15BBE"/>
    <w:rsid w:val="00B15D0A"/>
    <w:rsid w:val="00B15F3B"/>
    <w:rsid w:val="00B16031"/>
    <w:rsid w:val="00B1609B"/>
    <w:rsid w:val="00B1623C"/>
    <w:rsid w:val="00B162F7"/>
    <w:rsid w:val="00B1631B"/>
    <w:rsid w:val="00B16343"/>
    <w:rsid w:val="00B16572"/>
    <w:rsid w:val="00B16642"/>
    <w:rsid w:val="00B167B9"/>
    <w:rsid w:val="00B1687F"/>
    <w:rsid w:val="00B168B4"/>
    <w:rsid w:val="00B169E0"/>
    <w:rsid w:val="00B169F5"/>
    <w:rsid w:val="00B16B4E"/>
    <w:rsid w:val="00B16D24"/>
    <w:rsid w:val="00B16D55"/>
    <w:rsid w:val="00B16DC2"/>
    <w:rsid w:val="00B16F48"/>
    <w:rsid w:val="00B17038"/>
    <w:rsid w:val="00B170BD"/>
    <w:rsid w:val="00B171EA"/>
    <w:rsid w:val="00B17229"/>
    <w:rsid w:val="00B17262"/>
    <w:rsid w:val="00B172BA"/>
    <w:rsid w:val="00B1739D"/>
    <w:rsid w:val="00B173C9"/>
    <w:rsid w:val="00B1745A"/>
    <w:rsid w:val="00B174AA"/>
    <w:rsid w:val="00B177A4"/>
    <w:rsid w:val="00B177E6"/>
    <w:rsid w:val="00B178AE"/>
    <w:rsid w:val="00B179CA"/>
    <w:rsid w:val="00B17B24"/>
    <w:rsid w:val="00B17CD1"/>
    <w:rsid w:val="00B17CF3"/>
    <w:rsid w:val="00B17D8A"/>
    <w:rsid w:val="00B17DF0"/>
    <w:rsid w:val="00B17E1C"/>
    <w:rsid w:val="00B17EA0"/>
    <w:rsid w:val="00B17F51"/>
    <w:rsid w:val="00B17F5D"/>
    <w:rsid w:val="00B17FFC"/>
    <w:rsid w:val="00B2013C"/>
    <w:rsid w:val="00B20233"/>
    <w:rsid w:val="00B20349"/>
    <w:rsid w:val="00B20361"/>
    <w:rsid w:val="00B2042F"/>
    <w:rsid w:val="00B20461"/>
    <w:rsid w:val="00B204B9"/>
    <w:rsid w:val="00B2060E"/>
    <w:rsid w:val="00B206A0"/>
    <w:rsid w:val="00B2070E"/>
    <w:rsid w:val="00B20819"/>
    <w:rsid w:val="00B2081C"/>
    <w:rsid w:val="00B20CFB"/>
    <w:rsid w:val="00B20E7F"/>
    <w:rsid w:val="00B20F06"/>
    <w:rsid w:val="00B20F3A"/>
    <w:rsid w:val="00B20F7A"/>
    <w:rsid w:val="00B20F83"/>
    <w:rsid w:val="00B21159"/>
    <w:rsid w:val="00B211A6"/>
    <w:rsid w:val="00B21307"/>
    <w:rsid w:val="00B2130D"/>
    <w:rsid w:val="00B21337"/>
    <w:rsid w:val="00B2137F"/>
    <w:rsid w:val="00B21592"/>
    <w:rsid w:val="00B21637"/>
    <w:rsid w:val="00B2169C"/>
    <w:rsid w:val="00B21703"/>
    <w:rsid w:val="00B2170E"/>
    <w:rsid w:val="00B21719"/>
    <w:rsid w:val="00B217F9"/>
    <w:rsid w:val="00B21937"/>
    <w:rsid w:val="00B219A8"/>
    <w:rsid w:val="00B21B6D"/>
    <w:rsid w:val="00B21BC4"/>
    <w:rsid w:val="00B21D2E"/>
    <w:rsid w:val="00B21D69"/>
    <w:rsid w:val="00B21D74"/>
    <w:rsid w:val="00B21E43"/>
    <w:rsid w:val="00B21E4A"/>
    <w:rsid w:val="00B21E7D"/>
    <w:rsid w:val="00B21FCA"/>
    <w:rsid w:val="00B22128"/>
    <w:rsid w:val="00B221C2"/>
    <w:rsid w:val="00B221D4"/>
    <w:rsid w:val="00B2235F"/>
    <w:rsid w:val="00B22485"/>
    <w:rsid w:val="00B224A5"/>
    <w:rsid w:val="00B224BD"/>
    <w:rsid w:val="00B22544"/>
    <w:rsid w:val="00B22557"/>
    <w:rsid w:val="00B22688"/>
    <w:rsid w:val="00B226DC"/>
    <w:rsid w:val="00B22801"/>
    <w:rsid w:val="00B2281B"/>
    <w:rsid w:val="00B228F0"/>
    <w:rsid w:val="00B22906"/>
    <w:rsid w:val="00B22999"/>
    <w:rsid w:val="00B229B4"/>
    <w:rsid w:val="00B22A5A"/>
    <w:rsid w:val="00B22AD8"/>
    <w:rsid w:val="00B22B9D"/>
    <w:rsid w:val="00B22C72"/>
    <w:rsid w:val="00B22E5F"/>
    <w:rsid w:val="00B22F59"/>
    <w:rsid w:val="00B2326D"/>
    <w:rsid w:val="00B23413"/>
    <w:rsid w:val="00B234B4"/>
    <w:rsid w:val="00B235C0"/>
    <w:rsid w:val="00B23741"/>
    <w:rsid w:val="00B2374F"/>
    <w:rsid w:val="00B238EC"/>
    <w:rsid w:val="00B239C0"/>
    <w:rsid w:val="00B239F7"/>
    <w:rsid w:val="00B23B4F"/>
    <w:rsid w:val="00B23CAC"/>
    <w:rsid w:val="00B23CF2"/>
    <w:rsid w:val="00B23D25"/>
    <w:rsid w:val="00B23D75"/>
    <w:rsid w:val="00B23DF5"/>
    <w:rsid w:val="00B23E46"/>
    <w:rsid w:val="00B23F7D"/>
    <w:rsid w:val="00B23F7E"/>
    <w:rsid w:val="00B24064"/>
    <w:rsid w:val="00B240AB"/>
    <w:rsid w:val="00B24118"/>
    <w:rsid w:val="00B24128"/>
    <w:rsid w:val="00B24198"/>
    <w:rsid w:val="00B241DE"/>
    <w:rsid w:val="00B2427D"/>
    <w:rsid w:val="00B242DF"/>
    <w:rsid w:val="00B243B2"/>
    <w:rsid w:val="00B243BC"/>
    <w:rsid w:val="00B243FE"/>
    <w:rsid w:val="00B24512"/>
    <w:rsid w:val="00B24620"/>
    <w:rsid w:val="00B24655"/>
    <w:rsid w:val="00B247F3"/>
    <w:rsid w:val="00B248D8"/>
    <w:rsid w:val="00B24A2B"/>
    <w:rsid w:val="00B24A30"/>
    <w:rsid w:val="00B24A83"/>
    <w:rsid w:val="00B24B2D"/>
    <w:rsid w:val="00B24BFC"/>
    <w:rsid w:val="00B24C7F"/>
    <w:rsid w:val="00B24CEF"/>
    <w:rsid w:val="00B24D66"/>
    <w:rsid w:val="00B24D9F"/>
    <w:rsid w:val="00B24E86"/>
    <w:rsid w:val="00B24FC3"/>
    <w:rsid w:val="00B2533A"/>
    <w:rsid w:val="00B2550B"/>
    <w:rsid w:val="00B25658"/>
    <w:rsid w:val="00B256D3"/>
    <w:rsid w:val="00B2573F"/>
    <w:rsid w:val="00B257C0"/>
    <w:rsid w:val="00B257E3"/>
    <w:rsid w:val="00B2590A"/>
    <w:rsid w:val="00B25ABB"/>
    <w:rsid w:val="00B25D1F"/>
    <w:rsid w:val="00B25D95"/>
    <w:rsid w:val="00B25F3C"/>
    <w:rsid w:val="00B26019"/>
    <w:rsid w:val="00B26073"/>
    <w:rsid w:val="00B260E9"/>
    <w:rsid w:val="00B2614A"/>
    <w:rsid w:val="00B26153"/>
    <w:rsid w:val="00B26202"/>
    <w:rsid w:val="00B26275"/>
    <w:rsid w:val="00B262BF"/>
    <w:rsid w:val="00B2633B"/>
    <w:rsid w:val="00B263E2"/>
    <w:rsid w:val="00B26472"/>
    <w:rsid w:val="00B264D8"/>
    <w:rsid w:val="00B26703"/>
    <w:rsid w:val="00B26884"/>
    <w:rsid w:val="00B26891"/>
    <w:rsid w:val="00B268D8"/>
    <w:rsid w:val="00B269A5"/>
    <w:rsid w:val="00B269F4"/>
    <w:rsid w:val="00B26A43"/>
    <w:rsid w:val="00B26C01"/>
    <w:rsid w:val="00B26CF1"/>
    <w:rsid w:val="00B26CFE"/>
    <w:rsid w:val="00B26D54"/>
    <w:rsid w:val="00B26D66"/>
    <w:rsid w:val="00B26EC7"/>
    <w:rsid w:val="00B26ECF"/>
    <w:rsid w:val="00B26EE6"/>
    <w:rsid w:val="00B26F97"/>
    <w:rsid w:val="00B2707A"/>
    <w:rsid w:val="00B271F3"/>
    <w:rsid w:val="00B27244"/>
    <w:rsid w:val="00B2726D"/>
    <w:rsid w:val="00B2736D"/>
    <w:rsid w:val="00B2737E"/>
    <w:rsid w:val="00B273BD"/>
    <w:rsid w:val="00B274D1"/>
    <w:rsid w:val="00B27518"/>
    <w:rsid w:val="00B27608"/>
    <w:rsid w:val="00B27773"/>
    <w:rsid w:val="00B2778A"/>
    <w:rsid w:val="00B277A0"/>
    <w:rsid w:val="00B279F3"/>
    <w:rsid w:val="00B27BAD"/>
    <w:rsid w:val="00B27CFE"/>
    <w:rsid w:val="00B27DA1"/>
    <w:rsid w:val="00B27FC7"/>
    <w:rsid w:val="00B30110"/>
    <w:rsid w:val="00B30128"/>
    <w:rsid w:val="00B3013F"/>
    <w:rsid w:val="00B3021D"/>
    <w:rsid w:val="00B30254"/>
    <w:rsid w:val="00B302DC"/>
    <w:rsid w:val="00B30333"/>
    <w:rsid w:val="00B303C5"/>
    <w:rsid w:val="00B3065E"/>
    <w:rsid w:val="00B30703"/>
    <w:rsid w:val="00B30811"/>
    <w:rsid w:val="00B30816"/>
    <w:rsid w:val="00B308B9"/>
    <w:rsid w:val="00B30A4D"/>
    <w:rsid w:val="00B30A59"/>
    <w:rsid w:val="00B30AC5"/>
    <w:rsid w:val="00B30AE1"/>
    <w:rsid w:val="00B30BC5"/>
    <w:rsid w:val="00B30C22"/>
    <w:rsid w:val="00B30E41"/>
    <w:rsid w:val="00B30F20"/>
    <w:rsid w:val="00B30F65"/>
    <w:rsid w:val="00B30FD6"/>
    <w:rsid w:val="00B310D6"/>
    <w:rsid w:val="00B3112B"/>
    <w:rsid w:val="00B312C4"/>
    <w:rsid w:val="00B31543"/>
    <w:rsid w:val="00B315AD"/>
    <w:rsid w:val="00B317E9"/>
    <w:rsid w:val="00B318BD"/>
    <w:rsid w:val="00B319A4"/>
    <w:rsid w:val="00B319D9"/>
    <w:rsid w:val="00B31A44"/>
    <w:rsid w:val="00B31B5C"/>
    <w:rsid w:val="00B31B9B"/>
    <w:rsid w:val="00B31BF0"/>
    <w:rsid w:val="00B31CD8"/>
    <w:rsid w:val="00B31D61"/>
    <w:rsid w:val="00B32556"/>
    <w:rsid w:val="00B325C8"/>
    <w:rsid w:val="00B32758"/>
    <w:rsid w:val="00B32764"/>
    <w:rsid w:val="00B327F9"/>
    <w:rsid w:val="00B3288A"/>
    <w:rsid w:val="00B329B8"/>
    <w:rsid w:val="00B32B60"/>
    <w:rsid w:val="00B32CD2"/>
    <w:rsid w:val="00B32CDF"/>
    <w:rsid w:val="00B32D3F"/>
    <w:rsid w:val="00B32DB9"/>
    <w:rsid w:val="00B32E8D"/>
    <w:rsid w:val="00B32EF8"/>
    <w:rsid w:val="00B32F3E"/>
    <w:rsid w:val="00B33004"/>
    <w:rsid w:val="00B33031"/>
    <w:rsid w:val="00B3314B"/>
    <w:rsid w:val="00B33179"/>
    <w:rsid w:val="00B3324E"/>
    <w:rsid w:val="00B3344B"/>
    <w:rsid w:val="00B33586"/>
    <w:rsid w:val="00B3361B"/>
    <w:rsid w:val="00B3370D"/>
    <w:rsid w:val="00B33829"/>
    <w:rsid w:val="00B33941"/>
    <w:rsid w:val="00B33977"/>
    <w:rsid w:val="00B33A5C"/>
    <w:rsid w:val="00B33AA0"/>
    <w:rsid w:val="00B33C5E"/>
    <w:rsid w:val="00B33D83"/>
    <w:rsid w:val="00B33E14"/>
    <w:rsid w:val="00B34017"/>
    <w:rsid w:val="00B3405E"/>
    <w:rsid w:val="00B340B2"/>
    <w:rsid w:val="00B340D4"/>
    <w:rsid w:val="00B340E1"/>
    <w:rsid w:val="00B3423E"/>
    <w:rsid w:val="00B34327"/>
    <w:rsid w:val="00B343AE"/>
    <w:rsid w:val="00B343D0"/>
    <w:rsid w:val="00B34433"/>
    <w:rsid w:val="00B34439"/>
    <w:rsid w:val="00B34507"/>
    <w:rsid w:val="00B345DC"/>
    <w:rsid w:val="00B3462C"/>
    <w:rsid w:val="00B346B1"/>
    <w:rsid w:val="00B346B5"/>
    <w:rsid w:val="00B3476B"/>
    <w:rsid w:val="00B34821"/>
    <w:rsid w:val="00B349F6"/>
    <w:rsid w:val="00B34A1E"/>
    <w:rsid w:val="00B34BA5"/>
    <w:rsid w:val="00B34BCD"/>
    <w:rsid w:val="00B34BDA"/>
    <w:rsid w:val="00B34C53"/>
    <w:rsid w:val="00B34D2A"/>
    <w:rsid w:val="00B34ED6"/>
    <w:rsid w:val="00B34F41"/>
    <w:rsid w:val="00B35039"/>
    <w:rsid w:val="00B35060"/>
    <w:rsid w:val="00B35126"/>
    <w:rsid w:val="00B35193"/>
    <w:rsid w:val="00B3525B"/>
    <w:rsid w:val="00B352C1"/>
    <w:rsid w:val="00B35355"/>
    <w:rsid w:val="00B3549C"/>
    <w:rsid w:val="00B35566"/>
    <w:rsid w:val="00B35593"/>
    <w:rsid w:val="00B35647"/>
    <w:rsid w:val="00B35785"/>
    <w:rsid w:val="00B3581C"/>
    <w:rsid w:val="00B35829"/>
    <w:rsid w:val="00B35929"/>
    <w:rsid w:val="00B35A5A"/>
    <w:rsid w:val="00B35B55"/>
    <w:rsid w:val="00B35BA8"/>
    <w:rsid w:val="00B35CCB"/>
    <w:rsid w:val="00B35E07"/>
    <w:rsid w:val="00B35E31"/>
    <w:rsid w:val="00B35E66"/>
    <w:rsid w:val="00B36099"/>
    <w:rsid w:val="00B361BE"/>
    <w:rsid w:val="00B364A7"/>
    <w:rsid w:val="00B364B9"/>
    <w:rsid w:val="00B3654E"/>
    <w:rsid w:val="00B3658E"/>
    <w:rsid w:val="00B3662B"/>
    <w:rsid w:val="00B36675"/>
    <w:rsid w:val="00B36702"/>
    <w:rsid w:val="00B368A7"/>
    <w:rsid w:val="00B36976"/>
    <w:rsid w:val="00B36A7C"/>
    <w:rsid w:val="00B36C13"/>
    <w:rsid w:val="00B36DFB"/>
    <w:rsid w:val="00B36FA1"/>
    <w:rsid w:val="00B37002"/>
    <w:rsid w:val="00B3701E"/>
    <w:rsid w:val="00B370DB"/>
    <w:rsid w:val="00B371D1"/>
    <w:rsid w:val="00B372E1"/>
    <w:rsid w:val="00B37542"/>
    <w:rsid w:val="00B3755F"/>
    <w:rsid w:val="00B37569"/>
    <w:rsid w:val="00B37582"/>
    <w:rsid w:val="00B3758C"/>
    <w:rsid w:val="00B375F2"/>
    <w:rsid w:val="00B37654"/>
    <w:rsid w:val="00B3768A"/>
    <w:rsid w:val="00B37705"/>
    <w:rsid w:val="00B378D9"/>
    <w:rsid w:val="00B37A49"/>
    <w:rsid w:val="00B37AAE"/>
    <w:rsid w:val="00B37B7C"/>
    <w:rsid w:val="00B37D3A"/>
    <w:rsid w:val="00B37D7E"/>
    <w:rsid w:val="00B37E2C"/>
    <w:rsid w:val="00B37E45"/>
    <w:rsid w:val="00B37F20"/>
    <w:rsid w:val="00B37F74"/>
    <w:rsid w:val="00B37FD7"/>
    <w:rsid w:val="00B40519"/>
    <w:rsid w:val="00B405A4"/>
    <w:rsid w:val="00B4066F"/>
    <w:rsid w:val="00B407D1"/>
    <w:rsid w:val="00B4097D"/>
    <w:rsid w:val="00B40A01"/>
    <w:rsid w:val="00B40B36"/>
    <w:rsid w:val="00B40B3F"/>
    <w:rsid w:val="00B40D0E"/>
    <w:rsid w:val="00B40D44"/>
    <w:rsid w:val="00B40DA7"/>
    <w:rsid w:val="00B4105F"/>
    <w:rsid w:val="00B411EA"/>
    <w:rsid w:val="00B413BD"/>
    <w:rsid w:val="00B417B8"/>
    <w:rsid w:val="00B41818"/>
    <w:rsid w:val="00B4196A"/>
    <w:rsid w:val="00B4199D"/>
    <w:rsid w:val="00B419A4"/>
    <w:rsid w:val="00B419B6"/>
    <w:rsid w:val="00B41AD1"/>
    <w:rsid w:val="00B41AEC"/>
    <w:rsid w:val="00B41B93"/>
    <w:rsid w:val="00B41C30"/>
    <w:rsid w:val="00B41C3E"/>
    <w:rsid w:val="00B41DCF"/>
    <w:rsid w:val="00B41E7A"/>
    <w:rsid w:val="00B41FDB"/>
    <w:rsid w:val="00B4221A"/>
    <w:rsid w:val="00B4232F"/>
    <w:rsid w:val="00B4237D"/>
    <w:rsid w:val="00B42563"/>
    <w:rsid w:val="00B42673"/>
    <w:rsid w:val="00B42674"/>
    <w:rsid w:val="00B42862"/>
    <w:rsid w:val="00B42868"/>
    <w:rsid w:val="00B42AB5"/>
    <w:rsid w:val="00B42BA7"/>
    <w:rsid w:val="00B42C0B"/>
    <w:rsid w:val="00B42C5C"/>
    <w:rsid w:val="00B42E07"/>
    <w:rsid w:val="00B42E1C"/>
    <w:rsid w:val="00B42EAC"/>
    <w:rsid w:val="00B4308C"/>
    <w:rsid w:val="00B430FC"/>
    <w:rsid w:val="00B4313C"/>
    <w:rsid w:val="00B4314C"/>
    <w:rsid w:val="00B4344A"/>
    <w:rsid w:val="00B4346F"/>
    <w:rsid w:val="00B43477"/>
    <w:rsid w:val="00B434C5"/>
    <w:rsid w:val="00B4351A"/>
    <w:rsid w:val="00B436FE"/>
    <w:rsid w:val="00B4380D"/>
    <w:rsid w:val="00B438E9"/>
    <w:rsid w:val="00B43A3A"/>
    <w:rsid w:val="00B43B4F"/>
    <w:rsid w:val="00B43B85"/>
    <w:rsid w:val="00B43BF1"/>
    <w:rsid w:val="00B43CB6"/>
    <w:rsid w:val="00B43D48"/>
    <w:rsid w:val="00B43E12"/>
    <w:rsid w:val="00B43F8C"/>
    <w:rsid w:val="00B43F99"/>
    <w:rsid w:val="00B43FB2"/>
    <w:rsid w:val="00B440F7"/>
    <w:rsid w:val="00B44113"/>
    <w:rsid w:val="00B442CC"/>
    <w:rsid w:val="00B446A1"/>
    <w:rsid w:val="00B446BB"/>
    <w:rsid w:val="00B449AE"/>
    <w:rsid w:val="00B449D0"/>
    <w:rsid w:val="00B44A63"/>
    <w:rsid w:val="00B44AC0"/>
    <w:rsid w:val="00B44CF1"/>
    <w:rsid w:val="00B44F24"/>
    <w:rsid w:val="00B450BF"/>
    <w:rsid w:val="00B450D4"/>
    <w:rsid w:val="00B4516F"/>
    <w:rsid w:val="00B451AB"/>
    <w:rsid w:val="00B451BC"/>
    <w:rsid w:val="00B45250"/>
    <w:rsid w:val="00B45394"/>
    <w:rsid w:val="00B4540F"/>
    <w:rsid w:val="00B45500"/>
    <w:rsid w:val="00B45659"/>
    <w:rsid w:val="00B457FE"/>
    <w:rsid w:val="00B4588F"/>
    <w:rsid w:val="00B4597A"/>
    <w:rsid w:val="00B45BE7"/>
    <w:rsid w:val="00B45C57"/>
    <w:rsid w:val="00B45CE0"/>
    <w:rsid w:val="00B45D56"/>
    <w:rsid w:val="00B45D9A"/>
    <w:rsid w:val="00B45E72"/>
    <w:rsid w:val="00B45E90"/>
    <w:rsid w:val="00B46085"/>
    <w:rsid w:val="00B4610E"/>
    <w:rsid w:val="00B46195"/>
    <w:rsid w:val="00B462B5"/>
    <w:rsid w:val="00B463E5"/>
    <w:rsid w:val="00B4647E"/>
    <w:rsid w:val="00B46493"/>
    <w:rsid w:val="00B465CB"/>
    <w:rsid w:val="00B46778"/>
    <w:rsid w:val="00B467E3"/>
    <w:rsid w:val="00B468AD"/>
    <w:rsid w:val="00B4692F"/>
    <w:rsid w:val="00B46AC3"/>
    <w:rsid w:val="00B46AF7"/>
    <w:rsid w:val="00B46B2F"/>
    <w:rsid w:val="00B46B46"/>
    <w:rsid w:val="00B46EDB"/>
    <w:rsid w:val="00B46F0E"/>
    <w:rsid w:val="00B470B3"/>
    <w:rsid w:val="00B4716A"/>
    <w:rsid w:val="00B474A1"/>
    <w:rsid w:val="00B474F2"/>
    <w:rsid w:val="00B475E0"/>
    <w:rsid w:val="00B47709"/>
    <w:rsid w:val="00B4771E"/>
    <w:rsid w:val="00B479F4"/>
    <w:rsid w:val="00B47A7E"/>
    <w:rsid w:val="00B47A81"/>
    <w:rsid w:val="00B47AF2"/>
    <w:rsid w:val="00B47B2E"/>
    <w:rsid w:val="00B47C33"/>
    <w:rsid w:val="00B47DE3"/>
    <w:rsid w:val="00B47E4A"/>
    <w:rsid w:val="00B47E68"/>
    <w:rsid w:val="00B47F22"/>
    <w:rsid w:val="00B47F54"/>
    <w:rsid w:val="00B501A5"/>
    <w:rsid w:val="00B50428"/>
    <w:rsid w:val="00B50490"/>
    <w:rsid w:val="00B5080F"/>
    <w:rsid w:val="00B50826"/>
    <w:rsid w:val="00B508E6"/>
    <w:rsid w:val="00B5096F"/>
    <w:rsid w:val="00B509B9"/>
    <w:rsid w:val="00B50C2F"/>
    <w:rsid w:val="00B50D2D"/>
    <w:rsid w:val="00B50EAE"/>
    <w:rsid w:val="00B510F5"/>
    <w:rsid w:val="00B51189"/>
    <w:rsid w:val="00B51223"/>
    <w:rsid w:val="00B51239"/>
    <w:rsid w:val="00B51310"/>
    <w:rsid w:val="00B51500"/>
    <w:rsid w:val="00B515B7"/>
    <w:rsid w:val="00B51616"/>
    <w:rsid w:val="00B51873"/>
    <w:rsid w:val="00B5190E"/>
    <w:rsid w:val="00B51925"/>
    <w:rsid w:val="00B519B1"/>
    <w:rsid w:val="00B51A2D"/>
    <w:rsid w:val="00B51BDC"/>
    <w:rsid w:val="00B51C69"/>
    <w:rsid w:val="00B51C9E"/>
    <w:rsid w:val="00B51E65"/>
    <w:rsid w:val="00B5207D"/>
    <w:rsid w:val="00B521D8"/>
    <w:rsid w:val="00B521E9"/>
    <w:rsid w:val="00B522FB"/>
    <w:rsid w:val="00B5231B"/>
    <w:rsid w:val="00B52374"/>
    <w:rsid w:val="00B52535"/>
    <w:rsid w:val="00B52603"/>
    <w:rsid w:val="00B52811"/>
    <w:rsid w:val="00B528D0"/>
    <w:rsid w:val="00B5291D"/>
    <w:rsid w:val="00B52A08"/>
    <w:rsid w:val="00B52A1B"/>
    <w:rsid w:val="00B52AEF"/>
    <w:rsid w:val="00B52BE3"/>
    <w:rsid w:val="00B52C0A"/>
    <w:rsid w:val="00B52C5F"/>
    <w:rsid w:val="00B52F61"/>
    <w:rsid w:val="00B52F95"/>
    <w:rsid w:val="00B52FF6"/>
    <w:rsid w:val="00B53054"/>
    <w:rsid w:val="00B530E0"/>
    <w:rsid w:val="00B531F9"/>
    <w:rsid w:val="00B53237"/>
    <w:rsid w:val="00B53289"/>
    <w:rsid w:val="00B532C8"/>
    <w:rsid w:val="00B532DA"/>
    <w:rsid w:val="00B53634"/>
    <w:rsid w:val="00B53664"/>
    <w:rsid w:val="00B53783"/>
    <w:rsid w:val="00B538E8"/>
    <w:rsid w:val="00B5395B"/>
    <w:rsid w:val="00B53A13"/>
    <w:rsid w:val="00B53B13"/>
    <w:rsid w:val="00B53C1A"/>
    <w:rsid w:val="00B53C51"/>
    <w:rsid w:val="00B53C94"/>
    <w:rsid w:val="00B53CF8"/>
    <w:rsid w:val="00B53E03"/>
    <w:rsid w:val="00B53EA5"/>
    <w:rsid w:val="00B53FA4"/>
    <w:rsid w:val="00B53FA9"/>
    <w:rsid w:val="00B54159"/>
    <w:rsid w:val="00B5436A"/>
    <w:rsid w:val="00B54396"/>
    <w:rsid w:val="00B543D5"/>
    <w:rsid w:val="00B5447F"/>
    <w:rsid w:val="00B54662"/>
    <w:rsid w:val="00B5467A"/>
    <w:rsid w:val="00B546C8"/>
    <w:rsid w:val="00B548EC"/>
    <w:rsid w:val="00B54909"/>
    <w:rsid w:val="00B54979"/>
    <w:rsid w:val="00B54981"/>
    <w:rsid w:val="00B54D04"/>
    <w:rsid w:val="00B54D27"/>
    <w:rsid w:val="00B54E2F"/>
    <w:rsid w:val="00B55051"/>
    <w:rsid w:val="00B55199"/>
    <w:rsid w:val="00B55215"/>
    <w:rsid w:val="00B55380"/>
    <w:rsid w:val="00B55542"/>
    <w:rsid w:val="00B55778"/>
    <w:rsid w:val="00B557EC"/>
    <w:rsid w:val="00B55824"/>
    <w:rsid w:val="00B55993"/>
    <w:rsid w:val="00B55A4F"/>
    <w:rsid w:val="00B55B5E"/>
    <w:rsid w:val="00B55BE0"/>
    <w:rsid w:val="00B55F89"/>
    <w:rsid w:val="00B55FA5"/>
    <w:rsid w:val="00B56063"/>
    <w:rsid w:val="00B56111"/>
    <w:rsid w:val="00B562E1"/>
    <w:rsid w:val="00B5669A"/>
    <w:rsid w:val="00B56728"/>
    <w:rsid w:val="00B567D5"/>
    <w:rsid w:val="00B569FC"/>
    <w:rsid w:val="00B56AB4"/>
    <w:rsid w:val="00B56B0F"/>
    <w:rsid w:val="00B56B9F"/>
    <w:rsid w:val="00B56C45"/>
    <w:rsid w:val="00B56C8B"/>
    <w:rsid w:val="00B56E79"/>
    <w:rsid w:val="00B56FE3"/>
    <w:rsid w:val="00B57079"/>
    <w:rsid w:val="00B570A1"/>
    <w:rsid w:val="00B570B8"/>
    <w:rsid w:val="00B5712D"/>
    <w:rsid w:val="00B5724F"/>
    <w:rsid w:val="00B572D6"/>
    <w:rsid w:val="00B57420"/>
    <w:rsid w:val="00B5746E"/>
    <w:rsid w:val="00B5747E"/>
    <w:rsid w:val="00B57489"/>
    <w:rsid w:val="00B574D4"/>
    <w:rsid w:val="00B5755D"/>
    <w:rsid w:val="00B5757D"/>
    <w:rsid w:val="00B57747"/>
    <w:rsid w:val="00B57771"/>
    <w:rsid w:val="00B57831"/>
    <w:rsid w:val="00B57884"/>
    <w:rsid w:val="00B578B9"/>
    <w:rsid w:val="00B57AF7"/>
    <w:rsid w:val="00B57BB4"/>
    <w:rsid w:val="00B57BE1"/>
    <w:rsid w:val="00B57BF0"/>
    <w:rsid w:val="00B57CDC"/>
    <w:rsid w:val="00B57D9F"/>
    <w:rsid w:val="00B57EB3"/>
    <w:rsid w:val="00B57EBB"/>
    <w:rsid w:val="00B601D4"/>
    <w:rsid w:val="00B601FB"/>
    <w:rsid w:val="00B60479"/>
    <w:rsid w:val="00B60597"/>
    <w:rsid w:val="00B60696"/>
    <w:rsid w:val="00B60A22"/>
    <w:rsid w:val="00B60AB1"/>
    <w:rsid w:val="00B60B62"/>
    <w:rsid w:val="00B60BC6"/>
    <w:rsid w:val="00B60BDC"/>
    <w:rsid w:val="00B60C56"/>
    <w:rsid w:val="00B60D9B"/>
    <w:rsid w:val="00B60E2F"/>
    <w:rsid w:val="00B61184"/>
    <w:rsid w:val="00B61217"/>
    <w:rsid w:val="00B61224"/>
    <w:rsid w:val="00B61366"/>
    <w:rsid w:val="00B61434"/>
    <w:rsid w:val="00B614EA"/>
    <w:rsid w:val="00B6156A"/>
    <w:rsid w:val="00B6162E"/>
    <w:rsid w:val="00B6163A"/>
    <w:rsid w:val="00B617E2"/>
    <w:rsid w:val="00B619A0"/>
    <w:rsid w:val="00B61A94"/>
    <w:rsid w:val="00B61AB3"/>
    <w:rsid w:val="00B61B32"/>
    <w:rsid w:val="00B61BD5"/>
    <w:rsid w:val="00B61C52"/>
    <w:rsid w:val="00B61C88"/>
    <w:rsid w:val="00B61D40"/>
    <w:rsid w:val="00B61D4B"/>
    <w:rsid w:val="00B61DD5"/>
    <w:rsid w:val="00B61E02"/>
    <w:rsid w:val="00B61E5D"/>
    <w:rsid w:val="00B61EB8"/>
    <w:rsid w:val="00B61F55"/>
    <w:rsid w:val="00B6203C"/>
    <w:rsid w:val="00B6206D"/>
    <w:rsid w:val="00B621A0"/>
    <w:rsid w:val="00B622BC"/>
    <w:rsid w:val="00B62448"/>
    <w:rsid w:val="00B624F7"/>
    <w:rsid w:val="00B6257F"/>
    <w:rsid w:val="00B62618"/>
    <w:rsid w:val="00B6266F"/>
    <w:rsid w:val="00B62751"/>
    <w:rsid w:val="00B627C3"/>
    <w:rsid w:val="00B627D4"/>
    <w:rsid w:val="00B62990"/>
    <w:rsid w:val="00B62A49"/>
    <w:rsid w:val="00B62A6A"/>
    <w:rsid w:val="00B62B73"/>
    <w:rsid w:val="00B62C55"/>
    <w:rsid w:val="00B62F98"/>
    <w:rsid w:val="00B63002"/>
    <w:rsid w:val="00B63649"/>
    <w:rsid w:val="00B6368D"/>
    <w:rsid w:val="00B63714"/>
    <w:rsid w:val="00B63744"/>
    <w:rsid w:val="00B63825"/>
    <w:rsid w:val="00B638C2"/>
    <w:rsid w:val="00B63962"/>
    <w:rsid w:val="00B63A61"/>
    <w:rsid w:val="00B63BB2"/>
    <w:rsid w:val="00B63D3E"/>
    <w:rsid w:val="00B63EDF"/>
    <w:rsid w:val="00B63F02"/>
    <w:rsid w:val="00B63FB7"/>
    <w:rsid w:val="00B64010"/>
    <w:rsid w:val="00B640D3"/>
    <w:rsid w:val="00B642A1"/>
    <w:rsid w:val="00B642CA"/>
    <w:rsid w:val="00B64318"/>
    <w:rsid w:val="00B644FB"/>
    <w:rsid w:val="00B64671"/>
    <w:rsid w:val="00B649B8"/>
    <w:rsid w:val="00B64AF3"/>
    <w:rsid w:val="00B64D3E"/>
    <w:rsid w:val="00B64DA4"/>
    <w:rsid w:val="00B64E79"/>
    <w:rsid w:val="00B64ED8"/>
    <w:rsid w:val="00B652F2"/>
    <w:rsid w:val="00B652F3"/>
    <w:rsid w:val="00B654C9"/>
    <w:rsid w:val="00B655A0"/>
    <w:rsid w:val="00B655B5"/>
    <w:rsid w:val="00B655D7"/>
    <w:rsid w:val="00B658F7"/>
    <w:rsid w:val="00B65A9B"/>
    <w:rsid w:val="00B65AC9"/>
    <w:rsid w:val="00B65AFE"/>
    <w:rsid w:val="00B65B32"/>
    <w:rsid w:val="00B65BAD"/>
    <w:rsid w:val="00B65BE8"/>
    <w:rsid w:val="00B65C8D"/>
    <w:rsid w:val="00B65D26"/>
    <w:rsid w:val="00B65D39"/>
    <w:rsid w:val="00B65E60"/>
    <w:rsid w:val="00B6604B"/>
    <w:rsid w:val="00B660C3"/>
    <w:rsid w:val="00B66334"/>
    <w:rsid w:val="00B66517"/>
    <w:rsid w:val="00B666BD"/>
    <w:rsid w:val="00B669D7"/>
    <w:rsid w:val="00B66A67"/>
    <w:rsid w:val="00B66AAA"/>
    <w:rsid w:val="00B66B3F"/>
    <w:rsid w:val="00B66BE8"/>
    <w:rsid w:val="00B66D16"/>
    <w:rsid w:val="00B66DD8"/>
    <w:rsid w:val="00B66EBC"/>
    <w:rsid w:val="00B66F45"/>
    <w:rsid w:val="00B67129"/>
    <w:rsid w:val="00B67141"/>
    <w:rsid w:val="00B67206"/>
    <w:rsid w:val="00B672B8"/>
    <w:rsid w:val="00B67305"/>
    <w:rsid w:val="00B67419"/>
    <w:rsid w:val="00B6742C"/>
    <w:rsid w:val="00B674AA"/>
    <w:rsid w:val="00B6777D"/>
    <w:rsid w:val="00B677A3"/>
    <w:rsid w:val="00B6782F"/>
    <w:rsid w:val="00B6788E"/>
    <w:rsid w:val="00B679D3"/>
    <w:rsid w:val="00B67A3A"/>
    <w:rsid w:val="00B67A69"/>
    <w:rsid w:val="00B67A9A"/>
    <w:rsid w:val="00B67AC5"/>
    <w:rsid w:val="00B67AC8"/>
    <w:rsid w:val="00B67B9B"/>
    <w:rsid w:val="00B67BB4"/>
    <w:rsid w:val="00B67C22"/>
    <w:rsid w:val="00B67C38"/>
    <w:rsid w:val="00B67C49"/>
    <w:rsid w:val="00B67C7F"/>
    <w:rsid w:val="00B67D2F"/>
    <w:rsid w:val="00B67DC5"/>
    <w:rsid w:val="00B67EF3"/>
    <w:rsid w:val="00B67EF7"/>
    <w:rsid w:val="00B70059"/>
    <w:rsid w:val="00B700B4"/>
    <w:rsid w:val="00B700FD"/>
    <w:rsid w:val="00B701E8"/>
    <w:rsid w:val="00B70244"/>
    <w:rsid w:val="00B704A1"/>
    <w:rsid w:val="00B7052C"/>
    <w:rsid w:val="00B70596"/>
    <w:rsid w:val="00B7077B"/>
    <w:rsid w:val="00B70A7B"/>
    <w:rsid w:val="00B70AF0"/>
    <w:rsid w:val="00B70B9A"/>
    <w:rsid w:val="00B70C53"/>
    <w:rsid w:val="00B70CF2"/>
    <w:rsid w:val="00B70CFA"/>
    <w:rsid w:val="00B70E58"/>
    <w:rsid w:val="00B70F16"/>
    <w:rsid w:val="00B70FC5"/>
    <w:rsid w:val="00B70FDF"/>
    <w:rsid w:val="00B71018"/>
    <w:rsid w:val="00B7120E"/>
    <w:rsid w:val="00B71239"/>
    <w:rsid w:val="00B716F4"/>
    <w:rsid w:val="00B7183C"/>
    <w:rsid w:val="00B718B7"/>
    <w:rsid w:val="00B71AD8"/>
    <w:rsid w:val="00B71C18"/>
    <w:rsid w:val="00B71C47"/>
    <w:rsid w:val="00B71C70"/>
    <w:rsid w:val="00B71D97"/>
    <w:rsid w:val="00B71E36"/>
    <w:rsid w:val="00B71E96"/>
    <w:rsid w:val="00B7219E"/>
    <w:rsid w:val="00B721F3"/>
    <w:rsid w:val="00B72506"/>
    <w:rsid w:val="00B72686"/>
    <w:rsid w:val="00B726FF"/>
    <w:rsid w:val="00B72710"/>
    <w:rsid w:val="00B72817"/>
    <w:rsid w:val="00B728D8"/>
    <w:rsid w:val="00B72A15"/>
    <w:rsid w:val="00B72A90"/>
    <w:rsid w:val="00B72AC3"/>
    <w:rsid w:val="00B72B8A"/>
    <w:rsid w:val="00B72BAB"/>
    <w:rsid w:val="00B72D73"/>
    <w:rsid w:val="00B72E2E"/>
    <w:rsid w:val="00B72FFA"/>
    <w:rsid w:val="00B7301A"/>
    <w:rsid w:val="00B731D2"/>
    <w:rsid w:val="00B7331A"/>
    <w:rsid w:val="00B73488"/>
    <w:rsid w:val="00B73597"/>
    <w:rsid w:val="00B738A2"/>
    <w:rsid w:val="00B738EA"/>
    <w:rsid w:val="00B73918"/>
    <w:rsid w:val="00B739FC"/>
    <w:rsid w:val="00B73AAC"/>
    <w:rsid w:val="00B73AB7"/>
    <w:rsid w:val="00B73C25"/>
    <w:rsid w:val="00B73C48"/>
    <w:rsid w:val="00B73CBF"/>
    <w:rsid w:val="00B73CEE"/>
    <w:rsid w:val="00B73D13"/>
    <w:rsid w:val="00B73E12"/>
    <w:rsid w:val="00B73E2B"/>
    <w:rsid w:val="00B73F0E"/>
    <w:rsid w:val="00B73F89"/>
    <w:rsid w:val="00B73FD6"/>
    <w:rsid w:val="00B7406E"/>
    <w:rsid w:val="00B7409E"/>
    <w:rsid w:val="00B741D9"/>
    <w:rsid w:val="00B7423E"/>
    <w:rsid w:val="00B742C1"/>
    <w:rsid w:val="00B742C8"/>
    <w:rsid w:val="00B74349"/>
    <w:rsid w:val="00B74460"/>
    <w:rsid w:val="00B74494"/>
    <w:rsid w:val="00B745D0"/>
    <w:rsid w:val="00B7472C"/>
    <w:rsid w:val="00B7476E"/>
    <w:rsid w:val="00B7482E"/>
    <w:rsid w:val="00B74BE8"/>
    <w:rsid w:val="00B74C79"/>
    <w:rsid w:val="00B74D89"/>
    <w:rsid w:val="00B75037"/>
    <w:rsid w:val="00B7505F"/>
    <w:rsid w:val="00B75218"/>
    <w:rsid w:val="00B7521B"/>
    <w:rsid w:val="00B753E9"/>
    <w:rsid w:val="00B75473"/>
    <w:rsid w:val="00B754ED"/>
    <w:rsid w:val="00B75502"/>
    <w:rsid w:val="00B7563C"/>
    <w:rsid w:val="00B7569C"/>
    <w:rsid w:val="00B75724"/>
    <w:rsid w:val="00B75809"/>
    <w:rsid w:val="00B75853"/>
    <w:rsid w:val="00B75CC3"/>
    <w:rsid w:val="00B75D71"/>
    <w:rsid w:val="00B75E23"/>
    <w:rsid w:val="00B75EE7"/>
    <w:rsid w:val="00B75F6C"/>
    <w:rsid w:val="00B75F73"/>
    <w:rsid w:val="00B75F88"/>
    <w:rsid w:val="00B7607E"/>
    <w:rsid w:val="00B76254"/>
    <w:rsid w:val="00B76267"/>
    <w:rsid w:val="00B7638B"/>
    <w:rsid w:val="00B76445"/>
    <w:rsid w:val="00B7665F"/>
    <w:rsid w:val="00B76669"/>
    <w:rsid w:val="00B7691D"/>
    <w:rsid w:val="00B7697E"/>
    <w:rsid w:val="00B76A18"/>
    <w:rsid w:val="00B76A3B"/>
    <w:rsid w:val="00B76A8E"/>
    <w:rsid w:val="00B76B00"/>
    <w:rsid w:val="00B76B3C"/>
    <w:rsid w:val="00B76BBA"/>
    <w:rsid w:val="00B76C27"/>
    <w:rsid w:val="00B76C3E"/>
    <w:rsid w:val="00B76D9D"/>
    <w:rsid w:val="00B76DEB"/>
    <w:rsid w:val="00B76E59"/>
    <w:rsid w:val="00B76EEE"/>
    <w:rsid w:val="00B76F56"/>
    <w:rsid w:val="00B77085"/>
    <w:rsid w:val="00B77357"/>
    <w:rsid w:val="00B7737D"/>
    <w:rsid w:val="00B7739B"/>
    <w:rsid w:val="00B7749B"/>
    <w:rsid w:val="00B77637"/>
    <w:rsid w:val="00B7789A"/>
    <w:rsid w:val="00B77980"/>
    <w:rsid w:val="00B77AAF"/>
    <w:rsid w:val="00B77B86"/>
    <w:rsid w:val="00B77DBE"/>
    <w:rsid w:val="00B77DF9"/>
    <w:rsid w:val="00B77F06"/>
    <w:rsid w:val="00B80111"/>
    <w:rsid w:val="00B80265"/>
    <w:rsid w:val="00B80516"/>
    <w:rsid w:val="00B80616"/>
    <w:rsid w:val="00B8067F"/>
    <w:rsid w:val="00B806E5"/>
    <w:rsid w:val="00B8071C"/>
    <w:rsid w:val="00B80813"/>
    <w:rsid w:val="00B808B8"/>
    <w:rsid w:val="00B80938"/>
    <w:rsid w:val="00B80975"/>
    <w:rsid w:val="00B80A87"/>
    <w:rsid w:val="00B80A97"/>
    <w:rsid w:val="00B80B6F"/>
    <w:rsid w:val="00B80BD1"/>
    <w:rsid w:val="00B80BEE"/>
    <w:rsid w:val="00B80C11"/>
    <w:rsid w:val="00B80EA2"/>
    <w:rsid w:val="00B80EC7"/>
    <w:rsid w:val="00B80F3C"/>
    <w:rsid w:val="00B81038"/>
    <w:rsid w:val="00B810C8"/>
    <w:rsid w:val="00B810EF"/>
    <w:rsid w:val="00B811D8"/>
    <w:rsid w:val="00B81371"/>
    <w:rsid w:val="00B814AF"/>
    <w:rsid w:val="00B814E6"/>
    <w:rsid w:val="00B814E7"/>
    <w:rsid w:val="00B815C8"/>
    <w:rsid w:val="00B81671"/>
    <w:rsid w:val="00B818B3"/>
    <w:rsid w:val="00B81A0C"/>
    <w:rsid w:val="00B81A50"/>
    <w:rsid w:val="00B81B2D"/>
    <w:rsid w:val="00B81B77"/>
    <w:rsid w:val="00B81C7D"/>
    <w:rsid w:val="00B81D34"/>
    <w:rsid w:val="00B81D63"/>
    <w:rsid w:val="00B82044"/>
    <w:rsid w:val="00B82080"/>
    <w:rsid w:val="00B821B8"/>
    <w:rsid w:val="00B82265"/>
    <w:rsid w:val="00B822F0"/>
    <w:rsid w:val="00B823C1"/>
    <w:rsid w:val="00B823F9"/>
    <w:rsid w:val="00B8241B"/>
    <w:rsid w:val="00B82474"/>
    <w:rsid w:val="00B824D6"/>
    <w:rsid w:val="00B825BA"/>
    <w:rsid w:val="00B8260F"/>
    <w:rsid w:val="00B826A3"/>
    <w:rsid w:val="00B8282E"/>
    <w:rsid w:val="00B82841"/>
    <w:rsid w:val="00B8292F"/>
    <w:rsid w:val="00B829EA"/>
    <w:rsid w:val="00B82C2E"/>
    <w:rsid w:val="00B82CA3"/>
    <w:rsid w:val="00B82CF5"/>
    <w:rsid w:val="00B82DD7"/>
    <w:rsid w:val="00B82E2C"/>
    <w:rsid w:val="00B82E91"/>
    <w:rsid w:val="00B82E92"/>
    <w:rsid w:val="00B831C6"/>
    <w:rsid w:val="00B831FE"/>
    <w:rsid w:val="00B8329E"/>
    <w:rsid w:val="00B83306"/>
    <w:rsid w:val="00B83382"/>
    <w:rsid w:val="00B8338A"/>
    <w:rsid w:val="00B8343D"/>
    <w:rsid w:val="00B8354A"/>
    <w:rsid w:val="00B83595"/>
    <w:rsid w:val="00B8359D"/>
    <w:rsid w:val="00B83606"/>
    <w:rsid w:val="00B83651"/>
    <w:rsid w:val="00B8374A"/>
    <w:rsid w:val="00B838B3"/>
    <w:rsid w:val="00B838CB"/>
    <w:rsid w:val="00B83A57"/>
    <w:rsid w:val="00B83A84"/>
    <w:rsid w:val="00B83AFF"/>
    <w:rsid w:val="00B83D92"/>
    <w:rsid w:val="00B83DD6"/>
    <w:rsid w:val="00B83F0A"/>
    <w:rsid w:val="00B83F63"/>
    <w:rsid w:val="00B840DB"/>
    <w:rsid w:val="00B842C4"/>
    <w:rsid w:val="00B84420"/>
    <w:rsid w:val="00B8449B"/>
    <w:rsid w:val="00B845DB"/>
    <w:rsid w:val="00B84771"/>
    <w:rsid w:val="00B84B13"/>
    <w:rsid w:val="00B84B4A"/>
    <w:rsid w:val="00B84C2A"/>
    <w:rsid w:val="00B84C4C"/>
    <w:rsid w:val="00B84C9C"/>
    <w:rsid w:val="00B84D63"/>
    <w:rsid w:val="00B84E83"/>
    <w:rsid w:val="00B84FC4"/>
    <w:rsid w:val="00B85053"/>
    <w:rsid w:val="00B852A3"/>
    <w:rsid w:val="00B8533F"/>
    <w:rsid w:val="00B85361"/>
    <w:rsid w:val="00B8536A"/>
    <w:rsid w:val="00B853F2"/>
    <w:rsid w:val="00B855ED"/>
    <w:rsid w:val="00B856FC"/>
    <w:rsid w:val="00B85814"/>
    <w:rsid w:val="00B85862"/>
    <w:rsid w:val="00B858BC"/>
    <w:rsid w:val="00B85A72"/>
    <w:rsid w:val="00B85D3B"/>
    <w:rsid w:val="00B85DD4"/>
    <w:rsid w:val="00B85DFC"/>
    <w:rsid w:val="00B861F6"/>
    <w:rsid w:val="00B862C2"/>
    <w:rsid w:val="00B8639A"/>
    <w:rsid w:val="00B8644B"/>
    <w:rsid w:val="00B86487"/>
    <w:rsid w:val="00B86562"/>
    <w:rsid w:val="00B86583"/>
    <w:rsid w:val="00B8671B"/>
    <w:rsid w:val="00B867F1"/>
    <w:rsid w:val="00B868E1"/>
    <w:rsid w:val="00B86900"/>
    <w:rsid w:val="00B86A73"/>
    <w:rsid w:val="00B86A75"/>
    <w:rsid w:val="00B86BD3"/>
    <w:rsid w:val="00B86D3C"/>
    <w:rsid w:val="00B86E7E"/>
    <w:rsid w:val="00B86F21"/>
    <w:rsid w:val="00B86F3B"/>
    <w:rsid w:val="00B87174"/>
    <w:rsid w:val="00B87236"/>
    <w:rsid w:val="00B87277"/>
    <w:rsid w:val="00B87443"/>
    <w:rsid w:val="00B87574"/>
    <w:rsid w:val="00B87739"/>
    <w:rsid w:val="00B87777"/>
    <w:rsid w:val="00B8787E"/>
    <w:rsid w:val="00B8796C"/>
    <w:rsid w:val="00B879D9"/>
    <w:rsid w:val="00B87A44"/>
    <w:rsid w:val="00B87EAE"/>
    <w:rsid w:val="00B87F34"/>
    <w:rsid w:val="00B87FBA"/>
    <w:rsid w:val="00B9024B"/>
    <w:rsid w:val="00B9055C"/>
    <w:rsid w:val="00B90570"/>
    <w:rsid w:val="00B90587"/>
    <w:rsid w:val="00B90605"/>
    <w:rsid w:val="00B9073D"/>
    <w:rsid w:val="00B90755"/>
    <w:rsid w:val="00B90766"/>
    <w:rsid w:val="00B907E6"/>
    <w:rsid w:val="00B908BE"/>
    <w:rsid w:val="00B908DF"/>
    <w:rsid w:val="00B90A9D"/>
    <w:rsid w:val="00B90B1C"/>
    <w:rsid w:val="00B90B85"/>
    <w:rsid w:val="00B90C9E"/>
    <w:rsid w:val="00B90EBF"/>
    <w:rsid w:val="00B90EDF"/>
    <w:rsid w:val="00B90EF2"/>
    <w:rsid w:val="00B90F1E"/>
    <w:rsid w:val="00B90FAC"/>
    <w:rsid w:val="00B912E6"/>
    <w:rsid w:val="00B913C8"/>
    <w:rsid w:val="00B9159E"/>
    <w:rsid w:val="00B91620"/>
    <w:rsid w:val="00B91677"/>
    <w:rsid w:val="00B9170C"/>
    <w:rsid w:val="00B918D2"/>
    <w:rsid w:val="00B91990"/>
    <w:rsid w:val="00B919CA"/>
    <w:rsid w:val="00B91BB6"/>
    <w:rsid w:val="00B91C13"/>
    <w:rsid w:val="00B91D53"/>
    <w:rsid w:val="00B91D79"/>
    <w:rsid w:val="00B91E9E"/>
    <w:rsid w:val="00B91F03"/>
    <w:rsid w:val="00B91FAD"/>
    <w:rsid w:val="00B9200D"/>
    <w:rsid w:val="00B920D9"/>
    <w:rsid w:val="00B921C2"/>
    <w:rsid w:val="00B921E0"/>
    <w:rsid w:val="00B92291"/>
    <w:rsid w:val="00B922C1"/>
    <w:rsid w:val="00B9241C"/>
    <w:rsid w:val="00B9253E"/>
    <w:rsid w:val="00B925F6"/>
    <w:rsid w:val="00B929D2"/>
    <w:rsid w:val="00B92BE2"/>
    <w:rsid w:val="00B92CA0"/>
    <w:rsid w:val="00B92E44"/>
    <w:rsid w:val="00B92F8B"/>
    <w:rsid w:val="00B93113"/>
    <w:rsid w:val="00B931A4"/>
    <w:rsid w:val="00B93210"/>
    <w:rsid w:val="00B93226"/>
    <w:rsid w:val="00B93287"/>
    <w:rsid w:val="00B93416"/>
    <w:rsid w:val="00B9344A"/>
    <w:rsid w:val="00B9347F"/>
    <w:rsid w:val="00B934CC"/>
    <w:rsid w:val="00B93694"/>
    <w:rsid w:val="00B9374D"/>
    <w:rsid w:val="00B937E9"/>
    <w:rsid w:val="00B93B1B"/>
    <w:rsid w:val="00B93B42"/>
    <w:rsid w:val="00B93BB4"/>
    <w:rsid w:val="00B93C2F"/>
    <w:rsid w:val="00B93D67"/>
    <w:rsid w:val="00B93D6C"/>
    <w:rsid w:val="00B93E0F"/>
    <w:rsid w:val="00B93ECE"/>
    <w:rsid w:val="00B94048"/>
    <w:rsid w:val="00B9414B"/>
    <w:rsid w:val="00B94470"/>
    <w:rsid w:val="00B94611"/>
    <w:rsid w:val="00B94621"/>
    <w:rsid w:val="00B9472B"/>
    <w:rsid w:val="00B9475E"/>
    <w:rsid w:val="00B94779"/>
    <w:rsid w:val="00B94836"/>
    <w:rsid w:val="00B94C49"/>
    <w:rsid w:val="00B94C57"/>
    <w:rsid w:val="00B94D8C"/>
    <w:rsid w:val="00B94E14"/>
    <w:rsid w:val="00B94E90"/>
    <w:rsid w:val="00B94EC6"/>
    <w:rsid w:val="00B94F69"/>
    <w:rsid w:val="00B95033"/>
    <w:rsid w:val="00B950F4"/>
    <w:rsid w:val="00B9529C"/>
    <w:rsid w:val="00B952CB"/>
    <w:rsid w:val="00B95474"/>
    <w:rsid w:val="00B954AE"/>
    <w:rsid w:val="00B95842"/>
    <w:rsid w:val="00B959FB"/>
    <w:rsid w:val="00B95ADE"/>
    <w:rsid w:val="00B95B0A"/>
    <w:rsid w:val="00B95B3A"/>
    <w:rsid w:val="00B95C8D"/>
    <w:rsid w:val="00B95D0D"/>
    <w:rsid w:val="00B95D2B"/>
    <w:rsid w:val="00B95DC7"/>
    <w:rsid w:val="00B95F5B"/>
    <w:rsid w:val="00B95F92"/>
    <w:rsid w:val="00B9602E"/>
    <w:rsid w:val="00B961AA"/>
    <w:rsid w:val="00B961D1"/>
    <w:rsid w:val="00B96200"/>
    <w:rsid w:val="00B96485"/>
    <w:rsid w:val="00B964A3"/>
    <w:rsid w:val="00B965F5"/>
    <w:rsid w:val="00B96636"/>
    <w:rsid w:val="00B96641"/>
    <w:rsid w:val="00B9668B"/>
    <w:rsid w:val="00B968E8"/>
    <w:rsid w:val="00B968ED"/>
    <w:rsid w:val="00B9698E"/>
    <w:rsid w:val="00B969CC"/>
    <w:rsid w:val="00B96AC8"/>
    <w:rsid w:val="00B96AD0"/>
    <w:rsid w:val="00B96C91"/>
    <w:rsid w:val="00B96D06"/>
    <w:rsid w:val="00B96DF0"/>
    <w:rsid w:val="00B96E55"/>
    <w:rsid w:val="00B97026"/>
    <w:rsid w:val="00B97055"/>
    <w:rsid w:val="00B9708A"/>
    <w:rsid w:val="00B97107"/>
    <w:rsid w:val="00B97139"/>
    <w:rsid w:val="00B9733A"/>
    <w:rsid w:val="00B97343"/>
    <w:rsid w:val="00B9739C"/>
    <w:rsid w:val="00B9762B"/>
    <w:rsid w:val="00B976E3"/>
    <w:rsid w:val="00B97939"/>
    <w:rsid w:val="00B979E6"/>
    <w:rsid w:val="00B97BF8"/>
    <w:rsid w:val="00B97E56"/>
    <w:rsid w:val="00BA0179"/>
    <w:rsid w:val="00BA0200"/>
    <w:rsid w:val="00BA02F6"/>
    <w:rsid w:val="00BA032F"/>
    <w:rsid w:val="00BA04D1"/>
    <w:rsid w:val="00BA0560"/>
    <w:rsid w:val="00BA0600"/>
    <w:rsid w:val="00BA068D"/>
    <w:rsid w:val="00BA06A1"/>
    <w:rsid w:val="00BA0798"/>
    <w:rsid w:val="00BA07FD"/>
    <w:rsid w:val="00BA0941"/>
    <w:rsid w:val="00BA09A3"/>
    <w:rsid w:val="00BA0B13"/>
    <w:rsid w:val="00BA0B90"/>
    <w:rsid w:val="00BA0D3B"/>
    <w:rsid w:val="00BA0D3C"/>
    <w:rsid w:val="00BA0E09"/>
    <w:rsid w:val="00BA0F39"/>
    <w:rsid w:val="00BA11A3"/>
    <w:rsid w:val="00BA12E4"/>
    <w:rsid w:val="00BA13A8"/>
    <w:rsid w:val="00BA1412"/>
    <w:rsid w:val="00BA1439"/>
    <w:rsid w:val="00BA1455"/>
    <w:rsid w:val="00BA153B"/>
    <w:rsid w:val="00BA1583"/>
    <w:rsid w:val="00BA1680"/>
    <w:rsid w:val="00BA1750"/>
    <w:rsid w:val="00BA1821"/>
    <w:rsid w:val="00BA1A9D"/>
    <w:rsid w:val="00BA1B10"/>
    <w:rsid w:val="00BA1B58"/>
    <w:rsid w:val="00BA1C9A"/>
    <w:rsid w:val="00BA1CFE"/>
    <w:rsid w:val="00BA1D5D"/>
    <w:rsid w:val="00BA1D8E"/>
    <w:rsid w:val="00BA1EEA"/>
    <w:rsid w:val="00BA1FC1"/>
    <w:rsid w:val="00BA1FCE"/>
    <w:rsid w:val="00BA20FF"/>
    <w:rsid w:val="00BA21EB"/>
    <w:rsid w:val="00BA223A"/>
    <w:rsid w:val="00BA2314"/>
    <w:rsid w:val="00BA23C5"/>
    <w:rsid w:val="00BA240D"/>
    <w:rsid w:val="00BA2474"/>
    <w:rsid w:val="00BA24D3"/>
    <w:rsid w:val="00BA264F"/>
    <w:rsid w:val="00BA2758"/>
    <w:rsid w:val="00BA2764"/>
    <w:rsid w:val="00BA29A0"/>
    <w:rsid w:val="00BA29A1"/>
    <w:rsid w:val="00BA2BD2"/>
    <w:rsid w:val="00BA2EC4"/>
    <w:rsid w:val="00BA2F2C"/>
    <w:rsid w:val="00BA3039"/>
    <w:rsid w:val="00BA3277"/>
    <w:rsid w:val="00BA3318"/>
    <w:rsid w:val="00BA346C"/>
    <w:rsid w:val="00BA3596"/>
    <w:rsid w:val="00BA36E4"/>
    <w:rsid w:val="00BA36F7"/>
    <w:rsid w:val="00BA387E"/>
    <w:rsid w:val="00BA3A3C"/>
    <w:rsid w:val="00BA3C8F"/>
    <w:rsid w:val="00BA3E58"/>
    <w:rsid w:val="00BA3F62"/>
    <w:rsid w:val="00BA424E"/>
    <w:rsid w:val="00BA42CC"/>
    <w:rsid w:val="00BA4387"/>
    <w:rsid w:val="00BA43CF"/>
    <w:rsid w:val="00BA454D"/>
    <w:rsid w:val="00BA45BB"/>
    <w:rsid w:val="00BA4627"/>
    <w:rsid w:val="00BA4955"/>
    <w:rsid w:val="00BA4A66"/>
    <w:rsid w:val="00BA4AA4"/>
    <w:rsid w:val="00BA4AF7"/>
    <w:rsid w:val="00BA4C76"/>
    <w:rsid w:val="00BA4D36"/>
    <w:rsid w:val="00BA4D8D"/>
    <w:rsid w:val="00BA4DA5"/>
    <w:rsid w:val="00BA4DD8"/>
    <w:rsid w:val="00BA4E24"/>
    <w:rsid w:val="00BA4F07"/>
    <w:rsid w:val="00BA4FAD"/>
    <w:rsid w:val="00BA503F"/>
    <w:rsid w:val="00BA50C7"/>
    <w:rsid w:val="00BA5161"/>
    <w:rsid w:val="00BA518B"/>
    <w:rsid w:val="00BA521C"/>
    <w:rsid w:val="00BA523F"/>
    <w:rsid w:val="00BA5283"/>
    <w:rsid w:val="00BA529F"/>
    <w:rsid w:val="00BA5340"/>
    <w:rsid w:val="00BA54CF"/>
    <w:rsid w:val="00BA56DB"/>
    <w:rsid w:val="00BA56F9"/>
    <w:rsid w:val="00BA57D4"/>
    <w:rsid w:val="00BA58F2"/>
    <w:rsid w:val="00BA5905"/>
    <w:rsid w:val="00BA591D"/>
    <w:rsid w:val="00BA5937"/>
    <w:rsid w:val="00BA5A65"/>
    <w:rsid w:val="00BA5A91"/>
    <w:rsid w:val="00BA5C1A"/>
    <w:rsid w:val="00BA5D88"/>
    <w:rsid w:val="00BA5E34"/>
    <w:rsid w:val="00BA5E55"/>
    <w:rsid w:val="00BA5E89"/>
    <w:rsid w:val="00BA5F27"/>
    <w:rsid w:val="00BA60D0"/>
    <w:rsid w:val="00BA61B8"/>
    <w:rsid w:val="00BA61E3"/>
    <w:rsid w:val="00BA626E"/>
    <w:rsid w:val="00BA6366"/>
    <w:rsid w:val="00BA64AD"/>
    <w:rsid w:val="00BA65D1"/>
    <w:rsid w:val="00BA66E9"/>
    <w:rsid w:val="00BA6721"/>
    <w:rsid w:val="00BA67C6"/>
    <w:rsid w:val="00BA6911"/>
    <w:rsid w:val="00BA6963"/>
    <w:rsid w:val="00BA6964"/>
    <w:rsid w:val="00BA6A36"/>
    <w:rsid w:val="00BA6B49"/>
    <w:rsid w:val="00BA6B58"/>
    <w:rsid w:val="00BA6D3F"/>
    <w:rsid w:val="00BA6DE7"/>
    <w:rsid w:val="00BA6F10"/>
    <w:rsid w:val="00BA6F38"/>
    <w:rsid w:val="00BA6F65"/>
    <w:rsid w:val="00BA6F6B"/>
    <w:rsid w:val="00BA6F90"/>
    <w:rsid w:val="00BA7010"/>
    <w:rsid w:val="00BA70A7"/>
    <w:rsid w:val="00BA7240"/>
    <w:rsid w:val="00BA72EB"/>
    <w:rsid w:val="00BA7310"/>
    <w:rsid w:val="00BA7376"/>
    <w:rsid w:val="00BA73B9"/>
    <w:rsid w:val="00BA7511"/>
    <w:rsid w:val="00BA77A0"/>
    <w:rsid w:val="00BA7912"/>
    <w:rsid w:val="00BA7AB8"/>
    <w:rsid w:val="00BA7BF2"/>
    <w:rsid w:val="00BA7D89"/>
    <w:rsid w:val="00BA7DDA"/>
    <w:rsid w:val="00BA7E92"/>
    <w:rsid w:val="00BA7F75"/>
    <w:rsid w:val="00BB0020"/>
    <w:rsid w:val="00BB00D2"/>
    <w:rsid w:val="00BB00DD"/>
    <w:rsid w:val="00BB00E6"/>
    <w:rsid w:val="00BB00F6"/>
    <w:rsid w:val="00BB026C"/>
    <w:rsid w:val="00BB02EB"/>
    <w:rsid w:val="00BB03BC"/>
    <w:rsid w:val="00BB03FE"/>
    <w:rsid w:val="00BB053A"/>
    <w:rsid w:val="00BB07FA"/>
    <w:rsid w:val="00BB088F"/>
    <w:rsid w:val="00BB08CB"/>
    <w:rsid w:val="00BB0A06"/>
    <w:rsid w:val="00BB0BED"/>
    <w:rsid w:val="00BB0C08"/>
    <w:rsid w:val="00BB0DCB"/>
    <w:rsid w:val="00BB0E60"/>
    <w:rsid w:val="00BB0F23"/>
    <w:rsid w:val="00BB0F37"/>
    <w:rsid w:val="00BB0FBA"/>
    <w:rsid w:val="00BB0FEA"/>
    <w:rsid w:val="00BB12B1"/>
    <w:rsid w:val="00BB134C"/>
    <w:rsid w:val="00BB13AA"/>
    <w:rsid w:val="00BB15B2"/>
    <w:rsid w:val="00BB1762"/>
    <w:rsid w:val="00BB18DE"/>
    <w:rsid w:val="00BB1965"/>
    <w:rsid w:val="00BB1A5F"/>
    <w:rsid w:val="00BB1AD2"/>
    <w:rsid w:val="00BB1CA8"/>
    <w:rsid w:val="00BB1CE5"/>
    <w:rsid w:val="00BB1EAD"/>
    <w:rsid w:val="00BB2179"/>
    <w:rsid w:val="00BB222A"/>
    <w:rsid w:val="00BB22FF"/>
    <w:rsid w:val="00BB245F"/>
    <w:rsid w:val="00BB2468"/>
    <w:rsid w:val="00BB2469"/>
    <w:rsid w:val="00BB24BE"/>
    <w:rsid w:val="00BB2613"/>
    <w:rsid w:val="00BB2A37"/>
    <w:rsid w:val="00BB2C37"/>
    <w:rsid w:val="00BB2C42"/>
    <w:rsid w:val="00BB2F81"/>
    <w:rsid w:val="00BB30F8"/>
    <w:rsid w:val="00BB31E8"/>
    <w:rsid w:val="00BB32F4"/>
    <w:rsid w:val="00BB3650"/>
    <w:rsid w:val="00BB3811"/>
    <w:rsid w:val="00BB3946"/>
    <w:rsid w:val="00BB39A9"/>
    <w:rsid w:val="00BB3A12"/>
    <w:rsid w:val="00BB3F34"/>
    <w:rsid w:val="00BB3FEF"/>
    <w:rsid w:val="00BB4069"/>
    <w:rsid w:val="00BB406D"/>
    <w:rsid w:val="00BB4110"/>
    <w:rsid w:val="00BB4323"/>
    <w:rsid w:val="00BB4341"/>
    <w:rsid w:val="00BB43C3"/>
    <w:rsid w:val="00BB4582"/>
    <w:rsid w:val="00BB4588"/>
    <w:rsid w:val="00BB4599"/>
    <w:rsid w:val="00BB46E1"/>
    <w:rsid w:val="00BB48AA"/>
    <w:rsid w:val="00BB4AE4"/>
    <w:rsid w:val="00BB4D8D"/>
    <w:rsid w:val="00BB4E72"/>
    <w:rsid w:val="00BB4EC6"/>
    <w:rsid w:val="00BB4F7B"/>
    <w:rsid w:val="00BB50D8"/>
    <w:rsid w:val="00BB50F5"/>
    <w:rsid w:val="00BB53EE"/>
    <w:rsid w:val="00BB5601"/>
    <w:rsid w:val="00BB5690"/>
    <w:rsid w:val="00BB5731"/>
    <w:rsid w:val="00BB5743"/>
    <w:rsid w:val="00BB589D"/>
    <w:rsid w:val="00BB59A8"/>
    <w:rsid w:val="00BB59D7"/>
    <w:rsid w:val="00BB5A48"/>
    <w:rsid w:val="00BB5B2C"/>
    <w:rsid w:val="00BB5B35"/>
    <w:rsid w:val="00BB5C85"/>
    <w:rsid w:val="00BB5D66"/>
    <w:rsid w:val="00BB5DC5"/>
    <w:rsid w:val="00BB5E2F"/>
    <w:rsid w:val="00BB5EAE"/>
    <w:rsid w:val="00BB5F73"/>
    <w:rsid w:val="00BB614A"/>
    <w:rsid w:val="00BB6177"/>
    <w:rsid w:val="00BB6277"/>
    <w:rsid w:val="00BB6285"/>
    <w:rsid w:val="00BB62C4"/>
    <w:rsid w:val="00BB639A"/>
    <w:rsid w:val="00BB63FD"/>
    <w:rsid w:val="00BB64E3"/>
    <w:rsid w:val="00BB669A"/>
    <w:rsid w:val="00BB66E5"/>
    <w:rsid w:val="00BB671B"/>
    <w:rsid w:val="00BB6731"/>
    <w:rsid w:val="00BB6760"/>
    <w:rsid w:val="00BB69FC"/>
    <w:rsid w:val="00BB6CC8"/>
    <w:rsid w:val="00BB6D67"/>
    <w:rsid w:val="00BB6EA5"/>
    <w:rsid w:val="00BB71BB"/>
    <w:rsid w:val="00BB71C1"/>
    <w:rsid w:val="00BB7257"/>
    <w:rsid w:val="00BB730D"/>
    <w:rsid w:val="00BB7413"/>
    <w:rsid w:val="00BB74B7"/>
    <w:rsid w:val="00BB750E"/>
    <w:rsid w:val="00BB7656"/>
    <w:rsid w:val="00BB77A2"/>
    <w:rsid w:val="00BB7867"/>
    <w:rsid w:val="00BB7889"/>
    <w:rsid w:val="00BB7906"/>
    <w:rsid w:val="00BB7950"/>
    <w:rsid w:val="00BB795E"/>
    <w:rsid w:val="00BB7989"/>
    <w:rsid w:val="00BB7A87"/>
    <w:rsid w:val="00BB7AD9"/>
    <w:rsid w:val="00BB7AE3"/>
    <w:rsid w:val="00BB7C21"/>
    <w:rsid w:val="00BB7EE7"/>
    <w:rsid w:val="00BB7F11"/>
    <w:rsid w:val="00BB7F4D"/>
    <w:rsid w:val="00BB7F8B"/>
    <w:rsid w:val="00BC0019"/>
    <w:rsid w:val="00BC0077"/>
    <w:rsid w:val="00BC0231"/>
    <w:rsid w:val="00BC02A2"/>
    <w:rsid w:val="00BC0496"/>
    <w:rsid w:val="00BC04C9"/>
    <w:rsid w:val="00BC04F9"/>
    <w:rsid w:val="00BC06CF"/>
    <w:rsid w:val="00BC0B45"/>
    <w:rsid w:val="00BC0C59"/>
    <w:rsid w:val="00BC0D42"/>
    <w:rsid w:val="00BC0E9C"/>
    <w:rsid w:val="00BC114A"/>
    <w:rsid w:val="00BC1200"/>
    <w:rsid w:val="00BC13DA"/>
    <w:rsid w:val="00BC16A0"/>
    <w:rsid w:val="00BC17DF"/>
    <w:rsid w:val="00BC194B"/>
    <w:rsid w:val="00BC1978"/>
    <w:rsid w:val="00BC198E"/>
    <w:rsid w:val="00BC19DC"/>
    <w:rsid w:val="00BC1ACF"/>
    <w:rsid w:val="00BC1AF1"/>
    <w:rsid w:val="00BC1BF4"/>
    <w:rsid w:val="00BC1DAE"/>
    <w:rsid w:val="00BC1DC1"/>
    <w:rsid w:val="00BC1EF6"/>
    <w:rsid w:val="00BC20F3"/>
    <w:rsid w:val="00BC217E"/>
    <w:rsid w:val="00BC21CB"/>
    <w:rsid w:val="00BC2267"/>
    <w:rsid w:val="00BC24E2"/>
    <w:rsid w:val="00BC25B0"/>
    <w:rsid w:val="00BC25DD"/>
    <w:rsid w:val="00BC27C5"/>
    <w:rsid w:val="00BC288C"/>
    <w:rsid w:val="00BC2938"/>
    <w:rsid w:val="00BC2973"/>
    <w:rsid w:val="00BC2A3A"/>
    <w:rsid w:val="00BC2BA1"/>
    <w:rsid w:val="00BC2C99"/>
    <w:rsid w:val="00BC2DA1"/>
    <w:rsid w:val="00BC2DC8"/>
    <w:rsid w:val="00BC2E50"/>
    <w:rsid w:val="00BC2E6E"/>
    <w:rsid w:val="00BC2E9C"/>
    <w:rsid w:val="00BC2F3C"/>
    <w:rsid w:val="00BC2FF7"/>
    <w:rsid w:val="00BC3065"/>
    <w:rsid w:val="00BC30A6"/>
    <w:rsid w:val="00BC316D"/>
    <w:rsid w:val="00BC32AB"/>
    <w:rsid w:val="00BC33F8"/>
    <w:rsid w:val="00BC344E"/>
    <w:rsid w:val="00BC36C1"/>
    <w:rsid w:val="00BC3724"/>
    <w:rsid w:val="00BC387D"/>
    <w:rsid w:val="00BC3887"/>
    <w:rsid w:val="00BC38FF"/>
    <w:rsid w:val="00BC3981"/>
    <w:rsid w:val="00BC3DBA"/>
    <w:rsid w:val="00BC3DC9"/>
    <w:rsid w:val="00BC3DDC"/>
    <w:rsid w:val="00BC3E43"/>
    <w:rsid w:val="00BC3EF3"/>
    <w:rsid w:val="00BC3EF9"/>
    <w:rsid w:val="00BC3F42"/>
    <w:rsid w:val="00BC40D7"/>
    <w:rsid w:val="00BC434B"/>
    <w:rsid w:val="00BC437D"/>
    <w:rsid w:val="00BC4393"/>
    <w:rsid w:val="00BC43D0"/>
    <w:rsid w:val="00BC44A5"/>
    <w:rsid w:val="00BC44B9"/>
    <w:rsid w:val="00BC44DB"/>
    <w:rsid w:val="00BC477E"/>
    <w:rsid w:val="00BC48A0"/>
    <w:rsid w:val="00BC491B"/>
    <w:rsid w:val="00BC496E"/>
    <w:rsid w:val="00BC498C"/>
    <w:rsid w:val="00BC49AD"/>
    <w:rsid w:val="00BC4A92"/>
    <w:rsid w:val="00BC4B58"/>
    <w:rsid w:val="00BC4C40"/>
    <w:rsid w:val="00BC4C65"/>
    <w:rsid w:val="00BC4C89"/>
    <w:rsid w:val="00BC4CEB"/>
    <w:rsid w:val="00BC4D4B"/>
    <w:rsid w:val="00BC4E5C"/>
    <w:rsid w:val="00BC4E64"/>
    <w:rsid w:val="00BC4F50"/>
    <w:rsid w:val="00BC50B6"/>
    <w:rsid w:val="00BC5157"/>
    <w:rsid w:val="00BC51FA"/>
    <w:rsid w:val="00BC5269"/>
    <w:rsid w:val="00BC532D"/>
    <w:rsid w:val="00BC53DE"/>
    <w:rsid w:val="00BC544E"/>
    <w:rsid w:val="00BC5724"/>
    <w:rsid w:val="00BC5B6E"/>
    <w:rsid w:val="00BC5B95"/>
    <w:rsid w:val="00BC5DB4"/>
    <w:rsid w:val="00BC5F4C"/>
    <w:rsid w:val="00BC6088"/>
    <w:rsid w:val="00BC60F1"/>
    <w:rsid w:val="00BC61CC"/>
    <w:rsid w:val="00BC61DD"/>
    <w:rsid w:val="00BC6271"/>
    <w:rsid w:val="00BC62A2"/>
    <w:rsid w:val="00BC62A7"/>
    <w:rsid w:val="00BC62FD"/>
    <w:rsid w:val="00BC65E8"/>
    <w:rsid w:val="00BC65EB"/>
    <w:rsid w:val="00BC6629"/>
    <w:rsid w:val="00BC6695"/>
    <w:rsid w:val="00BC68A2"/>
    <w:rsid w:val="00BC6A04"/>
    <w:rsid w:val="00BC6F57"/>
    <w:rsid w:val="00BC7095"/>
    <w:rsid w:val="00BC71C1"/>
    <w:rsid w:val="00BC71C8"/>
    <w:rsid w:val="00BC7668"/>
    <w:rsid w:val="00BC781C"/>
    <w:rsid w:val="00BC792B"/>
    <w:rsid w:val="00BC7BF6"/>
    <w:rsid w:val="00BC7CD6"/>
    <w:rsid w:val="00BC7D33"/>
    <w:rsid w:val="00BC7D44"/>
    <w:rsid w:val="00BC7D73"/>
    <w:rsid w:val="00BC7DAC"/>
    <w:rsid w:val="00BC7FC9"/>
    <w:rsid w:val="00BD01F6"/>
    <w:rsid w:val="00BD0367"/>
    <w:rsid w:val="00BD039B"/>
    <w:rsid w:val="00BD04C3"/>
    <w:rsid w:val="00BD054B"/>
    <w:rsid w:val="00BD0561"/>
    <w:rsid w:val="00BD06BF"/>
    <w:rsid w:val="00BD0AE9"/>
    <w:rsid w:val="00BD0BD3"/>
    <w:rsid w:val="00BD0C2E"/>
    <w:rsid w:val="00BD0CBB"/>
    <w:rsid w:val="00BD0CCD"/>
    <w:rsid w:val="00BD0D34"/>
    <w:rsid w:val="00BD0D56"/>
    <w:rsid w:val="00BD0FCA"/>
    <w:rsid w:val="00BD11E5"/>
    <w:rsid w:val="00BD124B"/>
    <w:rsid w:val="00BD1287"/>
    <w:rsid w:val="00BD1309"/>
    <w:rsid w:val="00BD1333"/>
    <w:rsid w:val="00BD1578"/>
    <w:rsid w:val="00BD1656"/>
    <w:rsid w:val="00BD16E7"/>
    <w:rsid w:val="00BD17E2"/>
    <w:rsid w:val="00BD1B11"/>
    <w:rsid w:val="00BD1DDD"/>
    <w:rsid w:val="00BD1E38"/>
    <w:rsid w:val="00BD1EF7"/>
    <w:rsid w:val="00BD1FB4"/>
    <w:rsid w:val="00BD2073"/>
    <w:rsid w:val="00BD2239"/>
    <w:rsid w:val="00BD226C"/>
    <w:rsid w:val="00BD228A"/>
    <w:rsid w:val="00BD248A"/>
    <w:rsid w:val="00BD27FD"/>
    <w:rsid w:val="00BD281D"/>
    <w:rsid w:val="00BD29A2"/>
    <w:rsid w:val="00BD2A2C"/>
    <w:rsid w:val="00BD2C92"/>
    <w:rsid w:val="00BD2E0D"/>
    <w:rsid w:val="00BD2EB0"/>
    <w:rsid w:val="00BD2F2A"/>
    <w:rsid w:val="00BD2FE6"/>
    <w:rsid w:val="00BD3075"/>
    <w:rsid w:val="00BD30A0"/>
    <w:rsid w:val="00BD3110"/>
    <w:rsid w:val="00BD31C0"/>
    <w:rsid w:val="00BD33D5"/>
    <w:rsid w:val="00BD384B"/>
    <w:rsid w:val="00BD3851"/>
    <w:rsid w:val="00BD3873"/>
    <w:rsid w:val="00BD38BC"/>
    <w:rsid w:val="00BD3BFA"/>
    <w:rsid w:val="00BD3C4D"/>
    <w:rsid w:val="00BD3C5E"/>
    <w:rsid w:val="00BD3CB7"/>
    <w:rsid w:val="00BD3D93"/>
    <w:rsid w:val="00BD41AB"/>
    <w:rsid w:val="00BD4218"/>
    <w:rsid w:val="00BD4261"/>
    <w:rsid w:val="00BD4344"/>
    <w:rsid w:val="00BD43B9"/>
    <w:rsid w:val="00BD4400"/>
    <w:rsid w:val="00BD4547"/>
    <w:rsid w:val="00BD46C4"/>
    <w:rsid w:val="00BD46F4"/>
    <w:rsid w:val="00BD4722"/>
    <w:rsid w:val="00BD4763"/>
    <w:rsid w:val="00BD489C"/>
    <w:rsid w:val="00BD48B7"/>
    <w:rsid w:val="00BD4963"/>
    <w:rsid w:val="00BD4A42"/>
    <w:rsid w:val="00BD4A82"/>
    <w:rsid w:val="00BD4AB7"/>
    <w:rsid w:val="00BD4D53"/>
    <w:rsid w:val="00BD4E32"/>
    <w:rsid w:val="00BD4E8B"/>
    <w:rsid w:val="00BD4F1E"/>
    <w:rsid w:val="00BD4F85"/>
    <w:rsid w:val="00BD5017"/>
    <w:rsid w:val="00BD54D6"/>
    <w:rsid w:val="00BD54E1"/>
    <w:rsid w:val="00BD55D4"/>
    <w:rsid w:val="00BD56B8"/>
    <w:rsid w:val="00BD5AD1"/>
    <w:rsid w:val="00BD5B7D"/>
    <w:rsid w:val="00BD5B8F"/>
    <w:rsid w:val="00BD5D82"/>
    <w:rsid w:val="00BD5FFE"/>
    <w:rsid w:val="00BD601F"/>
    <w:rsid w:val="00BD6190"/>
    <w:rsid w:val="00BD6303"/>
    <w:rsid w:val="00BD6378"/>
    <w:rsid w:val="00BD63FE"/>
    <w:rsid w:val="00BD67B0"/>
    <w:rsid w:val="00BD67F8"/>
    <w:rsid w:val="00BD69E7"/>
    <w:rsid w:val="00BD6AFB"/>
    <w:rsid w:val="00BD6B1A"/>
    <w:rsid w:val="00BD6DE4"/>
    <w:rsid w:val="00BD6F53"/>
    <w:rsid w:val="00BD6F83"/>
    <w:rsid w:val="00BD7513"/>
    <w:rsid w:val="00BD7714"/>
    <w:rsid w:val="00BD7802"/>
    <w:rsid w:val="00BD7855"/>
    <w:rsid w:val="00BD78D6"/>
    <w:rsid w:val="00BD7C59"/>
    <w:rsid w:val="00BD7C8A"/>
    <w:rsid w:val="00BD7CB6"/>
    <w:rsid w:val="00BD7E7C"/>
    <w:rsid w:val="00BE0028"/>
    <w:rsid w:val="00BE01B5"/>
    <w:rsid w:val="00BE0385"/>
    <w:rsid w:val="00BE05FA"/>
    <w:rsid w:val="00BE066E"/>
    <w:rsid w:val="00BE079F"/>
    <w:rsid w:val="00BE0832"/>
    <w:rsid w:val="00BE0A49"/>
    <w:rsid w:val="00BE0B1F"/>
    <w:rsid w:val="00BE0B2C"/>
    <w:rsid w:val="00BE0B33"/>
    <w:rsid w:val="00BE0CE2"/>
    <w:rsid w:val="00BE0CE3"/>
    <w:rsid w:val="00BE0DAF"/>
    <w:rsid w:val="00BE0E55"/>
    <w:rsid w:val="00BE1031"/>
    <w:rsid w:val="00BE10FD"/>
    <w:rsid w:val="00BE1144"/>
    <w:rsid w:val="00BE115C"/>
    <w:rsid w:val="00BE1169"/>
    <w:rsid w:val="00BE11CE"/>
    <w:rsid w:val="00BE1329"/>
    <w:rsid w:val="00BE140A"/>
    <w:rsid w:val="00BE1421"/>
    <w:rsid w:val="00BE152B"/>
    <w:rsid w:val="00BE153C"/>
    <w:rsid w:val="00BE159C"/>
    <w:rsid w:val="00BE15FF"/>
    <w:rsid w:val="00BE16C2"/>
    <w:rsid w:val="00BE17FD"/>
    <w:rsid w:val="00BE1972"/>
    <w:rsid w:val="00BE1ADD"/>
    <w:rsid w:val="00BE1B2E"/>
    <w:rsid w:val="00BE1B52"/>
    <w:rsid w:val="00BE1C08"/>
    <w:rsid w:val="00BE1C59"/>
    <w:rsid w:val="00BE1C5E"/>
    <w:rsid w:val="00BE1D11"/>
    <w:rsid w:val="00BE1D43"/>
    <w:rsid w:val="00BE1D4C"/>
    <w:rsid w:val="00BE1D54"/>
    <w:rsid w:val="00BE1DE8"/>
    <w:rsid w:val="00BE1EC7"/>
    <w:rsid w:val="00BE1F98"/>
    <w:rsid w:val="00BE214A"/>
    <w:rsid w:val="00BE21A0"/>
    <w:rsid w:val="00BE21A4"/>
    <w:rsid w:val="00BE2218"/>
    <w:rsid w:val="00BE2230"/>
    <w:rsid w:val="00BE230C"/>
    <w:rsid w:val="00BE239F"/>
    <w:rsid w:val="00BE23BA"/>
    <w:rsid w:val="00BE23C8"/>
    <w:rsid w:val="00BE23EE"/>
    <w:rsid w:val="00BE2442"/>
    <w:rsid w:val="00BE2749"/>
    <w:rsid w:val="00BE27C3"/>
    <w:rsid w:val="00BE2A4A"/>
    <w:rsid w:val="00BE2B47"/>
    <w:rsid w:val="00BE2B54"/>
    <w:rsid w:val="00BE2C01"/>
    <w:rsid w:val="00BE2D2B"/>
    <w:rsid w:val="00BE2E57"/>
    <w:rsid w:val="00BE30FB"/>
    <w:rsid w:val="00BE312A"/>
    <w:rsid w:val="00BE3151"/>
    <w:rsid w:val="00BE315D"/>
    <w:rsid w:val="00BE3189"/>
    <w:rsid w:val="00BE31BF"/>
    <w:rsid w:val="00BE36EF"/>
    <w:rsid w:val="00BE370E"/>
    <w:rsid w:val="00BE374D"/>
    <w:rsid w:val="00BE396F"/>
    <w:rsid w:val="00BE3976"/>
    <w:rsid w:val="00BE3B0F"/>
    <w:rsid w:val="00BE3B79"/>
    <w:rsid w:val="00BE3B93"/>
    <w:rsid w:val="00BE3BF9"/>
    <w:rsid w:val="00BE3DA0"/>
    <w:rsid w:val="00BE3E68"/>
    <w:rsid w:val="00BE3ED0"/>
    <w:rsid w:val="00BE3F10"/>
    <w:rsid w:val="00BE40DD"/>
    <w:rsid w:val="00BE410E"/>
    <w:rsid w:val="00BE4180"/>
    <w:rsid w:val="00BE41D7"/>
    <w:rsid w:val="00BE42FB"/>
    <w:rsid w:val="00BE4611"/>
    <w:rsid w:val="00BE47D5"/>
    <w:rsid w:val="00BE47F7"/>
    <w:rsid w:val="00BE485F"/>
    <w:rsid w:val="00BE48B9"/>
    <w:rsid w:val="00BE48E3"/>
    <w:rsid w:val="00BE4A57"/>
    <w:rsid w:val="00BE4CCD"/>
    <w:rsid w:val="00BE4D83"/>
    <w:rsid w:val="00BE4FB8"/>
    <w:rsid w:val="00BE505C"/>
    <w:rsid w:val="00BE533A"/>
    <w:rsid w:val="00BE54BE"/>
    <w:rsid w:val="00BE5513"/>
    <w:rsid w:val="00BE56FE"/>
    <w:rsid w:val="00BE5896"/>
    <w:rsid w:val="00BE5965"/>
    <w:rsid w:val="00BE5C21"/>
    <w:rsid w:val="00BE5D6B"/>
    <w:rsid w:val="00BE5E6C"/>
    <w:rsid w:val="00BE6484"/>
    <w:rsid w:val="00BE651A"/>
    <w:rsid w:val="00BE6574"/>
    <w:rsid w:val="00BE67E3"/>
    <w:rsid w:val="00BE6807"/>
    <w:rsid w:val="00BE695B"/>
    <w:rsid w:val="00BE6CD6"/>
    <w:rsid w:val="00BE6E34"/>
    <w:rsid w:val="00BE6E51"/>
    <w:rsid w:val="00BE6FA3"/>
    <w:rsid w:val="00BE6FAA"/>
    <w:rsid w:val="00BE6FE6"/>
    <w:rsid w:val="00BE70AD"/>
    <w:rsid w:val="00BE70D0"/>
    <w:rsid w:val="00BE712D"/>
    <w:rsid w:val="00BE727D"/>
    <w:rsid w:val="00BE7295"/>
    <w:rsid w:val="00BE72F8"/>
    <w:rsid w:val="00BE761A"/>
    <w:rsid w:val="00BE773F"/>
    <w:rsid w:val="00BE774D"/>
    <w:rsid w:val="00BE786E"/>
    <w:rsid w:val="00BE794C"/>
    <w:rsid w:val="00BE79B9"/>
    <w:rsid w:val="00BE7B06"/>
    <w:rsid w:val="00BE7B92"/>
    <w:rsid w:val="00BE7C06"/>
    <w:rsid w:val="00BE7C35"/>
    <w:rsid w:val="00BE7E3C"/>
    <w:rsid w:val="00BE7E6D"/>
    <w:rsid w:val="00BE7FBB"/>
    <w:rsid w:val="00BF01C6"/>
    <w:rsid w:val="00BF02B9"/>
    <w:rsid w:val="00BF0352"/>
    <w:rsid w:val="00BF0428"/>
    <w:rsid w:val="00BF0618"/>
    <w:rsid w:val="00BF087A"/>
    <w:rsid w:val="00BF08C0"/>
    <w:rsid w:val="00BF09BD"/>
    <w:rsid w:val="00BF09CA"/>
    <w:rsid w:val="00BF0BA8"/>
    <w:rsid w:val="00BF0C0C"/>
    <w:rsid w:val="00BF0C2B"/>
    <w:rsid w:val="00BF0D96"/>
    <w:rsid w:val="00BF0E8F"/>
    <w:rsid w:val="00BF10AF"/>
    <w:rsid w:val="00BF119E"/>
    <w:rsid w:val="00BF1276"/>
    <w:rsid w:val="00BF1465"/>
    <w:rsid w:val="00BF153D"/>
    <w:rsid w:val="00BF15F6"/>
    <w:rsid w:val="00BF1733"/>
    <w:rsid w:val="00BF17BC"/>
    <w:rsid w:val="00BF19D6"/>
    <w:rsid w:val="00BF1A16"/>
    <w:rsid w:val="00BF1A65"/>
    <w:rsid w:val="00BF1A66"/>
    <w:rsid w:val="00BF1CAD"/>
    <w:rsid w:val="00BF1D2E"/>
    <w:rsid w:val="00BF1DD4"/>
    <w:rsid w:val="00BF1DDF"/>
    <w:rsid w:val="00BF1EBB"/>
    <w:rsid w:val="00BF1FD4"/>
    <w:rsid w:val="00BF204F"/>
    <w:rsid w:val="00BF2058"/>
    <w:rsid w:val="00BF235A"/>
    <w:rsid w:val="00BF24C1"/>
    <w:rsid w:val="00BF24DF"/>
    <w:rsid w:val="00BF2602"/>
    <w:rsid w:val="00BF260C"/>
    <w:rsid w:val="00BF2696"/>
    <w:rsid w:val="00BF28B8"/>
    <w:rsid w:val="00BF2BD0"/>
    <w:rsid w:val="00BF2C99"/>
    <w:rsid w:val="00BF2DD8"/>
    <w:rsid w:val="00BF2F9D"/>
    <w:rsid w:val="00BF3115"/>
    <w:rsid w:val="00BF33FC"/>
    <w:rsid w:val="00BF38A7"/>
    <w:rsid w:val="00BF38D1"/>
    <w:rsid w:val="00BF3AC7"/>
    <w:rsid w:val="00BF3B08"/>
    <w:rsid w:val="00BF3B23"/>
    <w:rsid w:val="00BF3CF5"/>
    <w:rsid w:val="00BF3D3D"/>
    <w:rsid w:val="00BF3D4C"/>
    <w:rsid w:val="00BF3EAB"/>
    <w:rsid w:val="00BF4015"/>
    <w:rsid w:val="00BF40E5"/>
    <w:rsid w:val="00BF4514"/>
    <w:rsid w:val="00BF456C"/>
    <w:rsid w:val="00BF4606"/>
    <w:rsid w:val="00BF472B"/>
    <w:rsid w:val="00BF4784"/>
    <w:rsid w:val="00BF488B"/>
    <w:rsid w:val="00BF4919"/>
    <w:rsid w:val="00BF4BB6"/>
    <w:rsid w:val="00BF4BE9"/>
    <w:rsid w:val="00BF4CE8"/>
    <w:rsid w:val="00BF4FE8"/>
    <w:rsid w:val="00BF506C"/>
    <w:rsid w:val="00BF519A"/>
    <w:rsid w:val="00BF5283"/>
    <w:rsid w:val="00BF52F2"/>
    <w:rsid w:val="00BF53BD"/>
    <w:rsid w:val="00BF5536"/>
    <w:rsid w:val="00BF55AE"/>
    <w:rsid w:val="00BF591C"/>
    <w:rsid w:val="00BF5D65"/>
    <w:rsid w:val="00BF5D79"/>
    <w:rsid w:val="00BF5DEB"/>
    <w:rsid w:val="00BF5E13"/>
    <w:rsid w:val="00BF5F72"/>
    <w:rsid w:val="00BF600A"/>
    <w:rsid w:val="00BF6477"/>
    <w:rsid w:val="00BF64A1"/>
    <w:rsid w:val="00BF66D1"/>
    <w:rsid w:val="00BF67EF"/>
    <w:rsid w:val="00BF6A25"/>
    <w:rsid w:val="00BF6B5D"/>
    <w:rsid w:val="00BF6B63"/>
    <w:rsid w:val="00BF6B6B"/>
    <w:rsid w:val="00BF6BCD"/>
    <w:rsid w:val="00BF6D39"/>
    <w:rsid w:val="00BF6D92"/>
    <w:rsid w:val="00BF6DB9"/>
    <w:rsid w:val="00BF6EE7"/>
    <w:rsid w:val="00BF6F68"/>
    <w:rsid w:val="00BF7224"/>
    <w:rsid w:val="00BF7327"/>
    <w:rsid w:val="00BF73DA"/>
    <w:rsid w:val="00BF7570"/>
    <w:rsid w:val="00BF76AE"/>
    <w:rsid w:val="00BF7812"/>
    <w:rsid w:val="00BF7965"/>
    <w:rsid w:val="00BF79AE"/>
    <w:rsid w:val="00BF79BB"/>
    <w:rsid w:val="00BF7B38"/>
    <w:rsid w:val="00BF7CA0"/>
    <w:rsid w:val="00BF7DEA"/>
    <w:rsid w:val="00BF7F0F"/>
    <w:rsid w:val="00C00025"/>
    <w:rsid w:val="00C000D3"/>
    <w:rsid w:val="00C00408"/>
    <w:rsid w:val="00C004FF"/>
    <w:rsid w:val="00C005FA"/>
    <w:rsid w:val="00C0072F"/>
    <w:rsid w:val="00C0073A"/>
    <w:rsid w:val="00C00745"/>
    <w:rsid w:val="00C0090D"/>
    <w:rsid w:val="00C0092B"/>
    <w:rsid w:val="00C00A19"/>
    <w:rsid w:val="00C00AE8"/>
    <w:rsid w:val="00C00B1F"/>
    <w:rsid w:val="00C00B42"/>
    <w:rsid w:val="00C00CA4"/>
    <w:rsid w:val="00C00DE0"/>
    <w:rsid w:val="00C00E1F"/>
    <w:rsid w:val="00C00EE0"/>
    <w:rsid w:val="00C00F57"/>
    <w:rsid w:val="00C00FAB"/>
    <w:rsid w:val="00C0102B"/>
    <w:rsid w:val="00C0108A"/>
    <w:rsid w:val="00C010B0"/>
    <w:rsid w:val="00C01144"/>
    <w:rsid w:val="00C0142C"/>
    <w:rsid w:val="00C015CE"/>
    <w:rsid w:val="00C017AF"/>
    <w:rsid w:val="00C0196B"/>
    <w:rsid w:val="00C01990"/>
    <w:rsid w:val="00C01A69"/>
    <w:rsid w:val="00C01A7A"/>
    <w:rsid w:val="00C01B2F"/>
    <w:rsid w:val="00C01BD3"/>
    <w:rsid w:val="00C01CD2"/>
    <w:rsid w:val="00C01CEC"/>
    <w:rsid w:val="00C01EC6"/>
    <w:rsid w:val="00C01F27"/>
    <w:rsid w:val="00C01FFC"/>
    <w:rsid w:val="00C02033"/>
    <w:rsid w:val="00C02238"/>
    <w:rsid w:val="00C0226D"/>
    <w:rsid w:val="00C02345"/>
    <w:rsid w:val="00C02379"/>
    <w:rsid w:val="00C0240B"/>
    <w:rsid w:val="00C02426"/>
    <w:rsid w:val="00C026C7"/>
    <w:rsid w:val="00C0272B"/>
    <w:rsid w:val="00C02797"/>
    <w:rsid w:val="00C02A1A"/>
    <w:rsid w:val="00C02ABD"/>
    <w:rsid w:val="00C02AFB"/>
    <w:rsid w:val="00C02C53"/>
    <w:rsid w:val="00C02C7D"/>
    <w:rsid w:val="00C02C8E"/>
    <w:rsid w:val="00C02D55"/>
    <w:rsid w:val="00C02D8A"/>
    <w:rsid w:val="00C02FAE"/>
    <w:rsid w:val="00C03023"/>
    <w:rsid w:val="00C0303F"/>
    <w:rsid w:val="00C03091"/>
    <w:rsid w:val="00C03258"/>
    <w:rsid w:val="00C03332"/>
    <w:rsid w:val="00C0350F"/>
    <w:rsid w:val="00C035BD"/>
    <w:rsid w:val="00C0366E"/>
    <w:rsid w:val="00C03940"/>
    <w:rsid w:val="00C0396D"/>
    <w:rsid w:val="00C039A2"/>
    <w:rsid w:val="00C03A63"/>
    <w:rsid w:val="00C03B3B"/>
    <w:rsid w:val="00C03B78"/>
    <w:rsid w:val="00C03C99"/>
    <w:rsid w:val="00C03CAE"/>
    <w:rsid w:val="00C03D37"/>
    <w:rsid w:val="00C03D5F"/>
    <w:rsid w:val="00C03E48"/>
    <w:rsid w:val="00C0418E"/>
    <w:rsid w:val="00C0422C"/>
    <w:rsid w:val="00C0443F"/>
    <w:rsid w:val="00C045BC"/>
    <w:rsid w:val="00C04694"/>
    <w:rsid w:val="00C047B2"/>
    <w:rsid w:val="00C04819"/>
    <w:rsid w:val="00C0483F"/>
    <w:rsid w:val="00C048AA"/>
    <w:rsid w:val="00C048AE"/>
    <w:rsid w:val="00C048F3"/>
    <w:rsid w:val="00C04AF3"/>
    <w:rsid w:val="00C04B9F"/>
    <w:rsid w:val="00C04C79"/>
    <w:rsid w:val="00C04D58"/>
    <w:rsid w:val="00C04DFE"/>
    <w:rsid w:val="00C04E12"/>
    <w:rsid w:val="00C04E9C"/>
    <w:rsid w:val="00C050D7"/>
    <w:rsid w:val="00C05461"/>
    <w:rsid w:val="00C054D6"/>
    <w:rsid w:val="00C054E8"/>
    <w:rsid w:val="00C0568E"/>
    <w:rsid w:val="00C05800"/>
    <w:rsid w:val="00C05896"/>
    <w:rsid w:val="00C059B2"/>
    <w:rsid w:val="00C05A54"/>
    <w:rsid w:val="00C05D09"/>
    <w:rsid w:val="00C05D0A"/>
    <w:rsid w:val="00C05D4A"/>
    <w:rsid w:val="00C060CE"/>
    <w:rsid w:val="00C060EA"/>
    <w:rsid w:val="00C0611C"/>
    <w:rsid w:val="00C06302"/>
    <w:rsid w:val="00C064E7"/>
    <w:rsid w:val="00C06690"/>
    <w:rsid w:val="00C0695B"/>
    <w:rsid w:val="00C06AB6"/>
    <w:rsid w:val="00C06BE5"/>
    <w:rsid w:val="00C06D6D"/>
    <w:rsid w:val="00C06E8E"/>
    <w:rsid w:val="00C06ECD"/>
    <w:rsid w:val="00C06F6D"/>
    <w:rsid w:val="00C0705C"/>
    <w:rsid w:val="00C071EB"/>
    <w:rsid w:val="00C07294"/>
    <w:rsid w:val="00C07313"/>
    <w:rsid w:val="00C07379"/>
    <w:rsid w:val="00C0737E"/>
    <w:rsid w:val="00C073F5"/>
    <w:rsid w:val="00C07415"/>
    <w:rsid w:val="00C0748C"/>
    <w:rsid w:val="00C074CB"/>
    <w:rsid w:val="00C07758"/>
    <w:rsid w:val="00C077AF"/>
    <w:rsid w:val="00C077E8"/>
    <w:rsid w:val="00C0793B"/>
    <w:rsid w:val="00C07A50"/>
    <w:rsid w:val="00C07AA6"/>
    <w:rsid w:val="00C07B5F"/>
    <w:rsid w:val="00C07BE3"/>
    <w:rsid w:val="00C07D9E"/>
    <w:rsid w:val="00C07DC0"/>
    <w:rsid w:val="00C07E05"/>
    <w:rsid w:val="00C07E2C"/>
    <w:rsid w:val="00C07F10"/>
    <w:rsid w:val="00C07FF8"/>
    <w:rsid w:val="00C1000A"/>
    <w:rsid w:val="00C100B6"/>
    <w:rsid w:val="00C104BF"/>
    <w:rsid w:val="00C105BE"/>
    <w:rsid w:val="00C10652"/>
    <w:rsid w:val="00C106B3"/>
    <w:rsid w:val="00C106BC"/>
    <w:rsid w:val="00C106C3"/>
    <w:rsid w:val="00C10734"/>
    <w:rsid w:val="00C10822"/>
    <w:rsid w:val="00C10A86"/>
    <w:rsid w:val="00C10AAD"/>
    <w:rsid w:val="00C10ADD"/>
    <w:rsid w:val="00C10B09"/>
    <w:rsid w:val="00C10E67"/>
    <w:rsid w:val="00C10E88"/>
    <w:rsid w:val="00C10FB4"/>
    <w:rsid w:val="00C11016"/>
    <w:rsid w:val="00C110AE"/>
    <w:rsid w:val="00C110B4"/>
    <w:rsid w:val="00C11134"/>
    <w:rsid w:val="00C111D0"/>
    <w:rsid w:val="00C11291"/>
    <w:rsid w:val="00C112FB"/>
    <w:rsid w:val="00C11359"/>
    <w:rsid w:val="00C11407"/>
    <w:rsid w:val="00C115A3"/>
    <w:rsid w:val="00C11621"/>
    <w:rsid w:val="00C116CD"/>
    <w:rsid w:val="00C11772"/>
    <w:rsid w:val="00C11B85"/>
    <w:rsid w:val="00C11C7B"/>
    <w:rsid w:val="00C11CBA"/>
    <w:rsid w:val="00C11DCB"/>
    <w:rsid w:val="00C11F03"/>
    <w:rsid w:val="00C11F26"/>
    <w:rsid w:val="00C11F5D"/>
    <w:rsid w:val="00C1214D"/>
    <w:rsid w:val="00C12220"/>
    <w:rsid w:val="00C12301"/>
    <w:rsid w:val="00C123F5"/>
    <w:rsid w:val="00C123FD"/>
    <w:rsid w:val="00C1267C"/>
    <w:rsid w:val="00C126EA"/>
    <w:rsid w:val="00C12768"/>
    <w:rsid w:val="00C128C4"/>
    <w:rsid w:val="00C1292B"/>
    <w:rsid w:val="00C129A1"/>
    <w:rsid w:val="00C12A26"/>
    <w:rsid w:val="00C12AA0"/>
    <w:rsid w:val="00C12D9E"/>
    <w:rsid w:val="00C12E0A"/>
    <w:rsid w:val="00C12F48"/>
    <w:rsid w:val="00C13092"/>
    <w:rsid w:val="00C130D2"/>
    <w:rsid w:val="00C131BC"/>
    <w:rsid w:val="00C133CD"/>
    <w:rsid w:val="00C13437"/>
    <w:rsid w:val="00C137E3"/>
    <w:rsid w:val="00C13830"/>
    <w:rsid w:val="00C138C1"/>
    <w:rsid w:val="00C1393C"/>
    <w:rsid w:val="00C13A2E"/>
    <w:rsid w:val="00C13CD3"/>
    <w:rsid w:val="00C13DE2"/>
    <w:rsid w:val="00C13DEC"/>
    <w:rsid w:val="00C13EFB"/>
    <w:rsid w:val="00C13F1E"/>
    <w:rsid w:val="00C13FD8"/>
    <w:rsid w:val="00C1409B"/>
    <w:rsid w:val="00C14106"/>
    <w:rsid w:val="00C14342"/>
    <w:rsid w:val="00C14534"/>
    <w:rsid w:val="00C146ED"/>
    <w:rsid w:val="00C147BC"/>
    <w:rsid w:val="00C1482B"/>
    <w:rsid w:val="00C14911"/>
    <w:rsid w:val="00C14AE9"/>
    <w:rsid w:val="00C14B17"/>
    <w:rsid w:val="00C14B1F"/>
    <w:rsid w:val="00C14B62"/>
    <w:rsid w:val="00C14CD4"/>
    <w:rsid w:val="00C14D8D"/>
    <w:rsid w:val="00C14E4F"/>
    <w:rsid w:val="00C14E6B"/>
    <w:rsid w:val="00C14E9C"/>
    <w:rsid w:val="00C14F90"/>
    <w:rsid w:val="00C1520F"/>
    <w:rsid w:val="00C15243"/>
    <w:rsid w:val="00C152C0"/>
    <w:rsid w:val="00C15349"/>
    <w:rsid w:val="00C1543F"/>
    <w:rsid w:val="00C154CA"/>
    <w:rsid w:val="00C154E7"/>
    <w:rsid w:val="00C156AC"/>
    <w:rsid w:val="00C1576E"/>
    <w:rsid w:val="00C15791"/>
    <w:rsid w:val="00C15885"/>
    <w:rsid w:val="00C15893"/>
    <w:rsid w:val="00C15A10"/>
    <w:rsid w:val="00C15A11"/>
    <w:rsid w:val="00C15C39"/>
    <w:rsid w:val="00C15C8E"/>
    <w:rsid w:val="00C15D1A"/>
    <w:rsid w:val="00C15E00"/>
    <w:rsid w:val="00C15EEC"/>
    <w:rsid w:val="00C15F20"/>
    <w:rsid w:val="00C15FF3"/>
    <w:rsid w:val="00C16359"/>
    <w:rsid w:val="00C163EC"/>
    <w:rsid w:val="00C166CA"/>
    <w:rsid w:val="00C16777"/>
    <w:rsid w:val="00C16929"/>
    <w:rsid w:val="00C1699E"/>
    <w:rsid w:val="00C16A38"/>
    <w:rsid w:val="00C16AC0"/>
    <w:rsid w:val="00C16D6C"/>
    <w:rsid w:val="00C16E8B"/>
    <w:rsid w:val="00C16F13"/>
    <w:rsid w:val="00C16F55"/>
    <w:rsid w:val="00C17114"/>
    <w:rsid w:val="00C17129"/>
    <w:rsid w:val="00C1720B"/>
    <w:rsid w:val="00C17315"/>
    <w:rsid w:val="00C17409"/>
    <w:rsid w:val="00C17472"/>
    <w:rsid w:val="00C174AF"/>
    <w:rsid w:val="00C1756D"/>
    <w:rsid w:val="00C17798"/>
    <w:rsid w:val="00C177C3"/>
    <w:rsid w:val="00C17889"/>
    <w:rsid w:val="00C17A4C"/>
    <w:rsid w:val="00C17A9B"/>
    <w:rsid w:val="00C17B5F"/>
    <w:rsid w:val="00C17D62"/>
    <w:rsid w:val="00C17E28"/>
    <w:rsid w:val="00C17FB0"/>
    <w:rsid w:val="00C201AE"/>
    <w:rsid w:val="00C2038D"/>
    <w:rsid w:val="00C203F1"/>
    <w:rsid w:val="00C206F0"/>
    <w:rsid w:val="00C208BD"/>
    <w:rsid w:val="00C209CC"/>
    <w:rsid w:val="00C20D17"/>
    <w:rsid w:val="00C20D75"/>
    <w:rsid w:val="00C20E20"/>
    <w:rsid w:val="00C20FF7"/>
    <w:rsid w:val="00C21094"/>
    <w:rsid w:val="00C210B4"/>
    <w:rsid w:val="00C21121"/>
    <w:rsid w:val="00C2118D"/>
    <w:rsid w:val="00C2124D"/>
    <w:rsid w:val="00C21327"/>
    <w:rsid w:val="00C214B0"/>
    <w:rsid w:val="00C214DE"/>
    <w:rsid w:val="00C21600"/>
    <w:rsid w:val="00C216D9"/>
    <w:rsid w:val="00C21705"/>
    <w:rsid w:val="00C217A8"/>
    <w:rsid w:val="00C21A63"/>
    <w:rsid w:val="00C21AB3"/>
    <w:rsid w:val="00C21AFF"/>
    <w:rsid w:val="00C21B2F"/>
    <w:rsid w:val="00C21C91"/>
    <w:rsid w:val="00C21CD2"/>
    <w:rsid w:val="00C21E7F"/>
    <w:rsid w:val="00C2209B"/>
    <w:rsid w:val="00C220C5"/>
    <w:rsid w:val="00C22124"/>
    <w:rsid w:val="00C221C7"/>
    <w:rsid w:val="00C224AB"/>
    <w:rsid w:val="00C22750"/>
    <w:rsid w:val="00C227D9"/>
    <w:rsid w:val="00C22B2C"/>
    <w:rsid w:val="00C22C67"/>
    <w:rsid w:val="00C22C6C"/>
    <w:rsid w:val="00C22CC8"/>
    <w:rsid w:val="00C22E65"/>
    <w:rsid w:val="00C22E6F"/>
    <w:rsid w:val="00C230AA"/>
    <w:rsid w:val="00C23138"/>
    <w:rsid w:val="00C231FA"/>
    <w:rsid w:val="00C23210"/>
    <w:rsid w:val="00C23322"/>
    <w:rsid w:val="00C233AA"/>
    <w:rsid w:val="00C23472"/>
    <w:rsid w:val="00C23684"/>
    <w:rsid w:val="00C236EA"/>
    <w:rsid w:val="00C23A20"/>
    <w:rsid w:val="00C23ACE"/>
    <w:rsid w:val="00C23ED2"/>
    <w:rsid w:val="00C23F98"/>
    <w:rsid w:val="00C23FE1"/>
    <w:rsid w:val="00C23FEB"/>
    <w:rsid w:val="00C24028"/>
    <w:rsid w:val="00C24185"/>
    <w:rsid w:val="00C241C3"/>
    <w:rsid w:val="00C241DD"/>
    <w:rsid w:val="00C2431A"/>
    <w:rsid w:val="00C2443A"/>
    <w:rsid w:val="00C2455D"/>
    <w:rsid w:val="00C24663"/>
    <w:rsid w:val="00C24757"/>
    <w:rsid w:val="00C247E1"/>
    <w:rsid w:val="00C247FC"/>
    <w:rsid w:val="00C2497E"/>
    <w:rsid w:val="00C249D7"/>
    <w:rsid w:val="00C249FE"/>
    <w:rsid w:val="00C24A9D"/>
    <w:rsid w:val="00C24C88"/>
    <w:rsid w:val="00C24EEA"/>
    <w:rsid w:val="00C24EFB"/>
    <w:rsid w:val="00C24FFC"/>
    <w:rsid w:val="00C2501D"/>
    <w:rsid w:val="00C250D0"/>
    <w:rsid w:val="00C25178"/>
    <w:rsid w:val="00C252DF"/>
    <w:rsid w:val="00C25361"/>
    <w:rsid w:val="00C25377"/>
    <w:rsid w:val="00C253D0"/>
    <w:rsid w:val="00C25455"/>
    <w:rsid w:val="00C254BA"/>
    <w:rsid w:val="00C255AE"/>
    <w:rsid w:val="00C25800"/>
    <w:rsid w:val="00C25866"/>
    <w:rsid w:val="00C25900"/>
    <w:rsid w:val="00C2592E"/>
    <w:rsid w:val="00C2595E"/>
    <w:rsid w:val="00C2595F"/>
    <w:rsid w:val="00C2599C"/>
    <w:rsid w:val="00C25A20"/>
    <w:rsid w:val="00C25A31"/>
    <w:rsid w:val="00C25A98"/>
    <w:rsid w:val="00C25AA5"/>
    <w:rsid w:val="00C25B21"/>
    <w:rsid w:val="00C25B75"/>
    <w:rsid w:val="00C25BFE"/>
    <w:rsid w:val="00C25C05"/>
    <w:rsid w:val="00C26150"/>
    <w:rsid w:val="00C262CE"/>
    <w:rsid w:val="00C26329"/>
    <w:rsid w:val="00C26371"/>
    <w:rsid w:val="00C26384"/>
    <w:rsid w:val="00C263FB"/>
    <w:rsid w:val="00C2665E"/>
    <w:rsid w:val="00C26794"/>
    <w:rsid w:val="00C268D0"/>
    <w:rsid w:val="00C26A10"/>
    <w:rsid w:val="00C26AD0"/>
    <w:rsid w:val="00C26AE4"/>
    <w:rsid w:val="00C26B6C"/>
    <w:rsid w:val="00C26C1C"/>
    <w:rsid w:val="00C26C60"/>
    <w:rsid w:val="00C26DAB"/>
    <w:rsid w:val="00C26EE1"/>
    <w:rsid w:val="00C26FAD"/>
    <w:rsid w:val="00C27011"/>
    <w:rsid w:val="00C27222"/>
    <w:rsid w:val="00C272EC"/>
    <w:rsid w:val="00C273E9"/>
    <w:rsid w:val="00C2756E"/>
    <w:rsid w:val="00C275E6"/>
    <w:rsid w:val="00C27676"/>
    <w:rsid w:val="00C2769E"/>
    <w:rsid w:val="00C277AE"/>
    <w:rsid w:val="00C278AE"/>
    <w:rsid w:val="00C2791E"/>
    <w:rsid w:val="00C27982"/>
    <w:rsid w:val="00C27A42"/>
    <w:rsid w:val="00C27C9B"/>
    <w:rsid w:val="00C27E2E"/>
    <w:rsid w:val="00C30046"/>
    <w:rsid w:val="00C300F3"/>
    <w:rsid w:val="00C30229"/>
    <w:rsid w:val="00C30244"/>
    <w:rsid w:val="00C30303"/>
    <w:rsid w:val="00C30392"/>
    <w:rsid w:val="00C30500"/>
    <w:rsid w:val="00C30516"/>
    <w:rsid w:val="00C305CB"/>
    <w:rsid w:val="00C305D6"/>
    <w:rsid w:val="00C30610"/>
    <w:rsid w:val="00C30770"/>
    <w:rsid w:val="00C308BA"/>
    <w:rsid w:val="00C308E6"/>
    <w:rsid w:val="00C30A00"/>
    <w:rsid w:val="00C30ADD"/>
    <w:rsid w:val="00C30AEF"/>
    <w:rsid w:val="00C30DED"/>
    <w:rsid w:val="00C30E9D"/>
    <w:rsid w:val="00C310CB"/>
    <w:rsid w:val="00C311BF"/>
    <w:rsid w:val="00C311D3"/>
    <w:rsid w:val="00C311EC"/>
    <w:rsid w:val="00C312F8"/>
    <w:rsid w:val="00C31481"/>
    <w:rsid w:val="00C31666"/>
    <w:rsid w:val="00C31678"/>
    <w:rsid w:val="00C3170A"/>
    <w:rsid w:val="00C3175A"/>
    <w:rsid w:val="00C3177F"/>
    <w:rsid w:val="00C31790"/>
    <w:rsid w:val="00C3179F"/>
    <w:rsid w:val="00C31875"/>
    <w:rsid w:val="00C318A2"/>
    <w:rsid w:val="00C3191E"/>
    <w:rsid w:val="00C31A6F"/>
    <w:rsid w:val="00C31AAC"/>
    <w:rsid w:val="00C31C09"/>
    <w:rsid w:val="00C31CB1"/>
    <w:rsid w:val="00C31E6E"/>
    <w:rsid w:val="00C31F04"/>
    <w:rsid w:val="00C31F92"/>
    <w:rsid w:val="00C320E5"/>
    <w:rsid w:val="00C32180"/>
    <w:rsid w:val="00C321C8"/>
    <w:rsid w:val="00C3232C"/>
    <w:rsid w:val="00C326D1"/>
    <w:rsid w:val="00C32770"/>
    <w:rsid w:val="00C327E3"/>
    <w:rsid w:val="00C32943"/>
    <w:rsid w:val="00C32973"/>
    <w:rsid w:val="00C32C39"/>
    <w:rsid w:val="00C32C67"/>
    <w:rsid w:val="00C32D28"/>
    <w:rsid w:val="00C32DA9"/>
    <w:rsid w:val="00C32E0D"/>
    <w:rsid w:val="00C32F78"/>
    <w:rsid w:val="00C33067"/>
    <w:rsid w:val="00C331AB"/>
    <w:rsid w:val="00C3325D"/>
    <w:rsid w:val="00C33332"/>
    <w:rsid w:val="00C33394"/>
    <w:rsid w:val="00C334BB"/>
    <w:rsid w:val="00C33549"/>
    <w:rsid w:val="00C33571"/>
    <w:rsid w:val="00C33634"/>
    <w:rsid w:val="00C337E4"/>
    <w:rsid w:val="00C338DB"/>
    <w:rsid w:val="00C3396F"/>
    <w:rsid w:val="00C33EBD"/>
    <w:rsid w:val="00C33F82"/>
    <w:rsid w:val="00C340C7"/>
    <w:rsid w:val="00C341CA"/>
    <w:rsid w:val="00C34210"/>
    <w:rsid w:val="00C34214"/>
    <w:rsid w:val="00C34252"/>
    <w:rsid w:val="00C346D9"/>
    <w:rsid w:val="00C346FD"/>
    <w:rsid w:val="00C34704"/>
    <w:rsid w:val="00C34738"/>
    <w:rsid w:val="00C34785"/>
    <w:rsid w:val="00C348E3"/>
    <w:rsid w:val="00C34B87"/>
    <w:rsid w:val="00C34BAC"/>
    <w:rsid w:val="00C34C30"/>
    <w:rsid w:val="00C34D05"/>
    <w:rsid w:val="00C34E78"/>
    <w:rsid w:val="00C34F38"/>
    <w:rsid w:val="00C34F5D"/>
    <w:rsid w:val="00C350C0"/>
    <w:rsid w:val="00C35165"/>
    <w:rsid w:val="00C351B4"/>
    <w:rsid w:val="00C3521C"/>
    <w:rsid w:val="00C35293"/>
    <w:rsid w:val="00C354C5"/>
    <w:rsid w:val="00C3561E"/>
    <w:rsid w:val="00C35676"/>
    <w:rsid w:val="00C35865"/>
    <w:rsid w:val="00C35BE7"/>
    <w:rsid w:val="00C35C7C"/>
    <w:rsid w:val="00C35CB6"/>
    <w:rsid w:val="00C35DAC"/>
    <w:rsid w:val="00C35F00"/>
    <w:rsid w:val="00C35F22"/>
    <w:rsid w:val="00C3612E"/>
    <w:rsid w:val="00C361EB"/>
    <w:rsid w:val="00C36215"/>
    <w:rsid w:val="00C36236"/>
    <w:rsid w:val="00C363F4"/>
    <w:rsid w:val="00C36452"/>
    <w:rsid w:val="00C36461"/>
    <w:rsid w:val="00C365DB"/>
    <w:rsid w:val="00C366DE"/>
    <w:rsid w:val="00C36709"/>
    <w:rsid w:val="00C3670E"/>
    <w:rsid w:val="00C3681F"/>
    <w:rsid w:val="00C36A58"/>
    <w:rsid w:val="00C36C75"/>
    <w:rsid w:val="00C36CAF"/>
    <w:rsid w:val="00C36DA6"/>
    <w:rsid w:val="00C36EB0"/>
    <w:rsid w:val="00C36F4A"/>
    <w:rsid w:val="00C371C1"/>
    <w:rsid w:val="00C372BF"/>
    <w:rsid w:val="00C37306"/>
    <w:rsid w:val="00C37358"/>
    <w:rsid w:val="00C37442"/>
    <w:rsid w:val="00C374F9"/>
    <w:rsid w:val="00C37525"/>
    <w:rsid w:val="00C3756C"/>
    <w:rsid w:val="00C37613"/>
    <w:rsid w:val="00C3764E"/>
    <w:rsid w:val="00C3779A"/>
    <w:rsid w:val="00C378C3"/>
    <w:rsid w:val="00C37A72"/>
    <w:rsid w:val="00C37B5D"/>
    <w:rsid w:val="00C37C25"/>
    <w:rsid w:val="00C37C92"/>
    <w:rsid w:val="00C37D0E"/>
    <w:rsid w:val="00C37DF3"/>
    <w:rsid w:val="00C37FBE"/>
    <w:rsid w:val="00C4001F"/>
    <w:rsid w:val="00C40086"/>
    <w:rsid w:val="00C40187"/>
    <w:rsid w:val="00C40307"/>
    <w:rsid w:val="00C403E0"/>
    <w:rsid w:val="00C4045B"/>
    <w:rsid w:val="00C40578"/>
    <w:rsid w:val="00C40748"/>
    <w:rsid w:val="00C407A0"/>
    <w:rsid w:val="00C407FB"/>
    <w:rsid w:val="00C4090D"/>
    <w:rsid w:val="00C4094E"/>
    <w:rsid w:val="00C4095C"/>
    <w:rsid w:val="00C40C4C"/>
    <w:rsid w:val="00C40C57"/>
    <w:rsid w:val="00C40DF1"/>
    <w:rsid w:val="00C40EAD"/>
    <w:rsid w:val="00C4104B"/>
    <w:rsid w:val="00C410A5"/>
    <w:rsid w:val="00C412A9"/>
    <w:rsid w:val="00C41323"/>
    <w:rsid w:val="00C416EE"/>
    <w:rsid w:val="00C41B2C"/>
    <w:rsid w:val="00C41D6C"/>
    <w:rsid w:val="00C41DC0"/>
    <w:rsid w:val="00C41E9A"/>
    <w:rsid w:val="00C41EA2"/>
    <w:rsid w:val="00C4209C"/>
    <w:rsid w:val="00C42272"/>
    <w:rsid w:val="00C42342"/>
    <w:rsid w:val="00C423B5"/>
    <w:rsid w:val="00C423B9"/>
    <w:rsid w:val="00C42491"/>
    <w:rsid w:val="00C424CC"/>
    <w:rsid w:val="00C42529"/>
    <w:rsid w:val="00C42579"/>
    <w:rsid w:val="00C42613"/>
    <w:rsid w:val="00C42648"/>
    <w:rsid w:val="00C42702"/>
    <w:rsid w:val="00C42810"/>
    <w:rsid w:val="00C42844"/>
    <w:rsid w:val="00C42884"/>
    <w:rsid w:val="00C428B0"/>
    <w:rsid w:val="00C42C6D"/>
    <w:rsid w:val="00C42CAA"/>
    <w:rsid w:val="00C42CBE"/>
    <w:rsid w:val="00C42D20"/>
    <w:rsid w:val="00C42D9E"/>
    <w:rsid w:val="00C42DC0"/>
    <w:rsid w:val="00C42F0F"/>
    <w:rsid w:val="00C433AC"/>
    <w:rsid w:val="00C434DF"/>
    <w:rsid w:val="00C434F3"/>
    <w:rsid w:val="00C43571"/>
    <w:rsid w:val="00C43651"/>
    <w:rsid w:val="00C436A2"/>
    <w:rsid w:val="00C43898"/>
    <w:rsid w:val="00C438D6"/>
    <w:rsid w:val="00C43A90"/>
    <w:rsid w:val="00C43AEF"/>
    <w:rsid w:val="00C43C16"/>
    <w:rsid w:val="00C43C28"/>
    <w:rsid w:val="00C43C55"/>
    <w:rsid w:val="00C43F40"/>
    <w:rsid w:val="00C43FA6"/>
    <w:rsid w:val="00C4405C"/>
    <w:rsid w:val="00C4415B"/>
    <w:rsid w:val="00C44228"/>
    <w:rsid w:val="00C44359"/>
    <w:rsid w:val="00C443E9"/>
    <w:rsid w:val="00C444ED"/>
    <w:rsid w:val="00C44A4C"/>
    <w:rsid w:val="00C44B4C"/>
    <w:rsid w:val="00C44C82"/>
    <w:rsid w:val="00C44C8F"/>
    <w:rsid w:val="00C44CF2"/>
    <w:rsid w:val="00C44ED5"/>
    <w:rsid w:val="00C44F30"/>
    <w:rsid w:val="00C44FB5"/>
    <w:rsid w:val="00C44FDC"/>
    <w:rsid w:val="00C45004"/>
    <w:rsid w:val="00C450F4"/>
    <w:rsid w:val="00C45126"/>
    <w:rsid w:val="00C454AE"/>
    <w:rsid w:val="00C455DC"/>
    <w:rsid w:val="00C45623"/>
    <w:rsid w:val="00C45718"/>
    <w:rsid w:val="00C4574C"/>
    <w:rsid w:val="00C457C8"/>
    <w:rsid w:val="00C458B1"/>
    <w:rsid w:val="00C45A3C"/>
    <w:rsid w:val="00C45A4D"/>
    <w:rsid w:val="00C45A64"/>
    <w:rsid w:val="00C45A7C"/>
    <w:rsid w:val="00C45B4E"/>
    <w:rsid w:val="00C45B57"/>
    <w:rsid w:val="00C45B89"/>
    <w:rsid w:val="00C45C22"/>
    <w:rsid w:val="00C45E8E"/>
    <w:rsid w:val="00C45EF0"/>
    <w:rsid w:val="00C45F57"/>
    <w:rsid w:val="00C4601F"/>
    <w:rsid w:val="00C4607B"/>
    <w:rsid w:val="00C460A9"/>
    <w:rsid w:val="00C460EB"/>
    <w:rsid w:val="00C4618B"/>
    <w:rsid w:val="00C461BA"/>
    <w:rsid w:val="00C461F8"/>
    <w:rsid w:val="00C4625F"/>
    <w:rsid w:val="00C4626E"/>
    <w:rsid w:val="00C462F8"/>
    <w:rsid w:val="00C463EE"/>
    <w:rsid w:val="00C4663E"/>
    <w:rsid w:val="00C466F5"/>
    <w:rsid w:val="00C46714"/>
    <w:rsid w:val="00C46728"/>
    <w:rsid w:val="00C469D9"/>
    <w:rsid w:val="00C46A1B"/>
    <w:rsid w:val="00C46A1E"/>
    <w:rsid w:val="00C46B1C"/>
    <w:rsid w:val="00C46E23"/>
    <w:rsid w:val="00C46E91"/>
    <w:rsid w:val="00C4724B"/>
    <w:rsid w:val="00C47370"/>
    <w:rsid w:val="00C47375"/>
    <w:rsid w:val="00C473B5"/>
    <w:rsid w:val="00C47407"/>
    <w:rsid w:val="00C4757D"/>
    <w:rsid w:val="00C47591"/>
    <w:rsid w:val="00C476AB"/>
    <w:rsid w:val="00C477AC"/>
    <w:rsid w:val="00C47845"/>
    <w:rsid w:val="00C4790B"/>
    <w:rsid w:val="00C47A10"/>
    <w:rsid w:val="00C47A1C"/>
    <w:rsid w:val="00C47B04"/>
    <w:rsid w:val="00C47C62"/>
    <w:rsid w:val="00C47C99"/>
    <w:rsid w:val="00C50098"/>
    <w:rsid w:val="00C50186"/>
    <w:rsid w:val="00C50228"/>
    <w:rsid w:val="00C502B0"/>
    <w:rsid w:val="00C5030D"/>
    <w:rsid w:val="00C5043E"/>
    <w:rsid w:val="00C50653"/>
    <w:rsid w:val="00C506AF"/>
    <w:rsid w:val="00C50762"/>
    <w:rsid w:val="00C5086F"/>
    <w:rsid w:val="00C509AA"/>
    <w:rsid w:val="00C50B0E"/>
    <w:rsid w:val="00C50B28"/>
    <w:rsid w:val="00C50B44"/>
    <w:rsid w:val="00C50CDC"/>
    <w:rsid w:val="00C50D84"/>
    <w:rsid w:val="00C50DB7"/>
    <w:rsid w:val="00C50E7A"/>
    <w:rsid w:val="00C50E7C"/>
    <w:rsid w:val="00C50F1A"/>
    <w:rsid w:val="00C51105"/>
    <w:rsid w:val="00C51257"/>
    <w:rsid w:val="00C5125B"/>
    <w:rsid w:val="00C51346"/>
    <w:rsid w:val="00C51357"/>
    <w:rsid w:val="00C513C5"/>
    <w:rsid w:val="00C514B7"/>
    <w:rsid w:val="00C5177D"/>
    <w:rsid w:val="00C517A1"/>
    <w:rsid w:val="00C517C2"/>
    <w:rsid w:val="00C51828"/>
    <w:rsid w:val="00C5182B"/>
    <w:rsid w:val="00C51867"/>
    <w:rsid w:val="00C51945"/>
    <w:rsid w:val="00C519C9"/>
    <w:rsid w:val="00C51A26"/>
    <w:rsid w:val="00C51AB9"/>
    <w:rsid w:val="00C51B08"/>
    <w:rsid w:val="00C51F18"/>
    <w:rsid w:val="00C52188"/>
    <w:rsid w:val="00C521CB"/>
    <w:rsid w:val="00C52241"/>
    <w:rsid w:val="00C52554"/>
    <w:rsid w:val="00C5257E"/>
    <w:rsid w:val="00C525A5"/>
    <w:rsid w:val="00C525C4"/>
    <w:rsid w:val="00C526A0"/>
    <w:rsid w:val="00C527C9"/>
    <w:rsid w:val="00C5291D"/>
    <w:rsid w:val="00C5292E"/>
    <w:rsid w:val="00C5297B"/>
    <w:rsid w:val="00C52A54"/>
    <w:rsid w:val="00C52B03"/>
    <w:rsid w:val="00C52CA3"/>
    <w:rsid w:val="00C52DD3"/>
    <w:rsid w:val="00C52DE9"/>
    <w:rsid w:val="00C52DFC"/>
    <w:rsid w:val="00C52F6D"/>
    <w:rsid w:val="00C52FE5"/>
    <w:rsid w:val="00C53179"/>
    <w:rsid w:val="00C5345E"/>
    <w:rsid w:val="00C53659"/>
    <w:rsid w:val="00C53669"/>
    <w:rsid w:val="00C53702"/>
    <w:rsid w:val="00C53761"/>
    <w:rsid w:val="00C538E4"/>
    <w:rsid w:val="00C53AD6"/>
    <w:rsid w:val="00C53BA2"/>
    <w:rsid w:val="00C53BC5"/>
    <w:rsid w:val="00C53C52"/>
    <w:rsid w:val="00C53EB4"/>
    <w:rsid w:val="00C53F58"/>
    <w:rsid w:val="00C5405C"/>
    <w:rsid w:val="00C540BD"/>
    <w:rsid w:val="00C54100"/>
    <w:rsid w:val="00C5413C"/>
    <w:rsid w:val="00C541A5"/>
    <w:rsid w:val="00C541D4"/>
    <w:rsid w:val="00C5425C"/>
    <w:rsid w:val="00C542B0"/>
    <w:rsid w:val="00C543D7"/>
    <w:rsid w:val="00C54400"/>
    <w:rsid w:val="00C5446F"/>
    <w:rsid w:val="00C54497"/>
    <w:rsid w:val="00C54818"/>
    <w:rsid w:val="00C54855"/>
    <w:rsid w:val="00C5487F"/>
    <w:rsid w:val="00C54898"/>
    <w:rsid w:val="00C548CD"/>
    <w:rsid w:val="00C54944"/>
    <w:rsid w:val="00C54983"/>
    <w:rsid w:val="00C549F5"/>
    <w:rsid w:val="00C54B2A"/>
    <w:rsid w:val="00C54C42"/>
    <w:rsid w:val="00C54E12"/>
    <w:rsid w:val="00C54FD3"/>
    <w:rsid w:val="00C55090"/>
    <w:rsid w:val="00C5518C"/>
    <w:rsid w:val="00C55289"/>
    <w:rsid w:val="00C5532F"/>
    <w:rsid w:val="00C55372"/>
    <w:rsid w:val="00C553F5"/>
    <w:rsid w:val="00C557FB"/>
    <w:rsid w:val="00C55AAA"/>
    <w:rsid w:val="00C55CA0"/>
    <w:rsid w:val="00C55CE9"/>
    <w:rsid w:val="00C55D94"/>
    <w:rsid w:val="00C55F26"/>
    <w:rsid w:val="00C561E0"/>
    <w:rsid w:val="00C562E1"/>
    <w:rsid w:val="00C56784"/>
    <w:rsid w:val="00C568CC"/>
    <w:rsid w:val="00C56C79"/>
    <w:rsid w:val="00C56D9E"/>
    <w:rsid w:val="00C56F83"/>
    <w:rsid w:val="00C5702D"/>
    <w:rsid w:val="00C572C5"/>
    <w:rsid w:val="00C5754D"/>
    <w:rsid w:val="00C576F9"/>
    <w:rsid w:val="00C579BC"/>
    <w:rsid w:val="00C57A9D"/>
    <w:rsid w:val="00C57BD7"/>
    <w:rsid w:val="00C57C25"/>
    <w:rsid w:val="00C57C4A"/>
    <w:rsid w:val="00C57CBB"/>
    <w:rsid w:val="00C57D47"/>
    <w:rsid w:val="00C57E5C"/>
    <w:rsid w:val="00C57F5B"/>
    <w:rsid w:val="00C6028E"/>
    <w:rsid w:val="00C60481"/>
    <w:rsid w:val="00C604A9"/>
    <w:rsid w:val="00C609B3"/>
    <w:rsid w:val="00C60C16"/>
    <w:rsid w:val="00C60CE2"/>
    <w:rsid w:val="00C60D96"/>
    <w:rsid w:val="00C60DBB"/>
    <w:rsid w:val="00C60DE8"/>
    <w:rsid w:val="00C60E17"/>
    <w:rsid w:val="00C60E37"/>
    <w:rsid w:val="00C60E79"/>
    <w:rsid w:val="00C60ED7"/>
    <w:rsid w:val="00C60EF2"/>
    <w:rsid w:val="00C60F33"/>
    <w:rsid w:val="00C60FFB"/>
    <w:rsid w:val="00C610F9"/>
    <w:rsid w:val="00C61143"/>
    <w:rsid w:val="00C61177"/>
    <w:rsid w:val="00C61324"/>
    <w:rsid w:val="00C6132F"/>
    <w:rsid w:val="00C613CD"/>
    <w:rsid w:val="00C61473"/>
    <w:rsid w:val="00C6157D"/>
    <w:rsid w:val="00C616D8"/>
    <w:rsid w:val="00C616F3"/>
    <w:rsid w:val="00C61705"/>
    <w:rsid w:val="00C61831"/>
    <w:rsid w:val="00C61836"/>
    <w:rsid w:val="00C61A0D"/>
    <w:rsid w:val="00C61CA4"/>
    <w:rsid w:val="00C61CA8"/>
    <w:rsid w:val="00C61DD8"/>
    <w:rsid w:val="00C61E43"/>
    <w:rsid w:val="00C62089"/>
    <w:rsid w:val="00C6216A"/>
    <w:rsid w:val="00C6217A"/>
    <w:rsid w:val="00C62191"/>
    <w:rsid w:val="00C6221A"/>
    <w:rsid w:val="00C62304"/>
    <w:rsid w:val="00C623FF"/>
    <w:rsid w:val="00C6243C"/>
    <w:rsid w:val="00C62451"/>
    <w:rsid w:val="00C6247B"/>
    <w:rsid w:val="00C6266A"/>
    <w:rsid w:val="00C62691"/>
    <w:rsid w:val="00C627C1"/>
    <w:rsid w:val="00C6289E"/>
    <w:rsid w:val="00C628D1"/>
    <w:rsid w:val="00C62944"/>
    <w:rsid w:val="00C62998"/>
    <w:rsid w:val="00C629A9"/>
    <w:rsid w:val="00C62B09"/>
    <w:rsid w:val="00C62B94"/>
    <w:rsid w:val="00C62BBE"/>
    <w:rsid w:val="00C62CDB"/>
    <w:rsid w:val="00C62E54"/>
    <w:rsid w:val="00C62F28"/>
    <w:rsid w:val="00C62FAB"/>
    <w:rsid w:val="00C63231"/>
    <w:rsid w:val="00C6335A"/>
    <w:rsid w:val="00C633B9"/>
    <w:rsid w:val="00C633E8"/>
    <w:rsid w:val="00C6341F"/>
    <w:rsid w:val="00C63687"/>
    <w:rsid w:val="00C63774"/>
    <w:rsid w:val="00C63955"/>
    <w:rsid w:val="00C63994"/>
    <w:rsid w:val="00C63B54"/>
    <w:rsid w:val="00C63C06"/>
    <w:rsid w:val="00C63C89"/>
    <w:rsid w:val="00C63ED3"/>
    <w:rsid w:val="00C63FE1"/>
    <w:rsid w:val="00C640E6"/>
    <w:rsid w:val="00C64227"/>
    <w:rsid w:val="00C64490"/>
    <w:rsid w:val="00C6476E"/>
    <w:rsid w:val="00C647C1"/>
    <w:rsid w:val="00C648EB"/>
    <w:rsid w:val="00C64904"/>
    <w:rsid w:val="00C64930"/>
    <w:rsid w:val="00C64ACB"/>
    <w:rsid w:val="00C64F0F"/>
    <w:rsid w:val="00C64F31"/>
    <w:rsid w:val="00C64FED"/>
    <w:rsid w:val="00C65266"/>
    <w:rsid w:val="00C6527A"/>
    <w:rsid w:val="00C652D8"/>
    <w:rsid w:val="00C653C4"/>
    <w:rsid w:val="00C6544B"/>
    <w:rsid w:val="00C654FE"/>
    <w:rsid w:val="00C6563F"/>
    <w:rsid w:val="00C65669"/>
    <w:rsid w:val="00C657CF"/>
    <w:rsid w:val="00C65A85"/>
    <w:rsid w:val="00C65AC1"/>
    <w:rsid w:val="00C65C7C"/>
    <w:rsid w:val="00C65F04"/>
    <w:rsid w:val="00C660BC"/>
    <w:rsid w:val="00C660C0"/>
    <w:rsid w:val="00C66228"/>
    <w:rsid w:val="00C662F1"/>
    <w:rsid w:val="00C6658D"/>
    <w:rsid w:val="00C6658F"/>
    <w:rsid w:val="00C6669A"/>
    <w:rsid w:val="00C6669D"/>
    <w:rsid w:val="00C666F3"/>
    <w:rsid w:val="00C66A87"/>
    <w:rsid w:val="00C66AD5"/>
    <w:rsid w:val="00C66B46"/>
    <w:rsid w:val="00C66B71"/>
    <w:rsid w:val="00C66B86"/>
    <w:rsid w:val="00C66BCF"/>
    <w:rsid w:val="00C66CA4"/>
    <w:rsid w:val="00C66CC8"/>
    <w:rsid w:val="00C66E51"/>
    <w:rsid w:val="00C66F02"/>
    <w:rsid w:val="00C670F8"/>
    <w:rsid w:val="00C671DA"/>
    <w:rsid w:val="00C6728F"/>
    <w:rsid w:val="00C672D0"/>
    <w:rsid w:val="00C67350"/>
    <w:rsid w:val="00C673C4"/>
    <w:rsid w:val="00C67627"/>
    <w:rsid w:val="00C676EE"/>
    <w:rsid w:val="00C67968"/>
    <w:rsid w:val="00C67B49"/>
    <w:rsid w:val="00C67C46"/>
    <w:rsid w:val="00C67CFA"/>
    <w:rsid w:val="00C67EC4"/>
    <w:rsid w:val="00C70101"/>
    <w:rsid w:val="00C701C0"/>
    <w:rsid w:val="00C7027D"/>
    <w:rsid w:val="00C70359"/>
    <w:rsid w:val="00C7044A"/>
    <w:rsid w:val="00C705BE"/>
    <w:rsid w:val="00C70733"/>
    <w:rsid w:val="00C707B7"/>
    <w:rsid w:val="00C70841"/>
    <w:rsid w:val="00C70907"/>
    <w:rsid w:val="00C70968"/>
    <w:rsid w:val="00C709D9"/>
    <w:rsid w:val="00C70AEB"/>
    <w:rsid w:val="00C70BE1"/>
    <w:rsid w:val="00C70C30"/>
    <w:rsid w:val="00C70C6B"/>
    <w:rsid w:val="00C70C70"/>
    <w:rsid w:val="00C70C94"/>
    <w:rsid w:val="00C70DE1"/>
    <w:rsid w:val="00C70FBB"/>
    <w:rsid w:val="00C71003"/>
    <w:rsid w:val="00C71074"/>
    <w:rsid w:val="00C711CF"/>
    <w:rsid w:val="00C71364"/>
    <w:rsid w:val="00C713F4"/>
    <w:rsid w:val="00C71584"/>
    <w:rsid w:val="00C7161F"/>
    <w:rsid w:val="00C71655"/>
    <w:rsid w:val="00C7167B"/>
    <w:rsid w:val="00C717C0"/>
    <w:rsid w:val="00C71994"/>
    <w:rsid w:val="00C71ADF"/>
    <w:rsid w:val="00C71D6D"/>
    <w:rsid w:val="00C71E9B"/>
    <w:rsid w:val="00C71FA8"/>
    <w:rsid w:val="00C7200C"/>
    <w:rsid w:val="00C7206E"/>
    <w:rsid w:val="00C7222C"/>
    <w:rsid w:val="00C722AF"/>
    <w:rsid w:val="00C722BA"/>
    <w:rsid w:val="00C724E7"/>
    <w:rsid w:val="00C724FE"/>
    <w:rsid w:val="00C726F0"/>
    <w:rsid w:val="00C7271F"/>
    <w:rsid w:val="00C72806"/>
    <w:rsid w:val="00C7289E"/>
    <w:rsid w:val="00C72AA2"/>
    <w:rsid w:val="00C72B90"/>
    <w:rsid w:val="00C72C06"/>
    <w:rsid w:val="00C72FE4"/>
    <w:rsid w:val="00C7319F"/>
    <w:rsid w:val="00C732B5"/>
    <w:rsid w:val="00C732F7"/>
    <w:rsid w:val="00C734A7"/>
    <w:rsid w:val="00C7350F"/>
    <w:rsid w:val="00C73523"/>
    <w:rsid w:val="00C7355D"/>
    <w:rsid w:val="00C73581"/>
    <w:rsid w:val="00C736AD"/>
    <w:rsid w:val="00C737DD"/>
    <w:rsid w:val="00C73B06"/>
    <w:rsid w:val="00C73B13"/>
    <w:rsid w:val="00C73D18"/>
    <w:rsid w:val="00C73DC3"/>
    <w:rsid w:val="00C73DF7"/>
    <w:rsid w:val="00C73FEC"/>
    <w:rsid w:val="00C74060"/>
    <w:rsid w:val="00C74161"/>
    <w:rsid w:val="00C7445C"/>
    <w:rsid w:val="00C7466D"/>
    <w:rsid w:val="00C74684"/>
    <w:rsid w:val="00C74722"/>
    <w:rsid w:val="00C7476B"/>
    <w:rsid w:val="00C74788"/>
    <w:rsid w:val="00C747FA"/>
    <w:rsid w:val="00C7480F"/>
    <w:rsid w:val="00C748DD"/>
    <w:rsid w:val="00C7499C"/>
    <w:rsid w:val="00C749D8"/>
    <w:rsid w:val="00C74B43"/>
    <w:rsid w:val="00C74C6E"/>
    <w:rsid w:val="00C74CD7"/>
    <w:rsid w:val="00C74CE8"/>
    <w:rsid w:val="00C74F95"/>
    <w:rsid w:val="00C750A1"/>
    <w:rsid w:val="00C751D2"/>
    <w:rsid w:val="00C754DA"/>
    <w:rsid w:val="00C7567C"/>
    <w:rsid w:val="00C756FD"/>
    <w:rsid w:val="00C7572E"/>
    <w:rsid w:val="00C75801"/>
    <w:rsid w:val="00C75836"/>
    <w:rsid w:val="00C7583A"/>
    <w:rsid w:val="00C75890"/>
    <w:rsid w:val="00C75910"/>
    <w:rsid w:val="00C7595D"/>
    <w:rsid w:val="00C75AA5"/>
    <w:rsid w:val="00C75B26"/>
    <w:rsid w:val="00C75B94"/>
    <w:rsid w:val="00C75C14"/>
    <w:rsid w:val="00C75EDF"/>
    <w:rsid w:val="00C75F0A"/>
    <w:rsid w:val="00C760C2"/>
    <w:rsid w:val="00C76112"/>
    <w:rsid w:val="00C76174"/>
    <w:rsid w:val="00C761E6"/>
    <w:rsid w:val="00C76232"/>
    <w:rsid w:val="00C76318"/>
    <w:rsid w:val="00C76347"/>
    <w:rsid w:val="00C765C8"/>
    <w:rsid w:val="00C7661A"/>
    <w:rsid w:val="00C7664E"/>
    <w:rsid w:val="00C76777"/>
    <w:rsid w:val="00C767E1"/>
    <w:rsid w:val="00C76875"/>
    <w:rsid w:val="00C76908"/>
    <w:rsid w:val="00C76976"/>
    <w:rsid w:val="00C76AB3"/>
    <w:rsid w:val="00C76CB1"/>
    <w:rsid w:val="00C76D1E"/>
    <w:rsid w:val="00C76DC9"/>
    <w:rsid w:val="00C76EDD"/>
    <w:rsid w:val="00C7728B"/>
    <w:rsid w:val="00C772E6"/>
    <w:rsid w:val="00C7733E"/>
    <w:rsid w:val="00C77558"/>
    <w:rsid w:val="00C77694"/>
    <w:rsid w:val="00C77970"/>
    <w:rsid w:val="00C77A37"/>
    <w:rsid w:val="00C77B48"/>
    <w:rsid w:val="00C77BDD"/>
    <w:rsid w:val="00C77C35"/>
    <w:rsid w:val="00C77D5B"/>
    <w:rsid w:val="00C77D5C"/>
    <w:rsid w:val="00C77D98"/>
    <w:rsid w:val="00C77DB0"/>
    <w:rsid w:val="00C77E38"/>
    <w:rsid w:val="00C77FC5"/>
    <w:rsid w:val="00C77FF9"/>
    <w:rsid w:val="00C80094"/>
    <w:rsid w:val="00C800C1"/>
    <w:rsid w:val="00C80142"/>
    <w:rsid w:val="00C80256"/>
    <w:rsid w:val="00C802A2"/>
    <w:rsid w:val="00C803EC"/>
    <w:rsid w:val="00C80424"/>
    <w:rsid w:val="00C805BD"/>
    <w:rsid w:val="00C806C1"/>
    <w:rsid w:val="00C808CE"/>
    <w:rsid w:val="00C809CC"/>
    <w:rsid w:val="00C80B9A"/>
    <w:rsid w:val="00C80C3C"/>
    <w:rsid w:val="00C80DEF"/>
    <w:rsid w:val="00C80EF3"/>
    <w:rsid w:val="00C811DF"/>
    <w:rsid w:val="00C8125B"/>
    <w:rsid w:val="00C812C0"/>
    <w:rsid w:val="00C812DF"/>
    <w:rsid w:val="00C81402"/>
    <w:rsid w:val="00C81526"/>
    <w:rsid w:val="00C81728"/>
    <w:rsid w:val="00C81788"/>
    <w:rsid w:val="00C81956"/>
    <w:rsid w:val="00C81A30"/>
    <w:rsid w:val="00C81A85"/>
    <w:rsid w:val="00C81B87"/>
    <w:rsid w:val="00C81C51"/>
    <w:rsid w:val="00C81CE3"/>
    <w:rsid w:val="00C81D8C"/>
    <w:rsid w:val="00C81E38"/>
    <w:rsid w:val="00C81EBE"/>
    <w:rsid w:val="00C825FE"/>
    <w:rsid w:val="00C826F0"/>
    <w:rsid w:val="00C828EE"/>
    <w:rsid w:val="00C82A71"/>
    <w:rsid w:val="00C82B58"/>
    <w:rsid w:val="00C82D24"/>
    <w:rsid w:val="00C82E04"/>
    <w:rsid w:val="00C82E46"/>
    <w:rsid w:val="00C82F76"/>
    <w:rsid w:val="00C82F8B"/>
    <w:rsid w:val="00C830BD"/>
    <w:rsid w:val="00C831F1"/>
    <w:rsid w:val="00C83277"/>
    <w:rsid w:val="00C832EC"/>
    <w:rsid w:val="00C8343E"/>
    <w:rsid w:val="00C8352A"/>
    <w:rsid w:val="00C835C3"/>
    <w:rsid w:val="00C83657"/>
    <w:rsid w:val="00C83670"/>
    <w:rsid w:val="00C8367C"/>
    <w:rsid w:val="00C83CE6"/>
    <w:rsid w:val="00C83D90"/>
    <w:rsid w:val="00C83DDD"/>
    <w:rsid w:val="00C83F57"/>
    <w:rsid w:val="00C841AC"/>
    <w:rsid w:val="00C841ED"/>
    <w:rsid w:val="00C844C0"/>
    <w:rsid w:val="00C84541"/>
    <w:rsid w:val="00C84883"/>
    <w:rsid w:val="00C848DA"/>
    <w:rsid w:val="00C84994"/>
    <w:rsid w:val="00C84A1C"/>
    <w:rsid w:val="00C84B42"/>
    <w:rsid w:val="00C84BD2"/>
    <w:rsid w:val="00C84C39"/>
    <w:rsid w:val="00C84C63"/>
    <w:rsid w:val="00C84E02"/>
    <w:rsid w:val="00C84FC5"/>
    <w:rsid w:val="00C8502D"/>
    <w:rsid w:val="00C85063"/>
    <w:rsid w:val="00C851E9"/>
    <w:rsid w:val="00C852B4"/>
    <w:rsid w:val="00C852EA"/>
    <w:rsid w:val="00C85739"/>
    <w:rsid w:val="00C8583C"/>
    <w:rsid w:val="00C85A3A"/>
    <w:rsid w:val="00C85ADF"/>
    <w:rsid w:val="00C85AF2"/>
    <w:rsid w:val="00C85C2E"/>
    <w:rsid w:val="00C85D11"/>
    <w:rsid w:val="00C85D2F"/>
    <w:rsid w:val="00C85F36"/>
    <w:rsid w:val="00C85F68"/>
    <w:rsid w:val="00C85F8F"/>
    <w:rsid w:val="00C85FA9"/>
    <w:rsid w:val="00C86010"/>
    <w:rsid w:val="00C860F1"/>
    <w:rsid w:val="00C8611C"/>
    <w:rsid w:val="00C86158"/>
    <w:rsid w:val="00C86252"/>
    <w:rsid w:val="00C8629A"/>
    <w:rsid w:val="00C8635A"/>
    <w:rsid w:val="00C86666"/>
    <w:rsid w:val="00C868B8"/>
    <w:rsid w:val="00C86934"/>
    <w:rsid w:val="00C8694C"/>
    <w:rsid w:val="00C86B86"/>
    <w:rsid w:val="00C86C0E"/>
    <w:rsid w:val="00C86C50"/>
    <w:rsid w:val="00C86CC0"/>
    <w:rsid w:val="00C86D2C"/>
    <w:rsid w:val="00C86E09"/>
    <w:rsid w:val="00C86E53"/>
    <w:rsid w:val="00C86F00"/>
    <w:rsid w:val="00C87145"/>
    <w:rsid w:val="00C872CF"/>
    <w:rsid w:val="00C87377"/>
    <w:rsid w:val="00C87391"/>
    <w:rsid w:val="00C8739B"/>
    <w:rsid w:val="00C873F7"/>
    <w:rsid w:val="00C87488"/>
    <w:rsid w:val="00C87513"/>
    <w:rsid w:val="00C87524"/>
    <w:rsid w:val="00C8758F"/>
    <w:rsid w:val="00C876D5"/>
    <w:rsid w:val="00C87791"/>
    <w:rsid w:val="00C878DA"/>
    <w:rsid w:val="00C87992"/>
    <w:rsid w:val="00C879B8"/>
    <w:rsid w:val="00C87BA1"/>
    <w:rsid w:val="00C87BDB"/>
    <w:rsid w:val="00C87CCC"/>
    <w:rsid w:val="00C87D50"/>
    <w:rsid w:val="00C87D5B"/>
    <w:rsid w:val="00C87FA7"/>
    <w:rsid w:val="00C90038"/>
    <w:rsid w:val="00C90062"/>
    <w:rsid w:val="00C900E3"/>
    <w:rsid w:val="00C902BF"/>
    <w:rsid w:val="00C9032A"/>
    <w:rsid w:val="00C903CC"/>
    <w:rsid w:val="00C9041A"/>
    <w:rsid w:val="00C90615"/>
    <w:rsid w:val="00C90767"/>
    <w:rsid w:val="00C907AA"/>
    <w:rsid w:val="00C90B5D"/>
    <w:rsid w:val="00C90BFE"/>
    <w:rsid w:val="00C90E3F"/>
    <w:rsid w:val="00C90E58"/>
    <w:rsid w:val="00C91237"/>
    <w:rsid w:val="00C91455"/>
    <w:rsid w:val="00C914C8"/>
    <w:rsid w:val="00C9164E"/>
    <w:rsid w:val="00C918C0"/>
    <w:rsid w:val="00C91912"/>
    <w:rsid w:val="00C91981"/>
    <w:rsid w:val="00C919A0"/>
    <w:rsid w:val="00C919E0"/>
    <w:rsid w:val="00C919F4"/>
    <w:rsid w:val="00C919FA"/>
    <w:rsid w:val="00C91B9F"/>
    <w:rsid w:val="00C91CE0"/>
    <w:rsid w:val="00C91D18"/>
    <w:rsid w:val="00C91D68"/>
    <w:rsid w:val="00C91E1E"/>
    <w:rsid w:val="00C91E59"/>
    <w:rsid w:val="00C91EB2"/>
    <w:rsid w:val="00C91FB4"/>
    <w:rsid w:val="00C9201D"/>
    <w:rsid w:val="00C920C1"/>
    <w:rsid w:val="00C921A0"/>
    <w:rsid w:val="00C92258"/>
    <w:rsid w:val="00C92349"/>
    <w:rsid w:val="00C92357"/>
    <w:rsid w:val="00C924F7"/>
    <w:rsid w:val="00C9263D"/>
    <w:rsid w:val="00C9265A"/>
    <w:rsid w:val="00C928D4"/>
    <w:rsid w:val="00C92A3B"/>
    <w:rsid w:val="00C92A6A"/>
    <w:rsid w:val="00C92B3E"/>
    <w:rsid w:val="00C92E7F"/>
    <w:rsid w:val="00C92FD9"/>
    <w:rsid w:val="00C93024"/>
    <w:rsid w:val="00C9310A"/>
    <w:rsid w:val="00C93160"/>
    <w:rsid w:val="00C931A3"/>
    <w:rsid w:val="00C931A6"/>
    <w:rsid w:val="00C9322B"/>
    <w:rsid w:val="00C93335"/>
    <w:rsid w:val="00C93336"/>
    <w:rsid w:val="00C93345"/>
    <w:rsid w:val="00C933DF"/>
    <w:rsid w:val="00C9346D"/>
    <w:rsid w:val="00C934CE"/>
    <w:rsid w:val="00C93598"/>
    <w:rsid w:val="00C9370A"/>
    <w:rsid w:val="00C93738"/>
    <w:rsid w:val="00C93799"/>
    <w:rsid w:val="00C93868"/>
    <w:rsid w:val="00C93891"/>
    <w:rsid w:val="00C939EE"/>
    <w:rsid w:val="00C939F2"/>
    <w:rsid w:val="00C93A2E"/>
    <w:rsid w:val="00C93BE6"/>
    <w:rsid w:val="00C93C2A"/>
    <w:rsid w:val="00C93CD9"/>
    <w:rsid w:val="00C93DC0"/>
    <w:rsid w:val="00C93F01"/>
    <w:rsid w:val="00C93F26"/>
    <w:rsid w:val="00C93F65"/>
    <w:rsid w:val="00C93FAC"/>
    <w:rsid w:val="00C9452B"/>
    <w:rsid w:val="00C945E5"/>
    <w:rsid w:val="00C94717"/>
    <w:rsid w:val="00C94790"/>
    <w:rsid w:val="00C948C7"/>
    <w:rsid w:val="00C948D5"/>
    <w:rsid w:val="00C94AD7"/>
    <w:rsid w:val="00C94B93"/>
    <w:rsid w:val="00C94C38"/>
    <w:rsid w:val="00C94C73"/>
    <w:rsid w:val="00C94EBB"/>
    <w:rsid w:val="00C94ECB"/>
    <w:rsid w:val="00C95168"/>
    <w:rsid w:val="00C95267"/>
    <w:rsid w:val="00C9552F"/>
    <w:rsid w:val="00C955F6"/>
    <w:rsid w:val="00C9562B"/>
    <w:rsid w:val="00C9568B"/>
    <w:rsid w:val="00C9570B"/>
    <w:rsid w:val="00C95768"/>
    <w:rsid w:val="00C95895"/>
    <w:rsid w:val="00C95CBC"/>
    <w:rsid w:val="00C95D04"/>
    <w:rsid w:val="00C95FA3"/>
    <w:rsid w:val="00C9602E"/>
    <w:rsid w:val="00C960F0"/>
    <w:rsid w:val="00C961B7"/>
    <w:rsid w:val="00C9628C"/>
    <w:rsid w:val="00C963DB"/>
    <w:rsid w:val="00C964D1"/>
    <w:rsid w:val="00C96539"/>
    <w:rsid w:val="00C965C6"/>
    <w:rsid w:val="00C96718"/>
    <w:rsid w:val="00C967F6"/>
    <w:rsid w:val="00C967FC"/>
    <w:rsid w:val="00C9688F"/>
    <w:rsid w:val="00C96963"/>
    <w:rsid w:val="00C96A20"/>
    <w:rsid w:val="00C96CA7"/>
    <w:rsid w:val="00C971E7"/>
    <w:rsid w:val="00C9754F"/>
    <w:rsid w:val="00C977F7"/>
    <w:rsid w:val="00C97A78"/>
    <w:rsid w:val="00C97AB4"/>
    <w:rsid w:val="00C97BA3"/>
    <w:rsid w:val="00C97BA8"/>
    <w:rsid w:val="00C97BC0"/>
    <w:rsid w:val="00C97D16"/>
    <w:rsid w:val="00C97ECA"/>
    <w:rsid w:val="00C97F22"/>
    <w:rsid w:val="00CA00CE"/>
    <w:rsid w:val="00CA011F"/>
    <w:rsid w:val="00CA013D"/>
    <w:rsid w:val="00CA0178"/>
    <w:rsid w:val="00CA0207"/>
    <w:rsid w:val="00CA02FC"/>
    <w:rsid w:val="00CA033D"/>
    <w:rsid w:val="00CA0633"/>
    <w:rsid w:val="00CA0635"/>
    <w:rsid w:val="00CA0638"/>
    <w:rsid w:val="00CA072B"/>
    <w:rsid w:val="00CA084B"/>
    <w:rsid w:val="00CA08A9"/>
    <w:rsid w:val="00CA0AD4"/>
    <w:rsid w:val="00CA0CBB"/>
    <w:rsid w:val="00CA0DE0"/>
    <w:rsid w:val="00CA0F5C"/>
    <w:rsid w:val="00CA0F69"/>
    <w:rsid w:val="00CA0FD1"/>
    <w:rsid w:val="00CA0FF7"/>
    <w:rsid w:val="00CA12CB"/>
    <w:rsid w:val="00CA1527"/>
    <w:rsid w:val="00CA1658"/>
    <w:rsid w:val="00CA1687"/>
    <w:rsid w:val="00CA16FB"/>
    <w:rsid w:val="00CA1700"/>
    <w:rsid w:val="00CA1726"/>
    <w:rsid w:val="00CA1893"/>
    <w:rsid w:val="00CA19F4"/>
    <w:rsid w:val="00CA1A5E"/>
    <w:rsid w:val="00CA1E00"/>
    <w:rsid w:val="00CA1F18"/>
    <w:rsid w:val="00CA1FE1"/>
    <w:rsid w:val="00CA210B"/>
    <w:rsid w:val="00CA2131"/>
    <w:rsid w:val="00CA2141"/>
    <w:rsid w:val="00CA2246"/>
    <w:rsid w:val="00CA23E6"/>
    <w:rsid w:val="00CA245E"/>
    <w:rsid w:val="00CA25BD"/>
    <w:rsid w:val="00CA2642"/>
    <w:rsid w:val="00CA2708"/>
    <w:rsid w:val="00CA27B9"/>
    <w:rsid w:val="00CA2826"/>
    <w:rsid w:val="00CA28EB"/>
    <w:rsid w:val="00CA290A"/>
    <w:rsid w:val="00CA2C35"/>
    <w:rsid w:val="00CA2C77"/>
    <w:rsid w:val="00CA2F46"/>
    <w:rsid w:val="00CA30DC"/>
    <w:rsid w:val="00CA3285"/>
    <w:rsid w:val="00CA3482"/>
    <w:rsid w:val="00CA3496"/>
    <w:rsid w:val="00CA350E"/>
    <w:rsid w:val="00CA35B3"/>
    <w:rsid w:val="00CA3705"/>
    <w:rsid w:val="00CA389B"/>
    <w:rsid w:val="00CA38C5"/>
    <w:rsid w:val="00CA392B"/>
    <w:rsid w:val="00CA3A11"/>
    <w:rsid w:val="00CA3AAE"/>
    <w:rsid w:val="00CA3AB1"/>
    <w:rsid w:val="00CA3AD7"/>
    <w:rsid w:val="00CA3B2D"/>
    <w:rsid w:val="00CA3B68"/>
    <w:rsid w:val="00CA3DC3"/>
    <w:rsid w:val="00CA3FEC"/>
    <w:rsid w:val="00CA4143"/>
    <w:rsid w:val="00CA4216"/>
    <w:rsid w:val="00CA4374"/>
    <w:rsid w:val="00CA4429"/>
    <w:rsid w:val="00CA4443"/>
    <w:rsid w:val="00CA4630"/>
    <w:rsid w:val="00CA46FD"/>
    <w:rsid w:val="00CA471F"/>
    <w:rsid w:val="00CA4912"/>
    <w:rsid w:val="00CA49C1"/>
    <w:rsid w:val="00CA49F9"/>
    <w:rsid w:val="00CA4A05"/>
    <w:rsid w:val="00CA4B4F"/>
    <w:rsid w:val="00CA4CB4"/>
    <w:rsid w:val="00CA50D8"/>
    <w:rsid w:val="00CA524C"/>
    <w:rsid w:val="00CA539D"/>
    <w:rsid w:val="00CA543E"/>
    <w:rsid w:val="00CA5469"/>
    <w:rsid w:val="00CA5528"/>
    <w:rsid w:val="00CA5587"/>
    <w:rsid w:val="00CA55C8"/>
    <w:rsid w:val="00CA55FA"/>
    <w:rsid w:val="00CA5912"/>
    <w:rsid w:val="00CA5962"/>
    <w:rsid w:val="00CA5A06"/>
    <w:rsid w:val="00CA5AFA"/>
    <w:rsid w:val="00CA5C83"/>
    <w:rsid w:val="00CA5D80"/>
    <w:rsid w:val="00CA5FCD"/>
    <w:rsid w:val="00CA5FD5"/>
    <w:rsid w:val="00CA6069"/>
    <w:rsid w:val="00CA6321"/>
    <w:rsid w:val="00CA6412"/>
    <w:rsid w:val="00CA654C"/>
    <w:rsid w:val="00CA66FE"/>
    <w:rsid w:val="00CA6809"/>
    <w:rsid w:val="00CA68B2"/>
    <w:rsid w:val="00CA6A0D"/>
    <w:rsid w:val="00CA6A6A"/>
    <w:rsid w:val="00CA6B86"/>
    <w:rsid w:val="00CA6C18"/>
    <w:rsid w:val="00CA6DF8"/>
    <w:rsid w:val="00CA6E84"/>
    <w:rsid w:val="00CA7109"/>
    <w:rsid w:val="00CA710E"/>
    <w:rsid w:val="00CA7130"/>
    <w:rsid w:val="00CA7280"/>
    <w:rsid w:val="00CA72BF"/>
    <w:rsid w:val="00CA73D9"/>
    <w:rsid w:val="00CA77E0"/>
    <w:rsid w:val="00CA7A8A"/>
    <w:rsid w:val="00CA7B63"/>
    <w:rsid w:val="00CA7CB9"/>
    <w:rsid w:val="00CA7DB8"/>
    <w:rsid w:val="00CB005C"/>
    <w:rsid w:val="00CB024F"/>
    <w:rsid w:val="00CB026F"/>
    <w:rsid w:val="00CB046B"/>
    <w:rsid w:val="00CB04A7"/>
    <w:rsid w:val="00CB04D7"/>
    <w:rsid w:val="00CB04F1"/>
    <w:rsid w:val="00CB0557"/>
    <w:rsid w:val="00CB0600"/>
    <w:rsid w:val="00CB0BE2"/>
    <w:rsid w:val="00CB0D4F"/>
    <w:rsid w:val="00CB0E9C"/>
    <w:rsid w:val="00CB0ECA"/>
    <w:rsid w:val="00CB0F6E"/>
    <w:rsid w:val="00CB1095"/>
    <w:rsid w:val="00CB10E6"/>
    <w:rsid w:val="00CB1158"/>
    <w:rsid w:val="00CB1332"/>
    <w:rsid w:val="00CB1366"/>
    <w:rsid w:val="00CB13E2"/>
    <w:rsid w:val="00CB1404"/>
    <w:rsid w:val="00CB1543"/>
    <w:rsid w:val="00CB1598"/>
    <w:rsid w:val="00CB15F2"/>
    <w:rsid w:val="00CB1831"/>
    <w:rsid w:val="00CB1890"/>
    <w:rsid w:val="00CB193A"/>
    <w:rsid w:val="00CB1A60"/>
    <w:rsid w:val="00CB1AAC"/>
    <w:rsid w:val="00CB1BB9"/>
    <w:rsid w:val="00CB1C23"/>
    <w:rsid w:val="00CB1DE3"/>
    <w:rsid w:val="00CB1DE5"/>
    <w:rsid w:val="00CB1E15"/>
    <w:rsid w:val="00CB1EE9"/>
    <w:rsid w:val="00CB1F8B"/>
    <w:rsid w:val="00CB20A6"/>
    <w:rsid w:val="00CB2218"/>
    <w:rsid w:val="00CB24AA"/>
    <w:rsid w:val="00CB24B4"/>
    <w:rsid w:val="00CB24CC"/>
    <w:rsid w:val="00CB2621"/>
    <w:rsid w:val="00CB2639"/>
    <w:rsid w:val="00CB26D0"/>
    <w:rsid w:val="00CB2735"/>
    <w:rsid w:val="00CB27DB"/>
    <w:rsid w:val="00CB28B8"/>
    <w:rsid w:val="00CB296D"/>
    <w:rsid w:val="00CB29BE"/>
    <w:rsid w:val="00CB2AA3"/>
    <w:rsid w:val="00CB2B88"/>
    <w:rsid w:val="00CB2C76"/>
    <w:rsid w:val="00CB2D79"/>
    <w:rsid w:val="00CB2DA4"/>
    <w:rsid w:val="00CB2DBF"/>
    <w:rsid w:val="00CB2DEE"/>
    <w:rsid w:val="00CB2E30"/>
    <w:rsid w:val="00CB2EAA"/>
    <w:rsid w:val="00CB2EE3"/>
    <w:rsid w:val="00CB3074"/>
    <w:rsid w:val="00CB329C"/>
    <w:rsid w:val="00CB3391"/>
    <w:rsid w:val="00CB349B"/>
    <w:rsid w:val="00CB34EE"/>
    <w:rsid w:val="00CB3528"/>
    <w:rsid w:val="00CB367E"/>
    <w:rsid w:val="00CB38BB"/>
    <w:rsid w:val="00CB3A35"/>
    <w:rsid w:val="00CB3A57"/>
    <w:rsid w:val="00CB3B93"/>
    <w:rsid w:val="00CB3C40"/>
    <w:rsid w:val="00CB3CFA"/>
    <w:rsid w:val="00CB3E07"/>
    <w:rsid w:val="00CB3EE1"/>
    <w:rsid w:val="00CB3EEE"/>
    <w:rsid w:val="00CB3F93"/>
    <w:rsid w:val="00CB40A5"/>
    <w:rsid w:val="00CB420C"/>
    <w:rsid w:val="00CB443D"/>
    <w:rsid w:val="00CB45FD"/>
    <w:rsid w:val="00CB47E3"/>
    <w:rsid w:val="00CB47FF"/>
    <w:rsid w:val="00CB48C5"/>
    <w:rsid w:val="00CB496B"/>
    <w:rsid w:val="00CB499B"/>
    <w:rsid w:val="00CB49A0"/>
    <w:rsid w:val="00CB4ACA"/>
    <w:rsid w:val="00CB4CB8"/>
    <w:rsid w:val="00CB4E4A"/>
    <w:rsid w:val="00CB4FD7"/>
    <w:rsid w:val="00CB5017"/>
    <w:rsid w:val="00CB503E"/>
    <w:rsid w:val="00CB5073"/>
    <w:rsid w:val="00CB5132"/>
    <w:rsid w:val="00CB528E"/>
    <w:rsid w:val="00CB5403"/>
    <w:rsid w:val="00CB546E"/>
    <w:rsid w:val="00CB56BA"/>
    <w:rsid w:val="00CB5766"/>
    <w:rsid w:val="00CB5800"/>
    <w:rsid w:val="00CB5987"/>
    <w:rsid w:val="00CB598F"/>
    <w:rsid w:val="00CB59D9"/>
    <w:rsid w:val="00CB5A64"/>
    <w:rsid w:val="00CB5B96"/>
    <w:rsid w:val="00CB5D20"/>
    <w:rsid w:val="00CB5E00"/>
    <w:rsid w:val="00CB61D9"/>
    <w:rsid w:val="00CB62C1"/>
    <w:rsid w:val="00CB63D4"/>
    <w:rsid w:val="00CB6644"/>
    <w:rsid w:val="00CB66F1"/>
    <w:rsid w:val="00CB6721"/>
    <w:rsid w:val="00CB6824"/>
    <w:rsid w:val="00CB69B8"/>
    <w:rsid w:val="00CB6A2A"/>
    <w:rsid w:val="00CB6AC8"/>
    <w:rsid w:val="00CB6AE9"/>
    <w:rsid w:val="00CB6AF8"/>
    <w:rsid w:val="00CB6D85"/>
    <w:rsid w:val="00CB6EAE"/>
    <w:rsid w:val="00CB7185"/>
    <w:rsid w:val="00CB71A6"/>
    <w:rsid w:val="00CB7232"/>
    <w:rsid w:val="00CB742A"/>
    <w:rsid w:val="00CB74E7"/>
    <w:rsid w:val="00CB7579"/>
    <w:rsid w:val="00CB75B1"/>
    <w:rsid w:val="00CB766A"/>
    <w:rsid w:val="00CB7772"/>
    <w:rsid w:val="00CB77C9"/>
    <w:rsid w:val="00CB77E2"/>
    <w:rsid w:val="00CB7864"/>
    <w:rsid w:val="00CB7A33"/>
    <w:rsid w:val="00CB7AC6"/>
    <w:rsid w:val="00CB7B11"/>
    <w:rsid w:val="00CB7C94"/>
    <w:rsid w:val="00CB7CB8"/>
    <w:rsid w:val="00CB7D88"/>
    <w:rsid w:val="00CB7DEA"/>
    <w:rsid w:val="00CB7E03"/>
    <w:rsid w:val="00CB7EB4"/>
    <w:rsid w:val="00CB7F1D"/>
    <w:rsid w:val="00CB7F56"/>
    <w:rsid w:val="00CB7F5D"/>
    <w:rsid w:val="00CC00A4"/>
    <w:rsid w:val="00CC00B8"/>
    <w:rsid w:val="00CC0155"/>
    <w:rsid w:val="00CC0248"/>
    <w:rsid w:val="00CC031D"/>
    <w:rsid w:val="00CC0497"/>
    <w:rsid w:val="00CC0537"/>
    <w:rsid w:val="00CC0591"/>
    <w:rsid w:val="00CC06BA"/>
    <w:rsid w:val="00CC06E6"/>
    <w:rsid w:val="00CC0861"/>
    <w:rsid w:val="00CC0ACA"/>
    <w:rsid w:val="00CC0B81"/>
    <w:rsid w:val="00CC0BA3"/>
    <w:rsid w:val="00CC0BF4"/>
    <w:rsid w:val="00CC0CAB"/>
    <w:rsid w:val="00CC0CB7"/>
    <w:rsid w:val="00CC0CE2"/>
    <w:rsid w:val="00CC0D07"/>
    <w:rsid w:val="00CC0D29"/>
    <w:rsid w:val="00CC0D64"/>
    <w:rsid w:val="00CC0E18"/>
    <w:rsid w:val="00CC0E28"/>
    <w:rsid w:val="00CC0E8F"/>
    <w:rsid w:val="00CC0EBC"/>
    <w:rsid w:val="00CC11BA"/>
    <w:rsid w:val="00CC121D"/>
    <w:rsid w:val="00CC12DA"/>
    <w:rsid w:val="00CC1362"/>
    <w:rsid w:val="00CC13C9"/>
    <w:rsid w:val="00CC1594"/>
    <w:rsid w:val="00CC15D9"/>
    <w:rsid w:val="00CC164F"/>
    <w:rsid w:val="00CC1679"/>
    <w:rsid w:val="00CC1839"/>
    <w:rsid w:val="00CC1989"/>
    <w:rsid w:val="00CC1AE4"/>
    <w:rsid w:val="00CC1B44"/>
    <w:rsid w:val="00CC1DEF"/>
    <w:rsid w:val="00CC1E25"/>
    <w:rsid w:val="00CC1EA5"/>
    <w:rsid w:val="00CC1EB3"/>
    <w:rsid w:val="00CC21E7"/>
    <w:rsid w:val="00CC2228"/>
    <w:rsid w:val="00CC2240"/>
    <w:rsid w:val="00CC232D"/>
    <w:rsid w:val="00CC2484"/>
    <w:rsid w:val="00CC2489"/>
    <w:rsid w:val="00CC24A0"/>
    <w:rsid w:val="00CC274C"/>
    <w:rsid w:val="00CC27C3"/>
    <w:rsid w:val="00CC28C9"/>
    <w:rsid w:val="00CC28FD"/>
    <w:rsid w:val="00CC298C"/>
    <w:rsid w:val="00CC2A05"/>
    <w:rsid w:val="00CC2A32"/>
    <w:rsid w:val="00CC2B9F"/>
    <w:rsid w:val="00CC2C4B"/>
    <w:rsid w:val="00CC2C58"/>
    <w:rsid w:val="00CC2D16"/>
    <w:rsid w:val="00CC2D5A"/>
    <w:rsid w:val="00CC2E23"/>
    <w:rsid w:val="00CC2E8F"/>
    <w:rsid w:val="00CC2ED3"/>
    <w:rsid w:val="00CC2F1A"/>
    <w:rsid w:val="00CC2F61"/>
    <w:rsid w:val="00CC315B"/>
    <w:rsid w:val="00CC3201"/>
    <w:rsid w:val="00CC32B2"/>
    <w:rsid w:val="00CC3319"/>
    <w:rsid w:val="00CC3373"/>
    <w:rsid w:val="00CC3588"/>
    <w:rsid w:val="00CC35D1"/>
    <w:rsid w:val="00CC35D5"/>
    <w:rsid w:val="00CC360A"/>
    <w:rsid w:val="00CC3636"/>
    <w:rsid w:val="00CC3718"/>
    <w:rsid w:val="00CC3888"/>
    <w:rsid w:val="00CC3BB2"/>
    <w:rsid w:val="00CC3F78"/>
    <w:rsid w:val="00CC4003"/>
    <w:rsid w:val="00CC4010"/>
    <w:rsid w:val="00CC412A"/>
    <w:rsid w:val="00CC418E"/>
    <w:rsid w:val="00CC41A6"/>
    <w:rsid w:val="00CC41BA"/>
    <w:rsid w:val="00CC41EA"/>
    <w:rsid w:val="00CC4305"/>
    <w:rsid w:val="00CC43F6"/>
    <w:rsid w:val="00CC43FC"/>
    <w:rsid w:val="00CC44D8"/>
    <w:rsid w:val="00CC458E"/>
    <w:rsid w:val="00CC470D"/>
    <w:rsid w:val="00CC477A"/>
    <w:rsid w:val="00CC47EB"/>
    <w:rsid w:val="00CC4855"/>
    <w:rsid w:val="00CC497D"/>
    <w:rsid w:val="00CC49E5"/>
    <w:rsid w:val="00CC4B0E"/>
    <w:rsid w:val="00CC4C38"/>
    <w:rsid w:val="00CC4D37"/>
    <w:rsid w:val="00CC4DC6"/>
    <w:rsid w:val="00CC4FCE"/>
    <w:rsid w:val="00CC5260"/>
    <w:rsid w:val="00CC52EF"/>
    <w:rsid w:val="00CC536B"/>
    <w:rsid w:val="00CC5464"/>
    <w:rsid w:val="00CC5540"/>
    <w:rsid w:val="00CC57AD"/>
    <w:rsid w:val="00CC59DC"/>
    <w:rsid w:val="00CC5A7B"/>
    <w:rsid w:val="00CC5BB7"/>
    <w:rsid w:val="00CC5D21"/>
    <w:rsid w:val="00CC5DD9"/>
    <w:rsid w:val="00CC5E19"/>
    <w:rsid w:val="00CC5FBF"/>
    <w:rsid w:val="00CC5FD5"/>
    <w:rsid w:val="00CC5FD8"/>
    <w:rsid w:val="00CC6053"/>
    <w:rsid w:val="00CC638B"/>
    <w:rsid w:val="00CC63CB"/>
    <w:rsid w:val="00CC63D8"/>
    <w:rsid w:val="00CC6887"/>
    <w:rsid w:val="00CC6A30"/>
    <w:rsid w:val="00CC6AE3"/>
    <w:rsid w:val="00CC6B61"/>
    <w:rsid w:val="00CC6C78"/>
    <w:rsid w:val="00CC6CD1"/>
    <w:rsid w:val="00CC6D2E"/>
    <w:rsid w:val="00CC71AF"/>
    <w:rsid w:val="00CC74C2"/>
    <w:rsid w:val="00CC751B"/>
    <w:rsid w:val="00CC7526"/>
    <w:rsid w:val="00CC75A8"/>
    <w:rsid w:val="00CC764B"/>
    <w:rsid w:val="00CC765B"/>
    <w:rsid w:val="00CC79A6"/>
    <w:rsid w:val="00CC79F6"/>
    <w:rsid w:val="00CC7A13"/>
    <w:rsid w:val="00CC7AB4"/>
    <w:rsid w:val="00CC7AF3"/>
    <w:rsid w:val="00CC7B19"/>
    <w:rsid w:val="00CC7B75"/>
    <w:rsid w:val="00CC7B87"/>
    <w:rsid w:val="00CC7B8F"/>
    <w:rsid w:val="00CC7C0F"/>
    <w:rsid w:val="00CC7C28"/>
    <w:rsid w:val="00CC7D9C"/>
    <w:rsid w:val="00CC7E80"/>
    <w:rsid w:val="00CC7EE6"/>
    <w:rsid w:val="00CD0177"/>
    <w:rsid w:val="00CD0285"/>
    <w:rsid w:val="00CD02A9"/>
    <w:rsid w:val="00CD02BD"/>
    <w:rsid w:val="00CD02E3"/>
    <w:rsid w:val="00CD03CA"/>
    <w:rsid w:val="00CD045E"/>
    <w:rsid w:val="00CD051E"/>
    <w:rsid w:val="00CD069A"/>
    <w:rsid w:val="00CD06DD"/>
    <w:rsid w:val="00CD06F7"/>
    <w:rsid w:val="00CD0726"/>
    <w:rsid w:val="00CD07A9"/>
    <w:rsid w:val="00CD081D"/>
    <w:rsid w:val="00CD0A11"/>
    <w:rsid w:val="00CD0AB0"/>
    <w:rsid w:val="00CD0CB1"/>
    <w:rsid w:val="00CD0E15"/>
    <w:rsid w:val="00CD0F4F"/>
    <w:rsid w:val="00CD0F62"/>
    <w:rsid w:val="00CD0FD1"/>
    <w:rsid w:val="00CD1037"/>
    <w:rsid w:val="00CD10ED"/>
    <w:rsid w:val="00CD11A1"/>
    <w:rsid w:val="00CD12A1"/>
    <w:rsid w:val="00CD12E6"/>
    <w:rsid w:val="00CD12F1"/>
    <w:rsid w:val="00CD13C2"/>
    <w:rsid w:val="00CD13F7"/>
    <w:rsid w:val="00CD1477"/>
    <w:rsid w:val="00CD14A7"/>
    <w:rsid w:val="00CD1572"/>
    <w:rsid w:val="00CD1596"/>
    <w:rsid w:val="00CD15B4"/>
    <w:rsid w:val="00CD16F7"/>
    <w:rsid w:val="00CD1756"/>
    <w:rsid w:val="00CD17DF"/>
    <w:rsid w:val="00CD1805"/>
    <w:rsid w:val="00CD195F"/>
    <w:rsid w:val="00CD1AE2"/>
    <w:rsid w:val="00CD1B1C"/>
    <w:rsid w:val="00CD1C60"/>
    <w:rsid w:val="00CD1D2A"/>
    <w:rsid w:val="00CD1F57"/>
    <w:rsid w:val="00CD219B"/>
    <w:rsid w:val="00CD2353"/>
    <w:rsid w:val="00CD2357"/>
    <w:rsid w:val="00CD2396"/>
    <w:rsid w:val="00CD239F"/>
    <w:rsid w:val="00CD23B3"/>
    <w:rsid w:val="00CD23C9"/>
    <w:rsid w:val="00CD25C1"/>
    <w:rsid w:val="00CD25D0"/>
    <w:rsid w:val="00CD2684"/>
    <w:rsid w:val="00CD26D5"/>
    <w:rsid w:val="00CD2708"/>
    <w:rsid w:val="00CD292C"/>
    <w:rsid w:val="00CD2AE2"/>
    <w:rsid w:val="00CD2B6D"/>
    <w:rsid w:val="00CD2BFA"/>
    <w:rsid w:val="00CD2BFC"/>
    <w:rsid w:val="00CD2D50"/>
    <w:rsid w:val="00CD2EF3"/>
    <w:rsid w:val="00CD2F34"/>
    <w:rsid w:val="00CD2FE3"/>
    <w:rsid w:val="00CD322B"/>
    <w:rsid w:val="00CD3270"/>
    <w:rsid w:val="00CD328E"/>
    <w:rsid w:val="00CD32D3"/>
    <w:rsid w:val="00CD32E2"/>
    <w:rsid w:val="00CD3452"/>
    <w:rsid w:val="00CD37F9"/>
    <w:rsid w:val="00CD3987"/>
    <w:rsid w:val="00CD39D8"/>
    <w:rsid w:val="00CD3B56"/>
    <w:rsid w:val="00CD3BC9"/>
    <w:rsid w:val="00CD3C80"/>
    <w:rsid w:val="00CD3CC8"/>
    <w:rsid w:val="00CD3E39"/>
    <w:rsid w:val="00CD3ECD"/>
    <w:rsid w:val="00CD3F9D"/>
    <w:rsid w:val="00CD4161"/>
    <w:rsid w:val="00CD41CC"/>
    <w:rsid w:val="00CD434C"/>
    <w:rsid w:val="00CD4394"/>
    <w:rsid w:val="00CD43A6"/>
    <w:rsid w:val="00CD44E9"/>
    <w:rsid w:val="00CD45D3"/>
    <w:rsid w:val="00CD482E"/>
    <w:rsid w:val="00CD4931"/>
    <w:rsid w:val="00CD4ADB"/>
    <w:rsid w:val="00CD4AE8"/>
    <w:rsid w:val="00CD4B52"/>
    <w:rsid w:val="00CD4B5E"/>
    <w:rsid w:val="00CD4BCA"/>
    <w:rsid w:val="00CD4BF7"/>
    <w:rsid w:val="00CD4C6A"/>
    <w:rsid w:val="00CD4CEC"/>
    <w:rsid w:val="00CD4F27"/>
    <w:rsid w:val="00CD4FD5"/>
    <w:rsid w:val="00CD4FFA"/>
    <w:rsid w:val="00CD52B0"/>
    <w:rsid w:val="00CD5353"/>
    <w:rsid w:val="00CD547E"/>
    <w:rsid w:val="00CD5690"/>
    <w:rsid w:val="00CD56C8"/>
    <w:rsid w:val="00CD5810"/>
    <w:rsid w:val="00CD5851"/>
    <w:rsid w:val="00CD5888"/>
    <w:rsid w:val="00CD5899"/>
    <w:rsid w:val="00CD5922"/>
    <w:rsid w:val="00CD5C03"/>
    <w:rsid w:val="00CD5C9B"/>
    <w:rsid w:val="00CD5E3C"/>
    <w:rsid w:val="00CD5E4E"/>
    <w:rsid w:val="00CD5F28"/>
    <w:rsid w:val="00CD5F7D"/>
    <w:rsid w:val="00CD60DB"/>
    <w:rsid w:val="00CD611B"/>
    <w:rsid w:val="00CD6323"/>
    <w:rsid w:val="00CD6483"/>
    <w:rsid w:val="00CD6500"/>
    <w:rsid w:val="00CD6540"/>
    <w:rsid w:val="00CD661E"/>
    <w:rsid w:val="00CD6825"/>
    <w:rsid w:val="00CD6881"/>
    <w:rsid w:val="00CD6956"/>
    <w:rsid w:val="00CD6A8D"/>
    <w:rsid w:val="00CD6CBB"/>
    <w:rsid w:val="00CD6CF4"/>
    <w:rsid w:val="00CD6FC3"/>
    <w:rsid w:val="00CD6FF9"/>
    <w:rsid w:val="00CD7001"/>
    <w:rsid w:val="00CD7033"/>
    <w:rsid w:val="00CD7044"/>
    <w:rsid w:val="00CD7255"/>
    <w:rsid w:val="00CD728E"/>
    <w:rsid w:val="00CD74A2"/>
    <w:rsid w:val="00CD75E0"/>
    <w:rsid w:val="00CD7677"/>
    <w:rsid w:val="00CD76F6"/>
    <w:rsid w:val="00CD7746"/>
    <w:rsid w:val="00CD77B1"/>
    <w:rsid w:val="00CD77EA"/>
    <w:rsid w:val="00CD7832"/>
    <w:rsid w:val="00CD79A8"/>
    <w:rsid w:val="00CD79B7"/>
    <w:rsid w:val="00CD7A3E"/>
    <w:rsid w:val="00CD7A86"/>
    <w:rsid w:val="00CD7B89"/>
    <w:rsid w:val="00CD7F09"/>
    <w:rsid w:val="00CD7F9B"/>
    <w:rsid w:val="00CE0055"/>
    <w:rsid w:val="00CE0083"/>
    <w:rsid w:val="00CE0194"/>
    <w:rsid w:val="00CE02A2"/>
    <w:rsid w:val="00CE0309"/>
    <w:rsid w:val="00CE050B"/>
    <w:rsid w:val="00CE0568"/>
    <w:rsid w:val="00CE084A"/>
    <w:rsid w:val="00CE0943"/>
    <w:rsid w:val="00CE0AA6"/>
    <w:rsid w:val="00CE0AFE"/>
    <w:rsid w:val="00CE0B43"/>
    <w:rsid w:val="00CE0C3A"/>
    <w:rsid w:val="00CE0E19"/>
    <w:rsid w:val="00CE0F4C"/>
    <w:rsid w:val="00CE0F5D"/>
    <w:rsid w:val="00CE0FE5"/>
    <w:rsid w:val="00CE1032"/>
    <w:rsid w:val="00CE12D3"/>
    <w:rsid w:val="00CE12DA"/>
    <w:rsid w:val="00CE12E9"/>
    <w:rsid w:val="00CE12EE"/>
    <w:rsid w:val="00CE13BB"/>
    <w:rsid w:val="00CE1771"/>
    <w:rsid w:val="00CE17B3"/>
    <w:rsid w:val="00CE1890"/>
    <w:rsid w:val="00CE18A6"/>
    <w:rsid w:val="00CE1907"/>
    <w:rsid w:val="00CE1A32"/>
    <w:rsid w:val="00CE1D96"/>
    <w:rsid w:val="00CE1E75"/>
    <w:rsid w:val="00CE21A2"/>
    <w:rsid w:val="00CE25AF"/>
    <w:rsid w:val="00CE262D"/>
    <w:rsid w:val="00CE26DF"/>
    <w:rsid w:val="00CE2863"/>
    <w:rsid w:val="00CE28BF"/>
    <w:rsid w:val="00CE2BF3"/>
    <w:rsid w:val="00CE2D66"/>
    <w:rsid w:val="00CE2DAE"/>
    <w:rsid w:val="00CE3018"/>
    <w:rsid w:val="00CE3076"/>
    <w:rsid w:val="00CE3092"/>
    <w:rsid w:val="00CE30CB"/>
    <w:rsid w:val="00CE3155"/>
    <w:rsid w:val="00CE321F"/>
    <w:rsid w:val="00CE325D"/>
    <w:rsid w:val="00CE3455"/>
    <w:rsid w:val="00CE34AC"/>
    <w:rsid w:val="00CE35C1"/>
    <w:rsid w:val="00CE39FB"/>
    <w:rsid w:val="00CE3A37"/>
    <w:rsid w:val="00CE3BE3"/>
    <w:rsid w:val="00CE3CF5"/>
    <w:rsid w:val="00CE41B1"/>
    <w:rsid w:val="00CE43F5"/>
    <w:rsid w:val="00CE44E0"/>
    <w:rsid w:val="00CE45F1"/>
    <w:rsid w:val="00CE464C"/>
    <w:rsid w:val="00CE469B"/>
    <w:rsid w:val="00CE4779"/>
    <w:rsid w:val="00CE4875"/>
    <w:rsid w:val="00CE48CE"/>
    <w:rsid w:val="00CE496B"/>
    <w:rsid w:val="00CE49F5"/>
    <w:rsid w:val="00CE49F6"/>
    <w:rsid w:val="00CE4A21"/>
    <w:rsid w:val="00CE4A45"/>
    <w:rsid w:val="00CE4B24"/>
    <w:rsid w:val="00CE4BAD"/>
    <w:rsid w:val="00CE4C49"/>
    <w:rsid w:val="00CE4C75"/>
    <w:rsid w:val="00CE4D0E"/>
    <w:rsid w:val="00CE4E49"/>
    <w:rsid w:val="00CE4E90"/>
    <w:rsid w:val="00CE4E94"/>
    <w:rsid w:val="00CE4EDB"/>
    <w:rsid w:val="00CE4F27"/>
    <w:rsid w:val="00CE4F68"/>
    <w:rsid w:val="00CE4F89"/>
    <w:rsid w:val="00CE4FE4"/>
    <w:rsid w:val="00CE508C"/>
    <w:rsid w:val="00CE50F8"/>
    <w:rsid w:val="00CE51F2"/>
    <w:rsid w:val="00CE51F7"/>
    <w:rsid w:val="00CE521D"/>
    <w:rsid w:val="00CE5292"/>
    <w:rsid w:val="00CE52F8"/>
    <w:rsid w:val="00CE5336"/>
    <w:rsid w:val="00CE54D9"/>
    <w:rsid w:val="00CE54DA"/>
    <w:rsid w:val="00CE552A"/>
    <w:rsid w:val="00CE57AE"/>
    <w:rsid w:val="00CE5984"/>
    <w:rsid w:val="00CE59AB"/>
    <w:rsid w:val="00CE5AA8"/>
    <w:rsid w:val="00CE5BE4"/>
    <w:rsid w:val="00CE5C94"/>
    <w:rsid w:val="00CE5D66"/>
    <w:rsid w:val="00CE5DE9"/>
    <w:rsid w:val="00CE5E78"/>
    <w:rsid w:val="00CE6087"/>
    <w:rsid w:val="00CE616F"/>
    <w:rsid w:val="00CE61A9"/>
    <w:rsid w:val="00CE629F"/>
    <w:rsid w:val="00CE63ED"/>
    <w:rsid w:val="00CE6437"/>
    <w:rsid w:val="00CE6452"/>
    <w:rsid w:val="00CE64FD"/>
    <w:rsid w:val="00CE656B"/>
    <w:rsid w:val="00CE6594"/>
    <w:rsid w:val="00CE6628"/>
    <w:rsid w:val="00CE663F"/>
    <w:rsid w:val="00CE66D0"/>
    <w:rsid w:val="00CE67A1"/>
    <w:rsid w:val="00CE686B"/>
    <w:rsid w:val="00CE6954"/>
    <w:rsid w:val="00CE6B5B"/>
    <w:rsid w:val="00CE6E7B"/>
    <w:rsid w:val="00CE6F60"/>
    <w:rsid w:val="00CE6FB7"/>
    <w:rsid w:val="00CE70D2"/>
    <w:rsid w:val="00CE735A"/>
    <w:rsid w:val="00CE74DB"/>
    <w:rsid w:val="00CE76EF"/>
    <w:rsid w:val="00CE7785"/>
    <w:rsid w:val="00CE79E0"/>
    <w:rsid w:val="00CE7B96"/>
    <w:rsid w:val="00CE7CC6"/>
    <w:rsid w:val="00CE7F73"/>
    <w:rsid w:val="00CF0001"/>
    <w:rsid w:val="00CF0077"/>
    <w:rsid w:val="00CF009F"/>
    <w:rsid w:val="00CF0178"/>
    <w:rsid w:val="00CF02A0"/>
    <w:rsid w:val="00CF04AD"/>
    <w:rsid w:val="00CF0793"/>
    <w:rsid w:val="00CF07B3"/>
    <w:rsid w:val="00CF07E6"/>
    <w:rsid w:val="00CF0826"/>
    <w:rsid w:val="00CF089D"/>
    <w:rsid w:val="00CF093F"/>
    <w:rsid w:val="00CF0A4B"/>
    <w:rsid w:val="00CF0A4D"/>
    <w:rsid w:val="00CF0C12"/>
    <w:rsid w:val="00CF0CC1"/>
    <w:rsid w:val="00CF0E4F"/>
    <w:rsid w:val="00CF0E57"/>
    <w:rsid w:val="00CF0E95"/>
    <w:rsid w:val="00CF0FB2"/>
    <w:rsid w:val="00CF0FFE"/>
    <w:rsid w:val="00CF1006"/>
    <w:rsid w:val="00CF119F"/>
    <w:rsid w:val="00CF120D"/>
    <w:rsid w:val="00CF15F2"/>
    <w:rsid w:val="00CF1688"/>
    <w:rsid w:val="00CF1782"/>
    <w:rsid w:val="00CF1784"/>
    <w:rsid w:val="00CF188C"/>
    <w:rsid w:val="00CF1923"/>
    <w:rsid w:val="00CF1A67"/>
    <w:rsid w:val="00CF1C2D"/>
    <w:rsid w:val="00CF1C2F"/>
    <w:rsid w:val="00CF1D45"/>
    <w:rsid w:val="00CF1D52"/>
    <w:rsid w:val="00CF1D6B"/>
    <w:rsid w:val="00CF1EDD"/>
    <w:rsid w:val="00CF1F0E"/>
    <w:rsid w:val="00CF1F64"/>
    <w:rsid w:val="00CF207D"/>
    <w:rsid w:val="00CF2123"/>
    <w:rsid w:val="00CF2334"/>
    <w:rsid w:val="00CF24CD"/>
    <w:rsid w:val="00CF257F"/>
    <w:rsid w:val="00CF271D"/>
    <w:rsid w:val="00CF2756"/>
    <w:rsid w:val="00CF276A"/>
    <w:rsid w:val="00CF2920"/>
    <w:rsid w:val="00CF2991"/>
    <w:rsid w:val="00CF2A0B"/>
    <w:rsid w:val="00CF2A95"/>
    <w:rsid w:val="00CF2B79"/>
    <w:rsid w:val="00CF2BAF"/>
    <w:rsid w:val="00CF2CB3"/>
    <w:rsid w:val="00CF2CF5"/>
    <w:rsid w:val="00CF2DB5"/>
    <w:rsid w:val="00CF3105"/>
    <w:rsid w:val="00CF311A"/>
    <w:rsid w:val="00CF3120"/>
    <w:rsid w:val="00CF3157"/>
    <w:rsid w:val="00CF31B7"/>
    <w:rsid w:val="00CF31E5"/>
    <w:rsid w:val="00CF3294"/>
    <w:rsid w:val="00CF33BF"/>
    <w:rsid w:val="00CF3534"/>
    <w:rsid w:val="00CF35A7"/>
    <w:rsid w:val="00CF35E7"/>
    <w:rsid w:val="00CF36DA"/>
    <w:rsid w:val="00CF378E"/>
    <w:rsid w:val="00CF380F"/>
    <w:rsid w:val="00CF3890"/>
    <w:rsid w:val="00CF39EA"/>
    <w:rsid w:val="00CF3A36"/>
    <w:rsid w:val="00CF3BA3"/>
    <w:rsid w:val="00CF3BD5"/>
    <w:rsid w:val="00CF3D3C"/>
    <w:rsid w:val="00CF3DB0"/>
    <w:rsid w:val="00CF3F5B"/>
    <w:rsid w:val="00CF41BF"/>
    <w:rsid w:val="00CF42C8"/>
    <w:rsid w:val="00CF440C"/>
    <w:rsid w:val="00CF4546"/>
    <w:rsid w:val="00CF4551"/>
    <w:rsid w:val="00CF45E6"/>
    <w:rsid w:val="00CF4673"/>
    <w:rsid w:val="00CF46C5"/>
    <w:rsid w:val="00CF47D8"/>
    <w:rsid w:val="00CF480A"/>
    <w:rsid w:val="00CF48C9"/>
    <w:rsid w:val="00CF4CC0"/>
    <w:rsid w:val="00CF4CF2"/>
    <w:rsid w:val="00CF4D4A"/>
    <w:rsid w:val="00CF4DDF"/>
    <w:rsid w:val="00CF4E24"/>
    <w:rsid w:val="00CF4F79"/>
    <w:rsid w:val="00CF514C"/>
    <w:rsid w:val="00CF52A8"/>
    <w:rsid w:val="00CF52D5"/>
    <w:rsid w:val="00CF52F1"/>
    <w:rsid w:val="00CF5353"/>
    <w:rsid w:val="00CF552E"/>
    <w:rsid w:val="00CF553E"/>
    <w:rsid w:val="00CF5646"/>
    <w:rsid w:val="00CF565E"/>
    <w:rsid w:val="00CF56C2"/>
    <w:rsid w:val="00CF5727"/>
    <w:rsid w:val="00CF57B7"/>
    <w:rsid w:val="00CF57FD"/>
    <w:rsid w:val="00CF5819"/>
    <w:rsid w:val="00CF5939"/>
    <w:rsid w:val="00CF5A6C"/>
    <w:rsid w:val="00CF5B4F"/>
    <w:rsid w:val="00CF5BC2"/>
    <w:rsid w:val="00CF5BEC"/>
    <w:rsid w:val="00CF5CF9"/>
    <w:rsid w:val="00CF5D76"/>
    <w:rsid w:val="00CF5FBD"/>
    <w:rsid w:val="00CF5FEB"/>
    <w:rsid w:val="00CF600E"/>
    <w:rsid w:val="00CF60EF"/>
    <w:rsid w:val="00CF6187"/>
    <w:rsid w:val="00CF625C"/>
    <w:rsid w:val="00CF6346"/>
    <w:rsid w:val="00CF6417"/>
    <w:rsid w:val="00CF64BC"/>
    <w:rsid w:val="00CF64FB"/>
    <w:rsid w:val="00CF6525"/>
    <w:rsid w:val="00CF6534"/>
    <w:rsid w:val="00CF654B"/>
    <w:rsid w:val="00CF6595"/>
    <w:rsid w:val="00CF65B5"/>
    <w:rsid w:val="00CF66EB"/>
    <w:rsid w:val="00CF6721"/>
    <w:rsid w:val="00CF6759"/>
    <w:rsid w:val="00CF6A7E"/>
    <w:rsid w:val="00CF6C78"/>
    <w:rsid w:val="00CF6ECA"/>
    <w:rsid w:val="00CF70CE"/>
    <w:rsid w:val="00CF71C5"/>
    <w:rsid w:val="00CF7212"/>
    <w:rsid w:val="00CF731D"/>
    <w:rsid w:val="00CF7331"/>
    <w:rsid w:val="00CF73E1"/>
    <w:rsid w:val="00CF7456"/>
    <w:rsid w:val="00CF74B7"/>
    <w:rsid w:val="00CF758A"/>
    <w:rsid w:val="00CF7603"/>
    <w:rsid w:val="00CF7695"/>
    <w:rsid w:val="00CF7870"/>
    <w:rsid w:val="00CF7914"/>
    <w:rsid w:val="00CF7B04"/>
    <w:rsid w:val="00CF7E29"/>
    <w:rsid w:val="00CF7E53"/>
    <w:rsid w:val="00CF7E54"/>
    <w:rsid w:val="00CF7E9B"/>
    <w:rsid w:val="00CF7FB7"/>
    <w:rsid w:val="00D00174"/>
    <w:rsid w:val="00D001A8"/>
    <w:rsid w:val="00D00233"/>
    <w:rsid w:val="00D002AB"/>
    <w:rsid w:val="00D00314"/>
    <w:rsid w:val="00D0045E"/>
    <w:rsid w:val="00D00582"/>
    <w:rsid w:val="00D005CF"/>
    <w:rsid w:val="00D0068C"/>
    <w:rsid w:val="00D00709"/>
    <w:rsid w:val="00D00875"/>
    <w:rsid w:val="00D009C4"/>
    <w:rsid w:val="00D00A11"/>
    <w:rsid w:val="00D00A72"/>
    <w:rsid w:val="00D00C92"/>
    <w:rsid w:val="00D00CFA"/>
    <w:rsid w:val="00D00EA8"/>
    <w:rsid w:val="00D00EAD"/>
    <w:rsid w:val="00D00EBE"/>
    <w:rsid w:val="00D00F50"/>
    <w:rsid w:val="00D010DD"/>
    <w:rsid w:val="00D0113F"/>
    <w:rsid w:val="00D01299"/>
    <w:rsid w:val="00D0130E"/>
    <w:rsid w:val="00D0149C"/>
    <w:rsid w:val="00D015D1"/>
    <w:rsid w:val="00D0181E"/>
    <w:rsid w:val="00D01911"/>
    <w:rsid w:val="00D01930"/>
    <w:rsid w:val="00D01978"/>
    <w:rsid w:val="00D019D6"/>
    <w:rsid w:val="00D01BF8"/>
    <w:rsid w:val="00D01C9A"/>
    <w:rsid w:val="00D01DA9"/>
    <w:rsid w:val="00D01ED8"/>
    <w:rsid w:val="00D02101"/>
    <w:rsid w:val="00D02352"/>
    <w:rsid w:val="00D024C4"/>
    <w:rsid w:val="00D02599"/>
    <w:rsid w:val="00D02708"/>
    <w:rsid w:val="00D02712"/>
    <w:rsid w:val="00D0271F"/>
    <w:rsid w:val="00D02726"/>
    <w:rsid w:val="00D0276D"/>
    <w:rsid w:val="00D02995"/>
    <w:rsid w:val="00D029C9"/>
    <w:rsid w:val="00D02A67"/>
    <w:rsid w:val="00D02ABA"/>
    <w:rsid w:val="00D02C87"/>
    <w:rsid w:val="00D02CD1"/>
    <w:rsid w:val="00D02E2D"/>
    <w:rsid w:val="00D02E63"/>
    <w:rsid w:val="00D02E9A"/>
    <w:rsid w:val="00D02F37"/>
    <w:rsid w:val="00D02F6B"/>
    <w:rsid w:val="00D02FAA"/>
    <w:rsid w:val="00D03018"/>
    <w:rsid w:val="00D0311F"/>
    <w:rsid w:val="00D0321C"/>
    <w:rsid w:val="00D03379"/>
    <w:rsid w:val="00D03431"/>
    <w:rsid w:val="00D03433"/>
    <w:rsid w:val="00D0348F"/>
    <w:rsid w:val="00D034D6"/>
    <w:rsid w:val="00D03596"/>
    <w:rsid w:val="00D0360D"/>
    <w:rsid w:val="00D03695"/>
    <w:rsid w:val="00D036B5"/>
    <w:rsid w:val="00D037CF"/>
    <w:rsid w:val="00D0383F"/>
    <w:rsid w:val="00D03860"/>
    <w:rsid w:val="00D03883"/>
    <w:rsid w:val="00D03C98"/>
    <w:rsid w:val="00D03CD9"/>
    <w:rsid w:val="00D041A3"/>
    <w:rsid w:val="00D042A7"/>
    <w:rsid w:val="00D044D7"/>
    <w:rsid w:val="00D044FD"/>
    <w:rsid w:val="00D045A6"/>
    <w:rsid w:val="00D0466F"/>
    <w:rsid w:val="00D04754"/>
    <w:rsid w:val="00D04773"/>
    <w:rsid w:val="00D04865"/>
    <w:rsid w:val="00D0495F"/>
    <w:rsid w:val="00D04A02"/>
    <w:rsid w:val="00D04BF0"/>
    <w:rsid w:val="00D04C2E"/>
    <w:rsid w:val="00D04C9C"/>
    <w:rsid w:val="00D04CB0"/>
    <w:rsid w:val="00D04CD0"/>
    <w:rsid w:val="00D04D35"/>
    <w:rsid w:val="00D04F02"/>
    <w:rsid w:val="00D04F89"/>
    <w:rsid w:val="00D050CA"/>
    <w:rsid w:val="00D051C2"/>
    <w:rsid w:val="00D05224"/>
    <w:rsid w:val="00D0524E"/>
    <w:rsid w:val="00D056F0"/>
    <w:rsid w:val="00D0573A"/>
    <w:rsid w:val="00D05740"/>
    <w:rsid w:val="00D058B2"/>
    <w:rsid w:val="00D058C2"/>
    <w:rsid w:val="00D059F5"/>
    <w:rsid w:val="00D05A28"/>
    <w:rsid w:val="00D05A2D"/>
    <w:rsid w:val="00D05A95"/>
    <w:rsid w:val="00D05AF8"/>
    <w:rsid w:val="00D05D96"/>
    <w:rsid w:val="00D05DB2"/>
    <w:rsid w:val="00D05E2B"/>
    <w:rsid w:val="00D05F55"/>
    <w:rsid w:val="00D05F78"/>
    <w:rsid w:val="00D05F90"/>
    <w:rsid w:val="00D06068"/>
    <w:rsid w:val="00D06128"/>
    <w:rsid w:val="00D062BB"/>
    <w:rsid w:val="00D063BE"/>
    <w:rsid w:val="00D0646E"/>
    <w:rsid w:val="00D06536"/>
    <w:rsid w:val="00D0654C"/>
    <w:rsid w:val="00D066A3"/>
    <w:rsid w:val="00D06737"/>
    <w:rsid w:val="00D067E2"/>
    <w:rsid w:val="00D0686F"/>
    <w:rsid w:val="00D068DA"/>
    <w:rsid w:val="00D06BE0"/>
    <w:rsid w:val="00D06D54"/>
    <w:rsid w:val="00D06F0C"/>
    <w:rsid w:val="00D06FD0"/>
    <w:rsid w:val="00D07190"/>
    <w:rsid w:val="00D071C4"/>
    <w:rsid w:val="00D07205"/>
    <w:rsid w:val="00D072D1"/>
    <w:rsid w:val="00D0733F"/>
    <w:rsid w:val="00D07384"/>
    <w:rsid w:val="00D07394"/>
    <w:rsid w:val="00D073D4"/>
    <w:rsid w:val="00D07497"/>
    <w:rsid w:val="00D074B4"/>
    <w:rsid w:val="00D074B6"/>
    <w:rsid w:val="00D074C1"/>
    <w:rsid w:val="00D07625"/>
    <w:rsid w:val="00D0782B"/>
    <w:rsid w:val="00D07877"/>
    <w:rsid w:val="00D0792F"/>
    <w:rsid w:val="00D079C7"/>
    <w:rsid w:val="00D07AFD"/>
    <w:rsid w:val="00D07CF7"/>
    <w:rsid w:val="00D07FC6"/>
    <w:rsid w:val="00D100AB"/>
    <w:rsid w:val="00D100D0"/>
    <w:rsid w:val="00D10273"/>
    <w:rsid w:val="00D103EB"/>
    <w:rsid w:val="00D10566"/>
    <w:rsid w:val="00D1067B"/>
    <w:rsid w:val="00D10713"/>
    <w:rsid w:val="00D10749"/>
    <w:rsid w:val="00D10795"/>
    <w:rsid w:val="00D10805"/>
    <w:rsid w:val="00D1099B"/>
    <w:rsid w:val="00D10A81"/>
    <w:rsid w:val="00D10B19"/>
    <w:rsid w:val="00D10BAB"/>
    <w:rsid w:val="00D10C2F"/>
    <w:rsid w:val="00D10CFB"/>
    <w:rsid w:val="00D10D58"/>
    <w:rsid w:val="00D10E17"/>
    <w:rsid w:val="00D10E51"/>
    <w:rsid w:val="00D10ED5"/>
    <w:rsid w:val="00D10F5C"/>
    <w:rsid w:val="00D10FFD"/>
    <w:rsid w:val="00D114E0"/>
    <w:rsid w:val="00D11526"/>
    <w:rsid w:val="00D1158F"/>
    <w:rsid w:val="00D11632"/>
    <w:rsid w:val="00D116EF"/>
    <w:rsid w:val="00D1177E"/>
    <w:rsid w:val="00D1182B"/>
    <w:rsid w:val="00D1188A"/>
    <w:rsid w:val="00D118A1"/>
    <w:rsid w:val="00D11953"/>
    <w:rsid w:val="00D11A23"/>
    <w:rsid w:val="00D11B57"/>
    <w:rsid w:val="00D11C1C"/>
    <w:rsid w:val="00D11CAA"/>
    <w:rsid w:val="00D11E66"/>
    <w:rsid w:val="00D11E7B"/>
    <w:rsid w:val="00D11EB9"/>
    <w:rsid w:val="00D11FC2"/>
    <w:rsid w:val="00D1205C"/>
    <w:rsid w:val="00D12161"/>
    <w:rsid w:val="00D121AE"/>
    <w:rsid w:val="00D12211"/>
    <w:rsid w:val="00D12253"/>
    <w:rsid w:val="00D12294"/>
    <w:rsid w:val="00D1244B"/>
    <w:rsid w:val="00D125E7"/>
    <w:rsid w:val="00D1281A"/>
    <w:rsid w:val="00D129F1"/>
    <w:rsid w:val="00D12A0A"/>
    <w:rsid w:val="00D12B0E"/>
    <w:rsid w:val="00D12B6A"/>
    <w:rsid w:val="00D12B7E"/>
    <w:rsid w:val="00D12BDC"/>
    <w:rsid w:val="00D12C59"/>
    <w:rsid w:val="00D12C8B"/>
    <w:rsid w:val="00D12D9B"/>
    <w:rsid w:val="00D12E10"/>
    <w:rsid w:val="00D12F33"/>
    <w:rsid w:val="00D13111"/>
    <w:rsid w:val="00D131D3"/>
    <w:rsid w:val="00D131E9"/>
    <w:rsid w:val="00D1336F"/>
    <w:rsid w:val="00D133A2"/>
    <w:rsid w:val="00D133D9"/>
    <w:rsid w:val="00D13425"/>
    <w:rsid w:val="00D135DC"/>
    <w:rsid w:val="00D135E8"/>
    <w:rsid w:val="00D1360C"/>
    <w:rsid w:val="00D138FA"/>
    <w:rsid w:val="00D139E8"/>
    <w:rsid w:val="00D13CD9"/>
    <w:rsid w:val="00D1407B"/>
    <w:rsid w:val="00D1407D"/>
    <w:rsid w:val="00D14130"/>
    <w:rsid w:val="00D14165"/>
    <w:rsid w:val="00D14191"/>
    <w:rsid w:val="00D14247"/>
    <w:rsid w:val="00D1446D"/>
    <w:rsid w:val="00D14572"/>
    <w:rsid w:val="00D14584"/>
    <w:rsid w:val="00D145C7"/>
    <w:rsid w:val="00D14930"/>
    <w:rsid w:val="00D14971"/>
    <w:rsid w:val="00D14B0A"/>
    <w:rsid w:val="00D14B8F"/>
    <w:rsid w:val="00D14C08"/>
    <w:rsid w:val="00D14C1D"/>
    <w:rsid w:val="00D14D51"/>
    <w:rsid w:val="00D14D89"/>
    <w:rsid w:val="00D14EF7"/>
    <w:rsid w:val="00D14F2B"/>
    <w:rsid w:val="00D14F47"/>
    <w:rsid w:val="00D14F67"/>
    <w:rsid w:val="00D150B7"/>
    <w:rsid w:val="00D15192"/>
    <w:rsid w:val="00D152EC"/>
    <w:rsid w:val="00D153A4"/>
    <w:rsid w:val="00D15407"/>
    <w:rsid w:val="00D1575E"/>
    <w:rsid w:val="00D15864"/>
    <w:rsid w:val="00D159A6"/>
    <w:rsid w:val="00D159D2"/>
    <w:rsid w:val="00D15AA8"/>
    <w:rsid w:val="00D15AAF"/>
    <w:rsid w:val="00D15B36"/>
    <w:rsid w:val="00D15BA6"/>
    <w:rsid w:val="00D15CBB"/>
    <w:rsid w:val="00D15CDD"/>
    <w:rsid w:val="00D15D35"/>
    <w:rsid w:val="00D162CD"/>
    <w:rsid w:val="00D16618"/>
    <w:rsid w:val="00D169A5"/>
    <w:rsid w:val="00D16A69"/>
    <w:rsid w:val="00D16AA0"/>
    <w:rsid w:val="00D16C06"/>
    <w:rsid w:val="00D16E3B"/>
    <w:rsid w:val="00D16E54"/>
    <w:rsid w:val="00D16E57"/>
    <w:rsid w:val="00D16F3A"/>
    <w:rsid w:val="00D1706C"/>
    <w:rsid w:val="00D171E0"/>
    <w:rsid w:val="00D173FA"/>
    <w:rsid w:val="00D1753D"/>
    <w:rsid w:val="00D1755B"/>
    <w:rsid w:val="00D17968"/>
    <w:rsid w:val="00D17B0B"/>
    <w:rsid w:val="00D17B29"/>
    <w:rsid w:val="00D17E75"/>
    <w:rsid w:val="00D20051"/>
    <w:rsid w:val="00D2010D"/>
    <w:rsid w:val="00D2017D"/>
    <w:rsid w:val="00D2019F"/>
    <w:rsid w:val="00D2020A"/>
    <w:rsid w:val="00D202B3"/>
    <w:rsid w:val="00D2036D"/>
    <w:rsid w:val="00D20381"/>
    <w:rsid w:val="00D203A6"/>
    <w:rsid w:val="00D203ED"/>
    <w:rsid w:val="00D20414"/>
    <w:rsid w:val="00D20439"/>
    <w:rsid w:val="00D20502"/>
    <w:rsid w:val="00D205F5"/>
    <w:rsid w:val="00D20730"/>
    <w:rsid w:val="00D207A4"/>
    <w:rsid w:val="00D2089B"/>
    <w:rsid w:val="00D20A0B"/>
    <w:rsid w:val="00D20B2C"/>
    <w:rsid w:val="00D20C3C"/>
    <w:rsid w:val="00D20CB8"/>
    <w:rsid w:val="00D20CE2"/>
    <w:rsid w:val="00D20CFD"/>
    <w:rsid w:val="00D20D0B"/>
    <w:rsid w:val="00D20E91"/>
    <w:rsid w:val="00D20E92"/>
    <w:rsid w:val="00D20ED3"/>
    <w:rsid w:val="00D21079"/>
    <w:rsid w:val="00D21087"/>
    <w:rsid w:val="00D210CD"/>
    <w:rsid w:val="00D210E9"/>
    <w:rsid w:val="00D2128B"/>
    <w:rsid w:val="00D2131B"/>
    <w:rsid w:val="00D213AD"/>
    <w:rsid w:val="00D213E7"/>
    <w:rsid w:val="00D217B6"/>
    <w:rsid w:val="00D2187F"/>
    <w:rsid w:val="00D218F2"/>
    <w:rsid w:val="00D21902"/>
    <w:rsid w:val="00D2197A"/>
    <w:rsid w:val="00D2198A"/>
    <w:rsid w:val="00D219A5"/>
    <w:rsid w:val="00D21A78"/>
    <w:rsid w:val="00D21B01"/>
    <w:rsid w:val="00D21CC1"/>
    <w:rsid w:val="00D21CDE"/>
    <w:rsid w:val="00D21D5D"/>
    <w:rsid w:val="00D21D90"/>
    <w:rsid w:val="00D21DF7"/>
    <w:rsid w:val="00D21FE2"/>
    <w:rsid w:val="00D220D0"/>
    <w:rsid w:val="00D22169"/>
    <w:rsid w:val="00D22230"/>
    <w:rsid w:val="00D225AB"/>
    <w:rsid w:val="00D22737"/>
    <w:rsid w:val="00D22765"/>
    <w:rsid w:val="00D22827"/>
    <w:rsid w:val="00D2288D"/>
    <w:rsid w:val="00D229C0"/>
    <w:rsid w:val="00D22C68"/>
    <w:rsid w:val="00D22CD8"/>
    <w:rsid w:val="00D22D8F"/>
    <w:rsid w:val="00D22DD7"/>
    <w:rsid w:val="00D22E4A"/>
    <w:rsid w:val="00D22F2B"/>
    <w:rsid w:val="00D23142"/>
    <w:rsid w:val="00D23219"/>
    <w:rsid w:val="00D23223"/>
    <w:rsid w:val="00D2327E"/>
    <w:rsid w:val="00D23449"/>
    <w:rsid w:val="00D2346F"/>
    <w:rsid w:val="00D234ED"/>
    <w:rsid w:val="00D235EC"/>
    <w:rsid w:val="00D2364A"/>
    <w:rsid w:val="00D237FC"/>
    <w:rsid w:val="00D23B77"/>
    <w:rsid w:val="00D23B7D"/>
    <w:rsid w:val="00D23B8C"/>
    <w:rsid w:val="00D23D61"/>
    <w:rsid w:val="00D23DFA"/>
    <w:rsid w:val="00D23E0C"/>
    <w:rsid w:val="00D23E89"/>
    <w:rsid w:val="00D240CD"/>
    <w:rsid w:val="00D242FD"/>
    <w:rsid w:val="00D246FB"/>
    <w:rsid w:val="00D24718"/>
    <w:rsid w:val="00D249B1"/>
    <w:rsid w:val="00D249C3"/>
    <w:rsid w:val="00D249D9"/>
    <w:rsid w:val="00D24B2D"/>
    <w:rsid w:val="00D24B9D"/>
    <w:rsid w:val="00D24CF9"/>
    <w:rsid w:val="00D24DBC"/>
    <w:rsid w:val="00D24E09"/>
    <w:rsid w:val="00D24E18"/>
    <w:rsid w:val="00D24E68"/>
    <w:rsid w:val="00D24F86"/>
    <w:rsid w:val="00D24F8E"/>
    <w:rsid w:val="00D24F90"/>
    <w:rsid w:val="00D24FAD"/>
    <w:rsid w:val="00D24FD2"/>
    <w:rsid w:val="00D25039"/>
    <w:rsid w:val="00D250BF"/>
    <w:rsid w:val="00D25267"/>
    <w:rsid w:val="00D25334"/>
    <w:rsid w:val="00D253D2"/>
    <w:rsid w:val="00D25463"/>
    <w:rsid w:val="00D25636"/>
    <w:rsid w:val="00D256C0"/>
    <w:rsid w:val="00D25845"/>
    <w:rsid w:val="00D25868"/>
    <w:rsid w:val="00D25911"/>
    <w:rsid w:val="00D259BB"/>
    <w:rsid w:val="00D25A31"/>
    <w:rsid w:val="00D25A34"/>
    <w:rsid w:val="00D25AFC"/>
    <w:rsid w:val="00D25B41"/>
    <w:rsid w:val="00D25D15"/>
    <w:rsid w:val="00D25E36"/>
    <w:rsid w:val="00D25F7E"/>
    <w:rsid w:val="00D261AC"/>
    <w:rsid w:val="00D261D3"/>
    <w:rsid w:val="00D2620B"/>
    <w:rsid w:val="00D26485"/>
    <w:rsid w:val="00D264E4"/>
    <w:rsid w:val="00D264F9"/>
    <w:rsid w:val="00D26601"/>
    <w:rsid w:val="00D26704"/>
    <w:rsid w:val="00D26A16"/>
    <w:rsid w:val="00D26CB3"/>
    <w:rsid w:val="00D26CE0"/>
    <w:rsid w:val="00D26D74"/>
    <w:rsid w:val="00D26DFA"/>
    <w:rsid w:val="00D26E11"/>
    <w:rsid w:val="00D26ED7"/>
    <w:rsid w:val="00D26FB2"/>
    <w:rsid w:val="00D270DE"/>
    <w:rsid w:val="00D272EE"/>
    <w:rsid w:val="00D2735F"/>
    <w:rsid w:val="00D27491"/>
    <w:rsid w:val="00D275EA"/>
    <w:rsid w:val="00D27665"/>
    <w:rsid w:val="00D2768C"/>
    <w:rsid w:val="00D276F0"/>
    <w:rsid w:val="00D27729"/>
    <w:rsid w:val="00D27B3C"/>
    <w:rsid w:val="00D27BD9"/>
    <w:rsid w:val="00D27C84"/>
    <w:rsid w:val="00D27C8B"/>
    <w:rsid w:val="00D27DBB"/>
    <w:rsid w:val="00D27E69"/>
    <w:rsid w:val="00D27EAB"/>
    <w:rsid w:val="00D27EE2"/>
    <w:rsid w:val="00D27F45"/>
    <w:rsid w:val="00D27FE9"/>
    <w:rsid w:val="00D27FEC"/>
    <w:rsid w:val="00D300B7"/>
    <w:rsid w:val="00D301AA"/>
    <w:rsid w:val="00D301BA"/>
    <w:rsid w:val="00D30253"/>
    <w:rsid w:val="00D303C3"/>
    <w:rsid w:val="00D3053A"/>
    <w:rsid w:val="00D30655"/>
    <w:rsid w:val="00D30795"/>
    <w:rsid w:val="00D30841"/>
    <w:rsid w:val="00D3099A"/>
    <w:rsid w:val="00D30AD9"/>
    <w:rsid w:val="00D30C07"/>
    <w:rsid w:val="00D30F0E"/>
    <w:rsid w:val="00D30F59"/>
    <w:rsid w:val="00D30FD5"/>
    <w:rsid w:val="00D31110"/>
    <w:rsid w:val="00D313ED"/>
    <w:rsid w:val="00D31457"/>
    <w:rsid w:val="00D31649"/>
    <w:rsid w:val="00D3176A"/>
    <w:rsid w:val="00D31835"/>
    <w:rsid w:val="00D31860"/>
    <w:rsid w:val="00D318B6"/>
    <w:rsid w:val="00D319BD"/>
    <w:rsid w:val="00D31A7F"/>
    <w:rsid w:val="00D31C75"/>
    <w:rsid w:val="00D31C7D"/>
    <w:rsid w:val="00D31CCF"/>
    <w:rsid w:val="00D31E5E"/>
    <w:rsid w:val="00D31FDF"/>
    <w:rsid w:val="00D3201A"/>
    <w:rsid w:val="00D320E7"/>
    <w:rsid w:val="00D3211E"/>
    <w:rsid w:val="00D3212C"/>
    <w:rsid w:val="00D32219"/>
    <w:rsid w:val="00D32470"/>
    <w:rsid w:val="00D325CA"/>
    <w:rsid w:val="00D3269D"/>
    <w:rsid w:val="00D327BA"/>
    <w:rsid w:val="00D32940"/>
    <w:rsid w:val="00D3297E"/>
    <w:rsid w:val="00D32A72"/>
    <w:rsid w:val="00D32AD4"/>
    <w:rsid w:val="00D32C79"/>
    <w:rsid w:val="00D32DE1"/>
    <w:rsid w:val="00D32EC8"/>
    <w:rsid w:val="00D32EF2"/>
    <w:rsid w:val="00D3319B"/>
    <w:rsid w:val="00D331CD"/>
    <w:rsid w:val="00D33320"/>
    <w:rsid w:val="00D33530"/>
    <w:rsid w:val="00D3359A"/>
    <w:rsid w:val="00D33613"/>
    <w:rsid w:val="00D33623"/>
    <w:rsid w:val="00D336FA"/>
    <w:rsid w:val="00D3372F"/>
    <w:rsid w:val="00D337DD"/>
    <w:rsid w:val="00D33967"/>
    <w:rsid w:val="00D3398F"/>
    <w:rsid w:val="00D33B48"/>
    <w:rsid w:val="00D33CD6"/>
    <w:rsid w:val="00D33D44"/>
    <w:rsid w:val="00D33DF3"/>
    <w:rsid w:val="00D33E6F"/>
    <w:rsid w:val="00D33F1D"/>
    <w:rsid w:val="00D33F24"/>
    <w:rsid w:val="00D33FB3"/>
    <w:rsid w:val="00D33FC6"/>
    <w:rsid w:val="00D340CB"/>
    <w:rsid w:val="00D34114"/>
    <w:rsid w:val="00D34247"/>
    <w:rsid w:val="00D34257"/>
    <w:rsid w:val="00D34284"/>
    <w:rsid w:val="00D34293"/>
    <w:rsid w:val="00D34457"/>
    <w:rsid w:val="00D3475A"/>
    <w:rsid w:val="00D347A7"/>
    <w:rsid w:val="00D3491F"/>
    <w:rsid w:val="00D3496A"/>
    <w:rsid w:val="00D34A18"/>
    <w:rsid w:val="00D34A51"/>
    <w:rsid w:val="00D34A8D"/>
    <w:rsid w:val="00D34BC2"/>
    <w:rsid w:val="00D34C69"/>
    <w:rsid w:val="00D34C72"/>
    <w:rsid w:val="00D34C85"/>
    <w:rsid w:val="00D34CD3"/>
    <w:rsid w:val="00D34D68"/>
    <w:rsid w:val="00D34D92"/>
    <w:rsid w:val="00D3501F"/>
    <w:rsid w:val="00D35487"/>
    <w:rsid w:val="00D354F8"/>
    <w:rsid w:val="00D355C8"/>
    <w:rsid w:val="00D356AC"/>
    <w:rsid w:val="00D357AB"/>
    <w:rsid w:val="00D357B9"/>
    <w:rsid w:val="00D35806"/>
    <w:rsid w:val="00D35828"/>
    <w:rsid w:val="00D35836"/>
    <w:rsid w:val="00D358D3"/>
    <w:rsid w:val="00D3594C"/>
    <w:rsid w:val="00D35BF5"/>
    <w:rsid w:val="00D35CCD"/>
    <w:rsid w:val="00D35CEB"/>
    <w:rsid w:val="00D35D04"/>
    <w:rsid w:val="00D35D23"/>
    <w:rsid w:val="00D35EDA"/>
    <w:rsid w:val="00D35FBB"/>
    <w:rsid w:val="00D36207"/>
    <w:rsid w:val="00D36258"/>
    <w:rsid w:val="00D3625A"/>
    <w:rsid w:val="00D362E2"/>
    <w:rsid w:val="00D36381"/>
    <w:rsid w:val="00D363E2"/>
    <w:rsid w:val="00D3648E"/>
    <w:rsid w:val="00D365B5"/>
    <w:rsid w:val="00D36629"/>
    <w:rsid w:val="00D366D2"/>
    <w:rsid w:val="00D36743"/>
    <w:rsid w:val="00D367CE"/>
    <w:rsid w:val="00D36EEF"/>
    <w:rsid w:val="00D3702B"/>
    <w:rsid w:val="00D370FC"/>
    <w:rsid w:val="00D371C9"/>
    <w:rsid w:val="00D371EC"/>
    <w:rsid w:val="00D3725F"/>
    <w:rsid w:val="00D372B1"/>
    <w:rsid w:val="00D372D5"/>
    <w:rsid w:val="00D374E3"/>
    <w:rsid w:val="00D37563"/>
    <w:rsid w:val="00D376CF"/>
    <w:rsid w:val="00D37834"/>
    <w:rsid w:val="00D3789D"/>
    <w:rsid w:val="00D37A26"/>
    <w:rsid w:val="00D37AE4"/>
    <w:rsid w:val="00D37B7D"/>
    <w:rsid w:val="00D37CA5"/>
    <w:rsid w:val="00D37D6D"/>
    <w:rsid w:val="00D37EB9"/>
    <w:rsid w:val="00D37F83"/>
    <w:rsid w:val="00D40058"/>
    <w:rsid w:val="00D40154"/>
    <w:rsid w:val="00D40205"/>
    <w:rsid w:val="00D40289"/>
    <w:rsid w:val="00D4039D"/>
    <w:rsid w:val="00D403EE"/>
    <w:rsid w:val="00D40487"/>
    <w:rsid w:val="00D404B2"/>
    <w:rsid w:val="00D405BE"/>
    <w:rsid w:val="00D4068A"/>
    <w:rsid w:val="00D40814"/>
    <w:rsid w:val="00D4094D"/>
    <w:rsid w:val="00D409AD"/>
    <w:rsid w:val="00D40AA8"/>
    <w:rsid w:val="00D40C65"/>
    <w:rsid w:val="00D40EC2"/>
    <w:rsid w:val="00D40F41"/>
    <w:rsid w:val="00D41040"/>
    <w:rsid w:val="00D4148B"/>
    <w:rsid w:val="00D41514"/>
    <w:rsid w:val="00D41532"/>
    <w:rsid w:val="00D417A8"/>
    <w:rsid w:val="00D4182F"/>
    <w:rsid w:val="00D4197A"/>
    <w:rsid w:val="00D419BC"/>
    <w:rsid w:val="00D41AD2"/>
    <w:rsid w:val="00D41B4F"/>
    <w:rsid w:val="00D41CCB"/>
    <w:rsid w:val="00D41DD0"/>
    <w:rsid w:val="00D41EBE"/>
    <w:rsid w:val="00D41F22"/>
    <w:rsid w:val="00D41F55"/>
    <w:rsid w:val="00D41F61"/>
    <w:rsid w:val="00D41FEB"/>
    <w:rsid w:val="00D420FB"/>
    <w:rsid w:val="00D42251"/>
    <w:rsid w:val="00D42302"/>
    <w:rsid w:val="00D42328"/>
    <w:rsid w:val="00D423D7"/>
    <w:rsid w:val="00D42471"/>
    <w:rsid w:val="00D4252E"/>
    <w:rsid w:val="00D426EB"/>
    <w:rsid w:val="00D4286F"/>
    <w:rsid w:val="00D42886"/>
    <w:rsid w:val="00D42B3E"/>
    <w:rsid w:val="00D42CE3"/>
    <w:rsid w:val="00D42D09"/>
    <w:rsid w:val="00D42D3A"/>
    <w:rsid w:val="00D42D5B"/>
    <w:rsid w:val="00D42F8A"/>
    <w:rsid w:val="00D431CB"/>
    <w:rsid w:val="00D4322E"/>
    <w:rsid w:val="00D43328"/>
    <w:rsid w:val="00D43539"/>
    <w:rsid w:val="00D43556"/>
    <w:rsid w:val="00D4363A"/>
    <w:rsid w:val="00D436AE"/>
    <w:rsid w:val="00D43811"/>
    <w:rsid w:val="00D4388C"/>
    <w:rsid w:val="00D4399E"/>
    <w:rsid w:val="00D43ACF"/>
    <w:rsid w:val="00D43B4F"/>
    <w:rsid w:val="00D43C45"/>
    <w:rsid w:val="00D43CCF"/>
    <w:rsid w:val="00D43D35"/>
    <w:rsid w:val="00D43E92"/>
    <w:rsid w:val="00D43F6D"/>
    <w:rsid w:val="00D44139"/>
    <w:rsid w:val="00D4417B"/>
    <w:rsid w:val="00D441D6"/>
    <w:rsid w:val="00D44245"/>
    <w:rsid w:val="00D44443"/>
    <w:rsid w:val="00D44464"/>
    <w:rsid w:val="00D4450C"/>
    <w:rsid w:val="00D44566"/>
    <w:rsid w:val="00D4457E"/>
    <w:rsid w:val="00D44609"/>
    <w:rsid w:val="00D446E6"/>
    <w:rsid w:val="00D449C6"/>
    <w:rsid w:val="00D44BFE"/>
    <w:rsid w:val="00D44E4B"/>
    <w:rsid w:val="00D44F31"/>
    <w:rsid w:val="00D44FB6"/>
    <w:rsid w:val="00D450DD"/>
    <w:rsid w:val="00D4524B"/>
    <w:rsid w:val="00D4542C"/>
    <w:rsid w:val="00D454E5"/>
    <w:rsid w:val="00D45565"/>
    <w:rsid w:val="00D4557B"/>
    <w:rsid w:val="00D45A32"/>
    <w:rsid w:val="00D45BF3"/>
    <w:rsid w:val="00D45CF4"/>
    <w:rsid w:val="00D45D50"/>
    <w:rsid w:val="00D45D56"/>
    <w:rsid w:val="00D45F7B"/>
    <w:rsid w:val="00D45F92"/>
    <w:rsid w:val="00D462EE"/>
    <w:rsid w:val="00D46320"/>
    <w:rsid w:val="00D46495"/>
    <w:rsid w:val="00D464CF"/>
    <w:rsid w:val="00D4674D"/>
    <w:rsid w:val="00D467EB"/>
    <w:rsid w:val="00D46910"/>
    <w:rsid w:val="00D46953"/>
    <w:rsid w:val="00D469BF"/>
    <w:rsid w:val="00D46B5B"/>
    <w:rsid w:val="00D46B95"/>
    <w:rsid w:val="00D46BD1"/>
    <w:rsid w:val="00D46CC7"/>
    <w:rsid w:val="00D46E58"/>
    <w:rsid w:val="00D46EAF"/>
    <w:rsid w:val="00D46F2D"/>
    <w:rsid w:val="00D47065"/>
    <w:rsid w:val="00D470C1"/>
    <w:rsid w:val="00D470DB"/>
    <w:rsid w:val="00D4713A"/>
    <w:rsid w:val="00D472E1"/>
    <w:rsid w:val="00D472F9"/>
    <w:rsid w:val="00D47370"/>
    <w:rsid w:val="00D473CC"/>
    <w:rsid w:val="00D4740C"/>
    <w:rsid w:val="00D474DA"/>
    <w:rsid w:val="00D4766B"/>
    <w:rsid w:val="00D47812"/>
    <w:rsid w:val="00D47907"/>
    <w:rsid w:val="00D47922"/>
    <w:rsid w:val="00D47ACF"/>
    <w:rsid w:val="00D47B1A"/>
    <w:rsid w:val="00D47C5C"/>
    <w:rsid w:val="00D47CC5"/>
    <w:rsid w:val="00D47D65"/>
    <w:rsid w:val="00D47F90"/>
    <w:rsid w:val="00D47F9E"/>
    <w:rsid w:val="00D47FD8"/>
    <w:rsid w:val="00D50157"/>
    <w:rsid w:val="00D50160"/>
    <w:rsid w:val="00D504C4"/>
    <w:rsid w:val="00D50579"/>
    <w:rsid w:val="00D505A6"/>
    <w:rsid w:val="00D506C3"/>
    <w:rsid w:val="00D506DF"/>
    <w:rsid w:val="00D5070C"/>
    <w:rsid w:val="00D5074E"/>
    <w:rsid w:val="00D50845"/>
    <w:rsid w:val="00D50937"/>
    <w:rsid w:val="00D50944"/>
    <w:rsid w:val="00D50946"/>
    <w:rsid w:val="00D509F0"/>
    <w:rsid w:val="00D50AB2"/>
    <w:rsid w:val="00D50C00"/>
    <w:rsid w:val="00D50D44"/>
    <w:rsid w:val="00D50DA3"/>
    <w:rsid w:val="00D50E91"/>
    <w:rsid w:val="00D50F26"/>
    <w:rsid w:val="00D50FBA"/>
    <w:rsid w:val="00D51210"/>
    <w:rsid w:val="00D512A8"/>
    <w:rsid w:val="00D512F5"/>
    <w:rsid w:val="00D5149D"/>
    <w:rsid w:val="00D51584"/>
    <w:rsid w:val="00D517E2"/>
    <w:rsid w:val="00D5187D"/>
    <w:rsid w:val="00D519AD"/>
    <w:rsid w:val="00D519E6"/>
    <w:rsid w:val="00D51A9C"/>
    <w:rsid w:val="00D51B4A"/>
    <w:rsid w:val="00D51EAE"/>
    <w:rsid w:val="00D51F9D"/>
    <w:rsid w:val="00D5213E"/>
    <w:rsid w:val="00D52149"/>
    <w:rsid w:val="00D52328"/>
    <w:rsid w:val="00D52419"/>
    <w:rsid w:val="00D52454"/>
    <w:rsid w:val="00D5264F"/>
    <w:rsid w:val="00D52887"/>
    <w:rsid w:val="00D529C1"/>
    <w:rsid w:val="00D52A8A"/>
    <w:rsid w:val="00D52C1F"/>
    <w:rsid w:val="00D52D49"/>
    <w:rsid w:val="00D52DD3"/>
    <w:rsid w:val="00D52E7C"/>
    <w:rsid w:val="00D53052"/>
    <w:rsid w:val="00D53126"/>
    <w:rsid w:val="00D53164"/>
    <w:rsid w:val="00D532C7"/>
    <w:rsid w:val="00D532FE"/>
    <w:rsid w:val="00D53448"/>
    <w:rsid w:val="00D53524"/>
    <w:rsid w:val="00D5355D"/>
    <w:rsid w:val="00D5358A"/>
    <w:rsid w:val="00D536EE"/>
    <w:rsid w:val="00D53802"/>
    <w:rsid w:val="00D53816"/>
    <w:rsid w:val="00D5394F"/>
    <w:rsid w:val="00D539EE"/>
    <w:rsid w:val="00D53BDD"/>
    <w:rsid w:val="00D53D3D"/>
    <w:rsid w:val="00D53D92"/>
    <w:rsid w:val="00D53F92"/>
    <w:rsid w:val="00D540A5"/>
    <w:rsid w:val="00D540E3"/>
    <w:rsid w:val="00D54117"/>
    <w:rsid w:val="00D54213"/>
    <w:rsid w:val="00D5432D"/>
    <w:rsid w:val="00D54486"/>
    <w:rsid w:val="00D5449A"/>
    <w:rsid w:val="00D54602"/>
    <w:rsid w:val="00D54634"/>
    <w:rsid w:val="00D54639"/>
    <w:rsid w:val="00D548A6"/>
    <w:rsid w:val="00D548AD"/>
    <w:rsid w:val="00D54949"/>
    <w:rsid w:val="00D5496A"/>
    <w:rsid w:val="00D5499E"/>
    <w:rsid w:val="00D54A1D"/>
    <w:rsid w:val="00D54AFC"/>
    <w:rsid w:val="00D54B48"/>
    <w:rsid w:val="00D54CC1"/>
    <w:rsid w:val="00D54D25"/>
    <w:rsid w:val="00D54F0D"/>
    <w:rsid w:val="00D54F44"/>
    <w:rsid w:val="00D5508E"/>
    <w:rsid w:val="00D55249"/>
    <w:rsid w:val="00D5530D"/>
    <w:rsid w:val="00D5532D"/>
    <w:rsid w:val="00D55436"/>
    <w:rsid w:val="00D55454"/>
    <w:rsid w:val="00D55549"/>
    <w:rsid w:val="00D5557C"/>
    <w:rsid w:val="00D55A89"/>
    <w:rsid w:val="00D55B38"/>
    <w:rsid w:val="00D55BB1"/>
    <w:rsid w:val="00D55C22"/>
    <w:rsid w:val="00D55C38"/>
    <w:rsid w:val="00D55C67"/>
    <w:rsid w:val="00D55CFA"/>
    <w:rsid w:val="00D55D0C"/>
    <w:rsid w:val="00D55E68"/>
    <w:rsid w:val="00D5629C"/>
    <w:rsid w:val="00D5656C"/>
    <w:rsid w:val="00D565D1"/>
    <w:rsid w:val="00D565E5"/>
    <w:rsid w:val="00D566EF"/>
    <w:rsid w:val="00D5679E"/>
    <w:rsid w:val="00D5690F"/>
    <w:rsid w:val="00D56B1D"/>
    <w:rsid w:val="00D56D5A"/>
    <w:rsid w:val="00D56D62"/>
    <w:rsid w:val="00D56EB4"/>
    <w:rsid w:val="00D56F31"/>
    <w:rsid w:val="00D56F90"/>
    <w:rsid w:val="00D56FAD"/>
    <w:rsid w:val="00D573D2"/>
    <w:rsid w:val="00D573E0"/>
    <w:rsid w:val="00D574AB"/>
    <w:rsid w:val="00D57820"/>
    <w:rsid w:val="00D57862"/>
    <w:rsid w:val="00D57F05"/>
    <w:rsid w:val="00D57FF9"/>
    <w:rsid w:val="00D60089"/>
    <w:rsid w:val="00D60119"/>
    <w:rsid w:val="00D60206"/>
    <w:rsid w:val="00D602A7"/>
    <w:rsid w:val="00D6066C"/>
    <w:rsid w:val="00D60746"/>
    <w:rsid w:val="00D60772"/>
    <w:rsid w:val="00D60814"/>
    <w:rsid w:val="00D608B9"/>
    <w:rsid w:val="00D609EE"/>
    <w:rsid w:val="00D60A61"/>
    <w:rsid w:val="00D60B05"/>
    <w:rsid w:val="00D60B69"/>
    <w:rsid w:val="00D60D6C"/>
    <w:rsid w:val="00D60D9F"/>
    <w:rsid w:val="00D60E15"/>
    <w:rsid w:val="00D60E9C"/>
    <w:rsid w:val="00D61048"/>
    <w:rsid w:val="00D611D1"/>
    <w:rsid w:val="00D611D4"/>
    <w:rsid w:val="00D611DC"/>
    <w:rsid w:val="00D611E1"/>
    <w:rsid w:val="00D6124D"/>
    <w:rsid w:val="00D6132C"/>
    <w:rsid w:val="00D6161A"/>
    <w:rsid w:val="00D6164B"/>
    <w:rsid w:val="00D616D9"/>
    <w:rsid w:val="00D6191A"/>
    <w:rsid w:val="00D61987"/>
    <w:rsid w:val="00D61B46"/>
    <w:rsid w:val="00D61C10"/>
    <w:rsid w:val="00D61D64"/>
    <w:rsid w:val="00D61D79"/>
    <w:rsid w:val="00D61EBF"/>
    <w:rsid w:val="00D61F25"/>
    <w:rsid w:val="00D621BB"/>
    <w:rsid w:val="00D621C1"/>
    <w:rsid w:val="00D62273"/>
    <w:rsid w:val="00D62333"/>
    <w:rsid w:val="00D62383"/>
    <w:rsid w:val="00D623B9"/>
    <w:rsid w:val="00D623E3"/>
    <w:rsid w:val="00D623FC"/>
    <w:rsid w:val="00D62479"/>
    <w:rsid w:val="00D6247B"/>
    <w:rsid w:val="00D6250E"/>
    <w:rsid w:val="00D6282C"/>
    <w:rsid w:val="00D6283F"/>
    <w:rsid w:val="00D62871"/>
    <w:rsid w:val="00D62986"/>
    <w:rsid w:val="00D62B1F"/>
    <w:rsid w:val="00D62C89"/>
    <w:rsid w:val="00D62D59"/>
    <w:rsid w:val="00D62DC4"/>
    <w:rsid w:val="00D62DC9"/>
    <w:rsid w:val="00D62E91"/>
    <w:rsid w:val="00D62F6A"/>
    <w:rsid w:val="00D63187"/>
    <w:rsid w:val="00D631AA"/>
    <w:rsid w:val="00D63254"/>
    <w:rsid w:val="00D632AF"/>
    <w:rsid w:val="00D63527"/>
    <w:rsid w:val="00D635AD"/>
    <w:rsid w:val="00D637EC"/>
    <w:rsid w:val="00D6380B"/>
    <w:rsid w:val="00D638B9"/>
    <w:rsid w:val="00D6396B"/>
    <w:rsid w:val="00D63B79"/>
    <w:rsid w:val="00D63B84"/>
    <w:rsid w:val="00D63C91"/>
    <w:rsid w:val="00D63DCB"/>
    <w:rsid w:val="00D63E60"/>
    <w:rsid w:val="00D63E84"/>
    <w:rsid w:val="00D64226"/>
    <w:rsid w:val="00D642BC"/>
    <w:rsid w:val="00D643DF"/>
    <w:rsid w:val="00D64545"/>
    <w:rsid w:val="00D64677"/>
    <w:rsid w:val="00D6486E"/>
    <w:rsid w:val="00D649AD"/>
    <w:rsid w:val="00D649BD"/>
    <w:rsid w:val="00D64A43"/>
    <w:rsid w:val="00D64A5A"/>
    <w:rsid w:val="00D64A9C"/>
    <w:rsid w:val="00D64E75"/>
    <w:rsid w:val="00D64F5B"/>
    <w:rsid w:val="00D64FD4"/>
    <w:rsid w:val="00D6500C"/>
    <w:rsid w:val="00D65145"/>
    <w:rsid w:val="00D65499"/>
    <w:rsid w:val="00D6562A"/>
    <w:rsid w:val="00D65689"/>
    <w:rsid w:val="00D65730"/>
    <w:rsid w:val="00D65932"/>
    <w:rsid w:val="00D65B57"/>
    <w:rsid w:val="00D65B7B"/>
    <w:rsid w:val="00D65BF6"/>
    <w:rsid w:val="00D65C97"/>
    <w:rsid w:val="00D661FD"/>
    <w:rsid w:val="00D663A2"/>
    <w:rsid w:val="00D663D4"/>
    <w:rsid w:val="00D6667C"/>
    <w:rsid w:val="00D66760"/>
    <w:rsid w:val="00D6680F"/>
    <w:rsid w:val="00D66887"/>
    <w:rsid w:val="00D668F8"/>
    <w:rsid w:val="00D66960"/>
    <w:rsid w:val="00D6698B"/>
    <w:rsid w:val="00D66A44"/>
    <w:rsid w:val="00D66AD1"/>
    <w:rsid w:val="00D66B61"/>
    <w:rsid w:val="00D66BD4"/>
    <w:rsid w:val="00D66CD0"/>
    <w:rsid w:val="00D66D5D"/>
    <w:rsid w:val="00D671F4"/>
    <w:rsid w:val="00D6733A"/>
    <w:rsid w:val="00D67430"/>
    <w:rsid w:val="00D67467"/>
    <w:rsid w:val="00D675E5"/>
    <w:rsid w:val="00D6766F"/>
    <w:rsid w:val="00D67753"/>
    <w:rsid w:val="00D677EA"/>
    <w:rsid w:val="00D67855"/>
    <w:rsid w:val="00D678DB"/>
    <w:rsid w:val="00D67992"/>
    <w:rsid w:val="00D67A2F"/>
    <w:rsid w:val="00D67A45"/>
    <w:rsid w:val="00D67AA0"/>
    <w:rsid w:val="00D67BDE"/>
    <w:rsid w:val="00D67D5D"/>
    <w:rsid w:val="00D67DD8"/>
    <w:rsid w:val="00D67EC8"/>
    <w:rsid w:val="00D67F00"/>
    <w:rsid w:val="00D70008"/>
    <w:rsid w:val="00D70066"/>
    <w:rsid w:val="00D70263"/>
    <w:rsid w:val="00D702CB"/>
    <w:rsid w:val="00D7038F"/>
    <w:rsid w:val="00D70397"/>
    <w:rsid w:val="00D703EB"/>
    <w:rsid w:val="00D7046D"/>
    <w:rsid w:val="00D70473"/>
    <w:rsid w:val="00D704C4"/>
    <w:rsid w:val="00D7059E"/>
    <w:rsid w:val="00D705F3"/>
    <w:rsid w:val="00D706BB"/>
    <w:rsid w:val="00D70895"/>
    <w:rsid w:val="00D708A5"/>
    <w:rsid w:val="00D70E24"/>
    <w:rsid w:val="00D70E2A"/>
    <w:rsid w:val="00D70E48"/>
    <w:rsid w:val="00D7122B"/>
    <w:rsid w:val="00D71269"/>
    <w:rsid w:val="00D7135F"/>
    <w:rsid w:val="00D713C8"/>
    <w:rsid w:val="00D71585"/>
    <w:rsid w:val="00D715FA"/>
    <w:rsid w:val="00D71663"/>
    <w:rsid w:val="00D716F0"/>
    <w:rsid w:val="00D71703"/>
    <w:rsid w:val="00D71AEF"/>
    <w:rsid w:val="00D71C90"/>
    <w:rsid w:val="00D71D7E"/>
    <w:rsid w:val="00D71D9C"/>
    <w:rsid w:val="00D71DCF"/>
    <w:rsid w:val="00D71E4F"/>
    <w:rsid w:val="00D7218F"/>
    <w:rsid w:val="00D72474"/>
    <w:rsid w:val="00D7253A"/>
    <w:rsid w:val="00D72576"/>
    <w:rsid w:val="00D726C9"/>
    <w:rsid w:val="00D72857"/>
    <w:rsid w:val="00D728BE"/>
    <w:rsid w:val="00D728DF"/>
    <w:rsid w:val="00D72931"/>
    <w:rsid w:val="00D7299B"/>
    <w:rsid w:val="00D72A42"/>
    <w:rsid w:val="00D72A66"/>
    <w:rsid w:val="00D72A93"/>
    <w:rsid w:val="00D72B94"/>
    <w:rsid w:val="00D72BC1"/>
    <w:rsid w:val="00D72C2D"/>
    <w:rsid w:val="00D72E40"/>
    <w:rsid w:val="00D72EF0"/>
    <w:rsid w:val="00D72EF9"/>
    <w:rsid w:val="00D72F8E"/>
    <w:rsid w:val="00D73097"/>
    <w:rsid w:val="00D732D1"/>
    <w:rsid w:val="00D7331C"/>
    <w:rsid w:val="00D7338A"/>
    <w:rsid w:val="00D73447"/>
    <w:rsid w:val="00D73606"/>
    <w:rsid w:val="00D73652"/>
    <w:rsid w:val="00D73798"/>
    <w:rsid w:val="00D738C3"/>
    <w:rsid w:val="00D739CE"/>
    <w:rsid w:val="00D73AA5"/>
    <w:rsid w:val="00D74154"/>
    <w:rsid w:val="00D7422A"/>
    <w:rsid w:val="00D742C7"/>
    <w:rsid w:val="00D74375"/>
    <w:rsid w:val="00D7445F"/>
    <w:rsid w:val="00D74486"/>
    <w:rsid w:val="00D747DB"/>
    <w:rsid w:val="00D749C3"/>
    <w:rsid w:val="00D74A36"/>
    <w:rsid w:val="00D74A43"/>
    <w:rsid w:val="00D74B31"/>
    <w:rsid w:val="00D74B58"/>
    <w:rsid w:val="00D74BB8"/>
    <w:rsid w:val="00D74C67"/>
    <w:rsid w:val="00D74D2B"/>
    <w:rsid w:val="00D74F4D"/>
    <w:rsid w:val="00D74FF8"/>
    <w:rsid w:val="00D7507C"/>
    <w:rsid w:val="00D75093"/>
    <w:rsid w:val="00D75131"/>
    <w:rsid w:val="00D75222"/>
    <w:rsid w:val="00D75296"/>
    <w:rsid w:val="00D7543F"/>
    <w:rsid w:val="00D754CE"/>
    <w:rsid w:val="00D755CD"/>
    <w:rsid w:val="00D75619"/>
    <w:rsid w:val="00D75634"/>
    <w:rsid w:val="00D756A5"/>
    <w:rsid w:val="00D75743"/>
    <w:rsid w:val="00D75861"/>
    <w:rsid w:val="00D75BCF"/>
    <w:rsid w:val="00D75C00"/>
    <w:rsid w:val="00D75F9E"/>
    <w:rsid w:val="00D75FB1"/>
    <w:rsid w:val="00D75FF0"/>
    <w:rsid w:val="00D760D4"/>
    <w:rsid w:val="00D761A5"/>
    <w:rsid w:val="00D761AB"/>
    <w:rsid w:val="00D762A3"/>
    <w:rsid w:val="00D76371"/>
    <w:rsid w:val="00D76490"/>
    <w:rsid w:val="00D7697B"/>
    <w:rsid w:val="00D76AE3"/>
    <w:rsid w:val="00D76AE8"/>
    <w:rsid w:val="00D76B0E"/>
    <w:rsid w:val="00D76C1C"/>
    <w:rsid w:val="00D76FC2"/>
    <w:rsid w:val="00D77035"/>
    <w:rsid w:val="00D77204"/>
    <w:rsid w:val="00D77316"/>
    <w:rsid w:val="00D77451"/>
    <w:rsid w:val="00D777AA"/>
    <w:rsid w:val="00D77C7B"/>
    <w:rsid w:val="00D77D2D"/>
    <w:rsid w:val="00D77DD5"/>
    <w:rsid w:val="00D77E82"/>
    <w:rsid w:val="00D77EBC"/>
    <w:rsid w:val="00D77F4A"/>
    <w:rsid w:val="00D77F74"/>
    <w:rsid w:val="00D80036"/>
    <w:rsid w:val="00D8030F"/>
    <w:rsid w:val="00D80527"/>
    <w:rsid w:val="00D806B9"/>
    <w:rsid w:val="00D80708"/>
    <w:rsid w:val="00D80726"/>
    <w:rsid w:val="00D809FD"/>
    <w:rsid w:val="00D80AB4"/>
    <w:rsid w:val="00D80ADC"/>
    <w:rsid w:val="00D80B3F"/>
    <w:rsid w:val="00D80C1F"/>
    <w:rsid w:val="00D80C4D"/>
    <w:rsid w:val="00D80C60"/>
    <w:rsid w:val="00D80C8F"/>
    <w:rsid w:val="00D80E0A"/>
    <w:rsid w:val="00D80E45"/>
    <w:rsid w:val="00D80F22"/>
    <w:rsid w:val="00D81056"/>
    <w:rsid w:val="00D81089"/>
    <w:rsid w:val="00D811D7"/>
    <w:rsid w:val="00D81229"/>
    <w:rsid w:val="00D81267"/>
    <w:rsid w:val="00D81434"/>
    <w:rsid w:val="00D81464"/>
    <w:rsid w:val="00D81624"/>
    <w:rsid w:val="00D81966"/>
    <w:rsid w:val="00D81BD5"/>
    <w:rsid w:val="00D81DD6"/>
    <w:rsid w:val="00D820C3"/>
    <w:rsid w:val="00D820DA"/>
    <w:rsid w:val="00D821BD"/>
    <w:rsid w:val="00D821EE"/>
    <w:rsid w:val="00D82644"/>
    <w:rsid w:val="00D8267D"/>
    <w:rsid w:val="00D82763"/>
    <w:rsid w:val="00D8278F"/>
    <w:rsid w:val="00D8285B"/>
    <w:rsid w:val="00D82A41"/>
    <w:rsid w:val="00D82D2A"/>
    <w:rsid w:val="00D82E3B"/>
    <w:rsid w:val="00D82E3C"/>
    <w:rsid w:val="00D82E72"/>
    <w:rsid w:val="00D83143"/>
    <w:rsid w:val="00D8318A"/>
    <w:rsid w:val="00D831B8"/>
    <w:rsid w:val="00D83274"/>
    <w:rsid w:val="00D832BA"/>
    <w:rsid w:val="00D834D6"/>
    <w:rsid w:val="00D83509"/>
    <w:rsid w:val="00D8362B"/>
    <w:rsid w:val="00D83733"/>
    <w:rsid w:val="00D83751"/>
    <w:rsid w:val="00D838BD"/>
    <w:rsid w:val="00D83920"/>
    <w:rsid w:val="00D83A15"/>
    <w:rsid w:val="00D83A39"/>
    <w:rsid w:val="00D83ACB"/>
    <w:rsid w:val="00D83AE0"/>
    <w:rsid w:val="00D83B13"/>
    <w:rsid w:val="00D83CC9"/>
    <w:rsid w:val="00D83CD7"/>
    <w:rsid w:val="00D83D6E"/>
    <w:rsid w:val="00D83ED4"/>
    <w:rsid w:val="00D84140"/>
    <w:rsid w:val="00D842C9"/>
    <w:rsid w:val="00D8433F"/>
    <w:rsid w:val="00D84595"/>
    <w:rsid w:val="00D8482A"/>
    <w:rsid w:val="00D84ADA"/>
    <w:rsid w:val="00D84AEA"/>
    <w:rsid w:val="00D84B39"/>
    <w:rsid w:val="00D84CD7"/>
    <w:rsid w:val="00D84DDA"/>
    <w:rsid w:val="00D84EB6"/>
    <w:rsid w:val="00D84F28"/>
    <w:rsid w:val="00D84F2D"/>
    <w:rsid w:val="00D84F74"/>
    <w:rsid w:val="00D85097"/>
    <w:rsid w:val="00D85153"/>
    <w:rsid w:val="00D851AE"/>
    <w:rsid w:val="00D8530E"/>
    <w:rsid w:val="00D8542B"/>
    <w:rsid w:val="00D854A9"/>
    <w:rsid w:val="00D855EA"/>
    <w:rsid w:val="00D85620"/>
    <w:rsid w:val="00D857A5"/>
    <w:rsid w:val="00D859EC"/>
    <w:rsid w:val="00D85ABC"/>
    <w:rsid w:val="00D85B95"/>
    <w:rsid w:val="00D85F5B"/>
    <w:rsid w:val="00D8616E"/>
    <w:rsid w:val="00D86366"/>
    <w:rsid w:val="00D8637E"/>
    <w:rsid w:val="00D8641A"/>
    <w:rsid w:val="00D86470"/>
    <w:rsid w:val="00D864E1"/>
    <w:rsid w:val="00D86545"/>
    <w:rsid w:val="00D865FF"/>
    <w:rsid w:val="00D86694"/>
    <w:rsid w:val="00D86775"/>
    <w:rsid w:val="00D867A7"/>
    <w:rsid w:val="00D86B3A"/>
    <w:rsid w:val="00D86C1F"/>
    <w:rsid w:val="00D86C73"/>
    <w:rsid w:val="00D86D3F"/>
    <w:rsid w:val="00D86EB2"/>
    <w:rsid w:val="00D86ECE"/>
    <w:rsid w:val="00D86F73"/>
    <w:rsid w:val="00D86F85"/>
    <w:rsid w:val="00D8703C"/>
    <w:rsid w:val="00D87352"/>
    <w:rsid w:val="00D873D2"/>
    <w:rsid w:val="00D875FC"/>
    <w:rsid w:val="00D8762B"/>
    <w:rsid w:val="00D87712"/>
    <w:rsid w:val="00D87718"/>
    <w:rsid w:val="00D8778C"/>
    <w:rsid w:val="00D878F7"/>
    <w:rsid w:val="00D87919"/>
    <w:rsid w:val="00D879DE"/>
    <w:rsid w:val="00D87A6E"/>
    <w:rsid w:val="00D87AF6"/>
    <w:rsid w:val="00D87B39"/>
    <w:rsid w:val="00D87C6A"/>
    <w:rsid w:val="00D87CB6"/>
    <w:rsid w:val="00D87D06"/>
    <w:rsid w:val="00D87D9F"/>
    <w:rsid w:val="00D87E0A"/>
    <w:rsid w:val="00D87ECA"/>
    <w:rsid w:val="00D87EFC"/>
    <w:rsid w:val="00D87F5C"/>
    <w:rsid w:val="00D90123"/>
    <w:rsid w:val="00D9028D"/>
    <w:rsid w:val="00D90468"/>
    <w:rsid w:val="00D904B6"/>
    <w:rsid w:val="00D905DE"/>
    <w:rsid w:val="00D90633"/>
    <w:rsid w:val="00D907DA"/>
    <w:rsid w:val="00D907E8"/>
    <w:rsid w:val="00D908F9"/>
    <w:rsid w:val="00D9090A"/>
    <w:rsid w:val="00D9094F"/>
    <w:rsid w:val="00D909F3"/>
    <w:rsid w:val="00D90A11"/>
    <w:rsid w:val="00D90CB2"/>
    <w:rsid w:val="00D90E2C"/>
    <w:rsid w:val="00D90E4B"/>
    <w:rsid w:val="00D90EB9"/>
    <w:rsid w:val="00D90F3C"/>
    <w:rsid w:val="00D910AC"/>
    <w:rsid w:val="00D91192"/>
    <w:rsid w:val="00D912B7"/>
    <w:rsid w:val="00D91318"/>
    <w:rsid w:val="00D9137F"/>
    <w:rsid w:val="00D914D1"/>
    <w:rsid w:val="00D9152D"/>
    <w:rsid w:val="00D91659"/>
    <w:rsid w:val="00D916AB"/>
    <w:rsid w:val="00D91707"/>
    <w:rsid w:val="00D917E2"/>
    <w:rsid w:val="00D917ED"/>
    <w:rsid w:val="00D91890"/>
    <w:rsid w:val="00D919F2"/>
    <w:rsid w:val="00D91AA9"/>
    <w:rsid w:val="00D91BEB"/>
    <w:rsid w:val="00D91E9B"/>
    <w:rsid w:val="00D91F88"/>
    <w:rsid w:val="00D92063"/>
    <w:rsid w:val="00D920E2"/>
    <w:rsid w:val="00D9216B"/>
    <w:rsid w:val="00D921BF"/>
    <w:rsid w:val="00D92210"/>
    <w:rsid w:val="00D923F3"/>
    <w:rsid w:val="00D92440"/>
    <w:rsid w:val="00D927E2"/>
    <w:rsid w:val="00D92824"/>
    <w:rsid w:val="00D92918"/>
    <w:rsid w:val="00D92A4B"/>
    <w:rsid w:val="00D92B51"/>
    <w:rsid w:val="00D92B9F"/>
    <w:rsid w:val="00D92C15"/>
    <w:rsid w:val="00D92DBF"/>
    <w:rsid w:val="00D92E7E"/>
    <w:rsid w:val="00D92ECC"/>
    <w:rsid w:val="00D92FB7"/>
    <w:rsid w:val="00D9305D"/>
    <w:rsid w:val="00D93106"/>
    <w:rsid w:val="00D93200"/>
    <w:rsid w:val="00D932F6"/>
    <w:rsid w:val="00D933A9"/>
    <w:rsid w:val="00D93529"/>
    <w:rsid w:val="00D935B5"/>
    <w:rsid w:val="00D936AE"/>
    <w:rsid w:val="00D93768"/>
    <w:rsid w:val="00D93877"/>
    <w:rsid w:val="00D938CD"/>
    <w:rsid w:val="00D93962"/>
    <w:rsid w:val="00D93AB5"/>
    <w:rsid w:val="00D93CC0"/>
    <w:rsid w:val="00D93D8B"/>
    <w:rsid w:val="00D93E96"/>
    <w:rsid w:val="00D93F9B"/>
    <w:rsid w:val="00D940FD"/>
    <w:rsid w:val="00D94122"/>
    <w:rsid w:val="00D941EC"/>
    <w:rsid w:val="00D942DF"/>
    <w:rsid w:val="00D9436E"/>
    <w:rsid w:val="00D943AF"/>
    <w:rsid w:val="00D943F7"/>
    <w:rsid w:val="00D9444A"/>
    <w:rsid w:val="00D945F5"/>
    <w:rsid w:val="00D94677"/>
    <w:rsid w:val="00D94819"/>
    <w:rsid w:val="00D948A3"/>
    <w:rsid w:val="00D948B9"/>
    <w:rsid w:val="00D948D9"/>
    <w:rsid w:val="00D9492C"/>
    <w:rsid w:val="00D9498A"/>
    <w:rsid w:val="00D9498E"/>
    <w:rsid w:val="00D94A26"/>
    <w:rsid w:val="00D94AAE"/>
    <w:rsid w:val="00D94B39"/>
    <w:rsid w:val="00D94BB5"/>
    <w:rsid w:val="00D94DCF"/>
    <w:rsid w:val="00D94E93"/>
    <w:rsid w:val="00D94F03"/>
    <w:rsid w:val="00D95067"/>
    <w:rsid w:val="00D95085"/>
    <w:rsid w:val="00D95105"/>
    <w:rsid w:val="00D95168"/>
    <w:rsid w:val="00D951E9"/>
    <w:rsid w:val="00D9523E"/>
    <w:rsid w:val="00D952D6"/>
    <w:rsid w:val="00D95391"/>
    <w:rsid w:val="00D95651"/>
    <w:rsid w:val="00D956EF"/>
    <w:rsid w:val="00D957D1"/>
    <w:rsid w:val="00D95832"/>
    <w:rsid w:val="00D95878"/>
    <w:rsid w:val="00D958F1"/>
    <w:rsid w:val="00D95ABD"/>
    <w:rsid w:val="00D95AD8"/>
    <w:rsid w:val="00D95D3A"/>
    <w:rsid w:val="00D95D60"/>
    <w:rsid w:val="00D95E5E"/>
    <w:rsid w:val="00D95F95"/>
    <w:rsid w:val="00D96021"/>
    <w:rsid w:val="00D96093"/>
    <w:rsid w:val="00D9613B"/>
    <w:rsid w:val="00D96308"/>
    <w:rsid w:val="00D96362"/>
    <w:rsid w:val="00D96419"/>
    <w:rsid w:val="00D964B3"/>
    <w:rsid w:val="00D9670B"/>
    <w:rsid w:val="00D96725"/>
    <w:rsid w:val="00D96805"/>
    <w:rsid w:val="00D96856"/>
    <w:rsid w:val="00D969F7"/>
    <w:rsid w:val="00D96A1F"/>
    <w:rsid w:val="00D96AF2"/>
    <w:rsid w:val="00D96BC6"/>
    <w:rsid w:val="00D96CE4"/>
    <w:rsid w:val="00D96D22"/>
    <w:rsid w:val="00D96DAD"/>
    <w:rsid w:val="00D96DAF"/>
    <w:rsid w:val="00D96FB6"/>
    <w:rsid w:val="00D96FD9"/>
    <w:rsid w:val="00D970E5"/>
    <w:rsid w:val="00D972A6"/>
    <w:rsid w:val="00D97589"/>
    <w:rsid w:val="00D97590"/>
    <w:rsid w:val="00D97742"/>
    <w:rsid w:val="00D9778B"/>
    <w:rsid w:val="00D9786E"/>
    <w:rsid w:val="00D978A1"/>
    <w:rsid w:val="00D978CD"/>
    <w:rsid w:val="00D97A95"/>
    <w:rsid w:val="00D97ADE"/>
    <w:rsid w:val="00D97BC0"/>
    <w:rsid w:val="00D97D81"/>
    <w:rsid w:val="00D97EF6"/>
    <w:rsid w:val="00DA0136"/>
    <w:rsid w:val="00DA01E8"/>
    <w:rsid w:val="00DA021D"/>
    <w:rsid w:val="00DA0245"/>
    <w:rsid w:val="00DA029A"/>
    <w:rsid w:val="00DA02F6"/>
    <w:rsid w:val="00DA0302"/>
    <w:rsid w:val="00DA04A9"/>
    <w:rsid w:val="00DA04BD"/>
    <w:rsid w:val="00DA05BF"/>
    <w:rsid w:val="00DA0682"/>
    <w:rsid w:val="00DA07C2"/>
    <w:rsid w:val="00DA08B1"/>
    <w:rsid w:val="00DA098C"/>
    <w:rsid w:val="00DA0A50"/>
    <w:rsid w:val="00DA0B55"/>
    <w:rsid w:val="00DA0CCB"/>
    <w:rsid w:val="00DA1040"/>
    <w:rsid w:val="00DA1283"/>
    <w:rsid w:val="00DA138D"/>
    <w:rsid w:val="00DA1397"/>
    <w:rsid w:val="00DA14AA"/>
    <w:rsid w:val="00DA1528"/>
    <w:rsid w:val="00DA1596"/>
    <w:rsid w:val="00DA1720"/>
    <w:rsid w:val="00DA1776"/>
    <w:rsid w:val="00DA1A23"/>
    <w:rsid w:val="00DA1AB2"/>
    <w:rsid w:val="00DA1BDE"/>
    <w:rsid w:val="00DA1C59"/>
    <w:rsid w:val="00DA1CC8"/>
    <w:rsid w:val="00DA1CF4"/>
    <w:rsid w:val="00DA1DB2"/>
    <w:rsid w:val="00DA1DC7"/>
    <w:rsid w:val="00DA1E18"/>
    <w:rsid w:val="00DA20FC"/>
    <w:rsid w:val="00DA2156"/>
    <w:rsid w:val="00DA21F2"/>
    <w:rsid w:val="00DA2205"/>
    <w:rsid w:val="00DA2209"/>
    <w:rsid w:val="00DA2226"/>
    <w:rsid w:val="00DA2243"/>
    <w:rsid w:val="00DA2281"/>
    <w:rsid w:val="00DA22B3"/>
    <w:rsid w:val="00DA2301"/>
    <w:rsid w:val="00DA2311"/>
    <w:rsid w:val="00DA23A9"/>
    <w:rsid w:val="00DA2491"/>
    <w:rsid w:val="00DA25DF"/>
    <w:rsid w:val="00DA2607"/>
    <w:rsid w:val="00DA260A"/>
    <w:rsid w:val="00DA274D"/>
    <w:rsid w:val="00DA2797"/>
    <w:rsid w:val="00DA27A6"/>
    <w:rsid w:val="00DA27F9"/>
    <w:rsid w:val="00DA2823"/>
    <w:rsid w:val="00DA2936"/>
    <w:rsid w:val="00DA29B6"/>
    <w:rsid w:val="00DA2AB2"/>
    <w:rsid w:val="00DA2B72"/>
    <w:rsid w:val="00DA2EB6"/>
    <w:rsid w:val="00DA2F56"/>
    <w:rsid w:val="00DA30F2"/>
    <w:rsid w:val="00DA316D"/>
    <w:rsid w:val="00DA3173"/>
    <w:rsid w:val="00DA34EA"/>
    <w:rsid w:val="00DA35CA"/>
    <w:rsid w:val="00DA36DF"/>
    <w:rsid w:val="00DA3899"/>
    <w:rsid w:val="00DA3A62"/>
    <w:rsid w:val="00DA3CF0"/>
    <w:rsid w:val="00DA3FB3"/>
    <w:rsid w:val="00DA400B"/>
    <w:rsid w:val="00DA40E4"/>
    <w:rsid w:val="00DA4181"/>
    <w:rsid w:val="00DA42C7"/>
    <w:rsid w:val="00DA42F1"/>
    <w:rsid w:val="00DA4306"/>
    <w:rsid w:val="00DA43CA"/>
    <w:rsid w:val="00DA4540"/>
    <w:rsid w:val="00DA46CE"/>
    <w:rsid w:val="00DA476D"/>
    <w:rsid w:val="00DA4825"/>
    <w:rsid w:val="00DA4AAF"/>
    <w:rsid w:val="00DA4BFF"/>
    <w:rsid w:val="00DA4C2C"/>
    <w:rsid w:val="00DA4D27"/>
    <w:rsid w:val="00DA4F04"/>
    <w:rsid w:val="00DA4FC5"/>
    <w:rsid w:val="00DA5186"/>
    <w:rsid w:val="00DA520A"/>
    <w:rsid w:val="00DA5459"/>
    <w:rsid w:val="00DA54A3"/>
    <w:rsid w:val="00DA55DA"/>
    <w:rsid w:val="00DA5733"/>
    <w:rsid w:val="00DA579B"/>
    <w:rsid w:val="00DA57B2"/>
    <w:rsid w:val="00DA5888"/>
    <w:rsid w:val="00DA5924"/>
    <w:rsid w:val="00DA5938"/>
    <w:rsid w:val="00DA5A26"/>
    <w:rsid w:val="00DA5A3F"/>
    <w:rsid w:val="00DA5CFC"/>
    <w:rsid w:val="00DA5E4E"/>
    <w:rsid w:val="00DA5EFA"/>
    <w:rsid w:val="00DA60D8"/>
    <w:rsid w:val="00DA62E4"/>
    <w:rsid w:val="00DA661A"/>
    <w:rsid w:val="00DA6790"/>
    <w:rsid w:val="00DA681B"/>
    <w:rsid w:val="00DA6835"/>
    <w:rsid w:val="00DA6849"/>
    <w:rsid w:val="00DA68CF"/>
    <w:rsid w:val="00DA6BC2"/>
    <w:rsid w:val="00DA6DDC"/>
    <w:rsid w:val="00DA6E10"/>
    <w:rsid w:val="00DA6EEF"/>
    <w:rsid w:val="00DA6F1F"/>
    <w:rsid w:val="00DA6FB1"/>
    <w:rsid w:val="00DA70A3"/>
    <w:rsid w:val="00DA70B3"/>
    <w:rsid w:val="00DA7326"/>
    <w:rsid w:val="00DA74B1"/>
    <w:rsid w:val="00DA79DA"/>
    <w:rsid w:val="00DA7A8E"/>
    <w:rsid w:val="00DA7CFD"/>
    <w:rsid w:val="00DA7D11"/>
    <w:rsid w:val="00DA7E3A"/>
    <w:rsid w:val="00DA7E7B"/>
    <w:rsid w:val="00DA7F07"/>
    <w:rsid w:val="00DA7F31"/>
    <w:rsid w:val="00DB013C"/>
    <w:rsid w:val="00DB0156"/>
    <w:rsid w:val="00DB01CD"/>
    <w:rsid w:val="00DB01D2"/>
    <w:rsid w:val="00DB032B"/>
    <w:rsid w:val="00DB058F"/>
    <w:rsid w:val="00DB067F"/>
    <w:rsid w:val="00DB0785"/>
    <w:rsid w:val="00DB0812"/>
    <w:rsid w:val="00DB08AC"/>
    <w:rsid w:val="00DB08F6"/>
    <w:rsid w:val="00DB09AE"/>
    <w:rsid w:val="00DB0A71"/>
    <w:rsid w:val="00DB0C56"/>
    <w:rsid w:val="00DB0D7A"/>
    <w:rsid w:val="00DB0E0E"/>
    <w:rsid w:val="00DB0F81"/>
    <w:rsid w:val="00DB12BA"/>
    <w:rsid w:val="00DB1430"/>
    <w:rsid w:val="00DB1497"/>
    <w:rsid w:val="00DB14AC"/>
    <w:rsid w:val="00DB169B"/>
    <w:rsid w:val="00DB1859"/>
    <w:rsid w:val="00DB1892"/>
    <w:rsid w:val="00DB1BE6"/>
    <w:rsid w:val="00DB1DAE"/>
    <w:rsid w:val="00DB1E6C"/>
    <w:rsid w:val="00DB1F7B"/>
    <w:rsid w:val="00DB2195"/>
    <w:rsid w:val="00DB2220"/>
    <w:rsid w:val="00DB2262"/>
    <w:rsid w:val="00DB22C5"/>
    <w:rsid w:val="00DB22CD"/>
    <w:rsid w:val="00DB2396"/>
    <w:rsid w:val="00DB2910"/>
    <w:rsid w:val="00DB2995"/>
    <w:rsid w:val="00DB29CD"/>
    <w:rsid w:val="00DB29E1"/>
    <w:rsid w:val="00DB2C48"/>
    <w:rsid w:val="00DB2C55"/>
    <w:rsid w:val="00DB2D16"/>
    <w:rsid w:val="00DB2D3A"/>
    <w:rsid w:val="00DB2E0A"/>
    <w:rsid w:val="00DB2EDA"/>
    <w:rsid w:val="00DB2F18"/>
    <w:rsid w:val="00DB2F76"/>
    <w:rsid w:val="00DB2FE2"/>
    <w:rsid w:val="00DB303C"/>
    <w:rsid w:val="00DB32FB"/>
    <w:rsid w:val="00DB33E6"/>
    <w:rsid w:val="00DB3425"/>
    <w:rsid w:val="00DB351F"/>
    <w:rsid w:val="00DB3745"/>
    <w:rsid w:val="00DB37B2"/>
    <w:rsid w:val="00DB3860"/>
    <w:rsid w:val="00DB38FB"/>
    <w:rsid w:val="00DB393C"/>
    <w:rsid w:val="00DB3997"/>
    <w:rsid w:val="00DB39DA"/>
    <w:rsid w:val="00DB3A0A"/>
    <w:rsid w:val="00DB3A1C"/>
    <w:rsid w:val="00DB3A53"/>
    <w:rsid w:val="00DB3B74"/>
    <w:rsid w:val="00DB3B87"/>
    <w:rsid w:val="00DB3BEA"/>
    <w:rsid w:val="00DB3C8A"/>
    <w:rsid w:val="00DB3CA5"/>
    <w:rsid w:val="00DB3CC8"/>
    <w:rsid w:val="00DB3E1E"/>
    <w:rsid w:val="00DB3E6C"/>
    <w:rsid w:val="00DB4076"/>
    <w:rsid w:val="00DB41D1"/>
    <w:rsid w:val="00DB4205"/>
    <w:rsid w:val="00DB42BC"/>
    <w:rsid w:val="00DB435F"/>
    <w:rsid w:val="00DB436E"/>
    <w:rsid w:val="00DB44E8"/>
    <w:rsid w:val="00DB4509"/>
    <w:rsid w:val="00DB453E"/>
    <w:rsid w:val="00DB4594"/>
    <w:rsid w:val="00DB463C"/>
    <w:rsid w:val="00DB475B"/>
    <w:rsid w:val="00DB48D1"/>
    <w:rsid w:val="00DB4A09"/>
    <w:rsid w:val="00DB4BAB"/>
    <w:rsid w:val="00DB4BD8"/>
    <w:rsid w:val="00DB4C8C"/>
    <w:rsid w:val="00DB4D5C"/>
    <w:rsid w:val="00DB4EE6"/>
    <w:rsid w:val="00DB4FE5"/>
    <w:rsid w:val="00DB50B9"/>
    <w:rsid w:val="00DB516F"/>
    <w:rsid w:val="00DB51A0"/>
    <w:rsid w:val="00DB51D4"/>
    <w:rsid w:val="00DB5228"/>
    <w:rsid w:val="00DB524F"/>
    <w:rsid w:val="00DB52AE"/>
    <w:rsid w:val="00DB5394"/>
    <w:rsid w:val="00DB53EE"/>
    <w:rsid w:val="00DB5410"/>
    <w:rsid w:val="00DB54F4"/>
    <w:rsid w:val="00DB572B"/>
    <w:rsid w:val="00DB57A1"/>
    <w:rsid w:val="00DB5846"/>
    <w:rsid w:val="00DB59EC"/>
    <w:rsid w:val="00DB5A82"/>
    <w:rsid w:val="00DB5B0C"/>
    <w:rsid w:val="00DB5EBE"/>
    <w:rsid w:val="00DB5F24"/>
    <w:rsid w:val="00DB60A4"/>
    <w:rsid w:val="00DB6100"/>
    <w:rsid w:val="00DB6113"/>
    <w:rsid w:val="00DB61BB"/>
    <w:rsid w:val="00DB6280"/>
    <w:rsid w:val="00DB6361"/>
    <w:rsid w:val="00DB6367"/>
    <w:rsid w:val="00DB6471"/>
    <w:rsid w:val="00DB6538"/>
    <w:rsid w:val="00DB68B2"/>
    <w:rsid w:val="00DB6ABB"/>
    <w:rsid w:val="00DB6D4A"/>
    <w:rsid w:val="00DB6D98"/>
    <w:rsid w:val="00DB6F00"/>
    <w:rsid w:val="00DB6F6D"/>
    <w:rsid w:val="00DB6F8C"/>
    <w:rsid w:val="00DB6FB5"/>
    <w:rsid w:val="00DB6FD4"/>
    <w:rsid w:val="00DB6FF3"/>
    <w:rsid w:val="00DB720A"/>
    <w:rsid w:val="00DB7865"/>
    <w:rsid w:val="00DB78A6"/>
    <w:rsid w:val="00DB78D6"/>
    <w:rsid w:val="00DB7906"/>
    <w:rsid w:val="00DB7A26"/>
    <w:rsid w:val="00DB7A6C"/>
    <w:rsid w:val="00DB7B40"/>
    <w:rsid w:val="00DB7B8A"/>
    <w:rsid w:val="00DB7EC8"/>
    <w:rsid w:val="00DB7EFA"/>
    <w:rsid w:val="00DC0066"/>
    <w:rsid w:val="00DC020D"/>
    <w:rsid w:val="00DC0303"/>
    <w:rsid w:val="00DC0482"/>
    <w:rsid w:val="00DC0520"/>
    <w:rsid w:val="00DC0549"/>
    <w:rsid w:val="00DC05DD"/>
    <w:rsid w:val="00DC067F"/>
    <w:rsid w:val="00DC0735"/>
    <w:rsid w:val="00DC07D6"/>
    <w:rsid w:val="00DC08D9"/>
    <w:rsid w:val="00DC0ABD"/>
    <w:rsid w:val="00DC0C44"/>
    <w:rsid w:val="00DC0CA7"/>
    <w:rsid w:val="00DC0CCD"/>
    <w:rsid w:val="00DC0D18"/>
    <w:rsid w:val="00DC0E80"/>
    <w:rsid w:val="00DC1216"/>
    <w:rsid w:val="00DC1225"/>
    <w:rsid w:val="00DC123A"/>
    <w:rsid w:val="00DC1253"/>
    <w:rsid w:val="00DC1260"/>
    <w:rsid w:val="00DC12C6"/>
    <w:rsid w:val="00DC144E"/>
    <w:rsid w:val="00DC1674"/>
    <w:rsid w:val="00DC16D6"/>
    <w:rsid w:val="00DC17B5"/>
    <w:rsid w:val="00DC1850"/>
    <w:rsid w:val="00DC1864"/>
    <w:rsid w:val="00DC19FF"/>
    <w:rsid w:val="00DC1AC5"/>
    <w:rsid w:val="00DC1BED"/>
    <w:rsid w:val="00DC1D76"/>
    <w:rsid w:val="00DC1DCE"/>
    <w:rsid w:val="00DC1DD7"/>
    <w:rsid w:val="00DC1E21"/>
    <w:rsid w:val="00DC1F0B"/>
    <w:rsid w:val="00DC2302"/>
    <w:rsid w:val="00DC239F"/>
    <w:rsid w:val="00DC24C7"/>
    <w:rsid w:val="00DC250C"/>
    <w:rsid w:val="00DC251D"/>
    <w:rsid w:val="00DC25EA"/>
    <w:rsid w:val="00DC26D2"/>
    <w:rsid w:val="00DC2708"/>
    <w:rsid w:val="00DC276A"/>
    <w:rsid w:val="00DC2A0D"/>
    <w:rsid w:val="00DC2AC2"/>
    <w:rsid w:val="00DC2BE5"/>
    <w:rsid w:val="00DC2BEE"/>
    <w:rsid w:val="00DC2C4D"/>
    <w:rsid w:val="00DC2D1D"/>
    <w:rsid w:val="00DC2D8A"/>
    <w:rsid w:val="00DC2EE0"/>
    <w:rsid w:val="00DC2F11"/>
    <w:rsid w:val="00DC2F9B"/>
    <w:rsid w:val="00DC3069"/>
    <w:rsid w:val="00DC30AF"/>
    <w:rsid w:val="00DC3101"/>
    <w:rsid w:val="00DC3110"/>
    <w:rsid w:val="00DC322C"/>
    <w:rsid w:val="00DC335D"/>
    <w:rsid w:val="00DC33DD"/>
    <w:rsid w:val="00DC3447"/>
    <w:rsid w:val="00DC350B"/>
    <w:rsid w:val="00DC3604"/>
    <w:rsid w:val="00DC3618"/>
    <w:rsid w:val="00DC361C"/>
    <w:rsid w:val="00DC36AD"/>
    <w:rsid w:val="00DC371C"/>
    <w:rsid w:val="00DC37C7"/>
    <w:rsid w:val="00DC3905"/>
    <w:rsid w:val="00DC3918"/>
    <w:rsid w:val="00DC3ABD"/>
    <w:rsid w:val="00DC3BC0"/>
    <w:rsid w:val="00DC3C4B"/>
    <w:rsid w:val="00DC3C94"/>
    <w:rsid w:val="00DC3D82"/>
    <w:rsid w:val="00DC3DC2"/>
    <w:rsid w:val="00DC3E88"/>
    <w:rsid w:val="00DC3EA0"/>
    <w:rsid w:val="00DC3F26"/>
    <w:rsid w:val="00DC44CF"/>
    <w:rsid w:val="00DC4588"/>
    <w:rsid w:val="00DC46C0"/>
    <w:rsid w:val="00DC497A"/>
    <w:rsid w:val="00DC4A9C"/>
    <w:rsid w:val="00DC4B9D"/>
    <w:rsid w:val="00DC4BE3"/>
    <w:rsid w:val="00DC4EBB"/>
    <w:rsid w:val="00DC4EF4"/>
    <w:rsid w:val="00DC4F77"/>
    <w:rsid w:val="00DC4FED"/>
    <w:rsid w:val="00DC50E7"/>
    <w:rsid w:val="00DC51A1"/>
    <w:rsid w:val="00DC51F8"/>
    <w:rsid w:val="00DC530F"/>
    <w:rsid w:val="00DC5344"/>
    <w:rsid w:val="00DC5470"/>
    <w:rsid w:val="00DC54C1"/>
    <w:rsid w:val="00DC555F"/>
    <w:rsid w:val="00DC56FC"/>
    <w:rsid w:val="00DC584D"/>
    <w:rsid w:val="00DC58E0"/>
    <w:rsid w:val="00DC5BE8"/>
    <w:rsid w:val="00DC5DB2"/>
    <w:rsid w:val="00DC5DFC"/>
    <w:rsid w:val="00DC5FA3"/>
    <w:rsid w:val="00DC6013"/>
    <w:rsid w:val="00DC62DB"/>
    <w:rsid w:val="00DC64AB"/>
    <w:rsid w:val="00DC68EB"/>
    <w:rsid w:val="00DC695E"/>
    <w:rsid w:val="00DC6AF1"/>
    <w:rsid w:val="00DC6B1B"/>
    <w:rsid w:val="00DC6B8F"/>
    <w:rsid w:val="00DC6C1F"/>
    <w:rsid w:val="00DC6C21"/>
    <w:rsid w:val="00DC6CEC"/>
    <w:rsid w:val="00DC6D3A"/>
    <w:rsid w:val="00DC6D86"/>
    <w:rsid w:val="00DC6FBC"/>
    <w:rsid w:val="00DC70B9"/>
    <w:rsid w:val="00DC7141"/>
    <w:rsid w:val="00DC727E"/>
    <w:rsid w:val="00DC730B"/>
    <w:rsid w:val="00DC7368"/>
    <w:rsid w:val="00DC7413"/>
    <w:rsid w:val="00DC7416"/>
    <w:rsid w:val="00DC752B"/>
    <w:rsid w:val="00DC75BF"/>
    <w:rsid w:val="00DC7702"/>
    <w:rsid w:val="00DC781D"/>
    <w:rsid w:val="00DC783F"/>
    <w:rsid w:val="00DC7844"/>
    <w:rsid w:val="00DC793D"/>
    <w:rsid w:val="00DC7970"/>
    <w:rsid w:val="00DC7C58"/>
    <w:rsid w:val="00DC7D96"/>
    <w:rsid w:val="00DC7E04"/>
    <w:rsid w:val="00DC7EE4"/>
    <w:rsid w:val="00DC7F30"/>
    <w:rsid w:val="00DC7F4F"/>
    <w:rsid w:val="00DD0010"/>
    <w:rsid w:val="00DD0120"/>
    <w:rsid w:val="00DD0215"/>
    <w:rsid w:val="00DD02E1"/>
    <w:rsid w:val="00DD0462"/>
    <w:rsid w:val="00DD047D"/>
    <w:rsid w:val="00DD04E8"/>
    <w:rsid w:val="00DD0509"/>
    <w:rsid w:val="00DD0533"/>
    <w:rsid w:val="00DD0792"/>
    <w:rsid w:val="00DD07C2"/>
    <w:rsid w:val="00DD0871"/>
    <w:rsid w:val="00DD0929"/>
    <w:rsid w:val="00DD0999"/>
    <w:rsid w:val="00DD09D3"/>
    <w:rsid w:val="00DD0A41"/>
    <w:rsid w:val="00DD0AAB"/>
    <w:rsid w:val="00DD0CB7"/>
    <w:rsid w:val="00DD0E31"/>
    <w:rsid w:val="00DD0EAD"/>
    <w:rsid w:val="00DD1211"/>
    <w:rsid w:val="00DD1270"/>
    <w:rsid w:val="00DD12AA"/>
    <w:rsid w:val="00DD12C1"/>
    <w:rsid w:val="00DD1333"/>
    <w:rsid w:val="00DD1384"/>
    <w:rsid w:val="00DD138B"/>
    <w:rsid w:val="00DD1507"/>
    <w:rsid w:val="00DD1656"/>
    <w:rsid w:val="00DD165C"/>
    <w:rsid w:val="00DD1699"/>
    <w:rsid w:val="00DD16B9"/>
    <w:rsid w:val="00DD1750"/>
    <w:rsid w:val="00DD18AD"/>
    <w:rsid w:val="00DD18D3"/>
    <w:rsid w:val="00DD18DE"/>
    <w:rsid w:val="00DD18EA"/>
    <w:rsid w:val="00DD1980"/>
    <w:rsid w:val="00DD1A43"/>
    <w:rsid w:val="00DD1A79"/>
    <w:rsid w:val="00DD1B35"/>
    <w:rsid w:val="00DD1BD8"/>
    <w:rsid w:val="00DD1C5C"/>
    <w:rsid w:val="00DD1D50"/>
    <w:rsid w:val="00DD1F4D"/>
    <w:rsid w:val="00DD1F7C"/>
    <w:rsid w:val="00DD1FAA"/>
    <w:rsid w:val="00DD2253"/>
    <w:rsid w:val="00DD2628"/>
    <w:rsid w:val="00DD27A6"/>
    <w:rsid w:val="00DD28BE"/>
    <w:rsid w:val="00DD28EF"/>
    <w:rsid w:val="00DD2BB4"/>
    <w:rsid w:val="00DD2C12"/>
    <w:rsid w:val="00DD2DCA"/>
    <w:rsid w:val="00DD2DDA"/>
    <w:rsid w:val="00DD2E45"/>
    <w:rsid w:val="00DD2E9E"/>
    <w:rsid w:val="00DD2ED1"/>
    <w:rsid w:val="00DD2F27"/>
    <w:rsid w:val="00DD2F28"/>
    <w:rsid w:val="00DD2FF4"/>
    <w:rsid w:val="00DD312C"/>
    <w:rsid w:val="00DD3300"/>
    <w:rsid w:val="00DD369D"/>
    <w:rsid w:val="00DD3790"/>
    <w:rsid w:val="00DD3BE6"/>
    <w:rsid w:val="00DD3C20"/>
    <w:rsid w:val="00DD3C8E"/>
    <w:rsid w:val="00DD41A8"/>
    <w:rsid w:val="00DD41E1"/>
    <w:rsid w:val="00DD42D8"/>
    <w:rsid w:val="00DD4623"/>
    <w:rsid w:val="00DD477F"/>
    <w:rsid w:val="00DD48F9"/>
    <w:rsid w:val="00DD49A8"/>
    <w:rsid w:val="00DD4B2C"/>
    <w:rsid w:val="00DD4B58"/>
    <w:rsid w:val="00DD4BC5"/>
    <w:rsid w:val="00DD4CA3"/>
    <w:rsid w:val="00DD4F44"/>
    <w:rsid w:val="00DD4F80"/>
    <w:rsid w:val="00DD4F93"/>
    <w:rsid w:val="00DD4FE6"/>
    <w:rsid w:val="00DD4FF8"/>
    <w:rsid w:val="00DD5116"/>
    <w:rsid w:val="00DD5169"/>
    <w:rsid w:val="00DD523A"/>
    <w:rsid w:val="00DD528E"/>
    <w:rsid w:val="00DD52B0"/>
    <w:rsid w:val="00DD549C"/>
    <w:rsid w:val="00DD5546"/>
    <w:rsid w:val="00DD5564"/>
    <w:rsid w:val="00DD56B7"/>
    <w:rsid w:val="00DD56D1"/>
    <w:rsid w:val="00DD57B1"/>
    <w:rsid w:val="00DD581B"/>
    <w:rsid w:val="00DD5A58"/>
    <w:rsid w:val="00DD5A65"/>
    <w:rsid w:val="00DD5A93"/>
    <w:rsid w:val="00DD5A99"/>
    <w:rsid w:val="00DD5AEA"/>
    <w:rsid w:val="00DD5AF1"/>
    <w:rsid w:val="00DD5B5D"/>
    <w:rsid w:val="00DD5C09"/>
    <w:rsid w:val="00DD5D4C"/>
    <w:rsid w:val="00DD5F49"/>
    <w:rsid w:val="00DD5F65"/>
    <w:rsid w:val="00DD5FD7"/>
    <w:rsid w:val="00DD5FE9"/>
    <w:rsid w:val="00DD614D"/>
    <w:rsid w:val="00DD620F"/>
    <w:rsid w:val="00DD63A6"/>
    <w:rsid w:val="00DD6470"/>
    <w:rsid w:val="00DD64EB"/>
    <w:rsid w:val="00DD672F"/>
    <w:rsid w:val="00DD6790"/>
    <w:rsid w:val="00DD67F8"/>
    <w:rsid w:val="00DD6822"/>
    <w:rsid w:val="00DD69E5"/>
    <w:rsid w:val="00DD6B82"/>
    <w:rsid w:val="00DD6CAD"/>
    <w:rsid w:val="00DD6E21"/>
    <w:rsid w:val="00DD6E66"/>
    <w:rsid w:val="00DD6EB2"/>
    <w:rsid w:val="00DD6F56"/>
    <w:rsid w:val="00DD70B2"/>
    <w:rsid w:val="00DD715F"/>
    <w:rsid w:val="00DD72F0"/>
    <w:rsid w:val="00DD73ED"/>
    <w:rsid w:val="00DD74D2"/>
    <w:rsid w:val="00DD74EF"/>
    <w:rsid w:val="00DD7526"/>
    <w:rsid w:val="00DD7566"/>
    <w:rsid w:val="00DD764F"/>
    <w:rsid w:val="00DD76A9"/>
    <w:rsid w:val="00DD7A02"/>
    <w:rsid w:val="00DD7A78"/>
    <w:rsid w:val="00DD7B42"/>
    <w:rsid w:val="00DD7C60"/>
    <w:rsid w:val="00DD7CC7"/>
    <w:rsid w:val="00DD7D99"/>
    <w:rsid w:val="00DD7DF8"/>
    <w:rsid w:val="00DD7E88"/>
    <w:rsid w:val="00DD7FCC"/>
    <w:rsid w:val="00DE0168"/>
    <w:rsid w:val="00DE01D0"/>
    <w:rsid w:val="00DE03C6"/>
    <w:rsid w:val="00DE0414"/>
    <w:rsid w:val="00DE0491"/>
    <w:rsid w:val="00DE0510"/>
    <w:rsid w:val="00DE0720"/>
    <w:rsid w:val="00DE0781"/>
    <w:rsid w:val="00DE087B"/>
    <w:rsid w:val="00DE0886"/>
    <w:rsid w:val="00DE088D"/>
    <w:rsid w:val="00DE0BE6"/>
    <w:rsid w:val="00DE0C17"/>
    <w:rsid w:val="00DE0C1E"/>
    <w:rsid w:val="00DE0CA3"/>
    <w:rsid w:val="00DE0CB7"/>
    <w:rsid w:val="00DE104A"/>
    <w:rsid w:val="00DE10A1"/>
    <w:rsid w:val="00DE10CC"/>
    <w:rsid w:val="00DE10CD"/>
    <w:rsid w:val="00DE11D5"/>
    <w:rsid w:val="00DE15D2"/>
    <w:rsid w:val="00DE169A"/>
    <w:rsid w:val="00DE16CC"/>
    <w:rsid w:val="00DE16EE"/>
    <w:rsid w:val="00DE1735"/>
    <w:rsid w:val="00DE174F"/>
    <w:rsid w:val="00DE1989"/>
    <w:rsid w:val="00DE1ADD"/>
    <w:rsid w:val="00DE1B0B"/>
    <w:rsid w:val="00DE1D19"/>
    <w:rsid w:val="00DE1E7A"/>
    <w:rsid w:val="00DE1F32"/>
    <w:rsid w:val="00DE2074"/>
    <w:rsid w:val="00DE2102"/>
    <w:rsid w:val="00DE219A"/>
    <w:rsid w:val="00DE22E9"/>
    <w:rsid w:val="00DE2356"/>
    <w:rsid w:val="00DE23A8"/>
    <w:rsid w:val="00DE2505"/>
    <w:rsid w:val="00DE26C1"/>
    <w:rsid w:val="00DE2710"/>
    <w:rsid w:val="00DE2C1C"/>
    <w:rsid w:val="00DE2D44"/>
    <w:rsid w:val="00DE2F07"/>
    <w:rsid w:val="00DE2FB2"/>
    <w:rsid w:val="00DE30FE"/>
    <w:rsid w:val="00DE31A7"/>
    <w:rsid w:val="00DE31FC"/>
    <w:rsid w:val="00DE3245"/>
    <w:rsid w:val="00DE3260"/>
    <w:rsid w:val="00DE32FB"/>
    <w:rsid w:val="00DE364E"/>
    <w:rsid w:val="00DE369F"/>
    <w:rsid w:val="00DE374F"/>
    <w:rsid w:val="00DE38A0"/>
    <w:rsid w:val="00DE38E1"/>
    <w:rsid w:val="00DE3A5C"/>
    <w:rsid w:val="00DE3BCC"/>
    <w:rsid w:val="00DE3D7A"/>
    <w:rsid w:val="00DE3D95"/>
    <w:rsid w:val="00DE3DB4"/>
    <w:rsid w:val="00DE3DF2"/>
    <w:rsid w:val="00DE40FA"/>
    <w:rsid w:val="00DE43E8"/>
    <w:rsid w:val="00DE4594"/>
    <w:rsid w:val="00DE4696"/>
    <w:rsid w:val="00DE49FA"/>
    <w:rsid w:val="00DE4A47"/>
    <w:rsid w:val="00DE4AE3"/>
    <w:rsid w:val="00DE4AFC"/>
    <w:rsid w:val="00DE4BA2"/>
    <w:rsid w:val="00DE4BCE"/>
    <w:rsid w:val="00DE4C54"/>
    <w:rsid w:val="00DE4C90"/>
    <w:rsid w:val="00DE4D2B"/>
    <w:rsid w:val="00DE4DEC"/>
    <w:rsid w:val="00DE5157"/>
    <w:rsid w:val="00DE5221"/>
    <w:rsid w:val="00DE5223"/>
    <w:rsid w:val="00DE52AB"/>
    <w:rsid w:val="00DE52B9"/>
    <w:rsid w:val="00DE52D7"/>
    <w:rsid w:val="00DE5300"/>
    <w:rsid w:val="00DE538E"/>
    <w:rsid w:val="00DE541D"/>
    <w:rsid w:val="00DE55B7"/>
    <w:rsid w:val="00DE561C"/>
    <w:rsid w:val="00DE5622"/>
    <w:rsid w:val="00DE5672"/>
    <w:rsid w:val="00DE57F2"/>
    <w:rsid w:val="00DE58AB"/>
    <w:rsid w:val="00DE594A"/>
    <w:rsid w:val="00DE5AB3"/>
    <w:rsid w:val="00DE5EDB"/>
    <w:rsid w:val="00DE5F12"/>
    <w:rsid w:val="00DE5FD5"/>
    <w:rsid w:val="00DE6013"/>
    <w:rsid w:val="00DE6022"/>
    <w:rsid w:val="00DE624A"/>
    <w:rsid w:val="00DE627A"/>
    <w:rsid w:val="00DE62D6"/>
    <w:rsid w:val="00DE649C"/>
    <w:rsid w:val="00DE64C2"/>
    <w:rsid w:val="00DE6761"/>
    <w:rsid w:val="00DE68E9"/>
    <w:rsid w:val="00DE6ADC"/>
    <w:rsid w:val="00DE6BCA"/>
    <w:rsid w:val="00DE6D75"/>
    <w:rsid w:val="00DE702A"/>
    <w:rsid w:val="00DE70FB"/>
    <w:rsid w:val="00DE71BE"/>
    <w:rsid w:val="00DE72E4"/>
    <w:rsid w:val="00DE746B"/>
    <w:rsid w:val="00DE74F7"/>
    <w:rsid w:val="00DE75C4"/>
    <w:rsid w:val="00DE7909"/>
    <w:rsid w:val="00DE7A87"/>
    <w:rsid w:val="00DE7CCA"/>
    <w:rsid w:val="00DE7D5E"/>
    <w:rsid w:val="00DE7EEE"/>
    <w:rsid w:val="00DF0000"/>
    <w:rsid w:val="00DF00C6"/>
    <w:rsid w:val="00DF00ED"/>
    <w:rsid w:val="00DF0106"/>
    <w:rsid w:val="00DF0144"/>
    <w:rsid w:val="00DF0190"/>
    <w:rsid w:val="00DF019E"/>
    <w:rsid w:val="00DF01BB"/>
    <w:rsid w:val="00DF0211"/>
    <w:rsid w:val="00DF0425"/>
    <w:rsid w:val="00DF0510"/>
    <w:rsid w:val="00DF0536"/>
    <w:rsid w:val="00DF05C3"/>
    <w:rsid w:val="00DF0665"/>
    <w:rsid w:val="00DF0A67"/>
    <w:rsid w:val="00DF0ADC"/>
    <w:rsid w:val="00DF0B29"/>
    <w:rsid w:val="00DF0B91"/>
    <w:rsid w:val="00DF0C1F"/>
    <w:rsid w:val="00DF0C64"/>
    <w:rsid w:val="00DF0FA0"/>
    <w:rsid w:val="00DF10A8"/>
    <w:rsid w:val="00DF115F"/>
    <w:rsid w:val="00DF1186"/>
    <w:rsid w:val="00DF1187"/>
    <w:rsid w:val="00DF1260"/>
    <w:rsid w:val="00DF1384"/>
    <w:rsid w:val="00DF17A7"/>
    <w:rsid w:val="00DF1829"/>
    <w:rsid w:val="00DF19B5"/>
    <w:rsid w:val="00DF1B0C"/>
    <w:rsid w:val="00DF1DE3"/>
    <w:rsid w:val="00DF1DF5"/>
    <w:rsid w:val="00DF1E30"/>
    <w:rsid w:val="00DF1E48"/>
    <w:rsid w:val="00DF1EB3"/>
    <w:rsid w:val="00DF1EC2"/>
    <w:rsid w:val="00DF20CB"/>
    <w:rsid w:val="00DF212E"/>
    <w:rsid w:val="00DF2313"/>
    <w:rsid w:val="00DF247D"/>
    <w:rsid w:val="00DF254E"/>
    <w:rsid w:val="00DF25A8"/>
    <w:rsid w:val="00DF26CB"/>
    <w:rsid w:val="00DF26ED"/>
    <w:rsid w:val="00DF26FF"/>
    <w:rsid w:val="00DF2712"/>
    <w:rsid w:val="00DF2765"/>
    <w:rsid w:val="00DF284F"/>
    <w:rsid w:val="00DF2A53"/>
    <w:rsid w:val="00DF2A5B"/>
    <w:rsid w:val="00DF2A9A"/>
    <w:rsid w:val="00DF2AC9"/>
    <w:rsid w:val="00DF2B68"/>
    <w:rsid w:val="00DF2B9F"/>
    <w:rsid w:val="00DF2CD1"/>
    <w:rsid w:val="00DF2D3F"/>
    <w:rsid w:val="00DF2D45"/>
    <w:rsid w:val="00DF2F62"/>
    <w:rsid w:val="00DF306C"/>
    <w:rsid w:val="00DF30DC"/>
    <w:rsid w:val="00DF3182"/>
    <w:rsid w:val="00DF32D8"/>
    <w:rsid w:val="00DF3327"/>
    <w:rsid w:val="00DF33B1"/>
    <w:rsid w:val="00DF3461"/>
    <w:rsid w:val="00DF3516"/>
    <w:rsid w:val="00DF365E"/>
    <w:rsid w:val="00DF369D"/>
    <w:rsid w:val="00DF37FF"/>
    <w:rsid w:val="00DF38C4"/>
    <w:rsid w:val="00DF38DF"/>
    <w:rsid w:val="00DF3923"/>
    <w:rsid w:val="00DF3984"/>
    <w:rsid w:val="00DF39D6"/>
    <w:rsid w:val="00DF3C72"/>
    <w:rsid w:val="00DF3C90"/>
    <w:rsid w:val="00DF3CEE"/>
    <w:rsid w:val="00DF3D19"/>
    <w:rsid w:val="00DF3D77"/>
    <w:rsid w:val="00DF4020"/>
    <w:rsid w:val="00DF4062"/>
    <w:rsid w:val="00DF407B"/>
    <w:rsid w:val="00DF412C"/>
    <w:rsid w:val="00DF42E0"/>
    <w:rsid w:val="00DF4398"/>
    <w:rsid w:val="00DF4418"/>
    <w:rsid w:val="00DF45DC"/>
    <w:rsid w:val="00DF4626"/>
    <w:rsid w:val="00DF4808"/>
    <w:rsid w:val="00DF485F"/>
    <w:rsid w:val="00DF4A75"/>
    <w:rsid w:val="00DF4B47"/>
    <w:rsid w:val="00DF4CC4"/>
    <w:rsid w:val="00DF4F37"/>
    <w:rsid w:val="00DF502D"/>
    <w:rsid w:val="00DF51BC"/>
    <w:rsid w:val="00DF51D4"/>
    <w:rsid w:val="00DF526E"/>
    <w:rsid w:val="00DF529C"/>
    <w:rsid w:val="00DF52FB"/>
    <w:rsid w:val="00DF5351"/>
    <w:rsid w:val="00DF5551"/>
    <w:rsid w:val="00DF556D"/>
    <w:rsid w:val="00DF5570"/>
    <w:rsid w:val="00DF561D"/>
    <w:rsid w:val="00DF5640"/>
    <w:rsid w:val="00DF570B"/>
    <w:rsid w:val="00DF575A"/>
    <w:rsid w:val="00DF587C"/>
    <w:rsid w:val="00DF588B"/>
    <w:rsid w:val="00DF588F"/>
    <w:rsid w:val="00DF58E8"/>
    <w:rsid w:val="00DF5921"/>
    <w:rsid w:val="00DF59F5"/>
    <w:rsid w:val="00DF5B91"/>
    <w:rsid w:val="00DF5D29"/>
    <w:rsid w:val="00DF5E6E"/>
    <w:rsid w:val="00DF5F54"/>
    <w:rsid w:val="00DF5F6F"/>
    <w:rsid w:val="00DF5FE0"/>
    <w:rsid w:val="00DF6152"/>
    <w:rsid w:val="00DF6253"/>
    <w:rsid w:val="00DF6262"/>
    <w:rsid w:val="00DF6304"/>
    <w:rsid w:val="00DF6486"/>
    <w:rsid w:val="00DF657A"/>
    <w:rsid w:val="00DF657F"/>
    <w:rsid w:val="00DF65A9"/>
    <w:rsid w:val="00DF65D6"/>
    <w:rsid w:val="00DF668B"/>
    <w:rsid w:val="00DF671B"/>
    <w:rsid w:val="00DF68B9"/>
    <w:rsid w:val="00DF69B1"/>
    <w:rsid w:val="00DF69EA"/>
    <w:rsid w:val="00DF6A19"/>
    <w:rsid w:val="00DF6F10"/>
    <w:rsid w:val="00DF7035"/>
    <w:rsid w:val="00DF7118"/>
    <w:rsid w:val="00DF71F0"/>
    <w:rsid w:val="00DF7229"/>
    <w:rsid w:val="00DF742E"/>
    <w:rsid w:val="00DF75F6"/>
    <w:rsid w:val="00DF773C"/>
    <w:rsid w:val="00DF77A6"/>
    <w:rsid w:val="00DF77FB"/>
    <w:rsid w:val="00DF7815"/>
    <w:rsid w:val="00DF7967"/>
    <w:rsid w:val="00DF7B4A"/>
    <w:rsid w:val="00DF7B5A"/>
    <w:rsid w:val="00DF7C40"/>
    <w:rsid w:val="00DF7D36"/>
    <w:rsid w:val="00DF7D6E"/>
    <w:rsid w:val="00DF7E05"/>
    <w:rsid w:val="00DF7F76"/>
    <w:rsid w:val="00E000C6"/>
    <w:rsid w:val="00E00163"/>
    <w:rsid w:val="00E001B9"/>
    <w:rsid w:val="00E004B5"/>
    <w:rsid w:val="00E006E0"/>
    <w:rsid w:val="00E00772"/>
    <w:rsid w:val="00E008A5"/>
    <w:rsid w:val="00E00930"/>
    <w:rsid w:val="00E009A6"/>
    <w:rsid w:val="00E00A30"/>
    <w:rsid w:val="00E00BB7"/>
    <w:rsid w:val="00E00CA3"/>
    <w:rsid w:val="00E00CFA"/>
    <w:rsid w:val="00E00D7A"/>
    <w:rsid w:val="00E00E14"/>
    <w:rsid w:val="00E00E70"/>
    <w:rsid w:val="00E00EA5"/>
    <w:rsid w:val="00E00EE6"/>
    <w:rsid w:val="00E00FB9"/>
    <w:rsid w:val="00E01237"/>
    <w:rsid w:val="00E0153C"/>
    <w:rsid w:val="00E016D5"/>
    <w:rsid w:val="00E016DD"/>
    <w:rsid w:val="00E016FE"/>
    <w:rsid w:val="00E01741"/>
    <w:rsid w:val="00E017E7"/>
    <w:rsid w:val="00E01938"/>
    <w:rsid w:val="00E019C8"/>
    <w:rsid w:val="00E01A49"/>
    <w:rsid w:val="00E01C2C"/>
    <w:rsid w:val="00E01D44"/>
    <w:rsid w:val="00E01E41"/>
    <w:rsid w:val="00E01F82"/>
    <w:rsid w:val="00E02021"/>
    <w:rsid w:val="00E02076"/>
    <w:rsid w:val="00E0212F"/>
    <w:rsid w:val="00E0213D"/>
    <w:rsid w:val="00E022BF"/>
    <w:rsid w:val="00E0243D"/>
    <w:rsid w:val="00E02449"/>
    <w:rsid w:val="00E024C5"/>
    <w:rsid w:val="00E024E6"/>
    <w:rsid w:val="00E02544"/>
    <w:rsid w:val="00E026D5"/>
    <w:rsid w:val="00E02783"/>
    <w:rsid w:val="00E02789"/>
    <w:rsid w:val="00E02801"/>
    <w:rsid w:val="00E0286E"/>
    <w:rsid w:val="00E029BD"/>
    <w:rsid w:val="00E02A50"/>
    <w:rsid w:val="00E02C32"/>
    <w:rsid w:val="00E02E43"/>
    <w:rsid w:val="00E02E89"/>
    <w:rsid w:val="00E02FD0"/>
    <w:rsid w:val="00E03074"/>
    <w:rsid w:val="00E031BF"/>
    <w:rsid w:val="00E031FF"/>
    <w:rsid w:val="00E032AE"/>
    <w:rsid w:val="00E033D6"/>
    <w:rsid w:val="00E03463"/>
    <w:rsid w:val="00E03558"/>
    <w:rsid w:val="00E0371C"/>
    <w:rsid w:val="00E03731"/>
    <w:rsid w:val="00E03885"/>
    <w:rsid w:val="00E039C6"/>
    <w:rsid w:val="00E03A62"/>
    <w:rsid w:val="00E03B19"/>
    <w:rsid w:val="00E03B8F"/>
    <w:rsid w:val="00E03BA2"/>
    <w:rsid w:val="00E03BFD"/>
    <w:rsid w:val="00E03C9B"/>
    <w:rsid w:val="00E03DAA"/>
    <w:rsid w:val="00E03E83"/>
    <w:rsid w:val="00E04091"/>
    <w:rsid w:val="00E0410F"/>
    <w:rsid w:val="00E041A3"/>
    <w:rsid w:val="00E041CA"/>
    <w:rsid w:val="00E041CE"/>
    <w:rsid w:val="00E0425E"/>
    <w:rsid w:val="00E0427D"/>
    <w:rsid w:val="00E04343"/>
    <w:rsid w:val="00E043D9"/>
    <w:rsid w:val="00E04446"/>
    <w:rsid w:val="00E045E5"/>
    <w:rsid w:val="00E04800"/>
    <w:rsid w:val="00E0482F"/>
    <w:rsid w:val="00E04842"/>
    <w:rsid w:val="00E04916"/>
    <w:rsid w:val="00E04A08"/>
    <w:rsid w:val="00E04CE9"/>
    <w:rsid w:val="00E04D8D"/>
    <w:rsid w:val="00E04DBE"/>
    <w:rsid w:val="00E04DDE"/>
    <w:rsid w:val="00E04E8A"/>
    <w:rsid w:val="00E04F4B"/>
    <w:rsid w:val="00E04F4C"/>
    <w:rsid w:val="00E0506E"/>
    <w:rsid w:val="00E05084"/>
    <w:rsid w:val="00E05087"/>
    <w:rsid w:val="00E05196"/>
    <w:rsid w:val="00E053AA"/>
    <w:rsid w:val="00E053D0"/>
    <w:rsid w:val="00E054E6"/>
    <w:rsid w:val="00E054EC"/>
    <w:rsid w:val="00E05501"/>
    <w:rsid w:val="00E055A6"/>
    <w:rsid w:val="00E055B3"/>
    <w:rsid w:val="00E055C8"/>
    <w:rsid w:val="00E0564B"/>
    <w:rsid w:val="00E0564C"/>
    <w:rsid w:val="00E056B9"/>
    <w:rsid w:val="00E057DF"/>
    <w:rsid w:val="00E05900"/>
    <w:rsid w:val="00E05A90"/>
    <w:rsid w:val="00E05C1D"/>
    <w:rsid w:val="00E05C94"/>
    <w:rsid w:val="00E05CB3"/>
    <w:rsid w:val="00E05F6E"/>
    <w:rsid w:val="00E0608D"/>
    <w:rsid w:val="00E06329"/>
    <w:rsid w:val="00E06472"/>
    <w:rsid w:val="00E064BF"/>
    <w:rsid w:val="00E0653C"/>
    <w:rsid w:val="00E06593"/>
    <w:rsid w:val="00E0665B"/>
    <w:rsid w:val="00E06692"/>
    <w:rsid w:val="00E06950"/>
    <w:rsid w:val="00E06AC0"/>
    <w:rsid w:val="00E06B14"/>
    <w:rsid w:val="00E06B27"/>
    <w:rsid w:val="00E06BCD"/>
    <w:rsid w:val="00E06BD9"/>
    <w:rsid w:val="00E06C1D"/>
    <w:rsid w:val="00E06C28"/>
    <w:rsid w:val="00E06C39"/>
    <w:rsid w:val="00E06C79"/>
    <w:rsid w:val="00E06CD8"/>
    <w:rsid w:val="00E06CF7"/>
    <w:rsid w:val="00E06DE1"/>
    <w:rsid w:val="00E06EA8"/>
    <w:rsid w:val="00E0700B"/>
    <w:rsid w:val="00E070DD"/>
    <w:rsid w:val="00E07167"/>
    <w:rsid w:val="00E073BE"/>
    <w:rsid w:val="00E07499"/>
    <w:rsid w:val="00E07546"/>
    <w:rsid w:val="00E07697"/>
    <w:rsid w:val="00E07BEF"/>
    <w:rsid w:val="00E07C20"/>
    <w:rsid w:val="00E07E11"/>
    <w:rsid w:val="00E07E17"/>
    <w:rsid w:val="00E07E1F"/>
    <w:rsid w:val="00E07E50"/>
    <w:rsid w:val="00E07EE1"/>
    <w:rsid w:val="00E100D1"/>
    <w:rsid w:val="00E1026E"/>
    <w:rsid w:val="00E10459"/>
    <w:rsid w:val="00E105C4"/>
    <w:rsid w:val="00E106F2"/>
    <w:rsid w:val="00E106F6"/>
    <w:rsid w:val="00E107C6"/>
    <w:rsid w:val="00E107F4"/>
    <w:rsid w:val="00E109D2"/>
    <w:rsid w:val="00E10A21"/>
    <w:rsid w:val="00E10AB5"/>
    <w:rsid w:val="00E10B71"/>
    <w:rsid w:val="00E10CE9"/>
    <w:rsid w:val="00E10D2D"/>
    <w:rsid w:val="00E10D2E"/>
    <w:rsid w:val="00E10DDF"/>
    <w:rsid w:val="00E10E6C"/>
    <w:rsid w:val="00E11001"/>
    <w:rsid w:val="00E11053"/>
    <w:rsid w:val="00E1131A"/>
    <w:rsid w:val="00E11439"/>
    <w:rsid w:val="00E1149D"/>
    <w:rsid w:val="00E11520"/>
    <w:rsid w:val="00E1164D"/>
    <w:rsid w:val="00E116BC"/>
    <w:rsid w:val="00E116FB"/>
    <w:rsid w:val="00E11893"/>
    <w:rsid w:val="00E118B0"/>
    <w:rsid w:val="00E11B92"/>
    <w:rsid w:val="00E11C00"/>
    <w:rsid w:val="00E11D38"/>
    <w:rsid w:val="00E11ED4"/>
    <w:rsid w:val="00E11F82"/>
    <w:rsid w:val="00E12029"/>
    <w:rsid w:val="00E12050"/>
    <w:rsid w:val="00E1207F"/>
    <w:rsid w:val="00E12162"/>
    <w:rsid w:val="00E12182"/>
    <w:rsid w:val="00E121BF"/>
    <w:rsid w:val="00E1220E"/>
    <w:rsid w:val="00E122A5"/>
    <w:rsid w:val="00E12357"/>
    <w:rsid w:val="00E12377"/>
    <w:rsid w:val="00E1257B"/>
    <w:rsid w:val="00E125A4"/>
    <w:rsid w:val="00E125C4"/>
    <w:rsid w:val="00E125CC"/>
    <w:rsid w:val="00E1278E"/>
    <w:rsid w:val="00E127CA"/>
    <w:rsid w:val="00E12803"/>
    <w:rsid w:val="00E12843"/>
    <w:rsid w:val="00E128FF"/>
    <w:rsid w:val="00E1296E"/>
    <w:rsid w:val="00E12A49"/>
    <w:rsid w:val="00E12A9C"/>
    <w:rsid w:val="00E12D1E"/>
    <w:rsid w:val="00E12DB1"/>
    <w:rsid w:val="00E12F5F"/>
    <w:rsid w:val="00E132D9"/>
    <w:rsid w:val="00E132DA"/>
    <w:rsid w:val="00E132E1"/>
    <w:rsid w:val="00E13311"/>
    <w:rsid w:val="00E1347D"/>
    <w:rsid w:val="00E134E7"/>
    <w:rsid w:val="00E135A9"/>
    <w:rsid w:val="00E1360F"/>
    <w:rsid w:val="00E1361C"/>
    <w:rsid w:val="00E136A8"/>
    <w:rsid w:val="00E1387B"/>
    <w:rsid w:val="00E13A22"/>
    <w:rsid w:val="00E13C4F"/>
    <w:rsid w:val="00E13CA3"/>
    <w:rsid w:val="00E13F6B"/>
    <w:rsid w:val="00E13F98"/>
    <w:rsid w:val="00E13FAD"/>
    <w:rsid w:val="00E1414D"/>
    <w:rsid w:val="00E14284"/>
    <w:rsid w:val="00E142E9"/>
    <w:rsid w:val="00E14303"/>
    <w:rsid w:val="00E1438E"/>
    <w:rsid w:val="00E145FF"/>
    <w:rsid w:val="00E146D9"/>
    <w:rsid w:val="00E1475E"/>
    <w:rsid w:val="00E14907"/>
    <w:rsid w:val="00E149CE"/>
    <w:rsid w:val="00E14A55"/>
    <w:rsid w:val="00E14A64"/>
    <w:rsid w:val="00E14ACE"/>
    <w:rsid w:val="00E14BE0"/>
    <w:rsid w:val="00E14C83"/>
    <w:rsid w:val="00E14CB1"/>
    <w:rsid w:val="00E14DC0"/>
    <w:rsid w:val="00E14E32"/>
    <w:rsid w:val="00E14E92"/>
    <w:rsid w:val="00E15011"/>
    <w:rsid w:val="00E151AE"/>
    <w:rsid w:val="00E15259"/>
    <w:rsid w:val="00E152C7"/>
    <w:rsid w:val="00E15380"/>
    <w:rsid w:val="00E153C5"/>
    <w:rsid w:val="00E15415"/>
    <w:rsid w:val="00E15660"/>
    <w:rsid w:val="00E156A4"/>
    <w:rsid w:val="00E156C1"/>
    <w:rsid w:val="00E156D9"/>
    <w:rsid w:val="00E1570F"/>
    <w:rsid w:val="00E1572B"/>
    <w:rsid w:val="00E1585F"/>
    <w:rsid w:val="00E159F1"/>
    <w:rsid w:val="00E15B04"/>
    <w:rsid w:val="00E15B49"/>
    <w:rsid w:val="00E15B8C"/>
    <w:rsid w:val="00E15BAF"/>
    <w:rsid w:val="00E15BF6"/>
    <w:rsid w:val="00E15C9B"/>
    <w:rsid w:val="00E15DAA"/>
    <w:rsid w:val="00E15E1F"/>
    <w:rsid w:val="00E15E28"/>
    <w:rsid w:val="00E15F27"/>
    <w:rsid w:val="00E15F76"/>
    <w:rsid w:val="00E15F77"/>
    <w:rsid w:val="00E15FFF"/>
    <w:rsid w:val="00E1600F"/>
    <w:rsid w:val="00E160A7"/>
    <w:rsid w:val="00E1615A"/>
    <w:rsid w:val="00E161B9"/>
    <w:rsid w:val="00E1625B"/>
    <w:rsid w:val="00E1629D"/>
    <w:rsid w:val="00E163D2"/>
    <w:rsid w:val="00E16443"/>
    <w:rsid w:val="00E16532"/>
    <w:rsid w:val="00E166B1"/>
    <w:rsid w:val="00E167FA"/>
    <w:rsid w:val="00E168BB"/>
    <w:rsid w:val="00E169BD"/>
    <w:rsid w:val="00E169D2"/>
    <w:rsid w:val="00E16A01"/>
    <w:rsid w:val="00E16ADF"/>
    <w:rsid w:val="00E16AF9"/>
    <w:rsid w:val="00E16B21"/>
    <w:rsid w:val="00E16BF5"/>
    <w:rsid w:val="00E16C85"/>
    <w:rsid w:val="00E16CF4"/>
    <w:rsid w:val="00E16DCF"/>
    <w:rsid w:val="00E16F77"/>
    <w:rsid w:val="00E16FA4"/>
    <w:rsid w:val="00E1730D"/>
    <w:rsid w:val="00E175AA"/>
    <w:rsid w:val="00E17702"/>
    <w:rsid w:val="00E177CF"/>
    <w:rsid w:val="00E178F4"/>
    <w:rsid w:val="00E179F4"/>
    <w:rsid w:val="00E17CD7"/>
    <w:rsid w:val="00E17D5F"/>
    <w:rsid w:val="00E17FF2"/>
    <w:rsid w:val="00E2020C"/>
    <w:rsid w:val="00E204BA"/>
    <w:rsid w:val="00E20639"/>
    <w:rsid w:val="00E2067B"/>
    <w:rsid w:val="00E20774"/>
    <w:rsid w:val="00E20810"/>
    <w:rsid w:val="00E20820"/>
    <w:rsid w:val="00E208E5"/>
    <w:rsid w:val="00E20905"/>
    <w:rsid w:val="00E2097B"/>
    <w:rsid w:val="00E209AA"/>
    <w:rsid w:val="00E209E5"/>
    <w:rsid w:val="00E20BBE"/>
    <w:rsid w:val="00E20C3B"/>
    <w:rsid w:val="00E20C3F"/>
    <w:rsid w:val="00E20D98"/>
    <w:rsid w:val="00E2103C"/>
    <w:rsid w:val="00E2113A"/>
    <w:rsid w:val="00E2122D"/>
    <w:rsid w:val="00E21265"/>
    <w:rsid w:val="00E212E0"/>
    <w:rsid w:val="00E213E1"/>
    <w:rsid w:val="00E21554"/>
    <w:rsid w:val="00E21826"/>
    <w:rsid w:val="00E219A5"/>
    <w:rsid w:val="00E219D9"/>
    <w:rsid w:val="00E21A2E"/>
    <w:rsid w:val="00E21D50"/>
    <w:rsid w:val="00E21DC2"/>
    <w:rsid w:val="00E21F2E"/>
    <w:rsid w:val="00E22173"/>
    <w:rsid w:val="00E221A9"/>
    <w:rsid w:val="00E2232E"/>
    <w:rsid w:val="00E22341"/>
    <w:rsid w:val="00E225B6"/>
    <w:rsid w:val="00E225CC"/>
    <w:rsid w:val="00E22795"/>
    <w:rsid w:val="00E227C9"/>
    <w:rsid w:val="00E22901"/>
    <w:rsid w:val="00E22993"/>
    <w:rsid w:val="00E229C3"/>
    <w:rsid w:val="00E22BFE"/>
    <w:rsid w:val="00E22C9B"/>
    <w:rsid w:val="00E22CA3"/>
    <w:rsid w:val="00E22CC1"/>
    <w:rsid w:val="00E22FBD"/>
    <w:rsid w:val="00E22FD6"/>
    <w:rsid w:val="00E23157"/>
    <w:rsid w:val="00E2332D"/>
    <w:rsid w:val="00E23423"/>
    <w:rsid w:val="00E234FB"/>
    <w:rsid w:val="00E2364D"/>
    <w:rsid w:val="00E237EB"/>
    <w:rsid w:val="00E23816"/>
    <w:rsid w:val="00E238E7"/>
    <w:rsid w:val="00E239BC"/>
    <w:rsid w:val="00E23AA4"/>
    <w:rsid w:val="00E23AEA"/>
    <w:rsid w:val="00E23BB4"/>
    <w:rsid w:val="00E23C8F"/>
    <w:rsid w:val="00E23D64"/>
    <w:rsid w:val="00E23F6D"/>
    <w:rsid w:val="00E24292"/>
    <w:rsid w:val="00E2446C"/>
    <w:rsid w:val="00E2449A"/>
    <w:rsid w:val="00E2462F"/>
    <w:rsid w:val="00E246A1"/>
    <w:rsid w:val="00E24745"/>
    <w:rsid w:val="00E248F0"/>
    <w:rsid w:val="00E24AE5"/>
    <w:rsid w:val="00E24BA3"/>
    <w:rsid w:val="00E24C63"/>
    <w:rsid w:val="00E24C6A"/>
    <w:rsid w:val="00E24C96"/>
    <w:rsid w:val="00E24D7E"/>
    <w:rsid w:val="00E24D87"/>
    <w:rsid w:val="00E24D94"/>
    <w:rsid w:val="00E24DDF"/>
    <w:rsid w:val="00E24EA1"/>
    <w:rsid w:val="00E24ED1"/>
    <w:rsid w:val="00E24ED3"/>
    <w:rsid w:val="00E24FAD"/>
    <w:rsid w:val="00E24FB3"/>
    <w:rsid w:val="00E2505F"/>
    <w:rsid w:val="00E25284"/>
    <w:rsid w:val="00E25328"/>
    <w:rsid w:val="00E25352"/>
    <w:rsid w:val="00E253BB"/>
    <w:rsid w:val="00E256AD"/>
    <w:rsid w:val="00E25941"/>
    <w:rsid w:val="00E25AFF"/>
    <w:rsid w:val="00E25BD3"/>
    <w:rsid w:val="00E25BE1"/>
    <w:rsid w:val="00E25CF2"/>
    <w:rsid w:val="00E25E60"/>
    <w:rsid w:val="00E25EA9"/>
    <w:rsid w:val="00E25EEF"/>
    <w:rsid w:val="00E25F38"/>
    <w:rsid w:val="00E26176"/>
    <w:rsid w:val="00E261A9"/>
    <w:rsid w:val="00E26243"/>
    <w:rsid w:val="00E26252"/>
    <w:rsid w:val="00E26338"/>
    <w:rsid w:val="00E265FE"/>
    <w:rsid w:val="00E2664B"/>
    <w:rsid w:val="00E2689A"/>
    <w:rsid w:val="00E268E9"/>
    <w:rsid w:val="00E26A0C"/>
    <w:rsid w:val="00E26C43"/>
    <w:rsid w:val="00E26C8A"/>
    <w:rsid w:val="00E26CCB"/>
    <w:rsid w:val="00E27178"/>
    <w:rsid w:val="00E27301"/>
    <w:rsid w:val="00E27363"/>
    <w:rsid w:val="00E274C2"/>
    <w:rsid w:val="00E276D5"/>
    <w:rsid w:val="00E279A0"/>
    <w:rsid w:val="00E27A56"/>
    <w:rsid w:val="00E27A63"/>
    <w:rsid w:val="00E27AA0"/>
    <w:rsid w:val="00E27C21"/>
    <w:rsid w:val="00E27CA2"/>
    <w:rsid w:val="00E27CE1"/>
    <w:rsid w:val="00E27D03"/>
    <w:rsid w:val="00E27D60"/>
    <w:rsid w:val="00E27F33"/>
    <w:rsid w:val="00E300CC"/>
    <w:rsid w:val="00E300F4"/>
    <w:rsid w:val="00E30143"/>
    <w:rsid w:val="00E30175"/>
    <w:rsid w:val="00E3020C"/>
    <w:rsid w:val="00E3022D"/>
    <w:rsid w:val="00E3023E"/>
    <w:rsid w:val="00E302B4"/>
    <w:rsid w:val="00E30308"/>
    <w:rsid w:val="00E30428"/>
    <w:rsid w:val="00E3059F"/>
    <w:rsid w:val="00E305C7"/>
    <w:rsid w:val="00E30813"/>
    <w:rsid w:val="00E30A46"/>
    <w:rsid w:val="00E30D5B"/>
    <w:rsid w:val="00E30EA1"/>
    <w:rsid w:val="00E30EEF"/>
    <w:rsid w:val="00E30F8B"/>
    <w:rsid w:val="00E311BC"/>
    <w:rsid w:val="00E31410"/>
    <w:rsid w:val="00E314CC"/>
    <w:rsid w:val="00E31676"/>
    <w:rsid w:val="00E31713"/>
    <w:rsid w:val="00E31717"/>
    <w:rsid w:val="00E31957"/>
    <w:rsid w:val="00E31A9E"/>
    <w:rsid w:val="00E31AE5"/>
    <w:rsid w:val="00E31D88"/>
    <w:rsid w:val="00E31DBF"/>
    <w:rsid w:val="00E31F95"/>
    <w:rsid w:val="00E3200E"/>
    <w:rsid w:val="00E3202A"/>
    <w:rsid w:val="00E3219A"/>
    <w:rsid w:val="00E322A8"/>
    <w:rsid w:val="00E3237A"/>
    <w:rsid w:val="00E32380"/>
    <w:rsid w:val="00E32613"/>
    <w:rsid w:val="00E32704"/>
    <w:rsid w:val="00E32784"/>
    <w:rsid w:val="00E327CD"/>
    <w:rsid w:val="00E3281C"/>
    <w:rsid w:val="00E328EF"/>
    <w:rsid w:val="00E32958"/>
    <w:rsid w:val="00E32984"/>
    <w:rsid w:val="00E32ADA"/>
    <w:rsid w:val="00E32B64"/>
    <w:rsid w:val="00E32B6D"/>
    <w:rsid w:val="00E32D8C"/>
    <w:rsid w:val="00E32F7E"/>
    <w:rsid w:val="00E33071"/>
    <w:rsid w:val="00E330DF"/>
    <w:rsid w:val="00E3318E"/>
    <w:rsid w:val="00E33190"/>
    <w:rsid w:val="00E33312"/>
    <w:rsid w:val="00E333A5"/>
    <w:rsid w:val="00E33423"/>
    <w:rsid w:val="00E334C5"/>
    <w:rsid w:val="00E33513"/>
    <w:rsid w:val="00E3351B"/>
    <w:rsid w:val="00E336CC"/>
    <w:rsid w:val="00E336DF"/>
    <w:rsid w:val="00E336F9"/>
    <w:rsid w:val="00E33AEB"/>
    <w:rsid w:val="00E33BF6"/>
    <w:rsid w:val="00E33CDA"/>
    <w:rsid w:val="00E33E21"/>
    <w:rsid w:val="00E33F0E"/>
    <w:rsid w:val="00E33F88"/>
    <w:rsid w:val="00E34165"/>
    <w:rsid w:val="00E3475F"/>
    <w:rsid w:val="00E347E8"/>
    <w:rsid w:val="00E3480A"/>
    <w:rsid w:val="00E3485A"/>
    <w:rsid w:val="00E34863"/>
    <w:rsid w:val="00E34A09"/>
    <w:rsid w:val="00E34BD5"/>
    <w:rsid w:val="00E34C9B"/>
    <w:rsid w:val="00E34CE8"/>
    <w:rsid w:val="00E34CF0"/>
    <w:rsid w:val="00E34D8A"/>
    <w:rsid w:val="00E34E0E"/>
    <w:rsid w:val="00E34FA0"/>
    <w:rsid w:val="00E35081"/>
    <w:rsid w:val="00E351DC"/>
    <w:rsid w:val="00E35412"/>
    <w:rsid w:val="00E3559B"/>
    <w:rsid w:val="00E355CD"/>
    <w:rsid w:val="00E35671"/>
    <w:rsid w:val="00E356A7"/>
    <w:rsid w:val="00E35848"/>
    <w:rsid w:val="00E35907"/>
    <w:rsid w:val="00E35A7E"/>
    <w:rsid w:val="00E35AE1"/>
    <w:rsid w:val="00E35AFB"/>
    <w:rsid w:val="00E35DB6"/>
    <w:rsid w:val="00E35DFC"/>
    <w:rsid w:val="00E35E69"/>
    <w:rsid w:val="00E35EAB"/>
    <w:rsid w:val="00E35EC6"/>
    <w:rsid w:val="00E35F30"/>
    <w:rsid w:val="00E35F54"/>
    <w:rsid w:val="00E35F66"/>
    <w:rsid w:val="00E36008"/>
    <w:rsid w:val="00E3603F"/>
    <w:rsid w:val="00E36105"/>
    <w:rsid w:val="00E3625B"/>
    <w:rsid w:val="00E36341"/>
    <w:rsid w:val="00E3634E"/>
    <w:rsid w:val="00E3639C"/>
    <w:rsid w:val="00E364CC"/>
    <w:rsid w:val="00E364E9"/>
    <w:rsid w:val="00E36534"/>
    <w:rsid w:val="00E3698B"/>
    <w:rsid w:val="00E369AE"/>
    <w:rsid w:val="00E36AA6"/>
    <w:rsid w:val="00E36AED"/>
    <w:rsid w:val="00E36B76"/>
    <w:rsid w:val="00E36D54"/>
    <w:rsid w:val="00E37081"/>
    <w:rsid w:val="00E37104"/>
    <w:rsid w:val="00E37216"/>
    <w:rsid w:val="00E37254"/>
    <w:rsid w:val="00E3736C"/>
    <w:rsid w:val="00E37522"/>
    <w:rsid w:val="00E3752E"/>
    <w:rsid w:val="00E3756B"/>
    <w:rsid w:val="00E3766B"/>
    <w:rsid w:val="00E37859"/>
    <w:rsid w:val="00E378C5"/>
    <w:rsid w:val="00E37B12"/>
    <w:rsid w:val="00E37C46"/>
    <w:rsid w:val="00E37DAB"/>
    <w:rsid w:val="00E37ECB"/>
    <w:rsid w:val="00E37FD5"/>
    <w:rsid w:val="00E4001F"/>
    <w:rsid w:val="00E400FF"/>
    <w:rsid w:val="00E4046F"/>
    <w:rsid w:val="00E4058D"/>
    <w:rsid w:val="00E407A3"/>
    <w:rsid w:val="00E407D1"/>
    <w:rsid w:val="00E40B81"/>
    <w:rsid w:val="00E40B96"/>
    <w:rsid w:val="00E40CC0"/>
    <w:rsid w:val="00E40D85"/>
    <w:rsid w:val="00E40DAF"/>
    <w:rsid w:val="00E40EDE"/>
    <w:rsid w:val="00E41291"/>
    <w:rsid w:val="00E413AA"/>
    <w:rsid w:val="00E41433"/>
    <w:rsid w:val="00E415F6"/>
    <w:rsid w:val="00E41925"/>
    <w:rsid w:val="00E41996"/>
    <w:rsid w:val="00E419BA"/>
    <w:rsid w:val="00E41B1B"/>
    <w:rsid w:val="00E41BBC"/>
    <w:rsid w:val="00E41BE0"/>
    <w:rsid w:val="00E41DA0"/>
    <w:rsid w:val="00E41F8F"/>
    <w:rsid w:val="00E41FC7"/>
    <w:rsid w:val="00E41FEC"/>
    <w:rsid w:val="00E42117"/>
    <w:rsid w:val="00E42386"/>
    <w:rsid w:val="00E42396"/>
    <w:rsid w:val="00E42464"/>
    <w:rsid w:val="00E42618"/>
    <w:rsid w:val="00E42808"/>
    <w:rsid w:val="00E429FF"/>
    <w:rsid w:val="00E42C2B"/>
    <w:rsid w:val="00E42C36"/>
    <w:rsid w:val="00E42E50"/>
    <w:rsid w:val="00E4304F"/>
    <w:rsid w:val="00E43158"/>
    <w:rsid w:val="00E43181"/>
    <w:rsid w:val="00E4330C"/>
    <w:rsid w:val="00E434BF"/>
    <w:rsid w:val="00E434D2"/>
    <w:rsid w:val="00E4351D"/>
    <w:rsid w:val="00E435D5"/>
    <w:rsid w:val="00E43759"/>
    <w:rsid w:val="00E43891"/>
    <w:rsid w:val="00E43A4B"/>
    <w:rsid w:val="00E43A69"/>
    <w:rsid w:val="00E43C4C"/>
    <w:rsid w:val="00E44005"/>
    <w:rsid w:val="00E4406F"/>
    <w:rsid w:val="00E440AF"/>
    <w:rsid w:val="00E44108"/>
    <w:rsid w:val="00E44281"/>
    <w:rsid w:val="00E44455"/>
    <w:rsid w:val="00E445D5"/>
    <w:rsid w:val="00E44612"/>
    <w:rsid w:val="00E4467F"/>
    <w:rsid w:val="00E44768"/>
    <w:rsid w:val="00E447A1"/>
    <w:rsid w:val="00E44852"/>
    <w:rsid w:val="00E448A7"/>
    <w:rsid w:val="00E4499C"/>
    <w:rsid w:val="00E449CB"/>
    <w:rsid w:val="00E44A2A"/>
    <w:rsid w:val="00E44A80"/>
    <w:rsid w:val="00E44B2E"/>
    <w:rsid w:val="00E44BDD"/>
    <w:rsid w:val="00E45022"/>
    <w:rsid w:val="00E45101"/>
    <w:rsid w:val="00E451B7"/>
    <w:rsid w:val="00E452E5"/>
    <w:rsid w:val="00E453E1"/>
    <w:rsid w:val="00E45462"/>
    <w:rsid w:val="00E455F5"/>
    <w:rsid w:val="00E45740"/>
    <w:rsid w:val="00E45750"/>
    <w:rsid w:val="00E4575A"/>
    <w:rsid w:val="00E457AD"/>
    <w:rsid w:val="00E457C5"/>
    <w:rsid w:val="00E45819"/>
    <w:rsid w:val="00E45F21"/>
    <w:rsid w:val="00E4605C"/>
    <w:rsid w:val="00E4613B"/>
    <w:rsid w:val="00E4627F"/>
    <w:rsid w:val="00E46304"/>
    <w:rsid w:val="00E46325"/>
    <w:rsid w:val="00E463F8"/>
    <w:rsid w:val="00E46401"/>
    <w:rsid w:val="00E4642C"/>
    <w:rsid w:val="00E4643F"/>
    <w:rsid w:val="00E464D5"/>
    <w:rsid w:val="00E466CA"/>
    <w:rsid w:val="00E466E2"/>
    <w:rsid w:val="00E46773"/>
    <w:rsid w:val="00E4694C"/>
    <w:rsid w:val="00E46BD4"/>
    <w:rsid w:val="00E46BE7"/>
    <w:rsid w:val="00E46D7E"/>
    <w:rsid w:val="00E46DD2"/>
    <w:rsid w:val="00E47008"/>
    <w:rsid w:val="00E4704E"/>
    <w:rsid w:val="00E470D4"/>
    <w:rsid w:val="00E47128"/>
    <w:rsid w:val="00E471A5"/>
    <w:rsid w:val="00E47408"/>
    <w:rsid w:val="00E47488"/>
    <w:rsid w:val="00E47520"/>
    <w:rsid w:val="00E4752A"/>
    <w:rsid w:val="00E47574"/>
    <w:rsid w:val="00E4765B"/>
    <w:rsid w:val="00E4779A"/>
    <w:rsid w:val="00E479F6"/>
    <w:rsid w:val="00E47ABD"/>
    <w:rsid w:val="00E47AC7"/>
    <w:rsid w:val="00E47B4C"/>
    <w:rsid w:val="00E47C1A"/>
    <w:rsid w:val="00E47C1F"/>
    <w:rsid w:val="00E47C2F"/>
    <w:rsid w:val="00E47DBE"/>
    <w:rsid w:val="00E47F75"/>
    <w:rsid w:val="00E50124"/>
    <w:rsid w:val="00E50154"/>
    <w:rsid w:val="00E5024E"/>
    <w:rsid w:val="00E50291"/>
    <w:rsid w:val="00E5046A"/>
    <w:rsid w:val="00E504B4"/>
    <w:rsid w:val="00E5062F"/>
    <w:rsid w:val="00E5078A"/>
    <w:rsid w:val="00E508B2"/>
    <w:rsid w:val="00E508EF"/>
    <w:rsid w:val="00E50A3E"/>
    <w:rsid w:val="00E50BA6"/>
    <w:rsid w:val="00E50BC1"/>
    <w:rsid w:val="00E50FA0"/>
    <w:rsid w:val="00E50FFF"/>
    <w:rsid w:val="00E5119C"/>
    <w:rsid w:val="00E51449"/>
    <w:rsid w:val="00E5154B"/>
    <w:rsid w:val="00E51633"/>
    <w:rsid w:val="00E517CB"/>
    <w:rsid w:val="00E518E1"/>
    <w:rsid w:val="00E518F3"/>
    <w:rsid w:val="00E51904"/>
    <w:rsid w:val="00E51A82"/>
    <w:rsid w:val="00E51A8C"/>
    <w:rsid w:val="00E51C01"/>
    <w:rsid w:val="00E51DD0"/>
    <w:rsid w:val="00E51FE9"/>
    <w:rsid w:val="00E520BA"/>
    <w:rsid w:val="00E521D8"/>
    <w:rsid w:val="00E5220E"/>
    <w:rsid w:val="00E522C2"/>
    <w:rsid w:val="00E522DE"/>
    <w:rsid w:val="00E5242D"/>
    <w:rsid w:val="00E524BA"/>
    <w:rsid w:val="00E524F5"/>
    <w:rsid w:val="00E52644"/>
    <w:rsid w:val="00E526F4"/>
    <w:rsid w:val="00E52767"/>
    <w:rsid w:val="00E5277E"/>
    <w:rsid w:val="00E528C9"/>
    <w:rsid w:val="00E529F1"/>
    <w:rsid w:val="00E52B79"/>
    <w:rsid w:val="00E52DD4"/>
    <w:rsid w:val="00E53000"/>
    <w:rsid w:val="00E530DE"/>
    <w:rsid w:val="00E5319F"/>
    <w:rsid w:val="00E532FE"/>
    <w:rsid w:val="00E53328"/>
    <w:rsid w:val="00E53419"/>
    <w:rsid w:val="00E5364B"/>
    <w:rsid w:val="00E536EB"/>
    <w:rsid w:val="00E53704"/>
    <w:rsid w:val="00E5378C"/>
    <w:rsid w:val="00E53815"/>
    <w:rsid w:val="00E53829"/>
    <w:rsid w:val="00E53903"/>
    <w:rsid w:val="00E53935"/>
    <w:rsid w:val="00E539CA"/>
    <w:rsid w:val="00E53B4A"/>
    <w:rsid w:val="00E53BA7"/>
    <w:rsid w:val="00E53C3C"/>
    <w:rsid w:val="00E53CC5"/>
    <w:rsid w:val="00E53D2C"/>
    <w:rsid w:val="00E53D77"/>
    <w:rsid w:val="00E53E61"/>
    <w:rsid w:val="00E53E7D"/>
    <w:rsid w:val="00E53EFE"/>
    <w:rsid w:val="00E54006"/>
    <w:rsid w:val="00E5406D"/>
    <w:rsid w:val="00E54108"/>
    <w:rsid w:val="00E5414A"/>
    <w:rsid w:val="00E5416C"/>
    <w:rsid w:val="00E5417D"/>
    <w:rsid w:val="00E542A3"/>
    <w:rsid w:val="00E54323"/>
    <w:rsid w:val="00E54443"/>
    <w:rsid w:val="00E544C9"/>
    <w:rsid w:val="00E54559"/>
    <w:rsid w:val="00E546F4"/>
    <w:rsid w:val="00E54775"/>
    <w:rsid w:val="00E547EF"/>
    <w:rsid w:val="00E549A0"/>
    <w:rsid w:val="00E54A00"/>
    <w:rsid w:val="00E54B80"/>
    <w:rsid w:val="00E54BE0"/>
    <w:rsid w:val="00E54C05"/>
    <w:rsid w:val="00E54CE9"/>
    <w:rsid w:val="00E54DBD"/>
    <w:rsid w:val="00E54E0B"/>
    <w:rsid w:val="00E54E96"/>
    <w:rsid w:val="00E5507B"/>
    <w:rsid w:val="00E550FA"/>
    <w:rsid w:val="00E551AC"/>
    <w:rsid w:val="00E55288"/>
    <w:rsid w:val="00E552C6"/>
    <w:rsid w:val="00E5530A"/>
    <w:rsid w:val="00E55392"/>
    <w:rsid w:val="00E556F8"/>
    <w:rsid w:val="00E5573F"/>
    <w:rsid w:val="00E558B0"/>
    <w:rsid w:val="00E558FC"/>
    <w:rsid w:val="00E55901"/>
    <w:rsid w:val="00E55C46"/>
    <w:rsid w:val="00E55C8C"/>
    <w:rsid w:val="00E55D0B"/>
    <w:rsid w:val="00E55D2A"/>
    <w:rsid w:val="00E55E01"/>
    <w:rsid w:val="00E55E5E"/>
    <w:rsid w:val="00E55FF0"/>
    <w:rsid w:val="00E56001"/>
    <w:rsid w:val="00E560A0"/>
    <w:rsid w:val="00E56176"/>
    <w:rsid w:val="00E561AE"/>
    <w:rsid w:val="00E56217"/>
    <w:rsid w:val="00E56324"/>
    <w:rsid w:val="00E56400"/>
    <w:rsid w:val="00E56561"/>
    <w:rsid w:val="00E56671"/>
    <w:rsid w:val="00E567D6"/>
    <w:rsid w:val="00E569A0"/>
    <w:rsid w:val="00E569A1"/>
    <w:rsid w:val="00E56A19"/>
    <w:rsid w:val="00E56A78"/>
    <w:rsid w:val="00E56C3A"/>
    <w:rsid w:val="00E56FDF"/>
    <w:rsid w:val="00E5701A"/>
    <w:rsid w:val="00E570B9"/>
    <w:rsid w:val="00E57285"/>
    <w:rsid w:val="00E57328"/>
    <w:rsid w:val="00E57566"/>
    <w:rsid w:val="00E576CE"/>
    <w:rsid w:val="00E576EF"/>
    <w:rsid w:val="00E577E5"/>
    <w:rsid w:val="00E57910"/>
    <w:rsid w:val="00E57927"/>
    <w:rsid w:val="00E5793F"/>
    <w:rsid w:val="00E5797B"/>
    <w:rsid w:val="00E57A60"/>
    <w:rsid w:val="00E57B0A"/>
    <w:rsid w:val="00E57B5F"/>
    <w:rsid w:val="00E57C18"/>
    <w:rsid w:val="00E57C1D"/>
    <w:rsid w:val="00E57D4F"/>
    <w:rsid w:val="00E57D73"/>
    <w:rsid w:val="00E57E54"/>
    <w:rsid w:val="00E57E8A"/>
    <w:rsid w:val="00E57F53"/>
    <w:rsid w:val="00E57F5D"/>
    <w:rsid w:val="00E57FA7"/>
    <w:rsid w:val="00E60204"/>
    <w:rsid w:val="00E60268"/>
    <w:rsid w:val="00E602B9"/>
    <w:rsid w:val="00E60761"/>
    <w:rsid w:val="00E60776"/>
    <w:rsid w:val="00E607EA"/>
    <w:rsid w:val="00E6087E"/>
    <w:rsid w:val="00E608A4"/>
    <w:rsid w:val="00E60960"/>
    <w:rsid w:val="00E60B82"/>
    <w:rsid w:val="00E60BBC"/>
    <w:rsid w:val="00E60E09"/>
    <w:rsid w:val="00E60E74"/>
    <w:rsid w:val="00E60E7C"/>
    <w:rsid w:val="00E60FC2"/>
    <w:rsid w:val="00E61069"/>
    <w:rsid w:val="00E61313"/>
    <w:rsid w:val="00E61422"/>
    <w:rsid w:val="00E61645"/>
    <w:rsid w:val="00E61712"/>
    <w:rsid w:val="00E61723"/>
    <w:rsid w:val="00E6185C"/>
    <w:rsid w:val="00E61941"/>
    <w:rsid w:val="00E61972"/>
    <w:rsid w:val="00E6198E"/>
    <w:rsid w:val="00E61F2C"/>
    <w:rsid w:val="00E61F4A"/>
    <w:rsid w:val="00E62078"/>
    <w:rsid w:val="00E6208F"/>
    <w:rsid w:val="00E62104"/>
    <w:rsid w:val="00E6221C"/>
    <w:rsid w:val="00E62250"/>
    <w:rsid w:val="00E62275"/>
    <w:rsid w:val="00E622F3"/>
    <w:rsid w:val="00E62336"/>
    <w:rsid w:val="00E62430"/>
    <w:rsid w:val="00E624A4"/>
    <w:rsid w:val="00E624B6"/>
    <w:rsid w:val="00E6253B"/>
    <w:rsid w:val="00E62786"/>
    <w:rsid w:val="00E6284C"/>
    <w:rsid w:val="00E62A9F"/>
    <w:rsid w:val="00E62C68"/>
    <w:rsid w:val="00E62EAC"/>
    <w:rsid w:val="00E6310E"/>
    <w:rsid w:val="00E63181"/>
    <w:rsid w:val="00E63195"/>
    <w:rsid w:val="00E63233"/>
    <w:rsid w:val="00E63375"/>
    <w:rsid w:val="00E63477"/>
    <w:rsid w:val="00E63918"/>
    <w:rsid w:val="00E63996"/>
    <w:rsid w:val="00E639DA"/>
    <w:rsid w:val="00E63ACF"/>
    <w:rsid w:val="00E63AE7"/>
    <w:rsid w:val="00E63AE9"/>
    <w:rsid w:val="00E63BE5"/>
    <w:rsid w:val="00E63C88"/>
    <w:rsid w:val="00E63D08"/>
    <w:rsid w:val="00E63D65"/>
    <w:rsid w:val="00E63DAB"/>
    <w:rsid w:val="00E63F62"/>
    <w:rsid w:val="00E63FF4"/>
    <w:rsid w:val="00E640F2"/>
    <w:rsid w:val="00E6436A"/>
    <w:rsid w:val="00E6438F"/>
    <w:rsid w:val="00E64422"/>
    <w:rsid w:val="00E644AD"/>
    <w:rsid w:val="00E6468D"/>
    <w:rsid w:val="00E64690"/>
    <w:rsid w:val="00E6477D"/>
    <w:rsid w:val="00E648EE"/>
    <w:rsid w:val="00E649D2"/>
    <w:rsid w:val="00E64A8A"/>
    <w:rsid w:val="00E64CE4"/>
    <w:rsid w:val="00E64FB8"/>
    <w:rsid w:val="00E65241"/>
    <w:rsid w:val="00E65474"/>
    <w:rsid w:val="00E65505"/>
    <w:rsid w:val="00E6556C"/>
    <w:rsid w:val="00E65773"/>
    <w:rsid w:val="00E65BD4"/>
    <w:rsid w:val="00E65C7C"/>
    <w:rsid w:val="00E65CA0"/>
    <w:rsid w:val="00E65CC2"/>
    <w:rsid w:val="00E65D0E"/>
    <w:rsid w:val="00E65D5C"/>
    <w:rsid w:val="00E65DA8"/>
    <w:rsid w:val="00E65EC7"/>
    <w:rsid w:val="00E6601D"/>
    <w:rsid w:val="00E66085"/>
    <w:rsid w:val="00E6610B"/>
    <w:rsid w:val="00E664ED"/>
    <w:rsid w:val="00E667F1"/>
    <w:rsid w:val="00E6698F"/>
    <w:rsid w:val="00E66D3C"/>
    <w:rsid w:val="00E66F15"/>
    <w:rsid w:val="00E66FE6"/>
    <w:rsid w:val="00E67141"/>
    <w:rsid w:val="00E6716A"/>
    <w:rsid w:val="00E6717C"/>
    <w:rsid w:val="00E67271"/>
    <w:rsid w:val="00E67355"/>
    <w:rsid w:val="00E6750E"/>
    <w:rsid w:val="00E6758E"/>
    <w:rsid w:val="00E676E8"/>
    <w:rsid w:val="00E67852"/>
    <w:rsid w:val="00E679C7"/>
    <w:rsid w:val="00E679FB"/>
    <w:rsid w:val="00E67AED"/>
    <w:rsid w:val="00E67B04"/>
    <w:rsid w:val="00E67B22"/>
    <w:rsid w:val="00E67CE3"/>
    <w:rsid w:val="00E67D19"/>
    <w:rsid w:val="00E67EAA"/>
    <w:rsid w:val="00E67EAB"/>
    <w:rsid w:val="00E67EF7"/>
    <w:rsid w:val="00E67FF2"/>
    <w:rsid w:val="00E70074"/>
    <w:rsid w:val="00E700B1"/>
    <w:rsid w:val="00E701AF"/>
    <w:rsid w:val="00E70277"/>
    <w:rsid w:val="00E702AE"/>
    <w:rsid w:val="00E702C1"/>
    <w:rsid w:val="00E70506"/>
    <w:rsid w:val="00E7054C"/>
    <w:rsid w:val="00E70580"/>
    <w:rsid w:val="00E705A4"/>
    <w:rsid w:val="00E70795"/>
    <w:rsid w:val="00E70969"/>
    <w:rsid w:val="00E70A21"/>
    <w:rsid w:val="00E70AA3"/>
    <w:rsid w:val="00E70AD9"/>
    <w:rsid w:val="00E70B16"/>
    <w:rsid w:val="00E70CB8"/>
    <w:rsid w:val="00E70D54"/>
    <w:rsid w:val="00E70D61"/>
    <w:rsid w:val="00E70D8A"/>
    <w:rsid w:val="00E70D8F"/>
    <w:rsid w:val="00E70DA6"/>
    <w:rsid w:val="00E70F4B"/>
    <w:rsid w:val="00E71022"/>
    <w:rsid w:val="00E71230"/>
    <w:rsid w:val="00E71249"/>
    <w:rsid w:val="00E712D3"/>
    <w:rsid w:val="00E71432"/>
    <w:rsid w:val="00E71455"/>
    <w:rsid w:val="00E7150A"/>
    <w:rsid w:val="00E71786"/>
    <w:rsid w:val="00E7188B"/>
    <w:rsid w:val="00E718D0"/>
    <w:rsid w:val="00E719E8"/>
    <w:rsid w:val="00E71B2E"/>
    <w:rsid w:val="00E71C05"/>
    <w:rsid w:val="00E71D26"/>
    <w:rsid w:val="00E71F50"/>
    <w:rsid w:val="00E71F7B"/>
    <w:rsid w:val="00E72100"/>
    <w:rsid w:val="00E7222D"/>
    <w:rsid w:val="00E722AF"/>
    <w:rsid w:val="00E72308"/>
    <w:rsid w:val="00E72358"/>
    <w:rsid w:val="00E7259E"/>
    <w:rsid w:val="00E725AA"/>
    <w:rsid w:val="00E726A7"/>
    <w:rsid w:val="00E7271D"/>
    <w:rsid w:val="00E72744"/>
    <w:rsid w:val="00E728D3"/>
    <w:rsid w:val="00E72A93"/>
    <w:rsid w:val="00E72B39"/>
    <w:rsid w:val="00E72D3B"/>
    <w:rsid w:val="00E72D52"/>
    <w:rsid w:val="00E72E4E"/>
    <w:rsid w:val="00E72F38"/>
    <w:rsid w:val="00E72FA9"/>
    <w:rsid w:val="00E72FB5"/>
    <w:rsid w:val="00E7332A"/>
    <w:rsid w:val="00E73540"/>
    <w:rsid w:val="00E7390E"/>
    <w:rsid w:val="00E73A36"/>
    <w:rsid w:val="00E73B63"/>
    <w:rsid w:val="00E73B93"/>
    <w:rsid w:val="00E73C77"/>
    <w:rsid w:val="00E73D2F"/>
    <w:rsid w:val="00E73E24"/>
    <w:rsid w:val="00E73F38"/>
    <w:rsid w:val="00E74154"/>
    <w:rsid w:val="00E741E0"/>
    <w:rsid w:val="00E742B4"/>
    <w:rsid w:val="00E745CB"/>
    <w:rsid w:val="00E7475D"/>
    <w:rsid w:val="00E747C9"/>
    <w:rsid w:val="00E748D9"/>
    <w:rsid w:val="00E7491F"/>
    <w:rsid w:val="00E74ADA"/>
    <w:rsid w:val="00E74C04"/>
    <w:rsid w:val="00E74C27"/>
    <w:rsid w:val="00E74CDF"/>
    <w:rsid w:val="00E74E14"/>
    <w:rsid w:val="00E74FAD"/>
    <w:rsid w:val="00E75028"/>
    <w:rsid w:val="00E751E9"/>
    <w:rsid w:val="00E7527A"/>
    <w:rsid w:val="00E752B7"/>
    <w:rsid w:val="00E753EB"/>
    <w:rsid w:val="00E75638"/>
    <w:rsid w:val="00E7564F"/>
    <w:rsid w:val="00E757C6"/>
    <w:rsid w:val="00E758D8"/>
    <w:rsid w:val="00E75A15"/>
    <w:rsid w:val="00E75AA7"/>
    <w:rsid w:val="00E75C4E"/>
    <w:rsid w:val="00E75D6C"/>
    <w:rsid w:val="00E7600A"/>
    <w:rsid w:val="00E7616D"/>
    <w:rsid w:val="00E76171"/>
    <w:rsid w:val="00E76322"/>
    <w:rsid w:val="00E763DC"/>
    <w:rsid w:val="00E76453"/>
    <w:rsid w:val="00E76455"/>
    <w:rsid w:val="00E764F4"/>
    <w:rsid w:val="00E7654E"/>
    <w:rsid w:val="00E765B9"/>
    <w:rsid w:val="00E766F4"/>
    <w:rsid w:val="00E76878"/>
    <w:rsid w:val="00E7692F"/>
    <w:rsid w:val="00E76ABB"/>
    <w:rsid w:val="00E76BF6"/>
    <w:rsid w:val="00E76C58"/>
    <w:rsid w:val="00E76D12"/>
    <w:rsid w:val="00E76DE3"/>
    <w:rsid w:val="00E76DE9"/>
    <w:rsid w:val="00E770BE"/>
    <w:rsid w:val="00E772F5"/>
    <w:rsid w:val="00E77389"/>
    <w:rsid w:val="00E773D4"/>
    <w:rsid w:val="00E7744D"/>
    <w:rsid w:val="00E77654"/>
    <w:rsid w:val="00E7768C"/>
    <w:rsid w:val="00E7783E"/>
    <w:rsid w:val="00E77877"/>
    <w:rsid w:val="00E778AA"/>
    <w:rsid w:val="00E77910"/>
    <w:rsid w:val="00E77927"/>
    <w:rsid w:val="00E77B2D"/>
    <w:rsid w:val="00E77C7C"/>
    <w:rsid w:val="00E77CD2"/>
    <w:rsid w:val="00E77DB7"/>
    <w:rsid w:val="00E77F32"/>
    <w:rsid w:val="00E800EA"/>
    <w:rsid w:val="00E80164"/>
    <w:rsid w:val="00E80283"/>
    <w:rsid w:val="00E80337"/>
    <w:rsid w:val="00E80351"/>
    <w:rsid w:val="00E80382"/>
    <w:rsid w:val="00E804D4"/>
    <w:rsid w:val="00E804F2"/>
    <w:rsid w:val="00E80515"/>
    <w:rsid w:val="00E80533"/>
    <w:rsid w:val="00E807DE"/>
    <w:rsid w:val="00E80867"/>
    <w:rsid w:val="00E80993"/>
    <w:rsid w:val="00E809A4"/>
    <w:rsid w:val="00E80A4B"/>
    <w:rsid w:val="00E80AE4"/>
    <w:rsid w:val="00E80B36"/>
    <w:rsid w:val="00E80BAE"/>
    <w:rsid w:val="00E80BBD"/>
    <w:rsid w:val="00E80C92"/>
    <w:rsid w:val="00E80CF3"/>
    <w:rsid w:val="00E80D6B"/>
    <w:rsid w:val="00E80DAA"/>
    <w:rsid w:val="00E80E70"/>
    <w:rsid w:val="00E80EA1"/>
    <w:rsid w:val="00E80F17"/>
    <w:rsid w:val="00E80F1E"/>
    <w:rsid w:val="00E81004"/>
    <w:rsid w:val="00E81058"/>
    <w:rsid w:val="00E8108E"/>
    <w:rsid w:val="00E81124"/>
    <w:rsid w:val="00E81263"/>
    <w:rsid w:val="00E81481"/>
    <w:rsid w:val="00E814FA"/>
    <w:rsid w:val="00E8151B"/>
    <w:rsid w:val="00E815FE"/>
    <w:rsid w:val="00E81655"/>
    <w:rsid w:val="00E816AB"/>
    <w:rsid w:val="00E816D1"/>
    <w:rsid w:val="00E81757"/>
    <w:rsid w:val="00E8189B"/>
    <w:rsid w:val="00E8191D"/>
    <w:rsid w:val="00E81BF1"/>
    <w:rsid w:val="00E81F80"/>
    <w:rsid w:val="00E81FDF"/>
    <w:rsid w:val="00E8200D"/>
    <w:rsid w:val="00E8203B"/>
    <w:rsid w:val="00E82078"/>
    <w:rsid w:val="00E820BD"/>
    <w:rsid w:val="00E82439"/>
    <w:rsid w:val="00E82446"/>
    <w:rsid w:val="00E82479"/>
    <w:rsid w:val="00E82499"/>
    <w:rsid w:val="00E82595"/>
    <w:rsid w:val="00E82731"/>
    <w:rsid w:val="00E8295B"/>
    <w:rsid w:val="00E82A61"/>
    <w:rsid w:val="00E82AE0"/>
    <w:rsid w:val="00E82B36"/>
    <w:rsid w:val="00E82CA5"/>
    <w:rsid w:val="00E82EFE"/>
    <w:rsid w:val="00E82FA0"/>
    <w:rsid w:val="00E82FF1"/>
    <w:rsid w:val="00E831A3"/>
    <w:rsid w:val="00E831E2"/>
    <w:rsid w:val="00E83445"/>
    <w:rsid w:val="00E83507"/>
    <w:rsid w:val="00E83560"/>
    <w:rsid w:val="00E835E7"/>
    <w:rsid w:val="00E83656"/>
    <w:rsid w:val="00E83776"/>
    <w:rsid w:val="00E8385F"/>
    <w:rsid w:val="00E8391F"/>
    <w:rsid w:val="00E839A4"/>
    <w:rsid w:val="00E839A6"/>
    <w:rsid w:val="00E83B3A"/>
    <w:rsid w:val="00E83B99"/>
    <w:rsid w:val="00E83B9F"/>
    <w:rsid w:val="00E83BE9"/>
    <w:rsid w:val="00E83D07"/>
    <w:rsid w:val="00E83F7A"/>
    <w:rsid w:val="00E840AA"/>
    <w:rsid w:val="00E840AB"/>
    <w:rsid w:val="00E84156"/>
    <w:rsid w:val="00E8423A"/>
    <w:rsid w:val="00E843C8"/>
    <w:rsid w:val="00E847F1"/>
    <w:rsid w:val="00E849A8"/>
    <w:rsid w:val="00E84A58"/>
    <w:rsid w:val="00E84B5D"/>
    <w:rsid w:val="00E84ECD"/>
    <w:rsid w:val="00E84FE3"/>
    <w:rsid w:val="00E850C7"/>
    <w:rsid w:val="00E8521F"/>
    <w:rsid w:val="00E852D7"/>
    <w:rsid w:val="00E8536A"/>
    <w:rsid w:val="00E85490"/>
    <w:rsid w:val="00E854AA"/>
    <w:rsid w:val="00E85504"/>
    <w:rsid w:val="00E8562D"/>
    <w:rsid w:val="00E85700"/>
    <w:rsid w:val="00E857EF"/>
    <w:rsid w:val="00E859F5"/>
    <w:rsid w:val="00E85A99"/>
    <w:rsid w:val="00E85B5E"/>
    <w:rsid w:val="00E85BC5"/>
    <w:rsid w:val="00E85C67"/>
    <w:rsid w:val="00E85CC7"/>
    <w:rsid w:val="00E85E28"/>
    <w:rsid w:val="00E85EB2"/>
    <w:rsid w:val="00E860F6"/>
    <w:rsid w:val="00E86245"/>
    <w:rsid w:val="00E86374"/>
    <w:rsid w:val="00E86412"/>
    <w:rsid w:val="00E86461"/>
    <w:rsid w:val="00E86597"/>
    <w:rsid w:val="00E866BA"/>
    <w:rsid w:val="00E86748"/>
    <w:rsid w:val="00E867DD"/>
    <w:rsid w:val="00E86A42"/>
    <w:rsid w:val="00E86B1A"/>
    <w:rsid w:val="00E86C54"/>
    <w:rsid w:val="00E86DD9"/>
    <w:rsid w:val="00E86EF5"/>
    <w:rsid w:val="00E8702C"/>
    <w:rsid w:val="00E87036"/>
    <w:rsid w:val="00E87080"/>
    <w:rsid w:val="00E87087"/>
    <w:rsid w:val="00E872CB"/>
    <w:rsid w:val="00E872CE"/>
    <w:rsid w:val="00E87399"/>
    <w:rsid w:val="00E873A1"/>
    <w:rsid w:val="00E873C8"/>
    <w:rsid w:val="00E87422"/>
    <w:rsid w:val="00E87449"/>
    <w:rsid w:val="00E875FA"/>
    <w:rsid w:val="00E876D4"/>
    <w:rsid w:val="00E879A7"/>
    <w:rsid w:val="00E87ABE"/>
    <w:rsid w:val="00E87B7E"/>
    <w:rsid w:val="00E87D62"/>
    <w:rsid w:val="00E87D87"/>
    <w:rsid w:val="00E87D92"/>
    <w:rsid w:val="00E87EB8"/>
    <w:rsid w:val="00E87EEB"/>
    <w:rsid w:val="00E87F79"/>
    <w:rsid w:val="00E90148"/>
    <w:rsid w:val="00E90266"/>
    <w:rsid w:val="00E90296"/>
    <w:rsid w:val="00E90603"/>
    <w:rsid w:val="00E90788"/>
    <w:rsid w:val="00E9098E"/>
    <w:rsid w:val="00E90A2D"/>
    <w:rsid w:val="00E90A52"/>
    <w:rsid w:val="00E90BA9"/>
    <w:rsid w:val="00E90C34"/>
    <w:rsid w:val="00E90C6C"/>
    <w:rsid w:val="00E90E73"/>
    <w:rsid w:val="00E90E9B"/>
    <w:rsid w:val="00E90ECB"/>
    <w:rsid w:val="00E90F3C"/>
    <w:rsid w:val="00E90F41"/>
    <w:rsid w:val="00E90FAD"/>
    <w:rsid w:val="00E91028"/>
    <w:rsid w:val="00E910F1"/>
    <w:rsid w:val="00E911B3"/>
    <w:rsid w:val="00E9131E"/>
    <w:rsid w:val="00E91352"/>
    <w:rsid w:val="00E913B9"/>
    <w:rsid w:val="00E91417"/>
    <w:rsid w:val="00E914D1"/>
    <w:rsid w:val="00E915C2"/>
    <w:rsid w:val="00E915F0"/>
    <w:rsid w:val="00E91695"/>
    <w:rsid w:val="00E916CB"/>
    <w:rsid w:val="00E916D1"/>
    <w:rsid w:val="00E91742"/>
    <w:rsid w:val="00E9183A"/>
    <w:rsid w:val="00E91862"/>
    <w:rsid w:val="00E91A52"/>
    <w:rsid w:val="00E91B2A"/>
    <w:rsid w:val="00E91BA3"/>
    <w:rsid w:val="00E91C30"/>
    <w:rsid w:val="00E91E85"/>
    <w:rsid w:val="00E91EC2"/>
    <w:rsid w:val="00E91F28"/>
    <w:rsid w:val="00E92156"/>
    <w:rsid w:val="00E92268"/>
    <w:rsid w:val="00E922FF"/>
    <w:rsid w:val="00E92330"/>
    <w:rsid w:val="00E92401"/>
    <w:rsid w:val="00E92669"/>
    <w:rsid w:val="00E92AA5"/>
    <w:rsid w:val="00E92B2D"/>
    <w:rsid w:val="00E92B81"/>
    <w:rsid w:val="00E92BD2"/>
    <w:rsid w:val="00E92CCD"/>
    <w:rsid w:val="00E92DAE"/>
    <w:rsid w:val="00E93139"/>
    <w:rsid w:val="00E93243"/>
    <w:rsid w:val="00E9326B"/>
    <w:rsid w:val="00E934C0"/>
    <w:rsid w:val="00E935AF"/>
    <w:rsid w:val="00E93687"/>
    <w:rsid w:val="00E93839"/>
    <w:rsid w:val="00E93904"/>
    <w:rsid w:val="00E93977"/>
    <w:rsid w:val="00E93AD8"/>
    <w:rsid w:val="00E93B28"/>
    <w:rsid w:val="00E93BC3"/>
    <w:rsid w:val="00E93C95"/>
    <w:rsid w:val="00E93CAC"/>
    <w:rsid w:val="00E93CBB"/>
    <w:rsid w:val="00E93D4B"/>
    <w:rsid w:val="00E93F4B"/>
    <w:rsid w:val="00E942B7"/>
    <w:rsid w:val="00E94385"/>
    <w:rsid w:val="00E94436"/>
    <w:rsid w:val="00E94762"/>
    <w:rsid w:val="00E94828"/>
    <w:rsid w:val="00E948BD"/>
    <w:rsid w:val="00E94A6D"/>
    <w:rsid w:val="00E94AF4"/>
    <w:rsid w:val="00E94B13"/>
    <w:rsid w:val="00E94C5A"/>
    <w:rsid w:val="00E94CFB"/>
    <w:rsid w:val="00E94DD9"/>
    <w:rsid w:val="00E94E08"/>
    <w:rsid w:val="00E94E3D"/>
    <w:rsid w:val="00E94E4B"/>
    <w:rsid w:val="00E95080"/>
    <w:rsid w:val="00E952AF"/>
    <w:rsid w:val="00E95309"/>
    <w:rsid w:val="00E954CD"/>
    <w:rsid w:val="00E955F8"/>
    <w:rsid w:val="00E95630"/>
    <w:rsid w:val="00E95688"/>
    <w:rsid w:val="00E95973"/>
    <w:rsid w:val="00E95999"/>
    <w:rsid w:val="00E959FA"/>
    <w:rsid w:val="00E95C05"/>
    <w:rsid w:val="00E95C52"/>
    <w:rsid w:val="00E95C53"/>
    <w:rsid w:val="00E95CBC"/>
    <w:rsid w:val="00E95D25"/>
    <w:rsid w:val="00E95D45"/>
    <w:rsid w:val="00E95D81"/>
    <w:rsid w:val="00E95DD3"/>
    <w:rsid w:val="00E95F57"/>
    <w:rsid w:val="00E9601E"/>
    <w:rsid w:val="00E960AA"/>
    <w:rsid w:val="00E96195"/>
    <w:rsid w:val="00E961C4"/>
    <w:rsid w:val="00E961C8"/>
    <w:rsid w:val="00E964D2"/>
    <w:rsid w:val="00E96565"/>
    <w:rsid w:val="00E96767"/>
    <w:rsid w:val="00E967E0"/>
    <w:rsid w:val="00E9688E"/>
    <w:rsid w:val="00E9692C"/>
    <w:rsid w:val="00E96A13"/>
    <w:rsid w:val="00E96B99"/>
    <w:rsid w:val="00E96C22"/>
    <w:rsid w:val="00E96C54"/>
    <w:rsid w:val="00E96CB1"/>
    <w:rsid w:val="00E96E20"/>
    <w:rsid w:val="00E96EEA"/>
    <w:rsid w:val="00E96F6B"/>
    <w:rsid w:val="00E96FE4"/>
    <w:rsid w:val="00E971F1"/>
    <w:rsid w:val="00E97269"/>
    <w:rsid w:val="00E972E4"/>
    <w:rsid w:val="00E97367"/>
    <w:rsid w:val="00E974AD"/>
    <w:rsid w:val="00E97732"/>
    <w:rsid w:val="00E977BF"/>
    <w:rsid w:val="00E978E8"/>
    <w:rsid w:val="00E97903"/>
    <w:rsid w:val="00E97AC6"/>
    <w:rsid w:val="00E97B71"/>
    <w:rsid w:val="00E97C9A"/>
    <w:rsid w:val="00E97CBE"/>
    <w:rsid w:val="00E97E24"/>
    <w:rsid w:val="00EA0025"/>
    <w:rsid w:val="00EA00F9"/>
    <w:rsid w:val="00EA0108"/>
    <w:rsid w:val="00EA0119"/>
    <w:rsid w:val="00EA02F2"/>
    <w:rsid w:val="00EA04FE"/>
    <w:rsid w:val="00EA0695"/>
    <w:rsid w:val="00EA0765"/>
    <w:rsid w:val="00EA08D7"/>
    <w:rsid w:val="00EA097B"/>
    <w:rsid w:val="00EA0A0C"/>
    <w:rsid w:val="00EA0C6C"/>
    <w:rsid w:val="00EA0CF9"/>
    <w:rsid w:val="00EA0E46"/>
    <w:rsid w:val="00EA1130"/>
    <w:rsid w:val="00EA1191"/>
    <w:rsid w:val="00EA119F"/>
    <w:rsid w:val="00EA1625"/>
    <w:rsid w:val="00EA16D8"/>
    <w:rsid w:val="00EA1852"/>
    <w:rsid w:val="00EA18D5"/>
    <w:rsid w:val="00EA1B51"/>
    <w:rsid w:val="00EA1B6B"/>
    <w:rsid w:val="00EA1B8D"/>
    <w:rsid w:val="00EA1C47"/>
    <w:rsid w:val="00EA1D45"/>
    <w:rsid w:val="00EA1F4A"/>
    <w:rsid w:val="00EA234C"/>
    <w:rsid w:val="00EA23A5"/>
    <w:rsid w:val="00EA23EE"/>
    <w:rsid w:val="00EA24A0"/>
    <w:rsid w:val="00EA2604"/>
    <w:rsid w:val="00EA277E"/>
    <w:rsid w:val="00EA28AD"/>
    <w:rsid w:val="00EA2934"/>
    <w:rsid w:val="00EA2BFD"/>
    <w:rsid w:val="00EA2C0E"/>
    <w:rsid w:val="00EA2CB5"/>
    <w:rsid w:val="00EA2CBA"/>
    <w:rsid w:val="00EA2EF9"/>
    <w:rsid w:val="00EA2F0E"/>
    <w:rsid w:val="00EA2F41"/>
    <w:rsid w:val="00EA2FB4"/>
    <w:rsid w:val="00EA308E"/>
    <w:rsid w:val="00EA30A6"/>
    <w:rsid w:val="00EA30ED"/>
    <w:rsid w:val="00EA3177"/>
    <w:rsid w:val="00EA3341"/>
    <w:rsid w:val="00EA3423"/>
    <w:rsid w:val="00EA3548"/>
    <w:rsid w:val="00EA3689"/>
    <w:rsid w:val="00EA36AE"/>
    <w:rsid w:val="00EA375B"/>
    <w:rsid w:val="00EA378A"/>
    <w:rsid w:val="00EA380D"/>
    <w:rsid w:val="00EA3839"/>
    <w:rsid w:val="00EA38AA"/>
    <w:rsid w:val="00EA38C8"/>
    <w:rsid w:val="00EA3936"/>
    <w:rsid w:val="00EA3A49"/>
    <w:rsid w:val="00EA3BA8"/>
    <w:rsid w:val="00EA3D64"/>
    <w:rsid w:val="00EA3D8B"/>
    <w:rsid w:val="00EA3ED1"/>
    <w:rsid w:val="00EA42E2"/>
    <w:rsid w:val="00EA42E4"/>
    <w:rsid w:val="00EA4324"/>
    <w:rsid w:val="00EA4326"/>
    <w:rsid w:val="00EA433C"/>
    <w:rsid w:val="00EA45D1"/>
    <w:rsid w:val="00EA45E4"/>
    <w:rsid w:val="00EA46CB"/>
    <w:rsid w:val="00EA46CC"/>
    <w:rsid w:val="00EA4745"/>
    <w:rsid w:val="00EA4ACE"/>
    <w:rsid w:val="00EA4C1D"/>
    <w:rsid w:val="00EA4C63"/>
    <w:rsid w:val="00EA4CD2"/>
    <w:rsid w:val="00EA4D63"/>
    <w:rsid w:val="00EA4E5D"/>
    <w:rsid w:val="00EA4F0B"/>
    <w:rsid w:val="00EA5025"/>
    <w:rsid w:val="00EA5060"/>
    <w:rsid w:val="00EA514D"/>
    <w:rsid w:val="00EA515F"/>
    <w:rsid w:val="00EA53CE"/>
    <w:rsid w:val="00EA5539"/>
    <w:rsid w:val="00EA558D"/>
    <w:rsid w:val="00EA5593"/>
    <w:rsid w:val="00EA55BA"/>
    <w:rsid w:val="00EA55F6"/>
    <w:rsid w:val="00EA57A2"/>
    <w:rsid w:val="00EA5909"/>
    <w:rsid w:val="00EA5A70"/>
    <w:rsid w:val="00EA5DE3"/>
    <w:rsid w:val="00EA5E60"/>
    <w:rsid w:val="00EA5E71"/>
    <w:rsid w:val="00EA5E78"/>
    <w:rsid w:val="00EA5ED8"/>
    <w:rsid w:val="00EA5F7E"/>
    <w:rsid w:val="00EA601C"/>
    <w:rsid w:val="00EA605E"/>
    <w:rsid w:val="00EA6143"/>
    <w:rsid w:val="00EA62C7"/>
    <w:rsid w:val="00EA6462"/>
    <w:rsid w:val="00EA6487"/>
    <w:rsid w:val="00EA662D"/>
    <w:rsid w:val="00EA6643"/>
    <w:rsid w:val="00EA68D2"/>
    <w:rsid w:val="00EA6A16"/>
    <w:rsid w:val="00EA6B41"/>
    <w:rsid w:val="00EA6B54"/>
    <w:rsid w:val="00EA6E21"/>
    <w:rsid w:val="00EA6F8C"/>
    <w:rsid w:val="00EA6FDC"/>
    <w:rsid w:val="00EA7034"/>
    <w:rsid w:val="00EA7203"/>
    <w:rsid w:val="00EA72E1"/>
    <w:rsid w:val="00EA73D5"/>
    <w:rsid w:val="00EA73FE"/>
    <w:rsid w:val="00EA74E6"/>
    <w:rsid w:val="00EA757A"/>
    <w:rsid w:val="00EA762E"/>
    <w:rsid w:val="00EA7689"/>
    <w:rsid w:val="00EA7D64"/>
    <w:rsid w:val="00EA7D7D"/>
    <w:rsid w:val="00EB0101"/>
    <w:rsid w:val="00EB02FE"/>
    <w:rsid w:val="00EB041D"/>
    <w:rsid w:val="00EB04E7"/>
    <w:rsid w:val="00EB0609"/>
    <w:rsid w:val="00EB08AA"/>
    <w:rsid w:val="00EB08F7"/>
    <w:rsid w:val="00EB0A28"/>
    <w:rsid w:val="00EB0A31"/>
    <w:rsid w:val="00EB0C05"/>
    <w:rsid w:val="00EB0CEB"/>
    <w:rsid w:val="00EB0D15"/>
    <w:rsid w:val="00EB0D28"/>
    <w:rsid w:val="00EB0DC9"/>
    <w:rsid w:val="00EB0E0A"/>
    <w:rsid w:val="00EB0EFF"/>
    <w:rsid w:val="00EB0F46"/>
    <w:rsid w:val="00EB11C2"/>
    <w:rsid w:val="00EB12E3"/>
    <w:rsid w:val="00EB1521"/>
    <w:rsid w:val="00EB161A"/>
    <w:rsid w:val="00EB166D"/>
    <w:rsid w:val="00EB16F0"/>
    <w:rsid w:val="00EB173D"/>
    <w:rsid w:val="00EB1989"/>
    <w:rsid w:val="00EB1A37"/>
    <w:rsid w:val="00EB1A4A"/>
    <w:rsid w:val="00EB1C30"/>
    <w:rsid w:val="00EB21F4"/>
    <w:rsid w:val="00EB2332"/>
    <w:rsid w:val="00EB2361"/>
    <w:rsid w:val="00EB23C9"/>
    <w:rsid w:val="00EB2506"/>
    <w:rsid w:val="00EB257F"/>
    <w:rsid w:val="00EB2595"/>
    <w:rsid w:val="00EB259C"/>
    <w:rsid w:val="00EB2824"/>
    <w:rsid w:val="00EB297C"/>
    <w:rsid w:val="00EB29EF"/>
    <w:rsid w:val="00EB2A0C"/>
    <w:rsid w:val="00EB2A67"/>
    <w:rsid w:val="00EB2BBC"/>
    <w:rsid w:val="00EB2C04"/>
    <w:rsid w:val="00EB2C78"/>
    <w:rsid w:val="00EB2FE3"/>
    <w:rsid w:val="00EB3187"/>
    <w:rsid w:val="00EB3189"/>
    <w:rsid w:val="00EB31B8"/>
    <w:rsid w:val="00EB32C5"/>
    <w:rsid w:val="00EB32EB"/>
    <w:rsid w:val="00EB333E"/>
    <w:rsid w:val="00EB33FB"/>
    <w:rsid w:val="00EB3507"/>
    <w:rsid w:val="00EB35BD"/>
    <w:rsid w:val="00EB3845"/>
    <w:rsid w:val="00EB38C7"/>
    <w:rsid w:val="00EB3982"/>
    <w:rsid w:val="00EB3A58"/>
    <w:rsid w:val="00EB3AD3"/>
    <w:rsid w:val="00EB3B3D"/>
    <w:rsid w:val="00EB3C68"/>
    <w:rsid w:val="00EB3E66"/>
    <w:rsid w:val="00EB3FD9"/>
    <w:rsid w:val="00EB40EE"/>
    <w:rsid w:val="00EB4155"/>
    <w:rsid w:val="00EB41F9"/>
    <w:rsid w:val="00EB422C"/>
    <w:rsid w:val="00EB4281"/>
    <w:rsid w:val="00EB42C8"/>
    <w:rsid w:val="00EB43BE"/>
    <w:rsid w:val="00EB4453"/>
    <w:rsid w:val="00EB44CF"/>
    <w:rsid w:val="00EB44F5"/>
    <w:rsid w:val="00EB44F8"/>
    <w:rsid w:val="00EB46B6"/>
    <w:rsid w:val="00EB48B4"/>
    <w:rsid w:val="00EB48B8"/>
    <w:rsid w:val="00EB48DF"/>
    <w:rsid w:val="00EB49EE"/>
    <w:rsid w:val="00EB49F4"/>
    <w:rsid w:val="00EB4B6E"/>
    <w:rsid w:val="00EB4BBE"/>
    <w:rsid w:val="00EB4CCB"/>
    <w:rsid w:val="00EB4D1B"/>
    <w:rsid w:val="00EB4D6B"/>
    <w:rsid w:val="00EB4DE1"/>
    <w:rsid w:val="00EB4E4C"/>
    <w:rsid w:val="00EB4F61"/>
    <w:rsid w:val="00EB4FA8"/>
    <w:rsid w:val="00EB4FC1"/>
    <w:rsid w:val="00EB4FD9"/>
    <w:rsid w:val="00EB504F"/>
    <w:rsid w:val="00EB515A"/>
    <w:rsid w:val="00EB51B3"/>
    <w:rsid w:val="00EB527E"/>
    <w:rsid w:val="00EB5466"/>
    <w:rsid w:val="00EB570C"/>
    <w:rsid w:val="00EB5773"/>
    <w:rsid w:val="00EB5967"/>
    <w:rsid w:val="00EB5B57"/>
    <w:rsid w:val="00EB5B80"/>
    <w:rsid w:val="00EB5CC9"/>
    <w:rsid w:val="00EB5CDC"/>
    <w:rsid w:val="00EB5D41"/>
    <w:rsid w:val="00EB5DB3"/>
    <w:rsid w:val="00EB5DFC"/>
    <w:rsid w:val="00EB5FB8"/>
    <w:rsid w:val="00EB5FDD"/>
    <w:rsid w:val="00EB6097"/>
    <w:rsid w:val="00EB60C4"/>
    <w:rsid w:val="00EB616A"/>
    <w:rsid w:val="00EB6349"/>
    <w:rsid w:val="00EB654F"/>
    <w:rsid w:val="00EB6590"/>
    <w:rsid w:val="00EB682F"/>
    <w:rsid w:val="00EB686B"/>
    <w:rsid w:val="00EB6A4C"/>
    <w:rsid w:val="00EB6A6B"/>
    <w:rsid w:val="00EB6B7D"/>
    <w:rsid w:val="00EB6BC1"/>
    <w:rsid w:val="00EB6BCC"/>
    <w:rsid w:val="00EB6CA4"/>
    <w:rsid w:val="00EB6D53"/>
    <w:rsid w:val="00EB6F13"/>
    <w:rsid w:val="00EB6F30"/>
    <w:rsid w:val="00EB7062"/>
    <w:rsid w:val="00EB7136"/>
    <w:rsid w:val="00EB71C4"/>
    <w:rsid w:val="00EB7240"/>
    <w:rsid w:val="00EB7458"/>
    <w:rsid w:val="00EB782F"/>
    <w:rsid w:val="00EB799F"/>
    <w:rsid w:val="00EB7BBD"/>
    <w:rsid w:val="00EB7D4D"/>
    <w:rsid w:val="00EB7EC1"/>
    <w:rsid w:val="00EB7F0D"/>
    <w:rsid w:val="00EB7F11"/>
    <w:rsid w:val="00EC0028"/>
    <w:rsid w:val="00EC002B"/>
    <w:rsid w:val="00EC0088"/>
    <w:rsid w:val="00EC03AD"/>
    <w:rsid w:val="00EC04F9"/>
    <w:rsid w:val="00EC05B5"/>
    <w:rsid w:val="00EC071F"/>
    <w:rsid w:val="00EC0762"/>
    <w:rsid w:val="00EC07B2"/>
    <w:rsid w:val="00EC07CC"/>
    <w:rsid w:val="00EC0807"/>
    <w:rsid w:val="00EC09BA"/>
    <w:rsid w:val="00EC09CD"/>
    <w:rsid w:val="00EC0A63"/>
    <w:rsid w:val="00EC0B38"/>
    <w:rsid w:val="00EC0B3D"/>
    <w:rsid w:val="00EC0B8E"/>
    <w:rsid w:val="00EC0BFB"/>
    <w:rsid w:val="00EC0D1A"/>
    <w:rsid w:val="00EC0DD1"/>
    <w:rsid w:val="00EC0F6F"/>
    <w:rsid w:val="00EC0F7B"/>
    <w:rsid w:val="00EC0FB4"/>
    <w:rsid w:val="00EC0FB9"/>
    <w:rsid w:val="00EC10BE"/>
    <w:rsid w:val="00EC1358"/>
    <w:rsid w:val="00EC1635"/>
    <w:rsid w:val="00EC1718"/>
    <w:rsid w:val="00EC1769"/>
    <w:rsid w:val="00EC1A83"/>
    <w:rsid w:val="00EC1A86"/>
    <w:rsid w:val="00EC1B27"/>
    <w:rsid w:val="00EC1BE5"/>
    <w:rsid w:val="00EC1D00"/>
    <w:rsid w:val="00EC1F17"/>
    <w:rsid w:val="00EC1F7F"/>
    <w:rsid w:val="00EC210B"/>
    <w:rsid w:val="00EC2237"/>
    <w:rsid w:val="00EC2398"/>
    <w:rsid w:val="00EC23EE"/>
    <w:rsid w:val="00EC2484"/>
    <w:rsid w:val="00EC24D8"/>
    <w:rsid w:val="00EC24F9"/>
    <w:rsid w:val="00EC252B"/>
    <w:rsid w:val="00EC2554"/>
    <w:rsid w:val="00EC25E5"/>
    <w:rsid w:val="00EC291D"/>
    <w:rsid w:val="00EC2C44"/>
    <w:rsid w:val="00EC2CD5"/>
    <w:rsid w:val="00EC2FA0"/>
    <w:rsid w:val="00EC3044"/>
    <w:rsid w:val="00EC327E"/>
    <w:rsid w:val="00EC341F"/>
    <w:rsid w:val="00EC352D"/>
    <w:rsid w:val="00EC3670"/>
    <w:rsid w:val="00EC36D6"/>
    <w:rsid w:val="00EC3718"/>
    <w:rsid w:val="00EC37E9"/>
    <w:rsid w:val="00EC395C"/>
    <w:rsid w:val="00EC39B3"/>
    <w:rsid w:val="00EC3BB6"/>
    <w:rsid w:val="00EC3BBA"/>
    <w:rsid w:val="00EC3C1E"/>
    <w:rsid w:val="00EC3C5B"/>
    <w:rsid w:val="00EC3D6E"/>
    <w:rsid w:val="00EC3E7E"/>
    <w:rsid w:val="00EC3F14"/>
    <w:rsid w:val="00EC432E"/>
    <w:rsid w:val="00EC4467"/>
    <w:rsid w:val="00EC45B1"/>
    <w:rsid w:val="00EC45C8"/>
    <w:rsid w:val="00EC45D3"/>
    <w:rsid w:val="00EC46B0"/>
    <w:rsid w:val="00EC46DB"/>
    <w:rsid w:val="00EC47C5"/>
    <w:rsid w:val="00EC48DE"/>
    <w:rsid w:val="00EC4990"/>
    <w:rsid w:val="00EC4A89"/>
    <w:rsid w:val="00EC4BB4"/>
    <w:rsid w:val="00EC4E8D"/>
    <w:rsid w:val="00EC4F25"/>
    <w:rsid w:val="00EC4FE9"/>
    <w:rsid w:val="00EC4FF4"/>
    <w:rsid w:val="00EC50AD"/>
    <w:rsid w:val="00EC5110"/>
    <w:rsid w:val="00EC5184"/>
    <w:rsid w:val="00EC51FA"/>
    <w:rsid w:val="00EC535B"/>
    <w:rsid w:val="00EC5530"/>
    <w:rsid w:val="00EC562D"/>
    <w:rsid w:val="00EC579F"/>
    <w:rsid w:val="00EC57AF"/>
    <w:rsid w:val="00EC57FC"/>
    <w:rsid w:val="00EC584B"/>
    <w:rsid w:val="00EC5934"/>
    <w:rsid w:val="00EC5AC1"/>
    <w:rsid w:val="00EC5B91"/>
    <w:rsid w:val="00EC5B92"/>
    <w:rsid w:val="00EC5C34"/>
    <w:rsid w:val="00EC5C82"/>
    <w:rsid w:val="00EC5CC8"/>
    <w:rsid w:val="00EC5CD1"/>
    <w:rsid w:val="00EC5E6C"/>
    <w:rsid w:val="00EC5F68"/>
    <w:rsid w:val="00EC5FDA"/>
    <w:rsid w:val="00EC606E"/>
    <w:rsid w:val="00EC6101"/>
    <w:rsid w:val="00EC61C2"/>
    <w:rsid w:val="00EC622B"/>
    <w:rsid w:val="00EC6267"/>
    <w:rsid w:val="00EC6294"/>
    <w:rsid w:val="00EC64FE"/>
    <w:rsid w:val="00EC677C"/>
    <w:rsid w:val="00EC67E0"/>
    <w:rsid w:val="00EC684B"/>
    <w:rsid w:val="00EC68DD"/>
    <w:rsid w:val="00EC697A"/>
    <w:rsid w:val="00EC6994"/>
    <w:rsid w:val="00EC69A4"/>
    <w:rsid w:val="00EC6A44"/>
    <w:rsid w:val="00EC6A8C"/>
    <w:rsid w:val="00EC6B19"/>
    <w:rsid w:val="00EC6B76"/>
    <w:rsid w:val="00EC6C5C"/>
    <w:rsid w:val="00EC6CCC"/>
    <w:rsid w:val="00EC6FBC"/>
    <w:rsid w:val="00EC7003"/>
    <w:rsid w:val="00EC70D5"/>
    <w:rsid w:val="00EC715F"/>
    <w:rsid w:val="00EC7163"/>
    <w:rsid w:val="00EC7170"/>
    <w:rsid w:val="00EC71EF"/>
    <w:rsid w:val="00EC722D"/>
    <w:rsid w:val="00EC726E"/>
    <w:rsid w:val="00EC7367"/>
    <w:rsid w:val="00EC7591"/>
    <w:rsid w:val="00EC7712"/>
    <w:rsid w:val="00EC794E"/>
    <w:rsid w:val="00EC7A8B"/>
    <w:rsid w:val="00EC7AF7"/>
    <w:rsid w:val="00EC7B4C"/>
    <w:rsid w:val="00EC7BC9"/>
    <w:rsid w:val="00EC7CE0"/>
    <w:rsid w:val="00EC7D4F"/>
    <w:rsid w:val="00EC7F5B"/>
    <w:rsid w:val="00ED0095"/>
    <w:rsid w:val="00ED009B"/>
    <w:rsid w:val="00ED00FB"/>
    <w:rsid w:val="00ED0278"/>
    <w:rsid w:val="00ED029C"/>
    <w:rsid w:val="00ED02B8"/>
    <w:rsid w:val="00ED02F0"/>
    <w:rsid w:val="00ED0348"/>
    <w:rsid w:val="00ED03BE"/>
    <w:rsid w:val="00ED0477"/>
    <w:rsid w:val="00ED04DC"/>
    <w:rsid w:val="00ED04E5"/>
    <w:rsid w:val="00ED05F7"/>
    <w:rsid w:val="00ED0673"/>
    <w:rsid w:val="00ED0783"/>
    <w:rsid w:val="00ED080A"/>
    <w:rsid w:val="00ED08CC"/>
    <w:rsid w:val="00ED09B1"/>
    <w:rsid w:val="00ED0A98"/>
    <w:rsid w:val="00ED0B83"/>
    <w:rsid w:val="00ED0C12"/>
    <w:rsid w:val="00ED0FDD"/>
    <w:rsid w:val="00ED141C"/>
    <w:rsid w:val="00ED1466"/>
    <w:rsid w:val="00ED15F7"/>
    <w:rsid w:val="00ED1672"/>
    <w:rsid w:val="00ED1A57"/>
    <w:rsid w:val="00ED1AE0"/>
    <w:rsid w:val="00ED1BA4"/>
    <w:rsid w:val="00ED1C11"/>
    <w:rsid w:val="00ED1CDC"/>
    <w:rsid w:val="00ED1DD3"/>
    <w:rsid w:val="00ED1DDD"/>
    <w:rsid w:val="00ED1E4D"/>
    <w:rsid w:val="00ED1ED5"/>
    <w:rsid w:val="00ED1F22"/>
    <w:rsid w:val="00ED20AC"/>
    <w:rsid w:val="00ED2118"/>
    <w:rsid w:val="00ED2121"/>
    <w:rsid w:val="00ED2181"/>
    <w:rsid w:val="00ED21A6"/>
    <w:rsid w:val="00ED220B"/>
    <w:rsid w:val="00ED2336"/>
    <w:rsid w:val="00ED23A8"/>
    <w:rsid w:val="00ED23E5"/>
    <w:rsid w:val="00ED24ED"/>
    <w:rsid w:val="00ED24FD"/>
    <w:rsid w:val="00ED258F"/>
    <w:rsid w:val="00ED2C15"/>
    <w:rsid w:val="00ED2E5D"/>
    <w:rsid w:val="00ED2FBE"/>
    <w:rsid w:val="00ED32CB"/>
    <w:rsid w:val="00ED3314"/>
    <w:rsid w:val="00ED3457"/>
    <w:rsid w:val="00ED34CB"/>
    <w:rsid w:val="00ED34DA"/>
    <w:rsid w:val="00ED34EF"/>
    <w:rsid w:val="00ED3526"/>
    <w:rsid w:val="00ED359B"/>
    <w:rsid w:val="00ED397B"/>
    <w:rsid w:val="00ED3C10"/>
    <w:rsid w:val="00ED3C74"/>
    <w:rsid w:val="00ED3E1B"/>
    <w:rsid w:val="00ED3EA0"/>
    <w:rsid w:val="00ED3F0B"/>
    <w:rsid w:val="00ED40A2"/>
    <w:rsid w:val="00ED40CF"/>
    <w:rsid w:val="00ED410C"/>
    <w:rsid w:val="00ED4136"/>
    <w:rsid w:val="00ED4274"/>
    <w:rsid w:val="00ED44A7"/>
    <w:rsid w:val="00ED4BE4"/>
    <w:rsid w:val="00ED4C8B"/>
    <w:rsid w:val="00ED4D3A"/>
    <w:rsid w:val="00ED4F55"/>
    <w:rsid w:val="00ED4FF7"/>
    <w:rsid w:val="00ED50A5"/>
    <w:rsid w:val="00ED50C0"/>
    <w:rsid w:val="00ED51FC"/>
    <w:rsid w:val="00ED54BF"/>
    <w:rsid w:val="00ED5596"/>
    <w:rsid w:val="00ED58B4"/>
    <w:rsid w:val="00ED5A02"/>
    <w:rsid w:val="00ED5ACC"/>
    <w:rsid w:val="00ED5C8E"/>
    <w:rsid w:val="00ED5D4D"/>
    <w:rsid w:val="00ED5F04"/>
    <w:rsid w:val="00ED5F0D"/>
    <w:rsid w:val="00ED5FCB"/>
    <w:rsid w:val="00ED60C6"/>
    <w:rsid w:val="00ED60CE"/>
    <w:rsid w:val="00ED63C4"/>
    <w:rsid w:val="00ED64CD"/>
    <w:rsid w:val="00ED668A"/>
    <w:rsid w:val="00ED669D"/>
    <w:rsid w:val="00ED68E7"/>
    <w:rsid w:val="00ED697E"/>
    <w:rsid w:val="00ED6A91"/>
    <w:rsid w:val="00ED6A96"/>
    <w:rsid w:val="00ED6C23"/>
    <w:rsid w:val="00ED6D21"/>
    <w:rsid w:val="00ED6D5A"/>
    <w:rsid w:val="00ED6D87"/>
    <w:rsid w:val="00ED6F6E"/>
    <w:rsid w:val="00ED7073"/>
    <w:rsid w:val="00ED726C"/>
    <w:rsid w:val="00ED7286"/>
    <w:rsid w:val="00ED72B2"/>
    <w:rsid w:val="00ED72C4"/>
    <w:rsid w:val="00ED732A"/>
    <w:rsid w:val="00ED737C"/>
    <w:rsid w:val="00ED743B"/>
    <w:rsid w:val="00ED7441"/>
    <w:rsid w:val="00ED7493"/>
    <w:rsid w:val="00ED74A7"/>
    <w:rsid w:val="00ED74F5"/>
    <w:rsid w:val="00ED769F"/>
    <w:rsid w:val="00ED7956"/>
    <w:rsid w:val="00ED79B0"/>
    <w:rsid w:val="00ED7C09"/>
    <w:rsid w:val="00ED7C8F"/>
    <w:rsid w:val="00ED7C99"/>
    <w:rsid w:val="00ED7D5F"/>
    <w:rsid w:val="00ED7F9A"/>
    <w:rsid w:val="00ED7FD5"/>
    <w:rsid w:val="00EE0013"/>
    <w:rsid w:val="00EE0017"/>
    <w:rsid w:val="00EE019F"/>
    <w:rsid w:val="00EE01A9"/>
    <w:rsid w:val="00EE03E2"/>
    <w:rsid w:val="00EE04C7"/>
    <w:rsid w:val="00EE060B"/>
    <w:rsid w:val="00EE06A7"/>
    <w:rsid w:val="00EE0778"/>
    <w:rsid w:val="00EE0856"/>
    <w:rsid w:val="00EE088D"/>
    <w:rsid w:val="00EE0961"/>
    <w:rsid w:val="00EE0A33"/>
    <w:rsid w:val="00EE0B4A"/>
    <w:rsid w:val="00EE0CA6"/>
    <w:rsid w:val="00EE0D5A"/>
    <w:rsid w:val="00EE0DAB"/>
    <w:rsid w:val="00EE0DB7"/>
    <w:rsid w:val="00EE0DDC"/>
    <w:rsid w:val="00EE0F24"/>
    <w:rsid w:val="00EE0F3A"/>
    <w:rsid w:val="00EE10D7"/>
    <w:rsid w:val="00EE1102"/>
    <w:rsid w:val="00EE112C"/>
    <w:rsid w:val="00EE1230"/>
    <w:rsid w:val="00EE140A"/>
    <w:rsid w:val="00EE14CE"/>
    <w:rsid w:val="00EE162B"/>
    <w:rsid w:val="00EE1655"/>
    <w:rsid w:val="00EE168F"/>
    <w:rsid w:val="00EE170A"/>
    <w:rsid w:val="00EE1799"/>
    <w:rsid w:val="00EE17ED"/>
    <w:rsid w:val="00EE1855"/>
    <w:rsid w:val="00EE1938"/>
    <w:rsid w:val="00EE19E4"/>
    <w:rsid w:val="00EE19ED"/>
    <w:rsid w:val="00EE19F4"/>
    <w:rsid w:val="00EE1A3C"/>
    <w:rsid w:val="00EE1A40"/>
    <w:rsid w:val="00EE1A74"/>
    <w:rsid w:val="00EE1A80"/>
    <w:rsid w:val="00EE1BD0"/>
    <w:rsid w:val="00EE1C46"/>
    <w:rsid w:val="00EE1E6B"/>
    <w:rsid w:val="00EE1EDB"/>
    <w:rsid w:val="00EE1EED"/>
    <w:rsid w:val="00EE1FD8"/>
    <w:rsid w:val="00EE2216"/>
    <w:rsid w:val="00EE22DD"/>
    <w:rsid w:val="00EE23DD"/>
    <w:rsid w:val="00EE23DF"/>
    <w:rsid w:val="00EE244F"/>
    <w:rsid w:val="00EE2586"/>
    <w:rsid w:val="00EE266D"/>
    <w:rsid w:val="00EE26FD"/>
    <w:rsid w:val="00EE274F"/>
    <w:rsid w:val="00EE27FE"/>
    <w:rsid w:val="00EE2883"/>
    <w:rsid w:val="00EE28F0"/>
    <w:rsid w:val="00EE2A4E"/>
    <w:rsid w:val="00EE2ACC"/>
    <w:rsid w:val="00EE2AE3"/>
    <w:rsid w:val="00EE2C3D"/>
    <w:rsid w:val="00EE2D37"/>
    <w:rsid w:val="00EE2DFD"/>
    <w:rsid w:val="00EE2ECD"/>
    <w:rsid w:val="00EE2FD3"/>
    <w:rsid w:val="00EE2FFC"/>
    <w:rsid w:val="00EE3024"/>
    <w:rsid w:val="00EE30AB"/>
    <w:rsid w:val="00EE30ED"/>
    <w:rsid w:val="00EE3140"/>
    <w:rsid w:val="00EE33B9"/>
    <w:rsid w:val="00EE36CE"/>
    <w:rsid w:val="00EE37CA"/>
    <w:rsid w:val="00EE39C4"/>
    <w:rsid w:val="00EE39E0"/>
    <w:rsid w:val="00EE3ABA"/>
    <w:rsid w:val="00EE3AF3"/>
    <w:rsid w:val="00EE3B88"/>
    <w:rsid w:val="00EE3ED4"/>
    <w:rsid w:val="00EE40C6"/>
    <w:rsid w:val="00EE4190"/>
    <w:rsid w:val="00EE419E"/>
    <w:rsid w:val="00EE4321"/>
    <w:rsid w:val="00EE4621"/>
    <w:rsid w:val="00EE47CE"/>
    <w:rsid w:val="00EE49A5"/>
    <w:rsid w:val="00EE4A1E"/>
    <w:rsid w:val="00EE4A68"/>
    <w:rsid w:val="00EE4CE7"/>
    <w:rsid w:val="00EE4D9D"/>
    <w:rsid w:val="00EE4DC0"/>
    <w:rsid w:val="00EE4E87"/>
    <w:rsid w:val="00EE4EC1"/>
    <w:rsid w:val="00EE4F63"/>
    <w:rsid w:val="00EE500B"/>
    <w:rsid w:val="00EE503F"/>
    <w:rsid w:val="00EE50DA"/>
    <w:rsid w:val="00EE5110"/>
    <w:rsid w:val="00EE52A8"/>
    <w:rsid w:val="00EE52E3"/>
    <w:rsid w:val="00EE553F"/>
    <w:rsid w:val="00EE55DD"/>
    <w:rsid w:val="00EE561B"/>
    <w:rsid w:val="00EE5710"/>
    <w:rsid w:val="00EE5A88"/>
    <w:rsid w:val="00EE5C1D"/>
    <w:rsid w:val="00EE5C5C"/>
    <w:rsid w:val="00EE5C93"/>
    <w:rsid w:val="00EE5E9A"/>
    <w:rsid w:val="00EE6181"/>
    <w:rsid w:val="00EE64BA"/>
    <w:rsid w:val="00EE64F4"/>
    <w:rsid w:val="00EE6556"/>
    <w:rsid w:val="00EE659E"/>
    <w:rsid w:val="00EE66EB"/>
    <w:rsid w:val="00EE66EC"/>
    <w:rsid w:val="00EE679D"/>
    <w:rsid w:val="00EE6856"/>
    <w:rsid w:val="00EE685E"/>
    <w:rsid w:val="00EE6889"/>
    <w:rsid w:val="00EE68B9"/>
    <w:rsid w:val="00EE68CB"/>
    <w:rsid w:val="00EE6A54"/>
    <w:rsid w:val="00EE6B96"/>
    <w:rsid w:val="00EE6BDE"/>
    <w:rsid w:val="00EE6E12"/>
    <w:rsid w:val="00EE6EE3"/>
    <w:rsid w:val="00EE741B"/>
    <w:rsid w:val="00EE75B7"/>
    <w:rsid w:val="00EE7970"/>
    <w:rsid w:val="00EE7E2F"/>
    <w:rsid w:val="00EE7E6A"/>
    <w:rsid w:val="00EE7E9B"/>
    <w:rsid w:val="00EE7F68"/>
    <w:rsid w:val="00EF0039"/>
    <w:rsid w:val="00EF0060"/>
    <w:rsid w:val="00EF012C"/>
    <w:rsid w:val="00EF02A0"/>
    <w:rsid w:val="00EF02AC"/>
    <w:rsid w:val="00EF0369"/>
    <w:rsid w:val="00EF0410"/>
    <w:rsid w:val="00EF0489"/>
    <w:rsid w:val="00EF066C"/>
    <w:rsid w:val="00EF06E6"/>
    <w:rsid w:val="00EF072E"/>
    <w:rsid w:val="00EF08A6"/>
    <w:rsid w:val="00EF08CE"/>
    <w:rsid w:val="00EF096E"/>
    <w:rsid w:val="00EF09DF"/>
    <w:rsid w:val="00EF0A23"/>
    <w:rsid w:val="00EF0C3F"/>
    <w:rsid w:val="00EF0C5A"/>
    <w:rsid w:val="00EF0C5E"/>
    <w:rsid w:val="00EF0D1C"/>
    <w:rsid w:val="00EF0DB5"/>
    <w:rsid w:val="00EF0E17"/>
    <w:rsid w:val="00EF0EFF"/>
    <w:rsid w:val="00EF1172"/>
    <w:rsid w:val="00EF1238"/>
    <w:rsid w:val="00EF131B"/>
    <w:rsid w:val="00EF1369"/>
    <w:rsid w:val="00EF13C7"/>
    <w:rsid w:val="00EF161A"/>
    <w:rsid w:val="00EF18A2"/>
    <w:rsid w:val="00EF19A9"/>
    <w:rsid w:val="00EF19F7"/>
    <w:rsid w:val="00EF1A41"/>
    <w:rsid w:val="00EF1AA4"/>
    <w:rsid w:val="00EF1B10"/>
    <w:rsid w:val="00EF1BDC"/>
    <w:rsid w:val="00EF1BE1"/>
    <w:rsid w:val="00EF1CAE"/>
    <w:rsid w:val="00EF2040"/>
    <w:rsid w:val="00EF21C4"/>
    <w:rsid w:val="00EF25CC"/>
    <w:rsid w:val="00EF273A"/>
    <w:rsid w:val="00EF27AA"/>
    <w:rsid w:val="00EF28FF"/>
    <w:rsid w:val="00EF29DD"/>
    <w:rsid w:val="00EF2A04"/>
    <w:rsid w:val="00EF2A0A"/>
    <w:rsid w:val="00EF2A4D"/>
    <w:rsid w:val="00EF2BE5"/>
    <w:rsid w:val="00EF3133"/>
    <w:rsid w:val="00EF3265"/>
    <w:rsid w:val="00EF3339"/>
    <w:rsid w:val="00EF3414"/>
    <w:rsid w:val="00EF349D"/>
    <w:rsid w:val="00EF34D6"/>
    <w:rsid w:val="00EF34E3"/>
    <w:rsid w:val="00EF34F6"/>
    <w:rsid w:val="00EF353C"/>
    <w:rsid w:val="00EF356C"/>
    <w:rsid w:val="00EF369B"/>
    <w:rsid w:val="00EF3714"/>
    <w:rsid w:val="00EF3864"/>
    <w:rsid w:val="00EF3AEA"/>
    <w:rsid w:val="00EF3B03"/>
    <w:rsid w:val="00EF3FE2"/>
    <w:rsid w:val="00EF4077"/>
    <w:rsid w:val="00EF41BC"/>
    <w:rsid w:val="00EF424A"/>
    <w:rsid w:val="00EF4321"/>
    <w:rsid w:val="00EF432C"/>
    <w:rsid w:val="00EF4770"/>
    <w:rsid w:val="00EF47E6"/>
    <w:rsid w:val="00EF4818"/>
    <w:rsid w:val="00EF48ED"/>
    <w:rsid w:val="00EF490F"/>
    <w:rsid w:val="00EF4A66"/>
    <w:rsid w:val="00EF4BA6"/>
    <w:rsid w:val="00EF4C58"/>
    <w:rsid w:val="00EF4CAD"/>
    <w:rsid w:val="00EF4E7A"/>
    <w:rsid w:val="00EF53BB"/>
    <w:rsid w:val="00EF53DB"/>
    <w:rsid w:val="00EF5571"/>
    <w:rsid w:val="00EF568B"/>
    <w:rsid w:val="00EF5778"/>
    <w:rsid w:val="00EF57BA"/>
    <w:rsid w:val="00EF57C3"/>
    <w:rsid w:val="00EF58DE"/>
    <w:rsid w:val="00EF5A86"/>
    <w:rsid w:val="00EF5BC9"/>
    <w:rsid w:val="00EF5CF0"/>
    <w:rsid w:val="00EF5EBF"/>
    <w:rsid w:val="00EF5F3D"/>
    <w:rsid w:val="00EF6202"/>
    <w:rsid w:val="00EF63CC"/>
    <w:rsid w:val="00EF63EF"/>
    <w:rsid w:val="00EF6476"/>
    <w:rsid w:val="00EF6522"/>
    <w:rsid w:val="00EF677A"/>
    <w:rsid w:val="00EF678D"/>
    <w:rsid w:val="00EF67F4"/>
    <w:rsid w:val="00EF68CF"/>
    <w:rsid w:val="00EF6961"/>
    <w:rsid w:val="00EF6AB9"/>
    <w:rsid w:val="00EF6C02"/>
    <w:rsid w:val="00EF6DB6"/>
    <w:rsid w:val="00EF6F5D"/>
    <w:rsid w:val="00EF7175"/>
    <w:rsid w:val="00EF71EF"/>
    <w:rsid w:val="00EF72C1"/>
    <w:rsid w:val="00EF73A0"/>
    <w:rsid w:val="00EF7446"/>
    <w:rsid w:val="00EF74C8"/>
    <w:rsid w:val="00EF756D"/>
    <w:rsid w:val="00EF758D"/>
    <w:rsid w:val="00EF75A3"/>
    <w:rsid w:val="00EF7718"/>
    <w:rsid w:val="00EF7775"/>
    <w:rsid w:val="00EF783B"/>
    <w:rsid w:val="00EF79B9"/>
    <w:rsid w:val="00EF79D2"/>
    <w:rsid w:val="00EF7A0F"/>
    <w:rsid w:val="00EF7BFB"/>
    <w:rsid w:val="00EF7CCE"/>
    <w:rsid w:val="00EF7E0E"/>
    <w:rsid w:val="00EF7EA8"/>
    <w:rsid w:val="00EF7EED"/>
    <w:rsid w:val="00F00010"/>
    <w:rsid w:val="00F000D3"/>
    <w:rsid w:val="00F0019F"/>
    <w:rsid w:val="00F001FE"/>
    <w:rsid w:val="00F002F3"/>
    <w:rsid w:val="00F00308"/>
    <w:rsid w:val="00F0048F"/>
    <w:rsid w:val="00F0053C"/>
    <w:rsid w:val="00F0056E"/>
    <w:rsid w:val="00F006E1"/>
    <w:rsid w:val="00F00717"/>
    <w:rsid w:val="00F0073F"/>
    <w:rsid w:val="00F0076D"/>
    <w:rsid w:val="00F00840"/>
    <w:rsid w:val="00F0085B"/>
    <w:rsid w:val="00F00909"/>
    <w:rsid w:val="00F009DC"/>
    <w:rsid w:val="00F00B4C"/>
    <w:rsid w:val="00F00BB5"/>
    <w:rsid w:val="00F00C01"/>
    <w:rsid w:val="00F00D55"/>
    <w:rsid w:val="00F00E19"/>
    <w:rsid w:val="00F00E7B"/>
    <w:rsid w:val="00F01006"/>
    <w:rsid w:val="00F011CC"/>
    <w:rsid w:val="00F0123F"/>
    <w:rsid w:val="00F01241"/>
    <w:rsid w:val="00F01278"/>
    <w:rsid w:val="00F01355"/>
    <w:rsid w:val="00F013F9"/>
    <w:rsid w:val="00F014CA"/>
    <w:rsid w:val="00F0157F"/>
    <w:rsid w:val="00F0160B"/>
    <w:rsid w:val="00F019C8"/>
    <w:rsid w:val="00F01A47"/>
    <w:rsid w:val="00F01ADE"/>
    <w:rsid w:val="00F01BE5"/>
    <w:rsid w:val="00F01E92"/>
    <w:rsid w:val="00F01F09"/>
    <w:rsid w:val="00F021C6"/>
    <w:rsid w:val="00F02468"/>
    <w:rsid w:val="00F024AB"/>
    <w:rsid w:val="00F024C9"/>
    <w:rsid w:val="00F024D3"/>
    <w:rsid w:val="00F025A6"/>
    <w:rsid w:val="00F025AC"/>
    <w:rsid w:val="00F025E4"/>
    <w:rsid w:val="00F02871"/>
    <w:rsid w:val="00F0289F"/>
    <w:rsid w:val="00F02A57"/>
    <w:rsid w:val="00F02B1C"/>
    <w:rsid w:val="00F02BC1"/>
    <w:rsid w:val="00F02DB2"/>
    <w:rsid w:val="00F02DEF"/>
    <w:rsid w:val="00F0300C"/>
    <w:rsid w:val="00F030AB"/>
    <w:rsid w:val="00F0324B"/>
    <w:rsid w:val="00F0327F"/>
    <w:rsid w:val="00F036E0"/>
    <w:rsid w:val="00F038CF"/>
    <w:rsid w:val="00F03A1B"/>
    <w:rsid w:val="00F03BB0"/>
    <w:rsid w:val="00F03EC8"/>
    <w:rsid w:val="00F03F21"/>
    <w:rsid w:val="00F03F4A"/>
    <w:rsid w:val="00F03F4C"/>
    <w:rsid w:val="00F03FEC"/>
    <w:rsid w:val="00F04056"/>
    <w:rsid w:val="00F040EB"/>
    <w:rsid w:val="00F0421D"/>
    <w:rsid w:val="00F0428E"/>
    <w:rsid w:val="00F0435F"/>
    <w:rsid w:val="00F044B9"/>
    <w:rsid w:val="00F044EC"/>
    <w:rsid w:val="00F04BD4"/>
    <w:rsid w:val="00F04C77"/>
    <w:rsid w:val="00F04CDA"/>
    <w:rsid w:val="00F04E25"/>
    <w:rsid w:val="00F05017"/>
    <w:rsid w:val="00F0518C"/>
    <w:rsid w:val="00F051A6"/>
    <w:rsid w:val="00F051A7"/>
    <w:rsid w:val="00F051A9"/>
    <w:rsid w:val="00F052CC"/>
    <w:rsid w:val="00F0565F"/>
    <w:rsid w:val="00F056EE"/>
    <w:rsid w:val="00F05792"/>
    <w:rsid w:val="00F05836"/>
    <w:rsid w:val="00F05838"/>
    <w:rsid w:val="00F058EC"/>
    <w:rsid w:val="00F05F3C"/>
    <w:rsid w:val="00F061F5"/>
    <w:rsid w:val="00F0638A"/>
    <w:rsid w:val="00F0641C"/>
    <w:rsid w:val="00F06490"/>
    <w:rsid w:val="00F06822"/>
    <w:rsid w:val="00F06843"/>
    <w:rsid w:val="00F06905"/>
    <w:rsid w:val="00F0692E"/>
    <w:rsid w:val="00F069EC"/>
    <w:rsid w:val="00F06C5D"/>
    <w:rsid w:val="00F06CD4"/>
    <w:rsid w:val="00F06F6C"/>
    <w:rsid w:val="00F070F2"/>
    <w:rsid w:val="00F07644"/>
    <w:rsid w:val="00F076F7"/>
    <w:rsid w:val="00F076FB"/>
    <w:rsid w:val="00F07857"/>
    <w:rsid w:val="00F0794F"/>
    <w:rsid w:val="00F07A0C"/>
    <w:rsid w:val="00F07DF0"/>
    <w:rsid w:val="00F07F7F"/>
    <w:rsid w:val="00F07F83"/>
    <w:rsid w:val="00F10115"/>
    <w:rsid w:val="00F10123"/>
    <w:rsid w:val="00F1016B"/>
    <w:rsid w:val="00F104E8"/>
    <w:rsid w:val="00F105BD"/>
    <w:rsid w:val="00F10815"/>
    <w:rsid w:val="00F1089F"/>
    <w:rsid w:val="00F109C2"/>
    <w:rsid w:val="00F10A05"/>
    <w:rsid w:val="00F10A42"/>
    <w:rsid w:val="00F10A43"/>
    <w:rsid w:val="00F10AAE"/>
    <w:rsid w:val="00F10B02"/>
    <w:rsid w:val="00F10BFD"/>
    <w:rsid w:val="00F10C8E"/>
    <w:rsid w:val="00F10DB2"/>
    <w:rsid w:val="00F10DCF"/>
    <w:rsid w:val="00F11010"/>
    <w:rsid w:val="00F1106A"/>
    <w:rsid w:val="00F11170"/>
    <w:rsid w:val="00F1118F"/>
    <w:rsid w:val="00F11266"/>
    <w:rsid w:val="00F11269"/>
    <w:rsid w:val="00F113D7"/>
    <w:rsid w:val="00F114A7"/>
    <w:rsid w:val="00F114AF"/>
    <w:rsid w:val="00F11549"/>
    <w:rsid w:val="00F1160B"/>
    <w:rsid w:val="00F116FC"/>
    <w:rsid w:val="00F117A3"/>
    <w:rsid w:val="00F11863"/>
    <w:rsid w:val="00F118A9"/>
    <w:rsid w:val="00F118E5"/>
    <w:rsid w:val="00F119D2"/>
    <w:rsid w:val="00F119D8"/>
    <w:rsid w:val="00F11AD1"/>
    <w:rsid w:val="00F11BC7"/>
    <w:rsid w:val="00F11CF5"/>
    <w:rsid w:val="00F11D2A"/>
    <w:rsid w:val="00F11DA2"/>
    <w:rsid w:val="00F11DA7"/>
    <w:rsid w:val="00F11DF5"/>
    <w:rsid w:val="00F11E51"/>
    <w:rsid w:val="00F11EBF"/>
    <w:rsid w:val="00F11FB1"/>
    <w:rsid w:val="00F12101"/>
    <w:rsid w:val="00F1212F"/>
    <w:rsid w:val="00F1228F"/>
    <w:rsid w:val="00F1229F"/>
    <w:rsid w:val="00F12386"/>
    <w:rsid w:val="00F123AC"/>
    <w:rsid w:val="00F12518"/>
    <w:rsid w:val="00F1256C"/>
    <w:rsid w:val="00F12591"/>
    <w:rsid w:val="00F12607"/>
    <w:rsid w:val="00F126BC"/>
    <w:rsid w:val="00F12852"/>
    <w:rsid w:val="00F12969"/>
    <w:rsid w:val="00F12AC4"/>
    <w:rsid w:val="00F12AFD"/>
    <w:rsid w:val="00F12BFA"/>
    <w:rsid w:val="00F12CC9"/>
    <w:rsid w:val="00F12E2E"/>
    <w:rsid w:val="00F12E55"/>
    <w:rsid w:val="00F12E56"/>
    <w:rsid w:val="00F12EE3"/>
    <w:rsid w:val="00F12F9C"/>
    <w:rsid w:val="00F12FF5"/>
    <w:rsid w:val="00F131B7"/>
    <w:rsid w:val="00F133B0"/>
    <w:rsid w:val="00F1347C"/>
    <w:rsid w:val="00F134FD"/>
    <w:rsid w:val="00F13629"/>
    <w:rsid w:val="00F1376D"/>
    <w:rsid w:val="00F138A6"/>
    <w:rsid w:val="00F138DC"/>
    <w:rsid w:val="00F13CDC"/>
    <w:rsid w:val="00F13D53"/>
    <w:rsid w:val="00F13D96"/>
    <w:rsid w:val="00F13F18"/>
    <w:rsid w:val="00F13F22"/>
    <w:rsid w:val="00F13F7D"/>
    <w:rsid w:val="00F1408E"/>
    <w:rsid w:val="00F140E6"/>
    <w:rsid w:val="00F141A2"/>
    <w:rsid w:val="00F143AC"/>
    <w:rsid w:val="00F143ED"/>
    <w:rsid w:val="00F143FA"/>
    <w:rsid w:val="00F14632"/>
    <w:rsid w:val="00F14642"/>
    <w:rsid w:val="00F14731"/>
    <w:rsid w:val="00F1495F"/>
    <w:rsid w:val="00F14A45"/>
    <w:rsid w:val="00F14C38"/>
    <w:rsid w:val="00F14CF9"/>
    <w:rsid w:val="00F14D1A"/>
    <w:rsid w:val="00F14E0E"/>
    <w:rsid w:val="00F14E4D"/>
    <w:rsid w:val="00F14E7A"/>
    <w:rsid w:val="00F14F55"/>
    <w:rsid w:val="00F1502E"/>
    <w:rsid w:val="00F15088"/>
    <w:rsid w:val="00F150D1"/>
    <w:rsid w:val="00F15543"/>
    <w:rsid w:val="00F15603"/>
    <w:rsid w:val="00F15624"/>
    <w:rsid w:val="00F15802"/>
    <w:rsid w:val="00F15838"/>
    <w:rsid w:val="00F15A3B"/>
    <w:rsid w:val="00F15AA4"/>
    <w:rsid w:val="00F15AF9"/>
    <w:rsid w:val="00F15C84"/>
    <w:rsid w:val="00F15CAB"/>
    <w:rsid w:val="00F15D8C"/>
    <w:rsid w:val="00F15D9C"/>
    <w:rsid w:val="00F15F5C"/>
    <w:rsid w:val="00F160B0"/>
    <w:rsid w:val="00F160BB"/>
    <w:rsid w:val="00F16201"/>
    <w:rsid w:val="00F1626F"/>
    <w:rsid w:val="00F1657A"/>
    <w:rsid w:val="00F165CC"/>
    <w:rsid w:val="00F1676B"/>
    <w:rsid w:val="00F16861"/>
    <w:rsid w:val="00F168AB"/>
    <w:rsid w:val="00F169F5"/>
    <w:rsid w:val="00F16AAE"/>
    <w:rsid w:val="00F16B41"/>
    <w:rsid w:val="00F16BCE"/>
    <w:rsid w:val="00F16D26"/>
    <w:rsid w:val="00F16E38"/>
    <w:rsid w:val="00F16E61"/>
    <w:rsid w:val="00F16FA2"/>
    <w:rsid w:val="00F16FF2"/>
    <w:rsid w:val="00F1712C"/>
    <w:rsid w:val="00F1718F"/>
    <w:rsid w:val="00F17219"/>
    <w:rsid w:val="00F1723F"/>
    <w:rsid w:val="00F173C4"/>
    <w:rsid w:val="00F175FC"/>
    <w:rsid w:val="00F17607"/>
    <w:rsid w:val="00F17616"/>
    <w:rsid w:val="00F1766A"/>
    <w:rsid w:val="00F176EC"/>
    <w:rsid w:val="00F1771D"/>
    <w:rsid w:val="00F17845"/>
    <w:rsid w:val="00F17A46"/>
    <w:rsid w:val="00F17B3B"/>
    <w:rsid w:val="00F17B94"/>
    <w:rsid w:val="00F17D4B"/>
    <w:rsid w:val="00F17DE6"/>
    <w:rsid w:val="00F17DEC"/>
    <w:rsid w:val="00F17F29"/>
    <w:rsid w:val="00F17F3C"/>
    <w:rsid w:val="00F17FDD"/>
    <w:rsid w:val="00F20024"/>
    <w:rsid w:val="00F200BC"/>
    <w:rsid w:val="00F20193"/>
    <w:rsid w:val="00F20199"/>
    <w:rsid w:val="00F201D7"/>
    <w:rsid w:val="00F202A3"/>
    <w:rsid w:val="00F202F2"/>
    <w:rsid w:val="00F20663"/>
    <w:rsid w:val="00F20802"/>
    <w:rsid w:val="00F208AA"/>
    <w:rsid w:val="00F208E9"/>
    <w:rsid w:val="00F20931"/>
    <w:rsid w:val="00F20A61"/>
    <w:rsid w:val="00F20A81"/>
    <w:rsid w:val="00F20AF6"/>
    <w:rsid w:val="00F20B69"/>
    <w:rsid w:val="00F20CC8"/>
    <w:rsid w:val="00F20CE2"/>
    <w:rsid w:val="00F20D6C"/>
    <w:rsid w:val="00F20E23"/>
    <w:rsid w:val="00F20FBD"/>
    <w:rsid w:val="00F20FFF"/>
    <w:rsid w:val="00F21028"/>
    <w:rsid w:val="00F21123"/>
    <w:rsid w:val="00F21154"/>
    <w:rsid w:val="00F21260"/>
    <w:rsid w:val="00F213B5"/>
    <w:rsid w:val="00F2145A"/>
    <w:rsid w:val="00F21546"/>
    <w:rsid w:val="00F21549"/>
    <w:rsid w:val="00F21728"/>
    <w:rsid w:val="00F21732"/>
    <w:rsid w:val="00F21959"/>
    <w:rsid w:val="00F219F3"/>
    <w:rsid w:val="00F21A09"/>
    <w:rsid w:val="00F21BF2"/>
    <w:rsid w:val="00F21D26"/>
    <w:rsid w:val="00F21D5B"/>
    <w:rsid w:val="00F21E6C"/>
    <w:rsid w:val="00F21ED1"/>
    <w:rsid w:val="00F21F23"/>
    <w:rsid w:val="00F222C0"/>
    <w:rsid w:val="00F22307"/>
    <w:rsid w:val="00F2236C"/>
    <w:rsid w:val="00F22415"/>
    <w:rsid w:val="00F22459"/>
    <w:rsid w:val="00F2245A"/>
    <w:rsid w:val="00F22462"/>
    <w:rsid w:val="00F224B5"/>
    <w:rsid w:val="00F22BFB"/>
    <w:rsid w:val="00F22EC1"/>
    <w:rsid w:val="00F22F00"/>
    <w:rsid w:val="00F22F14"/>
    <w:rsid w:val="00F23050"/>
    <w:rsid w:val="00F2307D"/>
    <w:rsid w:val="00F23122"/>
    <w:rsid w:val="00F231C4"/>
    <w:rsid w:val="00F23209"/>
    <w:rsid w:val="00F233F7"/>
    <w:rsid w:val="00F234AE"/>
    <w:rsid w:val="00F234BE"/>
    <w:rsid w:val="00F235B5"/>
    <w:rsid w:val="00F237EE"/>
    <w:rsid w:val="00F23937"/>
    <w:rsid w:val="00F2399A"/>
    <w:rsid w:val="00F23A31"/>
    <w:rsid w:val="00F23A62"/>
    <w:rsid w:val="00F23F52"/>
    <w:rsid w:val="00F23F82"/>
    <w:rsid w:val="00F24032"/>
    <w:rsid w:val="00F240EB"/>
    <w:rsid w:val="00F241F3"/>
    <w:rsid w:val="00F24201"/>
    <w:rsid w:val="00F24379"/>
    <w:rsid w:val="00F24449"/>
    <w:rsid w:val="00F24599"/>
    <w:rsid w:val="00F245ED"/>
    <w:rsid w:val="00F247D2"/>
    <w:rsid w:val="00F247E1"/>
    <w:rsid w:val="00F2488D"/>
    <w:rsid w:val="00F24B38"/>
    <w:rsid w:val="00F24BAE"/>
    <w:rsid w:val="00F24CCE"/>
    <w:rsid w:val="00F24DD7"/>
    <w:rsid w:val="00F24F1B"/>
    <w:rsid w:val="00F25111"/>
    <w:rsid w:val="00F25170"/>
    <w:rsid w:val="00F25425"/>
    <w:rsid w:val="00F255B2"/>
    <w:rsid w:val="00F2569B"/>
    <w:rsid w:val="00F256ED"/>
    <w:rsid w:val="00F25721"/>
    <w:rsid w:val="00F2573D"/>
    <w:rsid w:val="00F25772"/>
    <w:rsid w:val="00F259AE"/>
    <w:rsid w:val="00F25A53"/>
    <w:rsid w:val="00F25AAC"/>
    <w:rsid w:val="00F25BD0"/>
    <w:rsid w:val="00F25C10"/>
    <w:rsid w:val="00F25C80"/>
    <w:rsid w:val="00F25CE7"/>
    <w:rsid w:val="00F25D3C"/>
    <w:rsid w:val="00F25E15"/>
    <w:rsid w:val="00F25EC9"/>
    <w:rsid w:val="00F25EE6"/>
    <w:rsid w:val="00F2620D"/>
    <w:rsid w:val="00F2620F"/>
    <w:rsid w:val="00F26252"/>
    <w:rsid w:val="00F26320"/>
    <w:rsid w:val="00F263E9"/>
    <w:rsid w:val="00F2646E"/>
    <w:rsid w:val="00F26682"/>
    <w:rsid w:val="00F266BC"/>
    <w:rsid w:val="00F266D8"/>
    <w:rsid w:val="00F266EB"/>
    <w:rsid w:val="00F26771"/>
    <w:rsid w:val="00F2688D"/>
    <w:rsid w:val="00F268CA"/>
    <w:rsid w:val="00F26997"/>
    <w:rsid w:val="00F26B08"/>
    <w:rsid w:val="00F26B1C"/>
    <w:rsid w:val="00F26D79"/>
    <w:rsid w:val="00F26E16"/>
    <w:rsid w:val="00F2700B"/>
    <w:rsid w:val="00F271A2"/>
    <w:rsid w:val="00F27281"/>
    <w:rsid w:val="00F27335"/>
    <w:rsid w:val="00F27363"/>
    <w:rsid w:val="00F2736E"/>
    <w:rsid w:val="00F2746A"/>
    <w:rsid w:val="00F2747F"/>
    <w:rsid w:val="00F27496"/>
    <w:rsid w:val="00F274B2"/>
    <w:rsid w:val="00F274FB"/>
    <w:rsid w:val="00F27590"/>
    <w:rsid w:val="00F276C5"/>
    <w:rsid w:val="00F277E2"/>
    <w:rsid w:val="00F27841"/>
    <w:rsid w:val="00F27AB4"/>
    <w:rsid w:val="00F27AB9"/>
    <w:rsid w:val="00F27CD7"/>
    <w:rsid w:val="00F27D29"/>
    <w:rsid w:val="00F27D3A"/>
    <w:rsid w:val="00F27E9E"/>
    <w:rsid w:val="00F27FD3"/>
    <w:rsid w:val="00F301A0"/>
    <w:rsid w:val="00F301D3"/>
    <w:rsid w:val="00F303F2"/>
    <w:rsid w:val="00F30546"/>
    <w:rsid w:val="00F30578"/>
    <w:rsid w:val="00F3058E"/>
    <w:rsid w:val="00F306B9"/>
    <w:rsid w:val="00F30706"/>
    <w:rsid w:val="00F307D2"/>
    <w:rsid w:val="00F309ED"/>
    <w:rsid w:val="00F30A0D"/>
    <w:rsid w:val="00F30BDE"/>
    <w:rsid w:val="00F30DFB"/>
    <w:rsid w:val="00F30E62"/>
    <w:rsid w:val="00F30FD9"/>
    <w:rsid w:val="00F31057"/>
    <w:rsid w:val="00F310EA"/>
    <w:rsid w:val="00F313AB"/>
    <w:rsid w:val="00F31448"/>
    <w:rsid w:val="00F31811"/>
    <w:rsid w:val="00F3195C"/>
    <w:rsid w:val="00F31E1C"/>
    <w:rsid w:val="00F31E30"/>
    <w:rsid w:val="00F31FFF"/>
    <w:rsid w:val="00F32055"/>
    <w:rsid w:val="00F32247"/>
    <w:rsid w:val="00F3228A"/>
    <w:rsid w:val="00F3232F"/>
    <w:rsid w:val="00F32345"/>
    <w:rsid w:val="00F3235F"/>
    <w:rsid w:val="00F3236E"/>
    <w:rsid w:val="00F323FD"/>
    <w:rsid w:val="00F3256B"/>
    <w:rsid w:val="00F326D4"/>
    <w:rsid w:val="00F326E1"/>
    <w:rsid w:val="00F32840"/>
    <w:rsid w:val="00F32861"/>
    <w:rsid w:val="00F3286B"/>
    <w:rsid w:val="00F328AC"/>
    <w:rsid w:val="00F32A5A"/>
    <w:rsid w:val="00F32B03"/>
    <w:rsid w:val="00F32B87"/>
    <w:rsid w:val="00F32C41"/>
    <w:rsid w:val="00F32C47"/>
    <w:rsid w:val="00F32C9C"/>
    <w:rsid w:val="00F32D80"/>
    <w:rsid w:val="00F32E91"/>
    <w:rsid w:val="00F32EB7"/>
    <w:rsid w:val="00F33132"/>
    <w:rsid w:val="00F33289"/>
    <w:rsid w:val="00F33297"/>
    <w:rsid w:val="00F33366"/>
    <w:rsid w:val="00F3348D"/>
    <w:rsid w:val="00F334AB"/>
    <w:rsid w:val="00F3350C"/>
    <w:rsid w:val="00F3350E"/>
    <w:rsid w:val="00F33571"/>
    <w:rsid w:val="00F33647"/>
    <w:rsid w:val="00F3394F"/>
    <w:rsid w:val="00F339D4"/>
    <w:rsid w:val="00F339E1"/>
    <w:rsid w:val="00F33AC7"/>
    <w:rsid w:val="00F33B73"/>
    <w:rsid w:val="00F33CDA"/>
    <w:rsid w:val="00F33D12"/>
    <w:rsid w:val="00F33D55"/>
    <w:rsid w:val="00F33D9D"/>
    <w:rsid w:val="00F33E04"/>
    <w:rsid w:val="00F33EA8"/>
    <w:rsid w:val="00F33F0B"/>
    <w:rsid w:val="00F33F19"/>
    <w:rsid w:val="00F33FF2"/>
    <w:rsid w:val="00F34089"/>
    <w:rsid w:val="00F34109"/>
    <w:rsid w:val="00F341E9"/>
    <w:rsid w:val="00F34384"/>
    <w:rsid w:val="00F3443A"/>
    <w:rsid w:val="00F344CF"/>
    <w:rsid w:val="00F34692"/>
    <w:rsid w:val="00F347A1"/>
    <w:rsid w:val="00F3481C"/>
    <w:rsid w:val="00F34A9F"/>
    <w:rsid w:val="00F34AD8"/>
    <w:rsid w:val="00F34CD0"/>
    <w:rsid w:val="00F34D08"/>
    <w:rsid w:val="00F34D10"/>
    <w:rsid w:val="00F34D75"/>
    <w:rsid w:val="00F34EA5"/>
    <w:rsid w:val="00F34EB0"/>
    <w:rsid w:val="00F34F3E"/>
    <w:rsid w:val="00F34F60"/>
    <w:rsid w:val="00F34FA8"/>
    <w:rsid w:val="00F35152"/>
    <w:rsid w:val="00F35357"/>
    <w:rsid w:val="00F35422"/>
    <w:rsid w:val="00F355C9"/>
    <w:rsid w:val="00F35696"/>
    <w:rsid w:val="00F35877"/>
    <w:rsid w:val="00F3588B"/>
    <w:rsid w:val="00F35929"/>
    <w:rsid w:val="00F359CB"/>
    <w:rsid w:val="00F359E4"/>
    <w:rsid w:val="00F35A29"/>
    <w:rsid w:val="00F35ACD"/>
    <w:rsid w:val="00F35B71"/>
    <w:rsid w:val="00F35C59"/>
    <w:rsid w:val="00F35D4E"/>
    <w:rsid w:val="00F35DC1"/>
    <w:rsid w:val="00F35EF8"/>
    <w:rsid w:val="00F35FA1"/>
    <w:rsid w:val="00F36017"/>
    <w:rsid w:val="00F36033"/>
    <w:rsid w:val="00F36069"/>
    <w:rsid w:val="00F360F3"/>
    <w:rsid w:val="00F36104"/>
    <w:rsid w:val="00F361D6"/>
    <w:rsid w:val="00F36214"/>
    <w:rsid w:val="00F3625C"/>
    <w:rsid w:val="00F362FF"/>
    <w:rsid w:val="00F3638D"/>
    <w:rsid w:val="00F36481"/>
    <w:rsid w:val="00F364AE"/>
    <w:rsid w:val="00F364E4"/>
    <w:rsid w:val="00F36828"/>
    <w:rsid w:val="00F36932"/>
    <w:rsid w:val="00F36A10"/>
    <w:rsid w:val="00F36E5C"/>
    <w:rsid w:val="00F36F66"/>
    <w:rsid w:val="00F36FC3"/>
    <w:rsid w:val="00F3703E"/>
    <w:rsid w:val="00F37050"/>
    <w:rsid w:val="00F370DE"/>
    <w:rsid w:val="00F37160"/>
    <w:rsid w:val="00F37173"/>
    <w:rsid w:val="00F372E9"/>
    <w:rsid w:val="00F372FF"/>
    <w:rsid w:val="00F373CA"/>
    <w:rsid w:val="00F373D3"/>
    <w:rsid w:val="00F375E7"/>
    <w:rsid w:val="00F3761F"/>
    <w:rsid w:val="00F3769C"/>
    <w:rsid w:val="00F37749"/>
    <w:rsid w:val="00F37828"/>
    <w:rsid w:val="00F37882"/>
    <w:rsid w:val="00F37914"/>
    <w:rsid w:val="00F379BE"/>
    <w:rsid w:val="00F37A95"/>
    <w:rsid w:val="00F37C2D"/>
    <w:rsid w:val="00F37C94"/>
    <w:rsid w:val="00F37CB7"/>
    <w:rsid w:val="00F40023"/>
    <w:rsid w:val="00F40216"/>
    <w:rsid w:val="00F402B7"/>
    <w:rsid w:val="00F403E6"/>
    <w:rsid w:val="00F40672"/>
    <w:rsid w:val="00F4067D"/>
    <w:rsid w:val="00F4071E"/>
    <w:rsid w:val="00F40732"/>
    <w:rsid w:val="00F4078B"/>
    <w:rsid w:val="00F40965"/>
    <w:rsid w:val="00F40B54"/>
    <w:rsid w:val="00F40B8D"/>
    <w:rsid w:val="00F40E42"/>
    <w:rsid w:val="00F40ED2"/>
    <w:rsid w:val="00F41139"/>
    <w:rsid w:val="00F41350"/>
    <w:rsid w:val="00F41421"/>
    <w:rsid w:val="00F41446"/>
    <w:rsid w:val="00F41470"/>
    <w:rsid w:val="00F414C9"/>
    <w:rsid w:val="00F415A4"/>
    <w:rsid w:val="00F416D1"/>
    <w:rsid w:val="00F41725"/>
    <w:rsid w:val="00F417BA"/>
    <w:rsid w:val="00F4180F"/>
    <w:rsid w:val="00F41811"/>
    <w:rsid w:val="00F41926"/>
    <w:rsid w:val="00F41A24"/>
    <w:rsid w:val="00F41C08"/>
    <w:rsid w:val="00F41DB7"/>
    <w:rsid w:val="00F41F23"/>
    <w:rsid w:val="00F41F69"/>
    <w:rsid w:val="00F41FFB"/>
    <w:rsid w:val="00F421E1"/>
    <w:rsid w:val="00F42213"/>
    <w:rsid w:val="00F4233F"/>
    <w:rsid w:val="00F42448"/>
    <w:rsid w:val="00F4249D"/>
    <w:rsid w:val="00F4252D"/>
    <w:rsid w:val="00F4255C"/>
    <w:rsid w:val="00F425DA"/>
    <w:rsid w:val="00F4265F"/>
    <w:rsid w:val="00F42861"/>
    <w:rsid w:val="00F428C5"/>
    <w:rsid w:val="00F4292D"/>
    <w:rsid w:val="00F42AA6"/>
    <w:rsid w:val="00F42B20"/>
    <w:rsid w:val="00F42BC7"/>
    <w:rsid w:val="00F43061"/>
    <w:rsid w:val="00F43425"/>
    <w:rsid w:val="00F4345D"/>
    <w:rsid w:val="00F43565"/>
    <w:rsid w:val="00F436DB"/>
    <w:rsid w:val="00F4372D"/>
    <w:rsid w:val="00F43796"/>
    <w:rsid w:val="00F437B6"/>
    <w:rsid w:val="00F4380D"/>
    <w:rsid w:val="00F438C1"/>
    <w:rsid w:val="00F43A0A"/>
    <w:rsid w:val="00F43A25"/>
    <w:rsid w:val="00F43B09"/>
    <w:rsid w:val="00F43B0E"/>
    <w:rsid w:val="00F43CA5"/>
    <w:rsid w:val="00F43CA6"/>
    <w:rsid w:val="00F43E2A"/>
    <w:rsid w:val="00F43EEA"/>
    <w:rsid w:val="00F43FFC"/>
    <w:rsid w:val="00F443D5"/>
    <w:rsid w:val="00F443EE"/>
    <w:rsid w:val="00F44440"/>
    <w:rsid w:val="00F4447E"/>
    <w:rsid w:val="00F444C0"/>
    <w:rsid w:val="00F44519"/>
    <w:rsid w:val="00F4452F"/>
    <w:rsid w:val="00F4455A"/>
    <w:rsid w:val="00F44661"/>
    <w:rsid w:val="00F44721"/>
    <w:rsid w:val="00F4474D"/>
    <w:rsid w:val="00F4479A"/>
    <w:rsid w:val="00F447D5"/>
    <w:rsid w:val="00F4486A"/>
    <w:rsid w:val="00F448EA"/>
    <w:rsid w:val="00F44900"/>
    <w:rsid w:val="00F44B77"/>
    <w:rsid w:val="00F44BF9"/>
    <w:rsid w:val="00F44C64"/>
    <w:rsid w:val="00F44DC6"/>
    <w:rsid w:val="00F44E0C"/>
    <w:rsid w:val="00F44EB5"/>
    <w:rsid w:val="00F44FA1"/>
    <w:rsid w:val="00F45038"/>
    <w:rsid w:val="00F4505D"/>
    <w:rsid w:val="00F450BA"/>
    <w:rsid w:val="00F452C6"/>
    <w:rsid w:val="00F452FE"/>
    <w:rsid w:val="00F4534E"/>
    <w:rsid w:val="00F453FB"/>
    <w:rsid w:val="00F454AD"/>
    <w:rsid w:val="00F45534"/>
    <w:rsid w:val="00F4556B"/>
    <w:rsid w:val="00F455AC"/>
    <w:rsid w:val="00F455B7"/>
    <w:rsid w:val="00F45737"/>
    <w:rsid w:val="00F45755"/>
    <w:rsid w:val="00F45973"/>
    <w:rsid w:val="00F459DA"/>
    <w:rsid w:val="00F45A21"/>
    <w:rsid w:val="00F45BBC"/>
    <w:rsid w:val="00F45C97"/>
    <w:rsid w:val="00F45DF3"/>
    <w:rsid w:val="00F45F24"/>
    <w:rsid w:val="00F45FDE"/>
    <w:rsid w:val="00F46002"/>
    <w:rsid w:val="00F460AC"/>
    <w:rsid w:val="00F460FF"/>
    <w:rsid w:val="00F4619D"/>
    <w:rsid w:val="00F461BA"/>
    <w:rsid w:val="00F46410"/>
    <w:rsid w:val="00F46433"/>
    <w:rsid w:val="00F46475"/>
    <w:rsid w:val="00F46487"/>
    <w:rsid w:val="00F464BD"/>
    <w:rsid w:val="00F46595"/>
    <w:rsid w:val="00F465DF"/>
    <w:rsid w:val="00F46737"/>
    <w:rsid w:val="00F46762"/>
    <w:rsid w:val="00F467A6"/>
    <w:rsid w:val="00F46A68"/>
    <w:rsid w:val="00F46BC6"/>
    <w:rsid w:val="00F46CCA"/>
    <w:rsid w:val="00F46D47"/>
    <w:rsid w:val="00F46D8B"/>
    <w:rsid w:val="00F46DA2"/>
    <w:rsid w:val="00F46E48"/>
    <w:rsid w:val="00F46E62"/>
    <w:rsid w:val="00F472CD"/>
    <w:rsid w:val="00F47310"/>
    <w:rsid w:val="00F4732C"/>
    <w:rsid w:val="00F473BA"/>
    <w:rsid w:val="00F47444"/>
    <w:rsid w:val="00F4756F"/>
    <w:rsid w:val="00F47633"/>
    <w:rsid w:val="00F47903"/>
    <w:rsid w:val="00F47906"/>
    <w:rsid w:val="00F4797A"/>
    <w:rsid w:val="00F47AE9"/>
    <w:rsid w:val="00F47BDB"/>
    <w:rsid w:val="00F47CF1"/>
    <w:rsid w:val="00F47D15"/>
    <w:rsid w:val="00F47E4C"/>
    <w:rsid w:val="00F47E66"/>
    <w:rsid w:val="00F47F9B"/>
    <w:rsid w:val="00F50161"/>
    <w:rsid w:val="00F501E1"/>
    <w:rsid w:val="00F50230"/>
    <w:rsid w:val="00F5043C"/>
    <w:rsid w:val="00F507BF"/>
    <w:rsid w:val="00F507D2"/>
    <w:rsid w:val="00F50846"/>
    <w:rsid w:val="00F50C3F"/>
    <w:rsid w:val="00F50CA9"/>
    <w:rsid w:val="00F50CFE"/>
    <w:rsid w:val="00F50E3B"/>
    <w:rsid w:val="00F50EF5"/>
    <w:rsid w:val="00F50FA7"/>
    <w:rsid w:val="00F51186"/>
    <w:rsid w:val="00F51542"/>
    <w:rsid w:val="00F51574"/>
    <w:rsid w:val="00F515E0"/>
    <w:rsid w:val="00F51926"/>
    <w:rsid w:val="00F51A8E"/>
    <w:rsid w:val="00F51C14"/>
    <w:rsid w:val="00F51C90"/>
    <w:rsid w:val="00F51CFE"/>
    <w:rsid w:val="00F52034"/>
    <w:rsid w:val="00F520EF"/>
    <w:rsid w:val="00F5236B"/>
    <w:rsid w:val="00F52453"/>
    <w:rsid w:val="00F524BC"/>
    <w:rsid w:val="00F525A4"/>
    <w:rsid w:val="00F525E3"/>
    <w:rsid w:val="00F5264A"/>
    <w:rsid w:val="00F527FB"/>
    <w:rsid w:val="00F528FA"/>
    <w:rsid w:val="00F52A95"/>
    <w:rsid w:val="00F52B04"/>
    <w:rsid w:val="00F52B78"/>
    <w:rsid w:val="00F52C7A"/>
    <w:rsid w:val="00F52C87"/>
    <w:rsid w:val="00F52C8C"/>
    <w:rsid w:val="00F52DFB"/>
    <w:rsid w:val="00F52E3D"/>
    <w:rsid w:val="00F52E9A"/>
    <w:rsid w:val="00F52EE4"/>
    <w:rsid w:val="00F531B5"/>
    <w:rsid w:val="00F531FE"/>
    <w:rsid w:val="00F53377"/>
    <w:rsid w:val="00F53449"/>
    <w:rsid w:val="00F534B4"/>
    <w:rsid w:val="00F534FD"/>
    <w:rsid w:val="00F53556"/>
    <w:rsid w:val="00F5357E"/>
    <w:rsid w:val="00F5362A"/>
    <w:rsid w:val="00F53666"/>
    <w:rsid w:val="00F536DC"/>
    <w:rsid w:val="00F53832"/>
    <w:rsid w:val="00F538EE"/>
    <w:rsid w:val="00F539E1"/>
    <w:rsid w:val="00F53ADE"/>
    <w:rsid w:val="00F53AE9"/>
    <w:rsid w:val="00F53AFB"/>
    <w:rsid w:val="00F53B56"/>
    <w:rsid w:val="00F53CD5"/>
    <w:rsid w:val="00F53DA1"/>
    <w:rsid w:val="00F53EAB"/>
    <w:rsid w:val="00F53ED2"/>
    <w:rsid w:val="00F53EDB"/>
    <w:rsid w:val="00F5409A"/>
    <w:rsid w:val="00F540F3"/>
    <w:rsid w:val="00F5410A"/>
    <w:rsid w:val="00F54111"/>
    <w:rsid w:val="00F54183"/>
    <w:rsid w:val="00F541FB"/>
    <w:rsid w:val="00F54221"/>
    <w:rsid w:val="00F54305"/>
    <w:rsid w:val="00F543C8"/>
    <w:rsid w:val="00F54457"/>
    <w:rsid w:val="00F544F1"/>
    <w:rsid w:val="00F54521"/>
    <w:rsid w:val="00F54611"/>
    <w:rsid w:val="00F54805"/>
    <w:rsid w:val="00F5482A"/>
    <w:rsid w:val="00F54B31"/>
    <w:rsid w:val="00F54D71"/>
    <w:rsid w:val="00F54FEC"/>
    <w:rsid w:val="00F550AB"/>
    <w:rsid w:val="00F55241"/>
    <w:rsid w:val="00F5541F"/>
    <w:rsid w:val="00F5555C"/>
    <w:rsid w:val="00F555D5"/>
    <w:rsid w:val="00F55631"/>
    <w:rsid w:val="00F5573C"/>
    <w:rsid w:val="00F557D5"/>
    <w:rsid w:val="00F5586F"/>
    <w:rsid w:val="00F559D3"/>
    <w:rsid w:val="00F55A13"/>
    <w:rsid w:val="00F55A20"/>
    <w:rsid w:val="00F55B47"/>
    <w:rsid w:val="00F55D1B"/>
    <w:rsid w:val="00F55DB3"/>
    <w:rsid w:val="00F56127"/>
    <w:rsid w:val="00F562E2"/>
    <w:rsid w:val="00F56436"/>
    <w:rsid w:val="00F56462"/>
    <w:rsid w:val="00F5659D"/>
    <w:rsid w:val="00F566EF"/>
    <w:rsid w:val="00F5689C"/>
    <w:rsid w:val="00F568D0"/>
    <w:rsid w:val="00F568F3"/>
    <w:rsid w:val="00F568FF"/>
    <w:rsid w:val="00F56963"/>
    <w:rsid w:val="00F56981"/>
    <w:rsid w:val="00F56989"/>
    <w:rsid w:val="00F56A9F"/>
    <w:rsid w:val="00F56D3A"/>
    <w:rsid w:val="00F56E15"/>
    <w:rsid w:val="00F57056"/>
    <w:rsid w:val="00F57085"/>
    <w:rsid w:val="00F570DF"/>
    <w:rsid w:val="00F570F1"/>
    <w:rsid w:val="00F57242"/>
    <w:rsid w:val="00F57335"/>
    <w:rsid w:val="00F5738F"/>
    <w:rsid w:val="00F57401"/>
    <w:rsid w:val="00F57456"/>
    <w:rsid w:val="00F574A8"/>
    <w:rsid w:val="00F574AC"/>
    <w:rsid w:val="00F577A9"/>
    <w:rsid w:val="00F578DB"/>
    <w:rsid w:val="00F57A3D"/>
    <w:rsid w:val="00F57BA1"/>
    <w:rsid w:val="00F57C54"/>
    <w:rsid w:val="00F57C88"/>
    <w:rsid w:val="00F57CD1"/>
    <w:rsid w:val="00F60031"/>
    <w:rsid w:val="00F6004E"/>
    <w:rsid w:val="00F60052"/>
    <w:rsid w:val="00F600CF"/>
    <w:rsid w:val="00F600D4"/>
    <w:rsid w:val="00F60155"/>
    <w:rsid w:val="00F6035C"/>
    <w:rsid w:val="00F603E2"/>
    <w:rsid w:val="00F60442"/>
    <w:rsid w:val="00F60498"/>
    <w:rsid w:val="00F6053C"/>
    <w:rsid w:val="00F60631"/>
    <w:rsid w:val="00F6081A"/>
    <w:rsid w:val="00F60840"/>
    <w:rsid w:val="00F60BD9"/>
    <w:rsid w:val="00F60C0B"/>
    <w:rsid w:val="00F60CF6"/>
    <w:rsid w:val="00F60F54"/>
    <w:rsid w:val="00F611B7"/>
    <w:rsid w:val="00F611CD"/>
    <w:rsid w:val="00F61287"/>
    <w:rsid w:val="00F61432"/>
    <w:rsid w:val="00F61482"/>
    <w:rsid w:val="00F614DB"/>
    <w:rsid w:val="00F6159F"/>
    <w:rsid w:val="00F61670"/>
    <w:rsid w:val="00F618AD"/>
    <w:rsid w:val="00F61B27"/>
    <w:rsid w:val="00F61B43"/>
    <w:rsid w:val="00F61B67"/>
    <w:rsid w:val="00F61BA2"/>
    <w:rsid w:val="00F61CF3"/>
    <w:rsid w:val="00F61D4B"/>
    <w:rsid w:val="00F61F60"/>
    <w:rsid w:val="00F61FC7"/>
    <w:rsid w:val="00F62098"/>
    <w:rsid w:val="00F6209E"/>
    <w:rsid w:val="00F62120"/>
    <w:rsid w:val="00F62515"/>
    <w:rsid w:val="00F62547"/>
    <w:rsid w:val="00F62604"/>
    <w:rsid w:val="00F62635"/>
    <w:rsid w:val="00F626A6"/>
    <w:rsid w:val="00F627A6"/>
    <w:rsid w:val="00F62818"/>
    <w:rsid w:val="00F62889"/>
    <w:rsid w:val="00F628D4"/>
    <w:rsid w:val="00F628F7"/>
    <w:rsid w:val="00F6293A"/>
    <w:rsid w:val="00F62954"/>
    <w:rsid w:val="00F62F26"/>
    <w:rsid w:val="00F62F96"/>
    <w:rsid w:val="00F62FC8"/>
    <w:rsid w:val="00F6307A"/>
    <w:rsid w:val="00F631CE"/>
    <w:rsid w:val="00F631F1"/>
    <w:rsid w:val="00F631F5"/>
    <w:rsid w:val="00F632B3"/>
    <w:rsid w:val="00F632DB"/>
    <w:rsid w:val="00F6341C"/>
    <w:rsid w:val="00F6347F"/>
    <w:rsid w:val="00F634DD"/>
    <w:rsid w:val="00F635A0"/>
    <w:rsid w:val="00F6391A"/>
    <w:rsid w:val="00F63AB2"/>
    <w:rsid w:val="00F63B06"/>
    <w:rsid w:val="00F63C1C"/>
    <w:rsid w:val="00F63C6D"/>
    <w:rsid w:val="00F63C7C"/>
    <w:rsid w:val="00F63D22"/>
    <w:rsid w:val="00F63EC9"/>
    <w:rsid w:val="00F63F1F"/>
    <w:rsid w:val="00F63FEF"/>
    <w:rsid w:val="00F6420E"/>
    <w:rsid w:val="00F6426A"/>
    <w:rsid w:val="00F642E4"/>
    <w:rsid w:val="00F6432A"/>
    <w:rsid w:val="00F643AA"/>
    <w:rsid w:val="00F64405"/>
    <w:rsid w:val="00F646F3"/>
    <w:rsid w:val="00F647A8"/>
    <w:rsid w:val="00F64804"/>
    <w:rsid w:val="00F649A0"/>
    <w:rsid w:val="00F64A01"/>
    <w:rsid w:val="00F64AFD"/>
    <w:rsid w:val="00F64C1C"/>
    <w:rsid w:val="00F64C86"/>
    <w:rsid w:val="00F64E7A"/>
    <w:rsid w:val="00F64F61"/>
    <w:rsid w:val="00F64FAA"/>
    <w:rsid w:val="00F6506D"/>
    <w:rsid w:val="00F6508C"/>
    <w:rsid w:val="00F650F0"/>
    <w:rsid w:val="00F6528C"/>
    <w:rsid w:val="00F6530C"/>
    <w:rsid w:val="00F65310"/>
    <w:rsid w:val="00F653F3"/>
    <w:rsid w:val="00F65585"/>
    <w:rsid w:val="00F6562C"/>
    <w:rsid w:val="00F6572D"/>
    <w:rsid w:val="00F657AC"/>
    <w:rsid w:val="00F657FC"/>
    <w:rsid w:val="00F65813"/>
    <w:rsid w:val="00F658B2"/>
    <w:rsid w:val="00F658FF"/>
    <w:rsid w:val="00F65920"/>
    <w:rsid w:val="00F659BC"/>
    <w:rsid w:val="00F65A29"/>
    <w:rsid w:val="00F65ABF"/>
    <w:rsid w:val="00F65AD3"/>
    <w:rsid w:val="00F65BC5"/>
    <w:rsid w:val="00F65C68"/>
    <w:rsid w:val="00F65F3D"/>
    <w:rsid w:val="00F65FD1"/>
    <w:rsid w:val="00F66028"/>
    <w:rsid w:val="00F661ED"/>
    <w:rsid w:val="00F66313"/>
    <w:rsid w:val="00F663A6"/>
    <w:rsid w:val="00F66443"/>
    <w:rsid w:val="00F665E3"/>
    <w:rsid w:val="00F66822"/>
    <w:rsid w:val="00F668CE"/>
    <w:rsid w:val="00F66A02"/>
    <w:rsid w:val="00F66A51"/>
    <w:rsid w:val="00F66AFB"/>
    <w:rsid w:val="00F66E13"/>
    <w:rsid w:val="00F66E97"/>
    <w:rsid w:val="00F66EB4"/>
    <w:rsid w:val="00F66FAE"/>
    <w:rsid w:val="00F67006"/>
    <w:rsid w:val="00F6702B"/>
    <w:rsid w:val="00F6719F"/>
    <w:rsid w:val="00F671AA"/>
    <w:rsid w:val="00F67257"/>
    <w:rsid w:val="00F67396"/>
    <w:rsid w:val="00F673AF"/>
    <w:rsid w:val="00F67516"/>
    <w:rsid w:val="00F67675"/>
    <w:rsid w:val="00F677D2"/>
    <w:rsid w:val="00F6780C"/>
    <w:rsid w:val="00F6783A"/>
    <w:rsid w:val="00F67867"/>
    <w:rsid w:val="00F67886"/>
    <w:rsid w:val="00F678B9"/>
    <w:rsid w:val="00F67BA2"/>
    <w:rsid w:val="00F67E8A"/>
    <w:rsid w:val="00F67FF9"/>
    <w:rsid w:val="00F7006F"/>
    <w:rsid w:val="00F701CB"/>
    <w:rsid w:val="00F701E7"/>
    <w:rsid w:val="00F705D4"/>
    <w:rsid w:val="00F707F2"/>
    <w:rsid w:val="00F7093C"/>
    <w:rsid w:val="00F70B05"/>
    <w:rsid w:val="00F70BDD"/>
    <w:rsid w:val="00F70C53"/>
    <w:rsid w:val="00F70EBA"/>
    <w:rsid w:val="00F71179"/>
    <w:rsid w:val="00F711BA"/>
    <w:rsid w:val="00F71309"/>
    <w:rsid w:val="00F7154F"/>
    <w:rsid w:val="00F71718"/>
    <w:rsid w:val="00F71928"/>
    <w:rsid w:val="00F7193F"/>
    <w:rsid w:val="00F719F1"/>
    <w:rsid w:val="00F71A5E"/>
    <w:rsid w:val="00F71B67"/>
    <w:rsid w:val="00F71BD8"/>
    <w:rsid w:val="00F71C74"/>
    <w:rsid w:val="00F71DE5"/>
    <w:rsid w:val="00F71DEC"/>
    <w:rsid w:val="00F71F7C"/>
    <w:rsid w:val="00F71F84"/>
    <w:rsid w:val="00F72133"/>
    <w:rsid w:val="00F72237"/>
    <w:rsid w:val="00F722E5"/>
    <w:rsid w:val="00F723C6"/>
    <w:rsid w:val="00F723EA"/>
    <w:rsid w:val="00F724B2"/>
    <w:rsid w:val="00F72634"/>
    <w:rsid w:val="00F727D9"/>
    <w:rsid w:val="00F7283F"/>
    <w:rsid w:val="00F72AF2"/>
    <w:rsid w:val="00F72C0E"/>
    <w:rsid w:val="00F72C7E"/>
    <w:rsid w:val="00F72DDD"/>
    <w:rsid w:val="00F72E49"/>
    <w:rsid w:val="00F72F09"/>
    <w:rsid w:val="00F72F4C"/>
    <w:rsid w:val="00F7304A"/>
    <w:rsid w:val="00F73259"/>
    <w:rsid w:val="00F7325B"/>
    <w:rsid w:val="00F73378"/>
    <w:rsid w:val="00F733D4"/>
    <w:rsid w:val="00F734B4"/>
    <w:rsid w:val="00F73521"/>
    <w:rsid w:val="00F73586"/>
    <w:rsid w:val="00F735F7"/>
    <w:rsid w:val="00F7367F"/>
    <w:rsid w:val="00F73A3F"/>
    <w:rsid w:val="00F73B0C"/>
    <w:rsid w:val="00F73CDF"/>
    <w:rsid w:val="00F73DE4"/>
    <w:rsid w:val="00F73E0B"/>
    <w:rsid w:val="00F740CF"/>
    <w:rsid w:val="00F740D7"/>
    <w:rsid w:val="00F741E8"/>
    <w:rsid w:val="00F7425A"/>
    <w:rsid w:val="00F742AD"/>
    <w:rsid w:val="00F74645"/>
    <w:rsid w:val="00F74734"/>
    <w:rsid w:val="00F74855"/>
    <w:rsid w:val="00F74944"/>
    <w:rsid w:val="00F74CA6"/>
    <w:rsid w:val="00F74CD4"/>
    <w:rsid w:val="00F74FE3"/>
    <w:rsid w:val="00F7509D"/>
    <w:rsid w:val="00F7518B"/>
    <w:rsid w:val="00F75197"/>
    <w:rsid w:val="00F75393"/>
    <w:rsid w:val="00F7539E"/>
    <w:rsid w:val="00F7565C"/>
    <w:rsid w:val="00F756BD"/>
    <w:rsid w:val="00F757E3"/>
    <w:rsid w:val="00F75841"/>
    <w:rsid w:val="00F75868"/>
    <w:rsid w:val="00F758AB"/>
    <w:rsid w:val="00F758CB"/>
    <w:rsid w:val="00F75973"/>
    <w:rsid w:val="00F75A0E"/>
    <w:rsid w:val="00F75B34"/>
    <w:rsid w:val="00F75D8D"/>
    <w:rsid w:val="00F75DF2"/>
    <w:rsid w:val="00F76010"/>
    <w:rsid w:val="00F7615D"/>
    <w:rsid w:val="00F76451"/>
    <w:rsid w:val="00F764CB"/>
    <w:rsid w:val="00F765EC"/>
    <w:rsid w:val="00F766BD"/>
    <w:rsid w:val="00F76731"/>
    <w:rsid w:val="00F76823"/>
    <w:rsid w:val="00F76A90"/>
    <w:rsid w:val="00F76CEB"/>
    <w:rsid w:val="00F76D77"/>
    <w:rsid w:val="00F76DEE"/>
    <w:rsid w:val="00F76EEA"/>
    <w:rsid w:val="00F7722F"/>
    <w:rsid w:val="00F77313"/>
    <w:rsid w:val="00F7735B"/>
    <w:rsid w:val="00F77373"/>
    <w:rsid w:val="00F77423"/>
    <w:rsid w:val="00F7753E"/>
    <w:rsid w:val="00F775ED"/>
    <w:rsid w:val="00F77666"/>
    <w:rsid w:val="00F77963"/>
    <w:rsid w:val="00F779AF"/>
    <w:rsid w:val="00F779C7"/>
    <w:rsid w:val="00F77AA6"/>
    <w:rsid w:val="00F77ADE"/>
    <w:rsid w:val="00F77AE6"/>
    <w:rsid w:val="00F77E8D"/>
    <w:rsid w:val="00F77F09"/>
    <w:rsid w:val="00F77F87"/>
    <w:rsid w:val="00F8018D"/>
    <w:rsid w:val="00F8030D"/>
    <w:rsid w:val="00F803D3"/>
    <w:rsid w:val="00F80597"/>
    <w:rsid w:val="00F80764"/>
    <w:rsid w:val="00F80928"/>
    <w:rsid w:val="00F80948"/>
    <w:rsid w:val="00F80975"/>
    <w:rsid w:val="00F80983"/>
    <w:rsid w:val="00F8099A"/>
    <w:rsid w:val="00F809CD"/>
    <w:rsid w:val="00F80A26"/>
    <w:rsid w:val="00F80A66"/>
    <w:rsid w:val="00F80BDE"/>
    <w:rsid w:val="00F80C9C"/>
    <w:rsid w:val="00F80CD7"/>
    <w:rsid w:val="00F80D3D"/>
    <w:rsid w:val="00F80ECD"/>
    <w:rsid w:val="00F80F5E"/>
    <w:rsid w:val="00F80F95"/>
    <w:rsid w:val="00F81043"/>
    <w:rsid w:val="00F8115B"/>
    <w:rsid w:val="00F81227"/>
    <w:rsid w:val="00F8124F"/>
    <w:rsid w:val="00F812B8"/>
    <w:rsid w:val="00F8145E"/>
    <w:rsid w:val="00F81534"/>
    <w:rsid w:val="00F815D5"/>
    <w:rsid w:val="00F815D6"/>
    <w:rsid w:val="00F81606"/>
    <w:rsid w:val="00F81751"/>
    <w:rsid w:val="00F817DA"/>
    <w:rsid w:val="00F81928"/>
    <w:rsid w:val="00F81B1A"/>
    <w:rsid w:val="00F81BBC"/>
    <w:rsid w:val="00F81C13"/>
    <w:rsid w:val="00F81C4D"/>
    <w:rsid w:val="00F81F54"/>
    <w:rsid w:val="00F81FB1"/>
    <w:rsid w:val="00F82002"/>
    <w:rsid w:val="00F820CE"/>
    <w:rsid w:val="00F82113"/>
    <w:rsid w:val="00F8224E"/>
    <w:rsid w:val="00F829A1"/>
    <w:rsid w:val="00F829AA"/>
    <w:rsid w:val="00F82B72"/>
    <w:rsid w:val="00F82BC3"/>
    <w:rsid w:val="00F82D9B"/>
    <w:rsid w:val="00F82DAC"/>
    <w:rsid w:val="00F8300C"/>
    <w:rsid w:val="00F8306E"/>
    <w:rsid w:val="00F8307E"/>
    <w:rsid w:val="00F83112"/>
    <w:rsid w:val="00F831BD"/>
    <w:rsid w:val="00F832B6"/>
    <w:rsid w:val="00F832DD"/>
    <w:rsid w:val="00F832E8"/>
    <w:rsid w:val="00F8339D"/>
    <w:rsid w:val="00F8348A"/>
    <w:rsid w:val="00F835F5"/>
    <w:rsid w:val="00F836F6"/>
    <w:rsid w:val="00F8377F"/>
    <w:rsid w:val="00F838F9"/>
    <w:rsid w:val="00F8392D"/>
    <w:rsid w:val="00F839B3"/>
    <w:rsid w:val="00F839DC"/>
    <w:rsid w:val="00F83A58"/>
    <w:rsid w:val="00F83A5F"/>
    <w:rsid w:val="00F83A83"/>
    <w:rsid w:val="00F83B14"/>
    <w:rsid w:val="00F83CDB"/>
    <w:rsid w:val="00F83DF9"/>
    <w:rsid w:val="00F83EA9"/>
    <w:rsid w:val="00F83EB7"/>
    <w:rsid w:val="00F83EED"/>
    <w:rsid w:val="00F83EF3"/>
    <w:rsid w:val="00F83FA0"/>
    <w:rsid w:val="00F8409F"/>
    <w:rsid w:val="00F84173"/>
    <w:rsid w:val="00F84331"/>
    <w:rsid w:val="00F847DC"/>
    <w:rsid w:val="00F849CC"/>
    <w:rsid w:val="00F84A6D"/>
    <w:rsid w:val="00F84AE9"/>
    <w:rsid w:val="00F84B9A"/>
    <w:rsid w:val="00F84E62"/>
    <w:rsid w:val="00F84EBA"/>
    <w:rsid w:val="00F8514F"/>
    <w:rsid w:val="00F851A1"/>
    <w:rsid w:val="00F851AC"/>
    <w:rsid w:val="00F855E5"/>
    <w:rsid w:val="00F856E8"/>
    <w:rsid w:val="00F85731"/>
    <w:rsid w:val="00F85732"/>
    <w:rsid w:val="00F8575D"/>
    <w:rsid w:val="00F8575F"/>
    <w:rsid w:val="00F85838"/>
    <w:rsid w:val="00F858F3"/>
    <w:rsid w:val="00F85929"/>
    <w:rsid w:val="00F859B4"/>
    <w:rsid w:val="00F85CC2"/>
    <w:rsid w:val="00F85CDC"/>
    <w:rsid w:val="00F85D98"/>
    <w:rsid w:val="00F85E2C"/>
    <w:rsid w:val="00F85F89"/>
    <w:rsid w:val="00F85FA1"/>
    <w:rsid w:val="00F86082"/>
    <w:rsid w:val="00F860ED"/>
    <w:rsid w:val="00F8633F"/>
    <w:rsid w:val="00F86385"/>
    <w:rsid w:val="00F8647E"/>
    <w:rsid w:val="00F864A5"/>
    <w:rsid w:val="00F864AA"/>
    <w:rsid w:val="00F864EA"/>
    <w:rsid w:val="00F865A9"/>
    <w:rsid w:val="00F8663F"/>
    <w:rsid w:val="00F866CF"/>
    <w:rsid w:val="00F86701"/>
    <w:rsid w:val="00F8682A"/>
    <w:rsid w:val="00F8690C"/>
    <w:rsid w:val="00F86968"/>
    <w:rsid w:val="00F86A98"/>
    <w:rsid w:val="00F86AE6"/>
    <w:rsid w:val="00F86F0A"/>
    <w:rsid w:val="00F8708E"/>
    <w:rsid w:val="00F874E6"/>
    <w:rsid w:val="00F877ED"/>
    <w:rsid w:val="00F87829"/>
    <w:rsid w:val="00F879B1"/>
    <w:rsid w:val="00F87BF3"/>
    <w:rsid w:val="00F87BF7"/>
    <w:rsid w:val="00F90032"/>
    <w:rsid w:val="00F9008A"/>
    <w:rsid w:val="00F900F6"/>
    <w:rsid w:val="00F90256"/>
    <w:rsid w:val="00F903B6"/>
    <w:rsid w:val="00F9059C"/>
    <w:rsid w:val="00F90616"/>
    <w:rsid w:val="00F90637"/>
    <w:rsid w:val="00F907CE"/>
    <w:rsid w:val="00F90823"/>
    <w:rsid w:val="00F90845"/>
    <w:rsid w:val="00F90865"/>
    <w:rsid w:val="00F90BBB"/>
    <w:rsid w:val="00F90C06"/>
    <w:rsid w:val="00F90D11"/>
    <w:rsid w:val="00F91185"/>
    <w:rsid w:val="00F911B8"/>
    <w:rsid w:val="00F912B8"/>
    <w:rsid w:val="00F9130C"/>
    <w:rsid w:val="00F9137A"/>
    <w:rsid w:val="00F9140F"/>
    <w:rsid w:val="00F91489"/>
    <w:rsid w:val="00F9160E"/>
    <w:rsid w:val="00F91637"/>
    <w:rsid w:val="00F91719"/>
    <w:rsid w:val="00F9176B"/>
    <w:rsid w:val="00F917C1"/>
    <w:rsid w:val="00F918E6"/>
    <w:rsid w:val="00F9194B"/>
    <w:rsid w:val="00F91A95"/>
    <w:rsid w:val="00F91A9F"/>
    <w:rsid w:val="00F91AFD"/>
    <w:rsid w:val="00F91B80"/>
    <w:rsid w:val="00F91BD1"/>
    <w:rsid w:val="00F91C32"/>
    <w:rsid w:val="00F91E14"/>
    <w:rsid w:val="00F91E17"/>
    <w:rsid w:val="00F920A4"/>
    <w:rsid w:val="00F921BB"/>
    <w:rsid w:val="00F921C7"/>
    <w:rsid w:val="00F9234F"/>
    <w:rsid w:val="00F92742"/>
    <w:rsid w:val="00F929B4"/>
    <w:rsid w:val="00F92A10"/>
    <w:rsid w:val="00F92AE3"/>
    <w:rsid w:val="00F92B5D"/>
    <w:rsid w:val="00F92BC6"/>
    <w:rsid w:val="00F92FDF"/>
    <w:rsid w:val="00F93363"/>
    <w:rsid w:val="00F93691"/>
    <w:rsid w:val="00F936BA"/>
    <w:rsid w:val="00F93724"/>
    <w:rsid w:val="00F9374F"/>
    <w:rsid w:val="00F93826"/>
    <w:rsid w:val="00F9383E"/>
    <w:rsid w:val="00F939DD"/>
    <w:rsid w:val="00F93C2F"/>
    <w:rsid w:val="00F93D4D"/>
    <w:rsid w:val="00F93FA8"/>
    <w:rsid w:val="00F94158"/>
    <w:rsid w:val="00F941BC"/>
    <w:rsid w:val="00F94261"/>
    <w:rsid w:val="00F942D4"/>
    <w:rsid w:val="00F9431F"/>
    <w:rsid w:val="00F943B7"/>
    <w:rsid w:val="00F94550"/>
    <w:rsid w:val="00F94648"/>
    <w:rsid w:val="00F94661"/>
    <w:rsid w:val="00F949F7"/>
    <w:rsid w:val="00F94A6C"/>
    <w:rsid w:val="00F94B33"/>
    <w:rsid w:val="00F94BD4"/>
    <w:rsid w:val="00F94C50"/>
    <w:rsid w:val="00F94D5E"/>
    <w:rsid w:val="00F94E40"/>
    <w:rsid w:val="00F94FDF"/>
    <w:rsid w:val="00F9501A"/>
    <w:rsid w:val="00F950E2"/>
    <w:rsid w:val="00F95186"/>
    <w:rsid w:val="00F951EC"/>
    <w:rsid w:val="00F953D0"/>
    <w:rsid w:val="00F953ED"/>
    <w:rsid w:val="00F95494"/>
    <w:rsid w:val="00F9578C"/>
    <w:rsid w:val="00F957EC"/>
    <w:rsid w:val="00F95807"/>
    <w:rsid w:val="00F9585D"/>
    <w:rsid w:val="00F959E4"/>
    <w:rsid w:val="00F95AD5"/>
    <w:rsid w:val="00F95C92"/>
    <w:rsid w:val="00F95D17"/>
    <w:rsid w:val="00F95DFE"/>
    <w:rsid w:val="00F95E17"/>
    <w:rsid w:val="00F95F6E"/>
    <w:rsid w:val="00F96280"/>
    <w:rsid w:val="00F96322"/>
    <w:rsid w:val="00F96391"/>
    <w:rsid w:val="00F9646D"/>
    <w:rsid w:val="00F9651B"/>
    <w:rsid w:val="00F96629"/>
    <w:rsid w:val="00F9673B"/>
    <w:rsid w:val="00F96773"/>
    <w:rsid w:val="00F9687B"/>
    <w:rsid w:val="00F968F7"/>
    <w:rsid w:val="00F96900"/>
    <w:rsid w:val="00F9690E"/>
    <w:rsid w:val="00F96AE2"/>
    <w:rsid w:val="00F96B83"/>
    <w:rsid w:val="00F96BBB"/>
    <w:rsid w:val="00F96D46"/>
    <w:rsid w:val="00F96E5A"/>
    <w:rsid w:val="00F96EB7"/>
    <w:rsid w:val="00F96EDB"/>
    <w:rsid w:val="00F9739A"/>
    <w:rsid w:val="00F973A3"/>
    <w:rsid w:val="00F974B6"/>
    <w:rsid w:val="00F974E3"/>
    <w:rsid w:val="00F97595"/>
    <w:rsid w:val="00F97852"/>
    <w:rsid w:val="00F97866"/>
    <w:rsid w:val="00F978BF"/>
    <w:rsid w:val="00F97954"/>
    <w:rsid w:val="00F97A3F"/>
    <w:rsid w:val="00F97AB9"/>
    <w:rsid w:val="00F97ADF"/>
    <w:rsid w:val="00F97B0A"/>
    <w:rsid w:val="00F97BB9"/>
    <w:rsid w:val="00F97CDF"/>
    <w:rsid w:val="00F97CEA"/>
    <w:rsid w:val="00F97D80"/>
    <w:rsid w:val="00F97EF9"/>
    <w:rsid w:val="00F97F3A"/>
    <w:rsid w:val="00F97F48"/>
    <w:rsid w:val="00F97F5D"/>
    <w:rsid w:val="00F97FCC"/>
    <w:rsid w:val="00FA00FF"/>
    <w:rsid w:val="00FA02A5"/>
    <w:rsid w:val="00FA0374"/>
    <w:rsid w:val="00FA05D0"/>
    <w:rsid w:val="00FA087A"/>
    <w:rsid w:val="00FA090F"/>
    <w:rsid w:val="00FA09AA"/>
    <w:rsid w:val="00FA09AC"/>
    <w:rsid w:val="00FA0D06"/>
    <w:rsid w:val="00FA0DB8"/>
    <w:rsid w:val="00FA0F2E"/>
    <w:rsid w:val="00FA113D"/>
    <w:rsid w:val="00FA11F8"/>
    <w:rsid w:val="00FA1316"/>
    <w:rsid w:val="00FA13CA"/>
    <w:rsid w:val="00FA14EF"/>
    <w:rsid w:val="00FA151C"/>
    <w:rsid w:val="00FA1539"/>
    <w:rsid w:val="00FA15D5"/>
    <w:rsid w:val="00FA1691"/>
    <w:rsid w:val="00FA16CE"/>
    <w:rsid w:val="00FA182F"/>
    <w:rsid w:val="00FA18D5"/>
    <w:rsid w:val="00FA190E"/>
    <w:rsid w:val="00FA1B45"/>
    <w:rsid w:val="00FA1D63"/>
    <w:rsid w:val="00FA1E75"/>
    <w:rsid w:val="00FA1EE4"/>
    <w:rsid w:val="00FA1F63"/>
    <w:rsid w:val="00FA20D4"/>
    <w:rsid w:val="00FA2418"/>
    <w:rsid w:val="00FA2453"/>
    <w:rsid w:val="00FA25FF"/>
    <w:rsid w:val="00FA26E1"/>
    <w:rsid w:val="00FA27CC"/>
    <w:rsid w:val="00FA2887"/>
    <w:rsid w:val="00FA28C4"/>
    <w:rsid w:val="00FA29EF"/>
    <w:rsid w:val="00FA29FD"/>
    <w:rsid w:val="00FA2A08"/>
    <w:rsid w:val="00FA2A49"/>
    <w:rsid w:val="00FA2A53"/>
    <w:rsid w:val="00FA2B0C"/>
    <w:rsid w:val="00FA2B72"/>
    <w:rsid w:val="00FA2BEE"/>
    <w:rsid w:val="00FA2C1A"/>
    <w:rsid w:val="00FA2C3C"/>
    <w:rsid w:val="00FA2CBF"/>
    <w:rsid w:val="00FA2D84"/>
    <w:rsid w:val="00FA2DEC"/>
    <w:rsid w:val="00FA2DF8"/>
    <w:rsid w:val="00FA2E00"/>
    <w:rsid w:val="00FA2E67"/>
    <w:rsid w:val="00FA2F58"/>
    <w:rsid w:val="00FA2FBF"/>
    <w:rsid w:val="00FA3004"/>
    <w:rsid w:val="00FA3071"/>
    <w:rsid w:val="00FA3204"/>
    <w:rsid w:val="00FA3237"/>
    <w:rsid w:val="00FA3345"/>
    <w:rsid w:val="00FA34F8"/>
    <w:rsid w:val="00FA35DA"/>
    <w:rsid w:val="00FA36C5"/>
    <w:rsid w:val="00FA36E2"/>
    <w:rsid w:val="00FA3700"/>
    <w:rsid w:val="00FA3893"/>
    <w:rsid w:val="00FA3A0E"/>
    <w:rsid w:val="00FA3B51"/>
    <w:rsid w:val="00FA3B8C"/>
    <w:rsid w:val="00FA3C03"/>
    <w:rsid w:val="00FA3CAE"/>
    <w:rsid w:val="00FA3CF4"/>
    <w:rsid w:val="00FA3D57"/>
    <w:rsid w:val="00FA3F0F"/>
    <w:rsid w:val="00FA3FAD"/>
    <w:rsid w:val="00FA42F5"/>
    <w:rsid w:val="00FA44CE"/>
    <w:rsid w:val="00FA45CA"/>
    <w:rsid w:val="00FA45D4"/>
    <w:rsid w:val="00FA462A"/>
    <w:rsid w:val="00FA49D6"/>
    <w:rsid w:val="00FA4A22"/>
    <w:rsid w:val="00FA4A29"/>
    <w:rsid w:val="00FA4AB0"/>
    <w:rsid w:val="00FA4C79"/>
    <w:rsid w:val="00FA4D0E"/>
    <w:rsid w:val="00FA4DF1"/>
    <w:rsid w:val="00FA4E3B"/>
    <w:rsid w:val="00FA4E94"/>
    <w:rsid w:val="00FA4E9A"/>
    <w:rsid w:val="00FA4E9F"/>
    <w:rsid w:val="00FA4ED0"/>
    <w:rsid w:val="00FA4EFF"/>
    <w:rsid w:val="00FA4FD6"/>
    <w:rsid w:val="00FA532F"/>
    <w:rsid w:val="00FA55A2"/>
    <w:rsid w:val="00FA57F3"/>
    <w:rsid w:val="00FA5A22"/>
    <w:rsid w:val="00FA5A76"/>
    <w:rsid w:val="00FA5AA3"/>
    <w:rsid w:val="00FA5ADF"/>
    <w:rsid w:val="00FA5CFC"/>
    <w:rsid w:val="00FA5D1E"/>
    <w:rsid w:val="00FA5E5C"/>
    <w:rsid w:val="00FA5EFC"/>
    <w:rsid w:val="00FA5FC4"/>
    <w:rsid w:val="00FA6195"/>
    <w:rsid w:val="00FA628B"/>
    <w:rsid w:val="00FA62CD"/>
    <w:rsid w:val="00FA62E6"/>
    <w:rsid w:val="00FA6313"/>
    <w:rsid w:val="00FA664B"/>
    <w:rsid w:val="00FA6750"/>
    <w:rsid w:val="00FA67C6"/>
    <w:rsid w:val="00FA68B2"/>
    <w:rsid w:val="00FA68D1"/>
    <w:rsid w:val="00FA6A96"/>
    <w:rsid w:val="00FA6A9C"/>
    <w:rsid w:val="00FA6B49"/>
    <w:rsid w:val="00FA6C03"/>
    <w:rsid w:val="00FA6C3F"/>
    <w:rsid w:val="00FA6DCF"/>
    <w:rsid w:val="00FA6E97"/>
    <w:rsid w:val="00FA6FED"/>
    <w:rsid w:val="00FA735D"/>
    <w:rsid w:val="00FA73EA"/>
    <w:rsid w:val="00FA73F4"/>
    <w:rsid w:val="00FA75D9"/>
    <w:rsid w:val="00FA75FC"/>
    <w:rsid w:val="00FA7667"/>
    <w:rsid w:val="00FA76AA"/>
    <w:rsid w:val="00FA7746"/>
    <w:rsid w:val="00FA7C1B"/>
    <w:rsid w:val="00FA7D9C"/>
    <w:rsid w:val="00FA7EAD"/>
    <w:rsid w:val="00FA7EF2"/>
    <w:rsid w:val="00FA7F9D"/>
    <w:rsid w:val="00FB0073"/>
    <w:rsid w:val="00FB009E"/>
    <w:rsid w:val="00FB0168"/>
    <w:rsid w:val="00FB01D7"/>
    <w:rsid w:val="00FB0245"/>
    <w:rsid w:val="00FB03A0"/>
    <w:rsid w:val="00FB042E"/>
    <w:rsid w:val="00FB0598"/>
    <w:rsid w:val="00FB0780"/>
    <w:rsid w:val="00FB07DC"/>
    <w:rsid w:val="00FB0867"/>
    <w:rsid w:val="00FB0915"/>
    <w:rsid w:val="00FB09BB"/>
    <w:rsid w:val="00FB0A36"/>
    <w:rsid w:val="00FB0ACC"/>
    <w:rsid w:val="00FB0B44"/>
    <w:rsid w:val="00FB0C94"/>
    <w:rsid w:val="00FB0D21"/>
    <w:rsid w:val="00FB0F82"/>
    <w:rsid w:val="00FB102F"/>
    <w:rsid w:val="00FB1057"/>
    <w:rsid w:val="00FB1112"/>
    <w:rsid w:val="00FB1160"/>
    <w:rsid w:val="00FB116A"/>
    <w:rsid w:val="00FB11BC"/>
    <w:rsid w:val="00FB13A5"/>
    <w:rsid w:val="00FB1491"/>
    <w:rsid w:val="00FB1512"/>
    <w:rsid w:val="00FB1516"/>
    <w:rsid w:val="00FB151C"/>
    <w:rsid w:val="00FB16A5"/>
    <w:rsid w:val="00FB1700"/>
    <w:rsid w:val="00FB1AE6"/>
    <w:rsid w:val="00FB1D72"/>
    <w:rsid w:val="00FB1F41"/>
    <w:rsid w:val="00FB1F46"/>
    <w:rsid w:val="00FB1F9F"/>
    <w:rsid w:val="00FB2067"/>
    <w:rsid w:val="00FB2087"/>
    <w:rsid w:val="00FB2102"/>
    <w:rsid w:val="00FB2153"/>
    <w:rsid w:val="00FB22BF"/>
    <w:rsid w:val="00FB23C2"/>
    <w:rsid w:val="00FB277A"/>
    <w:rsid w:val="00FB27EC"/>
    <w:rsid w:val="00FB28FD"/>
    <w:rsid w:val="00FB29AA"/>
    <w:rsid w:val="00FB2AD9"/>
    <w:rsid w:val="00FB2B76"/>
    <w:rsid w:val="00FB2B96"/>
    <w:rsid w:val="00FB2C33"/>
    <w:rsid w:val="00FB2D42"/>
    <w:rsid w:val="00FB2EA1"/>
    <w:rsid w:val="00FB2F82"/>
    <w:rsid w:val="00FB315D"/>
    <w:rsid w:val="00FB39D7"/>
    <w:rsid w:val="00FB3BDC"/>
    <w:rsid w:val="00FB3C5A"/>
    <w:rsid w:val="00FB3D66"/>
    <w:rsid w:val="00FB3EA1"/>
    <w:rsid w:val="00FB3EE6"/>
    <w:rsid w:val="00FB3F49"/>
    <w:rsid w:val="00FB3FBD"/>
    <w:rsid w:val="00FB40B4"/>
    <w:rsid w:val="00FB4168"/>
    <w:rsid w:val="00FB41C8"/>
    <w:rsid w:val="00FB41E7"/>
    <w:rsid w:val="00FB41FB"/>
    <w:rsid w:val="00FB427B"/>
    <w:rsid w:val="00FB42FE"/>
    <w:rsid w:val="00FB448B"/>
    <w:rsid w:val="00FB4656"/>
    <w:rsid w:val="00FB4678"/>
    <w:rsid w:val="00FB479C"/>
    <w:rsid w:val="00FB47DC"/>
    <w:rsid w:val="00FB47E9"/>
    <w:rsid w:val="00FB4857"/>
    <w:rsid w:val="00FB4B2B"/>
    <w:rsid w:val="00FB4DD9"/>
    <w:rsid w:val="00FB512E"/>
    <w:rsid w:val="00FB51CB"/>
    <w:rsid w:val="00FB52BA"/>
    <w:rsid w:val="00FB536E"/>
    <w:rsid w:val="00FB5467"/>
    <w:rsid w:val="00FB55CC"/>
    <w:rsid w:val="00FB5664"/>
    <w:rsid w:val="00FB56CD"/>
    <w:rsid w:val="00FB5754"/>
    <w:rsid w:val="00FB5832"/>
    <w:rsid w:val="00FB583C"/>
    <w:rsid w:val="00FB58D9"/>
    <w:rsid w:val="00FB5AE9"/>
    <w:rsid w:val="00FB5B51"/>
    <w:rsid w:val="00FB5B88"/>
    <w:rsid w:val="00FB5E85"/>
    <w:rsid w:val="00FB5F18"/>
    <w:rsid w:val="00FB5F4F"/>
    <w:rsid w:val="00FB5F9F"/>
    <w:rsid w:val="00FB5FB4"/>
    <w:rsid w:val="00FB5FEE"/>
    <w:rsid w:val="00FB60A7"/>
    <w:rsid w:val="00FB6351"/>
    <w:rsid w:val="00FB639C"/>
    <w:rsid w:val="00FB659E"/>
    <w:rsid w:val="00FB66E6"/>
    <w:rsid w:val="00FB6818"/>
    <w:rsid w:val="00FB6833"/>
    <w:rsid w:val="00FB68E2"/>
    <w:rsid w:val="00FB69EC"/>
    <w:rsid w:val="00FB69F0"/>
    <w:rsid w:val="00FB6BB1"/>
    <w:rsid w:val="00FB6C7A"/>
    <w:rsid w:val="00FB6D25"/>
    <w:rsid w:val="00FB6D48"/>
    <w:rsid w:val="00FB6D5C"/>
    <w:rsid w:val="00FB6E69"/>
    <w:rsid w:val="00FB6EDB"/>
    <w:rsid w:val="00FB6FA1"/>
    <w:rsid w:val="00FB73EB"/>
    <w:rsid w:val="00FB74B2"/>
    <w:rsid w:val="00FB75B7"/>
    <w:rsid w:val="00FB75ED"/>
    <w:rsid w:val="00FB75FF"/>
    <w:rsid w:val="00FB7645"/>
    <w:rsid w:val="00FB777A"/>
    <w:rsid w:val="00FB77DB"/>
    <w:rsid w:val="00FB7897"/>
    <w:rsid w:val="00FB7A29"/>
    <w:rsid w:val="00FB7AC2"/>
    <w:rsid w:val="00FB7C11"/>
    <w:rsid w:val="00FB7C56"/>
    <w:rsid w:val="00FB7C9B"/>
    <w:rsid w:val="00FB7D45"/>
    <w:rsid w:val="00FB7E21"/>
    <w:rsid w:val="00FB7E84"/>
    <w:rsid w:val="00FB7E98"/>
    <w:rsid w:val="00FB7F08"/>
    <w:rsid w:val="00FC0029"/>
    <w:rsid w:val="00FC00B7"/>
    <w:rsid w:val="00FC01C5"/>
    <w:rsid w:val="00FC01EF"/>
    <w:rsid w:val="00FC03A8"/>
    <w:rsid w:val="00FC05C5"/>
    <w:rsid w:val="00FC05F7"/>
    <w:rsid w:val="00FC09A5"/>
    <w:rsid w:val="00FC0A4A"/>
    <w:rsid w:val="00FC0A66"/>
    <w:rsid w:val="00FC0B96"/>
    <w:rsid w:val="00FC0C16"/>
    <w:rsid w:val="00FC0D68"/>
    <w:rsid w:val="00FC0EC3"/>
    <w:rsid w:val="00FC106A"/>
    <w:rsid w:val="00FC13C0"/>
    <w:rsid w:val="00FC14A4"/>
    <w:rsid w:val="00FC14F3"/>
    <w:rsid w:val="00FC1539"/>
    <w:rsid w:val="00FC19D7"/>
    <w:rsid w:val="00FC1B03"/>
    <w:rsid w:val="00FC1B4C"/>
    <w:rsid w:val="00FC1C41"/>
    <w:rsid w:val="00FC1D1E"/>
    <w:rsid w:val="00FC1E2E"/>
    <w:rsid w:val="00FC1E4D"/>
    <w:rsid w:val="00FC1E94"/>
    <w:rsid w:val="00FC1ED9"/>
    <w:rsid w:val="00FC1F5B"/>
    <w:rsid w:val="00FC1F72"/>
    <w:rsid w:val="00FC2065"/>
    <w:rsid w:val="00FC2182"/>
    <w:rsid w:val="00FC219F"/>
    <w:rsid w:val="00FC22A0"/>
    <w:rsid w:val="00FC2576"/>
    <w:rsid w:val="00FC2713"/>
    <w:rsid w:val="00FC272A"/>
    <w:rsid w:val="00FC277B"/>
    <w:rsid w:val="00FC27C4"/>
    <w:rsid w:val="00FC2913"/>
    <w:rsid w:val="00FC29C3"/>
    <w:rsid w:val="00FC2A7E"/>
    <w:rsid w:val="00FC2A8A"/>
    <w:rsid w:val="00FC2ADC"/>
    <w:rsid w:val="00FC2B3E"/>
    <w:rsid w:val="00FC2CF4"/>
    <w:rsid w:val="00FC2D2B"/>
    <w:rsid w:val="00FC2E26"/>
    <w:rsid w:val="00FC2F42"/>
    <w:rsid w:val="00FC2F5E"/>
    <w:rsid w:val="00FC2FC6"/>
    <w:rsid w:val="00FC3075"/>
    <w:rsid w:val="00FC30C7"/>
    <w:rsid w:val="00FC30F4"/>
    <w:rsid w:val="00FC323D"/>
    <w:rsid w:val="00FC333F"/>
    <w:rsid w:val="00FC33AC"/>
    <w:rsid w:val="00FC342C"/>
    <w:rsid w:val="00FC3464"/>
    <w:rsid w:val="00FC346C"/>
    <w:rsid w:val="00FC3622"/>
    <w:rsid w:val="00FC362E"/>
    <w:rsid w:val="00FC36A9"/>
    <w:rsid w:val="00FC3737"/>
    <w:rsid w:val="00FC3793"/>
    <w:rsid w:val="00FC3814"/>
    <w:rsid w:val="00FC38B1"/>
    <w:rsid w:val="00FC38F8"/>
    <w:rsid w:val="00FC3923"/>
    <w:rsid w:val="00FC3AFC"/>
    <w:rsid w:val="00FC3D74"/>
    <w:rsid w:val="00FC3EC3"/>
    <w:rsid w:val="00FC3F7A"/>
    <w:rsid w:val="00FC4026"/>
    <w:rsid w:val="00FC4035"/>
    <w:rsid w:val="00FC421C"/>
    <w:rsid w:val="00FC421E"/>
    <w:rsid w:val="00FC42FA"/>
    <w:rsid w:val="00FC43E6"/>
    <w:rsid w:val="00FC457B"/>
    <w:rsid w:val="00FC45A1"/>
    <w:rsid w:val="00FC463B"/>
    <w:rsid w:val="00FC476D"/>
    <w:rsid w:val="00FC48D4"/>
    <w:rsid w:val="00FC4968"/>
    <w:rsid w:val="00FC4A5A"/>
    <w:rsid w:val="00FC4A6D"/>
    <w:rsid w:val="00FC4A70"/>
    <w:rsid w:val="00FC4B2D"/>
    <w:rsid w:val="00FC4BBE"/>
    <w:rsid w:val="00FC4DA3"/>
    <w:rsid w:val="00FC4EA1"/>
    <w:rsid w:val="00FC50B6"/>
    <w:rsid w:val="00FC510A"/>
    <w:rsid w:val="00FC515D"/>
    <w:rsid w:val="00FC5277"/>
    <w:rsid w:val="00FC52DC"/>
    <w:rsid w:val="00FC532E"/>
    <w:rsid w:val="00FC53C2"/>
    <w:rsid w:val="00FC540F"/>
    <w:rsid w:val="00FC5418"/>
    <w:rsid w:val="00FC566D"/>
    <w:rsid w:val="00FC5703"/>
    <w:rsid w:val="00FC5764"/>
    <w:rsid w:val="00FC58BC"/>
    <w:rsid w:val="00FC599D"/>
    <w:rsid w:val="00FC5AC5"/>
    <w:rsid w:val="00FC5C6F"/>
    <w:rsid w:val="00FC5DDF"/>
    <w:rsid w:val="00FC604E"/>
    <w:rsid w:val="00FC60BD"/>
    <w:rsid w:val="00FC6173"/>
    <w:rsid w:val="00FC61CE"/>
    <w:rsid w:val="00FC65C3"/>
    <w:rsid w:val="00FC65FC"/>
    <w:rsid w:val="00FC66EB"/>
    <w:rsid w:val="00FC6894"/>
    <w:rsid w:val="00FC6904"/>
    <w:rsid w:val="00FC69C9"/>
    <w:rsid w:val="00FC69CD"/>
    <w:rsid w:val="00FC6AF3"/>
    <w:rsid w:val="00FC6B14"/>
    <w:rsid w:val="00FC6CF0"/>
    <w:rsid w:val="00FC6FCC"/>
    <w:rsid w:val="00FC739A"/>
    <w:rsid w:val="00FC73CE"/>
    <w:rsid w:val="00FC73F7"/>
    <w:rsid w:val="00FC7469"/>
    <w:rsid w:val="00FC7541"/>
    <w:rsid w:val="00FC7641"/>
    <w:rsid w:val="00FC76FC"/>
    <w:rsid w:val="00FC77A3"/>
    <w:rsid w:val="00FC7828"/>
    <w:rsid w:val="00FC785D"/>
    <w:rsid w:val="00FC78D5"/>
    <w:rsid w:val="00FC794D"/>
    <w:rsid w:val="00FC79B8"/>
    <w:rsid w:val="00FC7A70"/>
    <w:rsid w:val="00FC7CFA"/>
    <w:rsid w:val="00FC7E74"/>
    <w:rsid w:val="00FC7F33"/>
    <w:rsid w:val="00FC7F99"/>
    <w:rsid w:val="00FD001D"/>
    <w:rsid w:val="00FD011E"/>
    <w:rsid w:val="00FD01D5"/>
    <w:rsid w:val="00FD0250"/>
    <w:rsid w:val="00FD0401"/>
    <w:rsid w:val="00FD048E"/>
    <w:rsid w:val="00FD05CF"/>
    <w:rsid w:val="00FD05E3"/>
    <w:rsid w:val="00FD0651"/>
    <w:rsid w:val="00FD066C"/>
    <w:rsid w:val="00FD07F3"/>
    <w:rsid w:val="00FD0888"/>
    <w:rsid w:val="00FD098B"/>
    <w:rsid w:val="00FD0A26"/>
    <w:rsid w:val="00FD0A92"/>
    <w:rsid w:val="00FD0B85"/>
    <w:rsid w:val="00FD0C25"/>
    <w:rsid w:val="00FD0CA2"/>
    <w:rsid w:val="00FD10AF"/>
    <w:rsid w:val="00FD1228"/>
    <w:rsid w:val="00FD1435"/>
    <w:rsid w:val="00FD14CD"/>
    <w:rsid w:val="00FD15B1"/>
    <w:rsid w:val="00FD15C5"/>
    <w:rsid w:val="00FD1858"/>
    <w:rsid w:val="00FD18C0"/>
    <w:rsid w:val="00FD18DC"/>
    <w:rsid w:val="00FD19B2"/>
    <w:rsid w:val="00FD1AA6"/>
    <w:rsid w:val="00FD1B69"/>
    <w:rsid w:val="00FD1BA1"/>
    <w:rsid w:val="00FD1BB2"/>
    <w:rsid w:val="00FD1C2E"/>
    <w:rsid w:val="00FD1CD1"/>
    <w:rsid w:val="00FD1E3E"/>
    <w:rsid w:val="00FD1F1C"/>
    <w:rsid w:val="00FD1FF8"/>
    <w:rsid w:val="00FD21F0"/>
    <w:rsid w:val="00FD221D"/>
    <w:rsid w:val="00FD22B6"/>
    <w:rsid w:val="00FD231D"/>
    <w:rsid w:val="00FD2347"/>
    <w:rsid w:val="00FD23EF"/>
    <w:rsid w:val="00FD240A"/>
    <w:rsid w:val="00FD24F0"/>
    <w:rsid w:val="00FD25D8"/>
    <w:rsid w:val="00FD263F"/>
    <w:rsid w:val="00FD26B3"/>
    <w:rsid w:val="00FD26BA"/>
    <w:rsid w:val="00FD27C0"/>
    <w:rsid w:val="00FD2889"/>
    <w:rsid w:val="00FD2934"/>
    <w:rsid w:val="00FD299E"/>
    <w:rsid w:val="00FD2B91"/>
    <w:rsid w:val="00FD2B9B"/>
    <w:rsid w:val="00FD2BB9"/>
    <w:rsid w:val="00FD2BFF"/>
    <w:rsid w:val="00FD2EBA"/>
    <w:rsid w:val="00FD2EF7"/>
    <w:rsid w:val="00FD2F05"/>
    <w:rsid w:val="00FD2F86"/>
    <w:rsid w:val="00FD302D"/>
    <w:rsid w:val="00FD3039"/>
    <w:rsid w:val="00FD328C"/>
    <w:rsid w:val="00FD32C9"/>
    <w:rsid w:val="00FD32FB"/>
    <w:rsid w:val="00FD33AD"/>
    <w:rsid w:val="00FD3415"/>
    <w:rsid w:val="00FD3433"/>
    <w:rsid w:val="00FD3459"/>
    <w:rsid w:val="00FD3543"/>
    <w:rsid w:val="00FD36F8"/>
    <w:rsid w:val="00FD3702"/>
    <w:rsid w:val="00FD379E"/>
    <w:rsid w:val="00FD37AB"/>
    <w:rsid w:val="00FD38E6"/>
    <w:rsid w:val="00FD395B"/>
    <w:rsid w:val="00FD3A93"/>
    <w:rsid w:val="00FD3B48"/>
    <w:rsid w:val="00FD3D66"/>
    <w:rsid w:val="00FD3EAB"/>
    <w:rsid w:val="00FD3F0B"/>
    <w:rsid w:val="00FD402C"/>
    <w:rsid w:val="00FD4228"/>
    <w:rsid w:val="00FD42F4"/>
    <w:rsid w:val="00FD442F"/>
    <w:rsid w:val="00FD4638"/>
    <w:rsid w:val="00FD4657"/>
    <w:rsid w:val="00FD4883"/>
    <w:rsid w:val="00FD4898"/>
    <w:rsid w:val="00FD48D4"/>
    <w:rsid w:val="00FD4AF6"/>
    <w:rsid w:val="00FD4B28"/>
    <w:rsid w:val="00FD4B81"/>
    <w:rsid w:val="00FD4E1A"/>
    <w:rsid w:val="00FD4E7C"/>
    <w:rsid w:val="00FD4EAC"/>
    <w:rsid w:val="00FD4EC5"/>
    <w:rsid w:val="00FD500D"/>
    <w:rsid w:val="00FD505C"/>
    <w:rsid w:val="00FD51A8"/>
    <w:rsid w:val="00FD51ED"/>
    <w:rsid w:val="00FD545C"/>
    <w:rsid w:val="00FD55B3"/>
    <w:rsid w:val="00FD565E"/>
    <w:rsid w:val="00FD5830"/>
    <w:rsid w:val="00FD597E"/>
    <w:rsid w:val="00FD5984"/>
    <w:rsid w:val="00FD5A0F"/>
    <w:rsid w:val="00FD5AE4"/>
    <w:rsid w:val="00FD5B39"/>
    <w:rsid w:val="00FD5EB0"/>
    <w:rsid w:val="00FD5ECC"/>
    <w:rsid w:val="00FD5F08"/>
    <w:rsid w:val="00FD5F49"/>
    <w:rsid w:val="00FD6047"/>
    <w:rsid w:val="00FD6129"/>
    <w:rsid w:val="00FD6232"/>
    <w:rsid w:val="00FD6233"/>
    <w:rsid w:val="00FD62E4"/>
    <w:rsid w:val="00FD6369"/>
    <w:rsid w:val="00FD638F"/>
    <w:rsid w:val="00FD63BC"/>
    <w:rsid w:val="00FD6423"/>
    <w:rsid w:val="00FD65BD"/>
    <w:rsid w:val="00FD6600"/>
    <w:rsid w:val="00FD668D"/>
    <w:rsid w:val="00FD66FA"/>
    <w:rsid w:val="00FD6797"/>
    <w:rsid w:val="00FD67B0"/>
    <w:rsid w:val="00FD67E6"/>
    <w:rsid w:val="00FD6807"/>
    <w:rsid w:val="00FD68D7"/>
    <w:rsid w:val="00FD697A"/>
    <w:rsid w:val="00FD6C0D"/>
    <w:rsid w:val="00FD6D35"/>
    <w:rsid w:val="00FD6D66"/>
    <w:rsid w:val="00FD6EC4"/>
    <w:rsid w:val="00FD6F1E"/>
    <w:rsid w:val="00FD6F29"/>
    <w:rsid w:val="00FD6F7C"/>
    <w:rsid w:val="00FD732B"/>
    <w:rsid w:val="00FD738E"/>
    <w:rsid w:val="00FD73C5"/>
    <w:rsid w:val="00FD75C8"/>
    <w:rsid w:val="00FD75CE"/>
    <w:rsid w:val="00FD75E6"/>
    <w:rsid w:val="00FD76E9"/>
    <w:rsid w:val="00FD776B"/>
    <w:rsid w:val="00FD7775"/>
    <w:rsid w:val="00FD782B"/>
    <w:rsid w:val="00FD7A25"/>
    <w:rsid w:val="00FD7D79"/>
    <w:rsid w:val="00FD7DD1"/>
    <w:rsid w:val="00FD7E6D"/>
    <w:rsid w:val="00FD7F12"/>
    <w:rsid w:val="00FD7F73"/>
    <w:rsid w:val="00FE0099"/>
    <w:rsid w:val="00FE010D"/>
    <w:rsid w:val="00FE01DC"/>
    <w:rsid w:val="00FE0247"/>
    <w:rsid w:val="00FE033C"/>
    <w:rsid w:val="00FE0407"/>
    <w:rsid w:val="00FE0437"/>
    <w:rsid w:val="00FE0457"/>
    <w:rsid w:val="00FE0622"/>
    <w:rsid w:val="00FE065A"/>
    <w:rsid w:val="00FE08E0"/>
    <w:rsid w:val="00FE0903"/>
    <w:rsid w:val="00FE0A74"/>
    <w:rsid w:val="00FE0B05"/>
    <w:rsid w:val="00FE0B65"/>
    <w:rsid w:val="00FE0BA7"/>
    <w:rsid w:val="00FE0BCA"/>
    <w:rsid w:val="00FE0C02"/>
    <w:rsid w:val="00FE0D36"/>
    <w:rsid w:val="00FE0D88"/>
    <w:rsid w:val="00FE0DE8"/>
    <w:rsid w:val="00FE0E17"/>
    <w:rsid w:val="00FE0F18"/>
    <w:rsid w:val="00FE112A"/>
    <w:rsid w:val="00FE11B6"/>
    <w:rsid w:val="00FE128A"/>
    <w:rsid w:val="00FE1509"/>
    <w:rsid w:val="00FE1641"/>
    <w:rsid w:val="00FE1688"/>
    <w:rsid w:val="00FE1798"/>
    <w:rsid w:val="00FE17F5"/>
    <w:rsid w:val="00FE1950"/>
    <w:rsid w:val="00FE1CCF"/>
    <w:rsid w:val="00FE1DD2"/>
    <w:rsid w:val="00FE1E5E"/>
    <w:rsid w:val="00FE1F80"/>
    <w:rsid w:val="00FE217B"/>
    <w:rsid w:val="00FE23EC"/>
    <w:rsid w:val="00FE2415"/>
    <w:rsid w:val="00FE242C"/>
    <w:rsid w:val="00FE24AC"/>
    <w:rsid w:val="00FE265D"/>
    <w:rsid w:val="00FE2921"/>
    <w:rsid w:val="00FE293A"/>
    <w:rsid w:val="00FE2990"/>
    <w:rsid w:val="00FE2A05"/>
    <w:rsid w:val="00FE2AC4"/>
    <w:rsid w:val="00FE2AE0"/>
    <w:rsid w:val="00FE2BCF"/>
    <w:rsid w:val="00FE2C60"/>
    <w:rsid w:val="00FE2CAE"/>
    <w:rsid w:val="00FE2E92"/>
    <w:rsid w:val="00FE2F02"/>
    <w:rsid w:val="00FE2FEC"/>
    <w:rsid w:val="00FE3048"/>
    <w:rsid w:val="00FE314E"/>
    <w:rsid w:val="00FE3173"/>
    <w:rsid w:val="00FE318C"/>
    <w:rsid w:val="00FE31A2"/>
    <w:rsid w:val="00FE34FB"/>
    <w:rsid w:val="00FE36B1"/>
    <w:rsid w:val="00FE3745"/>
    <w:rsid w:val="00FE389A"/>
    <w:rsid w:val="00FE394E"/>
    <w:rsid w:val="00FE39B0"/>
    <w:rsid w:val="00FE3AC6"/>
    <w:rsid w:val="00FE3BF2"/>
    <w:rsid w:val="00FE3CC0"/>
    <w:rsid w:val="00FE3D2B"/>
    <w:rsid w:val="00FE3D68"/>
    <w:rsid w:val="00FE3DF0"/>
    <w:rsid w:val="00FE3E7B"/>
    <w:rsid w:val="00FE3ECF"/>
    <w:rsid w:val="00FE4075"/>
    <w:rsid w:val="00FE410F"/>
    <w:rsid w:val="00FE4191"/>
    <w:rsid w:val="00FE4196"/>
    <w:rsid w:val="00FE41A4"/>
    <w:rsid w:val="00FE44FB"/>
    <w:rsid w:val="00FE45F8"/>
    <w:rsid w:val="00FE4648"/>
    <w:rsid w:val="00FE469E"/>
    <w:rsid w:val="00FE46BC"/>
    <w:rsid w:val="00FE4721"/>
    <w:rsid w:val="00FE4859"/>
    <w:rsid w:val="00FE48C3"/>
    <w:rsid w:val="00FE48EA"/>
    <w:rsid w:val="00FE4A0C"/>
    <w:rsid w:val="00FE4AE4"/>
    <w:rsid w:val="00FE4C21"/>
    <w:rsid w:val="00FE4D05"/>
    <w:rsid w:val="00FE4D8C"/>
    <w:rsid w:val="00FE4DA1"/>
    <w:rsid w:val="00FE4DC2"/>
    <w:rsid w:val="00FE4F16"/>
    <w:rsid w:val="00FE4FAF"/>
    <w:rsid w:val="00FE4FBA"/>
    <w:rsid w:val="00FE5044"/>
    <w:rsid w:val="00FE511F"/>
    <w:rsid w:val="00FE526F"/>
    <w:rsid w:val="00FE52D8"/>
    <w:rsid w:val="00FE536F"/>
    <w:rsid w:val="00FE5480"/>
    <w:rsid w:val="00FE56E5"/>
    <w:rsid w:val="00FE577C"/>
    <w:rsid w:val="00FE57B7"/>
    <w:rsid w:val="00FE59F3"/>
    <w:rsid w:val="00FE5B61"/>
    <w:rsid w:val="00FE5B64"/>
    <w:rsid w:val="00FE5B7B"/>
    <w:rsid w:val="00FE5E24"/>
    <w:rsid w:val="00FE5E73"/>
    <w:rsid w:val="00FE5F3B"/>
    <w:rsid w:val="00FE5FF5"/>
    <w:rsid w:val="00FE60D3"/>
    <w:rsid w:val="00FE611D"/>
    <w:rsid w:val="00FE6476"/>
    <w:rsid w:val="00FE668A"/>
    <w:rsid w:val="00FE67A7"/>
    <w:rsid w:val="00FE69A0"/>
    <w:rsid w:val="00FE69D9"/>
    <w:rsid w:val="00FE69F8"/>
    <w:rsid w:val="00FE6A4E"/>
    <w:rsid w:val="00FE6D6D"/>
    <w:rsid w:val="00FE6D85"/>
    <w:rsid w:val="00FE6EC3"/>
    <w:rsid w:val="00FE6F57"/>
    <w:rsid w:val="00FE7192"/>
    <w:rsid w:val="00FE731C"/>
    <w:rsid w:val="00FE73B1"/>
    <w:rsid w:val="00FE73FE"/>
    <w:rsid w:val="00FE7516"/>
    <w:rsid w:val="00FE75A8"/>
    <w:rsid w:val="00FE75F1"/>
    <w:rsid w:val="00FE76CB"/>
    <w:rsid w:val="00FE76E7"/>
    <w:rsid w:val="00FE77D8"/>
    <w:rsid w:val="00FE7A6D"/>
    <w:rsid w:val="00FE7AF9"/>
    <w:rsid w:val="00FE7D6C"/>
    <w:rsid w:val="00FE7D79"/>
    <w:rsid w:val="00FE7DA8"/>
    <w:rsid w:val="00FE7F0A"/>
    <w:rsid w:val="00FF00AD"/>
    <w:rsid w:val="00FF0135"/>
    <w:rsid w:val="00FF020C"/>
    <w:rsid w:val="00FF02B6"/>
    <w:rsid w:val="00FF0362"/>
    <w:rsid w:val="00FF0679"/>
    <w:rsid w:val="00FF06AE"/>
    <w:rsid w:val="00FF06D9"/>
    <w:rsid w:val="00FF07E0"/>
    <w:rsid w:val="00FF0B46"/>
    <w:rsid w:val="00FF0DA9"/>
    <w:rsid w:val="00FF0E61"/>
    <w:rsid w:val="00FF0E9F"/>
    <w:rsid w:val="00FF0F51"/>
    <w:rsid w:val="00FF107A"/>
    <w:rsid w:val="00FF10B4"/>
    <w:rsid w:val="00FF1217"/>
    <w:rsid w:val="00FF13E4"/>
    <w:rsid w:val="00FF145B"/>
    <w:rsid w:val="00FF147F"/>
    <w:rsid w:val="00FF17BA"/>
    <w:rsid w:val="00FF1912"/>
    <w:rsid w:val="00FF19FD"/>
    <w:rsid w:val="00FF1AE6"/>
    <w:rsid w:val="00FF1B2F"/>
    <w:rsid w:val="00FF1B3C"/>
    <w:rsid w:val="00FF1C46"/>
    <w:rsid w:val="00FF1DA4"/>
    <w:rsid w:val="00FF1E1D"/>
    <w:rsid w:val="00FF1ECE"/>
    <w:rsid w:val="00FF1EE4"/>
    <w:rsid w:val="00FF1F91"/>
    <w:rsid w:val="00FF1FBA"/>
    <w:rsid w:val="00FF20A9"/>
    <w:rsid w:val="00FF2109"/>
    <w:rsid w:val="00FF2111"/>
    <w:rsid w:val="00FF2174"/>
    <w:rsid w:val="00FF21CE"/>
    <w:rsid w:val="00FF22B1"/>
    <w:rsid w:val="00FF26B2"/>
    <w:rsid w:val="00FF27AD"/>
    <w:rsid w:val="00FF2892"/>
    <w:rsid w:val="00FF2A40"/>
    <w:rsid w:val="00FF2ABA"/>
    <w:rsid w:val="00FF2B1C"/>
    <w:rsid w:val="00FF2BD4"/>
    <w:rsid w:val="00FF2BD7"/>
    <w:rsid w:val="00FF2D22"/>
    <w:rsid w:val="00FF2D74"/>
    <w:rsid w:val="00FF2E3C"/>
    <w:rsid w:val="00FF2F16"/>
    <w:rsid w:val="00FF2FB9"/>
    <w:rsid w:val="00FF306C"/>
    <w:rsid w:val="00FF30B3"/>
    <w:rsid w:val="00FF3239"/>
    <w:rsid w:val="00FF3271"/>
    <w:rsid w:val="00FF3731"/>
    <w:rsid w:val="00FF37F2"/>
    <w:rsid w:val="00FF3869"/>
    <w:rsid w:val="00FF39EB"/>
    <w:rsid w:val="00FF3A47"/>
    <w:rsid w:val="00FF3AAC"/>
    <w:rsid w:val="00FF3B31"/>
    <w:rsid w:val="00FF3C41"/>
    <w:rsid w:val="00FF3E7A"/>
    <w:rsid w:val="00FF3EA0"/>
    <w:rsid w:val="00FF3F20"/>
    <w:rsid w:val="00FF4065"/>
    <w:rsid w:val="00FF4757"/>
    <w:rsid w:val="00FF4759"/>
    <w:rsid w:val="00FF486D"/>
    <w:rsid w:val="00FF4881"/>
    <w:rsid w:val="00FF4B14"/>
    <w:rsid w:val="00FF4BD8"/>
    <w:rsid w:val="00FF4C9E"/>
    <w:rsid w:val="00FF4CCA"/>
    <w:rsid w:val="00FF4D75"/>
    <w:rsid w:val="00FF4DFD"/>
    <w:rsid w:val="00FF4E8A"/>
    <w:rsid w:val="00FF4F0B"/>
    <w:rsid w:val="00FF5075"/>
    <w:rsid w:val="00FF50C3"/>
    <w:rsid w:val="00FF5149"/>
    <w:rsid w:val="00FF5163"/>
    <w:rsid w:val="00FF53D9"/>
    <w:rsid w:val="00FF53E7"/>
    <w:rsid w:val="00FF5410"/>
    <w:rsid w:val="00FF543C"/>
    <w:rsid w:val="00FF54CA"/>
    <w:rsid w:val="00FF5528"/>
    <w:rsid w:val="00FF55D2"/>
    <w:rsid w:val="00FF5979"/>
    <w:rsid w:val="00FF5B43"/>
    <w:rsid w:val="00FF5C2F"/>
    <w:rsid w:val="00FF5C3D"/>
    <w:rsid w:val="00FF5D10"/>
    <w:rsid w:val="00FF5D73"/>
    <w:rsid w:val="00FF5D87"/>
    <w:rsid w:val="00FF5DFC"/>
    <w:rsid w:val="00FF5E27"/>
    <w:rsid w:val="00FF5F10"/>
    <w:rsid w:val="00FF5FAB"/>
    <w:rsid w:val="00FF5FF2"/>
    <w:rsid w:val="00FF600A"/>
    <w:rsid w:val="00FF6016"/>
    <w:rsid w:val="00FF609E"/>
    <w:rsid w:val="00FF615E"/>
    <w:rsid w:val="00FF62C6"/>
    <w:rsid w:val="00FF630C"/>
    <w:rsid w:val="00FF6356"/>
    <w:rsid w:val="00FF6381"/>
    <w:rsid w:val="00FF642C"/>
    <w:rsid w:val="00FF645C"/>
    <w:rsid w:val="00FF654B"/>
    <w:rsid w:val="00FF6566"/>
    <w:rsid w:val="00FF6569"/>
    <w:rsid w:val="00FF671B"/>
    <w:rsid w:val="00FF677D"/>
    <w:rsid w:val="00FF6789"/>
    <w:rsid w:val="00FF68C2"/>
    <w:rsid w:val="00FF698C"/>
    <w:rsid w:val="00FF6AB4"/>
    <w:rsid w:val="00FF6B3B"/>
    <w:rsid w:val="00FF6B47"/>
    <w:rsid w:val="00FF6BB0"/>
    <w:rsid w:val="00FF6C3C"/>
    <w:rsid w:val="00FF6C7D"/>
    <w:rsid w:val="00FF6E4A"/>
    <w:rsid w:val="00FF6F13"/>
    <w:rsid w:val="00FF6F3B"/>
    <w:rsid w:val="00FF7132"/>
    <w:rsid w:val="00FF71F0"/>
    <w:rsid w:val="00FF732A"/>
    <w:rsid w:val="00FF7485"/>
    <w:rsid w:val="00FF74A8"/>
    <w:rsid w:val="00FF75B9"/>
    <w:rsid w:val="00FF7894"/>
    <w:rsid w:val="00FF78FB"/>
    <w:rsid w:val="00FF7920"/>
    <w:rsid w:val="00FF7991"/>
    <w:rsid w:val="00FF7A9F"/>
    <w:rsid w:val="00FF7C59"/>
    <w:rsid w:val="00FF7CD5"/>
    <w:rsid w:val="00FF7D80"/>
    <w:rsid w:val="00FF7DFC"/>
    <w:rsid w:val="00FF7E59"/>
    <w:rsid w:val="00FF7EB2"/>
    <w:rsid w:val="00FF7EBC"/>
    <w:rsid w:val="00FF7FE4"/>
    <w:rsid w:val="01C8A444"/>
    <w:rsid w:val="031371ED"/>
    <w:rsid w:val="04ADE6F3"/>
    <w:rsid w:val="04C6664D"/>
    <w:rsid w:val="04D6F311"/>
    <w:rsid w:val="0580A504"/>
    <w:rsid w:val="068261D5"/>
    <w:rsid w:val="075CB095"/>
    <w:rsid w:val="08224CFE"/>
    <w:rsid w:val="098C5D54"/>
    <w:rsid w:val="0A0AFE25"/>
    <w:rsid w:val="0F8E6D62"/>
    <w:rsid w:val="106FC291"/>
    <w:rsid w:val="133FC45C"/>
    <w:rsid w:val="16193418"/>
    <w:rsid w:val="16510D24"/>
    <w:rsid w:val="18CEC7EA"/>
    <w:rsid w:val="1CCD6CAA"/>
    <w:rsid w:val="1EFE5717"/>
    <w:rsid w:val="1F1D4BA5"/>
    <w:rsid w:val="20DD330E"/>
    <w:rsid w:val="24C88CC8"/>
    <w:rsid w:val="254BD7BF"/>
    <w:rsid w:val="26A08860"/>
    <w:rsid w:val="2C2A6B3A"/>
    <w:rsid w:val="2DCB6439"/>
    <w:rsid w:val="2FF08CBD"/>
    <w:rsid w:val="30864876"/>
    <w:rsid w:val="310EFE52"/>
    <w:rsid w:val="325A32F0"/>
    <w:rsid w:val="33A085D7"/>
    <w:rsid w:val="36376D58"/>
    <w:rsid w:val="3640D5FF"/>
    <w:rsid w:val="375DD8D5"/>
    <w:rsid w:val="3789C6D0"/>
    <w:rsid w:val="3790827D"/>
    <w:rsid w:val="383F2233"/>
    <w:rsid w:val="3ADDA37E"/>
    <w:rsid w:val="3BD5D9C2"/>
    <w:rsid w:val="3E380EEA"/>
    <w:rsid w:val="4061990E"/>
    <w:rsid w:val="4091A607"/>
    <w:rsid w:val="43599168"/>
    <w:rsid w:val="43CA23D0"/>
    <w:rsid w:val="4840B36C"/>
    <w:rsid w:val="48C971E7"/>
    <w:rsid w:val="49576D5B"/>
    <w:rsid w:val="4B78BB80"/>
    <w:rsid w:val="4C01435C"/>
    <w:rsid w:val="4FB372D4"/>
    <w:rsid w:val="52B00A20"/>
    <w:rsid w:val="537FF40A"/>
    <w:rsid w:val="54302E55"/>
    <w:rsid w:val="5555CEFA"/>
    <w:rsid w:val="575212F2"/>
    <w:rsid w:val="5919CAC5"/>
    <w:rsid w:val="5A7CA809"/>
    <w:rsid w:val="5B080CC6"/>
    <w:rsid w:val="5B36A781"/>
    <w:rsid w:val="5D5BDDF5"/>
    <w:rsid w:val="5E2A6579"/>
    <w:rsid w:val="618C9E2F"/>
    <w:rsid w:val="668B168D"/>
    <w:rsid w:val="69395A86"/>
    <w:rsid w:val="69C079D9"/>
    <w:rsid w:val="69F28FBB"/>
    <w:rsid w:val="6A0F7034"/>
    <w:rsid w:val="6C102ACE"/>
    <w:rsid w:val="6C93F3D3"/>
    <w:rsid w:val="6D4029B5"/>
    <w:rsid w:val="6D6463F7"/>
    <w:rsid w:val="6E7DBFB9"/>
    <w:rsid w:val="71E814C3"/>
    <w:rsid w:val="7374AA01"/>
    <w:rsid w:val="74348805"/>
    <w:rsid w:val="79310A36"/>
    <w:rsid w:val="799CFFC3"/>
    <w:rsid w:val="79C0C29C"/>
    <w:rsid w:val="7ACF21DF"/>
    <w:rsid w:val="7B95369F"/>
    <w:rsid w:val="7C677CF8"/>
    <w:rsid w:val="7D111E6D"/>
    <w:rsid w:val="7D17D9A9"/>
    <w:rsid w:val="7EBE606D"/>
    <w:rsid w:val="7F615DDA"/>
    <w:rsid w:val="7F67C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A252F7"/>
  <w15:docId w15:val="{3A00F984-4CE4-425D-8C47-3B5BBF763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nhideWhenUsed/>
    <w:rsid w:val="00443109"/>
    <w:pPr>
      <w:numPr>
        <w:numId w:val="1"/>
      </w:numPr>
      <w:contextualSpacing/>
    </w:pPr>
  </w:style>
  <w:style w:type="paragraph" w:styleId="ListBullet2">
    <w:name w:val="List Bullet 2"/>
    <w:basedOn w:val="Normal"/>
    <w:unhideWhenUsed/>
    <w:rsid w:val="00443109"/>
    <w:pPr>
      <w:numPr>
        <w:numId w:val="2"/>
      </w:numPr>
      <w:contextualSpacing/>
    </w:pPr>
  </w:style>
  <w:style w:type="paragraph" w:styleId="ListBullet3">
    <w:name w:val="List Bullet 3"/>
    <w:basedOn w:val="Normal"/>
    <w:unhideWhenUsed/>
    <w:rsid w:val="00443109"/>
    <w:pPr>
      <w:numPr>
        <w:numId w:val="3"/>
      </w:numPr>
      <w:contextualSpacing/>
    </w:pPr>
  </w:style>
  <w:style w:type="paragraph" w:styleId="ListBullet4">
    <w:name w:val="List Bullet 4"/>
    <w:basedOn w:val="Normal"/>
    <w:unhideWhenUsed/>
    <w:rsid w:val="00443109"/>
    <w:pPr>
      <w:numPr>
        <w:numId w:val="4"/>
      </w:numPr>
      <w:contextualSpacing/>
    </w:pPr>
  </w:style>
  <w:style w:type="paragraph" w:styleId="ListNumber">
    <w:name w:val="List Number"/>
    <w:basedOn w:val="Normal"/>
    <w:rsid w:val="00DB7B8A"/>
    <w:pPr>
      <w:numPr>
        <w:numId w:val="9"/>
      </w:numPr>
      <w:tabs>
        <w:tab w:val="num" w:pos="360"/>
      </w:tabs>
      <w:ind w:left="0" w:firstLine="0"/>
    </w:pPr>
    <w:rPr>
      <w:rFonts w:eastAsia="Times New Roman"/>
      <w:lang w:eastAsia="de-DE"/>
    </w:rPr>
  </w:style>
  <w:style w:type="paragraph" w:customStyle="1" w:styleId="ListBullet1">
    <w:name w:val="List Bullet 1"/>
    <w:basedOn w:val="Normal"/>
    <w:rsid w:val="00DB7B8A"/>
    <w:pPr>
      <w:numPr>
        <w:numId w:val="5"/>
      </w:numPr>
    </w:pPr>
    <w:rPr>
      <w:rFonts w:eastAsia="Times New Roman"/>
      <w:lang w:eastAsia="de-DE"/>
    </w:rPr>
  </w:style>
  <w:style w:type="paragraph" w:customStyle="1" w:styleId="ListDash">
    <w:name w:val="List Dash"/>
    <w:basedOn w:val="Normal"/>
    <w:rsid w:val="00DB7B8A"/>
    <w:pPr>
      <w:numPr>
        <w:numId w:val="6"/>
      </w:numPr>
      <w:tabs>
        <w:tab w:val="num" w:pos="360"/>
      </w:tabs>
      <w:ind w:left="0" w:firstLine="0"/>
    </w:pPr>
    <w:rPr>
      <w:rFonts w:eastAsia="Times New Roman"/>
      <w:lang w:eastAsia="de-DE"/>
    </w:rPr>
  </w:style>
  <w:style w:type="paragraph" w:customStyle="1" w:styleId="ListDash1">
    <w:name w:val="List Dash 1"/>
    <w:basedOn w:val="Normal"/>
    <w:rsid w:val="00DB7B8A"/>
    <w:pPr>
      <w:numPr>
        <w:numId w:val="7"/>
      </w:numPr>
    </w:pPr>
    <w:rPr>
      <w:rFonts w:eastAsia="Times New Roman"/>
      <w:lang w:eastAsia="de-DE"/>
    </w:rPr>
  </w:style>
  <w:style w:type="paragraph" w:customStyle="1" w:styleId="ListDash2">
    <w:name w:val="List Dash 2"/>
    <w:basedOn w:val="Normal"/>
    <w:rsid w:val="00DB7B8A"/>
    <w:pPr>
      <w:numPr>
        <w:numId w:val="8"/>
      </w:numPr>
    </w:pPr>
    <w:rPr>
      <w:rFonts w:eastAsia="Times New Roman"/>
      <w:lang w:eastAsia="de-DE"/>
    </w:rPr>
  </w:style>
  <w:style w:type="paragraph" w:customStyle="1" w:styleId="ListNumberLevel2">
    <w:name w:val="List Number (Level 2)"/>
    <w:basedOn w:val="Normal"/>
    <w:rsid w:val="00DB7B8A"/>
    <w:pPr>
      <w:numPr>
        <w:ilvl w:val="1"/>
        <w:numId w:val="9"/>
      </w:numPr>
    </w:pPr>
    <w:rPr>
      <w:rFonts w:eastAsia="Times New Roman"/>
      <w:lang w:eastAsia="de-DE"/>
    </w:rPr>
  </w:style>
  <w:style w:type="paragraph" w:customStyle="1" w:styleId="ListNumberLevel3">
    <w:name w:val="List Number (Level 3)"/>
    <w:basedOn w:val="Normal"/>
    <w:rsid w:val="00DB7B8A"/>
    <w:pPr>
      <w:numPr>
        <w:ilvl w:val="2"/>
        <w:numId w:val="9"/>
      </w:numPr>
    </w:pPr>
    <w:rPr>
      <w:rFonts w:eastAsia="Times New Roman"/>
      <w:lang w:eastAsia="de-DE"/>
    </w:rPr>
  </w:style>
  <w:style w:type="paragraph" w:customStyle="1" w:styleId="ListNumberLevel4">
    <w:name w:val="List Number (Level 4)"/>
    <w:basedOn w:val="Normal"/>
    <w:rsid w:val="00DB7B8A"/>
    <w:pPr>
      <w:numPr>
        <w:ilvl w:val="3"/>
        <w:numId w:val="9"/>
      </w:numPr>
    </w:pPr>
    <w:rPr>
      <w:rFonts w:eastAsia="Times New Roman"/>
      <w:lang w:eastAsia="de-DE"/>
    </w:rPr>
  </w:style>
  <w:style w:type="table" w:styleId="TableGrid">
    <w:name w:val="Table Grid"/>
    <w:basedOn w:val="TableNormal"/>
    <w:rsid w:val="00DB7B8A"/>
    <w:pPr>
      <w:spacing w:before="120" w:after="120" w:line="240" w:lineRule="auto"/>
      <w:jc w:val="both"/>
    </w:pPr>
    <w:rPr>
      <w:rFonts w:ascii="Times New Roman" w:eastAsia="Times New Roman" w:hAnsi="Times New Roman" w:cs="Times New Roman"/>
      <w:sz w:val="20"/>
      <w:szCs w:val="20"/>
      <w:lang w:eastAsia="en-IE"/>
    </w:rPr>
    <w:tblPr>
      <w:tblCellMar>
        <w:left w:w="0" w:type="dxa"/>
        <w:right w:w="0" w:type="dxa"/>
      </w:tblCellMar>
    </w:tblPr>
  </w:style>
  <w:style w:type="character" w:styleId="Hyperlink">
    <w:name w:val="Hyperlink"/>
    <w:uiPriority w:val="99"/>
    <w:rsid w:val="00DB7B8A"/>
    <w:rPr>
      <w:color w:val="0000FF"/>
      <w:u w:val="single"/>
    </w:rPr>
  </w:style>
  <w:style w:type="paragraph" w:styleId="ListNumber2">
    <w:name w:val="List Number 2"/>
    <w:basedOn w:val="Normal"/>
    <w:rsid w:val="00DB7B8A"/>
    <w:pPr>
      <w:numPr>
        <w:numId w:val="13"/>
      </w:numPr>
      <w:ind w:left="0" w:firstLine="0"/>
    </w:pPr>
    <w:rPr>
      <w:rFonts w:eastAsia="Times New Roman"/>
      <w:lang w:eastAsia="en-GB"/>
    </w:rPr>
  </w:style>
  <w:style w:type="paragraph" w:styleId="ListNumber3">
    <w:name w:val="List Number 3"/>
    <w:basedOn w:val="Normal"/>
    <w:rsid w:val="00DB7B8A"/>
    <w:pPr>
      <w:numPr>
        <w:numId w:val="14"/>
      </w:numPr>
      <w:tabs>
        <w:tab w:val="num" w:pos="360"/>
      </w:tabs>
      <w:ind w:left="0" w:firstLine="0"/>
    </w:pPr>
    <w:rPr>
      <w:rFonts w:eastAsia="Times New Roman"/>
      <w:lang w:eastAsia="en-GB"/>
    </w:rPr>
  </w:style>
  <w:style w:type="paragraph" w:styleId="ListNumber4">
    <w:name w:val="List Number 4"/>
    <w:basedOn w:val="Normal"/>
    <w:rsid w:val="00DB7B8A"/>
    <w:pPr>
      <w:numPr>
        <w:numId w:val="15"/>
      </w:numPr>
      <w:tabs>
        <w:tab w:val="num" w:pos="360"/>
      </w:tabs>
      <w:ind w:left="0" w:firstLine="0"/>
    </w:pPr>
    <w:rPr>
      <w:rFonts w:eastAsia="Times New Roman"/>
      <w:lang w:eastAsia="en-GB"/>
    </w:rPr>
  </w:style>
  <w:style w:type="paragraph" w:customStyle="1" w:styleId="ListDash3">
    <w:name w:val="List Dash 3"/>
    <w:basedOn w:val="Normal"/>
    <w:rsid w:val="00DB7B8A"/>
    <w:pPr>
      <w:numPr>
        <w:numId w:val="10"/>
      </w:numPr>
      <w:tabs>
        <w:tab w:val="num" w:pos="360"/>
      </w:tabs>
      <w:ind w:left="0" w:firstLine="0"/>
    </w:pPr>
    <w:rPr>
      <w:rFonts w:eastAsia="Times New Roman"/>
      <w:lang w:eastAsia="en-GB"/>
    </w:rPr>
  </w:style>
  <w:style w:type="paragraph" w:customStyle="1" w:styleId="ListDash4">
    <w:name w:val="List Dash 4"/>
    <w:basedOn w:val="Normal"/>
    <w:rsid w:val="00DB7B8A"/>
    <w:pPr>
      <w:numPr>
        <w:numId w:val="11"/>
      </w:numPr>
      <w:tabs>
        <w:tab w:val="num" w:pos="360"/>
      </w:tabs>
      <w:ind w:left="0" w:firstLine="0"/>
    </w:pPr>
    <w:rPr>
      <w:rFonts w:eastAsia="Times New Roman"/>
      <w:lang w:eastAsia="en-GB"/>
    </w:rPr>
  </w:style>
  <w:style w:type="paragraph" w:customStyle="1" w:styleId="ListNumber1">
    <w:name w:val="List Number 1"/>
    <w:basedOn w:val="Text1"/>
    <w:rsid w:val="00DB7B8A"/>
    <w:pPr>
      <w:numPr>
        <w:numId w:val="12"/>
      </w:numPr>
      <w:ind w:left="850" w:firstLine="0"/>
    </w:pPr>
    <w:rPr>
      <w:rFonts w:eastAsia="Times New Roman"/>
      <w:lang w:eastAsia="en-GB"/>
    </w:rPr>
  </w:style>
  <w:style w:type="paragraph" w:customStyle="1" w:styleId="ListNumber1Level2">
    <w:name w:val="List Number 1 (Level 2)"/>
    <w:basedOn w:val="Text1"/>
    <w:rsid w:val="00DB7B8A"/>
    <w:pPr>
      <w:numPr>
        <w:ilvl w:val="1"/>
        <w:numId w:val="12"/>
      </w:numPr>
    </w:pPr>
    <w:rPr>
      <w:rFonts w:eastAsia="Times New Roman"/>
      <w:lang w:eastAsia="en-GB"/>
    </w:rPr>
  </w:style>
  <w:style w:type="paragraph" w:customStyle="1" w:styleId="ListNumber2Level2">
    <w:name w:val="List Number 2 (Level 2)"/>
    <w:basedOn w:val="Text2"/>
    <w:rsid w:val="00DB7B8A"/>
    <w:pPr>
      <w:numPr>
        <w:ilvl w:val="1"/>
        <w:numId w:val="13"/>
      </w:numPr>
    </w:pPr>
    <w:rPr>
      <w:rFonts w:eastAsia="Times New Roman"/>
      <w:lang w:eastAsia="en-GB"/>
    </w:rPr>
  </w:style>
  <w:style w:type="paragraph" w:customStyle="1" w:styleId="ListNumber3Level2">
    <w:name w:val="List Number 3 (Level 2)"/>
    <w:basedOn w:val="Text3"/>
    <w:rsid w:val="00DB7B8A"/>
    <w:pPr>
      <w:numPr>
        <w:ilvl w:val="1"/>
        <w:numId w:val="14"/>
      </w:numPr>
    </w:pPr>
    <w:rPr>
      <w:rFonts w:eastAsia="Times New Roman"/>
      <w:lang w:eastAsia="en-GB"/>
    </w:rPr>
  </w:style>
  <w:style w:type="paragraph" w:customStyle="1" w:styleId="ListNumber4Level2">
    <w:name w:val="List Number 4 (Level 2)"/>
    <w:basedOn w:val="Text4"/>
    <w:rsid w:val="00DB7B8A"/>
    <w:pPr>
      <w:numPr>
        <w:ilvl w:val="1"/>
        <w:numId w:val="15"/>
      </w:numPr>
    </w:pPr>
    <w:rPr>
      <w:rFonts w:eastAsia="Times New Roman"/>
      <w:lang w:eastAsia="en-GB"/>
    </w:rPr>
  </w:style>
  <w:style w:type="paragraph" w:customStyle="1" w:styleId="ListNumber1Level3">
    <w:name w:val="List Number 1 (Level 3)"/>
    <w:basedOn w:val="Text1"/>
    <w:rsid w:val="00DB7B8A"/>
    <w:pPr>
      <w:numPr>
        <w:ilvl w:val="2"/>
        <w:numId w:val="12"/>
      </w:numPr>
    </w:pPr>
    <w:rPr>
      <w:rFonts w:eastAsia="Times New Roman"/>
      <w:lang w:eastAsia="en-GB"/>
    </w:rPr>
  </w:style>
  <w:style w:type="paragraph" w:customStyle="1" w:styleId="ListNumber2Level3">
    <w:name w:val="List Number 2 (Level 3)"/>
    <w:basedOn w:val="Text2"/>
    <w:rsid w:val="00DB7B8A"/>
    <w:pPr>
      <w:numPr>
        <w:ilvl w:val="2"/>
        <w:numId w:val="13"/>
      </w:numPr>
    </w:pPr>
    <w:rPr>
      <w:rFonts w:eastAsia="Times New Roman"/>
      <w:lang w:eastAsia="en-GB"/>
    </w:rPr>
  </w:style>
  <w:style w:type="paragraph" w:customStyle="1" w:styleId="ListNumber3Level3">
    <w:name w:val="List Number 3 (Level 3)"/>
    <w:basedOn w:val="Text3"/>
    <w:rsid w:val="00DB7B8A"/>
    <w:pPr>
      <w:numPr>
        <w:ilvl w:val="2"/>
        <w:numId w:val="14"/>
      </w:numPr>
    </w:pPr>
    <w:rPr>
      <w:rFonts w:eastAsia="Times New Roman"/>
      <w:lang w:eastAsia="en-GB"/>
    </w:rPr>
  </w:style>
  <w:style w:type="paragraph" w:customStyle="1" w:styleId="ListNumber4Level3">
    <w:name w:val="List Number 4 (Level 3)"/>
    <w:basedOn w:val="Text4"/>
    <w:rsid w:val="00DB7B8A"/>
    <w:pPr>
      <w:numPr>
        <w:ilvl w:val="2"/>
        <w:numId w:val="15"/>
      </w:numPr>
    </w:pPr>
    <w:rPr>
      <w:rFonts w:eastAsia="Times New Roman"/>
      <w:lang w:eastAsia="en-GB"/>
    </w:rPr>
  </w:style>
  <w:style w:type="paragraph" w:customStyle="1" w:styleId="ListNumber1Level4">
    <w:name w:val="List Number 1 (Level 4)"/>
    <w:basedOn w:val="Text1"/>
    <w:rsid w:val="00DB7B8A"/>
    <w:pPr>
      <w:numPr>
        <w:ilvl w:val="3"/>
        <w:numId w:val="12"/>
      </w:numPr>
    </w:pPr>
    <w:rPr>
      <w:rFonts w:eastAsia="Times New Roman"/>
      <w:lang w:eastAsia="en-GB"/>
    </w:rPr>
  </w:style>
  <w:style w:type="paragraph" w:customStyle="1" w:styleId="ListNumber2Level4">
    <w:name w:val="List Number 2 (Level 4)"/>
    <w:basedOn w:val="Text2"/>
    <w:rsid w:val="00DB7B8A"/>
    <w:pPr>
      <w:numPr>
        <w:ilvl w:val="3"/>
        <w:numId w:val="13"/>
      </w:numPr>
    </w:pPr>
    <w:rPr>
      <w:rFonts w:eastAsia="Times New Roman"/>
      <w:lang w:eastAsia="en-GB"/>
    </w:rPr>
  </w:style>
  <w:style w:type="paragraph" w:customStyle="1" w:styleId="ListNumber3Level4">
    <w:name w:val="List Number 3 (Level 4)"/>
    <w:basedOn w:val="Text3"/>
    <w:rsid w:val="00DB7B8A"/>
    <w:pPr>
      <w:numPr>
        <w:ilvl w:val="3"/>
        <w:numId w:val="14"/>
      </w:numPr>
    </w:pPr>
    <w:rPr>
      <w:rFonts w:eastAsia="Times New Roman"/>
      <w:lang w:eastAsia="en-GB"/>
    </w:rPr>
  </w:style>
  <w:style w:type="paragraph" w:customStyle="1" w:styleId="ListNumber4Level4">
    <w:name w:val="List Number 4 (Level 4)"/>
    <w:basedOn w:val="Text4"/>
    <w:rsid w:val="00DB7B8A"/>
    <w:pPr>
      <w:numPr>
        <w:ilvl w:val="3"/>
        <w:numId w:val="15"/>
      </w:numPr>
    </w:pPr>
    <w:rPr>
      <w:rFonts w:eastAsia="Times New Roman"/>
      <w:lang w:eastAsia="en-GB"/>
    </w:rPr>
  </w:style>
  <w:style w:type="paragraph" w:customStyle="1" w:styleId="Annexetitreacte">
    <w:name w:val="Annexe titre (acte)"/>
    <w:basedOn w:val="Normal"/>
    <w:next w:val="Normal"/>
    <w:rsid w:val="00DB7B8A"/>
    <w:pPr>
      <w:jc w:val="center"/>
    </w:pPr>
    <w:rPr>
      <w:rFonts w:eastAsia="Times New Roman"/>
      <w:b/>
      <w:u w:val="single"/>
      <w:lang w:eastAsia="en-GB"/>
    </w:rPr>
  </w:style>
  <w:style w:type="paragraph" w:customStyle="1" w:styleId="Annexetitreexposglobal">
    <w:name w:val="Annexe titre (exposé global)"/>
    <w:basedOn w:val="Normal"/>
    <w:next w:val="Normal"/>
    <w:rsid w:val="00DB7B8A"/>
    <w:pPr>
      <w:jc w:val="center"/>
    </w:pPr>
    <w:rPr>
      <w:rFonts w:eastAsia="Times New Roman"/>
      <w:b/>
      <w:u w:val="single"/>
      <w:lang w:eastAsia="en-GB"/>
    </w:rPr>
  </w:style>
  <w:style w:type="paragraph" w:customStyle="1" w:styleId="Annexetitrefichefinacte">
    <w:name w:val="Annexe titre (fiche fin. acte)"/>
    <w:basedOn w:val="Normal"/>
    <w:next w:val="Normal"/>
    <w:rsid w:val="00DB7B8A"/>
    <w:pPr>
      <w:jc w:val="center"/>
    </w:pPr>
    <w:rPr>
      <w:rFonts w:eastAsia="Times New Roman"/>
      <w:b/>
      <w:u w:val="single"/>
      <w:lang w:eastAsia="en-GB"/>
    </w:rPr>
  </w:style>
  <w:style w:type="paragraph" w:customStyle="1" w:styleId="Annexetitrefichefinglobale">
    <w:name w:val="Annexe titre (fiche fin. globale)"/>
    <w:basedOn w:val="Normal"/>
    <w:next w:val="Normal"/>
    <w:rsid w:val="00DB7B8A"/>
    <w:pPr>
      <w:jc w:val="center"/>
    </w:pPr>
    <w:rPr>
      <w:rFonts w:eastAsia="Times New Roman"/>
      <w:b/>
      <w:u w:val="single"/>
      <w:lang w:eastAsia="en-GB"/>
    </w:rPr>
  </w:style>
  <w:style w:type="paragraph" w:customStyle="1" w:styleId="Annexetitreglobale">
    <w:name w:val="Annexe titre (globale)"/>
    <w:basedOn w:val="Normal"/>
    <w:next w:val="Normal"/>
    <w:rsid w:val="00DB7B8A"/>
    <w:pPr>
      <w:jc w:val="center"/>
    </w:pPr>
    <w:rPr>
      <w:rFonts w:eastAsia="Times New Roman"/>
      <w:b/>
      <w:u w:val="single"/>
      <w:lang w:eastAsia="en-GB"/>
    </w:rPr>
  </w:style>
  <w:style w:type="paragraph" w:customStyle="1" w:styleId="Exposdesmotifstitreglobal">
    <w:name w:val="Exposé des motifs titre (global)"/>
    <w:basedOn w:val="Normal"/>
    <w:next w:val="Normal"/>
    <w:rsid w:val="00DB7B8A"/>
    <w:pPr>
      <w:jc w:val="center"/>
    </w:pPr>
    <w:rPr>
      <w:rFonts w:eastAsia="Times New Roman"/>
      <w:b/>
      <w:u w:val="single"/>
      <w:lang w:eastAsia="en-GB"/>
    </w:rPr>
  </w:style>
  <w:style w:type="paragraph" w:customStyle="1" w:styleId="Langueoriginale">
    <w:name w:val="Langue originale"/>
    <w:basedOn w:val="Normal"/>
    <w:rsid w:val="00DB7B8A"/>
    <w:pPr>
      <w:spacing w:before="360"/>
      <w:jc w:val="center"/>
    </w:pPr>
    <w:rPr>
      <w:rFonts w:eastAsia="Times New Roman"/>
      <w:caps/>
      <w:lang w:eastAsia="en-GB"/>
    </w:rPr>
  </w:style>
  <w:style w:type="paragraph" w:customStyle="1" w:styleId="Phrasefinale">
    <w:name w:val="Phrase finale"/>
    <w:basedOn w:val="Normal"/>
    <w:next w:val="Normal"/>
    <w:rsid w:val="00DB7B8A"/>
    <w:pPr>
      <w:spacing w:before="360" w:after="0"/>
      <w:jc w:val="center"/>
    </w:pPr>
    <w:rPr>
      <w:rFonts w:eastAsia="Times New Roman"/>
      <w:lang w:eastAsia="en-GB"/>
    </w:rPr>
  </w:style>
  <w:style w:type="paragraph" w:customStyle="1" w:styleId="Prliminairetitre">
    <w:name w:val="Préliminaire titre"/>
    <w:basedOn w:val="Normal"/>
    <w:next w:val="Normal"/>
    <w:rsid w:val="00DB7B8A"/>
    <w:pPr>
      <w:spacing w:before="360" w:after="360"/>
      <w:jc w:val="center"/>
    </w:pPr>
    <w:rPr>
      <w:rFonts w:eastAsia="Times New Roman"/>
      <w:b/>
      <w:lang w:eastAsia="en-GB"/>
    </w:rPr>
  </w:style>
  <w:style w:type="paragraph" w:customStyle="1" w:styleId="Prliminairetype">
    <w:name w:val="Préliminaire type"/>
    <w:basedOn w:val="Normal"/>
    <w:next w:val="Normal"/>
    <w:rsid w:val="00DB7B8A"/>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DB7B8A"/>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DB7B8A"/>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DB7B8A"/>
    <w:pPr>
      <w:spacing w:before="0" w:after="0"/>
      <w:ind w:left="5103"/>
      <w:jc w:val="left"/>
    </w:pPr>
    <w:rPr>
      <w:rFonts w:eastAsia="Times New Roman"/>
      <w:lang w:eastAsia="en-GB"/>
    </w:rPr>
  </w:style>
  <w:style w:type="paragraph" w:customStyle="1" w:styleId="Sous-titreobjetprliminaire">
    <w:name w:val="Sous-titre objet (préliminaire)"/>
    <w:basedOn w:val="Normal"/>
    <w:rsid w:val="00DB7B8A"/>
    <w:pPr>
      <w:spacing w:before="0" w:after="0"/>
      <w:jc w:val="center"/>
    </w:pPr>
    <w:rPr>
      <w:rFonts w:eastAsia="Times New Roman"/>
      <w:b/>
      <w:lang w:eastAsia="en-GB"/>
    </w:rPr>
  </w:style>
  <w:style w:type="paragraph" w:customStyle="1" w:styleId="Statutprliminaire">
    <w:name w:val="Statut (préliminaire)"/>
    <w:basedOn w:val="Normal"/>
    <w:next w:val="Normal"/>
    <w:rsid w:val="00DB7B8A"/>
    <w:pPr>
      <w:spacing w:before="360" w:after="0"/>
      <w:jc w:val="center"/>
    </w:pPr>
    <w:rPr>
      <w:rFonts w:eastAsia="Times New Roman"/>
      <w:lang w:eastAsia="en-GB"/>
    </w:rPr>
  </w:style>
  <w:style w:type="paragraph" w:customStyle="1" w:styleId="Titreobjetprliminaire">
    <w:name w:val="Titre objet (préliminaire)"/>
    <w:basedOn w:val="Normal"/>
    <w:next w:val="Normal"/>
    <w:rsid w:val="00DB7B8A"/>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DB7B8A"/>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DB7B8A"/>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DB7B8A"/>
    <w:pPr>
      <w:jc w:val="center"/>
    </w:pPr>
    <w:rPr>
      <w:rFonts w:eastAsia="Times New Roman"/>
      <w:b/>
      <w:u w:val="single"/>
      <w:lang w:eastAsia="en-GB"/>
    </w:rPr>
  </w:style>
  <w:style w:type="paragraph" w:customStyle="1" w:styleId="Fichefinanciretravailtitre">
    <w:name w:val="Fiche financière (travail) titre"/>
    <w:basedOn w:val="Normal"/>
    <w:next w:val="Normal"/>
    <w:rsid w:val="00DB7B8A"/>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DB7B8A"/>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DB7B8A"/>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DB7B8A"/>
    <w:pPr>
      <w:jc w:val="center"/>
    </w:pPr>
    <w:rPr>
      <w:rFonts w:eastAsia="Times New Roman"/>
      <w:b/>
      <w:u w:val="single"/>
      <w:lang w:eastAsia="en-GB"/>
    </w:rPr>
  </w:style>
  <w:style w:type="character" w:styleId="CommentReference">
    <w:name w:val="annotation reference"/>
    <w:uiPriority w:val="99"/>
    <w:rsid w:val="00DB7B8A"/>
    <w:rPr>
      <w:rFonts w:cs="Times New Roman"/>
      <w:sz w:val="16"/>
      <w:szCs w:val="16"/>
    </w:rPr>
  </w:style>
  <w:style w:type="paragraph" w:styleId="CommentText">
    <w:name w:val="annotation text"/>
    <w:basedOn w:val="Normal"/>
    <w:link w:val="CommentTextChar"/>
    <w:uiPriority w:val="99"/>
    <w:rsid w:val="00DB7B8A"/>
    <w:rPr>
      <w:rFonts w:eastAsia="Times New Roman"/>
      <w:sz w:val="20"/>
      <w:szCs w:val="20"/>
      <w:lang w:eastAsia="en-GB"/>
    </w:rPr>
  </w:style>
  <w:style w:type="character" w:customStyle="1" w:styleId="CommentTextChar">
    <w:name w:val="Comment Text Char"/>
    <w:basedOn w:val="DefaultParagraphFont"/>
    <w:link w:val="CommentText"/>
    <w:uiPriority w:val="99"/>
    <w:rsid w:val="00DB7B8A"/>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DB7B8A"/>
    <w:rPr>
      <w:b/>
      <w:bCs/>
    </w:rPr>
  </w:style>
  <w:style w:type="character" w:customStyle="1" w:styleId="CommentSubjectChar">
    <w:name w:val="Comment Subject Char"/>
    <w:basedOn w:val="CommentTextChar"/>
    <w:link w:val="CommentSubject"/>
    <w:rsid w:val="00DB7B8A"/>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DB7B8A"/>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DB7B8A"/>
    <w:rPr>
      <w:rFonts w:ascii="Tahoma" w:eastAsia="Times New Roman" w:hAnsi="Tahoma" w:cs="Tahoma"/>
      <w:sz w:val="16"/>
      <w:szCs w:val="16"/>
      <w:lang w:val="fr-FR" w:eastAsia="en-GB"/>
    </w:rPr>
  </w:style>
  <w:style w:type="paragraph" w:styleId="Caption">
    <w:name w:val="caption"/>
    <w:basedOn w:val="Normal"/>
    <w:next w:val="Normal"/>
    <w:qFormat/>
    <w:rsid w:val="00DB7B8A"/>
    <w:rPr>
      <w:rFonts w:eastAsia="Times New Roman"/>
      <w:b/>
      <w:bCs/>
      <w:sz w:val="20"/>
      <w:szCs w:val="20"/>
      <w:lang w:eastAsia="en-GB"/>
    </w:rPr>
  </w:style>
  <w:style w:type="paragraph" w:styleId="TableofFigures">
    <w:name w:val="table of figures"/>
    <w:basedOn w:val="Normal"/>
    <w:next w:val="Normal"/>
    <w:rsid w:val="00DB7B8A"/>
    <w:rPr>
      <w:rFonts w:eastAsia="Times New Roman"/>
      <w:lang w:eastAsia="en-GB"/>
    </w:rPr>
  </w:style>
  <w:style w:type="character" w:styleId="PageNumber">
    <w:name w:val="page number"/>
    <w:rsid w:val="00DB7B8A"/>
  </w:style>
  <w:style w:type="character" w:customStyle="1" w:styleId="tw4winMark">
    <w:name w:val="tw4winMark"/>
    <w:rsid w:val="00DB7B8A"/>
    <w:rPr>
      <w:vanish/>
      <w:color w:val="800080"/>
      <w:vertAlign w:val="subscript"/>
    </w:rPr>
  </w:style>
  <w:style w:type="character" w:styleId="FollowedHyperlink">
    <w:name w:val="FollowedHyperlink"/>
    <w:rsid w:val="00DB7B8A"/>
    <w:rPr>
      <w:color w:val="800080"/>
      <w:u w:val="single"/>
    </w:rPr>
  </w:style>
  <w:style w:type="paragraph" w:customStyle="1" w:styleId="Sous-titreobjet">
    <w:name w:val="Sous-titre objet"/>
    <w:basedOn w:val="Normal"/>
    <w:rsid w:val="00DB7B8A"/>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DB7B8A"/>
  </w:style>
  <w:style w:type="paragraph" w:styleId="Revision">
    <w:name w:val="Revision"/>
    <w:hidden/>
    <w:uiPriority w:val="99"/>
    <w:semiHidden/>
    <w:rsid w:val="00DB7B8A"/>
    <w:rPr>
      <w:rFonts w:ascii="Calibri" w:eastAsia="Calibri" w:hAnsi="Calibri" w:cs="Times New Roman"/>
      <w:sz w:val="24"/>
      <w:lang w:eastAsia="en-GB"/>
    </w:rPr>
  </w:style>
  <w:style w:type="paragraph" w:customStyle="1" w:styleId="FooterCoverPage">
    <w:name w:val="Footer Cover Page"/>
    <w:basedOn w:val="Normal"/>
    <w:link w:val="FooterCoverPageChar"/>
    <w:rsid w:val="00DB7B8A"/>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DB7B8A"/>
    <w:rPr>
      <w:rFonts w:ascii="Times New Roman" w:hAnsi="Times New Roman" w:cs="Times New Roman"/>
      <w:b/>
      <w:sz w:val="28"/>
      <w:lang w:val="fr-FR"/>
    </w:rPr>
  </w:style>
  <w:style w:type="character" w:customStyle="1" w:styleId="FooterCoverPageChar">
    <w:name w:val="Footer Cover Page Char"/>
    <w:link w:val="FooterCoverPage"/>
    <w:rsid w:val="00DB7B8A"/>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DB7B8A"/>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DB7B8A"/>
    <w:rPr>
      <w:rFonts w:ascii="Times New Roman" w:eastAsia="Calibri" w:hAnsi="Times New Roman" w:cs="Times New Roman"/>
      <w:sz w:val="24"/>
      <w:lang w:val="fr-FR" w:eastAsia="en-GB"/>
    </w:rPr>
  </w:style>
  <w:style w:type="character" w:customStyle="1" w:styleId="FooterSensitivityChar">
    <w:name w:val="Footer Sensitivity Char"/>
    <w:rsid w:val="00DB7B8A"/>
    <w:rPr>
      <w:rFonts w:ascii="Times New Roman" w:hAnsi="Times New Roman" w:cs="Times New Roman"/>
      <w:b/>
      <w:sz w:val="32"/>
      <w:lang w:val="fr-FR"/>
    </w:rPr>
  </w:style>
  <w:style w:type="character" w:customStyle="1" w:styleId="HeaderSensitivityChar">
    <w:name w:val="Header Sensitivity Char"/>
    <w:rsid w:val="00DB7B8A"/>
    <w:rPr>
      <w:rFonts w:ascii="Times New Roman" w:hAnsi="Times New Roman" w:cs="Times New Roman"/>
      <w:b/>
      <w:sz w:val="32"/>
      <w:lang w:val="fr-FR"/>
    </w:rPr>
  </w:style>
  <w:style w:type="character" w:customStyle="1" w:styleId="HeaderSensitivityRightChar">
    <w:name w:val="Header Sensitivity Right Char"/>
    <w:rsid w:val="00DB7B8A"/>
    <w:rPr>
      <w:rFonts w:ascii="Times New Roman" w:hAnsi="Times New Roman" w:cs="Times New Roman"/>
      <w:sz w:val="28"/>
      <w:lang w:val="fr-FR"/>
    </w:rPr>
  </w:style>
  <w:style w:type="paragraph" w:customStyle="1" w:styleId="LegalNumPar">
    <w:name w:val="LegalNumPar"/>
    <w:basedOn w:val="Normal"/>
    <w:rsid w:val="00DB7B8A"/>
    <w:pPr>
      <w:numPr>
        <w:numId w:val="16"/>
      </w:numPr>
      <w:tabs>
        <w:tab w:val="num" w:pos="360"/>
      </w:tabs>
      <w:spacing w:line="360" w:lineRule="auto"/>
      <w:ind w:left="0" w:firstLine="0"/>
    </w:pPr>
    <w:rPr>
      <w:rFonts w:eastAsia="Times New Roman"/>
      <w:lang w:eastAsia="en-GB"/>
    </w:rPr>
  </w:style>
  <w:style w:type="paragraph" w:customStyle="1" w:styleId="LegalNumPar2">
    <w:name w:val="LegalNumPar2"/>
    <w:basedOn w:val="Normal"/>
    <w:rsid w:val="00DB7B8A"/>
    <w:pPr>
      <w:numPr>
        <w:ilvl w:val="1"/>
        <w:numId w:val="16"/>
      </w:numPr>
      <w:spacing w:line="360" w:lineRule="auto"/>
    </w:pPr>
    <w:rPr>
      <w:rFonts w:eastAsia="Times New Roman"/>
      <w:lang w:eastAsia="en-GB"/>
    </w:rPr>
  </w:style>
  <w:style w:type="paragraph" w:customStyle="1" w:styleId="LegalNumPar3">
    <w:name w:val="LegalNumPar3"/>
    <w:basedOn w:val="Normal"/>
    <w:rsid w:val="00DB7B8A"/>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DB7B8A"/>
    <w:pPr>
      <w:ind w:left="720"/>
      <w:contextualSpacing/>
    </w:pPr>
    <w:rPr>
      <w:rFonts w:eastAsia="Times New Roman"/>
      <w:lang w:eastAsia="en-GB"/>
    </w:rPr>
  </w:style>
  <w:style w:type="character" w:customStyle="1" w:styleId="Mention1">
    <w:name w:val="Mention1"/>
    <w:basedOn w:val="DefaultParagraphFont"/>
    <w:uiPriority w:val="99"/>
    <w:unhideWhenUsed/>
    <w:rsid w:val="00DB7B8A"/>
    <w:rPr>
      <w:color w:val="2B579A"/>
      <w:shd w:val="clear" w:color="auto" w:fill="E1DFDD"/>
    </w:rPr>
  </w:style>
  <w:style w:type="character" w:styleId="Emphasis">
    <w:name w:val="Emphasis"/>
    <w:basedOn w:val="DefaultParagraphFont"/>
    <w:qFormat/>
    <w:rsid w:val="00DB7B8A"/>
    <w:rPr>
      <w:i/>
      <w:iCs/>
    </w:rPr>
  </w:style>
  <w:style w:type="character" w:customStyle="1" w:styleId="normaltextrun">
    <w:name w:val="normaltextrun"/>
    <w:basedOn w:val="DefaultParagraphFont"/>
    <w:rsid w:val="00DB7B8A"/>
  </w:style>
  <w:style w:type="character" w:customStyle="1" w:styleId="eop">
    <w:name w:val="eop"/>
    <w:basedOn w:val="DefaultParagraphFont"/>
    <w:rsid w:val="00DB7B8A"/>
  </w:style>
  <w:style w:type="character" w:customStyle="1" w:styleId="UnresolvedMention1">
    <w:name w:val="Unresolved Mention1"/>
    <w:basedOn w:val="DefaultParagraphFont"/>
    <w:uiPriority w:val="99"/>
    <w:unhideWhenUsed/>
    <w:rsid w:val="00DB7B8A"/>
    <w:rPr>
      <w:color w:val="605E5C"/>
      <w:shd w:val="clear" w:color="auto" w:fill="E1DFDD"/>
    </w:rPr>
  </w:style>
  <w:style w:type="table" w:customStyle="1" w:styleId="TableGrid1">
    <w:name w:val="Table Grid1"/>
    <w:basedOn w:val="TableNormal"/>
    <w:next w:val="TableGrid"/>
    <w:rsid w:val="002C65DF"/>
    <w:pPr>
      <w:spacing w:before="120" w:after="120" w:line="240" w:lineRule="auto"/>
      <w:jc w:val="both"/>
    </w:pPr>
    <w:rPr>
      <w:rFonts w:ascii="Times New Roman" w:eastAsia="Times New Roman" w:hAnsi="Times New Roman" w:cs="Times New Roman"/>
      <w:sz w:val="20"/>
      <w:szCs w:val="20"/>
      <w:lang w:eastAsia="en-IE"/>
    </w:rPr>
    <w:tblPr/>
  </w:style>
  <w:style w:type="table" w:customStyle="1" w:styleId="TableGrid2">
    <w:name w:val="Table Grid2"/>
    <w:basedOn w:val="TableNormal"/>
    <w:next w:val="TableGrid"/>
    <w:rsid w:val="00F33297"/>
    <w:pPr>
      <w:spacing w:before="120" w:after="120" w:line="240" w:lineRule="auto"/>
      <w:jc w:val="both"/>
    </w:pPr>
    <w:rPr>
      <w:rFonts w:ascii="Times New Roman" w:eastAsia="Times New Roman" w:hAnsi="Times New Roman" w:cs="Times New Roman"/>
      <w:sz w:val="20"/>
      <w:szCs w:val="20"/>
      <w:lang w:eastAsia="en-IE"/>
    </w:rPr>
    <w:tblPr/>
  </w:style>
  <w:style w:type="paragraph" w:styleId="NormalWeb">
    <w:name w:val="Normal (Web)"/>
    <w:basedOn w:val="Normal"/>
    <w:uiPriority w:val="99"/>
    <w:semiHidden/>
    <w:unhideWhenUsed/>
    <w:rsid w:val="003860FA"/>
    <w:rPr>
      <w:szCs w:val="24"/>
    </w:rPr>
  </w:style>
  <w:style w:type="character" w:customStyle="1" w:styleId="cf01">
    <w:name w:val="cf01"/>
    <w:basedOn w:val="DefaultParagraphFont"/>
    <w:rsid w:val="003860FA"/>
    <w:rPr>
      <w:rFonts w:ascii="Segoe UI" w:hAnsi="Segoe UI" w:cs="Segoe UI" w:hint="default"/>
      <w:sz w:val="18"/>
      <w:szCs w:val="18"/>
    </w:rPr>
  </w:style>
  <w:style w:type="table" w:styleId="TableGridLight">
    <w:name w:val="Grid Table Light"/>
    <w:basedOn w:val="TableNormal"/>
    <w:uiPriority w:val="40"/>
    <w:rsid w:val="00163C01"/>
    <w:pPr>
      <w:spacing w:after="0" w:line="240" w:lineRule="auto"/>
    </w:pPr>
    <w:tblPr/>
  </w:style>
  <w:style w:type="paragraph" w:styleId="EndnoteText">
    <w:name w:val="endnote text"/>
    <w:basedOn w:val="Normal"/>
    <w:link w:val="EndnoteTextChar"/>
    <w:uiPriority w:val="99"/>
    <w:semiHidden/>
    <w:unhideWhenUsed/>
    <w:rsid w:val="00365897"/>
    <w:pPr>
      <w:spacing w:before="0" w:after="0"/>
    </w:pPr>
    <w:rPr>
      <w:sz w:val="20"/>
      <w:szCs w:val="20"/>
    </w:rPr>
  </w:style>
  <w:style w:type="character" w:customStyle="1" w:styleId="EndnoteTextChar">
    <w:name w:val="Endnote Text Char"/>
    <w:basedOn w:val="DefaultParagraphFont"/>
    <w:link w:val="EndnoteText"/>
    <w:uiPriority w:val="99"/>
    <w:semiHidden/>
    <w:rsid w:val="00365897"/>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365897"/>
    <w:rPr>
      <w:vertAlign w:val="superscript"/>
    </w:rPr>
  </w:style>
  <w:style w:type="paragraph" w:customStyle="1" w:styleId="Point">
    <w:name w:val="Point"/>
    <w:basedOn w:val="Point2letter"/>
    <w:rsid w:val="00F95AD5"/>
    <w:pPr>
      <w:ind w:hanging="412"/>
    </w:pPr>
  </w:style>
  <w:style w:type="character" w:customStyle="1" w:styleId="UnresolvedMention2">
    <w:name w:val="Unresolved Mention2"/>
    <w:basedOn w:val="DefaultParagraphFont"/>
    <w:uiPriority w:val="99"/>
    <w:semiHidden/>
    <w:unhideWhenUsed/>
    <w:rsid w:val="00DF69EA"/>
    <w:rPr>
      <w:color w:val="605E5C"/>
      <w:shd w:val="clear" w:color="auto" w:fill="E1DFDD"/>
    </w:rPr>
  </w:style>
  <w:style w:type="character" w:customStyle="1" w:styleId="Marker1">
    <w:name w:val="Marker1"/>
    <w:basedOn w:val="DefaultParagraphFont"/>
    <w:rPr>
      <w:color w:val="008000"/>
      <w:shd w:val="clear" w:color="auto" w:fill="auto"/>
    </w:rPr>
  </w:style>
  <w:style w:type="character" w:customStyle="1" w:styleId="HeaderChar">
    <w:name w:val="Header Char"/>
    <w:basedOn w:val="DefaultParagraphFont"/>
    <w:link w:val="Header"/>
    <w:uiPriority w:val="99"/>
    <w:rsid w:val="003A339D"/>
    <w:rPr>
      <w:rFonts w:ascii="Times New Roman" w:hAnsi="Times New Roman" w:cs="Times New Roman"/>
      <w:sz w:val="24"/>
      <w:lang w:val="fr-FR"/>
    </w:rPr>
  </w:style>
  <w:style w:type="character" w:customStyle="1" w:styleId="FooterChar">
    <w:name w:val="Footer Char"/>
    <w:basedOn w:val="DefaultParagraphFont"/>
    <w:link w:val="Footer"/>
    <w:uiPriority w:val="99"/>
    <w:rsid w:val="003A339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A339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A339D"/>
    <w:pPr>
      <w:spacing w:before="0"/>
      <w:jc w:val="right"/>
    </w:pPr>
    <w:rPr>
      <w:sz w:val="28"/>
    </w:rPr>
  </w:style>
  <w:style w:type="paragraph" w:customStyle="1" w:styleId="FooterSensitivity">
    <w:name w:val="Footer Sensitivity"/>
    <w:basedOn w:val="Normal"/>
    <w:rsid w:val="003A339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0">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A339D"/>
    <w:pPr>
      <w:tabs>
        <w:tab w:val="center" w:pos="4535"/>
        <w:tab w:val="right" w:pos="9071"/>
      </w:tabs>
      <w:spacing w:before="0"/>
    </w:pPr>
  </w:style>
  <w:style w:type="paragraph" w:customStyle="1" w:styleId="HeaderLandscape">
    <w:name w:val="HeaderLandscape"/>
    <w:basedOn w:val="Normal"/>
    <w:rsid w:val="003A339D"/>
    <w:pPr>
      <w:tabs>
        <w:tab w:val="center" w:pos="7285"/>
        <w:tab w:val="right" w:pos="14003"/>
      </w:tabs>
      <w:spacing w:before="0"/>
    </w:pPr>
  </w:style>
  <w:style w:type="paragraph" w:styleId="Footer">
    <w:name w:val="footer"/>
    <w:basedOn w:val="Normal"/>
    <w:link w:val="FooterChar"/>
    <w:uiPriority w:val="99"/>
    <w:unhideWhenUsed/>
    <w:rsid w:val="003A339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A339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75558">
      <w:bodyDiv w:val="1"/>
      <w:marLeft w:val="0"/>
      <w:marRight w:val="0"/>
      <w:marTop w:val="0"/>
      <w:marBottom w:val="0"/>
      <w:divBdr>
        <w:top w:val="none" w:sz="0" w:space="0" w:color="auto"/>
        <w:left w:val="none" w:sz="0" w:space="0" w:color="auto"/>
        <w:bottom w:val="none" w:sz="0" w:space="0" w:color="auto"/>
        <w:right w:val="none" w:sz="0" w:space="0" w:color="auto"/>
      </w:divBdr>
    </w:div>
    <w:div w:id="251667708">
      <w:bodyDiv w:val="1"/>
      <w:marLeft w:val="0"/>
      <w:marRight w:val="0"/>
      <w:marTop w:val="0"/>
      <w:marBottom w:val="0"/>
      <w:divBdr>
        <w:top w:val="none" w:sz="0" w:space="0" w:color="auto"/>
        <w:left w:val="none" w:sz="0" w:space="0" w:color="auto"/>
        <w:bottom w:val="none" w:sz="0" w:space="0" w:color="auto"/>
        <w:right w:val="none" w:sz="0" w:space="0" w:color="auto"/>
      </w:divBdr>
    </w:div>
    <w:div w:id="257565399">
      <w:bodyDiv w:val="1"/>
      <w:marLeft w:val="0"/>
      <w:marRight w:val="0"/>
      <w:marTop w:val="0"/>
      <w:marBottom w:val="0"/>
      <w:divBdr>
        <w:top w:val="none" w:sz="0" w:space="0" w:color="auto"/>
        <w:left w:val="none" w:sz="0" w:space="0" w:color="auto"/>
        <w:bottom w:val="none" w:sz="0" w:space="0" w:color="auto"/>
        <w:right w:val="none" w:sz="0" w:space="0" w:color="auto"/>
      </w:divBdr>
      <w:divsChild>
        <w:div w:id="163397887">
          <w:marLeft w:val="0"/>
          <w:marRight w:val="0"/>
          <w:marTop w:val="0"/>
          <w:marBottom w:val="0"/>
          <w:divBdr>
            <w:top w:val="none" w:sz="0" w:space="0" w:color="auto"/>
            <w:left w:val="none" w:sz="0" w:space="0" w:color="auto"/>
            <w:bottom w:val="none" w:sz="0" w:space="0" w:color="auto"/>
            <w:right w:val="none" w:sz="0" w:space="0" w:color="auto"/>
          </w:divBdr>
          <w:divsChild>
            <w:div w:id="1139886465">
              <w:marLeft w:val="0"/>
              <w:marRight w:val="0"/>
              <w:marTop w:val="0"/>
              <w:marBottom w:val="0"/>
              <w:divBdr>
                <w:top w:val="none" w:sz="0" w:space="0" w:color="auto"/>
                <w:left w:val="none" w:sz="0" w:space="0" w:color="auto"/>
                <w:bottom w:val="none" w:sz="0" w:space="0" w:color="auto"/>
                <w:right w:val="none" w:sz="0" w:space="0" w:color="auto"/>
              </w:divBdr>
            </w:div>
            <w:div w:id="20867552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0038343">
      <w:bodyDiv w:val="1"/>
      <w:marLeft w:val="0"/>
      <w:marRight w:val="0"/>
      <w:marTop w:val="0"/>
      <w:marBottom w:val="0"/>
      <w:divBdr>
        <w:top w:val="none" w:sz="0" w:space="0" w:color="auto"/>
        <w:left w:val="none" w:sz="0" w:space="0" w:color="auto"/>
        <w:bottom w:val="none" w:sz="0" w:space="0" w:color="auto"/>
        <w:right w:val="none" w:sz="0" w:space="0" w:color="auto"/>
      </w:divBdr>
    </w:div>
    <w:div w:id="453524804">
      <w:bodyDiv w:val="1"/>
      <w:marLeft w:val="0"/>
      <w:marRight w:val="0"/>
      <w:marTop w:val="0"/>
      <w:marBottom w:val="0"/>
      <w:divBdr>
        <w:top w:val="none" w:sz="0" w:space="0" w:color="auto"/>
        <w:left w:val="none" w:sz="0" w:space="0" w:color="auto"/>
        <w:bottom w:val="none" w:sz="0" w:space="0" w:color="auto"/>
        <w:right w:val="none" w:sz="0" w:space="0" w:color="auto"/>
      </w:divBdr>
    </w:div>
    <w:div w:id="578952075">
      <w:bodyDiv w:val="1"/>
      <w:marLeft w:val="0"/>
      <w:marRight w:val="0"/>
      <w:marTop w:val="0"/>
      <w:marBottom w:val="0"/>
      <w:divBdr>
        <w:top w:val="none" w:sz="0" w:space="0" w:color="auto"/>
        <w:left w:val="none" w:sz="0" w:space="0" w:color="auto"/>
        <w:bottom w:val="none" w:sz="0" w:space="0" w:color="auto"/>
        <w:right w:val="none" w:sz="0" w:space="0" w:color="auto"/>
      </w:divBdr>
    </w:div>
    <w:div w:id="644821724">
      <w:bodyDiv w:val="1"/>
      <w:marLeft w:val="0"/>
      <w:marRight w:val="0"/>
      <w:marTop w:val="0"/>
      <w:marBottom w:val="0"/>
      <w:divBdr>
        <w:top w:val="none" w:sz="0" w:space="0" w:color="auto"/>
        <w:left w:val="none" w:sz="0" w:space="0" w:color="auto"/>
        <w:bottom w:val="none" w:sz="0" w:space="0" w:color="auto"/>
        <w:right w:val="none" w:sz="0" w:space="0" w:color="auto"/>
      </w:divBdr>
      <w:divsChild>
        <w:div w:id="2090032363">
          <w:marLeft w:val="0"/>
          <w:marRight w:val="0"/>
          <w:marTop w:val="0"/>
          <w:marBottom w:val="0"/>
          <w:divBdr>
            <w:top w:val="none" w:sz="0" w:space="0" w:color="auto"/>
            <w:left w:val="none" w:sz="0" w:space="0" w:color="auto"/>
            <w:bottom w:val="none" w:sz="0" w:space="0" w:color="auto"/>
            <w:right w:val="none" w:sz="0" w:space="0" w:color="auto"/>
          </w:divBdr>
          <w:divsChild>
            <w:div w:id="17088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6098">
      <w:bodyDiv w:val="1"/>
      <w:marLeft w:val="0"/>
      <w:marRight w:val="0"/>
      <w:marTop w:val="0"/>
      <w:marBottom w:val="0"/>
      <w:divBdr>
        <w:top w:val="none" w:sz="0" w:space="0" w:color="auto"/>
        <w:left w:val="none" w:sz="0" w:space="0" w:color="auto"/>
        <w:bottom w:val="none" w:sz="0" w:space="0" w:color="auto"/>
        <w:right w:val="none" w:sz="0" w:space="0" w:color="auto"/>
      </w:divBdr>
    </w:div>
    <w:div w:id="1025138086">
      <w:bodyDiv w:val="1"/>
      <w:marLeft w:val="0"/>
      <w:marRight w:val="0"/>
      <w:marTop w:val="0"/>
      <w:marBottom w:val="0"/>
      <w:divBdr>
        <w:top w:val="none" w:sz="0" w:space="0" w:color="auto"/>
        <w:left w:val="none" w:sz="0" w:space="0" w:color="auto"/>
        <w:bottom w:val="none" w:sz="0" w:space="0" w:color="auto"/>
        <w:right w:val="none" w:sz="0" w:space="0" w:color="auto"/>
      </w:divBdr>
    </w:div>
    <w:div w:id="1092506367">
      <w:bodyDiv w:val="1"/>
      <w:marLeft w:val="0"/>
      <w:marRight w:val="0"/>
      <w:marTop w:val="0"/>
      <w:marBottom w:val="0"/>
      <w:divBdr>
        <w:top w:val="none" w:sz="0" w:space="0" w:color="auto"/>
        <w:left w:val="none" w:sz="0" w:space="0" w:color="auto"/>
        <w:bottom w:val="none" w:sz="0" w:space="0" w:color="auto"/>
        <w:right w:val="none" w:sz="0" w:space="0" w:color="auto"/>
      </w:divBdr>
      <w:divsChild>
        <w:div w:id="34624682">
          <w:marLeft w:val="0"/>
          <w:marRight w:val="0"/>
          <w:marTop w:val="0"/>
          <w:marBottom w:val="0"/>
          <w:divBdr>
            <w:top w:val="none" w:sz="0" w:space="0" w:color="auto"/>
            <w:left w:val="none" w:sz="0" w:space="0" w:color="auto"/>
            <w:bottom w:val="none" w:sz="0" w:space="0" w:color="auto"/>
            <w:right w:val="none" w:sz="0" w:space="0" w:color="auto"/>
          </w:divBdr>
          <w:divsChild>
            <w:div w:id="39120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6665">
      <w:bodyDiv w:val="1"/>
      <w:marLeft w:val="0"/>
      <w:marRight w:val="0"/>
      <w:marTop w:val="0"/>
      <w:marBottom w:val="0"/>
      <w:divBdr>
        <w:top w:val="none" w:sz="0" w:space="0" w:color="auto"/>
        <w:left w:val="none" w:sz="0" w:space="0" w:color="auto"/>
        <w:bottom w:val="none" w:sz="0" w:space="0" w:color="auto"/>
        <w:right w:val="none" w:sz="0" w:space="0" w:color="auto"/>
      </w:divBdr>
    </w:div>
    <w:div w:id="1186482578">
      <w:bodyDiv w:val="1"/>
      <w:marLeft w:val="0"/>
      <w:marRight w:val="0"/>
      <w:marTop w:val="0"/>
      <w:marBottom w:val="0"/>
      <w:divBdr>
        <w:top w:val="none" w:sz="0" w:space="0" w:color="auto"/>
        <w:left w:val="none" w:sz="0" w:space="0" w:color="auto"/>
        <w:bottom w:val="none" w:sz="0" w:space="0" w:color="auto"/>
        <w:right w:val="none" w:sz="0" w:space="0" w:color="auto"/>
      </w:divBdr>
    </w:div>
    <w:div w:id="1529679754">
      <w:bodyDiv w:val="1"/>
      <w:marLeft w:val="0"/>
      <w:marRight w:val="0"/>
      <w:marTop w:val="0"/>
      <w:marBottom w:val="0"/>
      <w:divBdr>
        <w:top w:val="none" w:sz="0" w:space="0" w:color="auto"/>
        <w:left w:val="none" w:sz="0" w:space="0" w:color="auto"/>
        <w:bottom w:val="none" w:sz="0" w:space="0" w:color="auto"/>
        <w:right w:val="none" w:sz="0" w:space="0" w:color="auto"/>
      </w:divBdr>
      <w:divsChild>
        <w:div w:id="2053455358">
          <w:marLeft w:val="0"/>
          <w:marRight w:val="0"/>
          <w:marTop w:val="0"/>
          <w:marBottom w:val="0"/>
          <w:divBdr>
            <w:top w:val="none" w:sz="0" w:space="0" w:color="auto"/>
            <w:left w:val="none" w:sz="0" w:space="0" w:color="auto"/>
            <w:bottom w:val="none" w:sz="0" w:space="0" w:color="auto"/>
            <w:right w:val="none" w:sz="0" w:space="0" w:color="auto"/>
          </w:divBdr>
          <w:divsChild>
            <w:div w:id="871188464">
              <w:marLeft w:val="0"/>
              <w:marRight w:val="0"/>
              <w:marTop w:val="120"/>
              <w:marBottom w:val="0"/>
              <w:divBdr>
                <w:top w:val="none" w:sz="0" w:space="0" w:color="auto"/>
                <w:left w:val="none" w:sz="0" w:space="0" w:color="auto"/>
                <w:bottom w:val="none" w:sz="0" w:space="0" w:color="auto"/>
                <w:right w:val="none" w:sz="0" w:space="0" w:color="auto"/>
              </w:divBdr>
            </w:div>
            <w:div w:id="162026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8052">
      <w:bodyDiv w:val="1"/>
      <w:marLeft w:val="0"/>
      <w:marRight w:val="0"/>
      <w:marTop w:val="0"/>
      <w:marBottom w:val="0"/>
      <w:divBdr>
        <w:top w:val="none" w:sz="0" w:space="0" w:color="auto"/>
        <w:left w:val="none" w:sz="0" w:space="0" w:color="auto"/>
        <w:bottom w:val="none" w:sz="0" w:space="0" w:color="auto"/>
        <w:right w:val="none" w:sz="0" w:space="0" w:color="auto"/>
      </w:divBdr>
    </w:div>
    <w:div w:id="1779788607">
      <w:bodyDiv w:val="1"/>
      <w:marLeft w:val="0"/>
      <w:marRight w:val="0"/>
      <w:marTop w:val="0"/>
      <w:marBottom w:val="0"/>
      <w:divBdr>
        <w:top w:val="none" w:sz="0" w:space="0" w:color="auto"/>
        <w:left w:val="none" w:sz="0" w:space="0" w:color="auto"/>
        <w:bottom w:val="none" w:sz="0" w:space="0" w:color="auto"/>
        <w:right w:val="none" w:sz="0" w:space="0" w:color="auto"/>
      </w:divBdr>
    </w:div>
    <w:div w:id="1797527352">
      <w:bodyDiv w:val="1"/>
      <w:marLeft w:val="0"/>
      <w:marRight w:val="0"/>
      <w:marTop w:val="0"/>
      <w:marBottom w:val="0"/>
      <w:divBdr>
        <w:top w:val="none" w:sz="0" w:space="0" w:color="auto"/>
        <w:left w:val="none" w:sz="0" w:space="0" w:color="auto"/>
        <w:bottom w:val="none" w:sz="0" w:space="0" w:color="auto"/>
        <w:right w:val="none" w:sz="0" w:space="0" w:color="auto"/>
      </w:divBdr>
    </w:div>
    <w:div w:id="1801070398">
      <w:bodyDiv w:val="1"/>
      <w:marLeft w:val="0"/>
      <w:marRight w:val="0"/>
      <w:marTop w:val="0"/>
      <w:marBottom w:val="0"/>
      <w:divBdr>
        <w:top w:val="none" w:sz="0" w:space="0" w:color="auto"/>
        <w:left w:val="none" w:sz="0" w:space="0" w:color="auto"/>
        <w:bottom w:val="none" w:sz="0" w:space="0" w:color="auto"/>
        <w:right w:val="none" w:sz="0" w:space="0" w:color="auto"/>
      </w:divBdr>
    </w:div>
    <w:div w:id="1934850092">
      <w:bodyDiv w:val="1"/>
      <w:marLeft w:val="0"/>
      <w:marRight w:val="0"/>
      <w:marTop w:val="0"/>
      <w:marBottom w:val="0"/>
      <w:divBdr>
        <w:top w:val="none" w:sz="0" w:space="0" w:color="auto"/>
        <w:left w:val="none" w:sz="0" w:space="0" w:color="auto"/>
        <w:bottom w:val="none" w:sz="0" w:space="0" w:color="auto"/>
        <w:right w:val="none" w:sz="0" w:space="0" w:color="auto"/>
      </w:divBdr>
    </w:div>
    <w:div w:id="2041474392">
      <w:bodyDiv w:val="1"/>
      <w:marLeft w:val="0"/>
      <w:marRight w:val="0"/>
      <w:marTop w:val="0"/>
      <w:marBottom w:val="0"/>
      <w:divBdr>
        <w:top w:val="none" w:sz="0" w:space="0" w:color="auto"/>
        <w:left w:val="none" w:sz="0" w:space="0" w:color="auto"/>
        <w:bottom w:val="none" w:sz="0" w:space="0" w:color="auto"/>
        <w:right w:val="none" w:sz="0" w:space="0" w:color="auto"/>
      </w:divBdr>
    </w:div>
    <w:div w:id="2059352339">
      <w:bodyDiv w:val="1"/>
      <w:marLeft w:val="0"/>
      <w:marRight w:val="0"/>
      <w:marTop w:val="0"/>
      <w:marBottom w:val="0"/>
      <w:divBdr>
        <w:top w:val="none" w:sz="0" w:space="0" w:color="auto"/>
        <w:left w:val="none" w:sz="0" w:space="0" w:color="auto"/>
        <w:bottom w:val="none" w:sz="0" w:space="0" w:color="auto"/>
        <w:right w:val="none" w:sz="0" w:space="0" w:color="auto"/>
      </w:divBdr>
    </w:div>
    <w:div w:id="2077627003">
      <w:bodyDiv w:val="1"/>
      <w:marLeft w:val="0"/>
      <w:marRight w:val="0"/>
      <w:marTop w:val="0"/>
      <w:marBottom w:val="0"/>
      <w:divBdr>
        <w:top w:val="none" w:sz="0" w:space="0" w:color="auto"/>
        <w:left w:val="none" w:sz="0" w:space="0" w:color="auto"/>
        <w:bottom w:val="none" w:sz="0" w:space="0" w:color="auto"/>
        <w:right w:val="none" w:sz="0" w:space="0" w:color="auto"/>
      </w:divBdr>
    </w:div>
    <w:div w:id="212869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op.europa.eu/en/web/eu-vocabularies/concept-scheme/-/resource?uri=http://data.europa.eu/7yx/cofo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9/452/oj" TargetMode="External"/><Relationship Id="rId1" Type="http://schemas.openxmlformats.org/officeDocument/2006/relationships/hyperlink" Target="http://data.europa.eu/eli/dir/2022/255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CF1D0-828F-4421-9EE7-CAFE11107596}">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69</TotalTime>
  <Pages>20</Pages>
  <Words>45058</Words>
  <Characters>256833</Characters>
  <Application>Microsoft Office Word</Application>
  <DocSecurity>0</DocSecurity>
  <Lines>2140</Lines>
  <Paragraphs>602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45</cp:revision>
  <dcterms:created xsi:type="dcterms:W3CDTF">2026-01-15T14:49:00Z</dcterms:created>
  <dcterms:modified xsi:type="dcterms:W3CDTF">2026-01-19T10:25:00Z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2025-11-17T08:33:22Z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5d1018d4-6635-4011-b254-c3415b5b43c4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