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2590C" w14:textId="57CB778C" w:rsidR="007C0C5B" w:rsidRDefault="00090FFC" w:rsidP="00090FFC">
      <w:pPr>
        <w:pStyle w:val="Pagedecouverture"/>
        <w:rPr>
          <w:noProof/>
        </w:rPr>
      </w:pPr>
      <w:bookmarkStart w:id="0" w:name="LW_BM_COVERPAGE"/>
      <w:r>
        <w:rPr>
          <w:noProof/>
        </w:rPr>
        <w:pict w14:anchorId="75D7A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A17F0F-99C0-455A-9232-ABC2130C743F" style="width:455.25pt;height:336.75pt">
            <v:imagedata r:id="rId14" o:title=""/>
          </v:shape>
        </w:pict>
      </w:r>
    </w:p>
    <w:bookmarkEnd w:id="0"/>
    <w:p w14:paraId="02B91152" w14:textId="77777777" w:rsidR="007C0C5B" w:rsidRDefault="007C0C5B" w:rsidP="007C0C5B">
      <w:pPr>
        <w:rPr>
          <w:noProof/>
        </w:rPr>
        <w:sectPr w:rsidR="007C0C5B" w:rsidSect="00090FFC">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28AEF6D6" w14:textId="4E38EE1E" w:rsidR="00A47CC4" w:rsidRDefault="007A05F0" w:rsidP="002F39C3">
      <w:pPr>
        <w:pStyle w:val="Heading1"/>
        <w:numPr>
          <w:ilvl w:val="0"/>
          <w:numId w:val="32"/>
        </w:numPr>
        <w:rPr>
          <w:noProof/>
        </w:rPr>
      </w:pPr>
      <w:bookmarkStart w:id="1" w:name="_GoBack"/>
      <w:bookmarkEnd w:id="1"/>
      <w:r>
        <w:rPr>
          <w:noProof/>
        </w:rPr>
        <w:lastRenderedPageBreak/>
        <w:t>Assurer l’avenir de l’agriculture: une stratégie pour le renouvellement des générations</w:t>
      </w:r>
    </w:p>
    <w:p w14:paraId="718067D0" w14:textId="7A60BEF6" w:rsidR="003529C0" w:rsidRDefault="6F890ED0" w:rsidP="000D0614">
      <w:pPr>
        <w:rPr>
          <w:noProof/>
        </w:rPr>
      </w:pPr>
      <w:r>
        <w:rPr>
          <w:noProof/>
        </w:rPr>
        <w:t xml:space="preserve">L’agriculture européenne ne se résume pas à la production alimentaire. Les agriculteurs, garants de notre sécurité alimentaire, sont des alliés essentiels en matière de compétitivité, d’action pour le climat et de protection de l’environnement, et des acteurs incontournables pour préserver la vitalité des zones rurales. L’agriculture est toutefois confrontée à de lourdes pressions, telles que le vieillissement de la main-d’œuvre, le déclin des populations rurales et la complexité de l'environnement international. </w:t>
      </w:r>
    </w:p>
    <w:p w14:paraId="724FD764" w14:textId="799558E6" w:rsidR="00697D31" w:rsidRPr="000C4CD5" w:rsidRDefault="00B66767" w:rsidP="000D0614">
      <w:pPr>
        <w:rPr>
          <w:noProof/>
        </w:rPr>
      </w:pPr>
      <w:r>
        <w:rPr>
          <w:noProof/>
        </w:rPr>
        <w:t>En 2020, l’âge moyen des agriculteurs dans l'UE était de 57 ans, et à peine 12 % d’entre eux étaient âgés de moins de 40 ans</w:t>
      </w:r>
      <w:r>
        <w:rPr>
          <w:rStyle w:val="FootnoteReference"/>
          <w:noProof/>
        </w:rPr>
        <w:footnoteReference w:id="2"/>
      </w:r>
      <w:r>
        <w:rPr>
          <w:noProof/>
        </w:rPr>
        <w:t xml:space="preserve">. Parmi ce groupe plus jeune, seuls 2,5 % étaient des femmes. La sécurité alimentaire étant un vecteur crucial pour renforcer la sécurité et l’autonomie stratégique européennes, il ne s’agit pas uniquement d’un enjeu démographique ou, plus généralement, social: il s’agit d’un défi stratégique, qu’il nous incombe, en tant que société, de relever. </w:t>
      </w:r>
    </w:p>
    <w:p w14:paraId="57CD5839" w14:textId="437AE380" w:rsidR="00697D31" w:rsidRPr="000C4CD5" w:rsidRDefault="00235EC4" w:rsidP="000D0614">
      <w:pPr>
        <w:rPr>
          <w:noProof/>
        </w:rPr>
      </w:pPr>
      <w:r>
        <w:rPr>
          <w:b/>
          <w:noProof/>
        </w:rPr>
        <w:t xml:space="preserve">L’avenir de la sécurité alimentaire en Europe repose sur les épaules d’une nouvelle génération dynamique d’agriculteurs et de producteurs de denrées alimentaires primaires. </w:t>
      </w:r>
    </w:p>
    <w:p w14:paraId="69646D19" w14:textId="0A0D9789" w:rsidR="009E17F9" w:rsidRDefault="00C2284F" w:rsidP="000D0614">
      <w:pPr>
        <w:rPr>
          <w:noProof/>
        </w:rPr>
      </w:pPr>
      <w:r>
        <w:rPr>
          <w:noProof/>
        </w:rPr>
        <w:t>La vision pour l’agriculture et l’alimentation</w:t>
      </w:r>
      <w:r>
        <w:rPr>
          <w:rStyle w:val="FootnoteReference"/>
          <w:noProof/>
        </w:rPr>
        <w:footnoteReference w:id="3"/>
      </w:r>
      <w:r>
        <w:rPr>
          <w:noProof/>
        </w:rPr>
        <w:t xml:space="preserve"> a défini le cadre de l’approche adoptée par l’Union en vue de promouvoir l’attractivité, la compétitivité, la durabilité et l’équité de l’agriculture et du secteur primaire. </w:t>
      </w:r>
    </w:p>
    <w:p w14:paraId="50CA91F8" w14:textId="37A8A8BF" w:rsidR="000B245B" w:rsidRDefault="00884F9A" w:rsidP="000D0614">
      <w:pPr>
        <w:rPr>
          <w:noProof/>
        </w:rPr>
      </w:pPr>
      <w:r>
        <w:rPr>
          <w:noProof/>
        </w:rPr>
        <w:t>La nouvelle approche proposée pour le prochain cadre financier pluriannuel est une chance à saisir. En effet, la politique agricole commune (PAC) soutient les jeunes agriculteurs</w:t>
      </w:r>
      <w:r>
        <w:rPr>
          <w:rStyle w:val="FootnoteReference"/>
          <w:noProof/>
        </w:rPr>
        <w:footnoteReference w:id="4"/>
      </w:r>
      <w:r>
        <w:rPr>
          <w:noProof/>
        </w:rPr>
        <w:t xml:space="preserve"> au moyen de mesures et d’un budget spécifiques, notamment avec des aides à l’installation, des taux d’aide plus élevés pour les investissements et des mesures de crédit. Si elle est adoptée, la nouvelle proposition de la PAC après 2027</w:t>
      </w:r>
      <w:r>
        <w:rPr>
          <w:rStyle w:val="FootnoteReference"/>
          <w:noProof/>
        </w:rPr>
        <w:footnoteReference w:id="5"/>
      </w:r>
      <w:r>
        <w:rPr>
          <w:noProof/>
        </w:rPr>
        <w:t xml:space="preserve"> permettrait de rendre ce soutien encore plus ciblé et ambitieux. Des mesures particulières, telles qu’un «kit de démarrage» pour les jeunes agriculteurs, un meilleur ciblage des fonds au moyen de paiements dégressifs en faveur des jeunes agriculteurs et des aides à l’investissement, pourraient contribuer à donner l’impulsion nécessaire et à renforcer l’attrait de la profession pour les jeunes générations. La PAC après 2027 bénéficiera également de synergies accrues entre les politiques de l’UE prévues dans les plans de partenariat national et régional</w:t>
      </w:r>
      <w:r>
        <w:rPr>
          <w:rStyle w:val="FootnoteReference"/>
          <w:noProof/>
        </w:rPr>
        <w:footnoteReference w:id="6"/>
      </w:r>
      <w:r>
        <w:rPr>
          <w:noProof/>
        </w:rPr>
        <w:t xml:space="preserve"> (PNR), dans le cadre desquels les États membres disposeront d'une certaine souplesse pour concevoir un ensemble complet d’actions en faveur des jeunes agriculteurs dans différents domaines stratégiques.</w:t>
      </w:r>
    </w:p>
    <w:p w14:paraId="0E974D99" w14:textId="043BE7F8" w:rsidR="00645146" w:rsidRDefault="00645146" w:rsidP="008F31B0">
      <w:pPr>
        <w:rPr>
          <w:noProof/>
        </w:rPr>
      </w:pPr>
      <w:r>
        <w:rPr>
          <w:noProof/>
        </w:rPr>
        <w:t>La présente stratégie pour le renouvellement des générations dans l’agriculture, qui est une priorité politique de la Commission</w:t>
      </w:r>
      <w:r>
        <w:rPr>
          <w:rStyle w:val="FootnoteReference"/>
          <w:noProof/>
        </w:rPr>
        <w:footnoteReference w:id="7"/>
      </w:r>
      <w:r>
        <w:rPr>
          <w:noProof/>
        </w:rPr>
        <w:t>, met en avant les actions politiques et le soutien aux jeunes et nouveaux agriculteurs, en particulier s’ils ont moins de 40 ans. Elle s’attaque aux principaux obstacles recensés à la suite d’un vaste exercice de consultation des parties intéressées</w:t>
      </w:r>
      <w:r>
        <w:rPr>
          <w:rStyle w:val="FootnoteReference"/>
          <w:noProof/>
        </w:rPr>
        <w:footnoteReference w:id="8"/>
      </w:r>
      <w:r>
        <w:rPr>
          <w:noProof/>
        </w:rPr>
        <w:t>, en accordant une attention particulière aux jeunes agriculteurs et aux jeunes ruraux, et sur la base de données provenant de sources multiples</w:t>
      </w:r>
      <w:r>
        <w:rPr>
          <w:rStyle w:val="FootnoteReference"/>
          <w:noProof/>
        </w:rPr>
        <w:footnoteReference w:id="9"/>
      </w:r>
      <w:r>
        <w:rPr>
          <w:noProof/>
        </w:rPr>
        <w:t>. Elle aspire également à aider les agriculteurs plus âgés à transmettre leur activité à la nouvelle génération d’agriculteurs dans la dignité, en encourageant les États membres à garantir des régimes de retraite équitables et fiables, dans le cadre d’un effort plus large visant à favoriser un développement rural inclusif et résilient. Elle est alignée sur les positions exprimées au Parlement européen</w:t>
      </w:r>
      <w:r>
        <w:rPr>
          <w:rStyle w:val="FootnoteReference"/>
          <w:noProof/>
        </w:rPr>
        <w:footnoteReference w:id="10"/>
      </w:r>
      <w:r>
        <w:rPr>
          <w:noProof/>
        </w:rPr>
        <w:t xml:space="preserve"> et au Conseil</w:t>
      </w:r>
      <w:r>
        <w:rPr>
          <w:rStyle w:val="FootnoteReference"/>
          <w:noProof/>
        </w:rPr>
        <w:footnoteReference w:id="11"/>
      </w:r>
      <w:r>
        <w:rPr>
          <w:noProof/>
        </w:rPr>
        <w:t xml:space="preserve"> ainsi que sur les résultats du dialogue stratégique</w:t>
      </w:r>
      <w:r>
        <w:rPr>
          <w:rStyle w:val="FootnoteReference"/>
          <w:noProof/>
        </w:rPr>
        <w:footnoteReference w:id="12"/>
      </w:r>
      <w:r>
        <w:rPr>
          <w:noProof/>
        </w:rPr>
        <w:t>.</w:t>
      </w:r>
    </w:p>
    <w:p w14:paraId="366F1FCD" w14:textId="078C7427" w:rsidR="002E5443" w:rsidRDefault="00182621" w:rsidP="008F31B0">
      <w:pPr>
        <w:rPr>
          <w:noProof/>
        </w:rPr>
      </w:pPr>
      <w:r>
        <w:rPr>
          <w:noProof/>
        </w:rPr>
        <w:t xml:space="preserve">Les zones rurales situées le long des frontières orientales de l’UE, touchées par la guerre d’agression menée par la Russie contre l’Ukraine, doivent faire face à des pressions socio-économiques et sécuritaires spécifiques qui nécessitent un soutien continu dans le cadre de cet effort plus large. Pour garantir une agriculture durable, productive et résiliente, il est nécessaire d’agir avec détermination aujourd’hui. Si nous n’agissons pas maintenant, la tendance au vieillissement se consolidera et le renouvellement souhaité sera beaucoup plus difficile à concrétiser. Cette problématique nécessite une action immédiate aux niveaux européen, national et régional, en adoptant une approche pangouvernementale. </w:t>
      </w:r>
    </w:p>
    <w:p w14:paraId="6298D44F" w14:textId="1B74DE72" w:rsidR="005B3424" w:rsidRDefault="00170903" w:rsidP="008F31B0">
      <w:pPr>
        <w:rPr>
          <w:noProof/>
        </w:rPr>
      </w:pPr>
      <w:r w:rsidRPr="00142B26">
        <w:rPr>
          <w:noProof/>
          <w:lang w:val="en-GB"/>
        </w:rPr>
        <w:drawing>
          <wp:inline distT="0" distB="0" distL="0" distR="0" wp14:anchorId="4AE680F4" wp14:editId="07EDF845">
            <wp:extent cx="3115072" cy="1752600"/>
            <wp:effectExtent l="0" t="0" r="9525" b="0"/>
            <wp:docPr id="1771876739" name="Picture 1" descr="A diagram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876739" name="Picture 1" descr="A diagram of a farm&#10;&#10;AI-generated content may be incorrect."/>
                    <pic:cNvPicPr/>
                  </pic:nvPicPr>
                  <pic:blipFill>
                    <a:blip r:embed="rId21"/>
                    <a:stretch>
                      <a:fillRect/>
                    </a:stretch>
                  </pic:blipFill>
                  <pic:spPr>
                    <a:xfrm>
                      <a:off x="0" y="0"/>
                      <a:ext cx="3138306" cy="1765672"/>
                    </a:xfrm>
                    <a:prstGeom prst="rect">
                      <a:avLst/>
                    </a:prstGeom>
                  </pic:spPr>
                </pic:pic>
              </a:graphicData>
            </a:graphic>
          </wp:inline>
        </w:drawing>
      </w:r>
    </w:p>
    <w:p w14:paraId="2A5C4C0C" w14:textId="153EA46A" w:rsidR="001012EF" w:rsidRDefault="006734B0" w:rsidP="008F31B0">
      <w:pPr>
        <w:rPr>
          <w:noProof/>
        </w:rPr>
      </w:pPr>
      <w:r>
        <w:rPr>
          <w:noProof/>
        </w:rPr>
        <w:t xml:space="preserve">Si le soutien de l’opinion publique reste crucial, le véritable changement passera nécessairement par </w:t>
      </w:r>
      <w:r>
        <w:rPr>
          <w:b/>
          <w:noProof/>
        </w:rPr>
        <w:t>des réformes, principalement aux niveaux national et régional</w:t>
      </w:r>
      <w:r>
        <w:rPr>
          <w:noProof/>
        </w:rPr>
        <w:t xml:space="preserve">, pour lever les principaux obstacles au renouvellement des générations. Il s’agit notamment </w:t>
      </w:r>
      <w:r>
        <w:rPr>
          <w:b/>
          <w:noProof/>
        </w:rPr>
        <w:t>d’améliorer l’accès au financement et à la terre, de renforcer le transfert de compétences et de connaissances et de rendre la vie rurale plus attrayante</w:t>
      </w:r>
      <w:r>
        <w:rPr>
          <w:noProof/>
        </w:rPr>
        <w:t xml:space="preserve"> en fournissant de meilleurs services publics et des infrastructures adéquates qui soient inclusives, accessibles et attentives aux besoins des personnes handicapées et des groupes exposés au risque de discrimination. Dans ce contexte, la promotion d’initiatives culturelles peut contribuer à renforcer les liens sociaux et à accroître l’attractivité de la vie rurale.  Le «</w:t>
      </w:r>
      <w:r>
        <w:rPr>
          <w:b/>
          <w:noProof/>
        </w:rPr>
        <w:t>droit de rester</w:t>
      </w:r>
      <w:r>
        <w:rPr>
          <w:noProof/>
        </w:rPr>
        <w:t xml:space="preserve">» s’applique à l’installation de jeunes agriculteurs qui souhaitent rester et pratiquer l’agriculture sur leurs territoires. </w:t>
      </w:r>
    </w:p>
    <w:p w14:paraId="17F9F2E9" w14:textId="3D6FB93A" w:rsidR="009E17F9" w:rsidRDefault="00D6392E">
      <w:pPr>
        <w:rPr>
          <w:noProof/>
        </w:rPr>
      </w:pPr>
      <w:r>
        <w:rPr>
          <w:noProof/>
        </w:rPr>
        <w:t xml:space="preserve">En outre, </w:t>
      </w:r>
      <w:r>
        <w:rPr>
          <w:b/>
          <w:noProof/>
        </w:rPr>
        <w:t>l’innovation façonnera la compétitivité et la transformation de l’agriculture</w:t>
      </w:r>
      <w:r>
        <w:rPr>
          <w:noProof/>
        </w:rPr>
        <w:t>.</w:t>
      </w:r>
      <w:r>
        <w:rPr>
          <w:b/>
          <w:noProof/>
        </w:rPr>
        <w:t xml:space="preserve"> </w:t>
      </w:r>
      <w:r>
        <w:rPr>
          <w:noProof/>
        </w:rPr>
        <w:t xml:space="preserve"> La prochaine génération d’agriculteurs dispose d’un grand potentiel pour stimuler cette transformation. </w:t>
      </w:r>
      <w:r>
        <w:rPr>
          <w:b/>
          <w:noProof/>
        </w:rPr>
        <w:t>Les jeunes agriculteurs ont l’esprit d’entreprise et savent s’adapter; ils sont souvent les premiers à adopter de nouvelles technologies, des pratiques durables et des modèles commerciaux diversifiés.</w:t>
      </w:r>
      <w:r>
        <w:rPr>
          <w:noProof/>
        </w:rPr>
        <w:t xml:space="preserve"> Leur participation est essentielle à la création d’un secteur agricole tourné vers l’avenir et résilient. </w:t>
      </w:r>
    </w:p>
    <w:p w14:paraId="6AE88259" w14:textId="67F45120" w:rsidR="009E17F9" w:rsidRDefault="00D62546" w:rsidP="009E17F9">
      <w:pPr>
        <w:rPr>
          <w:noProof/>
        </w:rPr>
      </w:pPr>
      <w:r>
        <w:rPr>
          <w:noProof/>
        </w:rPr>
        <w:t>Ils pourraient à l'avenir jouir de possibilités encore plus grandes, avec l’augmentation significative proposée du budget global pour la recherche et l’innovation au titre de la proposition de Fonds européen pour la compétitivité (FEC)</w:t>
      </w:r>
      <w:r>
        <w:rPr>
          <w:rStyle w:val="FootnoteReference"/>
          <w:noProof/>
        </w:rPr>
        <w:footnoteReference w:id="13"/>
      </w:r>
      <w:r>
        <w:rPr>
          <w:noProof/>
        </w:rPr>
        <w:t xml:space="preserve"> et de la proposition de nouveau programme-cadre pour la recherche et l’innovation</w:t>
      </w:r>
      <w:r>
        <w:rPr>
          <w:rStyle w:val="FootnoteReference"/>
          <w:noProof/>
        </w:rPr>
        <w:footnoteReference w:id="14"/>
      </w:r>
      <w:r>
        <w:rPr>
          <w:noProof/>
        </w:rPr>
        <w:t xml:space="preserve">. Pour la période 2028-2034, la planification proposée dans le cadre des plans PNR, si elle est adoptée, permettra aux États membres de créer des synergies entre divers domaines d’action afin de relever au mieux ces défis, apportant ainsi une réponse stratégique concrète aux jeunes agriculteurs et aux citoyens vivant dans les zones rurales. </w:t>
      </w:r>
    </w:p>
    <w:p w14:paraId="214436A4" w14:textId="778CD578" w:rsidR="00284A26" w:rsidRPr="007D054C" w:rsidRDefault="002F4C7C" w:rsidP="002F39C3">
      <w:pPr>
        <w:pStyle w:val="Heading1"/>
        <w:numPr>
          <w:ilvl w:val="0"/>
          <w:numId w:val="32"/>
        </w:numPr>
        <w:rPr>
          <w:noProof/>
        </w:rPr>
      </w:pPr>
      <w:bookmarkStart w:id="2" w:name="_Toc207980848"/>
      <w:r>
        <w:rPr>
          <w:noProof/>
        </w:rPr>
        <w:t>Recenser les obstacles au renouvellement des générations</w:t>
      </w:r>
      <w:bookmarkEnd w:id="2"/>
    </w:p>
    <w:p w14:paraId="16561AC2" w14:textId="6FC5993E" w:rsidR="009C4165" w:rsidRPr="00827D8B" w:rsidRDefault="00AB79B3" w:rsidP="00A4027E">
      <w:pPr>
        <w:rPr>
          <w:noProof/>
        </w:rPr>
      </w:pPr>
      <w:r>
        <w:rPr>
          <w:noProof/>
        </w:rPr>
        <w:t>Entre 2004 et 2024, la part de la population de l’Union européenne âgée de plus de 65 ans est passée de 16 % à 22 %, tandis que celle des moins de 19 ans est passée de 22 % à 20 %</w:t>
      </w:r>
      <w:r>
        <w:rPr>
          <w:rStyle w:val="FootnoteReference"/>
          <w:noProof/>
        </w:rPr>
        <w:footnoteReference w:id="15"/>
      </w:r>
      <w:r>
        <w:rPr>
          <w:noProof/>
        </w:rPr>
        <w:t>. Si cette évolution touche de nombreux secteurs, son incidence est particulièrement marquée dans les zones rurales et dans l’agriculture en particulier</w:t>
      </w:r>
    </w:p>
    <w:p w14:paraId="6FC698AC" w14:textId="6FBEB755" w:rsidR="00A4027E" w:rsidRPr="00A4027E" w:rsidRDefault="002E1595" w:rsidP="00A4027E">
      <w:pPr>
        <w:rPr>
          <w:noProof/>
        </w:rPr>
      </w:pPr>
      <w:r>
        <w:rPr>
          <w:b/>
          <w:noProof/>
        </w:rPr>
        <w:t>Le vieillissement est plus rapide dans l’agriculture que dans d’autres secteurs.</w:t>
      </w:r>
      <w:r>
        <w:rPr>
          <w:noProof/>
        </w:rPr>
        <w:t xml:space="preserve"> Les exploitations agricoles gérées par des agriculteurs ayant dépassé l’âge de la retraite (33,2 %) sont beaucoup plus nombreuses que celles gérées par de jeunes agriculteurs (12 %)</w:t>
      </w:r>
      <w:r>
        <w:rPr>
          <w:rStyle w:val="FootnoteReference"/>
          <w:noProof/>
        </w:rPr>
        <w:footnoteReference w:id="16"/>
      </w:r>
      <w:r>
        <w:rPr>
          <w:noProof/>
        </w:rPr>
        <w:t>, bien que ce chiffre varie d’un État membre à l’autre. Ce déséquilibre, qui suit des tendances similaires dans les secteurs de la pêche et de l’aquaculture, menace la sécurité alimentaire à long terme, l’autonomie stratégique de l’UE en matière de production alimentaire et l’avenir des paysages agricoles européens.</w:t>
      </w:r>
    </w:p>
    <w:p w14:paraId="6B202E92" w14:textId="6D00B8F0" w:rsidR="00FE67F2" w:rsidRDefault="00FE67F2" w:rsidP="00A4027E">
      <w:pPr>
        <w:rPr>
          <w:noProof/>
        </w:rPr>
      </w:pPr>
      <w:r>
        <w:rPr>
          <w:b/>
          <w:noProof/>
        </w:rPr>
        <w:t>Une série d’obstacles interconnectés, notamment en matière d’accès à la terre, de crédit abordable et d’acquisition de compétences/connaissances essentielles, dissuade les jeunes de se lancer dans une activité agricole.</w:t>
      </w:r>
      <w:r>
        <w:rPr>
          <w:noProof/>
        </w:rPr>
        <w:t xml:space="preserve"> La transmission d’une exploitation agricole dans le cadre d'une succession requiert des investissements à long terme et s’accompagne souvent de problèmes juridiques, financiers et émotionnels complexes, en particulier dans le cas des exploitations familiales. Conjugués à la forte intensité de capital de l’agriculture moderne, ces défis dissuadent de nombreux nouveaux entrants potentiels.</w:t>
      </w:r>
    </w:p>
    <w:p w14:paraId="14D942F9" w14:textId="45B42059" w:rsidR="005A6AC8" w:rsidRDefault="005A6AC8" w:rsidP="00A4027E">
      <w:pPr>
        <w:rPr>
          <w:noProof/>
        </w:rPr>
      </w:pPr>
      <w:r>
        <w:rPr>
          <w:noProof/>
        </w:rPr>
        <w:t>Les agriculteurs exploitent environ 40 % de la superficie terrestre totale de l'UE</w:t>
      </w:r>
      <w:r>
        <w:rPr>
          <w:rStyle w:val="FootnoteReference"/>
          <w:noProof/>
        </w:rPr>
        <w:footnoteReference w:id="17"/>
      </w:r>
      <w:r>
        <w:rPr>
          <w:noProof/>
        </w:rPr>
        <w:t xml:space="preserve">, ce qui place ce secteur au cœur de la sécurité alimentaire, du dynamisme des zones rurales et des services environnementaux essentiels, tels que la résilience climatique et hydrique et la préservation de la biodiversité. Cette exploitation active des terres permet également de réduire les risques d’événements climatiques extrêmes et de renforcer la résilience des zones rurales. Cela est particulièrement important dans les régions ultrapériphériques de l’Union, qui dépendent fortement de l’agriculture et sont plus vulnérables aux événements climatiques et aux catastrophes naturelles. </w:t>
      </w:r>
    </w:p>
    <w:p w14:paraId="55556961" w14:textId="6E3B37FB" w:rsidR="00804F56" w:rsidRPr="00B919DF" w:rsidRDefault="00075DC0" w:rsidP="00075DC0">
      <w:pPr>
        <w:rPr>
          <w:noProof/>
        </w:rPr>
      </w:pPr>
      <w:r>
        <w:rPr>
          <w:noProof/>
        </w:rPr>
        <w:t>Il est essentiel de garantir le renouvellement des générations, en particulier dans les exploitations familiales, pour maintenir la sécurité alimentaire, transférer les connaissances et aligner la productivité sur la durabilité. Outre la production alimentaire et la gestion durable des terres, de nombreux agriculteurs contribuent à l’avènement des énergies renouvelables en utilisant la bioénergie et les énergies solaire et éolienne, soutenant ainsi tant les objectifs climatiques que de sécurité énergétique. Les réformes attendues pourraient permettre d’optimiser les connexions au réseau, d’augmenter les revenus agricoles et d’alimenter les communautés au moyen d’une énergie produite localement.</w:t>
      </w:r>
    </w:p>
    <w:p w14:paraId="6C3BCD59" w14:textId="1F3604B0" w:rsidR="00CB4EDD" w:rsidRPr="00BD5E4D" w:rsidRDefault="00B919DF" w:rsidP="00E52E44">
      <w:pPr>
        <w:rPr>
          <w:noProof/>
        </w:rPr>
      </w:pPr>
      <w:r>
        <w:rPr>
          <w:noProof/>
        </w:rPr>
        <w:t xml:space="preserve">Le renouvellement des générations sera déterminant pour que l’agriculture reste vivante, compétitive et innovante, en garantissant un approvisionnement en denrées alimentaires sûres, durables et abordables aux plus de 450 millions de consommateurs de l’UE. Le caractère abordable des denrées alimentaires demeure une source de préoccupation, étant donné que les prix élevés pèsent sur les budgets des ménages, en particulier pour les groupes à faibles revenus. </w:t>
      </w:r>
    </w:p>
    <w:p w14:paraId="481A9ECD" w14:textId="274310DA" w:rsidR="00911D16" w:rsidRPr="00BD5E4D" w:rsidRDefault="00F20A18" w:rsidP="00192FE4">
      <w:pPr>
        <w:rPr>
          <w:noProof/>
        </w:rPr>
      </w:pPr>
      <w:r>
        <w:rPr>
          <w:b/>
          <w:noProof/>
        </w:rPr>
        <w:t>Pour faire de l’agriculture un choix de carrière viable et épanouissant pour les jeunes, il convient d’adopter des mesures au-delà du seul secteur agricole.</w:t>
      </w:r>
      <w:r>
        <w:rPr>
          <w:noProof/>
        </w:rPr>
        <w:t xml:space="preserve"> Le vivier de jeunes ruraux se réduit. Entre 2013 et 2019, le nombre de jeunes âgés de 15 à 24 ans vivant dans les zones rurales de l’EU-28</w:t>
      </w:r>
      <w:r>
        <w:rPr>
          <w:rStyle w:val="FootnoteReference"/>
          <w:noProof/>
        </w:rPr>
        <w:footnoteReference w:id="18"/>
      </w:r>
      <w:r>
        <w:rPr>
          <w:noProof/>
        </w:rPr>
        <w:t xml:space="preserve"> est passé de 3,6 millions à 1,9 million, tandis que celui des 25-29 ans est passé de 6,9 millions à 5,9 millions</w:t>
      </w:r>
      <w:r>
        <w:rPr>
          <w:rStyle w:val="FootnoteReference"/>
          <w:noProof/>
        </w:rPr>
        <w:footnoteReference w:id="19"/>
      </w:r>
      <w:r>
        <w:rPr>
          <w:noProof/>
        </w:rPr>
        <w:t>.</w:t>
      </w:r>
    </w:p>
    <w:p w14:paraId="4D537675" w14:textId="66C1ECC0" w:rsidR="00AB2BD1" w:rsidRDefault="002448CB" w:rsidP="00B95001">
      <w:pPr>
        <w:rPr>
          <w:noProof/>
        </w:rPr>
      </w:pPr>
      <w:r>
        <w:rPr>
          <w:noProof/>
        </w:rPr>
        <w:t xml:space="preserve">Conformément à la vision à long terme pour les zones rurales de l’UE, l’avenir des agriculteurs dépendra de zones rurales </w:t>
      </w:r>
      <w:r>
        <w:rPr>
          <w:b/>
          <w:noProof/>
        </w:rPr>
        <w:t>plus fortes, connectées, résilientes et prospères</w:t>
      </w:r>
      <w:r>
        <w:rPr>
          <w:noProof/>
          <w:vertAlign w:val="superscript"/>
        </w:rPr>
        <w:footnoteReference w:id="20"/>
      </w:r>
      <w:r>
        <w:rPr>
          <w:noProof/>
        </w:rPr>
        <w:t xml:space="preserve">. Afin de retenir les jeunes et de leur assurer le «droit de rester», tout en attirant de nouveaux agriculteurs, il est crucial de proposer des communautés dynamiques, des infrastructures de haute qualité, des services accessibles, une éducation et une formation attrayantes et de qualité, ainsi que des possibilités d’emploi en dehors de l'exploitation et des liens sociaux solides. Les zones rurales sont au cœur de notre mode de vie européen et nous devons veiller à ce qu’elles restent des lieux de vie attractifs. </w:t>
      </w:r>
    </w:p>
    <w:p w14:paraId="3DE9FB17" w14:textId="551C9741" w:rsidR="00192FE4" w:rsidRDefault="00971CCF" w:rsidP="00B95001">
      <w:pPr>
        <w:rPr>
          <w:noProof/>
        </w:rPr>
      </w:pPr>
      <w:r>
        <w:rPr>
          <w:noProof/>
        </w:rPr>
        <w:t>Les «agriculteurs de demain» participeront à des réseaux plus diversifiés qui réuniront les nouveaux entrants dans l’agriculture, des modèles agricoles et commerciaux très variés, y compris en lien avec l’économie sociale, et des partenariats innovants, reflétant la diversité croissante des systèmes alimentaires</w:t>
      </w:r>
      <w:r>
        <w:rPr>
          <w:noProof/>
          <w:vertAlign w:val="superscript"/>
        </w:rPr>
        <w:footnoteReference w:id="21"/>
      </w:r>
      <w:r>
        <w:rPr>
          <w:noProof/>
        </w:rPr>
        <w:t>. De nouvelles formes de collaboration, telles que les partenariats, les échanges intergénérationnels, les synergies avec d’autres secteurs et le partage des terres, ont un rôle à jouer afin de réduire les obstacles à l’entrée et de renforcer les liens entre communautés. Ces modèles permettent de créer des systèmes agricoles plus inclusifs et plus résilients, qui façonnent à leur tour la vitalité sociale et économique des zones rurales. Soutenus par les coopératives et les organisations de producteurs, ils proposent des solutions concrètes pour faciliter l'intégration des nouveaux arrivants tout en consolidant le tissu social des zones rurales.</w:t>
      </w:r>
    </w:p>
    <w:p w14:paraId="04720FBD" w14:textId="3A98B261" w:rsidR="00F96690" w:rsidRPr="00AB2BD1" w:rsidRDefault="00F96690" w:rsidP="00B95001">
      <w:pPr>
        <w:rPr>
          <w:b/>
          <w:bCs/>
          <w:noProof/>
        </w:rPr>
      </w:pPr>
      <w:r>
        <w:rPr>
          <w:b/>
          <w:noProof/>
        </w:rPr>
        <w:t>En fin de compte, il est vital, pour l’avenir de l’agriculture et des zones rurales, de réunir les conditions adéquates pour permettre aux jeunes d’y construire leur vie et leur carrière, afin d’asseoir la contribution du secteur à l’avènement d’une Union européenne résiliente et durable.</w:t>
      </w:r>
    </w:p>
    <w:p w14:paraId="684A7F17" w14:textId="35BFC0BA" w:rsidR="002B6762" w:rsidRPr="00827D8B" w:rsidRDefault="002B6762" w:rsidP="002F39C3">
      <w:pPr>
        <w:pStyle w:val="Heading1"/>
        <w:numPr>
          <w:ilvl w:val="0"/>
          <w:numId w:val="32"/>
        </w:numPr>
        <w:rPr>
          <w:noProof/>
        </w:rPr>
      </w:pPr>
      <w:bookmarkStart w:id="3" w:name="_Toc207980849"/>
      <w:r>
        <w:rPr>
          <w:noProof/>
        </w:rPr>
        <w:t>Ouvrir des perspectives pour la prochaine génération d’agriculteurs européens</w:t>
      </w:r>
      <w:bookmarkEnd w:id="3"/>
      <w:r>
        <w:rPr>
          <w:noProof/>
        </w:rPr>
        <w:t xml:space="preserve"> </w:t>
      </w:r>
    </w:p>
    <w:p w14:paraId="221530B3" w14:textId="064DE58A" w:rsidR="00F0770F" w:rsidRDefault="00A4027E" w:rsidP="00A4027E">
      <w:pPr>
        <w:rPr>
          <w:noProof/>
        </w:rPr>
      </w:pPr>
      <w:r>
        <w:rPr>
          <w:b/>
          <w:noProof/>
        </w:rPr>
        <w:t xml:space="preserve">L’agriculture de l’UE offre une palette large et évolutive de possibilités en vue d’attirer, d’accompagner et de retenir les jeunes et nouveaux agriculteurs et travailleurs agricoles. </w:t>
      </w:r>
      <w:r>
        <w:rPr>
          <w:noProof/>
        </w:rPr>
        <w:t xml:space="preserve">Différents modèles agricoles restent pertinents. Chacun d’entre eux contribue de diverses manières à la productivité, à la résilience au changement climatique, à la durabilité environnementale, à la préservation des traditions rurales et locales faisant partie intégrante du patrimoine culturel de l'Union, ainsi qu’à la durabilité des systèmes alimentaires, et attire de nouveaux profils de jeunes agriculteurs. La prise en compte de cette diversité permet d’établir un secteur inclusif, adapté à des conditions variées, au besoin de diversifier l’agriculture pour garantir la sécurité alimentaire (en particulier dans les zones isolées) ainsi qu’aux demandes des consommateurs et aux visions des entreprises. Que ce soit par l’innovation ou au moyen de compétences traditionnelles, les jeunes agriculteurs jouent un rôle incontournable dans la construction de l’avenir de l’agriculture. </w:t>
      </w:r>
    </w:p>
    <w:p w14:paraId="5D322841" w14:textId="3330DE5A" w:rsidR="00797595" w:rsidRDefault="00B82141" w:rsidP="00A4027E">
      <w:pPr>
        <w:rPr>
          <w:noProof/>
        </w:rPr>
      </w:pPr>
      <w:r>
        <w:rPr>
          <w:b/>
          <w:noProof/>
        </w:rPr>
        <w:t>La diversification des activités et des produits agricoles contribue à la solidité du secteur en élargissant les sources de revenus:</w:t>
      </w:r>
      <w:r>
        <w:rPr>
          <w:noProof/>
        </w:rPr>
        <w:t xml:space="preserve"> l’agrotourisme, la transformation dans les exploitations, les systèmes agroaquacoles intégrés, les solutions bioéconomiques telles que la production de matériaux renouvelables et de bioénergie, les aliments pour animaux à partir d’algues, ou encore la séquestration du carbone, sont autant d’exemples d’activités à fort potentiel qui favorisent la viabilité des moyens de subsistance des zones rurales. La bioéconomie et les solutions circulaires, par exemple, transforment les déchets en ressources et en énergie tout en contribuant à l’autonomie stratégique et aux objectifs climatiques et environnementaux de l’Union. Ce contexte permet la création de nouveaux emplois offrant davantage de possibilités. Pour de nombreux jeunes agriculteurs, qui exercent souvent des activités à temps partiel ou en parallèle d’autres emplois, ces perspectives peuvent jouer un rôle clé dans la création de carrières professionnelles flexibles et stables dans le secteur agricole au sens large. </w:t>
      </w:r>
    </w:p>
    <w:p w14:paraId="52C8F7C4" w14:textId="7A107D6F" w:rsidR="00D66D65" w:rsidRPr="00827D8B" w:rsidRDefault="002816A7" w:rsidP="00ED5FA3">
      <w:pPr>
        <w:rPr>
          <w:noProof/>
        </w:rPr>
      </w:pPr>
      <w:r>
        <w:rPr>
          <w:noProof/>
        </w:rPr>
        <w:t xml:space="preserve">Le renouvellement des générations n’est pas motivé uniquement par la PAC. </w:t>
      </w:r>
      <w:r>
        <w:rPr>
          <w:b/>
          <w:noProof/>
        </w:rPr>
        <w:t>Il convient d’accroître les investissements dans les infrastructures et les services ruraux pour attirer de jeunes et nouveaux agriculteurs</w:t>
      </w:r>
      <w:r>
        <w:rPr>
          <w:noProof/>
        </w:rPr>
        <w:t xml:space="preserve"> notamment avec des soins de santé et de longue durée accessibles et inclusifs, l’éducation et la formation, le logement, l’eau, les infrastructures, la garde d’enfants, les transports, la communication numérique et les services de loisirs, conformément au socle européen des droits sociaux. </w:t>
      </w:r>
    </w:p>
    <w:p w14:paraId="75AC666F" w14:textId="03EF29FA" w:rsidR="003529C0" w:rsidRDefault="00AE604B" w:rsidP="00ED5FA3">
      <w:pPr>
        <w:rPr>
          <w:noProof/>
        </w:rPr>
      </w:pPr>
      <w:r>
        <w:rPr>
          <w:b/>
          <w:noProof/>
        </w:rPr>
        <w:t>La politique de cohésion complète les interventions de la PAC et apporte une aide précieuse dans les zones rurales.</w:t>
      </w:r>
      <w:r>
        <w:rPr>
          <w:noProof/>
        </w:rPr>
        <w:t xml:space="preserve"> Elle soutient les objectifs économiques, sociaux et territoriaux au moyen d’investissements ciblés, y compris dans les domaines du haut débit en zones rurales, de l’énergie propre, de la santé, des compétences en matière d’éducation, de l’emploi, de l’inclusion sociale et des infrastructures locales. Ces investissements apportent une valeur ajoutée et améliorent la qualité de vie dans les zones rurales. L’examen à mi-parcours des programmes de la politique de cohésion</w:t>
      </w:r>
      <w:r>
        <w:rPr>
          <w:rStyle w:val="FootnoteReference"/>
          <w:noProof/>
        </w:rPr>
        <w:footnoteReference w:id="22"/>
      </w:r>
      <w:r>
        <w:rPr>
          <w:noProof/>
        </w:rPr>
        <w:t xml:space="preserve"> prévoit également des incitations et des modalités flexibles pour soutenir les objectifs prioritaires, tels que la résilience dans le domaine de l’eau, le logement, la transition énergétique, la compétitivité et l’innovation, qui sont autant de questions pertinentes pour les zones rurales. </w:t>
      </w:r>
    </w:p>
    <w:p w14:paraId="60FDF698" w14:textId="3B251E94" w:rsidR="00B350C7" w:rsidRDefault="00A4027E" w:rsidP="00603AC0">
      <w:pPr>
        <w:rPr>
          <w:noProof/>
        </w:rPr>
      </w:pPr>
      <w:r>
        <w:rPr>
          <w:noProof/>
        </w:rPr>
        <w:t xml:space="preserve">À mesure que l’agriculture se transforme, par la consolidation, l’intégration des chaînes de valeur, l’adoption de technologies et l’adaptation au changement climatique, il est nécessaire d’aider les agriculteurs et les décideurs politiques à anticiper et à réagir à l’aide d’actions coordonnées tournées vers l’avenir, en conformité avec les règles relatives aux aides d'État applicables. </w:t>
      </w:r>
    </w:p>
    <w:p w14:paraId="5AAF33D5" w14:textId="120D6F14" w:rsidR="007D3672" w:rsidRPr="00F91EFA" w:rsidRDefault="003F5459" w:rsidP="002F39C3">
      <w:pPr>
        <w:pStyle w:val="ListParagraph"/>
        <w:numPr>
          <w:ilvl w:val="0"/>
          <w:numId w:val="32"/>
        </w:numPr>
        <w:spacing w:line="259" w:lineRule="auto"/>
        <w:rPr>
          <w:b/>
          <w:bCs/>
          <w:noProof/>
          <w:u w:val="single"/>
        </w:rPr>
      </w:pPr>
      <w:r>
        <w:rPr>
          <w:b/>
          <w:smallCaps/>
          <w:noProof/>
        </w:rPr>
        <w:t xml:space="preserve">La nouvelle PAC et les plans PNR: stimuler un changement positif </w:t>
      </w:r>
    </w:p>
    <w:p w14:paraId="03C624E3" w14:textId="23E07D5A" w:rsidR="002816A7" w:rsidRPr="00827D8B" w:rsidRDefault="002816A7" w:rsidP="002816A7">
      <w:pPr>
        <w:rPr>
          <w:noProof/>
        </w:rPr>
      </w:pPr>
      <w:r>
        <w:rPr>
          <w:b/>
          <w:noProof/>
        </w:rPr>
        <w:t xml:space="preserve">La PAC est au cœur des perspectives </w:t>
      </w:r>
      <w:r>
        <w:rPr>
          <w:noProof/>
        </w:rPr>
        <w:t>de développement durable des entreprises, prévoyant l’amélioration de leur accès au financement, à la connaissance et à l’innovation, tandis que les mesures prises par les États membres visent également à surmonter des obstacles majeurs, tels que l’accès à la terre pour les nouveaux entrants</w:t>
      </w:r>
      <w:r>
        <w:rPr>
          <w:b/>
          <w:noProof/>
        </w:rPr>
        <w:t xml:space="preserve"> </w:t>
      </w:r>
      <w:r>
        <w:rPr>
          <w:rStyle w:val="FootnoteReference"/>
          <w:noProof/>
        </w:rPr>
        <w:footnoteReference w:id="23"/>
      </w:r>
      <w:r>
        <w:rPr>
          <w:noProof/>
        </w:rPr>
        <w:t>.</w:t>
      </w:r>
    </w:p>
    <w:p w14:paraId="0C946915" w14:textId="080DB67E" w:rsidR="004E2B23" w:rsidRDefault="00AB2BD1" w:rsidP="004E2B23">
      <w:pPr>
        <w:spacing w:line="259" w:lineRule="auto"/>
        <w:rPr>
          <w:noProof/>
        </w:rPr>
      </w:pPr>
      <w:r>
        <w:rPr>
          <w:noProof/>
        </w:rPr>
        <w:t xml:space="preserve">En effet, la proposition de cadre financier pluriannuel (CFP) de la PAC après 2027 marque une étape importante vers une agriculture européenne plus moderne, inclusive et tournée vers l’avenir, plaçant le renouvellement des générations au cœur de son action. </w:t>
      </w:r>
    </w:p>
    <w:p w14:paraId="61AD119B" w14:textId="2D921DB8" w:rsidR="00AB2BD1" w:rsidRDefault="004E2B23" w:rsidP="002E6DA9">
      <w:pPr>
        <w:spacing w:line="259" w:lineRule="auto"/>
        <w:rPr>
          <w:noProof/>
        </w:rPr>
      </w:pPr>
      <w:r>
        <w:rPr>
          <w:noProof/>
        </w:rPr>
        <w:t>Si elle est adoptée, elle pourrait faciliter l’entrée de nouveaux agriculteurs, avec un soutien renforcé en faveur de la recherche et de l’innovation, qui constitue un levier fondamental pour le renouvellement des générations, en stimulant la modernisation et la productivité, en créant des perspectives économiques et en améliorant les conditions de vie en milieu rural tout en favorisant la diversité et l’inclusion. Dans son projet de CFP, la Commission propose également une approche plus intégrée du soutien rural, dans le cadre de la PAC et au-delà. Les investissements doivent faire l'objet d'une action coordonnée entre les différents services publics et niveaux de gouvernance, soutenue par les réformes nécessaires. La proposition relative à la PAC est au cœur de la proposition de la Commission relative aux nouveaux plans PNR, complétée par des mesures de l’UE et des initiatives nationales et régionales.</w:t>
      </w:r>
    </w:p>
    <w:p w14:paraId="76C18BB9" w14:textId="5E77851A" w:rsidR="002E5443" w:rsidRDefault="00B47251" w:rsidP="00AB2BD1">
      <w:pPr>
        <w:spacing w:line="259" w:lineRule="auto"/>
        <w:rPr>
          <w:noProof/>
        </w:rPr>
      </w:pPr>
      <w:r>
        <w:rPr>
          <w:b/>
          <w:noProof/>
        </w:rPr>
        <w:t>Le plan PNR doit prévoir des mesures promouvant le renouvellement des générations, y compris l’élaboration d’une stratégie nationale</w:t>
      </w:r>
      <w:r>
        <w:rPr>
          <w:noProof/>
        </w:rPr>
        <w:t xml:space="preserve"> permettant de recenser les tendances démographiques, de lutter contre les obstacles à l’entrée et de définir des mesures de soutien ciblées. Pour être efficaces, ces stratégies doivent être complètes de façon à tenir compte des réalités complexes auxquelles les agriculteurs sont confrontés dans chaque État membre, tout en assurant la cohérence avec les efforts nationaux et régionaux plus larges visant à revitaliser les zones rurales et en contribuant aux efforts communs de l’UE en matière de renouvellement des générations. Les États membres seraient tenus de fixer des objectifs concrets en matière de renouvellement générationnel, de soumettre des rapports réguliers sur les progrès accomplis et d’ajuster le tir lorsque les résultats sont insuffisants, ainsi que de préciser les modalités de concentration des ressources prévues par le plan pour favoriser le renouvellement des générations. La Commission, quant à elle, utiliserait des critères de référence et des recommandations spécifiques à la PAC pour orienter les politiques nationales, en garantissant l’obligation de rendre des comptes et l’alignement sur les objectifs à l’échelle de l’UE. </w:t>
      </w:r>
      <w:r>
        <w:rPr>
          <w:b/>
          <w:noProof/>
        </w:rPr>
        <w:t>Au cœur de cette nouvelle stratégie, le «kit de démarrage» complet pour les jeunes agriculteurs</w:t>
      </w:r>
      <w:r>
        <w:rPr>
          <w:noProof/>
        </w:rPr>
        <w:t xml:space="preserve"> comprend un soutien à l’installation, une aide à l’investissement et l’accès à des instruments financiers, ainsi que des mesures fiscales favorables. Des mesures complémentaires visent les nouvelles entreprises, les partenariats d’innovation, les dispositifs visant à faciliter la succession et les services de formation et d'assistance afin de les aider à mieux concilier vie professionnelle et vie privée. En vue d’améliorer l’accessibilité et l’efficacité, il est proposé que toutes les aides soient rendues accessibles par l’intermédiaire d’un point d’entrée unique dans chaque État membre.</w:t>
      </w:r>
    </w:p>
    <w:p w14:paraId="53D27388" w14:textId="23ED2A25" w:rsidR="009C027A" w:rsidRDefault="00577AF2" w:rsidP="009C027A">
      <w:pPr>
        <w:rPr>
          <w:noProof/>
        </w:rPr>
      </w:pPr>
      <w:r>
        <w:rPr>
          <w:noProof/>
        </w:rPr>
        <w:t>Pour atteindre les résultats souhaités, les États membres devraient redoubler d’efforts en faveur du renouvellement des générations, en particulier ceux qui accusent un retard. Dans le cadre du futur mécanisme directeur, la Commission recommandera aux États membres d’investir à cette fin au moins 6 % de leurs montants réservés à l’agriculture</w:t>
      </w:r>
      <w:r>
        <w:rPr>
          <w:rStyle w:val="FootnoteReference"/>
          <w:noProof/>
        </w:rPr>
        <w:footnoteReference w:id="24"/>
      </w:r>
      <w:r>
        <w:rPr>
          <w:noProof/>
        </w:rPr>
        <w:t xml:space="preserve">. Si nécessaire, ce montant pourrait être augmenté afin de garantir un niveau de financement adéquat au titre du PNR pour la mise en œuvre de la stratégie nationale. </w:t>
      </w:r>
    </w:p>
    <w:p w14:paraId="5E7621C0" w14:textId="6D1A534F" w:rsidR="00FA1A47" w:rsidRDefault="009C027A" w:rsidP="009C027A">
      <w:pPr>
        <w:rPr>
          <w:noProof/>
        </w:rPr>
      </w:pPr>
      <w:r>
        <w:rPr>
          <w:noProof/>
        </w:rPr>
        <w:t>Grâce à cette combinaison d’engagements nationaux, d’objectifs mesurables et d’orientations de la Commission, la nouvelle PAC proposée renforcera son rôle de moteur du renouvellement, permettra aux jeunes agriculteurs de construire des carrières viables et garantira la durabilité à long terme de l’agriculture européenne.</w:t>
      </w:r>
    </w:p>
    <w:p w14:paraId="182E8593" w14:textId="25FAF12A" w:rsidR="001C19EC" w:rsidRPr="00C07AF9" w:rsidRDefault="001C19EC" w:rsidP="009C027A">
      <w:pPr>
        <w:rPr>
          <w:noProof/>
        </w:rPr>
      </w:pPr>
      <w:r>
        <w:rPr>
          <w:noProof/>
          <w:lang w:val="en-GB"/>
        </w:rPr>
        <mc:AlternateContent>
          <mc:Choice Requires="wps">
            <w:drawing>
              <wp:anchor distT="0" distB="0" distL="114300" distR="114300" simplePos="0" relativeHeight="251658240" behindDoc="1" locked="0" layoutInCell="1" allowOverlap="1" wp14:anchorId="114C9734" wp14:editId="3B2C8E09">
                <wp:simplePos x="0" y="0"/>
                <wp:positionH relativeFrom="margin">
                  <wp:posOffset>-222885</wp:posOffset>
                </wp:positionH>
                <wp:positionV relativeFrom="paragraph">
                  <wp:posOffset>213995</wp:posOffset>
                </wp:positionV>
                <wp:extent cx="6105525" cy="2369820"/>
                <wp:effectExtent l="0" t="0" r="28575" b="11430"/>
                <wp:wrapNone/>
                <wp:docPr id="1951043314" name="Rectangle: Rounded Corners 1"/>
                <wp:cNvGraphicFramePr/>
                <a:graphic xmlns:a="http://schemas.openxmlformats.org/drawingml/2006/main">
                  <a:graphicData uri="http://schemas.microsoft.com/office/word/2010/wordprocessingShape">
                    <wps:wsp>
                      <wps:cNvSpPr/>
                      <wps:spPr>
                        <a:xfrm>
                          <a:off x="0" y="0"/>
                          <a:ext cx="6105525" cy="2369820"/>
                        </a:xfrm>
                        <a:prstGeom prst="roundRect">
                          <a:avLst/>
                        </a:prstGeom>
                        <a:solidFill>
                          <a:srgbClr val="FAE98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pic="http://schemas.openxmlformats.org/drawingml/2006/picture" xmlns:a="http://schemas.openxmlformats.org/drawingml/2006/main">
            <w:pict>
              <v:roundrect id="Rectangle: Rounded Corners 1" style="position:absolute;margin-left:-17.55pt;margin-top:16.85pt;width:480.75pt;height:186.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ae986"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" arcsize="10923f" w14:anchorId="766A32AC">
                <v:stroke joinstyle="miter"/>
                <w10:wrap anchorx="margin"/>
              </v:roundrect>
            </w:pict>
          </mc:Fallback>
        </mc:AlternateContent>
      </w:r>
    </w:p>
    <w:p w14:paraId="6D4695D4" w14:textId="10223817" w:rsidR="007E6908" w:rsidRPr="003D634B" w:rsidRDefault="007E6908" w:rsidP="007E6908">
      <w:pPr>
        <w:rPr>
          <w:i/>
          <w:iCs/>
          <w:noProof/>
          <w:sz w:val="22"/>
          <w:szCs w:val="22"/>
        </w:rPr>
      </w:pPr>
      <w:r>
        <w:rPr>
          <w:b/>
          <w:i/>
          <w:noProof/>
          <w:sz w:val="22"/>
        </w:rPr>
        <w:t>Initiatives phares</w:t>
      </w:r>
      <w:r>
        <w:rPr>
          <w:rStyle w:val="FootnoteReference"/>
          <w:b/>
          <w:bCs/>
          <w:i/>
          <w:iCs/>
          <w:noProof/>
          <w:sz w:val="22"/>
          <w:szCs w:val="22"/>
        </w:rPr>
        <w:footnoteReference w:id="25"/>
      </w:r>
      <w:r>
        <w:rPr>
          <w:b/>
          <w:i/>
          <w:noProof/>
          <w:sz w:val="22"/>
        </w:rPr>
        <w:t> </w:t>
      </w:r>
    </w:p>
    <w:p w14:paraId="55A500F1" w14:textId="77777777" w:rsidR="002E6DA9" w:rsidRDefault="00640AA6" w:rsidP="002E6DA9">
      <w:pPr>
        <w:numPr>
          <w:ilvl w:val="0"/>
          <w:numId w:val="22"/>
        </w:numPr>
        <w:spacing w:after="0"/>
        <w:ind w:left="360"/>
        <w:rPr>
          <w:noProof/>
        </w:rPr>
      </w:pPr>
      <w:r>
        <w:rPr>
          <w:i/>
          <w:noProof/>
          <w:sz w:val="22"/>
        </w:rPr>
        <w:t xml:space="preserve">Des </w:t>
      </w:r>
      <w:r>
        <w:rPr>
          <w:b/>
          <w:i/>
          <w:noProof/>
          <w:sz w:val="22"/>
        </w:rPr>
        <w:t>stratégies globales et obligatoires sur le renouvellement des générations dans l’agriculture dans chaque État membre</w:t>
      </w:r>
      <w:r>
        <w:rPr>
          <w:i/>
          <w:noProof/>
          <w:sz w:val="22"/>
        </w:rPr>
        <w:t>, renforcées par des exigences claires pour recenser les tendances démographiques, les obstacles à l’entrée et les mesures de soutien ciblées.</w:t>
      </w:r>
    </w:p>
    <w:p w14:paraId="3FFE2F7C" w14:textId="5385F8C2" w:rsidR="00577AF2" w:rsidRPr="002E6DA9" w:rsidRDefault="00577AF2" w:rsidP="002E6DA9">
      <w:pPr>
        <w:numPr>
          <w:ilvl w:val="0"/>
          <w:numId w:val="22"/>
        </w:numPr>
        <w:spacing w:after="0"/>
        <w:ind w:left="360"/>
        <w:rPr>
          <w:noProof/>
        </w:rPr>
      </w:pPr>
      <w:r>
        <w:rPr>
          <w:i/>
          <w:noProof/>
          <w:sz w:val="22"/>
        </w:rPr>
        <w:t xml:space="preserve">Renforcement des efforts déployés par les États membres en faveur du renouvellement des générations. Pour la programmation future des plans de partenariat national et régional, la Commission recommandera, dans le cadre du futur mécanisme directeur, que les États membres </w:t>
      </w:r>
      <w:r>
        <w:rPr>
          <w:b/>
          <w:i/>
          <w:noProof/>
          <w:sz w:val="22"/>
        </w:rPr>
        <w:t>investissent au moins 6 % de leurs dépenses réservées à l'agriculture</w:t>
      </w:r>
      <w:r>
        <w:rPr>
          <w:i/>
          <w:noProof/>
          <w:sz w:val="22"/>
        </w:rPr>
        <w:t xml:space="preserve"> à cette fin, un montant qu’ils pourront compléter par des fonds supplémentaires du PNR afin de garantir un financement adéquat pour la mise en œuvre de la stratégie nationale.</w:t>
      </w:r>
    </w:p>
    <w:p w14:paraId="2EBE753C" w14:textId="77777777" w:rsidR="007E6908" w:rsidRPr="00FC6382" w:rsidRDefault="007E6908" w:rsidP="002F39C3">
      <w:pPr>
        <w:numPr>
          <w:ilvl w:val="0"/>
          <w:numId w:val="22"/>
        </w:numPr>
        <w:spacing w:after="0"/>
        <w:ind w:left="360"/>
        <w:rPr>
          <w:i/>
          <w:iCs/>
          <w:noProof/>
          <w:sz w:val="22"/>
          <w:szCs w:val="22"/>
        </w:rPr>
      </w:pPr>
      <w:r>
        <w:rPr>
          <w:i/>
          <w:noProof/>
          <w:sz w:val="22"/>
        </w:rPr>
        <w:t>Le «</w:t>
      </w:r>
      <w:r>
        <w:rPr>
          <w:b/>
          <w:i/>
          <w:noProof/>
          <w:sz w:val="22"/>
        </w:rPr>
        <w:t>kit de démarrage pour les jeunes agriculteurs</w:t>
      </w:r>
      <w:r>
        <w:rPr>
          <w:i/>
          <w:noProof/>
          <w:sz w:val="22"/>
        </w:rPr>
        <w:t xml:space="preserve">», qui vise à faciliter l’entrée et l’installation de jeunes agriculteurs dans le secteur au moyen d’un ensemble d’aides complet. </w:t>
      </w:r>
    </w:p>
    <w:p w14:paraId="12311F48" w14:textId="77777777" w:rsidR="003020B9" w:rsidRDefault="003020B9" w:rsidP="003020B9">
      <w:pPr>
        <w:spacing w:after="0"/>
        <w:ind w:left="360"/>
        <w:rPr>
          <w:i/>
          <w:iCs/>
          <w:noProof/>
          <w:sz w:val="22"/>
          <w:szCs w:val="22"/>
        </w:rPr>
      </w:pPr>
    </w:p>
    <w:p w14:paraId="5B06AD3E" w14:textId="481D8E1E" w:rsidR="003B2090" w:rsidRDefault="00EB12B0" w:rsidP="002F39C3">
      <w:pPr>
        <w:pStyle w:val="Heading1"/>
        <w:numPr>
          <w:ilvl w:val="0"/>
          <w:numId w:val="32"/>
        </w:numPr>
        <w:rPr>
          <w:noProof/>
        </w:rPr>
      </w:pPr>
      <w:bookmarkStart w:id="4" w:name="_Toc207980850"/>
      <w:r>
        <w:rPr>
          <w:noProof/>
        </w:rPr>
        <w:t>Mettre en œuvre la stratégie: prochaines étapes vers le renouvellement des générations</w:t>
      </w:r>
      <w:bookmarkEnd w:id="4"/>
      <w:r>
        <w:rPr>
          <w:noProof/>
        </w:rPr>
        <w:t xml:space="preserve"> </w:t>
      </w:r>
    </w:p>
    <w:p w14:paraId="50ECA47D" w14:textId="77777777" w:rsidR="002E6DA9" w:rsidRDefault="00CA19F5" w:rsidP="00420448">
      <w:pPr>
        <w:rPr>
          <w:noProof/>
        </w:rPr>
      </w:pPr>
      <w:r>
        <w:rPr>
          <w:noProof/>
        </w:rPr>
        <w:t>Il est essentiel de placer les jeunes agriculteurs au cœur de l’élaboration des politiques pour ancrer durablement le renouvellement des générations dans l’agriculture européenne. Pour que les jeunes agriculteurs soient non seulement accompagnés, mais aussi activement mobilisés, la Commission a mis en place une structure de</w:t>
      </w:r>
      <w:r>
        <w:rPr>
          <w:b/>
          <w:noProof/>
        </w:rPr>
        <w:t xml:space="preserve"> participation de la jeunesse</w:t>
      </w:r>
      <w:r>
        <w:rPr>
          <w:noProof/>
        </w:rPr>
        <w:t>, afin de prendre en compte leur voix tout au long de la conception et de la mise en œuvre des politiques. Conformément à cette approche, la Commission a organisé deux dialogues en faveur de la jeunesse</w:t>
      </w:r>
      <w:r>
        <w:rPr>
          <w:rStyle w:val="FootnoteReference"/>
          <w:noProof/>
        </w:rPr>
        <w:footnoteReference w:id="26"/>
      </w:r>
      <w:r>
        <w:rPr>
          <w:noProof/>
        </w:rPr>
        <w:t xml:space="preserve">, au cours desquels le sujet du renouvellement des générations a été abordé, offrant aux jeunes l’occasion de façonner la politique agricole. </w:t>
      </w:r>
    </w:p>
    <w:p w14:paraId="4B6BBF96" w14:textId="04543241" w:rsidR="00420448" w:rsidRPr="00DD3546" w:rsidRDefault="00C807B6" w:rsidP="00420448">
      <w:pPr>
        <w:rPr>
          <w:noProof/>
        </w:rPr>
      </w:pPr>
      <w:r>
        <w:rPr>
          <w:noProof/>
        </w:rPr>
        <w:t>Au niveau national, les États membres sont encouragés à inclure des représentants des jeunes agriculteurs dans les comités de suivi</w:t>
      </w:r>
      <w:r>
        <w:rPr>
          <w:rStyle w:val="FootnoteReference"/>
          <w:noProof/>
        </w:rPr>
        <w:footnoteReference w:id="27"/>
      </w:r>
      <w:r>
        <w:rPr>
          <w:noProof/>
        </w:rPr>
        <w:t xml:space="preserve"> </w:t>
      </w:r>
      <w:r>
        <w:rPr>
          <w:b/>
          <w:noProof/>
        </w:rPr>
        <w:t>pour faire en sorte que leurs points de vue éclairent les décisions politiques</w:t>
      </w:r>
      <w:r>
        <w:rPr>
          <w:noProof/>
        </w:rPr>
        <w:t xml:space="preserve"> dans le cadre de la PAC. L’espace institutionnel ainsi créé leur permet de participer à la prise de décision et de favoriser une meilleure mise en œuvre et un renforcement de l’obligation de rendre des comptes en ce qui concerne la réalisation des engagements en matière de renouvellement générationnel.</w:t>
      </w:r>
    </w:p>
    <w:p w14:paraId="7FA1B0A9" w14:textId="1AB97B39" w:rsidR="00420448" w:rsidRPr="00E90503" w:rsidRDefault="00420448" w:rsidP="00420448">
      <w:pPr>
        <w:rPr>
          <w:noProof/>
        </w:rPr>
      </w:pPr>
      <w:r>
        <w:rPr>
          <w:noProof/>
        </w:rPr>
        <w:t>En intégrant directement les jeunes dans l'élaboration de la politique agricole, cette stratégie jette les bases d’une meilleure responsabilisation, d’un soutien plus réactif et d’un secteur agricole dynamique et tourné vers l’avenir. Cette approche reflète l’engagement de l’UE à donner aux bâtisseurs de l’agriculture européenne du futur les outils et la voix nécessaires pour y parvenir.</w:t>
      </w:r>
    </w:p>
    <w:p w14:paraId="353DEB00" w14:textId="4F0410C4" w:rsidR="00C509AE" w:rsidRDefault="00C509AE" w:rsidP="00001A9F">
      <w:pPr>
        <w:rPr>
          <w:noProof/>
        </w:rPr>
      </w:pPr>
      <w:r>
        <w:rPr>
          <w:noProof/>
        </w:rPr>
        <w:t>Pour tirer parti de cette dynamique, les dialogues en faveur de la jeunesse se poursuivront chaque année tout au long du mandat actuel, ce qui permettra des échanges de vues réguliers, un partage d’expériences et un débat éclairé sur des questions stratégiques clés, en veillant à ce que tous les jeunes soient entendus de manière équitable.</w:t>
      </w:r>
    </w:p>
    <w:p w14:paraId="0E5DD872" w14:textId="79609108" w:rsidR="0082320F" w:rsidRPr="00FA1A47" w:rsidRDefault="0082320F" w:rsidP="00E84BBE">
      <w:pPr>
        <w:rPr>
          <w:b/>
          <w:smallCaps/>
          <w:noProof/>
        </w:rPr>
      </w:pPr>
      <w:r>
        <w:rPr>
          <w:b/>
          <w:smallCaps/>
          <w:noProof/>
        </w:rPr>
        <w:t>Principaux objectifs et priorités stratégiques</w:t>
      </w:r>
    </w:p>
    <w:p w14:paraId="1EFE779D" w14:textId="33DAD72E" w:rsidR="007C7B93" w:rsidRPr="007C7B93" w:rsidRDefault="007C7B93" w:rsidP="007D3BF1">
      <w:pPr>
        <w:rPr>
          <w:noProof/>
        </w:rPr>
      </w:pPr>
      <w:r>
        <w:rPr>
          <w:noProof/>
        </w:rPr>
        <w:t>Le principal objectif de cette stratégie est de garantir la résilience à long terme du secteur agricole en soutenant les revenus agricoles. Ce volet est essentiel non seulement pour la vitalité des zones rurales, mais aussi pour la sécurité alimentaire de l’Europe. Il s’agit d’aider les agriculteurs à créer des entreprises économiquement viables, durables et à l’épreuve du temps. L’innovation et l’esprit d’entreprise sont des vecteurs transversaux fondamentaux pour y parvenir.</w:t>
      </w:r>
    </w:p>
    <w:p w14:paraId="140A8FB0" w14:textId="71A4CD51" w:rsidR="00F91EFA" w:rsidRDefault="007C7B93" w:rsidP="0032028B">
      <w:pPr>
        <w:rPr>
          <w:noProof/>
        </w:rPr>
      </w:pPr>
      <w:r>
        <w:rPr>
          <w:noProof/>
        </w:rPr>
        <w:t xml:space="preserve">Il est essentiel de donner aux jeunes et aux nouveaux agriculteurs les moyens de tirer parti des nouvelles possibilités et de </w:t>
      </w:r>
      <w:r>
        <w:rPr>
          <w:b/>
          <w:noProof/>
        </w:rPr>
        <w:t>soutenir la diversification des revenus agricoles</w:t>
      </w:r>
      <w:r>
        <w:rPr>
          <w:noProof/>
        </w:rPr>
        <w:t xml:space="preserve">. L’objectif est de rendre les agriculteurs plus résilients et moins dépendants des subventions à long terme, en s’appuyant notamment sur le potentiel de la bioéconomie, des énergies renouvelables, des crédits «nature» et «carbone», ainsi que des circuits d’approvisionnement courts. </w:t>
      </w:r>
    </w:p>
    <w:p w14:paraId="4100A6C6" w14:textId="0BEDF77D" w:rsidR="0032028B" w:rsidRDefault="4047B0D0" w:rsidP="0032028B">
      <w:pPr>
        <w:rPr>
          <w:noProof/>
        </w:rPr>
      </w:pPr>
      <w:r>
        <w:rPr>
          <w:noProof/>
        </w:rPr>
        <w:t xml:space="preserve">La stratégie reconnaît que l’agriculture doit fournir un </w:t>
      </w:r>
      <w:r>
        <w:rPr>
          <w:b/>
          <w:noProof/>
        </w:rPr>
        <w:t>revenu stable et équitable, grâce à des prix équitables</w:t>
      </w:r>
      <w:r>
        <w:rPr>
          <w:rStyle w:val="FootnoteReference"/>
          <w:b/>
          <w:bCs/>
          <w:noProof/>
        </w:rPr>
        <w:footnoteReference w:id="28"/>
      </w:r>
      <w:r>
        <w:rPr>
          <w:noProof/>
        </w:rPr>
        <w:t>, afin de proposer des moyens de subsistance viables et attractifs. Les participants au dialogue en faveur de la jeunesse</w:t>
      </w:r>
      <w:r>
        <w:rPr>
          <w:rStyle w:val="FootnoteReference"/>
          <w:noProof/>
        </w:rPr>
        <w:footnoteReference w:id="29"/>
      </w:r>
      <w:r>
        <w:rPr>
          <w:noProof/>
        </w:rPr>
        <w:t xml:space="preserve"> ont estimé que le revenu équitable constituait le défi le plus urgent. Pour de nombreux jeunes européens, les perspectives économiques limitées restent un frein à l’entrée dans l’agriculture. La Commission a pris acte de ces préoccupations et y répond déjà au moyen d’initiatives plus globales, y compris des réformes et de nouveaux outils visant à améliorer l’équité et la transparence dans la chaîne d’approvisionnement agricole et alimentaire</w:t>
      </w:r>
      <w:r>
        <w:rPr>
          <w:rStyle w:val="FootnoteReference"/>
          <w:noProof/>
        </w:rPr>
        <w:footnoteReference w:id="30"/>
      </w:r>
      <w:r>
        <w:rPr>
          <w:noProof/>
        </w:rPr>
        <w:t>. Il importe de rappeler le rôle clé des organisations de producteurs, qui peuvent renforcer le pouvoir de négociation des agriculteurs, améliorer l’accès au marché et favoriser l’obtention de revenus plus équitables.</w:t>
      </w:r>
    </w:p>
    <w:p w14:paraId="0A82ECAB" w14:textId="4934E985" w:rsidR="00F91EFA" w:rsidRDefault="00540AEC" w:rsidP="00F91EFA">
      <w:pPr>
        <w:rPr>
          <w:noProof/>
        </w:rPr>
      </w:pPr>
      <w:r>
        <w:rPr>
          <w:noProof/>
        </w:rPr>
        <w:t>Il existe un large consensus</w:t>
      </w:r>
      <w:r>
        <w:rPr>
          <w:rStyle w:val="FootnoteReference"/>
          <w:noProof/>
        </w:rPr>
        <w:footnoteReference w:id="31"/>
      </w:r>
      <w:r>
        <w:rPr>
          <w:noProof/>
        </w:rPr>
        <w:t xml:space="preserve"> sur le fait que cinq domaines requièrent une action urgente, à savoir l’accès au financement, l’accès à l’éducation, à la formation et aux compétences, l’accès à la terre, l’accès à un niveau de vie équitable dans les zones rurales, ainsi que l’aide à la succession et à la retraite. Ces défis sont abordés en cinq blocs stratégiques, chacun comportant des initiatives phares et des actions d’appui.</w:t>
      </w:r>
    </w:p>
    <w:p w14:paraId="662B4E1F" w14:textId="70DDDD62" w:rsidR="00FC3BF5" w:rsidRPr="00F91EFA" w:rsidRDefault="002030D7" w:rsidP="00F91EFA">
      <w:pPr>
        <w:rPr>
          <w:b/>
          <w:bCs/>
          <w:noProof/>
        </w:rPr>
      </w:pPr>
      <w:r>
        <w:rPr>
          <w:b/>
          <w:noProof/>
        </w:rPr>
        <w:t xml:space="preserve">A. Accès au crédit et au financement </w:t>
      </w:r>
    </w:p>
    <w:p w14:paraId="2660DF98" w14:textId="04927BAD" w:rsidR="00FC3BF5" w:rsidRDefault="00FC3BF5" w:rsidP="00FC3BF5">
      <w:pPr>
        <w:rPr>
          <w:noProof/>
        </w:rPr>
      </w:pPr>
      <w:r>
        <w:rPr>
          <w:b/>
          <w:noProof/>
        </w:rPr>
        <w:t>L’accès au financement reste un défi majeur pour tous les agriculteurs, et tout particulièrement pour les jeunes et les nouveaux agriculteurs</w:t>
      </w:r>
      <w:r>
        <w:rPr>
          <w:noProof/>
        </w:rPr>
        <w:t>, étant donné que la création ou la reprise d’une exploitation requiert des investissements initiaux importants, avec des rendements retardés et souvent erratiques ou incertains. Nombre d’entre eux sont contraints de s’endetter lourdement au début de leur activité, ce qui complique le financement de nouvelles opérations, l’adoption de pratiques durables ou encore la modernisation des équipements. En 2023, le ratio d’endettement des jeunes agriculteurs était supérieur à 20 %, contre 8 % pour les agriculteurs de plus de 65 ans</w:t>
      </w:r>
      <w:r>
        <w:rPr>
          <w:rStyle w:val="FootnoteReference"/>
          <w:noProof/>
        </w:rPr>
        <w:footnoteReference w:id="32"/>
      </w:r>
      <w:r>
        <w:rPr>
          <w:noProof/>
        </w:rPr>
        <w:t>, ce qui montre bien la pression financière plus lourde que subit la jeune génération.</w:t>
      </w:r>
    </w:p>
    <w:p w14:paraId="058021C3" w14:textId="158CD96E" w:rsidR="00187EAB" w:rsidRPr="0073546A" w:rsidRDefault="00187EAB" w:rsidP="00FC3BF5">
      <w:pPr>
        <w:rPr>
          <w:noProof/>
        </w:rPr>
      </w:pPr>
      <w:r>
        <w:rPr>
          <w:noProof/>
        </w:rPr>
        <w:t>En 2022, les jeunes agriculteurs de l’EU-27 ont été confrontés à un déficit de financement de 14,1 milliards d’EUR, ce qui représente 22 % du déficit total du secteur, soit une augmentation de 11 % par rapport à 2017</w:t>
      </w:r>
      <w:r>
        <w:rPr>
          <w:rStyle w:val="FootnoteReference"/>
          <w:noProof/>
        </w:rPr>
        <w:footnoteReference w:id="33"/>
      </w:r>
      <w:r>
        <w:rPr>
          <w:noProof/>
        </w:rPr>
        <w:t>. Une nouvelle enquête fi-compass de la Banque européenne d’investissement (BEI)</w:t>
      </w:r>
      <w:r>
        <w:rPr>
          <w:rStyle w:val="FootnoteReference"/>
          <w:noProof/>
        </w:rPr>
        <w:footnoteReference w:id="34"/>
      </w:r>
      <w:r>
        <w:rPr>
          <w:noProof/>
        </w:rPr>
        <w:t xml:space="preserve"> ne montre aucune amélioration dans les secteurs clés: ceux des céréales, des oléagineux et des protéagineux sont confrontés à un déficit de 4,9 milliards d’EUR, celui des légumes, à un déficit de 3,2 milliards d’EUR, et celui des vaches laitières, à un déficit de 0,4 milliard d’EUR. Cet écart croissant met en évidence le rôle central que jouent les jeunes agriculteurs pour répondre aux besoins d’investissement du secteur et l’urgence de remédier à leurs contraintes financières. </w:t>
      </w:r>
    </w:p>
    <w:p w14:paraId="6D6E8602" w14:textId="577E09AE" w:rsidR="00FC3BF5" w:rsidRPr="0073546A" w:rsidRDefault="00FC3BF5" w:rsidP="00FC3BF5">
      <w:pPr>
        <w:rPr>
          <w:noProof/>
        </w:rPr>
      </w:pPr>
      <w:r>
        <w:rPr>
          <w:noProof/>
        </w:rPr>
        <w:t xml:space="preserve">L’un des problèmes les plus urgents est l’accès limité aux produits financiers sur mesure. Les jeunes agriculteurs </w:t>
      </w:r>
      <w:r>
        <w:rPr>
          <w:b/>
          <w:noProof/>
        </w:rPr>
        <w:t>peinent souvent à obtenir des prêts à long terme</w:t>
      </w:r>
      <w:r>
        <w:rPr>
          <w:noProof/>
        </w:rPr>
        <w:t>, en particulier des prêts de plus de 12 ans, en raison d’un manque de garanties ou d’antécédents de crédit. Pour lever ces obstacles, il convient de concevoir des instruments financiers, tels que des prêts et des garanties, qui ciblent ces jeunes agriculteurs en particulier. Ces instruments peuvent favoriser un large éventail d’investissements, que ce soit dans le développement des entreprises, dans l’adaptation au changement climatique, dans la numérisation, ou encore dans l’acquisition progressive d’exploitations agricoles par le rachat d’actions. Ils devraient également être adaptés aux particularités des modèles économiques alternatifs, tels que les coopératives et les entreprises sociales. Les partenariats public-privé et une collaboration plus étroite avec le Groupe Banque européenne d’investissement (groupe BEI) et d’autres institutions financières peuvent faciliter l’accès au financement, tandis que les contre-garanties pourraient offrir un potentiel inexploité aux États membres cherchant à accompagner le renouvellement des générations. En collaboration avec le Groupe BEI, la Commission étudiera les formes d’appui aux jeunes agriculteurs et nouveaux agriculteurs, y compris les régimes de garantie et les bonifications d’intérêts.</w:t>
      </w:r>
    </w:p>
    <w:p w14:paraId="4417F8FB" w14:textId="4337023D" w:rsidR="00FC3BF5" w:rsidRPr="0073546A" w:rsidRDefault="552F35F1" w:rsidP="00FC3BF5">
      <w:pPr>
        <w:rPr>
          <w:noProof/>
        </w:rPr>
      </w:pPr>
      <w:r>
        <w:rPr>
          <w:b/>
          <w:noProof/>
        </w:rPr>
        <w:t>Le financement est essentiel, en particulier pour l’acquisition de terrains.</w:t>
      </w:r>
      <w:r>
        <w:rPr>
          <w:noProof/>
        </w:rPr>
        <w:t xml:space="preserve"> Les jeunes agriculteurs doivent pouvoir utiliser les instruments cofinancés par l’UE pour acquérir des terres agricoles sans conditions restrictives non nécessaires. Cela leur permettrait de consolider leurs activités et d’investir dans des améliorations à long terme, telles que la santé des sols, les pratiques agroécologiques ou la séquestration du carbone. L’accès à la terre reste un obstacle majeur et il est indispensable de faciliter l’achat de terres pour garantir la viabilité à long terme.</w:t>
      </w:r>
    </w:p>
    <w:p w14:paraId="66B79191" w14:textId="1946454F" w:rsidR="00FC3BF5" w:rsidRPr="0073546A" w:rsidRDefault="00FC3BF5" w:rsidP="00FC3BF5">
      <w:pPr>
        <w:rPr>
          <w:noProof/>
        </w:rPr>
      </w:pPr>
      <w:r>
        <w:rPr>
          <w:noProof/>
        </w:rPr>
        <w:t xml:space="preserve">Dans le même temps, les </w:t>
      </w:r>
      <w:r>
        <w:rPr>
          <w:b/>
          <w:noProof/>
        </w:rPr>
        <w:t>investissements dans l’innovation et les technologies modernes</w:t>
      </w:r>
      <w:r>
        <w:rPr>
          <w:noProof/>
        </w:rPr>
        <w:t xml:space="preserve"> sont cruciaux pour améliorer la productivité, accroître la résilience et soutenir la transition écologique. Le financement doit aller au-delà des outils conventionnels pour permettre aux jeunes agriculteurs d’adopter de nouvelles techniques, des outils numériques et des solutions durables qui leur permettront de relever les défis du changement climatique et de l’évolution des demandes du marché. Cela est particulièrement important pour l’agriculture biologique, un domaine dans lequel les rendements plus faibles peuvent accroître le risque financier. À cet égard, des instruments efficaces de gestion des risques sont essentiels et, bien que les nouveaux paiements de transition de 200 000 EUR au titre de la future PAC, s’ils sont adoptés, puissent constituer un bon exemple d’appui à l’agriculture biologique et à la transition, davantage de ressources seront nécessaires pour faire face à l’ampleur des défis rencontrés.</w:t>
      </w:r>
    </w:p>
    <w:p w14:paraId="59945D9C" w14:textId="155C7E98" w:rsidR="00FC3BF5" w:rsidRPr="00F92C26" w:rsidRDefault="00FC3BF5" w:rsidP="00FC3BF5">
      <w:pPr>
        <w:rPr>
          <w:noProof/>
        </w:rPr>
      </w:pPr>
      <w:r>
        <w:rPr>
          <w:noProof/>
        </w:rPr>
        <w:t>Les changements dans la réglementation poussent également les agriculteurs à se méfier des investissements à long terme. Les critères de prêts conclus au départ peuvent évoluer avant que les investissements ne portent leurs fruits, ce qui nuit à la sécurité juridique et à la prévisibilité. C’est pourquoi l’avènement d’un secteur agroalimentaire plus prévisible pour 2040 fait partie des objectifs clés de la vision de la Commission pour l’agriculture et l’alimentation. La Commission s’engage à prévoir des périodes de transition suffisantes en cas de modification des réglementations relatives aux exploitations agricoles.</w:t>
      </w:r>
    </w:p>
    <w:p w14:paraId="66ED7007" w14:textId="285E9C25" w:rsidR="00A80181" w:rsidRDefault="77571398" w:rsidP="00FC3BF5">
      <w:pPr>
        <w:rPr>
          <w:noProof/>
        </w:rPr>
      </w:pPr>
      <w:r>
        <w:rPr>
          <w:noProof/>
        </w:rPr>
        <w:t xml:space="preserve">La PAC et les financements nationaux restent donc indispensables. Les aides à l’installation et à l’investissement ciblé sont cruciales pour aider les jeunes agriculteurs à lancer leur entreprise, à renforcer leur résilience et à gérer les risques, tant commerciaux que climatiques. Les montants forfaitaires transitoires, tels que ceux prévus dans le cadre de la future PAC, pourraient également jouer un rôle précieux pour soutenir les agriculteurs aux premiers stades critiques de l’adaptation à ces défis. </w:t>
      </w:r>
    </w:p>
    <w:p w14:paraId="4B5F06EA" w14:textId="342FA250" w:rsidR="003A28E0" w:rsidRDefault="003A28E0" w:rsidP="00FC3BF5">
      <w:pPr>
        <w:rPr>
          <w:noProof/>
        </w:rPr>
      </w:pPr>
      <w:r>
        <w:rPr>
          <w:noProof/>
        </w:rPr>
        <w:t>Le Fonds européen pour la compétitivité (FEC) proposé, associé au pilier II d’Horizon Europe, pourrait offrir aux agriculteurs, notamment aux jeunes et aux nouveaux venus, des possibilités de financement pour les aider à développer leurs entreprises et à surmonter les obstacles structurels. Conformément à la stratégie de l’UE en faveur des start-up et des scale-up</w:t>
      </w:r>
      <w:r>
        <w:rPr>
          <w:rStyle w:val="FootnoteReference"/>
          <w:noProof/>
        </w:rPr>
        <w:footnoteReference w:id="35"/>
      </w:r>
      <w:r>
        <w:rPr>
          <w:noProof/>
        </w:rPr>
        <w:t>, ces instruments mobilisent des capitaux, remédient aux déficits de financement de la croissance et encouragent les start-up agroalimentaires dans les zones rurales. Un jeune créateur de start-up rurale pourra ainsi continuer à se développer grâce à ces outils, y compris, le cas échéant, au Conseil européen de l’innovation.</w:t>
      </w:r>
    </w:p>
    <w:p w14:paraId="0734AE81" w14:textId="16EA2180" w:rsidR="00542368" w:rsidRDefault="77571398" w:rsidP="00FC3BF5">
      <w:pPr>
        <w:rPr>
          <w:noProof/>
        </w:rPr>
      </w:pPr>
      <w:r>
        <w:rPr>
          <w:noProof/>
        </w:rPr>
        <w:t>Des instruments financiers adaptés et des mécanismes de soutien intégrés visant à combiner des financements publics et privés seront nécessaires pour libérer le potentiel de la prochaine génération et stimuler une transformation durable de l’agriculture de l’UE.</w:t>
      </w:r>
    </w:p>
    <w:p w14:paraId="7577E234" w14:textId="72D252C7" w:rsidR="003A0B2C" w:rsidRDefault="00170903" w:rsidP="00FC3BF5">
      <w:pPr>
        <w:rPr>
          <w:b/>
          <w:bCs/>
          <w:i/>
          <w:iCs/>
          <w:noProof/>
          <w:sz w:val="22"/>
          <w:szCs w:val="22"/>
        </w:rPr>
      </w:pPr>
      <w:r>
        <w:rPr>
          <w:noProof/>
          <w:lang w:val="en-GB"/>
        </w:rPr>
        <mc:AlternateContent>
          <mc:Choice Requires="wps">
            <w:drawing>
              <wp:anchor distT="0" distB="0" distL="114300" distR="114300" simplePos="0" relativeHeight="251658242" behindDoc="1" locked="0" layoutInCell="1" allowOverlap="1" wp14:anchorId="3504A3C2" wp14:editId="1A772145">
                <wp:simplePos x="0" y="0"/>
                <wp:positionH relativeFrom="margin">
                  <wp:posOffset>-62865</wp:posOffset>
                </wp:positionH>
                <wp:positionV relativeFrom="paragraph">
                  <wp:posOffset>121920</wp:posOffset>
                </wp:positionV>
                <wp:extent cx="5875655" cy="2171700"/>
                <wp:effectExtent l="0" t="0" r="10795" b="19050"/>
                <wp:wrapNone/>
                <wp:docPr id="357331725" name="Rectangle: Rounded Corners 1"/>
                <wp:cNvGraphicFramePr/>
                <a:graphic xmlns:a="http://schemas.openxmlformats.org/drawingml/2006/main">
                  <a:graphicData uri="http://schemas.microsoft.com/office/word/2010/wordprocessingShape">
                    <wps:wsp>
                      <wps:cNvSpPr/>
                      <wps:spPr>
                        <a:xfrm>
                          <a:off x="0" y="0"/>
                          <a:ext cx="5875655" cy="2171700"/>
                        </a:xfrm>
                        <a:prstGeom prst="roundRect">
                          <a:avLst/>
                        </a:prstGeom>
                        <a:solidFill>
                          <a:schemeClr val="accent6">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pic="http://schemas.openxmlformats.org/drawingml/2006/picture" xmlns:a="http://schemas.openxmlformats.org/drawingml/2006/main">
            <w:pict>
              <v:roundrect id="Rectangle: Rounded Corners 1" style="position:absolute;margin-left:-4.95pt;margin-top:9.6pt;width:462.65pt;height:171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3e5a1 [1305]"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" arcsize="10923f" w14:anchorId="635364CE">
                <v:stroke joinstyle="miter"/>
                <w10:wrap anchorx="margin"/>
              </v:roundrect>
            </w:pict>
          </mc:Fallback>
        </mc:AlternateContent>
      </w:r>
    </w:p>
    <w:p w14:paraId="1C02681F" w14:textId="2CFFF7CE" w:rsidR="00FC3BF5" w:rsidRPr="003D634B" w:rsidRDefault="003A0B2C" w:rsidP="00106CD6">
      <w:pPr>
        <w:tabs>
          <w:tab w:val="center" w:pos="4451"/>
        </w:tabs>
        <w:rPr>
          <w:b/>
          <w:bCs/>
          <w:i/>
          <w:iCs/>
          <w:noProof/>
          <w:sz w:val="22"/>
          <w:szCs w:val="22"/>
        </w:rPr>
      </w:pPr>
      <w:r>
        <w:rPr>
          <w:b/>
          <w:i/>
          <w:noProof/>
          <w:sz w:val="22"/>
        </w:rPr>
        <w:t>Initiatives phares</w:t>
      </w:r>
      <w:r>
        <w:rPr>
          <w:noProof/>
        </w:rPr>
        <w:tab/>
      </w:r>
    </w:p>
    <w:p w14:paraId="09F2E891" w14:textId="65DB6B61" w:rsidR="002E1669" w:rsidRPr="00244300" w:rsidRDefault="00427BA7" w:rsidP="002F39C3">
      <w:pPr>
        <w:pStyle w:val="ListParagraph"/>
        <w:numPr>
          <w:ilvl w:val="0"/>
          <w:numId w:val="25"/>
        </w:numPr>
        <w:rPr>
          <w:i/>
          <w:iCs/>
          <w:noProof/>
          <w:sz w:val="22"/>
          <w:szCs w:val="22"/>
        </w:rPr>
      </w:pPr>
      <w:r>
        <w:rPr>
          <w:b/>
          <w:i/>
          <w:noProof/>
          <w:sz w:val="22"/>
        </w:rPr>
        <w:t>Dans la proposition relative à la future PAC, le niveau maximal du soutien de la PAC (équivalent-subvention brut) est triplé</w:t>
      </w:r>
      <w:r>
        <w:rPr>
          <w:i/>
          <w:noProof/>
          <w:sz w:val="22"/>
        </w:rPr>
        <w:t xml:space="preserve"> pour l’installation des jeunes agriculteurs lorsque l’aide est fournie </w:t>
      </w:r>
      <w:r>
        <w:rPr>
          <w:b/>
          <w:i/>
          <w:noProof/>
          <w:sz w:val="22"/>
        </w:rPr>
        <w:t>au moyen d’instruments financiers</w:t>
      </w:r>
      <w:r>
        <w:rPr>
          <w:i/>
          <w:noProof/>
          <w:sz w:val="22"/>
        </w:rPr>
        <w:t xml:space="preserve"> (de 100 000 EUR à 300 000 EUR), ce qui permet un volume de prêts par projet beaucoup plus élevé et/ou une baisse importante des paiements d’intérêts. </w:t>
      </w:r>
    </w:p>
    <w:p w14:paraId="5E75C7D9" w14:textId="41E0DEF9" w:rsidR="002E1669" w:rsidRDefault="00427BA7" w:rsidP="002F39C3">
      <w:pPr>
        <w:pStyle w:val="ListParagraph"/>
        <w:numPr>
          <w:ilvl w:val="0"/>
          <w:numId w:val="25"/>
        </w:numPr>
        <w:rPr>
          <w:i/>
          <w:iCs/>
          <w:noProof/>
          <w:sz w:val="22"/>
          <w:szCs w:val="22"/>
        </w:rPr>
      </w:pPr>
      <w:r>
        <w:rPr>
          <w:b/>
          <w:i/>
          <w:noProof/>
          <w:sz w:val="22"/>
        </w:rPr>
        <w:t>La proposition prévoit également une augmentation du taux de soutien à l’investissement pouvant aller jusqu’à 85 %</w:t>
      </w:r>
      <w:r>
        <w:rPr>
          <w:i/>
          <w:noProof/>
          <w:sz w:val="22"/>
        </w:rPr>
        <w:t xml:space="preserve"> et la possibilité, pour les États membres, de fixer des seuils minimaux de dépenses ou des taux de cofinancement de l’UE plus élevés pour les jeunes agriculteurs.</w:t>
      </w:r>
    </w:p>
    <w:p w14:paraId="225CF9D6" w14:textId="5045F6EE" w:rsidR="00CF7C32" w:rsidRDefault="00CF7C32" w:rsidP="00AD3BBB">
      <w:pPr>
        <w:rPr>
          <w:noProof/>
        </w:rPr>
      </w:pPr>
    </w:p>
    <w:p w14:paraId="0AF1FED2" w14:textId="77777777" w:rsidR="005B3424" w:rsidRDefault="005B3424" w:rsidP="00AD3BBB">
      <w:pPr>
        <w:rPr>
          <w:noProof/>
        </w:rPr>
      </w:pPr>
    </w:p>
    <w:p w14:paraId="533A422F" w14:textId="77777777" w:rsidR="005B3424" w:rsidRDefault="005B3424" w:rsidP="00AD3BBB">
      <w:pPr>
        <w:rPr>
          <w:noProof/>
        </w:rPr>
      </w:pPr>
    </w:p>
    <w:tbl>
      <w:tblPr>
        <w:tblStyle w:val="TableGrid"/>
        <w:tblW w:w="9214" w:type="dxa"/>
        <w:tblInd w:w="-150" w:type="dxa"/>
        <w:tblLayout w:type="fixed"/>
        <w:tblLook w:val="04A0" w:firstRow="1" w:lastRow="0" w:firstColumn="1" w:lastColumn="0" w:noHBand="0" w:noVBand="1"/>
      </w:tblPr>
      <w:tblGrid>
        <w:gridCol w:w="2155"/>
        <w:gridCol w:w="5925"/>
        <w:gridCol w:w="1134"/>
      </w:tblGrid>
      <w:tr w:rsidR="005863B8" w:rsidRPr="00636FA3" w14:paraId="1B8713C1" w14:textId="77777777" w:rsidTr="00356507">
        <w:trPr>
          <w:trHeight w:val="490"/>
        </w:trPr>
        <w:tc>
          <w:tcPr>
            <w:tcW w:w="8080" w:type="dxa"/>
            <w:gridSpan w:val="2"/>
            <w:shd w:val="clear" w:color="auto" w:fill="D9F2D0" w:themeFill="accent6" w:themeFillTint="33"/>
          </w:tcPr>
          <w:p w14:paraId="745A7E04" w14:textId="77777777" w:rsidR="005863B8" w:rsidRPr="00C67F94" w:rsidRDefault="005863B8" w:rsidP="00356507">
            <w:pPr>
              <w:jc w:val="center"/>
              <w:rPr>
                <w:b/>
                <w:bCs/>
                <w:noProof/>
                <w:sz w:val="20"/>
              </w:rPr>
            </w:pPr>
            <w:r>
              <w:rPr>
                <w:b/>
                <w:noProof/>
                <w:sz w:val="20"/>
              </w:rPr>
              <w:t>Actions proposées dans le cadre de la PAC actuelle et dans la proposition relative à la PAC 2028-2034</w:t>
            </w:r>
          </w:p>
        </w:tc>
        <w:tc>
          <w:tcPr>
            <w:tcW w:w="1134" w:type="dxa"/>
            <w:shd w:val="clear" w:color="auto" w:fill="D9F2D0" w:themeFill="accent6" w:themeFillTint="33"/>
          </w:tcPr>
          <w:p w14:paraId="4EA142A8" w14:textId="77777777" w:rsidR="005863B8" w:rsidRPr="00C67F94" w:rsidRDefault="005863B8" w:rsidP="00356507">
            <w:pPr>
              <w:jc w:val="center"/>
              <w:rPr>
                <w:b/>
                <w:bCs/>
                <w:noProof/>
                <w:sz w:val="20"/>
              </w:rPr>
            </w:pPr>
          </w:p>
        </w:tc>
      </w:tr>
      <w:tr w:rsidR="005863B8" w14:paraId="6499BEBE" w14:textId="77777777" w:rsidTr="00356507">
        <w:trPr>
          <w:trHeight w:val="1204"/>
        </w:trPr>
        <w:tc>
          <w:tcPr>
            <w:tcW w:w="2155" w:type="dxa"/>
            <w:shd w:val="clear" w:color="auto" w:fill="FFFFFF" w:themeFill="background1"/>
          </w:tcPr>
          <w:p w14:paraId="280D9C18" w14:textId="77777777" w:rsidR="005863B8" w:rsidRDefault="005863B8" w:rsidP="00356507">
            <w:pPr>
              <w:rPr>
                <w:b/>
                <w:bCs/>
                <w:noProof/>
                <w:sz w:val="20"/>
              </w:rPr>
            </w:pPr>
            <w:r>
              <w:rPr>
                <w:b/>
                <w:noProof/>
                <w:sz w:val="20"/>
              </w:rPr>
              <w:t>Appui à la conception financière et à la sensibilisation</w:t>
            </w:r>
          </w:p>
        </w:tc>
        <w:tc>
          <w:tcPr>
            <w:tcW w:w="5925" w:type="dxa"/>
            <w:shd w:val="clear" w:color="auto" w:fill="FFFFFF" w:themeFill="background1"/>
          </w:tcPr>
          <w:p w14:paraId="2D2A1B6A" w14:textId="77777777" w:rsidR="005863B8" w:rsidRDefault="005863B8" w:rsidP="00356507">
            <w:pPr>
              <w:rPr>
                <w:noProof/>
                <w:sz w:val="20"/>
              </w:rPr>
            </w:pPr>
            <w:r>
              <w:rPr>
                <w:noProof/>
                <w:sz w:val="20"/>
              </w:rPr>
              <w:t>Fournir une assistance technique pour la conception et la mise en œuvre d’instruments financiers adaptés aux jeunes agriculteurs. Cette aide passe notamment par un accompagnement et un soutien fournis par l’intermédiaire de plateformes telles que fi-compass, ainsi que par des efforts de communication et de diffusion renforcés et accessibles dans le cadre du réseau de la PAC afin de mieux faire connaître les possibilités de financement.</w:t>
            </w:r>
          </w:p>
        </w:tc>
        <w:tc>
          <w:tcPr>
            <w:tcW w:w="1134" w:type="dxa"/>
            <w:shd w:val="clear" w:color="auto" w:fill="FFFFFF" w:themeFill="background1"/>
          </w:tcPr>
          <w:p w14:paraId="436A6B0E" w14:textId="77777777" w:rsidR="005863B8" w:rsidRDefault="005863B8" w:rsidP="00356507">
            <w:pPr>
              <w:jc w:val="left"/>
              <w:rPr>
                <w:noProof/>
                <w:sz w:val="20"/>
              </w:rPr>
            </w:pPr>
            <w:r>
              <w:rPr>
                <w:noProof/>
                <w:sz w:val="20"/>
              </w:rPr>
              <w:t>T2 2026 et PAC actuelle</w:t>
            </w:r>
          </w:p>
        </w:tc>
      </w:tr>
      <w:tr w:rsidR="005863B8" w:rsidRPr="00636FA3" w14:paraId="54164120" w14:textId="77777777" w:rsidTr="00356507">
        <w:trPr>
          <w:trHeight w:val="3607"/>
        </w:trPr>
        <w:tc>
          <w:tcPr>
            <w:tcW w:w="2155" w:type="dxa"/>
            <w:shd w:val="clear" w:color="auto" w:fill="FFFFFF" w:themeFill="background1"/>
          </w:tcPr>
          <w:p w14:paraId="793763E0" w14:textId="77777777" w:rsidR="005863B8" w:rsidRPr="00636FA3" w:rsidRDefault="005863B8" w:rsidP="00356507">
            <w:pPr>
              <w:rPr>
                <w:b/>
                <w:bCs/>
                <w:noProof/>
                <w:sz w:val="20"/>
              </w:rPr>
            </w:pPr>
            <w:r>
              <w:rPr>
                <w:b/>
                <w:noProof/>
                <w:sz w:val="20"/>
              </w:rPr>
              <w:t xml:space="preserve">Accès au financement et amélioration de la gestion des risques dans les stratégies des États membres et par l’intermédiaire du «kit de démarrage» </w:t>
            </w:r>
          </w:p>
        </w:tc>
        <w:tc>
          <w:tcPr>
            <w:tcW w:w="5925" w:type="dxa"/>
            <w:shd w:val="clear" w:color="auto" w:fill="FFFFFF" w:themeFill="background1"/>
          </w:tcPr>
          <w:p w14:paraId="5CFF74F2" w14:textId="77777777" w:rsidR="005863B8" w:rsidRPr="004E5BDC" w:rsidRDefault="005863B8" w:rsidP="00356507">
            <w:pPr>
              <w:pStyle w:val="ListParagraph"/>
              <w:numPr>
                <w:ilvl w:val="0"/>
                <w:numId w:val="28"/>
              </w:numPr>
              <w:rPr>
                <w:noProof/>
                <w:sz w:val="20"/>
              </w:rPr>
            </w:pPr>
            <w:r>
              <w:rPr>
                <w:noProof/>
                <w:sz w:val="20"/>
              </w:rPr>
              <w:t>Mener des actions favorisant l’accès des jeunes agriculteurs au financement dans le cadre de leurs stratégies de renouvellement des générations, avec l’application éventuelle de mesures supplémentaires, telles que des taux de subvention plus élevés ou de primes lors de la sélection de projets pour les groupes sous-représentés, en accordant une attention particulière aux jeunes agricultrices.</w:t>
            </w:r>
          </w:p>
          <w:p w14:paraId="4F364965" w14:textId="77777777" w:rsidR="005863B8" w:rsidRPr="004E5BDC" w:rsidRDefault="005863B8" w:rsidP="00356507">
            <w:pPr>
              <w:pStyle w:val="ListParagraph"/>
              <w:numPr>
                <w:ilvl w:val="0"/>
                <w:numId w:val="28"/>
              </w:numPr>
              <w:rPr>
                <w:noProof/>
                <w:sz w:val="20"/>
              </w:rPr>
            </w:pPr>
            <w:r>
              <w:rPr>
                <w:noProof/>
                <w:sz w:val="20"/>
              </w:rPr>
              <w:t xml:space="preserve">Fournir des fonds de prêt et de garantie destinés aux jeunes agriculteurs, y compris des instruments assortis de taux d’intérêt réduits, de garanties moins élevées, de délais de grâce et de délais de remboursement plus longs, dans le cadre des enveloppes nationales des États membres et au moyen des outils prévus dans le «kit de démarrage», y compris pour l’agriculture biologique. </w:t>
            </w:r>
          </w:p>
          <w:p w14:paraId="70AA8D97" w14:textId="6A99C2F0" w:rsidR="005863B8" w:rsidRPr="004E5BDC" w:rsidRDefault="005863B8" w:rsidP="00356507">
            <w:pPr>
              <w:pStyle w:val="ListParagraph"/>
              <w:numPr>
                <w:ilvl w:val="0"/>
                <w:numId w:val="28"/>
              </w:numPr>
              <w:rPr>
                <w:noProof/>
                <w:sz w:val="20"/>
              </w:rPr>
            </w:pPr>
          </w:p>
        </w:tc>
        <w:tc>
          <w:tcPr>
            <w:tcW w:w="1134" w:type="dxa"/>
            <w:shd w:val="clear" w:color="auto" w:fill="FFFFFF" w:themeFill="background1"/>
          </w:tcPr>
          <w:p w14:paraId="5A06DB41" w14:textId="77777777" w:rsidR="005863B8" w:rsidRPr="00636FA3" w:rsidRDefault="005863B8" w:rsidP="00356507">
            <w:pPr>
              <w:rPr>
                <w:noProof/>
                <w:sz w:val="20"/>
              </w:rPr>
            </w:pPr>
            <w:r>
              <w:rPr>
                <w:noProof/>
                <w:sz w:val="20"/>
              </w:rPr>
              <w:t>Nouvelle PAC – à partir de 2028</w:t>
            </w:r>
          </w:p>
        </w:tc>
      </w:tr>
      <w:tr w:rsidR="00FA1A47" w:rsidRPr="00636FA3" w14:paraId="2C5CB3BB" w14:textId="77777777" w:rsidTr="00FA1A47">
        <w:trPr>
          <w:trHeight w:val="978"/>
        </w:trPr>
        <w:tc>
          <w:tcPr>
            <w:tcW w:w="2155" w:type="dxa"/>
            <w:shd w:val="clear" w:color="auto" w:fill="FFFFFF" w:themeFill="background1"/>
          </w:tcPr>
          <w:p w14:paraId="7045DE94" w14:textId="1B8B6F32" w:rsidR="00FA1A47" w:rsidRPr="730E4BBC" w:rsidRDefault="00FA1A47" w:rsidP="00FA1A47">
            <w:pPr>
              <w:rPr>
                <w:b/>
                <w:bCs/>
                <w:noProof/>
                <w:sz w:val="20"/>
              </w:rPr>
            </w:pPr>
            <w:r>
              <w:rPr>
                <w:b/>
                <w:noProof/>
                <w:sz w:val="20"/>
              </w:rPr>
              <w:t>Plans d’entreprise</w:t>
            </w:r>
          </w:p>
        </w:tc>
        <w:tc>
          <w:tcPr>
            <w:tcW w:w="5925" w:type="dxa"/>
            <w:shd w:val="clear" w:color="auto" w:fill="FFFFFF" w:themeFill="background1"/>
          </w:tcPr>
          <w:p w14:paraId="4378B4F3" w14:textId="53707646" w:rsidR="00FA1A47" w:rsidRDefault="00FA1A47" w:rsidP="00FA1A47">
            <w:pPr>
              <w:pStyle w:val="ListParagraph"/>
              <w:numPr>
                <w:ilvl w:val="0"/>
                <w:numId w:val="28"/>
              </w:numPr>
              <w:rPr>
                <w:noProof/>
                <w:sz w:val="20"/>
              </w:rPr>
            </w:pPr>
            <w:r>
              <w:rPr>
                <w:noProof/>
                <w:sz w:val="20"/>
              </w:rPr>
              <w:t>Proposer des services de conseil visant à aider les jeunes agriculteurs et les nouveaux entrants à élaborer et à mettre à jour leurs plans d’entreprise, tout en renforçant les liens entre les zones urbaines et rurales.</w:t>
            </w:r>
          </w:p>
        </w:tc>
        <w:tc>
          <w:tcPr>
            <w:tcW w:w="1134" w:type="dxa"/>
            <w:shd w:val="clear" w:color="auto" w:fill="FFFFFF" w:themeFill="background1"/>
          </w:tcPr>
          <w:p w14:paraId="08C29863" w14:textId="00E02779" w:rsidR="00FA1A47" w:rsidRDefault="00FA1A47" w:rsidP="00FA1A47">
            <w:pPr>
              <w:rPr>
                <w:noProof/>
                <w:sz w:val="20"/>
              </w:rPr>
            </w:pPr>
            <w:r>
              <w:rPr>
                <w:noProof/>
                <w:sz w:val="20"/>
              </w:rPr>
              <w:t>À partir du T4 2025</w:t>
            </w:r>
          </w:p>
        </w:tc>
      </w:tr>
      <w:tr w:rsidR="005863B8" w:rsidRPr="00636FA3" w14:paraId="6A433719" w14:textId="77777777" w:rsidTr="00356507">
        <w:trPr>
          <w:trHeight w:val="490"/>
        </w:trPr>
        <w:tc>
          <w:tcPr>
            <w:tcW w:w="8080" w:type="dxa"/>
            <w:gridSpan w:val="2"/>
            <w:shd w:val="clear" w:color="auto" w:fill="D9F2D0" w:themeFill="accent6" w:themeFillTint="33"/>
          </w:tcPr>
          <w:p w14:paraId="07BC1B86" w14:textId="77777777" w:rsidR="005863B8" w:rsidRPr="00636FA3" w:rsidRDefault="005863B8" w:rsidP="00356507">
            <w:pPr>
              <w:jc w:val="center"/>
              <w:rPr>
                <w:noProof/>
                <w:sz w:val="20"/>
              </w:rPr>
            </w:pPr>
            <w:r>
              <w:rPr>
                <w:b/>
                <w:noProof/>
                <w:sz w:val="20"/>
              </w:rPr>
              <w:t>Actions proposées dans le cadre d’autres politiques de l’UE</w:t>
            </w:r>
          </w:p>
        </w:tc>
        <w:tc>
          <w:tcPr>
            <w:tcW w:w="1134" w:type="dxa"/>
            <w:shd w:val="clear" w:color="auto" w:fill="D9F2D0" w:themeFill="accent6" w:themeFillTint="33"/>
          </w:tcPr>
          <w:p w14:paraId="56789043" w14:textId="77777777" w:rsidR="005863B8" w:rsidRPr="00636FA3" w:rsidRDefault="005863B8" w:rsidP="00356507">
            <w:pPr>
              <w:jc w:val="center"/>
              <w:rPr>
                <w:noProof/>
                <w:sz w:val="20"/>
              </w:rPr>
            </w:pPr>
          </w:p>
        </w:tc>
      </w:tr>
      <w:tr w:rsidR="005863B8" w:rsidRPr="00636FA3" w14:paraId="5A7139A5" w14:textId="77777777" w:rsidTr="00356507">
        <w:trPr>
          <w:trHeight w:val="552"/>
        </w:trPr>
        <w:tc>
          <w:tcPr>
            <w:tcW w:w="2155" w:type="dxa"/>
            <w:shd w:val="clear" w:color="auto" w:fill="FFFFFF" w:themeFill="background1"/>
          </w:tcPr>
          <w:p w14:paraId="2FA5B557" w14:textId="77777777" w:rsidR="005863B8" w:rsidRPr="00636FA3" w:rsidRDefault="005863B8" w:rsidP="00356507">
            <w:pPr>
              <w:rPr>
                <w:b/>
                <w:bCs/>
                <w:noProof/>
                <w:sz w:val="20"/>
              </w:rPr>
            </w:pPr>
            <w:r>
              <w:rPr>
                <w:b/>
                <w:noProof/>
                <w:sz w:val="20"/>
              </w:rPr>
              <w:t>Enveloppes de prêts spécifiques de la BEI</w:t>
            </w:r>
          </w:p>
        </w:tc>
        <w:tc>
          <w:tcPr>
            <w:tcW w:w="5925" w:type="dxa"/>
            <w:shd w:val="clear" w:color="auto" w:fill="FFFFFF" w:themeFill="background1"/>
          </w:tcPr>
          <w:p w14:paraId="032A9CBB" w14:textId="3EC140E9" w:rsidR="005863B8" w:rsidRPr="00636FA3" w:rsidRDefault="005863B8" w:rsidP="00356507">
            <w:pPr>
              <w:rPr>
                <w:noProof/>
                <w:sz w:val="20"/>
              </w:rPr>
            </w:pPr>
            <w:r>
              <w:rPr>
                <w:noProof/>
                <w:sz w:val="20"/>
              </w:rPr>
              <w:t>Promouvoir et suivre les enveloppes de prêts de la BEI en faveur de l’agriculture et de la bioéconomie, y compris les financements consacrés aux jeunes agriculteurs. Garantir la transparence et l’établissement de rapports sur les dépenses bénéficiant spécifiquement à ce groupe. Encourager la BEI à accroître le financement en assumant ses propres risques en complément des garanties de l’UE.</w:t>
            </w:r>
            <w:r>
              <w:rPr>
                <w:noProof/>
                <w:color w:val="FF0000"/>
              </w:rPr>
              <w:t xml:space="preserve"> </w:t>
            </w:r>
            <w:r>
              <w:rPr>
                <w:noProof/>
                <w:sz w:val="20"/>
              </w:rPr>
              <w:t>Étudier les formes de soutien aux jeunes et nouveaux agriculteurs, y compris les régimes de garantie et les bonifications d’intérêts.</w:t>
            </w:r>
          </w:p>
        </w:tc>
        <w:tc>
          <w:tcPr>
            <w:tcW w:w="1134" w:type="dxa"/>
            <w:shd w:val="clear" w:color="auto" w:fill="FFFFFF" w:themeFill="background1"/>
          </w:tcPr>
          <w:p w14:paraId="14CB6869" w14:textId="77777777" w:rsidR="005863B8" w:rsidRPr="00636FA3" w:rsidRDefault="005863B8" w:rsidP="00356507">
            <w:pPr>
              <w:rPr>
                <w:noProof/>
                <w:sz w:val="20"/>
              </w:rPr>
            </w:pPr>
            <w:r>
              <w:rPr>
                <w:noProof/>
                <w:sz w:val="20"/>
              </w:rPr>
              <w:t>2025-2027 et après/Nouvelle stratégie de l’UE pour la bioéconomie</w:t>
            </w:r>
          </w:p>
        </w:tc>
      </w:tr>
      <w:tr w:rsidR="003529C0" w:rsidRPr="00636FA3" w14:paraId="56FE95B8" w14:textId="77777777" w:rsidTr="00356507">
        <w:trPr>
          <w:trHeight w:val="994"/>
        </w:trPr>
        <w:tc>
          <w:tcPr>
            <w:tcW w:w="2155" w:type="dxa"/>
            <w:shd w:val="clear" w:color="auto" w:fill="FFFFFF" w:themeFill="background1"/>
          </w:tcPr>
          <w:p w14:paraId="44BD53F2" w14:textId="09B911E7" w:rsidR="003529C0" w:rsidRPr="00636FA3" w:rsidRDefault="003529C0" w:rsidP="003529C0">
            <w:pPr>
              <w:rPr>
                <w:b/>
                <w:bCs/>
                <w:noProof/>
                <w:sz w:val="20"/>
              </w:rPr>
            </w:pPr>
            <w:r>
              <w:rPr>
                <w:b/>
                <w:noProof/>
                <w:sz w:val="20"/>
              </w:rPr>
              <w:t>Soutien dans le cadre d'instruments appropriés en coopération le Groupe BEI et d’autres instruments de partenaires de mise en œuvre</w:t>
            </w:r>
          </w:p>
        </w:tc>
        <w:tc>
          <w:tcPr>
            <w:tcW w:w="5925" w:type="dxa"/>
            <w:shd w:val="clear" w:color="auto" w:fill="FFFFFF" w:themeFill="background1"/>
          </w:tcPr>
          <w:p w14:paraId="2E4A3F0F" w14:textId="1156E7B8" w:rsidR="003529C0" w:rsidRPr="00636FA3" w:rsidRDefault="003529C0" w:rsidP="003529C0">
            <w:pPr>
              <w:rPr>
                <w:noProof/>
                <w:sz w:val="20"/>
              </w:rPr>
            </w:pPr>
            <w:r>
              <w:rPr>
                <w:noProof/>
                <w:sz w:val="20"/>
              </w:rPr>
              <w:t>Faciliter l’accès des jeunes agriculteurs au financement au moyen d'instruments appropriés, en particulier de produits de garantie et de fonds propres élaborés avec le Fonds européen d’investissement (FEI), la BEI ou d’autres partenaires chargés de la mise en œuvre, permettant la reprise d’exploitations et l’expansion de technologies innovantes.</w:t>
            </w:r>
          </w:p>
        </w:tc>
        <w:tc>
          <w:tcPr>
            <w:tcW w:w="1134" w:type="dxa"/>
            <w:shd w:val="clear" w:color="auto" w:fill="FFFFFF" w:themeFill="background1"/>
          </w:tcPr>
          <w:p w14:paraId="7161FB9C" w14:textId="0F65FC9E" w:rsidR="003529C0" w:rsidRPr="00636FA3" w:rsidRDefault="003529C0" w:rsidP="003529C0">
            <w:pPr>
              <w:rPr>
                <w:noProof/>
                <w:sz w:val="20"/>
              </w:rPr>
            </w:pPr>
            <w:r>
              <w:rPr>
                <w:noProof/>
                <w:sz w:val="20"/>
              </w:rPr>
              <w:t>2025-2027 et après/Nouvelle stratégie de l’UE pour la bioéconomie</w:t>
            </w:r>
          </w:p>
        </w:tc>
      </w:tr>
      <w:tr w:rsidR="005863B8" w:rsidRPr="00636FA3" w14:paraId="6EB3E4AE" w14:textId="77777777" w:rsidTr="00356507">
        <w:trPr>
          <w:trHeight w:val="490"/>
        </w:trPr>
        <w:tc>
          <w:tcPr>
            <w:tcW w:w="8080" w:type="dxa"/>
            <w:gridSpan w:val="2"/>
            <w:shd w:val="clear" w:color="auto" w:fill="D9F2D0" w:themeFill="accent6" w:themeFillTint="33"/>
          </w:tcPr>
          <w:p w14:paraId="7FC28C08" w14:textId="77777777" w:rsidR="005863B8" w:rsidRPr="00636FA3" w:rsidRDefault="005863B8" w:rsidP="00356507">
            <w:pPr>
              <w:jc w:val="center"/>
              <w:rPr>
                <w:noProof/>
                <w:sz w:val="20"/>
              </w:rPr>
            </w:pPr>
            <w:r>
              <w:rPr>
                <w:b/>
                <w:noProof/>
                <w:sz w:val="20"/>
              </w:rPr>
              <w:t>Actions volontaires au niveau des États membres</w:t>
            </w:r>
          </w:p>
        </w:tc>
        <w:tc>
          <w:tcPr>
            <w:tcW w:w="1134" w:type="dxa"/>
            <w:shd w:val="clear" w:color="auto" w:fill="D9F2D0" w:themeFill="accent6" w:themeFillTint="33"/>
          </w:tcPr>
          <w:p w14:paraId="65830717" w14:textId="77777777" w:rsidR="005863B8" w:rsidRPr="00636FA3" w:rsidRDefault="005863B8" w:rsidP="00356507">
            <w:pPr>
              <w:jc w:val="center"/>
              <w:rPr>
                <w:noProof/>
                <w:sz w:val="20"/>
              </w:rPr>
            </w:pPr>
          </w:p>
        </w:tc>
      </w:tr>
      <w:tr w:rsidR="005863B8" w:rsidRPr="00636FA3" w14:paraId="11A05EB9" w14:textId="77777777" w:rsidTr="00356507">
        <w:trPr>
          <w:trHeight w:val="702"/>
        </w:trPr>
        <w:tc>
          <w:tcPr>
            <w:tcW w:w="2155" w:type="dxa"/>
            <w:shd w:val="clear" w:color="auto" w:fill="FFFFFF" w:themeFill="background1"/>
          </w:tcPr>
          <w:p w14:paraId="0658D390" w14:textId="77777777" w:rsidR="005863B8" w:rsidRPr="00636FA3" w:rsidRDefault="005863B8" w:rsidP="00356507">
            <w:pPr>
              <w:rPr>
                <w:b/>
                <w:bCs/>
                <w:noProof/>
                <w:sz w:val="20"/>
              </w:rPr>
            </w:pPr>
            <w:r>
              <w:rPr>
                <w:b/>
                <w:noProof/>
                <w:sz w:val="20"/>
              </w:rPr>
              <w:t>Améliorer l’accès au crédit par l’intermédiaire des banques de développement</w:t>
            </w:r>
          </w:p>
        </w:tc>
        <w:tc>
          <w:tcPr>
            <w:tcW w:w="5925" w:type="dxa"/>
            <w:shd w:val="clear" w:color="auto" w:fill="FFFFFF" w:themeFill="background1"/>
          </w:tcPr>
          <w:p w14:paraId="18B8E19B" w14:textId="77777777" w:rsidR="005863B8" w:rsidRPr="00636FA3" w:rsidRDefault="005863B8" w:rsidP="00356507">
            <w:pPr>
              <w:rPr>
                <w:noProof/>
                <w:sz w:val="20"/>
              </w:rPr>
            </w:pPr>
            <w:r>
              <w:rPr>
                <w:noProof/>
                <w:sz w:val="20"/>
              </w:rPr>
              <w:t>Collaborer avec les banques nationales de développement afin d’élaborer des programmes qui facilitent l’accès des agriculteurs au crédit.</w:t>
            </w:r>
          </w:p>
        </w:tc>
        <w:tc>
          <w:tcPr>
            <w:tcW w:w="1134" w:type="dxa"/>
            <w:shd w:val="clear" w:color="auto" w:fill="FFFFFF" w:themeFill="background1"/>
          </w:tcPr>
          <w:p w14:paraId="07B3A3D2" w14:textId="77777777" w:rsidR="005863B8" w:rsidRDefault="005863B8" w:rsidP="00356507">
            <w:pPr>
              <w:rPr>
                <w:noProof/>
                <w:sz w:val="20"/>
              </w:rPr>
            </w:pPr>
            <w:r>
              <w:rPr>
                <w:noProof/>
                <w:sz w:val="20"/>
              </w:rPr>
              <w:t>À partir du T4 2025</w:t>
            </w:r>
          </w:p>
        </w:tc>
      </w:tr>
    </w:tbl>
    <w:p w14:paraId="01ED8C0A" w14:textId="0DDD5455" w:rsidR="002D227E" w:rsidRDefault="002D227E" w:rsidP="00552A1B">
      <w:pPr>
        <w:rPr>
          <w:noProof/>
        </w:rPr>
      </w:pPr>
    </w:p>
    <w:p w14:paraId="16364C37" w14:textId="42286A3A" w:rsidR="002D227E" w:rsidRPr="00AE69A7" w:rsidRDefault="002030D7" w:rsidP="00AE69A7">
      <w:pPr>
        <w:rPr>
          <w:b/>
          <w:bCs/>
          <w:noProof/>
        </w:rPr>
      </w:pPr>
      <w:r>
        <w:rPr>
          <w:b/>
          <w:noProof/>
        </w:rPr>
        <w:t xml:space="preserve">B. Accès à la connaissance et aux compétences </w:t>
      </w:r>
    </w:p>
    <w:p w14:paraId="0B2A63EE" w14:textId="09F72778" w:rsidR="00886430" w:rsidRDefault="004A6FE7" w:rsidP="002D227E">
      <w:pPr>
        <w:rPr>
          <w:noProof/>
        </w:rPr>
      </w:pPr>
      <w:r>
        <w:rPr>
          <w:b/>
          <w:noProof/>
        </w:rPr>
        <w:t>Des formations et des compétences adaptées pour créer et maintenir des exploitations viables sont un vecteur clé de réussite pour les jeunes agriculteurs.</w:t>
      </w:r>
      <w:r>
        <w:rPr>
          <w:noProof/>
        </w:rPr>
        <w:t xml:space="preserve"> Les défis que constituent la mise en place de cadres juridiques et financiers complexes et l’élaboration de plans d’entreprise qui concilient viabilité économique et durabilité sociale et environnementale surviennent bien avant l'installation des exploitations agricoles. Des systèmes de soutien structurés, fournissant des formations, des conseils et un mentorat avant, pendant et après le démarrage de l’exploitation, permettent de réduire le risque d’échec. Les enjeux relatifs au transfert de compétences lors de la reprise ou à l’adaptation des rôles au sein des exploitations familiales existantes sont propres à la nouvelle génération d’agriculteurs. </w:t>
      </w:r>
    </w:p>
    <w:p w14:paraId="12AEC8CA" w14:textId="3F26BDF3" w:rsidR="00886430" w:rsidRDefault="002D227E" w:rsidP="002D227E">
      <w:pPr>
        <w:rPr>
          <w:noProof/>
        </w:rPr>
      </w:pPr>
      <w:r>
        <w:rPr>
          <w:noProof/>
        </w:rPr>
        <w:t>Outre la planification et le développement des entreprises, l’éducation et la formation agricoles, ainsi que les services de conseil, doivent s’attaquer aux nouveaux défis et perspectives, tels que le changement climatique, la perte de biodiversité, la numérisation, l’intégration des énergies renouvelables ou les pratiques agricoles intelligentes s'appuyant sur les systèmes spatiaux européens, tels que Copernicus et Galileo. Les connaissances en matière de finance sont tout aussi cruciales, comme le souligne la stratégie de promotion de la culture financière dans l’UE</w:t>
      </w:r>
      <w:r>
        <w:rPr>
          <w:rStyle w:val="FootnoteReference"/>
          <w:noProof/>
        </w:rPr>
        <w:footnoteReference w:id="36"/>
      </w:r>
      <w:r>
        <w:rPr>
          <w:noProof/>
        </w:rPr>
        <w:t xml:space="preserve">, qui permet aux jeunes agriculteurs de gérer efficacement les investissements, le crédit et les risques, et de prendre des décisions éclairées en vue d’assurer la viabilité à long terme de leur activité. Il est essentiel, pour garantir une évolution durable du secteur, de doter les jeunes et nouveaux agriculteurs des compétences et des outils leur permettant d’adopter des pratiques agroécologiques, d’associer les techniques numériques à la gestion de la main-d’œuvre (qui se fait rare) et de s’engager à apporter une valeur ajoutée grâce, par exemple, à des entreprises bioéconomiques. Les possibilités d’apprentissage tout au long de la vie, les formats de formation à temps partiel, les échanges et les outils numériques sont nécessaires pour garantir l’accessibilité des connaissances et des compétences. En outre, des efforts ciblés visant à inclure les agriculteurs à temps partiel, les travailleurs agricoles, les femmes et les groupes en situation de vulnérabilité permettront de promouvoir l’inclusion et d’élargir les possibilités. </w:t>
      </w:r>
    </w:p>
    <w:p w14:paraId="4D0DB9D2" w14:textId="5BE50586" w:rsidR="002D227E" w:rsidRDefault="003E2996" w:rsidP="002D227E">
      <w:pPr>
        <w:rPr>
          <w:noProof/>
        </w:rPr>
      </w:pPr>
      <w:r>
        <w:rPr>
          <w:noProof/>
        </w:rPr>
        <w:t>Des plateformes collaboratives accessibles, qui encouragent le partage de connaissances, d’équipements et de services, contribuent à réduire les coûts, à renforcer la résilience des communautés et à favoriser l’innovation. Dans le cadre du CFP actuel, le partenariat du secteur agroalimentaire dans le cadre du pacte pour les compétences</w:t>
      </w:r>
      <w:r>
        <w:rPr>
          <w:rStyle w:val="FootnoteReference"/>
          <w:noProof/>
        </w:rPr>
        <w:footnoteReference w:id="37"/>
      </w:r>
      <w:r>
        <w:rPr>
          <w:noProof/>
        </w:rPr>
        <w:t xml:space="preserve"> soutient les parties prenantes dans le perfectionnement et la reconversion professionnels en vue des transitions écologique et numérique, en offrant un accès aux connaissances, des conseils en matière de financement et des possibilités de coopération. Les centres d’excellence professionnelle Erasmus + abordent également les enjeux liés aux compétences dans l’agriculture. Dans la perspective du prochain CFP, il convient de poursuivre le soutien et l’alignement au moyen d’initiatives telles que le partenariat européen d’innovation pour la productivité agricole (PEI-AGRI) et les instruments de la PAC alignés, afin de renforcer la capacité des jeunes agriculteurs et des nouveaux entrants à adopter et à développer ensemble des solutions.</w:t>
      </w:r>
    </w:p>
    <w:p w14:paraId="13BE10F7" w14:textId="027B2956" w:rsidR="000A2B36" w:rsidRDefault="000A2B36" w:rsidP="002D227E">
      <w:pPr>
        <w:rPr>
          <w:noProof/>
        </w:rPr>
      </w:pPr>
      <w:r>
        <w:rPr>
          <w:noProof/>
        </w:rPr>
        <w:t>Horizon Europe comprend désormais un pôle 6 consacré à l’agriculture et à la bioéconomie, qui permet de combiner les aides de la PAC et du FEC à la recherche et l’innovation avancées, de sorte que les jeunes agriculteurs puissent bénéficier directement de solutions financées par l’UE. Il importe de faciliter l’accès à ces connaissances, parallèlement à des initiatives telles que le partenariat européen d’innovation pour la productivité agricole (PEI-AGRI) et les instruments de la PAC alignés, afin de renforcer la capacité des jeunes agriculteurs et des nouveaux entrants à adopter et à développer ensemble des solutions.</w:t>
      </w:r>
    </w:p>
    <w:p w14:paraId="33A59F81" w14:textId="6D40B09A" w:rsidR="00FE4E18" w:rsidRDefault="00545423" w:rsidP="00222051">
      <w:pPr>
        <w:rPr>
          <w:noProof/>
        </w:rPr>
      </w:pPr>
      <w:r>
        <w:rPr>
          <w:noProof/>
        </w:rPr>
        <w:t>De nombreux agriculteurs sont également exploitants forestiers. L’accès à des formations forestières spécialisées, y compris à des pratiques de travail sûres, est donc crucial pour promouvoir une bonne gestion forestière, la résilience rurale et la sécurité dans les zones frontalières.</w:t>
      </w:r>
    </w:p>
    <w:p w14:paraId="0BB588F3" w14:textId="4CC30839" w:rsidR="00FE4E18" w:rsidRDefault="00081B18" w:rsidP="00222051">
      <w:pPr>
        <w:rPr>
          <w:noProof/>
        </w:rPr>
      </w:pPr>
      <w:r>
        <w:rPr>
          <w:noProof/>
          <w:lang w:val="en-GB"/>
        </w:rPr>
        <mc:AlternateContent>
          <mc:Choice Requires="wps">
            <w:drawing>
              <wp:anchor distT="0" distB="0" distL="114300" distR="114300" simplePos="0" relativeHeight="251658246" behindDoc="1" locked="0" layoutInCell="1" allowOverlap="1" wp14:anchorId="711F57EF" wp14:editId="420678D1">
                <wp:simplePos x="0" y="0"/>
                <wp:positionH relativeFrom="margin">
                  <wp:posOffset>-161925</wp:posOffset>
                </wp:positionH>
                <wp:positionV relativeFrom="paragraph">
                  <wp:posOffset>99060</wp:posOffset>
                </wp:positionV>
                <wp:extent cx="5969479" cy="3779520"/>
                <wp:effectExtent l="0" t="0" r="12700" b="11430"/>
                <wp:wrapNone/>
                <wp:docPr id="809555000" name="Rectangle: Rounded Corners 1"/>
                <wp:cNvGraphicFramePr/>
                <a:graphic xmlns:a="http://schemas.openxmlformats.org/drawingml/2006/main">
                  <a:graphicData uri="http://schemas.microsoft.com/office/word/2010/wordprocessingShape">
                    <wps:wsp>
                      <wps:cNvSpPr/>
                      <wps:spPr>
                        <a:xfrm>
                          <a:off x="0" y="0"/>
                          <a:ext cx="5969479" cy="3779520"/>
                        </a:xfrm>
                        <a:prstGeom prst="roundRect">
                          <a:avLst/>
                        </a:prstGeom>
                        <a:solidFill>
                          <a:schemeClr val="accent1">
                            <a:lumMod val="60000"/>
                            <a:lumOff val="40000"/>
                          </a:schemeClr>
                        </a:solidFill>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pic="http://schemas.openxmlformats.org/drawingml/2006/picture" xmlns:a="http://schemas.openxmlformats.org/drawingml/2006/main">
            <w:pict>
              <v:roundrect id="Rectangle: Rounded Corners 1" style="position:absolute;margin-left:-12.75pt;margin-top:7.8pt;width:470.05pt;height:297.6pt;z-index:-25165823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45b0e1 [1940]" strokecolor="#02171f [487]"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" arcsize="10923f" w14:anchorId="5A594D91">
                <v:stroke joinstyle="miter"/>
                <w10:wrap anchorx="margin"/>
              </v:roundrect>
            </w:pict>
          </mc:Fallback>
        </mc:AlternateContent>
      </w:r>
    </w:p>
    <w:p w14:paraId="66B2488B" w14:textId="316CC1BF" w:rsidR="002D227E" w:rsidRPr="003D634B" w:rsidRDefault="002D227E" w:rsidP="002D227E">
      <w:pPr>
        <w:spacing w:after="0"/>
        <w:rPr>
          <w:b/>
          <w:bCs/>
          <w:i/>
          <w:iCs/>
          <w:noProof/>
          <w:sz w:val="22"/>
          <w:szCs w:val="22"/>
        </w:rPr>
      </w:pPr>
      <w:r>
        <w:rPr>
          <w:b/>
          <w:i/>
          <w:noProof/>
          <w:sz w:val="22"/>
        </w:rPr>
        <w:t>Initiatives phares</w:t>
      </w:r>
    </w:p>
    <w:p w14:paraId="6095D7E8" w14:textId="22180372" w:rsidR="002D227E" w:rsidRPr="003D634B" w:rsidRDefault="002D227E" w:rsidP="002D227E">
      <w:pPr>
        <w:spacing w:after="0"/>
        <w:rPr>
          <w:b/>
          <w:bCs/>
          <w:i/>
          <w:iCs/>
          <w:noProof/>
          <w:sz w:val="22"/>
          <w:szCs w:val="22"/>
        </w:rPr>
      </w:pPr>
    </w:p>
    <w:p w14:paraId="1CF50668" w14:textId="345198C6" w:rsidR="003B0EC5" w:rsidRDefault="002D227E" w:rsidP="002F39C3">
      <w:pPr>
        <w:pStyle w:val="ListParagraph"/>
        <w:numPr>
          <w:ilvl w:val="0"/>
          <w:numId w:val="23"/>
        </w:numPr>
        <w:spacing w:after="0"/>
        <w:ind w:left="720"/>
        <w:rPr>
          <w:i/>
          <w:iCs/>
          <w:noProof/>
          <w:sz w:val="22"/>
          <w:szCs w:val="22"/>
        </w:rPr>
      </w:pPr>
      <w:r>
        <w:rPr>
          <w:b/>
          <w:i/>
          <w:noProof/>
          <w:sz w:val="22"/>
        </w:rPr>
        <w:t>Erasmus pour jeunes entrepreneurs (EYE)</w:t>
      </w:r>
      <w:r>
        <w:rPr>
          <w:i/>
          <w:noProof/>
          <w:sz w:val="22"/>
        </w:rPr>
        <w:t xml:space="preserve"> est un outil puissant pour favoriser le renouvellement des générations dans l’agriculture. Conçu pour les entrepreneurs, il permet aux jeunes et nouveaux agriculteurs d’acquérir des compétences commerciales essentielles, de gagner en confiance et de créer des réseaux en travaillant avec des entrepreneurs expérimentés dans plus de 40 pays. La Commission vise à accroître la visibilité de ce programme dans les zones rurales afin que les jeunes agriculteurs et les nouveaux agriculteurs puissent en profiter davantage. </w:t>
      </w:r>
    </w:p>
    <w:p w14:paraId="265924C2" w14:textId="33FB7E7B" w:rsidR="000B14C1" w:rsidRPr="002E6DA9" w:rsidRDefault="000B14C1" w:rsidP="002F39C3">
      <w:pPr>
        <w:pStyle w:val="ListParagraph"/>
        <w:numPr>
          <w:ilvl w:val="0"/>
          <w:numId w:val="23"/>
        </w:numPr>
        <w:spacing w:after="0"/>
        <w:ind w:left="720"/>
        <w:rPr>
          <w:i/>
          <w:iCs/>
          <w:noProof/>
          <w:sz w:val="22"/>
          <w:szCs w:val="22"/>
        </w:rPr>
      </w:pPr>
      <w:r>
        <w:rPr>
          <w:b/>
          <w:i/>
          <w:noProof/>
          <w:sz w:val="22"/>
        </w:rPr>
        <w:t>Plateforme relative aux femmes dans l’agriculture</w:t>
      </w:r>
      <w:r>
        <w:rPr>
          <w:i/>
          <w:noProof/>
          <w:sz w:val="22"/>
        </w:rPr>
        <w:t>: elle visera à attirer davantage de femmes dans l’agriculture, à promouvoir l’égalité des chances, l’échange d’expériences et le mentorat, en reconnaissant le rôle clé des femmes dans l’avenir de l’agriculture et du développement rural.</w:t>
      </w:r>
    </w:p>
    <w:p w14:paraId="7F0379BA" w14:textId="77777777" w:rsidR="003B0EC5" w:rsidRPr="003D634B" w:rsidRDefault="003B0EC5" w:rsidP="002F39C3">
      <w:pPr>
        <w:pStyle w:val="ListParagraph"/>
        <w:numPr>
          <w:ilvl w:val="0"/>
          <w:numId w:val="23"/>
        </w:numPr>
        <w:spacing w:after="0"/>
        <w:ind w:left="720"/>
        <w:rPr>
          <w:i/>
          <w:iCs/>
          <w:noProof/>
          <w:sz w:val="22"/>
          <w:szCs w:val="22"/>
        </w:rPr>
      </w:pPr>
      <w:r>
        <w:rPr>
          <w:b/>
          <w:i/>
          <w:noProof/>
          <w:sz w:val="22"/>
        </w:rPr>
        <w:t>Paquet de bonnes pratiques «Les agriculteurs de demain», destiné à toutes les écoles agricoles de l’UE</w:t>
      </w:r>
    </w:p>
    <w:p w14:paraId="46B2B86A" w14:textId="75D1BC0C" w:rsidR="00B142B9" w:rsidRDefault="003B0EC5" w:rsidP="00296C8D">
      <w:pPr>
        <w:spacing w:after="0"/>
        <w:ind w:left="720"/>
        <w:rPr>
          <w:i/>
          <w:iCs/>
          <w:noProof/>
          <w:sz w:val="22"/>
          <w:szCs w:val="22"/>
        </w:rPr>
      </w:pPr>
      <w:r>
        <w:rPr>
          <w:i/>
          <w:noProof/>
          <w:sz w:val="22"/>
        </w:rPr>
        <w:t>Le paquet fournira aux élèves des exemples clairs et concrets d’approches agricoles modernes, telles que la diversification, les outils numériques, la durabilité et la collaboration dans le cadre de nouveaux modèles d’entreprise. Ces exemples montrent que l’agriculture moderne est innovante et reliée à l’économie au sens large. Leur inclusion dans l’éducation permet aux étudiants d’envisager l’agriculture comme une carrière dynamique et tournée vers l’avenir.</w:t>
      </w:r>
    </w:p>
    <w:p w14:paraId="7F9B52DC" w14:textId="77777777" w:rsidR="00924757" w:rsidRDefault="00924757" w:rsidP="002E228E">
      <w:pPr>
        <w:spacing w:after="0"/>
        <w:rPr>
          <w:b/>
          <w:bCs/>
          <w:noProof/>
        </w:rPr>
      </w:pPr>
    </w:p>
    <w:p w14:paraId="55C1F203" w14:textId="77777777" w:rsidR="00924757" w:rsidRDefault="00924757" w:rsidP="002E228E">
      <w:pPr>
        <w:spacing w:after="0"/>
        <w:rPr>
          <w:b/>
          <w:bCs/>
          <w:noProof/>
        </w:rPr>
      </w:pPr>
    </w:p>
    <w:tbl>
      <w:tblPr>
        <w:tblStyle w:val="TableGrid"/>
        <w:tblW w:w="9356" w:type="dxa"/>
        <w:tblInd w:w="-150" w:type="dxa"/>
        <w:tblLayout w:type="fixed"/>
        <w:tblLook w:val="04A0" w:firstRow="1" w:lastRow="0" w:firstColumn="1" w:lastColumn="0" w:noHBand="0" w:noVBand="1"/>
      </w:tblPr>
      <w:tblGrid>
        <w:gridCol w:w="2098"/>
        <w:gridCol w:w="5982"/>
        <w:gridCol w:w="1276"/>
      </w:tblGrid>
      <w:tr w:rsidR="0089372F" w:rsidRPr="004E1CB6" w14:paraId="5D069B46" w14:textId="77777777" w:rsidTr="00AE69A7">
        <w:trPr>
          <w:trHeight w:val="490"/>
        </w:trPr>
        <w:tc>
          <w:tcPr>
            <w:tcW w:w="8080" w:type="dxa"/>
            <w:gridSpan w:val="2"/>
            <w:shd w:val="clear" w:color="auto" w:fill="DAE9F7" w:themeFill="text2" w:themeFillTint="1A"/>
          </w:tcPr>
          <w:p w14:paraId="6D0A1575" w14:textId="0FE6D1BA" w:rsidR="00B53D65" w:rsidRPr="00BF7D9F" w:rsidRDefault="00B53D65" w:rsidP="006D5E1D">
            <w:pPr>
              <w:jc w:val="center"/>
              <w:rPr>
                <w:b/>
                <w:bCs/>
                <w:noProof/>
                <w:sz w:val="20"/>
              </w:rPr>
            </w:pPr>
            <w:r>
              <w:rPr>
                <w:b/>
                <w:noProof/>
                <w:sz w:val="20"/>
              </w:rPr>
              <w:t>Actions proposées dans le cadre de la PAC 2028-2034</w:t>
            </w:r>
          </w:p>
        </w:tc>
        <w:tc>
          <w:tcPr>
            <w:tcW w:w="1276" w:type="dxa"/>
            <w:shd w:val="clear" w:color="auto" w:fill="DAE9F7" w:themeFill="text2" w:themeFillTint="1A"/>
          </w:tcPr>
          <w:p w14:paraId="36E62955" w14:textId="3D17D405" w:rsidR="00B53D65" w:rsidRPr="006D3A34" w:rsidRDefault="00B53D65" w:rsidP="006D5E1D">
            <w:pPr>
              <w:jc w:val="center"/>
              <w:rPr>
                <w:b/>
                <w:bCs/>
                <w:noProof/>
                <w:sz w:val="20"/>
              </w:rPr>
            </w:pPr>
          </w:p>
        </w:tc>
      </w:tr>
      <w:tr w:rsidR="004A13F9" w:rsidRPr="004E1CB6" w14:paraId="380E73D2" w14:textId="77777777" w:rsidTr="00AE69A7">
        <w:trPr>
          <w:trHeight w:val="1329"/>
        </w:trPr>
        <w:tc>
          <w:tcPr>
            <w:tcW w:w="2098" w:type="dxa"/>
            <w:shd w:val="clear" w:color="auto" w:fill="FFFFFF" w:themeFill="background1"/>
          </w:tcPr>
          <w:p w14:paraId="617FB6E7" w14:textId="75D37A2D" w:rsidR="00B53D65" w:rsidRPr="006D3A34" w:rsidRDefault="070881DC" w:rsidP="6F8ADA65">
            <w:pPr>
              <w:rPr>
                <w:b/>
                <w:bCs/>
                <w:noProof/>
                <w:sz w:val="20"/>
              </w:rPr>
            </w:pPr>
            <w:r>
              <w:rPr>
                <w:b/>
                <w:noProof/>
                <w:sz w:val="20"/>
              </w:rPr>
              <w:t xml:space="preserve">Renforcer les SCIA et les services de conseil pour la collaboration intergénérationnelle </w:t>
            </w:r>
          </w:p>
        </w:tc>
        <w:tc>
          <w:tcPr>
            <w:tcW w:w="5982" w:type="dxa"/>
            <w:shd w:val="clear" w:color="auto" w:fill="FFFFFF" w:themeFill="background1"/>
          </w:tcPr>
          <w:p w14:paraId="7B989A06" w14:textId="024D3BFD" w:rsidR="00B53D65" w:rsidRPr="006D3A34" w:rsidRDefault="5858D27A" w:rsidP="6F8ADA65">
            <w:pPr>
              <w:rPr>
                <w:noProof/>
                <w:sz w:val="20"/>
              </w:rPr>
            </w:pPr>
            <w:r>
              <w:rPr>
                <w:noProof/>
                <w:sz w:val="20"/>
              </w:rPr>
              <w:t xml:space="preserve">Intégrer, dans le cadre du système de connaissances et d’innovation agricoles (SCIA), une formation adaptée aux jeunes agriculteurs en vue de favoriser le renouvellement des générations. Les jeunes agriculteurs bénéficient, avant et après l'installation de leur exploitation, d’un mentorat qui les conseille sur l’accès à la terre, la planification commerciale, ainsi que les questions techniques, juridiques et de durabilité, en mettant l’accent sur des solutions innovantes.  </w:t>
            </w:r>
          </w:p>
        </w:tc>
        <w:tc>
          <w:tcPr>
            <w:tcW w:w="1276" w:type="dxa"/>
            <w:shd w:val="clear" w:color="auto" w:fill="FFFFFF" w:themeFill="background1"/>
          </w:tcPr>
          <w:p w14:paraId="2859DDC7" w14:textId="48CEE405" w:rsidR="00B53D65" w:rsidRPr="006D3A34" w:rsidRDefault="00B53D65" w:rsidP="006D5E1D">
            <w:pPr>
              <w:rPr>
                <w:noProof/>
                <w:sz w:val="20"/>
              </w:rPr>
            </w:pPr>
            <w:r>
              <w:rPr>
                <w:noProof/>
                <w:sz w:val="20"/>
              </w:rPr>
              <w:t>Nouvelle PAC – à partir de 2028</w:t>
            </w:r>
          </w:p>
        </w:tc>
      </w:tr>
      <w:tr w:rsidR="0089372F" w:rsidRPr="006D3A34" w14:paraId="27A8775E" w14:textId="77777777" w:rsidTr="00AE69A7">
        <w:trPr>
          <w:trHeight w:val="490"/>
        </w:trPr>
        <w:tc>
          <w:tcPr>
            <w:tcW w:w="8080" w:type="dxa"/>
            <w:gridSpan w:val="2"/>
            <w:shd w:val="clear" w:color="auto" w:fill="DAE9F7" w:themeFill="text2" w:themeFillTint="1A"/>
          </w:tcPr>
          <w:p w14:paraId="5A60D86C" w14:textId="5BE60DE3" w:rsidR="00B53D65" w:rsidRPr="006D3A34" w:rsidRDefault="00B53D65" w:rsidP="006D5E1D">
            <w:pPr>
              <w:jc w:val="center"/>
              <w:rPr>
                <w:noProof/>
                <w:sz w:val="20"/>
              </w:rPr>
            </w:pPr>
            <w:r>
              <w:rPr>
                <w:b/>
                <w:noProof/>
                <w:sz w:val="20"/>
              </w:rPr>
              <w:t>Actions proposées dans le cadre d’autres politiques de l’UE</w:t>
            </w:r>
          </w:p>
        </w:tc>
        <w:tc>
          <w:tcPr>
            <w:tcW w:w="1276" w:type="dxa"/>
            <w:shd w:val="clear" w:color="auto" w:fill="DAE9F7" w:themeFill="text2" w:themeFillTint="1A"/>
          </w:tcPr>
          <w:p w14:paraId="505B948E" w14:textId="77777777" w:rsidR="00B53D65" w:rsidRPr="006D3A34" w:rsidRDefault="00B53D65" w:rsidP="006D5E1D">
            <w:pPr>
              <w:rPr>
                <w:b/>
                <w:bCs/>
                <w:noProof/>
                <w:sz w:val="20"/>
              </w:rPr>
            </w:pPr>
          </w:p>
        </w:tc>
      </w:tr>
      <w:tr w:rsidR="004A13F9" w:rsidRPr="006D3A34" w14:paraId="73A9AD33" w14:textId="77777777" w:rsidTr="00AE69A7">
        <w:trPr>
          <w:trHeight w:val="892"/>
        </w:trPr>
        <w:tc>
          <w:tcPr>
            <w:tcW w:w="2098" w:type="dxa"/>
            <w:shd w:val="clear" w:color="auto" w:fill="FFFFFF" w:themeFill="background1"/>
          </w:tcPr>
          <w:p w14:paraId="15A4151C" w14:textId="3F2FD858" w:rsidR="00AF78EE" w:rsidRPr="00AF78EE" w:rsidRDefault="00AF78EE" w:rsidP="00AF78EE">
            <w:pPr>
              <w:rPr>
                <w:b/>
                <w:bCs/>
                <w:noProof/>
                <w:sz w:val="20"/>
              </w:rPr>
            </w:pPr>
            <w:r>
              <w:rPr>
                <w:b/>
                <w:noProof/>
                <w:sz w:val="20"/>
              </w:rPr>
              <w:t>Une démarche de recherche et d’innovation (R&amp;I) axée sur les besoins des jeunes générations</w:t>
            </w:r>
          </w:p>
        </w:tc>
        <w:tc>
          <w:tcPr>
            <w:tcW w:w="5982" w:type="dxa"/>
            <w:shd w:val="clear" w:color="auto" w:fill="FFFFFF" w:themeFill="background1"/>
          </w:tcPr>
          <w:p w14:paraId="52CA95EF" w14:textId="0F6512B3" w:rsidR="00AF78EE" w:rsidRPr="00AF78EE" w:rsidRDefault="00AF78EE" w:rsidP="00AF78EE">
            <w:pPr>
              <w:rPr>
                <w:noProof/>
                <w:sz w:val="20"/>
              </w:rPr>
            </w:pPr>
            <w:r>
              <w:rPr>
                <w:noProof/>
                <w:sz w:val="20"/>
              </w:rPr>
              <w:t>Utiliser le financement d’Horizon Europe pour promouvoir le renouvellement des générations dans le secteur, en fournissant des solutions de R&amp;I adaptées aux besoins des jeunes générations, en associant les jeunes agriculteurs au processus d’innovation et en encourageant les services de conseil connexes.</w:t>
            </w:r>
          </w:p>
        </w:tc>
        <w:tc>
          <w:tcPr>
            <w:tcW w:w="1276" w:type="dxa"/>
            <w:shd w:val="clear" w:color="auto" w:fill="FFFFFF" w:themeFill="background1"/>
          </w:tcPr>
          <w:p w14:paraId="40E6DC99" w14:textId="22F3A7E9" w:rsidR="00AF78EE" w:rsidRPr="00AF78EE" w:rsidRDefault="00AF78EE" w:rsidP="00AF78EE">
            <w:pPr>
              <w:rPr>
                <w:noProof/>
                <w:sz w:val="20"/>
              </w:rPr>
            </w:pPr>
            <w:r>
              <w:rPr>
                <w:noProof/>
                <w:sz w:val="20"/>
              </w:rPr>
              <w:t>Programme de travail d’Horizon Europe 2027</w:t>
            </w:r>
          </w:p>
        </w:tc>
      </w:tr>
      <w:tr w:rsidR="0089372F" w:rsidRPr="006D3A34" w14:paraId="5CC849CE" w14:textId="77777777" w:rsidTr="00AE69A7">
        <w:trPr>
          <w:trHeight w:val="405"/>
        </w:trPr>
        <w:tc>
          <w:tcPr>
            <w:tcW w:w="8080" w:type="dxa"/>
            <w:gridSpan w:val="2"/>
            <w:shd w:val="clear" w:color="auto" w:fill="DAE9F7" w:themeFill="text2" w:themeFillTint="1A"/>
          </w:tcPr>
          <w:p w14:paraId="5560B209" w14:textId="10F864E0" w:rsidR="005F563B" w:rsidRDefault="00452D8E" w:rsidP="00AE69A7">
            <w:pPr>
              <w:ind w:right="-111"/>
              <w:jc w:val="center"/>
              <w:rPr>
                <w:noProof/>
                <w:sz w:val="20"/>
              </w:rPr>
            </w:pPr>
            <w:r>
              <w:rPr>
                <w:b/>
                <w:noProof/>
                <w:sz w:val="20"/>
              </w:rPr>
              <w:t>Actions volontaires au niveau des États membres</w:t>
            </w:r>
          </w:p>
        </w:tc>
        <w:tc>
          <w:tcPr>
            <w:tcW w:w="1276" w:type="dxa"/>
            <w:shd w:val="clear" w:color="auto" w:fill="DAE9F7" w:themeFill="text2" w:themeFillTint="1A"/>
          </w:tcPr>
          <w:p w14:paraId="68ECBAD4" w14:textId="3DE76175" w:rsidR="005F563B" w:rsidRDefault="005F563B" w:rsidP="00E34014">
            <w:pPr>
              <w:jc w:val="center"/>
              <w:rPr>
                <w:noProof/>
                <w:sz w:val="20"/>
              </w:rPr>
            </w:pPr>
            <w:r>
              <w:rPr>
                <w:noProof/>
                <w:sz w:val="20"/>
              </w:rPr>
              <w:t>Volontaire</w:t>
            </w:r>
          </w:p>
        </w:tc>
      </w:tr>
      <w:tr w:rsidR="004A13F9" w:rsidRPr="006D3A34" w14:paraId="327F2B94" w14:textId="77777777" w:rsidTr="0093126A">
        <w:trPr>
          <w:trHeight w:val="694"/>
        </w:trPr>
        <w:tc>
          <w:tcPr>
            <w:tcW w:w="2098" w:type="dxa"/>
            <w:shd w:val="clear" w:color="auto" w:fill="FFFFFF" w:themeFill="background1"/>
          </w:tcPr>
          <w:p w14:paraId="3A678BAE" w14:textId="77777777" w:rsidR="005F563B" w:rsidRPr="006D3A34" w:rsidRDefault="005F563B" w:rsidP="005F563B">
            <w:pPr>
              <w:rPr>
                <w:b/>
                <w:bCs/>
                <w:noProof/>
                <w:sz w:val="20"/>
              </w:rPr>
            </w:pPr>
            <w:r>
              <w:rPr>
                <w:b/>
                <w:noProof/>
                <w:sz w:val="20"/>
              </w:rPr>
              <w:t>Innover dans le domaine des compétences agricoles</w:t>
            </w:r>
          </w:p>
        </w:tc>
        <w:tc>
          <w:tcPr>
            <w:tcW w:w="5982" w:type="dxa"/>
            <w:shd w:val="clear" w:color="auto" w:fill="FFFFFF" w:themeFill="background1"/>
          </w:tcPr>
          <w:p w14:paraId="3166648F" w14:textId="2546BCEA" w:rsidR="005F563B" w:rsidRPr="006D3A34" w:rsidRDefault="0008221A" w:rsidP="005F563B">
            <w:pPr>
              <w:rPr>
                <w:noProof/>
                <w:sz w:val="20"/>
              </w:rPr>
            </w:pPr>
            <w:r>
              <w:rPr>
                <w:noProof/>
                <w:sz w:val="20"/>
              </w:rPr>
              <w:t>Utiliser la spécialisation intelligente, la plateforme des talents et le partenariat pour les compétences agroalimentaires dans le cadre du pacte pour les compétences afin de stimuler l’innovation, la reconversion et la rétention des talents dans les zones rurales. Les régions devraient donner la priorité à l’agriculture et au renouvellement des générations dans les stratégies de spécialisation intelligente. La plateforme des talents peut attirer les jeunes en leur offrant une éducation et une mobilité adaptées, tandis que les acteurs du secteur agroalimentaire devraient s’engager dans le pacte afin de codévelopper la formation et le perfectionnement professionnel des jeunes agriculteurs et des nouveaux entrants dans le domaine des technologies innovantes. Les centres d’excellence professionnelle Erasmus + soutiennent les réseaux transnationaux qui s’attaquent aux défis sectoriels et transversaux en matière de compétences.</w:t>
            </w:r>
          </w:p>
        </w:tc>
        <w:tc>
          <w:tcPr>
            <w:tcW w:w="1276" w:type="dxa"/>
            <w:shd w:val="clear" w:color="auto" w:fill="FFFFFF" w:themeFill="background1"/>
          </w:tcPr>
          <w:p w14:paraId="402C8D54" w14:textId="236219E2" w:rsidR="005F563B" w:rsidRPr="006D3A34" w:rsidRDefault="005F563B" w:rsidP="005F563B">
            <w:pPr>
              <w:rPr>
                <w:noProof/>
                <w:sz w:val="20"/>
              </w:rPr>
            </w:pPr>
            <w:r>
              <w:rPr>
                <w:noProof/>
                <w:sz w:val="20"/>
              </w:rPr>
              <w:t>À partir du T4 2025</w:t>
            </w:r>
          </w:p>
        </w:tc>
      </w:tr>
      <w:tr w:rsidR="004A13F9" w:rsidRPr="006D3A34" w14:paraId="473308B8" w14:textId="77777777" w:rsidTr="00AE69A7">
        <w:trPr>
          <w:trHeight w:val="710"/>
        </w:trPr>
        <w:tc>
          <w:tcPr>
            <w:tcW w:w="2098" w:type="dxa"/>
            <w:shd w:val="clear" w:color="auto" w:fill="FFFFFF" w:themeFill="background1"/>
          </w:tcPr>
          <w:p w14:paraId="2EBBEF7C" w14:textId="44B1D501" w:rsidR="005F563B" w:rsidRPr="006D3A34" w:rsidRDefault="005F563B" w:rsidP="005F563B">
            <w:pPr>
              <w:rPr>
                <w:b/>
                <w:bCs/>
                <w:noProof/>
                <w:sz w:val="20"/>
              </w:rPr>
            </w:pPr>
            <w:r>
              <w:rPr>
                <w:b/>
                <w:noProof/>
                <w:sz w:val="20"/>
              </w:rPr>
              <w:t>Une éducation et une formation agricoles flexibles et modernisées</w:t>
            </w:r>
          </w:p>
        </w:tc>
        <w:tc>
          <w:tcPr>
            <w:tcW w:w="5982" w:type="dxa"/>
            <w:shd w:val="clear" w:color="auto" w:fill="FFFFFF" w:themeFill="background1"/>
          </w:tcPr>
          <w:p w14:paraId="7ADF2E8D" w14:textId="404DA9D1" w:rsidR="005F563B" w:rsidRPr="006D3A34" w:rsidRDefault="005F563B" w:rsidP="005F563B">
            <w:pPr>
              <w:rPr>
                <w:noProof/>
                <w:sz w:val="20"/>
              </w:rPr>
            </w:pPr>
            <w:r>
              <w:rPr>
                <w:noProof/>
                <w:sz w:val="20"/>
              </w:rPr>
              <w:t>Adapter les programmes d’études et proposer des formats flexibles et accessibles, à l’aide d’outils numériques nouveaux ou existants, afin de répondre aux besoins des agriculteurs à temps partiel et de relever les nouveaux défis, y compris les stratégies de diversification et de revenu.</w:t>
            </w:r>
          </w:p>
        </w:tc>
        <w:tc>
          <w:tcPr>
            <w:tcW w:w="1276" w:type="dxa"/>
            <w:shd w:val="clear" w:color="auto" w:fill="FFFFFF" w:themeFill="background1"/>
          </w:tcPr>
          <w:p w14:paraId="5F09D480" w14:textId="2F3F4BB8" w:rsidR="005F563B" w:rsidRPr="006D3A34" w:rsidRDefault="005F563B" w:rsidP="005F563B">
            <w:pPr>
              <w:rPr>
                <w:noProof/>
                <w:sz w:val="20"/>
              </w:rPr>
            </w:pPr>
            <w:r>
              <w:rPr>
                <w:noProof/>
                <w:sz w:val="20"/>
              </w:rPr>
              <w:t>À partir du T4 2025</w:t>
            </w:r>
          </w:p>
        </w:tc>
      </w:tr>
      <w:tr w:rsidR="004A13F9" w:rsidRPr="006D3A34" w14:paraId="63882489" w14:textId="77777777" w:rsidTr="00AE69A7">
        <w:trPr>
          <w:trHeight w:val="722"/>
        </w:trPr>
        <w:tc>
          <w:tcPr>
            <w:tcW w:w="2098" w:type="dxa"/>
            <w:shd w:val="clear" w:color="auto" w:fill="FFFFFF" w:themeFill="background1"/>
          </w:tcPr>
          <w:p w14:paraId="114A70C2" w14:textId="77777777" w:rsidR="005F563B" w:rsidRPr="006D3A34" w:rsidRDefault="005F563B" w:rsidP="005F563B">
            <w:pPr>
              <w:rPr>
                <w:b/>
                <w:bCs/>
                <w:noProof/>
                <w:sz w:val="20"/>
              </w:rPr>
            </w:pPr>
            <w:r>
              <w:rPr>
                <w:b/>
                <w:noProof/>
                <w:sz w:val="20"/>
              </w:rPr>
              <w:t>Soutenir les organisations de jeunes agriculteurs</w:t>
            </w:r>
          </w:p>
        </w:tc>
        <w:tc>
          <w:tcPr>
            <w:tcW w:w="5982" w:type="dxa"/>
            <w:shd w:val="clear" w:color="auto" w:fill="FFFFFF" w:themeFill="background1"/>
          </w:tcPr>
          <w:p w14:paraId="6FD47FFD" w14:textId="62C81691" w:rsidR="005F563B" w:rsidRPr="006D3A34" w:rsidRDefault="005F563B" w:rsidP="005F563B">
            <w:pPr>
              <w:rPr>
                <w:noProof/>
                <w:sz w:val="20"/>
              </w:rPr>
            </w:pPr>
            <w:r>
              <w:rPr>
                <w:noProof/>
                <w:sz w:val="20"/>
              </w:rPr>
              <w:t xml:space="preserve">Orienter les financements et les programmes pour aider les organisations de jeunes agriculteurs, en veillant à ce que leurs voix soient entendues. </w:t>
            </w:r>
          </w:p>
        </w:tc>
        <w:tc>
          <w:tcPr>
            <w:tcW w:w="1276" w:type="dxa"/>
            <w:shd w:val="clear" w:color="auto" w:fill="FFFFFF" w:themeFill="background1"/>
          </w:tcPr>
          <w:p w14:paraId="463F11FC" w14:textId="023704BF" w:rsidR="005F563B" w:rsidRPr="006D3A34" w:rsidRDefault="005F563B" w:rsidP="005F563B">
            <w:pPr>
              <w:rPr>
                <w:noProof/>
                <w:sz w:val="20"/>
              </w:rPr>
            </w:pPr>
            <w:r>
              <w:rPr>
                <w:noProof/>
                <w:sz w:val="20"/>
              </w:rPr>
              <w:t>À partir du T4 2025</w:t>
            </w:r>
          </w:p>
        </w:tc>
      </w:tr>
      <w:tr w:rsidR="00AC5977" w:rsidRPr="006D3A34" w14:paraId="1357EF91" w14:textId="77777777" w:rsidTr="003263FB">
        <w:trPr>
          <w:trHeight w:val="1939"/>
        </w:trPr>
        <w:tc>
          <w:tcPr>
            <w:tcW w:w="2098" w:type="dxa"/>
            <w:shd w:val="clear" w:color="auto" w:fill="FFFFFF" w:themeFill="background1"/>
          </w:tcPr>
          <w:p w14:paraId="72431889" w14:textId="77777777" w:rsidR="00AC5977" w:rsidRPr="00804F56" w:rsidRDefault="00AC5977" w:rsidP="00AC5977">
            <w:pPr>
              <w:spacing w:line="259" w:lineRule="auto"/>
              <w:rPr>
                <w:b/>
                <w:bCs/>
                <w:noProof/>
                <w:sz w:val="20"/>
              </w:rPr>
            </w:pPr>
            <w:r>
              <w:rPr>
                <w:b/>
                <w:noProof/>
                <w:sz w:val="20"/>
              </w:rPr>
              <w:t>Soutenir la découverte et l’amélioration de l’attractivité de l’agriculture pour les jeunes sans emploi qui ne suivent ni études ni formation grâce à ALMA</w:t>
            </w:r>
          </w:p>
          <w:p w14:paraId="442433D0" w14:textId="77777777" w:rsidR="00AC5977" w:rsidRPr="00804F56" w:rsidRDefault="00AC5977" w:rsidP="00AC5977">
            <w:pPr>
              <w:rPr>
                <w:b/>
                <w:bCs/>
                <w:noProof/>
                <w:sz w:val="20"/>
              </w:rPr>
            </w:pPr>
          </w:p>
        </w:tc>
        <w:tc>
          <w:tcPr>
            <w:tcW w:w="5982" w:type="dxa"/>
            <w:shd w:val="clear" w:color="auto" w:fill="FFFFFF" w:themeFill="background1"/>
          </w:tcPr>
          <w:p w14:paraId="3BE47B65" w14:textId="2CC12575" w:rsidR="00AC5977" w:rsidRPr="00804F56" w:rsidRDefault="00AC5977" w:rsidP="00AC5977">
            <w:pPr>
              <w:rPr>
                <w:noProof/>
                <w:sz w:val="20"/>
              </w:rPr>
            </w:pPr>
            <w:r>
              <w:rPr>
                <w:noProof/>
                <w:sz w:val="20"/>
              </w:rPr>
              <w:t xml:space="preserve"> ALMA (Aim, Learn, Master, Achieve – Orientation, Apprentissage, Maîtrise, Réussite) est une initiative de l’UE en faveur de l’inclusion sociale qui aide les jeunes sans emploi qui ne suivent ni études ni formation à se réinsérer dans la société en renforçant leurs compétences non techniques et en leur apportant un soutien sur mesure. Bien qu’ils ne se limitent pas à un seul secteur, les échanges dans le domaine de l’agriculture pourraient aider à promouvoir son attractivité. Faire participer les agriculteurs pour accueillir des participants à des stages à l’étranger pourrait favoriser le développement des compétences et encourager les jeunes à se tourner vers des emplois agricoles. L’intégration de cette approche dans les SCIA nationaux pourrait renforcer l’emploi rural et le renouvellement des générations.</w:t>
            </w:r>
          </w:p>
        </w:tc>
        <w:tc>
          <w:tcPr>
            <w:tcW w:w="1276" w:type="dxa"/>
            <w:shd w:val="clear" w:color="auto" w:fill="FFFFFF" w:themeFill="background1"/>
          </w:tcPr>
          <w:p w14:paraId="475E9A72" w14:textId="14D65E7B" w:rsidR="00AC5977" w:rsidRPr="00804F56" w:rsidRDefault="00AC5977" w:rsidP="00AC5977">
            <w:pPr>
              <w:rPr>
                <w:noProof/>
                <w:sz w:val="20"/>
              </w:rPr>
            </w:pPr>
            <w:r>
              <w:rPr>
                <w:noProof/>
                <w:sz w:val="20"/>
              </w:rPr>
              <w:t>À partir du T4 2025</w:t>
            </w:r>
          </w:p>
        </w:tc>
      </w:tr>
      <w:tr w:rsidR="00BF50C3" w14:paraId="035E452E" w14:textId="77777777" w:rsidTr="00544006">
        <w:trPr>
          <w:trHeight w:val="307"/>
        </w:trPr>
        <w:tc>
          <w:tcPr>
            <w:tcW w:w="8080" w:type="dxa"/>
            <w:gridSpan w:val="2"/>
            <w:shd w:val="clear" w:color="auto" w:fill="DAE9F7" w:themeFill="text2" w:themeFillTint="1A"/>
          </w:tcPr>
          <w:p w14:paraId="1A7365BD" w14:textId="646C347D" w:rsidR="00BF50C3" w:rsidRDefault="00BF50C3" w:rsidP="005F563B">
            <w:pPr>
              <w:spacing w:line="259" w:lineRule="auto"/>
              <w:jc w:val="center"/>
              <w:rPr>
                <w:b/>
                <w:bCs/>
                <w:noProof/>
                <w:sz w:val="20"/>
              </w:rPr>
            </w:pPr>
            <w:r>
              <w:rPr>
                <w:b/>
                <w:noProof/>
                <w:sz w:val="20"/>
              </w:rPr>
              <w:t>Actions volontaires pour les parties prenantes</w:t>
            </w:r>
          </w:p>
        </w:tc>
        <w:tc>
          <w:tcPr>
            <w:tcW w:w="1276" w:type="dxa"/>
            <w:shd w:val="clear" w:color="auto" w:fill="DAE9F7" w:themeFill="text2" w:themeFillTint="1A"/>
          </w:tcPr>
          <w:p w14:paraId="27B9C76C" w14:textId="74DF91C3" w:rsidR="00BF50C3" w:rsidRPr="002E228E" w:rsidRDefault="00BF50C3" w:rsidP="005F563B">
            <w:pPr>
              <w:spacing w:line="259" w:lineRule="auto"/>
              <w:jc w:val="center"/>
              <w:rPr>
                <w:b/>
                <w:bCs/>
                <w:noProof/>
                <w:sz w:val="20"/>
              </w:rPr>
            </w:pPr>
            <w:r>
              <w:rPr>
                <w:b/>
                <w:noProof/>
                <w:sz w:val="20"/>
              </w:rPr>
              <w:t>Volontaire</w:t>
            </w:r>
          </w:p>
        </w:tc>
      </w:tr>
      <w:tr w:rsidR="004A13F9" w14:paraId="781CF7A5" w14:textId="77777777" w:rsidTr="00AE69A7">
        <w:trPr>
          <w:trHeight w:val="307"/>
        </w:trPr>
        <w:tc>
          <w:tcPr>
            <w:tcW w:w="2098" w:type="dxa"/>
            <w:shd w:val="clear" w:color="auto" w:fill="FFFFFF" w:themeFill="background1"/>
          </w:tcPr>
          <w:p w14:paraId="2B609212" w14:textId="29998E32" w:rsidR="0093482C" w:rsidRDefault="0093482C" w:rsidP="0093482C">
            <w:pPr>
              <w:rPr>
                <w:b/>
                <w:bCs/>
                <w:noProof/>
                <w:sz w:val="20"/>
              </w:rPr>
            </w:pPr>
            <w:r>
              <w:rPr>
                <w:b/>
                <w:noProof/>
                <w:sz w:val="20"/>
              </w:rPr>
              <w:t>Apprentissage par les pairs pour les jeunes et nouveaux agriculteurs</w:t>
            </w:r>
          </w:p>
        </w:tc>
        <w:tc>
          <w:tcPr>
            <w:tcW w:w="5982" w:type="dxa"/>
            <w:shd w:val="clear" w:color="auto" w:fill="FFFFFF" w:themeFill="background1"/>
          </w:tcPr>
          <w:p w14:paraId="5AF7ECAE" w14:textId="7EA28504" w:rsidR="0093482C" w:rsidRPr="002E228E" w:rsidRDefault="0093482C" w:rsidP="0093482C">
            <w:pPr>
              <w:rPr>
                <w:b/>
                <w:bCs/>
                <w:noProof/>
                <w:sz w:val="20"/>
              </w:rPr>
            </w:pPr>
            <w:r>
              <w:rPr>
                <w:noProof/>
                <w:sz w:val="20"/>
              </w:rPr>
              <w:t xml:space="preserve">Les organisations de jeunes agriculteurs, les coopératives et les partenaires devraient fournir des services de mentorat, de formation et d’apprentissage par les pairs afin de renforcer les compétences des jeunes et nouveaux agriculteurs en matière d’entreprise et de leadership. </w:t>
            </w:r>
          </w:p>
        </w:tc>
        <w:tc>
          <w:tcPr>
            <w:tcW w:w="1276" w:type="dxa"/>
            <w:shd w:val="clear" w:color="auto" w:fill="FFFFFF" w:themeFill="background1"/>
          </w:tcPr>
          <w:p w14:paraId="26E638D6" w14:textId="4FB4FF2D" w:rsidR="0093482C" w:rsidRPr="00892599" w:rsidRDefault="0093482C" w:rsidP="0093482C">
            <w:pPr>
              <w:spacing w:line="259" w:lineRule="auto"/>
              <w:jc w:val="center"/>
              <w:rPr>
                <w:noProof/>
                <w:sz w:val="20"/>
              </w:rPr>
            </w:pPr>
            <w:r>
              <w:rPr>
                <w:noProof/>
                <w:sz w:val="20"/>
              </w:rPr>
              <w:t>À partir de 2026</w:t>
            </w:r>
          </w:p>
        </w:tc>
      </w:tr>
    </w:tbl>
    <w:p w14:paraId="6B51E733" w14:textId="302689BC" w:rsidR="00B142B9" w:rsidRDefault="00B142B9" w:rsidP="00552A1B">
      <w:pPr>
        <w:rPr>
          <w:b/>
          <w:bCs/>
          <w:noProof/>
        </w:rPr>
      </w:pPr>
    </w:p>
    <w:p w14:paraId="70AECD01" w14:textId="00DA3736" w:rsidR="00672F5A" w:rsidRPr="00DC261C" w:rsidRDefault="002030D7" w:rsidP="00AE69A7">
      <w:pPr>
        <w:rPr>
          <w:noProof/>
        </w:rPr>
      </w:pPr>
      <w:r>
        <w:rPr>
          <w:b/>
          <w:noProof/>
        </w:rPr>
        <w:t>C. Accès à la terre</w:t>
      </w:r>
    </w:p>
    <w:p w14:paraId="204ECAA6" w14:textId="6A886DC0" w:rsidR="00A53C9D" w:rsidRPr="00A53C9D" w:rsidRDefault="00366A29" w:rsidP="00A53C9D">
      <w:pPr>
        <w:rPr>
          <w:noProof/>
        </w:rPr>
      </w:pPr>
      <w:r>
        <w:rPr>
          <w:b/>
          <w:noProof/>
        </w:rPr>
        <w:t>Le transfert de terres est au cœur du renouvellement générationnel.</w:t>
      </w:r>
      <w:r>
        <w:rPr>
          <w:noProof/>
        </w:rPr>
        <w:t xml:space="preserve"> Cette problématique est illustrée par le déséquilibre des régimes fonciers: si la plupart des agriculteurs plus âgés sont propriétaires de leurs terres, les jeunes générations sont souvent contraintes de louer. Elles exploitent en effet 15 millions d’hectares en tant que locataires, contre 10 millions en tant que propriétaires. Le crédit-bail est une solution plus accessible pour de nombreux nouveaux arrivants, même si le crédit-bail à court terme peut limiter leur capacité d’investissement et de planification à long terme.</w:t>
      </w:r>
    </w:p>
    <w:p w14:paraId="09C1055F" w14:textId="07746D79" w:rsidR="00A53C9D" w:rsidRPr="00106CD6" w:rsidRDefault="00C07248" w:rsidP="00A53C9D">
      <w:pPr>
        <w:rPr>
          <w:b/>
          <w:bCs/>
          <w:noProof/>
        </w:rPr>
      </w:pPr>
      <w:r>
        <w:rPr>
          <w:noProof/>
        </w:rPr>
        <w:t xml:space="preserve">Bien qu’il existe, dans certains États membres, des régimes administratifs et des dispositions spécifiques visant à faciliter le transfert d’exploitations, la transmission anticipée est souvent complexe, en raison des obstacles administratifs et financiers qui dissuadent les agriculteurs de céder leurs exploitations avant leur départ à la retraite. </w:t>
      </w:r>
      <w:r>
        <w:rPr>
          <w:b/>
          <w:noProof/>
        </w:rPr>
        <w:t>Des règles simplifiées et des incitations ciblées pourraient favoriser les transitions anticipées.</w:t>
      </w:r>
    </w:p>
    <w:p w14:paraId="5B537E8B" w14:textId="0BCF5F9D" w:rsidR="004C7F3F" w:rsidRPr="00827D8B" w:rsidRDefault="004C7F3F" w:rsidP="00A53C9D">
      <w:pPr>
        <w:rPr>
          <w:noProof/>
        </w:rPr>
      </w:pPr>
      <w:r>
        <w:rPr>
          <w:noProof/>
        </w:rPr>
        <w:t>Le transfert d’une exploitation après le décès d’un agriculteur est souvent entravé par des cadres juridiques complexes et des charges fiscales élevées. Même lorsqu’il existe un allégement fiscal ou une succession simplifiée, les pratiques traditionnelles dans certaines régions entraînent une fragmentation qui complique la consolidation des unités agricoles viables. Les États membres devraient s’attaquer à ces obstacles afin de faciliter un transfert plus efficace des terres aux agriculteurs. La Commission intégrera donc les aspects économiques et sociaux pertinents liés au renouvellement des générations dans le processus du Semestre européen afin de veiller à ce que les politiques nationales soient alignées sur les objectifs de l’UE et à ce que des réformes adéquates soient mises en place.</w:t>
      </w:r>
    </w:p>
    <w:p w14:paraId="4CF7B06E" w14:textId="712B0CB3" w:rsidR="00A53C9D" w:rsidRPr="00827D8B" w:rsidRDefault="00A53C9D" w:rsidP="00A53C9D">
      <w:pPr>
        <w:rPr>
          <w:noProof/>
        </w:rPr>
      </w:pPr>
      <w:r>
        <w:rPr>
          <w:noProof/>
        </w:rPr>
        <w:t>Pour les personnes qui n’ont pas hérité de terres, l’achat est la principale voie vers l’agriculture, mais c’est aussi la plus difficile. Les prix s’élèvent en moyenne à 11,791 EUR par hectare dans l’ensemble de l’UE, mais atteignent plus de 280,000 EUR dans certaines régions. Le crédit étant limité, les délais de remboursement élevés et les retours sur investissement souvent modestes et irréguliers, les jeunes agriculteurs sont confrontés à d’importantes barrières à l’entrée. Les États membres peuvent faciliter ce processus grâce à des régimes de prêts abordables, à des droits de préemption en faveur des jeunes agriculteurs (sans discrimination sur base de la nationalité) et à des mécanismes d’appariement spécifiques pour mettre en relation les agriculteurs qui prennent leur retraite ou les propriétaires fonciers avec les aspirants agriculteurs. Dans le même temps, les États membres doivent agir contre les acquisitions spéculatives et l’accaparement de terres afin de maintenir les terres agricoles disponibles à des fins agricoles</w:t>
      </w:r>
      <w:r>
        <w:rPr>
          <w:rStyle w:val="FootnoteReference"/>
          <w:noProof/>
        </w:rPr>
        <w:footnoteReference w:id="38"/>
      </w:r>
      <w:r>
        <w:rPr>
          <w:noProof/>
        </w:rPr>
        <w:t>.</w:t>
      </w:r>
    </w:p>
    <w:p w14:paraId="55383829" w14:textId="7D18A8C7" w:rsidR="00A53C9D" w:rsidRPr="00827D8B" w:rsidRDefault="00A53C9D" w:rsidP="00A53C9D">
      <w:pPr>
        <w:rPr>
          <w:noProof/>
        </w:rPr>
      </w:pPr>
      <w:r>
        <w:rPr>
          <w:noProof/>
        </w:rPr>
        <w:t>Le crédit-bail peut constituer une solution plus accessible. Près de la moitié des terres agricoles de l’UE sont louées, mais les contrats à court terme accroissent toutefois la vulnérabilité des nouveaux entrants. En accordant des contrats à long terme plus solides et en donnant la priorité aux jeunes agriculteurs dans l’attribution des terres municipales ou publiques, on améliorerait la stabilité et la confiance.</w:t>
      </w:r>
    </w:p>
    <w:p w14:paraId="119DA27A" w14:textId="058855AD" w:rsidR="00786F0A" w:rsidRPr="00827D8B" w:rsidRDefault="00A53C9D" w:rsidP="00A53C9D">
      <w:pPr>
        <w:rPr>
          <w:noProof/>
        </w:rPr>
      </w:pPr>
      <w:r>
        <w:rPr>
          <w:noProof/>
        </w:rPr>
        <w:t>D’autres modèles émergent également, tels que les banques foncières et les fiducies foncières communautaires, ou encore les incubateurs d'entreprises agricoles. Pour que ces modèles puissent devenir viables à grande échelle, il convient de les doter de cadres juridiques favorables et de les épauler au niveau régional. En parallèle, la concurrence pour les terres aux fins d’autres utilisations réduit la disponibilité des terres agricoles et gonfle les prix des terres au détriment de l’agriculture. L’artificialisation des sols réduit également la disponibilité des terres agricoles. La conversion actuelle des terres agricoles vers des utilisations urbaines et industrielles gonfle les prix et limite l’accès des jeunes agriculteurs à ces terres. Les États membres devraient s’aligner sur l’objectif de «zéro artificialisation nette des sols d’ici à 2050»</w:t>
      </w:r>
      <w:r>
        <w:rPr>
          <w:rStyle w:val="FootnoteReference"/>
          <w:noProof/>
        </w:rPr>
        <w:footnoteReference w:id="39"/>
      </w:r>
      <w:r>
        <w:rPr>
          <w:noProof/>
        </w:rPr>
        <w:t xml:space="preserve"> fixé par l’UE en renforçant la protection des terres agricoles dans l’aménagement du territoire.</w:t>
      </w:r>
    </w:p>
    <w:p w14:paraId="1279C7C9" w14:textId="6E152758" w:rsidR="00106CD6" w:rsidRDefault="007A272C" w:rsidP="00D972E8">
      <w:pPr>
        <w:rPr>
          <w:noProof/>
        </w:rPr>
      </w:pPr>
      <w:r>
        <w:rPr>
          <w:noProof/>
        </w:rPr>
        <w:t xml:space="preserve">Pour améliorer la politique foncière dans l’ensemble de l’UE, il conviendrait de renforcer la coopération et le partage des données entre les États membres. À cet effet, la Commission développe la base analytique d’un </w:t>
      </w:r>
      <w:r>
        <w:rPr>
          <w:b/>
          <w:noProof/>
        </w:rPr>
        <w:t>observatoire foncier européen</w:t>
      </w:r>
      <w:r>
        <w:rPr>
          <w:noProof/>
        </w:rPr>
        <w:t xml:space="preserve">, conçu comme un forum de discussion pour contribuer à combler les lacunes en matière d’information et améliorer la transparence des transactions foncières, des prix, des changements d’utilisation et des tendances du marché. Il fournira aux États membres des données probantes et des outils leur permettant de concevoir des mesures plus équitables et plus efficaces, adaptées à leur contexte national, tout en contribuant à la réalisation des objectifs communs de l’UE, y compris le </w:t>
      </w:r>
      <w:r w:rsidR="00170903">
        <w:rPr>
          <w:noProof/>
          <w:lang w:val="en-GB"/>
        </w:rPr>
        <mc:AlternateContent>
          <mc:Choice Requires="wps">
            <w:drawing>
              <wp:anchor distT="0" distB="0" distL="114300" distR="114300" simplePos="0" relativeHeight="251658241" behindDoc="1" locked="0" layoutInCell="1" allowOverlap="1" wp14:anchorId="314A87D1" wp14:editId="624835CD">
                <wp:simplePos x="0" y="0"/>
                <wp:positionH relativeFrom="margin">
                  <wp:posOffset>-108585</wp:posOffset>
                </wp:positionH>
                <wp:positionV relativeFrom="paragraph">
                  <wp:posOffset>929640</wp:posOffset>
                </wp:positionV>
                <wp:extent cx="5937250" cy="1699260"/>
                <wp:effectExtent l="0" t="0" r="25400" b="15240"/>
                <wp:wrapNone/>
                <wp:docPr id="1489362392" name="Rectangle: Rounded Corners 1"/>
                <wp:cNvGraphicFramePr/>
                <a:graphic xmlns:a="http://schemas.openxmlformats.org/drawingml/2006/main">
                  <a:graphicData uri="http://schemas.microsoft.com/office/word/2010/wordprocessingShape">
                    <wps:wsp>
                      <wps:cNvSpPr/>
                      <wps:spPr>
                        <a:xfrm>
                          <a:off x="0" y="0"/>
                          <a:ext cx="5937250" cy="1699260"/>
                        </a:xfrm>
                        <a:prstGeom prst="roundRect">
                          <a:avLst/>
                        </a:prstGeom>
                        <a:solidFill>
                          <a:schemeClr val="accent2">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pic="http://schemas.openxmlformats.org/drawingml/2006/picture" xmlns:a="http://schemas.openxmlformats.org/drawingml/2006/main">
            <w:pict>
              <v:roundrect id="Rectangle: Rounded Corners 1" style="position:absolute;margin-left:-8.55pt;margin-top:73.2pt;width:467.5pt;height:133.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ae2d5 [661]"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" arcsize="10923f" w14:anchorId="52CD4FF6">
                <v:stroke joinstyle="miter"/>
                <w10:wrap anchorx="margin"/>
              </v:roundrect>
            </w:pict>
          </mc:Fallback>
        </mc:AlternateContent>
      </w:r>
      <w:r>
        <w:rPr>
          <w:noProof/>
        </w:rPr>
        <w:t>renouvellement des générations.</w:t>
      </w:r>
    </w:p>
    <w:p w14:paraId="795B2BF1" w14:textId="7502F2D5" w:rsidR="00E27A3F" w:rsidRPr="00827D8B" w:rsidRDefault="00E27A3F" w:rsidP="003E12D1">
      <w:pPr>
        <w:rPr>
          <w:b/>
          <w:bCs/>
          <w:i/>
          <w:iCs/>
          <w:noProof/>
          <w:sz w:val="22"/>
          <w:szCs w:val="22"/>
        </w:rPr>
      </w:pPr>
      <w:r>
        <w:rPr>
          <w:b/>
          <w:i/>
          <w:noProof/>
          <w:sz w:val="22"/>
        </w:rPr>
        <w:t>Initiatives phares</w:t>
      </w:r>
    </w:p>
    <w:p w14:paraId="478BA8BA" w14:textId="58246F5D" w:rsidR="00FE253A" w:rsidRPr="00827D8B" w:rsidRDefault="00FE253A" w:rsidP="002F39C3">
      <w:pPr>
        <w:pStyle w:val="ListParagraph"/>
        <w:numPr>
          <w:ilvl w:val="0"/>
          <w:numId w:val="24"/>
        </w:numPr>
        <w:spacing w:after="0"/>
        <w:rPr>
          <w:i/>
          <w:iCs/>
          <w:noProof/>
          <w:sz w:val="22"/>
          <w:szCs w:val="22"/>
        </w:rPr>
      </w:pPr>
      <w:r>
        <w:rPr>
          <w:i/>
          <w:noProof/>
          <w:sz w:val="22"/>
        </w:rPr>
        <w:t xml:space="preserve">Un </w:t>
      </w:r>
      <w:r>
        <w:rPr>
          <w:b/>
          <w:i/>
          <w:noProof/>
          <w:sz w:val="22"/>
        </w:rPr>
        <w:t>observatoire foncier européen</w:t>
      </w:r>
      <w:r>
        <w:rPr>
          <w:i/>
          <w:noProof/>
          <w:sz w:val="22"/>
        </w:rPr>
        <w:t xml:space="preserve"> destiné à améliorer la transparence foncière, à aider les agriculteurs à accéder aux terres disponibles, à favoriser la transmission des exploitations agricoles, à éclairer les politiques et à prévenir la spéculation foncière, en vue de faciliter le lancement d’une activité agricole pour les nouveaux entrants. </w:t>
      </w:r>
    </w:p>
    <w:p w14:paraId="7AF62C5E" w14:textId="5F21A95C" w:rsidR="007C64C3" w:rsidRPr="00827D8B" w:rsidRDefault="007C64C3" w:rsidP="002F39C3">
      <w:pPr>
        <w:pStyle w:val="ListParagraph"/>
        <w:numPr>
          <w:ilvl w:val="0"/>
          <w:numId w:val="24"/>
        </w:numPr>
        <w:spacing w:after="0"/>
        <w:rPr>
          <w:i/>
          <w:iCs/>
          <w:noProof/>
          <w:sz w:val="22"/>
          <w:szCs w:val="22"/>
        </w:rPr>
      </w:pPr>
      <w:r>
        <w:rPr>
          <w:i/>
          <w:noProof/>
          <w:sz w:val="22"/>
        </w:rPr>
        <w:t xml:space="preserve">Des </w:t>
      </w:r>
      <w:r>
        <w:rPr>
          <w:b/>
          <w:i/>
          <w:noProof/>
          <w:sz w:val="22"/>
        </w:rPr>
        <w:t>politiques foncières</w:t>
      </w:r>
      <w:r>
        <w:rPr>
          <w:i/>
          <w:noProof/>
          <w:sz w:val="22"/>
        </w:rPr>
        <w:t xml:space="preserve"> nationales visant à lever les obstacles à l’accès, à prévenir les acquisitions spéculatives et à s’aligner sur les objectifs de l’UE en matière de renouvellement des générations, couvertes par le Semestre européen ou intégrées à son champ d’application.</w:t>
      </w:r>
    </w:p>
    <w:p w14:paraId="4E029717" w14:textId="6F7DF972" w:rsidR="000A0604" w:rsidRDefault="000A0604" w:rsidP="001D1CAE">
      <w:pPr>
        <w:rPr>
          <w:i/>
          <w:iCs/>
          <w:noProof/>
          <w:sz w:val="22"/>
          <w:szCs w:val="22"/>
        </w:rPr>
      </w:pPr>
    </w:p>
    <w:tbl>
      <w:tblPr>
        <w:tblStyle w:val="TableGrid"/>
        <w:tblW w:w="9356" w:type="dxa"/>
        <w:tblInd w:w="-150" w:type="dxa"/>
        <w:tblLayout w:type="fixed"/>
        <w:tblLook w:val="04A0" w:firstRow="1" w:lastRow="0" w:firstColumn="1" w:lastColumn="0" w:noHBand="0" w:noVBand="1"/>
      </w:tblPr>
      <w:tblGrid>
        <w:gridCol w:w="1985"/>
        <w:gridCol w:w="6095"/>
        <w:gridCol w:w="1276"/>
      </w:tblGrid>
      <w:tr w:rsidR="00283270" w:rsidRPr="00C67F94" w14:paraId="77F3C370" w14:textId="77777777" w:rsidTr="00356507">
        <w:trPr>
          <w:trHeight w:val="476"/>
        </w:trPr>
        <w:tc>
          <w:tcPr>
            <w:tcW w:w="8080" w:type="dxa"/>
            <w:gridSpan w:val="2"/>
            <w:shd w:val="clear" w:color="auto" w:fill="FAE2D5" w:themeFill="accent2" w:themeFillTint="33"/>
          </w:tcPr>
          <w:p w14:paraId="22E4D48B" w14:textId="77777777" w:rsidR="00283270" w:rsidRPr="00C93D12" w:rsidRDefault="00283270" w:rsidP="00356507">
            <w:pPr>
              <w:jc w:val="center"/>
              <w:rPr>
                <w:b/>
                <w:bCs/>
                <w:noProof/>
                <w:sz w:val="20"/>
              </w:rPr>
            </w:pPr>
            <w:r>
              <w:rPr>
                <w:b/>
                <w:noProof/>
                <w:sz w:val="20"/>
              </w:rPr>
              <w:t>Actions proposées dans le cadre d’autres politiques de l’UE</w:t>
            </w:r>
          </w:p>
        </w:tc>
        <w:tc>
          <w:tcPr>
            <w:tcW w:w="1276" w:type="dxa"/>
            <w:shd w:val="clear" w:color="auto" w:fill="FAE2D5" w:themeFill="accent2" w:themeFillTint="33"/>
          </w:tcPr>
          <w:p w14:paraId="3FBAAFB7" w14:textId="77777777" w:rsidR="00283270" w:rsidRPr="00C67F94" w:rsidRDefault="00283270" w:rsidP="00356507">
            <w:pPr>
              <w:jc w:val="center"/>
              <w:rPr>
                <w:b/>
                <w:bCs/>
                <w:noProof/>
                <w:sz w:val="20"/>
              </w:rPr>
            </w:pPr>
          </w:p>
        </w:tc>
      </w:tr>
      <w:tr w:rsidR="00283270" w:rsidRPr="00C67F94" w14:paraId="1704C09E" w14:textId="77777777" w:rsidTr="00356507">
        <w:trPr>
          <w:trHeight w:val="927"/>
        </w:trPr>
        <w:tc>
          <w:tcPr>
            <w:tcW w:w="1985" w:type="dxa"/>
            <w:shd w:val="clear" w:color="auto" w:fill="FFFFFF" w:themeFill="background1"/>
          </w:tcPr>
          <w:p w14:paraId="5D9D9639" w14:textId="77777777" w:rsidR="00283270" w:rsidRDefault="00283270" w:rsidP="00356507">
            <w:pPr>
              <w:rPr>
                <w:b/>
                <w:bCs/>
                <w:noProof/>
                <w:sz w:val="20"/>
              </w:rPr>
            </w:pPr>
            <w:r>
              <w:rPr>
                <w:b/>
                <w:noProof/>
                <w:sz w:val="20"/>
              </w:rPr>
              <w:t>Évaluation du marché foncier pour le renouvellement des générations</w:t>
            </w:r>
          </w:p>
          <w:p w14:paraId="0198F056" w14:textId="77777777" w:rsidR="00283270" w:rsidRPr="00C67F94" w:rsidRDefault="00283270" w:rsidP="00356507">
            <w:pPr>
              <w:rPr>
                <w:b/>
                <w:bCs/>
                <w:noProof/>
                <w:sz w:val="20"/>
              </w:rPr>
            </w:pPr>
          </w:p>
        </w:tc>
        <w:tc>
          <w:tcPr>
            <w:tcW w:w="6095" w:type="dxa"/>
            <w:shd w:val="clear" w:color="auto" w:fill="FFFFFF" w:themeFill="background1"/>
          </w:tcPr>
          <w:p w14:paraId="6348CEBC" w14:textId="77777777" w:rsidR="00283270" w:rsidRPr="00D95C99" w:rsidRDefault="00283270" w:rsidP="00356507">
            <w:pPr>
              <w:spacing w:after="0"/>
              <w:rPr>
                <w:noProof/>
                <w:sz w:val="20"/>
              </w:rPr>
            </w:pPr>
            <w:r>
              <w:rPr>
                <w:noProof/>
                <w:sz w:val="20"/>
              </w:rPr>
              <w:t>Mener deux études interdépendantes afin de mieux comprendre les obstacles fonciers qui entravent le renouvellement des générations dans l’agriculture, en vue:</w:t>
            </w:r>
          </w:p>
          <w:p w14:paraId="7B2FE4AD" w14:textId="628DB53F" w:rsidR="00283270" w:rsidRPr="00D95C99" w:rsidRDefault="00283270" w:rsidP="00356507">
            <w:pPr>
              <w:numPr>
                <w:ilvl w:val="0"/>
                <w:numId w:val="26"/>
              </w:numPr>
              <w:spacing w:after="0"/>
              <w:rPr>
                <w:noProof/>
                <w:sz w:val="20"/>
              </w:rPr>
            </w:pPr>
            <w:r>
              <w:rPr>
                <w:noProof/>
                <w:sz w:val="20"/>
              </w:rPr>
              <w:t>d’examiner la financialisation des terres agricoles et ses conséquences socio-économiques et environnementales;</w:t>
            </w:r>
          </w:p>
          <w:p w14:paraId="7764B91B" w14:textId="77777777" w:rsidR="00283270" w:rsidRPr="0010255F" w:rsidRDefault="00283270" w:rsidP="00356507">
            <w:pPr>
              <w:numPr>
                <w:ilvl w:val="0"/>
                <w:numId w:val="26"/>
              </w:numPr>
              <w:spacing w:after="0"/>
              <w:rPr>
                <w:noProof/>
                <w:sz w:val="20"/>
              </w:rPr>
            </w:pPr>
            <w:r>
              <w:rPr>
                <w:noProof/>
                <w:sz w:val="20"/>
              </w:rPr>
              <w:t>d’analyser l’évolution des prix des terres agricoles en fonction de facteurs agroenvironnementaux et sociaux.</w:t>
            </w:r>
          </w:p>
        </w:tc>
        <w:tc>
          <w:tcPr>
            <w:tcW w:w="1276" w:type="dxa"/>
            <w:shd w:val="clear" w:color="auto" w:fill="FFFFFF" w:themeFill="background1"/>
          </w:tcPr>
          <w:p w14:paraId="6E1E2F2D" w14:textId="77777777" w:rsidR="00283270" w:rsidRPr="00C67F94" w:rsidRDefault="00283270" w:rsidP="00356507">
            <w:pPr>
              <w:rPr>
                <w:noProof/>
                <w:sz w:val="20"/>
              </w:rPr>
            </w:pPr>
            <w:r>
              <w:rPr>
                <w:noProof/>
                <w:sz w:val="20"/>
              </w:rPr>
              <w:t>D’ici au T4 2026</w:t>
            </w:r>
          </w:p>
        </w:tc>
      </w:tr>
      <w:tr w:rsidR="00283270" w:rsidRPr="00C67F94" w14:paraId="651A176B" w14:textId="77777777" w:rsidTr="00356507">
        <w:trPr>
          <w:trHeight w:val="463"/>
        </w:trPr>
        <w:tc>
          <w:tcPr>
            <w:tcW w:w="8080" w:type="dxa"/>
            <w:gridSpan w:val="2"/>
            <w:shd w:val="clear" w:color="auto" w:fill="FAE2D5" w:themeFill="accent2" w:themeFillTint="33"/>
          </w:tcPr>
          <w:p w14:paraId="2C5E3D33" w14:textId="77777777" w:rsidR="00283270" w:rsidRPr="00C67F94" w:rsidRDefault="00283270" w:rsidP="00356507">
            <w:pPr>
              <w:jc w:val="center"/>
              <w:rPr>
                <w:b/>
                <w:bCs/>
                <w:noProof/>
                <w:sz w:val="20"/>
              </w:rPr>
            </w:pPr>
            <w:r>
              <w:rPr>
                <w:b/>
                <w:noProof/>
                <w:sz w:val="20"/>
              </w:rPr>
              <w:t>Actions volontaires au niveau des États membres</w:t>
            </w:r>
          </w:p>
        </w:tc>
        <w:tc>
          <w:tcPr>
            <w:tcW w:w="1276" w:type="dxa"/>
            <w:shd w:val="clear" w:color="auto" w:fill="FAE2D5" w:themeFill="accent2" w:themeFillTint="33"/>
          </w:tcPr>
          <w:p w14:paraId="365E922A" w14:textId="77777777" w:rsidR="00283270" w:rsidRPr="00C67F94" w:rsidRDefault="00283270" w:rsidP="00356507">
            <w:pPr>
              <w:jc w:val="center"/>
              <w:rPr>
                <w:b/>
                <w:bCs/>
                <w:noProof/>
                <w:sz w:val="20"/>
              </w:rPr>
            </w:pPr>
          </w:p>
        </w:tc>
      </w:tr>
      <w:tr w:rsidR="00283270" w:rsidRPr="00C67F94" w14:paraId="4CBDF881" w14:textId="77777777" w:rsidTr="00356507">
        <w:trPr>
          <w:trHeight w:val="412"/>
        </w:trPr>
        <w:tc>
          <w:tcPr>
            <w:tcW w:w="1985" w:type="dxa"/>
            <w:shd w:val="clear" w:color="auto" w:fill="FFFFFF" w:themeFill="background1"/>
          </w:tcPr>
          <w:p w14:paraId="35014C9F" w14:textId="77777777" w:rsidR="00283270" w:rsidRPr="00C67F94" w:rsidRDefault="00283270" w:rsidP="00356507">
            <w:pPr>
              <w:rPr>
                <w:b/>
                <w:bCs/>
                <w:noProof/>
                <w:sz w:val="20"/>
              </w:rPr>
            </w:pPr>
            <w:r>
              <w:rPr>
                <w:b/>
                <w:noProof/>
                <w:sz w:val="20"/>
              </w:rPr>
              <w:t>Services de mobilité foncière</w:t>
            </w:r>
          </w:p>
        </w:tc>
        <w:tc>
          <w:tcPr>
            <w:tcW w:w="6095" w:type="dxa"/>
            <w:shd w:val="clear" w:color="auto" w:fill="FFFFFF" w:themeFill="background1"/>
          </w:tcPr>
          <w:p w14:paraId="0DE5470E" w14:textId="77777777" w:rsidR="00283270" w:rsidRPr="00C67F94" w:rsidRDefault="00283270" w:rsidP="00356507">
            <w:pPr>
              <w:rPr>
                <w:noProof/>
                <w:sz w:val="20"/>
              </w:rPr>
            </w:pPr>
            <w:r>
              <w:rPr>
                <w:noProof/>
                <w:sz w:val="20"/>
              </w:rPr>
              <w:t xml:space="preserve">Soutenir les programmes confidentiels de mobilité foncière qui mettent en relation les propriétaires fonciers avec les nouveaux entrants au moyen de baux, de partenariats, d’une agriculture partagée et d’outils d’adaptation des terres. Encourager les cadres juridiques qui garantissent des baux à long terme et favorisent la stabilité des baux afin de permettre aux jeunes agriculteurs de reprendre progressivement les exploitations et d’investir. Un réseau de l’UE relierait les plateformes nationales en s’appuyant sur les initiatives des États membres. </w:t>
            </w:r>
          </w:p>
        </w:tc>
        <w:tc>
          <w:tcPr>
            <w:tcW w:w="1276" w:type="dxa"/>
            <w:shd w:val="clear" w:color="auto" w:fill="FFFFFF" w:themeFill="background1"/>
          </w:tcPr>
          <w:p w14:paraId="2FE3AF04" w14:textId="77777777" w:rsidR="00283270" w:rsidRPr="00C67F94" w:rsidRDefault="00283270" w:rsidP="00356507">
            <w:pPr>
              <w:rPr>
                <w:noProof/>
                <w:sz w:val="20"/>
              </w:rPr>
            </w:pPr>
            <w:r>
              <w:rPr>
                <w:noProof/>
                <w:sz w:val="20"/>
              </w:rPr>
              <w:t>À partir du T4 2025</w:t>
            </w:r>
          </w:p>
        </w:tc>
      </w:tr>
      <w:tr w:rsidR="00283270" w:rsidRPr="00C67F94" w14:paraId="6F44D308" w14:textId="77777777" w:rsidTr="00356507">
        <w:trPr>
          <w:trHeight w:val="927"/>
        </w:trPr>
        <w:tc>
          <w:tcPr>
            <w:tcW w:w="1985" w:type="dxa"/>
            <w:shd w:val="clear" w:color="auto" w:fill="FFFFFF" w:themeFill="background1"/>
          </w:tcPr>
          <w:p w14:paraId="2EF354B7" w14:textId="77777777" w:rsidR="00283270" w:rsidRPr="00C67F94" w:rsidRDefault="00283270" w:rsidP="00356507">
            <w:pPr>
              <w:rPr>
                <w:b/>
                <w:bCs/>
                <w:noProof/>
                <w:sz w:val="20"/>
              </w:rPr>
            </w:pPr>
            <w:r>
              <w:rPr>
                <w:b/>
                <w:noProof/>
                <w:sz w:val="20"/>
              </w:rPr>
              <w:t>Autres modèles de propriété et de transfert d’entreprise</w:t>
            </w:r>
          </w:p>
        </w:tc>
        <w:tc>
          <w:tcPr>
            <w:tcW w:w="6095" w:type="dxa"/>
            <w:shd w:val="clear" w:color="auto" w:fill="FFFFFF" w:themeFill="background1"/>
          </w:tcPr>
          <w:p w14:paraId="4805C0E1" w14:textId="77777777" w:rsidR="00283270" w:rsidRPr="00C67F94" w:rsidRDefault="00283270" w:rsidP="00356507">
            <w:pPr>
              <w:rPr>
                <w:noProof/>
                <w:sz w:val="20"/>
              </w:rPr>
            </w:pPr>
            <w:r>
              <w:rPr>
                <w:noProof/>
                <w:sz w:val="20"/>
              </w:rPr>
              <w:t>Soutenir les transferts de propriété intergénérationnels et dirigés par les travailleurs, y compris les rachats d’entreprises par les salariés, par lesquels ces derniers acquièrent des parts agricoles, ainsi que les modèles de gestion coopérative des terres. Appuyer en priorité des modèles permettant des transitions progressives ou collectives de la propriété.</w:t>
            </w:r>
          </w:p>
        </w:tc>
        <w:tc>
          <w:tcPr>
            <w:tcW w:w="1276" w:type="dxa"/>
            <w:shd w:val="clear" w:color="auto" w:fill="FFFFFF" w:themeFill="background1"/>
          </w:tcPr>
          <w:p w14:paraId="1FC54DC2" w14:textId="77777777" w:rsidR="00283270" w:rsidRPr="00C67F94" w:rsidRDefault="00283270" w:rsidP="00356507">
            <w:pPr>
              <w:rPr>
                <w:noProof/>
                <w:sz w:val="20"/>
              </w:rPr>
            </w:pPr>
            <w:r>
              <w:rPr>
                <w:noProof/>
                <w:sz w:val="20"/>
              </w:rPr>
              <w:t>À partir du T4 2025</w:t>
            </w:r>
          </w:p>
        </w:tc>
      </w:tr>
      <w:tr w:rsidR="00283270" w:rsidRPr="00C67F94" w14:paraId="52EF1E48" w14:textId="77777777" w:rsidTr="00356507">
        <w:trPr>
          <w:trHeight w:val="849"/>
        </w:trPr>
        <w:tc>
          <w:tcPr>
            <w:tcW w:w="1985" w:type="dxa"/>
            <w:shd w:val="clear" w:color="auto" w:fill="FFFFFF" w:themeFill="background1"/>
          </w:tcPr>
          <w:p w14:paraId="6BBA984D" w14:textId="77777777" w:rsidR="00283270" w:rsidRPr="00C67F94" w:rsidRDefault="00283270" w:rsidP="00356507">
            <w:pPr>
              <w:rPr>
                <w:b/>
                <w:bCs/>
                <w:noProof/>
                <w:sz w:val="20"/>
              </w:rPr>
            </w:pPr>
            <w:r>
              <w:rPr>
                <w:b/>
                <w:noProof/>
                <w:sz w:val="20"/>
              </w:rPr>
              <w:t>Banques foncières et réutilisation de terres abandonnées</w:t>
            </w:r>
          </w:p>
        </w:tc>
        <w:tc>
          <w:tcPr>
            <w:tcW w:w="6095" w:type="dxa"/>
            <w:shd w:val="clear" w:color="auto" w:fill="FFFFFF" w:themeFill="background1"/>
          </w:tcPr>
          <w:p w14:paraId="7071A613" w14:textId="77777777" w:rsidR="00283270" w:rsidRPr="00C67F94" w:rsidRDefault="00283270" w:rsidP="00356507">
            <w:pPr>
              <w:rPr>
                <w:noProof/>
                <w:sz w:val="20"/>
              </w:rPr>
            </w:pPr>
            <w:r>
              <w:rPr>
                <w:noProof/>
                <w:sz w:val="20"/>
              </w:rPr>
              <w:t>Aider les banques foncières publiques à gérer et à réorienter les terres abandonnées ou fragmentées, en aidant les jeunes agriculteurs et les nouveaux entrants à accéder à ces banques. Encourager, le cas échéant, les mécanismes de crédit-bail coopératif.</w:t>
            </w:r>
          </w:p>
        </w:tc>
        <w:tc>
          <w:tcPr>
            <w:tcW w:w="1276" w:type="dxa"/>
            <w:shd w:val="clear" w:color="auto" w:fill="FFFFFF" w:themeFill="background1"/>
          </w:tcPr>
          <w:p w14:paraId="52FD1A84" w14:textId="77777777" w:rsidR="00283270" w:rsidRPr="00C67F94" w:rsidRDefault="00283270" w:rsidP="00356507">
            <w:pPr>
              <w:rPr>
                <w:noProof/>
                <w:sz w:val="20"/>
              </w:rPr>
            </w:pPr>
            <w:r>
              <w:rPr>
                <w:noProof/>
                <w:sz w:val="20"/>
              </w:rPr>
              <w:t>À partir du T4 2025</w:t>
            </w:r>
          </w:p>
        </w:tc>
      </w:tr>
      <w:tr w:rsidR="00283270" w:rsidRPr="00C67F94" w14:paraId="0D4FEC17" w14:textId="77777777" w:rsidTr="00356507">
        <w:trPr>
          <w:trHeight w:val="1166"/>
        </w:trPr>
        <w:tc>
          <w:tcPr>
            <w:tcW w:w="1985" w:type="dxa"/>
            <w:shd w:val="clear" w:color="auto" w:fill="FFFFFF" w:themeFill="background1"/>
          </w:tcPr>
          <w:p w14:paraId="3A699250" w14:textId="77777777" w:rsidR="00283270" w:rsidRPr="00C67F94" w:rsidRDefault="00283270" w:rsidP="00356507">
            <w:pPr>
              <w:rPr>
                <w:b/>
                <w:bCs/>
                <w:noProof/>
                <w:sz w:val="20"/>
              </w:rPr>
            </w:pPr>
            <w:r>
              <w:rPr>
                <w:b/>
                <w:noProof/>
                <w:sz w:val="20"/>
              </w:rPr>
              <w:t>Participation d’institutions financières publiques</w:t>
            </w:r>
          </w:p>
        </w:tc>
        <w:tc>
          <w:tcPr>
            <w:tcW w:w="6095" w:type="dxa"/>
            <w:shd w:val="clear" w:color="auto" w:fill="FFFFFF" w:themeFill="background1"/>
          </w:tcPr>
          <w:p w14:paraId="7F1EDEF3" w14:textId="1D75D297" w:rsidR="00283270" w:rsidRPr="00C67F94" w:rsidRDefault="00283270" w:rsidP="00356507">
            <w:pPr>
              <w:rPr>
                <w:noProof/>
                <w:sz w:val="20"/>
              </w:rPr>
            </w:pPr>
            <w:r>
              <w:rPr>
                <w:noProof/>
                <w:sz w:val="20"/>
              </w:rPr>
              <w:t>Encourager les institutions financières à soutenir l’accès aux terres agricoles et leur développement en proposant des produits financiers tels que des prêts à l’achat, des garanties de prêts et des taux bonifiés pour l’amélioration et la consolidation des terres, en aidant les jeunes agriculteurs à surmonter les obstacles financiers et à améliorer la viabilité des exploitations agricoles.</w:t>
            </w:r>
          </w:p>
        </w:tc>
        <w:tc>
          <w:tcPr>
            <w:tcW w:w="1276" w:type="dxa"/>
            <w:shd w:val="clear" w:color="auto" w:fill="FFFFFF" w:themeFill="background1"/>
          </w:tcPr>
          <w:p w14:paraId="5E5C12F3" w14:textId="77777777" w:rsidR="00283270" w:rsidRPr="00C67F94" w:rsidRDefault="00283270" w:rsidP="00356507">
            <w:pPr>
              <w:rPr>
                <w:noProof/>
                <w:sz w:val="20"/>
              </w:rPr>
            </w:pPr>
            <w:r>
              <w:rPr>
                <w:noProof/>
                <w:sz w:val="20"/>
              </w:rPr>
              <w:t>À partir du T4 2025</w:t>
            </w:r>
          </w:p>
        </w:tc>
      </w:tr>
      <w:tr w:rsidR="00283270" w:rsidRPr="00C67F94" w14:paraId="187A2ACA" w14:textId="77777777" w:rsidTr="00356507">
        <w:trPr>
          <w:trHeight w:val="876"/>
        </w:trPr>
        <w:tc>
          <w:tcPr>
            <w:tcW w:w="1985" w:type="dxa"/>
            <w:shd w:val="clear" w:color="auto" w:fill="FFFFFF" w:themeFill="background1"/>
          </w:tcPr>
          <w:p w14:paraId="4E20F2D7" w14:textId="77777777" w:rsidR="00283270" w:rsidRPr="00C67F94" w:rsidRDefault="00283270" w:rsidP="00356507">
            <w:pPr>
              <w:rPr>
                <w:b/>
                <w:bCs/>
                <w:noProof/>
                <w:sz w:val="20"/>
              </w:rPr>
            </w:pPr>
            <w:r>
              <w:rPr>
                <w:b/>
                <w:noProof/>
                <w:sz w:val="20"/>
              </w:rPr>
              <w:t>Réduction des coûts des transactions foncières pour les petites exploitations</w:t>
            </w:r>
          </w:p>
        </w:tc>
        <w:tc>
          <w:tcPr>
            <w:tcW w:w="6095" w:type="dxa"/>
            <w:shd w:val="clear" w:color="auto" w:fill="FFFFFF" w:themeFill="background1"/>
          </w:tcPr>
          <w:p w14:paraId="6110FCB1" w14:textId="77777777" w:rsidR="00283270" w:rsidRPr="00C93D12" w:rsidRDefault="00283270" w:rsidP="00356507">
            <w:pPr>
              <w:rPr>
                <w:noProof/>
                <w:sz w:val="20"/>
              </w:rPr>
            </w:pPr>
            <w:r>
              <w:rPr>
                <w:noProof/>
                <w:sz w:val="20"/>
              </w:rPr>
              <w:t xml:space="preserve">Soutenir les réformes et les subventions visant à réduire les coûts élevés de l’enregistrement foncier et des transactions, qui représentent un obstacle majeur pour les jeunes agriculteurs. En vue de trouver un équilibre qui décourage la spéculation sans entraver l’arrivée de nouveaux entrants, envisager d’exonérer ou de réduire les redevances pour les petites exploitations, par exemple en fixant des seuils ou en rendant les coûts proportionnels à la taille des terres. </w:t>
            </w:r>
          </w:p>
        </w:tc>
        <w:tc>
          <w:tcPr>
            <w:tcW w:w="1276" w:type="dxa"/>
            <w:shd w:val="clear" w:color="auto" w:fill="FFFFFF" w:themeFill="background1"/>
          </w:tcPr>
          <w:p w14:paraId="63BB034A" w14:textId="77777777" w:rsidR="00283270" w:rsidRPr="00C67F94" w:rsidRDefault="00283270" w:rsidP="00356507">
            <w:pPr>
              <w:rPr>
                <w:noProof/>
                <w:sz w:val="20"/>
              </w:rPr>
            </w:pPr>
            <w:r>
              <w:rPr>
                <w:noProof/>
                <w:sz w:val="20"/>
              </w:rPr>
              <w:t>À partir du T4 2025</w:t>
            </w:r>
          </w:p>
        </w:tc>
      </w:tr>
    </w:tbl>
    <w:p w14:paraId="65B5C728" w14:textId="77777777" w:rsidR="004A28DF" w:rsidRDefault="004A28DF" w:rsidP="003D634B">
      <w:pPr>
        <w:spacing w:after="0"/>
        <w:rPr>
          <w:i/>
          <w:iCs/>
          <w:noProof/>
        </w:rPr>
      </w:pPr>
    </w:p>
    <w:p w14:paraId="4A64CE9C" w14:textId="77777777" w:rsidR="004A28DF" w:rsidRDefault="004A28DF" w:rsidP="004A28DF">
      <w:pPr>
        <w:spacing w:after="0"/>
        <w:ind w:left="360"/>
        <w:rPr>
          <w:noProof/>
        </w:rPr>
      </w:pPr>
    </w:p>
    <w:p w14:paraId="7B458EB7" w14:textId="5792939C" w:rsidR="004E5BDC" w:rsidRPr="00AE69A7" w:rsidRDefault="00AE69A7" w:rsidP="00AE69A7">
      <w:pPr>
        <w:rPr>
          <w:b/>
          <w:bCs/>
          <w:noProof/>
        </w:rPr>
      </w:pPr>
      <w:r>
        <w:rPr>
          <w:b/>
          <w:noProof/>
        </w:rPr>
        <w:t xml:space="preserve">D. Résilience, conditions de vie équitables et accès à de nouvelles possibilités de revenus </w:t>
      </w:r>
    </w:p>
    <w:p w14:paraId="66F9E41B" w14:textId="103D1C8B" w:rsidR="00823038" w:rsidRDefault="001E787B" w:rsidP="001E787B">
      <w:pPr>
        <w:spacing w:before="100" w:beforeAutospacing="1" w:after="100" w:afterAutospacing="1"/>
        <w:rPr>
          <w:noProof/>
        </w:rPr>
      </w:pPr>
      <w:r>
        <w:rPr>
          <w:noProof/>
        </w:rPr>
        <w:t>Le renouvellement de l’agriculture dépend non seulement de l’accès à la terre, des compétences et du financement, mais aussi des perspectives économiques globales de l’agriculture et de l’attractivité de la vie rurale</w:t>
      </w:r>
      <w:r>
        <w:rPr>
          <w:b/>
          <w:noProof/>
        </w:rPr>
        <w:t>.</w:t>
      </w:r>
      <w:r>
        <w:rPr>
          <w:noProof/>
        </w:rPr>
        <w:t xml:space="preserve"> De nombreux jeunes hésitent à rester ou à retourner dans l’agriculture et dans les zones rurales au motif que les possibilités de revenus, les services et la qualité de vie ne sont pas à la hauteur de ce qui se trouve en zones urbaines. La PAC joue un rôle essentiel pour garantir la viabilité économique et l’attractivité de l’agriculture et d’autres activités dans les zones rurales de l’Union, en complémentarité avec la politique de cohésion et d’autres politiques de l’UE. L’observatoire rural</w:t>
      </w:r>
      <w:r>
        <w:rPr>
          <w:rStyle w:val="FootnoteReference"/>
          <w:noProof/>
        </w:rPr>
        <w:footnoteReference w:id="40"/>
      </w:r>
      <w:r>
        <w:rPr>
          <w:noProof/>
        </w:rPr>
        <w:t xml:space="preserve"> fournit des données et des analyses actualisées sur les conditions , la résilience et la qualité de vie en zones rurales, contribuant ainsi à l’élaboration de politiques fondées sur des données probantes.</w:t>
      </w:r>
    </w:p>
    <w:p w14:paraId="1A2B192A" w14:textId="4C292A58" w:rsidR="003020B9" w:rsidRDefault="00D226DA" w:rsidP="001E787B">
      <w:pPr>
        <w:spacing w:before="100" w:beforeAutospacing="1" w:after="100" w:afterAutospacing="1"/>
        <w:rPr>
          <w:noProof/>
        </w:rPr>
      </w:pPr>
      <w:r>
        <w:rPr>
          <w:noProof/>
        </w:rPr>
        <w:t>En outre, dans la lignée du socle européen des droits sociaux, il est essentiel d’améliorer l’accès aux soins de santé, aux services de garde d’enfants, aux soins aux personnes âgées, aux transports, au logement, aux infrastructures locales, à l’éducation et à la formation, aux possibilités d’emploi (pour les jeunes et les membres de la famille des agriculteurs) et au soutien social, afin de les proposer sous des formes flexibles et accessibles, renforcées par des outils numériques et des réseaux communautaires, en vue de rendre l’agriculture compatible avec la vie familiale et de lutter contre l’isolement et le dépeuplement.</w:t>
      </w:r>
    </w:p>
    <w:p w14:paraId="2A701540" w14:textId="12E76858" w:rsidR="002E6DA9" w:rsidRDefault="002E6DA9" w:rsidP="001E787B">
      <w:pPr>
        <w:spacing w:before="100" w:beforeAutospacing="1" w:after="100" w:afterAutospacing="1"/>
        <w:rPr>
          <w:noProof/>
        </w:rPr>
      </w:pPr>
      <w:r>
        <w:rPr>
          <w:noProof/>
          <w:lang w:val="en-GB"/>
        </w:rPr>
        <mc:AlternateContent>
          <mc:Choice Requires="wps">
            <w:drawing>
              <wp:anchor distT="0" distB="0" distL="114300" distR="114300" simplePos="0" relativeHeight="251658247" behindDoc="1" locked="0" layoutInCell="1" allowOverlap="1" wp14:anchorId="43FFE25E" wp14:editId="2ED146F2">
                <wp:simplePos x="0" y="0"/>
                <wp:positionH relativeFrom="margin">
                  <wp:posOffset>180340</wp:posOffset>
                </wp:positionH>
                <wp:positionV relativeFrom="paragraph">
                  <wp:posOffset>165735</wp:posOffset>
                </wp:positionV>
                <wp:extent cx="5581403" cy="1282535"/>
                <wp:effectExtent l="0" t="0" r="19685" b="13335"/>
                <wp:wrapNone/>
                <wp:docPr id="737309409" name="Rectangle 2"/>
                <wp:cNvGraphicFramePr/>
                <a:graphic xmlns:a="http://schemas.openxmlformats.org/drawingml/2006/main">
                  <a:graphicData uri="http://schemas.microsoft.com/office/word/2010/wordprocessingShape">
                    <wps:wsp>
                      <wps:cNvSpPr/>
                      <wps:spPr>
                        <a:xfrm>
                          <a:off x="0" y="0"/>
                          <a:ext cx="5581403" cy="1282535"/>
                        </a:xfrm>
                        <a:prstGeom prst="rect">
                          <a:avLst/>
                        </a:prstGeom>
                        <a:solidFill>
                          <a:srgbClr val="BEC4FE"/>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pic="http://schemas.openxmlformats.org/drawingml/2006/picture" xmlns:a="http://schemas.openxmlformats.org/drawingml/2006/main">
            <w:pict>
              <v:rect id="Rectangle 2" style="position:absolute;margin-left:14.2pt;margin-top:13.05pt;width:439.5pt;height:101pt;z-index:-25165823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ec4fe"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" w14:anchorId="00854616">
                <w10:wrap anchorx="margin"/>
              </v:rect>
            </w:pict>
          </mc:Fallback>
        </mc:AlternateContent>
      </w:r>
    </w:p>
    <w:p w14:paraId="6786074D" w14:textId="35876655" w:rsidR="00952986" w:rsidRPr="00106CD6" w:rsidRDefault="00952986" w:rsidP="00DD0A87">
      <w:pPr>
        <w:spacing w:after="0"/>
        <w:ind w:left="720"/>
        <w:rPr>
          <w:noProof/>
          <w:sz w:val="20"/>
        </w:rPr>
      </w:pPr>
      <w:r>
        <w:rPr>
          <w:b/>
          <w:noProof/>
          <w:sz w:val="20"/>
        </w:rPr>
        <w:t>Exemples de services ruraux d’appui aux agriculteurs</w:t>
      </w:r>
    </w:p>
    <w:p w14:paraId="1BD2F4A9" w14:textId="0774477E" w:rsidR="00952986" w:rsidRPr="00106CD6" w:rsidRDefault="00952986" w:rsidP="002F39C3">
      <w:pPr>
        <w:numPr>
          <w:ilvl w:val="0"/>
          <w:numId w:val="30"/>
        </w:numPr>
        <w:tabs>
          <w:tab w:val="clear" w:pos="720"/>
          <w:tab w:val="num" w:pos="1080"/>
        </w:tabs>
        <w:spacing w:after="0"/>
        <w:ind w:left="1080"/>
        <w:rPr>
          <w:noProof/>
          <w:sz w:val="20"/>
        </w:rPr>
      </w:pPr>
      <w:r>
        <w:rPr>
          <w:b/>
          <w:noProof/>
          <w:sz w:val="20"/>
        </w:rPr>
        <w:t>Autriche – Coopératives rurales de garde d’enfants:</w:t>
      </w:r>
      <w:r>
        <w:rPr>
          <w:noProof/>
          <w:sz w:val="20"/>
        </w:rPr>
        <w:t xml:space="preserve"> initiatives de garde d’enfants de proximité qui permettent aux familles agricoles de concilier leurs responsabilités familiales et professionnelles.</w:t>
      </w:r>
    </w:p>
    <w:p w14:paraId="0700A927" w14:textId="6A1FE0D1" w:rsidR="00952986" w:rsidRPr="00106CD6" w:rsidRDefault="00952986" w:rsidP="002F39C3">
      <w:pPr>
        <w:numPr>
          <w:ilvl w:val="0"/>
          <w:numId w:val="30"/>
        </w:numPr>
        <w:tabs>
          <w:tab w:val="clear" w:pos="720"/>
          <w:tab w:val="num" w:pos="1080"/>
        </w:tabs>
        <w:spacing w:after="0"/>
        <w:ind w:left="1080"/>
        <w:rPr>
          <w:noProof/>
          <w:sz w:val="20"/>
        </w:rPr>
      </w:pPr>
      <w:r>
        <w:rPr>
          <w:b/>
          <w:noProof/>
          <w:sz w:val="20"/>
        </w:rPr>
        <w:t>Finlande – Unités mobiles de soins de santé et de services sociaux:</w:t>
      </w:r>
      <w:r>
        <w:rPr>
          <w:noProof/>
          <w:sz w:val="20"/>
        </w:rPr>
        <w:t xml:space="preserve"> apporter un soutien sanitaire et social essentiel directement dans les zones rurales reculées, en améliorant la qualité de vie et en réduisant la pression sur les ménages agricoles.</w:t>
      </w:r>
    </w:p>
    <w:p w14:paraId="5199E0A1" w14:textId="44943EF4" w:rsidR="00650570" w:rsidRPr="00D94D3A" w:rsidRDefault="00650570" w:rsidP="00952986">
      <w:pPr>
        <w:spacing w:before="100" w:beforeAutospacing="1" w:after="100" w:afterAutospacing="1"/>
        <w:rPr>
          <w:noProof/>
        </w:rPr>
      </w:pPr>
    </w:p>
    <w:p w14:paraId="53654100" w14:textId="28EBF984" w:rsidR="00106CD6" w:rsidRDefault="001E787B" w:rsidP="001E787B">
      <w:pPr>
        <w:spacing w:before="100" w:beforeAutospacing="1" w:after="100" w:afterAutospacing="1"/>
        <w:rPr>
          <w:noProof/>
        </w:rPr>
      </w:pPr>
      <w:r>
        <w:rPr>
          <w:noProof/>
        </w:rPr>
        <w:t xml:space="preserve">Le renforcement de la protection sociale et des services sociaux adaptés aux agriculteurs peut aussi être déterminant. La stabilité des revenus, la couverture sanitaire (y compris les soins de santé mentale et de longue durée), les congés parentaux et les soins, ainsi que des pensions adéquates, offrent aux nouveaux entrants la sécurité nécessaire pour prendre des risques et bâtir leur carrière dans l’agriculture. Des systèmes inclusifs qui soutiennent, connectent et rassemblent tous les agriculteurs, y compris ceux à temps partiel, les femmes et les groupes en situation de vulnérabilité, et qui répondent aux défis en matière de santé mentale dans les zones rurales, renforcent l’équité et la résilience dans l’ensemble des communautés rurales. </w:t>
      </w:r>
    </w:p>
    <w:p w14:paraId="4E513F86" w14:textId="4A281E0F" w:rsidR="001E787B" w:rsidRPr="00D94D3A" w:rsidRDefault="001E787B" w:rsidP="001E787B">
      <w:pPr>
        <w:spacing w:before="100" w:beforeAutospacing="1" w:after="100" w:afterAutospacing="1"/>
        <w:rPr>
          <w:noProof/>
        </w:rPr>
      </w:pPr>
      <w:r>
        <w:rPr>
          <w:b/>
          <w:noProof/>
        </w:rPr>
        <w:t>La diversification économique est tout aussi essentielle à la résilience</w:t>
      </w:r>
      <w:r>
        <w:rPr>
          <w:noProof/>
        </w:rPr>
        <w:t xml:space="preserve">. Les jeunes agriculteurs capables de combiner l’agriculture traditionnelle avec des pratiques respectueuses du climat, de nouvelles initiatives et chaînes de valeur dans le </w:t>
      </w:r>
      <w:r w:rsidR="00A41806">
        <w:rPr>
          <w:noProof/>
        </w:rPr>
        <w:t>domaine</w:t>
      </w:r>
      <w:r>
        <w:rPr>
          <w:noProof/>
        </w:rPr>
        <w:t xml:space="preserve"> de la bioéconomie, l’agritourisme, la production d’énergie renouvelable ou la numérisation gagnent en compétitivité et en viabilité à long terme. Les systèmes alimentaires locaux, tels que les circuits d’approvisionnement courts et l’agriculture à soutien collectif, améliorent la stabilité des revenus et resserrent les liens sociaux, tout en sensibilisant davantage les consommateurs aux denrées alimentaires présentes dans leur assiette. Les possibilités de financement pour les installations d’énergie renouvelable dans les exploitations peuvent en outre réduire les obstacles initiaux à l’investissement et se traduire par des réductions de coûts à long terme et des flux de revenus potentiels, renforçant à la fois la viabilité des exploitations et la résilience énergétique des zones rurales.</w:t>
      </w:r>
    </w:p>
    <w:p w14:paraId="1DFED7BD" w14:textId="712FE27C" w:rsidR="001E787B" w:rsidRDefault="001E787B" w:rsidP="001E787B">
      <w:pPr>
        <w:spacing w:before="100" w:beforeAutospacing="1" w:after="100" w:afterAutospacing="1"/>
        <w:rPr>
          <w:noProof/>
        </w:rPr>
      </w:pPr>
      <w:r>
        <w:rPr>
          <w:noProof/>
        </w:rPr>
        <w:t xml:space="preserve">L'image du métier reste cependant difficile à changer: l’agriculture est encore souvent considérée comme une profession pénible et dépassée. Pour attirer de nouvelles générations, il sera essentiel d'améliorer la perception de l'activité d'agriculteur en mettant en avant l’innovation, la durabilité et les aides disponibles. L’utilisation de nouveaux canaux de communication et des médias sociaux pourrait permettre de toucher et de mobiliser un public plus jeune, afin de leur présenter l’agriculture comme un parcours professionnel offrant de la flexibilité, une qualité de vie proche de la nature et une contribution significative à la société.  </w:t>
      </w:r>
    </w:p>
    <w:p w14:paraId="3B512E7D" w14:textId="62B427E2" w:rsidR="00081B18" w:rsidRDefault="00094D4F" w:rsidP="004A28DF">
      <w:pPr>
        <w:spacing w:before="100" w:beforeAutospacing="1" w:after="100" w:afterAutospacing="1"/>
        <w:rPr>
          <w:noProof/>
        </w:rPr>
      </w:pPr>
      <w:r>
        <w:rPr>
          <w:noProof/>
        </w:rPr>
        <w:t>Prises ensemble, ces mesures peuvent créer des zones rurales plus dynamiques, diversifiées et résilientes, où les jeunes souhaitent vivre, travailler et investir dans leur avenir. Il s’agit du fondement d’un renouvellement générationnel durable dans l’agriculture européenne.</w:t>
      </w:r>
    </w:p>
    <w:p w14:paraId="212472EA" w14:textId="583A907B" w:rsidR="0003214D" w:rsidRDefault="0003214D" w:rsidP="004A28DF">
      <w:pPr>
        <w:spacing w:before="100" w:beforeAutospacing="1" w:after="100" w:afterAutospacing="1"/>
        <w:rPr>
          <w:noProof/>
          <w:szCs w:val="24"/>
        </w:rPr>
      </w:pPr>
    </w:p>
    <w:p w14:paraId="76CC43D2" w14:textId="59C59706" w:rsidR="002E6DA9" w:rsidRDefault="00C54693" w:rsidP="004A28DF">
      <w:pPr>
        <w:spacing w:before="100" w:beforeAutospacing="1" w:after="100" w:afterAutospacing="1"/>
        <w:rPr>
          <w:noProof/>
          <w:szCs w:val="24"/>
        </w:rPr>
      </w:pPr>
      <w:r>
        <w:rPr>
          <w:noProof/>
          <w:lang w:val="en-GB"/>
        </w:rPr>
        <mc:AlternateContent>
          <mc:Choice Requires="wps">
            <w:drawing>
              <wp:anchor distT="0" distB="0" distL="114300" distR="114300" simplePos="0" relativeHeight="251658245" behindDoc="1" locked="0" layoutInCell="1" allowOverlap="1" wp14:anchorId="362C02FD" wp14:editId="331C610F">
                <wp:simplePos x="0" y="0"/>
                <wp:positionH relativeFrom="margin">
                  <wp:align>center</wp:align>
                </wp:positionH>
                <wp:positionV relativeFrom="paragraph">
                  <wp:posOffset>92710</wp:posOffset>
                </wp:positionV>
                <wp:extent cx="6185535" cy="2773680"/>
                <wp:effectExtent l="0" t="0" r="24765" b="26670"/>
                <wp:wrapNone/>
                <wp:docPr id="791696271" name="Rectangle: Rounded Corners 1"/>
                <wp:cNvGraphicFramePr/>
                <a:graphic xmlns:a="http://schemas.openxmlformats.org/drawingml/2006/main">
                  <a:graphicData uri="http://schemas.microsoft.com/office/word/2010/wordprocessingShape">
                    <wps:wsp>
                      <wps:cNvSpPr/>
                      <wps:spPr>
                        <a:xfrm>
                          <a:off x="0" y="0"/>
                          <a:ext cx="6185535" cy="2773680"/>
                        </a:xfrm>
                        <a:prstGeom prst="roundRect">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pic="http://schemas.openxmlformats.org/drawingml/2006/picture" xmlns:a="http://schemas.openxmlformats.org/drawingml/2006/main">
            <w:pict>
              <v:roundrect id="Rectangle: Rounded Corners 1" style="position:absolute;margin-left:0;margin-top:7.3pt;width:487.05pt;height:218.4pt;z-index:-25165823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f2ceed [664]"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" arcsize="10923f" w14:anchorId="177F8E7D">
                <v:stroke joinstyle="miter"/>
                <w10:wrap anchorx="margin"/>
              </v:roundrect>
            </w:pict>
          </mc:Fallback>
        </mc:AlternateContent>
      </w:r>
    </w:p>
    <w:p w14:paraId="122031B5" w14:textId="50844E60" w:rsidR="007C7E71" w:rsidRPr="00C26154" w:rsidRDefault="00B97EC1" w:rsidP="003020B9">
      <w:pPr>
        <w:spacing w:after="0"/>
        <w:rPr>
          <w:b/>
          <w:bCs/>
          <w:i/>
          <w:iCs/>
          <w:noProof/>
          <w:sz w:val="22"/>
          <w:szCs w:val="22"/>
        </w:rPr>
      </w:pPr>
      <w:r>
        <w:rPr>
          <w:b/>
          <w:i/>
          <w:noProof/>
          <w:sz w:val="22"/>
        </w:rPr>
        <w:t>Initiatives phares</w:t>
      </w:r>
    </w:p>
    <w:p w14:paraId="39C5CB3B" w14:textId="43577CDC" w:rsidR="00797595" w:rsidRPr="00CA1211" w:rsidRDefault="00797595" w:rsidP="003020B9">
      <w:pPr>
        <w:spacing w:after="0"/>
        <w:rPr>
          <w:noProof/>
          <w:szCs w:val="24"/>
        </w:rPr>
      </w:pPr>
    </w:p>
    <w:p w14:paraId="01A42746" w14:textId="5EABED91" w:rsidR="00A37590" w:rsidRPr="003020B9" w:rsidRDefault="004C6F35" w:rsidP="002F39C3">
      <w:pPr>
        <w:pStyle w:val="ListParagraph"/>
        <w:numPr>
          <w:ilvl w:val="0"/>
          <w:numId w:val="23"/>
        </w:numPr>
        <w:spacing w:after="0"/>
        <w:ind w:left="426"/>
        <w:rPr>
          <w:i/>
          <w:iCs/>
          <w:noProof/>
          <w:sz w:val="22"/>
          <w:szCs w:val="22"/>
        </w:rPr>
      </w:pPr>
      <w:r>
        <w:rPr>
          <w:b/>
          <w:i/>
          <w:noProof/>
          <w:sz w:val="22"/>
        </w:rPr>
        <w:t>Dans le cadre de la nouvelle proposition relative à la PAC, les services de remplacement agricole</w:t>
      </w:r>
      <w:r>
        <w:rPr>
          <w:i/>
          <w:noProof/>
          <w:sz w:val="22"/>
        </w:rPr>
        <w:t xml:space="preserve"> introduiraient un soutien destiné à aider les agriculteurs à prendre des congés en cas de maladie, de blessure, de responsabilités parentales, de soins (y compris pour les agriculteurs plus âgés), de vacances ou de formation. Le financement devrait couvrir la mise en place de services d'assistance et de salaires pour les travailleurs remplaçants en cas d’absence de courte durée. </w:t>
      </w:r>
    </w:p>
    <w:p w14:paraId="4774F006" w14:textId="171E8023" w:rsidR="00EB08D0" w:rsidRDefault="00A37590" w:rsidP="002F39C3">
      <w:pPr>
        <w:pStyle w:val="ListParagraph"/>
        <w:numPr>
          <w:ilvl w:val="0"/>
          <w:numId w:val="23"/>
        </w:numPr>
        <w:spacing w:after="0"/>
        <w:ind w:left="426"/>
        <w:rPr>
          <w:i/>
          <w:iCs/>
          <w:noProof/>
          <w:sz w:val="22"/>
          <w:szCs w:val="22"/>
        </w:rPr>
      </w:pPr>
      <w:r>
        <w:rPr>
          <w:b/>
          <w:i/>
          <w:noProof/>
          <w:sz w:val="22"/>
        </w:rPr>
        <w:t xml:space="preserve">Ambassadeurs de la jeunesse rurale. </w:t>
      </w:r>
      <w:r>
        <w:rPr>
          <w:i/>
          <w:noProof/>
          <w:sz w:val="22"/>
        </w:rPr>
        <w:t>La Commission européenne mettra en place un programme d’ambassadeurs de la jeunesse rurale. Des jeunes seront sélectionnés et accompagnés pour plaider en faveur de l’agriculture et de la vie rurale et contribuer activement aux discussions stratégiques. Grâce à la sensibilisation, à la mise en récit et à la mobilisation des pairs, ces ambassadeurs contribueront à remodeler la perception du public, à susciter un plus grand intérêt chez les jeunes et à améliorer l’image globale de l’agriculture et des zones rurales dans toute l’Europe.</w:t>
      </w:r>
    </w:p>
    <w:p w14:paraId="71B8229F" w14:textId="77777777" w:rsidR="00C668CD" w:rsidRPr="00C54693" w:rsidRDefault="00C668CD" w:rsidP="00C54693">
      <w:pPr>
        <w:spacing w:before="100" w:beforeAutospacing="1" w:after="0"/>
        <w:rPr>
          <w:i/>
          <w:iCs/>
          <w:noProof/>
          <w:sz w:val="22"/>
          <w:szCs w:val="22"/>
        </w:rPr>
      </w:pPr>
    </w:p>
    <w:tbl>
      <w:tblPr>
        <w:tblStyle w:val="TableGrid"/>
        <w:tblW w:w="9356" w:type="dxa"/>
        <w:tblInd w:w="-150" w:type="dxa"/>
        <w:tblLayout w:type="fixed"/>
        <w:tblLook w:val="04A0" w:firstRow="1" w:lastRow="0" w:firstColumn="1" w:lastColumn="0" w:noHBand="0" w:noVBand="1"/>
      </w:tblPr>
      <w:tblGrid>
        <w:gridCol w:w="1560"/>
        <w:gridCol w:w="6379"/>
        <w:gridCol w:w="1417"/>
      </w:tblGrid>
      <w:tr w:rsidR="0009431E" w:rsidRPr="00AB4003" w14:paraId="60955941" w14:textId="77777777" w:rsidTr="00356507">
        <w:trPr>
          <w:trHeight w:val="483"/>
        </w:trPr>
        <w:tc>
          <w:tcPr>
            <w:tcW w:w="7939" w:type="dxa"/>
            <w:gridSpan w:val="2"/>
            <w:shd w:val="clear" w:color="auto" w:fill="F2CEED" w:themeFill="accent5" w:themeFillTint="33"/>
          </w:tcPr>
          <w:p w14:paraId="289B94C3" w14:textId="77777777" w:rsidR="0009431E" w:rsidRPr="00017A27" w:rsidRDefault="0009431E" w:rsidP="00356507">
            <w:pPr>
              <w:jc w:val="center"/>
              <w:rPr>
                <w:b/>
                <w:bCs/>
                <w:noProof/>
                <w:sz w:val="20"/>
              </w:rPr>
            </w:pPr>
            <w:r>
              <w:rPr>
                <w:b/>
                <w:noProof/>
                <w:sz w:val="20"/>
              </w:rPr>
              <w:t>Actions proposées dans le cadre de la PAC actuelle et dans la proposition relative à la PAC 2028-2034</w:t>
            </w:r>
          </w:p>
        </w:tc>
        <w:tc>
          <w:tcPr>
            <w:tcW w:w="1417" w:type="dxa"/>
            <w:shd w:val="clear" w:color="auto" w:fill="F2CEED" w:themeFill="accent5" w:themeFillTint="33"/>
          </w:tcPr>
          <w:p w14:paraId="73A6C9B7" w14:textId="77777777" w:rsidR="0009431E" w:rsidRPr="00017A27" w:rsidRDefault="0009431E" w:rsidP="00356507">
            <w:pPr>
              <w:jc w:val="center"/>
              <w:rPr>
                <w:b/>
                <w:bCs/>
                <w:noProof/>
                <w:sz w:val="20"/>
              </w:rPr>
            </w:pPr>
          </w:p>
        </w:tc>
      </w:tr>
      <w:tr w:rsidR="0009431E" w:rsidRPr="00AB4003" w14:paraId="22ED957B" w14:textId="77777777" w:rsidTr="00094D4F">
        <w:trPr>
          <w:trHeight w:val="980"/>
        </w:trPr>
        <w:tc>
          <w:tcPr>
            <w:tcW w:w="1560" w:type="dxa"/>
            <w:shd w:val="clear" w:color="auto" w:fill="FFFFFF" w:themeFill="background1"/>
          </w:tcPr>
          <w:p w14:paraId="5C8E027B" w14:textId="77777777" w:rsidR="0009431E" w:rsidRPr="00AB4003" w:rsidRDefault="0009431E" w:rsidP="00356507">
            <w:pPr>
              <w:rPr>
                <w:b/>
                <w:bCs/>
                <w:noProof/>
                <w:sz w:val="20"/>
              </w:rPr>
            </w:pPr>
            <w:r>
              <w:rPr>
                <w:b/>
                <w:noProof/>
                <w:sz w:val="20"/>
              </w:rPr>
              <w:t>Investissements dans la transition énergétique et climatique</w:t>
            </w:r>
          </w:p>
        </w:tc>
        <w:tc>
          <w:tcPr>
            <w:tcW w:w="6379" w:type="dxa"/>
            <w:shd w:val="clear" w:color="auto" w:fill="FFFFFF" w:themeFill="background1"/>
          </w:tcPr>
          <w:p w14:paraId="4F0209CA" w14:textId="77777777" w:rsidR="0009431E" w:rsidRPr="004578E1" w:rsidRDefault="0009431E" w:rsidP="00356507">
            <w:pPr>
              <w:rPr>
                <w:noProof/>
                <w:sz w:val="20"/>
              </w:rPr>
            </w:pPr>
            <w:r>
              <w:rPr>
                <w:noProof/>
                <w:sz w:val="20"/>
              </w:rPr>
              <w:t>Soutenir les projets d’énergie renouvelable dans les exploitations et les investissements en matière d’adaptation au changement climatique afin de renforcer la résilience des jeunes agriculteurs face aux risques climatiques.</w:t>
            </w:r>
          </w:p>
        </w:tc>
        <w:tc>
          <w:tcPr>
            <w:tcW w:w="1417" w:type="dxa"/>
            <w:shd w:val="clear" w:color="auto" w:fill="FFFFFF" w:themeFill="background1"/>
          </w:tcPr>
          <w:p w14:paraId="1C3E73CF" w14:textId="77777777" w:rsidR="0009431E" w:rsidRPr="004578E1" w:rsidRDefault="0009431E" w:rsidP="00356507">
            <w:pPr>
              <w:rPr>
                <w:noProof/>
                <w:sz w:val="20"/>
              </w:rPr>
            </w:pPr>
            <w:r>
              <w:rPr>
                <w:noProof/>
                <w:sz w:val="20"/>
              </w:rPr>
              <w:t>Plans PAC actuels et nouveaux</w:t>
            </w:r>
          </w:p>
        </w:tc>
      </w:tr>
      <w:tr w:rsidR="0009431E" w:rsidRPr="00AB4003" w14:paraId="3F8CF650" w14:textId="77777777" w:rsidTr="00094D4F">
        <w:trPr>
          <w:trHeight w:val="1503"/>
        </w:trPr>
        <w:tc>
          <w:tcPr>
            <w:tcW w:w="1560" w:type="dxa"/>
            <w:shd w:val="clear" w:color="auto" w:fill="FFFFFF" w:themeFill="background1"/>
          </w:tcPr>
          <w:p w14:paraId="0F8C5BE4" w14:textId="090F7A4F" w:rsidR="0009431E" w:rsidRPr="730E4BBC" w:rsidRDefault="002F39FB" w:rsidP="00356507">
            <w:pPr>
              <w:rPr>
                <w:b/>
                <w:bCs/>
                <w:noProof/>
                <w:sz w:val="20"/>
              </w:rPr>
            </w:pPr>
            <w:r>
              <w:rPr>
                <w:b/>
                <w:noProof/>
                <w:sz w:val="20"/>
              </w:rPr>
              <w:t>Stratégies rurales, infrastructures et diversification des entreprises</w:t>
            </w:r>
          </w:p>
        </w:tc>
        <w:tc>
          <w:tcPr>
            <w:tcW w:w="6379" w:type="dxa"/>
            <w:shd w:val="clear" w:color="auto" w:fill="FFFFFF" w:themeFill="background1"/>
          </w:tcPr>
          <w:p w14:paraId="16ADE2E4" w14:textId="77777777" w:rsidR="0009431E" w:rsidRPr="6F8ADA65" w:rsidRDefault="0009431E" w:rsidP="00356507">
            <w:pPr>
              <w:rPr>
                <w:noProof/>
                <w:sz w:val="20"/>
              </w:rPr>
            </w:pPr>
            <w:r>
              <w:rPr>
                <w:noProof/>
                <w:sz w:val="20"/>
              </w:rPr>
              <w:t xml:space="preserve">Promouvoir une approche intégrée des zones rurales dans les plans de partenariat national et régional et la programmation des instruments de développement territorial intégré, en finançant des infrastructures et des services ruraux accessibles, en particulier dans les zones reculées telles que les régions ultrapériphériques de l’UE, y compris en matière de connectivité et de transport, afin d’améliorer la qualité de vie rurale. </w:t>
            </w:r>
          </w:p>
        </w:tc>
        <w:tc>
          <w:tcPr>
            <w:tcW w:w="1417" w:type="dxa"/>
            <w:shd w:val="clear" w:color="auto" w:fill="FFFFFF" w:themeFill="background1"/>
          </w:tcPr>
          <w:p w14:paraId="27E60CFC" w14:textId="77777777" w:rsidR="0009431E" w:rsidRPr="00AB4003" w:rsidRDefault="0009431E" w:rsidP="00356507">
            <w:pPr>
              <w:rPr>
                <w:noProof/>
                <w:sz w:val="20"/>
              </w:rPr>
            </w:pPr>
            <w:r>
              <w:rPr>
                <w:noProof/>
                <w:sz w:val="20"/>
              </w:rPr>
              <w:t>Aides actuelles aux investissements dans les infrastructures, nouvelle PAC, plans PNR – à partir de 2028</w:t>
            </w:r>
          </w:p>
        </w:tc>
      </w:tr>
      <w:tr w:rsidR="0009431E" w:rsidRPr="00AB4003" w14:paraId="21A955FA" w14:textId="77777777" w:rsidTr="00094D4F">
        <w:trPr>
          <w:trHeight w:val="757"/>
        </w:trPr>
        <w:tc>
          <w:tcPr>
            <w:tcW w:w="1560" w:type="dxa"/>
            <w:shd w:val="clear" w:color="auto" w:fill="FFFFFF" w:themeFill="background1"/>
          </w:tcPr>
          <w:p w14:paraId="45ECD27E" w14:textId="77777777" w:rsidR="0009431E" w:rsidRPr="00AB4003" w:rsidRDefault="0009431E" w:rsidP="00356507">
            <w:pPr>
              <w:rPr>
                <w:b/>
                <w:bCs/>
                <w:noProof/>
                <w:sz w:val="20"/>
              </w:rPr>
            </w:pPr>
            <w:r>
              <w:rPr>
                <w:b/>
                <w:noProof/>
                <w:sz w:val="20"/>
              </w:rPr>
              <w:t xml:space="preserve">Soutien en faveur du développement local mené par des acteurs locaux (DLAL) au titre de LEADER </w:t>
            </w:r>
          </w:p>
        </w:tc>
        <w:tc>
          <w:tcPr>
            <w:tcW w:w="6379" w:type="dxa"/>
            <w:shd w:val="clear" w:color="auto" w:fill="FFFFFF" w:themeFill="background1"/>
          </w:tcPr>
          <w:p w14:paraId="29540C95" w14:textId="77777777" w:rsidR="0009431E" w:rsidRPr="00AB4003" w:rsidRDefault="0009431E" w:rsidP="00356507">
            <w:pPr>
              <w:spacing w:line="256" w:lineRule="auto"/>
              <w:rPr>
                <w:noProof/>
                <w:sz w:val="20"/>
              </w:rPr>
            </w:pPr>
            <w:r>
              <w:rPr>
                <w:noProof/>
                <w:sz w:val="20"/>
              </w:rPr>
              <w:t xml:space="preserve">Soutenir le développement rural local et la mise en réseau au titre de l’initiative LEADER/Développement local participatif (DLAL), en promouvant la participation des jeunes et des femmes et en réduisant l’isolement rural. </w:t>
            </w:r>
          </w:p>
        </w:tc>
        <w:tc>
          <w:tcPr>
            <w:tcW w:w="1417" w:type="dxa"/>
            <w:shd w:val="clear" w:color="auto" w:fill="FFFFFF" w:themeFill="background1"/>
          </w:tcPr>
          <w:p w14:paraId="18737DAF" w14:textId="77777777" w:rsidR="0009431E" w:rsidRPr="00AB4003" w:rsidRDefault="0009431E" w:rsidP="00356507">
            <w:pPr>
              <w:spacing w:line="256" w:lineRule="auto"/>
              <w:rPr>
                <w:noProof/>
                <w:sz w:val="20"/>
              </w:rPr>
            </w:pPr>
            <w:r>
              <w:rPr>
                <w:noProof/>
                <w:sz w:val="20"/>
              </w:rPr>
              <w:t>PAC actuelle et fonds PNR</w:t>
            </w:r>
          </w:p>
        </w:tc>
      </w:tr>
      <w:tr w:rsidR="0009431E" w:rsidRPr="00AB4003" w14:paraId="4F20C1A7" w14:textId="77777777" w:rsidTr="00356507">
        <w:trPr>
          <w:trHeight w:val="496"/>
        </w:trPr>
        <w:tc>
          <w:tcPr>
            <w:tcW w:w="7939" w:type="dxa"/>
            <w:gridSpan w:val="2"/>
            <w:shd w:val="clear" w:color="auto" w:fill="F2CEED" w:themeFill="accent5" w:themeFillTint="33"/>
          </w:tcPr>
          <w:p w14:paraId="78542285" w14:textId="77777777" w:rsidR="0009431E" w:rsidRPr="00AB4003" w:rsidRDefault="0009431E" w:rsidP="00356507">
            <w:pPr>
              <w:jc w:val="center"/>
              <w:rPr>
                <w:noProof/>
                <w:sz w:val="20"/>
              </w:rPr>
            </w:pPr>
            <w:r>
              <w:rPr>
                <w:b/>
                <w:noProof/>
                <w:sz w:val="20"/>
              </w:rPr>
              <w:t>Actions proposées dans le cadre d’autres politiques de l’UE</w:t>
            </w:r>
          </w:p>
        </w:tc>
        <w:tc>
          <w:tcPr>
            <w:tcW w:w="1417" w:type="dxa"/>
            <w:shd w:val="clear" w:color="auto" w:fill="F2CEED" w:themeFill="accent5" w:themeFillTint="33"/>
          </w:tcPr>
          <w:p w14:paraId="4EBD4C31" w14:textId="77777777" w:rsidR="0009431E" w:rsidRPr="00AB4003" w:rsidRDefault="0009431E" w:rsidP="00356507">
            <w:pPr>
              <w:jc w:val="center"/>
              <w:rPr>
                <w:b/>
                <w:bCs/>
                <w:noProof/>
                <w:sz w:val="20"/>
              </w:rPr>
            </w:pPr>
          </w:p>
        </w:tc>
      </w:tr>
      <w:tr w:rsidR="0009431E" w:rsidRPr="00AB4003" w14:paraId="5F4CF4CD" w14:textId="77777777" w:rsidTr="00094D4F">
        <w:trPr>
          <w:trHeight w:val="1216"/>
        </w:trPr>
        <w:tc>
          <w:tcPr>
            <w:tcW w:w="1560" w:type="dxa"/>
            <w:shd w:val="clear" w:color="auto" w:fill="FFFFFF" w:themeFill="background1"/>
          </w:tcPr>
          <w:p w14:paraId="36B1F2F1" w14:textId="77777777" w:rsidR="0009431E" w:rsidRPr="00645CF0" w:rsidRDefault="0009431E" w:rsidP="00356507">
            <w:pPr>
              <w:rPr>
                <w:b/>
                <w:bCs/>
                <w:noProof/>
                <w:sz w:val="20"/>
              </w:rPr>
            </w:pPr>
            <w:r>
              <w:rPr>
                <w:b/>
                <w:noProof/>
                <w:sz w:val="20"/>
              </w:rPr>
              <w:t>Action coordonnée en faveur des zones rurales au niveau de l’UE</w:t>
            </w:r>
          </w:p>
        </w:tc>
        <w:tc>
          <w:tcPr>
            <w:tcW w:w="6379" w:type="dxa"/>
            <w:shd w:val="clear" w:color="auto" w:fill="FFFFFF" w:themeFill="background1"/>
          </w:tcPr>
          <w:p w14:paraId="63C1E822" w14:textId="77777777" w:rsidR="0009431E" w:rsidRPr="00E4465B" w:rsidRDefault="0009431E" w:rsidP="00356507">
            <w:pPr>
              <w:rPr>
                <w:noProof/>
                <w:sz w:val="20"/>
              </w:rPr>
            </w:pPr>
            <w:r>
              <w:rPr>
                <w:noProof/>
                <w:sz w:val="20"/>
              </w:rPr>
              <w:t>Promouvoir des actions favorisant l’attractivité des zones rurales dans plusieurs domaines d’action, y compris l’éducation et la formation, les communautés énergétiques, la connectivité, la bioéconomie et la participation des jeunes, au moyen du plan d’action rural actualisé de l’UE.</w:t>
            </w:r>
          </w:p>
          <w:p w14:paraId="20F33F5D" w14:textId="77777777" w:rsidR="0009431E" w:rsidRPr="00A43126" w:rsidRDefault="0009431E" w:rsidP="00356507">
            <w:pPr>
              <w:rPr>
                <w:noProof/>
                <w:sz w:val="20"/>
              </w:rPr>
            </w:pPr>
            <w:r>
              <w:rPr>
                <w:noProof/>
                <w:sz w:val="20"/>
              </w:rPr>
              <w:t>Redoubler d’efforts pour amplifier la voix des communautés rurales, favoriser la mise en réseau et coordonner les actions en faveur des zones rurales dans le cadre du pacte rural en 2026 et 2027.</w:t>
            </w:r>
          </w:p>
        </w:tc>
        <w:tc>
          <w:tcPr>
            <w:tcW w:w="1417" w:type="dxa"/>
            <w:shd w:val="clear" w:color="auto" w:fill="FFFFFF" w:themeFill="background1"/>
          </w:tcPr>
          <w:p w14:paraId="2ED2928D" w14:textId="77777777" w:rsidR="0009431E" w:rsidRDefault="0009431E" w:rsidP="00356507">
            <w:pPr>
              <w:rPr>
                <w:noProof/>
                <w:sz w:val="20"/>
              </w:rPr>
            </w:pPr>
            <w:r>
              <w:rPr>
                <w:noProof/>
                <w:sz w:val="20"/>
              </w:rPr>
              <w:t>T1 2026</w:t>
            </w:r>
          </w:p>
        </w:tc>
      </w:tr>
      <w:tr w:rsidR="0009431E" w:rsidRPr="00AB4003" w14:paraId="5A70B3A7" w14:textId="77777777" w:rsidTr="00094D4F">
        <w:trPr>
          <w:trHeight w:val="980"/>
        </w:trPr>
        <w:tc>
          <w:tcPr>
            <w:tcW w:w="1560" w:type="dxa"/>
            <w:shd w:val="clear" w:color="auto" w:fill="FFFFFF" w:themeFill="background1"/>
          </w:tcPr>
          <w:p w14:paraId="4992AE45" w14:textId="77777777" w:rsidR="0009431E" w:rsidRPr="007933AD" w:rsidRDefault="0009431E" w:rsidP="00356507">
            <w:pPr>
              <w:rPr>
                <w:b/>
                <w:bCs/>
                <w:noProof/>
                <w:sz w:val="20"/>
              </w:rPr>
            </w:pPr>
            <w:r>
              <w:rPr>
                <w:b/>
                <w:noProof/>
                <w:sz w:val="20"/>
              </w:rPr>
              <w:t>Promouvoir l’agriculture sociale</w:t>
            </w:r>
            <w:r>
              <w:rPr>
                <w:rStyle w:val="FootnoteReference"/>
                <w:b/>
                <w:bCs/>
                <w:noProof/>
                <w:sz w:val="20"/>
              </w:rPr>
              <w:footnoteReference w:id="41"/>
            </w:r>
            <w:r>
              <w:rPr>
                <w:b/>
                <w:noProof/>
                <w:sz w:val="20"/>
              </w:rPr>
              <w:t xml:space="preserve">  </w:t>
            </w:r>
          </w:p>
        </w:tc>
        <w:tc>
          <w:tcPr>
            <w:tcW w:w="6379" w:type="dxa"/>
            <w:shd w:val="clear" w:color="auto" w:fill="FFFFFF" w:themeFill="background1"/>
          </w:tcPr>
          <w:p w14:paraId="1B34651C" w14:textId="77777777" w:rsidR="0009431E" w:rsidRPr="007933AD" w:rsidRDefault="0009431E" w:rsidP="00356507">
            <w:pPr>
              <w:rPr>
                <w:noProof/>
                <w:sz w:val="20"/>
              </w:rPr>
            </w:pPr>
            <w:r>
              <w:rPr>
                <w:noProof/>
                <w:sz w:val="20"/>
              </w:rPr>
              <w:t>Encourager le bénévolat dans les fermes à vocation sociale et de soin en faisant appel au corps européen de solidarité, tout en aidant les États membres à élaborer des initiatives en faveur des jeunes agriculteurs fournissant des services sociaux et de soins accessibles dans les zones rurales.</w:t>
            </w:r>
          </w:p>
        </w:tc>
        <w:tc>
          <w:tcPr>
            <w:tcW w:w="1417" w:type="dxa"/>
            <w:shd w:val="clear" w:color="auto" w:fill="FFFFFF" w:themeFill="background1"/>
          </w:tcPr>
          <w:p w14:paraId="4417A70F" w14:textId="77777777" w:rsidR="0009431E" w:rsidRPr="007933AD" w:rsidRDefault="0009431E" w:rsidP="00356507">
            <w:pPr>
              <w:rPr>
                <w:noProof/>
                <w:sz w:val="20"/>
              </w:rPr>
            </w:pPr>
            <w:r>
              <w:rPr>
                <w:noProof/>
                <w:sz w:val="20"/>
              </w:rPr>
              <w:t>T4 2026</w:t>
            </w:r>
          </w:p>
        </w:tc>
      </w:tr>
      <w:tr w:rsidR="0009431E" w:rsidRPr="00AB4003" w14:paraId="34239132" w14:textId="77777777" w:rsidTr="00094D4F">
        <w:trPr>
          <w:trHeight w:val="980"/>
        </w:trPr>
        <w:tc>
          <w:tcPr>
            <w:tcW w:w="1560" w:type="dxa"/>
            <w:shd w:val="clear" w:color="auto" w:fill="FFFFFF" w:themeFill="background1"/>
          </w:tcPr>
          <w:p w14:paraId="30A8F944" w14:textId="792342AC" w:rsidR="0009431E" w:rsidRPr="00AC17FB" w:rsidRDefault="0009431E" w:rsidP="00356507">
            <w:pPr>
              <w:rPr>
                <w:b/>
                <w:bCs/>
                <w:noProof/>
                <w:sz w:val="20"/>
              </w:rPr>
            </w:pPr>
            <w:bookmarkStart w:id="5" w:name="_Hlk211519254"/>
            <w:r>
              <w:rPr>
                <w:b/>
                <w:noProof/>
                <w:sz w:val="20"/>
              </w:rPr>
              <w:t>Agrostockage de carbone, marchés du carbone et résilience</w:t>
            </w:r>
          </w:p>
        </w:tc>
        <w:tc>
          <w:tcPr>
            <w:tcW w:w="6379" w:type="dxa"/>
            <w:shd w:val="clear" w:color="auto" w:fill="FFFFFF" w:themeFill="background1"/>
          </w:tcPr>
          <w:p w14:paraId="1C7EC39E" w14:textId="7E079EE5" w:rsidR="00CB2242" w:rsidRPr="00CB2242" w:rsidRDefault="00CB2242" w:rsidP="00CB2242">
            <w:pPr>
              <w:rPr>
                <w:noProof/>
                <w:sz w:val="20"/>
              </w:rPr>
            </w:pPr>
            <w:r>
              <w:rPr>
                <w:noProof/>
                <w:sz w:val="20"/>
              </w:rPr>
              <w:t>Le règlement de l’UE sur les absorptions de carbone et la certification en matière de stockage agricole de carbone (CRCF) offre la possibilité de relier sur une base volontaire les agriculteurs, les sylviculteurs et les gestionnaires fonciers aux marchés du carbone, en leur fournissant un flux de revenus supplémentaire, renforçant ainsi leur compétitivité et la résilience de leurs exploitations.</w:t>
            </w:r>
          </w:p>
          <w:p w14:paraId="5D6F793F" w14:textId="6099D0EB" w:rsidR="0009431E" w:rsidRPr="007A6868" w:rsidRDefault="0009431E" w:rsidP="00356507">
            <w:pPr>
              <w:rPr>
                <w:noProof/>
                <w:sz w:val="20"/>
              </w:rPr>
            </w:pPr>
          </w:p>
        </w:tc>
        <w:tc>
          <w:tcPr>
            <w:tcW w:w="1417" w:type="dxa"/>
            <w:shd w:val="clear" w:color="auto" w:fill="FFFFFF" w:themeFill="background1"/>
          </w:tcPr>
          <w:p w14:paraId="188B5409" w14:textId="77777777" w:rsidR="0009431E" w:rsidRDefault="0009431E" w:rsidP="00356507">
            <w:pPr>
              <w:rPr>
                <w:noProof/>
                <w:sz w:val="20"/>
              </w:rPr>
            </w:pPr>
            <w:r>
              <w:rPr>
                <w:noProof/>
                <w:sz w:val="20"/>
              </w:rPr>
              <w:t>À partir du T4 2025</w:t>
            </w:r>
          </w:p>
        </w:tc>
      </w:tr>
      <w:bookmarkEnd w:id="5"/>
      <w:tr w:rsidR="0009431E" w:rsidRPr="00AB4003" w14:paraId="792B288B" w14:textId="77777777" w:rsidTr="00356507">
        <w:trPr>
          <w:trHeight w:val="496"/>
        </w:trPr>
        <w:tc>
          <w:tcPr>
            <w:tcW w:w="7939" w:type="dxa"/>
            <w:gridSpan w:val="2"/>
            <w:shd w:val="clear" w:color="auto" w:fill="F2CEED" w:themeFill="accent5" w:themeFillTint="33"/>
          </w:tcPr>
          <w:p w14:paraId="53860048" w14:textId="77777777" w:rsidR="0009431E" w:rsidRPr="00AB4003" w:rsidRDefault="0009431E" w:rsidP="00356507">
            <w:pPr>
              <w:jc w:val="center"/>
              <w:rPr>
                <w:noProof/>
                <w:sz w:val="20"/>
              </w:rPr>
            </w:pPr>
            <w:r>
              <w:rPr>
                <w:b/>
                <w:noProof/>
                <w:sz w:val="20"/>
              </w:rPr>
              <w:t>Actions volontaires au niveau des États membres</w:t>
            </w:r>
          </w:p>
        </w:tc>
        <w:tc>
          <w:tcPr>
            <w:tcW w:w="1417" w:type="dxa"/>
            <w:shd w:val="clear" w:color="auto" w:fill="F2CEED" w:themeFill="accent5" w:themeFillTint="33"/>
          </w:tcPr>
          <w:p w14:paraId="56C5B12E" w14:textId="77777777" w:rsidR="0009431E" w:rsidRPr="00AB4003" w:rsidRDefault="0009431E" w:rsidP="00356507">
            <w:pPr>
              <w:jc w:val="center"/>
              <w:rPr>
                <w:b/>
                <w:bCs/>
                <w:noProof/>
                <w:sz w:val="20"/>
              </w:rPr>
            </w:pPr>
            <w:r>
              <w:rPr>
                <w:b/>
                <w:noProof/>
                <w:sz w:val="20"/>
              </w:rPr>
              <w:t>Volontaire</w:t>
            </w:r>
          </w:p>
        </w:tc>
      </w:tr>
      <w:tr w:rsidR="0009431E" w:rsidRPr="00AB4003" w14:paraId="41AA7581" w14:textId="77777777" w:rsidTr="00094D4F">
        <w:trPr>
          <w:trHeight w:val="968"/>
        </w:trPr>
        <w:tc>
          <w:tcPr>
            <w:tcW w:w="1560" w:type="dxa"/>
            <w:shd w:val="clear" w:color="auto" w:fill="FFFFFF" w:themeFill="background1"/>
          </w:tcPr>
          <w:p w14:paraId="07BF5FD9" w14:textId="77777777" w:rsidR="0009431E" w:rsidRPr="00AB4003" w:rsidRDefault="0009431E" w:rsidP="00356507">
            <w:pPr>
              <w:rPr>
                <w:b/>
                <w:bCs/>
                <w:noProof/>
                <w:sz w:val="20"/>
              </w:rPr>
            </w:pPr>
            <w:r>
              <w:rPr>
                <w:b/>
                <w:noProof/>
                <w:sz w:val="20"/>
              </w:rPr>
              <w:t>Valeur ajoutée locale dans les systèmes alimentaires</w:t>
            </w:r>
          </w:p>
        </w:tc>
        <w:tc>
          <w:tcPr>
            <w:tcW w:w="6379" w:type="dxa"/>
            <w:shd w:val="clear" w:color="auto" w:fill="FFFFFF" w:themeFill="background1"/>
          </w:tcPr>
          <w:p w14:paraId="53CCCB57" w14:textId="77777777" w:rsidR="0009431E" w:rsidRPr="00AB4003" w:rsidRDefault="0009431E" w:rsidP="00356507">
            <w:pPr>
              <w:rPr>
                <w:noProof/>
                <w:sz w:val="20"/>
              </w:rPr>
            </w:pPr>
            <w:r>
              <w:rPr>
                <w:noProof/>
                <w:sz w:val="20"/>
              </w:rPr>
              <w:t xml:space="preserve">Soutenir les stratégies alimentaires et les stratégies d’innovation liées à l’alimentation aux niveaux local et régional, promouvoir les ventes directes par l’intermédiaire des marchés locaux et agricoles et améliorer les liens entre les zones urbaines et rurales, en aidant les jeunes et les nouveaux agriculteurs à accéder aux possibilités et en encourageant l’agriculture, la transformation et le commerce de détail de proximité. </w:t>
            </w:r>
          </w:p>
        </w:tc>
        <w:tc>
          <w:tcPr>
            <w:tcW w:w="1417" w:type="dxa"/>
            <w:shd w:val="clear" w:color="auto" w:fill="FFFFFF" w:themeFill="background1"/>
          </w:tcPr>
          <w:p w14:paraId="72A1BBB1" w14:textId="77777777" w:rsidR="0009431E" w:rsidRPr="00AB4003" w:rsidRDefault="0009431E" w:rsidP="00356507">
            <w:pPr>
              <w:rPr>
                <w:noProof/>
                <w:sz w:val="20"/>
              </w:rPr>
            </w:pPr>
            <w:r>
              <w:rPr>
                <w:noProof/>
                <w:sz w:val="20"/>
              </w:rPr>
              <w:t>À partir du T4 2025</w:t>
            </w:r>
          </w:p>
        </w:tc>
      </w:tr>
    </w:tbl>
    <w:p w14:paraId="7C3BD63C" w14:textId="77777777" w:rsidR="0009431E" w:rsidRPr="005E1EFA" w:rsidRDefault="0009431E" w:rsidP="005E1EFA">
      <w:pPr>
        <w:spacing w:before="100" w:beforeAutospacing="1" w:after="0"/>
        <w:rPr>
          <w:i/>
          <w:iCs/>
          <w:noProof/>
          <w:sz w:val="22"/>
          <w:szCs w:val="22"/>
        </w:rPr>
      </w:pPr>
    </w:p>
    <w:p w14:paraId="000DDCB0" w14:textId="7511DFE3" w:rsidR="00A37F51" w:rsidRPr="00827D8B" w:rsidRDefault="00AE69A7" w:rsidP="00A37F51">
      <w:pPr>
        <w:spacing w:before="100" w:beforeAutospacing="1" w:after="0"/>
        <w:rPr>
          <w:b/>
          <w:bCs/>
          <w:noProof/>
        </w:rPr>
      </w:pPr>
      <w:r>
        <w:rPr>
          <w:b/>
          <w:noProof/>
        </w:rPr>
        <w:t>E. Succession et retraite</w:t>
      </w:r>
    </w:p>
    <w:p w14:paraId="47420398" w14:textId="6590B9C6" w:rsidR="00431F1A" w:rsidRPr="00431F1A" w:rsidRDefault="00431F1A" w:rsidP="00431F1A">
      <w:pPr>
        <w:spacing w:before="100" w:beforeAutospacing="1" w:after="0"/>
        <w:rPr>
          <w:noProof/>
        </w:rPr>
      </w:pPr>
      <w:r>
        <w:rPr>
          <w:b/>
          <w:noProof/>
        </w:rPr>
        <w:t>Les régimes de retraite et la planification des successions sont essentiels pour garantir le renouvellement des générations dans l’agriculture.</w:t>
      </w:r>
      <w:r>
        <w:rPr>
          <w:noProof/>
        </w:rPr>
        <w:t xml:space="preserve"> Les agriculteurs âgés qui souhaitent prendre leur retraite doivent avoir les possibilités et les moyens de le faire dans la dignité et la sécurité financière. Dans l’ensemble de l’UE, de nombreux agriculteurs âgés retardent leur départ à la retraite en raison d’une pension insuffisante et de l’absence d’alternatives viables au revenu agricole. Cette insécurité financière entraîne souvent des réticences à transférer des terres ou à renoncer au travail actif, ce qui, en fin de compte, réduit la mobilité foncière et entrave l’entrée et l’établissement des jeunes agriculteurs dans le secteur.</w:t>
      </w:r>
    </w:p>
    <w:p w14:paraId="5BC95A5C" w14:textId="687D68ED" w:rsidR="00665467" w:rsidRPr="00431F1A" w:rsidRDefault="00431F1A" w:rsidP="00665467">
      <w:pPr>
        <w:spacing w:before="100" w:beforeAutospacing="1" w:after="0"/>
        <w:rPr>
          <w:noProof/>
        </w:rPr>
      </w:pPr>
      <w:r>
        <w:rPr>
          <w:noProof/>
        </w:rPr>
        <w:t>La PAC joue souvent un rôle social dans ce contexte. Pour de nombreux agriculteurs âgés ne disposant pas de droits de retraite adéquats, les paiements au titre de la PAC représentent leur seul revenu et deviennent un filet de sécurité. Cela montre bien qu’il importe de proposer des mesures nationales complémentaires pour renforcer des possibilités de protection sociale et de retraite qui protègent correctement les agriculteurs.</w:t>
      </w:r>
    </w:p>
    <w:p w14:paraId="10A9B28A" w14:textId="16D64762" w:rsidR="00F2523A" w:rsidRDefault="006F0002" w:rsidP="00431F1A">
      <w:pPr>
        <w:spacing w:before="100" w:beforeAutospacing="1" w:after="0"/>
        <w:rPr>
          <w:noProof/>
        </w:rPr>
      </w:pPr>
      <w:r>
        <w:rPr>
          <w:b/>
          <w:noProof/>
        </w:rPr>
        <w:t>La planification des successions est tout aussi cruciale, mais représente toujours un obstacle important.</w:t>
      </w:r>
      <w:r>
        <w:rPr>
          <w:noProof/>
        </w:rPr>
        <w:t xml:space="preserve"> En l’absence de soutien juridique et de conseil, les transferts d’exploitations peuvent être retardés ou mal gérés, ce qui est source de conflits et d’incertitude. Une planification anticipée est déterminante pour assurer la viabilité à long terme du secteur agricole, tout en permettant aux générations plus âgées de se retirer progressivement de l’exploitation, de continuer à y participer si elles le souhaitent et de transférer leurs responsabilités d’une manière structurée qui respecte leur rôle et leur expérience.</w:t>
      </w:r>
    </w:p>
    <w:p w14:paraId="0B3A0D9A" w14:textId="02A19236" w:rsidR="00D82D32" w:rsidRDefault="00D82D32" w:rsidP="00D82D32">
      <w:pPr>
        <w:spacing w:before="100" w:beforeAutospacing="1" w:after="0"/>
        <w:rPr>
          <w:noProof/>
        </w:rPr>
      </w:pPr>
      <w:r>
        <w:rPr>
          <w:noProof/>
        </w:rPr>
        <w:t>Le Semestre européen continuera à contrôler de quelle manière les politiques nationales en matière de retraite et de protection sociale contribuent à l’obtention d’un revenu adéquat pour les personnes âgées et permettent à différents groupes professionnels, y compris les agriculteurs, d’accéder à la protection sociale.</w:t>
      </w:r>
    </w:p>
    <w:p w14:paraId="34A0FA32" w14:textId="025B738A" w:rsidR="00106CD6" w:rsidRDefault="00106CD6" w:rsidP="00431F1A">
      <w:pPr>
        <w:spacing w:before="100" w:beforeAutospacing="1" w:after="0"/>
        <w:rPr>
          <w:noProof/>
        </w:rPr>
      </w:pPr>
      <w:r>
        <w:rPr>
          <w:noProof/>
          <w:lang w:val="en-GB"/>
        </w:rPr>
        <mc:AlternateContent>
          <mc:Choice Requires="wps">
            <w:drawing>
              <wp:anchor distT="0" distB="0" distL="114300" distR="114300" simplePos="0" relativeHeight="251658244" behindDoc="1" locked="0" layoutInCell="1" allowOverlap="1" wp14:anchorId="7C883553" wp14:editId="766D1404">
                <wp:simplePos x="0" y="0"/>
                <wp:positionH relativeFrom="margin">
                  <wp:posOffset>165735</wp:posOffset>
                </wp:positionH>
                <wp:positionV relativeFrom="paragraph">
                  <wp:posOffset>145416</wp:posOffset>
                </wp:positionV>
                <wp:extent cx="5581403" cy="990600"/>
                <wp:effectExtent l="0" t="0" r="19685" b="19050"/>
                <wp:wrapNone/>
                <wp:docPr id="431748935" name="Rectangle 2"/>
                <wp:cNvGraphicFramePr/>
                <a:graphic xmlns:a="http://schemas.openxmlformats.org/drawingml/2006/main">
                  <a:graphicData uri="http://schemas.microsoft.com/office/word/2010/wordprocessingShape">
                    <wps:wsp>
                      <wps:cNvSpPr/>
                      <wps:spPr>
                        <a:xfrm>
                          <a:off x="0" y="0"/>
                          <a:ext cx="5581403" cy="990600"/>
                        </a:xfrm>
                        <a:prstGeom prst="rect">
                          <a:avLst/>
                        </a:prstGeom>
                        <a:solidFill>
                          <a:srgbClr val="BEC4FE"/>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pic="http://schemas.openxmlformats.org/drawingml/2006/picture" xmlns:a="http://schemas.openxmlformats.org/drawingml/2006/main">
            <w:pict>
              <v:rect id="Rectangle 2" style="position:absolute;margin-left:13.05pt;margin-top:11.45pt;width:439.5pt;height:78pt;z-index:-2516582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ec4fe"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" w14:anchorId="20EF18FF">
                <w10:wrap anchorx="margin"/>
              </v:rect>
            </w:pict>
          </mc:Fallback>
        </mc:AlternateContent>
      </w:r>
    </w:p>
    <w:p w14:paraId="305AC120" w14:textId="1487B4A6" w:rsidR="000A4566" w:rsidRPr="00106CD6" w:rsidRDefault="000A4566" w:rsidP="00106CD6">
      <w:pPr>
        <w:spacing w:after="0"/>
        <w:ind w:left="360"/>
        <w:rPr>
          <w:noProof/>
          <w:sz w:val="20"/>
        </w:rPr>
      </w:pPr>
      <w:r>
        <w:rPr>
          <w:b/>
          <w:noProof/>
          <w:sz w:val="20"/>
        </w:rPr>
        <w:t>Exemples de systèmes de retraite favorisant le renouvellement générationnel</w:t>
      </w:r>
    </w:p>
    <w:p w14:paraId="4DB47A7F" w14:textId="77777777" w:rsidR="003529C0" w:rsidRPr="00106CD6" w:rsidRDefault="003529C0" w:rsidP="003529C0">
      <w:pPr>
        <w:numPr>
          <w:ilvl w:val="0"/>
          <w:numId w:val="31"/>
        </w:numPr>
        <w:tabs>
          <w:tab w:val="clear" w:pos="720"/>
          <w:tab w:val="num" w:pos="1080"/>
        </w:tabs>
        <w:spacing w:after="0"/>
        <w:ind w:left="1080"/>
        <w:rPr>
          <w:noProof/>
          <w:sz w:val="20"/>
        </w:rPr>
      </w:pPr>
      <w:r>
        <w:rPr>
          <w:b/>
          <w:noProof/>
          <w:sz w:val="20"/>
        </w:rPr>
        <w:t>Allemagne</w:t>
      </w:r>
      <w:r>
        <w:rPr>
          <w:noProof/>
          <w:sz w:val="20"/>
        </w:rPr>
        <w:t xml:space="preserve"> — La banque allemande des pensions agricoles soutient la transmission d’exploitations agricoles en fournissant une pension et une assurance sociale aux agriculteurs partant à la retraite.</w:t>
      </w:r>
    </w:p>
    <w:p w14:paraId="24AFB6A1" w14:textId="0B9C025F" w:rsidR="002E5443" w:rsidRDefault="000A4566" w:rsidP="003529C0">
      <w:pPr>
        <w:numPr>
          <w:ilvl w:val="0"/>
          <w:numId w:val="31"/>
        </w:numPr>
        <w:tabs>
          <w:tab w:val="clear" w:pos="720"/>
          <w:tab w:val="num" w:pos="1080"/>
        </w:tabs>
        <w:spacing w:after="0"/>
        <w:ind w:left="1080"/>
        <w:rPr>
          <w:noProof/>
          <w:sz w:val="20"/>
        </w:rPr>
      </w:pPr>
      <w:r>
        <w:rPr>
          <w:b/>
          <w:noProof/>
          <w:sz w:val="20"/>
        </w:rPr>
        <w:t>France</w:t>
      </w:r>
      <w:r>
        <w:rPr>
          <w:noProof/>
          <w:sz w:val="20"/>
        </w:rPr>
        <w:t xml:space="preserve"> – Des régimes de retraite adaptés apportent un soutien similaire, illustrant la manière dont une protection sociale adaptée peut faciliter le renouvellement des générations dans l’agriculture.</w:t>
      </w:r>
    </w:p>
    <w:p w14:paraId="39E85996" w14:textId="1388CE35" w:rsidR="00D978AE" w:rsidRPr="00F54E1B" w:rsidRDefault="00D978AE" w:rsidP="0061102D">
      <w:pPr>
        <w:spacing w:before="100" w:beforeAutospacing="1" w:after="0"/>
        <w:rPr>
          <w:noProof/>
        </w:rPr>
      </w:pPr>
    </w:p>
    <w:p w14:paraId="7CADE769" w14:textId="178AED4E" w:rsidR="0061102D" w:rsidRPr="0061102D" w:rsidRDefault="0061102D" w:rsidP="0061102D">
      <w:pPr>
        <w:spacing w:before="100" w:beforeAutospacing="1" w:after="0"/>
        <w:rPr>
          <w:noProof/>
        </w:rPr>
      </w:pPr>
      <w:r>
        <w:rPr>
          <w:noProof/>
        </w:rPr>
        <w:t>Les systèmes qui fonctionnent bien partagent certaines caractéristiques essentielles: leur couverture inclut tous les membres de la famille afin d’éviter les écarts de contribution; ils proposent des contributions flexibles, fondées sur le revenu ou forfaitaires pour prendre en compte la variabilité des revenus agricoles,</w:t>
      </w:r>
      <w:r w:rsidR="00A41806">
        <w:rPr>
          <w:noProof/>
        </w:rPr>
        <w:t xml:space="preserve"> </w:t>
      </w:r>
      <w:r>
        <w:rPr>
          <w:noProof/>
        </w:rPr>
        <w:t>et s’appuient sur des subventions publiques, considérées à juste titre comme des investissements dans l’équité rurale et la sécurité alimentaire. Des définitions juridiques claires et des conditions de ressources équitables permettent de garantir encore mieux que personne n’est laissé de côté.</w:t>
      </w:r>
    </w:p>
    <w:p w14:paraId="062F61DC" w14:textId="34A68903" w:rsidR="00EF3616" w:rsidRDefault="00A93A53" w:rsidP="0061102D">
      <w:pPr>
        <w:spacing w:before="100" w:beforeAutospacing="1" w:after="0"/>
        <w:rPr>
          <w:noProof/>
        </w:rPr>
      </w:pPr>
      <w:r>
        <w:rPr>
          <w:noProof/>
        </w:rPr>
        <w:t>En fin de compte, investir dans des systèmes de retraite adéquats et stables pour les agriculteurs est une question de justice sociale, mais constitue également un levier stratégique pour garantir le renouvellement des générations, la mobilité foncière et la viabilité à long terme de l’agriculture de l’UE.</w:t>
      </w:r>
    </w:p>
    <w:p w14:paraId="6947C83A" w14:textId="77777777" w:rsidR="002E6DA9" w:rsidRDefault="002E6DA9" w:rsidP="0061102D">
      <w:pPr>
        <w:spacing w:before="100" w:beforeAutospacing="1" w:after="0"/>
        <w:rPr>
          <w:noProof/>
        </w:rPr>
      </w:pPr>
    </w:p>
    <w:p w14:paraId="05E1968B" w14:textId="77777777" w:rsidR="002E6DA9" w:rsidRDefault="002E6DA9" w:rsidP="0061102D">
      <w:pPr>
        <w:spacing w:before="100" w:beforeAutospacing="1" w:after="0"/>
        <w:rPr>
          <w:noProof/>
        </w:rPr>
      </w:pPr>
    </w:p>
    <w:p w14:paraId="039A91E3" w14:textId="77777777" w:rsidR="002E6DA9" w:rsidRDefault="002E6DA9" w:rsidP="0061102D">
      <w:pPr>
        <w:spacing w:before="100" w:beforeAutospacing="1" w:after="0"/>
        <w:rPr>
          <w:noProof/>
        </w:rPr>
      </w:pPr>
    </w:p>
    <w:p w14:paraId="7F901B44" w14:textId="33A4D5B7" w:rsidR="00A93A53" w:rsidRDefault="00A93A53" w:rsidP="0061102D">
      <w:pPr>
        <w:spacing w:before="100" w:beforeAutospacing="1" w:after="0"/>
        <w:rPr>
          <w:noProof/>
        </w:rPr>
      </w:pPr>
    </w:p>
    <w:p w14:paraId="3C0E71AF" w14:textId="4BD31576" w:rsidR="00170903" w:rsidRDefault="00170903" w:rsidP="0061102D">
      <w:pPr>
        <w:spacing w:before="100" w:beforeAutospacing="1" w:after="0"/>
        <w:rPr>
          <w:noProof/>
        </w:rPr>
      </w:pPr>
      <w:r>
        <w:rPr>
          <w:noProof/>
          <w:lang w:val="en-GB"/>
        </w:rPr>
        <mc:AlternateContent>
          <mc:Choice Requires="wps">
            <w:drawing>
              <wp:anchor distT="0" distB="0" distL="114300" distR="114300" simplePos="0" relativeHeight="251658243" behindDoc="1" locked="0" layoutInCell="1" allowOverlap="1" wp14:anchorId="2AF1B135" wp14:editId="57254FE6">
                <wp:simplePos x="0" y="0"/>
                <wp:positionH relativeFrom="page">
                  <wp:posOffset>944880</wp:posOffset>
                </wp:positionH>
                <wp:positionV relativeFrom="paragraph">
                  <wp:posOffset>53340</wp:posOffset>
                </wp:positionV>
                <wp:extent cx="5899067" cy="1744980"/>
                <wp:effectExtent l="0" t="0" r="26035" b="26670"/>
                <wp:wrapNone/>
                <wp:docPr id="172556434" name="Rectangle: Rounded Corners 1"/>
                <wp:cNvGraphicFramePr/>
                <a:graphic xmlns:a="http://schemas.openxmlformats.org/drawingml/2006/main">
                  <a:graphicData uri="http://schemas.microsoft.com/office/word/2010/wordprocessingShape">
                    <wps:wsp>
                      <wps:cNvSpPr/>
                      <wps:spPr>
                        <a:xfrm>
                          <a:off x="0" y="0"/>
                          <a:ext cx="5899067" cy="1744980"/>
                        </a:xfrm>
                        <a:prstGeom prst="round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pic="http://schemas.openxmlformats.org/drawingml/2006/picture" xmlns:a="http://schemas.openxmlformats.org/drawingml/2006/main">
            <w:pict>
              <v:roundrect id="Rectangle: Rounded Corners 1" style="position:absolute;margin-left:74.4pt;margin-top:4.2pt;width:464.5pt;height:137.4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ffc000" strokecolor="#030e1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" arcsize="10923f" w14:anchorId="473C09A9">
                <v:stroke joinstyle="miter"/>
                <w10:wrap anchorx="page"/>
              </v:roundrect>
            </w:pict>
          </mc:Fallback>
        </mc:AlternateContent>
      </w:r>
    </w:p>
    <w:p w14:paraId="5D9C2B26" w14:textId="5961A720" w:rsidR="00C328BB" w:rsidRDefault="00C328BB" w:rsidP="00106CD6">
      <w:pPr>
        <w:spacing w:after="0"/>
        <w:rPr>
          <w:b/>
          <w:bCs/>
          <w:i/>
          <w:iCs/>
          <w:noProof/>
          <w:sz w:val="22"/>
          <w:szCs w:val="22"/>
        </w:rPr>
      </w:pPr>
      <w:r>
        <w:rPr>
          <w:b/>
          <w:i/>
          <w:noProof/>
          <w:sz w:val="22"/>
        </w:rPr>
        <w:t>Initiatives phares</w:t>
      </w:r>
    </w:p>
    <w:p w14:paraId="7A6627BF" w14:textId="68CE4251" w:rsidR="00F54E1B" w:rsidRPr="00F54E1B" w:rsidRDefault="00F54E1B" w:rsidP="00106CD6">
      <w:pPr>
        <w:spacing w:after="0"/>
        <w:rPr>
          <w:b/>
          <w:bCs/>
          <w:i/>
          <w:iCs/>
          <w:noProof/>
          <w:sz w:val="22"/>
          <w:szCs w:val="22"/>
        </w:rPr>
      </w:pPr>
    </w:p>
    <w:p w14:paraId="4B6B0D40" w14:textId="2F8D517B" w:rsidR="00E15F90" w:rsidRDefault="00C328BB" w:rsidP="002F39C3">
      <w:pPr>
        <w:pStyle w:val="ListParagraph"/>
        <w:numPr>
          <w:ilvl w:val="0"/>
          <w:numId w:val="27"/>
        </w:numPr>
        <w:spacing w:after="0"/>
        <w:rPr>
          <w:i/>
          <w:iCs/>
          <w:noProof/>
          <w:sz w:val="22"/>
          <w:szCs w:val="22"/>
        </w:rPr>
      </w:pPr>
      <w:r>
        <w:rPr>
          <w:b/>
          <w:i/>
          <w:noProof/>
          <w:sz w:val="22"/>
        </w:rPr>
        <w:t>Lier les paiements directs à l’âge de la retraite des agriculteurs</w:t>
      </w:r>
      <w:r>
        <w:rPr>
          <w:i/>
          <w:noProof/>
          <w:sz w:val="22"/>
        </w:rPr>
        <w:t xml:space="preserve"> d’ici 2032, comme proposé dans la PAC après 2027. Les agriculteurs à la retraite percevant une pension ne pourront plus recevoir de paiements directs, ce qui encouragera la transmission intergénérationnelle. </w:t>
      </w:r>
    </w:p>
    <w:p w14:paraId="2FF2F818" w14:textId="3E886C15" w:rsidR="00313B4A" w:rsidRPr="0058288C" w:rsidRDefault="00FB67AC" w:rsidP="002F39C3">
      <w:pPr>
        <w:pStyle w:val="ListParagraph"/>
        <w:numPr>
          <w:ilvl w:val="0"/>
          <w:numId w:val="27"/>
        </w:numPr>
        <w:spacing w:after="0"/>
        <w:rPr>
          <w:i/>
          <w:iCs/>
          <w:noProof/>
          <w:sz w:val="22"/>
          <w:szCs w:val="22"/>
        </w:rPr>
      </w:pPr>
      <w:r>
        <w:rPr>
          <w:i/>
          <w:noProof/>
          <w:sz w:val="22"/>
        </w:rPr>
        <w:t xml:space="preserve">L’intégration dans le </w:t>
      </w:r>
      <w:r>
        <w:rPr>
          <w:b/>
          <w:i/>
          <w:noProof/>
          <w:sz w:val="22"/>
        </w:rPr>
        <w:t>Semestre européen</w:t>
      </w:r>
      <w:r>
        <w:rPr>
          <w:i/>
          <w:noProof/>
          <w:sz w:val="22"/>
        </w:rPr>
        <w:t xml:space="preserve"> des aspects pertinents relatifs au renouvellement des générations en matière de succession et l’intégration des pensions, des retraites et des transferts agricoles dans les cadres d’action nationaux faciliteront la succession en temps utile, la mobilité foncière et la sécurité des revenus pour les agriculteurs partant à la retraite.</w:t>
      </w:r>
    </w:p>
    <w:p w14:paraId="20E68E30" w14:textId="77777777" w:rsidR="00F54E1B" w:rsidRDefault="00F54E1B" w:rsidP="00C328BB">
      <w:pPr>
        <w:spacing w:before="100" w:beforeAutospacing="1" w:after="0"/>
        <w:rPr>
          <w:i/>
          <w:iCs/>
          <w:noProof/>
          <w:szCs w:val="24"/>
        </w:rPr>
      </w:pPr>
    </w:p>
    <w:p w14:paraId="612422DE" w14:textId="77777777" w:rsidR="003020B9" w:rsidRDefault="003020B9" w:rsidP="00C328BB">
      <w:pPr>
        <w:spacing w:before="100" w:beforeAutospacing="1" w:after="0"/>
        <w:rPr>
          <w:i/>
          <w:iCs/>
          <w:noProof/>
          <w:szCs w:val="24"/>
        </w:rPr>
      </w:pPr>
    </w:p>
    <w:tbl>
      <w:tblPr>
        <w:tblStyle w:val="TableGrid"/>
        <w:tblW w:w="9252" w:type="dxa"/>
        <w:tblInd w:w="-150" w:type="dxa"/>
        <w:tblLayout w:type="fixed"/>
        <w:tblLook w:val="04A0" w:firstRow="1" w:lastRow="0" w:firstColumn="1" w:lastColumn="0" w:noHBand="0" w:noVBand="1"/>
      </w:tblPr>
      <w:tblGrid>
        <w:gridCol w:w="1454"/>
        <w:gridCol w:w="6345"/>
        <w:gridCol w:w="1453"/>
      </w:tblGrid>
      <w:tr w:rsidR="00F35E62" w:rsidRPr="00AB4003" w14:paraId="1FB42BF7" w14:textId="77777777" w:rsidTr="0E5BE3D9">
        <w:trPr>
          <w:trHeight w:val="509"/>
        </w:trPr>
        <w:tc>
          <w:tcPr>
            <w:tcW w:w="7799" w:type="dxa"/>
            <w:gridSpan w:val="2"/>
            <w:shd w:val="clear" w:color="auto" w:fill="FFC000"/>
          </w:tcPr>
          <w:p w14:paraId="19DC6061" w14:textId="176DBAEC" w:rsidR="00C328BB" w:rsidRPr="00AB4003" w:rsidRDefault="00C328BB" w:rsidP="006D5E1D">
            <w:pPr>
              <w:jc w:val="center"/>
              <w:rPr>
                <w:b/>
                <w:bCs/>
                <w:noProof/>
                <w:sz w:val="20"/>
              </w:rPr>
            </w:pPr>
            <w:r>
              <w:rPr>
                <w:b/>
                <w:noProof/>
                <w:sz w:val="20"/>
              </w:rPr>
              <w:t>Actions proposées dans le cadre de la PAC 2028-2034</w:t>
            </w:r>
          </w:p>
        </w:tc>
        <w:tc>
          <w:tcPr>
            <w:tcW w:w="1453" w:type="dxa"/>
            <w:shd w:val="clear" w:color="auto" w:fill="FFC000"/>
          </w:tcPr>
          <w:p w14:paraId="366A1BAA" w14:textId="46B6DB56" w:rsidR="00C328BB" w:rsidRPr="00AB4003" w:rsidRDefault="00BB5969" w:rsidP="006D5E1D">
            <w:pPr>
              <w:jc w:val="center"/>
              <w:rPr>
                <w:b/>
                <w:bCs/>
                <w:noProof/>
                <w:sz w:val="20"/>
              </w:rPr>
            </w:pPr>
            <w:r>
              <w:rPr>
                <w:b/>
                <w:noProof/>
                <w:sz w:val="20"/>
              </w:rPr>
              <w:t>Calendrier</w:t>
            </w:r>
          </w:p>
        </w:tc>
      </w:tr>
      <w:tr w:rsidR="00431C4E" w:rsidRPr="00AB4003" w:rsidDel="00982026" w14:paraId="153AC07D" w14:textId="77777777" w:rsidTr="0E5BE3D9">
        <w:trPr>
          <w:trHeight w:val="798"/>
        </w:trPr>
        <w:tc>
          <w:tcPr>
            <w:tcW w:w="1454" w:type="dxa"/>
            <w:shd w:val="clear" w:color="auto" w:fill="FFFFFF" w:themeFill="background1"/>
          </w:tcPr>
          <w:p w14:paraId="293435C7" w14:textId="12467517" w:rsidR="008D7CEB" w:rsidRPr="00AB4003" w:rsidDel="00982026" w:rsidRDefault="00153303" w:rsidP="00843C20">
            <w:pPr>
              <w:jc w:val="left"/>
              <w:rPr>
                <w:b/>
                <w:bCs/>
                <w:noProof/>
                <w:sz w:val="20"/>
              </w:rPr>
            </w:pPr>
            <w:r>
              <w:rPr>
                <w:b/>
                <w:noProof/>
                <w:sz w:val="20"/>
              </w:rPr>
              <w:t>Soutenir la planification de la transmission des exploitations par l’intermédiaire des SCIA</w:t>
            </w:r>
          </w:p>
        </w:tc>
        <w:tc>
          <w:tcPr>
            <w:tcW w:w="6345" w:type="dxa"/>
            <w:shd w:val="clear" w:color="auto" w:fill="FFFFFF" w:themeFill="background1"/>
          </w:tcPr>
          <w:p w14:paraId="52FFE4F7" w14:textId="043BA78F" w:rsidR="009E7F33" w:rsidRPr="00AB4003" w:rsidDel="00982026" w:rsidRDefault="009E7F33" w:rsidP="006D5E1D">
            <w:pPr>
              <w:spacing w:line="256" w:lineRule="auto"/>
              <w:rPr>
                <w:noProof/>
                <w:sz w:val="20"/>
              </w:rPr>
            </w:pPr>
            <w:r>
              <w:rPr>
                <w:noProof/>
                <w:sz w:val="20"/>
              </w:rPr>
              <w:t xml:space="preserve">Fournir des services de formation et de conseil ciblés par l’intermédiaire des SCIA afin de promouvoir la transmission fluide et opportune des exploitations agricoles. Les agriculteurs âgés devraient recevoir des orientations sur la planification juridique, financière et successorale, tandis que les jeunes agriculteurs seront formés aux cadres de succession, aux plans de continuité des activités et aux plans de modernisation. Faciliter les sessions de planification conjointes intergénérationnelles, soutenues par des conseillers ou des médiateurs formés, pour permettre l’élaboration de plans de transition clairs et réalistes. </w:t>
            </w:r>
          </w:p>
        </w:tc>
        <w:tc>
          <w:tcPr>
            <w:tcW w:w="1453" w:type="dxa"/>
            <w:shd w:val="clear" w:color="auto" w:fill="FFFFFF" w:themeFill="background1"/>
          </w:tcPr>
          <w:p w14:paraId="3DFFB11F" w14:textId="651A65AC" w:rsidR="008D7CEB" w:rsidRPr="00AB4003" w:rsidDel="00982026" w:rsidRDefault="009E7F33" w:rsidP="006D5E1D">
            <w:pPr>
              <w:spacing w:line="256" w:lineRule="auto"/>
              <w:rPr>
                <w:noProof/>
                <w:sz w:val="20"/>
              </w:rPr>
            </w:pPr>
            <w:r>
              <w:rPr>
                <w:noProof/>
                <w:sz w:val="20"/>
              </w:rPr>
              <w:t>Nouvelle PAC – à partir de 2028</w:t>
            </w:r>
          </w:p>
        </w:tc>
      </w:tr>
      <w:tr w:rsidR="00F35E62" w:rsidRPr="00AB4003" w14:paraId="672566CD" w14:textId="77777777" w:rsidTr="0E5BE3D9">
        <w:trPr>
          <w:trHeight w:val="523"/>
        </w:trPr>
        <w:tc>
          <w:tcPr>
            <w:tcW w:w="7799" w:type="dxa"/>
            <w:gridSpan w:val="2"/>
            <w:shd w:val="clear" w:color="auto" w:fill="FFC000"/>
          </w:tcPr>
          <w:p w14:paraId="499FE352" w14:textId="416D4E20" w:rsidR="00C328BB" w:rsidRPr="00AB4003" w:rsidRDefault="00C328BB" w:rsidP="006D5E1D">
            <w:pPr>
              <w:jc w:val="center"/>
              <w:rPr>
                <w:noProof/>
                <w:sz w:val="20"/>
              </w:rPr>
            </w:pPr>
            <w:r>
              <w:rPr>
                <w:b/>
                <w:noProof/>
                <w:sz w:val="20"/>
              </w:rPr>
              <w:t>Actions proposées dans le cadre d’autres politiques de l’UE</w:t>
            </w:r>
          </w:p>
        </w:tc>
        <w:tc>
          <w:tcPr>
            <w:tcW w:w="1453" w:type="dxa"/>
            <w:shd w:val="clear" w:color="auto" w:fill="FFC000"/>
          </w:tcPr>
          <w:p w14:paraId="15E0ABA4" w14:textId="77777777" w:rsidR="00C328BB" w:rsidRPr="00AB4003" w:rsidRDefault="00C328BB" w:rsidP="006D5E1D">
            <w:pPr>
              <w:jc w:val="center"/>
              <w:rPr>
                <w:b/>
                <w:bCs/>
                <w:noProof/>
                <w:sz w:val="20"/>
              </w:rPr>
            </w:pPr>
          </w:p>
        </w:tc>
      </w:tr>
      <w:tr w:rsidR="00431C4E" w:rsidRPr="00812C09" w14:paraId="669222B9" w14:textId="77777777" w:rsidTr="0E5BE3D9">
        <w:trPr>
          <w:trHeight w:val="1282"/>
        </w:trPr>
        <w:tc>
          <w:tcPr>
            <w:tcW w:w="1454" w:type="dxa"/>
            <w:shd w:val="clear" w:color="auto" w:fill="FFFFFF" w:themeFill="background1"/>
          </w:tcPr>
          <w:p w14:paraId="3041B087" w14:textId="4C8F0029" w:rsidR="001C7180" w:rsidRPr="00843C20" w:rsidRDefault="00A7610A" w:rsidP="0E5BE3D9">
            <w:pPr>
              <w:rPr>
                <w:b/>
                <w:bCs/>
                <w:noProof/>
                <w:sz w:val="20"/>
              </w:rPr>
            </w:pPr>
            <w:r>
              <w:rPr>
                <w:b/>
                <w:noProof/>
                <w:sz w:val="20"/>
              </w:rPr>
              <w:t>Améliorer les connaissances en matière de fiscalité et de transmission des exploitations agricoles</w:t>
            </w:r>
          </w:p>
        </w:tc>
        <w:tc>
          <w:tcPr>
            <w:tcW w:w="6345" w:type="dxa"/>
            <w:shd w:val="clear" w:color="auto" w:fill="FFFFFF" w:themeFill="background1"/>
          </w:tcPr>
          <w:p w14:paraId="631E033B" w14:textId="4DDD01BE" w:rsidR="001C7180" w:rsidRPr="00843C20" w:rsidRDefault="001C7180" w:rsidP="006D5E1D">
            <w:pPr>
              <w:rPr>
                <w:noProof/>
                <w:sz w:val="20"/>
              </w:rPr>
            </w:pPr>
            <w:r>
              <w:rPr>
                <w:noProof/>
                <w:sz w:val="20"/>
              </w:rPr>
              <w:t>Étude sur la manière dont les politiques fiscales en matière de succession et de donation influencent les successions agricoles dans les États membres, en s’appuyant sur les données de l’Observatoire foncier européen. Recenser les obstacles fiscaux et juridiques qui retardent ou compliquent les transferts en temps utile, en fournissant une base pour des réformes qui facilitent la retraite anticipée, une succession plus fluide et un renouvellement générationnel plus efficace.</w:t>
            </w:r>
          </w:p>
        </w:tc>
        <w:tc>
          <w:tcPr>
            <w:tcW w:w="1453" w:type="dxa"/>
            <w:shd w:val="clear" w:color="auto" w:fill="FFFFFF" w:themeFill="background1"/>
          </w:tcPr>
          <w:p w14:paraId="116EE69F" w14:textId="13B98878" w:rsidR="001C7180" w:rsidRPr="00843C20" w:rsidRDefault="00986768" w:rsidP="006D5E1D">
            <w:pPr>
              <w:rPr>
                <w:noProof/>
                <w:sz w:val="20"/>
              </w:rPr>
            </w:pPr>
            <w:r>
              <w:rPr>
                <w:noProof/>
                <w:sz w:val="20"/>
              </w:rPr>
              <w:t>Dès le T4 2026</w:t>
            </w:r>
          </w:p>
        </w:tc>
      </w:tr>
      <w:tr w:rsidR="00431C4E" w:rsidRPr="00812C09" w14:paraId="3CF4ABD1" w14:textId="77777777" w:rsidTr="00EF3616">
        <w:trPr>
          <w:trHeight w:val="948"/>
        </w:trPr>
        <w:tc>
          <w:tcPr>
            <w:tcW w:w="1454" w:type="dxa"/>
            <w:shd w:val="clear" w:color="auto" w:fill="FFFFFF" w:themeFill="background1"/>
          </w:tcPr>
          <w:p w14:paraId="20E5B777" w14:textId="2707809E" w:rsidR="00C328BB" w:rsidRPr="00C668CD" w:rsidRDefault="00106CD6" w:rsidP="006D5E1D">
            <w:pPr>
              <w:rPr>
                <w:b/>
                <w:bCs/>
                <w:noProof/>
                <w:sz w:val="20"/>
              </w:rPr>
            </w:pPr>
            <w:r>
              <w:rPr>
                <w:b/>
                <w:noProof/>
                <w:sz w:val="20"/>
              </w:rPr>
              <w:t>Échange de meilleures pratiques</w:t>
            </w:r>
          </w:p>
        </w:tc>
        <w:tc>
          <w:tcPr>
            <w:tcW w:w="6345" w:type="dxa"/>
            <w:shd w:val="clear" w:color="auto" w:fill="FFFFFF" w:themeFill="background1"/>
          </w:tcPr>
          <w:p w14:paraId="27BC26C6" w14:textId="1D00135D" w:rsidR="00C328BB" w:rsidRPr="00C668CD" w:rsidRDefault="008E6385" w:rsidP="006D5E1D">
            <w:pPr>
              <w:rPr>
                <w:noProof/>
                <w:sz w:val="20"/>
              </w:rPr>
            </w:pPr>
            <w:r>
              <w:rPr>
                <w:noProof/>
                <w:sz w:val="20"/>
              </w:rPr>
              <w:t xml:space="preserve">Favoriser la transition permettant de se retirer de l’activité agricole à la retraite, lier les paiements directs à l’âge de la retraite, promouvoir l’échange de bonnes pratiques en matière d’accès des agriculteurs aux régimes de sécurité sociale grâce à une discussion conjointe avec les États membres. </w:t>
            </w:r>
          </w:p>
        </w:tc>
        <w:tc>
          <w:tcPr>
            <w:tcW w:w="1453" w:type="dxa"/>
            <w:shd w:val="clear" w:color="auto" w:fill="FFFFFF" w:themeFill="background1"/>
          </w:tcPr>
          <w:p w14:paraId="78284BE6" w14:textId="2D40A52D" w:rsidR="00C328BB" w:rsidRPr="00843C20" w:rsidRDefault="00044C66" w:rsidP="006D5E1D">
            <w:pPr>
              <w:rPr>
                <w:noProof/>
                <w:sz w:val="20"/>
              </w:rPr>
            </w:pPr>
            <w:r>
              <w:rPr>
                <w:noProof/>
                <w:sz w:val="20"/>
              </w:rPr>
              <w:t>T2 2026</w:t>
            </w:r>
          </w:p>
        </w:tc>
      </w:tr>
      <w:tr w:rsidR="00F35E62" w:rsidRPr="00AB4003" w14:paraId="0501B2BE" w14:textId="77777777" w:rsidTr="00EF3616">
        <w:trPr>
          <w:trHeight w:val="199"/>
        </w:trPr>
        <w:tc>
          <w:tcPr>
            <w:tcW w:w="7799" w:type="dxa"/>
            <w:gridSpan w:val="2"/>
            <w:shd w:val="clear" w:color="auto" w:fill="FFC000"/>
          </w:tcPr>
          <w:p w14:paraId="78CC247A" w14:textId="771F06A7" w:rsidR="00C328BB" w:rsidRPr="00AB4003" w:rsidRDefault="00211296" w:rsidP="006D5E1D">
            <w:pPr>
              <w:jc w:val="center"/>
              <w:rPr>
                <w:noProof/>
                <w:sz w:val="20"/>
              </w:rPr>
            </w:pPr>
            <w:r>
              <w:rPr>
                <w:b/>
                <w:noProof/>
                <w:sz w:val="20"/>
              </w:rPr>
              <w:t>Actions volontaires au niveau des États membres</w:t>
            </w:r>
          </w:p>
        </w:tc>
        <w:tc>
          <w:tcPr>
            <w:tcW w:w="1453" w:type="dxa"/>
            <w:shd w:val="clear" w:color="auto" w:fill="FFC000"/>
          </w:tcPr>
          <w:p w14:paraId="4AA05C4C" w14:textId="71790693" w:rsidR="00C328BB" w:rsidRPr="00AB4003" w:rsidRDefault="00044C66" w:rsidP="006D5E1D">
            <w:pPr>
              <w:jc w:val="center"/>
              <w:rPr>
                <w:b/>
                <w:bCs/>
                <w:noProof/>
                <w:sz w:val="20"/>
              </w:rPr>
            </w:pPr>
            <w:r>
              <w:rPr>
                <w:b/>
                <w:noProof/>
                <w:sz w:val="20"/>
              </w:rPr>
              <w:t xml:space="preserve">Volontaire </w:t>
            </w:r>
          </w:p>
        </w:tc>
      </w:tr>
      <w:tr w:rsidR="00C328BB" w:rsidRPr="005D4892" w14:paraId="2C58B812" w14:textId="77777777" w:rsidTr="0E5BE3D9">
        <w:trPr>
          <w:trHeight w:val="771"/>
        </w:trPr>
        <w:tc>
          <w:tcPr>
            <w:tcW w:w="1454" w:type="dxa"/>
          </w:tcPr>
          <w:p w14:paraId="183B48A1" w14:textId="77777777" w:rsidR="00C328BB" w:rsidRPr="00982026" w:rsidRDefault="00C328BB" w:rsidP="006D5E1D">
            <w:pPr>
              <w:rPr>
                <w:b/>
                <w:bCs/>
                <w:noProof/>
                <w:sz w:val="20"/>
              </w:rPr>
            </w:pPr>
            <w:r>
              <w:rPr>
                <w:b/>
                <w:noProof/>
                <w:sz w:val="20"/>
              </w:rPr>
              <w:t>Régimes de retraite</w:t>
            </w:r>
          </w:p>
        </w:tc>
        <w:tc>
          <w:tcPr>
            <w:tcW w:w="6345" w:type="dxa"/>
          </w:tcPr>
          <w:p w14:paraId="355E1524" w14:textId="693B7D61" w:rsidR="00C328BB" w:rsidRPr="00982026" w:rsidRDefault="008079FE" w:rsidP="006D5E1D">
            <w:pPr>
              <w:tabs>
                <w:tab w:val="left" w:pos="1888"/>
              </w:tabs>
              <w:rPr>
                <w:noProof/>
                <w:sz w:val="20"/>
              </w:rPr>
            </w:pPr>
            <w:r>
              <w:rPr>
                <w:noProof/>
                <w:sz w:val="20"/>
              </w:rPr>
              <w:t xml:space="preserve">Garantir un accès adéquat aux régimes de retraite qui assurent aux agriculteurs et travailleurs agricoles âgés une sécurité suffisante à la retraite. </w:t>
            </w:r>
          </w:p>
        </w:tc>
        <w:tc>
          <w:tcPr>
            <w:tcW w:w="1453" w:type="dxa"/>
          </w:tcPr>
          <w:p w14:paraId="755DD8F2" w14:textId="25FD7B14" w:rsidR="00C328BB" w:rsidRPr="00982026" w:rsidRDefault="001A66EA" w:rsidP="006D5E1D">
            <w:pPr>
              <w:rPr>
                <w:noProof/>
                <w:sz w:val="20"/>
              </w:rPr>
            </w:pPr>
            <w:r>
              <w:rPr>
                <w:noProof/>
                <w:sz w:val="20"/>
              </w:rPr>
              <w:t>À partir du T4 2025</w:t>
            </w:r>
          </w:p>
        </w:tc>
      </w:tr>
      <w:tr w:rsidR="00C328BB" w:rsidRPr="005D4892" w14:paraId="0894D779" w14:textId="77777777" w:rsidTr="00EF3616">
        <w:trPr>
          <w:trHeight w:val="554"/>
        </w:trPr>
        <w:tc>
          <w:tcPr>
            <w:tcW w:w="1454" w:type="dxa"/>
          </w:tcPr>
          <w:p w14:paraId="629A63A1" w14:textId="381F43DA" w:rsidR="00C328BB" w:rsidRPr="00982026" w:rsidRDefault="005B0269" w:rsidP="006D5E1D">
            <w:pPr>
              <w:rPr>
                <w:b/>
                <w:bCs/>
                <w:noProof/>
                <w:sz w:val="20"/>
              </w:rPr>
            </w:pPr>
            <w:r>
              <w:rPr>
                <w:b/>
                <w:noProof/>
                <w:sz w:val="20"/>
              </w:rPr>
              <w:t>Législation visant à faciliter la transmission d’exploitations agricoles</w:t>
            </w:r>
          </w:p>
        </w:tc>
        <w:tc>
          <w:tcPr>
            <w:tcW w:w="6345" w:type="dxa"/>
          </w:tcPr>
          <w:p w14:paraId="57ECF034" w14:textId="77777777" w:rsidR="00C328BB" w:rsidRPr="00982026" w:rsidRDefault="00C328BB" w:rsidP="006D5E1D">
            <w:pPr>
              <w:tabs>
                <w:tab w:val="left" w:pos="1888"/>
              </w:tabs>
              <w:rPr>
                <w:noProof/>
                <w:sz w:val="20"/>
              </w:rPr>
            </w:pPr>
            <w:r>
              <w:rPr>
                <w:noProof/>
                <w:sz w:val="20"/>
              </w:rPr>
              <w:t>Adopter des mesures législatives dans des domaines tels que la fiscalité, les successions et les transferts fonciers, qui facilitent le transfert des actifs agricoles d’une génération à l’autre.</w:t>
            </w:r>
          </w:p>
        </w:tc>
        <w:tc>
          <w:tcPr>
            <w:tcW w:w="1453" w:type="dxa"/>
          </w:tcPr>
          <w:p w14:paraId="37C7D721" w14:textId="0DFAEB63" w:rsidR="00C328BB" w:rsidRPr="00982026" w:rsidRDefault="001A66EA" w:rsidP="006D5E1D">
            <w:pPr>
              <w:rPr>
                <w:noProof/>
                <w:sz w:val="20"/>
              </w:rPr>
            </w:pPr>
            <w:r>
              <w:rPr>
                <w:noProof/>
                <w:sz w:val="20"/>
              </w:rPr>
              <w:t>À partir du T4 2025</w:t>
            </w:r>
          </w:p>
        </w:tc>
      </w:tr>
      <w:tr w:rsidR="00EC43E7" w:rsidRPr="005D4892" w14:paraId="7E331200" w14:textId="77777777" w:rsidTr="00EF3616">
        <w:trPr>
          <w:trHeight w:val="554"/>
        </w:trPr>
        <w:tc>
          <w:tcPr>
            <w:tcW w:w="1454" w:type="dxa"/>
          </w:tcPr>
          <w:p w14:paraId="7B124BA0" w14:textId="5684EF2C" w:rsidR="00EC43E7" w:rsidRDefault="00EC43E7" w:rsidP="00EC43E7">
            <w:pPr>
              <w:rPr>
                <w:b/>
                <w:bCs/>
                <w:noProof/>
                <w:sz w:val="20"/>
              </w:rPr>
            </w:pPr>
            <w:r>
              <w:rPr>
                <w:b/>
                <w:noProof/>
                <w:sz w:val="20"/>
              </w:rPr>
              <w:t>Sécurité sociale et services sociaux</w:t>
            </w:r>
          </w:p>
        </w:tc>
        <w:tc>
          <w:tcPr>
            <w:tcW w:w="6345" w:type="dxa"/>
          </w:tcPr>
          <w:p w14:paraId="07EC2A0C" w14:textId="7AF88351" w:rsidR="00EC43E7" w:rsidRPr="00982026" w:rsidRDefault="00EC43E7" w:rsidP="00EC43E7">
            <w:pPr>
              <w:tabs>
                <w:tab w:val="left" w:pos="1888"/>
              </w:tabs>
              <w:rPr>
                <w:noProof/>
                <w:sz w:val="20"/>
              </w:rPr>
            </w:pPr>
            <w:r>
              <w:rPr>
                <w:noProof/>
                <w:sz w:val="20"/>
              </w:rPr>
              <w:t>Garantir la stabilité, combler les écarts entre les hommes et les femmes et soutenir les transitions dans la vie grâce à une sécurité sociale inclusive pour les agriculteurs, comprenant les femmes, les retraités, les personnes handicapées et d’autres groupes en situation vulnérable, ainsi que l’accès à des services sociaux de qualité et abordables, y compris des soins de longue durée.</w:t>
            </w:r>
          </w:p>
        </w:tc>
        <w:tc>
          <w:tcPr>
            <w:tcW w:w="1453" w:type="dxa"/>
          </w:tcPr>
          <w:p w14:paraId="0A15B7A6" w14:textId="399B4FE4" w:rsidR="00EC43E7" w:rsidRDefault="00EC43E7" w:rsidP="00EC43E7">
            <w:pPr>
              <w:rPr>
                <w:noProof/>
                <w:sz w:val="20"/>
              </w:rPr>
            </w:pPr>
            <w:r>
              <w:rPr>
                <w:noProof/>
                <w:sz w:val="20"/>
              </w:rPr>
              <w:t>À partir du T4 2025</w:t>
            </w:r>
          </w:p>
        </w:tc>
      </w:tr>
      <w:tr w:rsidR="00BF50C3" w14:paraId="52B7041A" w14:textId="77777777" w:rsidTr="00F36971">
        <w:trPr>
          <w:trHeight w:val="326"/>
        </w:trPr>
        <w:tc>
          <w:tcPr>
            <w:tcW w:w="7799" w:type="dxa"/>
            <w:gridSpan w:val="2"/>
            <w:shd w:val="clear" w:color="auto" w:fill="FFC000"/>
          </w:tcPr>
          <w:p w14:paraId="6262F2E8" w14:textId="6787E01C" w:rsidR="00BF50C3" w:rsidRDefault="00BF50C3" w:rsidP="00724B20">
            <w:pPr>
              <w:jc w:val="center"/>
              <w:rPr>
                <w:noProof/>
                <w:sz w:val="20"/>
              </w:rPr>
            </w:pPr>
            <w:r>
              <w:rPr>
                <w:b/>
                <w:noProof/>
                <w:sz w:val="20"/>
              </w:rPr>
              <w:t>Actions volontaires pour les parties prenantes</w:t>
            </w:r>
          </w:p>
        </w:tc>
        <w:tc>
          <w:tcPr>
            <w:tcW w:w="1453" w:type="dxa"/>
            <w:shd w:val="clear" w:color="auto" w:fill="FFC000"/>
          </w:tcPr>
          <w:p w14:paraId="5CF1B725" w14:textId="1E56F5F8" w:rsidR="00BF50C3" w:rsidRDefault="00BF50C3" w:rsidP="730E4BBC">
            <w:pPr>
              <w:rPr>
                <w:noProof/>
                <w:sz w:val="20"/>
              </w:rPr>
            </w:pPr>
            <w:r>
              <w:rPr>
                <w:noProof/>
                <w:sz w:val="20"/>
              </w:rPr>
              <w:t>Volontaire</w:t>
            </w:r>
          </w:p>
        </w:tc>
      </w:tr>
      <w:tr w:rsidR="730E4BBC" w14:paraId="0FC45CBD" w14:textId="77777777" w:rsidTr="00EF3616">
        <w:trPr>
          <w:trHeight w:val="1193"/>
        </w:trPr>
        <w:tc>
          <w:tcPr>
            <w:tcW w:w="1454" w:type="dxa"/>
          </w:tcPr>
          <w:p w14:paraId="36B55FEB" w14:textId="75845231" w:rsidR="730E4BBC" w:rsidRDefault="000E010F" w:rsidP="730E4BBC">
            <w:pPr>
              <w:rPr>
                <w:b/>
                <w:bCs/>
                <w:noProof/>
                <w:sz w:val="20"/>
              </w:rPr>
            </w:pPr>
            <w:r>
              <w:rPr>
                <w:b/>
                <w:noProof/>
                <w:sz w:val="20"/>
              </w:rPr>
              <w:t>Transmission intergénérationnelle collaborative des exploitations agricoles</w:t>
            </w:r>
          </w:p>
        </w:tc>
        <w:tc>
          <w:tcPr>
            <w:tcW w:w="6345" w:type="dxa"/>
          </w:tcPr>
          <w:p w14:paraId="62E38BC8" w14:textId="1A121FAF" w:rsidR="29E1CD32" w:rsidRPr="00B37BFE" w:rsidRDefault="00B37BFE" w:rsidP="730E4BBC">
            <w:pPr>
              <w:spacing w:line="259" w:lineRule="auto"/>
              <w:rPr>
                <w:noProof/>
                <w:sz w:val="20"/>
              </w:rPr>
            </w:pPr>
            <w:r>
              <w:rPr>
                <w:noProof/>
                <w:sz w:val="20"/>
              </w:rPr>
              <w:t>Les organisations d’agriculteurs, qui représentent à la fois les générations plus âgées et les jeunes générations, ainsi que les coopératives, les services de conseil et les réseaux ruraux, devraient collaborer dans le cadre d’une coopération intergénérationnelle et dispenser des formations sur la transmission des exploitations agricoles, la planification des successions et les aspects juridiques/financiers du transfert.</w:t>
            </w:r>
          </w:p>
        </w:tc>
        <w:tc>
          <w:tcPr>
            <w:tcW w:w="1453" w:type="dxa"/>
          </w:tcPr>
          <w:p w14:paraId="3C082CFA" w14:textId="1C3F1A73" w:rsidR="730E4BBC" w:rsidRPr="00B37BFE" w:rsidRDefault="001A66EA" w:rsidP="730E4BBC">
            <w:pPr>
              <w:rPr>
                <w:noProof/>
                <w:sz w:val="20"/>
              </w:rPr>
            </w:pPr>
            <w:r>
              <w:rPr>
                <w:noProof/>
                <w:sz w:val="20"/>
              </w:rPr>
              <w:t>À partir du T4 2025</w:t>
            </w:r>
          </w:p>
        </w:tc>
      </w:tr>
    </w:tbl>
    <w:p w14:paraId="20259053" w14:textId="77777777" w:rsidR="00C328BB" w:rsidRPr="00A37F51" w:rsidRDefault="00C328BB" w:rsidP="00DB33CD">
      <w:pPr>
        <w:spacing w:before="100" w:beforeAutospacing="1" w:after="0"/>
        <w:rPr>
          <w:i/>
          <w:iCs/>
          <w:noProof/>
          <w:szCs w:val="24"/>
        </w:rPr>
      </w:pPr>
    </w:p>
    <w:p w14:paraId="7941A6A9" w14:textId="2B3A953D" w:rsidR="00FC4525" w:rsidRPr="0099483B" w:rsidRDefault="0099483B" w:rsidP="00552A1B">
      <w:pPr>
        <w:pStyle w:val="Heading1"/>
        <w:rPr>
          <w:noProof/>
        </w:rPr>
      </w:pPr>
      <w:bookmarkStart w:id="6" w:name="_Toc207980851"/>
      <w:r>
        <w:rPr>
          <w:noProof/>
        </w:rPr>
        <w:t>Conclusion</w:t>
      </w:r>
      <w:bookmarkEnd w:id="6"/>
    </w:p>
    <w:p w14:paraId="24E65BF5" w14:textId="6FD29898" w:rsidR="00360422" w:rsidRDefault="004767CF" w:rsidP="004767CF">
      <w:pPr>
        <w:rPr>
          <w:noProof/>
        </w:rPr>
      </w:pPr>
      <w:r>
        <w:rPr>
          <w:noProof/>
        </w:rPr>
        <w:t xml:space="preserve">La stratégie pour le renouvellement des générations dans l’agriculture s’articule autour d’initiatives phares qui reposent sur un ensemble complet d’actions dont la mise en œuvre peut être envisagée à des niveaux interconnectés: les mesures prises dans le cadre de la PAC actuelle et future, celles relevant d’autres politiques de l’UE, les actions menées par les États membres, qui sont compétents dans des domaines cruciaux tels que l’accès à la terre, la politique fiscale, l’éducation et les retraites, et, enfin, les initiatives des parties prenantes. Un engagement national et régional fort sera nécessaire en vue de surmonter les obstacles majeurs. </w:t>
      </w:r>
    </w:p>
    <w:p w14:paraId="51DEC5C0" w14:textId="59505BC1" w:rsidR="00924AF6" w:rsidRDefault="007F3624" w:rsidP="004767CF">
      <w:pPr>
        <w:rPr>
          <w:noProof/>
        </w:rPr>
      </w:pPr>
      <w:r>
        <w:rPr>
          <w:noProof/>
        </w:rPr>
        <w:t>La présente stratégie définit une voie claire pour soutenir le renouvellement des générations dans l’agriculture européenne en traduisant l’ambition politique en actions concrètes. Elle fournit un cadre qui relie différentes politiques et différents niveaux de gouvernance afin de lever les obstacles rencontrés par les jeunes et de promouvoir des conditions équitables pour les agriculteurs âgés qui quittent le secteur, y compris au moyen de régimes de pension et de retraite adéquats. Elle introduit également une nouvelle plateforme relative aux femmes dans l’agriculture afin de favoriser l’égalité des chances et la mise en réseau. Par ailleurs, elle accorde une attention particulière aux agriculteurs de moins de 40 ans, qui rencontrent les plus grandes difficultés d’accès au financement et au crédit, tout en reconnaissant le rôle essentiel des nouveaux agriculteurs de tous âges dans le maintien des systèmes alimentaires, de la vitalité rurale et de l’héritage environnemental de l’UE.</w:t>
      </w:r>
    </w:p>
    <w:p w14:paraId="5A6CDFB3" w14:textId="35FE834D" w:rsidR="004767CF" w:rsidRPr="004767CF" w:rsidRDefault="00142D62" w:rsidP="004767CF">
      <w:pPr>
        <w:rPr>
          <w:noProof/>
        </w:rPr>
      </w:pPr>
      <w:r>
        <w:rPr>
          <w:b/>
          <w:noProof/>
        </w:rPr>
        <w:t>La Commission a proposé que tous les États membres élaborent leur propre stratégie de renouvellement des générations pour l’agriculture d’ici à 2028 dans le cadre de leurs plans de partenariat national et régional</w:t>
      </w:r>
      <w:r>
        <w:rPr>
          <w:noProof/>
        </w:rPr>
        <w:t>, en combinant des actions au titre de la politique agricole de l’UE, des politiques rurales nationales ainsi que des cadres fiscaux et sociaux. La Commission invite les États membres à adapter les mesures à leurs besoins spécifiques, en tenant compte de la diversité des systèmes agricoles, des législations relatives à la succession et à la fiscalité et des réalités rurales en Europe.</w:t>
      </w:r>
    </w:p>
    <w:p w14:paraId="398052FD" w14:textId="23119026" w:rsidR="00106CD6" w:rsidRDefault="00805E98" w:rsidP="00D044BB">
      <w:pPr>
        <w:rPr>
          <w:noProof/>
        </w:rPr>
      </w:pPr>
      <w:r>
        <w:rPr>
          <w:noProof/>
        </w:rPr>
        <w:t xml:space="preserve">Atteindre les objectifs de la stratégie requiert </w:t>
      </w:r>
      <w:r>
        <w:rPr>
          <w:b/>
          <w:noProof/>
        </w:rPr>
        <w:t>une coopération étroite entre les autorités nationales et régionales et les agriculteurs de toutes les générations, soutenue par une direction politique, par un financement spécifique et par l’engagement à long terme de tous les acteurs</w:t>
      </w:r>
      <w:r>
        <w:rPr>
          <w:noProof/>
        </w:rPr>
        <w:t>. Ces facteurs sont essentiels pour concevoir des interventions efficaces et adaptées aux contextes, ainsi que pour libérer le potentiel de la prochaine génération.</w:t>
      </w:r>
    </w:p>
    <w:p w14:paraId="71BC3F23" w14:textId="409199AB" w:rsidR="00D044BB" w:rsidRDefault="004767CF" w:rsidP="00D044BB">
      <w:pPr>
        <w:rPr>
          <w:noProof/>
        </w:rPr>
      </w:pPr>
      <w:r>
        <w:rPr>
          <w:noProof/>
        </w:rPr>
        <w:t>En complément de ces efforts, la communication, la promotion et l’appui à la diversification des exploitations agricoles renforceront l’image de l’agriculture en tant que carrière attrayante, viable et pleine de sens, tout en soulignant l’importance sociétale plus large du renouvellement des générations pour l’avenir des systèmes alimentaires et des communautés rurales en Europe.</w:t>
      </w:r>
    </w:p>
    <w:p w14:paraId="4955D8D0" w14:textId="77777777" w:rsidR="00823038" w:rsidRPr="009642E6" w:rsidRDefault="00823038" w:rsidP="00823038">
      <w:pPr>
        <w:spacing w:before="100" w:beforeAutospacing="1" w:after="100" w:afterAutospacing="1"/>
        <w:rPr>
          <w:noProof/>
        </w:rPr>
      </w:pPr>
      <w:r>
        <w:rPr>
          <w:b/>
          <w:noProof/>
        </w:rPr>
        <w:t>Prises dans leur ensemble, ces mesures constituent le fondement d’un renouvellement durable des générations dans l’agriculture européenne.</w:t>
      </w:r>
    </w:p>
    <w:p w14:paraId="7FA07441" w14:textId="51E2A4BE" w:rsidR="007933AD" w:rsidRPr="00C668CD" w:rsidRDefault="00804F56" w:rsidP="00804F56">
      <w:pPr>
        <w:rPr>
          <w:noProof/>
        </w:rPr>
      </w:pPr>
      <w:r>
        <w:rPr>
          <w:noProof/>
        </w:rPr>
        <w:t xml:space="preserve">Portée par cette ambition et soutenue par la proposition relative à la PAC 2028-2034, la stratégie fixe un </w:t>
      </w:r>
      <w:r>
        <w:rPr>
          <w:b/>
          <w:noProof/>
        </w:rPr>
        <w:t>objectif ambitieux visant à augmenter, d’ici à 2040, la part actuelle de 12 % de jeunes agriculteurs dans l’UE, l’objectif étant d’atteindre le pourcentage de 24 % en incluant également les nouveaux agriculteurs</w:t>
      </w:r>
      <w:r>
        <w:rPr>
          <w:noProof/>
        </w:rPr>
        <w:t>. Cette ambition rejoint la recommandation de la Commission de</w:t>
      </w:r>
      <w:r>
        <w:rPr>
          <w:b/>
          <w:noProof/>
        </w:rPr>
        <w:t xml:space="preserve"> consacrer au moins 6 % des dépenses agricoles au renouvellement des générations</w:t>
      </w:r>
      <w:r>
        <w:rPr>
          <w:noProof/>
        </w:rPr>
        <w:t>, qui est particulièrement cruciale pour les États membres accusant un retard dans ce domaine.</w:t>
      </w:r>
    </w:p>
    <w:p w14:paraId="13346E38" w14:textId="7BDBB35F" w:rsidR="00D044BB" w:rsidRDefault="005067D4" w:rsidP="004767CF">
      <w:pPr>
        <w:rPr>
          <w:noProof/>
        </w:rPr>
      </w:pPr>
      <w:r>
        <w:rPr>
          <w:noProof/>
        </w:rPr>
        <w:t xml:space="preserve">La Commission continuera à s’investir auprès des jeunes agriculteurs et envisage de faire le point sur les progrès réalisés au cours des dialogues en faveur de la jeunesse, en particulier lors de celui qui se tiendra au printemps 2029, à la fin du mandat actuel du collège. </w:t>
      </w:r>
    </w:p>
    <w:p w14:paraId="58E4D46F" w14:textId="63FC5D26" w:rsidR="00772691" w:rsidRPr="00797595" w:rsidRDefault="00772691" w:rsidP="009834DD">
      <w:pPr>
        <w:rPr>
          <w:noProof/>
        </w:rPr>
      </w:pPr>
    </w:p>
    <w:sectPr w:rsidR="00772691" w:rsidRPr="00797595" w:rsidSect="007C0C5B">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416"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6601A" w14:textId="77777777" w:rsidR="001C770A" w:rsidRDefault="001C770A">
      <w:pPr>
        <w:spacing w:after="0"/>
      </w:pPr>
      <w:r>
        <w:separator/>
      </w:r>
    </w:p>
  </w:endnote>
  <w:endnote w:type="continuationSeparator" w:id="0">
    <w:p w14:paraId="7090C988" w14:textId="77777777" w:rsidR="001C770A" w:rsidRDefault="001C770A">
      <w:pPr>
        <w:spacing w:after="0"/>
      </w:pPr>
      <w:r>
        <w:continuationSeparator/>
      </w:r>
    </w:p>
  </w:endnote>
  <w:endnote w:type="continuationNotice" w:id="1">
    <w:p w14:paraId="230036FF" w14:textId="77777777" w:rsidR="001C770A" w:rsidRDefault="001C770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FBE14" w14:textId="0DA23224" w:rsidR="00090FFC" w:rsidRPr="00090FFC" w:rsidRDefault="00090FFC" w:rsidP="00090FFC">
    <w:pPr>
      <w:pStyle w:val="FooterCoverPage"/>
      <w:rPr>
        <w:rFonts w:ascii="Arial" w:hAnsi="Arial" w:cs="Arial"/>
        <w:b/>
        <w:sz w:val="48"/>
      </w:rPr>
    </w:pPr>
    <w:r w:rsidRPr="00090FFC">
      <w:rPr>
        <w:rFonts w:ascii="Arial" w:hAnsi="Arial" w:cs="Arial"/>
        <w:b/>
        <w:sz w:val="48"/>
      </w:rPr>
      <w:t>FR</w:t>
    </w:r>
    <w:r w:rsidRPr="00090FFC">
      <w:rPr>
        <w:rFonts w:ascii="Arial" w:hAnsi="Arial" w:cs="Arial"/>
        <w:b/>
        <w:sz w:val="48"/>
      </w:rPr>
      <w:tab/>
    </w:r>
    <w:r w:rsidRPr="00090FFC">
      <w:rPr>
        <w:rFonts w:ascii="Arial" w:hAnsi="Arial" w:cs="Arial"/>
        <w:b/>
        <w:sz w:val="48"/>
      </w:rPr>
      <w:tab/>
    </w:r>
    <w:r w:rsidRPr="00090FFC">
      <w:tab/>
    </w:r>
    <w:r w:rsidRPr="00090FF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58CA3" w14:textId="25E2412C" w:rsidR="00090FFC" w:rsidRPr="00090FFC" w:rsidRDefault="00090FFC" w:rsidP="00090FFC">
    <w:pPr>
      <w:pStyle w:val="FooterCoverPage"/>
      <w:rPr>
        <w:rFonts w:ascii="Arial" w:hAnsi="Arial" w:cs="Arial"/>
        <w:b/>
        <w:sz w:val="48"/>
      </w:rPr>
    </w:pPr>
    <w:r w:rsidRPr="00090FFC">
      <w:rPr>
        <w:rFonts w:ascii="Arial" w:hAnsi="Arial" w:cs="Arial"/>
        <w:b/>
        <w:sz w:val="48"/>
      </w:rPr>
      <w:t>FR</w:t>
    </w:r>
    <w:r w:rsidRPr="00090FFC">
      <w:rPr>
        <w:rFonts w:ascii="Arial" w:hAnsi="Arial" w:cs="Arial"/>
        <w:b/>
        <w:sz w:val="48"/>
      </w:rPr>
      <w:tab/>
    </w:r>
    <w:r w:rsidRPr="00090FFC">
      <w:rPr>
        <w:rFonts w:ascii="Arial" w:hAnsi="Arial" w:cs="Arial"/>
        <w:b/>
        <w:sz w:val="48"/>
      </w:rPr>
      <w:tab/>
    </w:r>
    <w:r w:rsidRPr="00090FFC">
      <w:tab/>
    </w:r>
    <w:r w:rsidRPr="00090FF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06BF6" w14:textId="77777777" w:rsidR="00090FFC" w:rsidRPr="00090FFC" w:rsidRDefault="00090FFC" w:rsidP="00090FF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5CBDC" w14:textId="77777777" w:rsidR="007C0C5B" w:rsidRDefault="007C0C5B">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265195"/>
      <w:docPartObj>
        <w:docPartGallery w:val="Page Numbers (Bottom of Page)"/>
        <w:docPartUnique/>
      </w:docPartObj>
    </w:sdtPr>
    <w:sdtEndPr>
      <w:rPr>
        <w:noProof/>
      </w:rPr>
    </w:sdtEndPr>
    <w:sdtContent>
      <w:p w14:paraId="0BE0963F" w14:textId="76FBCC02" w:rsidR="007C0C5B" w:rsidRDefault="007C0C5B">
        <w:pPr>
          <w:pStyle w:val="Footer"/>
          <w:jc w:val="right"/>
        </w:pPr>
        <w:r>
          <w:fldChar w:fldCharType="begin"/>
        </w:r>
        <w:r>
          <w:instrText xml:space="preserve"> PAGE   \* MERGEFORMAT </w:instrText>
        </w:r>
        <w:r>
          <w:fldChar w:fldCharType="separate"/>
        </w:r>
        <w:r w:rsidR="00090FFC">
          <w:rPr>
            <w:noProof/>
          </w:rPr>
          <w:t>2</w:t>
        </w:r>
        <w:r>
          <w:fldChar w:fldCharType="end"/>
        </w:r>
      </w:p>
    </w:sdtContent>
  </w:sdt>
  <w:p w14:paraId="41F09DDE" w14:textId="77777777" w:rsidR="007C0C5B" w:rsidRDefault="007C0C5B">
    <w:pPr>
      <w:pStyle w:val="FooterLine"/>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5093C" w14:textId="77777777" w:rsidR="007C0C5B" w:rsidRDefault="007C0C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9277B4" w14:textId="77777777" w:rsidR="001C770A" w:rsidRDefault="001C770A">
      <w:pPr>
        <w:spacing w:after="0"/>
      </w:pPr>
      <w:r>
        <w:separator/>
      </w:r>
    </w:p>
  </w:footnote>
  <w:footnote w:type="continuationSeparator" w:id="0">
    <w:p w14:paraId="72415B8E" w14:textId="77777777" w:rsidR="001C770A" w:rsidRDefault="001C770A">
      <w:pPr>
        <w:spacing w:after="0"/>
      </w:pPr>
      <w:r>
        <w:continuationSeparator/>
      </w:r>
    </w:p>
  </w:footnote>
  <w:footnote w:type="continuationNotice" w:id="1">
    <w:p w14:paraId="657AAE38" w14:textId="77777777" w:rsidR="001C770A" w:rsidRDefault="001C770A">
      <w:pPr>
        <w:spacing w:after="0"/>
      </w:pPr>
    </w:p>
  </w:footnote>
  <w:footnote w:id="2">
    <w:p w14:paraId="55847A25" w14:textId="111D0F92" w:rsidR="00B66767" w:rsidRPr="004E5BDC" w:rsidRDefault="00B66767" w:rsidP="00B66767">
      <w:pPr>
        <w:pStyle w:val="FootnoteText"/>
        <w:spacing w:after="0"/>
      </w:pPr>
      <w:r>
        <w:rPr>
          <w:rStyle w:val="FootnoteReference"/>
        </w:rPr>
        <w:footnoteRef/>
      </w:r>
      <w:r>
        <w:tab/>
        <w:t xml:space="preserve">Eurostat, </w:t>
      </w:r>
      <w:hyperlink r:id="rId1" w:history="1">
        <w:r>
          <w:rPr>
            <w:rStyle w:val="Hyperlink"/>
          </w:rPr>
          <w:t>Farmers and the Agricultural Labour Force</w:t>
        </w:r>
      </w:hyperlink>
      <w:r>
        <w:t xml:space="preserve"> (Les agriculteurs et la main-d’œuvre agricole),</w:t>
      </w:r>
      <w:r>
        <w:rPr>
          <w:i/>
        </w:rPr>
        <w:t xml:space="preserve"> </w:t>
      </w:r>
      <w:r>
        <w:t>2020.</w:t>
      </w:r>
    </w:p>
  </w:footnote>
  <w:footnote w:id="3">
    <w:p w14:paraId="2FB0E6D4" w14:textId="325D4A61" w:rsidR="007D03CB" w:rsidRPr="004E5BDC" w:rsidRDefault="007D03CB" w:rsidP="00A46051">
      <w:pPr>
        <w:pStyle w:val="FootnoteText"/>
        <w:spacing w:after="0"/>
      </w:pPr>
      <w:r>
        <w:rPr>
          <w:rStyle w:val="FootnoteReference"/>
        </w:rPr>
        <w:footnoteRef/>
      </w:r>
      <w:r>
        <w:tab/>
      </w:r>
      <w:hyperlink r:id="rId2">
        <w:r>
          <w:rPr>
            <w:rStyle w:val="Hyperlink"/>
          </w:rPr>
          <w:t>Une vision pour l’agriculture et l’alimentation – Œuvrer ensemble pour un secteur agricole et alimentaire européen attractif pour les générations futures</w:t>
        </w:r>
      </w:hyperlink>
    </w:p>
  </w:footnote>
  <w:footnote w:id="4">
    <w:p w14:paraId="16A8A647" w14:textId="4E7D6088" w:rsidR="008E5A0D" w:rsidRPr="008E5A0D" w:rsidRDefault="008E5A0D" w:rsidP="002F014E">
      <w:pPr>
        <w:pStyle w:val="FootnoteText"/>
        <w:spacing w:after="0"/>
      </w:pPr>
      <w:r>
        <w:rPr>
          <w:rStyle w:val="FootnoteReference"/>
        </w:rPr>
        <w:footnoteRef/>
      </w:r>
      <w:r>
        <w:tab/>
        <w:t>Article 4, paragraphe 6, du règlement (UE) 2021/2115 établissant des règles pour les plans stratégiques relevant de la PAC.</w:t>
      </w:r>
    </w:p>
  </w:footnote>
  <w:footnote w:id="5">
    <w:p w14:paraId="2E3630C0" w14:textId="34CDD679" w:rsidR="001459D1" w:rsidRPr="00A46051" w:rsidRDefault="001459D1" w:rsidP="002F014E">
      <w:pPr>
        <w:pStyle w:val="FootnoteText"/>
        <w:spacing w:after="0"/>
      </w:pPr>
      <w:r>
        <w:rPr>
          <w:rStyle w:val="FootnoteReference"/>
        </w:rPr>
        <w:footnoteRef/>
      </w:r>
      <w:r>
        <w:tab/>
        <w:t>COM(2025) 560 final.</w:t>
      </w:r>
    </w:p>
  </w:footnote>
  <w:footnote w:id="6">
    <w:p w14:paraId="631B2DFE" w14:textId="57A9BC7E" w:rsidR="001459D1" w:rsidRPr="00F34ED0" w:rsidRDefault="001459D1" w:rsidP="00A46051">
      <w:pPr>
        <w:pStyle w:val="FootnoteText"/>
        <w:spacing w:after="0"/>
      </w:pPr>
      <w:r>
        <w:rPr>
          <w:rStyle w:val="FootnoteReference"/>
        </w:rPr>
        <w:footnoteRef/>
      </w:r>
      <w:r>
        <w:tab/>
        <w:t>COM(2025) 565 final.</w:t>
      </w:r>
    </w:p>
  </w:footnote>
  <w:footnote w:id="7">
    <w:p w14:paraId="309F6F7D" w14:textId="77777777" w:rsidR="00645146" w:rsidRPr="00633436" w:rsidRDefault="00645146" w:rsidP="00A46051">
      <w:pPr>
        <w:pStyle w:val="FootnoteText"/>
        <w:spacing w:after="0"/>
      </w:pPr>
      <w:r>
        <w:rPr>
          <w:rStyle w:val="FootnoteReference"/>
        </w:rPr>
        <w:footnoteRef/>
      </w:r>
      <w:r>
        <w:tab/>
      </w:r>
      <w:hyperlink r:id="rId3" w:history="1">
        <w:r>
          <w:rPr>
            <w:rStyle w:val="Hyperlink"/>
          </w:rPr>
          <w:t>Lettre de mission au commissaire Christophe Hansen</w:t>
        </w:r>
      </w:hyperlink>
      <w:r>
        <w:t xml:space="preserve">. </w:t>
      </w:r>
    </w:p>
  </w:footnote>
  <w:footnote w:id="8">
    <w:p w14:paraId="6F84EED7" w14:textId="3F002DCE" w:rsidR="00645146" w:rsidRPr="004B78F4" w:rsidRDefault="00645146" w:rsidP="004B78F4">
      <w:pPr>
        <w:pStyle w:val="FootnoteText"/>
        <w:spacing w:after="0"/>
      </w:pPr>
      <w:r>
        <w:rPr>
          <w:rStyle w:val="FootnoteReference"/>
        </w:rPr>
        <w:footnoteRef/>
      </w:r>
      <w:r>
        <w:tab/>
        <w:t xml:space="preserve">Document de travail des services de la Commission </w:t>
      </w:r>
      <w:r>
        <w:rPr>
          <w:i/>
        </w:rPr>
        <w:t>Consultation des parties intéressées — Rapport de synthèse</w:t>
      </w:r>
      <w:r>
        <w:t xml:space="preserve"> accompagnant cette stratégie.</w:t>
      </w:r>
    </w:p>
  </w:footnote>
  <w:footnote w:id="9">
    <w:p w14:paraId="59CBA58A" w14:textId="435EA91A" w:rsidR="00645146" w:rsidRDefault="00645146" w:rsidP="00A46051">
      <w:pPr>
        <w:pStyle w:val="FootnoteText"/>
        <w:spacing w:after="0"/>
      </w:pPr>
      <w:r>
        <w:rPr>
          <w:rStyle w:val="FootnoteReference"/>
        </w:rPr>
        <w:footnoteRef/>
      </w:r>
      <w:r>
        <w:tab/>
        <w:t>Les jeunes agriculteurs dans l’agriculture de l’UE — Note analytique nº 10, DG Agriculture et développement rural.</w:t>
      </w:r>
    </w:p>
  </w:footnote>
  <w:footnote w:id="10">
    <w:p w14:paraId="749A8DA6" w14:textId="77777777" w:rsidR="00645146" w:rsidRDefault="00645146" w:rsidP="00645146">
      <w:pPr>
        <w:pStyle w:val="FootnoteText"/>
        <w:spacing w:after="0"/>
      </w:pPr>
      <w:r>
        <w:rPr>
          <w:rStyle w:val="FootnoteReference"/>
        </w:rPr>
        <w:footnoteRef/>
      </w:r>
      <w:r>
        <w:tab/>
        <w:t>Résolution du Parlement européen du 19 octobre 2023 sur le renouvellement des générations dans les exploitations agricoles de l’Union européenne (</w:t>
      </w:r>
      <w:hyperlink r:id="rId4">
        <w:r>
          <w:rPr>
            <w:rStyle w:val="Hyperlink"/>
          </w:rPr>
          <w:t>2022/2182 (INI)</w:t>
        </w:r>
      </w:hyperlink>
      <w:r>
        <w:t>).</w:t>
      </w:r>
    </w:p>
  </w:footnote>
  <w:footnote w:id="11">
    <w:p w14:paraId="6839166F" w14:textId="77777777" w:rsidR="00645146" w:rsidRDefault="00645146" w:rsidP="00645146">
      <w:pPr>
        <w:pStyle w:val="FootnoteText"/>
        <w:spacing w:after="0"/>
      </w:pPr>
      <w:r>
        <w:rPr>
          <w:rStyle w:val="FootnoteReference"/>
        </w:rPr>
        <w:footnoteRef/>
      </w:r>
      <w:r>
        <w:tab/>
        <w:t xml:space="preserve">Conclusions du Conseil sur une vision à long terme pour les zones rurales de l’UE </w:t>
      </w:r>
      <w:hyperlink r:id="rId5">
        <w:r>
          <w:rPr>
            <w:rStyle w:val="Hyperlink"/>
          </w:rPr>
          <w:t>15631/23</w:t>
        </w:r>
      </w:hyperlink>
      <w:r>
        <w:t>.</w:t>
      </w:r>
    </w:p>
  </w:footnote>
  <w:footnote w:id="12">
    <w:p w14:paraId="711E8759" w14:textId="77777777" w:rsidR="00645146" w:rsidRDefault="00645146" w:rsidP="00964CA3">
      <w:pPr>
        <w:pStyle w:val="FootnoteText"/>
        <w:spacing w:after="0"/>
      </w:pPr>
      <w:r>
        <w:rPr>
          <w:rStyle w:val="FootnoteReference"/>
        </w:rPr>
        <w:footnoteRef/>
      </w:r>
      <w:r>
        <w:tab/>
      </w:r>
      <w:hyperlink r:id="rId6">
        <w:r>
          <w:rPr>
            <w:rStyle w:val="Hyperlink"/>
          </w:rPr>
          <w:t>Dialogue stratégique sur l’avenir de l’agriculture de l’UE.</w:t>
        </w:r>
      </w:hyperlink>
      <w:hyperlink r:id="rId7">
        <w:r>
          <w:rPr>
            <w:rStyle w:val="Hyperlink"/>
          </w:rPr>
          <w:t xml:space="preserve"> Une perspective commune pour l’agriculture et l’alimentation en Europe</w:t>
        </w:r>
      </w:hyperlink>
      <w:r>
        <w:t xml:space="preserve">, 2024. </w:t>
      </w:r>
    </w:p>
  </w:footnote>
  <w:footnote w:id="13">
    <w:p w14:paraId="23F21BD8" w14:textId="7DEB5953" w:rsidR="00134129" w:rsidRPr="00134129" w:rsidRDefault="00376E47" w:rsidP="00134129">
      <w:pPr>
        <w:pStyle w:val="FootnoteText"/>
        <w:spacing w:after="0"/>
      </w:pPr>
      <w:r>
        <w:rPr>
          <w:rStyle w:val="FootnoteReference"/>
        </w:rPr>
        <w:footnoteRef/>
      </w:r>
      <w:r>
        <w:tab/>
        <w:t>Proposition de règlement du Parlement européen et du Conseil sur l’établissement du Fonds européen pour la compétitivité, comprenant le programme spécifique pour les activités de recherche et développement en matière de défense, abrogeant les règlements (UE) 2021/522, (UE) 2021/694, (UE) 2021/697, (UE) 2021/783, et modifiant les règlements (UE) 2021/696, (UE) 2023/588 et (UE) [programme pour l’industrie européenne de la défense] [COM(2025) 555 final], volet «Santé, biotechnologies, agriculture et bioéconomie».</w:t>
      </w:r>
    </w:p>
    <w:p w14:paraId="5AF8072E" w14:textId="1A22F4A7" w:rsidR="00376E47" w:rsidRPr="00170903" w:rsidRDefault="00376E47" w:rsidP="00964CA3">
      <w:pPr>
        <w:pStyle w:val="FootnoteText"/>
        <w:spacing w:after="0"/>
      </w:pPr>
    </w:p>
  </w:footnote>
  <w:footnote w:id="14">
    <w:p w14:paraId="06F47911" w14:textId="5E537D98" w:rsidR="00964CA3" w:rsidRPr="00964CA3" w:rsidRDefault="00376E47" w:rsidP="00964CA3">
      <w:pPr>
        <w:pStyle w:val="FootnoteText"/>
        <w:spacing w:after="0"/>
      </w:pPr>
      <w:r>
        <w:rPr>
          <w:rStyle w:val="FootnoteReference"/>
        </w:rPr>
        <w:footnoteRef/>
      </w:r>
      <w:r>
        <w:tab/>
        <w:t>Proposition de règlement du Parlement européen et du Conseil portant établissement du programme-cadre pour la recherche et l’innovation «Horizon Europe» pour la période 2028-2034, définissant ses règles de participation et de diffusion, et abrogeant le règlement (UE) 2021/695, [COM(2025) 543 final], Pilier II, thématique «Santé, biotechnologies, agriculture et bioéconomie».</w:t>
      </w:r>
    </w:p>
    <w:p w14:paraId="531FDF54" w14:textId="6BD53E77" w:rsidR="00376E47" w:rsidRPr="00170903" w:rsidRDefault="00376E47">
      <w:pPr>
        <w:pStyle w:val="FootnoteText"/>
      </w:pPr>
    </w:p>
  </w:footnote>
  <w:footnote w:id="15">
    <w:p w14:paraId="63166F08" w14:textId="131087A6" w:rsidR="002B7184" w:rsidRPr="004E5BDC" w:rsidRDefault="2373DDDF" w:rsidP="00244300">
      <w:pPr>
        <w:pStyle w:val="FootnoteText"/>
        <w:spacing w:after="0"/>
      </w:pPr>
      <w:r>
        <w:rPr>
          <w:rStyle w:val="FootnoteReference"/>
        </w:rPr>
        <w:footnoteRef/>
      </w:r>
      <w:r>
        <w:t>.</w:t>
      </w:r>
      <w:r>
        <w:tab/>
        <w:t xml:space="preserve">Eurostat, </w:t>
      </w:r>
      <w:hyperlink r:id="rId8" w:history="1">
        <w:r>
          <w:rPr>
            <w:rStyle w:val="Hyperlink"/>
          </w:rPr>
          <w:t>Demography of Europe</w:t>
        </w:r>
      </w:hyperlink>
      <w:r>
        <w:t xml:space="preserve"> (Démographie de l’Europe, édition 2025).</w:t>
      </w:r>
      <w:r>
        <w:fldChar w:fldCharType="begin"/>
      </w:r>
      <w:r>
        <w:instrText>https://ec.europa.eu/eurostat/web/interactive-publications/demography-2023" \l "growing-population" \h</w:instrText>
      </w:r>
      <w:r>
        <w:fldChar w:fldCharType="separate"/>
      </w:r>
      <w:r>
        <w:rPr>
          <w:rStyle w:val="Hyperlink"/>
        </w:rPr>
        <w:t>Demography of Europe – 2023 edition - Interactive publications - Eurostat</w:t>
      </w:r>
      <w:r>
        <w:fldChar w:fldCharType="end"/>
      </w:r>
    </w:p>
  </w:footnote>
  <w:footnote w:id="16">
    <w:p w14:paraId="220EF388" w14:textId="2FDCE3FE" w:rsidR="00941A49" w:rsidRPr="00DE52B7" w:rsidRDefault="00941A49" w:rsidP="00244300">
      <w:pPr>
        <w:pStyle w:val="FootnoteText"/>
        <w:spacing w:after="0"/>
      </w:pPr>
      <w:r>
        <w:rPr>
          <w:rStyle w:val="FootnoteReference"/>
        </w:rPr>
        <w:footnoteRef/>
      </w:r>
      <w:r>
        <w:t>.</w:t>
      </w:r>
      <w:r>
        <w:tab/>
        <w:t xml:space="preserve">Eurostat, </w:t>
      </w:r>
      <w:hyperlink r:id="rId9" w:history="1">
        <w:r>
          <w:rPr>
            <w:rStyle w:val="Hyperlink"/>
          </w:rPr>
          <w:t>Agriculture statistics – family farming in the EU, 2020</w:t>
        </w:r>
      </w:hyperlink>
      <w:r>
        <w:t xml:space="preserve"> (Statistiques agricoles — Agriculture familiale dans l’UE).</w:t>
      </w:r>
    </w:p>
  </w:footnote>
  <w:footnote w:id="17">
    <w:p w14:paraId="6F49DB62" w14:textId="77777777" w:rsidR="005A6AC8" w:rsidRPr="004E5BDC" w:rsidRDefault="005A6AC8" w:rsidP="005A6AC8">
      <w:pPr>
        <w:pStyle w:val="FootnoteText"/>
        <w:spacing w:after="0"/>
      </w:pPr>
      <w:r>
        <w:rPr>
          <w:rStyle w:val="FootnoteReference"/>
        </w:rPr>
        <w:footnoteRef/>
      </w:r>
      <w:r>
        <w:t>.</w:t>
      </w:r>
      <w:r>
        <w:tab/>
        <w:t xml:space="preserve">Eurostat, </w:t>
      </w:r>
      <w:hyperlink r:id="rId10" w:history="1">
        <w:r>
          <w:rPr>
            <w:rStyle w:val="Hyperlink"/>
          </w:rPr>
          <w:t>Farms and farmland in the European Union, 2020</w:t>
        </w:r>
      </w:hyperlink>
      <w:r>
        <w:t xml:space="preserve"> (Exploitations agricoles et surfaces cultivées dans l’Union européenne).</w:t>
      </w:r>
    </w:p>
  </w:footnote>
  <w:footnote w:id="18">
    <w:p w14:paraId="3FAB7466" w14:textId="54C1C86C" w:rsidR="00595008" w:rsidRPr="00987C10" w:rsidRDefault="00595008" w:rsidP="00987C10">
      <w:pPr>
        <w:pStyle w:val="FootnoteText"/>
        <w:spacing w:after="0"/>
      </w:pPr>
      <w:r>
        <w:rPr>
          <w:rStyle w:val="FootnoteReference"/>
        </w:rPr>
        <w:footnoteRef/>
      </w:r>
      <w:r>
        <w:t>.</w:t>
      </w:r>
      <w:r>
        <w:tab/>
        <w:t>L’EU-28 inclut le Royaume-Uni avant son départ de l’UE, le 31 janvier 2020.</w:t>
      </w:r>
    </w:p>
  </w:footnote>
  <w:footnote w:id="19">
    <w:p w14:paraId="5B904CD0" w14:textId="2634D0D5" w:rsidR="002B018E" w:rsidRPr="002B018E" w:rsidRDefault="002B018E" w:rsidP="002B018E">
      <w:pPr>
        <w:pStyle w:val="FootnoteText"/>
        <w:spacing w:after="0"/>
      </w:pPr>
      <w:r>
        <w:rPr>
          <w:rStyle w:val="FootnoteReference"/>
        </w:rPr>
        <w:footnoteRef/>
      </w:r>
      <w:r>
        <w:t>.</w:t>
      </w:r>
      <w:r>
        <w:tab/>
      </w:r>
      <w:hyperlink r:id="rId11" w:anchor=":~:text=The%20proportion%20of%20young%20people%20in%20rural%20areas,25-29%20from%206%20949.2%20to%205%20881.3%20million">
        <w:r>
          <w:rPr>
            <w:rStyle w:val="Hyperlink"/>
          </w:rPr>
          <w:t>Les jeunes dans l’agriculture et les zones rurales — Commission européenne</w:t>
        </w:r>
      </w:hyperlink>
      <w:r>
        <w:t>.</w:t>
      </w:r>
    </w:p>
  </w:footnote>
  <w:footnote w:id="20">
    <w:p w14:paraId="1B42440D" w14:textId="6EAF4A8A" w:rsidR="002448CB" w:rsidRPr="004E5BDC" w:rsidRDefault="002448CB" w:rsidP="002B018E">
      <w:pPr>
        <w:pStyle w:val="FootnoteText"/>
        <w:spacing w:after="0"/>
      </w:pPr>
      <w:r>
        <w:rPr>
          <w:rStyle w:val="FootnoteReference"/>
        </w:rPr>
        <w:footnoteRef/>
      </w:r>
      <w:r>
        <w:t xml:space="preserve"> Règlement (UE) 2025/1914 du Parlement européen et du Conseil modifiant les règlements (UE) 2021/1058 et (UE) 2021/1056 en ce qui concerne des mesures spécifiques visant à relever des défis stratégiques dans le cadre de l’examen à mi-parcours, adopté le 18 septembre 2025, JO L, 19.9.2025. </w:t>
      </w:r>
    </w:p>
  </w:footnote>
  <w:footnote w:id="21">
    <w:p w14:paraId="178101BF" w14:textId="77777777" w:rsidR="00E71F20" w:rsidRPr="00EC02C3" w:rsidRDefault="00E71F20" w:rsidP="00595008">
      <w:pPr>
        <w:pStyle w:val="FootnoteText"/>
        <w:spacing w:after="0"/>
      </w:pPr>
      <w:r>
        <w:rPr>
          <w:rStyle w:val="FootnoteReference"/>
        </w:rPr>
        <w:footnoteRef/>
      </w:r>
      <w:r>
        <w:t>.</w:t>
      </w:r>
      <w:r>
        <w:tab/>
      </w:r>
      <w:hyperlink r:id="rId12" w:history="1">
        <w:r>
          <w:rPr>
            <w:rStyle w:val="Hyperlink"/>
          </w:rPr>
          <w:t>Répertoire des publications du JRC — Farmers of the future</w:t>
        </w:r>
      </w:hyperlink>
      <w:r>
        <w:t xml:space="preserve"> (Les agriculteurs de demain).</w:t>
      </w:r>
    </w:p>
  </w:footnote>
  <w:footnote w:id="22">
    <w:p w14:paraId="7832E4AD" w14:textId="77777777" w:rsidR="00AE604B" w:rsidRPr="00EA319D" w:rsidRDefault="00AE604B" w:rsidP="005476B8">
      <w:pPr>
        <w:pStyle w:val="FootnoteText"/>
        <w:spacing w:after="0"/>
      </w:pPr>
      <w:r>
        <w:rPr>
          <w:rStyle w:val="FootnoteReference"/>
        </w:rPr>
        <w:footnoteRef/>
      </w:r>
      <w:r>
        <w:t>.</w:t>
      </w:r>
      <w:r>
        <w:tab/>
        <w:t xml:space="preserve">Proposition de règlement du Parlement européen et du Conseil modifiant les règlements (UE) 2021/1058 et (UE) 2021/1056 en ce qui concerne des mesures spécifiques visant à relever des défis stratégiques dans le cadre de l’examen à mi-parcours. </w:t>
      </w:r>
    </w:p>
  </w:footnote>
  <w:footnote w:id="23">
    <w:p w14:paraId="05938D10" w14:textId="77777777" w:rsidR="002816A7" w:rsidRPr="00A64641" w:rsidRDefault="002816A7" w:rsidP="005476B8">
      <w:pPr>
        <w:pStyle w:val="FootnoteText"/>
        <w:spacing w:after="0"/>
      </w:pPr>
      <w:r>
        <w:rPr>
          <w:rStyle w:val="FootnoteReference"/>
        </w:rPr>
        <w:footnoteRef/>
      </w:r>
      <w:r>
        <w:t>.</w:t>
      </w:r>
      <w:r>
        <w:tab/>
        <w:t>Commission européenne – Direction générale de l’agriculture et du développement rural – Unité A.3 (2025): Évaluation des stratégies de renouvellement des générations dans les États membres de l’UE — Rapport.</w:t>
      </w:r>
    </w:p>
  </w:footnote>
  <w:footnote w:id="24">
    <w:p w14:paraId="277DBDC6" w14:textId="77777777" w:rsidR="007E6908" w:rsidRPr="00772691" w:rsidRDefault="007E6908" w:rsidP="00E218E1">
      <w:pPr>
        <w:pStyle w:val="FootnoteText"/>
        <w:spacing w:after="0"/>
      </w:pPr>
      <w:r>
        <w:rPr>
          <w:rStyle w:val="FootnoteReference"/>
        </w:rPr>
        <w:footnoteRef/>
      </w:r>
      <w:r>
        <w:t>.</w:t>
      </w:r>
      <w:r>
        <w:tab/>
        <w:t>6 % des montants figurant à l’annexe XVIII du [règlement PNR — COM(2025) 565 final].</w:t>
      </w:r>
    </w:p>
  </w:footnote>
  <w:footnote w:id="25">
    <w:p w14:paraId="5E10DC23" w14:textId="464B4819" w:rsidR="00BE5659" w:rsidRPr="00BE5659" w:rsidRDefault="00BE5659" w:rsidP="002E6DA9">
      <w:pPr>
        <w:pStyle w:val="FootnoteText"/>
        <w:spacing w:after="0"/>
      </w:pPr>
      <w:r>
        <w:rPr>
          <w:rStyle w:val="FootnoteReference"/>
        </w:rPr>
        <w:footnoteRef/>
      </w:r>
      <w:r>
        <w:t>.</w:t>
      </w:r>
      <w:r>
        <w:tab/>
        <w:t>Plusieurs des actions et initiatives présentées s’appuient sur les propositions présentées pour le CFP après 2027, qui sont soumises à la procédure de codécision. Leur contenu final dépendra de l’issue du processus législatif.</w:t>
      </w:r>
    </w:p>
  </w:footnote>
  <w:footnote w:id="26">
    <w:p w14:paraId="5170CDB7" w14:textId="6009395B" w:rsidR="000B0A0F" w:rsidRPr="000B0A0F" w:rsidRDefault="000B0A0F" w:rsidP="002E6DA9">
      <w:pPr>
        <w:pStyle w:val="FootnoteText"/>
        <w:spacing w:after="0"/>
      </w:pPr>
      <w:r>
        <w:rPr>
          <w:rStyle w:val="FootnoteReference"/>
        </w:rPr>
        <w:footnoteRef/>
      </w:r>
      <w:r>
        <w:t>.</w:t>
      </w:r>
      <w:r>
        <w:tab/>
        <w:t>https://agriculture.ec.europa.eu/overview-vision-agriculture-food/young-people-agriculture-and-rural-areas_fr</w:t>
      </w:r>
    </w:p>
  </w:footnote>
  <w:footnote w:id="27">
    <w:p w14:paraId="2B13B909" w14:textId="594F843D" w:rsidR="000B0A0F" w:rsidRPr="002E6DA9" w:rsidRDefault="000B0A0F" w:rsidP="002E6DA9">
      <w:pPr>
        <w:pStyle w:val="FootnoteText"/>
        <w:spacing w:after="0"/>
      </w:pPr>
      <w:r>
        <w:rPr>
          <w:rStyle w:val="FootnoteReference"/>
        </w:rPr>
        <w:footnoteRef/>
      </w:r>
      <w:r>
        <w:t>.</w:t>
      </w:r>
      <w:r>
        <w:tab/>
        <w:t xml:space="preserve">Conformément aux dispositions de l’article 124 du règlement (CE) 2021/2115. </w:t>
      </w:r>
    </w:p>
  </w:footnote>
  <w:footnote w:id="28">
    <w:p w14:paraId="674B5A1B" w14:textId="77777777" w:rsidR="00C375FB" w:rsidRPr="00923824" w:rsidRDefault="00C375FB" w:rsidP="002E6DA9">
      <w:pPr>
        <w:pStyle w:val="FootnoteText"/>
        <w:spacing w:after="0"/>
      </w:pPr>
      <w:r>
        <w:rPr>
          <w:rStyle w:val="FootnoteReference"/>
        </w:rPr>
        <w:footnoteRef/>
      </w:r>
      <w:r>
        <w:t>.</w:t>
      </w:r>
      <w:r>
        <w:tab/>
        <w:t>Il n’existe pas de définition officielle d’un «prix équitable», mais nous pouvons raisonnablement interpréter ce terme comme un prix qui couvre l’intégralité du coût d’une production durable, garantit un revenu décent aux producteurs et reste abordable pour les consommateurs.</w:t>
      </w:r>
    </w:p>
  </w:footnote>
  <w:footnote w:id="29">
    <w:p w14:paraId="70ADF647" w14:textId="77777777" w:rsidR="0032028B" w:rsidRPr="00724C6E" w:rsidRDefault="0032028B" w:rsidP="0032028B">
      <w:pPr>
        <w:pStyle w:val="FootnoteText"/>
        <w:spacing w:after="0"/>
      </w:pPr>
      <w:r>
        <w:rPr>
          <w:rStyle w:val="FootnoteReference"/>
        </w:rPr>
        <w:footnoteRef/>
      </w:r>
      <w:r>
        <w:t>.</w:t>
      </w:r>
      <w:r>
        <w:tab/>
      </w:r>
      <w:hyperlink r:id="rId13" w:anchor=":~:text=The%20second%20edition%20of%20the,food%20systems%20and%20rural%20life" w:history="1">
        <w:r>
          <w:rPr>
            <w:rStyle w:val="Hyperlink"/>
          </w:rPr>
          <w:t>Dialogue en faveur de la jeunesse sur la politique agricole</w:t>
        </w:r>
      </w:hyperlink>
      <w:r>
        <w:t xml:space="preserve">. </w:t>
      </w:r>
    </w:p>
  </w:footnote>
  <w:footnote w:id="30">
    <w:p w14:paraId="26E58E20" w14:textId="22716111" w:rsidR="0032028B" w:rsidRPr="00C375FB" w:rsidRDefault="0032028B" w:rsidP="00244300">
      <w:pPr>
        <w:pStyle w:val="FootnoteText"/>
        <w:spacing w:after="0"/>
      </w:pPr>
      <w:r>
        <w:rPr>
          <w:rStyle w:val="FootnoteReference"/>
        </w:rPr>
        <w:footnoteRef/>
      </w:r>
      <w:r>
        <w:t>.</w:t>
      </w:r>
      <w:r>
        <w:tab/>
        <w:t>Propositions de modification du règlement portant organisation commune des marchés visant à renforcer la position des agriculteurs dans les négociations contractuelles, à favoriser la coopération et à améliorer la transmission des prix. En parallèle, de nouvelles règles relatives à l’application transfrontière de la directive sur les pratiques commerciales déloyales visent à mieux protéger les agriculteurs. Ces efforts sont complétés par l’Observatoire de la chaîne agroalimentaire de l’UE, qui fournira des données sur la formation des prix afin de promouvoir des décisions politiques plus équitables.</w:t>
      </w:r>
    </w:p>
  </w:footnote>
  <w:footnote w:id="31">
    <w:p w14:paraId="6F14E320" w14:textId="1D636F3B" w:rsidR="00555D46" w:rsidRPr="00D21C4C" w:rsidRDefault="00555D46" w:rsidP="00244300">
      <w:pPr>
        <w:pStyle w:val="FootnoteText"/>
        <w:spacing w:after="0"/>
      </w:pPr>
      <w:r>
        <w:rPr>
          <w:rStyle w:val="FootnoteReference"/>
        </w:rPr>
        <w:footnoteRef/>
      </w:r>
      <w:r>
        <w:t>.</w:t>
      </w:r>
      <w:r>
        <w:tab/>
        <w:t xml:space="preserve">Document de travail des services de la Commission </w:t>
      </w:r>
      <w:r>
        <w:rPr>
          <w:i/>
        </w:rPr>
        <w:t>Consultation des parties intéressées — Rapport de synthèse</w:t>
      </w:r>
      <w:r>
        <w:t xml:space="preserve"> accompagnant cette stratégie.</w:t>
      </w:r>
    </w:p>
  </w:footnote>
  <w:footnote w:id="32">
    <w:p w14:paraId="207273A7" w14:textId="2822B5A5" w:rsidR="003020B9" w:rsidRPr="003020B9" w:rsidRDefault="003020B9" w:rsidP="00FE1FFA">
      <w:pPr>
        <w:pStyle w:val="FootnoteText"/>
        <w:spacing w:after="0"/>
      </w:pPr>
      <w:r>
        <w:rPr>
          <w:rStyle w:val="FootnoteReference"/>
        </w:rPr>
        <w:footnoteRef/>
      </w:r>
      <w:r>
        <w:t>.</w:t>
      </w:r>
      <w:r>
        <w:tab/>
        <w:t>Données du RICA.</w:t>
      </w:r>
    </w:p>
  </w:footnote>
  <w:footnote w:id="33">
    <w:p w14:paraId="1FACA8AF" w14:textId="5CB56299" w:rsidR="00187EAB" w:rsidRPr="00D21C4C" w:rsidRDefault="00187EAB" w:rsidP="00FE1FFA">
      <w:pPr>
        <w:pStyle w:val="FootnoteText"/>
        <w:spacing w:after="0"/>
      </w:pPr>
      <w:r>
        <w:rPr>
          <w:rStyle w:val="FootnoteReference"/>
        </w:rPr>
        <w:footnoteRef/>
      </w:r>
      <w:r>
        <w:t>.</w:t>
      </w:r>
      <w:r>
        <w:tab/>
        <w:t xml:space="preserve">Fi-compass, </w:t>
      </w:r>
      <w:hyperlink r:id="rId14" w:history="1">
        <w:r>
          <w:rPr>
            <w:rStyle w:val="Hyperlink"/>
            <w:i/>
          </w:rPr>
          <w:t>Financing Gap in Agriculture &amp; Agri-Food</w:t>
        </w:r>
      </w:hyperlink>
      <w:r>
        <w:t xml:space="preserve"> (Déficit de financement dans l’agriculture et l’agroalimentaire), RTW, 2023.</w:t>
      </w:r>
    </w:p>
  </w:footnote>
  <w:footnote w:id="34">
    <w:p w14:paraId="3DCFF2BA" w14:textId="460AD6B4" w:rsidR="00187EAB" w:rsidRPr="00F3762A" w:rsidRDefault="00187EAB" w:rsidP="00187EAB">
      <w:pPr>
        <w:pStyle w:val="FootnoteText"/>
      </w:pPr>
      <w:r>
        <w:rPr>
          <w:rStyle w:val="FootnoteReference"/>
        </w:rPr>
        <w:footnoteRef/>
      </w:r>
      <w:r>
        <w:t>.</w:t>
      </w:r>
      <w:r>
        <w:tab/>
        <w:t xml:space="preserve">Il s’agit des résultats préliminaires d’une enquête menée par fi-compass en 2025 et couvrant les trois sous-secteurs, dont les résultats seront publiés prochainement sur le site web de fi-compass. </w:t>
      </w:r>
    </w:p>
  </w:footnote>
  <w:footnote w:id="35">
    <w:p w14:paraId="3BE566E7" w14:textId="7DABA2F5" w:rsidR="005858B7" w:rsidRPr="005858B7" w:rsidRDefault="005858B7">
      <w:pPr>
        <w:pStyle w:val="FootnoteText"/>
      </w:pPr>
      <w:r>
        <w:rPr>
          <w:rStyle w:val="FootnoteReference"/>
        </w:rPr>
        <w:footnoteRef/>
      </w:r>
      <w:r>
        <w:t>.</w:t>
      </w:r>
      <w:r>
        <w:tab/>
        <w:t>Communication de la Commission au Parlement européen, au Conseil, au Comité économique et social européen et au Comité des régions — Stratégie de l’UE en faveur des start-up et des scale-up. Choisir l’Europe pour démarrer et se développer [COM(2025) 270 final].</w:t>
      </w:r>
    </w:p>
  </w:footnote>
  <w:footnote w:id="36">
    <w:p w14:paraId="3B6F707F" w14:textId="40090B0C" w:rsidR="00886430" w:rsidRPr="00886430" w:rsidRDefault="00886430" w:rsidP="00FE4E18">
      <w:pPr>
        <w:pStyle w:val="FootnoteText"/>
        <w:spacing w:after="0"/>
      </w:pPr>
      <w:r>
        <w:rPr>
          <w:rStyle w:val="FootnoteReference"/>
        </w:rPr>
        <w:footnoteRef/>
      </w:r>
      <w:r>
        <w:t>.</w:t>
      </w:r>
      <w:r>
        <w:tab/>
        <w:t>Communication de la Commission au Parlement européen, au Conseil, au Comité économique et social européen et au Comité des régions sur une stratégie de promotion de la culture financière dans l’UE.</w:t>
      </w:r>
    </w:p>
  </w:footnote>
  <w:footnote w:id="37">
    <w:p w14:paraId="1A19AAEE" w14:textId="1604253D" w:rsidR="00775BD7" w:rsidRPr="00775BD7" w:rsidRDefault="004A6FE7" w:rsidP="00FE4E18">
      <w:pPr>
        <w:pStyle w:val="FootnoteText"/>
        <w:spacing w:after="0"/>
      </w:pPr>
      <w:r>
        <w:rPr>
          <w:rStyle w:val="FootnoteReference"/>
        </w:rPr>
        <w:footnoteRef/>
      </w:r>
      <w:r>
        <w:t>.</w:t>
      </w:r>
      <w:r>
        <w:tab/>
      </w:r>
      <w:hyperlink r:id="rId15" w:history="1">
        <w:r>
          <w:rPr>
            <w:rStyle w:val="Hyperlink"/>
          </w:rPr>
          <w:t>Pact for Skills - Agri-Food ecosystem</w:t>
        </w:r>
      </w:hyperlink>
      <w:r>
        <w:t xml:space="preserve"> (Pacte pour les compétences — Écosystème agroalimentaire).</w:t>
      </w:r>
    </w:p>
    <w:p w14:paraId="23ACACF8" w14:textId="65BF1E5C" w:rsidR="004A6FE7" w:rsidRPr="00775BD7" w:rsidRDefault="004A6FE7" w:rsidP="00FE4E18">
      <w:pPr>
        <w:pStyle w:val="FootnoteText"/>
        <w:spacing w:after="0"/>
      </w:pPr>
    </w:p>
  </w:footnote>
  <w:footnote w:id="38">
    <w:p w14:paraId="1B1B72E9" w14:textId="4B8EE78F" w:rsidR="007933AD" w:rsidRPr="007C4C41" w:rsidRDefault="007933AD" w:rsidP="007C4C41">
      <w:pPr>
        <w:pStyle w:val="FootnoteText"/>
        <w:spacing w:after="0"/>
      </w:pPr>
      <w:r>
        <w:rPr>
          <w:rStyle w:val="FootnoteReference"/>
        </w:rPr>
        <w:footnoteRef/>
      </w:r>
      <w:r>
        <w:t>.</w:t>
      </w:r>
      <w:r>
        <w:tab/>
        <w:t xml:space="preserve">Comité de la sécurité alimentaire mondiale (2012), </w:t>
      </w:r>
      <w:hyperlink r:id="rId16" w:history="1">
        <w:r>
          <w:rPr>
            <w:rStyle w:val="Hyperlink"/>
            <w:i/>
          </w:rPr>
          <w:t>Directives volontaires pour une gouvernance responsable des régimes fonciers applicables aux terres, aux pêches et aux forêts dans le contexte de la sécurité alimentaire nationale</w:t>
        </w:r>
      </w:hyperlink>
      <w:r>
        <w:t>, FAO, Rome.</w:t>
      </w:r>
    </w:p>
  </w:footnote>
  <w:footnote w:id="39">
    <w:p w14:paraId="0AEF8598" w14:textId="3D89E445" w:rsidR="007C4C41" w:rsidRPr="007C4C41" w:rsidRDefault="007C4C41" w:rsidP="007C4C41">
      <w:pPr>
        <w:pStyle w:val="FootnoteText"/>
        <w:spacing w:after="0"/>
      </w:pPr>
      <w:r>
        <w:rPr>
          <w:rStyle w:val="FootnoteReference"/>
        </w:rPr>
        <w:footnoteRef/>
      </w:r>
      <w:r>
        <w:t>.</w:t>
      </w:r>
      <w:r>
        <w:tab/>
        <w:t xml:space="preserve">Commission européenne (2011), </w:t>
      </w:r>
      <w:r>
        <w:rPr>
          <w:i/>
        </w:rPr>
        <w:t>Feuille de route pour une Europe efficace dans l’utilisation des ressources</w:t>
      </w:r>
      <w:r>
        <w:t xml:space="preserve"> [COM (2011) 571], Bruxelles, qui fixe l’objectif «zéro artificialisation nette des sols d’ici à 2050», réaffirmé dans Commission européenne (2021), </w:t>
      </w:r>
      <w:r>
        <w:rPr>
          <w:i/>
        </w:rPr>
        <w:t>Stratégie de l’UE pour la protection des sols à l’horizon 2030</w:t>
      </w:r>
      <w:r>
        <w:t xml:space="preserve"> [COM(2021) 699], Bruxelles.</w:t>
      </w:r>
    </w:p>
  </w:footnote>
  <w:footnote w:id="40">
    <w:p w14:paraId="5A7A39AD" w14:textId="77777777" w:rsidR="003529C0" w:rsidRPr="00F226CF" w:rsidRDefault="003529C0" w:rsidP="003529C0">
      <w:pPr>
        <w:pStyle w:val="FootnoteText"/>
      </w:pPr>
      <w:r>
        <w:rPr>
          <w:rStyle w:val="FootnoteReference"/>
        </w:rPr>
        <w:footnoteRef/>
      </w:r>
      <w:r>
        <w:t>.</w:t>
      </w:r>
      <w:r>
        <w:tab/>
        <w:t xml:space="preserve">Observatoire rural de l’UE, </w:t>
      </w:r>
      <w:r>
        <w:rPr>
          <w:i/>
        </w:rPr>
        <w:t>rural-vision.europa.eu</w:t>
      </w:r>
    </w:p>
  </w:footnote>
  <w:footnote w:id="41">
    <w:p w14:paraId="5CFBFACD" w14:textId="77777777" w:rsidR="0009431E" w:rsidRPr="00106CD6" w:rsidRDefault="0009431E" w:rsidP="0009431E">
      <w:pPr>
        <w:pStyle w:val="FootnoteText"/>
        <w:spacing w:after="0"/>
      </w:pPr>
      <w:r>
        <w:rPr>
          <w:rStyle w:val="FootnoteReference"/>
        </w:rPr>
        <w:footnoteRef/>
      </w:r>
      <w:r>
        <w:t>.</w:t>
      </w:r>
      <w:r>
        <w:tab/>
        <w:t xml:space="preserve">L’agriculture sociale (ou </w:t>
      </w:r>
      <w:r>
        <w:rPr>
          <w:i/>
        </w:rPr>
        <w:t>agriculture de soins</w:t>
      </w:r>
      <w:r>
        <w:t>) désigne le recours à des activités agricoles en vue de fournir des services de santé, sociaux ou éducatifs à des groupes en situation de vulnérabilité, tout en diversifiant les activités agricoles et en contribuant au développement rural.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2423B" w14:textId="77777777" w:rsidR="00090FFC" w:rsidRPr="00090FFC" w:rsidRDefault="00090FFC" w:rsidP="00090FF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463D5" w14:textId="77777777" w:rsidR="00090FFC" w:rsidRPr="00090FFC" w:rsidRDefault="00090FFC" w:rsidP="00090FF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55840" w14:textId="77777777" w:rsidR="00090FFC" w:rsidRPr="00090FFC" w:rsidRDefault="00090FFC" w:rsidP="00090FF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A669C" w14:textId="77777777" w:rsidR="007C0C5B" w:rsidRDefault="007C0C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D22E5" w14:textId="77777777" w:rsidR="007C0C5B" w:rsidRDefault="007C0C5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9BEF9" w14:textId="6E93957C" w:rsidR="007C0C5B" w:rsidRDefault="007C0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61EAAAA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A964323"/>
    <w:multiLevelType w:val="hybridMultilevel"/>
    <w:tmpl w:val="BC56AD88"/>
    <w:lvl w:ilvl="0" w:tplc="BCDCF2BA">
      <w:start w:val="1"/>
      <w:numFmt w:val="bullet"/>
      <w:lvlText w:val=""/>
      <w:lvlJc w:val="left"/>
      <w:pPr>
        <w:ind w:left="720" w:hanging="360"/>
      </w:pPr>
      <w:rPr>
        <w:rFonts w:ascii="Symbol" w:hAnsi="Symbol"/>
      </w:rPr>
    </w:lvl>
    <w:lvl w:ilvl="1" w:tplc="8590494E">
      <w:start w:val="1"/>
      <w:numFmt w:val="bullet"/>
      <w:lvlText w:val=""/>
      <w:lvlJc w:val="left"/>
      <w:pPr>
        <w:ind w:left="720" w:hanging="360"/>
      </w:pPr>
      <w:rPr>
        <w:rFonts w:ascii="Symbol" w:hAnsi="Symbol"/>
      </w:rPr>
    </w:lvl>
    <w:lvl w:ilvl="2" w:tplc="C9427F6A">
      <w:start w:val="1"/>
      <w:numFmt w:val="bullet"/>
      <w:lvlText w:val=""/>
      <w:lvlJc w:val="left"/>
      <w:pPr>
        <w:ind w:left="720" w:hanging="360"/>
      </w:pPr>
      <w:rPr>
        <w:rFonts w:ascii="Symbol" w:hAnsi="Symbol"/>
      </w:rPr>
    </w:lvl>
    <w:lvl w:ilvl="3" w:tplc="7C460556">
      <w:start w:val="1"/>
      <w:numFmt w:val="bullet"/>
      <w:lvlText w:val=""/>
      <w:lvlJc w:val="left"/>
      <w:pPr>
        <w:ind w:left="720" w:hanging="360"/>
      </w:pPr>
      <w:rPr>
        <w:rFonts w:ascii="Symbol" w:hAnsi="Symbol"/>
      </w:rPr>
    </w:lvl>
    <w:lvl w:ilvl="4" w:tplc="18B411D2">
      <w:start w:val="1"/>
      <w:numFmt w:val="bullet"/>
      <w:lvlText w:val=""/>
      <w:lvlJc w:val="left"/>
      <w:pPr>
        <w:ind w:left="720" w:hanging="360"/>
      </w:pPr>
      <w:rPr>
        <w:rFonts w:ascii="Symbol" w:hAnsi="Symbol"/>
      </w:rPr>
    </w:lvl>
    <w:lvl w:ilvl="5" w:tplc="26866ADA">
      <w:start w:val="1"/>
      <w:numFmt w:val="bullet"/>
      <w:lvlText w:val=""/>
      <w:lvlJc w:val="left"/>
      <w:pPr>
        <w:ind w:left="720" w:hanging="360"/>
      </w:pPr>
      <w:rPr>
        <w:rFonts w:ascii="Symbol" w:hAnsi="Symbol"/>
      </w:rPr>
    </w:lvl>
    <w:lvl w:ilvl="6" w:tplc="C3FAC214">
      <w:start w:val="1"/>
      <w:numFmt w:val="bullet"/>
      <w:lvlText w:val=""/>
      <w:lvlJc w:val="left"/>
      <w:pPr>
        <w:ind w:left="720" w:hanging="360"/>
      </w:pPr>
      <w:rPr>
        <w:rFonts w:ascii="Symbol" w:hAnsi="Symbol"/>
      </w:rPr>
    </w:lvl>
    <w:lvl w:ilvl="7" w:tplc="2DC2C800">
      <w:start w:val="1"/>
      <w:numFmt w:val="bullet"/>
      <w:lvlText w:val=""/>
      <w:lvlJc w:val="left"/>
      <w:pPr>
        <w:ind w:left="720" w:hanging="360"/>
      </w:pPr>
      <w:rPr>
        <w:rFonts w:ascii="Symbol" w:hAnsi="Symbol"/>
      </w:rPr>
    </w:lvl>
    <w:lvl w:ilvl="8" w:tplc="289C6ADA">
      <w:start w:val="1"/>
      <w:numFmt w:val="bullet"/>
      <w:lvlText w:val=""/>
      <w:lvlJc w:val="left"/>
      <w:pPr>
        <w:ind w:left="720" w:hanging="360"/>
      </w:pPr>
      <w:rPr>
        <w:rFonts w:ascii="Symbol" w:hAnsi="Symbol"/>
      </w:rPr>
    </w:lvl>
  </w:abstractNum>
  <w:abstractNum w:abstractNumId="2" w15:restartNumberingAfterBreak="0">
    <w:nsid w:val="0EFB7115"/>
    <w:multiLevelType w:val="multilevel"/>
    <w:tmpl w:val="9A7E49E4"/>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6189CC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B756FF2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24DC80CA"/>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1EE4879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6336358"/>
    <w:multiLevelType w:val="multilevel"/>
    <w:tmpl w:val="C2CA3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2F0AC5"/>
    <w:multiLevelType w:val="multilevel"/>
    <w:tmpl w:val="EDF43B9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BE0A48"/>
    <w:multiLevelType w:val="hybridMultilevel"/>
    <w:tmpl w:val="4A7619CC"/>
    <w:lvl w:ilvl="0" w:tplc="F05A46E6">
      <w:start w:val="1"/>
      <w:numFmt w:val="bullet"/>
      <w:lvlText w:val=""/>
      <w:lvlJc w:val="left"/>
      <w:pPr>
        <w:ind w:left="720" w:hanging="360"/>
      </w:pPr>
      <w:rPr>
        <w:rFonts w:ascii="Symbol" w:hAnsi="Symbol"/>
      </w:rPr>
    </w:lvl>
    <w:lvl w:ilvl="1" w:tplc="626C366A">
      <w:start w:val="1"/>
      <w:numFmt w:val="bullet"/>
      <w:lvlText w:val=""/>
      <w:lvlJc w:val="left"/>
      <w:pPr>
        <w:ind w:left="720" w:hanging="360"/>
      </w:pPr>
      <w:rPr>
        <w:rFonts w:ascii="Symbol" w:hAnsi="Symbol"/>
      </w:rPr>
    </w:lvl>
    <w:lvl w:ilvl="2" w:tplc="CE4011BE">
      <w:start w:val="1"/>
      <w:numFmt w:val="bullet"/>
      <w:lvlText w:val=""/>
      <w:lvlJc w:val="left"/>
      <w:pPr>
        <w:ind w:left="720" w:hanging="360"/>
      </w:pPr>
      <w:rPr>
        <w:rFonts w:ascii="Symbol" w:hAnsi="Symbol"/>
      </w:rPr>
    </w:lvl>
    <w:lvl w:ilvl="3" w:tplc="2A323CAC">
      <w:start w:val="1"/>
      <w:numFmt w:val="bullet"/>
      <w:lvlText w:val=""/>
      <w:lvlJc w:val="left"/>
      <w:pPr>
        <w:ind w:left="720" w:hanging="360"/>
      </w:pPr>
      <w:rPr>
        <w:rFonts w:ascii="Symbol" w:hAnsi="Symbol"/>
      </w:rPr>
    </w:lvl>
    <w:lvl w:ilvl="4" w:tplc="FB0A7906">
      <w:start w:val="1"/>
      <w:numFmt w:val="bullet"/>
      <w:lvlText w:val=""/>
      <w:lvlJc w:val="left"/>
      <w:pPr>
        <w:ind w:left="720" w:hanging="360"/>
      </w:pPr>
      <w:rPr>
        <w:rFonts w:ascii="Symbol" w:hAnsi="Symbol"/>
      </w:rPr>
    </w:lvl>
    <w:lvl w:ilvl="5" w:tplc="61C649FE">
      <w:start w:val="1"/>
      <w:numFmt w:val="bullet"/>
      <w:lvlText w:val=""/>
      <w:lvlJc w:val="left"/>
      <w:pPr>
        <w:ind w:left="720" w:hanging="360"/>
      </w:pPr>
      <w:rPr>
        <w:rFonts w:ascii="Symbol" w:hAnsi="Symbol"/>
      </w:rPr>
    </w:lvl>
    <w:lvl w:ilvl="6" w:tplc="025AA68C">
      <w:start w:val="1"/>
      <w:numFmt w:val="bullet"/>
      <w:lvlText w:val=""/>
      <w:lvlJc w:val="left"/>
      <w:pPr>
        <w:ind w:left="720" w:hanging="360"/>
      </w:pPr>
      <w:rPr>
        <w:rFonts w:ascii="Symbol" w:hAnsi="Symbol"/>
      </w:rPr>
    </w:lvl>
    <w:lvl w:ilvl="7" w:tplc="DDACA94E">
      <w:start w:val="1"/>
      <w:numFmt w:val="bullet"/>
      <w:lvlText w:val=""/>
      <w:lvlJc w:val="left"/>
      <w:pPr>
        <w:ind w:left="720" w:hanging="360"/>
      </w:pPr>
      <w:rPr>
        <w:rFonts w:ascii="Symbol" w:hAnsi="Symbol"/>
      </w:rPr>
    </w:lvl>
    <w:lvl w:ilvl="8" w:tplc="7F14995C">
      <w:start w:val="1"/>
      <w:numFmt w:val="bullet"/>
      <w:lvlText w:val=""/>
      <w:lvlJc w:val="left"/>
      <w:pPr>
        <w:ind w:left="720" w:hanging="360"/>
      </w:pPr>
      <w:rPr>
        <w:rFonts w:ascii="Symbol" w:hAnsi="Symbol"/>
      </w:rPr>
    </w:lvl>
  </w:abstractNum>
  <w:abstractNum w:abstractNumId="10" w15:restartNumberingAfterBreak="0">
    <w:nsid w:val="1BAE1D34"/>
    <w:multiLevelType w:val="hybridMultilevel"/>
    <w:tmpl w:val="1396C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E72D62"/>
    <w:multiLevelType w:val="multilevel"/>
    <w:tmpl w:val="9222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7B624F"/>
    <w:multiLevelType w:val="multilevel"/>
    <w:tmpl w:val="83DAEA5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E9C6D3C"/>
    <w:multiLevelType w:val="multilevel"/>
    <w:tmpl w:val="E04ED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E2390C"/>
    <w:multiLevelType w:val="hybridMultilevel"/>
    <w:tmpl w:val="C33687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8DFDF8"/>
    <w:multiLevelType w:val="multilevel"/>
    <w:tmpl w:val="2A4887A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C3DA2BC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FE0EF05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1716FE6"/>
    <w:multiLevelType w:val="hybridMultilevel"/>
    <w:tmpl w:val="593229EA"/>
    <w:lvl w:ilvl="0" w:tplc="4A02C52A">
      <w:start w:val="1"/>
      <w:numFmt w:val="bullet"/>
      <w:lvlText w:val=""/>
      <w:lvlJc w:val="left"/>
      <w:pPr>
        <w:ind w:left="720" w:hanging="360"/>
      </w:pPr>
      <w:rPr>
        <w:rFonts w:ascii="Symbol" w:hAnsi="Symbol"/>
      </w:rPr>
    </w:lvl>
    <w:lvl w:ilvl="1" w:tplc="5A36391E">
      <w:start w:val="1"/>
      <w:numFmt w:val="bullet"/>
      <w:lvlText w:val=""/>
      <w:lvlJc w:val="left"/>
      <w:pPr>
        <w:ind w:left="720" w:hanging="360"/>
      </w:pPr>
      <w:rPr>
        <w:rFonts w:ascii="Symbol" w:hAnsi="Symbol"/>
      </w:rPr>
    </w:lvl>
    <w:lvl w:ilvl="2" w:tplc="B43CD5AC">
      <w:start w:val="1"/>
      <w:numFmt w:val="bullet"/>
      <w:lvlText w:val=""/>
      <w:lvlJc w:val="left"/>
      <w:pPr>
        <w:ind w:left="720" w:hanging="360"/>
      </w:pPr>
      <w:rPr>
        <w:rFonts w:ascii="Symbol" w:hAnsi="Symbol"/>
      </w:rPr>
    </w:lvl>
    <w:lvl w:ilvl="3" w:tplc="B8ECE796">
      <w:start w:val="1"/>
      <w:numFmt w:val="bullet"/>
      <w:lvlText w:val=""/>
      <w:lvlJc w:val="left"/>
      <w:pPr>
        <w:ind w:left="720" w:hanging="360"/>
      </w:pPr>
      <w:rPr>
        <w:rFonts w:ascii="Symbol" w:hAnsi="Symbol"/>
      </w:rPr>
    </w:lvl>
    <w:lvl w:ilvl="4" w:tplc="02A6F8F6">
      <w:start w:val="1"/>
      <w:numFmt w:val="bullet"/>
      <w:lvlText w:val=""/>
      <w:lvlJc w:val="left"/>
      <w:pPr>
        <w:ind w:left="720" w:hanging="360"/>
      </w:pPr>
      <w:rPr>
        <w:rFonts w:ascii="Symbol" w:hAnsi="Symbol"/>
      </w:rPr>
    </w:lvl>
    <w:lvl w:ilvl="5" w:tplc="AF8E83BE">
      <w:start w:val="1"/>
      <w:numFmt w:val="bullet"/>
      <w:lvlText w:val=""/>
      <w:lvlJc w:val="left"/>
      <w:pPr>
        <w:ind w:left="720" w:hanging="360"/>
      </w:pPr>
      <w:rPr>
        <w:rFonts w:ascii="Symbol" w:hAnsi="Symbol"/>
      </w:rPr>
    </w:lvl>
    <w:lvl w:ilvl="6" w:tplc="82E028D8">
      <w:start w:val="1"/>
      <w:numFmt w:val="bullet"/>
      <w:lvlText w:val=""/>
      <w:lvlJc w:val="left"/>
      <w:pPr>
        <w:ind w:left="720" w:hanging="360"/>
      </w:pPr>
      <w:rPr>
        <w:rFonts w:ascii="Symbol" w:hAnsi="Symbol"/>
      </w:rPr>
    </w:lvl>
    <w:lvl w:ilvl="7" w:tplc="6A40B4FE">
      <w:start w:val="1"/>
      <w:numFmt w:val="bullet"/>
      <w:lvlText w:val=""/>
      <w:lvlJc w:val="left"/>
      <w:pPr>
        <w:ind w:left="720" w:hanging="360"/>
      </w:pPr>
      <w:rPr>
        <w:rFonts w:ascii="Symbol" w:hAnsi="Symbol"/>
      </w:rPr>
    </w:lvl>
    <w:lvl w:ilvl="8" w:tplc="010EF620">
      <w:start w:val="1"/>
      <w:numFmt w:val="bullet"/>
      <w:lvlText w:val=""/>
      <w:lvlJc w:val="left"/>
      <w:pPr>
        <w:ind w:left="720" w:hanging="360"/>
      </w:pPr>
      <w:rPr>
        <w:rFonts w:ascii="Symbol" w:hAnsi="Symbol"/>
      </w:rPr>
    </w:lvl>
  </w:abstractNum>
  <w:abstractNum w:abstractNumId="19" w15:restartNumberingAfterBreak="0">
    <w:nsid w:val="318F6615"/>
    <w:multiLevelType w:val="hybridMultilevel"/>
    <w:tmpl w:val="0166243E"/>
    <w:lvl w:ilvl="0" w:tplc="CDDE3260">
      <w:start w:val="1"/>
      <w:numFmt w:val="bullet"/>
      <w:lvlText w:val=""/>
      <w:lvlJc w:val="left"/>
      <w:pPr>
        <w:ind w:left="1780" w:hanging="360"/>
      </w:pPr>
      <w:rPr>
        <w:rFonts w:ascii="Symbol" w:hAnsi="Symbol"/>
      </w:rPr>
    </w:lvl>
    <w:lvl w:ilvl="1" w:tplc="FCFE224E">
      <w:start w:val="1"/>
      <w:numFmt w:val="bullet"/>
      <w:lvlText w:val=""/>
      <w:lvlJc w:val="left"/>
      <w:pPr>
        <w:ind w:left="1780" w:hanging="360"/>
      </w:pPr>
      <w:rPr>
        <w:rFonts w:ascii="Symbol" w:hAnsi="Symbol"/>
      </w:rPr>
    </w:lvl>
    <w:lvl w:ilvl="2" w:tplc="760646F6">
      <w:start w:val="1"/>
      <w:numFmt w:val="bullet"/>
      <w:lvlText w:val=""/>
      <w:lvlJc w:val="left"/>
      <w:pPr>
        <w:ind w:left="1780" w:hanging="360"/>
      </w:pPr>
      <w:rPr>
        <w:rFonts w:ascii="Symbol" w:hAnsi="Symbol"/>
      </w:rPr>
    </w:lvl>
    <w:lvl w:ilvl="3" w:tplc="D0F034AA">
      <w:start w:val="1"/>
      <w:numFmt w:val="bullet"/>
      <w:lvlText w:val=""/>
      <w:lvlJc w:val="left"/>
      <w:pPr>
        <w:ind w:left="1780" w:hanging="360"/>
      </w:pPr>
      <w:rPr>
        <w:rFonts w:ascii="Symbol" w:hAnsi="Symbol"/>
      </w:rPr>
    </w:lvl>
    <w:lvl w:ilvl="4" w:tplc="C21EA136">
      <w:start w:val="1"/>
      <w:numFmt w:val="bullet"/>
      <w:lvlText w:val=""/>
      <w:lvlJc w:val="left"/>
      <w:pPr>
        <w:ind w:left="1780" w:hanging="360"/>
      </w:pPr>
      <w:rPr>
        <w:rFonts w:ascii="Symbol" w:hAnsi="Symbol"/>
      </w:rPr>
    </w:lvl>
    <w:lvl w:ilvl="5" w:tplc="FE86DD40">
      <w:start w:val="1"/>
      <w:numFmt w:val="bullet"/>
      <w:lvlText w:val=""/>
      <w:lvlJc w:val="left"/>
      <w:pPr>
        <w:ind w:left="1780" w:hanging="360"/>
      </w:pPr>
      <w:rPr>
        <w:rFonts w:ascii="Symbol" w:hAnsi="Symbol"/>
      </w:rPr>
    </w:lvl>
    <w:lvl w:ilvl="6" w:tplc="A1CA49C4">
      <w:start w:val="1"/>
      <w:numFmt w:val="bullet"/>
      <w:lvlText w:val=""/>
      <w:lvlJc w:val="left"/>
      <w:pPr>
        <w:ind w:left="1780" w:hanging="360"/>
      </w:pPr>
      <w:rPr>
        <w:rFonts w:ascii="Symbol" w:hAnsi="Symbol"/>
      </w:rPr>
    </w:lvl>
    <w:lvl w:ilvl="7" w:tplc="518E4032">
      <w:start w:val="1"/>
      <w:numFmt w:val="bullet"/>
      <w:lvlText w:val=""/>
      <w:lvlJc w:val="left"/>
      <w:pPr>
        <w:ind w:left="1780" w:hanging="360"/>
      </w:pPr>
      <w:rPr>
        <w:rFonts w:ascii="Symbol" w:hAnsi="Symbol"/>
      </w:rPr>
    </w:lvl>
    <w:lvl w:ilvl="8" w:tplc="46C428C2">
      <w:start w:val="1"/>
      <w:numFmt w:val="bullet"/>
      <w:lvlText w:val=""/>
      <w:lvlJc w:val="left"/>
      <w:pPr>
        <w:ind w:left="1780" w:hanging="360"/>
      </w:pPr>
      <w:rPr>
        <w:rFonts w:ascii="Symbol" w:hAnsi="Symbol"/>
      </w:rPr>
    </w:lvl>
  </w:abstractNum>
  <w:abstractNum w:abstractNumId="20" w15:restartNumberingAfterBreak="0">
    <w:nsid w:val="36324F1E"/>
    <w:multiLevelType w:val="multilevel"/>
    <w:tmpl w:val="3022D50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7CB1E1C"/>
    <w:multiLevelType w:val="multilevel"/>
    <w:tmpl w:val="95A213D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A11636E"/>
    <w:multiLevelType w:val="hybridMultilevel"/>
    <w:tmpl w:val="69D20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7730C4"/>
    <w:multiLevelType w:val="multilevel"/>
    <w:tmpl w:val="4B02FDA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BAB4F21"/>
    <w:multiLevelType w:val="multilevel"/>
    <w:tmpl w:val="F3664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9E662A"/>
    <w:multiLevelType w:val="multilevel"/>
    <w:tmpl w:val="BE08D8D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31E1E38"/>
    <w:multiLevelType w:val="hybridMultilevel"/>
    <w:tmpl w:val="D4CAC8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67F364A"/>
    <w:multiLevelType w:val="hybridMultilevel"/>
    <w:tmpl w:val="D5FEFE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1A63DF"/>
    <w:multiLevelType w:val="multilevel"/>
    <w:tmpl w:val="EAD0D6D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4E1A982C"/>
    <w:multiLevelType w:val="multilevel"/>
    <w:tmpl w:val="C896C9F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072619B"/>
    <w:multiLevelType w:val="multilevel"/>
    <w:tmpl w:val="53A8C0D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50729B52"/>
    <w:multiLevelType w:val="multilevel"/>
    <w:tmpl w:val="02D2754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5B2908DB"/>
    <w:multiLevelType w:val="hybridMultilevel"/>
    <w:tmpl w:val="F2569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77472E"/>
    <w:multiLevelType w:val="multilevel"/>
    <w:tmpl w:val="CAE2C77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73DE6AAE"/>
    <w:multiLevelType w:val="hybridMultilevel"/>
    <w:tmpl w:val="D42ADCDA"/>
    <w:lvl w:ilvl="0" w:tplc="17185C28">
      <w:start w:val="1"/>
      <w:numFmt w:val="bullet"/>
      <w:lvlText w:val=""/>
      <w:lvlJc w:val="left"/>
      <w:pPr>
        <w:ind w:left="720" w:hanging="360"/>
      </w:pPr>
      <w:rPr>
        <w:rFonts w:ascii="Symbol" w:hAnsi="Symbol"/>
      </w:rPr>
    </w:lvl>
    <w:lvl w:ilvl="1" w:tplc="EBBC14AE">
      <w:start w:val="1"/>
      <w:numFmt w:val="bullet"/>
      <w:lvlText w:val=""/>
      <w:lvlJc w:val="left"/>
      <w:pPr>
        <w:ind w:left="720" w:hanging="360"/>
      </w:pPr>
      <w:rPr>
        <w:rFonts w:ascii="Symbol" w:hAnsi="Symbol"/>
      </w:rPr>
    </w:lvl>
    <w:lvl w:ilvl="2" w:tplc="96A0EB18">
      <w:start w:val="1"/>
      <w:numFmt w:val="bullet"/>
      <w:lvlText w:val=""/>
      <w:lvlJc w:val="left"/>
      <w:pPr>
        <w:ind w:left="720" w:hanging="360"/>
      </w:pPr>
      <w:rPr>
        <w:rFonts w:ascii="Symbol" w:hAnsi="Symbol"/>
      </w:rPr>
    </w:lvl>
    <w:lvl w:ilvl="3" w:tplc="BC4AD69C">
      <w:start w:val="1"/>
      <w:numFmt w:val="bullet"/>
      <w:lvlText w:val=""/>
      <w:lvlJc w:val="left"/>
      <w:pPr>
        <w:ind w:left="720" w:hanging="360"/>
      </w:pPr>
      <w:rPr>
        <w:rFonts w:ascii="Symbol" w:hAnsi="Symbol"/>
      </w:rPr>
    </w:lvl>
    <w:lvl w:ilvl="4" w:tplc="D932E7D6">
      <w:start w:val="1"/>
      <w:numFmt w:val="bullet"/>
      <w:lvlText w:val=""/>
      <w:lvlJc w:val="left"/>
      <w:pPr>
        <w:ind w:left="720" w:hanging="360"/>
      </w:pPr>
      <w:rPr>
        <w:rFonts w:ascii="Symbol" w:hAnsi="Symbol"/>
      </w:rPr>
    </w:lvl>
    <w:lvl w:ilvl="5" w:tplc="B84E2CB8">
      <w:start w:val="1"/>
      <w:numFmt w:val="bullet"/>
      <w:lvlText w:val=""/>
      <w:lvlJc w:val="left"/>
      <w:pPr>
        <w:ind w:left="720" w:hanging="360"/>
      </w:pPr>
      <w:rPr>
        <w:rFonts w:ascii="Symbol" w:hAnsi="Symbol"/>
      </w:rPr>
    </w:lvl>
    <w:lvl w:ilvl="6" w:tplc="E7CAE74A">
      <w:start w:val="1"/>
      <w:numFmt w:val="bullet"/>
      <w:lvlText w:val=""/>
      <w:lvlJc w:val="left"/>
      <w:pPr>
        <w:ind w:left="720" w:hanging="360"/>
      </w:pPr>
      <w:rPr>
        <w:rFonts w:ascii="Symbol" w:hAnsi="Symbol"/>
      </w:rPr>
    </w:lvl>
    <w:lvl w:ilvl="7" w:tplc="A378D8BA">
      <w:start w:val="1"/>
      <w:numFmt w:val="bullet"/>
      <w:lvlText w:val=""/>
      <w:lvlJc w:val="left"/>
      <w:pPr>
        <w:ind w:left="720" w:hanging="360"/>
      </w:pPr>
      <w:rPr>
        <w:rFonts w:ascii="Symbol" w:hAnsi="Symbol"/>
      </w:rPr>
    </w:lvl>
    <w:lvl w:ilvl="8" w:tplc="E200D1F8">
      <w:start w:val="1"/>
      <w:numFmt w:val="bullet"/>
      <w:lvlText w:val=""/>
      <w:lvlJc w:val="left"/>
      <w:pPr>
        <w:ind w:left="720" w:hanging="360"/>
      </w:pPr>
      <w:rPr>
        <w:rFonts w:ascii="Symbol" w:hAnsi="Symbol"/>
      </w:rPr>
    </w:lvl>
  </w:abstractNum>
  <w:abstractNum w:abstractNumId="35" w15:restartNumberingAfterBreak="0">
    <w:nsid w:val="7C65145E"/>
    <w:multiLevelType w:val="multilevel"/>
    <w:tmpl w:val="A538D6E0"/>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decimal"/>
      <w:lvlText w:val="%1.%2.%3."/>
      <w:lvlJc w:val="left"/>
      <w:pPr>
        <w:tabs>
          <w:tab w:val="num" w:pos="2438"/>
        </w:tabs>
        <w:ind w:left="2211" w:hanging="1009"/>
      </w:pPr>
    </w:lvl>
    <w:lvl w:ilvl="3">
      <w:start w:val="1"/>
      <w:numFmt w:val="decimal"/>
      <w:lvlText w:val="%1.%2.%3.%4."/>
      <w:lvlJc w:val="left"/>
      <w:pPr>
        <w:tabs>
          <w:tab w:val="num" w:pos="2438"/>
        </w:tabs>
        <w:ind w:left="2211" w:hanging="1009"/>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3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7" w15:restartNumberingAfterBreak="0">
    <w:nsid w:val="7E596F3C"/>
    <w:multiLevelType w:val="hybridMultilevel"/>
    <w:tmpl w:val="35660A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0"/>
  </w:num>
  <w:num w:numId="3">
    <w:abstractNumId w:val="12"/>
  </w:num>
  <w:num w:numId="4">
    <w:abstractNumId w:val="21"/>
  </w:num>
  <w:num w:numId="5">
    <w:abstractNumId w:val="30"/>
  </w:num>
  <w:num w:numId="6">
    <w:abstractNumId w:val="33"/>
  </w:num>
  <w:num w:numId="7">
    <w:abstractNumId w:val="2"/>
  </w:num>
  <w:num w:numId="8">
    <w:abstractNumId w:val="8"/>
  </w:num>
  <w:num w:numId="9">
    <w:abstractNumId w:val="25"/>
  </w:num>
  <w:num w:numId="10">
    <w:abstractNumId w:val="3"/>
  </w:num>
  <w:num w:numId="11">
    <w:abstractNumId w:val="5"/>
  </w:num>
  <w:num w:numId="12">
    <w:abstractNumId w:val="6"/>
  </w:num>
  <w:num w:numId="13">
    <w:abstractNumId w:val="15"/>
  </w:num>
  <w:num w:numId="14">
    <w:abstractNumId w:val="23"/>
  </w:num>
  <w:num w:numId="15">
    <w:abstractNumId w:val="29"/>
  </w:num>
  <w:num w:numId="16">
    <w:abstractNumId w:val="16"/>
  </w:num>
  <w:num w:numId="17">
    <w:abstractNumId w:val="17"/>
  </w:num>
  <w:num w:numId="18">
    <w:abstractNumId w:val="36"/>
  </w:num>
  <w:num w:numId="19">
    <w:abstractNumId w:val="28"/>
  </w:num>
  <w:num w:numId="20">
    <w:abstractNumId w:val="31"/>
  </w:num>
  <w:num w:numId="21">
    <w:abstractNumId w:val="4"/>
  </w:num>
  <w:num w:numId="22">
    <w:abstractNumId w:val="11"/>
  </w:num>
  <w:num w:numId="23">
    <w:abstractNumId w:val="26"/>
  </w:num>
  <w:num w:numId="24">
    <w:abstractNumId w:val="22"/>
  </w:num>
  <w:num w:numId="25">
    <w:abstractNumId w:val="32"/>
  </w:num>
  <w:num w:numId="26">
    <w:abstractNumId w:val="24"/>
  </w:num>
  <w:num w:numId="27">
    <w:abstractNumId w:val="10"/>
  </w:num>
  <w:num w:numId="28">
    <w:abstractNumId w:val="37"/>
  </w:num>
  <w:num w:numId="29">
    <w:abstractNumId w:val="27"/>
  </w:num>
  <w:num w:numId="30">
    <w:abstractNumId w:val="13"/>
  </w:num>
  <w:num w:numId="31">
    <w:abstractNumId w:val="7"/>
  </w:num>
  <w:num w:numId="32">
    <w:abstractNumId w:val="14"/>
  </w:num>
  <w:num w:numId="33">
    <w:abstractNumId w:val="9"/>
  </w:num>
  <w:num w:numId="34">
    <w:abstractNumId w:val="34"/>
  </w:num>
  <w:num w:numId="35">
    <w:abstractNumId w:val="18"/>
  </w:num>
  <w:num w:numId="36">
    <w:abstractNumId w:val="1"/>
  </w:num>
  <w:num w:numId="37">
    <w:abstractNumId w:val="1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AA17F0F-99C0-455A-9232-ABC2130C743F"/>
    <w:docVar w:name="LW_COVERPAGE_TYPE" w:val="1"/>
    <w:docVar w:name="LW_CROSSREFERENCE" w:val="{SWD(2025) 872 final}"/>
    <w:docVar w:name="LW_DocType" w:val="EUROLOOK"/>
    <w:docVar w:name="LW_EMISSION" w:val="21.10.2025"/>
    <w:docVar w:name="LW_EMISSION_ISODATE" w:val="2025-10-21"/>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87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pour le renouvellement des générations dans l'agriculture"/>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EE0CF1"/>
    <w:rsid w:val="00000802"/>
    <w:rsid w:val="00000969"/>
    <w:rsid w:val="00000AD9"/>
    <w:rsid w:val="00000BCB"/>
    <w:rsid w:val="00001A9F"/>
    <w:rsid w:val="00001D85"/>
    <w:rsid w:val="000021A1"/>
    <w:rsid w:val="00002685"/>
    <w:rsid w:val="00002ACD"/>
    <w:rsid w:val="00002CFA"/>
    <w:rsid w:val="00003373"/>
    <w:rsid w:val="00003C35"/>
    <w:rsid w:val="00004378"/>
    <w:rsid w:val="00004748"/>
    <w:rsid w:val="000049D9"/>
    <w:rsid w:val="00004F80"/>
    <w:rsid w:val="000055BB"/>
    <w:rsid w:val="00005629"/>
    <w:rsid w:val="000056C5"/>
    <w:rsid w:val="0000629B"/>
    <w:rsid w:val="00006429"/>
    <w:rsid w:val="000076F7"/>
    <w:rsid w:val="00007866"/>
    <w:rsid w:val="00010235"/>
    <w:rsid w:val="0001038F"/>
    <w:rsid w:val="00010808"/>
    <w:rsid w:val="00010A66"/>
    <w:rsid w:val="00010C84"/>
    <w:rsid w:val="00010CFA"/>
    <w:rsid w:val="00011C3D"/>
    <w:rsid w:val="00012684"/>
    <w:rsid w:val="00012813"/>
    <w:rsid w:val="00012EA9"/>
    <w:rsid w:val="0001327A"/>
    <w:rsid w:val="00013419"/>
    <w:rsid w:val="000137CF"/>
    <w:rsid w:val="00013CD4"/>
    <w:rsid w:val="00013E37"/>
    <w:rsid w:val="00013E75"/>
    <w:rsid w:val="00014005"/>
    <w:rsid w:val="0001415C"/>
    <w:rsid w:val="00014424"/>
    <w:rsid w:val="00014C77"/>
    <w:rsid w:val="0001521B"/>
    <w:rsid w:val="000155D4"/>
    <w:rsid w:val="00015617"/>
    <w:rsid w:val="00015DCD"/>
    <w:rsid w:val="00016F42"/>
    <w:rsid w:val="0001766B"/>
    <w:rsid w:val="00017A27"/>
    <w:rsid w:val="00020316"/>
    <w:rsid w:val="00020E58"/>
    <w:rsid w:val="00021A65"/>
    <w:rsid w:val="00021E02"/>
    <w:rsid w:val="000224C6"/>
    <w:rsid w:val="000225F5"/>
    <w:rsid w:val="00022E01"/>
    <w:rsid w:val="0002321C"/>
    <w:rsid w:val="00023546"/>
    <w:rsid w:val="00023778"/>
    <w:rsid w:val="00023893"/>
    <w:rsid w:val="0002444F"/>
    <w:rsid w:val="000244C8"/>
    <w:rsid w:val="00024584"/>
    <w:rsid w:val="00025640"/>
    <w:rsid w:val="00025AF4"/>
    <w:rsid w:val="00025FEA"/>
    <w:rsid w:val="0002639E"/>
    <w:rsid w:val="00026437"/>
    <w:rsid w:val="000270B8"/>
    <w:rsid w:val="000270FD"/>
    <w:rsid w:val="0002745C"/>
    <w:rsid w:val="000278F0"/>
    <w:rsid w:val="00027931"/>
    <w:rsid w:val="00030126"/>
    <w:rsid w:val="000304EA"/>
    <w:rsid w:val="0003063A"/>
    <w:rsid w:val="0003090C"/>
    <w:rsid w:val="00031B12"/>
    <w:rsid w:val="0003214D"/>
    <w:rsid w:val="00032C85"/>
    <w:rsid w:val="0003314E"/>
    <w:rsid w:val="000331B1"/>
    <w:rsid w:val="0003333E"/>
    <w:rsid w:val="000343FE"/>
    <w:rsid w:val="000344D7"/>
    <w:rsid w:val="000345F4"/>
    <w:rsid w:val="00034C1A"/>
    <w:rsid w:val="00035398"/>
    <w:rsid w:val="0003575C"/>
    <w:rsid w:val="00035A18"/>
    <w:rsid w:val="00036B50"/>
    <w:rsid w:val="00037001"/>
    <w:rsid w:val="00037388"/>
    <w:rsid w:val="000402F7"/>
    <w:rsid w:val="000426AB"/>
    <w:rsid w:val="000431DF"/>
    <w:rsid w:val="00043251"/>
    <w:rsid w:val="0004366C"/>
    <w:rsid w:val="00043967"/>
    <w:rsid w:val="000444F3"/>
    <w:rsid w:val="00044551"/>
    <w:rsid w:val="000448AB"/>
    <w:rsid w:val="00044C66"/>
    <w:rsid w:val="00045202"/>
    <w:rsid w:val="0004537D"/>
    <w:rsid w:val="00045399"/>
    <w:rsid w:val="00045B7A"/>
    <w:rsid w:val="00045D55"/>
    <w:rsid w:val="00046F2A"/>
    <w:rsid w:val="0004706C"/>
    <w:rsid w:val="000471AC"/>
    <w:rsid w:val="00052746"/>
    <w:rsid w:val="000528A2"/>
    <w:rsid w:val="00055A71"/>
    <w:rsid w:val="00056BE2"/>
    <w:rsid w:val="00056CED"/>
    <w:rsid w:val="00056E59"/>
    <w:rsid w:val="00056E9B"/>
    <w:rsid w:val="00057770"/>
    <w:rsid w:val="000601FC"/>
    <w:rsid w:val="000605B8"/>
    <w:rsid w:val="000618FA"/>
    <w:rsid w:val="00061901"/>
    <w:rsid w:val="00062439"/>
    <w:rsid w:val="00063703"/>
    <w:rsid w:val="00064136"/>
    <w:rsid w:val="000646E4"/>
    <w:rsid w:val="0006492D"/>
    <w:rsid w:val="00065484"/>
    <w:rsid w:val="000670E8"/>
    <w:rsid w:val="0006725E"/>
    <w:rsid w:val="00067270"/>
    <w:rsid w:val="000672D0"/>
    <w:rsid w:val="00071715"/>
    <w:rsid w:val="0007173B"/>
    <w:rsid w:val="00072166"/>
    <w:rsid w:val="000731E1"/>
    <w:rsid w:val="00074560"/>
    <w:rsid w:val="0007547C"/>
    <w:rsid w:val="0007550F"/>
    <w:rsid w:val="00075802"/>
    <w:rsid w:val="00075D84"/>
    <w:rsid w:val="00075DC0"/>
    <w:rsid w:val="00076247"/>
    <w:rsid w:val="000765A8"/>
    <w:rsid w:val="00076E5C"/>
    <w:rsid w:val="00077EC4"/>
    <w:rsid w:val="00077FB2"/>
    <w:rsid w:val="00080109"/>
    <w:rsid w:val="00080B9C"/>
    <w:rsid w:val="00080E2D"/>
    <w:rsid w:val="0008156F"/>
    <w:rsid w:val="00081B18"/>
    <w:rsid w:val="0008219B"/>
    <w:rsid w:val="0008221A"/>
    <w:rsid w:val="00083063"/>
    <w:rsid w:val="00083844"/>
    <w:rsid w:val="00083B51"/>
    <w:rsid w:val="00085484"/>
    <w:rsid w:val="0008580C"/>
    <w:rsid w:val="00085B31"/>
    <w:rsid w:val="00086570"/>
    <w:rsid w:val="000866E6"/>
    <w:rsid w:val="00086E98"/>
    <w:rsid w:val="0008712C"/>
    <w:rsid w:val="00087188"/>
    <w:rsid w:val="000876C0"/>
    <w:rsid w:val="00087DD9"/>
    <w:rsid w:val="00090599"/>
    <w:rsid w:val="000906E1"/>
    <w:rsid w:val="00090B02"/>
    <w:rsid w:val="00090FFC"/>
    <w:rsid w:val="000910AF"/>
    <w:rsid w:val="000927B7"/>
    <w:rsid w:val="000929C5"/>
    <w:rsid w:val="00093935"/>
    <w:rsid w:val="0009431E"/>
    <w:rsid w:val="0009467F"/>
    <w:rsid w:val="00094D4F"/>
    <w:rsid w:val="000951A0"/>
    <w:rsid w:val="000951E1"/>
    <w:rsid w:val="00095D4D"/>
    <w:rsid w:val="000960C8"/>
    <w:rsid w:val="0009660F"/>
    <w:rsid w:val="00096E71"/>
    <w:rsid w:val="000975AC"/>
    <w:rsid w:val="000976FB"/>
    <w:rsid w:val="00097A3C"/>
    <w:rsid w:val="00097D0F"/>
    <w:rsid w:val="000A0604"/>
    <w:rsid w:val="000A065A"/>
    <w:rsid w:val="000A1903"/>
    <w:rsid w:val="000A272B"/>
    <w:rsid w:val="000A2B36"/>
    <w:rsid w:val="000A2B58"/>
    <w:rsid w:val="000A2CB9"/>
    <w:rsid w:val="000A305D"/>
    <w:rsid w:val="000A4566"/>
    <w:rsid w:val="000A49BC"/>
    <w:rsid w:val="000A5354"/>
    <w:rsid w:val="000A5EA5"/>
    <w:rsid w:val="000A6524"/>
    <w:rsid w:val="000A6EFD"/>
    <w:rsid w:val="000A787B"/>
    <w:rsid w:val="000A787D"/>
    <w:rsid w:val="000B051C"/>
    <w:rsid w:val="000B0A0F"/>
    <w:rsid w:val="000B14C1"/>
    <w:rsid w:val="000B245B"/>
    <w:rsid w:val="000B2ECE"/>
    <w:rsid w:val="000B36F7"/>
    <w:rsid w:val="000B421D"/>
    <w:rsid w:val="000B4B8A"/>
    <w:rsid w:val="000B4BE8"/>
    <w:rsid w:val="000B4D91"/>
    <w:rsid w:val="000B5661"/>
    <w:rsid w:val="000B586B"/>
    <w:rsid w:val="000B5A9F"/>
    <w:rsid w:val="000B636D"/>
    <w:rsid w:val="000B71F1"/>
    <w:rsid w:val="000B79AC"/>
    <w:rsid w:val="000B7B20"/>
    <w:rsid w:val="000C04DC"/>
    <w:rsid w:val="000C0CCE"/>
    <w:rsid w:val="000C100D"/>
    <w:rsid w:val="000C130D"/>
    <w:rsid w:val="000C1322"/>
    <w:rsid w:val="000C1837"/>
    <w:rsid w:val="000C1EEE"/>
    <w:rsid w:val="000C24FA"/>
    <w:rsid w:val="000C3A8B"/>
    <w:rsid w:val="000C41D0"/>
    <w:rsid w:val="000C4AC5"/>
    <w:rsid w:val="000C4B78"/>
    <w:rsid w:val="000C4B8B"/>
    <w:rsid w:val="000C4CD5"/>
    <w:rsid w:val="000C548C"/>
    <w:rsid w:val="000C5913"/>
    <w:rsid w:val="000C5BE0"/>
    <w:rsid w:val="000C5D9A"/>
    <w:rsid w:val="000C5E0B"/>
    <w:rsid w:val="000C693E"/>
    <w:rsid w:val="000D01E1"/>
    <w:rsid w:val="000D0614"/>
    <w:rsid w:val="000D0692"/>
    <w:rsid w:val="000D0CD4"/>
    <w:rsid w:val="000D0FCE"/>
    <w:rsid w:val="000D1763"/>
    <w:rsid w:val="000D1B06"/>
    <w:rsid w:val="000D1C1C"/>
    <w:rsid w:val="000D22E1"/>
    <w:rsid w:val="000D24E1"/>
    <w:rsid w:val="000D2691"/>
    <w:rsid w:val="000D3526"/>
    <w:rsid w:val="000D399F"/>
    <w:rsid w:val="000D3EF3"/>
    <w:rsid w:val="000D4C8D"/>
    <w:rsid w:val="000D6934"/>
    <w:rsid w:val="000D7A46"/>
    <w:rsid w:val="000D7F51"/>
    <w:rsid w:val="000E010F"/>
    <w:rsid w:val="000E01FD"/>
    <w:rsid w:val="000E06D3"/>
    <w:rsid w:val="000E093C"/>
    <w:rsid w:val="000E1F87"/>
    <w:rsid w:val="000E2414"/>
    <w:rsid w:val="000E2783"/>
    <w:rsid w:val="000E2CF8"/>
    <w:rsid w:val="000E3D16"/>
    <w:rsid w:val="000E4363"/>
    <w:rsid w:val="000E53DA"/>
    <w:rsid w:val="000E5686"/>
    <w:rsid w:val="000E6311"/>
    <w:rsid w:val="000E6ACF"/>
    <w:rsid w:val="000E6B79"/>
    <w:rsid w:val="000E6DC5"/>
    <w:rsid w:val="000E7123"/>
    <w:rsid w:val="000E7138"/>
    <w:rsid w:val="000E7816"/>
    <w:rsid w:val="000E7E4F"/>
    <w:rsid w:val="000F0E51"/>
    <w:rsid w:val="000F183C"/>
    <w:rsid w:val="000F18E2"/>
    <w:rsid w:val="000F1AF0"/>
    <w:rsid w:val="000F1D22"/>
    <w:rsid w:val="000F32BF"/>
    <w:rsid w:val="000F43CC"/>
    <w:rsid w:val="000F43E3"/>
    <w:rsid w:val="000F4C25"/>
    <w:rsid w:val="000F5055"/>
    <w:rsid w:val="000F5A9D"/>
    <w:rsid w:val="000F72AC"/>
    <w:rsid w:val="000F73EC"/>
    <w:rsid w:val="000F76CC"/>
    <w:rsid w:val="000F77D9"/>
    <w:rsid w:val="00100B29"/>
    <w:rsid w:val="001012EF"/>
    <w:rsid w:val="001019C1"/>
    <w:rsid w:val="0010218A"/>
    <w:rsid w:val="0010255F"/>
    <w:rsid w:val="0010348E"/>
    <w:rsid w:val="00103500"/>
    <w:rsid w:val="001036A5"/>
    <w:rsid w:val="0010432E"/>
    <w:rsid w:val="00104608"/>
    <w:rsid w:val="00104AC2"/>
    <w:rsid w:val="00105174"/>
    <w:rsid w:val="001055BF"/>
    <w:rsid w:val="0010656F"/>
    <w:rsid w:val="0010694E"/>
    <w:rsid w:val="00106B66"/>
    <w:rsid w:val="00106CD6"/>
    <w:rsid w:val="0011034B"/>
    <w:rsid w:val="00110C48"/>
    <w:rsid w:val="001111C4"/>
    <w:rsid w:val="001112B6"/>
    <w:rsid w:val="00111951"/>
    <w:rsid w:val="00112C2F"/>
    <w:rsid w:val="00112CB1"/>
    <w:rsid w:val="00112DC4"/>
    <w:rsid w:val="001130EA"/>
    <w:rsid w:val="00113652"/>
    <w:rsid w:val="001139A7"/>
    <w:rsid w:val="0011480E"/>
    <w:rsid w:val="00116469"/>
    <w:rsid w:val="00116E7E"/>
    <w:rsid w:val="00117086"/>
    <w:rsid w:val="001172C3"/>
    <w:rsid w:val="001174F9"/>
    <w:rsid w:val="00117F70"/>
    <w:rsid w:val="00120B46"/>
    <w:rsid w:val="001215A5"/>
    <w:rsid w:val="00122AAB"/>
    <w:rsid w:val="00122CCF"/>
    <w:rsid w:val="001231AE"/>
    <w:rsid w:val="001238CE"/>
    <w:rsid w:val="0012436E"/>
    <w:rsid w:val="001247D9"/>
    <w:rsid w:val="00124F64"/>
    <w:rsid w:val="00124FEC"/>
    <w:rsid w:val="0012567C"/>
    <w:rsid w:val="001258B4"/>
    <w:rsid w:val="00125A5A"/>
    <w:rsid w:val="00125C20"/>
    <w:rsid w:val="00125C31"/>
    <w:rsid w:val="001261AA"/>
    <w:rsid w:val="00126214"/>
    <w:rsid w:val="0012656C"/>
    <w:rsid w:val="001266FB"/>
    <w:rsid w:val="00126974"/>
    <w:rsid w:val="00126B08"/>
    <w:rsid w:val="00126BE4"/>
    <w:rsid w:val="00126EEA"/>
    <w:rsid w:val="0012755B"/>
    <w:rsid w:val="001277FC"/>
    <w:rsid w:val="00127E86"/>
    <w:rsid w:val="00130769"/>
    <w:rsid w:val="0013084D"/>
    <w:rsid w:val="001323CA"/>
    <w:rsid w:val="00132BD2"/>
    <w:rsid w:val="001331E4"/>
    <w:rsid w:val="00133FE1"/>
    <w:rsid w:val="00134129"/>
    <w:rsid w:val="0013434C"/>
    <w:rsid w:val="00135252"/>
    <w:rsid w:val="0013551D"/>
    <w:rsid w:val="00135EF2"/>
    <w:rsid w:val="00136A2B"/>
    <w:rsid w:val="00136CEE"/>
    <w:rsid w:val="00136FE1"/>
    <w:rsid w:val="00137065"/>
    <w:rsid w:val="00137097"/>
    <w:rsid w:val="001405E7"/>
    <w:rsid w:val="001408E2"/>
    <w:rsid w:val="001429EE"/>
    <w:rsid w:val="00142CD2"/>
    <w:rsid w:val="00142D62"/>
    <w:rsid w:val="00143D65"/>
    <w:rsid w:val="00143F2D"/>
    <w:rsid w:val="001449B9"/>
    <w:rsid w:val="0014535D"/>
    <w:rsid w:val="0014593E"/>
    <w:rsid w:val="001459D1"/>
    <w:rsid w:val="00147D15"/>
    <w:rsid w:val="00150C8A"/>
    <w:rsid w:val="00150CE2"/>
    <w:rsid w:val="00151EBC"/>
    <w:rsid w:val="00152FAC"/>
    <w:rsid w:val="00153303"/>
    <w:rsid w:val="00153678"/>
    <w:rsid w:val="00153CB4"/>
    <w:rsid w:val="00154007"/>
    <w:rsid w:val="0015475F"/>
    <w:rsid w:val="00154E22"/>
    <w:rsid w:val="001554A3"/>
    <w:rsid w:val="0015681D"/>
    <w:rsid w:val="00156B8A"/>
    <w:rsid w:val="001572A1"/>
    <w:rsid w:val="00157A13"/>
    <w:rsid w:val="00157F00"/>
    <w:rsid w:val="0016001E"/>
    <w:rsid w:val="00160F4B"/>
    <w:rsid w:val="00161008"/>
    <w:rsid w:val="00161283"/>
    <w:rsid w:val="00161671"/>
    <w:rsid w:val="00161760"/>
    <w:rsid w:val="0016177B"/>
    <w:rsid w:val="00161A1E"/>
    <w:rsid w:val="00161A30"/>
    <w:rsid w:val="00161A32"/>
    <w:rsid w:val="00161BC4"/>
    <w:rsid w:val="00161E75"/>
    <w:rsid w:val="001622D1"/>
    <w:rsid w:val="00162458"/>
    <w:rsid w:val="001631FB"/>
    <w:rsid w:val="0016377B"/>
    <w:rsid w:val="00163D4F"/>
    <w:rsid w:val="001643BE"/>
    <w:rsid w:val="001651AE"/>
    <w:rsid w:val="00165CFA"/>
    <w:rsid w:val="001669E8"/>
    <w:rsid w:val="00167A8C"/>
    <w:rsid w:val="00167B05"/>
    <w:rsid w:val="00167D1D"/>
    <w:rsid w:val="00170903"/>
    <w:rsid w:val="00171DA6"/>
    <w:rsid w:val="00175BC6"/>
    <w:rsid w:val="001765C3"/>
    <w:rsid w:val="001767AA"/>
    <w:rsid w:val="001769FB"/>
    <w:rsid w:val="00177B3D"/>
    <w:rsid w:val="00177E50"/>
    <w:rsid w:val="001804EC"/>
    <w:rsid w:val="00181081"/>
    <w:rsid w:val="00181B15"/>
    <w:rsid w:val="001823A1"/>
    <w:rsid w:val="00182621"/>
    <w:rsid w:val="0018271C"/>
    <w:rsid w:val="0018285E"/>
    <w:rsid w:val="00183E3E"/>
    <w:rsid w:val="00183FFF"/>
    <w:rsid w:val="00184451"/>
    <w:rsid w:val="0018511A"/>
    <w:rsid w:val="00185558"/>
    <w:rsid w:val="001856C2"/>
    <w:rsid w:val="001858E3"/>
    <w:rsid w:val="00185F73"/>
    <w:rsid w:val="00186114"/>
    <w:rsid w:val="0018727F"/>
    <w:rsid w:val="00187A1A"/>
    <w:rsid w:val="00187A98"/>
    <w:rsid w:val="00187EAB"/>
    <w:rsid w:val="00187F00"/>
    <w:rsid w:val="00190A73"/>
    <w:rsid w:val="00190A99"/>
    <w:rsid w:val="00190EAB"/>
    <w:rsid w:val="00190FA6"/>
    <w:rsid w:val="0019109A"/>
    <w:rsid w:val="001917CD"/>
    <w:rsid w:val="00192046"/>
    <w:rsid w:val="00192079"/>
    <w:rsid w:val="00192FE4"/>
    <w:rsid w:val="001936DC"/>
    <w:rsid w:val="00193E6A"/>
    <w:rsid w:val="00193FDF"/>
    <w:rsid w:val="00194424"/>
    <w:rsid w:val="001944A5"/>
    <w:rsid w:val="001944D4"/>
    <w:rsid w:val="0019456C"/>
    <w:rsid w:val="00194BA4"/>
    <w:rsid w:val="00194BBA"/>
    <w:rsid w:val="0019501F"/>
    <w:rsid w:val="001966A4"/>
    <w:rsid w:val="001968DF"/>
    <w:rsid w:val="00197C3B"/>
    <w:rsid w:val="001A0408"/>
    <w:rsid w:val="001A08D8"/>
    <w:rsid w:val="001A0EC3"/>
    <w:rsid w:val="001A11D6"/>
    <w:rsid w:val="001A135A"/>
    <w:rsid w:val="001A1FFC"/>
    <w:rsid w:val="001A279F"/>
    <w:rsid w:val="001A2DBD"/>
    <w:rsid w:val="001A339F"/>
    <w:rsid w:val="001A4393"/>
    <w:rsid w:val="001A66EA"/>
    <w:rsid w:val="001A7D65"/>
    <w:rsid w:val="001B0220"/>
    <w:rsid w:val="001B0272"/>
    <w:rsid w:val="001B08F1"/>
    <w:rsid w:val="001B0AB4"/>
    <w:rsid w:val="001B1C74"/>
    <w:rsid w:val="001B2D2F"/>
    <w:rsid w:val="001B2F2E"/>
    <w:rsid w:val="001B396E"/>
    <w:rsid w:val="001B398F"/>
    <w:rsid w:val="001B3EEA"/>
    <w:rsid w:val="001B485B"/>
    <w:rsid w:val="001B4B2D"/>
    <w:rsid w:val="001B4F9E"/>
    <w:rsid w:val="001B637D"/>
    <w:rsid w:val="001B6756"/>
    <w:rsid w:val="001B6C4E"/>
    <w:rsid w:val="001B6D82"/>
    <w:rsid w:val="001B6D8F"/>
    <w:rsid w:val="001B6D96"/>
    <w:rsid w:val="001B7478"/>
    <w:rsid w:val="001B775E"/>
    <w:rsid w:val="001B7B3B"/>
    <w:rsid w:val="001B9964"/>
    <w:rsid w:val="001C0203"/>
    <w:rsid w:val="001C1973"/>
    <w:rsid w:val="001C19EC"/>
    <w:rsid w:val="001C2148"/>
    <w:rsid w:val="001C2C41"/>
    <w:rsid w:val="001C3DCE"/>
    <w:rsid w:val="001C5325"/>
    <w:rsid w:val="001C59CE"/>
    <w:rsid w:val="001C62E4"/>
    <w:rsid w:val="001C67F7"/>
    <w:rsid w:val="001C69A0"/>
    <w:rsid w:val="001C6A41"/>
    <w:rsid w:val="001C6E30"/>
    <w:rsid w:val="001C6F5B"/>
    <w:rsid w:val="001C7085"/>
    <w:rsid w:val="001C7155"/>
    <w:rsid w:val="001C7180"/>
    <w:rsid w:val="001C770A"/>
    <w:rsid w:val="001C7B8B"/>
    <w:rsid w:val="001D01DA"/>
    <w:rsid w:val="001D14D8"/>
    <w:rsid w:val="001D1877"/>
    <w:rsid w:val="001D1CAE"/>
    <w:rsid w:val="001D1FED"/>
    <w:rsid w:val="001D2903"/>
    <w:rsid w:val="001D422F"/>
    <w:rsid w:val="001D438C"/>
    <w:rsid w:val="001D46A4"/>
    <w:rsid w:val="001D5391"/>
    <w:rsid w:val="001D5662"/>
    <w:rsid w:val="001D5F40"/>
    <w:rsid w:val="001D7974"/>
    <w:rsid w:val="001E131F"/>
    <w:rsid w:val="001E147B"/>
    <w:rsid w:val="001E290E"/>
    <w:rsid w:val="001E311F"/>
    <w:rsid w:val="001E32A9"/>
    <w:rsid w:val="001E431B"/>
    <w:rsid w:val="001E4E17"/>
    <w:rsid w:val="001E5093"/>
    <w:rsid w:val="001E6261"/>
    <w:rsid w:val="001E63E7"/>
    <w:rsid w:val="001E6F5E"/>
    <w:rsid w:val="001E759F"/>
    <w:rsid w:val="001E787B"/>
    <w:rsid w:val="001EC4C2"/>
    <w:rsid w:val="001F00FF"/>
    <w:rsid w:val="001F10A2"/>
    <w:rsid w:val="001F11C6"/>
    <w:rsid w:val="001F1D8B"/>
    <w:rsid w:val="001F1DF0"/>
    <w:rsid w:val="001F23A8"/>
    <w:rsid w:val="001F292B"/>
    <w:rsid w:val="001F38B2"/>
    <w:rsid w:val="001F3BAF"/>
    <w:rsid w:val="001F3DA9"/>
    <w:rsid w:val="001F41EE"/>
    <w:rsid w:val="001F473C"/>
    <w:rsid w:val="001F487C"/>
    <w:rsid w:val="001F48D6"/>
    <w:rsid w:val="001F49B0"/>
    <w:rsid w:val="001F5782"/>
    <w:rsid w:val="001F7250"/>
    <w:rsid w:val="0020081A"/>
    <w:rsid w:val="00200977"/>
    <w:rsid w:val="00200D79"/>
    <w:rsid w:val="00200F85"/>
    <w:rsid w:val="0020202D"/>
    <w:rsid w:val="002028E8"/>
    <w:rsid w:val="00202C0A"/>
    <w:rsid w:val="002030D7"/>
    <w:rsid w:val="002034D1"/>
    <w:rsid w:val="00203AD5"/>
    <w:rsid w:val="00204555"/>
    <w:rsid w:val="00205652"/>
    <w:rsid w:val="002057A9"/>
    <w:rsid w:val="00205BF3"/>
    <w:rsid w:val="00207A5C"/>
    <w:rsid w:val="00207C4A"/>
    <w:rsid w:val="0021081E"/>
    <w:rsid w:val="00210B54"/>
    <w:rsid w:val="00211283"/>
    <w:rsid w:val="00211296"/>
    <w:rsid w:val="00212577"/>
    <w:rsid w:val="00213FA5"/>
    <w:rsid w:val="00214A09"/>
    <w:rsid w:val="00214F9F"/>
    <w:rsid w:val="00216406"/>
    <w:rsid w:val="00216686"/>
    <w:rsid w:val="002166F9"/>
    <w:rsid w:val="00216901"/>
    <w:rsid w:val="00216917"/>
    <w:rsid w:val="0021693E"/>
    <w:rsid w:val="00217177"/>
    <w:rsid w:val="00217523"/>
    <w:rsid w:val="00220446"/>
    <w:rsid w:val="00220F27"/>
    <w:rsid w:val="00221148"/>
    <w:rsid w:val="002217EA"/>
    <w:rsid w:val="00222051"/>
    <w:rsid w:val="0022222F"/>
    <w:rsid w:val="002229B7"/>
    <w:rsid w:val="00223141"/>
    <w:rsid w:val="002234C9"/>
    <w:rsid w:val="00223959"/>
    <w:rsid w:val="00223E7F"/>
    <w:rsid w:val="00223E9A"/>
    <w:rsid w:val="00224137"/>
    <w:rsid w:val="00224640"/>
    <w:rsid w:val="002253C1"/>
    <w:rsid w:val="00225BCB"/>
    <w:rsid w:val="00226D86"/>
    <w:rsid w:val="002278D0"/>
    <w:rsid w:val="00227BA5"/>
    <w:rsid w:val="00227C0C"/>
    <w:rsid w:val="00227C95"/>
    <w:rsid w:val="00227CAA"/>
    <w:rsid w:val="00230636"/>
    <w:rsid w:val="00230B57"/>
    <w:rsid w:val="00230D09"/>
    <w:rsid w:val="00231067"/>
    <w:rsid w:val="002319F5"/>
    <w:rsid w:val="00231BCA"/>
    <w:rsid w:val="00231CE4"/>
    <w:rsid w:val="002324F0"/>
    <w:rsid w:val="002329FC"/>
    <w:rsid w:val="00232DB5"/>
    <w:rsid w:val="002334F8"/>
    <w:rsid w:val="00233BD6"/>
    <w:rsid w:val="00233D9A"/>
    <w:rsid w:val="00234650"/>
    <w:rsid w:val="002350BB"/>
    <w:rsid w:val="00235102"/>
    <w:rsid w:val="00235EC4"/>
    <w:rsid w:val="0023657A"/>
    <w:rsid w:val="0023705C"/>
    <w:rsid w:val="00237406"/>
    <w:rsid w:val="0023782B"/>
    <w:rsid w:val="00241065"/>
    <w:rsid w:val="00242253"/>
    <w:rsid w:val="00242A44"/>
    <w:rsid w:val="00242A73"/>
    <w:rsid w:val="0024349D"/>
    <w:rsid w:val="00244300"/>
    <w:rsid w:val="0024479D"/>
    <w:rsid w:val="002447E4"/>
    <w:rsid w:val="002448CB"/>
    <w:rsid w:val="002454B5"/>
    <w:rsid w:val="00245EF9"/>
    <w:rsid w:val="0024635F"/>
    <w:rsid w:val="002501B4"/>
    <w:rsid w:val="00250494"/>
    <w:rsid w:val="00250550"/>
    <w:rsid w:val="00250C52"/>
    <w:rsid w:val="002514FC"/>
    <w:rsid w:val="00251730"/>
    <w:rsid w:val="00252EDB"/>
    <w:rsid w:val="00253139"/>
    <w:rsid w:val="002535CC"/>
    <w:rsid w:val="002538F8"/>
    <w:rsid w:val="00253925"/>
    <w:rsid w:val="00253CC5"/>
    <w:rsid w:val="00253F2A"/>
    <w:rsid w:val="00254310"/>
    <w:rsid w:val="002544E7"/>
    <w:rsid w:val="00254727"/>
    <w:rsid w:val="002547A6"/>
    <w:rsid w:val="00254A22"/>
    <w:rsid w:val="00255150"/>
    <w:rsid w:val="0025543B"/>
    <w:rsid w:val="00255915"/>
    <w:rsid w:val="00255E8A"/>
    <w:rsid w:val="002561E0"/>
    <w:rsid w:val="00256305"/>
    <w:rsid w:val="00257C2C"/>
    <w:rsid w:val="00260582"/>
    <w:rsid w:val="00260A58"/>
    <w:rsid w:val="002618DF"/>
    <w:rsid w:val="00261D44"/>
    <w:rsid w:val="002626EC"/>
    <w:rsid w:val="002630FE"/>
    <w:rsid w:val="00263280"/>
    <w:rsid w:val="0026426A"/>
    <w:rsid w:val="00264602"/>
    <w:rsid w:val="002654D5"/>
    <w:rsid w:val="0026578D"/>
    <w:rsid w:val="00266391"/>
    <w:rsid w:val="00266805"/>
    <w:rsid w:val="00266CBD"/>
    <w:rsid w:val="00266ECA"/>
    <w:rsid w:val="00267616"/>
    <w:rsid w:val="002704D2"/>
    <w:rsid w:val="00272A20"/>
    <w:rsid w:val="0027365B"/>
    <w:rsid w:val="0027375A"/>
    <w:rsid w:val="002739E7"/>
    <w:rsid w:val="00273E30"/>
    <w:rsid w:val="00274648"/>
    <w:rsid w:val="002749A8"/>
    <w:rsid w:val="002759C4"/>
    <w:rsid w:val="0027620C"/>
    <w:rsid w:val="00276E8B"/>
    <w:rsid w:val="00276F48"/>
    <w:rsid w:val="00280CA8"/>
    <w:rsid w:val="002816A7"/>
    <w:rsid w:val="002824BA"/>
    <w:rsid w:val="0028257A"/>
    <w:rsid w:val="00283270"/>
    <w:rsid w:val="00283826"/>
    <w:rsid w:val="00283895"/>
    <w:rsid w:val="00283F94"/>
    <w:rsid w:val="00284630"/>
    <w:rsid w:val="00284A26"/>
    <w:rsid w:val="00285968"/>
    <w:rsid w:val="002859E4"/>
    <w:rsid w:val="00287445"/>
    <w:rsid w:val="002874E9"/>
    <w:rsid w:val="00287725"/>
    <w:rsid w:val="00287967"/>
    <w:rsid w:val="00290265"/>
    <w:rsid w:val="002908E8"/>
    <w:rsid w:val="002910B2"/>
    <w:rsid w:val="00291134"/>
    <w:rsid w:val="002929B8"/>
    <w:rsid w:val="0029403B"/>
    <w:rsid w:val="00295610"/>
    <w:rsid w:val="00296C8D"/>
    <w:rsid w:val="002A068F"/>
    <w:rsid w:val="002A0B77"/>
    <w:rsid w:val="002A1138"/>
    <w:rsid w:val="002A1349"/>
    <w:rsid w:val="002A1C53"/>
    <w:rsid w:val="002A30FF"/>
    <w:rsid w:val="002A36B7"/>
    <w:rsid w:val="002A37F1"/>
    <w:rsid w:val="002A383A"/>
    <w:rsid w:val="002A38F0"/>
    <w:rsid w:val="002A40BC"/>
    <w:rsid w:val="002A421A"/>
    <w:rsid w:val="002A5779"/>
    <w:rsid w:val="002A5AAC"/>
    <w:rsid w:val="002A668D"/>
    <w:rsid w:val="002A7AFE"/>
    <w:rsid w:val="002B018E"/>
    <w:rsid w:val="002B06C0"/>
    <w:rsid w:val="002B1550"/>
    <w:rsid w:val="002B1F2B"/>
    <w:rsid w:val="002B249B"/>
    <w:rsid w:val="002B2569"/>
    <w:rsid w:val="002B2682"/>
    <w:rsid w:val="002B27E5"/>
    <w:rsid w:val="002B2959"/>
    <w:rsid w:val="002B2A3F"/>
    <w:rsid w:val="002B2E24"/>
    <w:rsid w:val="002B31B5"/>
    <w:rsid w:val="002B32EE"/>
    <w:rsid w:val="002B393B"/>
    <w:rsid w:val="002B3E81"/>
    <w:rsid w:val="002B4036"/>
    <w:rsid w:val="002B4C81"/>
    <w:rsid w:val="002B50E0"/>
    <w:rsid w:val="002B5442"/>
    <w:rsid w:val="002B657E"/>
    <w:rsid w:val="002B6762"/>
    <w:rsid w:val="002B6D6C"/>
    <w:rsid w:val="002B70A4"/>
    <w:rsid w:val="002B7184"/>
    <w:rsid w:val="002B71C8"/>
    <w:rsid w:val="002B73CB"/>
    <w:rsid w:val="002B7F24"/>
    <w:rsid w:val="002C00F7"/>
    <w:rsid w:val="002C0F06"/>
    <w:rsid w:val="002C2791"/>
    <w:rsid w:val="002C2B9B"/>
    <w:rsid w:val="002C2D91"/>
    <w:rsid w:val="002C304B"/>
    <w:rsid w:val="002C375A"/>
    <w:rsid w:val="002C39D2"/>
    <w:rsid w:val="002C4A48"/>
    <w:rsid w:val="002C5723"/>
    <w:rsid w:val="002C5AEF"/>
    <w:rsid w:val="002C62C0"/>
    <w:rsid w:val="002C6357"/>
    <w:rsid w:val="002C68A4"/>
    <w:rsid w:val="002C6BAE"/>
    <w:rsid w:val="002C7DA0"/>
    <w:rsid w:val="002D0E9E"/>
    <w:rsid w:val="002D12E1"/>
    <w:rsid w:val="002D18E3"/>
    <w:rsid w:val="002D1D1B"/>
    <w:rsid w:val="002D227E"/>
    <w:rsid w:val="002D2E14"/>
    <w:rsid w:val="002D3364"/>
    <w:rsid w:val="002D39FD"/>
    <w:rsid w:val="002D3BCE"/>
    <w:rsid w:val="002D3CFA"/>
    <w:rsid w:val="002D444F"/>
    <w:rsid w:val="002D4678"/>
    <w:rsid w:val="002D4895"/>
    <w:rsid w:val="002D4926"/>
    <w:rsid w:val="002D4D9B"/>
    <w:rsid w:val="002D5434"/>
    <w:rsid w:val="002D57C4"/>
    <w:rsid w:val="002D6869"/>
    <w:rsid w:val="002D73CD"/>
    <w:rsid w:val="002D7A34"/>
    <w:rsid w:val="002D7EE6"/>
    <w:rsid w:val="002E0913"/>
    <w:rsid w:val="002E0E1B"/>
    <w:rsid w:val="002E1595"/>
    <w:rsid w:val="002E1669"/>
    <w:rsid w:val="002E1862"/>
    <w:rsid w:val="002E2216"/>
    <w:rsid w:val="002E228E"/>
    <w:rsid w:val="002E2816"/>
    <w:rsid w:val="002E330A"/>
    <w:rsid w:val="002E349C"/>
    <w:rsid w:val="002E42D4"/>
    <w:rsid w:val="002E5443"/>
    <w:rsid w:val="002E54BE"/>
    <w:rsid w:val="002E5F1B"/>
    <w:rsid w:val="002E62E5"/>
    <w:rsid w:val="002E6DA9"/>
    <w:rsid w:val="002E7D60"/>
    <w:rsid w:val="002F014E"/>
    <w:rsid w:val="002F024F"/>
    <w:rsid w:val="002F132A"/>
    <w:rsid w:val="002F137E"/>
    <w:rsid w:val="002F181E"/>
    <w:rsid w:val="002F1B70"/>
    <w:rsid w:val="002F1CCE"/>
    <w:rsid w:val="002F2496"/>
    <w:rsid w:val="002F2EC5"/>
    <w:rsid w:val="002F3798"/>
    <w:rsid w:val="002F3898"/>
    <w:rsid w:val="002F39C3"/>
    <w:rsid w:val="002F39FB"/>
    <w:rsid w:val="002F48BE"/>
    <w:rsid w:val="002F4C7C"/>
    <w:rsid w:val="002F4D99"/>
    <w:rsid w:val="002F513D"/>
    <w:rsid w:val="002F673F"/>
    <w:rsid w:val="002F681E"/>
    <w:rsid w:val="002F68FE"/>
    <w:rsid w:val="002F6CAD"/>
    <w:rsid w:val="002F72AD"/>
    <w:rsid w:val="002F74EA"/>
    <w:rsid w:val="002F7A58"/>
    <w:rsid w:val="0030068B"/>
    <w:rsid w:val="00300C6C"/>
    <w:rsid w:val="003015E7"/>
    <w:rsid w:val="0030184C"/>
    <w:rsid w:val="003020B9"/>
    <w:rsid w:val="00302A44"/>
    <w:rsid w:val="00302AC8"/>
    <w:rsid w:val="00302FA5"/>
    <w:rsid w:val="0030303E"/>
    <w:rsid w:val="003046ED"/>
    <w:rsid w:val="00304BB7"/>
    <w:rsid w:val="00304C1D"/>
    <w:rsid w:val="00304F1E"/>
    <w:rsid w:val="00305029"/>
    <w:rsid w:val="00305ACF"/>
    <w:rsid w:val="003064CF"/>
    <w:rsid w:val="00307FD6"/>
    <w:rsid w:val="003106DA"/>
    <w:rsid w:val="00310BB9"/>
    <w:rsid w:val="00310E63"/>
    <w:rsid w:val="0031210C"/>
    <w:rsid w:val="00313B4A"/>
    <w:rsid w:val="00314417"/>
    <w:rsid w:val="003152F9"/>
    <w:rsid w:val="0031572C"/>
    <w:rsid w:val="0031577F"/>
    <w:rsid w:val="00316169"/>
    <w:rsid w:val="00316288"/>
    <w:rsid w:val="00316BC3"/>
    <w:rsid w:val="00316BF7"/>
    <w:rsid w:val="00316CD7"/>
    <w:rsid w:val="00316F20"/>
    <w:rsid w:val="00317137"/>
    <w:rsid w:val="00317491"/>
    <w:rsid w:val="00317C75"/>
    <w:rsid w:val="00317D33"/>
    <w:rsid w:val="0032028B"/>
    <w:rsid w:val="0032130D"/>
    <w:rsid w:val="003218DE"/>
    <w:rsid w:val="003220C0"/>
    <w:rsid w:val="0032223B"/>
    <w:rsid w:val="00322441"/>
    <w:rsid w:val="0032308A"/>
    <w:rsid w:val="003233AC"/>
    <w:rsid w:val="0032397D"/>
    <w:rsid w:val="00323E42"/>
    <w:rsid w:val="00324220"/>
    <w:rsid w:val="0032438E"/>
    <w:rsid w:val="003247F1"/>
    <w:rsid w:val="003252FA"/>
    <w:rsid w:val="00325647"/>
    <w:rsid w:val="003260D4"/>
    <w:rsid w:val="003263FB"/>
    <w:rsid w:val="00326423"/>
    <w:rsid w:val="00326635"/>
    <w:rsid w:val="00326A23"/>
    <w:rsid w:val="00326D0F"/>
    <w:rsid w:val="0033035E"/>
    <w:rsid w:val="00330BBC"/>
    <w:rsid w:val="00330E0A"/>
    <w:rsid w:val="00331302"/>
    <w:rsid w:val="00331622"/>
    <w:rsid w:val="00331808"/>
    <w:rsid w:val="00331EF1"/>
    <w:rsid w:val="00331FDB"/>
    <w:rsid w:val="00332E22"/>
    <w:rsid w:val="00333BCB"/>
    <w:rsid w:val="00333CEE"/>
    <w:rsid w:val="00334776"/>
    <w:rsid w:val="00335840"/>
    <w:rsid w:val="00336157"/>
    <w:rsid w:val="0033686A"/>
    <w:rsid w:val="00336B3C"/>
    <w:rsid w:val="00337917"/>
    <w:rsid w:val="00340942"/>
    <w:rsid w:val="00340E03"/>
    <w:rsid w:val="0034149C"/>
    <w:rsid w:val="003416B4"/>
    <w:rsid w:val="00341A93"/>
    <w:rsid w:val="003421A2"/>
    <w:rsid w:val="00342317"/>
    <w:rsid w:val="00342602"/>
    <w:rsid w:val="00344442"/>
    <w:rsid w:val="003449A2"/>
    <w:rsid w:val="00344A7F"/>
    <w:rsid w:val="00344D3D"/>
    <w:rsid w:val="00344DC9"/>
    <w:rsid w:val="00345A78"/>
    <w:rsid w:val="003462EF"/>
    <w:rsid w:val="00346AFF"/>
    <w:rsid w:val="00346D65"/>
    <w:rsid w:val="00346DE9"/>
    <w:rsid w:val="00347B91"/>
    <w:rsid w:val="00347E51"/>
    <w:rsid w:val="00347FC5"/>
    <w:rsid w:val="0035052B"/>
    <w:rsid w:val="00351306"/>
    <w:rsid w:val="0035217C"/>
    <w:rsid w:val="003529C0"/>
    <w:rsid w:val="0035373B"/>
    <w:rsid w:val="00353788"/>
    <w:rsid w:val="003539D0"/>
    <w:rsid w:val="00354695"/>
    <w:rsid w:val="003555AE"/>
    <w:rsid w:val="003556C9"/>
    <w:rsid w:val="00356028"/>
    <w:rsid w:val="00356176"/>
    <w:rsid w:val="00356278"/>
    <w:rsid w:val="00356753"/>
    <w:rsid w:val="003568F9"/>
    <w:rsid w:val="003571AE"/>
    <w:rsid w:val="00357414"/>
    <w:rsid w:val="00360422"/>
    <w:rsid w:val="0036081B"/>
    <w:rsid w:val="00361813"/>
    <w:rsid w:val="00363084"/>
    <w:rsid w:val="003636AB"/>
    <w:rsid w:val="003647EF"/>
    <w:rsid w:val="00364CF9"/>
    <w:rsid w:val="00364F3B"/>
    <w:rsid w:val="00365CA8"/>
    <w:rsid w:val="0036691A"/>
    <w:rsid w:val="00366A29"/>
    <w:rsid w:val="00366C97"/>
    <w:rsid w:val="00366E45"/>
    <w:rsid w:val="0036720D"/>
    <w:rsid w:val="003704FC"/>
    <w:rsid w:val="00370C9F"/>
    <w:rsid w:val="00370DB1"/>
    <w:rsid w:val="0037148D"/>
    <w:rsid w:val="00371490"/>
    <w:rsid w:val="00371821"/>
    <w:rsid w:val="00372525"/>
    <w:rsid w:val="00372771"/>
    <w:rsid w:val="00372F01"/>
    <w:rsid w:val="00373060"/>
    <w:rsid w:val="00373255"/>
    <w:rsid w:val="00373C41"/>
    <w:rsid w:val="00373CBD"/>
    <w:rsid w:val="003740FF"/>
    <w:rsid w:val="003751A9"/>
    <w:rsid w:val="00375D41"/>
    <w:rsid w:val="00375E9A"/>
    <w:rsid w:val="00375EBB"/>
    <w:rsid w:val="0037634E"/>
    <w:rsid w:val="00376E47"/>
    <w:rsid w:val="00377424"/>
    <w:rsid w:val="00377D76"/>
    <w:rsid w:val="0038046D"/>
    <w:rsid w:val="003812C2"/>
    <w:rsid w:val="0038247F"/>
    <w:rsid w:val="00382E03"/>
    <w:rsid w:val="00383062"/>
    <w:rsid w:val="00383B62"/>
    <w:rsid w:val="00383EDD"/>
    <w:rsid w:val="0038414E"/>
    <w:rsid w:val="00384B1E"/>
    <w:rsid w:val="00385B09"/>
    <w:rsid w:val="00385CC4"/>
    <w:rsid w:val="00386543"/>
    <w:rsid w:val="00386A16"/>
    <w:rsid w:val="0038718C"/>
    <w:rsid w:val="0038790D"/>
    <w:rsid w:val="00387E2C"/>
    <w:rsid w:val="00387F35"/>
    <w:rsid w:val="003906AE"/>
    <w:rsid w:val="00390C17"/>
    <w:rsid w:val="00390D0B"/>
    <w:rsid w:val="003922C1"/>
    <w:rsid w:val="003923B1"/>
    <w:rsid w:val="0039351F"/>
    <w:rsid w:val="003935E5"/>
    <w:rsid w:val="00393BEE"/>
    <w:rsid w:val="00394428"/>
    <w:rsid w:val="0039449F"/>
    <w:rsid w:val="00395223"/>
    <w:rsid w:val="003953EE"/>
    <w:rsid w:val="00395E0F"/>
    <w:rsid w:val="00395E36"/>
    <w:rsid w:val="00396223"/>
    <w:rsid w:val="00396745"/>
    <w:rsid w:val="003971B2"/>
    <w:rsid w:val="003979D8"/>
    <w:rsid w:val="00397EDB"/>
    <w:rsid w:val="003A04FE"/>
    <w:rsid w:val="003A05B6"/>
    <w:rsid w:val="003A066D"/>
    <w:rsid w:val="003A0A0A"/>
    <w:rsid w:val="003A0B2C"/>
    <w:rsid w:val="003A1037"/>
    <w:rsid w:val="003A1583"/>
    <w:rsid w:val="003A18DF"/>
    <w:rsid w:val="003A1F64"/>
    <w:rsid w:val="003A21DF"/>
    <w:rsid w:val="003A2345"/>
    <w:rsid w:val="003A246F"/>
    <w:rsid w:val="003A2590"/>
    <w:rsid w:val="003A28E0"/>
    <w:rsid w:val="003A2BFA"/>
    <w:rsid w:val="003A38F7"/>
    <w:rsid w:val="003A45C5"/>
    <w:rsid w:val="003A4669"/>
    <w:rsid w:val="003A67A2"/>
    <w:rsid w:val="003A6BDD"/>
    <w:rsid w:val="003A75A8"/>
    <w:rsid w:val="003A7925"/>
    <w:rsid w:val="003A7EE2"/>
    <w:rsid w:val="003B0892"/>
    <w:rsid w:val="003B0D47"/>
    <w:rsid w:val="003B0EC5"/>
    <w:rsid w:val="003B17C2"/>
    <w:rsid w:val="003B1BDA"/>
    <w:rsid w:val="003B1BFA"/>
    <w:rsid w:val="003B2090"/>
    <w:rsid w:val="003B2365"/>
    <w:rsid w:val="003B241D"/>
    <w:rsid w:val="003B3107"/>
    <w:rsid w:val="003B3A8E"/>
    <w:rsid w:val="003B4874"/>
    <w:rsid w:val="003B48C0"/>
    <w:rsid w:val="003B4A47"/>
    <w:rsid w:val="003B62F7"/>
    <w:rsid w:val="003B64C6"/>
    <w:rsid w:val="003B69E9"/>
    <w:rsid w:val="003B6A2B"/>
    <w:rsid w:val="003B735F"/>
    <w:rsid w:val="003B766A"/>
    <w:rsid w:val="003C0C80"/>
    <w:rsid w:val="003C10EA"/>
    <w:rsid w:val="003C19AB"/>
    <w:rsid w:val="003C19C1"/>
    <w:rsid w:val="003C258B"/>
    <w:rsid w:val="003C303C"/>
    <w:rsid w:val="003C31EB"/>
    <w:rsid w:val="003C555C"/>
    <w:rsid w:val="003C5646"/>
    <w:rsid w:val="003C5F20"/>
    <w:rsid w:val="003C5F9A"/>
    <w:rsid w:val="003C6346"/>
    <w:rsid w:val="003C6D88"/>
    <w:rsid w:val="003C77D3"/>
    <w:rsid w:val="003C7E48"/>
    <w:rsid w:val="003D000B"/>
    <w:rsid w:val="003D02C9"/>
    <w:rsid w:val="003D0CC7"/>
    <w:rsid w:val="003D1134"/>
    <w:rsid w:val="003D1E48"/>
    <w:rsid w:val="003D1EF2"/>
    <w:rsid w:val="003D2A28"/>
    <w:rsid w:val="003D2CF5"/>
    <w:rsid w:val="003D2D43"/>
    <w:rsid w:val="003D2E73"/>
    <w:rsid w:val="003D2F71"/>
    <w:rsid w:val="003D3977"/>
    <w:rsid w:val="003D49B1"/>
    <w:rsid w:val="003D4AFF"/>
    <w:rsid w:val="003D5356"/>
    <w:rsid w:val="003D634B"/>
    <w:rsid w:val="003E043D"/>
    <w:rsid w:val="003E12D1"/>
    <w:rsid w:val="003E1BEE"/>
    <w:rsid w:val="003E1BFE"/>
    <w:rsid w:val="003E2996"/>
    <w:rsid w:val="003E33A6"/>
    <w:rsid w:val="003E5C56"/>
    <w:rsid w:val="003E61D0"/>
    <w:rsid w:val="003E6856"/>
    <w:rsid w:val="003E6F9E"/>
    <w:rsid w:val="003E70C9"/>
    <w:rsid w:val="003E7399"/>
    <w:rsid w:val="003E7F2E"/>
    <w:rsid w:val="003F0064"/>
    <w:rsid w:val="003F0713"/>
    <w:rsid w:val="003F23AD"/>
    <w:rsid w:val="003F2728"/>
    <w:rsid w:val="003F2D90"/>
    <w:rsid w:val="003F327D"/>
    <w:rsid w:val="003F365C"/>
    <w:rsid w:val="003F39D8"/>
    <w:rsid w:val="003F3B3D"/>
    <w:rsid w:val="003F3C86"/>
    <w:rsid w:val="003F3CF1"/>
    <w:rsid w:val="003F534E"/>
    <w:rsid w:val="003F5459"/>
    <w:rsid w:val="003F764B"/>
    <w:rsid w:val="003F787D"/>
    <w:rsid w:val="003F7BCD"/>
    <w:rsid w:val="00400403"/>
    <w:rsid w:val="004014E9"/>
    <w:rsid w:val="00401F1D"/>
    <w:rsid w:val="0040239D"/>
    <w:rsid w:val="0040300B"/>
    <w:rsid w:val="00403211"/>
    <w:rsid w:val="00404519"/>
    <w:rsid w:val="00404529"/>
    <w:rsid w:val="0040465F"/>
    <w:rsid w:val="00406C9D"/>
    <w:rsid w:val="00406EEB"/>
    <w:rsid w:val="004071CB"/>
    <w:rsid w:val="00407752"/>
    <w:rsid w:val="00407891"/>
    <w:rsid w:val="0041086B"/>
    <w:rsid w:val="00410DD3"/>
    <w:rsid w:val="004128AD"/>
    <w:rsid w:val="00412D88"/>
    <w:rsid w:val="00412E12"/>
    <w:rsid w:val="00413964"/>
    <w:rsid w:val="00413FC5"/>
    <w:rsid w:val="004146D5"/>
    <w:rsid w:val="0041470A"/>
    <w:rsid w:val="00415FD6"/>
    <w:rsid w:val="0041606A"/>
    <w:rsid w:val="0041611E"/>
    <w:rsid w:val="00416DA2"/>
    <w:rsid w:val="00416F2E"/>
    <w:rsid w:val="004171EF"/>
    <w:rsid w:val="004172F2"/>
    <w:rsid w:val="0041781F"/>
    <w:rsid w:val="00417ED0"/>
    <w:rsid w:val="00420448"/>
    <w:rsid w:val="00420916"/>
    <w:rsid w:val="00420E2E"/>
    <w:rsid w:val="00421659"/>
    <w:rsid w:val="00422D73"/>
    <w:rsid w:val="0042319F"/>
    <w:rsid w:val="0042377B"/>
    <w:rsid w:val="00423877"/>
    <w:rsid w:val="00423CF7"/>
    <w:rsid w:val="0042471A"/>
    <w:rsid w:val="00425122"/>
    <w:rsid w:val="00426001"/>
    <w:rsid w:val="004264D5"/>
    <w:rsid w:val="00427159"/>
    <w:rsid w:val="00427BA7"/>
    <w:rsid w:val="00427E2C"/>
    <w:rsid w:val="00427FEE"/>
    <w:rsid w:val="00430FEB"/>
    <w:rsid w:val="00431617"/>
    <w:rsid w:val="00431C4E"/>
    <w:rsid w:val="00431D2E"/>
    <w:rsid w:val="00431F1A"/>
    <w:rsid w:val="00431F58"/>
    <w:rsid w:val="00432D99"/>
    <w:rsid w:val="0043344F"/>
    <w:rsid w:val="00433680"/>
    <w:rsid w:val="004336C8"/>
    <w:rsid w:val="00433ECB"/>
    <w:rsid w:val="00434269"/>
    <w:rsid w:val="00434F79"/>
    <w:rsid w:val="004350D7"/>
    <w:rsid w:val="00436107"/>
    <w:rsid w:val="00436F8C"/>
    <w:rsid w:val="00437427"/>
    <w:rsid w:val="0044118F"/>
    <w:rsid w:val="00441D73"/>
    <w:rsid w:val="00441E90"/>
    <w:rsid w:val="004421D9"/>
    <w:rsid w:val="004426B2"/>
    <w:rsid w:val="00442731"/>
    <w:rsid w:val="00443CBE"/>
    <w:rsid w:val="00444F2A"/>
    <w:rsid w:val="004455E1"/>
    <w:rsid w:val="004459F8"/>
    <w:rsid w:val="00445B62"/>
    <w:rsid w:val="00445E61"/>
    <w:rsid w:val="00445F47"/>
    <w:rsid w:val="00446368"/>
    <w:rsid w:val="00446CAB"/>
    <w:rsid w:val="00446CF0"/>
    <w:rsid w:val="0045021E"/>
    <w:rsid w:val="00450B1B"/>
    <w:rsid w:val="004510C5"/>
    <w:rsid w:val="004516E7"/>
    <w:rsid w:val="00452D8E"/>
    <w:rsid w:val="0045353C"/>
    <w:rsid w:val="00454859"/>
    <w:rsid w:val="004550EB"/>
    <w:rsid w:val="00455ACE"/>
    <w:rsid w:val="004565B1"/>
    <w:rsid w:val="004569F6"/>
    <w:rsid w:val="00456FDB"/>
    <w:rsid w:val="004578E1"/>
    <w:rsid w:val="004578E5"/>
    <w:rsid w:val="004578E8"/>
    <w:rsid w:val="004603EE"/>
    <w:rsid w:val="00460FCC"/>
    <w:rsid w:val="00462638"/>
    <w:rsid w:val="00462B46"/>
    <w:rsid w:val="00463323"/>
    <w:rsid w:val="004637B4"/>
    <w:rsid w:val="004639D6"/>
    <w:rsid w:val="004640E0"/>
    <w:rsid w:val="00465F63"/>
    <w:rsid w:val="00466149"/>
    <w:rsid w:val="0046618B"/>
    <w:rsid w:val="00466744"/>
    <w:rsid w:val="00466CFF"/>
    <w:rsid w:val="00467893"/>
    <w:rsid w:val="00467FAD"/>
    <w:rsid w:val="004707F4"/>
    <w:rsid w:val="00470B9C"/>
    <w:rsid w:val="00470CE1"/>
    <w:rsid w:val="0047100E"/>
    <w:rsid w:val="00471376"/>
    <w:rsid w:val="0047138F"/>
    <w:rsid w:val="00471B45"/>
    <w:rsid w:val="00471E9D"/>
    <w:rsid w:val="00472019"/>
    <w:rsid w:val="004723DC"/>
    <w:rsid w:val="004727E2"/>
    <w:rsid w:val="00472CFF"/>
    <w:rsid w:val="0047305C"/>
    <w:rsid w:val="00473878"/>
    <w:rsid w:val="004748BC"/>
    <w:rsid w:val="00475C00"/>
    <w:rsid w:val="004767CF"/>
    <w:rsid w:val="0047681D"/>
    <w:rsid w:val="00476D80"/>
    <w:rsid w:val="004770B5"/>
    <w:rsid w:val="0047769D"/>
    <w:rsid w:val="004776CB"/>
    <w:rsid w:val="00477847"/>
    <w:rsid w:val="0047793D"/>
    <w:rsid w:val="00477AF4"/>
    <w:rsid w:val="00480D09"/>
    <w:rsid w:val="00480F00"/>
    <w:rsid w:val="00481B81"/>
    <w:rsid w:val="00481EBA"/>
    <w:rsid w:val="00481F31"/>
    <w:rsid w:val="00481F8B"/>
    <w:rsid w:val="004829A3"/>
    <w:rsid w:val="00483459"/>
    <w:rsid w:val="004839E4"/>
    <w:rsid w:val="00483FAF"/>
    <w:rsid w:val="00484302"/>
    <w:rsid w:val="00484868"/>
    <w:rsid w:val="00485416"/>
    <w:rsid w:val="00485639"/>
    <w:rsid w:val="00486EBE"/>
    <w:rsid w:val="004871AD"/>
    <w:rsid w:val="0049011E"/>
    <w:rsid w:val="00490477"/>
    <w:rsid w:val="00490601"/>
    <w:rsid w:val="0049094C"/>
    <w:rsid w:val="00490C99"/>
    <w:rsid w:val="0049106C"/>
    <w:rsid w:val="00491766"/>
    <w:rsid w:val="0049218A"/>
    <w:rsid w:val="00492B61"/>
    <w:rsid w:val="00494676"/>
    <w:rsid w:val="00494B24"/>
    <w:rsid w:val="00495263"/>
    <w:rsid w:val="00495283"/>
    <w:rsid w:val="00495590"/>
    <w:rsid w:val="00495825"/>
    <w:rsid w:val="00495EC3"/>
    <w:rsid w:val="00495FD9"/>
    <w:rsid w:val="0049645D"/>
    <w:rsid w:val="0049666F"/>
    <w:rsid w:val="00497044"/>
    <w:rsid w:val="004970FA"/>
    <w:rsid w:val="00497657"/>
    <w:rsid w:val="004976B9"/>
    <w:rsid w:val="00497E50"/>
    <w:rsid w:val="00497FDE"/>
    <w:rsid w:val="004A0782"/>
    <w:rsid w:val="004A0F58"/>
    <w:rsid w:val="004A0F5A"/>
    <w:rsid w:val="004A13F9"/>
    <w:rsid w:val="004A1500"/>
    <w:rsid w:val="004A28DF"/>
    <w:rsid w:val="004A2C2F"/>
    <w:rsid w:val="004A3050"/>
    <w:rsid w:val="004A393D"/>
    <w:rsid w:val="004A4357"/>
    <w:rsid w:val="004A43D6"/>
    <w:rsid w:val="004A6033"/>
    <w:rsid w:val="004A67BE"/>
    <w:rsid w:val="004A6FE7"/>
    <w:rsid w:val="004A73DA"/>
    <w:rsid w:val="004B0B35"/>
    <w:rsid w:val="004B1229"/>
    <w:rsid w:val="004B2118"/>
    <w:rsid w:val="004B2289"/>
    <w:rsid w:val="004B2D47"/>
    <w:rsid w:val="004B3011"/>
    <w:rsid w:val="004B4842"/>
    <w:rsid w:val="004B4924"/>
    <w:rsid w:val="004B53F8"/>
    <w:rsid w:val="004B698A"/>
    <w:rsid w:val="004B709C"/>
    <w:rsid w:val="004B78F4"/>
    <w:rsid w:val="004B79FE"/>
    <w:rsid w:val="004B7D7F"/>
    <w:rsid w:val="004C0171"/>
    <w:rsid w:val="004C02F6"/>
    <w:rsid w:val="004C1174"/>
    <w:rsid w:val="004C1B2A"/>
    <w:rsid w:val="004C1E62"/>
    <w:rsid w:val="004C1ED8"/>
    <w:rsid w:val="004C3090"/>
    <w:rsid w:val="004C3CF9"/>
    <w:rsid w:val="004C43E1"/>
    <w:rsid w:val="004C54DC"/>
    <w:rsid w:val="004C6115"/>
    <w:rsid w:val="004C6536"/>
    <w:rsid w:val="004C677D"/>
    <w:rsid w:val="004C6F33"/>
    <w:rsid w:val="004C6F35"/>
    <w:rsid w:val="004C706E"/>
    <w:rsid w:val="004C7884"/>
    <w:rsid w:val="004C7F3F"/>
    <w:rsid w:val="004D01F9"/>
    <w:rsid w:val="004D076A"/>
    <w:rsid w:val="004D0C4B"/>
    <w:rsid w:val="004D1134"/>
    <w:rsid w:val="004D1E46"/>
    <w:rsid w:val="004D1EF8"/>
    <w:rsid w:val="004D24FF"/>
    <w:rsid w:val="004D3407"/>
    <w:rsid w:val="004D3668"/>
    <w:rsid w:val="004D3AA5"/>
    <w:rsid w:val="004D3E4B"/>
    <w:rsid w:val="004D56EB"/>
    <w:rsid w:val="004D63AF"/>
    <w:rsid w:val="004D66A9"/>
    <w:rsid w:val="004D6976"/>
    <w:rsid w:val="004D6A97"/>
    <w:rsid w:val="004D6B26"/>
    <w:rsid w:val="004D6DB0"/>
    <w:rsid w:val="004D7101"/>
    <w:rsid w:val="004D7414"/>
    <w:rsid w:val="004D7D12"/>
    <w:rsid w:val="004E1CB6"/>
    <w:rsid w:val="004E2B23"/>
    <w:rsid w:val="004E2D9C"/>
    <w:rsid w:val="004E2DC2"/>
    <w:rsid w:val="004E4945"/>
    <w:rsid w:val="004E4A79"/>
    <w:rsid w:val="004E4C73"/>
    <w:rsid w:val="004E5136"/>
    <w:rsid w:val="004E55F9"/>
    <w:rsid w:val="004E5A2F"/>
    <w:rsid w:val="004E5BDC"/>
    <w:rsid w:val="004E643C"/>
    <w:rsid w:val="004E6940"/>
    <w:rsid w:val="004E69D2"/>
    <w:rsid w:val="004E7373"/>
    <w:rsid w:val="004E7DE6"/>
    <w:rsid w:val="004F01BC"/>
    <w:rsid w:val="004F07B0"/>
    <w:rsid w:val="004F0B52"/>
    <w:rsid w:val="004F0C3D"/>
    <w:rsid w:val="004F10CB"/>
    <w:rsid w:val="004F17F2"/>
    <w:rsid w:val="004F21C1"/>
    <w:rsid w:val="004F2B21"/>
    <w:rsid w:val="004F2DEE"/>
    <w:rsid w:val="004F2EA0"/>
    <w:rsid w:val="004F3033"/>
    <w:rsid w:val="004F34F4"/>
    <w:rsid w:val="004F3636"/>
    <w:rsid w:val="004F4331"/>
    <w:rsid w:val="004F45C3"/>
    <w:rsid w:val="004F5CFA"/>
    <w:rsid w:val="004F6096"/>
    <w:rsid w:val="004F62DF"/>
    <w:rsid w:val="004F6F60"/>
    <w:rsid w:val="004F72D9"/>
    <w:rsid w:val="004F753D"/>
    <w:rsid w:val="00500B18"/>
    <w:rsid w:val="00501374"/>
    <w:rsid w:val="0050153D"/>
    <w:rsid w:val="00501D60"/>
    <w:rsid w:val="005025FB"/>
    <w:rsid w:val="0050282B"/>
    <w:rsid w:val="005031B7"/>
    <w:rsid w:val="005032B9"/>
    <w:rsid w:val="005034AA"/>
    <w:rsid w:val="00503B63"/>
    <w:rsid w:val="00504A88"/>
    <w:rsid w:val="00505FA0"/>
    <w:rsid w:val="0050640E"/>
    <w:rsid w:val="005066A4"/>
    <w:rsid w:val="005067D4"/>
    <w:rsid w:val="0050696F"/>
    <w:rsid w:val="00506C75"/>
    <w:rsid w:val="00510797"/>
    <w:rsid w:val="00510B21"/>
    <w:rsid w:val="00510E04"/>
    <w:rsid w:val="0051119C"/>
    <w:rsid w:val="00511665"/>
    <w:rsid w:val="00511F9D"/>
    <w:rsid w:val="00511FEB"/>
    <w:rsid w:val="005120FD"/>
    <w:rsid w:val="0051221A"/>
    <w:rsid w:val="005125A4"/>
    <w:rsid w:val="00513E25"/>
    <w:rsid w:val="005141BD"/>
    <w:rsid w:val="0051420B"/>
    <w:rsid w:val="005143F2"/>
    <w:rsid w:val="005145C5"/>
    <w:rsid w:val="00514A10"/>
    <w:rsid w:val="0051503B"/>
    <w:rsid w:val="005153F2"/>
    <w:rsid w:val="0051624A"/>
    <w:rsid w:val="00516EA6"/>
    <w:rsid w:val="00517B0C"/>
    <w:rsid w:val="005207A9"/>
    <w:rsid w:val="0052096F"/>
    <w:rsid w:val="00520AC1"/>
    <w:rsid w:val="00521225"/>
    <w:rsid w:val="005216A4"/>
    <w:rsid w:val="00521C5C"/>
    <w:rsid w:val="00521EAA"/>
    <w:rsid w:val="005222E5"/>
    <w:rsid w:val="005228F6"/>
    <w:rsid w:val="00523ACE"/>
    <w:rsid w:val="00524D14"/>
    <w:rsid w:val="00524F3C"/>
    <w:rsid w:val="005250C6"/>
    <w:rsid w:val="005264CB"/>
    <w:rsid w:val="005274CB"/>
    <w:rsid w:val="0052752B"/>
    <w:rsid w:val="00531118"/>
    <w:rsid w:val="00531247"/>
    <w:rsid w:val="0053264B"/>
    <w:rsid w:val="00532B21"/>
    <w:rsid w:val="00533A4A"/>
    <w:rsid w:val="00533B0B"/>
    <w:rsid w:val="00533ED7"/>
    <w:rsid w:val="00534789"/>
    <w:rsid w:val="005357E0"/>
    <w:rsid w:val="00535C4D"/>
    <w:rsid w:val="00536192"/>
    <w:rsid w:val="00536B94"/>
    <w:rsid w:val="0053763A"/>
    <w:rsid w:val="00540424"/>
    <w:rsid w:val="00540AEC"/>
    <w:rsid w:val="0054212E"/>
    <w:rsid w:val="00542368"/>
    <w:rsid w:val="00542445"/>
    <w:rsid w:val="00542FB5"/>
    <w:rsid w:val="005431D5"/>
    <w:rsid w:val="0054381D"/>
    <w:rsid w:val="00545423"/>
    <w:rsid w:val="00545895"/>
    <w:rsid w:val="00545C28"/>
    <w:rsid w:val="00545EA3"/>
    <w:rsid w:val="005462F2"/>
    <w:rsid w:val="0054654E"/>
    <w:rsid w:val="005465E4"/>
    <w:rsid w:val="005476B8"/>
    <w:rsid w:val="0054777B"/>
    <w:rsid w:val="00547924"/>
    <w:rsid w:val="00547B25"/>
    <w:rsid w:val="00547E9F"/>
    <w:rsid w:val="0055022F"/>
    <w:rsid w:val="005504CD"/>
    <w:rsid w:val="00551905"/>
    <w:rsid w:val="00551DE8"/>
    <w:rsid w:val="00552A1B"/>
    <w:rsid w:val="0055378E"/>
    <w:rsid w:val="00553DFF"/>
    <w:rsid w:val="00555D46"/>
    <w:rsid w:val="00556046"/>
    <w:rsid w:val="005565A8"/>
    <w:rsid w:val="0055682B"/>
    <w:rsid w:val="00557062"/>
    <w:rsid w:val="00561421"/>
    <w:rsid w:val="00561907"/>
    <w:rsid w:val="00561980"/>
    <w:rsid w:val="00561DC2"/>
    <w:rsid w:val="0056224A"/>
    <w:rsid w:val="0056225E"/>
    <w:rsid w:val="00562302"/>
    <w:rsid w:val="00562BFD"/>
    <w:rsid w:val="005632FC"/>
    <w:rsid w:val="00564BCB"/>
    <w:rsid w:val="00564EDA"/>
    <w:rsid w:val="00565DA5"/>
    <w:rsid w:val="00566BC8"/>
    <w:rsid w:val="00566F38"/>
    <w:rsid w:val="005679F7"/>
    <w:rsid w:val="0057052B"/>
    <w:rsid w:val="00571445"/>
    <w:rsid w:val="00571708"/>
    <w:rsid w:val="00572959"/>
    <w:rsid w:val="00573AAE"/>
    <w:rsid w:val="00574DD7"/>
    <w:rsid w:val="00575337"/>
    <w:rsid w:val="005760B6"/>
    <w:rsid w:val="005770DE"/>
    <w:rsid w:val="00577AF2"/>
    <w:rsid w:val="00577BDB"/>
    <w:rsid w:val="00581344"/>
    <w:rsid w:val="005815F0"/>
    <w:rsid w:val="00581B92"/>
    <w:rsid w:val="00582676"/>
    <w:rsid w:val="0058288C"/>
    <w:rsid w:val="00583EE6"/>
    <w:rsid w:val="00583F67"/>
    <w:rsid w:val="005849F8"/>
    <w:rsid w:val="00584E68"/>
    <w:rsid w:val="0058552A"/>
    <w:rsid w:val="005858B7"/>
    <w:rsid w:val="00585BD8"/>
    <w:rsid w:val="005862ED"/>
    <w:rsid w:val="005863B8"/>
    <w:rsid w:val="005866EA"/>
    <w:rsid w:val="0058690F"/>
    <w:rsid w:val="00586C84"/>
    <w:rsid w:val="00586FAE"/>
    <w:rsid w:val="00587423"/>
    <w:rsid w:val="0058754E"/>
    <w:rsid w:val="00587E36"/>
    <w:rsid w:val="005905D2"/>
    <w:rsid w:val="005914CE"/>
    <w:rsid w:val="005929DF"/>
    <w:rsid w:val="005933C8"/>
    <w:rsid w:val="0059341B"/>
    <w:rsid w:val="0059379A"/>
    <w:rsid w:val="00594306"/>
    <w:rsid w:val="00594D9E"/>
    <w:rsid w:val="00594F6A"/>
    <w:rsid w:val="00595008"/>
    <w:rsid w:val="00595AFA"/>
    <w:rsid w:val="00597337"/>
    <w:rsid w:val="00597A5B"/>
    <w:rsid w:val="00597A79"/>
    <w:rsid w:val="005A0883"/>
    <w:rsid w:val="005A09A1"/>
    <w:rsid w:val="005A127F"/>
    <w:rsid w:val="005A1496"/>
    <w:rsid w:val="005A155A"/>
    <w:rsid w:val="005A197B"/>
    <w:rsid w:val="005A1F14"/>
    <w:rsid w:val="005A27B9"/>
    <w:rsid w:val="005A2A08"/>
    <w:rsid w:val="005A2BC8"/>
    <w:rsid w:val="005A41B9"/>
    <w:rsid w:val="005A4538"/>
    <w:rsid w:val="005A4C5D"/>
    <w:rsid w:val="005A6382"/>
    <w:rsid w:val="005A64A3"/>
    <w:rsid w:val="005A6AC8"/>
    <w:rsid w:val="005A7898"/>
    <w:rsid w:val="005A79CA"/>
    <w:rsid w:val="005B0012"/>
    <w:rsid w:val="005B0269"/>
    <w:rsid w:val="005B1306"/>
    <w:rsid w:val="005B14EA"/>
    <w:rsid w:val="005B1BA7"/>
    <w:rsid w:val="005B1EA2"/>
    <w:rsid w:val="005B265A"/>
    <w:rsid w:val="005B2AD8"/>
    <w:rsid w:val="005B2AF9"/>
    <w:rsid w:val="005B32E9"/>
    <w:rsid w:val="005B3424"/>
    <w:rsid w:val="005B3898"/>
    <w:rsid w:val="005B3B44"/>
    <w:rsid w:val="005B427F"/>
    <w:rsid w:val="005B43F9"/>
    <w:rsid w:val="005B48E5"/>
    <w:rsid w:val="005B605A"/>
    <w:rsid w:val="005B6473"/>
    <w:rsid w:val="005B6505"/>
    <w:rsid w:val="005B65CD"/>
    <w:rsid w:val="005B6A38"/>
    <w:rsid w:val="005B7195"/>
    <w:rsid w:val="005B73FE"/>
    <w:rsid w:val="005B741F"/>
    <w:rsid w:val="005C1F0F"/>
    <w:rsid w:val="005C1F4F"/>
    <w:rsid w:val="005C20ED"/>
    <w:rsid w:val="005C25CC"/>
    <w:rsid w:val="005C2A1C"/>
    <w:rsid w:val="005C396E"/>
    <w:rsid w:val="005C42DB"/>
    <w:rsid w:val="005C4A4C"/>
    <w:rsid w:val="005C4CE7"/>
    <w:rsid w:val="005C4DD9"/>
    <w:rsid w:val="005C5209"/>
    <w:rsid w:val="005C5408"/>
    <w:rsid w:val="005C5767"/>
    <w:rsid w:val="005C5982"/>
    <w:rsid w:val="005C5F6C"/>
    <w:rsid w:val="005C68C7"/>
    <w:rsid w:val="005C6BCF"/>
    <w:rsid w:val="005C6E05"/>
    <w:rsid w:val="005C72C1"/>
    <w:rsid w:val="005D01E7"/>
    <w:rsid w:val="005D092C"/>
    <w:rsid w:val="005D0A25"/>
    <w:rsid w:val="005D0ECC"/>
    <w:rsid w:val="005D115F"/>
    <w:rsid w:val="005D1CD1"/>
    <w:rsid w:val="005D1D1C"/>
    <w:rsid w:val="005D2E1F"/>
    <w:rsid w:val="005D3129"/>
    <w:rsid w:val="005D3F60"/>
    <w:rsid w:val="005D57C1"/>
    <w:rsid w:val="005D5C0F"/>
    <w:rsid w:val="005D65F2"/>
    <w:rsid w:val="005D69ED"/>
    <w:rsid w:val="005D6B0E"/>
    <w:rsid w:val="005D6B6C"/>
    <w:rsid w:val="005D7430"/>
    <w:rsid w:val="005E027E"/>
    <w:rsid w:val="005E02BE"/>
    <w:rsid w:val="005E1828"/>
    <w:rsid w:val="005E18A0"/>
    <w:rsid w:val="005E1975"/>
    <w:rsid w:val="005E1EFA"/>
    <w:rsid w:val="005E22D9"/>
    <w:rsid w:val="005E3964"/>
    <w:rsid w:val="005E39AA"/>
    <w:rsid w:val="005E4663"/>
    <w:rsid w:val="005E4CFA"/>
    <w:rsid w:val="005E4E9B"/>
    <w:rsid w:val="005E55AF"/>
    <w:rsid w:val="005E55BB"/>
    <w:rsid w:val="005E55DB"/>
    <w:rsid w:val="005E578C"/>
    <w:rsid w:val="005E5EFF"/>
    <w:rsid w:val="005E6A91"/>
    <w:rsid w:val="005E7747"/>
    <w:rsid w:val="005E7A9B"/>
    <w:rsid w:val="005E7FBE"/>
    <w:rsid w:val="005F0E0B"/>
    <w:rsid w:val="005F118A"/>
    <w:rsid w:val="005F24BD"/>
    <w:rsid w:val="005F254E"/>
    <w:rsid w:val="005F2740"/>
    <w:rsid w:val="005F29F2"/>
    <w:rsid w:val="005F2C68"/>
    <w:rsid w:val="005F361B"/>
    <w:rsid w:val="005F3FC3"/>
    <w:rsid w:val="005F4069"/>
    <w:rsid w:val="005F4D58"/>
    <w:rsid w:val="005F563B"/>
    <w:rsid w:val="005F6378"/>
    <w:rsid w:val="005F6391"/>
    <w:rsid w:val="005F6693"/>
    <w:rsid w:val="005F68AD"/>
    <w:rsid w:val="005F7643"/>
    <w:rsid w:val="00601870"/>
    <w:rsid w:val="00601E00"/>
    <w:rsid w:val="00603183"/>
    <w:rsid w:val="006037D9"/>
    <w:rsid w:val="006038F0"/>
    <w:rsid w:val="00603AC0"/>
    <w:rsid w:val="00604115"/>
    <w:rsid w:val="00605D66"/>
    <w:rsid w:val="00605FD5"/>
    <w:rsid w:val="00606675"/>
    <w:rsid w:val="00606919"/>
    <w:rsid w:val="006069D9"/>
    <w:rsid w:val="00606F97"/>
    <w:rsid w:val="00607AC5"/>
    <w:rsid w:val="00607C5E"/>
    <w:rsid w:val="00607D25"/>
    <w:rsid w:val="00607DF2"/>
    <w:rsid w:val="006104D1"/>
    <w:rsid w:val="0061052A"/>
    <w:rsid w:val="0061102D"/>
    <w:rsid w:val="0061124C"/>
    <w:rsid w:val="00611393"/>
    <w:rsid w:val="00611746"/>
    <w:rsid w:val="00611A6C"/>
    <w:rsid w:val="00611C36"/>
    <w:rsid w:val="006120D5"/>
    <w:rsid w:val="0061267B"/>
    <w:rsid w:val="006133A6"/>
    <w:rsid w:val="00613C82"/>
    <w:rsid w:val="006149C7"/>
    <w:rsid w:val="006149F2"/>
    <w:rsid w:val="00614AF3"/>
    <w:rsid w:val="0061517C"/>
    <w:rsid w:val="00617015"/>
    <w:rsid w:val="00617354"/>
    <w:rsid w:val="00617949"/>
    <w:rsid w:val="00617EB9"/>
    <w:rsid w:val="006200C3"/>
    <w:rsid w:val="00620246"/>
    <w:rsid w:val="00620AFE"/>
    <w:rsid w:val="00621D61"/>
    <w:rsid w:val="00621F0B"/>
    <w:rsid w:val="006224C8"/>
    <w:rsid w:val="00622972"/>
    <w:rsid w:val="00622F6E"/>
    <w:rsid w:val="00623731"/>
    <w:rsid w:val="0062459D"/>
    <w:rsid w:val="00624D8F"/>
    <w:rsid w:val="00625958"/>
    <w:rsid w:val="00625F4C"/>
    <w:rsid w:val="0062705E"/>
    <w:rsid w:val="006272AA"/>
    <w:rsid w:val="00627535"/>
    <w:rsid w:val="0063009B"/>
    <w:rsid w:val="0063083D"/>
    <w:rsid w:val="00630931"/>
    <w:rsid w:val="00630A86"/>
    <w:rsid w:val="00630AC9"/>
    <w:rsid w:val="0063210A"/>
    <w:rsid w:val="006325DF"/>
    <w:rsid w:val="00632796"/>
    <w:rsid w:val="00632B60"/>
    <w:rsid w:val="00633436"/>
    <w:rsid w:val="00633EA9"/>
    <w:rsid w:val="00634183"/>
    <w:rsid w:val="006346EA"/>
    <w:rsid w:val="00634CAF"/>
    <w:rsid w:val="00635403"/>
    <w:rsid w:val="00635757"/>
    <w:rsid w:val="006357CE"/>
    <w:rsid w:val="00635C62"/>
    <w:rsid w:val="00636105"/>
    <w:rsid w:val="00636258"/>
    <w:rsid w:val="0063750B"/>
    <w:rsid w:val="00637F89"/>
    <w:rsid w:val="00640658"/>
    <w:rsid w:val="00640AA6"/>
    <w:rsid w:val="00640FB0"/>
    <w:rsid w:val="00641486"/>
    <w:rsid w:val="0064180F"/>
    <w:rsid w:val="00641BE9"/>
    <w:rsid w:val="00642371"/>
    <w:rsid w:val="006425D3"/>
    <w:rsid w:val="00642762"/>
    <w:rsid w:val="006435BD"/>
    <w:rsid w:val="0064377B"/>
    <w:rsid w:val="00645146"/>
    <w:rsid w:val="006457A1"/>
    <w:rsid w:val="00645CF0"/>
    <w:rsid w:val="00646CBC"/>
    <w:rsid w:val="00647F65"/>
    <w:rsid w:val="00650570"/>
    <w:rsid w:val="006508B1"/>
    <w:rsid w:val="00650A85"/>
    <w:rsid w:val="00650F06"/>
    <w:rsid w:val="006513C3"/>
    <w:rsid w:val="0065271F"/>
    <w:rsid w:val="00652CD3"/>
    <w:rsid w:val="00653ADF"/>
    <w:rsid w:val="00654922"/>
    <w:rsid w:val="00654EF4"/>
    <w:rsid w:val="006552DE"/>
    <w:rsid w:val="0065613A"/>
    <w:rsid w:val="00656E82"/>
    <w:rsid w:val="00657839"/>
    <w:rsid w:val="00660A9E"/>
    <w:rsid w:val="00660C05"/>
    <w:rsid w:val="00661003"/>
    <w:rsid w:val="00661E5D"/>
    <w:rsid w:val="0066349D"/>
    <w:rsid w:val="006636A5"/>
    <w:rsid w:val="00663761"/>
    <w:rsid w:val="006646B7"/>
    <w:rsid w:val="00665467"/>
    <w:rsid w:val="00665AD3"/>
    <w:rsid w:val="006669C7"/>
    <w:rsid w:val="00667611"/>
    <w:rsid w:val="00667E1E"/>
    <w:rsid w:val="006700F7"/>
    <w:rsid w:val="006711AB"/>
    <w:rsid w:val="006719F2"/>
    <w:rsid w:val="0067210C"/>
    <w:rsid w:val="00672F5A"/>
    <w:rsid w:val="006734B0"/>
    <w:rsid w:val="00673F02"/>
    <w:rsid w:val="00674378"/>
    <w:rsid w:val="006745D9"/>
    <w:rsid w:val="006748FE"/>
    <w:rsid w:val="00674C7E"/>
    <w:rsid w:val="00676245"/>
    <w:rsid w:val="00677564"/>
    <w:rsid w:val="0068038D"/>
    <w:rsid w:val="00680509"/>
    <w:rsid w:val="006813E5"/>
    <w:rsid w:val="006821F3"/>
    <w:rsid w:val="00682267"/>
    <w:rsid w:val="006822DA"/>
    <w:rsid w:val="006829A3"/>
    <w:rsid w:val="00683C4E"/>
    <w:rsid w:val="00683F35"/>
    <w:rsid w:val="0068470D"/>
    <w:rsid w:val="00685244"/>
    <w:rsid w:val="00685D4E"/>
    <w:rsid w:val="0068617D"/>
    <w:rsid w:val="00686AE1"/>
    <w:rsid w:val="00686E5D"/>
    <w:rsid w:val="006876F1"/>
    <w:rsid w:val="00687C5D"/>
    <w:rsid w:val="00687CB9"/>
    <w:rsid w:val="00687DC0"/>
    <w:rsid w:val="0069007E"/>
    <w:rsid w:val="0069174D"/>
    <w:rsid w:val="006919E9"/>
    <w:rsid w:val="00692B88"/>
    <w:rsid w:val="006931DF"/>
    <w:rsid w:val="006933B9"/>
    <w:rsid w:val="0069445F"/>
    <w:rsid w:val="006949AE"/>
    <w:rsid w:val="0069545E"/>
    <w:rsid w:val="006967C6"/>
    <w:rsid w:val="0069772F"/>
    <w:rsid w:val="00697D31"/>
    <w:rsid w:val="00697ED7"/>
    <w:rsid w:val="00697FB3"/>
    <w:rsid w:val="006A0AF1"/>
    <w:rsid w:val="006A0C6C"/>
    <w:rsid w:val="006A0E72"/>
    <w:rsid w:val="006A0FF6"/>
    <w:rsid w:val="006A1354"/>
    <w:rsid w:val="006A1CD1"/>
    <w:rsid w:val="006A3208"/>
    <w:rsid w:val="006A361C"/>
    <w:rsid w:val="006A39D3"/>
    <w:rsid w:val="006A3A17"/>
    <w:rsid w:val="006A3E25"/>
    <w:rsid w:val="006A3E58"/>
    <w:rsid w:val="006A4B98"/>
    <w:rsid w:val="006A5289"/>
    <w:rsid w:val="006A5B0B"/>
    <w:rsid w:val="006A6C8D"/>
    <w:rsid w:val="006B12D2"/>
    <w:rsid w:val="006B1E43"/>
    <w:rsid w:val="006B1E6E"/>
    <w:rsid w:val="006B205D"/>
    <w:rsid w:val="006B2303"/>
    <w:rsid w:val="006B23D1"/>
    <w:rsid w:val="006B295A"/>
    <w:rsid w:val="006B352B"/>
    <w:rsid w:val="006B43A0"/>
    <w:rsid w:val="006B5CA6"/>
    <w:rsid w:val="006B66D9"/>
    <w:rsid w:val="006B6CCE"/>
    <w:rsid w:val="006B7AB3"/>
    <w:rsid w:val="006B7D2E"/>
    <w:rsid w:val="006C173E"/>
    <w:rsid w:val="006C1B80"/>
    <w:rsid w:val="006C3A5F"/>
    <w:rsid w:val="006C46EE"/>
    <w:rsid w:val="006C48AC"/>
    <w:rsid w:val="006C6A00"/>
    <w:rsid w:val="006D0214"/>
    <w:rsid w:val="006D193C"/>
    <w:rsid w:val="006D1A47"/>
    <w:rsid w:val="006D27BC"/>
    <w:rsid w:val="006D2B41"/>
    <w:rsid w:val="006D2D0B"/>
    <w:rsid w:val="006D2D55"/>
    <w:rsid w:val="006D2D83"/>
    <w:rsid w:val="006D32E9"/>
    <w:rsid w:val="006D36EE"/>
    <w:rsid w:val="006D3BA8"/>
    <w:rsid w:val="006D3DC9"/>
    <w:rsid w:val="006D414C"/>
    <w:rsid w:val="006D43B9"/>
    <w:rsid w:val="006D518B"/>
    <w:rsid w:val="006D5576"/>
    <w:rsid w:val="006D5E1D"/>
    <w:rsid w:val="006D62D6"/>
    <w:rsid w:val="006D6495"/>
    <w:rsid w:val="006D64AC"/>
    <w:rsid w:val="006D6C90"/>
    <w:rsid w:val="006D768E"/>
    <w:rsid w:val="006E04C6"/>
    <w:rsid w:val="006E04D1"/>
    <w:rsid w:val="006E1501"/>
    <w:rsid w:val="006E1952"/>
    <w:rsid w:val="006E1D15"/>
    <w:rsid w:val="006E2520"/>
    <w:rsid w:val="006E2E40"/>
    <w:rsid w:val="006E3C3C"/>
    <w:rsid w:val="006E4FF7"/>
    <w:rsid w:val="006E52D9"/>
    <w:rsid w:val="006E54A7"/>
    <w:rsid w:val="006E60D8"/>
    <w:rsid w:val="006E6288"/>
    <w:rsid w:val="006E63CE"/>
    <w:rsid w:val="006E71E8"/>
    <w:rsid w:val="006F0002"/>
    <w:rsid w:val="006F068A"/>
    <w:rsid w:val="006F1839"/>
    <w:rsid w:val="006F19A4"/>
    <w:rsid w:val="006F20D4"/>
    <w:rsid w:val="006F2425"/>
    <w:rsid w:val="006F2453"/>
    <w:rsid w:val="006F26C8"/>
    <w:rsid w:val="006F3637"/>
    <w:rsid w:val="006F393D"/>
    <w:rsid w:val="006F3A9D"/>
    <w:rsid w:val="006F45D9"/>
    <w:rsid w:val="006F47BD"/>
    <w:rsid w:val="006F49A1"/>
    <w:rsid w:val="006F4B20"/>
    <w:rsid w:val="006F5D61"/>
    <w:rsid w:val="006F6364"/>
    <w:rsid w:val="006F65B9"/>
    <w:rsid w:val="006F663B"/>
    <w:rsid w:val="006F7FC8"/>
    <w:rsid w:val="00700E34"/>
    <w:rsid w:val="0070179A"/>
    <w:rsid w:val="0070235F"/>
    <w:rsid w:val="00702B84"/>
    <w:rsid w:val="00702C97"/>
    <w:rsid w:val="00702F58"/>
    <w:rsid w:val="007057C8"/>
    <w:rsid w:val="007057CA"/>
    <w:rsid w:val="00705E5D"/>
    <w:rsid w:val="007068C3"/>
    <w:rsid w:val="007068DE"/>
    <w:rsid w:val="00706BE4"/>
    <w:rsid w:val="007072DF"/>
    <w:rsid w:val="007078BF"/>
    <w:rsid w:val="007079DE"/>
    <w:rsid w:val="00707B2C"/>
    <w:rsid w:val="00710AA3"/>
    <w:rsid w:val="00710CAE"/>
    <w:rsid w:val="007113AE"/>
    <w:rsid w:val="007113D6"/>
    <w:rsid w:val="00711AF8"/>
    <w:rsid w:val="00711B8D"/>
    <w:rsid w:val="0071209E"/>
    <w:rsid w:val="007120E5"/>
    <w:rsid w:val="00712746"/>
    <w:rsid w:val="00712BDC"/>
    <w:rsid w:val="00713069"/>
    <w:rsid w:val="007137E9"/>
    <w:rsid w:val="007138F2"/>
    <w:rsid w:val="0071396B"/>
    <w:rsid w:val="00714DBA"/>
    <w:rsid w:val="00714E5A"/>
    <w:rsid w:val="00714F83"/>
    <w:rsid w:val="00714FA8"/>
    <w:rsid w:val="0071503A"/>
    <w:rsid w:val="0071506A"/>
    <w:rsid w:val="007151E3"/>
    <w:rsid w:val="00715761"/>
    <w:rsid w:val="0071608E"/>
    <w:rsid w:val="007164B8"/>
    <w:rsid w:val="00716DB4"/>
    <w:rsid w:val="0071779D"/>
    <w:rsid w:val="00717C8C"/>
    <w:rsid w:val="007210E9"/>
    <w:rsid w:val="0072138B"/>
    <w:rsid w:val="007216F2"/>
    <w:rsid w:val="0072196E"/>
    <w:rsid w:val="00724B20"/>
    <w:rsid w:val="00724C6E"/>
    <w:rsid w:val="0072592D"/>
    <w:rsid w:val="00726F2F"/>
    <w:rsid w:val="0072777B"/>
    <w:rsid w:val="00727DB4"/>
    <w:rsid w:val="00730041"/>
    <w:rsid w:val="00730997"/>
    <w:rsid w:val="00730E76"/>
    <w:rsid w:val="007318A2"/>
    <w:rsid w:val="00731B47"/>
    <w:rsid w:val="00731DAE"/>
    <w:rsid w:val="0073205B"/>
    <w:rsid w:val="00732095"/>
    <w:rsid w:val="00733A34"/>
    <w:rsid w:val="00733D73"/>
    <w:rsid w:val="00733F7A"/>
    <w:rsid w:val="00733FB2"/>
    <w:rsid w:val="007341B9"/>
    <w:rsid w:val="00734619"/>
    <w:rsid w:val="0073546A"/>
    <w:rsid w:val="00735B78"/>
    <w:rsid w:val="00735E17"/>
    <w:rsid w:val="00735FEC"/>
    <w:rsid w:val="007362E9"/>
    <w:rsid w:val="007364BB"/>
    <w:rsid w:val="0073708D"/>
    <w:rsid w:val="00737BD3"/>
    <w:rsid w:val="0074054B"/>
    <w:rsid w:val="0074115F"/>
    <w:rsid w:val="0074193B"/>
    <w:rsid w:val="0074250C"/>
    <w:rsid w:val="007437B0"/>
    <w:rsid w:val="00743BAA"/>
    <w:rsid w:val="00744F7F"/>
    <w:rsid w:val="0074564F"/>
    <w:rsid w:val="00745F2C"/>
    <w:rsid w:val="00746137"/>
    <w:rsid w:val="00746634"/>
    <w:rsid w:val="00746A43"/>
    <w:rsid w:val="00746E5F"/>
    <w:rsid w:val="007472D8"/>
    <w:rsid w:val="00747B24"/>
    <w:rsid w:val="007513DC"/>
    <w:rsid w:val="00751841"/>
    <w:rsid w:val="00751880"/>
    <w:rsid w:val="00751910"/>
    <w:rsid w:val="007519FD"/>
    <w:rsid w:val="00751A02"/>
    <w:rsid w:val="00751B6A"/>
    <w:rsid w:val="00751C12"/>
    <w:rsid w:val="00751DEE"/>
    <w:rsid w:val="0075284D"/>
    <w:rsid w:val="00752AD6"/>
    <w:rsid w:val="0075306E"/>
    <w:rsid w:val="00753755"/>
    <w:rsid w:val="00753A25"/>
    <w:rsid w:val="00753A31"/>
    <w:rsid w:val="007559DB"/>
    <w:rsid w:val="007568CC"/>
    <w:rsid w:val="00756DFA"/>
    <w:rsid w:val="007578A4"/>
    <w:rsid w:val="007600FC"/>
    <w:rsid w:val="00760267"/>
    <w:rsid w:val="00760471"/>
    <w:rsid w:val="00760B3F"/>
    <w:rsid w:val="00760C9B"/>
    <w:rsid w:val="00760F71"/>
    <w:rsid w:val="0076182D"/>
    <w:rsid w:val="00761DD4"/>
    <w:rsid w:val="00762D26"/>
    <w:rsid w:val="00763AA8"/>
    <w:rsid w:val="007646D1"/>
    <w:rsid w:val="00764734"/>
    <w:rsid w:val="00764C04"/>
    <w:rsid w:val="007658AD"/>
    <w:rsid w:val="007658CC"/>
    <w:rsid w:val="007666B4"/>
    <w:rsid w:val="007670D9"/>
    <w:rsid w:val="00767985"/>
    <w:rsid w:val="00767FCC"/>
    <w:rsid w:val="00770403"/>
    <w:rsid w:val="007707C7"/>
    <w:rsid w:val="00770CA1"/>
    <w:rsid w:val="00770EC6"/>
    <w:rsid w:val="00770F5B"/>
    <w:rsid w:val="00771267"/>
    <w:rsid w:val="0077128E"/>
    <w:rsid w:val="0077229F"/>
    <w:rsid w:val="00772691"/>
    <w:rsid w:val="0077340C"/>
    <w:rsid w:val="007735C7"/>
    <w:rsid w:val="00773885"/>
    <w:rsid w:val="00773FCF"/>
    <w:rsid w:val="0077408D"/>
    <w:rsid w:val="007740E3"/>
    <w:rsid w:val="00774EA8"/>
    <w:rsid w:val="00774F09"/>
    <w:rsid w:val="00774F13"/>
    <w:rsid w:val="00775A46"/>
    <w:rsid w:val="00775BD7"/>
    <w:rsid w:val="00775E73"/>
    <w:rsid w:val="007763F3"/>
    <w:rsid w:val="007765C6"/>
    <w:rsid w:val="0077695B"/>
    <w:rsid w:val="007771AB"/>
    <w:rsid w:val="00777C82"/>
    <w:rsid w:val="00780396"/>
    <w:rsid w:val="0078096B"/>
    <w:rsid w:val="00780B73"/>
    <w:rsid w:val="00780D1C"/>
    <w:rsid w:val="0078113C"/>
    <w:rsid w:val="00781803"/>
    <w:rsid w:val="00781BFD"/>
    <w:rsid w:val="007824AE"/>
    <w:rsid w:val="007829F1"/>
    <w:rsid w:val="00783A08"/>
    <w:rsid w:val="00785BA3"/>
    <w:rsid w:val="00785F7B"/>
    <w:rsid w:val="0078639F"/>
    <w:rsid w:val="0078662D"/>
    <w:rsid w:val="007867C4"/>
    <w:rsid w:val="00786868"/>
    <w:rsid w:val="00786F0A"/>
    <w:rsid w:val="007870F8"/>
    <w:rsid w:val="007874B9"/>
    <w:rsid w:val="00787866"/>
    <w:rsid w:val="0079010A"/>
    <w:rsid w:val="00790E47"/>
    <w:rsid w:val="0079203B"/>
    <w:rsid w:val="00792F41"/>
    <w:rsid w:val="007933AD"/>
    <w:rsid w:val="00793589"/>
    <w:rsid w:val="0079389D"/>
    <w:rsid w:val="00794AAE"/>
    <w:rsid w:val="00795888"/>
    <w:rsid w:val="00795999"/>
    <w:rsid w:val="00796767"/>
    <w:rsid w:val="00797595"/>
    <w:rsid w:val="00797816"/>
    <w:rsid w:val="00797D02"/>
    <w:rsid w:val="007A05F0"/>
    <w:rsid w:val="007A1F96"/>
    <w:rsid w:val="007A2057"/>
    <w:rsid w:val="007A272C"/>
    <w:rsid w:val="007A46A7"/>
    <w:rsid w:val="007A526C"/>
    <w:rsid w:val="007A54CE"/>
    <w:rsid w:val="007A5A75"/>
    <w:rsid w:val="007A5BE5"/>
    <w:rsid w:val="007A5EE1"/>
    <w:rsid w:val="007A6CF4"/>
    <w:rsid w:val="007A7504"/>
    <w:rsid w:val="007A7972"/>
    <w:rsid w:val="007A7974"/>
    <w:rsid w:val="007A7984"/>
    <w:rsid w:val="007A7D85"/>
    <w:rsid w:val="007B0066"/>
    <w:rsid w:val="007B04E1"/>
    <w:rsid w:val="007B0EF8"/>
    <w:rsid w:val="007B1BC9"/>
    <w:rsid w:val="007B241B"/>
    <w:rsid w:val="007B2858"/>
    <w:rsid w:val="007B2EA6"/>
    <w:rsid w:val="007B3BFB"/>
    <w:rsid w:val="007B3F2E"/>
    <w:rsid w:val="007B5885"/>
    <w:rsid w:val="007B5E1A"/>
    <w:rsid w:val="007B62E9"/>
    <w:rsid w:val="007B6645"/>
    <w:rsid w:val="007C0430"/>
    <w:rsid w:val="007C0C5B"/>
    <w:rsid w:val="007C11DC"/>
    <w:rsid w:val="007C16B0"/>
    <w:rsid w:val="007C1D0E"/>
    <w:rsid w:val="007C2120"/>
    <w:rsid w:val="007C3670"/>
    <w:rsid w:val="007C4079"/>
    <w:rsid w:val="007C4C41"/>
    <w:rsid w:val="007C5694"/>
    <w:rsid w:val="007C63B6"/>
    <w:rsid w:val="007C64C3"/>
    <w:rsid w:val="007C6B7A"/>
    <w:rsid w:val="007C7220"/>
    <w:rsid w:val="007C749B"/>
    <w:rsid w:val="007C7AB3"/>
    <w:rsid w:val="007C7B93"/>
    <w:rsid w:val="007C7D3A"/>
    <w:rsid w:val="007C7E71"/>
    <w:rsid w:val="007D03CB"/>
    <w:rsid w:val="007D054C"/>
    <w:rsid w:val="007D18CA"/>
    <w:rsid w:val="007D1B1D"/>
    <w:rsid w:val="007D2C54"/>
    <w:rsid w:val="007D3461"/>
    <w:rsid w:val="007D35F2"/>
    <w:rsid w:val="007D3672"/>
    <w:rsid w:val="007D3BF1"/>
    <w:rsid w:val="007D3DB3"/>
    <w:rsid w:val="007D3FDE"/>
    <w:rsid w:val="007D516D"/>
    <w:rsid w:val="007D56B7"/>
    <w:rsid w:val="007D5D97"/>
    <w:rsid w:val="007D5FC9"/>
    <w:rsid w:val="007D6AEF"/>
    <w:rsid w:val="007D701B"/>
    <w:rsid w:val="007D70A1"/>
    <w:rsid w:val="007D7B0A"/>
    <w:rsid w:val="007D7D2D"/>
    <w:rsid w:val="007D7E09"/>
    <w:rsid w:val="007DCC04"/>
    <w:rsid w:val="007E00FD"/>
    <w:rsid w:val="007E015D"/>
    <w:rsid w:val="007E0433"/>
    <w:rsid w:val="007E0CE6"/>
    <w:rsid w:val="007E15D8"/>
    <w:rsid w:val="007E1890"/>
    <w:rsid w:val="007E2136"/>
    <w:rsid w:val="007E21A3"/>
    <w:rsid w:val="007E2E15"/>
    <w:rsid w:val="007E38E7"/>
    <w:rsid w:val="007E3A02"/>
    <w:rsid w:val="007E4F70"/>
    <w:rsid w:val="007E5077"/>
    <w:rsid w:val="007E5217"/>
    <w:rsid w:val="007E5AAF"/>
    <w:rsid w:val="007E621D"/>
    <w:rsid w:val="007E6908"/>
    <w:rsid w:val="007E6D01"/>
    <w:rsid w:val="007E7396"/>
    <w:rsid w:val="007E758F"/>
    <w:rsid w:val="007E7771"/>
    <w:rsid w:val="007E78DA"/>
    <w:rsid w:val="007E7A7E"/>
    <w:rsid w:val="007F018D"/>
    <w:rsid w:val="007F095A"/>
    <w:rsid w:val="007F17C0"/>
    <w:rsid w:val="007F1DFC"/>
    <w:rsid w:val="007F22B6"/>
    <w:rsid w:val="007F241D"/>
    <w:rsid w:val="007F2925"/>
    <w:rsid w:val="007F3020"/>
    <w:rsid w:val="007F3624"/>
    <w:rsid w:val="007F3820"/>
    <w:rsid w:val="007F3D9C"/>
    <w:rsid w:val="007F5087"/>
    <w:rsid w:val="007F579C"/>
    <w:rsid w:val="007F5E97"/>
    <w:rsid w:val="007F60D1"/>
    <w:rsid w:val="007F61E5"/>
    <w:rsid w:val="007F660E"/>
    <w:rsid w:val="007F77C0"/>
    <w:rsid w:val="008016FA"/>
    <w:rsid w:val="00801B19"/>
    <w:rsid w:val="00801D42"/>
    <w:rsid w:val="00801E77"/>
    <w:rsid w:val="0080261E"/>
    <w:rsid w:val="008027C1"/>
    <w:rsid w:val="00802921"/>
    <w:rsid w:val="00803098"/>
    <w:rsid w:val="00803224"/>
    <w:rsid w:val="0080350C"/>
    <w:rsid w:val="00803958"/>
    <w:rsid w:val="00803A3C"/>
    <w:rsid w:val="008041F8"/>
    <w:rsid w:val="00804371"/>
    <w:rsid w:val="0080472C"/>
    <w:rsid w:val="00804F56"/>
    <w:rsid w:val="00805450"/>
    <w:rsid w:val="00805E98"/>
    <w:rsid w:val="00806EED"/>
    <w:rsid w:val="00806F22"/>
    <w:rsid w:val="008079FE"/>
    <w:rsid w:val="00807E4B"/>
    <w:rsid w:val="008103DB"/>
    <w:rsid w:val="0081075D"/>
    <w:rsid w:val="008116F6"/>
    <w:rsid w:val="00811D4E"/>
    <w:rsid w:val="00812C09"/>
    <w:rsid w:val="00812F2A"/>
    <w:rsid w:val="0081359B"/>
    <w:rsid w:val="00813BCE"/>
    <w:rsid w:val="008143A4"/>
    <w:rsid w:val="00814740"/>
    <w:rsid w:val="00815244"/>
    <w:rsid w:val="00815C28"/>
    <w:rsid w:val="00815C87"/>
    <w:rsid w:val="00815D2E"/>
    <w:rsid w:val="00815D6F"/>
    <w:rsid w:val="008163AC"/>
    <w:rsid w:val="00816BE8"/>
    <w:rsid w:val="008178C4"/>
    <w:rsid w:val="00817996"/>
    <w:rsid w:val="00820C2C"/>
    <w:rsid w:val="00820DF2"/>
    <w:rsid w:val="00821EDD"/>
    <w:rsid w:val="00822449"/>
    <w:rsid w:val="00823038"/>
    <w:rsid w:val="0082320F"/>
    <w:rsid w:val="0082347D"/>
    <w:rsid w:val="00823652"/>
    <w:rsid w:val="00823C5D"/>
    <w:rsid w:val="008244F1"/>
    <w:rsid w:val="008247E3"/>
    <w:rsid w:val="0082484F"/>
    <w:rsid w:val="00824ABF"/>
    <w:rsid w:val="00825A9A"/>
    <w:rsid w:val="00825B1F"/>
    <w:rsid w:val="00825DE7"/>
    <w:rsid w:val="00826404"/>
    <w:rsid w:val="00826FD2"/>
    <w:rsid w:val="00827164"/>
    <w:rsid w:val="00827C09"/>
    <w:rsid w:val="00827D8B"/>
    <w:rsid w:val="00827DB4"/>
    <w:rsid w:val="008300C9"/>
    <w:rsid w:val="008309AB"/>
    <w:rsid w:val="00830E6B"/>
    <w:rsid w:val="00831C1C"/>
    <w:rsid w:val="00831CE3"/>
    <w:rsid w:val="00831FAA"/>
    <w:rsid w:val="00832580"/>
    <w:rsid w:val="00832D3E"/>
    <w:rsid w:val="00833234"/>
    <w:rsid w:val="008336E5"/>
    <w:rsid w:val="00833FFC"/>
    <w:rsid w:val="008340CD"/>
    <w:rsid w:val="008342D4"/>
    <w:rsid w:val="00834A61"/>
    <w:rsid w:val="00834EF8"/>
    <w:rsid w:val="00835213"/>
    <w:rsid w:val="008362F1"/>
    <w:rsid w:val="00836445"/>
    <w:rsid w:val="008365B9"/>
    <w:rsid w:val="0083678E"/>
    <w:rsid w:val="00836F73"/>
    <w:rsid w:val="00837D54"/>
    <w:rsid w:val="00837E67"/>
    <w:rsid w:val="00840CE4"/>
    <w:rsid w:val="008416AB"/>
    <w:rsid w:val="00841996"/>
    <w:rsid w:val="00841F1F"/>
    <w:rsid w:val="00842664"/>
    <w:rsid w:val="008434EA"/>
    <w:rsid w:val="008438E7"/>
    <w:rsid w:val="008439E7"/>
    <w:rsid w:val="00843C20"/>
    <w:rsid w:val="00843D88"/>
    <w:rsid w:val="0084458F"/>
    <w:rsid w:val="008453DD"/>
    <w:rsid w:val="00845631"/>
    <w:rsid w:val="0084571F"/>
    <w:rsid w:val="00846630"/>
    <w:rsid w:val="008469B5"/>
    <w:rsid w:val="00846D8C"/>
    <w:rsid w:val="00847275"/>
    <w:rsid w:val="00847432"/>
    <w:rsid w:val="008474E0"/>
    <w:rsid w:val="00847682"/>
    <w:rsid w:val="00847963"/>
    <w:rsid w:val="00847B10"/>
    <w:rsid w:val="00847B83"/>
    <w:rsid w:val="008524BC"/>
    <w:rsid w:val="00853767"/>
    <w:rsid w:val="008538B1"/>
    <w:rsid w:val="008539E9"/>
    <w:rsid w:val="00853A2E"/>
    <w:rsid w:val="00854342"/>
    <w:rsid w:val="00854D2D"/>
    <w:rsid w:val="00855E37"/>
    <w:rsid w:val="008568D4"/>
    <w:rsid w:val="008576C3"/>
    <w:rsid w:val="00857719"/>
    <w:rsid w:val="00857B34"/>
    <w:rsid w:val="00860158"/>
    <w:rsid w:val="0086076D"/>
    <w:rsid w:val="00860ED9"/>
    <w:rsid w:val="00861291"/>
    <w:rsid w:val="0086187A"/>
    <w:rsid w:val="008619E0"/>
    <w:rsid w:val="00861BC2"/>
    <w:rsid w:val="00862117"/>
    <w:rsid w:val="0086253F"/>
    <w:rsid w:val="0086290C"/>
    <w:rsid w:val="00862B06"/>
    <w:rsid w:val="00863216"/>
    <w:rsid w:val="008636E3"/>
    <w:rsid w:val="008643D9"/>
    <w:rsid w:val="0086470C"/>
    <w:rsid w:val="00864F30"/>
    <w:rsid w:val="008650BF"/>
    <w:rsid w:val="0086527F"/>
    <w:rsid w:val="008655FC"/>
    <w:rsid w:val="008656DB"/>
    <w:rsid w:val="008659F7"/>
    <w:rsid w:val="00866D7D"/>
    <w:rsid w:val="0086704B"/>
    <w:rsid w:val="008676F1"/>
    <w:rsid w:val="00867793"/>
    <w:rsid w:val="00867C80"/>
    <w:rsid w:val="00867E4F"/>
    <w:rsid w:val="0087075D"/>
    <w:rsid w:val="00870771"/>
    <w:rsid w:val="00870821"/>
    <w:rsid w:val="0087116F"/>
    <w:rsid w:val="00871774"/>
    <w:rsid w:val="00872127"/>
    <w:rsid w:val="00872C85"/>
    <w:rsid w:val="00873650"/>
    <w:rsid w:val="00873A62"/>
    <w:rsid w:val="00873B86"/>
    <w:rsid w:val="00874108"/>
    <w:rsid w:val="0087493B"/>
    <w:rsid w:val="0087524D"/>
    <w:rsid w:val="00875396"/>
    <w:rsid w:val="00875E01"/>
    <w:rsid w:val="008763D5"/>
    <w:rsid w:val="00877171"/>
    <w:rsid w:val="008773D0"/>
    <w:rsid w:val="008773F5"/>
    <w:rsid w:val="00877D9D"/>
    <w:rsid w:val="008810EC"/>
    <w:rsid w:val="00881207"/>
    <w:rsid w:val="00881297"/>
    <w:rsid w:val="00881E19"/>
    <w:rsid w:val="00881E47"/>
    <w:rsid w:val="008829D8"/>
    <w:rsid w:val="00882B2E"/>
    <w:rsid w:val="00883500"/>
    <w:rsid w:val="00883902"/>
    <w:rsid w:val="008839EF"/>
    <w:rsid w:val="0088482B"/>
    <w:rsid w:val="00884F9A"/>
    <w:rsid w:val="008852D7"/>
    <w:rsid w:val="008862FD"/>
    <w:rsid w:val="00886430"/>
    <w:rsid w:val="00887AC7"/>
    <w:rsid w:val="0089031F"/>
    <w:rsid w:val="0089076E"/>
    <w:rsid w:val="00890ECE"/>
    <w:rsid w:val="00891768"/>
    <w:rsid w:val="00892598"/>
    <w:rsid w:val="00892599"/>
    <w:rsid w:val="00892DB9"/>
    <w:rsid w:val="008934D8"/>
    <w:rsid w:val="0089372F"/>
    <w:rsid w:val="00893852"/>
    <w:rsid w:val="00894165"/>
    <w:rsid w:val="008945C5"/>
    <w:rsid w:val="00894D94"/>
    <w:rsid w:val="00895762"/>
    <w:rsid w:val="00896073"/>
    <w:rsid w:val="00896866"/>
    <w:rsid w:val="008A0216"/>
    <w:rsid w:val="008A0CC7"/>
    <w:rsid w:val="008A1D7B"/>
    <w:rsid w:val="008A2365"/>
    <w:rsid w:val="008A3347"/>
    <w:rsid w:val="008A367F"/>
    <w:rsid w:val="008A3C6F"/>
    <w:rsid w:val="008A45C6"/>
    <w:rsid w:val="008A4937"/>
    <w:rsid w:val="008A51C2"/>
    <w:rsid w:val="008A559F"/>
    <w:rsid w:val="008A596F"/>
    <w:rsid w:val="008A5BC8"/>
    <w:rsid w:val="008A5C17"/>
    <w:rsid w:val="008A615F"/>
    <w:rsid w:val="008A6AF7"/>
    <w:rsid w:val="008A762B"/>
    <w:rsid w:val="008B0770"/>
    <w:rsid w:val="008B1943"/>
    <w:rsid w:val="008B1BED"/>
    <w:rsid w:val="008B2762"/>
    <w:rsid w:val="008B2B8A"/>
    <w:rsid w:val="008B3CBE"/>
    <w:rsid w:val="008B4594"/>
    <w:rsid w:val="008B466E"/>
    <w:rsid w:val="008B4A65"/>
    <w:rsid w:val="008B4C07"/>
    <w:rsid w:val="008B4D93"/>
    <w:rsid w:val="008B50D0"/>
    <w:rsid w:val="008B52E1"/>
    <w:rsid w:val="008B54B3"/>
    <w:rsid w:val="008B59A2"/>
    <w:rsid w:val="008B5B5D"/>
    <w:rsid w:val="008B5C6F"/>
    <w:rsid w:val="008B5D2C"/>
    <w:rsid w:val="008B7555"/>
    <w:rsid w:val="008B761C"/>
    <w:rsid w:val="008C0155"/>
    <w:rsid w:val="008C01BE"/>
    <w:rsid w:val="008C0C22"/>
    <w:rsid w:val="008C11EF"/>
    <w:rsid w:val="008C1EE0"/>
    <w:rsid w:val="008C221F"/>
    <w:rsid w:val="008C227D"/>
    <w:rsid w:val="008C26C1"/>
    <w:rsid w:val="008C27EA"/>
    <w:rsid w:val="008C38E8"/>
    <w:rsid w:val="008C4456"/>
    <w:rsid w:val="008C4AAF"/>
    <w:rsid w:val="008C4E59"/>
    <w:rsid w:val="008C4ED7"/>
    <w:rsid w:val="008C5986"/>
    <w:rsid w:val="008C5E32"/>
    <w:rsid w:val="008C6564"/>
    <w:rsid w:val="008C7BF4"/>
    <w:rsid w:val="008D00E2"/>
    <w:rsid w:val="008D05DB"/>
    <w:rsid w:val="008D08E4"/>
    <w:rsid w:val="008D11B6"/>
    <w:rsid w:val="008D15E4"/>
    <w:rsid w:val="008D208A"/>
    <w:rsid w:val="008D2594"/>
    <w:rsid w:val="008D4A34"/>
    <w:rsid w:val="008D4AA7"/>
    <w:rsid w:val="008D5147"/>
    <w:rsid w:val="008D7960"/>
    <w:rsid w:val="008D7CEB"/>
    <w:rsid w:val="008E0112"/>
    <w:rsid w:val="008E0701"/>
    <w:rsid w:val="008E0996"/>
    <w:rsid w:val="008E10F5"/>
    <w:rsid w:val="008E1249"/>
    <w:rsid w:val="008E1690"/>
    <w:rsid w:val="008E1C60"/>
    <w:rsid w:val="008E1CF9"/>
    <w:rsid w:val="008E1FC4"/>
    <w:rsid w:val="008E2092"/>
    <w:rsid w:val="008E23E2"/>
    <w:rsid w:val="008E38E4"/>
    <w:rsid w:val="008E3F3F"/>
    <w:rsid w:val="008E49DA"/>
    <w:rsid w:val="008E4E05"/>
    <w:rsid w:val="008E5117"/>
    <w:rsid w:val="008E51DF"/>
    <w:rsid w:val="008E53D0"/>
    <w:rsid w:val="008E55E9"/>
    <w:rsid w:val="008E5A0D"/>
    <w:rsid w:val="008E632C"/>
    <w:rsid w:val="008E6385"/>
    <w:rsid w:val="008E7D1E"/>
    <w:rsid w:val="008E7F46"/>
    <w:rsid w:val="008F07CF"/>
    <w:rsid w:val="008F09DB"/>
    <w:rsid w:val="008F0D96"/>
    <w:rsid w:val="008F1F3E"/>
    <w:rsid w:val="008F20DF"/>
    <w:rsid w:val="008F31B0"/>
    <w:rsid w:val="008F3909"/>
    <w:rsid w:val="008F440E"/>
    <w:rsid w:val="008F4ECD"/>
    <w:rsid w:val="008F503F"/>
    <w:rsid w:val="008F5B58"/>
    <w:rsid w:val="008F65DE"/>
    <w:rsid w:val="008F791F"/>
    <w:rsid w:val="008F793D"/>
    <w:rsid w:val="00900A26"/>
    <w:rsid w:val="00900FC4"/>
    <w:rsid w:val="009034AB"/>
    <w:rsid w:val="00903960"/>
    <w:rsid w:val="00905013"/>
    <w:rsid w:val="009051EE"/>
    <w:rsid w:val="00905C43"/>
    <w:rsid w:val="00905DE4"/>
    <w:rsid w:val="009063D8"/>
    <w:rsid w:val="009066E5"/>
    <w:rsid w:val="009066E6"/>
    <w:rsid w:val="009071CF"/>
    <w:rsid w:val="009076A7"/>
    <w:rsid w:val="00907850"/>
    <w:rsid w:val="0091006A"/>
    <w:rsid w:val="009108F6"/>
    <w:rsid w:val="00910F8B"/>
    <w:rsid w:val="00911040"/>
    <w:rsid w:val="00911740"/>
    <w:rsid w:val="00911D16"/>
    <w:rsid w:val="0091243A"/>
    <w:rsid w:val="00912666"/>
    <w:rsid w:val="00912923"/>
    <w:rsid w:val="0091540E"/>
    <w:rsid w:val="00916069"/>
    <w:rsid w:val="0091623F"/>
    <w:rsid w:val="009163D2"/>
    <w:rsid w:val="00916E19"/>
    <w:rsid w:val="00916E72"/>
    <w:rsid w:val="00920DF1"/>
    <w:rsid w:val="0092140F"/>
    <w:rsid w:val="009220F4"/>
    <w:rsid w:val="009221EF"/>
    <w:rsid w:val="0092277F"/>
    <w:rsid w:val="00922F83"/>
    <w:rsid w:val="00923502"/>
    <w:rsid w:val="0092359D"/>
    <w:rsid w:val="00923824"/>
    <w:rsid w:val="009244F8"/>
    <w:rsid w:val="00924757"/>
    <w:rsid w:val="0092492C"/>
    <w:rsid w:val="00924AF6"/>
    <w:rsid w:val="009254F1"/>
    <w:rsid w:val="00926EC1"/>
    <w:rsid w:val="0092723A"/>
    <w:rsid w:val="0092779C"/>
    <w:rsid w:val="00927872"/>
    <w:rsid w:val="00930B0C"/>
    <w:rsid w:val="0093126A"/>
    <w:rsid w:val="00931778"/>
    <w:rsid w:val="009317E5"/>
    <w:rsid w:val="00932593"/>
    <w:rsid w:val="00932D2E"/>
    <w:rsid w:val="009333F4"/>
    <w:rsid w:val="00933D82"/>
    <w:rsid w:val="009341F7"/>
    <w:rsid w:val="0093482C"/>
    <w:rsid w:val="00934C00"/>
    <w:rsid w:val="00934EA7"/>
    <w:rsid w:val="0093509B"/>
    <w:rsid w:val="00935ADD"/>
    <w:rsid w:val="009366A8"/>
    <w:rsid w:val="009368D0"/>
    <w:rsid w:val="009376D1"/>
    <w:rsid w:val="00937E79"/>
    <w:rsid w:val="009401E8"/>
    <w:rsid w:val="00940A3C"/>
    <w:rsid w:val="00940D9B"/>
    <w:rsid w:val="00941A49"/>
    <w:rsid w:val="009426A4"/>
    <w:rsid w:val="009429E4"/>
    <w:rsid w:val="00942C15"/>
    <w:rsid w:val="0094316D"/>
    <w:rsid w:val="00943BFD"/>
    <w:rsid w:val="0094452F"/>
    <w:rsid w:val="00944AE0"/>
    <w:rsid w:val="00944B74"/>
    <w:rsid w:val="00944DB2"/>
    <w:rsid w:val="0094651C"/>
    <w:rsid w:val="0094707B"/>
    <w:rsid w:val="00947207"/>
    <w:rsid w:val="00947C30"/>
    <w:rsid w:val="00950328"/>
    <w:rsid w:val="009513AA"/>
    <w:rsid w:val="00951773"/>
    <w:rsid w:val="009525B8"/>
    <w:rsid w:val="009526E7"/>
    <w:rsid w:val="00952986"/>
    <w:rsid w:val="009529D6"/>
    <w:rsid w:val="00952C51"/>
    <w:rsid w:val="00952CE8"/>
    <w:rsid w:val="0095347A"/>
    <w:rsid w:val="00953572"/>
    <w:rsid w:val="00953FA1"/>
    <w:rsid w:val="009545B0"/>
    <w:rsid w:val="0095480B"/>
    <w:rsid w:val="0095490B"/>
    <w:rsid w:val="00955985"/>
    <w:rsid w:val="00955F96"/>
    <w:rsid w:val="00955FD8"/>
    <w:rsid w:val="00960AC1"/>
    <w:rsid w:val="00960B5C"/>
    <w:rsid w:val="00960C8D"/>
    <w:rsid w:val="009619E6"/>
    <w:rsid w:val="00961DEC"/>
    <w:rsid w:val="00962B45"/>
    <w:rsid w:val="009630A3"/>
    <w:rsid w:val="0096382F"/>
    <w:rsid w:val="00963DD2"/>
    <w:rsid w:val="00964313"/>
    <w:rsid w:val="00964C97"/>
    <w:rsid w:val="00964CA3"/>
    <w:rsid w:val="00964D06"/>
    <w:rsid w:val="00965545"/>
    <w:rsid w:val="009655D9"/>
    <w:rsid w:val="0096614A"/>
    <w:rsid w:val="00966235"/>
    <w:rsid w:val="009664FD"/>
    <w:rsid w:val="00966EDA"/>
    <w:rsid w:val="00967CA7"/>
    <w:rsid w:val="0097096E"/>
    <w:rsid w:val="00970B51"/>
    <w:rsid w:val="00970D33"/>
    <w:rsid w:val="00971CA3"/>
    <w:rsid w:val="00971CCF"/>
    <w:rsid w:val="009723D3"/>
    <w:rsid w:val="009726F6"/>
    <w:rsid w:val="009737B2"/>
    <w:rsid w:val="00973827"/>
    <w:rsid w:val="0097416D"/>
    <w:rsid w:val="0097472E"/>
    <w:rsid w:val="00974FF7"/>
    <w:rsid w:val="00975183"/>
    <w:rsid w:val="009756DF"/>
    <w:rsid w:val="00975729"/>
    <w:rsid w:val="00975738"/>
    <w:rsid w:val="00975D91"/>
    <w:rsid w:val="00976CB7"/>
    <w:rsid w:val="00977236"/>
    <w:rsid w:val="009779C9"/>
    <w:rsid w:val="009802C7"/>
    <w:rsid w:val="009808D3"/>
    <w:rsid w:val="00980E27"/>
    <w:rsid w:val="00980E99"/>
    <w:rsid w:val="0098108A"/>
    <w:rsid w:val="00981881"/>
    <w:rsid w:val="00981FE2"/>
    <w:rsid w:val="00982026"/>
    <w:rsid w:val="00982277"/>
    <w:rsid w:val="0098231D"/>
    <w:rsid w:val="00982EAA"/>
    <w:rsid w:val="009830D0"/>
    <w:rsid w:val="009834DD"/>
    <w:rsid w:val="0098476A"/>
    <w:rsid w:val="00984A22"/>
    <w:rsid w:val="00985135"/>
    <w:rsid w:val="0098516E"/>
    <w:rsid w:val="00985691"/>
    <w:rsid w:val="00985A84"/>
    <w:rsid w:val="00985F4B"/>
    <w:rsid w:val="00986768"/>
    <w:rsid w:val="00986D1A"/>
    <w:rsid w:val="0098701B"/>
    <w:rsid w:val="0098744B"/>
    <w:rsid w:val="00987938"/>
    <w:rsid w:val="00987C10"/>
    <w:rsid w:val="00987E7D"/>
    <w:rsid w:val="00991139"/>
    <w:rsid w:val="0099144A"/>
    <w:rsid w:val="00991685"/>
    <w:rsid w:val="0099234B"/>
    <w:rsid w:val="00992C49"/>
    <w:rsid w:val="00992FC1"/>
    <w:rsid w:val="00992FCD"/>
    <w:rsid w:val="00993731"/>
    <w:rsid w:val="0099402A"/>
    <w:rsid w:val="0099483B"/>
    <w:rsid w:val="0099490F"/>
    <w:rsid w:val="0099521F"/>
    <w:rsid w:val="00996659"/>
    <w:rsid w:val="00996685"/>
    <w:rsid w:val="0099746B"/>
    <w:rsid w:val="009975D3"/>
    <w:rsid w:val="0099771F"/>
    <w:rsid w:val="00997EF0"/>
    <w:rsid w:val="009A1615"/>
    <w:rsid w:val="009A1A04"/>
    <w:rsid w:val="009A1FB7"/>
    <w:rsid w:val="009A2519"/>
    <w:rsid w:val="009A27B4"/>
    <w:rsid w:val="009A2D5C"/>
    <w:rsid w:val="009A2EAA"/>
    <w:rsid w:val="009A332E"/>
    <w:rsid w:val="009A3A3A"/>
    <w:rsid w:val="009A3E91"/>
    <w:rsid w:val="009A4536"/>
    <w:rsid w:val="009A5325"/>
    <w:rsid w:val="009A532C"/>
    <w:rsid w:val="009A6F75"/>
    <w:rsid w:val="009A72E3"/>
    <w:rsid w:val="009A7319"/>
    <w:rsid w:val="009A78D2"/>
    <w:rsid w:val="009A7B5F"/>
    <w:rsid w:val="009B0268"/>
    <w:rsid w:val="009B037A"/>
    <w:rsid w:val="009B163E"/>
    <w:rsid w:val="009B1E93"/>
    <w:rsid w:val="009B26D6"/>
    <w:rsid w:val="009B3265"/>
    <w:rsid w:val="009B3622"/>
    <w:rsid w:val="009B3A94"/>
    <w:rsid w:val="009B41EA"/>
    <w:rsid w:val="009B44E2"/>
    <w:rsid w:val="009B4C1C"/>
    <w:rsid w:val="009B518E"/>
    <w:rsid w:val="009B5254"/>
    <w:rsid w:val="009B6275"/>
    <w:rsid w:val="009B6606"/>
    <w:rsid w:val="009B68C6"/>
    <w:rsid w:val="009B70E4"/>
    <w:rsid w:val="009C027A"/>
    <w:rsid w:val="009C130D"/>
    <w:rsid w:val="009C1692"/>
    <w:rsid w:val="009C1733"/>
    <w:rsid w:val="009C17D6"/>
    <w:rsid w:val="009C1E4E"/>
    <w:rsid w:val="009C1EBE"/>
    <w:rsid w:val="009C23DA"/>
    <w:rsid w:val="009C254A"/>
    <w:rsid w:val="009C26C9"/>
    <w:rsid w:val="009C35C4"/>
    <w:rsid w:val="009C37B3"/>
    <w:rsid w:val="009C39F2"/>
    <w:rsid w:val="009C3A99"/>
    <w:rsid w:val="009C3EC8"/>
    <w:rsid w:val="009C4165"/>
    <w:rsid w:val="009C43F0"/>
    <w:rsid w:val="009C49AF"/>
    <w:rsid w:val="009C4A8F"/>
    <w:rsid w:val="009C561C"/>
    <w:rsid w:val="009C61C2"/>
    <w:rsid w:val="009C6266"/>
    <w:rsid w:val="009C6449"/>
    <w:rsid w:val="009C7938"/>
    <w:rsid w:val="009C7949"/>
    <w:rsid w:val="009C7ACA"/>
    <w:rsid w:val="009D10CB"/>
    <w:rsid w:val="009D1B90"/>
    <w:rsid w:val="009D205A"/>
    <w:rsid w:val="009D234B"/>
    <w:rsid w:val="009D2B1E"/>
    <w:rsid w:val="009D3007"/>
    <w:rsid w:val="009D486F"/>
    <w:rsid w:val="009D5CF7"/>
    <w:rsid w:val="009D64CD"/>
    <w:rsid w:val="009E1117"/>
    <w:rsid w:val="009E1139"/>
    <w:rsid w:val="009E17F9"/>
    <w:rsid w:val="009E25FF"/>
    <w:rsid w:val="009E2724"/>
    <w:rsid w:val="009E3113"/>
    <w:rsid w:val="009E355B"/>
    <w:rsid w:val="009E3760"/>
    <w:rsid w:val="009E3830"/>
    <w:rsid w:val="009E3FDB"/>
    <w:rsid w:val="009E42CE"/>
    <w:rsid w:val="009E465F"/>
    <w:rsid w:val="009E48F1"/>
    <w:rsid w:val="009E52D8"/>
    <w:rsid w:val="009E5603"/>
    <w:rsid w:val="009E5D3B"/>
    <w:rsid w:val="009E6350"/>
    <w:rsid w:val="009E6D05"/>
    <w:rsid w:val="009E73EA"/>
    <w:rsid w:val="009E76F2"/>
    <w:rsid w:val="009E7772"/>
    <w:rsid w:val="009E7A68"/>
    <w:rsid w:val="009E7F33"/>
    <w:rsid w:val="009F0793"/>
    <w:rsid w:val="009F0A58"/>
    <w:rsid w:val="009F0C51"/>
    <w:rsid w:val="009F1121"/>
    <w:rsid w:val="009F16A0"/>
    <w:rsid w:val="009F2CC0"/>
    <w:rsid w:val="009F32B3"/>
    <w:rsid w:val="009F42BB"/>
    <w:rsid w:val="009F436F"/>
    <w:rsid w:val="009F46B3"/>
    <w:rsid w:val="009F4750"/>
    <w:rsid w:val="009F48A2"/>
    <w:rsid w:val="009F4A6C"/>
    <w:rsid w:val="009F4C54"/>
    <w:rsid w:val="009F5326"/>
    <w:rsid w:val="009F55FF"/>
    <w:rsid w:val="009F61CF"/>
    <w:rsid w:val="009F699D"/>
    <w:rsid w:val="009F6B81"/>
    <w:rsid w:val="009F774F"/>
    <w:rsid w:val="00A00539"/>
    <w:rsid w:val="00A00593"/>
    <w:rsid w:val="00A019BF"/>
    <w:rsid w:val="00A01A39"/>
    <w:rsid w:val="00A0258D"/>
    <w:rsid w:val="00A025B6"/>
    <w:rsid w:val="00A026B5"/>
    <w:rsid w:val="00A02A0E"/>
    <w:rsid w:val="00A02C4F"/>
    <w:rsid w:val="00A033F2"/>
    <w:rsid w:val="00A03A53"/>
    <w:rsid w:val="00A03E91"/>
    <w:rsid w:val="00A04780"/>
    <w:rsid w:val="00A07C0B"/>
    <w:rsid w:val="00A07D6B"/>
    <w:rsid w:val="00A1029F"/>
    <w:rsid w:val="00A103CF"/>
    <w:rsid w:val="00A105BF"/>
    <w:rsid w:val="00A1110C"/>
    <w:rsid w:val="00A113C1"/>
    <w:rsid w:val="00A115C6"/>
    <w:rsid w:val="00A1185C"/>
    <w:rsid w:val="00A12B39"/>
    <w:rsid w:val="00A1300B"/>
    <w:rsid w:val="00A13ACD"/>
    <w:rsid w:val="00A1407A"/>
    <w:rsid w:val="00A149CE"/>
    <w:rsid w:val="00A14DB6"/>
    <w:rsid w:val="00A164D0"/>
    <w:rsid w:val="00A16681"/>
    <w:rsid w:val="00A1696A"/>
    <w:rsid w:val="00A169DC"/>
    <w:rsid w:val="00A16D13"/>
    <w:rsid w:val="00A20749"/>
    <w:rsid w:val="00A210CD"/>
    <w:rsid w:val="00A21E8B"/>
    <w:rsid w:val="00A22038"/>
    <w:rsid w:val="00A22556"/>
    <w:rsid w:val="00A22D32"/>
    <w:rsid w:val="00A23038"/>
    <w:rsid w:val="00A23121"/>
    <w:rsid w:val="00A2328D"/>
    <w:rsid w:val="00A2349A"/>
    <w:rsid w:val="00A2364C"/>
    <w:rsid w:val="00A23EE5"/>
    <w:rsid w:val="00A24689"/>
    <w:rsid w:val="00A24E7B"/>
    <w:rsid w:val="00A24EF5"/>
    <w:rsid w:val="00A25496"/>
    <w:rsid w:val="00A25E40"/>
    <w:rsid w:val="00A276AC"/>
    <w:rsid w:val="00A27B20"/>
    <w:rsid w:val="00A27CA8"/>
    <w:rsid w:val="00A308C5"/>
    <w:rsid w:val="00A30A4F"/>
    <w:rsid w:val="00A30D65"/>
    <w:rsid w:val="00A315C7"/>
    <w:rsid w:val="00A31EE6"/>
    <w:rsid w:val="00A31EF6"/>
    <w:rsid w:val="00A33570"/>
    <w:rsid w:val="00A33CDE"/>
    <w:rsid w:val="00A3474F"/>
    <w:rsid w:val="00A34D19"/>
    <w:rsid w:val="00A3557A"/>
    <w:rsid w:val="00A36A4B"/>
    <w:rsid w:val="00A36C86"/>
    <w:rsid w:val="00A36F8E"/>
    <w:rsid w:val="00A37055"/>
    <w:rsid w:val="00A37143"/>
    <w:rsid w:val="00A37511"/>
    <w:rsid w:val="00A37590"/>
    <w:rsid w:val="00A37F51"/>
    <w:rsid w:val="00A4027E"/>
    <w:rsid w:val="00A4047F"/>
    <w:rsid w:val="00A40807"/>
    <w:rsid w:val="00A40B28"/>
    <w:rsid w:val="00A40D79"/>
    <w:rsid w:val="00A41806"/>
    <w:rsid w:val="00A41CF9"/>
    <w:rsid w:val="00A423BB"/>
    <w:rsid w:val="00A42A79"/>
    <w:rsid w:val="00A43126"/>
    <w:rsid w:val="00A43C2B"/>
    <w:rsid w:val="00A440F9"/>
    <w:rsid w:val="00A4455C"/>
    <w:rsid w:val="00A445B3"/>
    <w:rsid w:val="00A45182"/>
    <w:rsid w:val="00A46051"/>
    <w:rsid w:val="00A465F9"/>
    <w:rsid w:val="00A46AAA"/>
    <w:rsid w:val="00A46F46"/>
    <w:rsid w:val="00A472C1"/>
    <w:rsid w:val="00A47854"/>
    <w:rsid w:val="00A47CC4"/>
    <w:rsid w:val="00A505AC"/>
    <w:rsid w:val="00A5244B"/>
    <w:rsid w:val="00A53034"/>
    <w:rsid w:val="00A53352"/>
    <w:rsid w:val="00A53766"/>
    <w:rsid w:val="00A53B5E"/>
    <w:rsid w:val="00A53C9D"/>
    <w:rsid w:val="00A53CEA"/>
    <w:rsid w:val="00A54030"/>
    <w:rsid w:val="00A55ECD"/>
    <w:rsid w:val="00A55FB1"/>
    <w:rsid w:val="00A56F59"/>
    <w:rsid w:val="00A578FC"/>
    <w:rsid w:val="00A6038F"/>
    <w:rsid w:val="00A60943"/>
    <w:rsid w:val="00A6096A"/>
    <w:rsid w:val="00A61CF2"/>
    <w:rsid w:val="00A61EE4"/>
    <w:rsid w:val="00A62D07"/>
    <w:rsid w:val="00A6335F"/>
    <w:rsid w:val="00A635B5"/>
    <w:rsid w:val="00A6394A"/>
    <w:rsid w:val="00A63BD9"/>
    <w:rsid w:val="00A64641"/>
    <w:rsid w:val="00A6466E"/>
    <w:rsid w:val="00A64945"/>
    <w:rsid w:val="00A65206"/>
    <w:rsid w:val="00A6577F"/>
    <w:rsid w:val="00A65D19"/>
    <w:rsid w:val="00A671C4"/>
    <w:rsid w:val="00A67B6E"/>
    <w:rsid w:val="00A70609"/>
    <w:rsid w:val="00A70810"/>
    <w:rsid w:val="00A71ADD"/>
    <w:rsid w:val="00A735DE"/>
    <w:rsid w:val="00A735ED"/>
    <w:rsid w:val="00A741FC"/>
    <w:rsid w:val="00A74F36"/>
    <w:rsid w:val="00A7514E"/>
    <w:rsid w:val="00A752D0"/>
    <w:rsid w:val="00A75379"/>
    <w:rsid w:val="00A756CD"/>
    <w:rsid w:val="00A7610A"/>
    <w:rsid w:val="00A76620"/>
    <w:rsid w:val="00A768F0"/>
    <w:rsid w:val="00A76BDA"/>
    <w:rsid w:val="00A76E5B"/>
    <w:rsid w:val="00A778C8"/>
    <w:rsid w:val="00A80181"/>
    <w:rsid w:val="00A8066B"/>
    <w:rsid w:val="00A80881"/>
    <w:rsid w:val="00A809D0"/>
    <w:rsid w:val="00A81359"/>
    <w:rsid w:val="00A81422"/>
    <w:rsid w:val="00A814AA"/>
    <w:rsid w:val="00A81805"/>
    <w:rsid w:val="00A82293"/>
    <w:rsid w:val="00A822B2"/>
    <w:rsid w:val="00A82616"/>
    <w:rsid w:val="00A83BDB"/>
    <w:rsid w:val="00A8660D"/>
    <w:rsid w:val="00A8739A"/>
    <w:rsid w:val="00A87AB4"/>
    <w:rsid w:val="00A900D4"/>
    <w:rsid w:val="00A906C8"/>
    <w:rsid w:val="00A90D8E"/>
    <w:rsid w:val="00A90DC8"/>
    <w:rsid w:val="00A90FF8"/>
    <w:rsid w:val="00A9121A"/>
    <w:rsid w:val="00A9168B"/>
    <w:rsid w:val="00A916F9"/>
    <w:rsid w:val="00A91D1D"/>
    <w:rsid w:val="00A92679"/>
    <w:rsid w:val="00A92A67"/>
    <w:rsid w:val="00A939A7"/>
    <w:rsid w:val="00A93A53"/>
    <w:rsid w:val="00A94190"/>
    <w:rsid w:val="00A94698"/>
    <w:rsid w:val="00A94C70"/>
    <w:rsid w:val="00A94E4D"/>
    <w:rsid w:val="00A95C70"/>
    <w:rsid w:val="00A96677"/>
    <w:rsid w:val="00A970EB"/>
    <w:rsid w:val="00A9776D"/>
    <w:rsid w:val="00A979FB"/>
    <w:rsid w:val="00A97B22"/>
    <w:rsid w:val="00AA056B"/>
    <w:rsid w:val="00AA06D0"/>
    <w:rsid w:val="00AA1715"/>
    <w:rsid w:val="00AA2906"/>
    <w:rsid w:val="00AA29BF"/>
    <w:rsid w:val="00AA2A75"/>
    <w:rsid w:val="00AA3965"/>
    <w:rsid w:val="00AA3A18"/>
    <w:rsid w:val="00AA3B40"/>
    <w:rsid w:val="00AA3B6B"/>
    <w:rsid w:val="00AA51EF"/>
    <w:rsid w:val="00AA533B"/>
    <w:rsid w:val="00AA680F"/>
    <w:rsid w:val="00AA6D31"/>
    <w:rsid w:val="00AA6EE0"/>
    <w:rsid w:val="00AA74E2"/>
    <w:rsid w:val="00AB070B"/>
    <w:rsid w:val="00AB1EFE"/>
    <w:rsid w:val="00AB2445"/>
    <w:rsid w:val="00AB2BD1"/>
    <w:rsid w:val="00AB3B4D"/>
    <w:rsid w:val="00AB43DF"/>
    <w:rsid w:val="00AB45DC"/>
    <w:rsid w:val="00AB4CBE"/>
    <w:rsid w:val="00AB518E"/>
    <w:rsid w:val="00AB5391"/>
    <w:rsid w:val="00AB5542"/>
    <w:rsid w:val="00AB6226"/>
    <w:rsid w:val="00AB665F"/>
    <w:rsid w:val="00AB6A52"/>
    <w:rsid w:val="00AB706E"/>
    <w:rsid w:val="00AB72B0"/>
    <w:rsid w:val="00AB72B5"/>
    <w:rsid w:val="00AB7731"/>
    <w:rsid w:val="00AB79B3"/>
    <w:rsid w:val="00AB7C93"/>
    <w:rsid w:val="00AC04DF"/>
    <w:rsid w:val="00AC04FC"/>
    <w:rsid w:val="00AC05B3"/>
    <w:rsid w:val="00AC1B81"/>
    <w:rsid w:val="00AC2068"/>
    <w:rsid w:val="00AC25A8"/>
    <w:rsid w:val="00AC3344"/>
    <w:rsid w:val="00AC3AF0"/>
    <w:rsid w:val="00AC3F12"/>
    <w:rsid w:val="00AC3F81"/>
    <w:rsid w:val="00AC4179"/>
    <w:rsid w:val="00AC5977"/>
    <w:rsid w:val="00AC5B3B"/>
    <w:rsid w:val="00AC6432"/>
    <w:rsid w:val="00AC6555"/>
    <w:rsid w:val="00AC6AF1"/>
    <w:rsid w:val="00AC72D4"/>
    <w:rsid w:val="00AC759C"/>
    <w:rsid w:val="00AC75C9"/>
    <w:rsid w:val="00AC7A62"/>
    <w:rsid w:val="00AC7B51"/>
    <w:rsid w:val="00AD002C"/>
    <w:rsid w:val="00AD0292"/>
    <w:rsid w:val="00AD0A1E"/>
    <w:rsid w:val="00AD0E69"/>
    <w:rsid w:val="00AD1851"/>
    <w:rsid w:val="00AD1A07"/>
    <w:rsid w:val="00AD2243"/>
    <w:rsid w:val="00AD2581"/>
    <w:rsid w:val="00AD309F"/>
    <w:rsid w:val="00AD3938"/>
    <w:rsid w:val="00AD39A8"/>
    <w:rsid w:val="00AD3BBB"/>
    <w:rsid w:val="00AD3CBC"/>
    <w:rsid w:val="00AD54FE"/>
    <w:rsid w:val="00AD575A"/>
    <w:rsid w:val="00AD5E35"/>
    <w:rsid w:val="00AD6F5F"/>
    <w:rsid w:val="00AD7A81"/>
    <w:rsid w:val="00AD7D0C"/>
    <w:rsid w:val="00AE01AB"/>
    <w:rsid w:val="00AE05EB"/>
    <w:rsid w:val="00AE2539"/>
    <w:rsid w:val="00AE32CF"/>
    <w:rsid w:val="00AE370D"/>
    <w:rsid w:val="00AE43CF"/>
    <w:rsid w:val="00AE4AE5"/>
    <w:rsid w:val="00AE5020"/>
    <w:rsid w:val="00AE50FE"/>
    <w:rsid w:val="00AE553F"/>
    <w:rsid w:val="00AE58E4"/>
    <w:rsid w:val="00AE5A2D"/>
    <w:rsid w:val="00AE5E8A"/>
    <w:rsid w:val="00AE604B"/>
    <w:rsid w:val="00AE6289"/>
    <w:rsid w:val="00AE640E"/>
    <w:rsid w:val="00AE69A7"/>
    <w:rsid w:val="00AE777F"/>
    <w:rsid w:val="00AF15DE"/>
    <w:rsid w:val="00AF295C"/>
    <w:rsid w:val="00AF2961"/>
    <w:rsid w:val="00AF2C91"/>
    <w:rsid w:val="00AF31AC"/>
    <w:rsid w:val="00AF3616"/>
    <w:rsid w:val="00AF40EB"/>
    <w:rsid w:val="00AF4129"/>
    <w:rsid w:val="00AF4817"/>
    <w:rsid w:val="00AF4F52"/>
    <w:rsid w:val="00AF52EF"/>
    <w:rsid w:val="00AF5691"/>
    <w:rsid w:val="00AF59F3"/>
    <w:rsid w:val="00AF5A42"/>
    <w:rsid w:val="00AF656F"/>
    <w:rsid w:val="00AF753F"/>
    <w:rsid w:val="00AF78EE"/>
    <w:rsid w:val="00AF7D15"/>
    <w:rsid w:val="00B0150E"/>
    <w:rsid w:val="00B01CEB"/>
    <w:rsid w:val="00B020D6"/>
    <w:rsid w:val="00B02AA5"/>
    <w:rsid w:val="00B02BB4"/>
    <w:rsid w:val="00B03169"/>
    <w:rsid w:val="00B03A89"/>
    <w:rsid w:val="00B03EC5"/>
    <w:rsid w:val="00B040D5"/>
    <w:rsid w:val="00B04194"/>
    <w:rsid w:val="00B042E9"/>
    <w:rsid w:val="00B043B7"/>
    <w:rsid w:val="00B04572"/>
    <w:rsid w:val="00B04E80"/>
    <w:rsid w:val="00B0508E"/>
    <w:rsid w:val="00B0526F"/>
    <w:rsid w:val="00B05919"/>
    <w:rsid w:val="00B05C85"/>
    <w:rsid w:val="00B06B52"/>
    <w:rsid w:val="00B06DA3"/>
    <w:rsid w:val="00B072E1"/>
    <w:rsid w:val="00B078E7"/>
    <w:rsid w:val="00B07A22"/>
    <w:rsid w:val="00B109C8"/>
    <w:rsid w:val="00B10F19"/>
    <w:rsid w:val="00B11CCC"/>
    <w:rsid w:val="00B12278"/>
    <w:rsid w:val="00B123AA"/>
    <w:rsid w:val="00B1250B"/>
    <w:rsid w:val="00B12A12"/>
    <w:rsid w:val="00B1303D"/>
    <w:rsid w:val="00B132C3"/>
    <w:rsid w:val="00B140EA"/>
    <w:rsid w:val="00B142B9"/>
    <w:rsid w:val="00B14D5B"/>
    <w:rsid w:val="00B15D38"/>
    <w:rsid w:val="00B15DE5"/>
    <w:rsid w:val="00B164BA"/>
    <w:rsid w:val="00B1669A"/>
    <w:rsid w:val="00B16EB3"/>
    <w:rsid w:val="00B1745A"/>
    <w:rsid w:val="00B17B5A"/>
    <w:rsid w:val="00B17D06"/>
    <w:rsid w:val="00B17E51"/>
    <w:rsid w:val="00B17FA8"/>
    <w:rsid w:val="00B20342"/>
    <w:rsid w:val="00B2052A"/>
    <w:rsid w:val="00B2167E"/>
    <w:rsid w:val="00B218AD"/>
    <w:rsid w:val="00B21DE2"/>
    <w:rsid w:val="00B227F4"/>
    <w:rsid w:val="00B2298F"/>
    <w:rsid w:val="00B23458"/>
    <w:rsid w:val="00B23969"/>
    <w:rsid w:val="00B24F42"/>
    <w:rsid w:val="00B256AE"/>
    <w:rsid w:val="00B260A1"/>
    <w:rsid w:val="00B26147"/>
    <w:rsid w:val="00B26B40"/>
    <w:rsid w:val="00B277D7"/>
    <w:rsid w:val="00B27A53"/>
    <w:rsid w:val="00B27EFB"/>
    <w:rsid w:val="00B31E95"/>
    <w:rsid w:val="00B31EDB"/>
    <w:rsid w:val="00B32596"/>
    <w:rsid w:val="00B327FB"/>
    <w:rsid w:val="00B32BE9"/>
    <w:rsid w:val="00B33A57"/>
    <w:rsid w:val="00B33B5D"/>
    <w:rsid w:val="00B350C7"/>
    <w:rsid w:val="00B35AC7"/>
    <w:rsid w:val="00B36BA4"/>
    <w:rsid w:val="00B37BFE"/>
    <w:rsid w:val="00B409C1"/>
    <w:rsid w:val="00B40F81"/>
    <w:rsid w:val="00B4109A"/>
    <w:rsid w:val="00B413F9"/>
    <w:rsid w:val="00B41512"/>
    <w:rsid w:val="00B419B8"/>
    <w:rsid w:val="00B41B09"/>
    <w:rsid w:val="00B424C5"/>
    <w:rsid w:val="00B42671"/>
    <w:rsid w:val="00B42944"/>
    <w:rsid w:val="00B42C78"/>
    <w:rsid w:val="00B42D68"/>
    <w:rsid w:val="00B44F2B"/>
    <w:rsid w:val="00B450F0"/>
    <w:rsid w:val="00B453AE"/>
    <w:rsid w:val="00B45AEC"/>
    <w:rsid w:val="00B4661F"/>
    <w:rsid w:val="00B46623"/>
    <w:rsid w:val="00B46D7E"/>
    <w:rsid w:val="00B4702F"/>
    <w:rsid w:val="00B47251"/>
    <w:rsid w:val="00B47811"/>
    <w:rsid w:val="00B47AB3"/>
    <w:rsid w:val="00B505FC"/>
    <w:rsid w:val="00B50AC9"/>
    <w:rsid w:val="00B50BAF"/>
    <w:rsid w:val="00B51A18"/>
    <w:rsid w:val="00B51C95"/>
    <w:rsid w:val="00B5308C"/>
    <w:rsid w:val="00B53712"/>
    <w:rsid w:val="00B53D65"/>
    <w:rsid w:val="00B54388"/>
    <w:rsid w:val="00B54D48"/>
    <w:rsid w:val="00B55A11"/>
    <w:rsid w:val="00B55FA2"/>
    <w:rsid w:val="00B572BD"/>
    <w:rsid w:val="00B57348"/>
    <w:rsid w:val="00B57602"/>
    <w:rsid w:val="00B603A0"/>
    <w:rsid w:val="00B60B86"/>
    <w:rsid w:val="00B60DB8"/>
    <w:rsid w:val="00B60E84"/>
    <w:rsid w:val="00B61F76"/>
    <w:rsid w:val="00B6248D"/>
    <w:rsid w:val="00B63050"/>
    <w:rsid w:val="00B634A7"/>
    <w:rsid w:val="00B63C80"/>
    <w:rsid w:val="00B648C8"/>
    <w:rsid w:val="00B6538B"/>
    <w:rsid w:val="00B65966"/>
    <w:rsid w:val="00B65B37"/>
    <w:rsid w:val="00B6607A"/>
    <w:rsid w:val="00B660A6"/>
    <w:rsid w:val="00B66574"/>
    <w:rsid w:val="00B66767"/>
    <w:rsid w:val="00B67B0F"/>
    <w:rsid w:val="00B7051D"/>
    <w:rsid w:val="00B7071D"/>
    <w:rsid w:val="00B724A2"/>
    <w:rsid w:val="00B72C62"/>
    <w:rsid w:val="00B73410"/>
    <w:rsid w:val="00B73732"/>
    <w:rsid w:val="00B73CFB"/>
    <w:rsid w:val="00B7408B"/>
    <w:rsid w:val="00B74226"/>
    <w:rsid w:val="00B756BB"/>
    <w:rsid w:val="00B75A33"/>
    <w:rsid w:val="00B75F3B"/>
    <w:rsid w:val="00B760E0"/>
    <w:rsid w:val="00B779C4"/>
    <w:rsid w:val="00B806E5"/>
    <w:rsid w:val="00B80B5E"/>
    <w:rsid w:val="00B81342"/>
    <w:rsid w:val="00B81E02"/>
    <w:rsid w:val="00B82141"/>
    <w:rsid w:val="00B82E43"/>
    <w:rsid w:val="00B8383C"/>
    <w:rsid w:val="00B84132"/>
    <w:rsid w:val="00B84CCF"/>
    <w:rsid w:val="00B860DF"/>
    <w:rsid w:val="00B865F6"/>
    <w:rsid w:val="00B8724C"/>
    <w:rsid w:val="00B87503"/>
    <w:rsid w:val="00B87675"/>
    <w:rsid w:val="00B877F0"/>
    <w:rsid w:val="00B878AA"/>
    <w:rsid w:val="00B9059A"/>
    <w:rsid w:val="00B906C6"/>
    <w:rsid w:val="00B91148"/>
    <w:rsid w:val="00B9130A"/>
    <w:rsid w:val="00B91587"/>
    <w:rsid w:val="00B919DF"/>
    <w:rsid w:val="00B921E3"/>
    <w:rsid w:val="00B940E0"/>
    <w:rsid w:val="00B94C23"/>
    <w:rsid w:val="00B95001"/>
    <w:rsid w:val="00B95593"/>
    <w:rsid w:val="00B95EC0"/>
    <w:rsid w:val="00B96648"/>
    <w:rsid w:val="00B96BE7"/>
    <w:rsid w:val="00B97198"/>
    <w:rsid w:val="00B9721A"/>
    <w:rsid w:val="00B97EC1"/>
    <w:rsid w:val="00BA02D1"/>
    <w:rsid w:val="00BA0931"/>
    <w:rsid w:val="00BA1103"/>
    <w:rsid w:val="00BA11EF"/>
    <w:rsid w:val="00BA14A3"/>
    <w:rsid w:val="00BA1767"/>
    <w:rsid w:val="00BA1E06"/>
    <w:rsid w:val="00BA2415"/>
    <w:rsid w:val="00BA252F"/>
    <w:rsid w:val="00BA2EB5"/>
    <w:rsid w:val="00BA2FE7"/>
    <w:rsid w:val="00BA3410"/>
    <w:rsid w:val="00BA3A19"/>
    <w:rsid w:val="00BA3ECD"/>
    <w:rsid w:val="00BA3F80"/>
    <w:rsid w:val="00BA4736"/>
    <w:rsid w:val="00BA5849"/>
    <w:rsid w:val="00BA5B6B"/>
    <w:rsid w:val="00BA5CA8"/>
    <w:rsid w:val="00BA5E26"/>
    <w:rsid w:val="00BA6361"/>
    <w:rsid w:val="00BA6ECB"/>
    <w:rsid w:val="00BA746E"/>
    <w:rsid w:val="00BB00FF"/>
    <w:rsid w:val="00BB0B83"/>
    <w:rsid w:val="00BB1DA3"/>
    <w:rsid w:val="00BB2099"/>
    <w:rsid w:val="00BB26CF"/>
    <w:rsid w:val="00BB2BD0"/>
    <w:rsid w:val="00BB32DE"/>
    <w:rsid w:val="00BB4272"/>
    <w:rsid w:val="00BB4B8D"/>
    <w:rsid w:val="00BB5969"/>
    <w:rsid w:val="00BB5970"/>
    <w:rsid w:val="00BB5AC1"/>
    <w:rsid w:val="00BB5FFF"/>
    <w:rsid w:val="00BB6086"/>
    <w:rsid w:val="00BB6366"/>
    <w:rsid w:val="00BB63EB"/>
    <w:rsid w:val="00BB67E0"/>
    <w:rsid w:val="00BB69E4"/>
    <w:rsid w:val="00BB6E67"/>
    <w:rsid w:val="00BB72E6"/>
    <w:rsid w:val="00BB7BA3"/>
    <w:rsid w:val="00BB7DE4"/>
    <w:rsid w:val="00BB7F55"/>
    <w:rsid w:val="00BC00B9"/>
    <w:rsid w:val="00BC03E1"/>
    <w:rsid w:val="00BC0B57"/>
    <w:rsid w:val="00BC14CE"/>
    <w:rsid w:val="00BC3159"/>
    <w:rsid w:val="00BC3ACC"/>
    <w:rsid w:val="00BC4368"/>
    <w:rsid w:val="00BC445E"/>
    <w:rsid w:val="00BC4B01"/>
    <w:rsid w:val="00BC5005"/>
    <w:rsid w:val="00BC59D6"/>
    <w:rsid w:val="00BC5D3D"/>
    <w:rsid w:val="00BC63D8"/>
    <w:rsid w:val="00BC65D4"/>
    <w:rsid w:val="00BC68EC"/>
    <w:rsid w:val="00BC6E01"/>
    <w:rsid w:val="00BC7523"/>
    <w:rsid w:val="00BCF939"/>
    <w:rsid w:val="00BD009C"/>
    <w:rsid w:val="00BD14DF"/>
    <w:rsid w:val="00BD1D1A"/>
    <w:rsid w:val="00BD2924"/>
    <w:rsid w:val="00BD2EFD"/>
    <w:rsid w:val="00BD44EC"/>
    <w:rsid w:val="00BD457E"/>
    <w:rsid w:val="00BD5E4D"/>
    <w:rsid w:val="00BD640C"/>
    <w:rsid w:val="00BD6FFE"/>
    <w:rsid w:val="00BD7011"/>
    <w:rsid w:val="00BE01FA"/>
    <w:rsid w:val="00BE0302"/>
    <w:rsid w:val="00BE0ED6"/>
    <w:rsid w:val="00BE100A"/>
    <w:rsid w:val="00BE1053"/>
    <w:rsid w:val="00BE1D91"/>
    <w:rsid w:val="00BE219A"/>
    <w:rsid w:val="00BE222B"/>
    <w:rsid w:val="00BE2788"/>
    <w:rsid w:val="00BE2ABF"/>
    <w:rsid w:val="00BE34D4"/>
    <w:rsid w:val="00BE3B3C"/>
    <w:rsid w:val="00BE3EEC"/>
    <w:rsid w:val="00BE3F78"/>
    <w:rsid w:val="00BE4292"/>
    <w:rsid w:val="00BE4570"/>
    <w:rsid w:val="00BE4BAA"/>
    <w:rsid w:val="00BE5659"/>
    <w:rsid w:val="00BE5687"/>
    <w:rsid w:val="00BE56FB"/>
    <w:rsid w:val="00BE5887"/>
    <w:rsid w:val="00BE62BD"/>
    <w:rsid w:val="00BE6309"/>
    <w:rsid w:val="00BE751B"/>
    <w:rsid w:val="00BE77D7"/>
    <w:rsid w:val="00BF0014"/>
    <w:rsid w:val="00BF0084"/>
    <w:rsid w:val="00BF02CC"/>
    <w:rsid w:val="00BF0540"/>
    <w:rsid w:val="00BF091F"/>
    <w:rsid w:val="00BF0DCC"/>
    <w:rsid w:val="00BF0EE7"/>
    <w:rsid w:val="00BF3C86"/>
    <w:rsid w:val="00BF4058"/>
    <w:rsid w:val="00BF4290"/>
    <w:rsid w:val="00BF43E6"/>
    <w:rsid w:val="00BF47D2"/>
    <w:rsid w:val="00BF48B9"/>
    <w:rsid w:val="00BF4DD6"/>
    <w:rsid w:val="00BF50C3"/>
    <w:rsid w:val="00BF53D6"/>
    <w:rsid w:val="00BF64A6"/>
    <w:rsid w:val="00BF7256"/>
    <w:rsid w:val="00BF7D9F"/>
    <w:rsid w:val="00C0076A"/>
    <w:rsid w:val="00C00BF1"/>
    <w:rsid w:val="00C01758"/>
    <w:rsid w:val="00C01BBD"/>
    <w:rsid w:val="00C02603"/>
    <w:rsid w:val="00C035F2"/>
    <w:rsid w:val="00C04564"/>
    <w:rsid w:val="00C0464E"/>
    <w:rsid w:val="00C05C50"/>
    <w:rsid w:val="00C05F01"/>
    <w:rsid w:val="00C06104"/>
    <w:rsid w:val="00C0662C"/>
    <w:rsid w:val="00C06881"/>
    <w:rsid w:val="00C06909"/>
    <w:rsid w:val="00C06AA8"/>
    <w:rsid w:val="00C07248"/>
    <w:rsid w:val="00C07AF9"/>
    <w:rsid w:val="00C07B2D"/>
    <w:rsid w:val="00C1049F"/>
    <w:rsid w:val="00C10702"/>
    <w:rsid w:val="00C10841"/>
    <w:rsid w:val="00C11733"/>
    <w:rsid w:val="00C117AE"/>
    <w:rsid w:val="00C11A9A"/>
    <w:rsid w:val="00C12139"/>
    <w:rsid w:val="00C12C32"/>
    <w:rsid w:val="00C1318D"/>
    <w:rsid w:val="00C13852"/>
    <w:rsid w:val="00C13B0F"/>
    <w:rsid w:val="00C147FD"/>
    <w:rsid w:val="00C153DC"/>
    <w:rsid w:val="00C15F0E"/>
    <w:rsid w:val="00C15F24"/>
    <w:rsid w:val="00C17096"/>
    <w:rsid w:val="00C17120"/>
    <w:rsid w:val="00C17727"/>
    <w:rsid w:val="00C20D12"/>
    <w:rsid w:val="00C2127B"/>
    <w:rsid w:val="00C21324"/>
    <w:rsid w:val="00C2168F"/>
    <w:rsid w:val="00C216B2"/>
    <w:rsid w:val="00C219AF"/>
    <w:rsid w:val="00C2284F"/>
    <w:rsid w:val="00C22F59"/>
    <w:rsid w:val="00C2361C"/>
    <w:rsid w:val="00C2366A"/>
    <w:rsid w:val="00C25571"/>
    <w:rsid w:val="00C25F46"/>
    <w:rsid w:val="00C26154"/>
    <w:rsid w:val="00C267F3"/>
    <w:rsid w:val="00C26904"/>
    <w:rsid w:val="00C26D83"/>
    <w:rsid w:val="00C275D7"/>
    <w:rsid w:val="00C312F9"/>
    <w:rsid w:val="00C314DD"/>
    <w:rsid w:val="00C31884"/>
    <w:rsid w:val="00C32388"/>
    <w:rsid w:val="00C327D3"/>
    <w:rsid w:val="00C328BB"/>
    <w:rsid w:val="00C32F6A"/>
    <w:rsid w:val="00C33037"/>
    <w:rsid w:val="00C34CAF"/>
    <w:rsid w:val="00C35073"/>
    <w:rsid w:val="00C3529A"/>
    <w:rsid w:val="00C35363"/>
    <w:rsid w:val="00C36071"/>
    <w:rsid w:val="00C37526"/>
    <w:rsid w:val="00C375FB"/>
    <w:rsid w:val="00C37833"/>
    <w:rsid w:val="00C40CFA"/>
    <w:rsid w:val="00C41102"/>
    <w:rsid w:val="00C4194B"/>
    <w:rsid w:val="00C41BC6"/>
    <w:rsid w:val="00C42510"/>
    <w:rsid w:val="00C4256A"/>
    <w:rsid w:val="00C42809"/>
    <w:rsid w:val="00C42BE8"/>
    <w:rsid w:val="00C4379A"/>
    <w:rsid w:val="00C43CF7"/>
    <w:rsid w:val="00C44559"/>
    <w:rsid w:val="00C4460A"/>
    <w:rsid w:val="00C44C6D"/>
    <w:rsid w:val="00C44F16"/>
    <w:rsid w:val="00C455EC"/>
    <w:rsid w:val="00C4649A"/>
    <w:rsid w:val="00C464BD"/>
    <w:rsid w:val="00C46963"/>
    <w:rsid w:val="00C471FF"/>
    <w:rsid w:val="00C509AE"/>
    <w:rsid w:val="00C51789"/>
    <w:rsid w:val="00C518BF"/>
    <w:rsid w:val="00C5196C"/>
    <w:rsid w:val="00C51DB3"/>
    <w:rsid w:val="00C5291D"/>
    <w:rsid w:val="00C53285"/>
    <w:rsid w:val="00C53529"/>
    <w:rsid w:val="00C54151"/>
    <w:rsid w:val="00C54693"/>
    <w:rsid w:val="00C55085"/>
    <w:rsid w:val="00C55D24"/>
    <w:rsid w:val="00C5685F"/>
    <w:rsid w:val="00C568DD"/>
    <w:rsid w:val="00C56B33"/>
    <w:rsid w:val="00C56C20"/>
    <w:rsid w:val="00C56CEA"/>
    <w:rsid w:val="00C57020"/>
    <w:rsid w:val="00C57DBA"/>
    <w:rsid w:val="00C57F2B"/>
    <w:rsid w:val="00C6140E"/>
    <w:rsid w:val="00C617A5"/>
    <w:rsid w:val="00C61BFA"/>
    <w:rsid w:val="00C6239A"/>
    <w:rsid w:val="00C62574"/>
    <w:rsid w:val="00C62892"/>
    <w:rsid w:val="00C6395A"/>
    <w:rsid w:val="00C639FF"/>
    <w:rsid w:val="00C65322"/>
    <w:rsid w:val="00C668CD"/>
    <w:rsid w:val="00C674D2"/>
    <w:rsid w:val="00C67D68"/>
    <w:rsid w:val="00C70339"/>
    <w:rsid w:val="00C7192E"/>
    <w:rsid w:val="00C71A9F"/>
    <w:rsid w:val="00C7403F"/>
    <w:rsid w:val="00C75B45"/>
    <w:rsid w:val="00C7644E"/>
    <w:rsid w:val="00C76906"/>
    <w:rsid w:val="00C76F3D"/>
    <w:rsid w:val="00C77722"/>
    <w:rsid w:val="00C77B6E"/>
    <w:rsid w:val="00C77DE2"/>
    <w:rsid w:val="00C80302"/>
    <w:rsid w:val="00C807B6"/>
    <w:rsid w:val="00C809CC"/>
    <w:rsid w:val="00C80CC2"/>
    <w:rsid w:val="00C80E9B"/>
    <w:rsid w:val="00C80EBD"/>
    <w:rsid w:val="00C811A4"/>
    <w:rsid w:val="00C81886"/>
    <w:rsid w:val="00C8191F"/>
    <w:rsid w:val="00C82310"/>
    <w:rsid w:val="00C82365"/>
    <w:rsid w:val="00C8264E"/>
    <w:rsid w:val="00C829D4"/>
    <w:rsid w:val="00C82A8A"/>
    <w:rsid w:val="00C83A8F"/>
    <w:rsid w:val="00C84220"/>
    <w:rsid w:val="00C842E4"/>
    <w:rsid w:val="00C84546"/>
    <w:rsid w:val="00C849AB"/>
    <w:rsid w:val="00C84DB6"/>
    <w:rsid w:val="00C85837"/>
    <w:rsid w:val="00C86878"/>
    <w:rsid w:val="00C86ABB"/>
    <w:rsid w:val="00C874CB"/>
    <w:rsid w:val="00C902EB"/>
    <w:rsid w:val="00C9098F"/>
    <w:rsid w:val="00C91589"/>
    <w:rsid w:val="00C92450"/>
    <w:rsid w:val="00C924CF"/>
    <w:rsid w:val="00C930B7"/>
    <w:rsid w:val="00C9320A"/>
    <w:rsid w:val="00C93CF9"/>
    <w:rsid w:val="00C9423F"/>
    <w:rsid w:val="00C945B0"/>
    <w:rsid w:val="00C94D63"/>
    <w:rsid w:val="00C96FC8"/>
    <w:rsid w:val="00C97606"/>
    <w:rsid w:val="00CA0138"/>
    <w:rsid w:val="00CA03F8"/>
    <w:rsid w:val="00CA0564"/>
    <w:rsid w:val="00CA10D7"/>
    <w:rsid w:val="00CA11B8"/>
    <w:rsid w:val="00CA11D1"/>
    <w:rsid w:val="00CA1211"/>
    <w:rsid w:val="00CA19F5"/>
    <w:rsid w:val="00CA1AEB"/>
    <w:rsid w:val="00CA1E10"/>
    <w:rsid w:val="00CA1ECE"/>
    <w:rsid w:val="00CA274D"/>
    <w:rsid w:val="00CA2AEB"/>
    <w:rsid w:val="00CA2C86"/>
    <w:rsid w:val="00CA3303"/>
    <w:rsid w:val="00CA3925"/>
    <w:rsid w:val="00CA3CDD"/>
    <w:rsid w:val="00CA481E"/>
    <w:rsid w:val="00CA5294"/>
    <w:rsid w:val="00CA53EF"/>
    <w:rsid w:val="00CA5548"/>
    <w:rsid w:val="00CA56CE"/>
    <w:rsid w:val="00CA5AC1"/>
    <w:rsid w:val="00CA5C66"/>
    <w:rsid w:val="00CA6365"/>
    <w:rsid w:val="00CA6B0E"/>
    <w:rsid w:val="00CA6DB1"/>
    <w:rsid w:val="00CA788A"/>
    <w:rsid w:val="00CA7D71"/>
    <w:rsid w:val="00CB0C56"/>
    <w:rsid w:val="00CB0DEA"/>
    <w:rsid w:val="00CB109A"/>
    <w:rsid w:val="00CB147C"/>
    <w:rsid w:val="00CB1C21"/>
    <w:rsid w:val="00CB2242"/>
    <w:rsid w:val="00CB3320"/>
    <w:rsid w:val="00CB3F0D"/>
    <w:rsid w:val="00CB4A1D"/>
    <w:rsid w:val="00CB4C64"/>
    <w:rsid w:val="00CB4EDD"/>
    <w:rsid w:val="00CB4F02"/>
    <w:rsid w:val="00CB5662"/>
    <w:rsid w:val="00CB654D"/>
    <w:rsid w:val="00CB6CE4"/>
    <w:rsid w:val="00CB71C6"/>
    <w:rsid w:val="00CB7CEE"/>
    <w:rsid w:val="00CC034E"/>
    <w:rsid w:val="00CC0F5F"/>
    <w:rsid w:val="00CC1044"/>
    <w:rsid w:val="00CC2BC1"/>
    <w:rsid w:val="00CC52C8"/>
    <w:rsid w:val="00CC550B"/>
    <w:rsid w:val="00CC6192"/>
    <w:rsid w:val="00CC6E7C"/>
    <w:rsid w:val="00CC7F8E"/>
    <w:rsid w:val="00CD0C4D"/>
    <w:rsid w:val="00CD118B"/>
    <w:rsid w:val="00CD1445"/>
    <w:rsid w:val="00CD193D"/>
    <w:rsid w:val="00CD210A"/>
    <w:rsid w:val="00CD34E2"/>
    <w:rsid w:val="00CD3F61"/>
    <w:rsid w:val="00CD4271"/>
    <w:rsid w:val="00CD63C2"/>
    <w:rsid w:val="00CD74B3"/>
    <w:rsid w:val="00CE09C8"/>
    <w:rsid w:val="00CE0D57"/>
    <w:rsid w:val="00CE1707"/>
    <w:rsid w:val="00CE173E"/>
    <w:rsid w:val="00CE1DFB"/>
    <w:rsid w:val="00CE2AE6"/>
    <w:rsid w:val="00CE362B"/>
    <w:rsid w:val="00CE4436"/>
    <w:rsid w:val="00CE45D2"/>
    <w:rsid w:val="00CE5831"/>
    <w:rsid w:val="00CE59DA"/>
    <w:rsid w:val="00CE5FFB"/>
    <w:rsid w:val="00CE7675"/>
    <w:rsid w:val="00CE78E8"/>
    <w:rsid w:val="00CE7B42"/>
    <w:rsid w:val="00CF117E"/>
    <w:rsid w:val="00CF2D5A"/>
    <w:rsid w:val="00CF31B1"/>
    <w:rsid w:val="00CF34CB"/>
    <w:rsid w:val="00CF3E74"/>
    <w:rsid w:val="00CF4B99"/>
    <w:rsid w:val="00CF63E3"/>
    <w:rsid w:val="00CF64EB"/>
    <w:rsid w:val="00CF673D"/>
    <w:rsid w:val="00CF6868"/>
    <w:rsid w:val="00CF6EA7"/>
    <w:rsid w:val="00CF7277"/>
    <w:rsid w:val="00CF76B3"/>
    <w:rsid w:val="00CF7C32"/>
    <w:rsid w:val="00D0098A"/>
    <w:rsid w:val="00D00C25"/>
    <w:rsid w:val="00D01F2E"/>
    <w:rsid w:val="00D01F44"/>
    <w:rsid w:val="00D02F8D"/>
    <w:rsid w:val="00D0341B"/>
    <w:rsid w:val="00D03595"/>
    <w:rsid w:val="00D044BB"/>
    <w:rsid w:val="00D048D2"/>
    <w:rsid w:val="00D0507C"/>
    <w:rsid w:val="00D05A4B"/>
    <w:rsid w:val="00D05DE6"/>
    <w:rsid w:val="00D060D1"/>
    <w:rsid w:val="00D06612"/>
    <w:rsid w:val="00D06778"/>
    <w:rsid w:val="00D0784A"/>
    <w:rsid w:val="00D07E4D"/>
    <w:rsid w:val="00D1026E"/>
    <w:rsid w:val="00D11278"/>
    <w:rsid w:val="00D1129D"/>
    <w:rsid w:val="00D12191"/>
    <w:rsid w:val="00D13353"/>
    <w:rsid w:val="00D13BD4"/>
    <w:rsid w:val="00D13F19"/>
    <w:rsid w:val="00D150DB"/>
    <w:rsid w:val="00D155ED"/>
    <w:rsid w:val="00D15DE8"/>
    <w:rsid w:val="00D15E42"/>
    <w:rsid w:val="00D169D4"/>
    <w:rsid w:val="00D1743D"/>
    <w:rsid w:val="00D1765A"/>
    <w:rsid w:val="00D176D8"/>
    <w:rsid w:val="00D178A9"/>
    <w:rsid w:val="00D17C7E"/>
    <w:rsid w:val="00D17FFD"/>
    <w:rsid w:val="00D2108A"/>
    <w:rsid w:val="00D21566"/>
    <w:rsid w:val="00D21C4C"/>
    <w:rsid w:val="00D226DA"/>
    <w:rsid w:val="00D22C7E"/>
    <w:rsid w:val="00D23696"/>
    <w:rsid w:val="00D236E9"/>
    <w:rsid w:val="00D2370A"/>
    <w:rsid w:val="00D23836"/>
    <w:rsid w:val="00D241B2"/>
    <w:rsid w:val="00D246FC"/>
    <w:rsid w:val="00D24751"/>
    <w:rsid w:val="00D24F16"/>
    <w:rsid w:val="00D25789"/>
    <w:rsid w:val="00D25872"/>
    <w:rsid w:val="00D25C25"/>
    <w:rsid w:val="00D26910"/>
    <w:rsid w:val="00D26F16"/>
    <w:rsid w:val="00D270D0"/>
    <w:rsid w:val="00D278FB"/>
    <w:rsid w:val="00D27DAF"/>
    <w:rsid w:val="00D31009"/>
    <w:rsid w:val="00D315A5"/>
    <w:rsid w:val="00D338C0"/>
    <w:rsid w:val="00D33A34"/>
    <w:rsid w:val="00D34014"/>
    <w:rsid w:val="00D341F8"/>
    <w:rsid w:val="00D34A9A"/>
    <w:rsid w:val="00D34E07"/>
    <w:rsid w:val="00D3625C"/>
    <w:rsid w:val="00D3683E"/>
    <w:rsid w:val="00D3719A"/>
    <w:rsid w:val="00D37733"/>
    <w:rsid w:val="00D37849"/>
    <w:rsid w:val="00D40FE5"/>
    <w:rsid w:val="00D41447"/>
    <w:rsid w:val="00D414E1"/>
    <w:rsid w:val="00D41C97"/>
    <w:rsid w:val="00D41E56"/>
    <w:rsid w:val="00D42946"/>
    <w:rsid w:val="00D42A02"/>
    <w:rsid w:val="00D42BA2"/>
    <w:rsid w:val="00D42C72"/>
    <w:rsid w:val="00D433AD"/>
    <w:rsid w:val="00D44791"/>
    <w:rsid w:val="00D455DC"/>
    <w:rsid w:val="00D46704"/>
    <w:rsid w:val="00D46954"/>
    <w:rsid w:val="00D46CC7"/>
    <w:rsid w:val="00D46FD4"/>
    <w:rsid w:val="00D50F73"/>
    <w:rsid w:val="00D51073"/>
    <w:rsid w:val="00D518F4"/>
    <w:rsid w:val="00D51AA6"/>
    <w:rsid w:val="00D51C1C"/>
    <w:rsid w:val="00D51EC4"/>
    <w:rsid w:val="00D52A31"/>
    <w:rsid w:val="00D534D2"/>
    <w:rsid w:val="00D53E4C"/>
    <w:rsid w:val="00D53EAE"/>
    <w:rsid w:val="00D54A15"/>
    <w:rsid w:val="00D54C0B"/>
    <w:rsid w:val="00D550B2"/>
    <w:rsid w:val="00D571AD"/>
    <w:rsid w:val="00D574EC"/>
    <w:rsid w:val="00D57692"/>
    <w:rsid w:val="00D577B2"/>
    <w:rsid w:val="00D60256"/>
    <w:rsid w:val="00D6243E"/>
    <w:rsid w:val="00D62464"/>
    <w:rsid w:val="00D62546"/>
    <w:rsid w:val="00D62861"/>
    <w:rsid w:val="00D62D5D"/>
    <w:rsid w:val="00D6392E"/>
    <w:rsid w:val="00D65985"/>
    <w:rsid w:val="00D6694B"/>
    <w:rsid w:val="00D66D25"/>
    <w:rsid w:val="00D66D65"/>
    <w:rsid w:val="00D67D4D"/>
    <w:rsid w:val="00D67D90"/>
    <w:rsid w:val="00D70E34"/>
    <w:rsid w:val="00D71288"/>
    <w:rsid w:val="00D71FD7"/>
    <w:rsid w:val="00D72671"/>
    <w:rsid w:val="00D72AC2"/>
    <w:rsid w:val="00D733AB"/>
    <w:rsid w:val="00D73415"/>
    <w:rsid w:val="00D737DE"/>
    <w:rsid w:val="00D73AF5"/>
    <w:rsid w:val="00D743D5"/>
    <w:rsid w:val="00D74B66"/>
    <w:rsid w:val="00D75619"/>
    <w:rsid w:val="00D75B89"/>
    <w:rsid w:val="00D75CEE"/>
    <w:rsid w:val="00D774CD"/>
    <w:rsid w:val="00D775F5"/>
    <w:rsid w:val="00D776DE"/>
    <w:rsid w:val="00D77793"/>
    <w:rsid w:val="00D77BDF"/>
    <w:rsid w:val="00D77BF1"/>
    <w:rsid w:val="00D77E05"/>
    <w:rsid w:val="00D77E41"/>
    <w:rsid w:val="00D81812"/>
    <w:rsid w:val="00D821A1"/>
    <w:rsid w:val="00D82214"/>
    <w:rsid w:val="00D822C6"/>
    <w:rsid w:val="00D82AAF"/>
    <w:rsid w:val="00D82B10"/>
    <w:rsid w:val="00D82BB7"/>
    <w:rsid w:val="00D82D32"/>
    <w:rsid w:val="00D82DC5"/>
    <w:rsid w:val="00D82E2F"/>
    <w:rsid w:val="00D82EE1"/>
    <w:rsid w:val="00D832B8"/>
    <w:rsid w:val="00D8333D"/>
    <w:rsid w:val="00D83432"/>
    <w:rsid w:val="00D83718"/>
    <w:rsid w:val="00D837BB"/>
    <w:rsid w:val="00D84312"/>
    <w:rsid w:val="00D84832"/>
    <w:rsid w:val="00D854DD"/>
    <w:rsid w:val="00D86527"/>
    <w:rsid w:val="00D86D1A"/>
    <w:rsid w:val="00D86DF8"/>
    <w:rsid w:val="00D870FA"/>
    <w:rsid w:val="00D8776E"/>
    <w:rsid w:val="00D879E4"/>
    <w:rsid w:val="00D87A07"/>
    <w:rsid w:val="00D87E90"/>
    <w:rsid w:val="00D87F6F"/>
    <w:rsid w:val="00D90D54"/>
    <w:rsid w:val="00D90E8E"/>
    <w:rsid w:val="00D9141C"/>
    <w:rsid w:val="00D9146A"/>
    <w:rsid w:val="00D91AB0"/>
    <w:rsid w:val="00D92466"/>
    <w:rsid w:val="00D9267C"/>
    <w:rsid w:val="00D92821"/>
    <w:rsid w:val="00D93738"/>
    <w:rsid w:val="00D93C89"/>
    <w:rsid w:val="00D94A2E"/>
    <w:rsid w:val="00D95497"/>
    <w:rsid w:val="00D95803"/>
    <w:rsid w:val="00D959ED"/>
    <w:rsid w:val="00D95A75"/>
    <w:rsid w:val="00D95C99"/>
    <w:rsid w:val="00D966A0"/>
    <w:rsid w:val="00D96830"/>
    <w:rsid w:val="00D972E8"/>
    <w:rsid w:val="00D978AE"/>
    <w:rsid w:val="00D97E38"/>
    <w:rsid w:val="00DA0235"/>
    <w:rsid w:val="00DA0E15"/>
    <w:rsid w:val="00DA13A3"/>
    <w:rsid w:val="00DA2701"/>
    <w:rsid w:val="00DA28CA"/>
    <w:rsid w:val="00DA2F63"/>
    <w:rsid w:val="00DA33A5"/>
    <w:rsid w:val="00DA3EDA"/>
    <w:rsid w:val="00DA440C"/>
    <w:rsid w:val="00DA5018"/>
    <w:rsid w:val="00DA56AD"/>
    <w:rsid w:val="00DA5B0F"/>
    <w:rsid w:val="00DA6955"/>
    <w:rsid w:val="00DA6FB7"/>
    <w:rsid w:val="00DA7362"/>
    <w:rsid w:val="00DA79D4"/>
    <w:rsid w:val="00DB0760"/>
    <w:rsid w:val="00DB0EE1"/>
    <w:rsid w:val="00DB33CD"/>
    <w:rsid w:val="00DB3C94"/>
    <w:rsid w:val="00DB3CA3"/>
    <w:rsid w:val="00DB42EE"/>
    <w:rsid w:val="00DB4949"/>
    <w:rsid w:val="00DB4B64"/>
    <w:rsid w:val="00DB4D9F"/>
    <w:rsid w:val="00DB5489"/>
    <w:rsid w:val="00DB55A1"/>
    <w:rsid w:val="00DB5AB1"/>
    <w:rsid w:val="00DB5AE4"/>
    <w:rsid w:val="00DB6F76"/>
    <w:rsid w:val="00DB709E"/>
    <w:rsid w:val="00DC03AD"/>
    <w:rsid w:val="00DC1CDF"/>
    <w:rsid w:val="00DC1FAB"/>
    <w:rsid w:val="00DC1FE0"/>
    <w:rsid w:val="00DC261C"/>
    <w:rsid w:val="00DC2A67"/>
    <w:rsid w:val="00DC36E9"/>
    <w:rsid w:val="00DC3C04"/>
    <w:rsid w:val="00DC4293"/>
    <w:rsid w:val="00DC447B"/>
    <w:rsid w:val="00DC4839"/>
    <w:rsid w:val="00DC55B3"/>
    <w:rsid w:val="00DC7293"/>
    <w:rsid w:val="00DC7503"/>
    <w:rsid w:val="00DC7661"/>
    <w:rsid w:val="00DC7709"/>
    <w:rsid w:val="00DC787E"/>
    <w:rsid w:val="00DD0549"/>
    <w:rsid w:val="00DD0613"/>
    <w:rsid w:val="00DD08BB"/>
    <w:rsid w:val="00DD0A87"/>
    <w:rsid w:val="00DD16A4"/>
    <w:rsid w:val="00DD184F"/>
    <w:rsid w:val="00DD2665"/>
    <w:rsid w:val="00DD3546"/>
    <w:rsid w:val="00DD38E7"/>
    <w:rsid w:val="00DD3F2A"/>
    <w:rsid w:val="00DD48D4"/>
    <w:rsid w:val="00DD4A07"/>
    <w:rsid w:val="00DD51EE"/>
    <w:rsid w:val="00DD56ED"/>
    <w:rsid w:val="00DD57B1"/>
    <w:rsid w:val="00DD5FC1"/>
    <w:rsid w:val="00DD7D54"/>
    <w:rsid w:val="00DD7DAA"/>
    <w:rsid w:val="00DE0CE5"/>
    <w:rsid w:val="00DE1A53"/>
    <w:rsid w:val="00DE2F28"/>
    <w:rsid w:val="00DE2F41"/>
    <w:rsid w:val="00DE34BE"/>
    <w:rsid w:val="00DE3E16"/>
    <w:rsid w:val="00DE475B"/>
    <w:rsid w:val="00DE4B1E"/>
    <w:rsid w:val="00DE52B7"/>
    <w:rsid w:val="00DE60D2"/>
    <w:rsid w:val="00DE6217"/>
    <w:rsid w:val="00DE623B"/>
    <w:rsid w:val="00DE72B3"/>
    <w:rsid w:val="00DE7756"/>
    <w:rsid w:val="00DE7B53"/>
    <w:rsid w:val="00DE7F66"/>
    <w:rsid w:val="00DF02CE"/>
    <w:rsid w:val="00DF0D51"/>
    <w:rsid w:val="00DF14A6"/>
    <w:rsid w:val="00DF21F5"/>
    <w:rsid w:val="00DF2323"/>
    <w:rsid w:val="00DF3D0B"/>
    <w:rsid w:val="00DF3FEB"/>
    <w:rsid w:val="00DF4991"/>
    <w:rsid w:val="00DF5062"/>
    <w:rsid w:val="00DF54ED"/>
    <w:rsid w:val="00DF5A53"/>
    <w:rsid w:val="00DF5AFA"/>
    <w:rsid w:val="00DF5E50"/>
    <w:rsid w:val="00DF5FEA"/>
    <w:rsid w:val="00DF603D"/>
    <w:rsid w:val="00DF6852"/>
    <w:rsid w:val="00DF7FC5"/>
    <w:rsid w:val="00DFEA69"/>
    <w:rsid w:val="00E00626"/>
    <w:rsid w:val="00E00A19"/>
    <w:rsid w:val="00E00B35"/>
    <w:rsid w:val="00E0158A"/>
    <w:rsid w:val="00E0177D"/>
    <w:rsid w:val="00E01B31"/>
    <w:rsid w:val="00E0272A"/>
    <w:rsid w:val="00E02D5A"/>
    <w:rsid w:val="00E04214"/>
    <w:rsid w:val="00E04639"/>
    <w:rsid w:val="00E04A43"/>
    <w:rsid w:val="00E04E16"/>
    <w:rsid w:val="00E05CDD"/>
    <w:rsid w:val="00E067C3"/>
    <w:rsid w:val="00E068BB"/>
    <w:rsid w:val="00E06949"/>
    <w:rsid w:val="00E07446"/>
    <w:rsid w:val="00E07609"/>
    <w:rsid w:val="00E10259"/>
    <w:rsid w:val="00E113B2"/>
    <w:rsid w:val="00E1155F"/>
    <w:rsid w:val="00E120F7"/>
    <w:rsid w:val="00E1283C"/>
    <w:rsid w:val="00E13A4A"/>
    <w:rsid w:val="00E14091"/>
    <w:rsid w:val="00E14A73"/>
    <w:rsid w:val="00E1503E"/>
    <w:rsid w:val="00E150EC"/>
    <w:rsid w:val="00E15DFB"/>
    <w:rsid w:val="00E15F90"/>
    <w:rsid w:val="00E162FA"/>
    <w:rsid w:val="00E1680A"/>
    <w:rsid w:val="00E16E1E"/>
    <w:rsid w:val="00E16EED"/>
    <w:rsid w:val="00E17787"/>
    <w:rsid w:val="00E178D0"/>
    <w:rsid w:val="00E203AD"/>
    <w:rsid w:val="00E20593"/>
    <w:rsid w:val="00E2080C"/>
    <w:rsid w:val="00E208DB"/>
    <w:rsid w:val="00E21149"/>
    <w:rsid w:val="00E2184C"/>
    <w:rsid w:val="00E218E1"/>
    <w:rsid w:val="00E2197C"/>
    <w:rsid w:val="00E21E88"/>
    <w:rsid w:val="00E22AAA"/>
    <w:rsid w:val="00E2323C"/>
    <w:rsid w:val="00E23DEA"/>
    <w:rsid w:val="00E2415D"/>
    <w:rsid w:val="00E2490D"/>
    <w:rsid w:val="00E24C59"/>
    <w:rsid w:val="00E26191"/>
    <w:rsid w:val="00E26EC5"/>
    <w:rsid w:val="00E26F2D"/>
    <w:rsid w:val="00E2713E"/>
    <w:rsid w:val="00E27930"/>
    <w:rsid w:val="00E27A3F"/>
    <w:rsid w:val="00E3126B"/>
    <w:rsid w:val="00E31427"/>
    <w:rsid w:val="00E31537"/>
    <w:rsid w:val="00E3186C"/>
    <w:rsid w:val="00E31D61"/>
    <w:rsid w:val="00E323E4"/>
    <w:rsid w:val="00E32BEC"/>
    <w:rsid w:val="00E34014"/>
    <w:rsid w:val="00E34526"/>
    <w:rsid w:val="00E345A4"/>
    <w:rsid w:val="00E345C0"/>
    <w:rsid w:val="00E34EB9"/>
    <w:rsid w:val="00E35733"/>
    <w:rsid w:val="00E375E0"/>
    <w:rsid w:val="00E37E4E"/>
    <w:rsid w:val="00E40DFF"/>
    <w:rsid w:val="00E40E10"/>
    <w:rsid w:val="00E4149B"/>
    <w:rsid w:val="00E417D6"/>
    <w:rsid w:val="00E42649"/>
    <w:rsid w:val="00E42F96"/>
    <w:rsid w:val="00E42FDD"/>
    <w:rsid w:val="00E4363C"/>
    <w:rsid w:val="00E43958"/>
    <w:rsid w:val="00E43B29"/>
    <w:rsid w:val="00E43E7C"/>
    <w:rsid w:val="00E440EE"/>
    <w:rsid w:val="00E445C2"/>
    <w:rsid w:val="00E4465B"/>
    <w:rsid w:val="00E44AC0"/>
    <w:rsid w:val="00E44B97"/>
    <w:rsid w:val="00E455C7"/>
    <w:rsid w:val="00E45736"/>
    <w:rsid w:val="00E45828"/>
    <w:rsid w:val="00E458F1"/>
    <w:rsid w:val="00E45F44"/>
    <w:rsid w:val="00E464F7"/>
    <w:rsid w:val="00E46D32"/>
    <w:rsid w:val="00E47CB4"/>
    <w:rsid w:val="00E50C28"/>
    <w:rsid w:val="00E50D2E"/>
    <w:rsid w:val="00E50D94"/>
    <w:rsid w:val="00E50EA4"/>
    <w:rsid w:val="00E50F70"/>
    <w:rsid w:val="00E51AB1"/>
    <w:rsid w:val="00E520C2"/>
    <w:rsid w:val="00E52152"/>
    <w:rsid w:val="00E52677"/>
    <w:rsid w:val="00E52E44"/>
    <w:rsid w:val="00E5339A"/>
    <w:rsid w:val="00E5371E"/>
    <w:rsid w:val="00E5382B"/>
    <w:rsid w:val="00E53E84"/>
    <w:rsid w:val="00E5442D"/>
    <w:rsid w:val="00E5449E"/>
    <w:rsid w:val="00E54A03"/>
    <w:rsid w:val="00E54A72"/>
    <w:rsid w:val="00E55082"/>
    <w:rsid w:val="00E55810"/>
    <w:rsid w:val="00E55A9C"/>
    <w:rsid w:val="00E55ED7"/>
    <w:rsid w:val="00E55FB4"/>
    <w:rsid w:val="00E562C0"/>
    <w:rsid w:val="00E56B0C"/>
    <w:rsid w:val="00E56B76"/>
    <w:rsid w:val="00E570D9"/>
    <w:rsid w:val="00E57244"/>
    <w:rsid w:val="00E577AF"/>
    <w:rsid w:val="00E57807"/>
    <w:rsid w:val="00E602B4"/>
    <w:rsid w:val="00E60C2E"/>
    <w:rsid w:val="00E610AB"/>
    <w:rsid w:val="00E61823"/>
    <w:rsid w:val="00E620F2"/>
    <w:rsid w:val="00E62826"/>
    <w:rsid w:val="00E62C08"/>
    <w:rsid w:val="00E6387E"/>
    <w:rsid w:val="00E63985"/>
    <w:rsid w:val="00E646D0"/>
    <w:rsid w:val="00E653BC"/>
    <w:rsid w:val="00E654EB"/>
    <w:rsid w:val="00E65D6D"/>
    <w:rsid w:val="00E65DE8"/>
    <w:rsid w:val="00E666C2"/>
    <w:rsid w:val="00E66903"/>
    <w:rsid w:val="00E66AFE"/>
    <w:rsid w:val="00E66DD1"/>
    <w:rsid w:val="00E717C7"/>
    <w:rsid w:val="00E71F20"/>
    <w:rsid w:val="00E71F70"/>
    <w:rsid w:val="00E72444"/>
    <w:rsid w:val="00E734A4"/>
    <w:rsid w:val="00E73A28"/>
    <w:rsid w:val="00E75117"/>
    <w:rsid w:val="00E75506"/>
    <w:rsid w:val="00E75712"/>
    <w:rsid w:val="00E75969"/>
    <w:rsid w:val="00E75994"/>
    <w:rsid w:val="00E77971"/>
    <w:rsid w:val="00E80261"/>
    <w:rsid w:val="00E80FF2"/>
    <w:rsid w:val="00E81A50"/>
    <w:rsid w:val="00E82673"/>
    <w:rsid w:val="00E82976"/>
    <w:rsid w:val="00E83D04"/>
    <w:rsid w:val="00E841D5"/>
    <w:rsid w:val="00E84BBE"/>
    <w:rsid w:val="00E8606A"/>
    <w:rsid w:val="00E86579"/>
    <w:rsid w:val="00E8679A"/>
    <w:rsid w:val="00E8713A"/>
    <w:rsid w:val="00E87B8E"/>
    <w:rsid w:val="00E90503"/>
    <w:rsid w:val="00E90BA4"/>
    <w:rsid w:val="00E915F8"/>
    <w:rsid w:val="00E91677"/>
    <w:rsid w:val="00E91D7F"/>
    <w:rsid w:val="00E92043"/>
    <w:rsid w:val="00E920E7"/>
    <w:rsid w:val="00E92379"/>
    <w:rsid w:val="00E9244F"/>
    <w:rsid w:val="00E92975"/>
    <w:rsid w:val="00E93794"/>
    <w:rsid w:val="00E94E41"/>
    <w:rsid w:val="00E960A8"/>
    <w:rsid w:val="00E9702F"/>
    <w:rsid w:val="00E974AA"/>
    <w:rsid w:val="00EA00D4"/>
    <w:rsid w:val="00EA02EC"/>
    <w:rsid w:val="00EA0470"/>
    <w:rsid w:val="00EA0B9A"/>
    <w:rsid w:val="00EA1220"/>
    <w:rsid w:val="00EA3747"/>
    <w:rsid w:val="00EA45E0"/>
    <w:rsid w:val="00EA4F54"/>
    <w:rsid w:val="00EA551D"/>
    <w:rsid w:val="00EA69A2"/>
    <w:rsid w:val="00EA75A5"/>
    <w:rsid w:val="00EA7715"/>
    <w:rsid w:val="00EB0203"/>
    <w:rsid w:val="00EB08D0"/>
    <w:rsid w:val="00EB1108"/>
    <w:rsid w:val="00EB1246"/>
    <w:rsid w:val="00EB12B0"/>
    <w:rsid w:val="00EB210B"/>
    <w:rsid w:val="00EB219E"/>
    <w:rsid w:val="00EB22F8"/>
    <w:rsid w:val="00EB238D"/>
    <w:rsid w:val="00EB2A80"/>
    <w:rsid w:val="00EB3278"/>
    <w:rsid w:val="00EB3457"/>
    <w:rsid w:val="00EB38A8"/>
    <w:rsid w:val="00EB3D56"/>
    <w:rsid w:val="00EB3F13"/>
    <w:rsid w:val="00EB4267"/>
    <w:rsid w:val="00EB5ABD"/>
    <w:rsid w:val="00EB6196"/>
    <w:rsid w:val="00EB62B4"/>
    <w:rsid w:val="00EB642E"/>
    <w:rsid w:val="00EB70B4"/>
    <w:rsid w:val="00EB7E21"/>
    <w:rsid w:val="00EC02FA"/>
    <w:rsid w:val="00EC0A71"/>
    <w:rsid w:val="00EC0F5A"/>
    <w:rsid w:val="00EC0FE7"/>
    <w:rsid w:val="00EC0FFB"/>
    <w:rsid w:val="00EC2726"/>
    <w:rsid w:val="00EC3525"/>
    <w:rsid w:val="00EC35E4"/>
    <w:rsid w:val="00EC3BFB"/>
    <w:rsid w:val="00EC43E7"/>
    <w:rsid w:val="00EC477D"/>
    <w:rsid w:val="00EC501A"/>
    <w:rsid w:val="00EC5622"/>
    <w:rsid w:val="00EC5AE6"/>
    <w:rsid w:val="00EC5C19"/>
    <w:rsid w:val="00EC71FF"/>
    <w:rsid w:val="00EC7333"/>
    <w:rsid w:val="00EC7C78"/>
    <w:rsid w:val="00ED05D4"/>
    <w:rsid w:val="00ED0CE1"/>
    <w:rsid w:val="00ED10AD"/>
    <w:rsid w:val="00ED1291"/>
    <w:rsid w:val="00ED18A1"/>
    <w:rsid w:val="00ED21E6"/>
    <w:rsid w:val="00ED23FC"/>
    <w:rsid w:val="00ED2645"/>
    <w:rsid w:val="00ED2F3C"/>
    <w:rsid w:val="00ED32F5"/>
    <w:rsid w:val="00ED3F81"/>
    <w:rsid w:val="00ED5582"/>
    <w:rsid w:val="00ED5CAC"/>
    <w:rsid w:val="00ED5D8A"/>
    <w:rsid w:val="00ED5E56"/>
    <w:rsid w:val="00ED5FA3"/>
    <w:rsid w:val="00ED6238"/>
    <w:rsid w:val="00ED7E88"/>
    <w:rsid w:val="00ED7FF9"/>
    <w:rsid w:val="00EE0CF1"/>
    <w:rsid w:val="00EE1775"/>
    <w:rsid w:val="00EE1909"/>
    <w:rsid w:val="00EE19BD"/>
    <w:rsid w:val="00EE1C16"/>
    <w:rsid w:val="00EE2534"/>
    <w:rsid w:val="00EE29E4"/>
    <w:rsid w:val="00EE2A4F"/>
    <w:rsid w:val="00EE374C"/>
    <w:rsid w:val="00EE443D"/>
    <w:rsid w:val="00EE44E7"/>
    <w:rsid w:val="00EE469E"/>
    <w:rsid w:val="00EE4705"/>
    <w:rsid w:val="00EE47E8"/>
    <w:rsid w:val="00EE4999"/>
    <w:rsid w:val="00EE5023"/>
    <w:rsid w:val="00EE5C9B"/>
    <w:rsid w:val="00EE6BA4"/>
    <w:rsid w:val="00EE6FCE"/>
    <w:rsid w:val="00EE77C8"/>
    <w:rsid w:val="00EE7BE7"/>
    <w:rsid w:val="00EE7DA8"/>
    <w:rsid w:val="00EF025C"/>
    <w:rsid w:val="00EF072D"/>
    <w:rsid w:val="00EF08E9"/>
    <w:rsid w:val="00EF13D5"/>
    <w:rsid w:val="00EF1D69"/>
    <w:rsid w:val="00EF1EB1"/>
    <w:rsid w:val="00EF2B2C"/>
    <w:rsid w:val="00EF2F10"/>
    <w:rsid w:val="00EF2FE7"/>
    <w:rsid w:val="00EF3616"/>
    <w:rsid w:val="00EF3B8A"/>
    <w:rsid w:val="00EF3F51"/>
    <w:rsid w:val="00EF3F71"/>
    <w:rsid w:val="00EF43EC"/>
    <w:rsid w:val="00EF441D"/>
    <w:rsid w:val="00EF4534"/>
    <w:rsid w:val="00EF4C0A"/>
    <w:rsid w:val="00EF5DCF"/>
    <w:rsid w:val="00EF6CD4"/>
    <w:rsid w:val="00EF78EA"/>
    <w:rsid w:val="00EF7BDE"/>
    <w:rsid w:val="00F003A0"/>
    <w:rsid w:val="00F01F17"/>
    <w:rsid w:val="00F022FC"/>
    <w:rsid w:val="00F02BF8"/>
    <w:rsid w:val="00F02D7F"/>
    <w:rsid w:val="00F02F2D"/>
    <w:rsid w:val="00F02F59"/>
    <w:rsid w:val="00F0348C"/>
    <w:rsid w:val="00F03D6D"/>
    <w:rsid w:val="00F04AA4"/>
    <w:rsid w:val="00F04CDC"/>
    <w:rsid w:val="00F058F6"/>
    <w:rsid w:val="00F0595A"/>
    <w:rsid w:val="00F05A4E"/>
    <w:rsid w:val="00F05EEA"/>
    <w:rsid w:val="00F0678F"/>
    <w:rsid w:val="00F068AD"/>
    <w:rsid w:val="00F0696E"/>
    <w:rsid w:val="00F069BF"/>
    <w:rsid w:val="00F06BEC"/>
    <w:rsid w:val="00F06FA3"/>
    <w:rsid w:val="00F0770F"/>
    <w:rsid w:val="00F07950"/>
    <w:rsid w:val="00F07B34"/>
    <w:rsid w:val="00F07C78"/>
    <w:rsid w:val="00F07ED5"/>
    <w:rsid w:val="00F11004"/>
    <w:rsid w:val="00F1100E"/>
    <w:rsid w:val="00F110E5"/>
    <w:rsid w:val="00F112BA"/>
    <w:rsid w:val="00F115C3"/>
    <w:rsid w:val="00F118C4"/>
    <w:rsid w:val="00F1243C"/>
    <w:rsid w:val="00F12A3E"/>
    <w:rsid w:val="00F145A7"/>
    <w:rsid w:val="00F14B24"/>
    <w:rsid w:val="00F15335"/>
    <w:rsid w:val="00F160D8"/>
    <w:rsid w:val="00F16561"/>
    <w:rsid w:val="00F165D8"/>
    <w:rsid w:val="00F165EE"/>
    <w:rsid w:val="00F167FB"/>
    <w:rsid w:val="00F16EF6"/>
    <w:rsid w:val="00F17479"/>
    <w:rsid w:val="00F17D66"/>
    <w:rsid w:val="00F17DB8"/>
    <w:rsid w:val="00F200B3"/>
    <w:rsid w:val="00F20A18"/>
    <w:rsid w:val="00F21CC6"/>
    <w:rsid w:val="00F22B2C"/>
    <w:rsid w:val="00F22C0D"/>
    <w:rsid w:val="00F2360B"/>
    <w:rsid w:val="00F248A9"/>
    <w:rsid w:val="00F25168"/>
    <w:rsid w:val="00F2523A"/>
    <w:rsid w:val="00F253FF"/>
    <w:rsid w:val="00F2546C"/>
    <w:rsid w:val="00F265AB"/>
    <w:rsid w:val="00F26679"/>
    <w:rsid w:val="00F26ABD"/>
    <w:rsid w:val="00F27573"/>
    <w:rsid w:val="00F275CD"/>
    <w:rsid w:val="00F314A2"/>
    <w:rsid w:val="00F31662"/>
    <w:rsid w:val="00F31C02"/>
    <w:rsid w:val="00F31E1E"/>
    <w:rsid w:val="00F32042"/>
    <w:rsid w:val="00F320BE"/>
    <w:rsid w:val="00F322D6"/>
    <w:rsid w:val="00F32561"/>
    <w:rsid w:val="00F334C3"/>
    <w:rsid w:val="00F3365D"/>
    <w:rsid w:val="00F33869"/>
    <w:rsid w:val="00F348BF"/>
    <w:rsid w:val="00F34CD8"/>
    <w:rsid w:val="00F34ED0"/>
    <w:rsid w:val="00F352E4"/>
    <w:rsid w:val="00F35876"/>
    <w:rsid w:val="00F35E62"/>
    <w:rsid w:val="00F37508"/>
    <w:rsid w:val="00F40755"/>
    <w:rsid w:val="00F40C5A"/>
    <w:rsid w:val="00F42299"/>
    <w:rsid w:val="00F427BA"/>
    <w:rsid w:val="00F436DA"/>
    <w:rsid w:val="00F44CC8"/>
    <w:rsid w:val="00F44F7C"/>
    <w:rsid w:val="00F45213"/>
    <w:rsid w:val="00F45391"/>
    <w:rsid w:val="00F45C3A"/>
    <w:rsid w:val="00F46D30"/>
    <w:rsid w:val="00F474AE"/>
    <w:rsid w:val="00F47572"/>
    <w:rsid w:val="00F505DE"/>
    <w:rsid w:val="00F508F5"/>
    <w:rsid w:val="00F509F2"/>
    <w:rsid w:val="00F51198"/>
    <w:rsid w:val="00F5146F"/>
    <w:rsid w:val="00F5154A"/>
    <w:rsid w:val="00F517A5"/>
    <w:rsid w:val="00F51F7D"/>
    <w:rsid w:val="00F5236A"/>
    <w:rsid w:val="00F528E8"/>
    <w:rsid w:val="00F53091"/>
    <w:rsid w:val="00F53B8B"/>
    <w:rsid w:val="00F53C17"/>
    <w:rsid w:val="00F54E1B"/>
    <w:rsid w:val="00F54E2C"/>
    <w:rsid w:val="00F55708"/>
    <w:rsid w:val="00F5583F"/>
    <w:rsid w:val="00F55DCE"/>
    <w:rsid w:val="00F56127"/>
    <w:rsid w:val="00F56954"/>
    <w:rsid w:val="00F5768B"/>
    <w:rsid w:val="00F57E1C"/>
    <w:rsid w:val="00F57F65"/>
    <w:rsid w:val="00F57F96"/>
    <w:rsid w:val="00F6059E"/>
    <w:rsid w:val="00F61809"/>
    <w:rsid w:val="00F61C53"/>
    <w:rsid w:val="00F61FED"/>
    <w:rsid w:val="00F62C1B"/>
    <w:rsid w:val="00F62F8C"/>
    <w:rsid w:val="00F632D2"/>
    <w:rsid w:val="00F63C20"/>
    <w:rsid w:val="00F646DD"/>
    <w:rsid w:val="00F649A2"/>
    <w:rsid w:val="00F649A3"/>
    <w:rsid w:val="00F65028"/>
    <w:rsid w:val="00F6547D"/>
    <w:rsid w:val="00F656C9"/>
    <w:rsid w:val="00F65A4E"/>
    <w:rsid w:val="00F66605"/>
    <w:rsid w:val="00F66770"/>
    <w:rsid w:val="00F66E02"/>
    <w:rsid w:val="00F67500"/>
    <w:rsid w:val="00F6771F"/>
    <w:rsid w:val="00F70BAA"/>
    <w:rsid w:val="00F715EE"/>
    <w:rsid w:val="00F71C9C"/>
    <w:rsid w:val="00F72A73"/>
    <w:rsid w:val="00F72E7F"/>
    <w:rsid w:val="00F738BF"/>
    <w:rsid w:val="00F738D2"/>
    <w:rsid w:val="00F74F6F"/>
    <w:rsid w:val="00F752EB"/>
    <w:rsid w:val="00F76431"/>
    <w:rsid w:val="00F76F46"/>
    <w:rsid w:val="00F8018A"/>
    <w:rsid w:val="00F80DFC"/>
    <w:rsid w:val="00F818C2"/>
    <w:rsid w:val="00F81A6A"/>
    <w:rsid w:val="00F82070"/>
    <w:rsid w:val="00F82DAB"/>
    <w:rsid w:val="00F83384"/>
    <w:rsid w:val="00F83517"/>
    <w:rsid w:val="00F83C3B"/>
    <w:rsid w:val="00F83CA3"/>
    <w:rsid w:val="00F83DEC"/>
    <w:rsid w:val="00F844C8"/>
    <w:rsid w:val="00F84DAD"/>
    <w:rsid w:val="00F8509E"/>
    <w:rsid w:val="00F85F50"/>
    <w:rsid w:val="00F85FAC"/>
    <w:rsid w:val="00F87241"/>
    <w:rsid w:val="00F900DF"/>
    <w:rsid w:val="00F90645"/>
    <w:rsid w:val="00F90ED5"/>
    <w:rsid w:val="00F9102B"/>
    <w:rsid w:val="00F911F5"/>
    <w:rsid w:val="00F91AEC"/>
    <w:rsid w:val="00F91B8B"/>
    <w:rsid w:val="00F91EFA"/>
    <w:rsid w:val="00F92C26"/>
    <w:rsid w:val="00F92E4F"/>
    <w:rsid w:val="00F930B6"/>
    <w:rsid w:val="00F9384D"/>
    <w:rsid w:val="00F94073"/>
    <w:rsid w:val="00F942DC"/>
    <w:rsid w:val="00F94E06"/>
    <w:rsid w:val="00F9525D"/>
    <w:rsid w:val="00F95632"/>
    <w:rsid w:val="00F95813"/>
    <w:rsid w:val="00F963AF"/>
    <w:rsid w:val="00F96431"/>
    <w:rsid w:val="00F9645C"/>
    <w:rsid w:val="00F965B6"/>
    <w:rsid w:val="00F96690"/>
    <w:rsid w:val="00F9693B"/>
    <w:rsid w:val="00F969C0"/>
    <w:rsid w:val="00F9760B"/>
    <w:rsid w:val="00FA11DF"/>
    <w:rsid w:val="00FA1A47"/>
    <w:rsid w:val="00FA2ED8"/>
    <w:rsid w:val="00FA2F2B"/>
    <w:rsid w:val="00FA344A"/>
    <w:rsid w:val="00FA3DDC"/>
    <w:rsid w:val="00FA3EAE"/>
    <w:rsid w:val="00FA55D7"/>
    <w:rsid w:val="00FA5ECB"/>
    <w:rsid w:val="00FA6C4D"/>
    <w:rsid w:val="00FA70C5"/>
    <w:rsid w:val="00FA76EE"/>
    <w:rsid w:val="00FB03D2"/>
    <w:rsid w:val="00FB111B"/>
    <w:rsid w:val="00FB13A6"/>
    <w:rsid w:val="00FB2395"/>
    <w:rsid w:val="00FB4A7F"/>
    <w:rsid w:val="00FB4F3D"/>
    <w:rsid w:val="00FB513D"/>
    <w:rsid w:val="00FB6036"/>
    <w:rsid w:val="00FB67AC"/>
    <w:rsid w:val="00FB6EFD"/>
    <w:rsid w:val="00FB716C"/>
    <w:rsid w:val="00FB7B12"/>
    <w:rsid w:val="00FB7DDF"/>
    <w:rsid w:val="00FC07B8"/>
    <w:rsid w:val="00FC1D8D"/>
    <w:rsid w:val="00FC1E6B"/>
    <w:rsid w:val="00FC2EAC"/>
    <w:rsid w:val="00FC3076"/>
    <w:rsid w:val="00FC32BF"/>
    <w:rsid w:val="00FC333A"/>
    <w:rsid w:val="00FC384B"/>
    <w:rsid w:val="00FC3BF5"/>
    <w:rsid w:val="00FC4083"/>
    <w:rsid w:val="00FC4525"/>
    <w:rsid w:val="00FC5B52"/>
    <w:rsid w:val="00FC6382"/>
    <w:rsid w:val="00FC691A"/>
    <w:rsid w:val="00FC6E62"/>
    <w:rsid w:val="00FC7168"/>
    <w:rsid w:val="00FC7C46"/>
    <w:rsid w:val="00FD1DE4"/>
    <w:rsid w:val="00FD1FA3"/>
    <w:rsid w:val="00FD21DF"/>
    <w:rsid w:val="00FD257E"/>
    <w:rsid w:val="00FD28FC"/>
    <w:rsid w:val="00FD2D96"/>
    <w:rsid w:val="00FD2E65"/>
    <w:rsid w:val="00FD30B1"/>
    <w:rsid w:val="00FD3740"/>
    <w:rsid w:val="00FD38E9"/>
    <w:rsid w:val="00FD417E"/>
    <w:rsid w:val="00FD4A26"/>
    <w:rsid w:val="00FD5F18"/>
    <w:rsid w:val="00FD6916"/>
    <w:rsid w:val="00FE03E9"/>
    <w:rsid w:val="00FE0BDB"/>
    <w:rsid w:val="00FE0E5D"/>
    <w:rsid w:val="00FE1FFA"/>
    <w:rsid w:val="00FE253A"/>
    <w:rsid w:val="00FE2640"/>
    <w:rsid w:val="00FE274D"/>
    <w:rsid w:val="00FE4783"/>
    <w:rsid w:val="00FE4E18"/>
    <w:rsid w:val="00FE544E"/>
    <w:rsid w:val="00FE54F2"/>
    <w:rsid w:val="00FE5ED5"/>
    <w:rsid w:val="00FE6181"/>
    <w:rsid w:val="00FE657B"/>
    <w:rsid w:val="00FE67F2"/>
    <w:rsid w:val="00FE6D97"/>
    <w:rsid w:val="00FE77D9"/>
    <w:rsid w:val="00FF0160"/>
    <w:rsid w:val="00FF04B8"/>
    <w:rsid w:val="00FF1CDE"/>
    <w:rsid w:val="00FF340B"/>
    <w:rsid w:val="00FF4195"/>
    <w:rsid w:val="00FF4812"/>
    <w:rsid w:val="00FF5565"/>
    <w:rsid w:val="00FF5FCD"/>
    <w:rsid w:val="00FF65A8"/>
    <w:rsid w:val="00FF7535"/>
    <w:rsid w:val="00FF75B5"/>
    <w:rsid w:val="00FF76FC"/>
    <w:rsid w:val="00FF7BAE"/>
    <w:rsid w:val="00FF7D73"/>
    <w:rsid w:val="01294DCE"/>
    <w:rsid w:val="015BE3FF"/>
    <w:rsid w:val="01833BD1"/>
    <w:rsid w:val="02468AC4"/>
    <w:rsid w:val="0253F3A3"/>
    <w:rsid w:val="026823BA"/>
    <w:rsid w:val="026E50C1"/>
    <w:rsid w:val="029777B5"/>
    <w:rsid w:val="02A81584"/>
    <w:rsid w:val="02AA177D"/>
    <w:rsid w:val="02DEFC20"/>
    <w:rsid w:val="03735D94"/>
    <w:rsid w:val="03848E70"/>
    <w:rsid w:val="03B1ECAF"/>
    <w:rsid w:val="03B6EF68"/>
    <w:rsid w:val="03E4EB5C"/>
    <w:rsid w:val="0413E121"/>
    <w:rsid w:val="04A5EFA7"/>
    <w:rsid w:val="04C728B9"/>
    <w:rsid w:val="04CCD42E"/>
    <w:rsid w:val="053E9196"/>
    <w:rsid w:val="055B123D"/>
    <w:rsid w:val="05E33B02"/>
    <w:rsid w:val="06A43AF3"/>
    <w:rsid w:val="06D58241"/>
    <w:rsid w:val="070881DC"/>
    <w:rsid w:val="07498C63"/>
    <w:rsid w:val="0781FA4F"/>
    <w:rsid w:val="07E907A2"/>
    <w:rsid w:val="080FF717"/>
    <w:rsid w:val="087782ED"/>
    <w:rsid w:val="08830C11"/>
    <w:rsid w:val="08A58D7D"/>
    <w:rsid w:val="08B2535A"/>
    <w:rsid w:val="08CD34B1"/>
    <w:rsid w:val="09110A24"/>
    <w:rsid w:val="095BC9AC"/>
    <w:rsid w:val="09D04914"/>
    <w:rsid w:val="0A0EDC63"/>
    <w:rsid w:val="0A17CA82"/>
    <w:rsid w:val="0A17D38F"/>
    <w:rsid w:val="0A1DA1DB"/>
    <w:rsid w:val="0A56B8DC"/>
    <w:rsid w:val="0A74CD5C"/>
    <w:rsid w:val="0A7F442F"/>
    <w:rsid w:val="0A82518E"/>
    <w:rsid w:val="0AC8A7BC"/>
    <w:rsid w:val="0B2BCF0C"/>
    <w:rsid w:val="0B4EB89A"/>
    <w:rsid w:val="0B565E47"/>
    <w:rsid w:val="0BC5E65D"/>
    <w:rsid w:val="0BD4A4C7"/>
    <w:rsid w:val="0C1E0265"/>
    <w:rsid w:val="0C357542"/>
    <w:rsid w:val="0C3C7EDA"/>
    <w:rsid w:val="0C838650"/>
    <w:rsid w:val="0D46C580"/>
    <w:rsid w:val="0D6327AF"/>
    <w:rsid w:val="0DBD0FDF"/>
    <w:rsid w:val="0E1EC065"/>
    <w:rsid w:val="0E21798D"/>
    <w:rsid w:val="0E238A84"/>
    <w:rsid w:val="0E4872FE"/>
    <w:rsid w:val="0E52E5CB"/>
    <w:rsid w:val="0E5BE3D9"/>
    <w:rsid w:val="0E75ADEB"/>
    <w:rsid w:val="0E850A04"/>
    <w:rsid w:val="0E87A111"/>
    <w:rsid w:val="0EC63922"/>
    <w:rsid w:val="0EF34A3C"/>
    <w:rsid w:val="0F3ED0B7"/>
    <w:rsid w:val="0F9A4BA1"/>
    <w:rsid w:val="0F9DC779"/>
    <w:rsid w:val="0FA23D3C"/>
    <w:rsid w:val="1077AA11"/>
    <w:rsid w:val="108FD900"/>
    <w:rsid w:val="10A0420C"/>
    <w:rsid w:val="10C862C1"/>
    <w:rsid w:val="1109D6E0"/>
    <w:rsid w:val="11C64268"/>
    <w:rsid w:val="11E6B04F"/>
    <w:rsid w:val="122EAB3E"/>
    <w:rsid w:val="1234C51C"/>
    <w:rsid w:val="12AD4A01"/>
    <w:rsid w:val="12B216AB"/>
    <w:rsid w:val="12DFD8C2"/>
    <w:rsid w:val="12FA401F"/>
    <w:rsid w:val="1315567D"/>
    <w:rsid w:val="138EDCE3"/>
    <w:rsid w:val="13A460F0"/>
    <w:rsid w:val="13B7B4A1"/>
    <w:rsid w:val="13BF8AEC"/>
    <w:rsid w:val="13C4D2EE"/>
    <w:rsid w:val="13F529E9"/>
    <w:rsid w:val="1407B526"/>
    <w:rsid w:val="143CF81B"/>
    <w:rsid w:val="144789C4"/>
    <w:rsid w:val="1465AC09"/>
    <w:rsid w:val="147317D1"/>
    <w:rsid w:val="148CCF06"/>
    <w:rsid w:val="14AEE8BF"/>
    <w:rsid w:val="15044293"/>
    <w:rsid w:val="1512B975"/>
    <w:rsid w:val="1526AA52"/>
    <w:rsid w:val="152A721E"/>
    <w:rsid w:val="156AE3F5"/>
    <w:rsid w:val="15912674"/>
    <w:rsid w:val="15A84146"/>
    <w:rsid w:val="15EA996C"/>
    <w:rsid w:val="1635E758"/>
    <w:rsid w:val="166349CE"/>
    <w:rsid w:val="166ED2A2"/>
    <w:rsid w:val="168A5781"/>
    <w:rsid w:val="16BC14C3"/>
    <w:rsid w:val="16C7BDCE"/>
    <w:rsid w:val="170DB516"/>
    <w:rsid w:val="1752B5D2"/>
    <w:rsid w:val="17868BA6"/>
    <w:rsid w:val="17905973"/>
    <w:rsid w:val="1794B9B2"/>
    <w:rsid w:val="17CB29C4"/>
    <w:rsid w:val="1805B421"/>
    <w:rsid w:val="180FCB92"/>
    <w:rsid w:val="185B9139"/>
    <w:rsid w:val="18C73F3C"/>
    <w:rsid w:val="1902465B"/>
    <w:rsid w:val="1938CF33"/>
    <w:rsid w:val="197670F8"/>
    <w:rsid w:val="19A25C6B"/>
    <w:rsid w:val="19ECB0B1"/>
    <w:rsid w:val="19F45F6E"/>
    <w:rsid w:val="1A032996"/>
    <w:rsid w:val="1A1CC75A"/>
    <w:rsid w:val="1A438AC9"/>
    <w:rsid w:val="1A59B4D3"/>
    <w:rsid w:val="1A8898E0"/>
    <w:rsid w:val="1A9348A1"/>
    <w:rsid w:val="1A983F7F"/>
    <w:rsid w:val="1AD5F4F6"/>
    <w:rsid w:val="1AEA6984"/>
    <w:rsid w:val="1AF00020"/>
    <w:rsid w:val="1AF3A3B2"/>
    <w:rsid w:val="1B02696F"/>
    <w:rsid w:val="1B339E70"/>
    <w:rsid w:val="1BB5FF14"/>
    <w:rsid w:val="1BBB01F7"/>
    <w:rsid w:val="1BC500B9"/>
    <w:rsid w:val="1BD07ECA"/>
    <w:rsid w:val="1BE296A6"/>
    <w:rsid w:val="1C5144EE"/>
    <w:rsid w:val="1C520F31"/>
    <w:rsid w:val="1CC9F899"/>
    <w:rsid w:val="1CEB8855"/>
    <w:rsid w:val="1CEC8FC3"/>
    <w:rsid w:val="1CEFB157"/>
    <w:rsid w:val="1D035CF0"/>
    <w:rsid w:val="1D3985BC"/>
    <w:rsid w:val="1D504F89"/>
    <w:rsid w:val="1D777FE0"/>
    <w:rsid w:val="1D876847"/>
    <w:rsid w:val="1DB58594"/>
    <w:rsid w:val="1DBC33FC"/>
    <w:rsid w:val="1E2FE248"/>
    <w:rsid w:val="1E54AF73"/>
    <w:rsid w:val="1E867E99"/>
    <w:rsid w:val="1E8B8D63"/>
    <w:rsid w:val="1EB18169"/>
    <w:rsid w:val="1EE38B09"/>
    <w:rsid w:val="1F3A83EF"/>
    <w:rsid w:val="1F5D6CB1"/>
    <w:rsid w:val="2044CF3F"/>
    <w:rsid w:val="2046FD26"/>
    <w:rsid w:val="2085505B"/>
    <w:rsid w:val="20C336F4"/>
    <w:rsid w:val="20D67C4D"/>
    <w:rsid w:val="20F98E32"/>
    <w:rsid w:val="2104044C"/>
    <w:rsid w:val="21306392"/>
    <w:rsid w:val="2136375C"/>
    <w:rsid w:val="2165DDD5"/>
    <w:rsid w:val="2175D267"/>
    <w:rsid w:val="21772E65"/>
    <w:rsid w:val="219E9697"/>
    <w:rsid w:val="21D14FC6"/>
    <w:rsid w:val="21F81356"/>
    <w:rsid w:val="2201D404"/>
    <w:rsid w:val="2212C663"/>
    <w:rsid w:val="222ADD37"/>
    <w:rsid w:val="2237DEB1"/>
    <w:rsid w:val="224D301D"/>
    <w:rsid w:val="22694AD3"/>
    <w:rsid w:val="22CB392B"/>
    <w:rsid w:val="22D1A3F1"/>
    <w:rsid w:val="22DE8D82"/>
    <w:rsid w:val="2309EEF2"/>
    <w:rsid w:val="235BA658"/>
    <w:rsid w:val="236A477B"/>
    <w:rsid w:val="2373DDDF"/>
    <w:rsid w:val="237F78FB"/>
    <w:rsid w:val="2397227D"/>
    <w:rsid w:val="23F17B7B"/>
    <w:rsid w:val="24439729"/>
    <w:rsid w:val="24576FAD"/>
    <w:rsid w:val="2478838A"/>
    <w:rsid w:val="24885B5F"/>
    <w:rsid w:val="24CEEC53"/>
    <w:rsid w:val="24D167E5"/>
    <w:rsid w:val="24DBC1FA"/>
    <w:rsid w:val="2559FA94"/>
    <w:rsid w:val="25A6CCEC"/>
    <w:rsid w:val="2610CF7A"/>
    <w:rsid w:val="262ED8F2"/>
    <w:rsid w:val="2646760C"/>
    <w:rsid w:val="2650C1FB"/>
    <w:rsid w:val="2686DBC3"/>
    <w:rsid w:val="269B0708"/>
    <w:rsid w:val="271EA490"/>
    <w:rsid w:val="272933F1"/>
    <w:rsid w:val="2741BB70"/>
    <w:rsid w:val="27775DD6"/>
    <w:rsid w:val="277AD91B"/>
    <w:rsid w:val="288A0A74"/>
    <w:rsid w:val="28A79AE1"/>
    <w:rsid w:val="28D9FEE9"/>
    <w:rsid w:val="28E5A535"/>
    <w:rsid w:val="28F6FD3C"/>
    <w:rsid w:val="2958B8F9"/>
    <w:rsid w:val="29876C9E"/>
    <w:rsid w:val="29E1CD32"/>
    <w:rsid w:val="2A0DF54F"/>
    <w:rsid w:val="2A1A9BCB"/>
    <w:rsid w:val="2A43AC57"/>
    <w:rsid w:val="2A774889"/>
    <w:rsid w:val="2ABEAF34"/>
    <w:rsid w:val="2ACDCF5E"/>
    <w:rsid w:val="2B43939E"/>
    <w:rsid w:val="2B635872"/>
    <w:rsid w:val="2B6C2558"/>
    <w:rsid w:val="2B7C93D9"/>
    <w:rsid w:val="2B8F9676"/>
    <w:rsid w:val="2BD8A89D"/>
    <w:rsid w:val="2C13E37A"/>
    <w:rsid w:val="2CFD3645"/>
    <w:rsid w:val="2D1CD388"/>
    <w:rsid w:val="2D35DDB1"/>
    <w:rsid w:val="2D9686B0"/>
    <w:rsid w:val="2DDAF07B"/>
    <w:rsid w:val="2E1923A7"/>
    <w:rsid w:val="2E44CEB1"/>
    <w:rsid w:val="2E64E487"/>
    <w:rsid w:val="2EC9012C"/>
    <w:rsid w:val="2F088B73"/>
    <w:rsid w:val="2F20B6F7"/>
    <w:rsid w:val="2F31221D"/>
    <w:rsid w:val="2F70EF23"/>
    <w:rsid w:val="2F7C2582"/>
    <w:rsid w:val="2F80E6F0"/>
    <w:rsid w:val="2FE13200"/>
    <w:rsid w:val="2FF9694A"/>
    <w:rsid w:val="307B3095"/>
    <w:rsid w:val="307C060F"/>
    <w:rsid w:val="3082E7C8"/>
    <w:rsid w:val="3095ABD4"/>
    <w:rsid w:val="311930DE"/>
    <w:rsid w:val="311E0D68"/>
    <w:rsid w:val="31B1F6CF"/>
    <w:rsid w:val="323B3DED"/>
    <w:rsid w:val="3269ADD4"/>
    <w:rsid w:val="32B6C852"/>
    <w:rsid w:val="32E8448A"/>
    <w:rsid w:val="330333E2"/>
    <w:rsid w:val="334397F0"/>
    <w:rsid w:val="336C2F0B"/>
    <w:rsid w:val="3380378C"/>
    <w:rsid w:val="338D5F10"/>
    <w:rsid w:val="338F6357"/>
    <w:rsid w:val="34295E98"/>
    <w:rsid w:val="346414BA"/>
    <w:rsid w:val="346F9CFA"/>
    <w:rsid w:val="347B2402"/>
    <w:rsid w:val="34958FC0"/>
    <w:rsid w:val="34982391"/>
    <w:rsid w:val="34D655E6"/>
    <w:rsid w:val="34DB4BF1"/>
    <w:rsid w:val="352CBA7D"/>
    <w:rsid w:val="356A3AA9"/>
    <w:rsid w:val="358AB8D3"/>
    <w:rsid w:val="363C47F1"/>
    <w:rsid w:val="3646AFE7"/>
    <w:rsid w:val="36489378"/>
    <w:rsid w:val="3656AB5F"/>
    <w:rsid w:val="366F8BF7"/>
    <w:rsid w:val="3762AFE7"/>
    <w:rsid w:val="377F12EF"/>
    <w:rsid w:val="37B32006"/>
    <w:rsid w:val="380BACEE"/>
    <w:rsid w:val="38333314"/>
    <w:rsid w:val="383DFA12"/>
    <w:rsid w:val="38B68038"/>
    <w:rsid w:val="38BB374D"/>
    <w:rsid w:val="38DD027A"/>
    <w:rsid w:val="391E0331"/>
    <w:rsid w:val="392D6412"/>
    <w:rsid w:val="3972E3BA"/>
    <w:rsid w:val="39995EE0"/>
    <w:rsid w:val="399CEFF0"/>
    <w:rsid w:val="39BE03E2"/>
    <w:rsid w:val="3A13B9F7"/>
    <w:rsid w:val="3A14853A"/>
    <w:rsid w:val="3A1F37FD"/>
    <w:rsid w:val="3A517A4A"/>
    <w:rsid w:val="3A596A65"/>
    <w:rsid w:val="3A72A224"/>
    <w:rsid w:val="3A86BFE0"/>
    <w:rsid w:val="3AA14253"/>
    <w:rsid w:val="3AA9B087"/>
    <w:rsid w:val="3AC54578"/>
    <w:rsid w:val="3B11D43A"/>
    <w:rsid w:val="3B183351"/>
    <w:rsid w:val="3B208A83"/>
    <w:rsid w:val="3BDE042B"/>
    <w:rsid w:val="3BE4909E"/>
    <w:rsid w:val="3BEB137F"/>
    <w:rsid w:val="3C050B71"/>
    <w:rsid w:val="3C117FAB"/>
    <w:rsid w:val="3C1BB075"/>
    <w:rsid w:val="3C7C93FD"/>
    <w:rsid w:val="3D494537"/>
    <w:rsid w:val="3D9F26CF"/>
    <w:rsid w:val="3DB83248"/>
    <w:rsid w:val="3DD765BA"/>
    <w:rsid w:val="3E195821"/>
    <w:rsid w:val="3E1D0543"/>
    <w:rsid w:val="3E973211"/>
    <w:rsid w:val="3ED47AD1"/>
    <w:rsid w:val="3EFA181B"/>
    <w:rsid w:val="3EFF50D3"/>
    <w:rsid w:val="3EFFD528"/>
    <w:rsid w:val="3F5E7ED0"/>
    <w:rsid w:val="3F610960"/>
    <w:rsid w:val="403A24F8"/>
    <w:rsid w:val="4047B0D0"/>
    <w:rsid w:val="407BCE21"/>
    <w:rsid w:val="4092C162"/>
    <w:rsid w:val="409F0864"/>
    <w:rsid w:val="40D5F6ED"/>
    <w:rsid w:val="4164D882"/>
    <w:rsid w:val="41E79883"/>
    <w:rsid w:val="41F76783"/>
    <w:rsid w:val="4230AF55"/>
    <w:rsid w:val="424A238F"/>
    <w:rsid w:val="425AD370"/>
    <w:rsid w:val="42A19D6E"/>
    <w:rsid w:val="42A7D7A7"/>
    <w:rsid w:val="42B496C9"/>
    <w:rsid w:val="42D1ABA1"/>
    <w:rsid w:val="4323BD19"/>
    <w:rsid w:val="4329CAB7"/>
    <w:rsid w:val="433A96D9"/>
    <w:rsid w:val="433B7A14"/>
    <w:rsid w:val="43577565"/>
    <w:rsid w:val="4408848D"/>
    <w:rsid w:val="444361AD"/>
    <w:rsid w:val="4456AA38"/>
    <w:rsid w:val="4473B468"/>
    <w:rsid w:val="44B131DD"/>
    <w:rsid w:val="4529B42E"/>
    <w:rsid w:val="452C70C1"/>
    <w:rsid w:val="453BDF1B"/>
    <w:rsid w:val="454352DB"/>
    <w:rsid w:val="4567E891"/>
    <w:rsid w:val="45AE91A3"/>
    <w:rsid w:val="45C71C17"/>
    <w:rsid w:val="45ED8443"/>
    <w:rsid w:val="46497209"/>
    <w:rsid w:val="464DBAC8"/>
    <w:rsid w:val="46564276"/>
    <w:rsid w:val="46812E14"/>
    <w:rsid w:val="468EBB06"/>
    <w:rsid w:val="46AE5FE3"/>
    <w:rsid w:val="46F1243B"/>
    <w:rsid w:val="46FD71FD"/>
    <w:rsid w:val="46FE16B7"/>
    <w:rsid w:val="471B2591"/>
    <w:rsid w:val="4721489E"/>
    <w:rsid w:val="4738FFF5"/>
    <w:rsid w:val="47736BE3"/>
    <w:rsid w:val="48673302"/>
    <w:rsid w:val="487819DC"/>
    <w:rsid w:val="4889EE5A"/>
    <w:rsid w:val="488E0597"/>
    <w:rsid w:val="48A1BE09"/>
    <w:rsid w:val="48C3B0D1"/>
    <w:rsid w:val="48C5E1FF"/>
    <w:rsid w:val="48D459BD"/>
    <w:rsid w:val="490D4148"/>
    <w:rsid w:val="491E54A2"/>
    <w:rsid w:val="491EB163"/>
    <w:rsid w:val="492D37D9"/>
    <w:rsid w:val="4955FF33"/>
    <w:rsid w:val="495C6AD3"/>
    <w:rsid w:val="497437C7"/>
    <w:rsid w:val="497E6D5B"/>
    <w:rsid w:val="49A8AB70"/>
    <w:rsid w:val="49D8E175"/>
    <w:rsid w:val="4A1CE348"/>
    <w:rsid w:val="4A335279"/>
    <w:rsid w:val="4A3A6117"/>
    <w:rsid w:val="4A453135"/>
    <w:rsid w:val="4A9D0E2D"/>
    <w:rsid w:val="4B353107"/>
    <w:rsid w:val="4B601ABD"/>
    <w:rsid w:val="4B6CF344"/>
    <w:rsid w:val="4B9059B3"/>
    <w:rsid w:val="4B9CEC18"/>
    <w:rsid w:val="4C20C7FF"/>
    <w:rsid w:val="4C278227"/>
    <w:rsid w:val="4C79EDEC"/>
    <w:rsid w:val="4C9137E9"/>
    <w:rsid w:val="4C9AC3C1"/>
    <w:rsid w:val="4CD64F0F"/>
    <w:rsid w:val="4D0F9235"/>
    <w:rsid w:val="4D1823DE"/>
    <w:rsid w:val="4D38E119"/>
    <w:rsid w:val="4D44AC44"/>
    <w:rsid w:val="4D8AFBC7"/>
    <w:rsid w:val="4DD99D56"/>
    <w:rsid w:val="4DE784D0"/>
    <w:rsid w:val="4DF8CBAB"/>
    <w:rsid w:val="4E184DF6"/>
    <w:rsid w:val="4EAF4FE7"/>
    <w:rsid w:val="4EEDEB7A"/>
    <w:rsid w:val="4EEE4560"/>
    <w:rsid w:val="50363238"/>
    <w:rsid w:val="503D8E6D"/>
    <w:rsid w:val="50476458"/>
    <w:rsid w:val="5055DEE6"/>
    <w:rsid w:val="5083277D"/>
    <w:rsid w:val="50837002"/>
    <w:rsid w:val="508F0E42"/>
    <w:rsid w:val="509948F3"/>
    <w:rsid w:val="50E402C4"/>
    <w:rsid w:val="51261080"/>
    <w:rsid w:val="512CB3C4"/>
    <w:rsid w:val="51312AEB"/>
    <w:rsid w:val="5144831E"/>
    <w:rsid w:val="51ACE021"/>
    <w:rsid w:val="51B71A88"/>
    <w:rsid w:val="51CED398"/>
    <w:rsid w:val="522EE681"/>
    <w:rsid w:val="526E5FC4"/>
    <w:rsid w:val="527F6374"/>
    <w:rsid w:val="530F411F"/>
    <w:rsid w:val="53356CDB"/>
    <w:rsid w:val="535D1611"/>
    <w:rsid w:val="53E6B95B"/>
    <w:rsid w:val="541B6D09"/>
    <w:rsid w:val="5422D0FA"/>
    <w:rsid w:val="54698F83"/>
    <w:rsid w:val="546FA3CB"/>
    <w:rsid w:val="5494523D"/>
    <w:rsid w:val="549CEEA2"/>
    <w:rsid w:val="54D2F51E"/>
    <w:rsid w:val="552F35F1"/>
    <w:rsid w:val="55776BC8"/>
    <w:rsid w:val="55923F0A"/>
    <w:rsid w:val="55A8D221"/>
    <w:rsid w:val="55BBD637"/>
    <w:rsid w:val="55C5834B"/>
    <w:rsid w:val="5605142A"/>
    <w:rsid w:val="5613A9AD"/>
    <w:rsid w:val="56C227F2"/>
    <w:rsid w:val="56C38A85"/>
    <w:rsid w:val="571793C9"/>
    <w:rsid w:val="574AFC71"/>
    <w:rsid w:val="5776059B"/>
    <w:rsid w:val="577999C6"/>
    <w:rsid w:val="579EFB22"/>
    <w:rsid w:val="581E70D8"/>
    <w:rsid w:val="58302DA8"/>
    <w:rsid w:val="5845F463"/>
    <w:rsid w:val="5851BA81"/>
    <w:rsid w:val="5851F4E9"/>
    <w:rsid w:val="5858D27A"/>
    <w:rsid w:val="58609091"/>
    <w:rsid w:val="58ADCADE"/>
    <w:rsid w:val="58BBF771"/>
    <w:rsid w:val="58EE61D8"/>
    <w:rsid w:val="594F4B12"/>
    <w:rsid w:val="5973C333"/>
    <w:rsid w:val="5990D48D"/>
    <w:rsid w:val="5995B2F0"/>
    <w:rsid w:val="599AF184"/>
    <w:rsid w:val="59B5595D"/>
    <w:rsid w:val="59E00DF6"/>
    <w:rsid w:val="59F6E9C3"/>
    <w:rsid w:val="5A16BF55"/>
    <w:rsid w:val="5B08043E"/>
    <w:rsid w:val="5B13C3EE"/>
    <w:rsid w:val="5B300B1B"/>
    <w:rsid w:val="5B41A1C5"/>
    <w:rsid w:val="5B728CF0"/>
    <w:rsid w:val="5BA0D807"/>
    <w:rsid w:val="5BB3CCFA"/>
    <w:rsid w:val="5C1DA267"/>
    <w:rsid w:val="5C45CCB9"/>
    <w:rsid w:val="5C8CE827"/>
    <w:rsid w:val="5CA0AA1A"/>
    <w:rsid w:val="5CA46C16"/>
    <w:rsid w:val="5D28CF4A"/>
    <w:rsid w:val="5D681427"/>
    <w:rsid w:val="5DBA96CF"/>
    <w:rsid w:val="5DD22240"/>
    <w:rsid w:val="5DF3264F"/>
    <w:rsid w:val="5E77B9AD"/>
    <w:rsid w:val="5F00E1CB"/>
    <w:rsid w:val="5F3C468E"/>
    <w:rsid w:val="5F52C04E"/>
    <w:rsid w:val="5F7E2272"/>
    <w:rsid w:val="60012C72"/>
    <w:rsid w:val="602C6A18"/>
    <w:rsid w:val="602D242E"/>
    <w:rsid w:val="603A3244"/>
    <w:rsid w:val="603E3C1B"/>
    <w:rsid w:val="607DF3AE"/>
    <w:rsid w:val="60EB0A09"/>
    <w:rsid w:val="610A0334"/>
    <w:rsid w:val="6114C53E"/>
    <w:rsid w:val="618FBA0F"/>
    <w:rsid w:val="61F495E9"/>
    <w:rsid w:val="623BA7EE"/>
    <w:rsid w:val="625B4429"/>
    <w:rsid w:val="62664D8E"/>
    <w:rsid w:val="62951928"/>
    <w:rsid w:val="63205AFF"/>
    <w:rsid w:val="633567A0"/>
    <w:rsid w:val="633F7BE6"/>
    <w:rsid w:val="63463029"/>
    <w:rsid w:val="6362D01E"/>
    <w:rsid w:val="636458B2"/>
    <w:rsid w:val="6399C835"/>
    <w:rsid w:val="63DFBD8D"/>
    <w:rsid w:val="63E08E87"/>
    <w:rsid w:val="64277D56"/>
    <w:rsid w:val="646CF967"/>
    <w:rsid w:val="64733EBA"/>
    <w:rsid w:val="64AA23CF"/>
    <w:rsid w:val="64D2B1CC"/>
    <w:rsid w:val="64E91D34"/>
    <w:rsid w:val="651A2BC3"/>
    <w:rsid w:val="65DC1845"/>
    <w:rsid w:val="65F008C3"/>
    <w:rsid w:val="66027D3A"/>
    <w:rsid w:val="662E0955"/>
    <w:rsid w:val="66462095"/>
    <w:rsid w:val="66938CB1"/>
    <w:rsid w:val="66C32530"/>
    <w:rsid w:val="66C9C6D4"/>
    <w:rsid w:val="670BB95E"/>
    <w:rsid w:val="672EB868"/>
    <w:rsid w:val="67582155"/>
    <w:rsid w:val="675906CF"/>
    <w:rsid w:val="676E11EC"/>
    <w:rsid w:val="67721761"/>
    <w:rsid w:val="67921C78"/>
    <w:rsid w:val="67B49732"/>
    <w:rsid w:val="67C60553"/>
    <w:rsid w:val="67DF11B8"/>
    <w:rsid w:val="67E1DF4C"/>
    <w:rsid w:val="6808AC97"/>
    <w:rsid w:val="683920F4"/>
    <w:rsid w:val="684114F8"/>
    <w:rsid w:val="68587807"/>
    <w:rsid w:val="685C459E"/>
    <w:rsid w:val="6892C7C5"/>
    <w:rsid w:val="68A5BE34"/>
    <w:rsid w:val="68B3DA9F"/>
    <w:rsid w:val="68B9A075"/>
    <w:rsid w:val="68BB6789"/>
    <w:rsid w:val="692D2249"/>
    <w:rsid w:val="693491F0"/>
    <w:rsid w:val="69D62018"/>
    <w:rsid w:val="6A32C7C7"/>
    <w:rsid w:val="6A51D6E0"/>
    <w:rsid w:val="6A5900A2"/>
    <w:rsid w:val="6B2D3485"/>
    <w:rsid w:val="6B94CC45"/>
    <w:rsid w:val="6B9A9855"/>
    <w:rsid w:val="6BA6EF62"/>
    <w:rsid w:val="6BB78B0B"/>
    <w:rsid w:val="6C1775EC"/>
    <w:rsid w:val="6C2DAF4D"/>
    <w:rsid w:val="6C3B3B1A"/>
    <w:rsid w:val="6C6C444E"/>
    <w:rsid w:val="6C98BD2E"/>
    <w:rsid w:val="6C9D0D11"/>
    <w:rsid w:val="6CC17E86"/>
    <w:rsid w:val="6D03CB95"/>
    <w:rsid w:val="6D056555"/>
    <w:rsid w:val="6D14FECB"/>
    <w:rsid w:val="6D7147ED"/>
    <w:rsid w:val="6D7BE963"/>
    <w:rsid w:val="6D8D1BA1"/>
    <w:rsid w:val="6DE62846"/>
    <w:rsid w:val="6DE87C9F"/>
    <w:rsid w:val="6E105EAE"/>
    <w:rsid w:val="6E22F57A"/>
    <w:rsid w:val="6E39FAED"/>
    <w:rsid w:val="6E5A36ED"/>
    <w:rsid w:val="6E6E48B5"/>
    <w:rsid w:val="6F890ED0"/>
    <w:rsid w:val="6F8ADA65"/>
    <w:rsid w:val="6FB930D9"/>
    <w:rsid w:val="6FB9C942"/>
    <w:rsid w:val="6FEF6115"/>
    <w:rsid w:val="702BD75A"/>
    <w:rsid w:val="7049D14F"/>
    <w:rsid w:val="70913533"/>
    <w:rsid w:val="70C31206"/>
    <w:rsid w:val="716ED36F"/>
    <w:rsid w:val="716FC2E4"/>
    <w:rsid w:val="71ABB360"/>
    <w:rsid w:val="71B82267"/>
    <w:rsid w:val="71C00186"/>
    <w:rsid w:val="71EFC8A2"/>
    <w:rsid w:val="723F5159"/>
    <w:rsid w:val="72485104"/>
    <w:rsid w:val="72B55204"/>
    <w:rsid w:val="72D22DED"/>
    <w:rsid w:val="72FAE6FF"/>
    <w:rsid w:val="730E4BBC"/>
    <w:rsid w:val="73839996"/>
    <w:rsid w:val="73F41B6A"/>
    <w:rsid w:val="742C489C"/>
    <w:rsid w:val="744131AF"/>
    <w:rsid w:val="74B1849F"/>
    <w:rsid w:val="74BA922B"/>
    <w:rsid w:val="74CFA224"/>
    <w:rsid w:val="74D98D08"/>
    <w:rsid w:val="74DC2784"/>
    <w:rsid w:val="75295755"/>
    <w:rsid w:val="7539737B"/>
    <w:rsid w:val="75398B4D"/>
    <w:rsid w:val="7547BFC5"/>
    <w:rsid w:val="7548F0D7"/>
    <w:rsid w:val="75512CAB"/>
    <w:rsid w:val="7572A31C"/>
    <w:rsid w:val="75B1B517"/>
    <w:rsid w:val="75B8ABDB"/>
    <w:rsid w:val="75FD17C7"/>
    <w:rsid w:val="761D5B9B"/>
    <w:rsid w:val="7620E9EC"/>
    <w:rsid w:val="766C8955"/>
    <w:rsid w:val="770929A3"/>
    <w:rsid w:val="77504E1E"/>
    <w:rsid w:val="77571398"/>
    <w:rsid w:val="776629B9"/>
    <w:rsid w:val="783469AC"/>
    <w:rsid w:val="78853123"/>
    <w:rsid w:val="788FB90F"/>
    <w:rsid w:val="78985AA3"/>
    <w:rsid w:val="78C036E0"/>
    <w:rsid w:val="7908643A"/>
    <w:rsid w:val="79109E80"/>
    <w:rsid w:val="79CE7BC4"/>
    <w:rsid w:val="79E8FD5F"/>
    <w:rsid w:val="7A151B92"/>
    <w:rsid w:val="7A235EA4"/>
    <w:rsid w:val="7A81F0F6"/>
    <w:rsid w:val="7A8236AF"/>
    <w:rsid w:val="7AB12AB0"/>
    <w:rsid w:val="7AC9B9CC"/>
    <w:rsid w:val="7AE78BD0"/>
    <w:rsid w:val="7AF4C543"/>
    <w:rsid w:val="7AFF54D8"/>
    <w:rsid w:val="7B16F7CD"/>
    <w:rsid w:val="7B9BFC93"/>
    <w:rsid w:val="7BFBC382"/>
    <w:rsid w:val="7C2E9678"/>
    <w:rsid w:val="7C443D80"/>
    <w:rsid w:val="7C6073D5"/>
    <w:rsid w:val="7C8D4924"/>
    <w:rsid w:val="7CA2AAAE"/>
    <w:rsid w:val="7CA4F4CE"/>
    <w:rsid w:val="7D8C7003"/>
    <w:rsid w:val="7D981164"/>
    <w:rsid w:val="7DA34086"/>
    <w:rsid w:val="7E0092E8"/>
    <w:rsid w:val="7E147BFB"/>
    <w:rsid w:val="7E41BD5A"/>
    <w:rsid w:val="7E6163B4"/>
    <w:rsid w:val="7ECAD2A1"/>
    <w:rsid w:val="7ECF373A"/>
    <w:rsid w:val="7F373CF9"/>
    <w:rsid w:val="7F5B7FD0"/>
    <w:rsid w:val="7F7AC5A0"/>
    <w:rsid w:val="7FB862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ABEB2C"/>
  <w15:docId w15:val="{FE9F0F09-4ED9-47B1-BE46-BAF0E0EB7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GB" w:bidi="ar-SA"/>
      </w:rPr>
    </w:rPrDefault>
    <w:pPrDefault/>
  </w:docDefaults>
  <w:latentStyles w:defLockedState="0" w:defUIPriority="99" w:defSemiHidden="0" w:defUnhideWhenUsed="0" w:defQFormat="0" w:count="371">
    <w:lsdException w:name="Normal" w:uiPriority="0" w:qFormat="1"/>
    <w:lsdException w:name="heading 1" w:uiPriority="9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BF1"/>
    <w:pPr>
      <w:spacing w:after="240"/>
      <w:jc w:val="both"/>
    </w:pPr>
  </w:style>
  <w:style w:type="paragraph" w:styleId="Heading1">
    <w:name w:val="heading 1"/>
    <w:basedOn w:val="Normal"/>
    <w:next w:val="Text1"/>
    <w:link w:val="Heading1Char"/>
    <w:uiPriority w:val="90"/>
    <w:qFormat/>
    <w:pPr>
      <w:keepNext/>
      <w:spacing w:before="240"/>
      <w:outlineLvl w:val="0"/>
    </w:pPr>
    <w:rPr>
      <w:b/>
      <w:smallCaps/>
    </w:rPr>
  </w:style>
  <w:style w:type="paragraph" w:styleId="Heading2">
    <w:name w:val="heading 2"/>
    <w:basedOn w:val="Normal"/>
    <w:next w:val="Text2"/>
    <w:uiPriority w:val="10"/>
    <w:qFormat/>
    <w:pPr>
      <w:keepNext/>
      <w:outlineLvl w:val="1"/>
    </w:pPr>
    <w:rPr>
      <w:b/>
    </w:rPr>
  </w:style>
  <w:style w:type="paragraph" w:styleId="Heading3">
    <w:name w:val="heading 3"/>
    <w:basedOn w:val="Normal"/>
    <w:next w:val="Text3"/>
    <w:uiPriority w:val="10"/>
    <w:qFormat/>
    <w:pPr>
      <w:keepNext/>
      <w:outlineLvl w:val="2"/>
    </w:pPr>
    <w:rPr>
      <w:i/>
    </w:rPr>
  </w:style>
  <w:style w:type="paragraph" w:styleId="Heading4">
    <w:name w:val="heading 4"/>
    <w:basedOn w:val="Normal"/>
    <w:next w:val="Text4"/>
    <w:uiPriority w:val="10"/>
    <w:qFormat/>
    <w:pPr>
      <w:keepNext/>
      <w:outlineLvl w:val="3"/>
    </w:pPr>
  </w:style>
  <w:style w:type="paragraph" w:styleId="Heading5">
    <w:name w:val="heading 5"/>
    <w:basedOn w:val="Normal"/>
    <w:next w:val="Normal"/>
    <w:semiHidden/>
    <w:pPr>
      <w:keepNext/>
      <w:outlineLvl w:val="4"/>
    </w:pPr>
  </w:style>
  <w:style w:type="paragraph" w:styleId="Heading6">
    <w:name w:val="heading 6"/>
    <w:basedOn w:val="Normal"/>
    <w:next w:val="Normal"/>
    <w:semiHidden/>
    <w:pPr>
      <w:keepNext/>
      <w:outlineLvl w:val="5"/>
    </w:pPr>
  </w:style>
  <w:style w:type="paragraph" w:styleId="Heading7">
    <w:name w:val="heading 7"/>
    <w:basedOn w:val="Normal"/>
    <w:next w:val="Normal"/>
    <w:semiHidden/>
    <w:pPr>
      <w:keepNext/>
      <w:outlineLvl w:val="6"/>
    </w:pPr>
  </w:style>
  <w:style w:type="paragraph" w:styleId="Heading8">
    <w:name w:val="heading 8"/>
    <w:basedOn w:val="Normal"/>
    <w:next w:val="Normal"/>
    <w:semiHidden/>
    <w:pPr>
      <w:keepNext/>
      <w:outlineLvl w:val="7"/>
    </w:pPr>
  </w:style>
  <w:style w:type="paragraph" w:styleId="Heading9">
    <w:name w:val="heading 9"/>
    <w:basedOn w:val="Normal"/>
    <w:next w:val="Normal"/>
    <w:semiHidden/>
    <w:pPr>
      <w:keepNext/>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uiPriority w:val="99"/>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8"/>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7"/>
      </w:numPr>
    </w:pPr>
  </w:style>
  <w:style w:type="paragraph" w:customStyle="1" w:styleId="ContNumLevel2">
    <w:name w:val="ContNum (Level 2)"/>
    <w:basedOn w:val="Normal"/>
    <w:uiPriority w:val="20"/>
    <w:pPr>
      <w:numPr>
        <w:ilvl w:val="1"/>
        <w:numId w:val="17"/>
      </w:numPr>
    </w:pPr>
  </w:style>
  <w:style w:type="paragraph" w:customStyle="1" w:styleId="ContNumLevel3">
    <w:name w:val="ContNum (Level 3)"/>
    <w:basedOn w:val="Normal"/>
    <w:uiPriority w:val="20"/>
    <w:pPr>
      <w:numPr>
        <w:ilvl w:val="2"/>
        <w:numId w:val="17"/>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uiPriority w:val="99"/>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6"/>
      </w:numPr>
      <w:spacing w:line="360" w:lineRule="auto"/>
    </w:pPr>
  </w:style>
  <w:style w:type="paragraph" w:customStyle="1" w:styleId="LegalNumPar2">
    <w:name w:val="LegalNumPar2"/>
    <w:basedOn w:val="Normal"/>
    <w:uiPriority w:val="20"/>
    <w:pPr>
      <w:numPr>
        <w:ilvl w:val="1"/>
        <w:numId w:val="16"/>
      </w:numPr>
      <w:spacing w:line="360" w:lineRule="auto"/>
    </w:pPr>
  </w:style>
  <w:style w:type="paragraph" w:customStyle="1" w:styleId="LegalNumPar3">
    <w:name w:val="LegalNumPar3"/>
    <w:basedOn w:val="Normal"/>
    <w:uiPriority w:val="20"/>
    <w:pPr>
      <w:numPr>
        <w:ilvl w:val="2"/>
        <w:numId w:val="16"/>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EE0CF1"/>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19"/>
      </w:numPr>
    </w:pPr>
  </w:style>
  <w:style w:type="paragraph" w:customStyle="1" w:styleId="TableListBulletLevel2">
    <w:name w:val="Table List Bullet (Level 2)"/>
    <w:basedOn w:val="TableText"/>
    <w:uiPriority w:val="55"/>
    <w:semiHidden/>
    <w:unhideWhenUsed/>
    <w:pPr>
      <w:numPr>
        <w:ilvl w:val="1"/>
        <w:numId w:val="19"/>
      </w:numPr>
    </w:pPr>
  </w:style>
  <w:style w:type="paragraph" w:customStyle="1" w:styleId="TableListBulletLevel3">
    <w:name w:val="Table List Bullet (Level 3)"/>
    <w:basedOn w:val="TableText"/>
    <w:uiPriority w:val="55"/>
    <w:semiHidden/>
    <w:unhideWhenUsed/>
    <w:pPr>
      <w:numPr>
        <w:ilvl w:val="2"/>
        <w:numId w:val="19"/>
      </w:numPr>
    </w:pPr>
  </w:style>
  <w:style w:type="paragraph" w:customStyle="1" w:styleId="TableListBulletLevel4">
    <w:name w:val="Table List Bullet (Level 4)"/>
    <w:basedOn w:val="TableText"/>
    <w:uiPriority w:val="55"/>
    <w:semiHidden/>
    <w:unhideWhenUsed/>
    <w:pPr>
      <w:numPr>
        <w:ilvl w:val="3"/>
        <w:numId w:val="19"/>
      </w:numPr>
    </w:pPr>
  </w:style>
  <w:style w:type="paragraph" w:customStyle="1" w:styleId="TableListDash">
    <w:name w:val="Table List Dash"/>
    <w:basedOn w:val="TableText"/>
    <w:uiPriority w:val="55"/>
    <w:pPr>
      <w:numPr>
        <w:numId w:val="20"/>
      </w:numPr>
    </w:pPr>
  </w:style>
  <w:style w:type="paragraph" w:customStyle="1" w:styleId="TableListDashLevel2">
    <w:name w:val="Table List Dash (Level 2)"/>
    <w:basedOn w:val="TableText"/>
    <w:uiPriority w:val="55"/>
    <w:semiHidden/>
    <w:unhideWhenUsed/>
    <w:pPr>
      <w:numPr>
        <w:ilvl w:val="1"/>
        <w:numId w:val="20"/>
      </w:numPr>
    </w:pPr>
  </w:style>
  <w:style w:type="paragraph" w:customStyle="1" w:styleId="TableListDashLevel3">
    <w:name w:val="Table List Dash (Level 3)"/>
    <w:basedOn w:val="TableText"/>
    <w:uiPriority w:val="55"/>
    <w:semiHidden/>
    <w:unhideWhenUsed/>
    <w:pPr>
      <w:numPr>
        <w:ilvl w:val="2"/>
        <w:numId w:val="20"/>
      </w:numPr>
    </w:pPr>
  </w:style>
  <w:style w:type="paragraph" w:customStyle="1" w:styleId="TableListDashLevel4">
    <w:name w:val="Table List Dash (Level 4)"/>
    <w:basedOn w:val="TableText"/>
    <w:uiPriority w:val="55"/>
    <w:semiHidden/>
    <w:unhideWhenUsed/>
    <w:pPr>
      <w:numPr>
        <w:ilvl w:val="3"/>
        <w:numId w:val="20"/>
      </w:numPr>
    </w:pPr>
  </w:style>
  <w:style w:type="paragraph" w:customStyle="1" w:styleId="TableListNumber">
    <w:name w:val="Table List Number"/>
    <w:basedOn w:val="TableText"/>
    <w:uiPriority w:val="55"/>
    <w:pPr>
      <w:numPr>
        <w:numId w:val="21"/>
      </w:numPr>
    </w:pPr>
  </w:style>
  <w:style w:type="paragraph" w:customStyle="1" w:styleId="TableListNumberLevel2">
    <w:name w:val="Table List Number (Level 2)"/>
    <w:basedOn w:val="TableText"/>
    <w:uiPriority w:val="55"/>
    <w:semiHidden/>
    <w:unhideWhenUsed/>
    <w:pPr>
      <w:numPr>
        <w:ilvl w:val="1"/>
        <w:numId w:val="21"/>
      </w:numPr>
    </w:pPr>
  </w:style>
  <w:style w:type="paragraph" w:customStyle="1" w:styleId="TableListNumberLevel3">
    <w:name w:val="Table List Number (Level 3)"/>
    <w:basedOn w:val="TableText"/>
    <w:uiPriority w:val="55"/>
    <w:semiHidden/>
    <w:unhideWhenUsed/>
    <w:pPr>
      <w:numPr>
        <w:ilvl w:val="2"/>
        <w:numId w:val="21"/>
      </w:numPr>
    </w:pPr>
  </w:style>
  <w:style w:type="paragraph" w:customStyle="1" w:styleId="TableListNumberLevel4">
    <w:name w:val="Table List Number (Level 4)"/>
    <w:basedOn w:val="TableText"/>
    <w:uiPriority w:val="55"/>
    <w:semiHidden/>
    <w:unhideWhenUsed/>
    <w:pPr>
      <w:numPr>
        <w:ilvl w:val="3"/>
        <w:numId w:val="21"/>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EE0CF1"/>
    <w:pPr>
      <w:ind w:left="720"/>
      <w:contextualSpacing/>
    </w:pPr>
  </w:style>
  <w:style w:type="character" w:customStyle="1" w:styleId="Heading1Char">
    <w:name w:val="Heading 1 Char"/>
    <w:basedOn w:val="DefaultParagraphFont"/>
    <w:link w:val="Heading1"/>
    <w:uiPriority w:val="90"/>
    <w:rsid w:val="00EE0CF1"/>
    <w:rPr>
      <w:b/>
      <w:smallCaps/>
    </w:rPr>
  </w:style>
  <w:style w:type="character" w:styleId="Hyperlink">
    <w:name w:val="Hyperlink"/>
    <w:basedOn w:val="DefaultParagraphFont"/>
    <w:uiPriority w:val="99"/>
    <w:unhideWhenUsed/>
    <w:rsid w:val="00EE0CF1"/>
    <w:rPr>
      <w:color w:val="467886" w:themeColor="hyperlink"/>
      <w:u w:val="single"/>
    </w:rPr>
  </w:style>
  <w:style w:type="character" w:customStyle="1" w:styleId="FootnoteTextChar">
    <w:name w:val="Footnote Text Char"/>
    <w:basedOn w:val="DefaultParagraphFont"/>
    <w:link w:val="FootnoteText"/>
    <w:uiPriority w:val="99"/>
    <w:semiHidden/>
    <w:rsid w:val="008C01BE"/>
    <w:rPr>
      <w:sz w:val="20"/>
    </w:rPr>
  </w:style>
  <w:style w:type="paragraph" w:styleId="NormalWeb">
    <w:name w:val="Normal (Web)"/>
    <w:basedOn w:val="Normal"/>
    <w:uiPriority w:val="99"/>
    <w:unhideWhenUsed/>
    <w:rsid w:val="008C01BE"/>
    <w:pPr>
      <w:spacing w:before="100" w:beforeAutospacing="1" w:after="100" w:afterAutospacing="1"/>
      <w:jc w:val="left"/>
    </w:pPr>
    <w:rPr>
      <w:szCs w:val="24"/>
    </w:rPr>
  </w:style>
  <w:style w:type="character" w:styleId="Strong">
    <w:name w:val="Strong"/>
    <w:basedOn w:val="DefaultParagraphFont"/>
    <w:uiPriority w:val="22"/>
    <w:qFormat/>
    <w:rsid w:val="008C01BE"/>
    <w:rPr>
      <w:b/>
      <w:bCs/>
    </w:rPr>
  </w:style>
  <w:style w:type="character" w:styleId="CommentReference">
    <w:name w:val="annotation reference"/>
    <w:basedOn w:val="DefaultParagraphFont"/>
    <w:uiPriority w:val="99"/>
    <w:semiHidden/>
    <w:unhideWhenUsed/>
    <w:rsid w:val="008C01BE"/>
    <w:rPr>
      <w:sz w:val="16"/>
      <w:szCs w:val="16"/>
    </w:rPr>
  </w:style>
  <w:style w:type="paragraph" w:styleId="CommentText">
    <w:name w:val="annotation text"/>
    <w:basedOn w:val="Normal"/>
    <w:link w:val="CommentTextChar"/>
    <w:uiPriority w:val="99"/>
    <w:unhideWhenUsed/>
    <w:rsid w:val="008C01BE"/>
    <w:rPr>
      <w:sz w:val="20"/>
    </w:rPr>
  </w:style>
  <w:style w:type="character" w:customStyle="1" w:styleId="CommentTextChar">
    <w:name w:val="Comment Text Char"/>
    <w:basedOn w:val="DefaultParagraphFont"/>
    <w:link w:val="CommentText"/>
    <w:uiPriority w:val="99"/>
    <w:rsid w:val="008C01BE"/>
    <w:rPr>
      <w:sz w:val="20"/>
    </w:rPr>
  </w:style>
  <w:style w:type="paragraph" w:styleId="Revision">
    <w:name w:val="Revision"/>
    <w:hidden/>
    <w:uiPriority w:val="99"/>
    <w:semiHidden/>
    <w:rsid w:val="00594D9E"/>
  </w:style>
  <w:style w:type="paragraph" w:styleId="CommentSubject">
    <w:name w:val="annotation subject"/>
    <w:basedOn w:val="CommentText"/>
    <w:next w:val="CommentText"/>
    <w:link w:val="CommentSubjectChar"/>
    <w:uiPriority w:val="99"/>
    <w:semiHidden/>
    <w:rsid w:val="00C7644E"/>
    <w:rPr>
      <w:b/>
      <w:bCs/>
    </w:rPr>
  </w:style>
  <w:style w:type="character" w:customStyle="1" w:styleId="CommentSubjectChar">
    <w:name w:val="Comment Subject Char"/>
    <w:basedOn w:val="CommentTextChar"/>
    <w:link w:val="CommentSubject"/>
    <w:uiPriority w:val="99"/>
    <w:semiHidden/>
    <w:rsid w:val="00C7644E"/>
    <w:rPr>
      <w:b/>
      <w:bCs/>
      <w:sz w:val="20"/>
    </w:rPr>
  </w:style>
  <w:style w:type="character" w:customStyle="1" w:styleId="UnresolvedMention1">
    <w:name w:val="Unresolved Mention1"/>
    <w:basedOn w:val="DefaultParagraphFont"/>
    <w:uiPriority w:val="99"/>
    <w:semiHidden/>
    <w:unhideWhenUsed/>
    <w:rsid w:val="00481F8B"/>
    <w:rPr>
      <w:color w:val="605E5C"/>
      <w:shd w:val="clear" w:color="auto" w:fill="E1DFDD"/>
    </w:rPr>
  </w:style>
  <w:style w:type="paragraph" w:customStyle="1" w:styleId="a">
    <w:name w:val="("/>
    <w:basedOn w:val="Normal"/>
    <w:rsid w:val="003B64C6"/>
    <w:pPr>
      <w:shd w:val="clear" w:color="auto" w:fill="FFFFFF" w:themeFill="background1"/>
      <w:spacing w:after="0"/>
    </w:pPr>
  </w:style>
  <w:style w:type="character" w:styleId="FollowedHyperlink">
    <w:name w:val="FollowedHyperlink"/>
    <w:basedOn w:val="DefaultParagraphFont"/>
    <w:uiPriority w:val="99"/>
    <w:semiHidden/>
    <w:rsid w:val="000278F0"/>
    <w:rPr>
      <w:color w:val="96607D" w:themeColor="followedHyperlink"/>
      <w:u w:val="single"/>
    </w:rPr>
  </w:style>
  <w:style w:type="character" w:customStyle="1" w:styleId="FooterChar">
    <w:name w:val="Footer Char"/>
    <w:basedOn w:val="DefaultParagraphFont"/>
    <w:link w:val="Footer"/>
    <w:uiPriority w:val="99"/>
    <w:rsid w:val="007B2858"/>
    <w:rPr>
      <w:sz w:val="16"/>
    </w:rPr>
  </w:style>
  <w:style w:type="character" w:customStyle="1" w:styleId="Marker">
    <w:name w:val="Marker"/>
    <w:basedOn w:val="DefaultParagraphFont"/>
    <w:rsid w:val="007C0C5B"/>
    <w:rPr>
      <w:color w:val="0000FF"/>
      <w:shd w:val="clear" w:color="auto" w:fill="auto"/>
    </w:rPr>
  </w:style>
  <w:style w:type="paragraph" w:customStyle="1" w:styleId="Pagedecouverture">
    <w:name w:val="Page de couverture"/>
    <w:basedOn w:val="Normal"/>
    <w:next w:val="Normal"/>
    <w:link w:val="PagedecouvertureChar"/>
    <w:rsid w:val="007C0C5B"/>
    <w:pPr>
      <w:spacing w:after="0"/>
    </w:pPr>
    <w:rPr>
      <w:rFonts w:eastAsiaTheme="minorHAnsi"/>
      <w:szCs w:val="22"/>
      <w:lang w:eastAsia="en-US"/>
    </w:rPr>
  </w:style>
  <w:style w:type="paragraph" w:customStyle="1" w:styleId="FooterCoverPage">
    <w:name w:val="Footer Cover Page"/>
    <w:basedOn w:val="Normal"/>
    <w:link w:val="FooterCoverPageChar"/>
    <w:rsid w:val="007C0C5B"/>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7C0C5B"/>
    <w:rPr>
      <w:rFonts w:eastAsiaTheme="minorHAnsi"/>
      <w:szCs w:val="22"/>
      <w:lang w:eastAsia="en-US"/>
    </w:rPr>
  </w:style>
  <w:style w:type="character" w:customStyle="1" w:styleId="FooterCoverPageChar">
    <w:name w:val="Footer Cover Page Char"/>
    <w:basedOn w:val="PagedecouvertureChar"/>
    <w:link w:val="FooterCoverPage"/>
    <w:rsid w:val="007C0C5B"/>
    <w:rPr>
      <w:rFonts w:eastAsiaTheme="minorHAnsi"/>
      <w:szCs w:val="22"/>
      <w:lang w:eastAsia="en-US"/>
    </w:rPr>
  </w:style>
  <w:style w:type="paragraph" w:customStyle="1" w:styleId="FooterSensitivity">
    <w:name w:val="Footer Sensitivity"/>
    <w:basedOn w:val="Normal"/>
    <w:link w:val="FooterSensitivityChar"/>
    <w:rsid w:val="007C0C5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7C0C5B"/>
    <w:rPr>
      <w:rFonts w:eastAsiaTheme="minorHAnsi"/>
      <w:b/>
      <w:sz w:val="32"/>
      <w:szCs w:val="22"/>
      <w:lang w:eastAsia="en-US"/>
    </w:rPr>
  </w:style>
  <w:style w:type="paragraph" w:customStyle="1" w:styleId="HeaderCoverPage">
    <w:name w:val="Header Cover Page"/>
    <w:basedOn w:val="Normal"/>
    <w:link w:val="HeaderCoverPageChar"/>
    <w:rsid w:val="007C0C5B"/>
    <w:pPr>
      <w:tabs>
        <w:tab w:val="center" w:pos="4535"/>
        <w:tab w:val="right" w:pos="9071"/>
      </w:tabs>
      <w:spacing w:after="120"/>
    </w:pPr>
  </w:style>
  <w:style w:type="character" w:customStyle="1" w:styleId="HeaderCoverPageChar">
    <w:name w:val="Header Cover Page Char"/>
    <w:basedOn w:val="PagedecouvertureChar"/>
    <w:link w:val="HeaderCoverPage"/>
    <w:rsid w:val="007C0C5B"/>
    <w:rPr>
      <w:rFonts w:eastAsiaTheme="minorHAnsi"/>
      <w:szCs w:val="22"/>
      <w:lang w:eastAsia="en-US"/>
    </w:rPr>
  </w:style>
  <w:style w:type="paragraph" w:customStyle="1" w:styleId="HeaderSensitivity">
    <w:name w:val="Header Sensitivity"/>
    <w:basedOn w:val="Normal"/>
    <w:link w:val="HeaderSensitivityChar"/>
    <w:rsid w:val="007C0C5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7C0C5B"/>
    <w:rPr>
      <w:rFonts w:eastAsiaTheme="minorHAnsi"/>
      <w:b/>
      <w:sz w:val="32"/>
      <w:szCs w:val="22"/>
      <w:lang w:eastAsia="en-US"/>
    </w:rPr>
  </w:style>
  <w:style w:type="paragraph" w:customStyle="1" w:styleId="HeaderSensitivityRight">
    <w:name w:val="Header Sensitivity Right"/>
    <w:basedOn w:val="Normal"/>
    <w:link w:val="HeaderSensitivityRightChar"/>
    <w:rsid w:val="007C0C5B"/>
    <w:pPr>
      <w:spacing w:after="120"/>
      <w:jc w:val="right"/>
    </w:pPr>
    <w:rPr>
      <w:sz w:val="28"/>
    </w:rPr>
  </w:style>
  <w:style w:type="character" w:customStyle="1" w:styleId="HeaderSensitivityRightChar">
    <w:name w:val="Header Sensitivity Right Char"/>
    <w:basedOn w:val="PagedecouvertureChar"/>
    <w:link w:val="HeaderSensitivityRight"/>
    <w:rsid w:val="007C0C5B"/>
    <w:rPr>
      <w:rFonts w:eastAsiaTheme="minorHAns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6793">
      <w:bodyDiv w:val="1"/>
      <w:marLeft w:val="0"/>
      <w:marRight w:val="0"/>
      <w:marTop w:val="0"/>
      <w:marBottom w:val="0"/>
      <w:divBdr>
        <w:top w:val="none" w:sz="0" w:space="0" w:color="auto"/>
        <w:left w:val="none" w:sz="0" w:space="0" w:color="auto"/>
        <w:bottom w:val="none" w:sz="0" w:space="0" w:color="auto"/>
        <w:right w:val="none" w:sz="0" w:space="0" w:color="auto"/>
      </w:divBdr>
    </w:div>
    <w:div w:id="2903340">
      <w:bodyDiv w:val="1"/>
      <w:marLeft w:val="0"/>
      <w:marRight w:val="0"/>
      <w:marTop w:val="0"/>
      <w:marBottom w:val="0"/>
      <w:divBdr>
        <w:top w:val="none" w:sz="0" w:space="0" w:color="auto"/>
        <w:left w:val="none" w:sz="0" w:space="0" w:color="auto"/>
        <w:bottom w:val="none" w:sz="0" w:space="0" w:color="auto"/>
        <w:right w:val="none" w:sz="0" w:space="0" w:color="auto"/>
      </w:divBdr>
    </w:div>
    <w:div w:id="6716805">
      <w:bodyDiv w:val="1"/>
      <w:marLeft w:val="0"/>
      <w:marRight w:val="0"/>
      <w:marTop w:val="0"/>
      <w:marBottom w:val="0"/>
      <w:divBdr>
        <w:top w:val="none" w:sz="0" w:space="0" w:color="auto"/>
        <w:left w:val="none" w:sz="0" w:space="0" w:color="auto"/>
        <w:bottom w:val="none" w:sz="0" w:space="0" w:color="auto"/>
        <w:right w:val="none" w:sz="0" w:space="0" w:color="auto"/>
      </w:divBdr>
    </w:div>
    <w:div w:id="9336562">
      <w:bodyDiv w:val="1"/>
      <w:marLeft w:val="0"/>
      <w:marRight w:val="0"/>
      <w:marTop w:val="0"/>
      <w:marBottom w:val="0"/>
      <w:divBdr>
        <w:top w:val="none" w:sz="0" w:space="0" w:color="auto"/>
        <w:left w:val="none" w:sz="0" w:space="0" w:color="auto"/>
        <w:bottom w:val="none" w:sz="0" w:space="0" w:color="auto"/>
        <w:right w:val="none" w:sz="0" w:space="0" w:color="auto"/>
      </w:divBdr>
    </w:div>
    <w:div w:id="17898230">
      <w:bodyDiv w:val="1"/>
      <w:marLeft w:val="0"/>
      <w:marRight w:val="0"/>
      <w:marTop w:val="0"/>
      <w:marBottom w:val="0"/>
      <w:divBdr>
        <w:top w:val="none" w:sz="0" w:space="0" w:color="auto"/>
        <w:left w:val="none" w:sz="0" w:space="0" w:color="auto"/>
        <w:bottom w:val="none" w:sz="0" w:space="0" w:color="auto"/>
        <w:right w:val="none" w:sz="0" w:space="0" w:color="auto"/>
      </w:divBdr>
      <w:divsChild>
        <w:div w:id="247539575">
          <w:marLeft w:val="0"/>
          <w:marRight w:val="0"/>
          <w:marTop w:val="0"/>
          <w:marBottom w:val="0"/>
          <w:divBdr>
            <w:top w:val="none" w:sz="0" w:space="0" w:color="auto"/>
            <w:left w:val="none" w:sz="0" w:space="0" w:color="auto"/>
            <w:bottom w:val="none" w:sz="0" w:space="0" w:color="auto"/>
            <w:right w:val="none" w:sz="0" w:space="0" w:color="auto"/>
          </w:divBdr>
          <w:divsChild>
            <w:div w:id="80417633">
              <w:marLeft w:val="0"/>
              <w:marRight w:val="0"/>
              <w:marTop w:val="0"/>
              <w:marBottom w:val="0"/>
              <w:divBdr>
                <w:top w:val="none" w:sz="0" w:space="0" w:color="auto"/>
                <w:left w:val="none" w:sz="0" w:space="0" w:color="auto"/>
                <w:bottom w:val="none" w:sz="0" w:space="0" w:color="auto"/>
                <w:right w:val="none" w:sz="0" w:space="0" w:color="auto"/>
              </w:divBdr>
              <w:divsChild>
                <w:div w:id="954630123">
                  <w:marLeft w:val="0"/>
                  <w:marRight w:val="0"/>
                  <w:marTop w:val="0"/>
                  <w:marBottom w:val="0"/>
                  <w:divBdr>
                    <w:top w:val="none" w:sz="0" w:space="0" w:color="auto"/>
                    <w:left w:val="none" w:sz="0" w:space="0" w:color="auto"/>
                    <w:bottom w:val="none" w:sz="0" w:space="0" w:color="auto"/>
                    <w:right w:val="none" w:sz="0" w:space="0" w:color="auto"/>
                  </w:divBdr>
                  <w:divsChild>
                    <w:div w:id="1655790107">
                      <w:marLeft w:val="0"/>
                      <w:marRight w:val="0"/>
                      <w:marTop w:val="0"/>
                      <w:marBottom w:val="0"/>
                      <w:divBdr>
                        <w:top w:val="none" w:sz="0" w:space="0" w:color="auto"/>
                        <w:left w:val="none" w:sz="0" w:space="0" w:color="auto"/>
                        <w:bottom w:val="none" w:sz="0" w:space="0" w:color="auto"/>
                        <w:right w:val="none" w:sz="0" w:space="0" w:color="auto"/>
                      </w:divBdr>
                      <w:divsChild>
                        <w:div w:id="1565607520">
                          <w:marLeft w:val="0"/>
                          <w:marRight w:val="0"/>
                          <w:marTop w:val="0"/>
                          <w:marBottom w:val="0"/>
                          <w:divBdr>
                            <w:top w:val="none" w:sz="0" w:space="0" w:color="auto"/>
                            <w:left w:val="none" w:sz="0" w:space="0" w:color="auto"/>
                            <w:bottom w:val="none" w:sz="0" w:space="0" w:color="auto"/>
                            <w:right w:val="none" w:sz="0" w:space="0" w:color="auto"/>
                          </w:divBdr>
                          <w:divsChild>
                            <w:div w:id="1431197658">
                              <w:marLeft w:val="0"/>
                              <w:marRight w:val="0"/>
                              <w:marTop w:val="0"/>
                              <w:marBottom w:val="0"/>
                              <w:divBdr>
                                <w:top w:val="none" w:sz="0" w:space="0" w:color="auto"/>
                                <w:left w:val="none" w:sz="0" w:space="0" w:color="auto"/>
                                <w:bottom w:val="none" w:sz="0" w:space="0" w:color="auto"/>
                                <w:right w:val="none" w:sz="0" w:space="0" w:color="auto"/>
                              </w:divBdr>
                              <w:divsChild>
                                <w:div w:id="663320630">
                                  <w:marLeft w:val="0"/>
                                  <w:marRight w:val="0"/>
                                  <w:marTop w:val="0"/>
                                  <w:marBottom w:val="0"/>
                                  <w:divBdr>
                                    <w:top w:val="none" w:sz="0" w:space="0" w:color="auto"/>
                                    <w:left w:val="none" w:sz="0" w:space="0" w:color="auto"/>
                                    <w:bottom w:val="none" w:sz="0" w:space="0" w:color="auto"/>
                                    <w:right w:val="none" w:sz="0" w:space="0" w:color="auto"/>
                                  </w:divBdr>
                                  <w:divsChild>
                                    <w:div w:id="193720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796367">
                      <w:marLeft w:val="0"/>
                      <w:marRight w:val="0"/>
                      <w:marTop w:val="0"/>
                      <w:marBottom w:val="0"/>
                      <w:divBdr>
                        <w:top w:val="none" w:sz="0" w:space="0" w:color="auto"/>
                        <w:left w:val="none" w:sz="0" w:space="0" w:color="auto"/>
                        <w:bottom w:val="none" w:sz="0" w:space="0" w:color="auto"/>
                        <w:right w:val="none" w:sz="0" w:space="0" w:color="auto"/>
                      </w:divBdr>
                      <w:divsChild>
                        <w:div w:id="139882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5134">
      <w:bodyDiv w:val="1"/>
      <w:marLeft w:val="0"/>
      <w:marRight w:val="0"/>
      <w:marTop w:val="0"/>
      <w:marBottom w:val="0"/>
      <w:divBdr>
        <w:top w:val="none" w:sz="0" w:space="0" w:color="auto"/>
        <w:left w:val="none" w:sz="0" w:space="0" w:color="auto"/>
        <w:bottom w:val="none" w:sz="0" w:space="0" w:color="auto"/>
        <w:right w:val="none" w:sz="0" w:space="0" w:color="auto"/>
      </w:divBdr>
    </w:div>
    <w:div w:id="20397205">
      <w:bodyDiv w:val="1"/>
      <w:marLeft w:val="0"/>
      <w:marRight w:val="0"/>
      <w:marTop w:val="0"/>
      <w:marBottom w:val="0"/>
      <w:divBdr>
        <w:top w:val="none" w:sz="0" w:space="0" w:color="auto"/>
        <w:left w:val="none" w:sz="0" w:space="0" w:color="auto"/>
        <w:bottom w:val="none" w:sz="0" w:space="0" w:color="auto"/>
        <w:right w:val="none" w:sz="0" w:space="0" w:color="auto"/>
      </w:divBdr>
    </w:div>
    <w:div w:id="25523973">
      <w:bodyDiv w:val="1"/>
      <w:marLeft w:val="0"/>
      <w:marRight w:val="0"/>
      <w:marTop w:val="0"/>
      <w:marBottom w:val="0"/>
      <w:divBdr>
        <w:top w:val="none" w:sz="0" w:space="0" w:color="auto"/>
        <w:left w:val="none" w:sz="0" w:space="0" w:color="auto"/>
        <w:bottom w:val="none" w:sz="0" w:space="0" w:color="auto"/>
        <w:right w:val="none" w:sz="0" w:space="0" w:color="auto"/>
      </w:divBdr>
    </w:div>
    <w:div w:id="58671349">
      <w:bodyDiv w:val="1"/>
      <w:marLeft w:val="0"/>
      <w:marRight w:val="0"/>
      <w:marTop w:val="0"/>
      <w:marBottom w:val="0"/>
      <w:divBdr>
        <w:top w:val="none" w:sz="0" w:space="0" w:color="auto"/>
        <w:left w:val="none" w:sz="0" w:space="0" w:color="auto"/>
        <w:bottom w:val="none" w:sz="0" w:space="0" w:color="auto"/>
        <w:right w:val="none" w:sz="0" w:space="0" w:color="auto"/>
      </w:divBdr>
    </w:div>
    <w:div w:id="58676282">
      <w:bodyDiv w:val="1"/>
      <w:marLeft w:val="0"/>
      <w:marRight w:val="0"/>
      <w:marTop w:val="0"/>
      <w:marBottom w:val="0"/>
      <w:divBdr>
        <w:top w:val="none" w:sz="0" w:space="0" w:color="auto"/>
        <w:left w:val="none" w:sz="0" w:space="0" w:color="auto"/>
        <w:bottom w:val="none" w:sz="0" w:space="0" w:color="auto"/>
        <w:right w:val="none" w:sz="0" w:space="0" w:color="auto"/>
      </w:divBdr>
    </w:div>
    <w:div w:id="62409900">
      <w:bodyDiv w:val="1"/>
      <w:marLeft w:val="0"/>
      <w:marRight w:val="0"/>
      <w:marTop w:val="0"/>
      <w:marBottom w:val="0"/>
      <w:divBdr>
        <w:top w:val="none" w:sz="0" w:space="0" w:color="auto"/>
        <w:left w:val="none" w:sz="0" w:space="0" w:color="auto"/>
        <w:bottom w:val="none" w:sz="0" w:space="0" w:color="auto"/>
        <w:right w:val="none" w:sz="0" w:space="0" w:color="auto"/>
      </w:divBdr>
    </w:div>
    <w:div w:id="75707727">
      <w:bodyDiv w:val="1"/>
      <w:marLeft w:val="0"/>
      <w:marRight w:val="0"/>
      <w:marTop w:val="0"/>
      <w:marBottom w:val="0"/>
      <w:divBdr>
        <w:top w:val="none" w:sz="0" w:space="0" w:color="auto"/>
        <w:left w:val="none" w:sz="0" w:space="0" w:color="auto"/>
        <w:bottom w:val="none" w:sz="0" w:space="0" w:color="auto"/>
        <w:right w:val="none" w:sz="0" w:space="0" w:color="auto"/>
      </w:divBdr>
    </w:div>
    <w:div w:id="83841882">
      <w:bodyDiv w:val="1"/>
      <w:marLeft w:val="0"/>
      <w:marRight w:val="0"/>
      <w:marTop w:val="0"/>
      <w:marBottom w:val="0"/>
      <w:divBdr>
        <w:top w:val="none" w:sz="0" w:space="0" w:color="auto"/>
        <w:left w:val="none" w:sz="0" w:space="0" w:color="auto"/>
        <w:bottom w:val="none" w:sz="0" w:space="0" w:color="auto"/>
        <w:right w:val="none" w:sz="0" w:space="0" w:color="auto"/>
      </w:divBdr>
    </w:div>
    <w:div w:id="86510246">
      <w:bodyDiv w:val="1"/>
      <w:marLeft w:val="0"/>
      <w:marRight w:val="0"/>
      <w:marTop w:val="0"/>
      <w:marBottom w:val="0"/>
      <w:divBdr>
        <w:top w:val="none" w:sz="0" w:space="0" w:color="auto"/>
        <w:left w:val="none" w:sz="0" w:space="0" w:color="auto"/>
        <w:bottom w:val="none" w:sz="0" w:space="0" w:color="auto"/>
        <w:right w:val="none" w:sz="0" w:space="0" w:color="auto"/>
      </w:divBdr>
    </w:div>
    <w:div w:id="90006551">
      <w:bodyDiv w:val="1"/>
      <w:marLeft w:val="0"/>
      <w:marRight w:val="0"/>
      <w:marTop w:val="0"/>
      <w:marBottom w:val="0"/>
      <w:divBdr>
        <w:top w:val="none" w:sz="0" w:space="0" w:color="auto"/>
        <w:left w:val="none" w:sz="0" w:space="0" w:color="auto"/>
        <w:bottom w:val="none" w:sz="0" w:space="0" w:color="auto"/>
        <w:right w:val="none" w:sz="0" w:space="0" w:color="auto"/>
      </w:divBdr>
    </w:div>
    <w:div w:id="93788351">
      <w:bodyDiv w:val="1"/>
      <w:marLeft w:val="0"/>
      <w:marRight w:val="0"/>
      <w:marTop w:val="0"/>
      <w:marBottom w:val="0"/>
      <w:divBdr>
        <w:top w:val="none" w:sz="0" w:space="0" w:color="auto"/>
        <w:left w:val="none" w:sz="0" w:space="0" w:color="auto"/>
        <w:bottom w:val="none" w:sz="0" w:space="0" w:color="auto"/>
        <w:right w:val="none" w:sz="0" w:space="0" w:color="auto"/>
      </w:divBdr>
    </w:div>
    <w:div w:id="103354971">
      <w:bodyDiv w:val="1"/>
      <w:marLeft w:val="0"/>
      <w:marRight w:val="0"/>
      <w:marTop w:val="0"/>
      <w:marBottom w:val="0"/>
      <w:divBdr>
        <w:top w:val="none" w:sz="0" w:space="0" w:color="auto"/>
        <w:left w:val="none" w:sz="0" w:space="0" w:color="auto"/>
        <w:bottom w:val="none" w:sz="0" w:space="0" w:color="auto"/>
        <w:right w:val="none" w:sz="0" w:space="0" w:color="auto"/>
      </w:divBdr>
    </w:div>
    <w:div w:id="109013434">
      <w:bodyDiv w:val="1"/>
      <w:marLeft w:val="0"/>
      <w:marRight w:val="0"/>
      <w:marTop w:val="0"/>
      <w:marBottom w:val="0"/>
      <w:divBdr>
        <w:top w:val="none" w:sz="0" w:space="0" w:color="auto"/>
        <w:left w:val="none" w:sz="0" w:space="0" w:color="auto"/>
        <w:bottom w:val="none" w:sz="0" w:space="0" w:color="auto"/>
        <w:right w:val="none" w:sz="0" w:space="0" w:color="auto"/>
      </w:divBdr>
    </w:div>
    <w:div w:id="135298098">
      <w:bodyDiv w:val="1"/>
      <w:marLeft w:val="0"/>
      <w:marRight w:val="0"/>
      <w:marTop w:val="0"/>
      <w:marBottom w:val="0"/>
      <w:divBdr>
        <w:top w:val="none" w:sz="0" w:space="0" w:color="auto"/>
        <w:left w:val="none" w:sz="0" w:space="0" w:color="auto"/>
        <w:bottom w:val="none" w:sz="0" w:space="0" w:color="auto"/>
        <w:right w:val="none" w:sz="0" w:space="0" w:color="auto"/>
      </w:divBdr>
    </w:div>
    <w:div w:id="135874535">
      <w:bodyDiv w:val="1"/>
      <w:marLeft w:val="0"/>
      <w:marRight w:val="0"/>
      <w:marTop w:val="0"/>
      <w:marBottom w:val="0"/>
      <w:divBdr>
        <w:top w:val="none" w:sz="0" w:space="0" w:color="auto"/>
        <w:left w:val="none" w:sz="0" w:space="0" w:color="auto"/>
        <w:bottom w:val="none" w:sz="0" w:space="0" w:color="auto"/>
        <w:right w:val="none" w:sz="0" w:space="0" w:color="auto"/>
      </w:divBdr>
    </w:div>
    <w:div w:id="146938332">
      <w:bodyDiv w:val="1"/>
      <w:marLeft w:val="0"/>
      <w:marRight w:val="0"/>
      <w:marTop w:val="0"/>
      <w:marBottom w:val="0"/>
      <w:divBdr>
        <w:top w:val="none" w:sz="0" w:space="0" w:color="auto"/>
        <w:left w:val="none" w:sz="0" w:space="0" w:color="auto"/>
        <w:bottom w:val="none" w:sz="0" w:space="0" w:color="auto"/>
        <w:right w:val="none" w:sz="0" w:space="0" w:color="auto"/>
      </w:divBdr>
    </w:div>
    <w:div w:id="148715215">
      <w:bodyDiv w:val="1"/>
      <w:marLeft w:val="0"/>
      <w:marRight w:val="0"/>
      <w:marTop w:val="0"/>
      <w:marBottom w:val="0"/>
      <w:divBdr>
        <w:top w:val="none" w:sz="0" w:space="0" w:color="auto"/>
        <w:left w:val="none" w:sz="0" w:space="0" w:color="auto"/>
        <w:bottom w:val="none" w:sz="0" w:space="0" w:color="auto"/>
        <w:right w:val="none" w:sz="0" w:space="0" w:color="auto"/>
      </w:divBdr>
    </w:div>
    <w:div w:id="155535258">
      <w:bodyDiv w:val="1"/>
      <w:marLeft w:val="0"/>
      <w:marRight w:val="0"/>
      <w:marTop w:val="0"/>
      <w:marBottom w:val="0"/>
      <w:divBdr>
        <w:top w:val="none" w:sz="0" w:space="0" w:color="auto"/>
        <w:left w:val="none" w:sz="0" w:space="0" w:color="auto"/>
        <w:bottom w:val="none" w:sz="0" w:space="0" w:color="auto"/>
        <w:right w:val="none" w:sz="0" w:space="0" w:color="auto"/>
      </w:divBdr>
    </w:div>
    <w:div w:id="163932751">
      <w:bodyDiv w:val="1"/>
      <w:marLeft w:val="0"/>
      <w:marRight w:val="0"/>
      <w:marTop w:val="0"/>
      <w:marBottom w:val="0"/>
      <w:divBdr>
        <w:top w:val="none" w:sz="0" w:space="0" w:color="auto"/>
        <w:left w:val="none" w:sz="0" w:space="0" w:color="auto"/>
        <w:bottom w:val="none" w:sz="0" w:space="0" w:color="auto"/>
        <w:right w:val="none" w:sz="0" w:space="0" w:color="auto"/>
      </w:divBdr>
    </w:div>
    <w:div w:id="172644969">
      <w:bodyDiv w:val="1"/>
      <w:marLeft w:val="0"/>
      <w:marRight w:val="0"/>
      <w:marTop w:val="0"/>
      <w:marBottom w:val="0"/>
      <w:divBdr>
        <w:top w:val="none" w:sz="0" w:space="0" w:color="auto"/>
        <w:left w:val="none" w:sz="0" w:space="0" w:color="auto"/>
        <w:bottom w:val="none" w:sz="0" w:space="0" w:color="auto"/>
        <w:right w:val="none" w:sz="0" w:space="0" w:color="auto"/>
      </w:divBdr>
    </w:div>
    <w:div w:id="173765957">
      <w:bodyDiv w:val="1"/>
      <w:marLeft w:val="0"/>
      <w:marRight w:val="0"/>
      <w:marTop w:val="0"/>
      <w:marBottom w:val="0"/>
      <w:divBdr>
        <w:top w:val="none" w:sz="0" w:space="0" w:color="auto"/>
        <w:left w:val="none" w:sz="0" w:space="0" w:color="auto"/>
        <w:bottom w:val="none" w:sz="0" w:space="0" w:color="auto"/>
        <w:right w:val="none" w:sz="0" w:space="0" w:color="auto"/>
      </w:divBdr>
    </w:div>
    <w:div w:id="174851272">
      <w:bodyDiv w:val="1"/>
      <w:marLeft w:val="0"/>
      <w:marRight w:val="0"/>
      <w:marTop w:val="0"/>
      <w:marBottom w:val="0"/>
      <w:divBdr>
        <w:top w:val="none" w:sz="0" w:space="0" w:color="auto"/>
        <w:left w:val="none" w:sz="0" w:space="0" w:color="auto"/>
        <w:bottom w:val="none" w:sz="0" w:space="0" w:color="auto"/>
        <w:right w:val="none" w:sz="0" w:space="0" w:color="auto"/>
      </w:divBdr>
    </w:div>
    <w:div w:id="180320472">
      <w:bodyDiv w:val="1"/>
      <w:marLeft w:val="0"/>
      <w:marRight w:val="0"/>
      <w:marTop w:val="0"/>
      <w:marBottom w:val="0"/>
      <w:divBdr>
        <w:top w:val="none" w:sz="0" w:space="0" w:color="auto"/>
        <w:left w:val="none" w:sz="0" w:space="0" w:color="auto"/>
        <w:bottom w:val="none" w:sz="0" w:space="0" w:color="auto"/>
        <w:right w:val="none" w:sz="0" w:space="0" w:color="auto"/>
      </w:divBdr>
    </w:div>
    <w:div w:id="208076803">
      <w:bodyDiv w:val="1"/>
      <w:marLeft w:val="0"/>
      <w:marRight w:val="0"/>
      <w:marTop w:val="0"/>
      <w:marBottom w:val="0"/>
      <w:divBdr>
        <w:top w:val="none" w:sz="0" w:space="0" w:color="auto"/>
        <w:left w:val="none" w:sz="0" w:space="0" w:color="auto"/>
        <w:bottom w:val="none" w:sz="0" w:space="0" w:color="auto"/>
        <w:right w:val="none" w:sz="0" w:space="0" w:color="auto"/>
      </w:divBdr>
    </w:div>
    <w:div w:id="209807769">
      <w:bodyDiv w:val="1"/>
      <w:marLeft w:val="0"/>
      <w:marRight w:val="0"/>
      <w:marTop w:val="0"/>
      <w:marBottom w:val="0"/>
      <w:divBdr>
        <w:top w:val="none" w:sz="0" w:space="0" w:color="auto"/>
        <w:left w:val="none" w:sz="0" w:space="0" w:color="auto"/>
        <w:bottom w:val="none" w:sz="0" w:space="0" w:color="auto"/>
        <w:right w:val="none" w:sz="0" w:space="0" w:color="auto"/>
      </w:divBdr>
    </w:div>
    <w:div w:id="218249611">
      <w:bodyDiv w:val="1"/>
      <w:marLeft w:val="0"/>
      <w:marRight w:val="0"/>
      <w:marTop w:val="0"/>
      <w:marBottom w:val="0"/>
      <w:divBdr>
        <w:top w:val="none" w:sz="0" w:space="0" w:color="auto"/>
        <w:left w:val="none" w:sz="0" w:space="0" w:color="auto"/>
        <w:bottom w:val="none" w:sz="0" w:space="0" w:color="auto"/>
        <w:right w:val="none" w:sz="0" w:space="0" w:color="auto"/>
      </w:divBdr>
    </w:div>
    <w:div w:id="224144670">
      <w:bodyDiv w:val="1"/>
      <w:marLeft w:val="0"/>
      <w:marRight w:val="0"/>
      <w:marTop w:val="0"/>
      <w:marBottom w:val="0"/>
      <w:divBdr>
        <w:top w:val="none" w:sz="0" w:space="0" w:color="auto"/>
        <w:left w:val="none" w:sz="0" w:space="0" w:color="auto"/>
        <w:bottom w:val="none" w:sz="0" w:space="0" w:color="auto"/>
        <w:right w:val="none" w:sz="0" w:space="0" w:color="auto"/>
      </w:divBdr>
    </w:div>
    <w:div w:id="227618962">
      <w:bodyDiv w:val="1"/>
      <w:marLeft w:val="0"/>
      <w:marRight w:val="0"/>
      <w:marTop w:val="0"/>
      <w:marBottom w:val="0"/>
      <w:divBdr>
        <w:top w:val="none" w:sz="0" w:space="0" w:color="auto"/>
        <w:left w:val="none" w:sz="0" w:space="0" w:color="auto"/>
        <w:bottom w:val="none" w:sz="0" w:space="0" w:color="auto"/>
        <w:right w:val="none" w:sz="0" w:space="0" w:color="auto"/>
      </w:divBdr>
    </w:div>
    <w:div w:id="230045826">
      <w:bodyDiv w:val="1"/>
      <w:marLeft w:val="0"/>
      <w:marRight w:val="0"/>
      <w:marTop w:val="0"/>
      <w:marBottom w:val="0"/>
      <w:divBdr>
        <w:top w:val="none" w:sz="0" w:space="0" w:color="auto"/>
        <w:left w:val="none" w:sz="0" w:space="0" w:color="auto"/>
        <w:bottom w:val="none" w:sz="0" w:space="0" w:color="auto"/>
        <w:right w:val="none" w:sz="0" w:space="0" w:color="auto"/>
      </w:divBdr>
    </w:div>
    <w:div w:id="236064057">
      <w:bodyDiv w:val="1"/>
      <w:marLeft w:val="0"/>
      <w:marRight w:val="0"/>
      <w:marTop w:val="0"/>
      <w:marBottom w:val="0"/>
      <w:divBdr>
        <w:top w:val="none" w:sz="0" w:space="0" w:color="auto"/>
        <w:left w:val="none" w:sz="0" w:space="0" w:color="auto"/>
        <w:bottom w:val="none" w:sz="0" w:space="0" w:color="auto"/>
        <w:right w:val="none" w:sz="0" w:space="0" w:color="auto"/>
      </w:divBdr>
      <w:divsChild>
        <w:div w:id="601186394">
          <w:marLeft w:val="0"/>
          <w:marRight w:val="0"/>
          <w:marTop w:val="0"/>
          <w:marBottom w:val="0"/>
          <w:divBdr>
            <w:top w:val="none" w:sz="0" w:space="0" w:color="auto"/>
            <w:left w:val="none" w:sz="0" w:space="0" w:color="auto"/>
            <w:bottom w:val="none" w:sz="0" w:space="0" w:color="auto"/>
            <w:right w:val="none" w:sz="0" w:space="0" w:color="auto"/>
          </w:divBdr>
          <w:divsChild>
            <w:div w:id="2096122973">
              <w:marLeft w:val="0"/>
              <w:marRight w:val="0"/>
              <w:marTop w:val="0"/>
              <w:marBottom w:val="0"/>
              <w:divBdr>
                <w:top w:val="none" w:sz="0" w:space="0" w:color="auto"/>
                <w:left w:val="none" w:sz="0" w:space="0" w:color="auto"/>
                <w:bottom w:val="none" w:sz="0" w:space="0" w:color="auto"/>
                <w:right w:val="none" w:sz="0" w:space="0" w:color="auto"/>
              </w:divBdr>
              <w:divsChild>
                <w:div w:id="188186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35773">
          <w:marLeft w:val="0"/>
          <w:marRight w:val="0"/>
          <w:marTop w:val="0"/>
          <w:marBottom w:val="0"/>
          <w:divBdr>
            <w:top w:val="none" w:sz="0" w:space="0" w:color="auto"/>
            <w:left w:val="none" w:sz="0" w:space="0" w:color="auto"/>
            <w:bottom w:val="none" w:sz="0" w:space="0" w:color="auto"/>
            <w:right w:val="none" w:sz="0" w:space="0" w:color="auto"/>
          </w:divBdr>
          <w:divsChild>
            <w:div w:id="1960914938">
              <w:marLeft w:val="0"/>
              <w:marRight w:val="0"/>
              <w:marTop w:val="0"/>
              <w:marBottom w:val="0"/>
              <w:divBdr>
                <w:top w:val="none" w:sz="0" w:space="0" w:color="auto"/>
                <w:left w:val="none" w:sz="0" w:space="0" w:color="auto"/>
                <w:bottom w:val="none" w:sz="0" w:space="0" w:color="auto"/>
                <w:right w:val="none" w:sz="0" w:space="0" w:color="auto"/>
              </w:divBdr>
              <w:divsChild>
                <w:div w:id="646472260">
                  <w:marLeft w:val="0"/>
                  <w:marRight w:val="0"/>
                  <w:marTop w:val="0"/>
                  <w:marBottom w:val="0"/>
                  <w:divBdr>
                    <w:top w:val="none" w:sz="0" w:space="0" w:color="auto"/>
                    <w:left w:val="none" w:sz="0" w:space="0" w:color="auto"/>
                    <w:bottom w:val="none" w:sz="0" w:space="0" w:color="auto"/>
                    <w:right w:val="none" w:sz="0" w:space="0" w:color="auto"/>
                  </w:divBdr>
                  <w:divsChild>
                    <w:div w:id="48393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891207">
      <w:bodyDiv w:val="1"/>
      <w:marLeft w:val="0"/>
      <w:marRight w:val="0"/>
      <w:marTop w:val="0"/>
      <w:marBottom w:val="0"/>
      <w:divBdr>
        <w:top w:val="none" w:sz="0" w:space="0" w:color="auto"/>
        <w:left w:val="none" w:sz="0" w:space="0" w:color="auto"/>
        <w:bottom w:val="none" w:sz="0" w:space="0" w:color="auto"/>
        <w:right w:val="none" w:sz="0" w:space="0" w:color="auto"/>
      </w:divBdr>
    </w:div>
    <w:div w:id="258486037">
      <w:bodyDiv w:val="1"/>
      <w:marLeft w:val="0"/>
      <w:marRight w:val="0"/>
      <w:marTop w:val="0"/>
      <w:marBottom w:val="0"/>
      <w:divBdr>
        <w:top w:val="none" w:sz="0" w:space="0" w:color="auto"/>
        <w:left w:val="none" w:sz="0" w:space="0" w:color="auto"/>
        <w:bottom w:val="none" w:sz="0" w:space="0" w:color="auto"/>
        <w:right w:val="none" w:sz="0" w:space="0" w:color="auto"/>
      </w:divBdr>
    </w:div>
    <w:div w:id="258831420">
      <w:bodyDiv w:val="1"/>
      <w:marLeft w:val="0"/>
      <w:marRight w:val="0"/>
      <w:marTop w:val="0"/>
      <w:marBottom w:val="0"/>
      <w:divBdr>
        <w:top w:val="none" w:sz="0" w:space="0" w:color="auto"/>
        <w:left w:val="none" w:sz="0" w:space="0" w:color="auto"/>
        <w:bottom w:val="none" w:sz="0" w:space="0" w:color="auto"/>
        <w:right w:val="none" w:sz="0" w:space="0" w:color="auto"/>
      </w:divBdr>
    </w:div>
    <w:div w:id="263614616">
      <w:bodyDiv w:val="1"/>
      <w:marLeft w:val="0"/>
      <w:marRight w:val="0"/>
      <w:marTop w:val="0"/>
      <w:marBottom w:val="0"/>
      <w:divBdr>
        <w:top w:val="none" w:sz="0" w:space="0" w:color="auto"/>
        <w:left w:val="none" w:sz="0" w:space="0" w:color="auto"/>
        <w:bottom w:val="none" w:sz="0" w:space="0" w:color="auto"/>
        <w:right w:val="none" w:sz="0" w:space="0" w:color="auto"/>
      </w:divBdr>
    </w:div>
    <w:div w:id="279344239">
      <w:bodyDiv w:val="1"/>
      <w:marLeft w:val="0"/>
      <w:marRight w:val="0"/>
      <w:marTop w:val="0"/>
      <w:marBottom w:val="0"/>
      <w:divBdr>
        <w:top w:val="none" w:sz="0" w:space="0" w:color="auto"/>
        <w:left w:val="none" w:sz="0" w:space="0" w:color="auto"/>
        <w:bottom w:val="none" w:sz="0" w:space="0" w:color="auto"/>
        <w:right w:val="none" w:sz="0" w:space="0" w:color="auto"/>
      </w:divBdr>
      <w:divsChild>
        <w:div w:id="1312447869">
          <w:marLeft w:val="0"/>
          <w:marRight w:val="0"/>
          <w:marTop w:val="0"/>
          <w:marBottom w:val="0"/>
          <w:divBdr>
            <w:top w:val="none" w:sz="0" w:space="0" w:color="auto"/>
            <w:left w:val="none" w:sz="0" w:space="0" w:color="auto"/>
            <w:bottom w:val="none" w:sz="0" w:space="0" w:color="auto"/>
            <w:right w:val="none" w:sz="0" w:space="0" w:color="auto"/>
          </w:divBdr>
          <w:divsChild>
            <w:div w:id="6919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855786">
      <w:bodyDiv w:val="1"/>
      <w:marLeft w:val="0"/>
      <w:marRight w:val="0"/>
      <w:marTop w:val="0"/>
      <w:marBottom w:val="0"/>
      <w:divBdr>
        <w:top w:val="none" w:sz="0" w:space="0" w:color="auto"/>
        <w:left w:val="none" w:sz="0" w:space="0" w:color="auto"/>
        <w:bottom w:val="none" w:sz="0" w:space="0" w:color="auto"/>
        <w:right w:val="none" w:sz="0" w:space="0" w:color="auto"/>
      </w:divBdr>
    </w:div>
    <w:div w:id="296882143">
      <w:bodyDiv w:val="1"/>
      <w:marLeft w:val="0"/>
      <w:marRight w:val="0"/>
      <w:marTop w:val="0"/>
      <w:marBottom w:val="0"/>
      <w:divBdr>
        <w:top w:val="none" w:sz="0" w:space="0" w:color="auto"/>
        <w:left w:val="none" w:sz="0" w:space="0" w:color="auto"/>
        <w:bottom w:val="none" w:sz="0" w:space="0" w:color="auto"/>
        <w:right w:val="none" w:sz="0" w:space="0" w:color="auto"/>
      </w:divBdr>
    </w:div>
    <w:div w:id="298924506">
      <w:bodyDiv w:val="1"/>
      <w:marLeft w:val="0"/>
      <w:marRight w:val="0"/>
      <w:marTop w:val="0"/>
      <w:marBottom w:val="0"/>
      <w:divBdr>
        <w:top w:val="none" w:sz="0" w:space="0" w:color="auto"/>
        <w:left w:val="none" w:sz="0" w:space="0" w:color="auto"/>
        <w:bottom w:val="none" w:sz="0" w:space="0" w:color="auto"/>
        <w:right w:val="none" w:sz="0" w:space="0" w:color="auto"/>
      </w:divBdr>
    </w:div>
    <w:div w:id="310837342">
      <w:bodyDiv w:val="1"/>
      <w:marLeft w:val="0"/>
      <w:marRight w:val="0"/>
      <w:marTop w:val="0"/>
      <w:marBottom w:val="0"/>
      <w:divBdr>
        <w:top w:val="none" w:sz="0" w:space="0" w:color="auto"/>
        <w:left w:val="none" w:sz="0" w:space="0" w:color="auto"/>
        <w:bottom w:val="none" w:sz="0" w:space="0" w:color="auto"/>
        <w:right w:val="none" w:sz="0" w:space="0" w:color="auto"/>
      </w:divBdr>
    </w:div>
    <w:div w:id="312486095">
      <w:bodyDiv w:val="1"/>
      <w:marLeft w:val="0"/>
      <w:marRight w:val="0"/>
      <w:marTop w:val="0"/>
      <w:marBottom w:val="0"/>
      <w:divBdr>
        <w:top w:val="none" w:sz="0" w:space="0" w:color="auto"/>
        <w:left w:val="none" w:sz="0" w:space="0" w:color="auto"/>
        <w:bottom w:val="none" w:sz="0" w:space="0" w:color="auto"/>
        <w:right w:val="none" w:sz="0" w:space="0" w:color="auto"/>
      </w:divBdr>
    </w:div>
    <w:div w:id="316225834">
      <w:bodyDiv w:val="1"/>
      <w:marLeft w:val="0"/>
      <w:marRight w:val="0"/>
      <w:marTop w:val="0"/>
      <w:marBottom w:val="0"/>
      <w:divBdr>
        <w:top w:val="none" w:sz="0" w:space="0" w:color="auto"/>
        <w:left w:val="none" w:sz="0" w:space="0" w:color="auto"/>
        <w:bottom w:val="none" w:sz="0" w:space="0" w:color="auto"/>
        <w:right w:val="none" w:sz="0" w:space="0" w:color="auto"/>
      </w:divBdr>
    </w:div>
    <w:div w:id="327054104">
      <w:bodyDiv w:val="1"/>
      <w:marLeft w:val="0"/>
      <w:marRight w:val="0"/>
      <w:marTop w:val="0"/>
      <w:marBottom w:val="0"/>
      <w:divBdr>
        <w:top w:val="none" w:sz="0" w:space="0" w:color="auto"/>
        <w:left w:val="none" w:sz="0" w:space="0" w:color="auto"/>
        <w:bottom w:val="none" w:sz="0" w:space="0" w:color="auto"/>
        <w:right w:val="none" w:sz="0" w:space="0" w:color="auto"/>
      </w:divBdr>
    </w:div>
    <w:div w:id="340817603">
      <w:bodyDiv w:val="1"/>
      <w:marLeft w:val="0"/>
      <w:marRight w:val="0"/>
      <w:marTop w:val="0"/>
      <w:marBottom w:val="0"/>
      <w:divBdr>
        <w:top w:val="none" w:sz="0" w:space="0" w:color="auto"/>
        <w:left w:val="none" w:sz="0" w:space="0" w:color="auto"/>
        <w:bottom w:val="none" w:sz="0" w:space="0" w:color="auto"/>
        <w:right w:val="none" w:sz="0" w:space="0" w:color="auto"/>
      </w:divBdr>
    </w:div>
    <w:div w:id="344013363">
      <w:bodyDiv w:val="1"/>
      <w:marLeft w:val="0"/>
      <w:marRight w:val="0"/>
      <w:marTop w:val="0"/>
      <w:marBottom w:val="0"/>
      <w:divBdr>
        <w:top w:val="none" w:sz="0" w:space="0" w:color="auto"/>
        <w:left w:val="none" w:sz="0" w:space="0" w:color="auto"/>
        <w:bottom w:val="none" w:sz="0" w:space="0" w:color="auto"/>
        <w:right w:val="none" w:sz="0" w:space="0" w:color="auto"/>
      </w:divBdr>
    </w:div>
    <w:div w:id="346178953">
      <w:bodyDiv w:val="1"/>
      <w:marLeft w:val="0"/>
      <w:marRight w:val="0"/>
      <w:marTop w:val="0"/>
      <w:marBottom w:val="0"/>
      <w:divBdr>
        <w:top w:val="none" w:sz="0" w:space="0" w:color="auto"/>
        <w:left w:val="none" w:sz="0" w:space="0" w:color="auto"/>
        <w:bottom w:val="none" w:sz="0" w:space="0" w:color="auto"/>
        <w:right w:val="none" w:sz="0" w:space="0" w:color="auto"/>
      </w:divBdr>
      <w:divsChild>
        <w:div w:id="1565094944">
          <w:marLeft w:val="0"/>
          <w:marRight w:val="0"/>
          <w:marTop w:val="0"/>
          <w:marBottom w:val="0"/>
          <w:divBdr>
            <w:top w:val="none" w:sz="0" w:space="0" w:color="auto"/>
            <w:left w:val="none" w:sz="0" w:space="0" w:color="auto"/>
            <w:bottom w:val="none" w:sz="0" w:space="0" w:color="auto"/>
            <w:right w:val="none" w:sz="0" w:space="0" w:color="auto"/>
          </w:divBdr>
          <w:divsChild>
            <w:div w:id="682632694">
              <w:marLeft w:val="0"/>
              <w:marRight w:val="0"/>
              <w:marTop w:val="0"/>
              <w:marBottom w:val="0"/>
              <w:divBdr>
                <w:top w:val="none" w:sz="0" w:space="0" w:color="auto"/>
                <w:left w:val="none" w:sz="0" w:space="0" w:color="auto"/>
                <w:bottom w:val="none" w:sz="0" w:space="0" w:color="auto"/>
                <w:right w:val="none" w:sz="0" w:space="0" w:color="auto"/>
              </w:divBdr>
              <w:divsChild>
                <w:div w:id="298999792">
                  <w:marLeft w:val="0"/>
                  <w:marRight w:val="0"/>
                  <w:marTop w:val="0"/>
                  <w:marBottom w:val="0"/>
                  <w:divBdr>
                    <w:top w:val="none" w:sz="0" w:space="0" w:color="auto"/>
                    <w:left w:val="none" w:sz="0" w:space="0" w:color="auto"/>
                    <w:bottom w:val="none" w:sz="0" w:space="0" w:color="auto"/>
                    <w:right w:val="none" w:sz="0" w:space="0" w:color="auto"/>
                  </w:divBdr>
                  <w:divsChild>
                    <w:div w:id="1228414421">
                      <w:marLeft w:val="0"/>
                      <w:marRight w:val="0"/>
                      <w:marTop w:val="0"/>
                      <w:marBottom w:val="0"/>
                      <w:divBdr>
                        <w:top w:val="none" w:sz="0" w:space="0" w:color="auto"/>
                        <w:left w:val="none" w:sz="0" w:space="0" w:color="auto"/>
                        <w:bottom w:val="none" w:sz="0" w:space="0" w:color="auto"/>
                        <w:right w:val="none" w:sz="0" w:space="0" w:color="auto"/>
                      </w:divBdr>
                      <w:divsChild>
                        <w:div w:id="1600290763">
                          <w:marLeft w:val="0"/>
                          <w:marRight w:val="0"/>
                          <w:marTop w:val="0"/>
                          <w:marBottom w:val="0"/>
                          <w:divBdr>
                            <w:top w:val="none" w:sz="0" w:space="0" w:color="auto"/>
                            <w:left w:val="none" w:sz="0" w:space="0" w:color="auto"/>
                            <w:bottom w:val="none" w:sz="0" w:space="0" w:color="auto"/>
                            <w:right w:val="none" w:sz="0" w:space="0" w:color="auto"/>
                          </w:divBdr>
                          <w:divsChild>
                            <w:div w:id="381944598">
                              <w:marLeft w:val="0"/>
                              <w:marRight w:val="0"/>
                              <w:marTop w:val="0"/>
                              <w:marBottom w:val="0"/>
                              <w:divBdr>
                                <w:top w:val="none" w:sz="0" w:space="0" w:color="auto"/>
                                <w:left w:val="none" w:sz="0" w:space="0" w:color="auto"/>
                                <w:bottom w:val="none" w:sz="0" w:space="0" w:color="auto"/>
                                <w:right w:val="none" w:sz="0" w:space="0" w:color="auto"/>
                              </w:divBdr>
                              <w:divsChild>
                                <w:div w:id="1596474497">
                                  <w:marLeft w:val="0"/>
                                  <w:marRight w:val="0"/>
                                  <w:marTop w:val="0"/>
                                  <w:marBottom w:val="0"/>
                                  <w:divBdr>
                                    <w:top w:val="none" w:sz="0" w:space="0" w:color="auto"/>
                                    <w:left w:val="none" w:sz="0" w:space="0" w:color="auto"/>
                                    <w:bottom w:val="none" w:sz="0" w:space="0" w:color="auto"/>
                                    <w:right w:val="none" w:sz="0" w:space="0" w:color="auto"/>
                                  </w:divBdr>
                                  <w:divsChild>
                                    <w:div w:id="87480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0493603">
      <w:bodyDiv w:val="1"/>
      <w:marLeft w:val="0"/>
      <w:marRight w:val="0"/>
      <w:marTop w:val="0"/>
      <w:marBottom w:val="0"/>
      <w:divBdr>
        <w:top w:val="none" w:sz="0" w:space="0" w:color="auto"/>
        <w:left w:val="none" w:sz="0" w:space="0" w:color="auto"/>
        <w:bottom w:val="none" w:sz="0" w:space="0" w:color="auto"/>
        <w:right w:val="none" w:sz="0" w:space="0" w:color="auto"/>
      </w:divBdr>
    </w:div>
    <w:div w:id="359287469">
      <w:bodyDiv w:val="1"/>
      <w:marLeft w:val="0"/>
      <w:marRight w:val="0"/>
      <w:marTop w:val="0"/>
      <w:marBottom w:val="0"/>
      <w:divBdr>
        <w:top w:val="none" w:sz="0" w:space="0" w:color="auto"/>
        <w:left w:val="none" w:sz="0" w:space="0" w:color="auto"/>
        <w:bottom w:val="none" w:sz="0" w:space="0" w:color="auto"/>
        <w:right w:val="none" w:sz="0" w:space="0" w:color="auto"/>
      </w:divBdr>
    </w:div>
    <w:div w:id="362364563">
      <w:bodyDiv w:val="1"/>
      <w:marLeft w:val="0"/>
      <w:marRight w:val="0"/>
      <w:marTop w:val="0"/>
      <w:marBottom w:val="0"/>
      <w:divBdr>
        <w:top w:val="none" w:sz="0" w:space="0" w:color="auto"/>
        <w:left w:val="none" w:sz="0" w:space="0" w:color="auto"/>
        <w:bottom w:val="none" w:sz="0" w:space="0" w:color="auto"/>
        <w:right w:val="none" w:sz="0" w:space="0" w:color="auto"/>
      </w:divBdr>
      <w:divsChild>
        <w:div w:id="2066223259">
          <w:marLeft w:val="0"/>
          <w:marRight w:val="0"/>
          <w:marTop w:val="0"/>
          <w:marBottom w:val="0"/>
          <w:divBdr>
            <w:top w:val="none" w:sz="0" w:space="0" w:color="auto"/>
            <w:left w:val="none" w:sz="0" w:space="0" w:color="auto"/>
            <w:bottom w:val="none" w:sz="0" w:space="0" w:color="auto"/>
            <w:right w:val="none" w:sz="0" w:space="0" w:color="auto"/>
          </w:divBdr>
          <w:divsChild>
            <w:div w:id="215358105">
              <w:marLeft w:val="0"/>
              <w:marRight w:val="0"/>
              <w:marTop w:val="0"/>
              <w:marBottom w:val="0"/>
              <w:divBdr>
                <w:top w:val="none" w:sz="0" w:space="0" w:color="auto"/>
                <w:left w:val="none" w:sz="0" w:space="0" w:color="auto"/>
                <w:bottom w:val="none" w:sz="0" w:space="0" w:color="auto"/>
                <w:right w:val="none" w:sz="0" w:space="0" w:color="auto"/>
              </w:divBdr>
              <w:divsChild>
                <w:div w:id="957024884">
                  <w:marLeft w:val="0"/>
                  <w:marRight w:val="0"/>
                  <w:marTop w:val="0"/>
                  <w:marBottom w:val="0"/>
                  <w:divBdr>
                    <w:top w:val="none" w:sz="0" w:space="0" w:color="auto"/>
                    <w:left w:val="none" w:sz="0" w:space="0" w:color="auto"/>
                    <w:bottom w:val="none" w:sz="0" w:space="0" w:color="auto"/>
                    <w:right w:val="none" w:sz="0" w:space="0" w:color="auto"/>
                  </w:divBdr>
                  <w:divsChild>
                    <w:div w:id="1704987245">
                      <w:marLeft w:val="0"/>
                      <w:marRight w:val="0"/>
                      <w:marTop w:val="0"/>
                      <w:marBottom w:val="0"/>
                      <w:divBdr>
                        <w:top w:val="none" w:sz="0" w:space="0" w:color="auto"/>
                        <w:left w:val="none" w:sz="0" w:space="0" w:color="auto"/>
                        <w:bottom w:val="none" w:sz="0" w:space="0" w:color="auto"/>
                        <w:right w:val="none" w:sz="0" w:space="0" w:color="auto"/>
                      </w:divBdr>
                      <w:divsChild>
                        <w:div w:id="1459105711">
                          <w:marLeft w:val="0"/>
                          <w:marRight w:val="0"/>
                          <w:marTop w:val="0"/>
                          <w:marBottom w:val="0"/>
                          <w:divBdr>
                            <w:top w:val="none" w:sz="0" w:space="0" w:color="auto"/>
                            <w:left w:val="none" w:sz="0" w:space="0" w:color="auto"/>
                            <w:bottom w:val="none" w:sz="0" w:space="0" w:color="auto"/>
                            <w:right w:val="none" w:sz="0" w:space="0" w:color="auto"/>
                          </w:divBdr>
                          <w:divsChild>
                            <w:div w:id="873081548">
                              <w:marLeft w:val="0"/>
                              <w:marRight w:val="0"/>
                              <w:marTop w:val="0"/>
                              <w:marBottom w:val="0"/>
                              <w:divBdr>
                                <w:top w:val="none" w:sz="0" w:space="0" w:color="auto"/>
                                <w:left w:val="none" w:sz="0" w:space="0" w:color="auto"/>
                                <w:bottom w:val="none" w:sz="0" w:space="0" w:color="auto"/>
                                <w:right w:val="none" w:sz="0" w:space="0" w:color="auto"/>
                              </w:divBdr>
                              <w:divsChild>
                                <w:div w:id="1666586724">
                                  <w:marLeft w:val="0"/>
                                  <w:marRight w:val="0"/>
                                  <w:marTop w:val="0"/>
                                  <w:marBottom w:val="0"/>
                                  <w:divBdr>
                                    <w:top w:val="none" w:sz="0" w:space="0" w:color="auto"/>
                                    <w:left w:val="none" w:sz="0" w:space="0" w:color="auto"/>
                                    <w:bottom w:val="none" w:sz="0" w:space="0" w:color="auto"/>
                                    <w:right w:val="none" w:sz="0" w:space="0" w:color="auto"/>
                                  </w:divBdr>
                                  <w:divsChild>
                                    <w:div w:id="80670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776381">
                      <w:marLeft w:val="0"/>
                      <w:marRight w:val="0"/>
                      <w:marTop w:val="0"/>
                      <w:marBottom w:val="0"/>
                      <w:divBdr>
                        <w:top w:val="none" w:sz="0" w:space="0" w:color="auto"/>
                        <w:left w:val="none" w:sz="0" w:space="0" w:color="auto"/>
                        <w:bottom w:val="none" w:sz="0" w:space="0" w:color="auto"/>
                        <w:right w:val="none" w:sz="0" w:space="0" w:color="auto"/>
                      </w:divBdr>
                      <w:divsChild>
                        <w:div w:id="197887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7339782">
      <w:bodyDiv w:val="1"/>
      <w:marLeft w:val="0"/>
      <w:marRight w:val="0"/>
      <w:marTop w:val="0"/>
      <w:marBottom w:val="0"/>
      <w:divBdr>
        <w:top w:val="none" w:sz="0" w:space="0" w:color="auto"/>
        <w:left w:val="none" w:sz="0" w:space="0" w:color="auto"/>
        <w:bottom w:val="none" w:sz="0" w:space="0" w:color="auto"/>
        <w:right w:val="none" w:sz="0" w:space="0" w:color="auto"/>
      </w:divBdr>
    </w:div>
    <w:div w:id="373312123">
      <w:bodyDiv w:val="1"/>
      <w:marLeft w:val="0"/>
      <w:marRight w:val="0"/>
      <w:marTop w:val="0"/>
      <w:marBottom w:val="0"/>
      <w:divBdr>
        <w:top w:val="none" w:sz="0" w:space="0" w:color="auto"/>
        <w:left w:val="none" w:sz="0" w:space="0" w:color="auto"/>
        <w:bottom w:val="none" w:sz="0" w:space="0" w:color="auto"/>
        <w:right w:val="none" w:sz="0" w:space="0" w:color="auto"/>
      </w:divBdr>
    </w:div>
    <w:div w:id="386300935">
      <w:bodyDiv w:val="1"/>
      <w:marLeft w:val="0"/>
      <w:marRight w:val="0"/>
      <w:marTop w:val="0"/>
      <w:marBottom w:val="0"/>
      <w:divBdr>
        <w:top w:val="none" w:sz="0" w:space="0" w:color="auto"/>
        <w:left w:val="none" w:sz="0" w:space="0" w:color="auto"/>
        <w:bottom w:val="none" w:sz="0" w:space="0" w:color="auto"/>
        <w:right w:val="none" w:sz="0" w:space="0" w:color="auto"/>
      </w:divBdr>
    </w:div>
    <w:div w:id="388651708">
      <w:bodyDiv w:val="1"/>
      <w:marLeft w:val="0"/>
      <w:marRight w:val="0"/>
      <w:marTop w:val="0"/>
      <w:marBottom w:val="0"/>
      <w:divBdr>
        <w:top w:val="none" w:sz="0" w:space="0" w:color="auto"/>
        <w:left w:val="none" w:sz="0" w:space="0" w:color="auto"/>
        <w:bottom w:val="none" w:sz="0" w:space="0" w:color="auto"/>
        <w:right w:val="none" w:sz="0" w:space="0" w:color="auto"/>
      </w:divBdr>
    </w:div>
    <w:div w:id="389500200">
      <w:bodyDiv w:val="1"/>
      <w:marLeft w:val="0"/>
      <w:marRight w:val="0"/>
      <w:marTop w:val="0"/>
      <w:marBottom w:val="0"/>
      <w:divBdr>
        <w:top w:val="none" w:sz="0" w:space="0" w:color="auto"/>
        <w:left w:val="none" w:sz="0" w:space="0" w:color="auto"/>
        <w:bottom w:val="none" w:sz="0" w:space="0" w:color="auto"/>
        <w:right w:val="none" w:sz="0" w:space="0" w:color="auto"/>
      </w:divBdr>
    </w:div>
    <w:div w:id="391198573">
      <w:bodyDiv w:val="1"/>
      <w:marLeft w:val="0"/>
      <w:marRight w:val="0"/>
      <w:marTop w:val="0"/>
      <w:marBottom w:val="0"/>
      <w:divBdr>
        <w:top w:val="none" w:sz="0" w:space="0" w:color="auto"/>
        <w:left w:val="none" w:sz="0" w:space="0" w:color="auto"/>
        <w:bottom w:val="none" w:sz="0" w:space="0" w:color="auto"/>
        <w:right w:val="none" w:sz="0" w:space="0" w:color="auto"/>
      </w:divBdr>
      <w:divsChild>
        <w:div w:id="49499799">
          <w:marLeft w:val="0"/>
          <w:marRight w:val="0"/>
          <w:marTop w:val="0"/>
          <w:marBottom w:val="0"/>
          <w:divBdr>
            <w:top w:val="none" w:sz="0" w:space="0" w:color="auto"/>
            <w:left w:val="none" w:sz="0" w:space="0" w:color="auto"/>
            <w:bottom w:val="none" w:sz="0" w:space="0" w:color="auto"/>
            <w:right w:val="none" w:sz="0" w:space="0" w:color="auto"/>
          </w:divBdr>
          <w:divsChild>
            <w:div w:id="2133402329">
              <w:marLeft w:val="0"/>
              <w:marRight w:val="0"/>
              <w:marTop w:val="0"/>
              <w:marBottom w:val="0"/>
              <w:divBdr>
                <w:top w:val="none" w:sz="0" w:space="0" w:color="auto"/>
                <w:left w:val="none" w:sz="0" w:space="0" w:color="auto"/>
                <w:bottom w:val="none" w:sz="0" w:space="0" w:color="auto"/>
                <w:right w:val="none" w:sz="0" w:space="0" w:color="auto"/>
              </w:divBdr>
              <w:divsChild>
                <w:div w:id="111051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826359">
          <w:marLeft w:val="0"/>
          <w:marRight w:val="0"/>
          <w:marTop w:val="0"/>
          <w:marBottom w:val="0"/>
          <w:divBdr>
            <w:top w:val="none" w:sz="0" w:space="0" w:color="auto"/>
            <w:left w:val="none" w:sz="0" w:space="0" w:color="auto"/>
            <w:bottom w:val="none" w:sz="0" w:space="0" w:color="auto"/>
            <w:right w:val="none" w:sz="0" w:space="0" w:color="auto"/>
          </w:divBdr>
          <w:divsChild>
            <w:div w:id="106658038">
              <w:marLeft w:val="0"/>
              <w:marRight w:val="0"/>
              <w:marTop w:val="0"/>
              <w:marBottom w:val="0"/>
              <w:divBdr>
                <w:top w:val="none" w:sz="0" w:space="0" w:color="auto"/>
                <w:left w:val="none" w:sz="0" w:space="0" w:color="auto"/>
                <w:bottom w:val="none" w:sz="0" w:space="0" w:color="auto"/>
                <w:right w:val="none" w:sz="0" w:space="0" w:color="auto"/>
              </w:divBdr>
              <w:divsChild>
                <w:div w:id="204605277">
                  <w:marLeft w:val="0"/>
                  <w:marRight w:val="0"/>
                  <w:marTop w:val="0"/>
                  <w:marBottom w:val="0"/>
                  <w:divBdr>
                    <w:top w:val="none" w:sz="0" w:space="0" w:color="auto"/>
                    <w:left w:val="none" w:sz="0" w:space="0" w:color="auto"/>
                    <w:bottom w:val="none" w:sz="0" w:space="0" w:color="auto"/>
                    <w:right w:val="none" w:sz="0" w:space="0" w:color="auto"/>
                  </w:divBdr>
                  <w:divsChild>
                    <w:div w:id="28897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632490">
      <w:bodyDiv w:val="1"/>
      <w:marLeft w:val="0"/>
      <w:marRight w:val="0"/>
      <w:marTop w:val="0"/>
      <w:marBottom w:val="0"/>
      <w:divBdr>
        <w:top w:val="none" w:sz="0" w:space="0" w:color="auto"/>
        <w:left w:val="none" w:sz="0" w:space="0" w:color="auto"/>
        <w:bottom w:val="none" w:sz="0" w:space="0" w:color="auto"/>
        <w:right w:val="none" w:sz="0" w:space="0" w:color="auto"/>
      </w:divBdr>
    </w:div>
    <w:div w:id="401560506">
      <w:bodyDiv w:val="1"/>
      <w:marLeft w:val="0"/>
      <w:marRight w:val="0"/>
      <w:marTop w:val="0"/>
      <w:marBottom w:val="0"/>
      <w:divBdr>
        <w:top w:val="none" w:sz="0" w:space="0" w:color="auto"/>
        <w:left w:val="none" w:sz="0" w:space="0" w:color="auto"/>
        <w:bottom w:val="none" w:sz="0" w:space="0" w:color="auto"/>
        <w:right w:val="none" w:sz="0" w:space="0" w:color="auto"/>
      </w:divBdr>
    </w:div>
    <w:div w:id="401949981">
      <w:bodyDiv w:val="1"/>
      <w:marLeft w:val="0"/>
      <w:marRight w:val="0"/>
      <w:marTop w:val="0"/>
      <w:marBottom w:val="0"/>
      <w:divBdr>
        <w:top w:val="none" w:sz="0" w:space="0" w:color="auto"/>
        <w:left w:val="none" w:sz="0" w:space="0" w:color="auto"/>
        <w:bottom w:val="none" w:sz="0" w:space="0" w:color="auto"/>
        <w:right w:val="none" w:sz="0" w:space="0" w:color="auto"/>
      </w:divBdr>
    </w:div>
    <w:div w:id="418792848">
      <w:bodyDiv w:val="1"/>
      <w:marLeft w:val="0"/>
      <w:marRight w:val="0"/>
      <w:marTop w:val="0"/>
      <w:marBottom w:val="0"/>
      <w:divBdr>
        <w:top w:val="none" w:sz="0" w:space="0" w:color="auto"/>
        <w:left w:val="none" w:sz="0" w:space="0" w:color="auto"/>
        <w:bottom w:val="none" w:sz="0" w:space="0" w:color="auto"/>
        <w:right w:val="none" w:sz="0" w:space="0" w:color="auto"/>
      </w:divBdr>
    </w:div>
    <w:div w:id="419369959">
      <w:bodyDiv w:val="1"/>
      <w:marLeft w:val="0"/>
      <w:marRight w:val="0"/>
      <w:marTop w:val="0"/>
      <w:marBottom w:val="0"/>
      <w:divBdr>
        <w:top w:val="none" w:sz="0" w:space="0" w:color="auto"/>
        <w:left w:val="none" w:sz="0" w:space="0" w:color="auto"/>
        <w:bottom w:val="none" w:sz="0" w:space="0" w:color="auto"/>
        <w:right w:val="none" w:sz="0" w:space="0" w:color="auto"/>
      </w:divBdr>
    </w:div>
    <w:div w:id="420832515">
      <w:bodyDiv w:val="1"/>
      <w:marLeft w:val="0"/>
      <w:marRight w:val="0"/>
      <w:marTop w:val="0"/>
      <w:marBottom w:val="0"/>
      <w:divBdr>
        <w:top w:val="none" w:sz="0" w:space="0" w:color="auto"/>
        <w:left w:val="none" w:sz="0" w:space="0" w:color="auto"/>
        <w:bottom w:val="none" w:sz="0" w:space="0" w:color="auto"/>
        <w:right w:val="none" w:sz="0" w:space="0" w:color="auto"/>
      </w:divBdr>
    </w:div>
    <w:div w:id="432701012">
      <w:bodyDiv w:val="1"/>
      <w:marLeft w:val="0"/>
      <w:marRight w:val="0"/>
      <w:marTop w:val="0"/>
      <w:marBottom w:val="0"/>
      <w:divBdr>
        <w:top w:val="none" w:sz="0" w:space="0" w:color="auto"/>
        <w:left w:val="none" w:sz="0" w:space="0" w:color="auto"/>
        <w:bottom w:val="none" w:sz="0" w:space="0" w:color="auto"/>
        <w:right w:val="none" w:sz="0" w:space="0" w:color="auto"/>
      </w:divBdr>
    </w:div>
    <w:div w:id="436829363">
      <w:bodyDiv w:val="1"/>
      <w:marLeft w:val="0"/>
      <w:marRight w:val="0"/>
      <w:marTop w:val="0"/>
      <w:marBottom w:val="0"/>
      <w:divBdr>
        <w:top w:val="none" w:sz="0" w:space="0" w:color="auto"/>
        <w:left w:val="none" w:sz="0" w:space="0" w:color="auto"/>
        <w:bottom w:val="none" w:sz="0" w:space="0" w:color="auto"/>
        <w:right w:val="none" w:sz="0" w:space="0" w:color="auto"/>
      </w:divBdr>
    </w:div>
    <w:div w:id="437800971">
      <w:bodyDiv w:val="1"/>
      <w:marLeft w:val="0"/>
      <w:marRight w:val="0"/>
      <w:marTop w:val="0"/>
      <w:marBottom w:val="0"/>
      <w:divBdr>
        <w:top w:val="none" w:sz="0" w:space="0" w:color="auto"/>
        <w:left w:val="none" w:sz="0" w:space="0" w:color="auto"/>
        <w:bottom w:val="none" w:sz="0" w:space="0" w:color="auto"/>
        <w:right w:val="none" w:sz="0" w:space="0" w:color="auto"/>
      </w:divBdr>
    </w:div>
    <w:div w:id="444664417">
      <w:bodyDiv w:val="1"/>
      <w:marLeft w:val="0"/>
      <w:marRight w:val="0"/>
      <w:marTop w:val="0"/>
      <w:marBottom w:val="0"/>
      <w:divBdr>
        <w:top w:val="none" w:sz="0" w:space="0" w:color="auto"/>
        <w:left w:val="none" w:sz="0" w:space="0" w:color="auto"/>
        <w:bottom w:val="none" w:sz="0" w:space="0" w:color="auto"/>
        <w:right w:val="none" w:sz="0" w:space="0" w:color="auto"/>
      </w:divBdr>
    </w:div>
    <w:div w:id="449519577">
      <w:bodyDiv w:val="1"/>
      <w:marLeft w:val="0"/>
      <w:marRight w:val="0"/>
      <w:marTop w:val="0"/>
      <w:marBottom w:val="0"/>
      <w:divBdr>
        <w:top w:val="none" w:sz="0" w:space="0" w:color="auto"/>
        <w:left w:val="none" w:sz="0" w:space="0" w:color="auto"/>
        <w:bottom w:val="none" w:sz="0" w:space="0" w:color="auto"/>
        <w:right w:val="none" w:sz="0" w:space="0" w:color="auto"/>
      </w:divBdr>
    </w:div>
    <w:div w:id="450981011">
      <w:bodyDiv w:val="1"/>
      <w:marLeft w:val="0"/>
      <w:marRight w:val="0"/>
      <w:marTop w:val="0"/>
      <w:marBottom w:val="0"/>
      <w:divBdr>
        <w:top w:val="none" w:sz="0" w:space="0" w:color="auto"/>
        <w:left w:val="none" w:sz="0" w:space="0" w:color="auto"/>
        <w:bottom w:val="none" w:sz="0" w:space="0" w:color="auto"/>
        <w:right w:val="none" w:sz="0" w:space="0" w:color="auto"/>
      </w:divBdr>
    </w:div>
    <w:div w:id="461310767">
      <w:bodyDiv w:val="1"/>
      <w:marLeft w:val="0"/>
      <w:marRight w:val="0"/>
      <w:marTop w:val="0"/>
      <w:marBottom w:val="0"/>
      <w:divBdr>
        <w:top w:val="none" w:sz="0" w:space="0" w:color="auto"/>
        <w:left w:val="none" w:sz="0" w:space="0" w:color="auto"/>
        <w:bottom w:val="none" w:sz="0" w:space="0" w:color="auto"/>
        <w:right w:val="none" w:sz="0" w:space="0" w:color="auto"/>
      </w:divBdr>
    </w:div>
    <w:div w:id="465516374">
      <w:bodyDiv w:val="1"/>
      <w:marLeft w:val="0"/>
      <w:marRight w:val="0"/>
      <w:marTop w:val="0"/>
      <w:marBottom w:val="0"/>
      <w:divBdr>
        <w:top w:val="none" w:sz="0" w:space="0" w:color="auto"/>
        <w:left w:val="none" w:sz="0" w:space="0" w:color="auto"/>
        <w:bottom w:val="none" w:sz="0" w:space="0" w:color="auto"/>
        <w:right w:val="none" w:sz="0" w:space="0" w:color="auto"/>
      </w:divBdr>
    </w:div>
    <w:div w:id="467746891">
      <w:bodyDiv w:val="1"/>
      <w:marLeft w:val="0"/>
      <w:marRight w:val="0"/>
      <w:marTop w:val="0"/>
      <w:marBottom w:val="0"/>
      <w:divBdr>
        <w:top w:val="none" w:sz="0" w:space="0" w:color="auto"/>
        <w:left w:val="none" w:sz="0" w:space="0" w:color="auto"/>
        <w:bottom w:val="none" w:sz="0" w:space="0" w:color="auto"/>
        <w:right w:val="none" w:sz="0" w:space="0" w:color="auto"/>
      </w:divBdr>
    </w:div>
    <w:div w:id="477652757">
      <w:bodyDiv w:val="1"/>
      <w:marLeft w:val="0"/>
      <w:marRight w:val="0"/>
      <w:marTop w:val="0"/>
      <w:marBottom w:val="0"/>
      <w:divBdr>
        <w:top w:val="none" w:sz="0" w:space="0" w:color="auto"/>
        <w:left w:val="none" w:sz="0" w:space="0" w:color="auto"/>
        <w:bottom w:val="none" w:sz="0" w:space="0" w:color="auto"/>
        <w:right w:val="none" w:sz="0" w:space="0" w:color="auto"/>
      </w:divBdr>
    </w:div>
    <w:div w:id="483468683">
      <w:bodyDiv w:val="1"/>
      <w:marLeft w:val="0"/>
      <w:marRight w:val="0"/>
      <w:marTop w:val="0"/>
      <w:marBottom w:val="0"/>
      <w:divBdr>
        <w:top w:val="none" w:sz="0" w:space="0" w:color="auto"/>
        <w:left w:val="none" w:sz="0" w:space="0" w:color="auto"/>
        <w:bottom w:val="none" w:sz="0" w:space="0" w:color="auto"/>
        <w:right w:val="none" w:sz="0" w:space="0" w:color="auto"/>
      </w:divBdr>
    </w:div>
    <w:div w:id="485826447">
      <w:bodyDiv w:val="1"/>
      <w:marLeft w:val="0"/>
      <w:marRight w:val="0"/>
      <w:marTop w:val="0"/>
      <w:marBottom w:val="0"/>
      <w:divBdr>
        <w:top w:val="none" w:sz="0" w:space="0" w:color="auto"/>
        <w:left w:val="none" w:sz="0" w:space="0" w:color="auto"/>
        <w:bottom w:val="none" w:sz="0" w:space="0" w:color="auto"/>
        <w:right w:val="none" w:sz="0" w:space="0" w:color="auto"/>
      </w:divBdr>
    </w:div>
    <w:div w:id="519389703">
      <w:bodyDiv w:val="1"/>
      <w:marLeft w:val="0"/>
      <w:marRight w:val="0"/>
      <w:marTop w:val="0"/>
      <w:marBottom w:val="0"/>
      <w:divBdr>
        <w:top w:val="none" w:sz="0" w:space="0" w:color="auto"/>
        <w:left w:val="none" w:sz="0" w:space="0" w:color="auto"/>
        <w:bottom w:val="none" w:sz="0" w:space="0" w:color="auto"/>
        <w:right w:val="none" w:sz="0" w:space="0" w:color="auto"/>
      </w:divBdr>
    </w:div>
    <w:div w:id="523790185">
      <w:bodyDiv w:val="1"/>
      <w:marLeft w:val="0"/>
      <w:marRight w:val="0"/>
      <w:marTop w:val="0"/>
      <w:marBottom w:val="0"/>
      <w:divBdr>
        <w:top w:val="none" w:sz="0" w:space="0" w:color="auto"/>
        <w:left w:val="none" w:sz="0" w:space="0" w:color="auto"/>
        <w:bottom w:val="none" w:sz="0" w:space="0" w:color="auto"/>
        <w:right w:val="none" w:sz="0" w:space="0" w:color="auto"/>
      </w:divBdr>
    </w:div>
    <w:div w:id="525218531">
      <w:bodyDiv w:val="1"/>
      <w:marLeft w:val="0"/>
      <w:marRight w:val="0"/>
      <w:marTop w:val="0"/>
      <w:marBottom w:val="0"/>
      <w:divBdr>
        <w:top w:val="none" w:sz="0" w:space="0" w:color="auto"/>
        <w:left w:val="none" w:sz="0" w:space="0" w:color="auto"/>
        <w:bottom w:val="none" w:sz="0" w:space="0" w:color="auto"/>
        <w:right w:val="none" w:sz="0" w:space="0" w:color="auto"/>
      </w:divBdr>
    </w:div>
    <w:div w:id="530995910">
      <w:bodyDiv w:val="1"/>
      <w:marLeft w:val="0"/>
      <w:marRight w:val="0"/>
      <w:marTop w:val="0"/>
      <w:marBottom w:val="0"/>
      <w:divBdr>
        <w:top w:val="none" w:sz="0" w:space="0" w:color="auto"/>
        <w:left w:val="none" w:sz="0" w:space="0" w:color="auto"/>
        <w:bottom w:val="none" w:sz="0" w:space="0" w:color="auto"/>
        <w:right w:val="none" w:sz="0" w:space="0" w:color="auto"/>
      </w:divBdr>
    </w:div>
    <w:div w:id="538588566">
      <w:bodyDiv w:val="1"/>
      <w:marLeft w:val="0"/>
      <w:marRight w:val="0"/>
      <w:marTop w:val="0"/>
      <w:marBottom w:val="0"/>
      <w:divBdr>
        <w:top w:val="none" w:sz="0" w:space="0" w:color="auto"/>
        <w:left w:val="none" w:sz="0" w:space="0" w:color="auto"/>
        <w:bottom w:val="none" w:sz="0" w:space="0" w:color="auto"/>
        <w:right w:val="none" w:sz="0" w:space="0" w:color="auto"/>
      </w:divBdr>
    </w:div>
    <w:div w:id="557520239">
      <w:bodyDiv w:val="1"/>
      <w:marLeft w:val="0"/>
      <w:marRight w:val="0"/>
      <w:marTop w:val="0"/>
      <w:marBottom w:val="0"/>
      <w:divBdr>
        <w:top w:val="none" w:sz="0" w:space="0" w:color="auto"/>
        <w:left w:val="none" w:sz="0" w:space="0" w:color="auto"/>
        <w:bottom w:val="none" w:sz="0" w:space="0" w:color="auto"/>
        <w:right w:val="none" w:sz="0" w:space="0" w:color="auto"/>
      </w:divBdr>
    </w:div>
    <w:div w:id="559944660">
      <w:bodyDiv w:val="1"/>
      <w:marLeft w:val="0"/>
      <w:marRight w:val="0"/>
      <w:marTop w:val="0"/>
      <w:marBottom w:val="0"/>
      <w:divBdr>
        <w:top w:val="none" w:sz="0" w:space="0" w:color="auto"/>
        <w:left w:val="none" w:sz="0" w:space="0" w:color="auto"/>
        <w:bottom w:val="none" w:sz="0" w:space="0" w:color="auto"/>
        <w:right w:val="none" w:sz="0" w:space="0" w:color="auto"/>
      </w:divBdr>
    </w:div>
    <w:div w:id="563834867">
      <w:bodyDiv w:val="1"/>
      <w:marLeft w:val="0"/>
      <w:marRight w:val="0"/>
      <w:marTop w:val="0"/>
      <w:marBottom w:val="0"/>
      <w:divBdr>
        <w:top w:val="none" w:sz="0" w:space="0" w:color="auto"/>
        <w:left w:val="none" w:sz="0" w:space="0" w:color="auto"/>
        <w:bottom w:val="none" w:sz="0" w:space="0" w:color="auto"/>
        <w:right w:val="none" w:sz="0" w:space="0" w:color="auto"/>
      </w:divBdr>
    </w:div>
    <w:div w:id="574899974">
      <w:bodyDiv w:val="1"/>
      <w:marLeft w:val="0"/>
      <w:marRight w:val="0"/>
      <w:marTop w:val="0"/>
      <w:marBottom w:val="0"/>
      <w:divBdr>
        <w:top w:val="none" w:sz="0" w:space="0" w:color="auto"/>
        <w:left w:val="none" w:sz="0" w:space="0" w:color="auto"/>
        <w:bottom w:val="none" w:sz="0" w:space="0" w:color="auto"/>
        <w:right w:val="none" w:sz="0" w:space="0" w:color="auto"/>
      </w:divBdr>
    </w:div>
    <w:div w:id="581640233">
      <w:bodyDiv w:val="1"/>
      <w:marLeft w:val="0"/>
      <w:marRight w:val="0"/>
      <w:marTop w:val="0"/>
      <w:marBottom w:val="0"/>
      <w:divBdr>
        <w:top w:val="none" w:sz="0" w:space="0" w:color="auto"/>
        <w:left w:val="none" w:sz="0" w:space="0" w:color="auto"/>
        <w:bottom w:val="none" w:sz="0" w:space="0" w:color="auto"/>
        <w:right w:val="none" w:sz="0" w:space="0" w:color="auto"/>
      </w:divBdr>
    </w:div>
    <w:div w:id="624047158">
      <w:bodyDiv w:val="1"/>
      <w:marLeft w:val="0"/>
      <w:marRight w:val="0"/>
      <w:marTop w:val="0"/>
      <w:marBottom w:val="0"/>
      <w:divBdr>
        <w:top w:val="none" w:sz="0" w:space="0" w:color="auto"/>
        <w:left w:val="none" w:sz="0" w:space="0" w:color="auto"/>
        <w:bottom w:val="none" w:sz="0" w:space="0" w:color="auto"/>
        <w:right w:val="none" w:sz="0" w:space="0" w:color="auto"/>
      </w:divBdr>
    </w:div>
    <w:div w:id="632367360">
      <w:bodyDiv w:val="1"/>
      <w:marLeft w:val="0"/>
      <w:marRight w:val="0"/>
      <w:marTop w:val="0"/>
      <w:marBottom w:val="0"/>
      <w:divBdr>
        <w:top w:val="none" w:sz="0" w:space="0" w:color="auto"/>
        <w:left w:val="none" w:sz="0" w:space="0" w:color="auto"/>
        <w:bottom w:val="none" w:sz="0" w:space="0" w:color="auto"/>
        <w:right w:val="none" w:sz="0" w:space="0" w:color="auto"/>
      </w:divBdr>
    </w:div>
    <w:div w:id="634414213">
      <w:bodyDiv w:val="1"/>
      <w:marLeft w:val="0"/>
      <w:marRight w:val="0"/>
      <w:marTop w:val="0"/>
      <w:marBottom w:val="0"/>
      <w:divBdr>
        <w:top w:val="none" w:sz="0" w:space="0" w:color="auto"/>
        <w:left w:val="none" w:sz="0" w:space="0" w:color="auto"/>
        <w:bottom w:val="none" w:sz="0" w:space="0" w:color="auto"/>
        <w:right w:val="none" w:sz="0" w:space="0" w:color="auto"/>
      </w:divBdr>
    </w:div>
    <w:div w:id="643240369">
      <w:bodyDiv w:val="1"/>
      <w:marLeft w:val="0"/>
      <w:marRight w:val="0"/>
      <w:marTop w:val="0"/>
      <w:marBottom w:val="0"/>
      <w:divBdr>
        <w:top w:val="none" w:sz="0" w:space="0" w:color="auto"/>
        <w:left w:val="none" w:sz="0" w:space="0" w:color="auto"/>
        <w:bottom w:val="none" w:sz="0" w:space="0" w:color="auto"/>
        <w:right w:val="none" w:sz="0" w:space="0" w:color="auto"/>
      </w:divBdr>
    </w:div>
    <w:div w:id="645623121">
      <w:bodyDiv w:val="1"/>
      <w:marLeft w:val="0"/>
      <w:marRight w:val="0"/>
      <w:marTop w:val="0"/>
      <w:marBottom w:val="0"/>
      <w:divBdr>
        <w:top w:val="none" w:sz="0" w:space="0" w:color="auto"/>
        <w:left w:val="none" w:sz="0" w:space="0" w:color="auto"/>
        <w:bottom w:val="none" w:sz="0" w:space="0" w:color="auto"/>
        <w:right w:val="none" w:sz="0" w:space="0" w:color="auto"/>
      </w:divBdr>
    </w:div>
    <w:div w:id="649864378">
      <w:bodyDiv w:val="1"/>
      <w:marLeft w:val="0"/>
      <w:marRight w:val="0"/>
      <w:marTop w:val="0"/>
      <w:marBottom w:val="0"/>
      <w:divBdr>
        <w:top w:val="none" w:sz="0" w:space="0" w:color="auto"/>
        <w:left w:val="none" w:sz="0" w:space="0" w:color="auto"/>
        <w:bottom w:val="none" w:sz="0" w:space="0" w:color="auto"/>
        <w:right w:val="none" w:sz="0" w:space="0" w:color="auto"/>
      </w:divBdr>
    </w:div>
    <w:div w:id="652679027">
      <w:bodyDiv w:val="1"/>
      <w:marLeft w:val="0"/>
      <w:marRight w:val="0"/>
      <w:marTop w:val="0"/>
      <w:marBottom w:val="0"/>
      <w:divBdr>
        <w:top w:val="none" w:sz="0" w:space="0" w:color="auto"/>
        <w:left w:val="none" w:sz="0" w:space="0" w:color="auto"/>
        <w:bottom w:val="none" w:sz="0" w:space="0" w:color="auto"/>
        <w:right w:val="none" w:sz="0" w:space="0" w:color="auto"/>
      </w:divBdr>
      <w:divsChild>
        <w:div w:id="967735549">
          <w:marLeft w:val="0"/>
          <w:marRight w:val="0"/>
          <w:marTop w:val="0"/>
          <w:marBottom w:val="0"/>
          <w:divBdr>
            <w:top w:val="none" w:sz="0" w:space="0" w:color="auto"/>
            <w:left w:val="none" w:sz="0" w:space="0" w:color="auto"/>
            <w:bottom w:val="none" w:sz="0" w:space="0" w:color="auto"/>
            <w:right w:val="none" w:sz="0" w:space="0" w:color="auto"/>
          </w:divBdr>
          <w:divsChild>
            <w:div w:id="1851947999">
              <w:marLeft w:val="0"/>
              <w:marRight w:val="0"/>
              <w:marTop w:val="0"/>
              <w:marBottom w:val="0"/>
              <w:divBdr>
                <w:top w:val="none" w:sz="0" w:space="0" w:color="auto"/>
                <w:left w:val="none" w:sz="0" w:space="0" w:color="auto"/>
                <w:bottom w:val="none" w:sz="0" w:space="0" w:color="auto"/>
                <w:right w:val="none" w:sz="0" w:space="0" w:color="auto"/>
              </w:divBdr>
              <w:divsChild>
                <w:div w:id="415781686">
                  <w:marLeft w:val="0"/>
                  <w:marRight w:val="0"/>
                  <w:marTop w:val="0"/>
                  <w:marBottom w:val="0"/>
                  <w:divBdr>
                    <w:top w:val="none" w:sz="0" w:space="0" w:color="auto"/>
                    <w:left w:val="none" w:sz="0" w:space="0" w:color="auto"/>
                    <w:bottom w:val="none" w:sz="0" w:space="0" w:color="auto"/>
                    <w:right w:val="none" w:sz="0" w:space="0" w:color="auto"/>
                  </w:divBdr>
                  <w:divsChild>
                    <w:div w:id="378284159">
                      <w:marLeft w:val="0"/>
                      <w:marRight w:val="0"/>
                      <w:marTop w:val="0"/>
                      <w:marBottom w:val="0"/>
                      <w:divBdr>
                        <w:top w:val="none" w:sz="0" w:space="0" w:color="auto"/>
                        <w:left w:val="none" w:sz="0" w:space="0" w:color="auto"/>
                        <w:bottom w:val="none" w:sz="0" w:space="0" w:color="auto"/>
                        <w:right w:val="none" w:sz="0" w:space="0" w:color="auto"/>
                      </w:divBdr>
                      <w:divsChild>
                        <w:div w:id="1186090167">
                          <w:marLeft w:val="0"/>
                          <w:marRight w:val="0"/>
                          <w:marTop w:val="0"/>
                          <w:marBottom w:val="0"/>
                          <w:divBdr>
                            <w:top w:val="none" w:sz="0" w:space="0" w:color="auto"/>
                            <w:left w:val="none" w:sz="0" w:space="0" w:color="auto"/>
                            <w:bottom w:val="none" w:sz="0" w:space="0" w:color="auto"/>
                            <w:right w:val="none" w:sz="0" w:space="0" w:color="auto"/>
                          </w:divBdr>
                          <w:divsChild>
                            <w:div w:id="1190024713">
                              <w:marLeft w:val="0"/>
                              <w:marRight w:val="0"/>
                              <w:marTop w:val="0"/>
                              <w:marBottom w:val="0"/>
                              <w:divBdr>
                                <w:top w:val="none" w:sz="0" w:space="0" w:color="auto"/>
                                <w:left w:val="none" w:sz="0" w:space="0" w:color="auto"/>
                                <w:bottom w:val="none" w:sz="0" w:space="0" w:color="auto"/>
                                <w:right w:val="none" w:sz="0" w:space="0" w:color="auto"/>
                              </w:divBdr>
                              <w:divsChild>
                                <w:div w:id="36198648">
                                  <w:marLeft w:val="0"/>
                                  <w:marRight w:val="0"/>
                                  <w:marTop w:val="0"/>
                                  <w:marBottom w:val="0"/>
                                  <w:divBdr>
                                    <w:top w:val="none" w:sz="0" w:space="0" w:color="auto"/>
                                    <w:left w:val="none" w:sz="0" w:space="0" w:color="auto"/>
                                    <w:bottom w:val="none" w:sz="0" w:space="0" w:color="auto"/>
                                    <w:right w:val="none" w:sz="0" w:space="0" w:color="auto"/>
                                  </w:divBdr>
                                  <w:divsChild>
                                    <w:div w:id="67719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6371947">
      <w:bodyDiv w:val="1"/>
      <w:marLeft w:val="0"/>
      <w:marRight w:val="0"/>
      <w:marTop w:val="0"/>
      <w:marBottom w:val="0"/>
      <w:divBdr>
        <w:top w:val="none" w:sz="0" w:space="0" w:color="auto"/>
        <w:left w:val="none" w:sz="0" w:space="0" w:color="auto"/>
        <w:bottom w:val="none" w:sz="0" w:space="0" w:color="auto"/>
        <w:right w:val="none" w:sz="0" w:space="0" w:color="auto"/>
      </w:divBdr>
    </w:div>
    <w:div w:id="670722253">
      <w:bodyDiv w:val="1"/>
      <w:marLeft w:val="0"/>
      <w:marRight w:val="0"/>
      <w:marTop w:val="0"/>
      <w:marBottom w:val="0"/>
      <w:divBdr>
        <w:top w:val="none" w:sz="0" w:space="0" w:color="auto"/>
        <w:left w:val="none" w:sz="0" w:space="0" w:color="auto"/>
        <w:bottom w:val="none" w:sz="0" w:space="0" w:color="auto"/>
        <w:right w:val="none" w:sz="0" w:space="0" w:color="auto"/>
      </w:divBdr>
    </w:div>
    <w:div w:id="690839674">
      <w:bodyDiv w:val="1"/>
      <w:marLeft w:val="0"/>
      <w:marRight w:val="0"/>
      <w:marTop w:val="0"/>
      <w:marBottom w:val="0"/>
      <w:divBdr>
        <w:top w:val="none" w:sz="0" w:space="0" w:color="auto"/>
        <w:left w:val="none" w:sz="0" w:space="0" w:color="auto"/>
        <w:bottom w:val="none" w:sz="0" w:space="0" w:color="auto"/>
        <w:right w:val="none" w:sz="0" w:space="0" w:color="auto"/>
      </w:divBdr>
    </w:div>
    <w:div w:id="697197054">
      <w:bodyDiv w:val="1"/>
      <w:marLeft w:val="0"/>
      <w:marRight w:val="0"/>
      <w:marTop w:val="0"/>
      <w:marBottom w:val="0"/>
      <w:divBdr>
        <w:top w:val="none" w:sz="0" w:space="0" w:color="auto"/>
        <w:left w:val="none" w:sz="0" w:space="0" w:color="auto"/>
        <w:bottom w:val="none" w:sz="0" w:space="0" w:color="auto"/>
        <w:right w:val="none" w:sz="0" w:space="0" w:color="auto"/>
      </w:divBdr>
    </w:div>
    <w:div w:id="703940398">
      <w:bodyDiv w:val="1"/>
      <w:marLeft w:val="0"/>
      <w:marRight w:val="0"/>
      <w:marTop w:val="0"/>
      <w:marBottom w:val="0"/>
      <w:divBdr>
        <w:top w:val="none" w:sz="0" w:space="0" w:color="auto"/>
        <w:left w:val="none" w:sz="0" w:space="0" w:color="auto"/>
        <w:bottom w:val="none" w:sz="0" w:space="0" w:color="auto"/>
        <w:right w:val="none" w:sz="0" w:space="0" w:color="auto"/>
      </w:divBdr>
    </w:div>
    <w:div w:id="712928628">
      <w:bodyDiv w:val="1"/>
      <w:marLeft w:val="0"/>
      <w:marRight w:val="0"/>
      <w:marTop w:val="0"/>
      <w:marBottom w:val="0"/>
      <w:divBdr>
        <w:top w:val="none" w:sz="0" w:space="0" w:color="auto"/>
        <w:left w:val="none" w:sz="0" w:space="0" w:color="auto"/>
        <w:bottom w:val="none" w:sz="0" w:space="0" w:color="auto"/>
        <w:right w:val="none" w:sz="0" w:space="0" w:color="auto"/>
      </w:divBdr>
    </w:div>
    <w:div w:id="714234997">
      <w:bodyDiv w:val="1"/>
      <w:marLeft w:val="0"/>
      <w:marRight w:val="0"/>
      <w:marTop w:val="0"/>
      <w:marBottom w:val="0"/>
      <w:divBdr>
        <w:top w:val="none" w:sz="0" w:space="0" w:color="auto"/>
        <w:left w:val="none" w:sz="0" w:space="0" w:color="auto"/>
        <w:bottom w:val="none" w:sz="0" w:space="0" w:color="auto"/>
        <w:right w:val="none" w:sz="0" w:space="0" w:color="auto"/>
      </w:divBdr>
    </w:div>
    <w:div w:id="727845091">
      <w:bodyDiv w:val="1"/>
      <w:marLeft w:val="0"/>
      <w:marRight w:val="0"/>
      <w:marTop w:val="0"/>
      <w:marBottom w:val="0"/>
      <w:divBdr>
        <w:top w:val="none" w:sz="0" w:space="0" w:color="auto"/>
        <w:left w:val="none" w:sz="0" w:space="0" w:color="auto"/>
        <w:bottom w:val="none" w:sz="0" w:space="0" w:color="auto"/>
        <w:right w:val="none" w:sz="0" w:space="0" w:color="auto"/>
      </w:divBdr>
    </w:div>
    <w:div w:id="731080340">
      <w:bodyDiv w:val="1"/>
      <w:marLeft w:val="0"/>
      <w:marRight w:val="0"/>
      <w:marTop w:val="0"/>
      <w:marBottom w:val="0"/>
      <w:divBdr>
        <w:top w:val="none" w:sz="0" w:space="0" w:color="auto"/>
        <w:left w:val="none" w:sz="0" w:space="0" w:color="auto"/>
        <w:bottom w:val="none" w:sz="0" w:space="0" w:color="auto"/>
        <w:right w:val="none" w:sz="0" w:space="0" w:color="auto"/>
      </w:divBdr>
    </w:div>
    <w:div w:id="731122073">
      <w:bodyDiv w:val="1"/>
      <w:marLeft w:val="0"/>
      <w:marRight w:val="0"/>
      <w:marTop w:val="0"/>
      <w:marBottom w:val="0"/>
      <w:divBdr>
        <w:top w:val="none" w:sz="0" w:space="0" w:color="auto"/>
        <w:left w:val="none" w:sz="0" w:space="0" w:color="auto"/>
        <w:bottom w:val="none" w:sz="0" w:space="0" w:color="auto"/>
        <w:right w:val="none" w:sz="0" w:space="0" w:color="auto"/>
      </w:divBdr>
    </w:div>
    <w:div w:id="738671165">
      <w:bodyDiv w:val="1"/>
      <w:marLeft w:val="0"/>
      <w:marRight w:val="0"/>
      <w:marTop w:val="0"/>
      <w:marBottom w:val="0"/>
      <w:divBdr>
        <w:top w:val="none" w:sz="0" w:space="0" w:color="auto"/>
        <w:left w:val="none" w:sz="0" w:space="0" w:color="auto"/>
        <w:bottom w:val="none" w:sz="0" w:space="0" w:color="auto"/>
        <w:right w:val="none" w:sz="0" w:space="0" w:color="auto"/>
      </w:divBdr>
    </w:div>
    <w:div w:id="738943187">
      <w:bodyDiv w:val="1"/>
      <w:marLeft w:val="0"/>
      <w:marRight w:val="0"/>
      <w:marTop w:val="0"/>
      <w:marBottom w:val="0"/>
      <w:divBdr>
        <w:top w:val="none" w:sz="0" w:space="0" w:color="auto"/>
        <w:left w:val="none" w:sz="0" w:space="0" w:color="auto"/>
        <w:bottom w:val="none" w:sz="0" w:space="0" w:color="auto"/>
        <w:right w:val="none" w:sz="0" w:space="0" w:color="auto"/>
      </w:divBdr>
    </w:div>
    <w:div w:id="742262712">
      <w:bodyDiv w:val="1"/>
      <w:marLeft w:val="0"/>
      <w:marRight w:val="0"/>
      <w:marTop w:val="0"/>
      <w:marBottom w:val="0"/>
      <w:divBdr>
        <w:top w:val="none" w:sz="0" w:space="0" w:color="auto"/>
        <w:left w:val="none" w:sz="0" w:space="0" w:color="auto"/>
        <w:bottom w:val="none" w:sz="0" w:space="0" w:color="auto"/>
        <w:right w:val="none" w:sz="0" w:space="0" w:color="auto"/>
      </w:divBdr>
    </w:div>
    <w:div w:id="743339500">
      <w:bodyDiv w:val="1"/>
      <w:marLeft w:val="0"/>
      <w:marRight w:val="0"/>
      <w:marTop w:val="0"/>
      <w:marBottom w:val="0"/>
      <w:divBdr>
        <w:top w:val="none" w:sz="0" w:space="0" w:color="auto"/>
        <w:left w:val="none" w:sz="0" w:space="0" w:color="auto"/>
        <w:bottom w:val="none" w:sz="0" w:space="0" w:color="auto"/>
        <w:right w:val="none" w:sz="0" w:space="0" w:color="auto"/>
      </w:divBdr>
    </w:div>
    <w:div w:id="755127419">
      <w:bodyDiv w:val="1"/>
      <w:marLeft w:val="0"/>
      <w:marRight w:val="0"/>
      <w:marTop w:val="0"/>
      <w:marBottom w:val="0"/>
      <w:divBdr>
        <w:top w:val="none" w:sz="0" w:space="0" w:color="auto"/>
        <w:left w:val="none" w:sz="0" w:space="0" w:color="auto"/>
        <w:bottom w:val="none" w:sz="0" w:space="0" w:color="auto"/>
        <w:right w:val="none" w:sz="0" w:space="0" w:color="auto"/>
      </w:divBdr>
    </w:div>
    <w:div w:id="756098250">
      <w:bodyDiv w:val="1"/>
      <w:marLeft w:val="0"/>
      <w:marRight w:val="0"/>
      <w:marTop w:val="0"/>
      <w:marBottom w:val="0"/>
      <w:divBdr>
        <w:top w:val="none" w:sz="0" w:space="0" w:color="auto"/>
        <w:left w:val="none" w:sz="0" w:space="0" w:color="auto"/>
        <w:bottom w:val="none" w:sz="0" w:space="0" w:color="auto"/>
        <w:right w:val="none" w:sz="0" w:space="0" w:color="auto"/>
      </w:divBdr>
    </w:div>
    <w:div w:id="756636321">
      <w:bodyDiv w:val="1"/>
      <w:marLeft w:val="0"/>
      <w:marRight w:val="0"/>
      <w:marTop w:val="0"/>
      <w:marBottom w:val="0"/>
      <w:divBdr>
        <w:top w:val="none" w:sz="0" w:space="0" w:color="auto"/>
        <w:left w:val="none" w:sz="0" w:space="0" w:color="auto"/>
        <w:bottom w:val="none" w:sz="0" w:space="0" w:color="auto"/>
        <w:right w:val="none" w:sz="0" w:space="0" w:color="auto"/>
      </w:divBdr>
    </w:div>
    <w:div w:id="759378295">
      <w:bodyDiv w:val="1"/>
      <w:marLeft w:val="0"/>
      <w:marRight w:val="0"/>
      <w:marTop w:val="0"/>
      <w:marBottom w:val="0"/>
      <w:divBdr>
        <w:top w:val="none" w:sz="0" w:space="0" w:color="auto"/>
        <w:left w:val="none" w:sz="0" w:space="0" w:color="auto"/>
        <w:bottom w:val="none" w:sz="0" w:space="0" w:color="auto"/>
        <w:right w:val="none" w:sz="0" w:space="0" w:color="auto"/>
      </w:divBdr>
    </w:div>
    <w:div w:id="763108345">
      <w:bodyDiv w:val="1"/>
      <w:marLeft w:val="0"/>
      <w:marRight w:val="0"/>
      <w:marTop w:val="0"/>
      <w:marBottom w:val="0"/>
      <w:divBdr>
        <w:top w:val="none" w:sz="0" w:space="0" w:color="auto"/>
        <w:left w:val="none" w:sz="0" w:space="0" w:color="auto"/>
        <w:bottom w:val="none" w:sz="0" w:space="0" w:color="auto"/>
        <w:right w:val="none" w:sz="0" w:space="0" w:color="auto"/>
      </w:divBdr>
    </w:div>
    <w:div w:id="769929384">
      <w:bodyDiv w:val="1"/>
      <w:marLeft w:val="0"/>
      <w:marRight w:val="0"/>
      <w:marTop w:val="0"/>
      <w:marBottom w:val="0"/>
      <w:divBdr>
        <w:top w:val="none" w:sz="0" w:space="0" w:color="auto"/>
        <w:left w:val="none" w:sz="0" w:space="0" w:color="auto"/>
        <w:bottom w:val="none" w:sz="0" w:space="0" w:color="auto"/>
        <w:right w:val="none" w:sz="0" w:space="0" w:color="auto"/>
      </w:divBdr>
    </w:div>
    <w:div w:id="770054582">
      <w:bodyDiv w:val="1"/>
      <w:marLeft w:val="0"/>
      <w:marRight w:val="0"/>
      <w:marTop w:val="0"/>
      <w:marBottom w:val="0"/>
      <w:divBdr>
        <w:top w:val="none" w:sz="0" w:space="0" w:color="auto"/>
        <w:left w:val="none" w:sz="0" w:space="0" w:color="auto"/>
        <w:bottom w:val="none" w:sz="0" w:space="0" w:color="auto"/>
        <w:right w:val="none" w:sz="0" w:space="0" w:color="auto"/>
      </w:divBdr>
    </w:div>
    <w:div w:id="771586460">
      <w:bodyDiv w:val="1"/>
      <w:marLeft w:val="0"/>
      <w:marRight w:val="0"/>
      <w:marTop w:val="0"/>
      <w:marBottom w:val="0"/>
      <w:divBdr>
        <w:top w:val="none" w:sz="0" w:space="0" w:color="auto"/>
        <w:left w:val="none" w:sz="0" w:space="0" w:color="auto"/>
        <w:bottom w:val="none" w:sz="0" w:space="0" w:color="auto"/>
        <w:right w:val="none" w:sz="0" w:space="0" w:color="auto"/>
      </w:divBdr>
    </w:div>
    <w:div w:id="775516695">
      <w:bodyDiv w:val="1"/>
      <w:marLeft w:val="0"/>
      <w:marRight w:val="0"/>
      <w:marTop w:val="0"/>
      <w:marBottom w:val="0"/>
      <w:divBdr>
        <w:top w:val="none" w:sz="0" w:space="0" w:color="auto"/>
        <w:left w:val="none" w:sz="0" w:space="0" w:color="auto"/>
        <w:bottom w:val="none" w:sz="0" w:space="0" w:color="auto"/>
        <w:right w:val="none" w:sz="0" w:space="0" w:color="auto"/>
      </w:divBdr>
    </w:div>
    <w:div w:id="776025523">
      <w:bodyDiv w:val="1"/>
      <w:marLeft w:val="0"/>
      <w:marRight w:val="0"/>
      <w:marTop w:val="0"/>
      <w:marBottom w:val="0"/>
      <w:divBdr>
        <w:top w:val="none" w:sz="0" w:space="0" w:color="auto"/>
        <w:left w:val="none" w:sz="0" w:space="0" w:color="auto"/>
        <w:bottom w:val="none" w:sz="0" w:space="0" w:color="auto"/>
        <w:right w:val="none" w:sz="0" w:space="0" w:color="auto"/>
      </w:divBdr>
    </w:div>
    <w:div w:id="786391496">
      <w:bodyDiv w:val="1"/>
      <w:marLeft w:val="0"/>
      <w:marRight w:val="0"/>
      <w:marTop w:val="0"/>
      <w:marBottom w:val="0"/>
      <w:divBdr>
        <w:top w:val="none" w:sz="0" w:space="0" w:color="auto"/>
        <w:left w:val="none" w:sz="0" w:space="0" w:color="auto"/>
        <w:bottom w:val="none" w:sz="0" w:space="0" w:color="auto"/>
        <w:right w:val="none" w:sz="0" w:space="0" w:color="auto"/>
      </w:divBdr>
    </w:div>
    <w:div w:id="787508563">
      <w:bodyDiv w:val="1"/>
      <w:marLeft w:val="0"/>
      <w:marRight w:val="0"/>
      <w:marTop w:val="0"/>
      <w:marBottom w:val="0"/>
      <w:divBdr>
        <w:top w:val="none" w:sz="0" w:space="0" w:color="auto"/>
        <w:left w:val="none" w:sz="0" w:space="0" w:color="auto"/>
        <w:bottom w:val="none" w:sz="0" w:space="0" w:color="auto"/>
        <w:right w:val="none" w:sz="0" w:space="0" w:color="auto"/>
      </w:divBdr>
    </w:div>
    <w:div w:id="792939169">
      <w:bodyDiv w:val="1"/>
      <w:marLeft w:val="0"/>
      <w:marRight w:val="0"/>
      <w:marTop w:val="0"/>
      <w:marBottom w:val="0"/>
      <w:divBdr>
        <w:top w:val="none" w:sz="0" w:space="0" w:color="auto"/>
        <w:left w:val="none" w:sz="0" w:space="0" w:color="auto"/>
        <w:bottom w:val="none" w:sz="0" w:space="0" w:color="auto"/>
        <w:right w:val="none" w:sz="0" w:space="0" w:color="auto"/>
      </w:divBdr>
    </w:div>
    <w:div w:id="797186702">
      <w:bodyDiv w:val="1"/>
      <w:marLeft w:val="0"/>
      <w:marRight w:val="0"/>
      <w:marTop w:val="0"/>
      <w:marBottom w:val="0"/>
      <w:divBdr>
        <w:top w:val="none" w:sz="0" w:space="0" w:color="auto"/>
        <w:left w:val="none" w:sz="0" w:space="0" w:color="auto"/>
        <w:bottom w:val="none" w:sz="0" w:space="0" w:color="auto"/>
        <w:right w:val="none" w:sz="0" w:space="0" w:color="auto"/>
      </w:divBdr>
    </w:div>
    <w:div w:id="800195317">
      <w:bodyDiv w:val="1"/>
      <w:marLeft w:val="0"/>
      <w:marRight w:val="0"/>
      <w:marTop w:val="0"/>
      <w:marBottom w:val="0"/>
      <w:divBdr>
        <w:top w:val="none" w:sz="0" w:space="0" w:color="auto"/>
        <w:left w:val="none" w:sz="0" w:space="0" w:color="auto"/>
        <w:bottom w:val="none" w:sz="0" w:space="0" w:color="auto"/>
        <w:right w:val="none" w:sz="0" w:space="0" w:color="auto"/>
      </w:divBdr>
    </w:div>
    <w:div w:id="806624555">
      <w:bodyDiv w:val="1"/>
      <w:marLeft w:val="0"/>
      <w:marRight w:val="0"/>
      <w:marTop w:val="0"/>
      <w:marBottom w:val="0"/>
      <w:divBdr>
        <w:top w:val="none" w:sz="0" w:space="0" w:color="auto"/>
        <w:left w:val="none" w:sz="0" w:space="0" w:color="auto"/>
        <w:bottom w:val="none" w:sz="0" w:space="0" w:color="auto"/>
        <w:right w:val="none" w:sz="0" w:space="0" w:color="auto"/>
      </w:divBdr>
    </w:div>
    <w:div w:id="812984374">
      <w:bodyDiv w:val="1"/>
      <w:marLeft w:val="0"/>
      <w:marRight w:val="0"/>
      <w:marTop w:val="0"/>
      <w:marBottom w:val="0"/>
      <w:divBdr>
        <w:top w:val="none" w:sz="0" w:space="0" w:color="auto"/>
        <w:left w:val="none" w:sz="0" w:space="0" w:color="auto"/>
        <w:bottom w:val="none" w:sz="0" w:space="0" w:color="auto"/>
        <w:right w:val="none" w:sz="0" w:space="0" w:color="auto"/>
      </w:divBdr>
    </w:div>
    <w:div w:id="836386266">
      <w:bodyDiv w:val="1"/>
      <w:marLeft w:val="0"/>
      <w:marRight w:val="0"/>
      <w:marTop w:val="0"/>
      <w:marBottom w:val="0"/>
      <w:divBdr>
        <w:top w:val="none" w:sz="0" w:space="0" w:color="auto"/>
        <w:left w:val="none" w:sz="0" w:space="0" w:color="auto"/>
        <w:bottom w:val="none" w:sz="0" w:space="0" w:color="auto"/>
        <w:right w:val="none" w:sz="0" w:space="0" w:color="auto"/>
      </w:divBdr>
    </w:div>
    <w:div w:id="839733132">
      <w:bodyDiv w:val="1"/>
      <w:marLeft w:val="0"/>
      <w:marRight w:val="0"/>
      <w:marTop w:val="0"/>
      <w:marBottom w:val="0"/>
      <w:divBdr>
        <w:top w:val="none" w:sz="0" w:space="0" w:color="auto"/>
        <w:left w:val="none" w:sz="0" w:space="0" w:color="auto"/>
        <w:bottom w:val="none" w:sz="0" w:space="0" w:color="auto"/>
        <w:right w:val="none" w:sz="0" w:space="0" w:color="auto"/>
      </w:divBdr>
    </w:div>
    <w:div w:id="842010094">
      <w:bodyDiv w:val="1"/>
      <w:marLeft w:val="0"/>
      <w:marRight w:val="0"/>
      <w:marTop w:val="0"/>
      <w:marBottom w:val="0"/>
      <w:divBdr>
        <w:top w:val="none" w:sz="0" w:space="0" w:color="auto"/>
        <w:left w:val="none" w:sz="0" w:space="0" w:color="auto"/>
        <w:bottom w:val="none" w:sz="0" w:space="0" w:color="auto"/>
        <w:right w:val="none" w:sz="0" w:space="0" w:color="auto"/>
      </w:divBdr>
      <w:divsChild>
        <w:div w:id="1489780745">
          <w:marLeft w:val="0"/>
          <w:marRight w:val="0"/>
          <w:marTop w:val="0"/>
          <w:marBottom w:val="0"/>
          <w:divBdr>
            <w:top w:val="none" w:sz="0" w:space="0" w:color="auto"/>
            <w:left w:val="none" w:sz="0" w:space="0" w:color="auto"/>
            <w:bottom w:val="none" w:sz="0" w:space="0" w:color="auto"/>
            <w:right w:val="none" w:sz="0" w:space="0" w:color="auto"/>
          </w:divBdr>
          <w:divsChild>
            <w:div w:id="77544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90180">
      <w:bodyDiv w:val="1"/>
      <w:marLeft w:val="0"/>
      <w:marRight w:val="0"/>
      <w:marTop w:val="0"/>
      <w:marBottom w:val="0"/>
      <w:divBdr>
        <w:top w:val="none" w:sz="0" w:space="0" w:color="auto"/>
        <w:left w:val="none" w:sz="0" w:space="0" w:color="auto"/>
        <w:bottom w:val="none" w:sz="0" w:space="0" w:color="auto"/>
        <w:right w:val="none" w:sz="0" w:space="0" w:color="auto"/>
      </w:divBdr>
    </w:div>
    <w:div w:id="853224081">
      <w:bodyDiv w:val="1"/>
      <w:marLeft w:val="0"/>
      <w:marRight w:val="0"/>
      <w:marTop w:val="0"/>
      <w:marBottom w:val="0"/>
      <w:divBdr>
        <w:top w:val="none" w:sz="0" w:space="0" w:color="auto"/>
        <w:left w:val="none" w:sz="0" w:space="0" w:color="auto"/>
        <w:bottom w:val="none" w:sz="0" w:space="0" w:color="auto"/>
        <w:right w:val="none" w:sz="0" w:space="0" w:color="auto"/>
      </w:divBdr>
    </w:div>
    <w:div w:id="868177598">
      <w:bodyDiv w:val="1"/>
      <w:marLeft w:val="0"/>
      <w:marRight w:val="0"/>
      <w:marTop w:val="0"/>
      <w:marBottom w:val="0"/>
      <w:divBdr>
        <w:top w:val="none" w:sz="0" w:space="0" w:color="auto"/>
        <w:left w:val="none" w:sz="0" w:space="0" w:color="auto"/>
        <w:bottom w:val="none" w:sz="0" w:space="0" w:color="auto"/>
        <w:right w:val="none" w:sz="0" w:space="0" w:color="auto"/>
      </w:divBdr>
    </w:div>
    <w:div w:id="891231945">
      <w:bodyDiv w:val="1"/>
      <w:marLeft w:val="0"/>
      <w:marRight w:val="0"/>
      <w:marTop w:val="0"/>
      <w:marBottom w:val="0"/>
      <w:divBdr>
        <w:top w:val="none" w:sz="0" w:space="0" w:color="auto"/>
        <w:left w:val="none" w:sz="0" w:space="0" w:color="auto"/>
        <w:bottom w:val="none" w:sz="0" w:space="0" w:color="auto"/>
        <w:right w:val="none" w:sz="0" w:space="0" w:color="auto"/>
      </w:divBdr>
    </w:div>
    <w:div w:id="891891451">
      <w:bodyDiv w:val="1"/>
      <w:marLeft w:val="0"/>
      <w:marRight w:val="0"/>
      <w:marTop w:val="0"/>
      <w:marBottom w:val="0"/>
      <w:divBdr>
        <w:top w:val="none" w:sz="0" w:space="0" w:color="auto"/>
        <w:left w:val="none" w:sz="0" w:space="0" w:color="auto"/>
        <w:bottom w:val="none" w:sz="0" w:space="0" w:color="auto"/>
        <w:right w:val="none" w:sz="0" w:space="0" w:color="auto"/>
      </w:divBdr>
    </w:div>
    <w:div w:id="903684002">
      <w:bodyDiv w:val="1"/>
      <w:marLeft w:val="0"/>
      <w:marRight w:val="0"/>
      <w:marTop w:val="0"/>
      <w:marBottom w:val="0"/>
      <w:divBdr>
        <w:top w:val="none" w:sz="0" w:space="0" w:color="auto"/>
        <w:left w:val="none" w:sz="0" w:space="0" w:color="auto"/>
        <w:bottom w:val="none" w:sz="0" w:space="0" w:color="auto"/>
        <w:right w:val="none" w:sz="0" w:space="0" w:color="auto"/>
      </w:divBdr>
    </w:div>
    <w:div w:id="907154658">
      <w:bodyDiv w:val="1"/>
      <w:marLeft w:val="0"/>
      <w:marRight w:val="0"/>
      <w:marTop w:val="0"/>
      <w:marBottom w:val="0"/>
      <w:divBdr>
        <w:top w:val="none" w:sz="0" w:space="0" w:color="auto"/>
        <w:left w:val="none" w:sz="0" w:space="0" w:color="auto"/>
        <w:bottom w:val="none" w:sz="0" w:space="0" w:color="auto"/>
        <w:right w:val="none" w:sz="0" w:space="0" w:color="auto"/>
      </w:divBdr>
    </w:div>
    <w:div w:id="922685515">
      <w:bodyDiv w:val="1"/>
      <w:marLeft w:val="0"/>
      <w:marRight w:val="0"/>
      <w:marTop w:val="0"/>
      <w:marBottom w:val="0"/>
      <w:divBdr>
        <w:top w:val="none" w:sz="0" w:space="0" w:color="auto"/>
        <w:left w:val="none" w:sz="0" w:space="0" w:color="auto"/>
        <w:bottom w:val="none" w:sz="0" w:space="0" w:color="auto"/>
        <w:right w:val="none" w:sz="0" w:space="0" w:color="auto"/>
      </w:divBdr>
    </w:div>
    <w:div w:id="931815161">
      <w:bodyDiv w:val="1"/>
      <w:marLeft w:val="0"/>
      <w:marRight w:val="0"/>
      <w:marTop w:val="0"/>
      <w:marBottom w:val="0"/>
      <w:divBdr>
        <w:top w:val="none" w:sz="0" w:space="0" w:color="auto"/>
        <w:left w:val="none" w:sz="0" w:space="0" w:color="auto"/>
        <w:bottom w:val="none" w:sz="0" w:space="0" w:color="auto"/>
        <w:right w:val="none" w:sz="0" w:space="0" w:color="auto"/>
      </w:divBdr>
    </w:div>
    <w:div w:id="933248264">
      <w:bodyDiv w:val="1"/>
      <w:marLeft w:val="0"/>
      <w:marRight w:val="0"/>
      <w:marTop w:val="0"/>
      <w:marBottom w:val="0"/>
      <w:divBdr>
        <w:top w:val="none" w:sz="0" w:space="0" w:color="auto"/>
        <w:left w:val="none" w:sz="0" w:space="0" w:color="auto"/>
        <w:bottom w:val="none" w:sz="0" w:space="0" w:color="auto"/>
        <w:right w:val="none" w:sz="0" w:space="0" w:color="auto"/>
      </w:divBdr>
    </w:div>
    <w:div w:id="951781964">
      <w:bodyDiv w:val="1"/>
      <w:marLeft w:val="0"/>
      <w:marRight w:val="0"/>
      <w:marTop w:val="0"/>
      <w:marBottom w:val="0"/>
      <w:divBdr>
        <w:top w:val="none" w:sz="0" w:space="0" w:color="auto"/>
        <w:left w:val="none" w:sz="0" w:space="0" w:color="auto"/>
        <w:bottom w:val="none" w:sz="0" w:space="0" w:color="auto"/>
        <w:right w:val="none" w:sz="0" w:space="0" w:color="auto"/>
      </w:divBdr>
    </w:div>
    <w:div w:id="958491616">
      <w:bodyDiv w:val="1"/>
      <w:marLeft w:val="0"/>
      <w:marRight w:val="0"/>
      <w:marTop w:val="0"/>
      <w:marBottom w:val="0"/>
      <w:divBdr>
        <w:top w:val="none" w:sz="0" w:space="0" w:color="auto"/>
        <w:left w:val="none" w:sz="0" w:space="0" w:color="auto"/>
        <w:bottom w:val="none" w:sz="0" w:space="0" w:color="auto"/>
        <w:right w:val="none" w:sz="0" w:space="0" w:color="auto"/>
      </w:divBdr>
    </w:div>
    <w:div w:id="963778717">
      <w:bodyDiv w:val="1"/>
      <w:marLeft w:val="0"/>
      <w:marRight w:val="0"/>
      <w:marTop w:val="0"/>
      <w:marBottom w:val="0"/>
      <w:divBdr>
        <w:top w:val="none" w:sz="0" w:space="0" w:color="auto"/>
        <w:left w:val="none" w:sz="0" w:space="0" w:color="auto"/>
        <w:bottom w:val="none" w:sz="0" w:space="0" w:color="auto"/>
        <w:right w:val="none" w:sz="0" w:space="0" w:color="auto"/>
      </w:divBdr>
    </w:div>
    <w:div w:id="968441948">
      <w:bodyDiv w:val="1"/>
      <w:marLeft w:val="0"/>
      <w:marRight w:val="0"/>
      <w:marTop w:val="0"/>
      <w:marBottom w:val="0"/>
      <w:divBdr>
        <w:top w:val="none" w:sz="0" w:space="0" w:color="auto"/>
        <w:left w:val="none" w:sz="0" w:space="0" w:color="auto"/>
        <w:bottom w:val="none" w:sz="0" w:space="0" w:color="auto"/>
        <w:right w:val="none" w:sz="0" w:space="0" w:color="auto"/>
      </w:divBdr>
    </w:div>
    <w:div w:id="978998391">
      <w:bodyDiv w:val="1"/>
      <w:marLeft w:val="0"/>
      <w:marRight w:val="0"/>
      <w:marTop w:val="0"/>
      <w:marBottom w:val="0"/>
      <w:divBdr>
        <w:top w:val="none" w:sz="0" w:space="0" w:color="auto"/>
        <w:left w:val="none" w:sz="0" w:space="0" w:color="auto"/>
        <w:bottom w:val="none" w:sz="0" w:space="0" w:color="auto"/>
        <w:right w:val="none" w:sz="0" w:space="0" w:color="auto"/>
      </w:divBdr>
      <w:divsChild>
        <w:div w:id="1855652202">
          <w:marLeft w:val="0"/>
          <w:marRight w:val="0"/>
          <w:marTop w:val="0"/>
          <w:marBottom w:val="0"/>
          <w:divBdr>
            <w:top w:val="none" w:sz="0" w:space="0" w:color="auto"/>
            <w:left w:val="none" w:sz="0" w:space="0" w:color="auto"/>
            <w:bottom w:val="none" w:sz="0" w:space="0" w:color="auto"/>
            <w:right w:val="none" w:sz="0" w:space="0" w:color="auto"/>
          </w:divBdr>
          <w:divsChild>
            <w:div w:id="108484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439997">
      <w:bodyDiv w:val="1"/>
      <w:marLeft w:val="0"/>
      <w:marRight w:val="0"/>
      <w:marTop w:val="0"/>
      <w:marBottom w:val="0"/>
      <w:divBdr>
        <w:top w:val="none" w:sz="0" w:space="0" w:color="auto"/>
        <w:left w:val="none" w:sz="0" w:space="0" w:color="auto"/>
        <w:bottom w:val="none" w:sz="0" w:space="0" w:color="auto"/>
        <w:right w:val="none" w:sz="0" w:space="0" w:color="auto"/>
      </w:divBdr>
    </w:div>
    <w:div w:id="1018658366">
      <w:bodyDiv w:val="1"/>
      <w:marLeft w:val="0"/>
      <w:marRight w:val="0"/>
      <w:marTop w:val="0"/>
      <w:marBottom w:val="0"/>
      <w:divBdr>
        <w:top w:val="none" w:sz="0" w:space="0" w:color="auto"/>
        <w:left w:val="none" w:sz="0" w:space="0" w:color="auto"/>
        <w:bottom w:val="none" w:sz="0" w:space="0" w:color="auto"/>
        <w:right w:val="none" w:sz="0" w:space="0" w:color="auto"/>
      </w:divBdr>
    </w:div>
    <w:div w:id="1039086157">
      <w:bodyDiv w:val="1"/>
      <w:marLeft w:val="0"/>
      <w:marRight w:val="0"/>
      <w:marTop w:val="0"/>
      <w:marBottom w:val="0"/>
      <w:divBdr>
        <w:top w:val="none" w:sz="0" w:space="0" w:color="auto"/>
        <w:left w:val="none" w:sz="0" w:space="0" w:color="auto"/>
        <w:bottom w:val="none" w:sz="0" w:space="0" w:color="auto"/>
        <w:right w:val="none" w:sz="0" w:space="0" w:color="auto"/>
      </w:divBdr>
    </w:div>
    <w:div w:id="1042704181">
      <w:bodyDiv w:val="1"/>
      <w:marLeft w:val="0"/>
      <w:marRight w:val="0"/>
      <w:marTop w:val="0"/>
      <w:marBottom w:val="0"/>
      <w:divBdr>
        <w:top w:val="none" w:sz="0" w:space="0" w:color="auto"/>
        <w:left w:val="none" w:sz="0" w:space="0" w:color="auto"/>
        <w:bottom w:val="none" w:sz="0" w:space="0" w:color="auto"/>
        <w:right w:val="none" w:sz="0" w:space="0" w:color="auto"/>
      </w:divBdr>
    </w:div>
    <w:div w:id="1052002432">
      <w:bodyDiv w:val="1"/>
      <w:marLeft w:val="0"/>
      <w:marRight w:val="0"/>
      <w:marTop w:val="0"/>
      <w:marBottom w:val="0"/>
      <w:divBdr>
        <w:top w:val="none" w:sz="0" w:space="0" w:color="auto"/>
        <w:left w:val="none" w:sz="0" w:space="0" w:color="auto"/>
        <w:bottom w:val="none" w:sz="0" w:space="0" w:color="auto"/>
        <w:right w:val="none" w:sz="0" w:space="0" w:color="auto"/>
      </w:divBdr>
    </w:div>
    <w:div w:id="1072579086">
      <w:bodyDiv w:val="1"/>
      <w:marLeft w:val="0"/>
      <w:marRight w:val="0"/>
      <w:marTop w:val="0"/>
      <w:marBottom w:val="0"/>
      <w:divBdr>
        <w:top w:val="none" w:sz="0" w:space="0" w:color="auto"/>
        <w:left w:val="none" w:sz="0" w:space="0" w:color="auto"/>
        <w:bottom w:val="none" w:sz="0" w:space="0" w:color="auto"/>
        <w:right w:val="none" w:sz="0" w:space="0" w:color="auto"/>
      </w:divBdr>
    </w:div>
    <w:div w:id="1076854634">
      <w:bodyDiv w:val="1"/>
      <w:marLeft w:val="0"/>
      <w:marRight w:val="0"/>
      <w:marTop w:val="0"/>
      <w:marBottom w:val="0"/>
      <w:divBdr>
        <w:top w:val="none" w:sz="0" w:space="0" w:color="auto"/>
        <w:left w:val="none" w:sz="0" w:space="0" w:color="auto"/>
        <w:bottom w:val="none" w:sz="0" w:space="0" w:color="auto"/>
        <w:right w:val="none" w:sz="0" w:space="0" w:color="auto"/>
      </w:divBdr>
    </w:div>
    <w:div w:id="1090661019">
      <w:bodyDiv w:val="1"/>
      <w:marLeft w:val="0"/>
      <w:marRight w:val="0"/>
      <w:marTop w:val="0"/>
      <w:marBottom w:val="0"/>
      <w:divBdr>
        <w:top w:val="none" w:sz="0" w:space="0" w:color="auto"/>
        <w:left w:val="none" w:sz="0" w:space="0" w:color="auto"/>
        <w:bottom w:val="none" w:sz="0" w:space="0" w:color="auto"/>
        <w:right w:val="none" w:sz="0" w:space="0" w:color="auto"/>
      </w:divBdr>
    </w:div>
    <w:div w:id="1102729134">
      <w:bodyDiv w:val="1"/>
      <w:marLeft w:val="0"/>
      <w:marRight w:val="0"/>
      <w:marTop w:val="0"/>
      <w:marBottom w:val="0"/>
      <w:divBdr>
        <w:top w:val="none" w:sz="0" w:space="0" w:color="auto"/>
        <w:left w:val="none" w:sz="0" w:space="0" w:color="auto"/>
        <w:bottom w:val="none" w:sz="0" w:space="0" w:color="auto"/>
        <w:right w:val="none" w:sz="0" w:space="0" w:color="auto"/>
      </w:divBdr>
    </w:div>
    <w:div w:id="1104107218">
      <w:bodyDiv w:val="1"/>
      <w:marLeft w:val="0"/>
      <w:marRight w:val="0"/>
      <w:marTop w:val="0"/>
      <w:marBottom w:val="0"/>
      <w:divBdr>
        <w:top w:val="none" w:sz="0" w:space="0" w:color="auto"/>
        <w:left w:val="none" w:sz="0" w:space="0" w:color="auto"/>
        <w:bottom w:val="none" w:sz="0" w:space="0" w:color="auto"/>
        <w:right w:val="none" w:sz="0" w:space="0" w:color="auto"/>
      </w:divBdr>
    </w:div>
    <w:div w:id="1106123099">
      <w:bodyDiv w:val="1"/>
      <w:marLeft w:val="0"/>
      <w:marRight w:val="0"/>
      <w:marTop w:val="0"/>
      <w:marBottom w:val="0"/>
      <w:divBdr>
        <w:top w:val="none" w:sz="0" w:space="0" w:color="auto"/>
        <w:left w:val="none" w:sz="0" w:space="0" w:color="auto"/>
        <w:bottom w:val="none" w:sz="0" w:space="0" w:color="auto"/>
        <w:right w:val="none" w:sz="0" w:space="0" w:color="auto"/>
      </w:divBdr>
    </w:div>
    <w:div w:id="1107239235">
      <w:bodyDiv w:val="1"/>
      <w:marLeft w:val="0"/>
      <w:marRight w:val="0"/>
      <w:marTop w:val="0"/>
      <w:marBottom w:val="0"/>
      <w:divBdr>
        <w:top w:val="none" w:sz="0" w:space="0" w:color="auto"/>
        <w:left w:val="none" w:sz="0" w:space="0" w:color="auto"/>
        <w:bottom w:val="none" w:sz="0" w:space="0" w:color="auto"/>
        <w:right w:val="none" w:sz="0" w:space="0" w:color="auto"/>
      </w:divBdr>
    </w:div>
    <w:div w:id="1108311064">
      <w:bodyDiv w:val="1"/>
      <w:marLeft w:val="0"/>
      <w:marRight w:val="0"/>
      <w:marTop w:val="0"/>
      <w:marBottom w:val="0"/>
      <w:divBdr>
        <w:top w:val="none" w:sz="0" w:space="0" w:color="auto"/>
        <w:left w:val="none" w:sz="0" w:space="0" w:color="auto"/>
        <w:bottom w:val="none" w:sz="0" w:space="0" w:color="auto"/>
        <w:right w:val="none" w:sz="0" w:space="0" w:color="auto"/>
      </w:divBdr>
      <w:divsChild>
        <w:div w:id="151138626">
          <w:marLeft w:val="0"/>
          <w:marRight w:val="0"/>
          <w:marTop w:val="0"/>
          <w:marBottom w:val="0"/>
          <w:divBdr>
            <w:top w:val="none" w:sz="0" w:space="0" w:color="auto"/>
            <w:left w:val="none" w:sz="0" w:space="0" w:color="auto"/>
            <w:bottom w:val="none" w:sz="0" w:space="0" w:color="auto"/>
            <w:right w:val="none" w:sz="0" w:space="0" w:color="auto"/>
          </w:divBdr>
          <w:divsChild>
            <w:div w:id="25302328">
              <w:marLeft w:val="0"/>
              <w:marRight w:val="0"/>
              <w:marTop w:val="0"/>
              <w:marBottom w:val="0"/>
              <w:divBdr>
                <w:top w:val="none" w:sz="0" w:space="0" w:color="auto"/>
                <w:left w:val="none" w:sz="0" w:space="0" w:color="auto"/>
                <w:bottom w:val="none" w:sz="0" w:space="0" w:color="auto"/>
                <w:right w:val="none" w:sz="0" w:space="0" w:color="auto"/>
              </w:divBdr>
              <w:divsChild>
                <w:div w:id="2072923528">
                  <w:marLeft w:val="0"/>
                  <w:marRight w:val="0"/>
                  <w:marTop w:val="0"/>
                  <w:marBottom w:val="0"/>
                  <w:divBdr>
                    <w:top w:val="none" w:sz="0" w:space="0" w:color="auto"/>
                    <w:left w:val="none" w:sz="0" w:space="0" w:color="auto"/>
                    <w:bottom w:val="none" w:sz="0" w:space="0" w:color="auto"/>
                    <w:right w:val="none" w:sz="0" w:space="0" w:color="auto"/>
                  </w:divBdr>
                  <w:divsChild>
                    <w:div w:id="160508528">
                      <w:marLeft w:val="0"/>
                      <w:marRight w:val="0"/>
                      <w:marTop w:val="0"/>
                      <w:marBottom w:val="0"/>
                      <w:divBdr>
                        <w:top w:val="none" w:sz="0" w:space="0" w:color="auto"/>
                        <w:left w:val="none" w:sz="0" w:space="0" w:color="auto"/>
                        <w:bottom w:val="none" w:sz="0" w:space="0" w:color="auto"/>
                        <w:right w:val="none" w:sz="0" w:space="0" w:color="auto"/>
                      </w:divBdr>
                      <w:divsChild>
                        <w:div w:id="700253124">
                          <w:marLeft w:val="0"/>
                          <w:marRight w:val="0"/>
                          <w:marTop w:val="0"/>
                          <w:marBottom w:val="0"/>
                          <w:divBdr>
                            <w:top w:val="none" w:sz="0" w:space="0" w:color="auto"/>
                            <w:left w:val="none" w:sz="0" w:space="0" w:color="auto"/>
                            <w:bottom w:val="none" w:sz="0" w:space="0" w:color="auto"/>
                            <w:right w:val="none" w:sz="0" w:space="0" w:color="auto"/>
                          </w:divBdr>
                          <w:divsChild>
                            <w:div w:id="1406562273">
                              <w:marLeft w:val="0"/>
                              <w:marRight w:val="0"/>
                              <w:marTop w:val="0"/>
                              <w:marBottom w:val="0"/>
                              <w:divBdr>
                                <w:top w:val="none" w:sz="0" w:space="0" w:color="auto"/>
                                <w:left w:val="none" w:sz="0" w:space="0" w:color="auto"/>
                                <w:bottom w:val="none" w:sz="0" w:space="0" w:color="auto"/>
                                <w:right w:val="none" w:sz="0" w:space="0" w:color="auto"/>
                              </w:divBdr>
                              <w:divsChild>
                                <w:div w:id="109712844">
                                  <w:marLeft w:val="0"/>
                                  <w:marRight w:val="0"/>
                                  <w:marTop w:val="0"/>
                                  <w:marBottom w:val="0"/>
                                  <w:divBdr>
                                    <w:top w:val="none" w:sz="0" w:space="0" w:color="auto"/>
                                    <w:left w:val="none" w:sz="0" w:space="0" w:color="auto"/>
                                    <w:bottom w:val="none" w:sz="0" w:space="0" w:color="auto"/>
                                    <w:right w:val="none" w:sz="0" w:space="0" w:color="auto"/>
                                  </w:divBdr>
                                  <w:divsChild>
                                    <w:div w:id="64258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939493">
                      <w:marLeft w:val="0"/>
                      <w:marRight w:val="0"/>
                      <w:marTop w:val="0"/>
                      <w:marBottom w:val="0"/>
                      <w:divBdr>
                        <w:top w:val="none" w:sz="0" w:space="0" w:color="auto"/>
                        <w:left w:val="none" w:sz="0" w:space="0" w:color="auto"/>
                        <w:bottom w:val="none" w:sz="0" w:space="0" w:color="auto"/>
                        <w:right w:val="none" w:sz="0" w:space="0" w:color="auto"/>
                      </w:divBdr>
                      <w:divsChild>
                        <w:div w:id="49788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708560">
      <w:bodyDiv w:val="1"/>
      <w:marLeft w:val="0"/>
      <w:marRight w:val="0"/>
      <w:marTop w:val="0"/>
      <w:marBottom w:val="0"/>
      <w:divBdr>
        <w:top w:val="none" w:sz="0" w:space="0" w:color="auto"/>
        <w:left w:val="none" w:sz="0" w:space="0" w:color="auto"/>
        <w:bottom w:val="none" w:sz="0" w:space="0" w:color="auto"/>
        <w:right w:val="none" w:sz="0" w:space="0" w:color="auto"/>
      </w:divBdr>
    </w:div>
    <w:div w:id="1119570867">
      <w:bodyDiv w:val="1"/>
      <w:marLeft w:val="0"/>
      <w:marRight w:val="0"/>
      <w:marTop w:val="0"/>
      <w:marBottom w:val="0"/>
      <w:divBdr>
        <w:top w:val="none" w:sz="0" w:space="0" w:color="auto"/>
        <w:left w:val="none" w:sz="0" w:space="0" w:color="auto"/>
        <w:bottom w:val="none" w:sz="0" w:space="0" w:color="auto"/>
        <w:right w:val="none" w:sz="0" w:space="0" w:color="auto"/>
      </w:divBdr>
      <w:divsChild>
        <w:div w:id="154076459">
          <w:marLeft w:val="0"/>
          <w:marRight w:val="0"/>
          <w:marTop w:val="0"/>
          <w:marBottom w:val="0"/>
          <w:divBdr>
            <w:top w:val="none" w:sz="0" w:space="0" w:color="auto"/>
            <w:left w:val="none" w:sz="0" w:space="0" w:color="auto"/>
            <w:bottom w:val="none" w:sz="0" w:space="0" w:color="auto"/>
            <w:right w:val="none" w:sz="0" w:space="0" w:color="auto"/>
          </w:divBdr>
          <w:divsChild>
            <w:div w:id="1133594202">
              <w:marLeft w:val="0"/>
              <w:marRight w:val="0"/>
              <w:marTop w:val="0"/>
              <w:marBottom w:val="0"/>
              <w:divBdr>
                <w:top w:val="none" w:sz="0" w:space="0" w:color="auto"/>
                <w:left w:val="none" w:sz="0" w:space="0" w:color="auto"/>
                <w:bottom w:val="none" w:sz="0" w:space="0" w:color="auto"/>
                <w:right w:val="none" w:sz="0" w:space="0" w:color="auto"/>
              </w:divBdr>
            </w:div>
          </w:divsChild>
        </w:div>
        <w:div w:id="216936319">
          <w:marLeft w:val="0"/>
          <w:marRight w:val="0"/>
          <w:marTop w:val="0"/>
          <w:marBottom w:val="0"/>
          <w:divBdr>
            <w:top w:val="none" w:sz="0" w:space="0" w:color="auto"/>
            <w:left w:val="none" w:sz="0" w:space="0" w:color="auto"/>
            <w:bottom w:val="none" w:sz="0" w:space="0" w:color="auto"/>
            <w:right w:val="none" w:sz="0" w:space="0" w:color="auto"/>
          </w:divBdr>
          <w:divsChild>
            <w:div w:id="747389680">
              <w:marLeft w:val="0"/>
              <w:marRight w:val="0"/>
              <w:marTop w:val="0"/>
              <w:marBottom w:val="0"/>
              <w:divBdr>
                <w:top w:val="none" w:sz="0" w:space="0" w:color="auto"/>
                <w:left w:val="none" w:sz="0" w:space="0" w:color="auto"/>
                <w:bottom w:val="none" w:sz="0" w:space="0" w:color="auto"/>
                <w:right w:val="none" w:sz="0" w:space="0" w:color="auto"/>
              </w:divBdr>
            </w:div>
          </w:divsChild>
        </w:div>
        <w:div w:id="238946077">
          <w:marLeft w:val="0"/>
          <w:marRight w:val="0"/>
          <w:marTop w:val="0"/>
          <w:marBottom w:val="0"/>
          <w:divBdr>
            <w:top w:val="none" w:sz="0" w:space="0" w:color="auto"/>
            <w:left w:val="none" w:sz="0" w:space="0" w:color="auto"/>
            <w:bottom w:val="none" w:sz="0" w:space="0" w:color="auto"/>
            <w:right w:val="none" w:sz="0" w:space="0" w:color="auto"/>
          </w:divBdr>
          <w:divsChild>
            <w:div w:id="1316226866">
              <w:marLeft w:val="0"/>
              <w:marRight w:val="0"/>
              <w:marTop w:val="0"/>
              <w:marBottom w:val="0"/>
              <w:divBdr>
                <w:top w:val="none" w:sz="0" w:space="0" w:color="auto"/>
                <w:left w:val="none" w:sz="0" w:space="0" w:color="auto"/>
                <w:bottom w:val="none" w:sz="0" w:space="0" w:color="auto"/>
                <w:right w:val="none" w:sz="0" w:space="0" w:color="auto"/>
              </w:divBdr>
            </w:div>
          </w:divsChild>
        </w:div>
        <w:div w:id="289475977">
          <w:marLeft w:val="0"/>
          <w:marRight w:val="0"/>
          <w:marTop w:val="0"/>
          <w:marBottom w:val="0"/>
          <w:divBdr>
            <w:top w:val="none" w:sz="0" w:space="0" w:color="auto"/>
            <w:left w:val="none" w:sz="0" w:space="0" w:color="auto"/>
            <w:bottom w:val="none" w:sz="0" w:space="0" w:color="auto"/>
            <w:right w:val="none" w:sz="0" w:space="0" w:color="auto"/>
          </w:divBdr>
          <w:divsChild>
            <w:div w:id="817385368">
              <w:marLeft w:val="0"/>
              <w:marRight w:val="0"/>
              <w:marTop w:val="0"/>
              <w:marBottom w:val="0"/>
              <w:divBdr>
                <w:top w:val="none" w:sz="0" w:space="0" w:color="auto"/>
                <w:left w:val="none" w:sz="0" w:space="0" w:color="auto"/>
                <w:bottom w:val="none" w:sz="0" w:space="0" w:color="auto"/>
                <w:right w:val="none" w:sz="0" w:space="0" w:color="auto"/>
              </w:divBdr>
            </w:div>
          </w:divsChild>
        </w:div>
        <w:div w:id="342321887">
          <w:marLeft w:val="0"/>
          <w:marRight w:val="0"/>
          <w:marTop w:val="0"/>
          <w:marBottom w:val="0"/>
          <w:divBdr>
            <w:top w:val="none" w:sz="0" w:space="0" w:color="auto"/>
            <w:left w:val="none" w:sz="0" w:space="0" w:color="auto"/>
            <w:bottom w:val="none" w:sz="0" w:space="0" w:color="auto"/>
            <w:right w:val="none" w:sz="0" w:space="0" w:color="auto"/>
          </w:divBdr>
          <w:divsChild>
            <w:div w:id="2006198465">
              <w:marLeft w:val="0"/>
              <w:marRight w:val="0"/>
              <w:marTop w:val="0"/>
              <w:marBottom w:val="0"/>
              <w:divBdr>
                <w:top w:val="none" w:sz="0" w:space="0" w:color="auto"/>
                <w:left w:val="none" w:sz="0" w:space="0" w:color="auto"/>
                <w:bottom w:val="none" w:sz="0" w:space="0" w:color="auto"/>
                <w:right w:val="none" w:sz="0" w:space="0" w:color="auto"/>
              </w:divBdr>
            </w:div>
          </w:divsChild>
        </w:div>
        <w:div w:id="382219516">
          <w:marLeft w:val="0"/>
          <w:marRight w:val="0"/>
          <w:marTop w:val="0"/>
          <w:marBottom w:val="0"/>
          <w:divBdr>
            <w:top w:val="none" w:sz="0" w:space="0" w:color="auto"/>
            <w:left w:val="none" w:sz="0" w:space="0" w:color="auto"/>
            <w:bottom w:val="none" w:sz="0" w:space="0" w:color="auto"/>
            <w:right w:val="none" w:sz="0" w:space="0" w:color="auto"/>
          </w:divBdr>
          <w:divsChild>
            <w:div w:id="1755081479">
              <w:marLeft w:val="0"/>
              <w:marRight w:val="0"/>
              <w:marTop w:val="0"/>
              <w:marBottom w:val="0"/>
              <w:divBdr>
                <w:top w:val="none" w:sz="0" w:space="0" w:color="auto"/>
                <w:left w:val="none" w:sz="0" w:space="0" w:color="auto"/>
                <w:bottom w:val="none" w:sz="0" w:space="0" w:color="auto"/>
                <w:right w:val="none" w:sz="0" w:space="0" w:color="auto"/>
              </w:divBdr>
            </w:div>
          </w:divsChild>
        </w:div>
        <w:div w:id="425998588">
          <w:marLeft w:val="0"/>
          <w:marRight w:val="0"/>
          <w:marTop w:val="0"/>
          <w:marBottom w:val="0"/>
          <w:divBdr>
            <w:top w:val="none" w:sz="0" w:space="0" w:color="auto"/>
            <w:left w:val="none" w:sz="0" w:space="0" w:color="auto"/>
            <w:bottom w:val="none" w:sz="0" w:space="0" w:color="auto"/>
            <w:right w:val="none" w:sz="0" w:space="0" w:color="auto"/>
          </w:divBdr>
          <w:divsChild>
            <w:div w:id="1213343507">
              <w:marLeft w:val="0"/>
              <w:marRight w:val="0"/>
              <w:marTop w:val="0"/>
              <w:marBottom w:val="0"/>
              <w:divBdr>
                <w:top w:val="none" w:sz="0" w:space="0" w:color="auto"/>
                <w:left w:val="none" w:sz="0" w:space="0" w:color="auto"/>
                <w:bottom w:val="none" w:sz="0" w:space="0" w:color="auto"/>
                <w:right w:val="none" w:sz="0" w:space="0" w:color="auto"/>
              </w:divBdr>
            </w:div>
          </w:divsChild>
        </w:div>
        <w:div w:id="527908786">
          <w:marLeft w:val="0"/>
          <w:marRight w:val="0"/>
          <w:marTop w:val="0"/>
          <w:marBottom w:val="0"/>
          <w:divBdr>
            <w:top w:val="none" w:sz="0" w:space="0" w:color="auto"/>
            <w:left w:val="none" w:sz="0" w:space="0" w:color="auto"/>
            <w:bottom w:val="none" w:sz="0" w:space="0" w:color="auto"/>
            <w:right w:val="none" w:sz="0" w:space="0" w:color="auto"/>
          </w:divBdr>
          <w:divsChild>
            <w:div w:id="179248221">
              <w:marLeft w:val="0"/>
              <w:marRight w:val="0"/>
              <w:marTop w:val="0"/>
              <w:marBottom w:val="0"/>
              <w:divBdr>
                <w:top w:val="none" w:sz="0" w:space="0" w:color="auto"/>
                <w:left w:val="none" w:sz="0" w:space="0" w:color="auto"/>
                <w:bottom w:val="none" w:sz="0" w:space="0" w:color="auto"/>
                <w:right w:val="none" w:sz="0" w:space="0" w:color="auto"/>
              </w:divBdr>
            </w:div>
          </w:divsChild>
        </w:div>
        <w:div w:id="545799633">
          <w:marLeft w:val="0"/>
          <w:marRight w:val="0"/>
          <w:marTop w:val="0"/>
          <w:marBottom w:val="0"/>
          <w:divBdr>
            <w:top w:val="none" w:sz="0" w:space="0" w:color="auto"/>
            <w:left w:val="none" w:sz="0" w:space="0" w:color="auto"/>
            <w:bottom w:val="none" w:sz="0" w:space="0" w:color="auto"/>
            <w:right w:val="none" w:sz="0" w:space="0" w:color="auto"/>
          </w:divBdr>
          <w:divsChild>
            <w:div w:id="595526337">
              <w:marLeft w:val="0"/>
              <w:marRight w:val="0"/>
              <w:marTop w:val="0"/>
              <w:marBottom w:val="0"/>
              <w:divBdr>
                <w:top w:val="none" w:sz="0" w:space="0" w:color="auto"/>
                <w:left w:val="none" w:sz="0" w:space="0" w:color="auto"/>
                <w:bottom w:val="none" w:sz="0" w:space="0" w:color="auto"/>
                <w:right w:val="none" w:sz="0" w:space="0" w:color="auto"/>
              </w:divBdr>
            </w:div>
          </w:divsChild>
        </w:div>
        <w:div w:id="576935549">
          <w:marLeft w:val="0"/>
          <w:marRight w:val="0"/>
          <w:marTop w:val="0"/>
          <w:marBottom w:val="0"/>
          <w:divBdr>
            <w:top w:val="none" w:sz="0" w:space="0" w:color="auto"/>
            <w:left w:val="none" w:sz="0" w:space="0" w:color="auto"/>
            <w:bottom w:val="none" w:sz="0" w:space="0" w:color="auto"/>
            <w:right w:val="none" w:sz="0" w:space="0" w:color="auto"/>
          </w:divBdr>
          <w:divsChild>
            <w:div w:id="1647009873">
              <w:marLeft w:val="0"/>
              <w:marRight w:val="0"/>
              <w:marTop w:val="0"/>
              <w:marBottom w:val="0"/>
              <w:divBdr>
                <w:top w:val="none" w:sz="0" w:space="0" w:color="auto"/>
                <w:left w:val="none" w:sz="0" w:space="0" w:color="auto"/>
                <w:bottom w:val="none" w:sz="0" w:space="0" w:color="auto"/>
                <w:right w:val="none" w:sz="0" w:space="0" w:color="auto"/>
              </w:divBdr>
            </w:div>
          </w:divsChild>
        </w:div>
        <w:div w:id="600840378">
          <w:marLeft w:val="0"/>
          <w:marRight w:val="0"/>
          <w:marTop w:val="0"/>
          <w:marBottom w:val="0"/>
          <w:divBdr>
            <w:top w:val="none" w:sz="0" w:space="0" w:color="auto"/>
            <w:left w:val="none" w:sz="0" w:space="0" w:color="auto"/>
            <w:bottom w:val="none" w:sz="0" w:space="0" w:color="auto"/>
            <w:right w:val="none" w:sz="0" w:space="0" w:color="auto"/>
          </w:divBdr>
          <w:divsChild>
            <w:div w:id="2075276709">
              <w:marLeft w:val="0"/>
              <w:marRight w:val="0"/>
              <w:marTop w:val="0"/>
              <w:marBottom w:val="0"/>
              <w:divBdr>
                <w:top w:val="none" w:sz="0" w:space="0" w:color="auto"/>
                <w:left w:val="none" w:sz="0" w:space="0" w:color="auto"/>
                <w:bottom w:val="none" w:sz="0" w:space="0" w:color="auto"/>
                <w:right w:val="none" w:sz="0" w:space="0" w:color="auto"/>
              </w:divBdr>
            </w:div>
          </w:divsChild>
        </w:div>
        <w:div w:id="618295019">
          <w:marLeft w:val="0"/>
          <w:marRight w:val="0"/>
          <w:marTop w:val="0"/>
          <w:marBottom w:val="0"/>
          <w:divBdr>
            <w:top w:val="none" w:sz="0" w:space="0" w:color="auto"/>
            <w:left w:val="none" w:sz="0" w:space="0" w:color="auto"/>
            <w:bottom w:val="none" w:sz="0" w:space="0" w:color="auto"/>
            <w:right w:val="none" w:sz="0" w:space="0" w:color="auto"/>
          </w:divBdr>
          <w:divsChild>
            <w:div w:id="1888369469">
              <w:marLeft w:val="0"/>
              <w:marRight w:val="0"/>
              <w:marTop w:val="0"/>
              <w:marBottom w:val="0"/>
              <w:divBdr>
                <w:top w:val="none" w:sz="0" w:space="0" w:color="auto"/>
                <w:left w:val="none" w:sz="0" w:space="0" w:color="auto"/>
                <w:bottom w:val="none" w:sz="0" w:space="0" w:color="auto"/>
                <w:right w:val="none" w:sz="0" w:space="0" w:color="auto"/>
              </w:divBdr>
            </w:div>
          </w:divsChild>
        </w:div>
        <w:div w:id="649791117">
          <w:marLeft w:val="0"/>
          <w:marRight w:val="0"/>
          <w:marTop w:val="0"/>
          <w:marBottom w:val="0"/>
          <w:divBdr>
            <w:top w:val="none" w:sz="0" w:space="0" w:color="auto"/>
            <w:left w:val="none" w:sz="0" w:space="0" w:color="auto"/>
            <w:bottom w:val="none" w:sz="0" w:space="0" w:color="auto"/>
            <w:right w:val="none" w:sz="0" w:space="0" w:color="auto"/>
          </w:divBdr>
          <w:divsChild>
            <w:div w:id="1712220542">
              <w:marLeft w:val="0"/>
              <w:marRight w:val="0"/>
              <w:marTop w:val="0"/>
              <w:marBottom w:val="0"/>
              <w:divBdr>
                <w:top w:val="none" w:sz="0" w:space="0" w:color="auto"/>
                <w:left w:val="none" w:sz="0" w:space="0" w:color="auto"/>
                <w:bottom w:val="none" w:sz="0" w:space="0" w:color="auto"/>
                <w:right w:val="none" w:sz="0" w:space="0" w:color="auto"/>
              </w:divBdr>
            </w:div>
          </w:divsChild>
        </w:div>
        <w:div w:id="703100097">
          <w:marLeft w:val="0"/>
          <w:marRight w:val="0"/>
          <w:marTop w:val="0"/>
          <w:marBottom w:val="0"/>
          <w:divBdr>
            <w:top w:val="none" w:sz="0" w:space="0" w:color="auto"/>
            <w:left w:val="none" w:sz="0" w:space="0" w:color="auto"/>
            <w:bottom w:val="none" w:sz="0" w:space="0" w:color="auto"/>
            <w:right w:val="none" w:sz="0" w:space="0" w:color="auto"/>
          </w:divBdr>
          <w:divsChild>
            <w:div w:id="1190988965">
              <w:marLeft w:val="0"/>
              <w:marRight w:val="0"/>
              <w:marTop w:val="0"/>
              <w:marBottom w:val="0"/>
              <w:divBdr>
                <w:top w:val="none" w:sz="0" w:space="0" w:color="auto"/>
                <w:left w:val="none" w:sz="0" w:space="0" w:color="auto"/>
                <w:bottom w:val="none" w:sz="0" w:space="0" w:color="auto"/>
                <w:right w:val="none" w:sz="0" w:space="0" w:color="auto"/>
              </w:divBdr>
            </w:div>
          </w:divsChild>
        </w:div>
        <w:div w:id="744424592">
          <w:marLeft w:val="0"/>
          <w:marRight w:val="0"/>
          <w:marTop w:val="0"/>
          <w:marBottom w:val="0"/>
          <w:divBdr>
            <w:top w:val="none" w:sz="0" w:space="0" w:color="auto"/>
            <w:left w:val="none" w:sz="0" w:space="0" w:color="auto"/>
            <w:bottom w:val="none" w:sz="0" w:space="0" w:color="auto"/>
            <w:right w:val="none" w:sz="0" w:space="0" w:color="auto"/>
          </w:divBdr>
          <w:divsChild>
            <w:div w:id="577208317">
              <w:marLeft w:val="0"/>
              <w:marRight w:val="0"/>
              <w:marTop w:val="0"/>
              <w:marBottom w:val="0"/>
              <w:divBdr>
                <w:top w:val="none" w:sz="0" w:space="0" w:color="auto"/>
                <w:left w:val="none" w:sz="0" w:space="0" w:color="auto"/>
                <w:bottom w:val="none" w:sz="0" w:space="0" w:color="auto"/>
                <w:right w:val="none" w:sz="0" w:space="0" w:color="auto"/>
              </w:divBdr>
            </w:div>
            <w:div w:id="1216158839">
              <w:marLeft w:val="0"/>
              <w:marRight w:val="0"/>
              <w:marTop w:val="0"/>
              <w:marBottom w:val="0"/>
              <w:divBdr>
                <w:top w:val="none" w:sz="0" w:space="0" w:color="auto"/>
                <w:left w:val="none" w:sz="0" w:space="0" w:color="auto"/>
                <w:bottom w:val="none" w:sz="0" w:space="0" w:color="auto"/>
                <w:right w:val="none" w:sz="0" w:space="0" w:color="auto"/>
              </w:divBdr>
              <w:divsChild>
                <w:div w:id="839002570">
                  <w:marLeft w:val="0"/>
                  <w:marRight w:val="0"/>
                  <w:marTop w:val="0"/>
                  <w:marBottom w:val="0"/>
                  <w:divBdr>
                    <w:top w:val="none" w:sz="0" w:space="0" w:color="auto"/>
                    <w:left w:val="none" w:sz="0" w:space="0" w:color="auto"/>
                    <w:bottom w:val="none" w:sz="0" w:space="0" w:color="auto"/>
                    <w:right w:val="none" w:sz="0" w:space="0" w:color="auto"/>
                  </w:divBdr>
                  <w:divsChild>
                    <w:div w:id="1620212486">
                      <w:marLeft w:val="0"/>
                      <w:marRight w:val="0"/>
                      <w:marTop w:val="0"/>
                      <w:marBottom w:val="0"/>
                      <w:divBdr>
                        <w:top w:val="none" w:sz="0" w:space="0" w:color="auto"/>
                        <w:left w:val="none" w:sz="0" w:space="0" w:color="auto"/>
                        <w:bottom w:val="none" w:sz="0" w:space="0" w:color="auto"/>
                        <w:right w:val="none" w:sz="0" w:space="0" w:color="auto"/>
                      </w:divBdr>
                      <w:divsChild>
                        <w:div w:id="828641313">
                          <w:marLeft w:val="0"/>
                          <w:marRight w:val="0"/>
                          <w:marTop w:val="0"/>
                          <w:marBottom w:val="0"/>
                          <w:divBdr>
                            <w:top w:val="none" w:sz="0" w:space="0" w:color="auto"/>
                            <w:left w:val="none" w:sz="0" w:space="0" w:color="auto"/>
                            <w:bottom w:val="none" w:sz="0" w:space="0" w:color="auto"/>
                            <w:right w:val="none" w:sz="0" w:space="0" w:color="auto"/>
                          </w:divBdr>
                          <w:divsChild>
                            <w:div w:id="66423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6654642">
          <w:marLeft w:val="0"/>
          <w:marRight w:val="0"/>
          <w:marTop w:val="0"/>
          <w:marBottom w:val="0"/>
          <w:divBdr>
            <w:top w:val="none" w:sz="0" w:space="0" w:color="auto"/>
            <w:left w:val="none" w:sz="0" w:space="0" w:color="auto"/>
            <w:bottom w:val="none" w:sz="0" w:space="0" w:color="auto"/>
            <w:right w:val="none" w:sz="0" w:space="0" w:color="auto"/>
          </w:divBdr>
          <w:divsChild>
            <w:div w:id="1255820051">
              <w:marLeft w:val="0"/>
              <w:marRight w:val="0"/>
              <w:marTop w:val="0"/>
              <w:marBottom w:val="0"/>
              <w:divBdr>
                <w:top w:val="none" w:sz="0" w:space="0" w:color="auto"/>
                <w:left w:val="none" w:sz="0" w:space="0" w:color="auto"/>
                <w:bottom w:val="none" w:sz="0" w:space="0" w:color="auto"/>
                <w:right w:val="none" w:sz="0" w:space="0" w:color="auto"/>
              </w:divBdr>
            </w:div>
          </w:divsChild>
        </w:div>
        <w:div w:id="779421032">
          <w:marLeft w:val="0"/>
          <w:marRight w:val="0"/>
          <w:marTop w:val="0"/>
          <w:marBottom w:val="0"/>
          <w:divBdr>
            <w:top w:val="none" w:sz="0" w:space="0" w:color="auto"/>
            <w:left w:val="none" w:sz="0" w:space="0" w:color="auto"/>
            <w:bottom w:val="none" w:sz="0" w:space="0" w:color="auto"/>
            <w:right w:val="none" w:sz="0" w:space="0" w:color="auto"/>
          </w:divBdr>
          <w:divsChild>
            <w:div w:id="263076939">
              <w:marLeft w:val="0"/>
              <w:marRight w:val="0"/>
              <w:marTop w:val="0"/>
              <w:marBottom w:val="0"/>
              <w:divBdr>
                <w:top w:val="none" w:sz="0" w:space="0" w:color="auto"/>
                <w:left w:val="none" w:sz="0" w:space="0" w:color="auto"/>
                <w:bottom w:val="none" w:sz="0" w:space="0" w:color="auto"/>
                <w:right w:val="none" w:sz="0" w:space="0" w:color="auto"/>
              </w:divBdr>
            </w:div>
          </w:divsChild>
        </w:div>
        <w:div w:id="817107986">
          <w:marLeft w:val="0"/>
          <w:marRight w:val="0"/>
          <w:marTop w:val="0"/>
          <w:marBottom w:val="0"/>
          <w:divBdr>
            <w:top w:val="none" w:sz="0" w:space="0" w:color="auto"/>
            <w:left w:val="none" w:sz="0" w:space="0" w:color="auto"/>
            <w:bottom w:val="none" w:sz="0" w:space="0" w:color="auto"/>
            <w:right w:val="none" w:sz="0" w:space="0" w:color="auto"/>
          </w:divBdr>
          <w:divsChild>
            <w:div w:id="822427330">
              <w:marLeft w:val="0"/>
              <w:marRight w:val="0"/>
              <w:marTop w:val="0"/>
              <w:marBottom w:val="0"/>
              <w:divBdr>
                <w:top w:val="none" w:sz="0" w:space="0" w:color="auto"/>
                <w:left w:val="none" w:sz="0" w:space="0" w:color="auto"/>
                <w:bottom w:val="none" w:sz="0" w:space="0" w:color="auto"/>
                <w:right w:val="none" w:sz="0" w:space="0" w:color="auto"/>
              </w:divBdr>
            </w:div>
          </w:divsChild>
        </w:div>
        <w:div w:id="956064001">
          <w:marLeft w:val="0"/>
          <w:marRight w:val="0"/>
          <w:marTop w:val="0"/>
          <w:marBottom w:val="0"/>
          <w:divBdr>
            <w:top w:val="none" w:sz="0" w:space="0" w:color="auto"/>
            <w:left w:val="none" w:sz="0" w:space="0" w:color="auto"/>
            <w:bottom w:val="none" w:sz="0" w:space="0" w:color="auto"/>
            <w:right w:val="none" w:sz="0" w:space="0" w:color="auto"/>
          </w:divBdr>
          <w:divsChild>
            <w:div w:id="835537246">
              <w:marLeft w:val="0"/>
              <w:marRight w:val="0"/>
              <w:marTop w:val="0"/>
              <w:marBottom w:val="0"/>
              <w:divBdr>
                <w:top w:val="none" w:sz="0" w:space="0" w:color="auto"/>
                <w:left w:val="none" w:sz="0" w:space="0" w:color="auto"/>
                <w:bottom w:val="none" w:sz="0" w:space="0" w:color="auto"/>
                <w:right w:val="none" w:sz="0" w:space="0" w:color="auto"/>
              </w:divBdr>
            </w:div>
          </w:divsChild>
        </w:div>
        <w:div w:id="1103265415">
          <w:marLeft w:val="0"/>
          <w:marRight w:val="0"/>
          <w:marTop w:val="0"/>
          <w:marBottom w:val="0"/>
          <w:divBdr>
            <w:top w:val="none" w:sz="0" w:space="0" w:color="auto"/>
            <w:left w:val="none" w:sz="0" w:space="0" w:color="auto"/>
            <w:bottom w:val="none" w:sz="0" w:space="0" w:color="auto"/>
            <w:right w:val="none" w:sz="0" w:space="0" w:color="auto"/>
          </w:divBdr>
          <w:divsChild>
            <w:div w:id="1114791440">
              <w:marLeft w:val="0"/>
              <w:marRight w:val="0"/>
              <w:marTop w:val="0"/>
              <w:marBottom w:val="0"/>
              <w:divBdr>
                <w:top w:val="none" w:sz="0" w:space="0" w:color="auto"/>
                <w:left w:val="none" w:sz="0" w:space="0" w:color="auto"/>
                <w:bottom w:val="none" w:sz="0" w:space="0" w:color="auto"/>
                <w:right w:val="none" w:sz="0" w:space="0" w:color="auto"/>
              </w:divBdr>
            </w:div>
          </w:divsChild>
        </w:div>
        <w:div w:id="1132210270">
          <w:marLeft w:val="0"/>
          <w:marRight w:val="0"/>
          <w:marTop w:val="0"/>
          <w:marBottom w:val="0"/>
          <w:divBdr>
            <w:top w:val="none" w:sz="0" w:space="0" w:color="auto"/>
            <w:left w:val="none" w:sz="0" w:space="0" w:color="auto"/>
            <w:bottom w:val="none" w:sz="0" w:space="0" w:color="auto"/>
            <w:right w:val="none" w:sz="0" w:space="0" w:color="auto"/>
          </w:divBdr>
          <w:divsChild>
            <w:div w:id="587468582">
              <w:marLeft w:val="0"/>
              <w:marRight w:val="0"/>
              <w:marTop w:val="0"/>
              <w:marBottom w:val="0"/>
              <w:divBdr>
                <w:top w:val="none" w:sz="0" w:space="0" w:color="auto"/>
                <w:left w:val="none" w:sz="0" w:space="0" w:color="auto"/>
                <w:bottom w:val="none" w:sz="0" w:space="0" w:color="auto"/>
                <w:right w:val="none" w:sz="0" w:space="0" w:color="auto"/>
              </w:divBdr>
            </w:div>
          </w:divsChild>
        </w:div>
        <w:div w:id="1195775871">
          <w:marLeft w:val="0"/>
          <w:marRight w:val="0"/>
          <w:marTop w:val="0"/>
          <w:marBottom w:val="0"/>
          <w:divBdr>
            <w:top w:val="none" w:sz="0" w:space="0" w:color="auto"/>
            <w:left w:val="none" w:sz="0" w:space="0" w:color="auto"/>
            <w:bottom w:val="none" w:sz="0" w:space="0" w:color="auto"/>
            <w:right w:val="none" w:sz="0" w:space="0" w:color="auto"/>
          </w:divBdr>
          <w:divsChild>
            <w:div w:id="1327319003">
              <w:marLeft w:val="0"/>
              <w:marRight w:val="0"/>
              <w:marTop w:val="0"/>
              <w:marBottom w:val="0"/>
              <w:divBdr>
                <w:top w:val="none" w:sz="0" w:space="0" w:color="auto"/>
                <w:left w:val="none" w:sz="0" w:space="0" w:color="auto"/>
                <w:bottom w:val="none" w:sz="0" w:space="0" w:color="auto"/>
                <w:right w:val="none" w:sz="0" w:space="0" w:color="auto"/>
              </w:divBdr>
            </w:div>
          </w:divsChild>
        </w:div>
        <w:div w:id="1258175643">
          <w:marLeft w:val="0"/>
          <w:marRight w:val="0"/>
          <w:marTop w:val="0"/>
          <w:marBottom w:val="0"/>
          <w:divBdr>
            <w:top w:val="none" w:sz="0" w:space="0" w:color="auto"/>
            <w:left w:val="none" w:sz="0" w:space="0" w:color="auto"/>
            <w:bottom w:val="none" w:sz="0" w:space="0" w:color="auto"/>
            <w:right w:val="none" w:sz="0" w:space="0" w:color="auto"/>
          </w:divBdr>
          <w:divsChild>
            <w:div w:id="2038235501">
              <w:marLeft w:val="0"/>
              <w:marRight w:val="0"/>
              <w:marTop w:val="0"/>
              <w:marBottom w:val="0"/>
              <w:divBdr>
                <w:top w:val="none" w:sz="0" w:space="0" w:color="auto"/>
                <w:left w:val="none" w:sz="0" w:space="0" w:color="auto"/>
                <w:bottom w:val="none" w:sz="0" w:space="0" w:color="auto"/>
                <w:right w:val="none" w:sz="0" w:space="0" w:color="auto"/>
              </w:divBdr>
            </w:div>
          </w:divsChild>
        </w:div>
        <w:div w:id="1282541436">
          <w:marLeft w:val="0"/>
          <w:marRight w:val="0"/>
          <w:marTop w:val="0"/>
          <w:marBottom w:val="0"/>
          <w:divBdr>
            <w:top w:val="none" w:sz="0" w:space="0" w:color="auto"/>
            <w:left w:val="none" w:sz="0" w:space="0" w:color="auto"/>
            <w:bottom w:val="none" w:sz="0" w:space="0" w:color="auto"/>
            <w:right w:val="none" w:sz="0" w:space="0" w:color="auto"/>
          </w:divBdr>
          <w:divsChild>
            <w:div w:id="1249651467">
              <w:marLeft w:val="0"/>
              <w:marRight w:val="0"/>
              <w:marTop w:val="0"/>
              <w:marBottom w:val="0"/>
              <w:divBdr>
                <w:top w:val="none" w:sz="0" w:space="0" w:color="auto"/>
                <w:left w:val="none" w:sz="0" w:space="0" w:color="auto"/>
                <w:bottom w:val="none" w:sz="0" w:space="0" w:color="auto"/>
                <w:right w:val="none" w:sz="0" w:space="0" w:color="auto"/>
              </w:divBdr>
            </w:div>
          </w:divsChild>
        </w:div>
        <w:div w:id="1332953025">
          <w:marLeft w:val="0"/>
          <w:marRight w:val="0"/>
          <w:marTop w:val="0"/>
          <w:marBottom w:val="0"/>
          <w:divBdr>
            <w:top w:val="none" w:sz="0" w:space="0" w:color="auto"/>
            <w:left w:val="none" w:sz="0" w:space="0" w:color="auto"/>
            <w:bottom w:val="none" w:sz="0" w:space="0" w:color="auto"/>
            <w:right w:val="none" w:sz="0" w:space="0" w:color="auto"/>
          </w:divBdr>
          <w:divsChild>
            <w:div w:id="74474865">
              <w:marLeft w:val="0"/>
              <w:marRight w:val="0"/>
              <w:marTop w:val="0"/>
              <w:marBottom w:val="0"/>
              <w:divBdr>
                <w:top w:val="none" w:sz="0" w:space="0" w:color="auto"/>
                <w:left w:val="none" w:sz="0" w:space="0" w:color="auto"/>
                <w:bottom w:val="none" w:sz="0" w:space="0" w:color="auto"/>
                <w:right w:val="none" w:sz="0" w:space="0" w:color="auto"/>
              </w:divBdr>
            </w:div>
          </w:divsChild>
        </w:div>
        <w:div w:id="1346666247">
          <w:marLeft w:val="0"/>
          <w:marRight w:val="0"/>
          <w:marTop w:val="0"/>
          <w:marBottom w:val="0"/>
          <w:divBdr>
            <w:top w:val="none" w:sz="0" w:space="0" w:color="auto"/>
            <w:left w:val="none" w:sz="0" w:space="0" w:color="auto"/>
            <w:bottom w:val="none" w:sz="0" w:space="0" w:color="auto"/>
            <w:right w:val="none" w:sz="0" w:space="0" w:color="auto"/>
          </w:divBdr>
          <w:divsChild>
            <w:div w:id="1525051912">
              <w:marLeft w:val="0"/>
              <w:marRight w:val="0"/>
              <w:marTop w:val="0"/>
              <w:marBottom w:val="0"/>
              <w:divBdr>
                <w:top w:val="none" w:sz="0" w:space="0" w:color="auto"/>
                <w:left w:val="none" w:sz="0" w:space="0" w:color="auto"/>
                <w:bottom w:val="none" w:sz="0" w:space="0" w:color="auto"/>
                <w:right w:val="none" w:sz="0" w:space="0" w:color="auto"/>
              </w:divBdr>
            </w:div>
          </w:divsChild>
        </w:div>
        <w:div w:id="1369184938">
          <w:marLeft w:val="0"/>
          <w:marRight w:val="0"/>
          <w:marTop w:val="0"/>
          <w:marBottom w:val="0"/>
          <w:divBdr>
            <w:top w:val="none" w:sz="0" w:space="0" w:color="auto"/>
            <w:left w:val="none" w:sz="0" w:space="0" w:color="auto"/>
            <w:bottom w:val="none" w:sz="0" w:space="0" w:color="auto"/>
            <w:right w:val="none" w:sz="0" w:space="0" w:color="auto"/>
          </w:divBdr>
          <w:divsChild>
            <w:div w:id="1146976340">
              <w:marLeft w:val="0"/>
              <w:marRight w:val="0"/>
              <w:marTop w:val="0"/>
              <w:marBottom w:val="0"/>
              <w:divBdr>
                <w:top w:val="none" w:sz="0" w:space="0" w:color="auto"/>
                <w:left w:val="none" w:sz="0" w:space="0" w:color="auto"/>
                <w:bottom w:val="none" w:sz="0" w:space="0" w:color="auto"/>
                <w:right w:val="none" w:sz="0" w:space="0" w:color="auto"/>
              </w:divBdr>
            </w:div>
          </w:divsChild>
        </w:div>
        <w:div w:id="1379550625">
          <w:marLeft w:val="0"/>
          <w:marRight w:val="0"/>
          <w:marTop w:val="0"/>
          <w:marBottom w:val="0"/>
          <w:divBdr>
            <w:top w:val="none" w:sz="0" w:space="0" w:color="auto"/>
            <w:left w:val="none" w:sz="0" w:space="0" w:color="auto"/>
            <w:bottom w:val="none" w:sz="0" w:space="0" w:color="auto"/>
            <w:right w:val="none" w:sz="0" w:space="0" w:color="auto"/>
          </w:divBdr>
          <w:divsChild>
            <w:div w:id="1216315179">
              <w:marLeft w:val="0"/>
              <w:marRight w:val="0"/>
              <w:marTop w:val="0"/>
              <w:marBottom w:val="0"/>
              <w:divBdr>
                <w:top w:val="none" w:sz="0" w:space="0" w:color="auto"/>
                <w:left w:val="none" w:sz="0" w:space="0" w:color="auto"/>
                <w:bottom w:val="none" w:sz="0" w:space="0" w:color="auto"/>
                <w:right w:val="none" w:sz="0" w:space="0" w:color="auto"/>
              </w:divBdr>
            </w:div>
          </w:divsChild>
        </w:div>
        <w:div w:id="1383168175">
          <w:marLeft w:val="0"/>
          <w:marRight w:val="0"/>
          <w:marTop w:val="0"/>
          <w:marBottom w:val="0"/>
          <w:divBdr>
            <w:top w:val="none" w:sz="0" w:space="0" w:color="auto"/>
            <w:left w:val="none" w:sz="0" w:space="0" w:color="auto"/>
            <w:bottom w:val="none" w:sz="0" w:space="0" w:color="auto"/>
            <w:right w:val="none" w:sz="0" w:space="0" w:color="auto"/>
          </w:divBdr>
          <w:divsChild>
            <w:div w:id="1549488122">
              <w:marLeft w:val="0"/>
              <w:marRight w:val="0"/>
              <w:marTop w:val="0"/>
              <w:marBottom w:val="0"/>
              <w:divBdr>
                <w:top w:val="none" w:sz="0" w:space="0" w:color="auto"/>
                <w:left w:val="none" w:sz="0" w:space="0" w:color="auto"/>
                <w:bottom w:val="none" w:sz="0" w:space="0" w:color="auto"/>
                <w:right w:val="none" w:sz="0" w:space="0" w:color="auto"/>
              </w:divBdr>
            </w:div>
          </w:divsChild>
        </w:div>
        <w:div w:id="1420521655">
          <w:marLeft w:val="0"/>
          <w:marRight w:val="0"/>
          <w:marTop w:val="0"/>
          <w:marBottom w:val="0"/>
          <w:divBdr>
            <w:top w:val="none" w:sz="0" w:space="0" w:color="auto"/>
            <w:left w:val="none" w:sz="0" w:space="0" w:color="auto"/>
            <w:bottom w:val="none" w:sz="0" w:space="0" w:color="auto"/>
            <w:right w:val="none" w:sz="0" w:space="0" w:color="auto"/>
          </w:divBdr>
          <w:divsChild>
            <w:div w:id="2005165726">
              <w:marLeft w:val="0"/>
              <w:marRight w:val="0"/>
              <w:marTop w:val="0"/>
              <w:marBottom w:val="0"/>
              <w:divBdr>
                <w:top w:val="none" w:sz="0" w:space="0" w:color="auto"/>
                <w:left w:val="none" w:sz="0" w:space="0" w:color="auto"/>
                <w:bottom w:val="none" w:sz="0" w:space="0" w:color="auto"/>
                <w:right w:val="none" w:sz="0" w:space="0" w:color="auto"/>
              </w:divBdr>
            </w:div>
          </w:divsChild>
        </w:div>
        <w:div w:id="1437940157">
          <w:marLeft w:val="0"/>
          <w:marRight w:val="0"/>
          <w:marTop w:val="0"/>
          <w:marBottom w:val="0"/>
          <w:divBdr>
            <w:top w:val="none" w:sz="0" w:space="0" w:color="auto"/>
            <w:left w:val="none" w:sz="0" w:space="0" w:color="auto"/>
            <w:bottom w:val="none" w:sz="0" w:space="0" w:color="auto"/>
            <w:right w:val="none" w:sz="0" w:space="0" w:color="auto"/>
          </w:divBdr>
          <w:divsChild>
            <w:div w:id="1886217352">
              <w:marLeft w:val="0"/>
              <w:marRight w:val="0"/>
              <w:marTop w:val="0"/>
              <w:marBottom w:val="0"/>
              <w:divBdr>
                <w:top w:val="none" w:sz="0" w:space="0" w:color="auto"/>
                <w:left w:val="none" w:sz="0" w:space="0" w:color="auto"/>
                <w:bottom w:val="none" w:sz="0" w:space="0" w:color="auto"/>
                <w:right w:val="none" w:sz="0" w:space="0" w:color="auto"/>
              </w:divBdr>
            </w:div>
          </w:divsChild>
        </w:div>
        <w:div w:id="1501777501">
          <w:marLeft w:val="0"/>
          <w:marRight w:val="0"/>
          <w:marTop w:val="0"/>
          <w:marBottom w:val="0"/>
          <w:divBdr>
            <w:top w:val="none" w:sz="0" w:space="0" w:color="auto"/>
            <w:left w:val="none" w:sz="0" w:space="0" w:color="auto"/>
            <w:bottom w:val="none" w:sz="0" w:space="0" w:color="auto"/>
            <w:right w:val="none" w:sz="0" w:space="0" w:color="auto"/>
          </w:divBdr>
          <w:divsChild>
            <w:div w:id="1430616472">
              <w:marLeft w:val="0"/>
              <w:marRight w:val="0"/>
              <w:marTop w:val="0"/>
              <w:marBottom w:val="0"/>
              <w:divBdr>
                <w:top w:val="none" w:sz="0" w:space="0" w:color="auto"/>
                <w:left w:val="none" w:sz="0" w:space="0" w:color="auto"/>
                <w:bottom w:val="none" w:sz="0" w:space="0" w:color="auto"/>
                <w:right w:val="none" w:sz="0" w:space="0" w:color="auto"/>
              </w:divBdr>
            </w:div>
          </w:divsChild>
        </w:div>
        <w:div w:id="1527864643">
          <w:marLeft w:val="0"/>
          <w:marRight w:val="0"/>
          <w:marTop w:val="0"/>
          <w:marBottom w:val="0"/>
          <w:divBdr>
            <w:top w:val="none" w:sz="0" w:space="0" w:color="auto"/>
            <w:left w:val="none" w:sz="0" w:space="0" w:color="auto"/>
            <w:bottom w:val="none" w:sz="0" w:space="0" w:color="auto"/>
            <w:right w:val="none" w:sz="0" w:space="0" w:color="auto"/>
          </w:divBdr>
          <w:divsChild>
            <w:div w:id="1322851209">
              <w:marLeft w:val="0"/>
              <w:marRight w:val="0"/>
              <w:marTop w:val="0"/>
              <w:marBottom w:val="0"/>
              <w:divBdr>
                <w:top w:val="none" w:sz="0" w:space="0" w:color="auto"/>
                <w:left w:val="none" w:sz="0" w:space="0" w:color="auto"/>
                <w:bottom w:val="none" w:sz="0" w:space="0" w:color="auto"/>
                <w:right w:val="none" w:sz="0" w:space="0" w:color="auto"/>
              </w:divBdr>
            </w:div>
          </w:divsChild>
        </w:div>
        <w:div w:id="1550413467">
          <w:marLeft w:val="0"/>
          <w:marRight w:val="0"/>
          <w:marTop w:val="0"/>
          <w:marBottom w:val="0"/>
          <w:divBdr>
            <w:top w:val="none" w:sz="0" w:space="0" w:color="auto"/>
            <w:left w:val="none" w:sz="0" w:space="0" w:color="auto"/>
            <w:bottom w:val="none" w:sz="0" w:space="0" w:color="auto"/>
            <w:right w:val="none" w:sz="0" w:space="0" w:color="auto"/>
          </w:divBdr>
          <w:divsChild>
            <w:div w:id="734469161">
              <w:marLeft w:val="0"/>
              <w:marRight w:val="0"/>
              <w:marTop w:val="0"/>
              <w:marBottom w:val="0"/>
              <w:divBdr>
                <w:top w:val="none" w:sz="0" w:space="0" w:color="auto"/>
                <w:left w:val="none" w:sz="0" w:space="0" w:color="auto"/>
                <w:bottom w:val="none" w:sz="0" w:space="0" w:color="auto"/>
                <w:right w:val="none" w:sz="0" w:space="0" w:color="auto"/>
              </w:divBdr>
            </w:div>
          </w:divsChild>
        </w:div>
        <w:div w:id="1561015224">
          <w:marLeft w:val="0"/>
          <w:marRight w:val="0"/>
          <w:marTop w:val="0"/>
          <w:marBottom w:val="0"/>
          <w:divBdr>
            <w:top w:val="none" w:sz="0" w:space="0" w:color="auto"/>
            <w:left w:val="none" w:sz="0" w:space="0" w:color="auto"/>
            <w:bottom w:val="none" w:sz="0" w:space="0" w:color="auto"/>
            <w:right w:val="none" w:sz="0" w:space="0" w:color="auto"/>
          </w:divBdr>
          <w:divsChild>
            <w:div w:id="125663476">
              <w:marLeft w:val="0"/>
              <w:marRight w:val="0"/>
              <w:marTop w:val="0"/>
              <w:marBottom w:val="0"/>
              <w:divBdr>
                <w:top w:val="none" w:sz="0" w:space="0" w:color="auto"/>
                <w:left w:val="none" w:sz="0" w:space="0" w:color="auto"/>
                <w:bottom w:val="none" w:sz="0" w:space="0" w:color="auto"/>
                <w:right w:val="none" w:sz="0" w:space="0" w:color="auto"/>
              </w:divBdr>
            </w:div>
          </w:divsChild>
        </w:div>
        <w:div w:id="1568223291">
          <w:marLeft w:val="0"/>
          <w:marRight w:val="0"/>
          <w:marTop w:val="0"/>
          <w:marBottom w:val="0"/>
          <w:divBdr>
            <w:top w:val="none" w:sz="0" w:space="0" w:color="auto"/>
            <w:left w:val="none" w:sz="0" w:space="0" w:color="auto"/>
            <w:bottom w:val="none" w:sz="0" w:space="0" w:color="auto"/>
            <w:right w:val="none" w:sz="0" w:space="0" w:color="auto"/>
          </w:divBdr>
          <w:divsChild>
            <w:div w:id="1744525330">
              <w:marLeft w:val="0"/>
              <w:marRight w:val="0"/>
              <w:marTop w:val="0"/>
              <w:marBottom w:val="0"/>
              <w:divBdr>
                <w:top w:val="none" w:sz="0" w:space="0" w:color="auto"/>
                <w:left w:val="none" w:sz="0" w:space="0" w:color="auto"/>
                <w:bottom w:val="none" w:sz="0" w:space="0" w:color="auto"/>
                <w:right w:val="none" w:sz="0" w:space="0" w:color="auto"/>
              </w:divBdr>
            </w:div>
          </w:divsChild>
        </w:div>
        <w:div w:id="1569879088">
          <w:marLeft w:val="0"/>
          <w:marRight w:val="0"/>
          <w:marTop w:val="0"/>
          <w:marBottom w:val="0"/>
          <w:divBdr>
            <w:top w:val="none" w:sz="0" w:space="0" w:color="auto"/>
            <w:left w:val="none" w:sz="0" w:space="0" w:color="auto"/>
            <w:bottom w:val="none" w:sz="0" w:space="0" w:color="auto"/>
            <w:right w:val="none" w:sz="0" w:space="0" w:color="auto"/>
          </w:divBdr>
          <w:divsChild>
            <w:div w:id="222836255">
              <w:marLeft w:val="0"/>
              <w:marRight w:val="0"/>
              <w:marTop w:val="0"/>
              <w:marBottom w:val="0"/>
              <w:divBdr>
                <w:top w:val="none" w:sz="0" w:space="0" w:color="auto"/>
                <w:left w:val="none" w:sz="0" w:space="0" w:color="auto"/>
                <w:bottom w:val="none" w:sz="0" w:space="0" w:color="auto"/>
                <w:right w:val="none" w:sz="0" w:space="0" w:color="auto"/>
              </w:divBdr>
            </w:div>
          </w:divsChild>
        </w:div>
        <w:div w:id="1656103253">
          <w:marLeft w:val="0"/>
          <w:marRight w:val="0"/>
          <w:marTop w:val="0"/>
          <w:marBottom w:val="0"/>
          <w:divBdr>
            <w:top w:val="none" w:sz="0" w:space="0" w:color="auto"/>
            <w:left w:val="none" w:sz="0" w:space="0" w:color="auto"/>
            <w:bottom w:val="none" w:sz="0" w:space="0" w:color="auto"/>
            <w:right w:val="none" w:sz="0" w:space="0" w:color="auto"/>
          </w:divBdr>
          <w:divsChild>
            <w:div w:id="473523256">
              <w:marLeft w:val="0"/>
              <w:marRight w:val="0"/>
              <w:marTop w:val="0"/>
              <w:marBottom w:val="0"/>
              <w:divBdr>
                <w:top w:val="none" w:sz="0" w:space="0" w:color="auto"/>
                <w:left w:val="none" w:sz="0" w:space="0" w:color="auto"/>
                <w:bottom w:val="none" w:sz="0" w:space="0" w:color="auto"/>
                <w:right w:val="none" w:sz="0" w:space="0" w:color="auto"/>
              </w:divBdr>
            </w:div>
          </w:divsChild>
        </w:div>
        <w:div w:id="1663199126">
          <w:marLeft w:val="0"/>
          <w:marRight w:val="0"/>
          <w:marTop w:val="0"/>
          <w:marBottom w:val="0"/>
          <w:divBdr>
            <w:top w:val="none" w:sz="0" w:space="0" w:color="auto"/>
            <w:left w:val="none" w:sz="0" w:space="0" w:color="auto"/>
            <w:bottom w:val="none" w:sz="0" w:space="0" w:color="auto"/>
            <w:right w:val="none" w:sz="0" w:space="0" w:color="auto"/>
          </w:divBdr>
          <w:divsChild>
            <w:div w:id="912351108">
              <w:marLeft w:val="0"/>
              <w:marRight w:val="0"/>
              <w:marTop w:val="0"/>
              <w:marBottom w:val="0"/>
              <w:divBdr>
                <w:top w:val="none" w:sz="0" w:space="0" w:color="auto"/>
                <w:left w:val="none" w:sz="0" w:space="0" w:color="auto"/>
                <w:bottom w:val="none" w:sz="0" w:space="0" w:color="auto"/>
                <w:right w:val="none" w:sz="0" w:space="0" w:color="auto"/>
              </w:divBdr>
            </w:div>
          </w:divsChild>
        </w:div>
        <w:div w:id="1713460138">
          <w:marLeft w:val="0"/>
          <w:marRight w:val="0"/>
          <w:marTop w:val="0"/>
          <w:marBottom w:val="0"/>
          <w:divBdr>
            <w:top w:val="none" w:sz="0" w:space="0" w:color="auto"/>
            <w:left w:val="none" w:sz="0" w:space="0" w:color="auto"/>
            <w:bottom w:val="none" w:sz="0" w:space="0" w:color="auto"/>
            <w:right w:val="none" w:sz="0" w:space="0" w:color="auto"/>
          </w:divBdr>
          <w:divsChild>
            <w:div w:id="110591351">
              <w:marLeft w:val="0"/>
              <w:marRight w:val="0"/>
              <w:marTop w:val="0"/>
              <w:marBottom w:val="0"/>
              <w:divBdr>
                <w:top w:val="none" w:sz="0" w:space="0" w:color="auto"/>
                <w:left w:val="none" w:sz="0" w:space="0" w:color="auto"/>
                <w:bottom w:val="none" w:sz="0" w:space="0" w:color="auto"/>
                <w:right w:val="none" w:sz="0" w:space="0" w:color="auto"/>
              </w:divBdr>
            </w:div>
            <w:div w:id="312413682">
              <w:marLeft w:val="0"/>
              <w:marRight w:val="0"/>
              <w:marTop w:val="0"/>
              <w:marBottom w:val="0"/>
              <w:divBdr>
                <w:top w:val="none" w:sz="0" w:space="0" w:color="auto"/>
                <w:left w:val="none" w:sz="0" w:space="0" w:color="auto"/>
                <w:bottom w:val="none" w:sz="0" w:space="0" w:color="auto"/>
                <w:right w:val="none" w:sz="0" w:space="0" w:color="auto"/>
              </w:divBdr>
            </w:div>
          </w:divsChild>
        </w:div>
        <w:div w:id="1796604801">
          <w:marLeft w:val="0"/>
          <w:marRight w:val="0"/>
          <w:marTop w:val="0"/>
          <w:marBottom w:val="0"/>
          <w:divBdr>
            <w:top w:val="none" w:sz="0" w:space="0" w:color="auto"/>
            <w:left w:val="none" w:sz="0" w:space="0" w:color="auto"/>
            <w:bottom w:val="none" w:sz="0" w:space="0" w:color="auto"/>
            <w:right w:val="none" w:sz="0" w:space="0" w:color="auto"/>
          </w:divBdr>
          <w:divsChild>
            <w:div w:id="1198817041">
              <w:marLeft w:val="0"/>
              <w:marRight w:val="0"/>
              <w:marTop w:val="0"/>
              <w:marBottom w:val="0"/>
              <w:divBdr>
                <w:top w:val="none" w:sz="0" w:space="0" w:color="auto"/>
                <w:left w:val="none" w:sz="0" w:space="0" w:color="auto"/>
                <w:bottom w:val="none" w:sz="0" w:space="0" w:color="auto"/>
                <w:right w:val="none" w:sz="0" w:space="0" w:color="auto"/>
              </w:divBdr>
            </w:div>
          </w:divsChild>
        </w:div>
        <w:div w:id="1798330982">
          <w:marLeft w:val="0"/>
          <w:marRight w:val="0"/>
          <w:marTop w:val="0"/>
          <w:marBottom w:val="0"/>
          <w:divBdr>
            <w:top w:val="none" w:sz="0" w:space="0" w:color="auto"/>
            <w:left w:val="none" w:sz="0" w:space="0" w:color="auto"/>
            <w:bottom w:val="none" w:sz="0" w:space="0" w:color="auto"/>
            <w:right w:val="none" w:sz="0" w:space="0" w:color="auto"/>
          </w:divBdr>
          <w:divsChild>
            <w:div w:id="439761526">
              <w:marLeft w:val="0"/>
              <w:marRight w:val="0"/>
              <w:marTop w:val="0"/>
              <w:marBottom w:val="0"/>
              <w:divBdr>
                <w:top w:val="none" w:sz="0" w:space="0" w:color="auto"/>
                <w:left w:val="none" w:sz="0" w:space="0" w:color="auto"/>
                <w:bottom w:val="none" w:sz="0" w:space="0" w:color="auto"/>
                <w:right w:val="none" w:sz="0" w:space="0" w:color="auto"/>
              </w:divBdr>
            </w:div>
          </w:divsChild>
        </w:div>
        <w:div w:id="1900238561">
          <w:marLeft w:val="0"/>
          <w:marRight w:val="0"/>
          <w:marTop w:val="0"/>
          <w:marBottom w:val="0"/>
          <w:divBdr>
            <w:top w:val="none" w:sz="0" w:space="0" w:color="auto"/>
            <w:left w:val="none" w:sz="0" w:space="0" w:color="auto"/>
            <w:bottom w:val="none" w:sz="0" w:space="0" w:color="auto"/>
            <w:right w:val="none" w:sz="0" w:space="0" w:color="auto"/>
          </w:divBdr>
          <w:divsChild>
            <w:div w:id="2054689706">
              <w:marLeft w:val="0"/>
              <w:marRight w:val="0"/>
              <w:marTop w:val="0"/>
              <w:marBottom w:val="0"/>
              <w:divBdr>
                <w:top w:val="none" w:sz="0" w:space="0" w:color="auto"/>
                <w:left w:val="none" w:sz="0" w:space="0" w:color="auto"/>
                <w:bottom w:val="none" w:sz="0" w:space="0" w:color="auto"/>
                <w:right w:val="none" w:sz="0" w:space="0" w:color="auto"/>
              </w:divBdr>
            </w:div>
          </w:divsChild>
        </w:div>
        <w:div w:id="1919972310">
          <w:marLeft w:val="0"/>
          <w:marRight w:val="0"/>
          <w:marTop w:val="0"/>
          <w:marBottom w:val="0"/>
          <w:divBdr>
            <w:top w:val="none" w:sz="0" w:space="0" w:color="auto"/>
            <w:left w:val="none" w:sz="0" w:space="0" w:color="auto"/>
            <w:bottom w:val="none" w:sz="0" w:space="0" w:color="auto"/>
            <w:right w:val="none" w:sz="0" w:space="0" w:color="auto"/>
          </w:divBdr>
          <w:divsChild>
            <w:div w:id="1973099001">
              <w:marLeft w:val="0"/>
              <w:marRight w:val="0"/>
              <w:marTop w:val="0"/>
              <w:marBottom w:val="0"/>
              <w:divBdr>
                <w:top w:val="none" w:sz="0" w:space="0" w:color="auto"/>
                <w:left w:val="none" w:sz="0" w:space="0" w:color="auto"/>
                <w:bottom w:val="none" w:sz="0" w:space="0" w:color="auto"/>
                <w:right w:val="none" w:sz="0" w:space="0" w:color="auto"/>
              </w:divBdr>
            </w:div>
          </w:divsChild>
        </w:div>
        <w:div w:id="1969312108">
          <w:marLeft w:val="0"/>
          <w:marRight w:val="0"/>
          <w:marTop w:val="0"/>
          <w:marBottom w:val="0"/>
          <w:divBdr>
            <w:top w:val="none" w:sz="0" w:space="0" w:color="auto"/>
            <w:left w:val="none" w:sz="0" w:space="0" w:color="auto"/>
            <w:bottom w:val="none" w:sz="0" w:space="0" w:color="auto"/>
            <w:right w:val="none" w:sz="0" w:space="0" w:color="auto"/>
          </w:divBdr>
          <w:divsChild>
            <w:div w:id="337735471">
              <w:marLeft w:val="0"/>
              <w:marRight w:val="0"/>
              <w:marTop w:val="0"/>
              <w:marBottom w:val="0"/>
              <w:divBdr>
                <w:top w:val="none" w:sz="0" w:space="0" w:color="auto"/>
                <w:left w:val="none" w:sz="0" w:space="0" w:color="auto"/>
                <w:bottom w:val="none" w:sz="0" w:space="0" w:color="auto"/>
                <w:right w:val="none" w:sz="0" w:space="0" w:color="auto"/>
              </w:divBdr>
            </w:div>
          </w:divsChild>
        </w:div>
        <w:div w:id="2017685624">
          <w:marLeft w:val="0"/>
          <w:marRight w:val="0"/>
          <w:marTop w:val="0"/>
          <w:marBottom w:val="0"/>
          <w:divBdr>
            <w:top w:val="none" w:sz="0" w:space="0" w:color="auto"/>
            <w:left w:val="none" w:sz="0" w:space="0" w:color="auto"/>
            <w:bottom w:val="none" w:sz="0" w:space="0" w:color="auto"/>
            <w:right w:val="none" w:sz="0" w:space="0" w:color="auto"/>
          </w:divBdr>
          <w:divsChild>
            <w:div w:id="593903784">
              <w:marLeft w:val="0"/>
              <w:marRight w:val="0"/>
              <w:marTop w:val="0"/>
              <w:marBottom w:val="0"/>
              <w:divBdr>
                <w:top w:val="none" w:sz="0" w:space="0" w:color="auto"/>
                <w:left w:val="none" w:sz="0" w:space="0" w:color="auto"/>
                <w:bottom w:val="none" w:sz="0" w:space="0" w:color="auto"/>
                <w:right w:val="none" w:sz="0" w:space="0" w:color="auto"/>
              </w:divBdr>
            </w:div>
          </w:divsChild>
        </w:div>
        <w:div w:id="2044667592">
          <w:marLeft w:val="0"/>
          <w:marRight w:val="0"/>
          <w:marTop w:val="0"/>
          <w:marBottom w:val="0"/>
          <w:divBdr>
            <w:top w:val="none" w:sz="0" w:space="0" w:color="auto"/>
            <w:left w:val="none" w:sz="0" w:space="0" w:color="auto"/>
            <w:bottom w:val="none" w:sz="0" w:space="0" w:color="auto"/>
            <w:right w:val="none" w:sz="0" w:space="0" w:color="auto"/>
          </w:divBdr>
          <w:divsChild>
            <w:div w:id="905804028">
              <w:marLeft w:val="0"/>
              <w:marRight w:val="0"/>
              <w:marTop w:val="0"/>
              <w:marBottom w:val="0"/>
              <w:divBdr>
                <w:top w:val="none" w:sz="0" w:space="0" w:color="auto"/>
                <w:left w:val="none" w:sz="0" w:space="0" w:color="auto"/>
                <w:bottom w:val="none" w:sz="0" w:space="0" w:color="auto"/>
                <w:right w:val="none" w:sz="0" w:space="0" w:color="auto"/>
              </w:divBdr>
            </w:div>
          </w:divsChild>
        </w:div>
        <w:div w:id="2052071065">
          <w:marLeft w:val="0"/>
          <w:marRight w:val="0"/>
          <w:marTop w:val="0"/>
          <w:marBottom w:val="0"/>
          <w:divBdr>
            <w:top w:val="none" w:sz="0" w:space="0" w:color="auto"/>
            <w:left w:val="none" w:sz="0" w:space="0" w:color="auto"/>
            <w:bottom w:val="none" w:sz="0" w:space="0" w:color="auto"/>
            <w:right w:val="none" w:sz="0" w:space="0" w:color="auto"/>
          </w:divBdr>
          <w:divsChild>
            <w:div w:id="519396241">
              <w:marLeft w:val="0"/>
              <w:marRight w:val="0"/>
              <w:marTop w:val="0"/>
              <w:marBottom w:val="0"/>
              <w:divBdr>
                <w:top w:val="none" w:sz="0" w:space="0" w:color="auto"/>
                <w:left w:val="none" w:sz="0" w:space="0" w:color="auto"/>
                <w:bottom w:val="none" w:sz="0" w:space="0" w:color="auto"/>
                <w:right w:val="none" w:sz="0" w:space="0" w:color="auto"/>
              </w:divBdr>
            </w:div>
          </w:divsChild>
        </w:div>
        <w:div w:id="2065368852">
          <w:marLeft w:val="0"/>
          <w:marRight w:val="0"/>
          <w:marTop w:val="0"/>
          <w:marBottom w:val="0"/>
          <w:divBdr>
            <w:top w:val="none" w:sz="0" w:space="0" w:color="auto"/>
            <w:left w:val="none" w:sz="0" w:space="0" w:color="auto"/>
            <w:bottom w:val="none" w:sz="0" w:space="0" w:color="auto"/>
            <w:right w:val="none" w:sz="0" w:space="0" w:color="auto"/>
          </w:divBdr>
          <w:divsChild>
            <w:div w:id="153310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629838">
      <w:bodyDiv w:val="1"/>
      <w:marLeft w:val="0"/>
      <w:marRight w:val="0"/>
      <w:marTop w:val="0"/>
      <w:marBottom w:val="0"/>
      <w:divBdr>
        <w:top w:val="none" w:sz="0" w:space="0" w:color="auto"/>
        <w:left w:val="none" w:sz="0" w:space="0" w:color="auto"/>
        <w:bottom w:val="none" w:sz="0" w:space="0" w:color="auto"/>
        <w:right w:val="none" w:sz="0" w:space="0" w:color="auto"/>
      </w:divBdr>
    </w:div>
    <w:div w:id="1129476283">
      <w:bodyDiv w:val="1"/>
      <w:marLeft w:val="0"/>
      <w:marRight w:val="0"/>
      <w:marTop w:val="0"/>
      <w:marBottom w:val="0"/>
      <w:divBdr>
        <w:top w:val="none" w:sz="0" w:space="0" w:color="auto"/>
        <w:left w:val="none" w:sz="0" w:space="0" w:color="auto"/>
        <w:bottom w:val="none" w:sz="0" w:space="0" w:color="auto"/>
        <w:right w:val="none" w:sz="0" w:space="0" w:color="auto"/>
      </w:divBdr>
    </w:div>
    <w:div w:id="1133909514">
      <w:bodyDiv w:val="1"/>
      <w:marLeft w:val="0"/>
      <w:marRight w:val="0"/>
      <w:marTop w:val="0"/>
      <w:marBottom w:val="0"/>
      <w:divBdr>
        <w:top w:val="none" w:sz="0" w:space="0" w:color="auto"/>
        <w:left w:val="none" w:sz="0" w:space="0" w:color="auto"/>
        <w:bottom w:val="none" w:sz="0" w:space="0" w:color="auto"/>
        <w:right w:val="none" w:sz="0" w:space="0" w:color="auto"/>
      </w:divBdr>
    </w:div>
    <w:div w:id="1139883130">
      <w:bodyDiv w:val="1"/>
      <w:marLeft w:val="0"/>
      <w:marRight w:val="0"/>
      <w:marTop w:val="0"/>
      <w:marBottom w:val="0"/>
      <w:divBdr>
        <w:top w:val="none" w:sz="0" w:space="0" w:color="auto"/>
        <w:left w:val="none" w:sz="0" w:space="0" w:color="auto"/>
        <w:bottom w:val="none" w:sz="0" w:space="0" w:color="auto"/>
        <w:right w:val="none" w:sz="0" w:space="0" w:color="auto"/>
      </w:divBdr>
    </w:div>
    <w:div w:id="1142774732">
      <w:bodyDiv w:val="1"/>
      <w:marLeft w:val="0"/>
      <w:marRight w:val="0"/>
      <w:marTop w:val="0"/>
      <w:marBottom w:val="0"/>
      <w:divBdr>
        <w:top w:val="none" w:sz="0" w:space="0" w:color="auto"/>
        <w:left w:val="none" w:sz="0" w:space="0" w:color="auto"/>
        <w:bottom w:val="none" w:sz="0" w:space="0" w:color="auto"/>
        <w:right w:val="none" w:sz="0" w:space="0" w:color="auto"/>
      </w:divBdr>
    </w:div>
    <w:div w:id="1145664008">
      <w:bodyDiv w:val="1"/>
      <w:marLeft w:val="0"/>
      <w:marRight w:val="0"/>
      <w:marTop w:val="0"/>
      <w:marBottom w:val="0"/>
      <w:divBdr>
        <w:top w:val="none" w:sz="0" w:space="0" w:color="auto"/>
        <w:left w:val="none" w:sz="0" w:space="0" w:color="auto"/>
        <w:bottom w:val="none" w:sz="0" w:space="0" w:color="auto"/>
        <w:right w:val="none" w:sz="0" w:space="0" w:color="auto"/>
      </w:divBdr>
    </w:div>
    <w:div w:id="1153376703">
      <w:bodyDiv w:val="1"/>
      <w:marLeft w:val="0"/>
      <w:marRight w:val="0"/>
      <w:marTop w:val="0"/>
      <w:marBottom w:val="0"/>
      <w:divBdr>
        <w:top w:val="none" w:sz="0" w:space="0" w:color="auto"/>
        <w:left w:val="none" w:sz="0" w:space="0" w:color="auto"/>
        <w:bottom w:val="none" w:sz="0" w:space="0" w:color="auto"/>
        <w:right w:val="none" w:sz="0" w:space="0" w:color="auto"/>
      </w:divBdr>
    </w:div>
    <w:div w:id="1155992007">
      <w:bodyDiv w:val="1"/>
      <w:marLeft w:val="0"/>
      <w:marRight w:val="0"/>
      <w:marTop w:val="0"/>
      <w:marBottom w:val="0"/>
      <w:divBdr>
        <w:top w:val="none" w:sz="0" w:space="0" w:color="auto"/>
        <w:left w:val="none" w:sz="0" w:space="0" w:color="auto"/>
        <w:bottom w:val="none" w:sz="0" w:space="0" w:color="auto"/>
        <w:right w:val="none" w:sz="0" w:space="0" w:color="auto"/>
      </w:divBdr>
    </w:div>
    <w:div w:id="1165052699">
      <w:bodyDiv w:val="1"/>
      <w:marLeft w:val="0"/>
      <w:marRight w:val="0"/>
      <w:marTop w:val="0"/>
      <w:marBottom w:val="0"/>
      <w:divBdr>
        <w:top w:val="none" w:sz="0" w:space="0" w:color="auto"/>
        <w:left w:val="none" w:sz="0" w:space="0" w:color="auto"/>
        <w:bottom w:val="none" w:sz="0" w:space="0" w:color="auto"/>
        <w:right w:val="none" w:sz="0" w:space="0" w:color="auto"/>
      </w:divBdr>
    </w:div>
    <w:div w:id="1166281963">
      <w:bodyDiv w:val="1"/>
      <w:marLeft w:val="0"/>
      <w:marRight w:val="0"/>
      <w:marTop w:val="0"/>
      <w:marBottom w:val="0"/>
      <w:divBdr>
        <w:top w:val="none" w:sz="0" w:space="0" w:color="auto"/>
        <w:left w:val="none" w:sz="0" w:space="0" w:color="auto"/>
        <w:bottom w:val="none" w:sz="0" w:space="0" w:color="auto"/>
        <w:right w:val="none" w:sz="0" w:space="0" w:color="auto"/>
      </w:divBdr>
    </w:div>
    <w:div w:id="1172572465">
      <w:bodyDiv w:val="1"/>
      <w:marLeft w:val="0"/>
      <w:marRight w:val="0"/>
      <w:marTop w:val="0"/>
      <w:marBottom w:val="0"/>
      <w:divBdr>
        <w:top w:val="none" w:sz="0" w:space="0" w:color="auto"/>
        <w:left w:val="none" w:sz="0" w:space="0" w:color="auto"/>
        <w:bottom w:val="none" w:sz="0" w:space="0" w:color="auto"/>
        <w:right w:val="none" w:sz="0" w:space="0" w:color="auto"/>
      </w:divBdr>
    </w:div>
    <w:div w:id="1175803489">
      <w:bodyDiv w:val="1"/>
      <w:marLeft w:val="0"/>
      <w:marRight w:val="0"/>
      <w:marTop w:val="0"/>
      <w:marBottom w:val="0"/>
      <w:divBdr>
        <w:top w:val="none" w:sz="0" w:space="0" w:color="auto"/>
        <w:left w:val="none" w:sz="0" w:space="0" w:color="auto"/>
        <w:bottom w:val="none" w:sz="0" w:space="0" w:color="auto"/>
        <w:right w:val="none" w:sz="0" w:space="0" w:color="auto"/>
      </w:divBdr>
    </w:div>
    <w:div w:id="1177117050">
      <w:bodyDiv w:val="1"/>
      <w:marLeft w:val="0"/>
      <w:marRight w:val="0"/>
      <w:marTop w:val="0"/>
      <w:marBottom w:val="0"/>
      <w:divBdr>
        <w:top w:val="none" w:sz="0" w:space="0" w:color="auto"/>
        <w:left w:val="none" w:sz="0" w:space="0" w:color="auto"/>
        <w:bottom w:val="none" w:sz="0" w:space="0" w:color="auto"/>
        <w:right w:val="none" w:sz="0" w:space="0" w:color="auto"/>
      </w:divBdr>
      <w:divsChild>
        <w:div w:id="810445830">
          <w:marLeft w:val="0"/>
          <w:marRight w:val="0"/>
          <w:marTop w:val="0"/>
          <w:marBottom w:val="0"/>
          <w:divBdr>
            <w:top w:val="none" w:sz="0" w:space="0" w:color="auto"/>
            <w:left w:val="none" w:sz="0" w:space="0" w:color="auto"/>
            <w:bottom w:val="none" w:sz="0" w:space="0" w:color="auto"/>
            <w:right w:val="none" w:sz="0" w:space="0" w:color="auto"/>
          </w:divBdr>
          <w:divsChild>
            <w:div w:id="95757019">
              <w:marLeft w:val="0"/>
              <w:marRight w:val="0"/>
              <w:marTop w:val="0"/>
              <w:marBottom w:val="0"/>
              <w:divBdr>
                <w:top w:val="none" w:sz="0" w:space="0" w:color="auto"/>
                <w:left w:val="none" w:sz="0" w:space="0" w:color="auto"/>
                <w:bottom w:val="none" w:sz="0" w:space="0" w:color="auto"/>
                <w:right w:val="none" w:sz="0" w:space="0" w:color="auto"/>
              </w:divBdr>
              <w:divsChild>
                <w:div w:id="955524536">
                  <w:marLeft w:val="0"/>
                  <w:marRight w:val="0"/>
                  <w:marTop w:val="0"/>
                  <w:marBottom w:val="0"/>
                  <w:divBdr>
                    <w:top w:val="none" w:sz="0" w:space="0" w:color="auto"/>
                    <w:left w:val="none" w:sz="0" w:space="0" w:color="auto"/>
                    <w:bottom w:val="none" w:sz="0" w:space="0" w:color="auto"/>
                    <w:right w:val="none" w:sz="0" w:space="0" w:color="auto"/>
                  </w:divBdr>
                  <w:divsChild>
                    <w:div w:id="324624102">
                      <w:marLeft w:val="0"/>
                      <w:marRight w:val="0"/>
                      <w:marTop w:val="0"/>
                      <w:marBottom w:val="0"/>
                      <w:divBdr>
                        <w:top w:val="none" w:sz="0" w:space="0" w:color="auto"/>
                        <w:left w:val="none" w:sz="0" w:space="0" w:color="auto"/>
                        <w:bottom w:val="none" w:sz="0" w:space="0" w:color="auto"/>
                        <w:right w:val="none" w:sz="0" w:space="0" w:color="auto"/>
                      </w:divBdr>
                      <w:divsChild>
                        <w:div w:id="1310791212">
                          <w:marLeft w:val="0"/>
                          <w:marRight w:val="0"/>
                          <w:marTop w:val="0"/>
                          <w:marBottom w:val="0"/>
                          <w:divBdr>
                            <w:top w:val="none" w:sz="0" w:space="0" w:color="auto"/>
                            <w:left w:val="none" w:sz="0" w:space="0" w:color="auto"/>
                            <w:bottom w:val="none" w:sz="0" w:space="0" w:color="auto"/>
                            <w:right w:val="none" w:sz="0" w:space="0" w:color="auto"/>
                          </w:divBdr>
                          <w:divsChild>
                            <w:div w:id="280263130">
                              <w:marLeft w:val="0"/>
                              <w:marRight w:val="0"/>
                              <w:marTop w:val="0"/>
                              <w:marBottom w:val="0"/>
                              <w:divBdr>
                                <w:top w:val="none" w:sz="0" w:space="0" w:color="auto"/>
                                <w:left w:val="none" w:sz="0" w:space="0" w:color="auto"/>
                                <w:bottom w:val="none" w:sz="0" w:space="0" w:color="auto"/>
                                <w:right w:val="none" w:sz="0" w:space="0" w:color="auto"/>
                              </w:divBdr>
                              <w:divsChild>
                                <w:div w:id="9844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573303">
                          <w:marLeft w:val="0"/>
                          <w:marRight w:val="0"/>
                          <w:marTop w:val="0"/>
                          <w:marBottom w:val="0"/>
                          <w:divBdr>
                            <w:top w:val="none" w:sz="0" w:space="0" w:color="auto"/>
                            <w:left w:val="none" w:sz="0" w:space="0" w:color="auto"/>
                            <w:bottom w:val="none" w:sz="0" w:space="0" w:color="auto"/>
                            <w:right w:val="none" w:sz="0" w:space="0" w:color="auto"/>
                          </w:divBdr>
                          <w:divsChild>
                            <w:div w:id="117645754">
                              <w:marLeft w:val="0"/>
                              <w:marRight w:val="0"/>
                              <w:marTop w:val="0"/>
                              <w:marBottom w:val="0"/>
                              <w:divBdr>
                                <w:top w:val="none" w:sz="0" w:space="0" w:color="auto"/>
                                <w:left w:val="none" w:sz="0" w:space="0" w:color="auto"/>
                                <w:bottom w:val="none" w:sz="0" w:space="0" w:color="auto"/>
                                <w:right w:val="none" w:sz="0" w:space="0" w:color="auto"/>
                              </w:divBdr>
                              <w:divsChild>
                                <w:div w:id="1001810761">
                                  <w:marLeft w:val="0"/>
                                  <w:marRight w:val="0"/>
                                  <w:marTop w:val="0"/>
                                  <w:marBottom w:val="0"/>
                                  <w:divBdr>
                                    <w:top w:val="none" w:sz="0" w:space="0" w:color="auto"/>
                                    <w:left w:val="none" w:sz="0" w:space="0" w:color="auto"/>
                                    <w:bottom w:val="none" w:sz="0" w:space="0" w:color="auto"/>
                                    <w:right w:val="none" w:sz="0" w:space="0" w:color="auto"/>
                                  </w:divBdr>
                                  <w:divsChild>
                                    <w:div w:id="95344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9537178">
      <w:bodyDiv w:val="1"/>
      <w:marLeft w:val="0"/>
      <w:marRight w:val="0"/>
      <w:marTop w:val="0"/>
      <w:marBottom w:val="0"/>
      <w:divBdr>
        <w:top w:val="none" w:sz="0" w:space="0" w:color="auto"/>
        <w:left w:val="none" w:sz="0" w:space="0" w:color="auto"/>
        <w:bottom w:val="none" w:sz="0" w:space="0" w:color="auto"/>
        <w:right w:val="none" w:sz="0" w:space="0" w:color="auto"/>
      </w:divBdr>
    </w:div>
    <w:div w:id="1181166680">
      <w:bodyDiv w:val="1"/>
      <w:marLeft w:val="0"/>
      <w:marRight w:val="0"/>
      <w:marTop w:val="0"/>
      <w:marBottom w:val="0"/>
      <w:divBdr>
        <w:top w:val="none" w:sz="0" w:space="0" w:color="auto"/>
        <w:left w:val="none" w:sz="0" w:space="0" w:color="auto"/>
        <w:bottom w:val="none" w:sz="0" w:space="0" w:color="auto"/>
        <w:right w:val="none" w:sz="0" w:space="0" w:color="auto"/>
      </w:divBdr>
    </w:div>
    <w:div w:id="1186560430">
      <w:bodyDiv w:val="1"/>
      <w:marLeft w:val="0"/>
      <w:marRight w:val="0"/>
      <w:marTop w:val="0"/>
      <w:marBottom w:val="0"/>
      <w:divBdr>
        <w:top w:val="none" w:sz="0" w:space="0" w:color="auto"/>
        <w:left w:val="none" w:sz="0" w:space="0" w:color="auto"/>
        <w:bottom w:val="none" w:sz="0" w:space="0" w:color="auto"/>
        <w:right w:val="none" w:sz="0" w:space="0" w:color="auto"/>
      </w:divBdr>
    </w:div>
    <w:div w:id="1195311461">
      <w:bodyDiv w:val="1"/>
      <w:marLeft w:val="0"/>
      <w:marRight w:val="0"/>
      <w:marTop w:val="0"/>
      <w:marBottom w:val="0"/>
      <w:divBdr>
        <w:top w:val="none" w:sz="0" w:space="0" w:color="auto"/>
        <w:left w:val="none" w:sz="0" w:space="0" w:color="auto"/>
        <w:bottom w:val="none" w:sz="0" w:space="0" w:color="auto"/>
        <w:right w:val="none" w:sz="0" w:space="0" w:color="auto"/>
      </w:divBdr>
    </w:div>
    <w:div w:id="1200632120">
      <w:bodyDiv w:val="1"/>
      <w:marLeft w:val="0"/>
      <w:marRight w:val="0"/>
      <w:marTop w:val="0"/>
      <w:marBottom w:val="0"/>
      <w:divBdr>
        <w:top w:val="none" w:sz="0" w:space="0" w:color="auto"/>
        <w:left w:val="none" w:sz="0" w:space="0" w:color="auto"/>
        <w:bottom w:val="none" w:sz="0" w:space="0" w:color="auto"/>
        <w:right w:val="none" w:sz="0" w:space="0" w:color="auto"/>
      </w:divBdr>
    </w:div>
    <w:div w:id="1203522663">
      <w:bodyDiv w:val="1"/>
      <w:marLeft w:val="0"/>
      <w:marRight w:val="0"/>
      <w:marTop w:val="0"/>
      <w:marBottom w:val="0"/>
      <w:divBdr>
        <w:top w:val="none" w:sz="0" w:space="0" w:color="auto"/>
        <w:left w:val="none" w:sz="0" w:space="0" w:color="auto"/>
        <w:bottom w:val="none" w:sz="0" w:space="0" w:color="auto"/>
        <w:right w:val="none" w:sz="0" w:space="0" w:color="auto"/>
      </w:divBdr>
    </w:div>
    <w:div w:id="1213418638">
      <w:bodyDiv w:val="1"/>
      <w:marLeft w:val="0"/>
      <w:marRight w:val="0"/>
      <w:marTop w:val="0"/>
      <w:marBottom w:val="0"/>
      <w:divBdr>
        <w:top w:val="none" w:sz="0" w:space="0" w:color="auto"/>
        <w:left w:val="none" w:sz="0" w:space="0" w:color="auto"/>
        <w:bottom w:val="none" w:sz="0" w:space="0" w:color="auto"/>
        <w:right w:val="none" w:sz="0" w:space="0" w:color="auto"/>
      </w:divBdr>
    </w:div>
    <w:div w:id="1220895070">
      <w:bodyDiv w:val="1"/>
      <w:marLeft w:val="0"/>
      <w:marRight w:val="0"/>
      <w:marTop w:val="0"/>
      <w:marBottom w:val="0"/>
      <w:divBdr>
        <w:top w:val="none" w:sz="0" w:space="0" w:color="auto"/>
        <w:left w:val="none" w:sz="0" w:space="0" w:color="auto"/>
        <w:bottom w:val="none" w:sz="0" w:space="0" w:color="auto"/>
        <w:right w:val="none" w:sz="0" w:space="0" w:color="auto"/>
      </w:divBdr>
    </w:div>
    <w:div w:id="1234194857">
      <w:bodyDiv w:val="1"/>
      <w:marLeft w:val="0"/>
      <w:marRight w:val="0"/>
      <w:marTop w:val="0"/>
      <w:marBottom w:val="0"/>
      <w:divBdr>
        <w:top w:val="none" w:sz="0" w:space="0" w:color="auto"/>
        <w:left w:val="none" w:sz="0" w:space="0" w:color="auto"/>
        <w:bottom w:val="none" w:sz="0" w:space="0" w:color="auto"/>
        <w:right w:val="none" w:sz="0" w:space="0" w:color="auto"/>
      </w:divBdr>
    </w:div>
    <w:div w:id="1237976049">
      <w:bodyDiv w:val="1"/>
      <w:marLeft w:val="0"/>
      <w:marRight w:val="0"/>
      <w:marTop w:val="0"/>
      <w:marBottom w:val="0"/>
      <w:divBdr>
        <w:top w:val="none" w:sz="0" w:space="0" w:color="auto"/>
        <w:left w:val="none" w:sz="0" w:space="0" w:color="auto"/>
        <w:bottom w:val="none" w:sz="0" w:space="0" w:color="auto"/>
        <w:right w:val="none" w:sz="0" w:space="0" w:color="auto"/>
      </w:divBdr>
    </w:div>
    <w:div w:id="1238978869">
      <w:bodyDiv w:val="1"/>
      <w:marLeft w:val="0"/>
      <w:marRight w:val="0"/>
      <w:marTop w:val="0"/>
      <w:marBottom w:val="0"/>
      <w:divBdr>
        <w:top w:val="none" w:sz="0" w:space="0" w:color="auto"/>
        <w:left w:val="none" w:sz="0" w:space="0" w:color="auto"/>
        <w:bottom w:val="none" w:sz="0" w:space="0" w:color="auto"/>
        <w:right w:val="none" w:sz="0" w:space="0" w:color="auto"/>
      </w:divBdr>
    </w:div>
    <w:div w:id="1263106849">
      <w:bodyDiv w:val="1"/>
      <w:marLeft w:val="0"/>
      <w:marRight w:val="0"/>
      <w:marTop w:val="0"/>
      <w:marBottom w:val="0"/>
      <w:divBdr>
        <w:top w:val="none" w:sz="0" w:space="0" w:color="auto"/>
        <w:left w:val="none" w:sz="0" w:space="0" w:color="auto"/>
        <w:bottom w:val="none" w:sz="0" w:space="0" w:color="auto"/>
        <w:right w:val="none" w:sz="0" w:space="0" w:color="auto"/>
      </w:divBdr>
    </w:div>
    <w:div w:id="1276329045">
      <w:bodyDiv w:val="1"/>
      <w:marLeft w:val="0"/>
      <w:marRight w:val="0"/>
      <w:marTop w:val="0"/>
      <w:marBottom w:val="0"/>
      <w:divBdr>
        <w:top w:val="none" w:sz="0" w:space="0" w:color="auto"/>
        <w:left w:val="none" w:sz="0" w:space="0" w:color="auto"/>
        <w:bottom w:val="none" w:sz="0" w:space="0" w:color="auto"/>
        <w:right w:val="none" w:sz="0" w:space="0" w:color="auto"/>
      </w:divBdr>
    </w:div>
    <w:div w:id="1278833218">
      <w:bodyDiv w:val="1"/>
      <w:marLeft w:val="0"/>
      <w:marRight w:val="0"/>
      <w:marTop w:val="0"/>
      <w:marBottom w:val="0"/>
      <w:divBdr>
        <w:top w:val="none" w:sz="0" w:space="0" w:color="auto"/>
        <w:left w:val="none" w:sz="0" w:space="0" w:color="auto"/>
        <w:bottom w:val="none" w:sz="0" w:space="0" w:color="auto"/>
        <w:right w:val="none" w:sz="0" w:space="0" w:color="auto"/>
      </w:divBdr>
    </w:div>
    <w:div w:id="1281105101">
      <w:bodyDiv w:val="1"/>
      <w:marLeft w:val="0"/>
      <w:marRight w:val="0"/>
      <w:marTop w:val="0"/>
      <w:marBottom w:val="0"/>
      <w:divBdr>
        <w:top w:val="none" w:sz="0" w:space="0" w:color="auto"/>
        <w:left w:val="none" w:sz="0" w:space="0" w:color="auto"/>
        <w:bottom w:val="none" w:sz="0" w:space="0" w:color="auto"/>
        <w:right w:val="none" w:sz="0" w:space="0" w:color="auto"/>
      </w:divBdr>
    </w:div>
    <w:div w:id="1281689017">
      <w:bodyDiv w:val="1"/>
      <w:marLeft w:val="0"/>
      <w:marRight w:val="0"/>
      <w:marTop w:val="0"/>
      <w:marBottom w:val="0"/>
      <w:divBdr>
        <w:top w:val="none" w:sz="0" w:space="0" w:color="auto"/>
        <w:left w:val="none" w:sz="0" w:space="0" w:color="auto"/>
        <w:bottom w:val="none" w:sz="0" w:space="0" w:color="auto"/>
        <w:right w:val="none" w:sz="0" w:space="0" w:color="auto"/>
      </w:divBdr>
      <w:divsChild>
        <w:div w:id="511800320">
          <w:marLeft w:val="0"/>
          <w:marRight w:val="0"/>
          <w:marTop w:val="0"/>
          <w:marBottom w:val="0"/>
          <w:divBdr>
            <w:top w:val="none" w:sz="0" w:space="0" w:color="auto"/>
            <w:left w:val="none" w:sz="0" w:space="0" w:color="auto"/>
            <w:bottom w:val="none" w:sz="0" w:space="0" w:color="auto"/>
            <w:right w:val="none" w:sz="0" w:space="0" w:color="auto"/>
          </w:divBdr>
          <w:divsChild>
            <w:div w:id="1098914762">
              <w:marLeft w:val="0"/>
              <w:marRight w:val="0"/>
              <w:marTop w:val="0"/>
              <w:marBottom w:val="0"/>
              <w:divBdr>
                <w:top w:val="none" w:sz="0" w:space="0" w:color="auto"/>
                <w:left w:val="none" w:sz="0" w:space="0" w:color="auto"/>
                <w:bottom w:val="none" w:sz="0" w:space="0" w:color="auto"/>
                <w:right w:val="none" w:sz="0" w:space="0" w:color="auto"/>
              </w:divBdr>
              <w:divsChild>
                <w:div w:id="1445690195">
                  <w:marLeft w:val="0"/>
                  <w:marRight w:val="0"/>
                  <w:marTop w:val="0"/>
                  <w:marBottom w:val="0"/>
                  <w:divBdr>
                    <w:top w:val="none" w:sz="0" w:space="0" w:color="auto"/>
                    <w:left w:val="none" w:sz="0" w:space="0" w:color="auto"/>
                    <w:bottom w:val="none" w:sz="0" w:space="0" w:color="auto"/>
                    <w:right w:val="none" w:sz="0" w:space="0" w:color="auto"/>
                  </w:divBdr>
                  <w:divsChild>
                    <w:div w:id="2058773129">
                      <w:marLeft w:val="0"/>
                      <w:marRight w:val="0"/>
                      <w:marTop w:val="0"/>
                      <w:marBottom w:val="0"/>
                      <w:divBdr>
                        <w:top w:val="none" w:sz="0" w:space="0" w:color="auto"/>
                        <w:left w:val="none" w:sz="0" w:space="0" w:color="auto"/>
                        <w:bottom w:val="none" w:sz="0" w:space="0" w:color="auto"/>
                        <w:right w:val="none" w:sz="0" w:space="0" w:color="auto"/>
                      </w:divBdr>
                      <w:divsChild>
                        <w:div w:id="302121473">
                          <w:marLeft w:val="0"/>
                          <w:marRight w:val="0"/>
                          <w:marTop w:val="0"/>
                          <w:marBottom w:val="0"/>
                          <w:divBdr>
                            <w:top w:val="none" w:sz="0" w:space="0" w:color="auto"/>
                            <w:left w:val="none" w:sz="0" w:space="0" w:color="auto"/>
                            <w:bottom w:val="none" w:sz="0" w:space="0" w:color="auto"/>
                            <w:right w:val="none" w:sz="0" w:space="0" w:color="auto"/>
                          </w:divBdr>
                          <w:divsChild>
                            <w:div w:id="1315523690">
                              <w:marLeft w:val="0"/>
                              <w:marRight w:val="0"/>
                              <w:marTop w:val="0"/>
                              <w:marBottom w:val="0"/>
                              <w:divBdr>
                                <w:top w:val="none" w:sz="0" w:space="0" w:color="auto"/>
                                <w:left w:val="none" w:sz="0" w:space="0" w:color="auto"/>
                                <w:bottom w:val="none" w:sz="0" w:space="0" w:color="auto"/>
                                <w:right w:val="none" w:sz="0" w:space="0" w:color="auto"/>
                              </w:divBdr>
                              <w:divsChild>
                                <w:div w:id="1669598865">
                                  <w:marLeft w:val="0"/>
                                  <w:marRight w:val="0"/>
                                  <w:marTop w:val="0"/>
                                  <w:marBottom w:val="0"/>
                                  <w:divBdr>
                                    <w:top w:val="none" w:sz="0" w:space="0" w:color="auto"/>
                                    <w:left w:val="none" w:sz="0" w:space="0" w:color="auto"/>
                                    <w:bottom w:val="none" w:sz="0" w:space="0" w:color="auto"/>
                                    <w:right w:val="none" w:sz="0" w:space="0" w:color="auto"/>
                                  </w:divBdr>
                                  <w:divsChild>
                                    <w:div w:id="105770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9165136">
      <w:bodyDiv w:val="1"/>
      <w:marLeft w:val="0"/>
      <w:marRight w:val="0"/>
      <w:marTop w:val="0"/>
      <w:marBottom w:val="0"/>
      <w:divBdr>
        <w:top w:val="none" w:sz="0" w:space="0" w:color="auto"/>
        <w:left w:val="none" w:sz="0" w:space="0" w:color="auto"/>
        <w:bottom w:val="none" w:sz="0" w:space="0" w:color="auto"/>
        <w:right w:val="none" w:sz="0" w:space="0" w:color="auto"/>
      </w:divBdr>
    </w:div>
    <w:div w:id="1303119237">
      <w:bodyDiv w:val="1"/>
      <w:marLeft w:val="0"/>
      <w:marRight w:val="0"/>
      <w:marTop w:val="0"/>
      <w:marBottom w:val="0"/>
      <w:divBdr>
        <w:top w:val="none" w:sz="0" w:space="0" w:color="auto"/>
        <w:left w:val="none" w:sz="0" w:space="0" w:color="auto"/>
        <w:bottom w:val="none" w:sz="0" w:space="0" w:color="auto"/>
        <w:right w:val="none" w:sz="0" w:space="0" w:color="auto"/>
      </w:divBdr>
    </w:div>
    <w:div w:id="1312783841">
      <w:bodyDiv w:val="1"/>
      <w:marLeft w:val="0"/>
      <w:marRight w:val="0"/>
      <w:marTop w:val="0"/>
      <w:marBottom w:val="0"/>
      <w:divBdr>
        <w:top w:val="none" w:sz="0" w:space="0" w:color="auto"/>
        <w:left w:val="none" w:sz="0" w:space="0" w:color="auto"/>
        <w:bottom w:val="none" w:sz="0" w:space="0" w:color="auto"/>
        <w:right w:val="none" w:sz="0" w:space="0" w:color="auto"/>
      </w:divBdr>
    </w:div>
    <w:div w:id="1313219557">
      <w:bodyDiv w:val="1"/>
      <w:marLeft w:val="0"/>
      <w:marRight w:val="0"/>
      <w:marTop w:val="0"/>
      <w:marBottom w:val="0"/>
      <w:divBdr>
        <w:top w:val="none" w:sz="0" w:space="0" w:color="auto"/>
        <w:left w:val="none" w:sz="0" w:space="0" w:color="auto"/>
        <w:bottom w:val="none" w:sz="0" w:space="0" w:color="auto"/>
        <w:right w:val="none" w:sz="0" w:space="0" w:color="auto"/>
      </w:divBdr>
    </w:div>
    <w:div w:id="1315791620">
      <w:bodyDiv w:val="1"/>
      <w:marLeft w:val="0"/>
      <w:marRight w:val="0"/>
      <w:marTop w:val="0"/>
      <w:marBottom w:val="0"/>
      <w:divBdr>
        <w:top w:val="none" w:sz="0" w:space="0" w:color="auto"/>
        <w:left w:val="none" w:sz="0" w:space="0" w:color="auto"/>
        <w:bottom w:val="none" w:sz="0" w:space="0" w:color="auto"/>
        <w:right w:val="none" w:sz="0" w:space="0" w:color="auto"/>
      </w:divBdr>
    </w:div>
    <w:div w:id="1317951963">
      <w:bodyDiv w:val="1"/>
      <w:marLeft w:val="0"/>
      <w:marRight w:val="0"/>
      <w:marTop w:val="0"/>
      <w:marBottom w:val="0"/>
      <w:divBdr>
        <w:top w:val="none" w:sz="0" w:space="0" w:color="auto"/>
        <w:left w:val="none" w:sz="0" w:space="0" w:color="auto"/>
        <w:bottom w:val="none" w:sz="0" w:space="0" w:color="auto"/>
        <w:right w:val="none" w:sz="0" w:space="0" w:color="auto"/>
      </w:divBdr>
    </w:div>
    <w:div w:id="1318152180">
      <w:bodyDiv w:val="1"/>
      <w:marLeft w:val="0"/>
      <w:marRight w:val="0"/>
      <w:marTop w:val="0"/>
      <w:marBottom w:val="0"/>
      <w:divBdr>
        <w:top w:val="none" w:sz="0" w:space="0" w:color="auto"/>
        <w:left w:val="none" w:sz="0" w:space="0" w:color="auto"/>
        <w:bottom w:val="none" w:sz="0" w:space="0" w:color="auto"/>
        <w:right w:val="none" w:sz="0" w:space="0" w:color="auto"/>
      </w:divBdr>
    </w:div>
    <w:div w:id="1321498922">
      <w:bodyDiv w:val="1"/>
      <w:marLeft w:val="0"/>
      <w:marRight w:val="0"/>
      <w:marTop w:val="0"/>
      <w:marBottom w:val="0"/>
      <w:divBdr>
        <w:top w:val="none" w:sz="0" w:space="0" w:color="auto"/>
        <w:left w:val="none" w:sz="0" w:space="0" w:color="auto"/>
        <w:bottom w:val="none" w:sz="0" w:space="0" w:color="auto"/>
        <w:right w:val="none" w:sz="0" w:space="0" w:color="auto"/>
      </w:divBdr>
    </w:div>
    <w:div w:id="1323197657">
      <w:bodyDiv w:val="1"/>
      <w:marLeft w:val="0"/>
      <w:marRight w:val="0"/>
      <w:marTop w:val="0"/>
      <w:marBottom w:val="0"/>
      <w:divBdr>
        <w:top w:val="none" w:sz="0" w:space="0" w:color="auto"/>
        <w:left w:val="none" w:sz="0" w:space="0" w:color="auto"/>
        <w:bottom w:val="none" w:sz="0" w:space="0" w:color="auto"/>
        <w:right w:val="none" w:sz="0" w:space="0" w:color="auto"/>
      </w:divBdr>
    </w:div>
    <w:div w:id="1342049658">
      <w:bodyDiv w:val="1"/>
      <w:marLeft w:val="0"/>
      <w:marRight w:val="0"/>
      <w:marTop w:val="0"/>
      <w:marBottom w:val="0"/>
      <w:divBdr>
        <w:top w:val="none" w:sz="0" w:space="0" w:color="auto"/>
        <w:left w:val="none" w:sz="0" w:space="0" w:color="auto"/>
        <w:bottom w:val="none" w:sz="0" w:space="0" w:color="auto"/>
        <w:right w:val="none" w:sz="0" w:space="0" w:color="auto"/>
      </w:divBdr>
    </w:div>
    <w:div w:id="1343126616">
      <w:bodyDiv w:val="1"/>
      <w:marLeft w:val="0"/>
      <w:marRight w:val="0"/>
      <w:marTop w:val="0"/>
      <w:marBottom w:val="0"/>
      <w:divBdr>
        <w:top w:val="none" w:sz="0" w:space="0" w:color="auto"/>
        <w:left w:val="none" w:sz="0" w:space="0" w:color="auto"/>
        <w:bottom w:val="none" w:sz="0" w:space="0" w:color="auto"/>
        <w:right w:val="none" w:sz="0" w:space="0" w:color="auto"/>
      </w:divBdr>
    </w:div>
    <w:div w:id="1352491332">
      <w:bodyDiv w:val="1"/>
      <w:marLeft w:val="0"/>
      <w:marRight w:val="0"/>
      <w:marTop w:val="0"/>
      <w:marBottom w:val="0"/>
      <w:divBdr>
        <w:top w:val="none" w:sz="0" w:space="0" w:color="auto"/>
        <w:left w:val="none" w:sz="0" w:space="0" w:color="auto"/>
        <w:bottom w:val="none" w:sz="0" w:space="0" w:color="auto"/>
        <w:right w:val="none" w:sz="0" w:space="0" w:color="auto"/>
      </w:divBdr>
      <w:divsChild>
        <w:div w:id="1117289379">
          <w:marLeft w:val="0"/>
          <w:marRight w:val="0"/>
          <w:marTop w:val="0"/>
          <w:marBottom w:val="0"/>
          <w:divBdr>
            <w:top w:val="none" w:sz="0" w:space="0" w:color="auto"/>
            <w:left w:val="none" w:sz="0" w:space="0" w:color="auto"/>
            <w:bottom w:val="none" w:sz="0" w:space="0" w:color="auto"/>
            <w:right w:val="none" w:sz="0" w:space="0" w:color="auto"/>
          </w:divBdr>
          <w:divsChild>
            <w:div w:id="628634656">
              <w:marLeft w:val="0"/>
              <w:marRight w:val="0"/>
              <w:marTop w:val="0"/>
              <w:marBottom w:val="0"/>
              <w:divBdr>
                <w:top w:val="none" w:sz="0" w:space="0" w:color="auto"/>
                <w:left w:val="none" w:sz="0" w:space="0" w:color="auto"/>
                <w:bottom w:val="none" w:sz="0" w:space="0" w:color="auto"/>
                <w:right w:val="none" w:sz="0" w:space="0" w:color="auto"/>
              </w:divBdr>
              <w:divsChild>
                <w:div w:id="97637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18336">
          <w:marLeft w:val="0"/>
          <w:marRight w:val="0"/>
          <w:marTop w:val="0"/>
          <w:marBottom w:val="0"/>
          <w:divBdr>
            <w:top w:val="none" w:sz="0" w:space="0" w:color="auto"/>
            <w:left w:val="none" w:sz="0" w:space="0" w:color="auto"/>
            <w:bottom w:val="none" w:sz="0" w:space="0" w:color="auto"/>
            <w:right w:val="none" w:sz="0" w:space="0" w:color="auto"/>
          </w:divBdr>
          <w:divsChild>
            <w:div w:id="1039206509">
              <w:marLeft w:val="0"/>
              <w:marRight w:val="0"/>
              <w:marTop w:val="0"/>
              <w:marBottom w:val="0"/>
              <w:divBdr>
                <w:top w:val="none" w:sz="0" w:space="0" w:color="auto"/>
                <w:left w:val="none" w:sz="0" w:space="0" w:color="auto"/>
                <w:bottom w:val="none" w:sz="0" w:space="0" w:color="auto"/>
                <w:right w:val="none" w:sz="0" w:space="0" w:color="auto"/>
              </w:divBdr>
              <w:divsChild>
                <w:div w:id="490365570">
                  <w:marLeft w:val="0"/>
                  <w:marRight w:val="0"/>
                  <w:marTop w:val="0"/>
                  <w:marBottom w:val="0"/>
                  <w:divBdr>
                    <w:top w:val="none" w:sz="0" w:space="0" w:color="auto"/>
                    <w:left w:val="none" w:sz="0" w:space="0" w:color="auto"/>
                    <w:bottom w:val="none" w:sz="0" w:space="0" w:color="auto"/>
                    <w:right w:val="none" w:sz="0" w:space="0" w:color="auto"/>
                  </w:divBdr>
                  <w:divsChild>
                    <w:div w:id="143282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681288">
      <w:bodyDiv w:val="1"/>
      <w:marLeft w:val="0"/>
      <w:marRight w:val="0"/>
      <w:marTop w:val="0"/>
      <w:marBottom w:val="0"/>
      <w:divBdr>
        <w:top w:val="none" w:sz="0" w:space="0" w:color="auto"/>
        <w:left w:val="none" w:sz="0" w:space="0" w:color="auto"/>
        <w:bottom w:val="none" w:sz="0" w:space="0" w:color="auto"/>
        <w:right w:val="none" w:sz="0" w:space="0" w:color="auto"/>
      </w:divBdr>
    </w:div>
    <w:div w:id="1383334915">
      <w:bodyDiv w:val="1"/>
      <w:marLeft w:val="0"/>
      <w:marRight w:val="0"/>
      <w:marTop w:val="0"/>
      <w:marBottom w:val="0"/>
      <w:divBdr>
        <w:top w:val="none" w:sz="0" w:space="0" w:color="auto"/>
        <w:left w:val="none" w:sz="0" w:space="0" w:color="auto"/>
        <w:bottom w:val="none" w:sz="0" w:space="0" w:color="auto"/>
        <w:right w:val="none" w:sz="0" w:space="0" w:color="auto"/>
      </w:divBdr>
    </w:div>
    <w:div w:id="1385835483">
      <w:bodyDiv w:val="1"/>
      <w:marLeft w:val="0"/>
      <w:marRight w:val="0"/>
      <w:marTop w:val="0"/>
      <w:marBottom w:val="0"/>
      <w:divBdr>
        <w:top w:val="none" w:sz="0" w:space="0" w:color="auto"/>
        <w:left w:val="none" w:sz="0" w:space="0" w:color="auto"/>
        <w:bottom w:val="none" w:sz="0" w:space="0" w:color="auto"/>
        <w:right w:val="none" w:sz="0" w:space="0" w:color="auto"/>
      </w:divBdr>
    </w:div>
    <w:div w:id="1391150871">
      <w:bodyDiv w:val="1"/>
      <w:marLeft w:val="0"/>
      <w:marRight w:val="0"/>
      <w:marTop w:val="0"/>
      <w:marBottom w:val="0"/>
      <w:divBdr>
        <w:top w:val="none" w:sz="0" w:space="0" w:color="auto"/>
        <w:left w:val="none" w:sz="0" w:space="0" w:color="auto"/>
        <w:bottom w:val="none" w:sz="0" w:space="0" w:color="auto"/>
        <w:right w:val="none" w:sz="0" w:space="0" w:color="auto"/>
      </w:divBdr>
    </w:div>
    <w:div w:id="1392994596">
      <w:bodyDiv w:val="1"/>
      <w:marLeft w:val="0"/>
      <w:marRight w:val="0"/>
      <w:marTop w:val="0"/>
      <w:marBottom w:val="0"/>
      <w:divBdr>
        <w:top w:val="none" w:sz="0" w:space="0" w:color="auto"/>
        <w:left w:val="none" w:sz="0" w:space="0" w:color="auto"/>
        <w:bottom w:val="none" w:sz="0" w:space="0" w:color="auto"/>
        <w:right w:val="none" w:sz="0" w:space="0" w:color="auto"/>
      </w:divBdr>
    </w:div>
    <w:div w:id="1396322470">
      <w:bodyDiv w:val="1"/>
      <w:marLeft w:val="0"/>
      <w:marRight w:val="0"/>
      <w:marTop w:val="0"/>
      <w:marBottom w:val="0"/>
      <w:divBdr>
        <w:top w:val="none" w:sz="0" w:space="0" w:color="auto"/>
        <w:left w:val="none" w:sz="0" w:space="0" w:color="auto"/>
        <w:bottom w:val="none" w:sz="0" w:space="0" w:color="auto"/>
        <w:right w:val="none" w:sz="0" w:space="0" w:color="auto"/>
      </w:divBdr>
    </w:div>
    <w:div w:id="1400447669">
      <w:bodyDiv w:val="1"/>
      <w:marLeft w:val="0"/>
      <w:marRight w:val="0"/>
      <w:marTop w:val="0"/>
      <w:marBottom w:val="0"/>
      <w:divBdr>
        <w:top w:val="none" w:sz="0" w:space="0" w:color="auto"/>
        <w:left w:val="none" w:sz="0" w:space="0" w:color="auto"/>
        <w:bottom w:val="none" w:sz="0" w:space="0" w:color="auto"/>
        <w:right w:val="none" w:sz="0" w:space="0" w:color="auto"/>
      </w:divBdr>
    </w:div>
    <w:div w:id="1403021435">
      <w:bodyDiv w:val="1"/>
      <w:marLeft w:val="0"/>
      <w:marRight w:val="0"/>
      <w:marTop w:val="0"/>
      <w:marBottom w:val="0"/>
      <w:divBdr>
        <w:top w:val="none" w:sz="0" w:space="0" w:color="auto"/>
        <w:left w:val="none" w:sz="0" w:space="0" w:color="auto"/>
        <w:bottom w:val="none" w:sz="0" w:space="0" w:color="auto"/>
        <w:right w:val="none" w:sz="0" w:space="0" w:color="auto"/>
      </w:divBdr>
    </w:div>
    <w:div w:id="1403257784">
      <w:bodyDiv w:val="1"/>
      <w:marLeft w:val="0"/>
      <w:marRight w:val="0"/>
      <w:marTop w:val="0"/>
      <w:marBottom w:val="0"/>
      <w:divBdr>
        <w:top w:val="none" w:sz="0" w:space="0" w:color="auto"/>
        <w:left w:val="none" w:sz="0" w:space="0" w:color="auto"/>
        <w:bottom w:val="none" w:sz="0" w:space="0" w:color="auto"/>
        <w:right w:val="none" w:sz="0" w:space="0" w:color="auto"/>
      </w:divBdr>
    </w:div>
    <w:div w:id="1407653921">
      <w:bodyDiv w:val="1"/>
      <w:marLeft w:val="0"/>
      <w:marRight w:val="0"/>
      <w:marTop w:val="0"/>
      <w:marBottom w:val="0"/>
      <w:divBdr>
        <w:top w:val="none" w:sz="0" w:space="0" w:color="auto"/>
        <w:left w:val="none" w:sz="0" w:space="0" w:color="auto"/>
        <w:bottom w:val="none" w:sz="0" w:space="0" w:color="auto"/>
        <w:right w:val="none" w:sz="0" w:space="0" w:color="auto"/>
      </w:divBdr>
    </w:div>
    <w:div w:id="1414930442">
      <w:bodyDiv w:val="1"/>
      <w:marLeft w:val="0"/>
      <w:marRight w:val="0"/>
      <w:marTop w:val="0"/>
      <w:marBottom w:val="0"/>
      <w:divBdr>
        <w:top w:val="none" w:sz="0" w:space="0" w:color="auto"/>
        <w:left w:val="none" w:sz="0" w:space="0" w:color="auto"/>
        <w:bottom w:val="none" w:sz="0" w:space="0" w:color="auto"/>
        <w:right w:val="none" w:sz="0" w:space="0" w:color="auto"/>
      </w:divBdr>
    </w:div>
    <w:div w:id="1431317318">
      <w:bodyDiv w:val="1"/>
      <w:marLeft w:val="0"/>
      <w:marRight w:val="0"/>
      <w:marTop w:val="0"/>
      <w:marBottom w:val="0"/>
      <w:divBdr>
        <w:top w:val="none" w:sz="0" w:space="0" w:color="auto"/>
        <w:left w:val="none" w:sz="0" w:space="0" w:color="auto"/>
        <w:bottom w:val="none" w:sz="0" w:space="0" w:color="auto"/>
        <w:right w:val="none" w:sz="0" w:space="0" w:color="auto"/>
      </w:divBdr>
    </w:div>
    <w:div w:id="1436710347">
      <w:bodyDiv w:val="1"/>
      <w:marLeft w:val="0"/>
      <w:marRight w:val="0"/>
      <w:marTop w:val="0"/>
      <w:marBottom w:val="0"/>
      <w:divBdr>
        <w:top w:val="none" w:sz="0" w:space="0" w:color="auto"/>
        <w:left w:val="none" w:sz="0" w:space="0" w:color="auto"/>
        <w:bottom w:val="none" w:sz="0" w:space="0" w:color="auto"/>
        <w:right w:val="none" w:sz="0" w:space="0" w:color="auto"/>
      </w:divBdr>
      <w:divsChild>
        <w:div w:id="425883545">
          <w:marLeft w:val="0"/>
          <w:marRight w:val="0"/>
          <w:marTop w:val="0"/>
          <w:marBottom w:val="0"/>
          <w:divBdr>
            <w:top w:val="none" w:sz="0" w:space="0" w:color="auto"/>
            <w:left w:val="none" w:sz="0" w:space="0" w:color="auto"/>
            <w:bottom w:val="none" w:sz="0" w:space="0" w:color="auto"/>
            <w:right w:val="none" w:sz="0" w:space="0" w:color="auto"/>
          </w:divBdr>
          <w:divsChild>
            <w:div w:id="533007164">
              <w:marLeft w:val="0"/>
              <w:marRight w:val="0"/>
              <w:marTop w:val="0"/>
              <w:marBottom w:val="0"/>
              <w:divBdr>
                <w:top w:val="none" w:sz="0" w:space="0" w:color="auto"/>
                <w:left w:val="none" w:sz="0" w:space="0" w:color="auto"/>
                <w:bottom w:val="none" w:sz="0" w:space="0" w:color="auto"/>
                <w:right w:val="none" w:sz="0" w:space="0" w:color="auto"/>
              </w:divBdr>
              <w:divsChild>
                <w:div w:id="1056780245">
                  <w:marLeft w:val="0"/>
                  <w:marRight w:val="0"/>
                  <w:marTop w:val="0"/>
                  <w:marBottom w:val="0"/>
                  <w:divBdr>
                    <w:top w:val="none" w:sz="0" w:space="0" w:color="auto"/>
                    <w:left w:val="none" w:sz="0" w:space="0" w:color="auto"/>
                    <w:bottom w:val="none" w:sz="0" w:space="0" w:color="auto"/>
                    <w:right w:val="none" w:sz="0" w:space="0" w:color="auto"/>
                  </w:divBdr>
                  <w:divsChild>
                    <w:div w:id="104228846">
                      <w:marLeft w:val="0"/>
                      <w:marRight w:val="0"/>
                      <w:marTop w:val="0"/>
                      <w:marBottom w:val="0"/>
                      <w:divBdr>
                        <w:top w:val="none" w:sz="0" w:space="0" w:color="auto"/>
                        <w:left w:val="none" w:sz="0" w:space="0" w:color="auto"/>
                        <w:bottom w:val="none" w:sz="0" w:space="0" w:color="auto"/>
                        <w:right w:val="none" w:sz="0" w:space="0" w:color="auto"/>
                      </w:divBdr>
                      <w:divsChild>
                        <w:div w:id="2144692782">
                          <w:marLeft w:val="0"/>
                          <w:marRight w:val="0"/>
                          <w:marTop w:val="0"/>
                          <w:marBottom w:val="0"/>
                          <w:divBdr>
                            <w:top w:val="none" w:sz="0" w:space="0" w:color="auto"/>
                            <w:left w:val="none" w:sz="0" w:space="0" w:color="auto"/>
                            <w:bottom w:val="none" w:sz="0" w:space="0" w:color="auto"/>
                            <w:right w:val="none" w:sz="0" w:space="0" w:color="auto"/>
                          </w:divBdr>
                        </w:div>
                      </w:divsChild>
                    </w:div>
                    <w:div w:id="638538381">
                      <w:marLeft w:val="0"/>
                      <w:marRight w:val="0"/>
                      <w:marTop w:val="0"/>
                      <w:marBottom w:val="0"/>
                      <w:divBdr>
                        <w:top w:val="none" w:sz="0" w:space="0" w:color="auto"/>
                        <w:left w:val="none" w:sz="0" w:space="0" w:color="auto"/>
                        <w:bottom w:val="none" w:sz="0" w:space="0" w:color="auto"/>
                        <w:right w:val="none" w:sz="0" w:space="0" w:color="auto"/>
                      </w:divBdr>
                      <w:divsChild>
                        <w:div w:id="2038390505">
                          <w:marLeft w:val="0"/>
                          <w:marRight w:val="0"/>
                          <w:marTop w:val="0"/>
                          <w:marBottom w:val="0"/>
                          <w:divBdr>
                            <w:top w:val="none" w:sz="0" w:space="0" w:color="auto"/>
                            <w:left w:val="none" w:sz="0" w:space="0" w:color="auto"/>
                            <w:bottom w:val="none" w:sz="0" w:space="0" w:color="auto"/>
                            <w:right w:val="none" w:sz="0" w:space="0" w:color="auto"/>
                          </w:divBdr>
                          <w:divsChild>
                            <w:div w:id="2130388914">
                              <w:marLeft w:val="0"/>
                              <w:marRight w:val="0"/>
                              <w:marTop w:val="0"/>
                              <w:marBottom w:val="0"/>
                              <w:divBdr>
                                <w:top w:val="none" w:sz="0" w:space="0" w:color="auto"/>
                                <w:left w:val="none" w:sz="0" w:space="0" w:color="auto"/>
                                <w:bottom w:val="none" w:sz="0" w:space="0" w:color="auto"/>
                                <w:right w:val="none" w:sz="0" w:space="0" w:color="auto"/>
                              </w:divBdr>
                              <w:divsChild>
                                <w:div w:id="1386295393">
                                  <w:marLeft w:val="0"/>
                                  <w:marRight w:val="0"/>
                                  <w:marTop w:val="0"/>
                                  <w:marBottom w:val="0"/>
                                  <w:divBdr>
                                    <w:top w:val="none" w:sz="0" w:space="0" w:color="auto"/>
                                    <w:left w:val="none" w:sz="0" w:space="0" w:color="auto"/>
                                    <w:bottom w:val="none" w:sz="0" w:space="0" w:color="auto"/>
                                    <w:right w:val="none" w:sz="0" w:space="0" w:color="auto"/>
                                  </w:divBdr>
                                  <w:divsChild>
                                    <w:div w:id="94727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9331877">
      <w:bodyDiv w:val="1"/>
      <w:marLeft w:val="0"/>
      <w:marRight w:val="0"/>
      <w:marTop w:val="0"/>
      <w:marBottom w:val="0"/>
      <w:divBdr>
        <w:top w:val="none" w:sz="0" w:space="0" w:color="auto"/>
        <w:left w:val="none" w:sz="0" w:space="0" w:color="auto"/>
        <w:bottom w:val="none" w:sz="0" w:space="0" w:color="auto"/>
        <w:right w:val="none" w:sz="0" w:space="0" w:color="auto"/>
      </w:divBdr>
    </w:div>
    <w:div w:id="1444302054">
      <w:bodyDiv w:val="1"/>
      <w:marLeft w:val="0"/>
      <w:marRight w:val="0"/>
      <w:marTop w:val="0"/>
      <w:marBottom w:val="0"/>
      <w:divBdr>
        <w:top w:val="none" w:sz="0" w:space="0" w:color="auto"/>
        <w:left w:val="none" w:sz="0" w:space="0" w:color="auto"/>
        <w:bottom w:val="none" w:sz="0" w:space="0" w:color="auto"/>
        <w:right w:val="none" w:sz="0" w:space="0" w:color="auto"/>
      </w:divBdr>
    </w:div>
    <w:div w:id="1447699312">
      <w:bodyDiv w:val="1"/>
      <w:marLeft w:val="0"/>
      <w:marRight w:val="0"/>
      <w:marTop w:val="0"/>
      <w:marBottom w:val="0"/>
      <w:divBdr>
        <w:top w:val="none" w:sz="0" w:space="0" w:color="auto"/>
        <w:left w:val="none" w:sz="0" w:space="0" w:color="auto"/>
        <w:bottom w:val="none" w:sz="0" w:space="0" w:color="auto"/>
        <w:right w:val="none" w:sz="0" w:space="0" w:color="auto"/>
      </w:divBdr>
    </w:div>
    <w:div w:id="1455556764">
      <w:bodyDiv w:val="1"/>
      <w:marLeft w:val="0"/>
      <w:marRight w:val="0"/>
      <w:marTop w:val="0"/>
      <w:marBottom w:val="0"/>
      <w:divBdr>
        <w:top w:val="none" w:sz="0" w:space="0" w:color="auto"/>
        <w:left w:val="none" w:sz="0" w:space="0" w:color="auto"/>
        <w:bottom w:val="none" w:sz="0" w:space="0" w:color="auto"/>
        <w:right w:val="none" w:sz="0" w:space="0" w:color="auto"/>
      </w:divBdr>
    </w:div>
    <w:div w:id="1461411634">
      <w:bodyDiv w:val="1"/>
      <w:marLeft w:val="0"/>
      <w:marRight w:val="0"/>
      <w:marTop w:val="0"/>
      <w:marBottom w:val="0"/>
      <w:divBdr>
        <w:top w:val="none" w:sz="0" w:space="0" w:color="auto"/>
        <w:left w:val="none" w:sz="0" w:space="0" w:color="auto"/>
        <w:bottom w:val="none" w:sz="0" w:space="0" w:color="auto"/>
        <w:right w:val="none" w:sz="0" w:space="0" w:color="auto"/>
      </w:divBdr>
    </w:div>
    <w:div w:id="1475485913">
      <w:bodyDiv w:val="1"/>
      <w:marLeft w:val="0"/>
      <w:marRight w:val="0"/>
      <w:marTop w:val="0"/>
      <w:marBottom w:val="0"/>
      <w:divBdr>
        <w:top w:val="none" w:sz="0" w:space="0" w:color="auto"/>
        <w:left w:val="none" w:sz="0" w:space="0" w:color="auto"/>
        <w:bottom w:val="none" w:sz="0" w:space="0" w:color="auto"/>
        <w:right w:val="none" w:sz="0" w:space="0" w:color="auto"/>
      </w:divBdr>
      <w:divsChild>
        <w:div w:id="511339641">
          <w:marLeft w:val="0"/>
          <w:marRight w:val="0"/>
          <w:marTop w:val="0"/>
          <w:marBottom w:val="0"/>
          <w:divBdr>
            <w:top w:val="none" w:sz="0" w:space="0" w:color="auto"/>
            <w:left w:val="none" w:sz="0" w:space="0" w:color="auto"/>
            <w:bottom w:val="none" w:sz="0" w:space="0" w:color="auto"/>
            <w:right w:val="none" w:sz="0" w:space="0" w:color="auto"/>
          </w:divBdr>
          <w:divsChild>
            <w:div w:id="1324092030">
              <w:marLeft w:val="0"/>
              <w:marRight w:val="0"/>
              <w:marTop w:val="0"/>
              <w:marBottom w:val="0"/>
              <w:divBdr>
                <w:top w:val="none" w:sz="0" w:space="0" w:color="auto"/>
                <w:left w:val="none" w:sz="0" w:space="0" w:color="auto"/>
                <w:bottom w:val="none" w:sz="0" w:space="0" w:color="auto"/>
                <w:right w:val="none" w:sz="0" w:space="0" w:color="auto"/>
              </w:divBdr>
              <w:divsChild>
                <w:div w:id="1575165102">
                  <w:marLeft w:val="0"/>
                  <w:marRight w:val="0"/>
                  <w:marTop w:val="0"/>
                  <w:marBottom w:val="0"/>
                  <w:divBdr>
                    <w:top w:val="none" w:sz="0" w:space="0" w:color="auto"/>
                    <w:left w:val="none" w:sz="0" w:space="0" w:color="auto"/>
                    <w:bottom w:val="none" w:sz="0" w:space="0" w:color="auto"/>
                    <w:right w:val="none" w:sz="0" w:space="0" w:color="auto"/>
                  </w:divBdr>
                  <w:divsChild>
                    <w:div w:id="195220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141603">
          <w:marLeft w:val="0"/>
          <w:marRight w:val="0"/>
          <w:marTop w:val="0"/>
          <w:marBottom w:val="0"/>
          <w:divBdr>
            <w:top w:val="none" w:sz="0" w:space="0" w:color="auto"/>
            <w:left w:val="none" w:sz="0" w:space="0" w:color="auto"/>
            <w:bottom w:val="none" w:sz="0" w:space="0" w:color="auto"/>
            <w:right w:val="none" w:sz="0" w:space="0" w:color="auto"/>
          </w:divBdr>
          <w:divsChild>
            <w:div w:id="1995060703">
              <w:marLeft w:val="0"/>
              <w:marRight w:val="0"/>
              <w:marTop w:val="0"/>
              <w:marBottom w:val="0"/>
              <w:divBdr>
                <w:top w:val="none" w:sz="0" w:space="0" w:color="auto"/>
                <w:left w:val="none" w:sz="0" w:space="0" w:color="auto"/>
                <w:bottom w:val="none" w:sz="0" w:space="0" w:color="auto"/>
                <w:right w:val="none" w:sz="0" w:space="0" w:color="auto"/>
              </w:divBdr>
              <w:divsChild>
                <w:div w:id="196392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565052">
      <w:bodyDiv w:val="1"/>
      <w:marLeft w:val="0"/>
      <w:marRight w:val="0"/>
      <w:marTop w:val="0"/>
      <w:marBottom w:val="0"/>
      <w:divBdr>
        <w:top w:val="none" w:sz="0" w:space="0" w:color="auto"/>
        <w:left w:val="none" w:sz="0" w:space="0" w:color="auto"/>
        <w:bottom w:val="none" w:sz="0" w:space="0" w:color="auto"/>
        <w:right w:val="none" w:sz="0" w:space="0" w:color="auto"/>
      </w:divBdr>
    </w:div>
    <w:div w:id="1490249474">
      <w:bodyDiv w:val="1"/>
      <w:marLeft w:val="0"/>
      <w:marRight w:val="0"/>
      <w:marTop w:val="0"/>
      <w:marBottom w:val="0"/>
      <w:divBdr>
        <w:top w:val="none" w:sz="0" w:space="0" w:color="auto"/>
        <w:left w:val="none" w:sz="0" w:space="0" w:color="auto"/>
        <w:bottom w:val="none" w:sz="0" w:space="0" w:color="auto"/>
        <w:right w:val="none" w:sz="0" w:space="0" w:color="auto"/>
      </w:divBdr>
    </w:div>
    <w:div w:id="1492401960">
      <w:bodyDiv w:val="1"/>
      <w:marLeft w:val="0"/>
      <w:marRight w:val="0"/>
      <w:marTop w:val="0"/>
      <w:marBottom w:val="0"/>
      <w:divBdr>
        <w:top w:val="none" w:sz="0" w:space="0" w:color="auto"/>
        <w:left w:val="none" w:sz="0" w:space="0" w:color="auto"/>
        <w:bottom w:val="none" w:sz="0" w:space="0" w:color="auto"/>
        <w:right w:val="none" w:sz="0" w:space="0" w:color="auto"/>
      </w:divBdr>
    </w:div>
    <w:div w:id="1495796548">
      <w:bodyDiv w:val="1"/>
      <w:marLeft w:val="0"/>
      <w:marRight w:val="0"/>
      <w:marTop w:val="0"/>
      <w:marBottom w:val="0"/>
      <w:divBdr>
        <w:top w:val="none" w:sz="0" w:space="0" w:color="auto"/>
        <w:left w:val="none" w:sz="0" w:space="0" w:color="auto"/>
        <w:bottom w:val="none" w:sz="0" w:space="0" w:color="auto"/>
        <w:right w:val="none" w:sz="0" w:space="0" w:color="auto"/>
      </w:divBdr>
    </w:div>
    <w:div w:id="1496140564">
      <w:bodyDiv w:val="1"/>
      <w:marLeft w:val="0"/>
      <w:marRight w:val="0"/>
      <w:marTop w:val="0"/>
      <w:marBottom w:val="0"/>
      <w:divBdr>
        <w:top w:val="none" w:sz="0" w:space="0" w:color="auto"/>
        <w:left w:val="none" w:sz="0" w:space="0" w:color="auto"/>
        <w:bottom w:val="none" w:sz="0" w:space="0" w:color="auto"/>
        <w:right w:val="none" w:sz="0" w:space="0" w:color="auto"/>
      </w:divBdr>
    </w:div>
    <w:div w:id="1496652506">
      <w:bodyDiv w:val="1"/>
      <w:marLeft w:val="0"/>
      <w:marRight w:val="0"/>
      <w:marTop w:val="0"/>
      <w:marBottom w:val="0"/>
      <w:divBdr>
        <w:top w:val="none" w:sz="0" w:space="0" w:color="auto"/>
        <w:left w:val="none" w:sz="0" w:space="0" w:color="auto"/>
        <w:bottom w:val="none" w:sz="0" w:space="0" w:color="auto"/>
        <w:right w:val="none" w:sz="0" w:space="0" w:color="auto"/>
      </w:divBdr>
    </w:div>
    <w:div w:id="1497111723">
      <w:bodyDiv w:val="1"/>
      <w:marLeft w:val="0"/>
      <w:marRight w:val="0"/>
      <w:marTop w:val="0"/>
      <w:marBottom w:val="0"/>
      <w:divBdr>
        <w:top w:val="none" w:sz="0" w:space="0" w:color="auto"/>
        <w:left w:val="none" w:sz="0" w:space="0" w:color="auto"/>
        <w:bottom w:val="none" w:sz="0" w:space="0" w:color="auto"/>
        <w:right w:val="none" w:sz="0" w:space="0" w:color="auto"/>
      </w:divBdr>
    </w:div>
    <w:div w:id="1503472531">
      <w:bodyDiv w:val="1"/>
      <w:marLeft w:val="0"/>
      <w:marRight w:val="0"/>
      <w:marTop w:val="0"/>
      <w:marBottom w:val="0"/>
      <w:divBdr>
        <w:top w:val="none" w:sz="0" w:space="0" w:color="auto"/>
        <w:left w:val="none" w:sz="0" w:space="0" w:color="auto"/>
        <w:bottom w:val="none" w:sz="0" w:space="0" w:color="auto"/>
        <w:right w:val="none" w:sz="0" w:space="0" w:color="auto"/>
      </w:divBdr>
    </w:div>
    <w:div w:id="1504320402">
      <w:bodyDiv w:val="1"/>
      <w:marLeft w:val="0"/>
      <w:marRight w:val="0"/>
      <w:marTop w:val="0"/>
      <w:marBottom w:val="0"/>
      <w:divBdr>
        <w:top w:val="none" w:sz="0" w:space="0" w:color="auto"/>
        <w:left w:val="none" w:sz="0" w:space="0" w:color="auto"/>
        <w:bottom w:val="none" w:sz="0" w:space="0" w:color="auto"/>
        <w:right w:val="none" w:sz="0" w:space="0" w:color="auto"/>
      </w:divBdr>
      <w:divsChild>
        <w:div w:id="1528062647">
          <w:marLeft w:val="0"/>
          <w:marRight w:val="0"/>
          <w:marTop w:val="0"/>
          <w:marBottom w:val="0"/>
          <w:divBdr>
            <w:top w:val="none" w:sz="0" w:space="0" w:color="auto"/>
            <w:left w:val="none" w:sz="0" w:space="0" w:color="auto"/>
            <w:bottom w:val="none" w:sz="0" w:space="0" w:color="auto"/>
            <w:right w:val="none" w:sz="0" w:space="0" w:color="auto"/>
          </w:divBdr>
          <w:divsChild>
            <w:div w:id="91628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019874">
      <w:bodyDiv w:val="1"/>
      <w:marLeft w:val="0"/>
      <w:marRight w:val="0"/>
      <w:marTop w:val="0"/>
      <w:marBottom w:val="0"/>
      <w:divBdr>
        <w:top w:val="none" w:sz="0" w:space="0" w:color="auto"/>
        <w:left w:val="none" w:sz="0" w:space="0" w:color="auto"/>
        <w:bottom w:val="none" w:sz="0" w:space="0" w:color="auto"/>
        <w:right w:val="none" w:sz="0" w:space="0" w:color="auto"/>
      </w:divBdr>
    </w:div>
    <w:div w:id="1516843731">
      <w:bodyDiv w:val="1"/>
      <w:marLeft w:val="0"/>
      <w:marRight w:val="0"/>
      <w:marTop w:val="0"/>
      <w:marBottom w:val="0"/>
      <w:divBdr>
        <w:top w:val="none" w:sz="0" w:space="0" w:color="auto"/>
        <w:left w:val="none" w:sz="0" w:space="0" w:color="auto"/>
        <w:bottom w:val="none" w:sz="0" w:space="0" w:color="auto"/>
        <w:right w:val="none" w:sz="0" w:space="0" w:color="auto"/>
      </w:divBdr>
    </w:div>
    <w:div w:id="1525905066">
      <w:bodyDiv w:val="1"/>
      <w:marLeft w:val="0"/>
      <w:marRight w:val="0"/>
      <w:marTop w:val="0"/>
      <w:marBottom w:val="0"/>
      <w:divBdr>
        <w:top w:val="none" w:sz="0" w:space="0" w:color="auto"/>
        <w:left w:val="none" w:sz="0" w:space="0" w:color="auto"/>
        <w:bottom w:val="none" w:sz="0" w:space="0" w:color="auto"/>
        <w:right w:val="none" w:sz="0" w:space="0" w:color="auto"/>
      </w:divBdr>
    </w:div>
    <w:div w:id="1542284325">
      <w:bodyDiv w:val="1"/>
      <w:marLeft w:val="0"/>
      <w:marRight w:val="0"/>
      <w:marTop w:val="0"/>
      <w:marBottom w:val="0"/>
      <w:divBdr>
        <w:top w:val="none" w:sz="0" w:space="0" w:color="auto"/>
        <w:left w:val="none" w:sz="0" w:space="0" w:color="auto"/>
        <w:bottom w:val="none" w:sz="0" w:space="0" w:color="auto"/>
        <w:right w:val="none" w:sz="0" w:space="0" w:color="auto"/>
      </w:divBdr>
    </w:div>
    <w:div w:id="1548444730">
      <w:bodyDiv w:val="1"/>
      <w:marLeft w:val="0"/>
      <w:marRight w:val="0"/>
      <w:marTop w:val="0"/>
      <w:marBottom w:val="0"/>
      <w:divBdr>
        <w:top w:val="none" w:sz="0" w:space="0" w:color="auto"/>
        <w:left w:val="none" w:sz="0" w:space="0" w:color="auto"/>
        <w:bottom w:val="none" w:sz="0" w:space="0" w:color="auto"/>
        <w:right w:val="none" w:sz="0" w:space="0" w:color="auto"/>
      </w:divBdr>
    </w:div>
    <w:div w:id="1550845745">
      <w:bodyDiv w:val="1"/>
      <w:marLeft w:val="0"/>
      <w:marRight w:val="0"/>
      <w:marTop w:val="0"/>
      <w:marBottom w:val="0"/>
      <w:divBdr>
        <w:top w:val="none" w:sz="0" w:space="0" w:color="auto"/>
        <w:left w:val="none" w:sz="0" w:space="0" w:color="auto"/>
        <w:bottom w:val="none" w:sz="0" w:space="0" w:color="auto"/>
        <w:right w:val="none" w:sz="0" w:space="0" w:color="auto"/>
      </w:divBdr>
    </w:div>
    <w:div w:id="1558318903">
      <w:bodyDiv w:val="1"/>
      <w:marLeft w:val="0"/>
      <w:marRight w:val="0"/>
      <w:marTop w:val="0"/>
      <w:marBottom w:val="0"/>
      <w:divBdr>
        <w:top w:val="none" w:sz="0" w:space="0" w:color="auto"/>
        <w:left w:val="none" w:sz="0" w:space="0" w:color="auto"/>
        <w:bottom w:val="none" w:sz="0" w:space="0" w:color="auto"/>
        <w:right w:val="none" w:sz="0" w:space="0" w:color="auto"/>
      </w:divBdr>
    </w:div>
    <w:div w:id="1559242358">
      <w:bodyDiv w:val="1"/>
      <w:marLeft w:val="0"/>
      <w:marRight w:val="0"/>
      <w:marTop w:val="0"/>
      <w:marBottom w:val="0"/>
      <w:divBdr>
        <w:top w:val="none" w:sz="0" w:space="0" w:color="auto"/>
        <w:left w:val="none" w:sz="0" w:space="0" w:color="auto"/>
        <w:bottom w:val="none" w:sz="0" w:space="0" w:color="auto"/>
        <w:right w:val="none" w:sz="0" w:space="0" w:color="auto"/>
      </w:divBdr>
    </w:div>
    <w:div w:id="1568691256">
      <w:bodyDiv w:val="1"/>
      <w:marLeft w:val="0"/>
      <w:marRight w:val="0"/>
      <w:marTop w:val="0"/>
      <w:marBottom w:val="0"/>
      <w:divBdr>
        <w:top w:val="none" w:sz="0" w:space="0" w:color="auto"/>
        <w:left w:val="none" w:sz="0" w:space="0" w:color="auto"/>
        <w:bottom w:val="none" w:sz="0" w:space="0" w:color="auto"/>
        <w:right w:val="none" w:sz="0" w:space="0" w:color="auto"/>
      </w:divBdr>
    </w:div>
    <w:div w:id="1569850914">
      <w:bodyDiv w:val="1"/>
      <w:marLeft w:val="0"/>
      <w:marRight w:val="0"/>
      <w:marTop w:val="0"/>
      <w:marBottom w:val="0"/>
      <w:divBdr>
        <w:top w:val="none" w:sz="0" w:space="0" w:color="auto"/>
        <w:left w:val="none" w:sz="0" w:space="0" w:color="auto"/>
        <w:bottom w:val="none" w:sz="0" w:space="0" w:color="auto"/>
        <w:right w:val="none" w:sz="0" w:space="0" w:color="auto"/>
      </w:divBdr>
    </w:div>
    <w:div w:id="1572885438">
      <w:bodyDiv w:val="1"/>
      <w:marLeft w:val="0"/>
      <w:marRight w:val="0"/>
      <w:marTop w:val="0"/>
      <w:marBottom w:val="0"/>
      <w:divBdr>
        <w:top w:val="none" w:sz="0" w:space="0" w:color="auto"/>
        <w:left w:val="none" w:sz="0" w:space="0" w:color="auto"/>
        <w:bottom w:val="none" w:sz="0" w:space="0" w:color="auto"/>
        <w:right w:val="none" w:sz="0" w:space="0" w:color="auto"/>
      </w:divBdr>
    </w:div>
    <w:div w:id="1580098956">
      <w:bodyDiv w:val="1"/>
      <w:marLeft w:val="0"/>
      <w:marRight w:val="0"/>
      <w:marTop w:val="0"/>
      <w:marBottom w:val="0"/>
      <w:divBdr>
        <w:top w:val="none" w:sz="0" w:space="0" w:color="auto"/>
        <w:left w:val="none" w:sz="0" w:space="0" w:color="auto"/>
        <w:bottom w:val="none" w:sz="0" w:space="0" w:color="auto"/>
        <w:right w:val="none" w:sz="0" w:space="0" w:color="auto"/>
      </w:divBdr>
      <w:divsChild>
        <w:div w:id="38483053">
          <w:marLeft w:val="0"/>
          <w:marRight w:val="0"/>
          <w:marTop w:val="0"/>
          <w:marBottom w:val="0"/>
          <w:divBdr>
            <w:top w:val="none" w:sz="0" w:space="0" w:color="auto"/>
            <w:left w:val="none" w:sz="0" w:space="0" w:color="auto"/>
            <w:bottom w:val="none" w:sz="0" w:space="0" w:color="auto"/>
            <w:right w:val="none" w:sz="0" w:space="0" w:color="auto"/>
          </w:divBdr>
          <w:divsChild>
            <w:div w:id="1138258939">
              <w:marLeft w:val="0"/>
              <w:marRight w:val="0"/>
              <w:marTop w:val="0"/>
              <w:marBottom w:val="0"/>
              <w:divBdr>
                <w:top w:val="none" w:sz="0" w:space="0" w:color="auto"/>
                <w:left w:val="none" w:sz="0" w:space="0" w:color="auto"/>
                <w:bottom w:val="none" w:sz="0" w:space="0" w:color="auto"/>
                <w:right w:val="none" w:sz="0" w:space="0" w:color="auto"/>
              </w:divBdr>
              <w:divsChild>
                <w:div w:id="81686878">
                  <w:marLeft w:val="0"/>
                  <w:marRight w:val="0"/>
                  <w:marTop w:val="0"/>
                  <w:marBottom w:val="0"/>
                  <w:divBdr>
                    <w:top w:val="none" w:sz="0" w:space="0" w:color="auto"/>
                    <w:left w:val="none" w:sz="0" w:space="0" w:color="auto"/>
                    <w:bottom w:val="none" w:sz="0" w:space="0" w:color="auto"/>
                    <w:right w:val="none" w:sz="0" w:space="0" w:color="auto"/>
                  </w:divBdr>
                  <w:divsChild>
                    <w:div w:id="147806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438501">
      <w:bodyDiv w:val="1"/>
      <w:marLeft w:val="0"/>
      <w:marRight w:val="0"/>
      <w:marTop w:val="0"/>
      <w:marBottom w:val="0"/>
      <w:divBdr>
        <w:top w:val="none" w:sz="0" w:space="0" w:color="auto"/>
        <w:left w:val="none" w:sz="0" w:space="0" w:color="auto"/>
        <w:bottom w:val="none" w:sz="0" w:space="0" w:color="auto"/>
        <w:right w:val="none" w:sz="0" w:space="0" w:color="auto"/>
      </w:divBdr>
      <w:divsChild>
        <w:div w:id="885408542">
          <w:marLeft w:val="0"/>
          <w:marRight w:val="0"/>
          <w:marTop w:val="0"/>
          <w:marBottom w:val="0"/>
          <w:divBdr>
            <w:top w:val="none" w:sz="0" w:space="0" w:color="auto"/>
            <w:left w:val="none" w:sz="0" w:space="0" w:color="auto"/>
            <w:bottom w:val="none" w:sz="0" w:space="0" w:color="auto"/>
            <w:right w:val="none" w:sz="0" w:space="0" w:color="auto"/>
          </w:divBdr>
          <w:divsChild>
            <w:div w:id="1571771686">
              <w:marLeft w:val="0"/>
              <w:marRight w:val="0"/>
              <w:marTop w:val="0"/>
              <w:marBottom w:val="0"/>
              <w:divBdr>
                <w:top w:val="none" w:sz="0" w:space="0" w:color="auto"/>
                <w:left w:val="none" w:sz="0" w:space="0" w:color="auto"/>
                <w:bottom w:val="none" w:sz="0" w:space="0" w:color="auto"/>
                <w:right w:val="none" w:sz="0" w:space="0" w:color="auto"/>
              </w:divBdr>
              <w:divsChild>
                <w:div w:id="1007635834">
                  <w:marLeft w:val="0"/>
                  <w:marRight w:val="0"/>
                  <w:marTop w:val="0"/>
                  <w:marBottom w:val="0"/>
                  <w:divBdr>
                    <w:top w:val="none" w:sz="0" w:space="0" w:color="auto"/>
                    <w:left w:val="none" w:sz="0" w:space="0" w:color="auto"/>
                    <w:bottom w:val="none" w:sz="0" w:space="0" w:color="auto"/>
                    <w:right w:val="none" w:sz="0" w:space="0" w:color="auto"/>
                  </w:divBdr>
                  <w:divsChild>
                    <w:div w:id="1921402973">
                      <w:marLeft w:val="0"/>
                      <w:marRight w:val="0"/>
                      <w:marTop w:val="0"/>
                      <w:marBottom w:val="0"/>
                      <w:divBdr>
                        <w:top w:val="none" w:sz="0" w:space="0" w:color="auto"/>
                        <w:left w:val="none" w:sz="0" w:space="0" w:color="auto"/>
                        <w:bottom w:val="none" w:sz="0" w:space="0" w:color="auto"/>
                        <w:right w:val="none" w:sz="0" w:space="0" w:color="auto"/>
                      </w:divBdr>
                      <w:divsChild>
                        <w:div w:id="1423448239">
                          <w:marLeft w:val="0"/>
                          <w:marRight w:val="0"/>
                          <w:marTop w:val="0"/>
                          <w:marBottom w:val="0"/>
                          <w:divBdr>
                            <w:top w:val="none" w:sz="0" w:space="0" w:color="auto"/>
                            <w:left w:val="none" w:sz="0" w:space="0" w:color="auto"/>
                            <w:bottom w:val="none" w:sz="0" w:space="0" w:color="auto"/>
                            <w:right w:val="none" w:sz="0" w:space="0" w:color="auto"/>
                          </w:divBdr>
                          <w:divsChild>
                            <w:div w:id="109211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538928">
      <w:bodyDiv w:val="1"/>
      <w:marLeft w:val="0"/>
      <w:marRight w:val="0"/>
      <w:marTop w:val="0"/>
      <w:marBottom w:val="0"/>
      <w:divBdr>
        <w:top w:val="none" w:sz="0" w:space="0" w:color="auto"/>
        <w:left w:val="none" w:sz="0" w:space="0" w:color="auto"/>
        <w:bottom w:val="none" w:sz="0" w:space="0" w:color="auto"/>
        <w:right w:val="none" w:sz="0" w:space="0" w:color="auto"/>
      </w:divBdr>
    </w:div>
    <w:div w:id="1631666540">
      <w:bodyDiv w:val="1"/>
      <w:marLeft w:val="0"/>
      <w:marRight w:val="0"/>
      <w:marTop w:val="0"/>
      <w:marBottom w:val="0"/>
      <w:divBdr>
        <w:top w:val="none" w:sz="0" w:space="0" w:color="auto"/>
        <w:left w:val="none" w:sz="0" w:space="0" w:color="auto"/>
        <w:bottom w:val="none" w:sz="0" w:space="0" w:color="auto"/>
        <w:right w:val="none" w:sz="0" w:space="0" w:color="auto"/>
      </w:divBdr>
    </w:div>
    <w:div w:id="1638562013">
      <w:bodyDiv w:val="1"/>
      <w:marLeft w:val="0"/>
      <w:marRight w:val="0"/>
      <w:marTop w:val="0"/>
      <w:marBottom w:val="0"/>
      <w:divBdr>
        <w:top w:val="none" w:sz="0" w:space="0" w:color="auto"/>
        <w:left w:val="none" w:sz="0" w:space="0" w:color="auto"/>
        <w:bottom w:val="none" w:sz="0" w:space="0" w:color="auto"/>
        <w:right w:val="none" w:sz="0" w:space="0" w:color="auto"/>
      </w:divBdr>
    </w:div>
    <w:div w:id="1649936108">
      <w:bodyDiv w:val="1"/>
      <w:marLeft w:val="0"/>
      <w:marRight w:val="0"/>
      <w:marTop w:val="0"/>
      <w:marBottom w:val="0"/>
      <w:divBdr>
        <w:top w:val="none" w:sz="0" w:space="0" w:color="auto"/>
        <w:left w:val="none" w:sz="0" w:space="0" w:color="auto"/>
        <w:bottom w:val="none" w:sz="0" w:space="0" w:color="auto"/>
        <w:right w:val="none" w:sz="0" w:space="0" w:color="auto"/>
      </w:divBdr>
    </w:div>
    <w:div w:id="1653214589">
      <w:bodyDiv w:val="1"/>
      <w:marLeft w:val="0"/>
      <w:marRight w:val="0"/>
      <w:marTop w:val="0"/>
      <w:marBottom w:val="0"/>
      <w:divBdr>
        <w:top w:val="none" w:sz="0" w:space="0" w:color="auto"/>
        <w:left w:val="none" w:sz="0" w:space="0" w:color="auto"/>
        <w:bottom w:val="none" w:sz="0" w:space="0" w:color="auto"/>
        <w:right w:val="none" w:sz="0" w:space="0" w:color="auto"/>
      </w:divBdr>
      <w:divsChild>
        <w:div w:id="469128541">
          <w:marLeft w:val="0"/>
          <w:marRight w:val="0"/>
          <w:marTop w:val="0"/>
          <w:marBottom w:val="0"/>
          <w:divBdr>
            <w:top w:val="none" w:sz="0" w:space="0" w:color="auto"/>
            <w:left w:val="none" w:sz="0" w:space="0" w:color="auto"/>
            <w:bottom w:val="none" w:sz="0" w:space="0" w:color="auto"/>
            <w:right w:val="none" w:sz="0" w:space="0" w:color="auto"/>
          </w:divBdr>
          <w:divsChild>
            <w:div w:id="878131001">
              <w:marLeft w:val="0"/>
              <w:marRight w:val="0"/>
              <w:marTop w:val="0"/>
              <w:marBottom w:val="0"/>
              <w:divBdr>
                <w:top w:val="none" w:sz="0" w:space="0" w:color="auto"/>
                <w:left w:val="none" w:sz="0" w:space="0" w:color="auto"/>
                <w:bottom w:val="none" w:sz="0" w:space="0" w:color="auto"/>
                <w:right w:val="none" w:sz="0" w:space="0" w:color="auto"/>
              </w:divBdr>
              <w:divsChild>
                <w:div w:id="874930521">
                  <w:marLeft w:val="0"/>
                  <w:marRight w:val="0"/>
                  <w:marTop w:val="0"/>
                  <w:marBottom w:val="0"/>
                  <w:divBdr>
                    <w:top w:val="none" w:sz="0" w:space="0" w:color="auto"/>
                    <w:left w:val="none" w:sz="0" w:space="0" w:color="auto"/>
                    <w:bottom w:val="none" w:sz="0" w:space="0" w:color="auto"/>
                    <w:right w:val="none" w:sz="0" w:space="0" w:color="auto"/>
                  </w:divBdr>
                  <w:divsChild>
                    <w:div w:id="1614172524">
                      <w:marLeft w:val="0"/>
                      <w:marRight w:val="0"/>
                      <w:marTop w:val="0"/>
                      <w:marBottom w:val="0"/>
                      <w:divBdr>
                        <w:top w:val="none" w:sz="0" w:space="0" w:color="auto"/>
                        <w:left w:val="none" w:sz="0" w:space="0" w:color="auto"/>
                        <w:bottom w:val="none" w:sz="0" w:space="0" w:color="auto"/>
                        <w:right w:val="none" w:sz="0" w:space="0" w:color="auto"/>
                      </w:divBdr>
                      <w:divsChild>
                        <w:div w:id="858542909">
                          <w:marLeft w:val="0"/>
                          <w:marRight w:val="0"/>
                          <w:marTop w:val="0"/>
                          <w:marBottom w:val="0"/>
                          <w:divBdr>
                            <w:top w:val="none" w:sz="0" w:space="0" w:color="auto"/>
                            <w:left w:val="none" w:sz="0" w:space="0" w:color="auto"/>
                            <w:bottom w:val="none" w:sz="0" w:space="0" w:color="auto"/>
                            <w:right w:val="none" w:sz="0" w:space="0" w:color="auto"/>
                          </w:divBdr>
                          <w:divsChild>
                            <w:div w:id="916329745">
                              <w:marLeft w:val="0"/>
                              <w:marRight w:val="0"/>
                              <w:marTop w:val="0"/>
                              <w:marBottom w:val="0"/>
                              <w:divBdr>
                                <w:top w:val="none" w:sz="0" w:space="0" w:color="auto"/>
                                <w:left w:val="none" w:sz="0" w:space="0" w:color="auto"/>
                                <w:bottom w:val="none" w:sz="0" w:space="0" w:color="auto"/>
                                <w:right w:val="none" w:sz="0" w:space="0" w:color="auto"/>
                              </w:divBdr>
                              <w:divsChild>
                                <w:div w:id="2057855451">
                                  <w:marLeft w:val="0"/>
                                  <w:marRight w:val="0"/>
                                  <w:marTop w:val="0"/>
                                  <w:marBottom w:val="0"/>
                                  <w:divBdr>
                                    <w:top w:val="none" w:sz="0" w:space="0" w:color="auto"/>
                                    <w:left w:val="none" w:sz="0" w:space="0" w:color="auto"/>
                                    <w:bottom w:val="none" w:sz="0" w:space="0" w:color="auto"/>
                                    <w:right w:val="none" w:sz="0" w:space="0" w:color="auto"/>
                                  </w:divBdr>
                                  <w:divsChild>
                                    <w:div w:id="7374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5670141">
      <w:bodyDiv w:val="1"/>
      <w:marLeft w:val="0"/>
      <w:marRight w:val="0"/>
      <w:marTop w:val="0"/>
      <w:marBottom w:val="0"/>
      <w:divBdr>
        <w:top w:val="none" w:sz="0" w:space="0" w:color="auto"/>
        <w:left w:val="none" w:sz="0" w:space="0" w:color="auto"/>
        <w:bottom w:val="none" w:sz="0" w:space="0" w:color="auto"/>
        <w:right w:val="none" w:sz="0" w:space="0" w:color="auto"/>
      </w:divBdr>
    </w:div>
    <w:div w:id="1665890260">
      <w:bodyDiv w:val="1"/>
      <w:marLeft w:val="0"/>
      <w:marRight w:val="0"/>
      <w:marTop w:val="0"/>
      <w:marBottom w:val="0"/>
      <w:divBdr>
        <w:top w:val="none" w:sz="0" w:space="0" w:color="auto"/>
        <w:left w:val="none" w:sz="0" w:space="0" w:color="auto"/>
        <w:bottom w:val="none" w:sz="0" w:space="0" w:color="auto"/>
        <w:right w:val="none" w:sz="0" w:space="0" w:color="auto"/>
      </w:divBdr>
    </w:div>
    <w:div w:id="1666125196">
      <w:bodyDiv w:val="1"/>
      <w:marLeft w:val="0"/>
      <w:marRight w:val="0"/>
      <w:marTop w:val="0"/>
      <w:marBottom w:val="0"/>
      <w:divBdr>
        <w:top w:val="none" w:sz="0" w:space="0" w:color="auto"/>
        <w:left w:val="none" w:sz="0" w:space="0" w:color="auto"/>
        <w:bottom w:val="none" w:sz="0" w:space="0" w:color="auto"/>
        <w:right w:val="none" w:sz="0" w:space="0" w:color="auto"/>
      </w:divBdr>
      <w:divsChild>
        <w:div w:id="677074291">
          <w:marLeft w:val="0"/>
          <w:marRight w:val="0"/>
          <w:marTop w:val="0"/>
          <w:marBottom w:val="0"/>
          <w:divBdr>
            <w:top w:val="none" w:sz="0" w:space="0" w:color="auto"/>
            <w:left w:val="none" w:sz="0" w:space="0" w:color="auto"/>
            <w:bottom w:val="none" w:sz="0" w:space="0" w:color="auto"/>
            <w:right w:val="none" w:sz="0" w:space="0" w:color="auto"/>
          </w:divBdr>
          <w:divsChild>
            <w:div w:id="231695671">
              <w:marLeft w:val="0"/>
              <w:marRight w:val="0"/>
              <w:marTop w:val="0"/>
              <w:marBottom w:val="0"/>
              <w:divBdr>
                <w:top w:val="none" w:sz="0" w:space="0" w:color="auto"/>
                <w:left w:val="none" w:sz="0" w:space="0" w:color="auto"/>
                <w:bottom w:val="none" w:sz="0" w:space="0" w:color="auto"/>
                <w:right w:val="none" w:sz="0" w:space="0" w:color="auto"/>
              </w:divBdr>
              <w:divsChild>
                <w:div w:id="1967006065">
                  <w:marLeft w:val="0"/>
                  <w:marRight w:val="0"/>
                  <w:marTop w:val="0"/>
                  <w:marBottom w:val="0"/>
                  <w:divBdr>
                    <w:top w:val="none" w:sz="0" w:space="0" w:color="auto"/>
                    <w:left w:val="none" w:sz="0" w:space="0" w:color="auto"/>
                    <w:bottom w:val="none" w:sz="0" w:space="0" w:color="auto"/>
                    <w:right w:val="none" w:sz="0" w:space="0" w:color="auto"/>
                  </w:divBdr>
                  <w:divsChild>
                    <w:div w:id="90029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899683">
          <w:marLeft w:val="0"/>
          <w:marRight w:val="0"/>
          <w:marTop w:val="0"/>
          <w:marBottom w:val="0"/>
          <w:divBdr>
            <w:top w:val="none" w:sz="0" w:space="0" w:color="auto"/>
            <w:left w:val="none" w:sz="0" w:space="0" w:color="auto"/>
            <w:bottom w:val="none" w:sz="0" w:space="0" w:color="auto"/>
            <w:right w:val="none" w:sz="0" w:space="0" w:color="auto"/>
          </w:divBdr>
          <w:divsChild>
            <w:div w:id="1373842874">
              <w:marLeft w:val="0"/>
              <w:marRight w:val="0"/>
              <w:marTop w:val="0"/>
              <w:marBottom w:val="0"/>
              <w:divBdr>
                <w:top w:val="none" w:sz="0" w:space="0" w:color="auto"/>
                <w:left w:val="none" w:sz="0" w:space="0" w:color="auto"/>
                <w:bottom w:val="none" w:sz="0" w:space="0" w:color="auto"/>
                <w:right w:val="none" w:sz="0" w:space="0" w:color="auto"/>
              </w:divBdr>
              <w:divsChild>
                <w:div w:id="95016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6884">
      <w:bodyDiv w:val="1"/>
      <w:marLeft w:val="0"/>
      <w:marRight w:val="0"/>
      <w:marTop w:val="0"/>
      <w:marBottom w:val="0"/>
      <w:divBdr>
        <w:top w:val="none" w:sz="0" w:space="0" w:color="auto"/>
        <w:left w:val="none" w:sz="0" w:space="0" w:color="auto"/>
        <w:bottom w:val="none" w:sz="0" w:space="0" w:color="auto"/>
        <w:right w:val="none" w:sz="0" w:space="0" w:color="auto"/>
      </w:divBdr>
      <w:divsChild>
        <w:div w:id="1054278202">
          <w:marLeft w:val="0"/>
          <w:marRight w:val="0"/>
          <w:marTop w:val="0"/>
          <w:marBottom w:val="0"/>
          <w:divBdr>
            <w:top w:val="none" w:sz="0" w:space="0" w:color="auto"/>
            <w:left w:val="none" w:sz="0" w:space="0" w:color="auto"/>
            <w:bottom w:val="none" w:sz="0" w:space="0" w:color="auto"/>
            <w:right w:val="none" w:sz="0" w:space="0" w:color="auto"/>
          </w:divBdr>
          <w:divsChild>
            <w:div w:id="1162434478">
              <w:marLeft w:val="0"/>
              <w:marRight w:val="0"/>
              <w:marTop w:val="0"/>
              <w:marBottom w:val="0"/>
              <w:divBdr>
                <w:top w:val="none" w:sz="0" w:space="0" w:color="auto"/>
                <w:left w:val="none" w:sz="0" w:space="0" w:color="auto"/>
                <w:bottom w:val="none" w:sz="0" w:space="0" w:color="auto"/>
                <w:right w:val="none" w:sz="0" w:space="0" w:color="auto"/>
              </w:divBdr>
              <w:divsChild>
                <w:div w:id="625938655">
                  <w:marLeft w:val="0"/>
                  <w:marRight w:val="0"/>
                  <w:marTop w:val="0"/>
                  <w:marBottom w:val="0"/>
                  <w:divBdr>
                    <w:top w:val="none" w:sz="0" w:space="0" w:color="auto"/>
                    <w:left w:val="none" w:sz="0" w:space="0" w:color="auto"/>
                    <w:bottom w:val="none" w:sz="0" w:space="0" w:color="auto"/>
                    <w:right w:val="none" w:sz="0" w:space="0" w:color="auto"/>
                  </w:divBdr>
                  <w:divsChild>
                    <w:div w:id="165177189">
                      <w:marLeft w:val="0"/>
                      <w:marRight w:val="0"/>
                      <w:marTop w:val="0"/>
                      <w:marBottom w:val="0"/>
                      <w:divBdr>
                        <w:top w:val="none" w:sz="0" w:space="0" w:color="auto"/>
                        <w:left w:val="none" w:sz="0" w:space="0" w:color="auto"/>
                        <w:bottom w:val="none" w:sz="0" w:space="0" w:color="auto"/>
                        <w:right w:val="none" w:sz="0" w:space="0" w:color="auto"/>
                      </w:divBdr>
                      <w:divsChild>
                        <w:div w:id="259876665">
                          <w:marLeft w:val="0"/>
                          <w:marRight w:val="0"/>
                          <w:marTop w:val="0"/>
                          <w:marBottom w:val="0"/>
                          <w:divBdr>
                            <w:top w:val="none" w:sz="0" w:space="0" w:color="auto"/>
                            <w:left w:val="none" w:sz="0" w:space="0" w:color="auto"/>
                            <w:bottom w:val="none" w:sz="0" w:space="0" w:color="auto"/>
                            <w:right w:val="none" w:sz="0" w:space="0" w:color="auto"/>
                          </w:divBdr>
                          <w:divsChild>
                            <w:div w:id="171180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494977">
      <w:bodyDiv w:val="1"/>
      <w:marLeft w:val="0"/>
      <w:marRight w:val="0"/>
      <w:marTop w:val="0"/>
      <w:marBottom w:val="0"/>
      <w:divBdr>
        <w:top w:val="none" w:sz="0" w:space="0" w:color="auto"/>
        <w:left w:val="none" w:sz="0" w:space="0" w:color="auto"/>
        <w:bottom w:val="none" w:sz="0" w:space="0" w:color="auto"/>
        <w:right w:val="none" w:sz="0" w:space="0" w:color="auto"/>
      </w:divBdr>
    </w:div>
    <w:div w:id="1677611390">
      <w:bodyDiv w:val="1"/>
      <w:marLeft w:val="0"/>
      <w:marRight w:val="0"/>
      <w:marTop w:val="0"/>
      <w:marBottom w:val="0"/>
      <w:divBdr>
        <w:top w:val="none" w:sz="0" w:space="0" w:color="auto"/>
        <w:left w:val="none" w:sz="0" w:space="0" w:color="auto"/>
        <w:bottom w:val="none" w:sz="0" w:space="0" w:color="auto"/>
        <w:right w:val="none" w:sz="0" w:space="0" w:color="auto"/>
      </w:divBdr>
    </w:div>
    <w:div w:id="1687293696">
      <w:bodyDiv w:val="1"/>
      <w:marLeft w:val="0"/>
      <w:marRight w:val="0"/>
      <w:marTop w:val="0"/>
      <w:marBottom w:val="0"/>
      <w:divBdr>
        <w:top w:val="none" w:sz="0" w:space="0" w:color="auto"/>
        <w:left w:val="none" w:sz="0" w:space="0" w:color="auto"/>
        <w:bottom w:val="none" w:sz="0" w:space="0" w:color="auto"/>
        <w:right w:val="none" w:sz="0" w:space="0" w:color="auto"/>
      </w:divBdr>
    </w:div>
    <w:div w:id="1703751565">
      <w:bodyDiv w:val="1"/>
      <w:marLeft w:val="0"/>
      <w:marRight w:val="0"/>
      <w:marTop w:val="0"/>
      <w:marBottom w:val="0"/>
      <w:divBdr>
        <w:top w:val="none" w:sz="0" w:space="0" w:color="auto"/>
        <w:left w:val="none" w:sz="0" w:space="0" w:color="auto"/>
        <w:bottom w:val="none" w:sz="0" w:space="0" w:color="auto"/>
        <w:right w:val="none" w:sz="0" w:space="0" w:color="auto"/>
      </w:divBdr>
    </w:div>
    <w:div w:id="1714109832">
      <w:bodyDiv w:val="1"/>
      <w:marLeft w:val="0"/>
      <w:marRight w:val="0"/>
      <w:marTop w:val="0"/>
      <w:marBottom w:val="0"/>
      <w:divBdr>
        <w:top w:val="none" w:sz="0" w:space="0" w:color="auto"/>
        <w:left w:val="none" w:sz="0" w:space="0" w:color="auto"/>
        <w:bottom w:val="none" w:sz="0" w:space="0" w:color="auto"/>
        <w:right w:val="none" w:sz="0" w:space="0" w:color="auto"/>
      </w:divBdr>
    </w:div>
    <w:div w:id="1715538790">
      <w:bodyDiv w:val="1"/>
      <w:marLeft w:val="0"/>
      <w:marRight w:val="0"/>
      <w:marTop w:val="0"/>
      <w:marBottom w:val="0"/>
      <w:divBdr>
        <w:top w:val="none" w:sz="0" w:space="0" w:color="auto"/>
        <w:left w:val="none" w:sz="0" w:space="0" w:color="auto"/>
        <w:bottom w:val="none" w:sz="0" w:space="0" w:color="auto"/>
        <w:right w:val="none" w:sz="0" w:space="0" w:color="auto"/>
      </w:divBdr>
    </w:div>
    <w:div w:id="1719476175">
      <w:bodyDiv w:val="1"/>
      <w:marLeft w:val="0"/>
      <w:marRight w:val="0"/>
      <w:marTop w:val="0"/>
      <w:marBottom w:val="0"/>
      <w:divBdr>
        <w:top w:val="none" w:sz="0" w:space="0" w:color="auto"/>
        <w:left w:val="none" w:sz="0" w:space="0" w:color="auto"/>
        <w:bottom w:val="none" w:sz="0" w:space="0" w:color="auto"/>
        <w:right w:val="none" w:sz="0" w:space="0" w:color="auto"/>
      </w:divBdr>
    </w:div>
    <w:div w:id="1725256759">
      <w:bodyDiv w:val="1"/>
      <w:marLeft w:val="0"/>
      <w:marRight w:val="0"/>
      <w:marTop w:val="0"/>
      <w:marBottom w:val="0"/>
      <w:divBdr>
        <w:top w:val="none" w:sz="0" w:space="0" w:color="auto"/>
        <w:left w:val="none" w:sz="0" w:space="0" w:color="auto"/>
        <w:bottom w:val="none" w:sz="0" w:space="0" w:color="auto"/>
        <w:right w:val="none" w:sz="0" w:space="0" w:color="auto"/>
      </w:divBdr>
    </w:div>
    <w:div w:id="1729109994">
      <w:bodyDiv w:val="1"/>
      <w:marLeft w:val="0"/>
      <w:marRight w:val="0"/>
      <w:marTop w:val="0"/>
      <w:marBottom w:val="0"/>
      <w:divBdr>
        <w:top w:val="none" w:sz="0" w:space="0" w:color="auto"/>
        <w:left w:val="none" w:sz="0" w:space="0" w:color="auto"/>
        <w:bottom w:val="none" w:sz="0" w:space="0" w:color="auto"/>
        <w:right w:val="none" w:sz="0" w:space="0" w:color="auto"/>
      </w:divBdr>
    </w:div>
    <w:div w:id="1731079038">
      <w:bodyDiv w:val="1"/>
      <w:marLeft w:val="0"/>
      <w:marRight w:val="0"/>
      <w:marTop w:val="0"/>
      <w:marBottom w:val="0"/>
      <w:divBdr>
        <w:top w:val="none" w:sz="0" w:space="0" w:color="auto"/>
        <w:left w:val="none" w:sz="0" w:space="0" w:color="auto"/>
        <w:bottom w:val="none" w:sz="0" w:space="0" w:color="auto"/>
        <w:right w:val="none" w:sz="0" w:space="0" w:color="auto"/>
      </w:divBdr>
    </w:div>
    <w:div w:id="1732457940">
      <w:bodyDiv w:val="1"/>
      <w:marLeft w:val="0"/>
      <w:marRight w:val="0"/>
      <w:marTop w:val="0"/>
      <w:marBottom w:val="0"/>
      <w:divBdr>
        <w:top w:val="none" w:sz="0" w:space="0" w:color="auto"/>
        <w:left w:val="none" w:sz="0" w:space="0" w:color="auto"/>
        <w:bottom w:val="none" w:sz="0" w:space="0" w:color="auto"/>
        <w:right w:val="none" w:sz="0" w:space="0" w:color="auto"/>
      </w:divBdr>
    </w:div>
    <w:div w:id="1736053277">
      <w:bodyDiv w:val="1"/>
      <w:marLeft w:val="0"/>
      <w:marRight w:val="0"/>
      <w:marTop w:val="0"/>
      <w:marBottom w:val="0"/>
      <w:divBdr>
        <w:top w:val="none" w:sz="0" w:space="0" w:color="auto"/>
        <w:left w:val="none" w:sz="0" w:space="0" w:color="auto"/>
        <w:bottom w:val="none" w:sz="0" w:space="0" w:color="auto"/>
        <w:right w:val="none" w:sz="0" w:space="0" w:color="auto"/>
      </w:divBdr>
      <w:divsChild>
        <w:div w:id="1913201242">
          <w:marLeft w:val="0"/>
          <w:marRight w:val="0"/>
          <w:marTop w:val="0"/>
          <w:marBottom w:val="0"/>
          <w:divBdr>
            <w:top w:val="none" w:sz="0" w:space="0" w:color="auto"/>
            <w:left w:val="none" w:sz="0" w:space="0" w:color="auto"/>
            <w:bottom w:val="none" w:sz="0" w:space="0" w:color="auto"/>
            <w:right w:val="none" w:sz="0" w:space="0" w:color="auto"/>
          </w:divBdr>
          <w:divsChild>
            <w:div w:id="457140247">
              <w:marLeft w:val="0"/>
              <w:marRight w:val="0"/>
              <w:marTop w:val="0"/>
              <w:marBottom w:val="0"/>
              <w:divBdr>
                <w:top w:val="none" w:sz="0" w:space="0" w:color="auto"/>
                <w:left w:val="none" w:sz="0" w:space="0" w:color="auto"/>
                <w:bottom w:val="none" w:sz="0" w:space="0" w:color="auto"/>
                <w:right w:val="none" w:sz="0" w:space="0" w:color="auto"/>
              </w:divBdr>
              <w:divsChild>
                <w:div w:id="970598690">
                  <w:marLeft w:val="0"/>
                  <w:marRight w:val="0"/>
                  <w:marTop w:val="0"/>
                  <w:marBottom w:val="0"/>
                  <w:divBdr>
                    <w:top w:val="none" w:sz="0" w:space="0" w:color="auto"/>
                    <w:left w:val="none" w:sz="0" w:space="0" w:color="auto"/>
                    <w:bottom w:val="none" w:sz="0" w:space="0" w:color="auto"/>
                    <w:right w:val="none" w:sz="0" w:space="0" w:color="auto"/>
                  </w:divBdr>
                  <w:divsChild>
                    <w:div w:id="21181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429286">
      <w:bodyDiv w:val="1"/>
      <w:marLeft w:val="0"/>
      <w:marRight w:val="0"/>
      <w:marTop w:val="0"/>
      <w:marBottom w:val="0"/>
      <w:divBdr>
        <w:top w:val="none" w:sz="0" w:space="0" w:color="auto"/>
        <w:left w:val="none" w:sz="0" w:space="0" w:color="auto"/>
        <w:bottom w:val="none" w:sz="0" w:space="0" w:color="auto"/>
        <w:right w:val="none" w:sz="0" w:space="0" w:color="auto"/>
      </w:divBdr>
    </w:div>
    <w:div w:id="1747262290">
      <w:bodyDiv w:val="1"/>
      <w:marLeft w:val="0"/>
      <w:marRight w:val="0"/>
      <w:marTop w:val="0"/>
      <w:marBottom w:val="0"/>
      <w:divBdr>
        <w:top w:val="none" w:sz="0" w:space="0" w:color="auto"/>
        <w:left w:val="none" w:sz="0" w:space="0" w:color="auto"/>
        <w:bottom w:val="none" w:sz="0" w:space="0" w:color="auto"/>
        <w:right w:val="none" w:sz="0" w:space="0" w:color="auto"/>
      </w:divBdr>
    </w:div>
    <w:div w:id="1751074602">
      <w:bodyDiv w:val="1"/>
      <w:marLeft w:val="0"/>
      <w:marRight w:val="0"/>
      <w:marTop w:val="0"/>
      <w:marBottom w:val="0"/>
      <w:divBdr>
        <w:top w:val="none" w:sz="0" w:space="0" w:color="auto"/>
        <w:left w:val="none" w:sz="0" w:space="0" w:color="auto"/>
        <w:bottom w:val="none" w:sz="0" w:space="0" w:color="auto"/>
        <w:right w:val="none" w:sz="0" w:space="0" w:color="auto"/>
      </w:divBdr>
    </w:div>
    <w:div w:id="1763989896">
      <w:bodyDiv w:val="1"/>
      <w:marLeft w:val="0"/>
      <w:marRight w:val="0"/>
      <w:marTop w:val="0"/>
      <w:marBottom w:val="0"/>
      <w:divBdr>
        <w:top w:val="none" w:sz="0" w:space="0" w:color="auto"/>
        <w:left w:val="none" w:sz="0" w:space="0" w:color="auto"/>
        <w:bottom w:val="none" w:sz="0" w:space="0" w:color="auto"/>
        <w:right w:val="none" w:sz="0" w:space="0" w:color="auto"/>
      </w:divBdr>
    </w:div>
    <w:div w:id="1765110139">
      <w:bodyDiv w:val="1"/>
      <w:marLeft w:val="0"/>
      <w:marRight w:val="0"/>
      <w:marTop w:val="0"/>
      <w:marBottom w:val="0"/>
      <w:divBdr>
        <w:top w:val="none" w:sz="0" w:space="0" w:color="auto"/>
        <w:left w:val="none" w:sz="0" w:space="0" w:color="auto"/>
        <w:bottom w:val="none" w:sz="0" w:space="0" w:color="auto"/>
        <w:right w:val="none" w:sz="0" w:space="0" w:color="auto"/>
      </w:divBdr>
    </w:div>
    <w:div w:id="1765304608">
      <w:bodyDiv w:val="1"/>
      <w:marLeft w:val="0"/>
      <w:marRight w:val="0"/>
      <w:marTop w:val="0"/>
      <w:marBottom w:val="0"/>
      <w:divBdr>
        <w:top w:val="none" w:sz="0" w:space="0" w:color="auto"/>
        <w:left w:val="none" w:sz="0" w:space="0" w:color="auto"/>
        <w:bottom w:val="none" w:sz="0" w:space="0" w:color="auto"/>
        <w:right w:val="none" w:sz="0" w:space="0" w:color="auto"/>
      </w:divBdr>
    </w:div>
    <w:div w:id="1765688152">
      <w:bodyDiv w:val="1"/>
      <w:marLeft w:val="0"/>
      <w:marRight w:val="0"/>
      <w:marTop w:val="0"/>
      <w:marBottom w:val="0"/>
      <w:divBdr>
        <w:top w:val="none" w:sz="0" w:space="0" w:color="auto"/>
        <w:left w:val="none" w:sz="0" w:space="0" w:color="auto"/>
        <w:bottom w:val="none" w:sz="0" w:space="0" w:color="auto"/>
        <w:right w:val="none" w:sz="0" w:space="0" w:color="auto"/>
      </w:divBdr>
    </w:div>
    <w:div w:id="1768230243">
      <w:bodyDiv w:val="1"/>
      <w:marLeft w:val="0"/>
      <w:marRight w:val="0"/>
      <w:marTop w:val="0"/>
      <w:marBottom w:val="0"/>
      <w:divBdr>
        <w:top w:val="none" w:sz="0" w:space="0" w:color="auto"/>
        <w:left w:val="none" w:sz="0" w:space="0" w:color="auto"/>
        <w:bottom w:val="none" w:sz="0" w:space="0" w:color="auto"/>
        <w:right w:val="none" w:sz="0" w:space="0" w:color="auto"/>
      </w:divBdr>
      <w:divsChild>
        <w:div w:id="908155179">
          <w:marLeft w:val="0"/>
          <w:marRight w:val="0"/>
          <w:marTop w:val="0"/>
          <w:marBottom w:val="0"/>
          <w:divBdr>
            <w:top w:val="none" w:sz="0" w:space="0" w:color="auto"/>
            <w:left w:val="none" w:sz="0" w:space="0" w:color="auto"/>
            <w:bottom w:val="none" w:sz="0" w:space="0" w:color="auto"/>
            <w:right w:val="none" w:sz="0" w:space="0" w:color="auto"/>
          </w:divBdr>
          <w:divsChild>
            <w:div w:id="1859392595">
              <w:marLeft w:val="0"/>
              <w:marRight w:val="0"/>
              <w:marTop w:val="0"/>
              <w:marBottom w:val="0"/>
              <w:divBdr>
                <w:top w:val="none" w:sz="0" w:space="0" w:color="auto"/>
                <w:left w:val="none" w:sz="0" w:space="0" w:color="auto"/>
                <w:bottom w:val="none" w:sz="0" w:space="0" w:color="auto"/>
                <w:right w:val="none" w:sz="0" w:space="0" w:color="auto"/>
              </w:divBdr>
              <w:divsChild>
                <w:div w:id="45332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184046">
          <w:marLeft w:val="0"/>
          <w:marRight w:val="0"/>
          <w:marTop w:val="0"/>
          <w:marBottom w:val="0"/>
          <w:divBdr>
            <w:top w:val="none" w:sz="0" w:space="0" w:color="auto"/>
            <w:left w:val="none" w:sz="0" w:space="0" w:color="auto"/>
            <w:bottom w:val="none" w:sz="0" w:space="0" w:color="auto"/>
            <w:right w:val="none" w:sz="0" w:space="0" w:color="auto"/>
          </w:divBdr>
          <w:divsChild>
            <w:div w:id="1689019719">
              <w:marLeft w:val="0"/>
              <w:marRight w:val="0"/>
              <w:marTop w:val="0"/>
              <w:marBottom w:val="0"/>
              <w:divBdr>
                <w:top w:val="none" w:sz="0" w:space="0" w:color="auto"/>
                <w:left w:val="none" w:sz="0" w:space="0" w:color="auto"/>
                <w:bottom w:val="none" w:sz="0" w:space="0" w:color="auto"/>
                <w:right w:val="none" w:sz="0" w:space="0" w:color="auto"/>
              </w:divBdr>
              <w:divsChild>
                <w:div w:id="242418941">
                  <w:marLeft w:val="0"/>
                  <w:marRight w:val="0"/>
                  <w:marTop w:val="0"/>
                  <w:marBottom w:val="0"/>
                  <w:divBdr>
                    <w:top w:val="none" w:sz="0" w:space="0" w:color="auto"/>
                    <w:left w:val="none" w:sz="0" w:space="0" w:color="auto"/>
                    <w:bottom w:val="none" w:sz="0" w:space="0" w:color="auto"/>
                    <w:right w:val="none" w:sz="0" w:space="0" w:color="auto"/>
                  </w:divBdr>
                  <w:divsChild>
                    <w:div w:id="2320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189132">
      <w:bodyDiv w:val="1"/>
      <w:marLeft w:val="0"/>
      <w:marRight w:val="0"/>
      <w:marTop w:val="0"/>
      <w:marBottom w:val="0"/>
      <w:divBdr>
        <w:top w:val="none" w:sz="0" w:space="0" w:color="auto"/>
        <w:left w:val="none" w:sz="0" w:space="0" w:color="auto"/>
        <w:bottom w:val="none" w:sz="0" w:space="0" w:color="auto"/>
        <w:right w:val="none" w:sz="0" w:space="0" w:color="auto"/>
      </w:divBdr>
    </w:div>
    <w:div w:id="1784958932">
      <w:bodyDiv w:val="1"/>
      <w:marLeft w:val="0"/>
      <w:marRight w:val="0"/>
      <w:marTop w:val="0"/>
      <w:marBottom w:val="0"/>
      <w:divBdr>
        <w:top w:val="none" w:sz="0" w:space="0" w:color="auto"/>
        <w:left w:val="none" w:sz="0" w:space="0" w:color="auto"/>
        <w:bottom w:val="none" w:sz="0" w:space="0" w:color="auto"/>
        <w:right w:val="none" w:sz="0" w:space="0" w:color="auto"/>
      </w:divBdr>
    </w:div>
    <w:div w:id="1790859171">
      <w:bodyDiv w:val="1"/>
      <w:marLeft w:val="0"/>
      <w:marRight w:val="0"/>
      <w:marTop w:val="0"/>
      <w:marBottom w:val="0"/>
      <w:divBdr>
        <w:top w:val="none" w:sz="0" w:space="0" w:color="auto"/>
        <w:left w:val="none" w:sz="0" w:space="0" w:color="auto"/>
        <w:bottom w:val="none" w:sz="0" w:space="0" w:color="auto"/>
        <w:right w:val="none" w:sz="0" w:space="0" w:color="auto"/>
      </w:divBdr>
    </w:div>
    <w:div w:id="1792434816">
      <w:bodyDiv w:val="1"/>
      <w:marLeft w:val="0"/>
      <w:marRight w:val="0"/>
      <w:marTop w:val="0"/>
      <w:marBottom w:val="0"/>
      <w:divBdr>
        <w:top w:val="none" w:sz="0" w:space="0" w:color="auto"/>
        <w:left w:val="none" w:sz="0" w:space="0" w:color="auto"/>
        <w:bottom w:val="none" w:sz="0" w:space="0" w:color="auto"/>
        <w:right w:val="none" w:sz="0" w:space="0" w:color="auto"/>
      </w:divBdr>
    </w:div>
    <w:div w:id="1807430738">
      <w:bodyDiv w:val="1"/>
      <w:marLeft w:val="0"/>
      <w:marRight w:val="0"/>
      <w:marTop w:val="0"/>
      <w:marBottom w:val="0"/>
      <w:divBdr>
        <w:top w:val="none" w:sz="0" w:space="0" w:color="auto"/>
        <w:left w:val="none" w:sz="0" w:space="0" w:color="auto"/>
        <w:bottom w:val="none" w:sz="0" w:space="0" w:color="auto"/>
        <w:right w:val="none" w:sz="0" w:space="0" w:color="auto"/>
      </w:divBdr>
    </w:div>
    <w:div w:id="1807773241">
      <w:bodyDiv w:val="1"/>
      <w:marLeft w:val="0"/>
      <w:marRight w:val="0"/>
      <w:marTop w:val="0"/>
      <w:marBottom w:val="0"/>
      <w:divBdr>
        <w:top w:val="none" w:sz="0" w:space="0" w:color="auto"/>
        <w:left w:val="none" w:sz="0" w:space="0" w:color="auto"/>
        <w:bottom w:val="none" w:sz="0" w:space="0" w:color="auto"/>
        <w:right w:val="none" w:sz="0" w:space="0" w:color="auto"/>
      </w:divBdr>
    </w:div>
    <w:div w:id="1809585897">
      <w:bodyDiv w:val="1"/>
      <w:marLeft w:val="0"/>
      <w:marRight w:val="0"/>
      <w:marTop w:val="0"/>
      <w:marBottom w:val="0"/>
      <w:divBdr>
        <w:top w:val="none" w:sz="0" w:space="0" w:color="auto"/>
        <w:left w:val="none" w:sz="0" w:space="0" w:color="auto"/>
        <w:bottom w:val="none" w:sz="0" w:space="0" w:color="auto"/>
        <w:right w:val="none" w:sz="0" w:space="0" w:color="auto"/>
      </w:divBdr>
    </w:div>
    <w:div w:id="1810246583">
      <w:bodyDiv w:val="1"/>
      <w:marLeft w:val="0"/>
      <w:marRight w:val="0"/>
      <w:marTop w:val="0"/>
      <w:marBottom w:val="0"/>
      <w:divBdr>
        <w:top w:val="none" w:sz="0" w:space="0" w:color="auto"/>
        <w:left w:val="none" w:sz="0" w:space="0" w:color="auto"/>
        <w:bottom w:val="none" w:sz="0" w:space="0" w:color="auto"/>
        <w:right w:val="none" w:sz="0" w:space="0" w:color="auto"/>
      </w:divBdr>
    </w:div>
    <w:div w:id="1819806230">
      <w:bodyDiv w:val="1"/>
      <w:marLeft w:val="0"/>
      <w:marRight w:val="0"/>
      <w:marTop w:val="0"/>
      <w:marBottom w:val="0"/>
      <w:divBdr>
        <w:top w:val="none" w:sz="0" w:space="0" w:color="auto"/>
        <w:left w:val="none" w:sz="0" w:space="0" w:color="auto"/>
        <w:bottom w:val="none" w:sz="0" w:space="0" w:color="auto"/>
        <w:right w:val="none" w:sz="0" w:space="0" w:color="auto"/>
      </w:divBdr>
    </w:div>
    <w:div w:id="1822503146">
      <w:bodyDiv w:val="1"/>
      <w:marLeft w:val="0"/>
      <w:marRight w:val="0"/>
      <w:marTop w:val="0"/>
      <w:marBottom w:val="0"/>
      <w:divBdr>
        <w:top w:val="none" w:sz="0" w:space="0" w:color="auto"/>
        <w:left w:val="none" w:sz="0" w:space="0" w:color="auto"/>
        <w:bottom w:val="none" w:sz="0" w:space="0" w:color="auto"/>
        <w:right w:val="none" w:sz="0" w:space="0" w:color="auto"/>
      </w:divBdr>
    </w:div>
    <w:div w:id="1836916523">
      <w:bodyDiv w:val="1"/>
      <w:marLeft w:val="0"/>
      <w:marRight w:val="0"/>
      <w:marTop w:val="0"/>
      <w:marBottom w:val="0"/>
      <w:divBdr>
        <w:top w:val="none" w:sz="0" w:space="0" w:color="auto"/>
        <w:left w:val="none" w:sz="0" w:space="0" w:color="auto"/>
        <w:bottom w:val="none" w:sz="0" w:space="0" w:color="auto"/>
        <w:right w:val="none" w:sz="0" w:space="0" w:color="auto"/>
      </w:divBdr>
    </w:div>
    <w:div w:id="1845509598">
      <w:bodyDiv w:val="1"/>
      <w:marLeft w:val="0"/>
      <w:marRight w:val="0"/>
      <w:marTop w:val="0"/>
      <w:marBottom w:val="0"/>
      <w:divBdr>
        <w:top w:val="none" w:sz="0" w:space="0" w:color="auto"/>
        <w:left w:val="none" w:sz="0" w:space="0" w:color="auto"/>
        <w:bottom w:val="none" w:sz="0" w:space="0" w:color="auto"/>
        <w:right w:val="none" w:sz="0" w:space="0" w:color="auto"/>
      </w:divBdr>
    </w:div>
    <w:div w:id="1849441672">
      <w:bodyDiv w:val="1"/>
      <w:marLeft w:val="0"/>
      <w:marRight w:val="0"/>
      <w:marTop w:val="0"/>
      <w:marBottom w:val="0"/>
      <w:divBdr>
        <w:top w:val="none" w:sz="0" w:space="0" w:color="auto"/>
        <w:left w:val="none" w:sz="0" w:space="0" w:color="auto"/>
        <w:bottom w:val="none" w:sz="0" w:space="0" w:color="auto"/>
        <w:right w:val="none" w:sz="0" w:space="0" w:color="auto"/>
      </w:divBdr>
    </w:div>
    <w:div w:id="1849783070">
      <w:bodyDiv w:val="1"/>
      <w:marLeft w:val="0"/>
      <w:marRight w:val="0"/>
      <w:marTop w:val="0"/>
      <w:marBottom w:val="0"/>
      <w:divBdr>
        <w:top w:val="none" w:sz="0" w:space="0" w:color="auto"/>
        <w:left w:val="none" w:sz="0" w:space="0" w:color="auto"/>
        <w:bottom w:val="none" w:sz="0" w:space="0" w:color="auto"/>
        <w:right w:val="none" w:sz="0" w:space="0" w:color="auto"/>
      </w:divBdr>
      <w:divsChild>
        <w:div w:id="153566095">
          <w:marLeft w:val="0"/>
          <w:marRight w:val="0"/>
          <w:marTop w:val="0"/>
          <w:marBottom w:val="0"/>
          <w:divBdr>
            <w:top w:val="none" w:sz="0" w:space="0" w:color="auto"/>
            <w:left w:val="none" w:sz="0" w:space="0" w:color="auto"/>
            <w:bottom w:val="none" w:sz="0" w:space="0" w:color="auto"/>
            <w:right w:val="none" w:sz="0" w:space="0" w:color="auto"/>
          </w:divBdr>
          <w:divsChild>
            <w:div w:id="1208183005">
              <w:marLeft w:val="0"/>
              <w:marRight w:val="0"/>
              <w:marTop w:val="0"/>
              <w:marBottom w:val="0"/>
              <w:divBdr>
                <w:top w:val="none" w:sz="0" w:space="0" w:color="auto"/>
                <w:left w:val="none" w:sz="0" w:space="0" w:color="auto"/>
                <w:bottom w:val="none" w:sz="0" w:space="0" w:color="auto"/>
                <w:right w:val="none" w:sz="0" w:space="0" w:color="auto"/>
              </w:divBdr>
              <w:divsChild>
                <w:div w:id="203345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321095">
          <w:marLeft w:val="0"/>
          <w:marRight w:val="0"/>
          <w:marTop w:val="0"/>
          <w:marBottom w:val="0"/>
          <w:divBdr>
            <w:top w:val="none" w:sz="0" w:space="0" w:color="auto"/>
            <w:left w:val="none" w:sz="0" w:space="0" w:color="auto"/>
            <w:bottom w:val="none" w:sz="0" w:space="0" w:color="auto"/>
            <w:right w:val="none" w:sz="0" w:space="0" w:color="auto"/>
          </w:divBdr>
          <w:divsChild>
            <w:div w:id="2044817932">
              <w:marLeft w:val="0"/>
              <w:marRight w:val="0"/>
              <w:marTop w:val="0"/>
              <w:marBottom w:val="0"/>
              <w:divBdr>
                <w:top w:val="none" w:sz="0" w:space="0" w:color="auto"/>
                <w:left w:val="none" w:sz="0" w:space="0" w:color="auto"/>
                <w:bottom w:val="none" w:sz="0" w:space="0" w:color="auto"/>
                <w:right w:val="none" w:sz="0" w:space="0" w:color="auto"/>
              </w:divBdr>
              <w:divsChild>
                <w:div w:id="1073426438">
                  <w:marLeft w:val="0"/>
                  <w:marRight w:val="0"/>
                  <w:marTop w:val="0"/>
                  <w:marBottom w:val="0"/>
                  <w:divBdr>
                    <w:top w:val="none" w:sz="0" w:space="0" w:color="auto"/>
                    <w:left w:val="none" w:sz="0" w:space="0" w:color="auto"/>
                    <w:bottom w:val="none" w:sz="0" w:space="0" w:color="auto"/>
                    <w:right w:val="none" w:sz="0" w:space="0" w:color="auto"/>
                  </w:divBdr>
                  <w:divsChild>
                    <w:div w:id="186721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261582">
      <w:bodyDiv w:val="1"/>
      <w:marLeft w:val="0"/>
      <w:marRight w:val="0"/>
      <w:marTop w:val="0"/>
      <w:marBottom w:val="0"/>
      <w:divBdr>
        <w:top w:val="none" w:sz="0" w:space="0" w:color="auto"/>
        <w:left w:val="none" w:sz="0" w:space="0" w:color="auto"/>
        <w:bottom w:val="none" w:sz="0" w:space="0" w:color="auto"/>
        <w:right w:val="none" w:sz="0" w:space="0" w:color="auto"/>
      </w:divBdr>
    </w:div>
    <w:div w:id="1867517096">
      <w:bodyDiv w:val="1"/>
      <w:marLeft w:val="0"/>
      <w:marRight w:val="0"/>
      <w:marTop w:val="0"/>
      <w:marBottom w:val="0"/>
      <w:divBdr>
        <w:top w:val="none" w:sz="0" w:space="0" w:color="auto"/>
        <w:left w:val="none" w:sz="0" w:space="0" w:color="auto"/>
        <w:bottom w:val="none" w:sz="0" w:space="0" w:color="auto"/>
        <w:right w:val="none" w:sz="0" w:space="0" w:color="auto"/>
      </w:divBdr>
    </w:div>
    <w:div w:id="1876119388">
      <w:bodyDiv w:val="1"/>
      <w:marLeft w:val="0"/>
      <w:marRight w:val="0"/>
      <w:marTop w:val="0"/>
      <w:marBottom w:val="0"/>
      <w:divBdr>
        <w:top w:val="none" w:sz="0" w:space="0" w:color="auto"/>
        <w:left w:val="none" w:sz="0" w:space="0" w:color="auto"/>
        <w:bottom w:val="none" w:sz="0" w:space="0" w:color="auto"/>
        <w:right w:val="none" w:sz="0" w:space="0" w:color="auto"/>
      </w:divBdr>
    </w:div>
    <w:div w:id="1880777654">
      <w:bodyDiv w:val="1"/>
      <w:marLeft w:val="0"/>
      <w:marRight w:val="0"/>
      <w:marTop w:val="0"/>
      <w:marBottom w:val="0"/>
      <w:divBdr>
        <w:top w:val="none" w:sz="0" w:space="0" w:color="auto"/>
        <w:left w:val="none" w:sz="0" w:space="0" w:color="auto"/>
        <w:bottom w:val="none" w:sz="0" w:space="0" w:color="auto"/>
        <w:right w:val="none" w:sz="0" w:space="0" w:color="auto"/>
      </w:divBdr>
      <w:divsChild>
        <w:div w:id="651565519">
          <w:marLeft w:val="0"/>
          <w:marRight w:val="0"/>
          <w:marTop w:val="0"/>
          <w:marBottom w:val="0"/>
          <w:divBdr>
            <w:top w:val="none" w:sz="0" w:space="0" w:color="auto"/>
            <w:left w:val="none" w:sz="0" w:space="0" w:color="auto"/>
            <w:bottom w:val="none" w:sz="0" w:space="0" w:color="auto"/>
            <w:right w:val="none" w:sz="0" w:space="0" w:color="auto"/>
          </w:divBdr>
          <w:divsChild>
            <w:div w:id="1320228396">
              <w:marLeft w:val="0"/>
              <w:marRight w:val="0"/>
              <w:marTop w:val="0"/>
              <w:marBottom w:val="0"/>
              <w:divBdr>
                <w:top w:val="none" w:sz="0" w:space="0" w:color="auto"/>
                <w:left w:val="none" w:sz="0" w:space="0" w:color="auto"/>
                <w:bottom w:val="none" w:sz="0" w:space="0" w:color="auto"/>
                <w:right w:val="none" w:sz="0" w:space="0" w:color="auto"/>
              </w:divBdr>
              <w:divsChild>
                <w:div w:id="1354957643">
                  <w:marLeft w:val="0"/>
                  <w:marRight w:val="0"/>
                  <w:marTop w:val="0"/>
                  <w:marBottom w:val="0"/>
                  <w:divBdr>
                    <w:top w:val="none" w:sz="0" w:space="0" w:color="auto"/>
                    <w:left w:val="none" w:sz="0" w:space="0" w:color="auto"/>
                    <w:bottom w:val="none" w:sz="0" w:space="0" w:color="auto"/>
                    <w:right w:val="none" w:sz="0" w:space="0" w:color="auto"/>
                  </w:divBdr>
                  <w:divsChild>
                    <w:div w:id="97957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333093">
          <w:marLeft w:val="0"/>
          <w:marRight w:val="0"/>
          <w:marTop w:val="0"/>
          <w:marBottom w:val="0"/>
          <w:divBdr>
            <w:top w:val="none" w:sz="0" w:space="0" w:color="auto"/>
            <w:left w:val="none" w:sz="0" w:space="0" w:color="auto"/>
            <w:bottom w:val="none" w:sz="0" w:space="0" w:color="auto"/>
            <w:right w:val="none" w:sz="0" w:space="0" w:color="auto"/>
          </w:divBdr>
          <w:divsChild>
            <w:div w:id="559561335">
              <w:marLeft w:val="0"/>
              <w:marRight w:val="0"/>
              <w:marTop w:val="0"/>
              <w:marBottom w:val="0"/>
              <w:divBdr>
                <w:top w:val="none" w:sz="0" w:space="0" w:color="auto"/>
                <w:left w:val="none" w:sz="0" w:space="0" w:color="auto"/>
                <w:bottom w:val="none" w:sz="0" w:space="0" w:color="auto"/>
                <w:right w:val="none" w:sz="0" w:space="0" w:color="auto"/>
              </w:divBdr>
              <w:divsChild>
                <w:div w:id="7589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130246">
      <w:bodyDiv w:val="1"/>
      <w:marLeft w:val="0"/>
      <w:marRight w:val="0"/>
      <w:marTop w:val="0"/>
      <w:marBottom w:val="0"/>
      <w:divBdr>
        <w:top w:val="none" w:sz="0" w:space="0" w:color="auto"/>
        <w:left w:val="none" w:sz="0" w:space="0" w:color="auto"/>
        <w:bottom w:val="none" w:sz="0" w:space="0" w:color="auto"/>
        <w:right w:val="none" w:sz="0" w:space="0" w:color="auto"/>
      </w:divBdr>
    </w:div>
    <w:div w:id="1885946775">
      <w:bodyDiv w:val="1"/>
      <w:marLeft w:val="0"/>
      <w:marRight w:val="0"/>
      <w:marTop w:val="0"/>
      <w:marBottom w:val="0"/>
      <w:divBdr>
        <w:top w:val="none" w:sz="0" w:space="0" w:color="auto"/>
        <w:left w:val="none" w:sz="0" w:space="0" w:color="auto"/>
        <w:bottom w:val="none" w:sz="0" w:space="0" w:color="auto"/>
        <w:right w:val="none" w:sz="0" w:space="0" w:color="auto"/>
      </w:divBdr>
    </w:div>
    <w:div w:id="1896619001">
      <w:bodyDiv w:val="1"/>
      <w:marLeft w:val="0"/>
      <w:marRight w:val="0"/>
      <w:marTop w:val="0"/>
      <w:marBottom w:val="0"/>
      <w:divBdr>
        <w:top w:val="none" w:sz="0" w:space="0" w:color="auto"/>
        <w:left w:val="none" w:sz="0" w:space="0" w:color="auto"/>
        <w:bottom w:val="none" w:sz="0" w:space="0" w:color="auto"/>
        <w:right w:val="none" w:sz="0" w:space="0" w:color="auto"/>
      </w:divBdr>
    </w:div>
    <w:div w:id="1902446964">
      <w:bodyDiv w:val="1"/>
      <w:marLeft w:val="0"/>
      <w:marRight w:val="0"/>
      <w:marTop w:val="0"/>
      <w:marBottom w:val="0"/>
      <w:divBdr>
        <w:top w:val="none" w:sz="0" w:space="0" w:color="auto"/>
        <w:left w:val="none" w:sz="0" w:space="0" w:color="auto"/>
        <w:bottom w:val="none" w:sz="0" w:space="0" w:color="auto"/>
        <w:right w:val="none" w:sz="0" w:space="0" w:color="auto"/>
      </w:divBdr>
    </w:div>
    <w:div w:id="1917129499">
      <w:bodyDiv w:val="1"/>
      <w:marLeft w:val="0"/>
      <w:marRight w:val="0"/>
      <w:marTop w:val="0"/>
      <w:marBottom w:val="0"/>
      <w:divBdr>
        <w:top w:val="none" w:sz="0" w:space="0" w:color="auto"/>
        <w:left w:val="none" w:sz="0" w:space="0" w:color="auto"/>
        <w:bottom w:val="none" w:sz="0" w:space="0" w:color="auto"/>
        <w:right w:val="none" w:sz="0" w:space="0" w:color="auto"/>
      </w:divBdr>
    </w:div>
    <w:div w:id="1921132369">
      <w:bodyDiv w:val="1"/>
      <w:marLeft w:val="0"/>
      <w:marRight w:val="0"/>
      <w:marTop w:val="0"/>
      <w:marBottom w:val="0"/>
      <w:divBdr>
        <w:top w:val="none" w:sz="0" w:space="0" w:color="auto"/>
        <w:left w:val="none" w:sz="0" w:space="0" w:color="auto"/>
        <w:bottom w:val="none" w:sz="0" w:space="0" w:color="auto"/>
        <w:right w:val="none" w:sz="0" w:space="0" w:color="auto"/>
      </w:divBdr>
    </w:div>
    <w:div w:id="1924560274">
      <w:bodyDiv w:val="1"/>
      <w:marLeft w:val="0"/>
      <w:marRight w:val="0"/>
      <w:marTop w:val="0"/>
      <w:marBottom w:val="0"/>
      <w:divBdr>
        <w:top w:val="none" w:sz="0" w:space="0" w:color="auto"/>
        <w:left w:val="none" w:sz="0" w:space="0" w:color="auto"/>
        <w:bottom w:val="none" w:sz="0" w:space="0" w:color="auto"/>
        <w:right w:val="none" w:sz="0" w:space="0" w:color="auto"/>
      </w:divBdr>
    </w:div>
    <w:div w:id="1929459766">
      <w:bodyDiv w:val="1"/>
      <w:marLeft w:val="0"/>
      <w:marRight w:val="0"/>
      <w:marTop w:val="0"/>
      <w:marBottom w:val="0"/>
      <w:divBdr>
        <w:top w:val="none" w:sz="0" w:space="0" w:color="auto"/>
        <w:left w:val="none" w:sz="0" w:space="0" w:color="auto"/>
        <w:bottom w:val="none" w:sz="0" w:space="0" w:color="auto"/>
        <w:right w:val="none" w:sz="0" w:space="0" w:color="auto"/>
      </w:divBdr>
      <w:divsChild>
        <w:div w:id="1147865859">
          <w:marLeft w:val="0"/>
          <w:marRight w:val="0"/>
          <w:marTop w:val="0"/>
          <w:marBottom w:val="0"/>
          <w:divBdr>
            <w:top w:val="none" w:sz="0" w:space="0" w:color="auto"/>
            <w:left w:val="none" w:sz="0" w:space="0" w:color="auto"/>
            <w:bottom w:val="none" w:sz="0" w:space="0" w:color="auto"/>
            <w:right w:val="none" w:sz="0" w:space="0" w:color="auto"/>
          </w:divBdr>
          <w:divsChild>
            <w:div w:id="1707557194">
              <w:marLeft w:val="0"/>
              <w:marRight w:val="0"/>
              <w:marTop w:val="0"/>
              <w:marBottom w:val="0"/>
              <w:divBdr>
                <w:top w:val="none" w:sz="0" w:space="0" w:color="auto"/>
                <w:left w:val="none" w:sz="0" w:space="0" w:color="auto"/>
                <w:bottom w:val="none" w:sz="0" w:space="0" w:color="auto"/>
                <w:right w:val="none" w:sz="0" w:space="0" w:color="auto"/>
              </w:divBdr>
              <w:divsChild>
                <w:div w:id="1766614866">
                  <w:marLeft w:val="0"/>
                  <w:marRight w:val="0"/>
                  <w:marTop w:val="0"/>
                  <w:marBottom w:val="0"/>
                  <w:divBdr>
                    <w:top w:val="none" w:sz="0" w:space="0" w:color="auto"/>
                    <w:left w:val="none" w:sz="0" w:space="0" w:color="auto"/>
                    <w:bottom w:val="none" w:sz="0" w:space="0" w:color="auto"/>
                    <w:right w:val="none" w:sz="0" w:space="0" w:color="auto"/>
                  </w:divBdr>
                  <w:divsChild>
                    <w:div w:id="606470980">
                      <w:marLeft w:val="0"/>
                      <w:marRight w:val="0"/>
                      <w:marTop w:val="0"/>
                      <w:marBottom w:val="0"/>
                      <w:divBdr>
                        <w:top w:val="none" w:sz="0" w:space="0" w:color="auto"/>
                        <w:left w:val="none" w:sz="0" w:space="0" w:color="auto"/>
                        <w:bottom w:val="none" w:sz="0" w:space="0" w:color="auto"/>
                        <w:right w:val="none" w:sz="0" w:space="0" w:color="auto"/>
                      </w:divBdr>
                      <w:divsChild>
                        <w:div w:id="518933537">
                          <w:marLeft w:val="0"/>
                          <w:marRight w:val="0"/>
                          <w:marTop w:val="0"/>
                          <w:marBottom w:val="0"/>
                          <w:divBdr>
                            <w:top w:val="none" w:sz="0" w:space="0" w:color="auto"/>
                            <w:left w:val="none" w:sz="0" w:space="0" w:color="auto"/>
                            <w:bottom w:val="none" w:sz="0" w:space="0" w:color="auto"/>
                            <w:right w:val="none" w:sz="0" w:space="0" w:color="auto"/>
                          </w:divBdr>
                          <w:divsChild>
                            <w:div w:id="1326667873">
                              <w:marLeft w:val="0"/>
                              <w:marRight w:val="0"/>
                              <w:marTop w:val="0"/>
                              <w:marBottom w:val="0"/>
                              <w:divBdr>
                                <w:top w:val="none" w:sz="0" w:space="0" w:color="auto"/>
                                <w:left w:val="none" w:sz="0" w:space="0" w:color="auto"/>
                                <w:bottom w:val="none" w:sz="0" w:space="0" w:color="auto"/>
                                <w:right w:val="none" w:sz="0" w:space="0" w:color="auto"/>
                              </w:divBdr>
                              <w:divsChild>
                                <w:div w:id="199246644">
                                  <w:marLeft w:val="0"/>
                                  <w:marRight w:val="0"/>
                                  <w:marTop w:val="0"/>
                                  <w:marBottom w:val="0"/>
                                  <w:divBdr>
                                    <w:top w:val="none" w:sz="0" w:space="0" w:color="auto"/>
                                    <w:left w:val="none" w:sz="0" w:space="0" w:color="auto"/>
                                    <w:bottom w:val="none" w:sz="0" w:space="0" w:color="auto"/>
                                    <w:right w:val="none" w:sz="0" w:space="0" w:color="auto"/>
                                  </w:divBdr>
                                  <w:divsChild>
                                    <w:div w:id="7796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139274">
                      <w:marLeft w:val="0"/>
                      <w:marRight w:val="0"/>
                      <w:marTop w:val="0"/>
                      <w:marBottom w:val="0"/>
                      <w:divBdr>
                        <w:top w:val="none" w:sz="0" w:space="0" w:color="auto"/>
                        <w:left w:val="none" w:sz="0" w:space="0" w:color="auto"/>
                        <w:bottom w:val="none" w:sz="0" w:space="0" w:color="auto"/>
                        <w:right w:val="none" w:sz="0" w:space="0" w:color="auto"/>
                      </w:divBdr>
                      <w:divsChild>
                        <w:div w:id="118109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321577">
      <w:bodyDiv w:val="1"/>
      <w:marLeft w:val="0"/>
      <w:marRight w:val="0"/>
      <w:marTop w:val="0"/>
      <w:marBottom w:val="0"/>
      <w:divBdr>
        <w:top w:val="none" w:sz="0" w:space="0" w:color="auto"/>
        <w:left w:val="none" w:sz="0" w:space="0" w:color="auto"/>
        <w:bottom w:val="none" w:sz="0" w:space="0" w:color="auto"/>
        <w:right w:val="none" w:sz="0" w:space="0" w:color="auto"/>
      </w:divBdr>
    </w:div>
    <w:div w:id="1940063898">
      <w:bodyDiv w:val="1"/>
      <w:marLeft w:val="0"/>
      <w:marRight w:val="0"/>
      <w:marTop w:val="0"/>
      <w:marBottom w:val="0"/>
      <w:divBdr>
        <w:top w:val="none" w:sz="0" w:space="0" w:color="auto"/>
        <w:left w:val="none" w:sz="0" w:space="0" w:color="auto"/>
        <w:bottom w:val="none" w:sz="0" w:space="0" w:color="auto"/>
        <w:right w:val="none" w:sz="0" w:space="0" w:color="auto"/>
      </w:divBdr>
    </w:div>
    <w:div w:id="1945990180">
      <w:bodyDiv w:val="1"/>
      <w:marLeft w:val="0"/>
      <w:marRight w:val="0"/>
      <w:marTop w:val="0"/>
      <w:marBottom w:val="0"/>
      <w:divBdr>
        <w:top w:val="none" w:sz="0" w:space="0" w:color="auto"/>
        <w:left w:val="none" w:sz="0" w:space="0" w:color="auto"/>
        <w:bottom w:val="none" w:sz="0" w:space="0" w:color="auto"/>
        <w:right w:val="none" w:sz="0" w:space="0" w:color="auto"/>
      </w:divBdr>
    </w:div>
    <w:div w:id="1948586412">
      <w:bodyDiv w:val="1"/>
      <w:marLeft w:val="0"/>
      <w:marRight w:val="0"/>
      <w:marTop w:val="0"/>
      <w:marBottom w:val="0"/>
      <w:divBdr>
        <w:top w:val="none" w:sz="0" w:space="0" w:color="auto"/>
        <w:left w:val="none" w:sz="0" w:space="0" w:color="auto"/>
        <w:bottom w:val="none" w:sz="0" w:space="0" w:color="auto"/>
        <w:right w:val="none" w:sz="0" w:space="0" w:color="auto"/>
      </w:divBdr>
    </w:div>
    <w:div w:id="1951352249">
      <w:bodyDiv w:val="1"/>
      <w:marLeft w:val="0"/>
      <w:marRight w:val="0"/>
      <w:marTop w:val="0"/>
      <w:marBottom w:val="0"/>
      <w:divBdr>
        <w:top w:val="none" w:sz="0" w:space="0" w:color="auto"/>
        <w:left w:val="none" w:sz="0" w:space="0" w:color="auto"/>
        <w:bottom w:val="none" w:sz="0" w:space="0" w:color="auto"/>
        <w:right w:val="none" w:sz="0" w:space="0" w:color="auto"/>
      </w:divBdr>
    </w:div>
    <w:div w:id="1954242780">
      <w:bodyDiv w:val="1"/>
      <w:marLeft w:val="0"/>
      <w:marRight w:val="0"/>
      <w:marTop w:val="0"/>
      <w:marBottom w:val="0"/>
      <w:divBdr>
        <w:top w:val="none" w:sz="0" w:space="0" w:color="auto"/>
        <w:left w:val="none" w:sz="0" w:space="0" w:color="auto"/>
        <w:bottom w:val="none" w:sz="0" w:space="0" w:color="auto"/>
        <w:right w:val="none" w:sz="0" w:space="0" w:color="auto"/>
      </w:divBdr>
      <w:divsChild>
        <w:div w:id="1162968926">
          <w:marLeft w:val="0"/>
          <w:marRight w:val="0"/>
          <w:marTop w:val="0"/>
          <w:marBottom w:val="0"/>
          <w:divBdr>
            <w:top w:val="none" w:sz="0" w:space="0" w:color="auto"/>
            <w:left w:val="none" w:sz="0" w:space="0" w:color="auto"/>
            <w:bottom w:val="none" w:sz="0" w:space="0" w:color="auto"/>
            <w:right w:val="none" w:sz="0" w:space="0" w:color="auto"/>
          </w:divBdr>
          <w:divsChild>
            <w:div w:id="250820887">
              <w:marLeft w:val="0"/>
              <w:marRight w:val="0"/>
              <w:marTop w:val="0"/>
              <w:marBottom w:val="0"/>
              <w:divBdr>
                <w:top w:val="none" w:sz="0" w:space="0" w:color="auto"/>
                <w:left w:val="none" w:sz="0" w:space="0" w:color="auto"/>
                <w:bottom w:val="none" w:sz="0" w:space="0" w:color="auto"/>
                <w:right w:val="none" w:sz="0" w:space="0" w:color="auto"/>
              </w:divBdr>
              <w:divsChild>
                <w:div w:id="1225989726">
                  <w:marLeft w:val="0"/>
                  <w:marRight w:val="0"/>
                  <w:marTop w:val="0"/>
                  <w:marBottom w:val="0"/>
                  <w:divBdr>
                    <w:top w:val="none" w:sz="0" w:space="0" w:color="auto"/>
                    <w:left w:val="none" w:sz="0" w:space="0" w:color="auto"/>
                    <w:bottom w:val="none" w:sz="0" w:space="0" w:color="auto"/>
                    <w:right w:val="none" w:sz="0" w:space="0" w:color="auto"/>
                  </w:divBdr>
                  <w:divsChild>
                    <w:div w:id="43913759">
                      <w:marLeft w:val="0"/>
                      <w:marRight w:val="0"/>
                      <w:marTop w:val="0"/>
                      <w:marBottom w:val="0"/>
                      <w:divBdr>
                        <w:top w:val="none" w:sz="0" w:space="0" w:color="auto"/>
                        <w:left w:val="none" w:sz="0" w:space="0" w:color="auto"/>
                        <w:bottom w:val="none" w:sz="0" w:space="0" w:color="auto"/>
                        <w:right w:val="none" w:sz="0" w:space="0" w:color="auto"/>
                      </w:divBdr>
                      <w:divsChild>
                        <w:div w:id="1391467088">
                          <w:marLeft w:val="0"/>
                          <w:marRight w:val="0"/>
                          <w:marTop w:val="0"/>
                          <w:marBottom w:val="0"/>
                          <w:divBdr>
                            <w:top w:val="none" w:sz="0" w:space="0" w:color="auto"/>
                            <w:left w:val="none" w:sz="0" w:space="0" w:color="auto"/>
                            <w:bottom w:val="none" w:sz="0" w:space="0" w:color="auto"/>
                            <w:right w:val="none" w:sz="0" w:space="0" w:color="auto"/>
                          </w:divBdr>
                        </w:div>
                      </w:divsChild>
                    </w:div>
                    <w:div w:id="116336128">
                      <w:marLeft w:val="0"/>
                      <w:marRight w:val="0"/>
                      <w:marTop w:val="0"/>
                      <w:marBottom w:val="0"/>
                      <w:divBdr>
                        <w:top w:val="none" w:sz="0" w:space="0" w:color="auto"/>
                        <w:left w:val="none" w:sz="0" w:space="0" w:color="auto"/>
                        <w:bottom w:val="none" w:sz="0" w:space="0" w:color="auto"/>
                        <w:right w:val="none" w:sz="0" w:space="0" w:color="auto"/>
                      </w:divBdr>
                      <w:divsChild>
                        <w:div w:id="1389039310">
                          <w:marLeft w:val="0"/>
                          <w:marRight w:val="0"/>
                          <w:marTop w:val="0"/>
                          <w:marBottom w:val="0"/>
                          <w:divBdr>
                            <w:top w:val="none" w:sz="0" w:space="0" w:color="auto"/>
                            <w:left w:val="none" w:sz="0" w:space="0" w:color="auto"/>
                            <w:bottom w:val="none" w:sz="0" w:space="0" w:color="auto"/>
                            <w:right w:val="none" w:sz="0" w:space="0" w:color="auto"/>
                          </w:divBdr>
                          <w:divsChild>
                            <w:div w:id="203367569">
                              <w:marLeft w:val="0"/>
                              <w:marRight w:val="0"/>
                              <w:marTop w:val="0"/>
                              <w:marBottom w:val="0"/>
                              <w:divBdr>
                                <w:top w:val="none" w:sz="0" w:space="0" w:color="auto"/>
                                <w:left w:val="none" w:sz="0" w:space="0" w:color="auto"/>
                                <w:bottom w:val="none" w:sz="0" w:space="0" w:color="auto"/>
                                <w:right w:val="none" w:sz="0" w:space="0" w:color="auto"/>
                              </w:divBdr>
                              <w:divsChild>
                                <w:div w:id="36247988">
                                  <w:marLeft w:val="0"/>
                                  <w:marRight w:val="0"/>
                                  <w:marTop w:val="0"/>
                                  <w:marBottom w:val="0"/>
                                  <w:divBdr>
                                    <w:top w:val="none" w:sz="0" w:space="0" w:color="auto"/>
                                    <w:left w:val="none" w:sz="0" w:space="0" w:color="auto"/>
                                    <w:bottom w:val="none" w:sz="0" w:space="0" w:color="auto"/>
                                    <w:right w:val="none" w:sz="0" w:space="0" w:color="auto"/>
                                  </w:divBdr>
                                  <w:divsChild>
                                    <w:div w:id="208393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8292175">
      <w:bodyDiv w:val="1"/>
      <w:marLeft w:val="0"/>
      <w:marRight w:val="0"/>
      <w:marTop w:val="0"/>
      <w:marBottom w:val="0"/>
      <w:divBdr>
        <w:top w:val="none" w:sz="0" w:space="0" w:color="auto"/>
        <w:left w:val="none" w:sz="0" w:space="0" w:color="auto"/>
        <w:bottom w:val="none" w:sz="0" w:space="0" w:color="auto"/>
        <w:right w:val="none" w:sz="0" w:space="0" w:color="auto"/>
      </w:divBdr>
    </w:div>
    <w:div w:id="1968898841">
      <w:bodyDiv w:val="1"/>
      <w:marLeft w:val="0"/>
      <w:marRight w:val="0"/>
      <w:marTop w:val="0"/>
      <w:marBottom w:val="0"/>
      <w:divBdr>
        <w:top w:val="none" w:sz="0" w:space="0" w:color="auto"/>
        <w:left w:val="none" w:sz="0" w:space="0" w:color="auto"/>
        <w:bottom w:val="none" w:sz="0" w:space="0" w:color="auto"/>
        <w:right w:val="none" w:sz="0" w:space="0" w:color="auto"/>
      </w:divBdr>
    </w:div>
    <w:div w:id="1973637597">
      <w:bodyDiv w:val="1"/>
      <w:marLeft w:val="0"/>
      <w:marRight w:val="0"/>
      <w:marTop w:val="0"/>
      <w:marBottom w:val="0"/>
      <w:divBdr>
        <w:top w:val="none" w:sz="0" w:space="0" w:color="auto"/>
        <w:left w:val="none" w:sz="0" w:space="0" w:color="auto"/>
        <w:bottom w:val="none" w:sz="0" w:space="0" w:color="auto"/>
        <w:right w:val="none" w:sz="0" w:space="0" w:color="auto"/>
      </w:divBdr>
    </w:div>
    <w:div w:id="1978222382">
      <w:bodyDiv w:val="1"/>
      <w:marLeft w:val="0"/>
      <w:marRight w:val="0"/>
      <w:marTop w:val="0"/>
      <w:marBottom w:val="0"/>
      <w:divBdr>
        <w:top w:val="none" w:sz="0" w:space="0" w:color="auto"/>
        <w:left w:val="none" w:sz="0" w:space="0" w:color="auto"/>
        <w:bottom w:val="none" w:sz="0" w:space="0" w:color="auto"/>
        <w:right w:val="none" w:sz="0" w:space="0" w:color="auto"/>
      </w:divBdr>
    </w:div>
    <w:div w:id="1993832556">
      <w:bodyDiv w:val="1"/>
      <w:marLeft w:val="0"/>
      <w:marRight w:val="0"/>
      <w:marTop w:val="0"/>
      <w:marBottom w:val="0"/>
      <w:divBdr>
        <w:top w:val="none" w:sz="0" w:space="0" w:color="auto"/>
        <w:left w:val="none" w:sz="0" w:space="0" w:color="auto"/>
        <w:bottom w:val="none" w:sz="0" w:space="0" w:color="auto"/>
        <w:right w:val="none" w:sz="0" w:space="0" w:color="auto"/>
      </w:divBdr>
    </w:div>
    <w:div w:id="2000306046">
      <w:bodyDiv w:val="1"/>
      <w:marLeft w:val="0"/>
      <w:marRight w:val="0"/>
      <w:marTop w:val="0"/>
      <w:marBottom w:val="0"/>
      <w:divBdr>
        <w:top w:val="none" w:sz="0" w:space="0" w:color="auto"/>
        <w:left w:val="none" w:sz="0" w:space="0" w:color="auto"/>
        <w:bottom w:val="none" w:sz="0" w:space="0" w:color="auto"/>
        <w:right w:val="none" w:sz="0" w:space="0" w:color="auto"/>
      </w:divBdr>
    </w:div>
    <w:div w:id="2014526868">
      <w:bodyDiv w:val="1"/>
      <w:marLeft w:val="0"/>
      <w:marRight w:val="0"/>
      <w:marTop w:val="0"/>
      <w:marBottom w:val="0"/>
      <w:divBdr>
        <w:top w:val="none" w:sz="0" w:space="0" w:color="auto"/>
        <w:left w:val="none" w:sz="0" w:space="0" w:color="auto"/>
        <w:bottom w:val="none" w:sz="0" w:space="0" w:color="auto"/>
        <w:right w:val="none" w:sz="0" w:space="0" w:color="auto"/>
      </w:divBdr>
    </w:div>
    <w:div w:id="2015916748">
      <w:bodyDiv w:val="1"/>
      <w:marLeft w:val="0"/>
      <w:marRight w:val="0"/>
      <w:marTop w:val="0"/>
      <w:marBottom w:val="0"/>
      <w:divBdr>
        <w:top w:val="none" w:sz="0" w:space="0" w:color="auto"/>
        <w:left w:val="none" w:sz="0" w:space="0" w:color="auto"/>
        <w:bottom w:val="none" w:sz="0" w:space="0" w:color="auto"/>
        <w:right w:val="none" w:sz="0" w:space="0" w:color="auto"/>
      </w:divBdr>
    </w:div>
    <w:div w:id="2018995941">
      <w:bodyDiv w:val="1"/>
      <w:marLeft w:val="0"/>
      <w:marRight w:val="0"/>
      <w:marTop w:val="0"/>
      <w:marBottom w:val="0"/>
      <w:divBdr>
        <w:top w:val="none" w:sz="0" w:space="0" w:color="auto"/>
        <w:left w:val="none" w:sz="0" w:space="0" w:color="auto"/>
        <w:bottom w:val="none" w:sz="0" w:space="0" w:color="auto"/>
        <w:right w:val="none" w:sz="0" w:space="0" w:color="auto"/>
      </w:divBdr>
    </w:div>
    <w:div w:id="2026393774">
      <w:bodyDiv w:val="1"/>
      <w:marLeft w:val="0"/>
      <w:marRight w:val="0"/>
      <w:marTop w:val="0"/>
      <w:marBottom w:val="0"/>
      <w:divBdr>
        <w:top w:val="none" w:sz="0" w:space="0" w:color="auto"/>
        <w:left w:val="none" w:sz="0" w:space="0" w:color="auto"/>
        <w:bottom w:val="none" w:sz="0" w:space="0" w:color="auto"/>
        <w:right w:val="none" w:sz="0" w:space="0" w:color="auto"/>
      </w:divBdr>
    </w:div>
    <w:div w:id="2026438933">
      <w:bodyDiv w:val="1"/>
      <w:marLeft w:val="0"/>
      <w:marRight w:val="0"/>
      <w:marTop w:val="0"/>
      <w:marBottom w:val="0"/>
      <w:divBdr>
        <w:top w:val="none" w:sz="0" w:space="0" w:color="auto"/>
        <w:left w:val="none" w:sz="0" w:space="0" w:color="auto"/>
        <w:bottom w:val="none" w:sz="0" w:space="0" w:color="auto"/>
        <w:right w:val="none" w:sz="0" w:space="0" w:color="auto"/>
      </w:divBdr>
    </w:div>
    <w:div w:id="2045204098">
      <w:bodyDiv w:val="1"/>
      <w:marLeft w:val="0"/>
      <w:marRight w:val="0"/>
      <w:marTop w:val="0"/>
      <w:marBottom w:val="0"/>
      <w:divBdr>
        <w:top w:val="none" w:sz="0" w:space="0" w:color="auto"/>
        <w:left w:val="none" w:sz="0" w:space="0" w:color="auto"/>
        <w:bottom w:val="none" w:sz="0" w:space="0" w:color="auto"/>
        <w:right w:val="none" w:sz="0" w:space="0" w:color="auto"/>
      </w:divBdr>
    </w:div>
    <w:div w:id="2048411829">
      <w:bodyDiv w:val="1"/>
      <w:marLeft w:val="0"/>
      <w:marRight w:val="0"/>
      <w:marTop w:val="0"/>
      <w:marBottom w:val="0"/>
      <w:divBdr>
        <w:top w:val="none" w:sz="0" w:space="0" w:color="auto"/>
        <w:left w:val="none" w:sz="0" w:space="0" w:color="auto"/>
        <w:bottom w:val="none" w:sz="0" w:space="0" w:color="auto"/>
        <w:right w:val="none" w:sz="0" w:space="0" w:color="auto"/>
      </w:divBdr>
    </w:div>
    <w:div w:id="2065983355">
      <w:bodyDiv w:val="1"/>
      <w:marLeft w:val="0"/>
      <w:marRight w:val="0"/>
      <w:marTop w:val="0"/>
      <w:marBottom w:val="0"/>
      <w:divBdr>
        <w:top w:val="none" w:sz="0" w:space="0" w:color="auto"/>
        <w:left w:val="none" w:sz="0" w:space="0" w:color="auto"/>
        <w:bottom w:val="none" w:sz="0" w:space="0" w:color="auto"/>
        <w:right w:val="none" w:sz="0" w:space="0" w:color="auto"/>
      </w:divBdr>
    </w:div>
    <w:div w:id="2072270766">
      <w:bodyDiv w:val="1"/>
      <w:marLeft w:val="0"/>
      <w:marRight w:val="0"/>
      <w:marTop w:val="0"/>
      <w:marBottom w:val="0"/>
      <w:divBdr>
        <w:top w:val="none" w:sz="0" w:space="0" w:color="auto"/>
        <w:left w:val="none" w:sz="0" w:space="0" w:color="auto"/>
        <w:bottom w:val="none" w:sz="0" w:space="0" w:color="auto"/>
        <w:right w:val="none" w:sz="0" w:space="0" w:color="auto"/>
      </w:divBdr>
    </w:div>
    <w:div w:id="2076733515">
      <w:bodyDiv w:val="1"/>
      <w:marLeft w:val="0"/>
      <w:marRight w:val="0"/>
      <w:marTop w:val="0"/>
      <w:marBottom w:val="0"/>
      <w:divBdr>
        <w:top w:val="none" w:sz="0" w:space="0" w:color="auto"/>
        <w:left w:val="none" w:sz="0" w:space="0" w:color="auto"/>
        <w:bottom w:val="none" w:sz="0" w:space="0" w:color="auto"/>
        <w:right w:val="none" w:sz="0" w:space="0" w:color="auto"/>
      </w:divBdr>
    </w:div>
    <w:div w:id="2076734185">
      <w:bodyDiv w:val="1"/>
      <w:marLeft w:val="0"/>
      <w:marRight w:val="0"/>
      <w:marTop w:val="0"/>
      <w:marBottom w:val="0"/>
      <w:divBdr>
        <w:top w:val="none" w:sz="0" w:space="0" w:color="auto"/>
        <w:left w:val="none" w:sz="0" w:space="0" w:color="auto"/>
        <w:bottom w:val="none" w:sz="0" w:space="0" w:color="auto"/>
        <w:right w:val="none" w:sz="0" w:space="0" w:color="auto"/>
      </w:divBdr>
    </w:div>
    <w:div w:id="2087875460">
      <w:bodyDiv w:val="1"/>
      <w:marLeft w:val="0"/>
      <w:marRight w:val="0"/>
      <w:marTop w:val="0"/>
      <w:marBottom w:val="0"/>
      <w:divBdr>
        <w:top w:val="none" w:sz="0" w:space="0" w:color="auto"/>
        <w:left w:val="none" w:sz="0" w:space="0" w:color="auto"/>
        <w:bottom w:val="none" w:sz="0" w:space="0" w:color="auto"/>
        <w:right w:val="none" w:sz="0" w:space="0" w:color="auto"/>
      </w:divBdr>
    </w:div>
    <w:div w:id="2092581694">
      <w:bodyDiv w:val="1"/>
      <w:marLeft w:val="0"/>
      <w:marRight w:val="0"/>
      <w:marTop w:val="0"/>
      <w:marBottom w:val="0"/>
      <w:divBdr>
        <w:top w:val="none" w:sz="0" w:space="0" w:color="auto"/>
        <w:left w:val="none" w:sz="0" w:space="0" w:color="auto"/>
        <w:bottom w:val="none" w:sz="0" w:space="0" w:color="auto"/>
        <w:right w:val="none" w:sz="0" w:space="0" w:color="auto"/>
      </w:divBdr>
    </w:div>
    <w:div w:id="2092970355">
      <w:bodyDiv w:val="1"/>
      <w:marLeft w:val="0"/>
      <w:marRight w:val="0"/>
      <w:marTop w:val="0"/>
      <w:marBottom w:val="0"/>
      <w:divBdr>
        <w:top w:val="none" w:sz="0" w:space="0" w:color="auto"/>
        <w:left w:val="none" w:sz="0" w:space="0" w:color="auto"/>
        <w:bottom w:val="none" w:sz="0" w:space="0" w:color="auto"/>
        <w:right w:val="none" w:sz="0" w:space="0" w:color="auto"/>
      </w:divBdr>
    </w:div>
    <w:div w:id="2103185749">
      <w:bodyDiv w:val="1"/>
      <w:marLeft w:val="0"/>
      <w:marRight w:val="0"/>
      <w:marTop w:val="0"/>
      <w:marBottom w:val="0"/>
      <w:divBdr>
        <w:top w:val="none" w:sz="0" w:space="0" w:color="auto"/>
        <w:left w:val="none" w:sz="0" w:space="0" w:color="auto"/>
        <w:bottom w:val="none" w:sz="0" w:space="0" w:color="auto"/>
        <w:right w:val="none" w:sz="0" w:space="0" w:color="auto"/>
      </w:divBdr>
    </w:div>
    <w:div w:id="2122455645">
      <w:bodyDiv w:val="1"/>
      <w:marLeft w:val="0"/>
      <w:marRight w:val="0"/>
      <w:marTop w:val="0"/>
      <w:marBottom w:val="0"/>
      <w:divBdr>
        <w:top w:val="none" w:sz="0" w:space="0" w:color="auto"/>
        <w:left w:val="none" w:sz="0" w:space="0" w:color="auto"/>
        <w:bottom w:val="none" w:sz="0" w:space="0" w:color="auto"/>
        <w:right w:val="none" w:sz="0" w:space="0" w:color="auto"/>
      </w:divBdr>
    </w:div>
    <w:div w:id="2124379165">
      <w:bodyDiv w:val="1"/>
      <w:marLeft w:val="0"/>
      <w:marRight w:val="0"/>
      <w:marTop w:val="0"/>
      <w:marBottom w:val="0"/>
      <w:divBdr>
        <w:top w:val="none" w:sz="0" w:space="0" w:color="auto"/>
        <w:left w:val="none" w:sz="0" w:space="0" w:color="auto"/>
        <w:bottom w:val="none" w:sz="0" w:space="0" w:color="auto"/>
        <w:right w:val="none" w:sz="0" w:space="0" w:color="auto"/>
      </w:divBdr>
    </w:div>
    <w:div w:id="2126995483">
      <w:bodyDiv w:val="1"/>
      <w:marLeft w:val="0"/>
      <w:marRight w:val="0"/>
      <w:marTop w:val="0"/>
      <w:marBottom w:val="0"/>
      <w:divBdr>
        <w:top w:val="none" w:sz="0" w:space="0" w:color="auto"/>
        <w:left w:val="none" w:sz="0" w:space="0" w:color="auto"/>
        <w:bottom w:val="none" w:sz="0" w:space="0" w:color="auto"/>
        <w:right w:val="none" w:sz="0" w:space="0" w:color="auto"/>
      </w:divBdr>
    </w:div>
    <w:div w:id="2136288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web/interactive-publications/demography-2025" TargetMode="External"/><Relationship Id="rId13" Type="http://schemas.openxmlformats.org/officeDocument/2006/relationships/hyperlink" Target="https://agriculture.ec.europa.eu/overview-vision-agriculture-food/young-people-agriculture-and-rural-areas_fr" TargetMode="External"/><Relationship Id="rId3" Type="http://schemas.openxmlformats.org/officeDocument/2006/relationships/hyperlink" Target="https://commission.europa.eu/document/2c64e540-c07a-4376-a1da-368d289f4afe_fr" TargetMode="External"/><Relationship Id="rId7" Type="http://schemas.openxmlformats.org/officeDocument/2006/relationships/hyperlink" Target="https://agriculture.ec.europa.eu/overview-vision-agriculture-food/main-initiatives-strategic-dialogue-future-eu-agriculture_fr" TargetMode="External"/><Relationship Id="rId12" Type="http://schemas.openxmlformats.org/officeDocument/2006/relationships/hyperlink" Target="https://publications.jrc.ec.europa.eu/repository/handle/JRC122308" TargetMode="External"/><Relationship Id="rId2" Type="http://schemas.openxmlformats.org/officeDocument/2006/relationships/hyperlink" Target="https://agriculture.ec.europa.eu/overview-vision-agriculture-food/vision-agriculture-and-food_fr" TargetMode="External"/><Relationship Id="rId16" Type="http://schemas.openxmlformats.org/officeDocument/2006/relationships/hyperlink" Target="https://www.fao.org/tenure/voluntary-guidelines/fr" TargetMode="External"/><Relationship Id="rId1" Type="http://schemas.openxmlformats.org/officeDocument/2006/relationships/hyperlink" Target="https://ec.europa.eu/eurostat/statistics-explained/index.php?title=Farmers_and_the_agricultural_labour_force_-_statistics" TargetMode="External"/><Relationship Id="rId6" Type="http://schemas.openxmlformats.org/officeDocument/2006/relationships/hyperlink" Target="https://agriculture.ec.europa.eu/overview-vision-agriculture-food/main-initiatives-strategic-dialogue-future-eu-agriculture_fr" TargetMode="External"/><Relationship Id="rId11" Type="http://schemas.openxmlformats.org/officeDocument/2006/relationships/hyperlink" Target="https://agriculture.ec.europa.eu/overview-vision-agriculture-food/young-people-agriculture-and-rural-areas_fr" TargetMode="External"/><Relationship Id="rId5" Type="http://schemas.openxmlformats.org/officeDocument/2006/relationships/hyperlink" Target="https://data.consilium.europa.eu/doc/document/ST-15631-2023-INIT/en/pdf" TargetMode="External"/><Relationship Id="rId15" Type="http://schemas.openxmlformats.org/officeDocument/2006/relationships/hyperlink" Target="https://pact-for-skills.ec.europa.eu/about/industrial-ecosystems-and-partnerships/agri-food_en" TargetMode="External"/><Relationship Id="rId10" Type="http://schemas.openxmlformats.org/officeDocument/2006/relationships/hyperlink" Target="https://ec.europa.eu/eurostat/statistics-explained/index.php?title=Farms_and_farmland_in_the_European_Union_-_statistics" TargetMode="External"/><Relationship Id="rId4" Type="http://schemas.openxmlformats.org/officeDocument/2006/relationships/hyperlink" Target="https://www.europarl.europa.eu/doceo/document/TA-9-2023-0376_EN.html" TargetMode="External"/><Relationship Id="rId9" Type="http://schemas.openxmlformats.org/officeDocument/2006/relationships/hyperlink" Target="https://ec.europa.eu/eurostat/statistics-explained/index.php?title=Agriculture_statistics_-_family_farming_in_the_EU" TargetMode="External"/><Relationship Id="rId14" Type="http://schemas.openxmlformats.org/officeDocument/2006/relationships/hyperlink" Target="https://www.fi-compass.eu/sites/default/files/publications/FinancingGapAgricultureAgrifood_RTW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4D390D3B784B45B53FE1A1E1D89F0A" ma:contentTypeVersion="3" ma:contentTypeDescription="Create a new document." ma:contentTypeScope="" ma:versionID="2679ac38b867c32ba7220764a102890f">
  <xsd:schema xmlns:xsd="http://www.w3.org/2001/XMLSchema" xmlns:xs="http://www.w3.org/2001/XMLSchema" xmlns:p="http://schemas.microsoft.com/office/2006/metadata/properties" xmlns:ns2="9e203ff3-d826-4611-aa91-e4f465798a8c" targetNamespace="http://schemas.microsoft.com/office/2006/metadata/properties" ma:root="true" ma:fieldsID="6e37d4f2feff167cf3187252c11062b3" ns2:_="">
    <xsd:import namespace="9e203ff3-d826-4611-aa91-e4f465798a8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03ff3-d826-4611-aa91-e4f465798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10.0.47654.0</Version>
    <Date>2025-03-17T13:31:20</Date>
    <Language>EN</Language>
    <Note/>
  </Created>
  <Edited>
    <Version/>
    <Date/>
  </Edited>
  <DocumentModel>
    <Id>6cbda13a-4db2-46c6-876a-ef72275827ef</Id>
    <Name>Report</Name>
  </DocumentModel>
  <CustomTemplate>
    <Id/>
    <Name/>
  </CustomTemplate>
  <DocumentDate>2025-03-17T13:31:20</DocumentDate>
  <DocumentVersion>0.1</DocumentVersion>
  <CompatibilityMode>Eurolook10</CompatibilityMode>
  <DocumentMetadata>
    <EC_SecurityMarking MetadataSerializationType="SimpleValue"/>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istributionSensitive MetadataSerializationType="SimpleValue"/>
    <EC_SecurityDateMarking MetadataSerializationType="SimpleValue"/>
  </DocumentMetadata>
</EurolookProperties>
</file>

<file path=customXml/item4.xml><?xml version="1.0" encoding="utf-8"?>
<Author Role="Creator" AuthorRoleName="Writer" AuthorRoleId="a4fbaff4-b07c-48b4-a21e-e7b9eedf3796">
  <Id>93bfbabf-9974-440d-98b7-58226fe055ef</Id>
  <Names>
    <Latin>
      <FirstName>Sandra</FirstName>
      <LastName>SANMARTIN</LastName>
    </Latin>
    <Greek>
      <FirstName/>
      <LastName/>
    </Greek>
    <Cyrillic>
      <FirstName/>
      <LastName/>
    </Cyrillic>
    <DocumentScript>
      <FirstName>Sandra</FirstName>
      <LastName>SANMARTIN</LastName>
      <FullName>Sandra SANMARTIN</FullName>
    </DocumentScript>
  </Names>
  <Initials>SS</Initials>
  <Gender>f</Gender>
  <Email>Sandra.SANMARTIN@ec.europa.eu</Email>
  <Service>AGRI.B.3</Service>
  <Function ADCode="" ShowInSignature="true" ShowInHeader="false" HeaderText=""/>
  <WebAddress/>
  <FunctionalMailbox/>
  <InheritedWebAddress>http://europa.eu</InheritedWebAddress>
  <OrgaEntity1>
    <Id>dceee1a0-d6c4-4ae4-85b1-ca07eb5e67fa</Id>
    <LogicalLevel>1</LogicalLevel>
    <Name>AGRI</Name>
    <HeadLine1/>
    <HeadLine2/>
    <PrimaryAddressId>f03b5801-04c9-4931-aa17-c6d6c70bc579</PrimaryAddressId>
    <SecondaryAddressId/>
    <WebAddress/>
    <InheritedWebAddress>http://europa.eu</InheritedWebAddress>
    <ShowInHeader>true</ShowInHeader>
  </OrgaEntity1>
  <OrgaEntity2>
    <Id>14af2b24-4e13-446c-91c6-1483e0274546</Id>
    <LogicalLevel>2</LogicalLevel>
    <Name>AGRI.B</Name>
    <HeadLine1>Directorate B – Sustainability</HeadLine1>
    <HeadLine2/>
    <PrimaryAddressId>f03b5801-04c9-4931-aa17-c6d6c70bc579</PrimaryAddressId>
    <SecondaryAddressId/>
    <WebAddress/>
    <InheritedWebAddress>http://europa.eu</InheritedWebAddress>
    <ShowInHeader>true</ShowInHeader>
  </OrgaEntity2>
  <OrgaEntity3>
    <Id>259f2602-f572-4cad-90a7-daab77534fd7</Id>
    <LogicalLevel>3</LogicalLevel>
    <Name>AGRI.B.3</Name>
    <HeadLine1>B.3 – Social Sustainability</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14af2b24-4e13-446c-91c6-1483e0274546</Id>
      <LogicalLevel>2</LogicalLevel>
      <Name>AGRI.B</Name>
      <HeadLine1>Directorate B – Sustainability</HeadLine1>
      <HeadLine2/>
      <PrimaryAddressId>f03b5801-04c9-4931-aa17-c6d6c70bc579</PrimaryAddressId>
      <SecondaryAddressId/>
      <WebAddress/>
      <InheritedWebAddress>http://europa.eu</InheritedWebAddress>
      <ShowInHeader>true</ShowInHeader>
    </OrgaEntity>
    <OrgaEntity>
      <Id>259f2602-f572-4cad-90a7-daab77534fd7</Id>
      <LogicalLevel>3</LogicalLevel>
      <Name>AGRI.B.3</Name>
      <HeadLine1>B.3 – Social Sustainability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+32 229-83243</Phone>
    <Office>L130 08/056</Office>
  </MainWorkplace>
  <Workplaces>
    <Workplace IsMain="true">
      <AddressId>f03b5801-04c9-4931-aa17-c6d6c70bc579</AddressId>
      <Fax/>
      <Phone>+32 229-83243</Phone>
      <Office>L130 08/056</Office>
    </Workplace>
  </Workplaces>
</Author>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3F983-0F1D-49F7-8013-2B9C97979A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08DDF7-AB85-429B-B15C-734F7A168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03ff3-d826-4611-aa91-e4f465798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B78EBEAD-3601-4DA5-9F1E-A9AFF3CA6791}">
  <ds:schemaRefs/>
</ds:datastoreItem>
</file>

<file path=customXml/itemProps5.xml><?xml version="1.0" encoding="utf-8"?>
<ds:datastoreItem xmlns:ds="http://schemas.openxmlformats.org/officeDocument/2006/customXml" ds:itemID="{81D1133C-707A-4DC9-B62E-4D51FBFF1916}">
  <ds:schemaRefs>
    <ds:schemaRef ds:uri="http://schemas.microsoft.com/sharepoint/v3/contenttype/forms"/>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C0F3AF75-2CCA-47ED-9FFF-66CEC0ABF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11447</Words>
  <Characters>65254</Characters>
  <Application>Microsoft Office Word</Application>
  <DocSecurity>0</DocSecurity>
  <PresentationFormat>Microsoft Word 14.0</PresentationFormat>
  <Lines>543</Lines>
  <Paragraphs>153</Paragraphs>
  <ScaleCrop>true</ScaleCrop>
  <HeadingPairs>
    <vt:vector size="2" baseType="variant">
      <vt:variant>
        <vt:lpstr>Title</vt:lpstr>
      </vt:variant>
      <vt:variant>
        <vt:i4>1</vt:i4>
      </vt:variant>
    </vt:vector>
  </HeadingPairs>
  <TitlesOfParts>
    <vt:vector size="1" baseType="lpstr">
      <vt:lpstr>COMMUNICATION FROM THE COMMISSION TO THE EUROPEAN PARLIAMENT, THE COUNCIL, THE EUROPEAN ECONOMIC AND SOCIAL COMMITTEE AND THE COMMITTEE OF THE REGIONS</vt:lpstr>
    </vt:vector>
  </TitlesOfParts>
  <Manager/>
  <Company/>
  <LinksUpToDate>false</LinksUpToDate>
  <CharactersWithSpaces>76548</CharactersWithSpaces>
  <SharedDoc>false</SharedDoc>
  <HLinks>
    <vt:vector size="54" baseType="variant">
      <vt:variant>
        <vt:i4>8323082</vt:i4>
      </vt:variant>
      <vt:variant>
        <vt:i4>30</vt:i4>
      </vt:variant>
      <vt:variant>
        <vt:i4>0</vt:i4>
      </vt:variant>
      <vt:variant>
        <vt:i4>5</vt:i4>
      </vt:variant>
      <vt:variant>
        <vt:lpwstr>https://agriculture.ec.europa.eu/overview-vision-agriculture-food/young-people-agriculture-and-rural-areas_en</vt:lpwstr>
      </vt:variant>
      <vt:variant>
        <vt:lpwstr>:~:text=The%20second%20edition%20of%20the,food%20systems%20and%20rural%20life.</vt:lpwstr>
      </vt:variant>
      <vt:variant>
        <vt:i4>65600</vt:i4>
      </vt:variant>
      <vt:variant>
        <vt:i4>27</vt:i4>
      </vt:variant>
      <vt:variant>
        <vt:i4>0</vt:i4>
      </vt:variant>
      <vt:variant>
        <vt:i4>5</vt:i4>
      </vt:variant>
      <vt:variant>
        <vt:lpwstr>https://publications.jrc.ec.europa.eu/repository/handle/JRC122308</vt:lpwstr>
      </vt:variant>
      <vt:variant>
        <vt:lpwstr/>
      </vt:variant>
      <vt:variant>
        <vt:i4>5046379</vt:i4>
      </vt:variant>
      <vt:variant>
        <vt:i4>24</vt:i4>
      </vt:variant>
      <vt:variant>
        <vt:i4>0</vt:i4>
      </vt:variant>
      <vt:variant>
        <vt:i4>5</vt:i4>
      </vt:variant>
      <vt:variant>
        <vt:lpwstr>https://rural-vision.europa.eu/rural-vision_en</vt:lpwstr>
      </vt:variant>
      <vt:variant>
        <vt:lpwstr/>
      </vt:variant>
      <vt:variant>
        <vt:i4>5701751</vt:i4>
      </vt:variant>
      <vt:variant>
        <vt:i4>21</vt:i4>
      </vt:variant>
      <vt:variant>
        <vt:i4>0</vt:i4>
      </vt:variant>
      <vt:variant>
        <vt:i4>5</vt:i4>
      </vt:variant>
      <vt:variant>
        <vt:lpwstr>https://agriculture.ec.europa.eu/overview-vision-agriculture-food/young-people-agriculture-and-rural-areas_en</vt:lpwstr>
      </vt:variant>
      <vt:variant>
        <vt:lpwstr>:~:text=The%20proportion%20of%20young%20people%20in%20rural%20areas,25-29%20from%206%20949.2%20to%205%20881.3%20million.</vt:lpwstr>
      </vt:variant>
      <vt:variant>
        <vt:i4>5767201</vt:i4>
      </vt:variant>
      <vt:variant>
        <vt:i4>12</vt:i4>
      </vt:variant>
      <vt:variant>
        <vt:i4>0</vt:i4>
      </vt:variant>
      <vt:variant>
        <vt:i4>5</vt:i4>
      </vt:variant>
      <vt:variant>
        <vt:lpwstr>https://agriculture.ec.europa.eu/overview-vision-agriculture-food/main-initiatives-strategic-dialogue-future-eu-agriculture_en</vt:lpwstr>
      </vt:variant>
      <vt:variant>
        <vt:lpwstr/>
      </vt:variant>
      <vt:variant>
        <vt:i4>3801192</vt:i4>
      </vt:variant>
      <vt:variant>
        <vt:i4>9</vt:i4>
      </vt:variant>
      <vt:variant>
        <vt:i4>0</vt:i4>
      </vt:variant>
      <vt:variant>
        <vt:i4>5</vt:i4>
      </vt:variant>
      <vt:variant>
        <vt:lpwstr>https://data.consilium.europa.eu/doc/document/ST-15631-2023-INIT/en/pdf</vt:lpwstr>
      </vt:variant>
      <vt:variant>
        <vt:lpwstr/>
      </vt:variant>
      <vt:variant>
        <vt:i4>196640</vt:i4>
      </vt:variant>
      <vt:variant>
        <vt:i4>6</vt:i4>
      </vt:variant>
      <vt:variant>
        <vt:i4>0</vt:i4>
      </vt:variant>
      <vt:variant>
        <vt:i4>5</vt:i4>
      </vt:variant>
      <vt:variant>
        <vt:lpwstr>https://www.europarl.europa.eu/doceo/document/TA-9-2023-0376_EN.html</vt:lpwstr>
      </vt:variant>
      <vt:variant>
        <vt:lpwstr/>
      </vt:variant>
      <vt:variant>
        <vt:i4>1769589</vt:i4>
      </vt:variant>
      <vt:variant>
        <vt:i4>3</vt:i4>
      </vt:variant>
      <vt:variant>
        <vt:i4>0</vt:i4>
      </vt:variant>
      <vt:variant>
        <vt:i4>5</vt:i4>
      </vt:variant>
      <vt:variant>
        <vt:lpwstr>https://commission.europa.eu/document/2c64e540-c07a-4376-a1da-368d289f4afe_en</vt:lpwstr>
      </vt:variant>
      <vt:variant>
        <vt:lpwstr/>
      </vt:variant>
      <vt:variant>
        <vt:i4>3276810</vt:i4>
      </vt:variant>
      <vt:variant>
        <vt:i4>0</vt:i4>
      </vt:variant>
      <vt:variant>
        <vt:i4>0</vt:i4>
      </vt:variant>
      <vt:variant>
        <vt:i4>5</vt:i4>
      </vt:variant>
      <vt:variant>
        <vt:lpwstr>https://agriculture.ec.europa.eu/overview-vision-agriculture-food/vision-agriculture-and-food_en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FROM THE COMMISSION TO THE EUROPEAN PARLIAMENT, THE COUNCIL, THE EUROPEAN ECONOMIC AND SOCIAL COMMITTEE AND THE COMMITTEE OF THE REGIONS</dc:title>
  <dc:subject>Strategy for generational renewal in agriculture</dc:subject>
  <dc:creator/>
  <cp:keywords/>
  <dc:description/>
  <cp:lastModifiedBy>EC CoDe</cp:lastModifiedBy>
  <cp:revision>8</cp:revision>
  <cp:lastPrinted>2025-10-16T13:15:00Z</cp:lastPrinted>
  <dcterms:created xsi:type="dcterms:W3CDTF">2025-10-21T11:38:00Z</dcterms:created>
  <dcterms:modified xsi:type="dcterms:W3CDTF">2025-10-21T15:24:00Z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2025-03-17T12:41:53Z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bfc1907d-689f-4a09-b58c-fdc04106942a</vt:lpwstr>
  </property>
  <property fmtid="{D5CDD505-2E9C-101B-9397-08002B2CF9AE}" pid="8" name="MSIP_Label_6bd9ddd1-4d20-43f6-abfa-fc3c07406f94_ContentBits">
    <vt:lpwstr>0</vt:lpwstr>
  </property>
  <property fmtid="{D5CDD505-2E9C-101B-9397-08002B2CF9AE}" pid="9" name="ContentTypeId">
    <vt:lpwstr>0x010100E34D390D3B784B45B53FE1A1E1D89F0A</vt:lpwstr>
  </property>
  <property fmtid="{D5CDD505-2E9C-101B-9397-08002B2CF9AE}" pid="10" name="Order">
    <vt:r8>66900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Level of sensitivity">
    <vt:lpwstr>Standard treatment</vt:lpwstr>
  </property>
  <property fmtid="{D5CDD505-2E9C-101B-9397-08002B2CF9AE}" pid="18" name="_LW_INVALIDATED_EurolookVersion">
    <vt:lpwstr>10.0</vt:lpwstr>
  </property>
  <property fmtid="{D5CDD505-2E9C-101B-9397-08002B2CF9AE}" pid="19" name="Part">
    <vt:lpwstr>1</vt:lpwstr>
  </property>
  <property fmtid="{D5CDD505-2E9C-101B-9397-08002B2CF9AE}" pid="20" name="Total parts">
    <vt:lpwstr>1</vt:lpwstr>
  </property>
  <property fmtid="{D5CDD505-2E9C-101B-9397-08002B2CF9AE}" pid="21" name="DocStatus">
    <vt:lpwstr>Green</vt:lpwstr>
  </property>
  <property fmtid="{D5CDD505-2E9C-101B-9397-08002B2CF9AE}" pid="22" name="CPTemplateID">
    <vt:lpwstr>CP-014</vt:lpwstr>
  </property>
  <property fmtid="{D5CDD505-2E9C-101B-9397-08002B2CF9AE}" pid="23" name="Last edited using">
    <vt:lpwstr>LW 9.1, Build 20240808</vt:lpwstr>
  </property>
  <property fmtid="{D5CDD505-2E9C-101B-9397-08002B2CF9AE}" pid="24" name="Created using">
    <vt:lpwstr>LW 9.1, Build 20240808</vt:lpwstr>
  </property>
  <property fmtid="{D5CDD505-2E9C-101B-9397-08002B2CF9AE}" pid="25" name="MediaServiceImageTags">
    <vt:lpwstr/>
  </property>
</Properties>
</file>